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6A643" w14:textId="6B30D1D3" w:rsidR="00256F98" w:rsidRDefault="003E4805">
      <w:pPr>
        <w:ind w:right="0"/>
      </w:pPr>
      <w:bookmarkStart w:id="0" w:name="_Toc112165607"/>
      <w:bookmarkStart w:id="1" w:name="_Toc112424366"/>
      <w:bookmarkStart w:id="2" w:name="_Toc144200468"/>
      <w:bookmarkStart w:id="3" w:name="_Toc143678171"/>
      <w:bookmarkStart w:id="4" w:name="_Toc143678688"/>
      <w:bookmarkStart w:id="5" w:name="_Toc80971288"/>
      <w:bookmarkStart w:id="6" w:name="_Toc112424368"/>
      <w:r>
        <w:rPr>
          <w:noProof/>
        </w:rPr>
        <w:drawing>
          <wp:anchor distT="0" distB="0" distL="114300" distR="114300" simplePos="0" relativeHeight="251664384" behindDoc="1" locked="0" layoutInCell="1" allowOverlap="1" wp14:anchorId="4AEE8EDA" wp14:editId="1617BCF1">
            <wp:simplePos x="0" y="0"/>
            <wp:positionH relativeFrom="page">
              <wp:align>right</wp:align>
            </wp:positionH>
            <wp:positionV relativeFrom="paragraph">
              <wp:posOffset>-914400</wp:posOffset>
            </wp:positionV>
            <wp:extent cx="7548785" cy="10677525"/>
            <wp:effectExtent l="0" t="0" r="0" b="0"/>
            <wp:wrapNone/>
            <wp:docPr id="210" name="Picture 210" descr="A cover of a re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Picture 210" descr="A cover of a repo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48785" cy="10677525"/>
                    </a:xfrm>
                    <a:prstGeom prst="rect">
                      <a:avLst/>
                    </a:prstGeom>
                  </pic:spPr>
                </pic:pic>
              </a:graphicData>
            </a:graphic>
            <wp14:sizeRelH relativeFrom="page">
              <wp14:pctWidth>0</wp14:pctWidth>
            </wp14:sizeRelH>
            <wp14:sizeRelV relativeFrom="page">
              <wp14:pctHeight>0</wp14:pctHeight>
            </wp14:sizeRelV>
          </wp:anchor>
        </w:drawing>
      </w:r>
      <w:r w:rsidR="00256F98">
        <w:br w:type="page"/>
      </w:r>
    </w:p>
    <w:p w14:paraId="578AD88D" w14:textId="4E1A210B" w:rsidR="00EB1859" w:rsidRPr="00CA5EBF" w:rsidRDefault="00EB1859" w:rsidP="00CA5EBF">
      <w:pPr>
        <w:pStyle w:val="Heading1"/>
      </w:pPr>
      <w:r w:rsidRPr="00CA5EBF">
        <w:lastRenderedPageBreak/>
        <w:t>Annual report 2021-22</w:t>
      </w:r>
      <w:bookmarkEnd w:id="0"/>
      <w:bookmarkEnd w:id="1"/>
      <w:bookmarkEnd w:id="2"/>
    </w:p>
    <w:p w14:paraId="04A28B44" w14:textId="77777777" w:rsidR="00EB1859" w:rsidRPr="00EB1859" w:rsidRDefault="00EB1859" w:rsidP="00EB1859">
      <w:pPr>
        <w:ind w:right="1796"/>
        <w:rPr>
          <w:i/>
          <w:sz w:val="18"/>
          <w:szCs w:val="20"/>
        </w:rPr>
      </w:pPr>
      <w:r w:rsidRPr="00EB1859">
        <w:rPr>
          <w:sz w:val="18"/>
          <w:szCs w:val="20"/>
        </w:rPr>
        <w:t xml:space="preserve">The Queensland Human Rights Commission is committed to providing accessible services to Queenslanders from all culturally and linguistically diverse backgrounds. If you have difficulty in understanding the annual report, you can contact us on toll free 1300 130 670 and we will arrange an interpreter to effectively communicate the report to you. </w:t>
      </w:r>
    </w:p>
    <w:p w14:paraId="6AC574B6" w14:textId="77777777" w:rsidR="00EB1859" w:rsidRPr="00EB1859" w:rsidRDefault="00EB1859" w:rsidP="00EB1859">
      <w:pPr>
        <w:ind w:right="1796"/>
        <w:rPr>
          <w:noProof/>
          <w:sz w:val="18"/>
          <w:szCs w:val="20"/>
        </w:rPr>
      </w:pPr>
      <w:r w:rsidRPr="00EB1859">
        <w:rPr>
          <w:noProof/>
          <w:sz w:val="18"/>
          <w:szCs w:val="20"/>
        </w:rPr>
        <w:drawing>
          <wp:inline distT="0" distB="0" distL="0" distR="0" wp14:anchorId="74736F3A" wp14:editId="0B7EF54A">
            <wp:extent cx="581025" cy="581025"/>
            <wp:effectExtent l="0" t="0" r="9525" b="9525"/>
            <wp:docPr id="207" name="Picture 207" descr="http://www.immi.gov.au/living-in-australia/help-with-english/NIS/interpreter_symbol_text.jpg" title="Interpreter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mmi.gov.au/living-in-australia/help-with-english/NIS/interpreter_symbol_text.jpg"/>
                    <pic:cNvPicPr>
                      <a:picLocks noChangeAspect="1" noChangeArrowheads="1"/>
                    </pic:cNvPicPr>
                  </pic:nvPicPr>
                  <pic:blipFill>
                    <a:blip r:embed="rId9">
                      <a:extLst>
                        <a:ext uri="{BEBA8EAE-BF5A-486C-A8C5-ECC9F3942E4B}">
                          <a14:imgProps xmlns:a14="http://schemas.microsoft.com/office/drawing/2010/main">
                            <a14:imgLayer r:embed="rId10">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p w14:paraId="341B4F1F" w14:textId="77777777" w:rsidR="00EB1859" w:rsidRPr="00EB1859" w:rsidRDefault="00EB1859" w:rsidP="00EB1859">
      <w:pPr>
        <w:ind w:right="1796"/>
        <w:rPr>
          <w:i/>
          <w:noProof/>
          <w:sz w:val="18"/>
          <w:szCs w:val="20"/>
        </w:rPr>
      </w:pPr>
      <w:r w:rsidRPr="00EB1859">
        <w:rPr>
          <w:noProof/>
          <w:sz w:val="18"/>
          <w:szCs w:val="20"/>
        </w:rPr>
        <w:t>English: If you’d like us to arrange an interpreter for this report, please call us on 1300 130 670.</w:t>
      </w:r>
    </w:p>
    <w:p w14:paraId="16B72C69" w14:textId="77777777" w:rsidR="00EB1859" w:rsidRPr="00EB1859" w:rsidRDefault="00EB1859" w:rsidP="00EB1859">
      <w:pPr>
        <w:ind w:right="1796"/>
        <w:rPr>
          <w:i/>
          <w:noProof/>
          <w:sz w:val="18"/>
          <w:szCs w:val="20"/>
          <w:lang w:val="es-ES"/>
        </w:rPr>
      </w:pPr>
      <w:r w:rsidRPr="00EB1859">
        <w:rPr>
          <w:noProof/>
          <w:sz w:val="18"/>
          <w:szCs w:val="20"/>
          <w:lang w:val="es-ES"/>
        </w:rPr>
        <w:t>Spanish: Si desea que nosotros para solicitar un intérprete de este informe, por favor llámenos en 1300 130 670</w:t>
      </w:r>
    </w:p>
    <w:p w14:paraId="0C2F6AF3" w14:textId="77777777" w:rsidR="00EB1859" w:rsidRPr="00EB1859" w:rsidRDefault="00EB1859" w:rsidP="00EB1859">
      <w:pPr>
        <w:ind w:right="1796"/>
        <w:rPr>
          <w:i/>
          <w:noProof/>
          <w:sz w:val="18"/>
          <w:szCs w:val="20"/>
          <w:lang w:val="es-ES"/>
        </w:rPr>
      </w:pPr>
      <w:r w:rsidRPr="00EB1859">
        <w:rPr>
          <w:noProof/>
          <w:sz w:val="18"/>
          <w:szCs w:val="20"/>
          <w:lang w:val="es-ES"/>
        </w:rPr>
        <w:t>French: Si vous souhaitez organiser un interprète pour ce rapport, veuillez nous appeler au 1300 130 670</w:t>
      </w:r>
    </w:p>
    <w:p w14:paraId="1226A59A" w14:textId="77777777" w:rsidR="00EB1859" w:rsidRPr="00EB1859" w:rsidRDefault="00EB1859" w:rsidP="00EB1859">
      <w:pPr>
        <w:ind w:right="1796"/>
        <w:rPr>
          <w:i/>
          <w:noProof/>
          <w:sz w:val="18"/>
          <w:szCs w:val="20"/>
          <w:lang w:val="es-ES"/>
        </w:rPr>
      </w:pPr>
      <w:r w:rsidRPr="00EB1859">
        <w:rPr>
          <w:noProof/>
          <w:sz w:val="18"/>
          <w:szCs w:val="20"/>
          <w:lang w:val="es-ES"/>
        </w:rPr>
        <w:t xml:space="preserve">Chinese: </w:t>
      </w:r>
      <w:r w:rsidRPr="00EB1859">
        <w:rPr>
          <w:rFonts w:eastAsia="MS Gothic"/>
          <w:noProof/>
          <w:sz w:val="18"/>
          <w:szCs w:val="20"/>
        </w:rPr>
        <w:t>如果您想</w:t>
      </w:r>
      <w:r w:rsidRPr="00EB1859">
        <w:rPr>
          <w:rFonts w:eastAsia="MingLiU"/>
          <w:noProof/>
          <w:sz w:val="18"/>
          <w:szCs w:val="20"/>
        </w:rPr>
        <w:t>让</w:t>
      </w:r>
      <w:r w:rsidRPr="00EB1859">
        <w:rPr>
          <w:rFonts w:eastAsia="MS Mincho"/>
          <w:noProof/>
          <w:sz w:val="18"/>
          <w:szCs w:val="20"/>
        </w:rPr>
        <w:t>我</w:t>
      </w:r>
      <w:r w:rsidRPr="00EB1859">
        <w:rPr>
          <w:rFonts w:eastAsia="MingLiU"/>
          <w:noProof/>
          <w:sz w:val="18"/>
          <w:szCs w:val="20"/>
        </w:rPr>
        <w:t>们为</w:t>
      </w:r>
      <w:r w:rsidRPr="00EB1859">
        <w:rPr>
          <w:rFonts w:eastAsia="MS Mincho"/>
          <w:noProof/>
          <w:sz w:val="18"/>
          <w:szCs w:val="20"/>
        </w:rPr>
        <w:t>此</w:t>
      </w:r>
      <w:r w:rsidRPr="00EB1859">
        <w:rPr>
          <w:rFonts w:eastAsia="MingLiU"/>
          <w:noProof/>
          <w:sz w:val="18"/>
          <w:szCs w:val="20"/>
        </w:rPr>
        <w:t>报</w:t>
      </w:r>
      <w:r w:rsidRPr="00EB1859">
        <w:rPr>
          <w:rFonts w:eastAsia="MS Mincho"/>
          <w:noProof/>
          <w:sz w:val="18"/>
          <w:szCs w:val="20"/>
        </w:rPr>
        <w:t>告安排</w:t>
      </w:r>
      <w:r w:rsidRPr="00EB1859">
        <w:rPr>
          <w:rFonts w:eastAsia="MingLiU"/>
          <w:noProof/>
          <w:sz w:val="18"/>
          <w:szCs w:val="20"/>
        </w:rPr>
        <w:t>传译员</w:t>
      </w:r>
      <w:r w:rsidRPr="00EB1859">
        <w:rPr>
          <w:rFonts w:eastAsia="MS Mincho"/>
          <w:noProof/>
          <w:sz w:val="18"/>
          <w:szCs w:val="20"/>
          <w:lang w:val="es-ES"/>
        </w:rPr>
        <w:t>，</w:t>
      </w:r>
      <w:r w:rsidRPr="00EB1859">
        <w:rPr>
          <w:rFonts w:eastAsia="MingLiU"/>
          <w:noProof/>
          <w:sz w:val="18"/>
          <w:szCs w:val="20"/>
        </w:rPr>
        <w:t>请</w:t>
      </w:r>
      <w:r w:rsidRPr="00EB1859">
        <w:rPr>
          <w:rFonts w:eastAsia="MS Mincho"/>
          <w:noProof/>
          <w:sz w:val="18"/>
          <w:szCs w:val="20"/>
        </w:rPr>
        <w:t>致</w:t>
      </w:r>
      <w:r w:rsidRPr="00EB1859">
        <w:rPr>
          <w:rFonts w:eastAsia="MingLiU"/>
          <w:noProof/>
          <w:sz w:val="18"/>
          <w:szCs w:val="20"/>
        </w:rPr>
        <w:t>电</w:t>
      </w:r>
      <w:r w:rsidRPr="00EB1859">
        <w:rPr>
          <w:rFonts w:eastAsia="MS Mincho"/>
          <w:noProof/>
          <w:sz w:val="18"/>
          <w:szCs w:val="20"/>
        </w:rPr>
        <w:t>我</w:t>
      </w:r>
      <w:r w:rsidRPr="00EB1859">
        <w:rPr>
          <w:rFonts w:eastAsia="MingLiU"/>
          <w:noProof/>
          <w:sz w:val="18"/>
          <w:szCs w:val="20"/>
        </w:rPr>
        <w:t>们</w:t>
      </w:r>
      <w:r w:rsidRPr="00EB1859">
        <w:rPr>
          <w:noProof/>
          <w:sz w:val="18"/>
          <w:szCs w:val="20"/>
          <w:lang w:val="es-ES"/>
        </w:rPr>
        <w:t xml:space="preserve"> 1300</w:t>
      </w:r>
      <w:r w:rsidRPr="00EB1859">
        <w:rPr>
          <w:rFonts w:eastAsia="MS Gothic"/>
          <w:noProof/>
          <w:sz w:val="18"/>
          <w:szCs w:val="20"/>
        </w:rPr>
        <w:t>年</w:t>
      </w:r>
      <w:r w:rsidRPr="00EB1859">
        <w:rPr>
          <w:noProof/>
          <w:sz w:val="18"/>
          <w:szCs w:val="20"/>
          <w:lang w:val="es-ES"/>
        </w:rPr>
        <w:t xml:space="preserve"> 130 670</w:t>
      </w:r>
    </w:p>
    <w:p w14:paraId="6FABB6B2" w14:textId="77777777" w:rsidR="00EB1859" w:rsidRPr="00EB1859" w:rsidRDefault="00EB1859" w:rsidP="00EB1859">
      <w:pPr>
        <w:ind w:right="1796"/>
        <w:rPr>
          <w:i/>
          <w:noProof/>
          <w:sz w:val="18"/>
          <w:szCs w:val="20"/>
          <w:lang w:val="es-ES"/>
        </w:rPr>
      </w:pPr>
      <w:r w:rsidRPr="00EB1859">
        <w:rPr>
          <w:noProof/>
          <w:sz w:val="18"/>
          <w:szCs w:val="20"/>
          <w:lang w:val="es-ES"/>
        </w:rPr>
        <w:t xml:space="preserve">Arabic: </w:t>
      </w:r>
      <w:r w:rsidRPr="00EB1859">
        <w:rPr>
          <w:noProof/>
          <w:sz w:val="18"/>
          <w:szCs w:val="20"/>
        </w:rPr>
        <w:t>إذا</w:t>
      </w:r>
      <w:r w:rsidRPr="00EB1859">
        <w:rPr>
          <w:noProof/>
          <w:sz w:val="18"/>
          <w:szCs w:val="20"/>
          <w:lang w:val="es-ES"/>
        </w:rPr>
        <w:t xml:space="preserve"> </w:t>
      </w:r>
      <w:r w:rsidRPr="00EB1859">
        <w:rPr>
          <w:noProof/>
          <w:sz w:val="18"/>
          <w:szCs w:val="20"/>
        </w:rPr>
        <w:t>كنت</w:t>
      </w:r>
      <w:r w:rsidRPr="00EB1859">
        <w:rPr>
          <w:noProof/>
          <w:sz w:val="18"/>
          <w:szCs w:val="20"/>
          <w:lang w:val="es-ES"/>
        </w:rPr>
        <w:t xml:space="preserve"> </w:t>
      </w:r>
      <w:r w:rsidRPr="00EB1859">
        <w:rPr>
          <w:noProof/>
          <w:sz w:val="18"/>
          <w:szCs w:val="20"/>
        </w:rPr>
        <w:t>تريد</w:t>
      </w:r>
      <w:r w:rsidRPr="00EB1859">
        <w:rPr>
          <w:noProof/>
          <w:sz w:val="18"/>
          <w:szCs w:val="20"/>
          <w:lang w:val="es-ES"/>
        </w:rPr>
        <w:t xml:space="preserve"> </w:t>
      </w:r>
      <w:r w:rsidRPr="00EB1859">
        <w:rPr>
          <w:noProof/>
          <w:sz w:val="18"/>
          <w:szCs w:val="20"/>
        </w:rPr>
        <w:t>منا</w:t>
      </w:r>
      <w:r w:rsidRPr="00EB1859">
        <w:rPr>
          <w:noProof/>
          <w:sz w:val="18"/>
          <w:szCs w:val="20"/>
          <w:lang w:val="es-ES"/>
        </w:rPr>
        <w:t xml:space="preserve"> </w:t>
      </w:r>
      <w:r w:rsidRPr="00EB1859">
        <w:rPr>
          <w:noProof/>
          <w:sz w:val="18"/>
          <w:szCs w:val="20"/>
        </w:rPr>
        <w:t>أن</w:t>
      </w:r>
      <w:r w:rsidRPr="00EB1859">
        <w:rPr>
          <w:noProof/>
          <w:sz w:val="18"/>
          <w:szCs w:val="20"/>
          <w:lang w:val="es-ES"/>
        </w:rPr>
        <w:t xml:space="preserve"> </w:t>
      </w:r>
      <w:r w:rsidRPr="00EB1859">
        <w:rPr>
          <w:noProof/>
          <w:sz w:val="18"/>
          <w:szCs w:val="20"/>
        </w:rPr>
        <w:t>يرتب</w:t>
      </w:r>
      <w:r w:rsidRPr="00EB1859">
        <w:rPr>
          <w:noProof/>
          <w:sz w:val="18"/>
          <w:szCs w:val="20"/>
          <w:lang w:val="es-ES"/>
        </w:rPr>
        <w:t xml:space="preserve"> </w:t>
      </w:r>
      <w:r w:rsidRPr="00EB1859">
        <w:rPr>
          <w:noProof/>
          <w:sz w:val="18"/>
          <w:szCs w:val="20"/>
        </w:rPr>
        <w:t>مترجما</w:t>
      </w:r>
      <w:r w:rsidRPr="00EB1859">
        <w:rPr>
          <w:noProof/>
          <w:sz w:val="18"/>
          <w:szCs w:val="20"/>
          <w:lang w:val="es-ES"/>
        </w:rPr>
        <w:t xml:space="preserve"> </w:t>
      </w:r>
      <w:r w:rsidRPr="00EB1859">
        <w:rPr>
          <w:noProof/>
          <w:sz w:val="18"/>
          <w:szCs w:val="20"/>
        </w:rPr>
        <w:t>لهذا</w:t>
      </w:r>
      <w:r w:rsidRPr="00EB1859">
        <w:rPr>
          <w:noProof/>
          <w:sz w:val="18"/>
          <w:szCs w:val="20"/>
          <w:lang w:val="es-ES"/>
        </w:rPr>
        <w:t xml:space="preserve"> </w:t>
      </w:r>
      <w:r w:rsidRPr="00EB1859">
        <w:rPr>
          <w:noProof/>
          <w:sz w:val="18"/>
          <w:szCs w:val="20"/>
        </w:rPr>
        <w:t>التقرير،</w:t>
      </w:r>
      <w:r w:rsidRPr="00EB1859">
        <w:rPr>
          <w:noProof/>
          <w:sz w:val="18"/>
          <w:szCs w:val="20"/>
          <w:lang w:val="es-ES"/>
        </w:rPr>
        <w:t xml:space="preserve"> </w:t>
      </w:r>
      <w:r w:rsidRPr="00EB1859">
        <w:rPr>
          <w:noProof/>
          <w:sz w:val="18"/>
          <w:szCs w:val="20"/>
        </w:rPr>
        <w:t>يرجى</w:t>
      </w:r>
      <w:r w:rsidRPr="00EB1859">
        <w:rPr>
          <w:noProof/>
          <w:sz w:val="18"/>
          <w:szCs w:val="20"/>
          <w:lang w:val="es-ES"/>
        </w:rPr>
        <w:t xml:space="preserve"> </w:t>
      </w:r>
      <w:r w:rsidRPr="00EB1859">
        <w:rPr>
          <w:noProof/>
          <w:sz w:val="18"/>
          <w:szCs w:val="20"/>
        </w:rPr>
        <w:t>الاتصال</w:t>
      </w:r>
      <w:r w:rsidRPr="00EB1859">
        <w:rPr>
          <w:noProof/>
          <w:sz w:val="18"/>
          <w:szCs w:val="20"/>
          <w:lang w:val="es-ES"/>
        </w:rPr>
        <w:t xml:space="preserve"> </w:t>
      </w:r>
      <w:r w:rsidRPr="00EB1859">
        <w:rPr>
          <w:noProof/>
          <w:sz w:val="18"/>
          <w:szCs w:val="20"/>
        </w:rPr>
        <w:t>بنا</w:t>
      </w:r>
      <w:r w:rsidRPr="00EB1859">
        <w:rPr>
          <w:noProof/>
          <w:sz w:val="18"/>
          <w:szCs w:val="20"/>
          <w:lang w:val="es-ES"/>
        </w:rPr>
        <w:t xml:space="preserve"> </w:t>
      </w:r>
      <w:r w:rsidRPr="00EB1859">
        <w:rPr>
          <w:noProof/>
          <w:sz w:val="18"/>
          <w:szCs w:val="20"/>
        </w:rPr>
        <w:t>على</w:t>
      </w:r>
      <w:r w:rsidRPr="00EB1859">
        <w:rPr>
          <w:noProof/>
          <w:sz w:val="18"/>
          <w:szCs w:val="20"/>
          <w:lang w:val="es-ES"/>
        </w:rPr>
        <w:t xml:space="preserve"> 1300 130 670</w:t>
      </w:r>
    </w:p>
    <w:p w14:paraId="298CBBE2" w14:textId="77777777" w:rsidR="00EB1859" w:rsidRPr="00EB1859" w:rsidRDefault="00EB1859" w:rsidP="00EB1859">
      <w:pPr>
        <w:ind w:right="1796"/>
        <w:rPr>
          <w:i/>
          <w:noProof/>
          <w:sz w:val="18"/>
          <w:szCs w:val="20"/>
        </w:rPr>
      </w:pPr>
      <w:r w:rsidRPr="00EB1859">
        <w:rPr>
          <w:noProof/>
          <w:sz w:val="18"/>
          <w:szCs w:val="20"/>
        </w:rPr>
        <w:t>German: Wenn Sie uns einen Dolmetscher für diesen Bericht anordnen möchten, rufen Sie uns bitte auf 1300 130 670</w:t>
      </w:r>
    </w:p>
    <w:p w14:paraId="17109243" w14:textId="77777777" w:rsidR="00EB1859" w:rsidRPr="00EB1859" w:rsidRDefault="00EB1859" w:rsidP="00EB1859">
      <w:pPr>
        <w:ind w:right="1796"/>
        <w:rPr>
          <w:i/>
          <w:noProof/>
          <w:sz w:val="18"/>
          <w:szCs w:val="20"/>
        </w:rPr>
      </w:pPr>
      <w:r w:rsidRPr="00EB1859">
        <w:rPr>
          <w:noProof/>
          <w:sz w:val="18"/>
          <w:szCs w:val="20"/>
        </w:rPr>
        <w:t>Turkish: Lütfen bizi arayın 1300 130 670 bizimle bu rapor için bir tercüman istiyorsanız,</w:t>
      </w:r>
    </w:p>
    <w:p w14:paraId="71C7E0EA" w14:textId="77777777" w:rsidR="00EB1859" w:rsidRPr="00EB1859" w:rsidRDefault="00EB1859" w:rsidP="00EB1859">
      <w:pPr>
        <w:ind w:right="1796"/>
        <w:rPr>
          <w:i/>
          <w:noProof/>
          <w:sz w:val="18"/>
          <w:szCs w:val="20"/>
        </w:rPr>
      </w:pPr>
      <w:r w:rsidRPr="00EB1859">
        <w:rPr>
          <w:noProof/>
          <w:sz w:val="18"/>
          <w:szCs w:val="20"/>
        </w:rPr>
        <w:t xml:space="preserve">Japanese: </w:t>
      </w:r>
      <w:r w:rsidRPr="00EB1859">
        <w:rPr>
          <w:rFonts w:ascii="MS Gothic" w:eastAsia="MS Gothic" w:hAnsi="MS Gothic" w:cs="MS Gothic" w:hint="eastAsia"/>
          <w:noProof/>
          <w:sz w:val="18"/>
          <w:szCs w:val="20"/>
        </w:rPr>
        <w:t>このレポートのための通訳の手配を希望する場合は、</w:t>
      </w:r>
      <w:r w:rsidRPr="00EB1859">
        <w:rPr>
          <w:noProof/>
          <w:sz w:val="18"/>
          <w:szCs w:val="20"/>
        </w:rPr>
        <w:t>1300</w:t>
      </w:r>
      <w:r w:rsidRPr="00EB1859">
        <w:rPr>
          <w:rFonts w:ascii="MS Gothic" w:eastAsia="MS Gothic" w:hAnsi="MS Gothic" w:cs="MS Gothic" w:hint="eastAsia"/>
          <w:noProof/>
          <w:sz w:val="18"/>
          <w:szCs w:val="20"/>
        </w:rPr>
        <w:t>年</w:t>
      </w:r>
      <w:r w:rsidRPr="00EB1859">
        <w:rPr>
          <w:noProof/>
          <w:sz w:val="18"/>
          <w:szCs w:val="20"/>
        </w:rPr>
        <w:t xml:space="preserve"> 130 670 </w:t>
      </w:r>
      <w:r w:rsidRPr="00EB1859">
        <w:rPr>
          <w:rFonts w:ascii="MS Gothic" w:eastAsia="MS Gothic" w:hAnsi="MS Gothic" w:cs="MS Gothic" w:hint="eastAsia"/>
          <w:noProof/>
          <w:sz w:val="18"/>
          <w:szCs w:val="20"/>
        </w:rPr>
        <w:t>に問い合わせください。</w:t>
      </w:r>
    </w:p>
    <w:p w14:paraId="1C0C6347" w14:textId="77777777" w:rsidR="00EB1859" w:rsidRPr="00EB1859" w:rsidRDefault="00EB1859" w:rsidP="00EB1859">
      <w:pPr>
        <w:ind w:right="1796"/>
        <w:rPr>
          <w:i/>
          <w:noProof/>
          <w:sz w:val="18"/>
          <w:szCs w:val="20"/>
        </w:rPr>
      </w:pPr>
      <w:r w:rsidRPr="00EB1859">
        <w:rPr>
          <w:noProof/>
          <w:sz w:val="18"/>
          <w:szCs w:val="20"/>
        </w:rPr>
        <w:t>Dutch: Als u wij dat wilt te regelen een tolk voor dit verslag, bel ons op 1300 130 670</w:t>
      </w:r>
    </w:p>
    <w:p w14:paraId="22494E6C" w14:textId="77777777" w:rsidR="00EB1859" w:rsidRPr="00EB1859" w:rsidRDefault="00EB1859" w:rsidP="00EB1859">
      <w:pPr>
        <w:ind w:right="1796"/>
        <w:rPr>
          <w:i/>
          <w:noProof/>
          <w:sz w:val="18"/>
          <w:szCs w:val="20"/>
        </w:rPr>
      </w:pPr>
      <w:r w:rsidRPr="00EB1859">
        <w:rPr>
          <w:noProof/>
          <w:sz w:val="18"/>
          <w:szCs w:val="20"/>
        </w:rPr>
        <w:t xml:space="preserve">Korean: </w:t>
      </w:r>
      <w:r w:rsidRPr="00EB1859">
        <w:rPr>
          <w:rFonts w:ascii="Malgun Gothic" w:eastAsia="Malgun Gothic" w:hAnsi="Malgun Gothic" w:cs="Malgun Gothic" w:hint="eastAsia"/>
          <w:noProof/>
          <w:sz w:val="18"/>
          <w:szCs w:val="20"/>
        </w:rPr>
        <w:t>우리가이</w:t>
      </w:r>
      <w:r w:rsidRPr="00EB1859">
        <w:rPr>
          <w:noProof/>
          <w:sz w:val="18"/>
          <w:szCs w:val="20"/>
        </w:rPr>
        <w:t xml:space="preserve"> </w:t>
      </w:r>
      <w:r w:rsidRPr="00EB1859">
        <w:rPr>
          <w:rFonts w:ascii="Malgun Gothic" w:eastAsia="Malgun Gothic" w:hAnsi="Malgun Gothic" w:cs="Malgun Gothic" w:hint="eastAsia"/>
          <w:noProof/>
          <w:sz w:val="18"/>
          <w:szCs w:val="20"/>
        </w:rPr>
        <w:t>보고서에</w:t>
      </w:r>
      <w:r w:rsidRPr="00EB1859">
        <w:rPr>
          <w:noProof/>
          <w:sz w:val="18"/>
          <w:szCs w:val="20"/>
        </w:rPr>
        <w:t xml:space="preserve"> </w:t>
      </w:r>
      <w:r w:rsidRPr="00EB1859">
        <w:rPr>
          <w:rFonts w:ascii="Malgun Gothic" w:eastAsia="Malgun Gothic" w:hAnsi="Malgun Gothic" w:cs="Malgun Gothic" w:hint="eastAsia"/>
          <w:noProof/>
          <w:sz w:val="18"/>
          <w:szCs w:val="20"/>
        </w:rPr>
        <w:t>대</w:t>
      </w:r>
      <w:r w:rsidRPr="00EB1859">
        <w:rPr>
          <w:noProof/>
          <w:sz w:val="18"/>
          <w:szCs w:val="20"/>
        </w:rPr>
        <w:t xml:space="preserve"> </w:t>
      </w:r>
      <w:r w:rsidRPr="00EB1859">
        <w:rPr>
          <w:rFonts w:ascii="Malgun Gothic" w:eastAsia="Malgun Gothic" w:hAnsi="Malgun Gothic" w:cs="Malgun Gothic" w:hint="eastAsia"/>
          <w:noProof/>
          <w:sz w:val="18"/>
          <w:szCs w:val="20"/>
        </w:rPr>
        <w:t>한</w:t>
      </w:r>
      <w:r w:rsidRPr="00EB1859">
        <w:rPr>
          <w:noProof/>
          <w:sz w:val="18"/>
          <w:szCs w:val="20"/>
        </w:rPr>
        <w:t xml:space="preserve"> </w:t>
      </w:r>
      <w:r w:rsidRPr="00EB1859">
        <w:rPr>
          <w:rFonts w:ascii="Malgun Gothic" w:eastAsia="Malgun Gothic" w:hAnsi="Malgun Gothic" w:cs="Malgun Gothic" w:hint="eastAsia"/>
          <w:noProof/>
          <w:sz w:val="18"/>
          <w:szCs w:val="20"/>
        </w:rPr>
        <w:t>해석자를</w:t>
      </w:r>
      <w:r w:rsidRPr="00EB1859">
        <w:rPr>
          <w:noProof/>
          <w:sz w:val="18"/>
          <w:szCs w:val="20"/>
        </w:rPr>
        <w:t xml:space="preserve"> </w:t>
      </w:r>
      <w:r w:rsidRPr="00EB1859">
        <w:rPr>
          <w:rFonts w:ascii="Malgun Gothic" w:eastAsia="Malgun Gothic" w:hAnsi="Malgun Gothic" w:cs="Malgun Gothic" w:hint="eastAsia"/>
          <w:noProof/>
          <w:sz w:val="18"/>
          <w:szCs w:val="20"/>
        </w:rPr>
        <w:t>정렬</w:t>
      </w:r>
      <w:r w:rsidRPr="00EB1859">
        <w:rPr>
          <w:noProof/>
          <w:sz w:val="18"/>
          <w:szCs w:val="20"/>
        </w:rPr>
        <w:t xml:space="preserve"> </w:t>
      </w:r>
      <w:r w:rsidRPr="00EB1859">
        <w:rPr>
          <w:rFonts w:ascii="Malgun Gothic" w:eastAsia="Malgun Gothic" w:hAnsi="Malgun Gothic" w:cs="Malgun Gothic" w:hint="eastAsia"/>
          <w:noProof/>
          <w:sz w:val="18"/>
          <w:szCs w:val="20"/>
        </w:rPr>
        <w:t>작업을</w:t>
      </w:r>
      <w:r w:rsidRPr="00EB1859">
        <w:rPr>
          <w:noProof/>
          <w:sz w:val="18"/>
          <w:szCs w:val="20"/>
        </w:rPr>
        <w:t xml:space="preserve"> </w:t>
      </w:r>
      <w:r w:rsidRPr="00EB1859">
        <w:rPr>
          <w:rFonts w:ascii="Malgun Gothic" w:eastAsia="Malgun Gothic" w:hAnsi="Malgun Gothic" w:cs="Malgun Gothic" w:hint="eastAsia"/>
          <w:noProof/>
          <w:sz w:val="18"/>
          <w:szCs w:val="20"/>
        </w:rPr>
        <w:t>원하시면</w:t>
      </w:r>
      <w:r w:rsidRPr="00EB1859">
        <w:rPr>
          <w:noProof/>
          <w:sz w:val="18"/>
          <w:szCs w:val="20"/>
        </w:rPr>
        <w:t xml:space="preserve"> </w:t>
      </w:r>
      <w:r w:rsidRPr="00EB1859">
        <w:rPr>
          <w:rFonts w:ascii="Malgun Gothic" w:eastAsia="Malgun Gothic" w:hAnsi="Malgun Gothic" w:cs="Malgun Gothic" w:hint="eastAsia"/>
          <w:noProof/>
          <w:sz w:val="18"/>
          <w:szCs w:val="20"/>
        </w:rPr>
        <w:t>전화</w:t>
      </w:r>
      <w:r w:rsidRPr="00EB1859">
        <w:rPr>
          <w:noProof/>
          <w:sz w:val="18"/>
          <w:szCs w:val="20"/>
        </w:rPr>
        <w:t xml:space="preserve"> </w:t>
      </w:r>
      <w:r w:rsidRPr="00EB1859">
        <w:rPr>
          <w:rFonts w:ascii="Malgun Gothic" w:eastAsia="Malgun Gothic" w:hAnsi="Malgun Gothic" w:cs="Malgun Gothic" w:hint="eastAsia"/>
          <w:noProof/>
          <w:sz w:val="18"/>
          <w:szCs w:val="20"/>
        </w:rPr>
        <w:t>주시기</w:t>
      </w:r>
      <w:r w:rsidRPr="00EB1859">
        <w:rPr>
          <w:noProof/>
          <w:sz w:val="18"/>
          <w:szCs w:val="20"/>
        </w:rPr>
        <w:t xml:space="preserve"> </w:t>
      </w:r>
      <w:r w:rsidRPr="00EB1859">
        <w:rPr>
          <w:rFonts w:ascii="Malgun Gothic" w:eastAsia="Malgun Gothic" w:hAnsi="Malgun Gothic" w:cs="Malgun Gothic" w:hint="eastAsia"/>
          <w:noProof/>
          <w:sz w:val="18"/>
          <w:szCs w:val="20"/>
        </w:rPr>
        <w:t>바랍니다에</w:t>
      </w:r>
      <w:r w:rsidRPr="00EB1859">
        <w:rPr>
          <w:noProof/>
          <w:sz w:val="18"/>
          <w:szCs w:val="20"/>
        </w:rPr>
        <w:t xml:space="preserve"> 1300 130 670</w:t>
      </w:r>
    </w:p>
    <w:p w14:paraId="71523E7A" w14:textId="77777777" w:rsidR="00EB1859" w:rsidRPr="00EB1859" w:rsidRDefault="00EB1859" w:rsidP="00EB1859">
      <w:pPr>
        <w:ind w:right="1796"/>
        <w:rPr>
          <w:sz w:val="18"/>
          <w:szCs w:val="20"/>
        </w:rPr>
      </w:pPr>
    </w:p>
    <w:p w14:paraId="7B33C5D4" w14:textId="715EDA8C" w:rsidR="00EB1859" w:rsidRPr="00EB1859" w:rsidRDefault="00EB1859" w:rsidP="00EB1859">
      <w:pPr>
        <w:ind w:right="1796"/>
        <w:rPr>
          <w:i/>
          <w:sz w:val="18"/>
          <w:szCs w:val="20"/>
        </w:rPr>
      </w:pPr>
      <w:r w:rsidRPr="00EB1859">
        <w:rPr>
          <w:sz w:val="18"/>
          <w:szCs w:val="20"/>
        </w:rPr>
        <w:t>© Queensland Human Rights Commission 202</w:t>
      </w:r>
      <w:r>
        <w:rPr>
          <w:sz w:val="18"/>
          <w:szCs w:val="20"/>
        </w:rPr>
        <w:t>3</w:t>
      </w:r>
    </w:p>
    <w:p w14:paraId="0C394B6F" w14:textId="77777777" w:rsidR="00EB1859" w:rsidRPr="00EB1859" w:rsidRDefault="00EB1859" w:rsidP="00EB1859">
      <w:pPr>
        <w:ind w:right="1796"/>
        <w:rPr>
          <w:i/>
          <w:sz w:val="18"/>
          <w:szCs w:val="20"/>
        </w:rPr>
      </w:pPr>
      <w:r w:rsidRPr="00EB1859">
        <w:rPr>
          <w:sz w:val="18"/>
          <w:szCs w:val="20"/>
        </w:rPr>
        <w:t>ISSN 1441-5747 (print)</w:t>
      </w:r>
      <w:r w:rsidRPr="00EB1859">
        <w:rPr>
          <w:sz w:val="18"/>
          <w:szCs w:val="20"/>
        </w:rPr>
        <w:tab/>
      </w:r>
      <w:r w:rsidRPr="00EB1859">
        <w:rPr>
          <w:sz w:val="18"/>
          <w:szCs w:val="20"/>
        </w:rPr>
        <w:tab/>
        <w:t>ISSN 1837-0640 (online)</w:t>
      </w:r>
    </w:p>
    <w:p w14:paraId="0D0F86B8" w14:textId="77777777" w:rsidR="00EB1859" w:rsidRPr="00EB1859" w:rsidRDefault="00EB1859" w:rsidP="00EB1859">
      <w:pPr>
        <w:ind w:right="1796"/>
        <w:rPr>
          <w:sz w:val="18"/>
          <w:szCs w:val="20"/>
        </w:rPr>
      </w:pPr>
      <w:r w:rsidRPr="00EB1859">
        <w:rPr>
          <w:sz w:val="18"/>
          <w:szCs w:val="20"/>
        </w:rPr>
        <w:t xml:space="preserve">Licence: </w:t>
      </w:r>
    </w:p>
    <w:p w14:paraId="27AFE676" w14:textId="77777777" w:rsidR="00EB1859" w:rsidRPr="00E12B90" w:rsidRDefault="00EB1859" w:rsidP="00EB1859">
      <w:pPr>
        <w:ind w:right="1796"/>
      </w:pPr>
      <w:r w:rsidRPr="00E12B90">
        <w:rPr>
          <w:noProof/>
        </w:rPr>
        <w:drawing>
          <wp:inline distT="0" distB="0" distL="0" distR="0" wp14:anchorId="2094DD0B" wp14:editId="09F0BB94">
            <wp:extent cx="781050" cy="266700"/>
            <wp:effectExtent l="0" t="0" r="0" b="0"/>
            <wp:docPr id="208" name="Picture 208" descr="Creative Commons license, attribution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5747" b="6666"/>
                    <a:stretch/>
                  </pic:blipFill>
                  <pic:spPr bwMode="auto">
                    <a:xfrm>
                      <a:off x="0" y="0"/>
                      <a:ext cx="781050" cy="266700"/>
                    </a:xfrm>
                    <a:prstGeom prst="rect">
                      <a:avLst/>
                    </a:prstGeom>
                    <a:noFill/>
                    <a:ln>
                      <a:noFill/>
                    </a:ln>
                    <a:extLst>
                      <a:ext uri="{53640926-AAD7-44D8-BBD7-CCE9431645EC}">
                        <a14:shadowObscured xmlns:a14="http://schemas.microsoft.com/office/drawing/2010/main"/>
                      </a:ext>
                    </a:extLst>
                  </pic:spPr>
                </pic:pic>
              </a:graphicData>
            </a:graphic>
          </wp:inline>
        </w:drawing>
      </w:r>
    </w:p>
    <w:p w14:paraId="2228F763" w14:textId="77777777" w:rsidR="00EB1859" w:rsidRPr="00EB1859" w:rsidRDefault="00EB1859" w:rsidP="00EB1859">
      <w:pPr>
        <w:ind w:right="1796"/>
        <w:rPr>
          <w:iCs/>
          <w:sz w:val="18"/>
          <w:szCs w:val="18"/>
        </w:rPr>
      </w:pPr>
      <w:r w:rsidRPr="00EB1859">
        <w:rPr>
          <w:sz w:val="18"/>
          <w:szCs w:val="18"/>
        </w:rPr>
        <w:t>This annual report is licensed by Queensland Human Rights Commission under a Creative Commons Attribution (CC BY) 4</w:t>
      </w:r>
      <w:r w:rsidRPr="00EB1859">
        <w:rPr>
          <w:i/>
          <w:iCs/>
          <w:sz w:val="18"/>
          <w:szCs w:val="18"/>
        </w:rPr>
        <w:t>.0 International licence</w:t>
      </w:r>
      <w:r w:rsidRPr="00EB1859">
        <w:rPr>
          <w:sz w:val="18"/>
          <w:szCs w:val="18"/>
        </w:rPr>
        <w:t xml:space="preserve">. To view a copy of this licence, visit: </w:t>
      </w:r>
      <w:hyperlink r:id="rId12" w:history="1">
        <w:r w:rsidRPr="00EB1859">
          <w:rPr>
            <w:rStyle w:val="Hyperlink"/>
            <w:rFonts w:cs="Arial"/>
            <w:color w:val="auto"/>
            <w:sz w:val="18"/>
            <w:szCs w:val="18"/>
          </w:rPr>
          <w:t>http://creativecommons.org/licenses/by/4.0/</w:t>
        </w:r>
      </w:hyperlink>
    </w:p>
    <w:p w14:paraId="18A7657D" w14:textId="77777777" w:rsidR="00EB1859" w:rsidRPr="00EB1859" w:rsidRDefault="00EB1859" w:rsidP="00EB1859">
      <w:pPr>
        <w:ind w:right="1796"/>
        <w:rPr>
          <w:sz w:val="18"/>
          <w:szCs w:val="18"/>
        </w:rPr>
      </w:pPr>
      <w:r w:rsidRPr="00EB1859">
        <w:rPr>
          <w:sz w:val="18"/>
          <w:szCs w:val="18"/>
        </w:rPr>
        <w:t xml:space="preserve">CC BY Licence Summary Statement: </w:t>
      </w:r>
    </w:p>
    <w:p w14:paraId="68ED1BB0" w14:textId="77777777" w:rsidR="00EB1859" w:rsidRPr="00EB1859" w:rsidRDefault="00EB1859" w:rsidP="00EB1859">
      <w:pPr>
        <w:ind w:right="1796"/>
        <w:rPr>
          <w:sz w:val="18"/>
          <w:szCs w:val="18"/>
        </w:rPr>
      </w:pPr>
      <w:r w:rsidRPr="00EB1859">
        <w:rPr>
          <w:sz w:val="18"/>
          <w:szCs w:val="18"/>
        </w:rPr>
        <w:t xml:space="preserve">In essence, you are free to copy, communicate and adapt this annual report, as long as you attribute the work to the Queensland Human Rights Commission. </w:t>
      </w:r>
    </w:p>
    <w:p w14:paraId="6B4C2060" w14:textId="77777777" w:rsidR="00EB1859" w:rsidRPr="00EB1859" w:rsidRDefault="00EB1859" w:rsidP="00EB1859">
      <w:pPr>
        <w:ind w:right="1796"/>
        <w:rPr>
          <w:sz w:val="18"/>
          <w:szCs w:val="18"/>
        </w:rPr>
      </w:pPr>
      <w:r w:rsidRPr="00EB1859">
        <w:rPr>
          <w:sz w:val="18"/>
          <w:szCs w:val="18"/>
        </w:rPr>
        <w:t xml:space="preserve">Attribution: </w:t>
      </w:r>
    </w:p>
    <w:p w14:paraId="6283033A" w14:textId="77777777" w:rsidR="00EB1859" w:rsidRPr="00EB1859" w:rsidRDefault="00EB1859" w:rsidP="00EB1859">
      <w:pPr>
        <w:ind w:right="1796"/>
        <w:rPr>
          <w:sz w:val="18"/>
          <w:szCs w:val="18"/>
        </w:rPr>
      </w:pPr>
      <w:r w:rsidRPr="00EB1859">
        <w:rPr>
          <w:sz w:val="18"/>
          <w:szCs w:val="18"/>
        </w:rPr>
        <w:t>Content from this annual report should be attributed as: Queensland Human Rights Commission Annual Report 2021-22.</w:t>
      </w:r>
    </w:p>
    <w:p w14:paraId="571FA7C1" w14:textId="77777777" w:rsidR="00EB1859" w:rsidRPr="00EB1859" w:rsidRDefault="00EB1859" w:rsidP="00EB1859">
      <w:pPr>
        <w:ind w:right="1796"/>
        <w:rPr>
          <w:i/>
          <w:sz w:val="18"/>
          <w:szCs w:val="18"/>
        </w:rPr>
      </w:pPr>
      <w:r w:rsidRPr="00EB1859">
        <w:rPr>
          <w:sz w:val="18"/>
          <w:szCs w:val="18"/>
        </w:rPr>
        <w:t xml:space="preserve">This publication is available in print from the Queensland Human Rights Commission’s Brisbane office, or in electronic format on the Commission’s website at: </w:t>
      </w:r>
      <w:hyperlink r:id="rId13" w:history="1">
        <w:r w:rsidRPr="00EB1859">
          <w:rPr>
            <w:rStyle w:val="Hyperlink"/>
            <w:rFonts w:cs="Arial"/>
            <w:color w:val="auto"/>
            <w:sz w:val="18"/>
            <w:szCs w:val="18"/>
          </w:rPr>
          <w:t>www.qhrc.qld.gov.au</w:t>
        </w:r>
      </w:hyperlink>
      <w:r w:rsidRPr="00EB1859">
        <w:rPr>
          <w:sz w:val="18"/>
          <w:szCs w:val="18"/>
        </w:rPr>
        <w:t>.</w:t>
      </w:r>
    </w:p>
    <w:p w14:paraId="3E5E463B" w14:textId="7ED5AF1D" w:rsidR="006D5673" w:rsidRDefault="006D5673" w:rsidP="00CA5EBF">
      <w:pPr>
        <w:pStyle w:val="Heading1"/>
      </w:pPr>
      <w:bookmarkStart w:id="7" w:name="_Toc144200469"/>
      <w:r>
        <w:lastRenderedPageBreak/>
        <w:t>Table of contents</w:t>
      </w:r>
      <w:bookmarkEnd w:id="3"/>
      <w:bookmarkEnd w:id="4"/>
      <w:bookmarkEnd w:id="7"/>
    </w:p>
    <w:bookmarkStart w:id="8" w:name="_Toc143678689"/>
    <w:p w14:paraId="28656C83" w14:textId="4A16DD00" w:rsidR="00886B17" w:rsidRDefault="00886B17">
      <w:pPr>
        <w:pStyle w:val="TOC1"/>
        <w:tabs>
          <w:tab w:val="right" w:leader="dot" w:pos="9016"/>
        </w:tabs>
        <w:rPr>
          <w:rFonts w:asciiTheme="minorHAnsi" w:eastAsiaTheme="minorEastAsia" w:hAnsiTheme="minorHAnsi"/>
          <w:noProof/>
          <w:szCs w:val="22"/>
          <w:lang w:eastAsia="en-AU"/>
        </w:rPr>
      </w:pPr>
      <w:r>
        <w:fldChar w:fldCharType="begin"/>
      </w:r>
      <w:r>
        <w:instrText xml:space="preserve"> TOC \h \z \t "Heading 1 (Black),1,Heading 2 (Black),2" </w:instrText>
      </w:r>
      <w:r>
        <w:fldChar w:fldCharType="separate"/>
      </w:r>
      <w:hyperlink w:anchor="_Toc144200470" w:history="1">
        <w:r w:rsidRPr="0006638C">
          <w:rPr>
            <w:rStyle w:val="Hyperlink"/>
            <w:noProof/>
          </w:rPr>
          <w:t>Letter of compliance</w:t>
        </w:r>
        <w:r>
          <w:rPr>
            <w:noProof/>
            <w:webHidden/>
          </w:rPr>
          <w:tab/>
        </w:r>
        <w:r>
          <w:rPr>
            <w:noProof/>
            <w:webHidden/>
          </w:rPr>
          <w:fldChar w:fldCharType="begin"/>
        </w:r>
        <w:r>
          <w:rPr>
            <w:noProof/>
            <w:webHidden/>
          </w:rPr>
          <w:instrText xml:space="preserve"> PAGEREF _Toc144200470 \h </w:instrText>
        </w:r>
        <w:r>
          <w:rPr>
            <w:noProof/>
            <w:webHidden/>
          </w:rPr>
        </w:r>
        <w:r>
          <w:rPr>
            <w:noProof/>
            <w:webHidden/>
          </w:rPr>
          <w:fldChar w:fldCharType="separate"/>
        </w:r>
        <w:r w:rsidR="002D68BE">
          <w:rPr>
            <w:noProof/>
            <w:webHidden/>
          </w:rPr>
          <w:t>4</w:t>
        </w:r>
        <w:r>
          <w:rPr>
            <w:noProof/>
            <w:webHidden/>
          </w:rPr>
          <w:fldChar w:fldCharType="end"/>
        </w:r>
      </w:hyperlink>
    </w:p>
    <w:p w14:paraId="5600B52E" w14:textId="4879C479" w:rsidR="00886B17" w:rsidRDefault="00BD5D1A">
      <w:pPr>
        <w:pStyle w:val="TOC1"/>
        <w:tabs>
          <w:tab w:val="right" w:leader="dot" w:pos="9016"/>
        </w:tabs>
        <w:rPr>
          <w:rFonts w:asciiTheme="minorHAnsi" w:eastAsiaTheme="minorEastAsia" w:hAnsiTheme="minorHAnsi"/>
          <w:noProof/>
          <w:szCs w:val="22"/>
          <w:lang w:eastAsia="en-AU"/>
        </w:rPr>
      </w:pPr>
      <w:hyperlink w:anchor="_Toc144200471" w:history="1">
        <w:r w:rsidR="00886B17" w:rsidRPr="0006638C">
          <w:rPr>
            <w:rStyle w:val="Hyperlink"/>
            <w:noProof/>
          </w:rPr>
          <w:t>Commissioner’s foreword</w:t>
        </w:r>
        <w:r w:rsidR="00886B17">
          <w:rPr>
            <w:noProof/>
            <w:webHidden/>
          </w:rPr>
          <w:tab/>
        </w:r>
        <w:r w:rsidR="00886B17">
          <w:rPr>
            <w:noProof/>
            <w:webHidden/>
          </w:rPr>
          <w:fldChar w:fldCharType="begin"/>
        </w:r>
        <w:r w:rsidR="00886B17">
          <w:rPr>
            <w:noProof/>
            <w:webHidden/>
          </w:rPr>
          <w:instrText xml:space="preserve"> PAGEREF _Toc144200471 \h </w:instrText>
        </w:r>
        <w:r w:rsidR="00886B17">
          <w:rPr>
            <w:noProof/>
            <w:webHidden/>
          </w:rPr>
        </w:r>
        <w:r w:rsidR="00886B17">
          <w:rPr>
            <w:noProof/>
            <w:webHidden/>
          </w:rPr>
          <w:fldChar w:fldCharType="separate"/>
        </w:r>
        <w:r w:rsidR="002D68BE">
          <w:rPr>
            <w:noProof/>
            <w:webHidden/>
          </w:rPr>
          <w:t>5</w:t>
        </w:r>
        <w:r w:rsidR="00886B17">
          <w:rPr>
            <w:noProof/>
            <w:webHidden/>
          </w:rPr>
          <w:fldChar w:fldCharType="end"/>
        </w:r>
      </w:hyperlink>
    </w:p>
    <w:p w14:paraId="74338C82" w14:textId="6FDBCBFB" w:rsidR="00886B17" w:rsidRDefault="00BD5D1A">
      <w:pPr>
        <w:pStyle w:val="TOC1"/>
        <w:tabs>
          <w:tab w:val="right" w:leader="dot" w:pos="9016"/>
        </w:tabs>
        <w:rPr>
          <w:rFonts w:asciiTheme="minorHAnsi" w:eastAsiaTheme="minorEastAsia" w:hAnsiTheme="minorHAnsi"/>
          <w:noProof/>
          <w:szCs w:val="22"/>
          <w:lang w:eastAsia="en-AU"/>
        </w:rPr>
      </w:pPr>
      <w:hyperlink w:anchor="_Toc144200472" w:history="1">
        <w:r w:rsidR="00886B17" w:rsidRPr="0006638C">
          <w:rPr>
            <w:rStyle w:val="Hyperlink"/>
            <w:noProof/>
          </w:rPr>
          <w:t>About the Commission</w:t>
        </w:r>
        <w:r w:rsidR="00886B17">
          <w:rPr>
            <w:noProof/>
            <w:webHidden/>
          </w:rPr>
          <w:tab/>
        </w:r>
        <w:r w:rsidR="00886B17">
          <w:rPr>
            <w:noProof/>
            <w:webHidden/>
          </w:rPr>
          <w:fldChar w:fldCharType="begin"/>
        </w:r>
        <w:r w:rsidR="00886B17">
          <w:rPr>
            <w:noProof/>
            <w:webHidden/>
          </w:rPr>
          <w:instrText xml:space="preserve"> PAGEREF _Toc144200472 \h </w:instrText>
        </w:r>
        <w:r w:rsidR="00886B17">
          <w:rPr>
            <w:noProof/>
            <w:webHidden/>
          </w:rPr>
        </w:r>
        <w:r w:rsidR="00886B17">
          <w:rPr>
            <w:noProof/>
            <w:webHidden/>
          </w:rPr>
          <w:fldChar w:fldCharType="separate"/>
        </w:r>
        <w:r w:rsidR="002D68BE">
          <w:rPr>
            <w:noProof/>
            <w:webHidden/>
          </w:rPr>
          <w:t>6</w:t>
        </w:r>
        <w:r w:rsidR="00886B17">
          <w:rPr>
            <w:noProof/>
            <w:webHidden/>
          </w:rPr>
          <w:fldChar w:fldCharType="end"/>
        </w:r>
      </w:hyperlink>
    </w:p>
    <w:p w14:paraId="0FCC0069" w14:textId="11D3788A" w:rsidR="00886B17" w:rsidRDefault="00BD5D1A">
      <w:pPr>
        <w:pStyle w:val="TOC1"/>
        <w:tabs>
          <w:tab w:val="right" w:leader="dot" w:pos="9016"/>
        </w:tabs>
        <w:rPr>
          <w:rFonts w:asciiTheme="minorHAnsi" w:eastAsiaTheme="minorEastAsia" w:hAnsiTheme="minorHAnsi"/>
          <w:noProof/>
          <w:szCs w:val="22"/>
          <w:lang w:eastAsia="en-AU"/>
        </w:rPr>
      </w:pPr>
      <w:hyperlink w:anchor="_Toc144200476" w:history="1">
        <w:r w:rsidR="00886B17" w:rsidRPr="0006638C">
          <w:rPr>
            <w:rStyle w:val="Hyperlink"/>
            <w:noProof/>
          </w:rPr>
          <w:t>Issues impacting on service delivery</w:t>
        </w:r>
        <w:r w:rsidR="00886B17">
          <w:rPr>
            <w:noProof/>
            <w:webHidden/>
          </w:rPr>
          <w:tab/>
        </w:r>
        <w:r w:rsidR="00886B17">
          <w:rPr>
            <w:noProof/>
            <w:webHidden/>
          </w:rPr>
          <w:fldChar w:fldCharType="begin"/>
        </w:r>
        <w:r w:rsidR="00886B17">
          <w:rPr>
            <w:noProof/>
            <w:webHidden/>
          </w:rPr>
          <w:instrText xml:space="preserve"> PAGEREF _Toc144200476 \h </w:instrText>
        </w:r>
        <w:r w:rsidR="00886B17">
          <w:rPr>
            <w:noProof/>
            <w:webHidden/>
          </w:rPr>
        </w:r>
        <w:r w:rsidR="00886B17">
          <w:rPr>
            <w:noProof/>
            <w:webHidden/>
          </w:rPr>
          <w:fldChar w:fldCharType="separate"/>
        </w:r>
        <w:r w:rsidR="002D68BE">
          <w:rPr>
            <w:noProof/>
            <w:webHidden/>
          </w:rPr>
          <w:t>8</w:t>
        </w:r>
        <w:r w:rsidR="00886B17">
          <w:rPr>
            <w:noProof/>
            <w:webHidden/>
          </w:rPr>
          <w:fldChar w:fldCharType="end"/>
        </w:r>
      </w:hyperlink>
    </w:p>
    <w:p w14:paraId="20388773" w14:textId="66EEB6A5" w:rsidR="00886B17" w:rsidRDefault="00BD5D1A">
      <w:pPr>
        <w:pStyle w:val="TOC1"/>
        <w:tabs>
          <w:tab w:val="right" w:leader="dot" w:pos="9016"/>
        </w:tabs>
        <w:rPr>
          <w:rFonts w:asciiTheme="minorHAnsi" w:eastAsiaTheme="minorEastAsia" w:hAnsiTheme="minorHAnsi"/>
          <w:noProof/>
          <w:szCs w:val="22"/>
          <w:lang w:eastAsia="en-AU"/>
        </w:rPr>
      </w:pPr>
      <w:hyperlink w:anchor="_Toc144200477" w:history="1">
        <w:r w:rsidR="00886B17" w:rsidRPr="0006638C">
          <w:rPr>
            <w:rStyle w:val="Hyperlink"/>
            <w:noProof/>
          </w:rPr>
          <w:t>Dispute resolution and complaint management</w:t>
        </w:r>
        <w:r w:rsidR="00886B17">
          <w:rPr>
            <w:noProof/>
            <w:webHidden/>
          </w:rPr>
          <w:tab/>
        </w:r>
        <w:r w:rsidR="00886B17">
          <w:rPr>
            <w:noProof/>
            <w:webHidden/>
          </w:rPr>
          <w:fldChar w:fldCharType="begin"/>
        </w:r>
        <w:r w:rsidR="00886B17">
          <w:rPr>
            <w:noProof/>
            <w:webHidden/>
          </w:rPr>
          <w:instrText xml:space="preserve"> PAGEREF _Toc144200477 \h </w:instrText>
        </w:r>
        <w:r w:rsidR="00886B17">
          <w:rPr>
            <w:noProof/>
            <w:webHidden/>
          </w:rPr>
        </w:r>
        <w:r w:rsidR="00886B17">
          <w:rPr>
            <w:noProof/>
            <w:webHidden/>
          </w:rPr>
          <w:fldChar w:fldCharType="separate"/>
        </w:r>
        <w:r w:rsidR="002D68BE">
          <w:rPr>
            <w:noProof/>
            <w:webHidden/>
          </w:rPr>
          <w:t>9</w:t>
        </w:r>
        <w:r w:rsidR="00886B17">
          <w:rPr>
            <w:noProof/>
            <w:webHidden/>
          </w:rPr>
          <w:fldChar w:fldCharType="end"/>
        </w:r>
      </w:hyperlink>
    </w:p>
    <w:p w14:paraId="33B10F4F" w14:textId="2AD6F159" w:rsidR="00886B17" w:rsidRDefault="00BD5D1A">
      <w:pPr>
        <w:pStyle w:val="TOC2"/>
        <w:tabs>
          <w:tab w:val="right" w:leader="dot" w:pos="9016"/>
        </w:tabs>
        <w:rPr>
          <w:rFonts w:asciiTheme="minorHAnsi" w:eastAsiaTheme="minorEastAsia" w:hAnsiTheme="minorHAnsi"/>
          <w:noProof/>
          <w:szCs w:val="22"/>
          <w:lang w:eastAsia="en-AU"/>
        </w:rPr>
      </w:pPr>
      <w:hyperlink w:anchor="_Toc144200478" w:history="1">
        <w:r w:rsidR="00886B17" w:rsidRPr="0006638C">
          <w:rPr>
            <w:rStyle w:val="Hyperlink"/>
            <w:noProof/>
          </w:rPr>
          <w:t>Complaints we received</w:t>
        </w:r>
        <w:r w:rsidR="00886B17">
          <w:rPr>
            <w:noProof/>
            <w:webHidden/>
          </w:rPr>
          <w:tab/>
        </w:r>
        <w:r w:rsidR="00886B17">
          <w:rPr>
            <w:noProof/>
            <w:webHidden/>
          </w:rPr>
          <w:fldChar w:fldCharType="begin"/>
        </w:r>
        <w:r w:rsidR="00886B17">
          <w:rPr>
            <w:noProof/>
            <w:webHidden/>
          </w:rPr>
          <w:instrText xml:space="preserve"> PAGEREF _Toc144200478 \h </w:instrText>
        </w:r>
        <w:r w:rsidR="00886B17">
          <w:rPr>
            <w:noProof/>
            <w:webHidden/>
          </w:rPr>
        </w:r>
        <w:r w:rsidR="00886B17">
          <w:rPr>
            <w:noProof/>
            <w:webHidden/>
          </w:rPr>
          <w:fldChar w:fldCharType="separate"/>
        </w:r>
        <w:r w:rsidR="002D68BE">
          <w:rPr>
            <w:noProof/>
            <w:webHidden/>
          </w:rPr>
          <w:t>9</w:t>
        </w:r>
        <w:r w:rsidR="00886B17">
          <w:rPr>
            <w:noProof/>
            <w:webHidden/>
          </w:rPr>
          <w:fldChar w:fldCharType="end"/>
        </w:r>
      </w:hyperlink>
    </w:p>
    <w:p w14:paraId="0A7BEFDA" w14:textId="55381AFC" w:rsidR="00886B17" w:rsidRDefault="00BD5D1A">
      <w:pPr>
        <w:pStyle w:val="TOC2"/>
        <w:tabs>
          <w:tab w:val="right" w:leader="dot" w:pos="9016"/>
        </w:tabs>
        <w:rPr>
          <w:rFonts w:asciiTheme="minorHAnsi" w:eastAsiaTheme="minorEastAsia" w:hAnsiTheme="minorHAnsi"/>
          <w:noProof/>
          <w:szCs w:val="22"/>
          <w:lang w:eastAsia="en-AU"/>
        </w:rPr>
      </w:pPr>
      <w:hyperlink w:anchor="_Toc144200481" w:history="1">
        <w:r w:rsidR="00886B17" w:rsidRPr="0006638C">
          <w:rPr>
            <w:rStyle w:val="Hyperlink"/>
            <w:noProof/>
          </w:rPr>
          <w:t>Complaints we finalised</w:t>
        </w:r>
        <w:r w:rsidR="00886B17">
          <w:rPr>
            <w:noProof/>
            <w:webHidden/>
          </w:rPr>
          <w:tab/>
        </w:r>
        <w:r w:rsidR="00886B17">
          <w:rPr>
            <w:noProof/>
            <w:webHidden/>
          </w:rPr>
          <w:fldChar w:fldCharType="begin"/>
        </w:r>
        <w:r w:rsidR="00886B17">
          <w:rPr>
            <w:noProof/>
            <w:webHidden/>
          </w:rPr>
          <w:instrText xml:space="preserve"> PAGEREF _Toc144200481 \h </w:instrText>
        </w:r>
        <w:r w:rsidR="00886B17">
          <w:rPr>
            <w:noProof/>
            <w:webHidden/>
          </w:rPr>
        </w:r>
        <w:r w:rsidR="00886B17">
          <w:rPr>
            <w:noProof/>
            <w:webHidden/>
          </w:rPr>
          <w:fldChar w:fldCharType="separate"/>
        </w:r>
        <w:r w:rsidR="002D68BE">
          <w:rPr>
            <w:noProof/>
            <w:webHidden/>
          </w:rPr>
          <w:t>11</w:t>
        </w:r>
        <w:r w:rsidR="00886B17">
          <w:rPr>
            <w:noProof/>
            <w:webHidden/>
          </w:rPr>
          <w:fldChar w:fldCharType="end"/>
        </w:r>
      </w:hyperlink>
    </w:p>
    <w:p w14:paraId="4FAD2B74" w14:textId="120A443C" w:rsidR="00886B17" w:rsidRDefault="00BD5D1A">
      <w:pPr>
        <w:pStyle w:val="TOC2"/>
        <w:tabs>
          <w:tab w:val="right" w:leader="dot" w:pos="9016"/>
        </w:tabs>
        <w:rPr>
          <w:rFonts w:asciiTheme="minorHAnsi" w:eastAsiaTheme="minorEastAsia" w:hAnsiTheme="minorHAnsi"/>
          <w:noProof/>
          <w:szCs w:val="22"/>
          <w:lang w:eastAsia="en-AU"/>
        </w:rPr>
      </w:pPr>
      <w:hyperlink w:anchor="_Toc144200482" w:history="1">
        <w:r w:rsidR="00886B17" w:rsidRPr="0006638C">
          <w:rPr>
            <w:rStyle w:val="Hyperlink"/>
            <w:noProof/>
          </w:rPr>
          <w:t>Accepted complaints: discrimination</w:t>
        </w:r>
        <w:r w:rsidR="00886B17">
          <w:rPr>
            <w:noProof/>
            <w:webHidden/>
          </w:rPr>
          <w:tab/>
        </w:r>
        <w:r w:rsidR="00886B17">
          <w:rPr>
            <w:noProof/>
            <w:webHidden/>
          </w:rPr>
          <w:fldChar w:fldCharType="begin"/>
        </w:r>
        <w:r w:rsidR="00886B17">
          <w:rPr>
            <w:noProof/>
            <w:webHidden/>
          </w:rPr>
          <w:instrText xml:space="preserve"> PAGEREF _Toc144200482 \h </w:instrText>
        </w:r>
        <w:r w:rsidR="00886B17">
          <w:rPr>
            <w:noProof/>
            <w:webHidden/>
          </w:rPr>
        </w:r>
        <w:r w:rsidR="00886B17">
          <w:rPr>
            <w:noProof/>
            <w:webHidden/>
          </w:rPr>
          <w:fldChar w:fldCharType="separate"/>
        </w:r>
        <w:r w:rsidR="002D68BE">
          <w:rPr>
            <w:noProof/>
            <w:webHidden/>
          </w:rPr>
          <w:t>13</w:t>
        </w:r>
        <w:r w:rsidR="00886B17">
          <w:rPr>
            <w:noProof/>
            <w:webHidden/>
          </w:rPr>
          <w:fldChar w:fldCharType="end"/>
        </w:r>
      </w:hyperlink>
    </w:p>
    <w:p w14:paraId="4168CFE4" w14:textId="0CAB5BEB" w:rsidR="00886B17" w:rsidRDefault="00BD5D1A">
      <w:pPr>
        <w:pStyle w:val="TOC2"/>
        <w:tabs>
          <w:tab w:val="right" w:leader="dot" w:pos="9016"/>
        </w:tabs>
        <w:rPr>
          <w:rFonts w:asciiTheme="minorHAnsi" w:eastAsiaTheme="minorEastAsia" w:hAnsiTheme="minorHAnsi"/>
          <w:noProof/>
          <w:szCs w:val="22"/>
          <w:lang w:eastAsia="en-AU"/>
        </w:rPr>
      </w:pPr>
      <w:hyperlink w:anchor="_Toc144200483" w:history="1">
        <w:r w:rsidR="00886B17" w:rsidRPr="0006638C">
          <w:rPr>
            <w:rStyle w:val="Hyperlink"/>
            <w:noProof/>
          </w:rPr>
          <w:t>Accepted complaints: human rights</w:t>
        </w:r>
        <w:r w:rsidR="00886B17">
          <w:rPr>
            <w:noProof/>
            <w:webHidden/>
          </w:rPr>
          <w:tab/>
        </w:r>
        <w:r w:rsidR="00886B17">
          <w:rPr>
            <w:noProof/>
            <w:webHidden/>
          </w:rPr>
          <w:fldChar w:fldCharType="begin"/>
        </w:r>
        <w:r w:rsidR="00886B17">
          <w:rPr>
            <w:noProof/>
            <w:webHidden/>
          </w:rPr>
          <w:instrText xml:space="preserve"> PAGEREF _Toc144200483 \h </w:instrText>
        </w:r>
        <w:r w:rsidR="00886B17">
          <w:rPr>
            <w:noProof/>
            <w:webHidden/>
          </w:rPr>
        </w:r>
        <w:r w:rsidR="00886B17">
          <w:rPr>
            <w:noProof/>
            <w:webHidden/>
          </w:rPr>
          <w:fldChar w:fldCharType="separate"/>
        </w:r>
        <w:r w:rsidR="002D68BE">
          <w:rPr>
            <w:noProof/>
            <w:webHidden/>
          </w:rPr>
          <w:t>15</w:t>
        </w:r>
        <w:r w:rsidR="00886B17">
          <w:rPr>
            <w:noProof/>
            <w:webHidden/>
          </w:rPr>
          <w:fldChar w:fldCharType="end"/>
        </w:r>
      </w:hyperlink>
    </w:p>
    <w:p w14:paraId="6CFC33FE" w14:textId="4A6EE199" w:rsidR="00886B17" w:rsidRDefault="00BD5D1A">
      <w:pPr>
        <w:pStyle w:val="TOC2"/>
        <w:tabs>
          <w:tab w:val="right" w:leader="dot" w:pos="9016"/>
        </w:tabs>
        <w:rPr>
          <w:rFonts w:asciiTheme="minorHAnsi" w:eastAsiaTheme="minorEastAsia" w:hAnsiTheme="minorHAnsi"/>
          <w:noProof/>
          <w:szCs w:val="22"/>
          <w:lang w:eastAsia="en-AU"/>
        </w:rPr>
      </w:pPr>
      <w:hyperlink w:anchor="_Toc144200484" w:history="1">
        <w:r w:rsidR="00886B17" w:rsidRPr="0006638C">
          <w:rPr>
            <w:rStyle w:val="Hyperlink"/>
            <w:noProof/>
          </w:rPr>
          <w:t>Accepted complaints: other breaches</w:t>
        </w:r>
        <w:r w:rsidR="00886B17">
          <w:rPr>
            <w:noProof/>
            <w:webHidden/>
          </w:rPr>
          <w:tab/>
        </w:r>
        <w:r w:rsidR="00886B17">
          <w:rPr>
            <w:noProof/>
            <w:webHidden/>
          </w:rPr>
          <w:fldChar w:fldCharType="begin"/>
        </w:r>
        <w:r w:rsidR="00886B17">
          <w:rPr>
            <w:noProof/>
            <w:webHidden/>
          </w:rPr>
          <w:instrText xml:space="preserve"> PAGEREF _Toc144200484 \h </w:instrText>
        </w:r>
        <w:r w:rsidR="00886B17">
          <w:rPr>
            <w:noProof/>
            <w:webHidden/>
          </w:rPr>
        </w:r>
        <w:r w:rsidR="00886B17">
          <w:rPr>
            <w:noProof/>
            <w:webHidden/>
          </w:rPr>
          <w:fldChar w:fldCharType="separate"/>
        </w:r>
        <w:r w:rsidR="002D68BE">
          <w:rPr>
            <w:noProof/>
            <w:webHidden/>
          </w:rPr>
          <w:t>17</w:t>
        </w:r>
        <w:r w:rsidR="00886B17">
          <w:rPr>
            <w:noProof/>
            <w:webHidden/>
          </w:rPr>
          <w:fldChar w:fldCharType="end"/>
        </w:r>
      </w:hyperlink>
    </w:p>
    <w:p w14:paraId="22639322" w14:textId="6996543D" w:rsidR="00886B17" w:rsidRDefault="00BD5D1A">
      <w:pPr>
        <w:pStyle w:val="TOC2"/>
        <w:tabs>
          <w:tab w:val="right" w:leader="dot" w:pos="9016"/>
        </w:tabs>
        <w:rPr>
          <w:rFonts w:asciiTheme="minorHAnsi" w:eastAsiaTheme="minorEastAsia" w:hAnsiTheme="minorHAnsi"/>
          <w:noProof/>
          <w:szCs w:val="22"/>
          <w:lang w:eastAsia="en-AU"/>
        </w:rPr>
      </w:pPr>
      <w:hyperlink w:anchor="_Toc144200485" w:history="1">
        <w:r w:rsidR="00886B17" w:rsidRPr="0006638C">
          <w:rPr>
            <w:rStyle w:val="Hyperlink"/>
            <w:noProof/>
          </w:rPr>
          <w:t>COVID-19 related complaints</w:t>
        </w:r>
        <w:r w:rsidR="00886B17">
          <w:rPr>
            <w:noProof/>
            <w:webHidden/>
          </w:rPr>
          <w:tab/>
        </w:r>
        <w:r w:rsidR="00886B17">
          <w:rPr>
            <w:noProof/>
            <w:webHidden/>
          </w:rPr>
          <w:fldChar w:fldCharType="begin"/>
        </w:r>
        <w:r w:rsidR="00886B17">
          <w:rPr>
            <w:noProof/>
            <w:webHidden/>
          </w:rPr>
          <w:instrText xml:space="preserve"> PAGEREF _Toc144200485 \h </w:instrText>
        </w:r>
        <w:r w:rsidR="00886B17">
          <w:rPr>
            <w:noProof/>
            <w:webHidden/>
          </w:rPr>
        </w:r>
        <w:r w:rsidR="00886B17">
          <w:rPr>
            <w:noProof/>
            <w:webHidden/>
          </w:rPr>
          <w:fldChar w:fldCharType="separate"/>
        </w:r>
        <w:r w:rsidR="002D68BE">
          <w:rPr>
            <w:noProof/>
            <w:webHidden/>
          </w:rPr>
          <w:t>18</w:t>
        </w:r>
        <w:r w:rsidR="00886B17">
          <w:rPr>
            <w:noProof/>
            <w:webHidden/>
          </w:rPr>
          <w:fldChar w:fldCharType="end"/>
        </w:r>
      </w:hyperlink>
    </w:p>
    <w:p w14:paraId="61103C91" w14:textId="588C808A" w:rsidR="00886B17" w:rsidRDefault="00BD5D1A">
      <w:pPr>
        <w:pStyle w:val="TOC2"/>
        <w:tabs>
          <w:tab w:val="right" w:leader="dot" w:pos="9016"/>
        </w:tabs>
        <w:rPr>
          <w:rFonts w:asciiTheme="minorHAnsi" w:eastAsiaTheme="minorEastAsia" w:hAnsiTheme="minorHAnsi"/>
          <w:noProof/>
          <w:szCs w:val="22"/>
          <w:lang w:eastAsia="en-AU"/>
        </w:rPr>
      </w:pPr>
      <w:hyperlink w:anchor="_Toc144200486" w:history="1">
        <w:r w:rsidR="00886B17" w:rsidRPr="0006638C">
          <w:rPr>
            <w:rStyle w:val="Hyperlink"/>
            <w:noProof/>
          </w:rPr>
          <w:t>Accepted complaints: outcomes</w:t>
        </w:r>
        <w:r w:rsidR="00886B17">
          <w:rPr>
            <w:noProof/>
            <w:webHidden/>
          </w:rPr>
          <w:tab/>
        </w:r>
        <w:r w:rsidR="00886B17">
          <w:rPr>
            <w:noProof/>
            <w:webHidden/>
          </w:rPr>
          <w:fldChar w:fldCharType="begin"/>
        </w:r>
        <w:r w:rsidR="00886B17">
          <w:rPr>
            <w:noProof/>
            <w:webHidden/>
          </w:rPr>
          <w:instrText xml:space="preserve"> PAGEREF _Toc144200486 \h </w:instrText>
        </w:r>
        <w:r w:rsidR="00886B17">
          <w:rPr>
            <w:noProof/>
            <w:webHidden/>
          </w:rPr>
        </w:r>
        <w:r w:rsidR="00886B17">
          <w:rPr>
            <w:noProof/>
            <w:webHidden/>
          </w:rPr>
          <w:fldChar w:fldCharType="separate"/>
        </w:r>
        <w:r w:rsidR="002D68BE">
          <w:rPr>
            <w:noProof/>
            <w:webHidden/>
          </w:rPr>
          <w:t>18</w:t>
        </w:r>
        <w:r w:rsidR="00886B17">
          <w:rPr>
            <w:noProof/>
            <w:webHidden/>
          </w:rPr>
          <w:fldChar w:fldCharType="end"/>
        </w:r>
      </w:hyperlink>
    </w:p>
    <w:p w14:paraId="2861D308" w14:textId="209C5FA1" w:rsidR="00886B17" w:rsidRDefault="00BD5D1A">
      <w:pPr>
        <w:pStyle w:val="TOC2"/>
        <w:tabs>
          <w:tab w:val="right" w:leader="dot" w:pos="9016"/>
        </w:tabs>
        <w:rPr>
          <w:rFonts w:asciiTheme="minorHAnsi" w:eastAsiaTheme="minorEastAsia" w:hAnsiTheme="minorHAnsi"/>
          <w:noProof/>
          <w:szCs w:val="22"/>
          <w:lang w:eastAsia="en-AU"/>
        </w:rPr>
      </w:pPr>
      <w:hyperlink w:anchor="_Toc144200492" w:history="1">
        <w:r w:rsidR="00886B17" w:rsidRPr="0006638C">
          <w:rPr>
            <w:rStyle w:val="Hyperlink"/>
            <w:noProof/>
          </w:rPr>
          <w:t>Conciliated complaints</w:t>
        </w:r>
        <w:r w:rsidR="00886B17">
          <w:rPr>
            <w:noProof/>
            <w:webHidden/>
          </w:rPr>
          <w:tab/>
        </w:r>
        <w:r w:rsidR="00886B17">
          <w:rPr>
            <w:noProof/>
            <w:webHidden/>
          </w:rPr>
          <w:fldChar w:fldCharType="begin"/>
        </w:r>
        <w:r w:rsidR="00886B17">
          <w:rPr>
            <w:noProof/>
            <w:webHidden/>
          </w:rPr>
          <w:instrText xml:space="preserve"> PAGEREF _Toc144200492 \h </w:instrText>
        </w:r>
        <w:r w:rsidR="00886B17">
          <w:rPr>
            <w:noProof/>
            <w:webHidden/>
          </w:rPr>
        </w:r>
        <w:r w:rsidR="00886B17">
          <w:rPr>
            <w:noProof/>
            <w:webHidden/>
          </w:rPr>
          <w:fldChar w:fldCharType="separate"/>
        </w:r>
        <w:r w:rsidR="002D68BE">
          <w:rPr>
            <w:noProof/>
            <w:webHidden/>
          </w:rPr>
          <w:t>22</w:t>
        </w:r>
        <w:r w:rsidR="00886B17">
          <w:rPr>
            <w:noProof/>
            <w:webHidden/>
          </w:rPr>
          <w:fldChar w:fldCharType="end"/>
        </w:r>
      </w:hyperlink>
    </w:p>
    <w:p w14:paraId="4BE994CD" w14:textId="216862F2" w:rsidR="00886B17" w:rsidRDefault="00BD5D1A">
      <w:pPr>
        <w:pStyle w:val="TOC1"/>
        <w:tabs>
          <w:tab w:val="right" w:leader="dot" w:pos="9016"/>
        </w:tabs>
        <w:rPr>
          <w:rFonts w:asciiTheme="minorHAnsi" w:eastAsiaTheme="minorEastAsia" w:hAnsiTheme="minorHAnsi"/>
          <w:noProof/>
          <w:szCs w:val="22"/>
          <w:lang w:eastAsia="en-AU"/>
        </w:rPr>
      </w:pPr>
      <w:hyperlink w:anchor="_Toc144200493" w:history="1">
        <w:r w:rsidR="00886B17" w:rsidRPr="0006638C">
          <w:rPr>
            <w:rStyle w:val="Hyperlink"/>
            <w:noProof/>
          </w:rPr>
          <w:t>Enquiries</w:t>
        </w:r>
        <w:r w:rsidR="00886B17">
          <w:rPr>
            <w:noProof/>
            <w:webHidden/>
          </w:rPr>
          <w:tab/>
        </w:r>
        <w:r w:rsidR="00886B17">
          <w:rPr>
            <w:noProof/>
            <w:webHidden/>
          </w:rPr>
          <w:fldChar w:fldCharType="begin"/>
        </w:r>
        <w:r w:rsidR="00886B17">
          <w:rPr>
            <w:noProof/>
            <w:webHidden/>
          </w:rPr>
          <w:instrText xml:space="preserve"> PAGEREF _Toc144200493 \h </w:instrText>
        </w:r>
        <w:r w:rsidR="00886B17">
          <w:rPr>
            <w:noProof/>
            <w:webHidden/>
          </w:rPr>
        </w:r>
        <w:r w:rsidR="00886B17">
          <w:rPr>
            <w:noProof/>
            <w:webHidden/>
          </w:rPr>
          <w:fldChar w:fldCharType="separate"/>
        </w:r>
        <w:r w:rsidR="002D68BE">
          <w:rPr>
            <w:noProof/>
            <w:webHidden/>
          </w:rPr>
          <w:t>27</w:t>
        </w:r>
        <w:r w:rsidR="00886B17">
          <w:rPr>
            <w:noProof/>
            <w:webHidden/>
          </w:rPr>
          <w:fldChar w:fldCharType="end"/>
        </w:r>
      </w:hyperlink>
    </w:p>
    <w:p w14:paraId="5AFE4D78" w14:textId="13E9DAFA" w:rsidR="00886B17" w:rsidRDefault="00BD5D1A">
      <w:pPr>
        <w:pStyle w:val="TOC1"/>
        <w:tabs>
          <w:tab w:val="right" w:leader="dot" w:pos="9016"/>
        </w:tabs>
        <w:rPr>
          <w:rFonts w:asciiTheme="minorHAnsi" w:eastAsiaTheme="minorEastAsia" w:hAnsiTheme="minorHAnsi"/>
          <w:noProof/>
          <w:szCs w:val="22"/>
          <w:lang w:eastAsia="en-AU"/>
        </w:rPr>
      </w:pPr>
      <w:hyperlink w:anchor="_Toc144200494" w:history="1">
        <w:r w:rsidR="00886B17" w:rsidRPr="0006638C">
          <w:rPr>
            <w:rStyle w:val="Hyperlink"/>
            <w:noProof/>
          </w:rPr>
          <w:t>Education and training</w:t>
        </w:r>
        <w:r w:rsidR="00886B17">
          <w:rPr>
            <w:noProof/>
            <w:webHidden/>
          </w:rPr>
          <w:tab/>
        </w:r>
        <w:r w:rsidR="00886B17">
          <w:rPr>
            <w:noProof/>
            <w:webHidden/>
          </w:rPr>
          <w:fldChar w:fldCharType="begin"/>
        </w:r>
        <w:r w:rsidR="00886B17">
          <w:rPr>
            <w:noProof/>
            <w:webHidden/>
          </w:rPr>
          <w:instrText xml:space="preserve"> PAGEREF _Toc144200494 \h </w:instrText>
        </w:r>
        <w:r w:rsidR="00886B17">
          <w:rPr>
            <w:noProof/>
            <w:webHidden/>
          </w:rPr>
        </w:r>
        <w:r w:rsidR="00886B17">
          <w:rPr>
            <w:noProof/>
            <w:webHidden/>
          </w:rPr>
          <w:fldChar w:fldCharType="separate"/>
        </w:r>
        <w:r w:rsidR="002D68BE">
          <w:rPr>
            <w:noProof/>
            <w:webHidden/>
          </w:rPr>
          <w:t>29</w:t>
        </w:r>
        <w:r w:rsidR="00886B17">
          <w:rPr>
            <w:noProof/>
            <w:webHidden/>
          </w:rPr>
          <w:fldChar w:fldCharType="end"/>
        </w:r>
      </w:hyperlink>
    </w:p>
    <w:p w14:paraId="7D71C61B" w14:textId="667AD864" w:rsidR="00886B17" w:rsidRDefault="00BD5D1A">
      <w:pPr>
        <w:pStyle w:val="TOC1"/>
        <w:tabs>
          <w:tab w:val="right" w:leader="dot" w:pos="9016"/>
        </w:tabs>
        <w:rPr>
          <w:rFonts w:asciiTheme="minorHAnsi" w:eastAsiaTheme="minorEastAsia" w:hAnsiTheme="minorHAnsi"/>
          <w:noProof/>
          <w:szCs w:val="22"/>
          <w:lang w:eastAsia="en-AU"/>
        </w:rPr>
      </w:pPr>
      <w:hyperlink w:anchor="_Toc144200499" w:history="1">
        <w:r w:rsidR="00886B17" w:rsidRPr="0006638C">
          <w:rPr>
            <w:rStyle w:val="Hyperlink"/>
            <w:noProof/>
          </w:rPr>
          <w:t>Legal and policy</w:t>
        </w:r>
        <w:r w:rsidR="00886B17">
          <w:rPr>
            <w:noProof/>
            <w:webHidden/>
          </w:rPr>
          <w:tab/>
        </w:r>
        <w:r w:rsidR="00886B17">
          <w:rPr>
            <w:noProof/>
            <w:webHidden/>
          </w:rPr>
          <w:fldChar w:fldCharType="begin"/>
        </w:r>
        <w:r w:rsidR="00886B17">
          <w:rPr>
            <w:noProof/>
            <w:webHidden/>
          </w:rPr>
          <w:instrText xml:space="preserve"> PAGEREF _Toc144200499 \h </w:instrText>
        </w:r>
        <w:r w:rsidR="00886B17">
          <w:rPr>
            <w:noProof/>
            <w:webHidden/>
          </w:rPr>
        </w:r>
        <w:r w:rsidR="00886B17">
          <w:rPr>
            <w:noProof/>
            <w:webHidden/>
          </w:rPr>
          <w:fldChar w:fldCharType="separate"/>
        </w:r>
        <w:r w:rsidR="002D68BE">
          <w:rPr>
            <w:noProof/>
            <w:webHidden/>
          </w:rPr>
          <w:t>33</w:t>
        </w:r>
        <w:r w:rsidR="00886B17">
          <w:rPr>
            <w:noProof/>
            <w:webHidden/>
          </w:rPr>
          <w:fldChar w:fldCharType="end"/>
        </w:r>
      </w:hyperlink>
    </w:p>
    <w:p w14:paraId="10C9E3D6" w14:textId="61A925CF" w:rsidR="00886B17" w:rsidRDefault="00BD5D1A">
      <w:pPr>
        <w:pStyle w:val="TOC2"/>
        <w:tabs>
          <w:tab w:val="right" w:leader="dot" w:pos="9016"/>
        </w:tabs>
        <w:rPr>
          <w:rFonts w:asciiTheme="minorHAnsi" w:eastAsiaTheme="minorEastAsia" w:hAnsiTheme="minorHAnsi"/>
          <w:noProof/>
          <w:szCs w:val="22"/>
          <w:lang w:eastAsia="en-AU"/>
        </w:rPr>
      </w:pPr>
      <w:hyperlink w:anchor="_Toc144200500" w:history="1">
        <w:r w:rsidR="00886B17" w:rsidRPr="0006638C">
          <w:rPr>
            <w:rStyle w:val="Hyperlink"/>
            <w:noProof/>
          </w:rPr>
          <w:t>Submissions to parliamentary inquiries and other reviews and consultations</w:t>
        </w:r>
        <w:r w:rsidR="00886B17">
          <w:rPr>
            <w:noProof/>
            <w:webHidden/>
          </w:rPr>
          <w:tab/>
        </w:r>
        <w:r w:rsidR="00886B17">
          <w:rPr>
            <w:noProof/>
            <w:webHidden/>
          </w:rPr>
          <w:fldChar w:fldCharType="begin"/>
        </w:r>
        <w:r w:rsidR="00886B17">
          <w:rPr>
            <w:noProof/>
            <w:webHidden/>
          </w:rPr>
          <w:instrText xml:space="preserve"> PAGEREF _Toc144200500 \h </w:instrText>
        </w:r>
        <w:r w:rsidR="00886B17">
          <w:rPr>
            <w:noProof/>
            <w:webHidden/>
          </w:rPr>
        </w:r>
        <w:r w:rsidR="00886B17">
          <w:rPr>
            <w:noProof/>
            <w:webHidden/>
          </w:rPr>
          <w:fldChar w:fldCharType="separate"/>
        </w:r>
        <w:r w:rsidR="002D68BE">
          <w:rPr>
            <w:noProof/>
            <w:webHidden/>
          </w:rPr>
          <w:t>33</w:t>
        </w:r>
        <w:r w:rsidR="00886B17">
          <w:rPr>
            <w:noProof/>
            <w:webHidden/>
          </w:rPr>
          <w:fldChar w:fldCharType="end"/>
        </w:r>
      </w:hyperlink>
    </w:p>
    <w:p w14:paraId="2C363D1E" w14:textId="531D0C8A" w:rsidR="00886B17" w:rsidRDefault="00BD5D1A">
      <w:pPr>
        <w:pStyle w:val="TOC2"/>
        <w:tabs>
          <w:tab w:val="right" w:leader="dot" w:pos="9016"/>
        </w:tabs>
        <w:rPr>
          <w:rFonts w:asciiTheme="minorHAnsi" w:eastAsiaTheme="minorEastAsia" w:hAnsiTheme="minorHAnsi"/>
          <w:noProof/>
          <w:szCs w:val="22"/>
          <w:lang w:eastAsia="en-AU"/>
        </w:rPr>
      </w:pPr>
      <w:hyperlink w:anchor="_Toc144200501" w:history="1">
        <w:r w:rsidR="00886B17" w:rsidRPr="0006638C">
          <w:rPr>
            <w:rStyle w:val="Hyperlink"/>
            <w:noProof/>
          </w:rPr>
          <w:t>Courts and tribunals</w:t>
        </w:r>
        <w:r w:rsidR="00886B17">
          <w:rPr>
            <w:noProof/>
            <w:webHidden/>
          </w:rPr>
          <w:tab/>
        </w:r>
        <w:r w:rsidR="00886B17">
          <w:rPr>
            <w:noProof/>
            <w:webHidden/>
          </w:rPr>
          <w:fldChar w:fldCharType="begin"/>
        </w:r>
        <w:r w:rsidR="00886B17">
          <w:rPr>
            <w:noProof/>
            <w:webHidden/>
          </w:rPr>
          <w:instrText xml:space="preserve"> PAGEREF _Toc144200501 \h </w:instrText>
        </w:r>
        <w:r w:rsidR="00886B17">
          <w:rPr>
            <w:noProof/>
            <w:webHidden/>
          </w:rPr>
        </w:r>
        <w:r w:rsidR="00886B17">
          <w:rPr>
            <w:noProof/>
            <w:webHidden/>
          </w:rPr>
          <w:fldChar w:fldCharType="separate"/>
        </w:r>
        <w:r w:rsidR="002D68BE">
          <w:rPr>
            <w:noProof/>
            <w:webHidden/>
          </w:rPr>
          <w:t>37</w:t>
        </w:r>
        <w:r w:rsidR="00886B17">
          <w:rPr>
            <w:noProof/>
            <w:webHidden/>
          </w:rPr>
          <w:fldChar w:fldCharType="end"/>
        </w:r>
      </w:hyperlink>
    </w:p>
    <w:p w14:paraId="37D38077" w14:textId="3822A064" w:rsidR="00886B17" w:rsidRDefault="00BD5D1A">
      <w:pPr>
        <w:pStyle w:val="TOC2"/>
        <w:tabs>
          <w:tab w:val="right" w:leader="dot" w:pos="9016"/>
        </w:tabs>
        <w:rPr>
          <w:rFonts w:asciiTheme="minorHAnsi" w:eastAsiaTheme="minorEastAsia" w:hAnsiTheme="minorHAnsi"/>
          <w:noProof/>
          <w:szCs w:val="22"/>
          <w:lang w:eastAsia="en-AU"/>
        </w:rPr>
      </w:pPr>
      <w:hyperlink w:anchor="_Toc144200502" w:history="1">
        <w:r w:rsidR="00886B17" w:rsidRPr="0006638C">
          <w:rPr>
            <w:rStyle w:val="Hyperlink"/>
            <w:i/>
            <w:iCs/>
            <w:noProof/>
          </w:rPr>
          <w:t>Building Belonging</w:t>
        </w:r>
        <w:r w:rsidR="00886B17" w:rsidRPr="0006638C">
          <w:rPr>
            <w:rStyle w:val="Hyperlink"/>
            <w:noProof/>
          </w:rPr>
          <w:t>: Our review of Queensland's Anti-Discrimination Act</w:t>
        </w:r>
        <w:r w:rsidR="00886B17">
          <w:rPr>
            <w:noProof/>
            <w:webHidden/>
          </w:rPr>
          <w:tab/>
        </w:r>
        <w:r w:rsidR="00886B17">
          <w:rPr>
            <w:noProof/>
            <w:webHidden/>
          </w:rPr>
          <w:fldChar w:fldCharType="begin"/>
        </w:r>
        <w:r w:rsidR="00886B17">
          <w:rPr>
            <w:noProof/>
            <w:webHidden/>
          </w:rPr>
          <w:instrText xml:space="preserve"> PAGEREF _Toc144200502 \h </w:instrText>
        </w:r>
        <w:r w:rsidR="00886B17">
          <w:rPr>
            <w:noProof/>
            <w:webHidden/>
          </w:rPr>
        </w:r>
        <w:r w:rsidR="00886B17">
          <w:rPr>
            <w:noProof/>
            <w:webHidden/>
          </w:rPr>
          <w:fldChar w:fldCharType="separate"/>
        </w:r>
        <w:r w:rsidR="002D68BE">
          <w:rPr>
            <w:noProof/>
            <w:webHidden/>
          </w:rPr>
          <w:t>46</w:t>
        </w:r>
        <w:r w:rsidR="00886B17">
          <w:rPr>
            <w:noProof/>
            <w:webHidden/>
          </w:rPr>
          <w:fldChar w:fldCharType="end"/>
        </w:r>
      </w:hyperlink>
    </w:p>
    <w:p w14:paraId="47F42388" w14:textId="251D7EAC" w:rsidR="00886B17" w:rsidRDefault="00BD5D1A">
      <w:pPr>
        <w:pStyle w:val="TOC2"/>
        <w:tabs>
          <w:tab w:val="right" w:leader="dot" w:pos="9016"/>
        </w:tabs>
        <w:rPr>
          <w:rFonts w:asciiTheme="minorHAnsi" w:eastAsiaTheme="minorEastAsia" w:hAnsiTheme="minorHAnsi"/>
          <w:noProof/>
          <w:szCs w:val="22"/>
          <w:lang w:eastAsia="en-AU"/>
        </w:rPr>
      </w:pPr>
      <w:hyperlink w:anchor="_Toc144200503" w:history="1">
        <w:r w:rsidR="00886B17" w:rsidRPr="0006638C">
          <w:rPr>
            <w:rStyle w:val="Hyperlink"/>
            <w:i/>
            <w:iCs/>
            <w:noProof/>
          </w:rPr>
          <w:t>Shifting the focus</w:t>
        </w:r>
        <w:r w:rsidR="00886B17" w:rsidRPr="0006638C">
          <w:rPr>
            <w:rStyle w:val="Hyperlink"/>
            <w:noProof/>
          </w:rPr>
          <w:t>: the third annual report on the operation of the Human Rights Act</w:t>
        </w:r>
        <w:r w:rsidR="00886B17">
          <w:rPr>
            <w:noProof/>
            <w:webHidden/>
          </w:rPr>
          <w:tab/>
        </w:r>
        <w:r w:rsidR="00886B17">
          <w:rPr>
            <w:noProof/>
            <w:webHidden/>
          </w:rPr>
          <w:fldChar w:fldCharType="begin"/>
        </w:r>
        <w:r w:rsidR="00886B17">
          <w:rPr>
            <w:noProof/>
            <w:webHidden/>
          </w:rPr>
          <w:instrText xml:space="preserve"> PAGEREF _Toc144200503 \h </w:instrText>
        </w:r>
        <w:r w:rsidR="00886B17">
          <w:rPr>
            <w:noProof/>
            <w:webHidden/>
          </w:rPr>
        </w:r>
        <w:r w:rsidR="00886B17">
          <w:rPr>
            <w:noProof/>
            <w:webHidden/>
          </w:rPr>
          <w:fldChar w:fldCharType="separate"/>
        </w:r>
        <w:r w:rsidR="002D68BE">
          <w:rPr>
            <w:noProof/>
            <w:webHidden/>
          </w:rPr>
          <w:t>48</w:t>
        </w:r>
        <w:r w:rsidR="00886B17">
          <w:rPr>
            <w:noProof/>
            <w:webHidden/>
          </w:rPr>
          <w:fldChar w:fldCharType="end"/>
        </w:r>
      </w:hyperlink>
    </w:p>
    <w:p w14:paraId="7C03EB20" w14:textId="51C5DD37" w:rsidR="00886B17" w:rsidRDefault="00BD5D1A">
      <w:pPr>
        <w:pStyle w:val="TOC1"/>
        <w:tabs>
          <w:tab w:val="right" w:leader="dot" w:pos="9016"/>
        </w:tabs>
        <w:rPr>
          <w:rFonts w:asciiTheme="minorHAnsi" w:eastAsiaTheme="minorEastAsia" w:hAnsiTheme="minorHAnsi"/>
          <w:noProof/>
          <w:szCs w:val="22"/>
          <w:lang w:eastAsia="en-AU"/>
        </w:rPr>
      </w:pPr>
      <w:hyperlink w:anchor="_Toc144200504" w:history="1">
        <w:r w:rsidR="00886B17" w:rsidRPr="0006638C">
          <w:rPr>
            <w:rStyle w:val="Hyperlink"/>
            <w:noProof/>
          </w:rPr>
          <w:t>Community engagement and communications</w:t>
        </w:r>
        <w:r w:rsidR="00886B17">
          <w:rPr>
            <w:noProof/>
            <w:webHidden/>
          </w:rPr>
          <w:tab/>
        </w:r>
        <w:r w:rsidR="00886B17">
          <w:rPr>
            <w:noProof/>
            <w:webHidden/>
          </w:rPr>
          <w:fldChar w:fldCharType="begin"/>
        </w:r>
        <w:r w:rsidR="00886B17">
          <w:rPr>
            <w:noProof/>
            <w:webHidden/>
          </w:rPr>
          <w:instrText xml:space="preserve"> PAGEREF _Toc144200504 \h </w:instrText>
        </w:r>
        <w:r w:rsidR="00886B17">
          <w:rPr>
            <w:noProof/>
            <w:webHidden/>
          </w:rPr>
        </w:r>
        <w:r w:rsidR="00886B17">
          <w:rPr>
            <w:noProof/>
            <w:webHidden/>
          </w:rPr>
          <w:fldChar w:fldCharType="separate"/>
        </w:r>
        <w:r w:rsidR="002D68BE">
          <w:rPr>
            <w:noProof/>
            <w:webHidden/>
          </w:rPr>
          <w:t>49</w:t>
        </w:r>
        <w:r w:rsidR="00886B17">
          <w:rPr>
            <w:noProof/>
            <w:webHidden/>
          </w:rPr>
          <w:fldChar w:fldCharType="end"/>
        </w:r>
      </w:hyperlink>
    </w:p>
    <w:p w14:paraId="3D6018D8" w14:textId="4A29C917" w:rsidR="00886B17" w:rsidRDefault="00BD5D1A">
      <w:pPr>
        <w:pStyle w:val="TOC2"/>
        <w:tabs>
          <w:tab w:val="right" w:leader="dot" w:pos="9016"/>
        </w:tabs>
        <w:rPr>
          <w:rFonts w:asciiTheme="minorHAnsi" w:eastAsiaTheme="minorEastAsia" w:hAnsiTheme="minorHAnsi"/>
          <w:noProof/>
          <w:szCs w:val="22"/>
          <w:lang w:eastAsia="en-AU"/>
        </w:rPr>
      </w:pPr>
      <w:hyperlink w:anchor="_Toc144200505" w:history="1">
        <w:r w:rsidR="00886B17" w:rsidRPr="0006638C">
          <w:rPr>
            <w:rStyle w:val="Hyperlink"/>
            <w:noProof/>
          </w:rPr>
          <w:t>Events</w:t>
        </w:r>
        <w:r w:rsidR="00886B17">
          <w:rPr>
            <w:noProof/>
            <w:webHidden/>
          </w:rPr>
          <w:tab/>
        </w:r>
        <w:r w:rsidR="00886B17">
          <w:rPr>
            <w:noProof/>
            <w:webHidden/>
          </w:rPr>
          <w:fldChar w:fldCharType="begin"/>
        </w:r>
        <w:r w:rsidR="00886B17">
          <w:rPr>
            <w:noProof/>
            <w:webHidden/>
          </w:rPr>
          <w:instrText xml:space="preserve"> PAGEREF _Toc144200505 \h </w:instrText>
        </w:r>
        <w:r w:rsidR="00886B17">
          <w:rPr>
            <w:noProof/>
            <w:webHidden/>
          </w:rPr>
        </w:r>
        <w:r w:rsidR="00886B17">
          <w:rPr>
            <w:noProof/>
            <w:webHidden/>
          </w:rPr>
          <w:fldChar w:fldCharType="separate"/>
        </w:r>
        <w:r w:rsidR="002D68BE">
          <w:rPr>
            <w:noProof/>
            <w:webHidden/>
          </w:rPr>
          <w:t>49</w:t>
        </w:r>
        <w:r w:rsidR="00886B17">
          <w:rPr>
            <w:noProof/>
            <w:webHidden/>
          </w:rPr>
          <w:fldChar w:fldCharType="end"/>
        </w:r>
      </w:hyperlink>
    </w:p>
    <w:p w14:paraId="621994C9" w14:textId="747F34BC" w:rsidR="00886B17" w:rsidRDefault="00BD5D1A">
      <w:pPr>
        <w:pStyle w:val="TOC2"/>
        <w:tabs>
          <w:tab w:val="right" w:leader="dot" w:pos="9016"/>
        </w:tabs>
        <w:rPr>
          <w:rFonts w:asciiTheme="minorHAnsi" w:eastAsiaTheme="minorEastAsia" w:hAnsiTheme="minorHAnsi"/>
          <w:noProof/>
          <w:szCs w:val="22"/>
          <w:lang w:eastAsia="en-AU"/>
        </w:rPr>
      </w:pPr>
      <w:hyperlink w:anchor="_Toc144200511" w:history="1">
        <w:r w:rsidR="00886B17" w:rsidRPr="0006638C">
          <w:rPr>
            <w:rStyle w:val="Hyperlink"/>
            <w:noProof/>
          </w:rPr>
          <w:t>Aboriginal and Torres Strait Islander community engagement</w:t>
        </w:r>
        <w:r w:rsidR="00886B17">
          <w:rPr>
            <w:noProof/>
            <w:webHidden/>
          </w:rPr>
          <w:tab/>
        </w:r>
        <w:r w:rsidR="00886B17">
          <w:rPr>
            <w:noProof/>
            <w:webHidden/>
          </w:rPr>
          <w:fldChar w:fldCharType="begin"/>
        </w:r>
        <w:r w:rsidR="00886B17">
          <w:rPr>
            <w:noProof/>
            <w:webHidden/>
          </w:rPr>
          <w:instrText xml:space="preserve"> PAGEREF _Toc144200511 \h </w:instrText>
        </w:r>
        <w:r w:rsidR="00886B17">
          <w:rPr>
            <w:noProof/>
            <w:webHidden/>
          </w:rPr>
        </w:r>
        <w:r w:rsidR="00886B17">
          <w:rPr>
            <w:noProof/>
            <w:webHidden/>
          </w:rPr>
          <w:fldChar w:fldCharType="separate"/>
        </w:r>
        <w:r w:rsidR="002D68BE">
          <w:rPr>
            <w:noProof/>
            <w:webHidden/>
          </w:rPr>
          <w:t>52</w:t>
        </w:r>
        <w:r w:rsidR="00886B17">
          <w:rPr>
            <w:noProof/>
            <w:webHidden/>
          </w:rPr>
          <w:fldChar w:fldCharType="end"/>
        </w:r>
      </w:hyperlink>
    </w:p>
    <w:p w14:paraId="0A6DBF69" w14:textId="1CDA4007" w:rsidR="00886B17" w:rsidRDefault="00BD5D1A">
      <w:pPr>
        <w:pStyle w:val="TOC2"/>
        <w:tabs>
          <w:tab w:val="right" w:leader="dot" w:pos="9016"/>
        </w:tabs>
        <w:rPr>
          <w:rFonts w:asciiTheme="minorHAnsi" w:eastAsiaTheme="minorEastAsia" w:hAnsiTheme="minorHAnsi"/>
          <w:noProof/>
          <w:szCs w:val="22"/>
          <w:lang w:eastAsia="en-AU"/>
        </w:rPr>
      </w:pPr>
      <w:hyperlink w:anchor="_Toc144200512" w:history="1">
        <w:r w:rsidR="00886B17" w:rsidRPr="0006638C">
          <w:rPr>
            <w:rStyle w:val="Hyperlink"/>
            <w:noProof/>
          </w:rPr>
          <w:t>Media and communications</w:t>
        </w:r>
        <w:r w:rsidR="00886B17">
          <w:rPr>
            <w:noProof/>
            <w:webHidden/>
          </w:rPr>
          <w:tab/>
        </w:r>
        <w:r w:rsidR="00886B17">
          <w:rPr>
            <w:noProof/>
            <w:webHidden/>
          </w:rPr>
          <w:fldChar w:fldCharType="begin"/>
        </w:r>
        <w:r w:rsidR="00886B17">
          <w:rPr>
            <w:noProof/>
            <w:webHidden/>
          </w:rPr>
          <w:instrText xml:space="preserve"> PAGEREF _Toc144200512 \h </w:instrText>
        </w:r>
        <w:r w:rsidR="00886B17">
          <w:rPr>
            <w:noProof/>
            <w:webHidden/>
          </w:rPr>
        </w:r>
        <w:r w:rsidR="00886B17">
          <w:rPr>
            <w:noProof/>
            <w:webHidden/>
          </w:rPr>
          <w:fldChar w:fldCharType="separate"/>
        </w:r>
        <w:r w:rsidR="002D68BE">
          <w:rPr>
            <w:noProof/>
            <w:webHidden/>
          </w:rPr>
          <w:t>53</w:t>
        </w:r>
        <w:r w:rsidR="00886B17">
          <w:rPr>
            <w:noProof/>
            <w:webHidden/>
          </w:rPr>
          <w:fldChar w:fldCharType="end"/>
        </w:r>
      </w:hyperlink>
    </w:p>
    <w:p w14:paraId="2F54D133" w14:textId="29D93F68" w:rsidR="00886B17" w:rsidRDefault="00BD5D1A">
      <w:pPr>
        <w:pStyle w:val="TOC1"/>
        <w:tabs>
          <w:tab w:val="right" w:leader="dot" w:pos="9016"/>
        </w:tabs>
        <w:rPr>
          <w:rFonts w:asciiTheme="minorHAnsi" w:eastAsiaTheme="minorEastAsia" w:hAnsiTheme="minorHAnsi"/>
          <w:noProof/>
          <w:szCs w:val="22"/>
          <w:lang w:eastAsia="en-AU"/>
        </w:rPr>
      </w:pPr>
      <w:hyperlink w:anchor="_Toc144200513" w:history="1">
        <w:r w:rsidR="00886B17" w:rsidRPr="0006638C">
          <w:rPr>
            <w:rStyle w:val="Hyperlink"/>
            <w:noProof/>
          </w:rPr>
          <w:t>Corporate governance</w:t>
        </w:r>
        <w:r w:rsidR="00886B17">
          <w:rPr>
            <w:noProof/>
            <w:webHidden/>
          </w:rPr>
          <w:tab/>
        </w:r>
        <w:r w:rsidR="00886B17">
          <w:rPr>
            <w:noProof/>
            <w:webHidden/>
          </w:rPr>
          <w:fldChar w:fldCharType="begin"/>
        </w:r>
        <w:r w:rsidR="00886B17">
          <w:rPr>
            <w:noProof/>
            <w:webHidden/>
          </w:rPr>
          <w:instrText xml:space="preserve"> PAGEREF _Toc144200513 \h </w:instrText>
        </w:r>
        <w:r w:rsidR="00886B17">
          <w:rPr>
            <w:noProof/>
            <w:webHidden/>
          </w:rPr>
        </w:r>
        <w:r w:rsidR="00886B17">
          <w:rPr>
            <w:noProof/>
            <w:webHidden/>
          </w:rPr>
          <w:fldChar w:fldCharType="separate"/>
        </w:r>
        <w:r w:rsidR="002D68BE">
          <w:rPr>
            <w:noProof/>
            <w:webHidden/>
          </w:rPr>
          <w:t>57</w:t>
        </w:r>
        <w:r w:rsidR="00886B17">
          <w:rPr>
            <w:noProof/>
            <w:webHidden/>
          </w:rPr>
          <w:fldChar w:fldCharType="end"/>
        </w:r>
      </w:hyperlink>
    </w:p>
    <w:p w14:paraId="1D3D8FC8" w14:textId="4EDD4DA0" w:rsidR="00886B17" w:rsidRDefault="00BD5D1A">
      <w:pPr>
        <w:pStyle w:val="TOC1"/>
        <w:tabs>
          <w:tab w:val="right" w:leader="dot" w:pos="9016"/>
        </w:tabs>
        <w:rPr>
          <w:rFonts w:asciiTheme="minorHAnsi" w:eastAsiaTheme="minorEastAsia" w:hAnsiTheme="minorHAnsi"/>
          <w:noProof/>
          <w:szCs w:val="22"/>
          <w:lang w:eastAsia="en-AU"/>
        </w:rPr>
      </w:pPr>
      <w:hyperlink w:anchor="_Toc144200520" w:history="1">
        <w:r w:rsidR="00886B17" w:rsidRPr="0006638C">
          <w:rPr>
            <w:rStyle w:val="Hyperlink"/>
            <w:noProof/>
          </w:rPr>
          <w:t>Summary of financial performance</w:t>
        </w:r>
        <w:r w:rsidR="00886B17">
          <w:rPr>
            <w:noProof/>
            <w:webHidden/>
          </w:rPr>
          <w:tab/>
        </w:r>
        <w:r w:rsidR="00886B17">
          <w:rPr>
            <w:noProof/>
            <w:webHidden/>
          </w:rPr>
          <w:fldChar w:fldCharType="begin"/>
        </w:r>
        <w:r w:rsidR="00886B17">
          <w:rPr>
            <w:noProof/>
            <w:webHidden/>
          </w:rPr>
          <w:instrText xml:space="preserve"> PAGEREF _Toc144200520 \h </w:instrText>
        </w:r>
        <w:r w:rsidR="00886B17">
          <w:rPr>
            <w:noProof/>
            <w:webHidden/>
          </w:rPr>
        </w:r>
        <w:r w:rsidR="00886B17">
          <w:rPr>
            <w:noProof/>
            <w:webHidden/>
          </w:rPr>
          <w:fldChar w:fldCharType="separate"/>
        </w:r>
        <w:r w:rsidR="002D68BE">
          <w:rPr>
            <w:noProof/>
            <w:webHidden/>
          </w:rPr>
          <w:t>65</w:t>
        </w:r>
        <w:r w:rsidR="00886B17">
          <w:rPr>
            <w:noProof/>
            <w:webHidden/>
          </w:rPr>
          <w:fldChar w:fldCharType="end"/>
        </w:r>
      </w:hyperlink>
    </w:p>
    <w:p w14:paraId="293BDCA4" w14:textId="49E48B5D" w:rsidR="00886B17" w:rsidRDefault="00BD5D1A">
      <w:pPr>
        <w:pStyle w:val="TOC1"/>
        <w:tabs>
          <w:tab w:val="right" w:leader="dot" w:pos="9016"/>
        </w:tabs>
        <w:rPr>
          <w:rFonts w:asciiTheme="minorHAnsi" w:eastAsiaTheme="minorEastAsia" w:hAnsiTheme="minorHAnsi"/>
          <w:noProof/>
          <w:szCs w:val="22"/>
          <w:lang w:eastAsia="en-AU"/>
        </w:rPr>
      </w:pPr>
      <w:hyperlink w:anchor="_Toc144200526" w:history="1">
        <w:r w:rsidR="00886B17" w:rsidRPr="0006638C">
          <w:rPr>
            <w:rStyle w:val="Hyperlink"/>
            <w:noProof/>
          </w:rPr>
          <w:t>Appendix A: Compliance checklist</w:t>
        </w:r>
        <w:r w:rsidR="00886B17">
          <w:rPr>
            <w:noProof/>
            <w:webHidden/>
          </w:rPr>
          <w:tab/>
        </w:r>
        <w:r w:rsidR="00886B17">
          <w:rPr>
            <w:noProof/>
            <w:webHidden/>
          </w:rPr>
          <w:fldChar w:fldCharType="begin"/>
        </w:r>
        <w:r w:rsidR="00886B17">
          <w:rPr>
            <w:noProof/>
            <w:webHidden/>
          </w:rPr>
          <w:instrText xml:space="preserve"> PAGEREF _Toc144200526 \h </w:instrText>
        </w:r>
        <w:r w:rsidR="00886B17">
          <w:rPr>
            <w:noProof/>
            <w:webHidden/>
          </w:rPr>
        </w:r>
        <w:r w:rsidR="00886B17">
          <w:rPr>
            <w:noProof/>
            <w:webHidden/>
          </w:rPr>
          <w:fldChar w:fldCharType="separate"/>
        </w:r>
        <w:r w:rsidR="002D68BE">
          <w:rPr>
            <w:noProof/>
            <w:webHidden/>
          </w:rPr>
          <w:t>69</w:t>
        </w:r>
        <w:r w:rsidR="00886B17">
          <w:rPr>
            <w:noProof/>
            <w:webHidden/>
          </w:rPr>
          <w:fldChar w:fldCharType="end"/>
        </w:r>
      </w:hyperlink>
    </w:p>
    <w:p w14:paraId="788C42C9" w14:textId="44A3B146" w:rsidR="00886B17" w:rsidRDefault="00BD5D1A">
      <w:pPr>
        <w:pStyle w:val="TOC1"/>
        <w:tabs>
          <w:tab w:val="right" w:leader="dot" w:pos="9016"/>
        </w:tabs>
        <w:rPr>
          <w:rFonts w:asciiTheme="minorHAnsi" w:eastAsiaTheme="minorEastAsia" w:hAnsiTheme="minorHAnsi"/>
          <w:noProof/>
          <w:szCs w:val="22"/>
          <w:lang w:eastAsia="en-AU"/>
        </w:rPr>
      </w:pPr>
      <w:hyperlink w:anchor="_Toc144200527" w:history="1">
        <w:r w:rsidR="00886B17" w:rsidRPr="0006638C">
          <w:rPr>
            <w:rStyle w:val="Hyperlink"/>
            <w:noProof/>
          </w:rPr>
          <w:t>Appendix B: Performance statement</w:t>
        </w:r>
        <w:r w:rsidR="00886B17">
          <w:rPr>
            <w:noProof/>
            <w:webHidden/>
          </w:rPr>
          <w:tab/>
        </w:r>
        <w:r w:rsidR="00886B17">
          <w:rPr>
            <w:noProof/>
            <w:webHidden/>
          </w:rPr>
          <w:fldChar w:fldCharType="begin"/>
        </w:r>
        <w:r w:rsidR="00886B17">
          <w:rPr>
            <w:noProof/>
            <w:webHidden/>
          </w:rPr>
          <w:instrText xml:space="preserve"> PAGEREF _Toc144200527 \h </w:instrText>
        </w:r>
        <w:r w:rsidR="00886B17">
          <w:rPr>
            <w:noProof/>
            <w:webHidden/>
          </w:rPr>
        </w:r>
        <w:r w:rsidR="00886B17">
          <w:rPr>
            <w:noProof/>
            <w:webHidden/>
          </w:rPr>
          <w:fldChar w:fldCharType="separate"/>
        </w:r>
        <w:r w:rsidR="002D68BE">
          <w:rPr>
            <w:noProof/>
            <w:webHidden/>
          </w:rPr>
          <w:t>71</w:t>
        </w:r>
        <w:r w:rsidR="00886B17">
          <w:rPr>
            <w:noProof/>
            <w:webHidden/>
          </w:rPr>
          <w:fldChar w:fldCharType="end"/>
        </w:r>
      </w:hyperlink>
    </w:p>
    <w:p w14:paraId="50CED5E8" w14:textId="56B2C4D5" w:rsidR="00886B17" w:rsidRDefault="00BD5D1A">
      <w:pPr>
        <w:pStyle w:val="TOC1"/>
        <w:tabs>
          <w:tab w:val="right" w:leader="dot" w:pos="9016"/>
        </w:tabs>
        <w:rPr>
          <w:rFonts w:asciiTheme="minorHAnsi" w:eastAsiaTheme="minorEastAsia" w:hAnsiTheme="minorHAnsi"/>
          <w:noProof/>
          <w:szCs w:val="22"/>
          <w:lang w:eastAsia="en-AU"/>
        </w:rPr>
      </w:pPr>
      <w:hyperlink w:anchor="_Toc144200529" w:history="1">
        <w:r w:rsidR="00886B17" w:rsidRPr="0006638C">
          <w:rPr>
            <w:rStyle w:val="Hyperlink"/>
            <w:noProof/>
          </w:rPr>
          <w:t>Appendix C: Glossary of terms</w:t>
        </w:r>
        <w:r w:rsidR="00886B17">
          <w:rPr>
            <w:noProof/>
            <w:webHidden/>
          </w:rPr>
          <w:tab/>
        </w:r>
        <w:r w:rsidR="00886B17">
          <w:rPr>
            <w:noProof/>
            <w:webHidden/>
          </w:rPr>
          <w:fldChar w:fldCharType="begin"/>
        </w:r>
        <w:r w:rsidR="00886B17">
          <w:rPr>
            <w:noProof/>
            <w:webHidden/>
          </w:rPr>
          <w:instrText xml:space="preserve"> PAGEREF _Toc144200529 \h </w:instrText>
        </w:r>
        <w:r w:rsidR="00886B17">
          <w:rPr>
            <w:noProof/>
            <w:webHidden/>
          </w:rPr>
        </w:r>
        <w:r w:rsidR="00886B17">
          <w:rPr>
            <w:noProof/>
            <w:webHidden/>
          </w:rPr>
          <w:fldChar w:fldCharType="separate"/>
        </w:r>
        <w:r w:rsidR="002D68BE">
          <w:rPr>
            <w:noProof/>
            <w:webHidden/>
          </w:rPr>
          <w:t>72</w:t>
        </w:r>
        <w:r w:rsidR="00886B17">
          <w:rPr>
            <w:noProof/>
            <w:webHidden/>
          </w:rPr>
          <w:fldChar w:fldCharType="end"/>
        </w:r>
      </w:hyperlink>
    </w:p>
    <w:p w14:paraId="29F0F575" w14:textId="3F1DF4B6" w:rsidR="00886B17" w:rsidRDefault="00BD5D1A">
      <w:pPr>
        <w:pStyle w:val="TOC1"/>
        <w:tabs>
          <w:tab w:val="right" w:leader="dot" w:pos="9016"/>
        </w:tabs>
        <w:rPr>
          <w:rFonts w:asciiTheme="minorHAnsi" w:eastAsiaTheme="minorEastAsia" w:hAnsiTheme="minorHAnsi"/>
          <w:noProof/>
          <w:szCs w:val="22"/>
          <w:lang w:eastAsia="en-AU"/>
        </w:rPr>
      </w:pPr>
      <w:hyperlink w:anchor="_Toc144200530" w:history="1">
        <w:r w:rsidR="00886B17" w:rsidRPr="0006638C">
          <w:rPr>
            <w:rStyle w:val="Hyperlink"/>
            <w:noProof/>
          </w:rPr>
          <w:t>Appendix D: Our functions</w:t>
        </w:r>
        <w:r w:rsidR="00886B17">
          <w:rPr>
            <w:noProof/>
            <w:webHidden/>
          </w:rPr>
          <w:tab/>
        </w:r>
        <w:r w:rsidR="00886B17">
          <w:rPr>
            <w:noProof/>
            <w:webHidden/>
          </w:rPr>
          <w:fldChar w:fldCharType="begin"/>
        </w:r>
        <w:r w:rsidR="00886B17">
          <w:rPr>
            <w:noProof/>
            <w:webHidden/>
          </w:rPr>
          <w:instrText xml:space="preserve"> PAGEREF _Toc144200530 \h </w:instrText>
        </w:r>
        <w:r w:rsidR="00886B17">
          <w:rPr>
            <w:noProof/>
            <w:webHidden/>
          </w:rPr>
        </w:r>
        <w:r w:rsidR="00886B17">
          <w:rPr>
            <w:noProof/>
            <w:webHidden/>
          </w:rPr>
          <w:fldChar w:fldCharType="separate"/>
        </w:r>
        <w:r w:rsidR="002D68BE">
          <w:rPr>
            <w:noProof/>
            <w:webHidden/>
          </w:rPr>
          <w:t>73</w:t>
        </w:r>
        <w:r w:rsidR="00886B17">
          <w:rPr>
            <w:noProof/>
            <w:webHidden/>
          </w:rPr>
          <w:fldChar w:fldCharType="end"/>
        </w:r>
      </w:hyperlink>
    </w:p>
    <w:p w14:paraId="1C054A9E" w14:textId="33508AA0" w:rsidR="00886B17" w:rsidRDefault="00BD5D1A">
      <w:pPr>
        <w:pStyle w:val="TOC1"/>
        <w:tabs>
          <w:tab w:val="right" w:leader="dot" w:pos="9016"/>
        </w:tabs>
        <w:rPr>
          <w:rFonts w:asciiTheme="minorHAnsi" w:eastAsiaTheme="minorEastAsia" w:hAnsiTheme="minorHAnsi"/>
          <w:noProof/>
          <w:szCs w:val="22"/>
          <w:lang w:eastAsia="en-AU"/>
        </w:rPr>
      </w:pPr>
      <w:hyperlink w:anchor="_Toc144200531" w:history="1">
        <w:r w:rsidR="00886B17" w:rsidRPr="0006638C">
          <w:rPr>
            <w:rStyle w:val="Hyperlink"/>
            <w:noProof/>
          </w:rPr>
          <w:t>Appendix E: Our organisational structure</w:t>
        </w:r>
        <w:r w:rsidR="00886B17">
          <w:rPr>
            <w:noProof/>
            <w:webHidden/>
          </w:rPr>
          <w:tab/>
        </w:r>
        <w:r w:rsidR="00886B17">
          <w:rPr>
            <w:noProof/>
            <w:webHidden/>
          </w:rPr>
          <w:fldChar w:fldCharType="begin"/>
        </w:r>
        <w:r w:rsidR="00886B17">
          <w:rPr>
            <w:noProof/>
            <w:webHidden/>
          </w:rPr>
          <w:instrText xml:space="preserve"> PAGEREF _Toc144200531 \h </w:instrText>
        </w:r>
        <w:r w:rsidR="00886B17">
          <w:rPr>
            <w:noProof/>
            <w:webHidden/>
          </w:rPr>
        </w:r>
        <w:r w:rsidR="00886B17">
          <w:rPr>
            <w:noProof/>
            <w:webHidden/>
          </w:rPr>
          <w:fldChar w:fldCharType="separate"/>
        </w:r>
        <w:r w:rsidR="002D68BE">
          <w:rPr>
            <w:noProof/>
            <w:webHidden/>
          </w:rPr>
          <w:t>74</w:t>
        </w:r>
        <w:r w:rsidR="00886B17">
          <w:rPr>
            <w:noProof/>
            <w:webHidden/>
          </w:rPr>
          <w:fldChar w:fldCharType="end"/>
        </w:r>
      </w:hyperlink>
    </w:p>
    <w:p w14:paraId="120C6352" w14:textId="37D577AB" w:rsidR="00886B17" w:rsidRDefault="00BD5D1A">
      <w:pPr>
        <w:pStyle w:val="TOC1"/>
        <w:tabs>
          <w:tab w:val="right" w:leader="dot" w:pos="9016"/>
        </w:tabs>
        <w:rPr>
          <w:rFonts w:asciiTheme="minorHAnsi" w:eastAsiaTheme="minorEastAsia" w:hAnsiTheme="minorHAnsi"/>
          <w:noProof/>
          <w:szCs w:val="22"/>
          <w:lang w:eastAsia="en-AU"/>
        </w:rPr>
      </w:pPr>
      <w:hyperlink w:anchor="_Toc144200532" w:history="1">
        <w:r w:rsidR="00886B17" w:rsidRPr="0006638C">
          <w:rPr>
            <w:rStyle w:val="Hyperlink"/>
            <w:noProof/>
          </w:rPr>
          <w:t>Appendix F: Certified financial statements</w:t>
        </w:r>
        <w:r w:rsidR="00886B17">
          <w:rPr>
            <w:noProof/>
            <w:webHidden/>
          </w:rPr>
          <w:tab/>
        </w:r>
        <w:r w:rsidR="00886B17">
          <w:rPr>
            <w:noProof/>
            <w:webHidden/>
          </w:rPr>
          <w:fldChar w:fldCharType="begin"/>
        </w:r>
        <w:r w:rsidR="00886B17">
          <w:rPr>
            <w:noProof/>
            <w:webHidden/>
          </w:rPr>
          <w:instrText xml:space="preserve"> PAGEREF _Toc144200532 \h </w:instrText>
        </w:r>
        <w:r w:rsidR="00886B17">
          <w:rPr>
            <w:noProof/>
            <w:webHidden/>
          </w:rPr>
        </w:r>
        <w:r w:rsidR="00886B17">
          <w:rPr>
            <w:noProof/>
            <w:webHidden/>
          </w:rPr>
          <w:fldChar w:fldCharType="separate"/>
        </w:r>
        <w:r w:rsidR="002D68BE">
          <w:rPr>
            <w:noProof/>
            <w:webHidden/>
          </w:rPr>
          <w:t>75</w:t>
        </w:r>
        <w:r w:rsidR="00886B17">
          <w:rPr>
            <w:noProof/>
            <w:webHidden/>
          </w:rPr>
          <w:fldChar w:fldCharType="end"/>
        </w:r>
      </w:hyperlink>
    </w:p>
    <w:p w14:paraId="2553E449" w14:textId="77777777" w:rsidR="00886B17" w:rsidRDefault="00886B17" w:rsidP="00886B17">
      <w:pPr>
        <w:ind w:right="0"/>
      </w:pPr>
      <w:r>
        <w:fldChar w:fldCharType="end"/>
      </w:r>
      <w:bookmarkStart w:id="9" w:name="_Toc144200470"/>
    </w:p>
    <w:p w14:paraId="4501EFA1" w14:textId="1E699179" w:rsidR="00950811" w:rsidRPr="00A21D7D" w:rsidRDefault="00950811" w:rsidP="00CA5EBF">
      <w:pPr>
        <w:pStyle w:val="Heading1"/>
      </w:pPr>
      <w:r w:rsidRPr="00A21D7D">
        <w:lastRenderedPageBreak/>
        <w:t>Letter of compliance</w:t>
      </w:r>
      <w:bookmarkEnd w:id="5"/>
      <w:bookmarkEnd w:id="6"/>
      <w:bookmarkEnd w:id="8"/>
      <w:bookmarkEnd w:id="9"/>
      <w:r w:rsidRPr="00A21D7D">
        <w:t xml:space="preserve"> </w:t>
      </w:r>
    </w:p>
    <w:p w14:paraId="7652CFA6" w14:textId="77777777" w:rsidR="00950811" w:rsidRDefault="00950811" w:rsidP="00EB1859"/>
    <w:p w14:paraId="61F4FD2D" w14:textId="14FAD969" w:rsidR="00950811" w:rsidRPr="00A21D7D" w:rsidRDefault="00950811" w:rsidP="00EB1859">
      <w:pPr>
        <w:rPr>
          <w:i/>
        </w:rPr>
      </w:pPr>
      <w:r>
        <w:t>31 August 2023</w:t>
      </w:r>
    </w:p>
    <w:p w14:paraId="0EA19A84" w14:textId="77777777" w:rsidR="00950811" w:rsidRDefault="00950811" w:rsidP="00EB1859"/>
    <w:p w14:paraId="68B17465" w14:textId="5470A19B" w:rsidR="00950811" w:rsidRPr="00A21D7D" w:rsidRDefault="00950811" w:rsidP="00EB1859">
      <w:pPr>
        <w:rPr>
          <w:i/>
        </w:rPr>
      </w:pPr>
      <w:r w:rsidRPr="00A21D7D">
        <w:t xml:space="preserve">The Honourable </w:t>
      </w:r>
      <w:r>
        <w:t xml:space="preserve">Yvette </w:t>
      </w:r>
      <w:proofErr w:type="spellStart"/>
      <w:r>
        <w:t>D’Ath</w:t>
      </w:r>
      <w:proofErr w:type="spellEnd"/>
      <w:r w:rsidRPr="00A21D7D">
        <w:t xml:space="preserve"> MP</w:t>
      </w:r>
    </w:p>
    <w:p w14:paraId="7ACB3A9A" w14:textId="44DC7E9C" w:rsidR="00950811" w:rsidRPr="00A21D7D" w:rsidRDefault="00950811" w:rsidP="00EB1859">
      <w:pPr>
        <w:rPr>
          <w:i/>
        </w:rPr>
      </w:pPr>
      <w:r w:rsidRPr="00A21D7D">
        <w:t>Attorney-Ge</w:t>
      </w:r>
      <w:r>
        <w:t xml:space="preserve">neral and Minister for Justice and Minister for the Prevention of Domestic and Family Violence </w:t>
      </w:r>
    </w:p>
    <w:p w14:paraId="61942612" w14:textId="77777777" w:rsidR="00950811" w:rsidRPr="00A21D7D" w:rsidRDefault="00950811" w:rsidP="00EB1859">
      <w:pPr>
        <w:rPr>
          <w:i/>
        </w:rPr>
      </w:pPr>
      <w:r w:rsidRPr="00A21D7D">
        <w:t>1 William Street</w:t>
      </w:r>
    </w:p>
    <w:p w14:paraId="0B8571C2" w14:textId="77777777" w:rsidR="00950811" w:rsidRPr="00A21D7D" w:rsidRDefault="00950811" w:rsidP="00EB1859">
      <w:pPr>
        <w:rPr>
          <w:i/>
        </w:rPr>
      </w:pPr>
      <w:r w:rsidRPr="00A21D7D">
        <w:t>Brisbane Qld 4000</w:t>
      </w:r>
    </w:p>
    <w:p w14:paraId="1969E490" w14:textId="77777777" w:rsidR="00950811" w:rsidRPr="00A21D7D" w:rsidRDefault="00950811" w:rsidP="00EB1859"/>
    <w:p w14:paraId="0E722DED" w14:textId="77777777" w:rsidR="00950811" w:rsidRPr="00A21D7D" w:rsidRDefault="00950811" w:rsidP="00EB1859">
      <w:pPr>
        <w:rPr>
          <w:i/>
        </w:rPr>
      </w:pPr>
      <w:r w:rsidRPr="00A21D7D">
        <w:t>Dear Attorney-General</w:t>
      </w:r>
      <w:r>
        <w:t>,</w:t>
      </w:r>
    </w:p>
    <w:p w14:paraId="4D5886C2" w14:textId="3CF8EA0E" w:rsidR="00950811" w:rsidRPr="00A21D7D" w:rsidRDefault="00950811" w:rsidP="00EB1859">
      <w:pPr>
        <w:rPr>
          <w:i/>
        </w:rPr>
      </w:pPr>
      <w:r w:rsidRPr="00A21D7D">
        <w:t>I am pleased t</w:t>
      </w:r>
      <w:r>
        <w:t>o present the Annual Report 20</w:t>
      </w:r>
      <w:r w:rsidRPr="00A21D7D">
        <w:t>2</w:t>
      </w:r>
      <w:r>
        <w:t>2</w:t>
      </w:r>
      <w:r w:rsidR="00AF15B0">
        <w:t>-23</w:t>
      </w:r>
      <w:r w:rsidRPr="00A21D7D">
        <w:t xml:space="preserve"> and financial statements for </w:t>
      </w:r>
      <w:bookmarkStart w:id="10" w:name="OLE_LINK40"/>
      <w:bookmarkStart w:id="11" w:name="OLE_LINK41"/>
      <w:r w:rsidRPr="00A21D7D">
        <w:t>the Queensland Human Rights Commission.</w:t>
      </w:r>
      <w:bookmarkEnd w:id="10"/>
      <w:bookmarkEnd w:id="11"/>
    </w:p>
    <w:p w14:paraId="58369A04" w14:textId="77777777" w:rsidR="00950811" w:rsidRPr="00A21D7D" w:rsidRDefault="00950811" w:rsidP="00EB1859">
      <w:pPr>
        <w:rPr>
          <w:i/>
        </w:rPr>
      </w:pPr>
      <w:r w:rsidRPr="00A21D7D">
        <w:t>I certify that this Annual Report complies with:</w:t>
      </w:r>
    </w:p>
    <w:p w14:paraId="41BF679D" w14:textId="77777777" w:rsidR="00950811" w:rsidRPr="001C3A78" w:rsidRDefault="00950811" w:rsidP="00EB1859">
      <w:pPr>
        <w:pStyle w:val="ListParagraph"/>
        <w:numPr>
          <w:ilvl w:val="0"/>
          <w:numId w:val="2"/>
        </w:numPr>
        <w:rPr>
          <w:rFonts w:eastAsia="Times New Roman"/>
        </w:rPr>
      </w:pPr>
      <w:r w:rsidRPr="00A21D7D">
        <w:rPr>
          <w:rFonts w:eastAsia="Times New Roman"/>
        </w:rPr>
        <w:t xml:space="preserve">the prescribed requirements of the </w:t>
      </w:r>
      <w:r w:rsidRPr="0036058A">
        <w:rPr>
          <w:rFonts w:eastAsia="Times New Roman"/>
          <w:i/>
          <w:iCs w:val="0"/>
        </w:rPr>
        <w:t>Financial Accountability Act 2009</w:t>
      </w:r>
      <w:r w:rsidRPr="00A21D7D">
        <w:rPr>
          <w:rFonts w:eastAsia="Times New Roman"/>
        </w:rPr>
        <w:t xml:space="preserve"> and the </w:t>
      </w:r>
      <w:r w:rsidRPr="0036058A">
        <w:rPr>
          <w:rFonts w:eastAsia="Times New Roman"/>
          <w:i/>
          <w:iCs w:val="0"/>
        </w:rPr>
        <w:t>Financial and Performance Management Standard 2019</w:t>
      </w:r>
      <w:r w:rsidRPr="00A21D7D">
        <w:rPr>
          <w:rFonts w:eastAsia="Times New Roman"/>
        </w:rPr>
        <w:t xml:space="preserve">, and </w:t>
      </w:r>
    </w:p>
    <w:p w14:paraId="66F6DBE8" w14:textId="77777777" w:rsidR="00950811" w:rsidRPr="002E0EBF" w:rsidRDefault="00950811" w:rsidP="00EB1859">
      <w:pPr>
        <w:pStyle w:val="ListParagraph"/>
        <w:numPr>
          <w:ilvl w:val="0"/>
          <w:numId w:val="2"/>
        </w:numPr>
        <w:rPr>
          <w:rFonts w:eastAsia="Times New Roman"/>
          <w:i/>
        </w:rPr>
      </w:pPr>
      <w:r w:rsidRPr="00A21D7D">
        <w:rPr>
          <w:rFonts w:eastAsia="Times New Roman"/>
        </w:rPr>
        <w:t>the detailed requirements set out in the Annual report</w:t>
      </w:r>
      <w:r>
        <w:rPr>
          <w:rFonts w:eastAsia="Times New Roman"/>
        </w:rPr>
        <w:t>ing</w:t>
      </w:r>
      <w:r w:rsidRPr="00A21D7D">
        <w:rPr>
          <w:rFonts w:eastAsia="Times New Roman"/>
        </w:rPr>
        <w:t xml:space="preserve"> requirements for Queensland Government agencies.</w:t>
      </w:r>
    </w:p>
    <w:p w14:paraId="275F465F" w14:textId="77777777" w:rsidR="00950811" w:rsidRPr="00A21D7D" w:rsidRDefault="00950811" w:rsidP="00EB1859">
      <w:pPr>
        <w:rPr>
          <w:i/>
        </w:rPr>
      </w:pPr>
      <w:r w:rsidRPr="00A21D7D">
        <w:t xml:space="preserve">A checklist outlining the annual reporting requirements can be found at </w:t>
      </w:r>
      <w:r w:rsidRPr="007D436B">
        <w:t xml:space="preserve">Appendix </w:t>
      </w:r>
      <w:r>
        <w:t>A</w:t>
      </w:r>
      <w:r w:rsidRPr="00A21D7D">
        <w:t xml:space="preserve"> of this annual report or accessed at www.qhrc.qld.gov.au.</w:t>
      </w:r>
    </w:p>
    <w:p w14:paraId="0D1B845B" w14:textId="77777777" w:rsidR="00950811" w:rsidRPr="00A21D7D" w:rsidRDefault="00950811" w:rsidP="00EB1859">
      <w:pPr>
        <w:rPr>
          <w:i/>
        </w:rPr>
      </w:pPr>
      <w:r w:rsidRPr="00A21D7D">
        <w:t>Yours sincerely</w:t>
      </w:r>
    </w:p>
    <w:p w14:paraId="73B1425D" w14:textId="77777777" w:rsidR="00950811" w:rsidRPr="00A21D7D" w:rsidRDefault="00950811" w:rsidP="00EB1859">
      <w:r w:rsidRPr="00A21D7D">
        <w:rPr>
          <w:noProof/>
        </w:rPr>
        <w:drawing>
          <wp:inline distT="0" distB="0" distL="0" distR="0" wp14:anchorId="3B60CF21" wp14:editId="0BF6F670">
            <wp:extent cx="1652159" cy="664522"/>
            <wp:effectExtent l="0" t="0" r="5715" b="2540"/>
            <wp:docPr id="18" name="Picture 18" descr="Signature of Scott McDougall, Queensland Human RIghts Commissioner" title="Signat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ignature_SM.png"/>
                    <pic:cNvPicPr/>
                  </pic:nvPicPr>
                  <pic:blipFill>
                    <a:blip r:embed="rId14">
                      <a:extLst>
                        <a:ext uri="{28A0092B-C50C-407E-A947-70E740481C1C}">
                          <a14:useLocalDpi xmlns:a14="http://schemas.microsoft.com/office/drawing/2010/main" val="0"/>
                        </a:ext>
                      </a:extLst>
                    </a:blip>
                    <a:stretch>
                      <a:fillRect/>
                    </a:stretch>
                  </pic:blipFill>
                  <pic:spPr>
                    <a:xfrm>
                      <a:off x="0" y="0"/>
                      <a:ext cx="1652159" cy="664522"/>
                    </a:xfrm>
                    <a:prstGeom prst="rect">
                      <a:avLst/>
                    </a:prstGeom>
                  </pic:spPr>
                </pic:pic>
              </a:graphicData>
            </a:graphic>
          </wp:inline>
        </w:drawing>
      </w:r>
    </w:p>
    <w:p w14:paraId="724BE989" w14:textId="77777777" w:rsidR="00950811" w:rsidRPr="000E2D18" w:rsidRDefault="00950811" w:rsidP="00EB1859">
      <w:pPr>
        <w:rPr>
          <w:i/>
        </w:rPr>
      </w:pPr>
      <w:r w:rsidRPr="000E2D18">
        <w:t>Scott McDougall</w:t>
      </w:r>
    </w:p>
    <w:p w14:paraId="654B216E" w14:textId="77777777" w:rsidR="00950811" w:rsidRPr="00A21D7D" w:rsidRDefault="00950811" w:rsidP="00EB1859">
      <w:r w:rsidRPr="00A21D7D">
        <w:t>Commissioner</w:t>
      </w:r>
    </w:p>
    <w:p w14:paraId="0E4E7220" w14:textId="77777777" w:rsidR="00950811" w:rsidRPr="00A21D7D" w:rsidRDefault="00950811" w:rsidP="00EB1859">
      <w:pPr>
        <w:rPr>
          <w:i/>
        </w:rPr>
      </w:pPr>
      <w:r w:rsidRPr="00A21D7D">
        <w:t>Queensland Human Rights Commission</w:t>
      </w:r>
    </w:p>
    <w:p w14:paraId="06F1DA78" w14:textId="73464A23" w:rsidR="00642B24" w:rsidRDefault="00642B24" w:rsidP="00EB1859">
      <w:r>
        <w:br w:type="page"/>
      </w:r>
    </w:p>
    <w:p w14:paraId="6A9726D6" w14:textId="26ED2874" w:rsidR="006704FD" w:rsidRDefault="00642B24" w:rsidP="00CA5EBF">
      <w:pPr>
        <w:pStyle w:val="Heading1"/>
      </w:pPr>
      <w:bookmarkStart w:id="12" w:name="_Toc143678690"/>
      <w:bookmarkStart w:id="13" w:name="_Toc144200471"/>
      <w:r>
        <w:lastRenderedPageBreak/>
        <w:t>Commissioner’s foreword</w:t>
      </w:r>
      <w:bookmarkEnd w:id="12"/>
      <w:bookmarkEnd w:id="13"/>
      <w:r>
        <w:t xml:space="preserve"> </w:t>
      </w:r>
    </w:p>
    <w:p w14:paraId="6580AB33" w14:textId="77777777" w:rsidR="005C7AEB" w:rsidRPr="00EB1859" w:rsidRDefault="005C7AEB" w:rsidP="00EB1859">
      <w:r w:rsidRPr="00EB1859">
        <w:t>In previous annual reports the Commission has detailed the impact of</w:t>
      </w:r>
      <w:r w:rsidR="00831A1F" w:rsidRPr="00EB1859">
        <w:t xml:space="preserve"> COVID-19 and the government</w:t>
      </w:r>
      <w:r w:rsidRPr="00EB1859">
        <w:t>’s</w:t>
      </w:r>
      <w:r w:rsidR="00831A1F" w:rsidRPr="00EB1859">
        <w:t xml:space="preserve"> response </w:t>
      </w:r>
      <w:r w:rsidRPr="00EB1859">
        <w:t>on</w:t>
      </w:r>
      <w:r w:rsidR="00831A1F" w:rsidRPr="00EB1859">
        <w:t xml:space="preserve"> our </w:t>
      </w:r>
      <w:r w:rsidR="00492CC6" w:rsidRPr="00EB1859">
        <w:t xml:space="preserve">work across complaints and enquiries, media, </w:t>
      </w:r>
      <w:r w:rsidR="00831A1F" w:rsidRPr="00EB1859">
        <w:t>legal</w:t>
      </w:r>
      <w:r w:rsidR="00492CC6" w:rsidRPr="00EB1859">
        <w:t>,</w:t>
      </w:r>
      <w:r w:rsidR="00831A1F" w:rsidRPr="00EB1859">
        <w:t xml:space="preserve"> and communications work</w:t>
      </w:r>
      <w:r w:rsidRPr="00EB1859">
        <w:t xml:space="preserve">. </w:t>
      </w:r>
    </w:p>
    <w:p w14:paraId="7B71A4D4" w14:textId="2330C3FD" w:rsidR="00492CC6" w:rsidRDefault="005C7AEB" w:rsidP="00EB1859">
      <w:r>
        <w:t xml:space="preserve">In 2022-23 </w:t>
      </w:r>
      <w:r w:rsidR="00492CC6">
        <w:t>we saw a return to pre-pandemic patterns and levels</w:t>
      </w:r>
      <w:r>
        <w:t xml:space="preserve"> in most of these areas</w:t>
      </w:r>
      <w:r w:rsidR="00492CC6">
        <w:t>.</w:t>
      </w:r>
      <w:r>
        <w:t xml:space="preserve"> </w:t>
      </w:r>
      <w:r w:rsidR="00492CC6">
        <w:t>The exception was in relation to dispute resolution and complaints management</w:t>
      </w:r>
      <w:r w:rsidR="007E51EF">
        <w:t xml:space="preserve">. COVID-related matters were the basis for 30% of the complaints we received in 2022-23, and almost a quarter of the complaints we finalised during the year. More information on our dispute resolution work is available from page </w:t>
      </w:r>
      <w:r w:rsidR="007873DB">
        <w:t xml:space="preserve">9 </w:t>
      </w:r>
      <w:r w:rsidR="007E51EF">
        <w:t xml:space="preserve">of this report. </w:t>
      </w:r>
    </w:p>
    <w:p w14:paraId="0F40E903" w14:textId="244BFE87" w:rsidR="007E51EF" w:rsidRDefault="007E51EF" w:rsidP="00EB1859">
      <w:r>
        <w:t>Despite the numbers of incoming complaints remaining high, we were able to significantly reduce the wait times for assessment after a</w:t>
      </w:r>
      <w:r w:rsidR="005C7AEB">
        <w:t xml:space="preserve"> welcome</w:t>
      </w:r>
      <w:r>
        <w:t xml:space="preserve"> funding boost in the 2022 state budget. More information about this is available on page </w:t>
      </w:r>
      <w:r w:rsidR="007873DB">
        <w:t>8</w:t>
      </w:r>
      <w:r>
        <w:t xml:space="preserve">. </w:t>
      </w:r>
    </w:p>
    <w:p w14:paraId="237A5854" w14:textId="793092C4" w:rsidR="00242ADB" w:rsidRDefault="004A57B1" w:rsidP="00EB1859">
      <w:r>
        <w:t xml:space="preserve">Media attention shifted from the pandemic in the preceding years to youth justice in 2022-23. Over a third of our media enquiries and requests for comment were youth justice related this year, mostly </w:t>
      </w:r>
      <w:r w:rsidR="00282232">
        <w:t xml:space="preserve">as a result of the first override of Queensland’s </w:t>
      </w:r>
      <w:r w:rsidR="005C7AEB">
        <w:t xml:space="preserve">Human Rights Act since it came into effect in order to make breach of bail an offence for children and youth offenders. More information about this legislative change is available on page </w:t>
      </w:r>
      <w:r w:rsidR="007873DB">
        <w:t>36</w:t>
      </w:r>
      <w:r w:rsidR="005C7AEB">
        <w:t xml:space="preserve">. </w:t>
      </w:r>
    </w:p>
    <w:p w14:paraId="0A39AA51" w14:textId="377BD0A5" w:rsidR="004E1035" w:rsidRDefault="004E1035" w:rsidP="00EB1859">
      <w:r w:rsidRPr="004E1035">
        <w:t xml:space="preserve">Also this year, we handed our final report in our review of Queensland’s Anti-Discrimination Act to the Attorney-General. </w:t>
      </w:r>
      <w:hyperlink r:id="rId15" w:tgtFrame="_blank" w:history="1">
        <w:r w:rsidRPr="004E1035">
          <w:rPr>
            <w:i/>
            <w:iCs/>
          </w:rPr>
          <w:t>Building belonging: Review of Queensland’s Anti-Discrimination Act 1991</w:t>
        </w:r>
      </w:hyperlink>
      <w:r w:rsidRPr="004E1035">
        <w:t> sets out a path forward to ensure the law is effective in protecting people from discrimination and sexual harassment. </w:t>
      </w:r>
      <w:r>
        <w:t xml:space="preserve">It includes 46 recommendations to strengthen and clarify discrimination law, by shifting the focus to prevention, extending protections, and making the law easier to understand and apply. Information about the Review and its consultation processes, as well as the final report, is available from page </w:t>
      </w:r>
      <w:r w:rsidR="007873DB">
        <w:t>46</w:t>
      </w:r>
      <w:r>
        <w:t xml:space="preserve">. </w:t>
      </w:r>
    </w:p>
    <w:p w14:paraId="275A2386" w14:textId="0E916180" w:rsidR="00F33D35" w:rsidRDefault="00F33D35" w:rsidP="00EB1859">
      <w:r>
        <w:t>The government ha</w:t>
      </w:r>
      <w:r w:rsidR="0036058A">
        <w:t>s</w:t>
      </w:r>
      <w:r>
        <w:t xml:space="preserve"> provided in-principle support for all recommendations and committed to implementation within the current term. These reforms will help achieve a more equal Queensland where everyone belongs, and I look forward to working with the Attorney-General and her government to make them a reality. </w:t>
      </w:r>
    </w:p>
    <w:p w14:paraId="6F8D3CFE" w14:textId="77777777" w:rsidR="00F33D35" w:rsidRPr="004E1035" w:rsidRDefault="00F33D35" w:rsidP="00EB1859"/>
    <w:p w14:paraId="272CE6E5" w14:textId="77777777" w:rsidR="00F33D35" w:rsidRPr="0036058A" w:rsidRDefault="00F33D35" w:rsidP="0036058A">
      <w:pPr>
        <w:spacing w:after="0"/>
        <w:rPr>
          <w:b/>
          <w:bCs/>
        </w:rPr>
      </w:pPr>
      <w:bookmarkStart w:id="14" w:name="_Toc80971290"/>
      <w:bookmarkStart w:id="15" w:name="_Toc112424370"/>
      <w:bookmarkStart w:id="16" w:name="_Toc143678691"/>
      <w:r w:rsidRPr="0036058A">
        <w:rPr>
          <w:b/>
          <w:bCs/>
        </w:rPr>
        <w:t>Scott McDougall</w:t>
      </w:r>
    </w:p>
    <w:p w14:paraId="069C96D9" w14:textId="7F87D5D3" w:rsidR="00F33D35" w:rsidRPr="0036058A" w:rsidRDefault="00F33D35" w:rsidP="00EB1859">
      <w:pPr>
        <w:rPr>
          <w:b/>
          <w:bCs/>
          <w:color w:val="000000" w:themeColor="text1"/>
          <w:sz w:val="48"/>
        </w:rPr>
      </w:pPr>
      <w:r w:rsidRPr="0036058A">
        <w:rPr>
          <w:b/>
          <w:bCs/>
        </w:rPr>
        <w:t>Queensland Human Rights Commissioner</w:t>
      </w:r>
      <w:r w:rsidRPr="0036058A">
        <w:rPr>
          <w:b/>
          <w:bCs/>
        </w:rPr>
        <w:br w:type="page"/>
      </w:r>
    </w:p>
    <w:p w14:paraId="41CA5025" w14:textId="3B38A19B" w:rsidR="00A52242" w:rsidRPr="00A21D7D" w:rsidRDefault="00A52242" w:rsidP="00CA5EBF">
      <w:pPr>
        <w:pStyle w:val="Heading1"/>
      </w:pPr>
      <w:bookmarkStart w:id="17" w:name="_Toc144200472"/>
      <w:r w:rsidRPr="00A21D7D">
        <w:lastRenderedPageBreak/>
        <w:t>About the Commission</w:t>
      </w:r>
      <w:bookmarkEnd w:id="14"/>
      <w:bookmarkEnd w:id="15"/>
      <w:bookmarkEnd w:id="16"/>
      <w:bookmarkEnd w:id="17"/>
      <w:r w:rsidRPr="00A21D7D">
        <w:t xml:space="preserve"> </w:t>
      </w:r>
    </w:p>
    <w:p w14:paraId="0971707D" w14:textId="77777777" w:rsidR="00A52242" w:rsidRDefault="00A52242" w:rsidP="00EB1859">
      <w:r>
        <w:t xml:space="preserve">The </w:t>
      </w:r>
      <w:r w:rsidRPr="00A21D7D">
        <w:t xml:space="preserve">Commission is an independent statutory body established under the </w:t>
      </w:r>
      <w:r w:rsidRPr="00FC6699">
        <w:rPr>
          <w:i/>
        </w:rPr>
        <w:t>Anti-Discrimination Act 1991</w:t>
      </w:r>
      <w:r w:rsidRPr="00A21D7D">
        <w:rPr>
          <w:i/>
        </w:rPr>
        <w:t>.</w:t>
      </w:r>
      <w:r w:rsidRPr="00A21D7D">
        <w:t xml:space="preserve"> We are accountable to Parliament through the Attorney-General and Minister for Justice. </w:t>
      </w:r>
    </w:p>
    <w:p w14:paraId="5FF5251A" w14:textId="77777777" w:rsidR="00A52242" w:rsidRPr="00452AA3" w:rsidRDefault="00A52242" w:rsidP="00EB1859">
      <w:pPr>
        <w:rPr>
          <w:rFonts w:eastAsia="Times New Roman"/>
        </w:rPr>
      </w:pPr>
      <w:r w:rsidRPr="00A21D7D">
        <w:t xml:space="preserve">Our operational objectives are directly aligned to the objectives of our governing legislation. Through our work we contribute to the </w:t>
      </w:r>
      <w:r w:rsidRPr="002C2333">
        <w:t>whole-of government objectives</w:t>
      </w:r>
      <w:r w:rsidRPr="00A21D7D">
        <w:t xml:space="preserve"> of ‘be a responsive government’ and ‘keep communities safe’, while also delivering on our independent objectives</w:t>
      </w:r>
      <w:r>
        <w:t xml:space="preserve">. The ways in which we deliver services, develop and support staff, and engage with the community also reflect the Queensland public service values of putting customers first, translating ideas into action, unleashing potential, being courageous, and empowering people. </w:t>
      </w:r>
    </w:p>
    <w:p w14:paraId="5A9D5167" w14:textId="77777777" w:rsidR="00A52242" w:rsidRDefault="00A52242" w:rsidP="00EB1859">
      <w:r>
        <w:t>We are</w:t>
      </w:r>
      <w:r w:rsidRPr="00A21D7D">
        <w:t xml:space="preserve"> led by the Human Rights Commissioner</w:t>
      </w:r>
      <w:r>
        <w:t>,</w:t>
      </w:r>
      <w:r w:rsidRPr="00A21D7D">
        <w:t xml:space="preserve"> who is appointed</w:t>
      </w:r>
      <w:r>
        <w:t xml:space="preserve"> under section 238 of the Anti-Discrimination Act</w:t>
      </w:r>
      <w:r w:rsidRPr="00A21D7D">
        <w:t xml:space="preserve"> by the Governor in Council</w:t>
      </w:r>
      <w:r>
        <w:t>,</w:t>
      </w:r>
      <w:r w:rsidRPr="00A21D7D">
        <w:t xml:space="preserve"> and reports to the Queensland Parliament through the Attorney-General and Minister for Justice. </w:t>
      </w:r>
    </w:p>
    <w:p w14:paraId="6048B907" w14:textId="77777777" w:rsidR="00A52242" w:rsidRPr="004327C1" w:rsidRDefault="00A52242" w:rsidP="00EB1859">
      <w:pPr>
        <w:rPr>
          <w:rFonts w:cs="Arial"/>
          <w:iCs/>
        </w:rPr>
      </w:pPr>
      <w:r>
        <w:rPr>
          <w:rFonts w:cs="Arial"/>
        </w:rPr>
        <w:t xml:space="preserve">Our primary legislated functions under the </w:t>
      </w:r>
      <w:r w:rsidRPr="00FC6699">
        <w:rPr>
          <w:i/>
        </w:rPr>
        <w:t>Anti</w:t>
      </w:r>
      <w:r w:rsidRPr="004327C1">
        <w:rPr>
          <w:i/>
        </w:rPr>
        <w:t xml:space="preserve">-Discrimination Act 1991 </w:t>
      </w:r>
      <w:r w:rsidRPr="004327C1">
        <w:t>and</w:t>
      </w:r>
      <w:r w:rsidRPr="004327C1">
        <w:rPr>
          <w:i/>
        </w:rPr>
        <w:t xml:space="preserve"> Human Rights Act 2019 </w:t>
      </w:r>
      <w:r w:rsidRPr="004327C1">
        <w:rPr>
          <w:iCs/>
        </w:rPr>
        <w:t xml:space="preserve">are listed in Appendix D of this report. </w:t>
      </w:r>
    </w:p>
    <w:p w14:paraId="60EF2EDD" w14:textId="77777777" w:rsidR="00A52242" w:rsidRDefault="00A52242" w:rsidP="00EB1859">
      <w:r w:rsidRPr="004327C1">
        <w:t>A chart showing the Commission’s organisational structure is available in Appendix E of this report.</w:t>
      </w:r>
      <w:r>
        <w:t xml:space="preserve"> </w:t>
      </w:r>
    </w:p>
    <w:p w14:paraId="52E5AEA6" w14:textId="77777777" w:rsidR="00A52242" w:rsidRDefault="00A52242" w:rsidP="00EB1859">
      <w:r>
        <w:t>We have</w:t>
      </w:r>
      <w:r w:rsidRPr="00A21D7D">
        <w:t xml:space="preserve"> four offices</w:t>
      </w:r>
      <w:r>
        <w:t>,</w:t>
      </w:r>
      <w:r w:rsidRPr="00A21D7D">
        <w:t xml:space="preserve"> located in Brisbane, Rockhampton, Townsville and Cairns</w:t>
      </w:r>
      <w:r>
        <w:t>,</w:t>
      </w:r>
      <w:r w:rsidRPr="00A21D7D">
        <w:t xml:space="preserve"> which deliver services to the Queensland community. Each regional office performs a variety of functions including </w:t>
      </w:r>
      <w:r>
        <w:t xml:space="preserve">dispute resolution and </w:t>
      </w:r>
      <w:r w:rsidRPr="00A21D7D">
        <w:t xml:space="preserve">complaint management, training, community engagement and provision of information services directly to the public. The Brisbane office is responsible for executive, legal and corporate services. </w:t>
      </w:r>
    </w:p>
    <w:p w14:paraId="5069F264" w14:textId="77777777" w:rsidR="00A52242" w:rsidRPr="00CA5EBF" w:rsidRDefault="00A52242" w:rsidP="00CA5EBF">
      <w:pPr>
        <w:pStyle w:val="Heading2"/>
      </w:pPr>
      <w:bookmarkStart w:id="18" w:name="_Toc112424371"/>
      <w:bookmarkStart w:id="19" w:name="_Toc143678175"/>
      <w:bookmarkStart w:id="20" w:name="_Toc143678692"/>
      <w:bookmarkStart w:id="21" w:name="_Toc144200473"/>
      <w:bookmarkStart w:id="22" w:name="_Toc80971291"/>
      <w:r w:rsidRPr="00CA5EBF">
        <w:t>Our vision</w:t>
      </w:r>
      <w:bookmarkEnd w:id="18"/>
      <w:bookmarkEnd w:id="19"/>
      <w:bookmarkEnd w:id="20"/>
      <w:bookmarkEnd w:id="21"/>
    </w:p>
    <w:p w14:paraId="0B84C93D" w14:textId="77777777" w:rsidR="00A52242" w:rsidRPr="00A21D7D" w:rsidRDefault="00A52242" w:rsidP="00EB1859">
      <w:r w:rsidRPr="00A21D7D">
        <w:t>A Queensland where human rights are real for everyone.</w:t>
      </w:r>
    </w:p>
    <w:p w14:paraId="0028D3A6" w14:textId="77777777" w:rsidR="00A52242" w:rsidRPr="00A21D7D" w:rsidRDefault="00A52242" w:rsidP="00CA5EBF">
      <w:pPr>
        <w:pStyle w:val="Heading2"/>
      </w:pPr>
      <w:bookmarkStart w:id="23" w:name="_Toc112424372"/>
      <w:bookmarkStart w:id="24" w:name="_Toc143678176"/>
      <w:bookmarkStart w:id="25" w:name="_Toc143678693"/>
      <w:bookmarkStart w:id="26" w:name="_Toc144200474"/>
      <w:r w:rsidRPr="00A21D7D">
        <w:t>Our purpose</w:t>
      </w:r>
      <w:bookmarkEnd w:id="23"/>
      <w:bookmarkEnd w:id="24"/>
      <w:bookmarkEnd w:id="25"/>
      <w:bookmarkEnd w:id="26"/>
    </w:p>
    <w:p w14:paraId="394C3A68" w14:textId="77777777" w:rsidR="00A52242" w:rsidRPr="00A21D7D" w:rsidRDefault="00A52242" w:rsidP="00EB1859">
      <w:r w:rsidRPr="00A21D7D">
        <w:t>To protect and promote freedom, respect, equality and dignity.</w:t>
      </w:r>
    </w:p>
    <w:p w14:paraId="3C697CFA" w14:textId="77777777" w:rsidR="00A52242" w:rsidRDefault="00A52242" w:rsidP="00EB1859">
      <w:pPr>
        <w:rPr>
          <w:color w:val="000000" w:themeColor="text1"/>
          <w:sz w:val="36"/>
        </w:rPr>
      </w:pPr>
      <w:bookmarkStart w:id="27" w:name="_Toc80971301"/>
      <w:bookmarkStart w:id="28" w:name="_Toc112424373"/>
      <w:bookmarkEnd w:id="22"/>
      <w:r>
        <w:br w:type="page"/>
      </w:r>
    </w:p>
    <w:p w14:paraId="35EC58D7" w14:textId="77777777" w:rsidR="00A52242" w:rsidRPr="00A21D7D" w:rsidRDefault="00A52242" w:rsidP="00CA5EBF">
      <w:pPr>
        <w:pStyle w:val="Heading2"/>
      </w:pPr>
      <w:bookmarkStart w:id="29" w:name="_Toc143678177"/>
      <w:bookmarkStart w:id="30" w:name="_Toc143678694"/>
      <w:bookmarkStart w:id="31" w:name="_Toc144200475"/>
      <w:r w:rsidRPr="00A21D7D">
        <w:lastRenderedPageBreak/>
        <w:t>Our services</w:t>
      </w:r>
      <w:bookmarkEnd w:id="27"/>
      <w:bookmarkEnd w:id="28"/>
      <w:bookmarkEnd w:id="29"/>
      <w:bookmarkEnd w:id="30"/>
      <w:bookmarkEnd w:id="31"/>
      <w:r w:rsidRPr="00A21D7D">
        <w:t xml:space="preserve"> </w:t>
      </w:r>
    </w:p>
    <w:p w14:paraId="4718F7A9" w14:textId="77777777" w:rsidR="00A52242" w:rsidRDefault="00A52242" w:rsidP="00EB1859">
      <w:r w:rsidRPr="00A21D7D">
        <w:t xml:space="preserve">Our services include: </w:t>
      </w:r>
    </w:p>
    <w:p w14:paraId="23E1FA25" w14:textId="77777777" w:rsidR="00A52242" w:rsidRDefault="00A52242" w:rsidP="00EB1859">
      <w:pPr>
        <w:pStyle w:val="ListParagraph"/>
        <w:rPr>
          <w:rFonts w:eastAsia="Times New Roman"/>
        </w:rPr>
      </w:pPr>
      <w:r>
        <w:rPr>
          <w:rFonts w:eastAsia="Times New Roman"/>
        </w:rPr>
        <w:t>p</w:t>
      </w:r>
      <w:r w:rsidRPr="00B614D3">
        <w:rPr>
          <w:rFonts w:eastAsia="Times New Roman"/>
        </w:rPr>
        <w:t>roviding an expert dispute resolution service for discrimination and human rights complaints</w:t>
      </w:r>
    </w:p>
    <w:p w14:paraId="2F461890" w14:textId="77777777" w:rsidR="00A52242" w:rsidRPr="00B614D3" w:rsidRDefault="00A52242" w:rsidP="00EB1859">
      <w:pPr>
        <w:pStyle w:val="ListParagraph"/>
        <w:rPr>
          <w:rFonts w:eastAsia="Times New Roman"/>
        </w:rPr>
      </w:pPr>
      <w:r>
        <w:rPr>
          <w:rFonts w:eastAsia="Times New Roman"/>
        </w:rPr>
        <w:t xml:space="preserve">helping people understand their rights and responsibilities through our </w:t>
      </w:r>
      <w:proofErr w:type="spellStart"/>
      <w:r>
        <w:rPr>
          <w:rFonts w:eastAsia="Times New Roman"/>
        </w:rPr>
        <w:t>statewide</w:t>
      </w:r>
      <w:proofErr w:type="spellEnd"/>
      <w:r>
        <w:rPr>
          <w:rFonts w:eastAsia="Times New Roman"/>
        </w:rPr>
        <w:t xml:space="preserve"> enquiry service</w:t>
      </w:r>
    </w:p>
    <w:p w14:paraId="2F290BDA" w14:textId="77777777" w:rsidR="00A52242" w:rsidRPr="00B614D3" w:rsidRDefault="00A52242" w:rsidP="00EB1859">
      <w:pPr>
        <w:pStyle w:val="ListParagraph"/>
        <w:rPr>
          <w:rFonts w:eastAsia="Times New Roman"/>
        </w:rPr>
      </w:pPr>
      <w:r>
        <w:rPr>
          <w:rFonts w:eastAsia="Times New Roman"/>
        </w:rPr>
        <w:t>t</w:t>
      </w:r>
      <w:r w:rsidRPr="00B614D3">
        <w:rPr>
          <w:rFonts w:eastAsia="Times New Roman"/>
        </w:rPr>
        <w:t>raining businesses, government and the community</w:t>
      </w:r>
    </w:p>
    <w:p w14:paraId="54B8853B" w14:textId="77777777" w:rsidR="00A52242" w:rsidRPr="00B614D3" w:rsidRDefault="00A52242" w:rsidP="00EB1859">
      <w:pPr>
        <w:pStyle w:val="ListParagraph"/>
        <w:rPr>
          <w:rFonts w:eastAsia="Times New Roman"/>
        </w:rPr>
      </w:pPr>
      <w:r>
        <w:rPr>
          <w:rFonts w:eastAsia="Times New Roman"/>
        </w:rPr>
        <w:t>s</w:t>
      </w:r>
      <w:r w:rsidRPr="00B614D3">
        <w:rPr>
          <w:rFonts w:eastAsia="Times New Roman"/>
        </w:rPr>
        <w:t xml:space="preserve">upporting the development of policy and legislation to better protect rights </w:t>
      </w:r>
    </w:p>
    <w:p w14:paraId="45DC1CDF" w14:textId="77777777" w:rsidR="00A52242" w:rsidRDefault="00A52242" w:rsidP="00EB1859">
      <w:pPr>
        <w:pStyle w:val="ListParagraph"/>
        <w:rPr>
          <w:rFonts w:eastAsia="Times New Roman"/>
        </w:rPr>
      </w:pPr>
      <w:r>
        <w:rPr>
          <w:rFonts w:eastAsia="Times New Roman"/>
        </w:rPr>
        <w:t>i</w:t>
      </w:r>
      <w:r w:rsidRPr="00B614D3">
        <w:rPr>
          <w:rFonts w:eastAsia="Times New Roman"/>
        </w:rPr>
        <w:t>ncreasing public understanding and discussion of human rights and responsibilities</w:t>
      </w:r>
      <w:r>
        <w:rPr>
          <w:rFonts w:eastAsia="Times New Roman"/>
        </w:rPr>
        <w:t xml:space="preserve"> through our</w:t>
      </w:r>
      <w:r w:rsidRPr="00B614D3">
        <w:rPr>
          <w:rFonts w:eastAsia="Times New Roman"/>
        </w:rPr>
        <w:t xml:space="preserve"> </w:t>
      </w:r>
      <w:r>
        <w:rPr>
          <w:rFonts w:eastAsia="Times New Roman"/>
        </w:rPr>
        <w:t>community engagement, education programs and communications.</w:t>
      </w:r>
    </w:p>
    <w:p w14:paraId="284C7B31" w14:textId="77777777" w:rsidR="00A52242" w:rsidRPr="003E19E6" w:rsidRDefault="00A52242" w:rsidP="00EB1859"/>
    <w:p w14:paraId="614D1556" w14:textId="5AA6FBD7" w:rsidR="00A52242" w:rsidRDefault="00A52242" w:rsidP="00EB1859">
      <w:r>
        <w:br w:type="page"/>
      </w:r>
    </w:p>
    <w:p w14:paraId="1DDD3E62" w14:textId="77777777" w:rsidR="00A52242" w:rsidRDefault="00A52242" w:rsidP="00CA5EBF">
      <w:pPr>
        <w:pStyle w:val="Heading1"/>
      </w:pPr>
      <w:bookmarkStart w:id="32" w:name="_Toc143678695"/>
      <w:bookmarkStart w:id="33" w:name="_Toc144200476"/>
      <w:bookmarkStart w:id="34" w:name="_Toc112424375"/>
      <w:r>
        <w:lastRenderedPageBreak/>
        <w:t>Issues impacting on service delivery</w:t>
      </w:r>
      <w:bookmarkEnd w:id="32"/>
      <w:bookmarkEnd w:id="33"/>
    </w:p>
    <w:bookmarkEnd w:id="34"/>
    <w:p w14:paraId="4BAEFEBB" w14:textId="77777777" w:rsidR="00A52242" w:rsidRDefault="00A52242" w:rsidP="00EB1859">
      <w:r>
        <w:t>The increasing numbers and complexity of complaints continues to impact on the Commission’s service delivery in relation to our dispute resolution and complaint handling functions</w:t>
      </w:r>
      <w:r w:rsidRPr="00ED1050">
        <w:t xml:space="preserve">. </w:t>
      </w:r>
    </w:p>
    <w:p w14:paraId="136F3091" w14:textId="77777777" w:rsidR="00A52242" w:rsidRDefault="00A52242" w:rsidP="00EB1859">
      <w:r w:rsidRPr="007F67C3">
        <w:t xml:space="preserve">The increased demand for our dispute resolution services and the ongoing high numbers of complaints were recognised in the state budget in June 2022 which included a welcome funding boost for the Commission. </w:t>
      </w:r>
      <w:r w:rsidRPr="007F67C3">
        <w:br/>
      </w:r>
      <w:r w:rsidRPr="007F67C3">
        <w:br/>
        <w:t>This funding was used to establish a</w:t>
      </w:r>
      <w:r>
        <w:t>n additional</w:t>
      </w:r>
      <w:r w:rsidRPr="007F67C3">
        <w:t xml:space="preserve"> team to manage complaints which had been awaiting assessment for extended time periods. The creation of this team has allowed us to increase frontline capacity to respond to complaints, help address long wait times for assessment, and deal with complaints more quickly. This team finalised almost 500 of these complaints from November 2022 to 30 June 2023. </w:t>
      </w:r>
    </w:p>
    <w:p w14:paraId="2BA6DBFB" w14:textId="77777777" w:rsidR="00A52242" w:rsidRPr="007F67C3" w:rsidRDefault="00A52242" w:rsidP="00EB1859">
      <w:r>
        <w:t>We</w:t>
      </w:r>
      <w:r w:rsidRPr="007F67C3">
        <w:t xml:space="preserve"> continued to implement other strategies to deal with the large volume of</w:t>
      </w:r>
      <w:r>
        <w:t xml:space="preserve"> both existing and</w:t>
      </w:r>
      <w:r w:rsidRPr="007F67C3">
        <w:t xml:space="preserve"> incoming complaints including:</w:t>
      </w:r>
    </w:p>
    <w:p w14:paraId="3B51F397" w14:textId="77777777" w:rsidR="00A52242" w:rsidRPr="007F67C3" w:rsidRDefault="00A52242" w:rsidP="00EB1859">
      <w:pPr>
        <w:pStyle w:val="ListParagraph"/>
        <w:numPr>
          <w:ilvl w:val="0"/>
          <w:numId w:val="3"/>
        </w:numPr>
      </w:pPr>
      <w:r w:rsidRPr="007F67C3">
        <w:t>Triage of all complaints to assess complexity, prioritisation and jurisdiction early;</w:t>
      </w:r>
    </w:p>
    <w:p w14:paraId="51FAC5AA" w14:textId="77777777" w:rsidR="00A52242" w:rsidRPr="007F67C3" w:rsidRDefault="00A52242" w:rsidP="00EB1859">
      <w:pPr>
        <w:pStyle w:val="ListParagraph"/>
        <w:numPr>
          <w:ilvl w:val="0"/>
          <w:numId w:val="3"/>
        </w:numPr>
      </w:pPr>
      <w:r w:rsidRPr="007F67C3">
        <w:t>Streamlined complaint processes including plain English emails and pre-booked pre-conference call dates;</w:t>
      </w:r>
    </w:p>
    <w:p w14:paraId="1C7DF47C" w14:textId="77777777" w:rsidR="00A52242" w:rsidRPr="007F67C3" w:rsidRDefault="00A52242" w:rsidP="00EB1859">
      <w:pPr>
        <w:pStyle w:val="ListParagraph"/>
        <w:numPr>
          <w:ilvl w:val="0"/>
          <w:numId w:val="3"/>
        </w:numPr>
      </w:pPr>
      <w:r w:rsidRPr="007F67C3">
        <w:t>Allocating similar complaints to specific complaint teams for efficiency and consistency;</w:t>
      </w:r>
    </w:p>
    <w:p w14:paraId="2718F7D7" w14:textId="77777777" w:rsidR="00A52242" w:rsidRPr="007F67C3" w:rsidRDefault="00A52242" w:rsidP="00EB1859">
      <w:pPr>
        <w:pStyle w:val="ListParagraph"/>
        <w:numPr>
          <w:ilvl w:val="0"/>
          <w:numId w:val="3"/>
        </w:numPr>
      </w:pPr>
      <w:r w:rsidRPr="007F67C3">
        <w:t xml:space="preserve">Higher rate of allocation to all complaint handlers; </w:t>
      </w:r>
    </w:p>
    <w:p w14:paraId="03E8AED4" w14:textId="77777777" w:rsidR="00A52242" w:rsidRPr="007F67C3" w:rsidRDefault="00A52242" w:rsidP="00EB1859">
      <w:pPr>
        <w:pStyle w:val="ListParagraph"/>
        <w:numPr>
          <w:ilvl w:val="0"/>
          <w:numId w:val="3"/>
        </w:numPr>
      </w:pPr>
      <w:r w:rsidRPr="007F67C3">
        <w:t>Consolidating the triage and intake teams to create more overall efficiency.</w:t>
      </w:r>
    </w:p>
    <w:p w14:paraId="1087A594" w14:textId="77777777" w:rsidR="00A52242" w:rsidRDefault="00A52242" w:rsidP="00EB1859">
      <w:r w:rsidRPr="007F67C3">
        <w:t>With this range of efficiencies introduced throughout the COVID pandemic and continued this year, we have worked to address the long wait times</w:t>
      </w:r>
      <w:r>
        <w:t xml:space="preserve"> </w:t>
      </w:r>
      <w:r w:rsidRPr="007F67C3">
        <w:t>which have resulted from the significant and ongoing increase in complaints.</w:t>
      </w:r>
    </w:p>
    <w:p w14:paraId="3EE7D8D6" w14:textId="150C25DB" w:rsidR="00A52242" w:rsidRPr="007F67C3" w:rsidRDefault="00A52242" w:rsidP="00EB1859">
      <w:r>
        <w:t xml:space="preserve">More information about our complaint handling and dispute resolution work during 2022-23 is available </w:t>
      </w:r>
      <w:r w:rsidR="007873DB">
        <w:t xml:space="preserve">from the next page </w:t>
      </w:r>
      <w:r>
        <w:t xml:space="preserve">of this report. </w:t>
      </w:r>
    </w:p>
    <w:p w14:paraId="5F765AD0" w14:textId="77777777" w:rsidR="00A52242" w:rsidRPr="007F67C3" w:rsidRDefault="00A52242" w:rsidP="00EB1859"/>
    <w:p w14:paraId="5A86CBEE" w14:textId="77777777" w:rsidR="00A52242" w:rsidRPr="003E19E6" w:rsidRDefault="00A52242" w:rsidP="00EB1859">
      <w:r w:rsidRPr="003E19E6">
        <w:t xml:space="preserve"> </w:t>
      </w:r>
    </w:p>
    <w:p w14:paraId="53183F98" w14:textId="5FAA202B" w:rsidR="00A52242" w:rsidRDefault="00A52242" w:rsidP="00EB1859">
      <w:r>
        <w:br w:type="page"/>
      </w:r>
    </w:p>
    <w:p w14:paraId="050D1696" w14:textId="77777777" w:rsidR="00A52242" w:rsidRPr="00ED1050" w:rsidRDefault="00A52242" w:rsidP="00CA5EBF">
      <w:pPr>
        <w:pStyle w:val="Heading1"/>
      </w:pPr>
      <w:bookmarkStart w:id="35" w:name="_Hlk111819130"/>
      <w:bookmarkStart w:id="36" w:name="_Toc80971333"/>
      <w:bookmarkStart w:id="37" w:name="_Toc143678696"/>
      <w:bookmarkStart w:id="38" w:name="_Toc144200477"/>
      <w:bookmarkEnd w:id="35"/>
      <w:r>
        <w:lastRenderedPageBreak/>
        <w:t>Dispute resolution and c</w:t>
      </w:r>
      <w:r w:rsidRPr="00ED1050">
        <w:t>omplaint management</w:t>
      </w:r>
      <w:bookmarkEnd w:id="36"/>
      <w:bookmarkEnd w:id="37"/>
      <w:bookmarkEnd w:id="38"/>
    </w:p>
    <w:p w14:paraId="6228223A" w14:textId="77777777" w:rsidR="00A52242" w:rsidRPr="00ED1050" w:rsidRDefault="00A52242" w:rsidP="00EB1859">
      <w:r>
        <w:t xml:space="preserve">Our functions under the </w:t>
      </w:r>
      <w:r w:rsidRPr="0058058F">
        <w:rPr>
          <w:i/>
          <w:iCs/>
        </w:rPr>
        <w:t>Anti-Discrimination Act 1991</w:t>
      </w:r>
      <w:r>
        <w:t xml:space="preserve"> and the </w:t>
      </w:r>
      <w:r w:rsidRPr="0058058F">
        <w:rPr>
          <w:i/>
          <w:iCs/>
        </w:rPr>
        <w:t>Human Rights Act 2019</w:t>
      </w:r>
      <w:r>
        <w:t xml:space="preserve"> include impartial dispute resolution of complaints. </w:t>
      </w:r>
    </w:p>
    <w:p w14:paraId="38B5EB94" w14:textId="77777777" w:rsidR="00A52242" w:rsidRPr="00ED1050" w:rsidRDefault="00A52242" w:rsidP="00CA5EBF">
      <w:pPr>
        <w:pStyle w:val="Heading2"/>
      </w:pPr>
      <w:bookmarkStart w:id="39" w:name="_Toc143677675"/>
      <w:bookmarkStart w:id="40" w:name="_Toc143677795"/>
      <w:bookmarkStart w:id="41" w:name="_Toc143678697"/>
      <w:bookmarkStart w:id="42" w:name="_Toc144200478"/>
      <w:r w:rsidRPr="00ED1050">
        <w:t>Complaints</w:t>
      </w:r>
      <w:r>
        <w:t xml:space="preserve"> we</w:t>
      </w:r>
      <w:r w:rsidRPr="00ED1050">
        <w:t xml:space="preserve"> received</w:t>
      </w:r>
      <w:bookmarkEnd w:id="39"/>
      <w:bookmarkEnd w:id="40"/>
      <w:bookmarkEnd w:id="41"/>
      <w:bookmarkEnd w:id="42"/>
      <w:r w:rsidRPr="00ED1050">
        <w:t xml:space="preserve"> </w:t>
      </w:r>
    </w:p>
    <w:p w14:paraId="361B64CF" w14:textId="77777777" w:rsidR="00A52242" w:rsidRDefault="00A52242" w:rsidP="00EB1859">
      <w:r w:rsidRPr="00462B22">
        <w:t>This year 1860</w:t>
      </w:r>
      <w:r w:rsidRPr="00DA4280">
        <w:t xml:space="preserve"> complaints were received across the state. Although this figure is relatively on par with the 1870 received the previous year, it is still around double the number of complaints we received in 2018-19. </w:t>
      </w:r>
    </w:p>
    <w:p w14:paraId="53F71D15" w14:textId="77777777" w:rsidR="00A52242" w:rsidRPr="00DA4280" w:rsidRDefault="00A52242" w:rsidP="00EB1859">
      <w:r>
        <w:t xml:space="preserve">While the COVID-19 pandemic and its associated restrictions are no longer active throughout Queensland, the Commission continued to receive a high volume of COVID-19 related complaints during 2022-23. This meant that the volume of complaints this financial year has remained almost at the same level as at the height of the pandemic. </w:t>
      </w:r>
    </w:p>
    <w:p w14:paraId="5085CD34" w14:textId="77777777" w:rsidR="00CA5EBF" w:rsidRDefault="00CA5EBF" w:rsidP="00EB1859">
      <w:pPr>
        <w:pStyle w:val="Caption"/>
      </w:pPr>
    </w:p>
    <w:p w14:paraId="4A239E32" w14:textId="3D285D08" w:rsidR="00A52242" w:rsidRDefault="00A52242" w:rsidP="00EB1859">
      <w:pPr>
        <w:pStyle w:val="Caption"/>
      </w:pPr>
      <w:r>
        <w:t xml:space="preserve">Figure </w:t>
      </w:r>
      <w:r w:rsidR="004327C1">
        <w:t>1</w:t>
      </w:r>
      <w:r>
        <w:t>: Total complaints received 2017-18 to 2022-23</w:t>
      </w:r>
    </w:p>
    <w:p w14:paraId="5378CFC3" w14:textId="77777777" w:rsidR="00A52242" w:rsidRPr="00ED1050" w:rsidRDefault="00A52242" w:rsidP="00EB1859">
      <w:pPr>
        <w:rPr>
          <w:color w:val="000000" w:themeColor="text1"/>
        </w:rPr>
      </w:pPr>
      <w:r>
        <w:rPr>
          <w:noProof/>
        </w:rPr>
        <w:drawing>
          <wp:inline distT="0" distB="0" distL="0" distR="0" wp14:anchorId="5D449F22" wp14:editId="26753C96">
            <wp:extent cx="4572000" cy="2743200"/>
            <wp:effectExtent l="0" t="0" r="0" b="0"/>
            <wp:docPr id="2" name="Chart 2" descr="Line graph showing the number of incoming complaints each financial year from 2017-18 to 2022-23. The chart shows an increase from 847 complaints in 2017-18 to 1860 in 2022-23, with the largest growth occurring in the 2020-21 financial year.">
              <a:extLst xmlns:a="http://schemas.openxmlformats.org/drawingml/2006/main">
                <a:ext uri="{FF2B5EF4-FFF2-40B4-BE49-F238E27FC236}">
                  <a16:creationId xmlns:a16="http://schemas.microsoft.com/office/drawing/2014/main" id="{A22F8F23-764F-48C3-927A-72732DD997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C444197" w14:textId="77777777" w:rsidR="000767A8" w:rsidRDefault="000767A8">
      <w:pPr>
        <w:ind w:right="0"/>
        <w:rPr>
          <w:color w:val="000000" w:themeColor="text1"/>
          <w:sz w:val="36"/>
        </w:rPr>
      </w:pPr>
      <w:bookmarkStart w:id="43" w:name="_Toc143677676"/>
      <w:bookmarkStart w:id="44" w:name="_Toc143677796"/>
      <w:bookmarkStart w:id="45" w:name="_Toc143678181"/>
      <w:bookmarkStart w:id="46" w:name="_Toc143678698"/>
      <w:bookmarkStart w:id="47" w:name="_Toc144200479"/>
      <w:r>
        <w:br w:type="page"/>
      </w:r>
    </w:p>
    <w:p w14:paraId="62D780BF" w14:textId="72957F5F" w:rsidR="00A52242" w:rsidRPr="00ED1050" w:rsidRDefault="00A52242" w:rsidP="00CA5EBF">
      <w:pPr>
        <w:pStyle w:val="Heading2"/>
      </w:pPr>
      <w:r>
        <w:lastRenderedPageBreak/>
        <w:t>Complaints we are able to deal with</w:t>
      </w:r>
      <w:bookmarkEnd w:id="43"/>
      <w:bookmarkEnd w:id="44"/>
      <w:bookmarkEnd w:id="45"/>
      <w:bookmarkEnd w:id="46"/>
      <w:bookmarkEnd w:id="47"/>
      <w:r>
        <w:t xml:space="preserve"> </w:t>
      </w:r>
    </w:p>
    <w:p w14:paraId="0072F9AE" w14:textId="77777777" w:rsidR="00A52242" w:rsidRDefault="00A52242" w:rsidP="00EB1859">
      <w:r>
        <w:t xml:space="preserve">The complaints we are able to deal with are defined by legislation, which contains criteria complaints must meet in order to be accepted. </w:t>
      </w:r>
    </w:p>
    <w:p w14:paraId="55E136F7" w14:textId="77777777" w:rsidR="00A52242" w:rsidRDefault="00A52242" w:rsidP="00EB1859">
      <w:pPr>
        <w:rPr>
          <w:sz w:val="24"/>
        </w:rPr>
      </w:pPr>
      <w:bookmarkStart w:id="48" w:name="_Hlk106797562"/>
      <w:r>
        <w:t>We deal with complaints about:</w:t>
      </w:r>
    </w:p>
    <w:p w14:paraId="3C0688C2" w14:textId="77777777" w:rsidR="00A52242" w:rsidRPr="002F0092" w:rsidRDefault="00A52242" w:rsidP="00EB1859">
      <w:pPr>
        <w:pStyle w:val="ListParagraph"/>
        <w:numPr>
          <w:ilvl w:val="0"/>
          <w:numId w:val="10"/>
        </w:numPr>
        <w:rPr>
          <w:rFonts w:eastAsia="Times New Roman"/>
        </w:rPr>
      </w:pPr>
      <w:r w:rsidRPr="002F0092">
        <w:rPr>
          <w:rFonts w:eastAsia="Times New Roman"/>
        </w:rPr>
        <w:t xml:space="preserve">discrimination, sexual harassment, victimisation, vilification, and other contraventions of the </w:t>
      </w:r>
      <w:r w:rsidRPr="002F0092">
        <w:rPr>
          <w:rFonts w:eastAsia="Times New Roman"/>
          <w:i/>
        </w:rPr>
        <w:t>Anti-Discrimination Act 1991</w:t>
      </w:r>
      <w:r w:rsidRPr="002F0092">
        <w:rPr>
          <w:rFonts w:eastAsia="Times New Roman"/>
        </w:rPr>
        <w:t>;</w:t>
      </w:r>
    </w:p>
    <w:p w14:paraId="61B95669" w14:textId="77777777" w:rsidR="00A52242" w:rsidRPr="002F0092" w:rsidRDefault="00A52242" w:rsidP="00EB1859">
      <w:pPr>
        <w:pStyle w:val="ListParagraph"/>
        <w:numPr>
          <w:ilvl w:val="0"/>
          <w:numId w:val="10"/>
        </w:numPr>
        <w:rPr>
          <w:rFonts w:eastAsia="Times New Roman"/>
        </w:rPr>
      </w:pPr>
      <w:r w:rsidRPr="002F0092">
        <w:rPr>
          <w:rFonts w:eastAsia="Times New Roman"/>
        </w:rPr>
        <w:t xml:space="preserve">reprisal under the </w:t>
      </w:r>
      <w:r w:rsidRPr="002F0092">
        <w:rPr>
          <w:rFonts w:eastAsia="Times New Roman"/>
          <w:i/>
        </w:rPr>
        <w:t>Public Interest Disclosure Act 2010</w:t>
      </w:r>
      <w:r w:rsidRPr="002F0092">
        <w:rPr>
          <w:rFonts w:eastAsia="Times New Roman"/>
        </w:rPr>
        <w:t xml:space="preserve">, </w:t>
      </w:r>
      <w:r w:rsidRPr="0058058F">
        <w:rPr>
          <w:rFonts w:eastAsia="Times New Roman"/>
        </w:rPr>
        <w:t>enabling people to resolve their complaints through the Commission’s process as an alternative to pursuing court proceedings; and</w:t>
      </w:r>
    </w:p>
    <w:p w14:paraId="1E34F57B" w14:textId="46B0F561" w:rsidR="00A52242" w:rsidRDefault="00A52242" w:rsidP="00EB1859">
      <w:pPr>
        <w:pStyle w:val="ListParagraph"/>
        <w:numPr>
          <w:ilvl w:val="0"/>
          <w:numId w:val="10"/>
        </w:numPr>
        <w:rPr>
          <w:rFonts w:eastAsia="Times New Roman"/>
        </w:rPr>
      </w:pPr>
      <w:r w:rsidRPr="0058058F">
        <w:rPr>
          <w:rFonts w:eastAsia="Times New Roman"/>
        </w:rPr>
        <w:t xml:space="preserve">unreasonable limitations of human rights by public entities under the </w:t>
      </w:r>
      <w:r w:rsidRPr="0058058F">
        <w:rPr>
          <w:rFonts w:eastAsia="Times New Roman"/>
          <w:i/>
        </w:rPr>
        <w:t>Human Rights Act 2019</w:t>
      </w:r>
      <w:r w:rsidRPr="0058058F">
        <w:rPr>
          <w:rFonts w:eastAsia="Times New Roman"/>
        </w:rPr>
        <w:t>.</w:t>
      </w:r>
    </w:p>
    <w:p w14:paraId="699726C9" w14:textId="7311CF5E" w:rsidR="007608F0" w:rsidRPr="008510F2" w:rsidRDefault="007608F0" w:rsidP="007608F0">
      <w:pPr>
        <w:pStyle w:val="Keystatistics"/>
      </w:pPr>
      <w:r>
        <w:t>“</w:t>
      </w:r>
      <w:r w:rsidRPr="008510F2">
        <w:t xml:space="preserve">This was my first involvement with a conciliation before the QHRC as a lawyer. </w:t>
      </w:r>
      <w:r>
        <w:t>(Conciliator)</w:t>
      </w:r>
      <w:r w:rsidRPr="008510F2">
        <w:t xml:space="preserve"> struck a perfect balance between being helpful (explaining the process) and maintaining independence</w:t>
      </w:r>
      <w:r>
        <w:t>” - r</w:t>
      </w:r>
      <w:r w:rsidRPr="007608F0">
        <w:rPr>
          <w:shd w:val="clear" w:color="auto" w:fill="FFFFFF"/>
        </w:rPr>
        <w:t>espondent's lawyer</w:t>
      </w:r>
    </w:p>
    <w:p w14:paraId="0DC256D2" w14:textId="77777777" w:rsidR="007608F0" w:rsidRPr="007608F0" w:rsidRDefault="007608F0" w:rsidP="007608F0">
      <w:pPr>
        <w:rPr>
          <w:rFonts w:eastAsia="Times New Roman"/>
        </w:rPr>
      </w:pPr>
    </w:p>
    <w:p w14:paraId="70BA2268" w14:textId="77777777" w:rsidR="00A52242" w:rsidRDefault="00A52242" w:rsidP="00CA5EBF">
      <w:pPr>
        <w:pStyle w:val="Heading2"/>
      </w:pPr>
      <w:bookmarkStart w:id="49" w:name="_Toc143677677"/>
      <w:bookmarkStart w:id="50" w:name="_Toc143677797"/>
      <w:bookmarkStart w:id="51" w:name="_Toc143678182"/>
      <w:bookmarkStart w:id="52" w:name="_Toc143678699"/>
      <w:bookmarkStart w:id="53" w:name="_Toc144200480"/>
      <w:bookmarkEnd w:id="48"/>
      <w:r>
        <w:t>Our dispute resolution process</w:t>
      </w:r>
      <w:bookmarkEnd w:id="49"/>
      <w:bookmarkEnd w:id="50"/>
      <w:bookmarkEnd w:id="51"/>
      <w:bookmarkEnd w:id="52"/>
      <w:bookmarkEnd w:id="53"/>
      <w:r>
        <w:t xml:space="preserve"> </w:t>
      </w:r>
    </w:p>
    <w:p w14:paraId="2FC6EEDC" w14:textId="77777777" w:rsidR="00A52242" w:rsidRDefault="00A52242" w:rsidP="00EB1859">
      <w:r>
        <w:t xml:space="preserve">Each complaint lodged with us is assessed by a conciliator to see if it is a complaint covered by our governing legislation. This involves a thorough examination of the allegations contained in the complaint to determine whether, if proven, they would amount to conduct covered by the legislation. </w:t>
      </w:r>
    </w:p>
    <w:p w14:paraId="7DC64A28" w14:textId="77777777" w:rsidR="00A52242" w:rsidRDefault="00A52242" w:rsidP="00EB1859">
      <w:r>
        <w:t xml:space="preserve">Those that meet the criteria and definitions under the relevant legislation are accepted for dispute resolution. Not all complaints lodged with us are complaints we are able to deal with and attempt to resolve. Reasons for this can include allegations not being covered by the legislation, not being made within the legislated time limits, or the complainant having made a previous complaint about the same allegations. </w:t>
      </w:r>
    </w:p>
    <w:p w14:paraId="3B17D160" w14:textId="77777777" w:rsidR="00A52242" w:rsidRDefault="00A52242" w:rsidP="00EB1859">
      <w:r>
        <w:t xml:space="preserve">We are not a court or tribunal and do not have the power to make a determination on whether or not a breach of the Act/s has occurred. Our role is to help the parties involved in the complaint resolve their dispute. </w:t>
      </w:r>
    </w:p>
    <w:p w14:paraId="1BC818A2" w14:textId="77777777" w:rsidR="00A52242" w:rsidRPr="00ED1050" w:rsidRDefault="00A52242" w:rsidP="00EB1859">
      <w:r w:rsidRPr="00ED1050">
        <w:t>We attempt to resolve complaints accepted under the Anti-Discrimination Act through conciliation conferences. The</w:t>
      </w:r>
      <w:r>
        <w:t xml:space="preserve"> Human Rights</w:t>
      </w:r>
      <w:r w:rsidRPr="00ED1050">
        <w:t xml:space="preserve"> Act </w:t>
      </w:r>
      <w:r>
        <w:t xml:space="preserve">is more flexible and </w:t>
      </w:r>
      <w:r w:rsidRPr="00ED1050">
        <w:t xml:space="preserve">empowers us to </w:t>
      </w:r>
      <w:r>
        <w:t xml:space="preserve">attempt to resolve human rights complaints </w:t>
      </w:r>
      <w:r w:rsidRPr="00ED1050">
        <w:t xml:space="preserve">by taking appropriate reasonable action, which can include conducting preliminary investigations, requesting submissions from public entities, and conducting early negotiations and conciliation conferences. </w:t>
      </w:r>
    </w:p>
    <w:p w14:paraId="7CE7048E" w14:textId="77777777" w:rsidR="007608F0" w:rsidRDefault="007608F0" w:rsidP="00EB1859"/>
    <w:p w14:paraId="6665C0A3" w14:textId="5EDA6F27" w:rsidR="00A52242" w:rsidRDefault="00A52242" w:rsidP="00EB1859">
      <w:r w:rsidRPr="00ED1050">
        <w:lastRenderedPageBreak/>
        <w:t>Conciliation conferences are managed by a conciliator from the Commission. Our conciliators are impartial third parties in this process and do not take sides or advocate for either party, but ensure the process is fair, safe and consistent with the relevant Act</w:t>
      </w:r>
      <w:r>
        <w:t>,</w:t>
      </w:r>
      <w:r w:rsidRPr="00ED1050">
        <w:t xml:space="preserve"> and assist the parties to come to resolution.</w:t>
      </w:r>
      <w:r>
        <w:t xml:space="preserve"> Conciliators have specialist knowledge about human rights and discrimination under the Acts. They will help the parties understand their rights and responsibilities under the Acts, which may include explaining the law, point out the strengths and weaknesses of the complaint and the response, tell all the parties about previous cases and the range of possible outcomes if the complaint does not resolve at conciliation, and make suggestions or give options for resolving the complaint.</w:t>
      </w:r>
    </w:p>
    <w:p w14:paraId="689C197C" w14:textId="77777777" w:rsidR="00A52242" w:rsidRPr="00ED1050" w:rsidRDefault="00A52242" w:rsidP="00EB1859">
      <w:pPr>
        <w:rPr>
          <w:i/>
        </w:rPr>
      </w:pPr>
      <w:r w:rsidRPr="00ED1050">
        <w:t xml:space="preserve">For </w:t>
      </w:r>
      <w:r>
        <w:t>Anti-Discrimination Act</w:t>
      </w:r>
      <w:r w:rsidRPr="00ED1050">
        <w:t xml:space="preserve"> complaints unable to reach resolution, the complainant can choose to proceed to tribunal – the Queensland Industrial Relations Commission for work-related matters, and the Queensland Civil and Administrative Tribunal for all other matters. </w:t>
      </w:r>
    </w:p>
    <w:p w14:paraId="478A95F2" w14:textId="77777777" w:rsidR="00A52242" w:rsidRPr="00ED1050" w:rsidRDefault="00A52242" w:rsidP="00EB1859">
      <w:r w:rsidRPr="00ED1050">
        <w:t xml:space="preserve">Should a </w:t>
      </w:r>
      <w:r>
        <w:t xml:space="preserve">Human Rights Act </w:t>
      </w:r>
      <w:r w:rsidRPr="00ED1050">
        <w:t xml:space="preserve">complaint against a public entity be </w:t>
      </w:r>
      <w:proofErr w:type="spellStart"/>
      <w:r w:rsidRPr="00ED1050">
        <w:t>unconciliable</w:t>
      </w:r>
      <w:proofErr w:type="spellEnd"/>
      <w:r w:rsidRPr="00ED1050">
        <w:t>, the Commissioner may report on actions the entity should take to ensure its acts and decisions are compatible with human rights. Unresolv</w:t>
      </w:r>
      <w:r>
        <w:t>ed</w:t>
      </w:r>
      <w:r w:rsidRPr="00ED1050">
        <w:t xml:space="preserve"> complaints accepted under the Human Rights Act are unable to proceed to a tribunal. </w:t>
      </w:r>
    </w:p>
    <w:p w14:paraId="2AA72DF9" w14:textId="77777777" w:rsidR="00A52242" w:rsidRDefault="00A52242" w:rsidP="00EB1859">
      <w:r w:rsidRPr="00ED1050">
        <w:t xml:space="preserve">It is possible for complaints to be </w:t>
      </w:r>
      <w:r>
        <w:t>covered by</w:t>
      </w:r>
      <w:r w:rsidRPr="00ED1050">
        <w:t xml:space="preserve"> both </w:t>
      </w:r>
      <w:r>
        <w:t xml:space="preserve">the Human Rights and Anti-Discrimination </w:t>
      </w:r>
      <w:r w:rsidRPr="00ED1050">
        <w:t xml:space="preserve">Acts. In </w:t>
      </w:r>
      <w:r>
        <w:t xml:space="preserve">most of </w:t>
      </w:r>
      <w:r w:rsidRPr="00ED1050">
        <w:t>these cases, the complain</w:t>
      </w:r>
      <w:r>
        <w:t xml:space="preserve">t is dealt with under the Anti-Discrimination Act. </w:t>
      </w:r>
    </w:p>
    <w:p w14:paraId="7A0A13B6" w14:textId="77777777" w:rsidR="00A52242" w:rsidRDefault="00A52242" w:rsidP="00CA5EBF">
      <w:pPr>
        <w:pStyle w:val="Heading2"/>
      </w:pPr>
      <w:bookmarkStart w:id="54" w:name="_Toc143677679"/>
      <w:bookmarkStart w:id="55" w:name="_Toc143677799"/>
      <w:bookmarkStart w:id="56" w:name="_Toc143678701"/>
      <w:bookmarkStart w:id="57" w:name="_Toc144200481"/>
      <w:r>
        <w:t>Complaints we finalised</w:t>
      </w:r>
      <w:bookmarkEnd w:id="54"/>
      <w:bookmarkEnd w:id="55"/>
      <w:bookmarkEnd w:id="56"/>
      <w:bookmarkEnd w:id="57"/>
      <w:r>
        <w:t xml:space="preserve"> </w:t>
      </w:r>
    </w:p>
    <w:p w14:paraId="6FA328BF" w14:textId="77777777" w:rsidR="00A52242" w:rsidRDefault="00A52242" w:rsidP="00EB1859">
      <w:r>
        <w:t xml:space="preserve">We finalised 1653 complaints this year, up from 1568 last year. </w:t>
      </w:r>
    </w:p>
    <w:p w14:paraId="615F1C7F" w14:textId="77777777" w:rsidR="00A52242" w:rsidRDefault="00A52242" w:rsidP="00EB1859">
      <w:r>
        <w:t xml:space="preserve">A finalised complaint is one which has been dealt with to conclusion, either through our dispute resolution process or through rejection and closure of the complaint file. </w:t>
      </w:r>
    </w:p>
    <w:p w14:paraId="18D530BF" w14:textId="416A7D98" w:rsidR="00A52242" w:rsidRDefault="00A52242" w:rsidP="00EB1859">
      <w:r w:rsidRPr="007F67C3">
        <w:t xml:space="preserve">The continuing high numbers of complaints being lodged with the Commission means </w:t>
      </w:r>
      <w:r>
        <w:t>extended</w:t>
      </w:r>
      <w:r w:rsidRPr="000B3218">
        <w:t xml:space="preserve"> delays have developed in assessing complaints after lodgement. As a result, </w:t>
      </w:r>
      <w:r>
        <w:t xml:space="preserve">many of the </w:t>
      </w:r>
      <w:r w:rsidRPr="007F67C3">
        <w:t xml:space="preserve">complaints </w:t>
      </w:r>
      <w:r>
        <w:t xml:space="preserve">dealt with this financial year were lodged the previous year. </w:t>
      </w:r>
    </w:p>
    <w:p w14:paraId="7E6437C6" w14:textId="6BF007A4" w:rsidR="007608F0" w:rsidRPr="008510F2" w:rsidRDefault="007608F0" w:rsidP="007608F0">
      <w:pPr>
        <w:pStyle w:val="Keystatistics"/>
      </w:pPr>
      <w:r>
        <w:t>“</w:t>
      </w:r>
      <w:r w:rsidRPr="008510F2">
        <w:t xml:space="preserve">I thought </w:t>
      </w:r>
      <w:r>
        <w:t>(conciliator)</w:t>
      </w:r>
      <w:r w:rsidRPr="008510F2">
        <w:t xml:space="preserve"> did an excellent</w:t>
      </w:r>
      <w:r>
        <w:t xml:space="preserve"> job</w:t>
      </w:r>
      <w:r w:rsidRPr="008510F2">
        <w:t>. I appreciated her open and inclusive approach, which greatly assisted in reaching a resolution in the matter</w:t>
      </w:r>
      <w:r>
        <w:t>” - r</w:t>
      </w:r>
      <w:r w:rsidRPr="008510F2">
        <w:rPr>
          <w:shd w:val="clear" w:color="auto" w:fill="FFFFFF"/>
        </w:rPr>
        <w:t>espondent's lawyer</w:t>
      </w:r>
    </w:p>
    <w:p w14:paraId="2D61075D" w14:textId="77777777" w:rsidR="007608F0" w:rsidRDefault="007608F0" w:rsidP="00EB1859"/>
    <w:p w14:paraId="5F771339" w14:textId="77777777" w:rsidR="00CA5EBF" w:rsidRDefault="00CA5EBF">
      <w:pPr>
        <w:ind w:right="0"/>
        <w:rPr>
          <w:rFonts w:eastAsiaTheme="minorEastAsia"/>
          <w:b/>
          <w:bCs/>
          <w:i/>
          <w:iCs/>
          <w:color w:val="000000" w:themeColor="text1"/>
          <w:sz w:val="20"/>
          <w:szCs w:val="18"/>
          <w:lang w:eastAsia="en-US"/>
        </w:rPr>
      </w:pPr>
      <w:r>
        <w:br w:type="page"/>
      </w:r>
    </w:p>
    <w:p w14:paraId="45BBC57C" w14:textId="2E97629E" w:rsidR="00A52242" w:rsidRDefault="00A52242" w:rsidP="00EB1859">
      <w:pPr>
        <w:pStyle w:val="Caption"/>
      </w:pPr>
      <w:r>
        <w:lastRenderedPageBreak/>
        <w:t xml:space="preserve">Figure </w:t>
      </w:r>
      <w:r w:rsidR="007914A1">
        <w:t>2</w:t>
      </w:r>
      <w:r>
        <w:t>: Outcomes of complaints finalised in 2022-2023</w:t>
      </w:r>
    </w:p>
    <w:p w14:paraId="45996BEF" w14:textId="00AF1AF3" w:rsidR="00CA5EBF" w:rsidRPr="00CA5EBF" w:rsidRDefault="00CA5EBF" w:rsidP="00CA5EBF">
      <w:pPr>
        <w:rPr>
          <w:lang w:eastAsia="en-US"/>
        </w:rPr>
      </w:pPr>
      <w:r>
        <w:rPr>
          <w:noProof/>
        </w:rPr>
        <w:drawing>
          <wp:anchor distT="0" distB="0" distL="114300" distR="114300" simplePos="0" relativeHeight="251665408" behindDoc="1" locked="0" layoutInCell="1" allowOverlap="1" wp14:anchorId="37970B3F" wp14:editId="22A8504E">
            <wp:simplePos x="0" y="0"/>
            <wp:positionH relativeFrom="margin">
              <wp:align>center</wp:align>
            </wp:positionH>
            <wp:positionV relativeFrom="paragraph">
              <wp:posOffset>173990</wp:posOffset>
            </wp:positionV>
            <wp:extent cx="6455410" cy="7456692"/>
            <wp:effectExtent l="0" t="0" r="2540" b="0"/>
            <wp:wrapNone/>
            <wp:docPr id="211" name="Picture 211" descr="This chart shows the outcome of complaints which were finalised (that is, dealt with to conclusion), during 2022-23, in a flowchart format. 1653 complaints were finalised, with 604 of those accepted for dispute resolution and 1049 not accepted. Of accepted complaints, 68 were accepted under the Human Rights Act and rest under the Anti-Discrimination Act (including 173 where allegations were covered by both Acts - these complaints are called 'piggy-back' complaints and are dealt with under the Anti-Discrimination Act). 216 accepted complaints were resolved through our processes, 188 unresolved and referred to tribunal, 94 unresolved but not referred, and the remaining 106 withdrawn or where the complainant lost contact. Of the 1060 complaints we did not accept, 871 were about matters not covered by the legislation, 38 were Human Rights Act complaints where no internal complaint to the public entity had been made, 51 were frivolous or vexatious, and the remaining 89 were withdrawn, dealt with elsewhere, or we lost contact with the complaina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Picture 211" descr="This chart shows the outcome of complaints which were finalised (that is, dealt with to conclusion), during 2022-23, in a flowchart format. 1653 complaints were finalised, with 604 of those accepted for dispute resolution and 1049 not accepted. Of accepted complaints, 68 were accepted under the Human Rights Act and rest under the Anti-Discrimination Act (including 173 where allegations were covered by both Acts - these complaints are called 'piggy-back' complaints and are dealt with under the Anti-Discrimination Act). 216 accepted complaints were resolved through our processes, 188 unresolved and referred to tribunal, 94 unresolved but not referred, and the remaining 106 withdrawn or where the complainant lost contact. Of the 1060 complaints we did not accept, 871 were about matters not covered by the legislation, 38 were Human Rights Act complaints where no internal complaint to the public entity had been made, 51 were frivolous or vexatious, and the remaining 89 were withdrawn, dealt with elsewhere, or we lost contact with the complainant. "/>
                    <pic:cNvPicPr/>
                  </pic:nvPicPr>
                  <pic:blipFill>
                    <a:blip r:embed="rId17">
                      <a:extLst>
                        <a:ext uri="{28A0092B-C50C-407E-A947-70E740481C1C}">
                          <a14:useLocalDpi xmlns:a14="http://schemas.microsoft.com/office/drawing/2010/main" val="0"/>
                        </a:ext>
                      </a:extLst>
                    </a:blip>
                    <a:stretch>
                      <a:fillRect/>
                    </a:stretch>
                  </pic:blipFill>
                  <pic:spPr>
                    <a:xfrm>
                      <a:off x="0" y="0"/>
                      <a:ext cx="6455410" cy="7456692"/>
                    </a:xfrm>
                    <a:prstGeom prst="rect">
                      <a:avLst/>
                    </a:prstGeom>
                  </pic:spPr>
                </pic:pic>
              </a:graphicData>
            </a:graphic>
            <wp14:sizeRelH relativeFrom="page">
              <wp14:pctWidth>0</wp14:pctWidth>
            </wp14:sizeRelH>
            <wp14:sizeRelV relativeFrom="page">
              <wp14:pctHeight>0</wp14:pctHeight>
            </wp14:sizeRelV>
          </wp:anchor>
        </w:drawing>
      </w:r>
    </w:p>
    <w:bookmarkStart w:id="58" w:name="_Toc80971345"/>
    <w:bookmarkStart w:id="59" w:name="_Toc143677680"/>
    <w:bookmarkStart w:id="60" w:name="_Toc143677800"/>
    <w:p w14:paraId="55BB4AC9" w14:textId="20FE6720" w:rsidR="006D5673" w:rsidRDefault="007914A1" w:rsidP="00EB1859">
      <w:pPr>
        <w:rPr>
          <w:color w:val="000000" w:themeColor="text1"/>
          <w:sz w:val="36"/>
        </w:rPr>
      </w:pPr>
      <w:r>
        <w:rPr>
          <w:noProof/>
        </w:rPr>
        <mc:AlternateContent>
          <mc:Choice Requires="wps">
            <w:drawing>
              <wp:anchor distT="45720" distB="45720" distL="114300" distR="114300" simplePos="0" relativeHeight="251661312" behindDoc="0" locked="0" layoutInCell="1" allowOverlap="1" wp14:anchorId="2124BAD4" wp14:editId="15ADA1E5">
                <wp:simplePos x="0" y="0"/>
                <wp:positionH relativeFrom="margin">
                  <wp:align>left</wp:align>
                </wp:positionH>
                <wp:positionV relativeFrom="paragraph">
                  <wp:posOffset>7484745</wp:posOffset>
                </wp:positionV>
                <wp:extent cx="3976577" cy="1404620"/>
                <wp:effectExtent l="0" t="0" r="508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6577" cy="1404620"/>
                        </a:xfrm>
                        <a:prstGeom prst="rect">
                          <a:avLst/>
                        </a:prstGeom>
                        <a:solidFill>
                          <a:srgbClr val="FFFFFF"/>
                        </a:solidFill>
                        <a:ln w="9525">
                          <a:noFill/>
                          <a:miter lim="800000"/>
                          <a:headEnd/>
                          <a:tailEnd/>
                        </a:ln>
                      </wps:spPr>
                      <wps:txbx>
                        <w:txbxContent>
                          <w:p w14:paraId="567AD482" w14:textId="77777777" w:rsidR="00A52242" w:rsidRPr="004670BD" w:rsidRDefault="00A52242" w:rsidP="00A52242">
                            <w:pPr>
                              <w:pStyle w:val="NoSpacing"/>
                              <w:rPr>
                                <w:sz w:val="20"/>
                                <w:szCs w:val="22"/>
                              </w:rPr>
                            </w:pPr>
                            <w:r w:rsidRPr="004670BD">
                              <w:rPr>
                                <w:color w:val="000000" w:themeColor="text1"/>
                                <w:sz w:val="20"/>
                                <w:szCs w:val="22"/>
                                <w:lang w:eastAsia="en-AU"/>
                              </w:rPr>
                              <w:t>*</w:t>
                            </w:r>
                            <w:r w:rsidRPr="004670BD">
                              <w:rPr>
                                <w:sz w:val="20"/>
                                <w:szCs w:val="22"/>
                              </w:rPr>
                              <w:t xml:space="preserve">A ‘piggy-back’ complaint is where the complainant has a complaint that falls under the </w:t>
                            </w:r>
                            <w:r w:rsidRPr="004670BD">
                              <w:rPr>
                                <w:i/>
                                <w:iCs/>
                                <w:sz w:val="20"/>
                                <w:szCs w:val="22"/>
                              </w:rPr>
                              <w:t>Anti-Discrimination Act 1991</w:t>
                            </w:r>
                            <w:r w:rsidRPr="004670BD">
                              <w:rPr>
                                <w:sz w:val="20"/>
                                <w:szCs w:val="22"/>
                              </w:rPr>
                              <w:t xml:space="preserve"> (such as for discrimination) but the complaint also raises human rights issues under the </w:t>
                            </w:r>
                            <w:r w:rsidRPr="004670BD">
                              <w:rPr>
                                <w:i/>
                                <w:iCs/>
                                <w:sz w:val="20"/>
                                <w:szCs w:val="22"/>
                              </w:rPr>
                              <w:t>Human Rights Act 2019</w:t>
                            </w:r>
                            <w:r w:rsidRPr="004670BD">
                              <w:rPr>
                                <w:sz w:val="20"/>
                                <w:szCs w:val="22"/>
                              </w:rPr>
                              <w:t xml:space="preserve">. These complaints are dealt with under the Anti-Discrimination Act and its processes although they contain allegations covered by both pieces of legislation.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24BAD4" id="_x0000_t202" coordsize="21600,21600" o:spt="202" path="m,l,21600r21600,l21600,xe">
                <v:stroke joinstyle="miter"/>
                <v:path gradientshapeok="t" o:connecttype="rect"/>
              </v:shapetype>
              <v:shape id="Text Box 2" o:spid="_x0000_s1026" type="#_x0000_t202" style="position:absolute;margin-left:0;margin-top:589.35pt;width:313.1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" stroked="f">
                <v:textbox style="mso-fit-shape-to-text:t">
                  <w:txbxContent>
                    <w:p w14:paraId="567AD482" w14:textId="77777777" w:rsidR="00A52242" w:rsidRPr="004670BD" w:rsidRDefault="00A52242" w:rsidP="00A52242">
                      <w:pPr>
                        <w:pStyle w:val="NoSpacing"/>
                        <w:rPr>
                          <w:sz w:val="20"/>
                          <w:szCs w:val="22"/>
                        </w:rPr>
                      </w:pPr>
                      <w:r w:rsidRPr="004670BD">
                        <w:rPr>
                          <w:color w:val="000000" w:themeColor="text1"/>
                          <w:sz w:val="20"/>
                          <w:szCs w:val="22"/>
                          <w:lang w:eastAsia="en-AU"/>
                        </w:rPr>
                        <w:t>*</w:t>
                      </w:r>
                      <w:r w:rsidRPr="004670BD">
                        <w:rPr>
                          <w:sz w:val="20"/>
                          <w:szCs w:val="22"/>
                        </w:rPr>
                        <w:t xml:space="preserve">A ‘piggy-back’ complaint is where the complainant has a complaint that falls under the </w:t>
                      </w:r>
                      <w:r w:rsidRPr="004670BD">
                        <w:rPr>
                          <w:i/>
                          <w:iCs/>
                          <w:sz w:val="20"/>
                          <w:szCs w:val="22"/>
                        </w:rPr>
                        <w:t>Anti-Discrimination Act 1991</w:t>
                      </w:r>
                      <w:r w:rsidRPr="004670BD">
                        <w:rPr>
                          <w:sz w:val="20"/>
                          <w:szCs w:val="22"/>
                        </w:rPr>
                        <w:t xml:space="preserve"> (such as for discrimination) but the complaint also raises human rights issues under the </w:t>
                      </w:r>
                      <w:r w:rsidRPr="004670BD">
                        <w:rPr>
                          <w:i/>
                          <w:iCs/>
                          <w:sz w:val="20"/>
                          <w:szCs w:val="22"/>
                        </w:rPr>
                        <w:t>Human Rights Act 2019</w:t>
                      </w:r>
                      <w:r w:rsidRPr="004670BD">
                        <w:rPr>
                          <w:sz w:val="20"/>
                          <w:szCs w:val="22"/>
                        </w:rPr>
                        <w:t xml:space="preserve">. These complaints are dealt with under the Anti-Discrimination Act and its processes although they contain allegations covered by both pieces of legislation. </w:t>
                      </w:r>
                    </w:p>
                  </w:txbxContent>
                </v:textbox>
                <w10:wrap anchorx="margin"/>
              </v:shape>
            </w:pict>
          </mc:Fallback>
        </mc:AlternateContent>
      </w:r>
      <w:r w:rsidR="006D5673">
        <w:br w:type="page"/>
      </w:r>
    </w:p>
    <w:p w14:paraId="4F94056E" w14:textId="48288676" w:rsidR="00A52242" w:rsidRPr="00ED1050" w:rsidRDefault="00A52242" w:rsidP="00CA5EBF">
      <w:pPr>
        <w:pStyle w:val="Heading2"/>
      </w:pPr>
      <w:bookmarkStart w:id="61" w:name="_Toc143678702"/>
      <w:bookmarkStart w:id="62" w:name="_Toc144200482"/>
      <w:r w:rsidRPr="00ED1050">
        <w:lastRenderedPageBreak/>
        <w:t>Accepted complaints: discrimination</w:t>
      </w:r>
      <w:bookmarkEnd w:id="58"/>
      <w:bookmarkEnd w:id="59"/>
      <w:bookmarkEnd w:id="60"/>
      <w:bookmarkEnd w:id="61"/>
      <w:bookmarkEnd w:id="62"/>
      <w:r w:rsidRPr="00ED1050">
        <w:t xml:space="preserve"> </w:t>
      </w:r>
    </w:p>
    <w:p w14:paraId="7CA12F90" w14:textId="77777777" w:rsidR="00A52242" w:rsidRPr="00ED1050" w:rsidRDefault="00A52242" w:rsidP="00EB1859">
      <w:bookmarkStart w:id="63" w:name="_Toc80971346"/>
      <w:r w:rsidRPr="00ED1050">
        <w:t xml:space="preserve">Discrimination complaints under the </w:t>
      </w:r>
      <w:r w:rsidRPr="00ED1050">
        <w:rPr>
          <w:i/>
        </w:rPr>
        <w:t xml:space="preserve">Anti-Discrimination Act 1991 </w:t>
      </w:r>
      <w:r w:rsidRPr="00ED1050">
        <w:t xml:space="preserve">involve allegations of less favourable treatment based on a protected attribute occurring in an area of public life covered by the Act, such as at work, in accommodation, in education and in obtaining goods and services, including government services. </w:t>
      </w:r>
    </w:p>
    <w:p w14:paraId="4EAAA903" w14:textId="77777777" w:rsidR="00A52242" w:rsidRPr="00CA5EBF" w:rsidRDefault="00A52242" w:rsidP="00CA5EBF">
      <w:pPr>
        <w:pStyle w:val="Heading3"/>
      </w:pPr>
      <w:bookmarkStart w:id="64" w:name="_Toc143677681"/>
      <w:bookmarkStart w:id="65" w:name="_Toc143677801"/>
      <w:r w:rsidRPr="00CA5EBF">
        <w:t>Attributes</w:t>
      </w:r>
      <w:bookmarkEnd w:id="63"/>
      <w:bookmarkEnd w:id="64"/>
      <w:bookmarkEnd w:id="65"/>
      <w:r w:rsidRPr="00CA5EBF">
        <w:t xml:space="preserve"> </w:t>
      </w:r>
    </w:p>
    <w:p w14:paraId="0422C21E" w14:textId="77777777" w:rsidR="00A52242" w:rsidRPr="00ED1050" w:rsidRDefault="00A52242" w:rsidP="00EB1859">
      <w:r>
        <w:t>Discrimination c</w:t>
      </w:r>
      <w:r w:rsidRPr="00ED1050">
        <w:t xml:space="preserve">omplaints can only be </w:t>
      </w:r>
      <w:r>
        <w:t xml:space="preserve">accepted </w:t>
      </w:r>
      <w:r w:rsidRPr="00ED1050">
        <w:t xml:space="preserve">if the discrimination is </w:t>
      </w:r>
      <w:r>
        <w:t>based on</w:t>
      </w:r>
      <w:r w:rsidRPr="00ED1050">
        <w:t xml:space="preserve"> one of 16 attributes protected under the Act. </w:t>
      </w:r>
    </w:p>
    <w:p w14:paraId="447DAD33" w14:textId="7B01F85A" w:rsidR="00A52242" w:rsidRDefault="00A52242" w:rsidP="00EB1859">
      <w:r w:rsidRPr="00ED1050">
        <w:t xml:space="preserve">The breakdown of accepted </w:t>
      </w:r>
      <w:r>
        <w:t xml:space="preserve">discrimination </w:t>
      </w:r>
      <w:r w:rsidRPr="00ED1050">
        <w:t xml:space="preserve">complaints by attribute is shown </w:t>
      </w:r>
      <w:r>
        <w:t xml:space="preserve">in Table </w:t>
      </w:r>
      <w:r w:rsidR="00717572">
        <w:t>1 on the following page</w:t>
      </w:r>
      <w:r w:rsidRPr="00ED1050">
        <w:t xml:space="preserve">. </w:t>
      </w:r>
    </w:p>
    <w:p w14:paraId="1D6A510C" w14:textId="594FF0CB" w:rsidR="00A52242" w:rsidRDefault="00A52242" w:rsidP="00EB1859">
      <w:r w:rsidRPr="00ED1050">
        <w:t xml:space="preserve">Impairment discrimination </w:t>
      </w:r>
      <w:r>
        <w:t xml:space="preserve">continues to be </w:t>
      </w:r>
      <w:r w:rsidRPr="00ED1050">
        <w:t>the most common</w:t>
      </w:r>
      <w:r>
        <w:t>ly</w:t>
      </w:r>
      <w:r w:rsidRPr="00ED1050">
        <w:t xml:space="preserve"> accepted complaint</w:t>
      </w:r>
      <w:r>
        <w:t>, with 328 accepted</w:t>
      </w:r>
      <w:r w:rsidRPr="00ED1050">
        <w:t xml:space="preserve"> complaints </w:t>
      </w:r>
      <w:r>
        <w:t xml:space="preserve">this year (up from last year’s 261). This year 115 of the complaints of impairment discrimination were in the area of work. Impairment discrimination is the basis for the highest number of complaints under each area covered by the Act. The numbers of complaints about discrimination on the basis of most other attributes remained relatively steady with previous years’ data. </w:t>
      </w:r>
    </w:p>
    <w:p w14:paraId="12B40BB5" w14:textId="77777777" w:rsidR="00A52242" w:rsidRPr="00ED1050" w:rsidRDefault="00A52242" w:rsidP="00CA5EBF">
      <w:pPr>
        <w:pStyle w:val="Heading3"/>
      </w:pPr>
      <w:bookmarkStart w:id="66" w:name="_Toc80971347"/>
      <w:bookmarkStart w:id="67" w:name="_Toc143677682"/>
      <w:bookmarkStart w:id="68" w:name="_Toc143677802"/>
      <w:r w:rsidRPr="00ED1050">
        <w:t>Areas</w:t>
      </w:r>
      <w:bookmarkEnd w:id="66"/>
      <w:bookmarkEnd w:id="67"/>
      <w:bookmarkEnd w:id="68"/>
    </w:p>
    <w:p w14:paraId="2031EA22" w14:textId="45FCBA9C" w:rsidR="00A52242" w:rsidRPr="00ED1050" w:rsidRDefault="00A52242" w:rsidP="00EB1859">
      <w:r w:rsidRPr="00ED1050">
        <w:t xml:space="preserve">Under the Act, for discrimination to be unlawful it must take place in one of </w:t>
      </w:r>
      <w:r>
        <w:t>9</w:t>
      </w:r>
      <w:r w:rsidRPr="00ED1050">
        <w:t xml:space="preserve"> prescribed areas of public life. The number of complaints we </w:t>
      </w:r>
      <w:r>
        <w:t>accepted</w:t>
      </w:r>
      <w:r w:rsidRPr="00ED1050">
        <w:t xml:space="preserve"> about discrimination are broken down </w:t>
      </w:r>
      <w:r>
        <w:t xml:space="preserve">by attribute and area in </w:t>
      </w:r>
      <w:r w:rsidRPr="00717572">
        <w:t xml:space="preserve">Table </w:t>
      </w:r>
      <w:r w:rsidR="00717572" w:rsidRPr="00717572">
        <w:t>1</w:t>
      </w:r>
      <w:r w:rsidRPr="00717572">
        <w:t>.</w:t>
      </w:r>
      <w:r w:rsidRPr="00ED1050">
        <w:t xml:space="preserve"> </w:t>
      </w:r>
    </w:p>
    <w:p w14:paraId="35EFE9DA" w14:textId="77777777" w:rsidR="00A52242" w:rsidRPr="00ED1050" w:rsidRDefault="00A52242" w:rsidP="00EB1859">
      <w:r w:rsidRPr="00ED1050">
        <w:t xml:space="preserve">The number and proportion of work-related complaints shows workplace fairness </w:t>
      </w:r>
      <w:r>
        <w:t>continues to be</w:t>
      </w:r>
      <w:r w:rsidRPr="00ED1050">
        <w:t xml:space="preserve"> the most significant area of people’s lives in relation to conduct covered by the Anti-Discrimination Act. </w:t>
      </w:r>
    </w:p>
    <w:p w14:paraId="4FEB1F52" w14:textId="77777777" w:rsidR="00A52242" w:rsidRPr="00ED1050" w:rsidRDefault="00A52242" w:rsidP="00EB1859">
      <w:pPr>
        <w:pStyle w:val="Keystatistics"/>
      </w:pPr>
      <w:r w:rsidRPr="00ED1050">
        <w:t>This year</w:t>
      </w:r>
      <w:r>
        <w:t xml:space="preserve"> </w:t>
      </w:r>
      <w:r>
        <w:rPr>
          <w:sz w:val="36"/>
          <w:szCs w:val="40"/>
        </w:rPr>
        <w:t>43</w:t>
      </w:r>
      <w:r w:rsidRPr="00280DA7">
        <w:rPr>
          <w:sz w:val="36"/>
        </w:rPr>
        <w:t>%</w:t>
      </w:r>
      <w:r w:rsidRPr="00ED1050">
        <w:t xml:space="preserve"> of accepted discrimination complaints arose in the workplace or when seeking work. </w:t>
      </w:r>
    </w:p>
    <w:p w14:paraId="0A1D5F70" w14:textId="3647AE6A" w:rsidR="00A52242" w:rsidRDefault="00A52242" w:rsidP="00EB1859">
      <w:r>
        <w:t>However, t</w:t>
      </w:r>
      <w:r w:rsidRPr="00ED1050">
        <w:t xml:space="preserve">he </w:t>
      </w:r>
      <w:r>
        <w:t xml:space="preserve">number of accepted complaints about discrimination in goods and services (168) continued to increase this year compared to last year (138) and 2020-21 (70), due in part to the large number of complaints </w:t>
      </w:r>
      <w:r w:rsidR="00592BA3">
        <w:t xml:space="preserve">over that period </w:t>
      </w:r>
      <w:r>
        <w:t xml:space="preserve">arising from the denial of goods and services to people unable to comply with the direction to wear a face mask. </w:t>
      </w:r>
    </w:p>
    <w:p w14:paraId="586648C7" w14:textId="49141A0F" w:rsidR="00A52242" w:rsidRDefault="00A52242" w:rsidP="00EB1859">
      <w:pPr>
        <w:rPr>
          <w:iCs/>
        </w:rPr>
      </w:pPr>
      <w:r>
        <w:t xml:space="preserve">Another significant shift is in the area of state laws and programs, where discrimination complaints have continued to increase – 81 accepted complaints this year, compared to 75 in 2021-22 and 25 in 2019-20. </w:t>
      </w:r>
      <w:r w:rsidRPr="00ED1050">
        <w:t xml:space="preserve">This reflects an overall increase in complaints against public entities, including about discrimination, since the introduction of the </w:t>
      </w:r>
      <w:r w:rsidRPr="00ED1050">
        <w:rPr>
          <w:i/>
        </w:rPr>
        <w:t>Human Rights Act 2019.</w:t>
      </w:r>
      <w:r w:rsidR="00717572">
        <w:rPr>
          <w:i/>
        </w:rPr>
        <w:t xml:space="preserve"> </w:t>
      </w:r>
      <w:r>
        <w:rPr>
          <w:iCs/>
        </w:rPr>
        <w:t xml:space="preserve">The numbers of discrimination complaints regarding other areas of activity remained relatively stable this year. </w:t>
      </w:r>
    </w:p>
    <w:p w14:paraId="6702F147" w14:textId="6A8CEDFF" w:rsidR="00A52242" w:rsidRDefault="006D5673" w:rsidP="00EB1859">
      <w:pPr>
        <w:pStyle w:val="Caption"/>
        <w:rPr>
          <w:lang w:eastAsia="en-AU"/>
        </w:rPr>
      </w:pPr>
      <w:r>
        <w:rPr>
          <w:noProof/>
          <w:lang w:eastAsia="en-AU"/>
        </w:rPr>
        <w:lastRenderedPageBreak/>
        <mc:AlternateContent>
          <mc:Choice Requires="wps">
            <w:drawing>
              <wp:anchor distT="0" distB="0" distL="114300" distR="114300" simplePos="0" relativeHeight="251659264" behindDoc="0" locked="0" layoutInCell="1" allowOverlap="1" wp14:anchorId="595C4F0C" wp14:editId="118C14A0">
                <wp:simplePos x="0" y="0"/>
                <wp:positionH relativeFrom="column">
                  <wp:posOffset>-276225</wp:posOffset>
                </wp:positionH>
                <wp:positionV relativeFrom="paragraph">
                  <wp:posOffset>438150</wp:posOffset>
                </wp:positionV>
                <wp:extent cx="1254125" cy="1524000"/>
                <wp:effectExtent l="0" t="0" r="3175" b="0"/>
                <wp:wrapNone/>
                <wp:docPr id="8" name="Rectangle 8"/>
                <wp:cNvGraphicFramePr/>
                <a:graphic xmlns:a="http://schemas.openxmlformats.org/drawingml/2006/main">
                  <a:graphicData uri="http://schemas.microsoft.com/office/word/2010/wordprocessingShape">
                    <wps:wsp>
                      <wps:cNvSpPr/>
                      <wps:spPr>
                        <a:xfrm>
                          <a:off x="0" y="0"/>
                          <a:ext cx="1254125" cy="15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0FDE86" id="Rectangle 8" o:spid="_x0000_s1026" style="position:absolute;margin-left:-21.75pt;margin-top:34.5pt;width:98.75pt;height:1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" fillcolor="white [3212]" stroked="f" strokeweight="1pt"/>
            </w:pict>
          </mc:Fallback>
        </mc:AlternateContent>
      </w:r>
      <w:r w:rsidR="00A52242">
        <w:t xml:space="preserve">Table </w:t>
      </w:r>
      <w:r w:rsidR="00717572">
        <w:t>1</w:t>
      </w:r>
      <w:r w:rsidR="00A52242">
        <w:t>: A</w:t>
      </w:r>
      <w:r w:rsidR="00A52242" w:rsidRPr="00ED1050">
        <w:t>ccepted</w:t>
      </w:r>
      <w:r w:rsidR="00A52242">
        <w:t xml:space="preserve"> and finalised</w:t>
      </w:r>
      <w:r w:rsidR="00A52242" w:rsidRPr="00ED1050">
        <w:t xml:space="preserve"> discrimination</w:t>
      </w:r>
      <w:r w:rsidR="00A52242">
        <w:t xml:space="preserve"> complaints </w:t>
      </w:r>
      <w:r w:rsidR="00A52242" w:rsidRPr="00ED1050">
        <w:t>by attribute and area</w:t>
      </w:r>
      <w:r w:rsidR="00A52242">
        <w:t xml:space="preserve"> 2022-23</w:t>
      </w:r>
    </w:p>
    <w:tbl>
      <w:tblPr>
        <w:tblpPr w:leftFromText="181" w:rightFromText="181" w:vertAnchor="text" w:horzAnchor="margin" w:tblpX="-20" w:tblpY="29"/>
        <w:tblW w:w="10201"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ayout w:type="fixed"/>
        <w:tblLook w:val="01E0" w:firstRow="1" w:lastRow="1" w:firstColumn="1" w:lastColumn="1" w:noHBand="0" w:noVBand="0"/>
      </w:tblPr>
      <w:tblGrid>
        <w:gridCol w:w="1564"/>
        <w:gridCol w:w="856"/>
        <w:gridCol w:w="1119"/>
        <w:gridCol w:w="1276"/>
        <w:gridCol w:w="1276"/>
        <w:gridCol w:w="992"/>
        <w:gridCol w:w="850"/>
        <w:gridCol w:w="993"/>
        <w:gridCol w:w="1275"/>
      </w:tblGrid>
      <w:tr w:rsidR="00A52242" w:rsidRPr="00ED1050" w14:paraId="01F1CF4B" w14:textId="77777777" w:rsidTr="001D16A2">
        <w:trPr>
          <w:trHeight w:val="412"/>
        </w:trPr>
        <w:tc>
          <w:tcPr>
            <w:tcW w:w="1564" w:type="dxa"/>
          </w:tcPr>
          <w:p w14:paraId="76EF1BB6" w14:textId="77777777" w:rsidR="00A52242" w:rsidRPr="00ED1050" w:rsidRDefault="00A52242" w:rsidP="00EB1859">
            <w:pPr>
              <w:pStyle w:val="TableTextHeading"/>
              <w:rPr>
                <w:highlight w:val="yellow"/>
              </w:rPr>
            </w:pPr>
          </w:p>
        </w:tc>
        <w:tc>
          <w:tcPr>
            <w:tcW w:w="8637" w:type="dxa"/>
            <w:gridSpan w:val="8"/>
          </w:tcPr>
          <w:p w14:paraId="4E071D09" w14:textId="77777777" w:rsidR="00A52242" w:rsidRPr="00ED1050" w:rsidRDefault="00A52242" w:rsidP="00EB1859">
            <w:pPr>
              <w:pStyle w:val="TableTextHeading"/>
            </w:pPr>
            <w:r>
              <w:t>Area</w:t>
            </w:r>
          </w:p>
        </w:tc>
      </w:tr>
      <w:tr w:rsidR="00A52242" w:rsidRPr="00ED1050" w14:paraId="05322772" w14:textId="77777777" w:rsidTr="001D16A2">
        <w:trPr>
          <w:trHeight w:val="560"/>
        </w:trPr>
        <w:tc>
          <w:tcPr>
            <w:tcW w:w="1564" w:type="dxa"/>
          </w:tcPr>
          <w:p w14:paraId="34AA2EBD" w14:textId="1E1C91A9" w:rsidR="00A52242" w:rsidRPr="00ED1050" w:rsidRDefault="00A52242" w:rsidP="00EB1859">
            <w:pPr>
              <w:pStyle w:val="TableTextHeading"/>
              <w:rPr>
                <w:highlight w:val="yellow"/>
              </w:rPr>
            </w:pPr>
          </w:p>
        </w:tc>
        <w:tc>
          <w:tcPr>
            <w:tcW w:w="856" w:type="dxa"/>
            <w:vMerge w:val="restart"/>
          </w:tcPr>
          <w:p w14:paraId="7FCFCEDE" w14:textId="77777777" w:rsidR="00A52242" w:rsidRPr="002B568D" w:rsidRDefault="00A52242" w:rsidP="00EB1859">
            <w:pPr>
              <w:pStyle w:val="TableTextHeading"/>
            </w:pPr>
            <w:r w:rsidRPr="002B568D">
              <w:t>Work</w:t>
            </w:r>
          </w:p>
        </w:tc>
        <w:tc>
          <w:tcPr>
            <w:tcW w:w="1119" w:type="dxa"/>
            <w:vMerge w:val="restart"/>
          </w:tcPr>
          <w:p w14:paraId="6240130E" w14:textId="77777777" w:rsidR="00A52242" w:rsidRPr="002B568D" w:rsidRDefault="00A52242" w:rsidP="00EB1859">
            <w:pPr>
              <w:pStyle w:val="TableTextHeading"/>
            </w:pPr>
            <w:r w:rsidRPr="002B568D">
              <w:t>Goods &amp; services</w:t>
            </w:r>
          </w:p>
        </w:tc>
        <w:tc>
          <w:tcPr>
            <w:tcW w:w="1276" w:type="dxa"/>
            <w:vMerge w:val="restart"/>
          </w:tcPr>
          <w:p w14:paraId="4F27FC64" w14:textId="77777777" w:rsidR="00A52242" w:rsidRPr="002B568D" w:rsidRDefault="00A52242" w:rsidP="00EB1859">
            <w:pPr>
              <w:pStyle w:val="TableTextHeading"/>
            </w:pPr>
            <w:r w:rsidRPr="002B568D">
              <w:t xml:space="preserve">State </w:t>
            </w:r>
            <w:r>
              <w:t>l</w:t>
            </w:r>
            <w:r w:rsidRPr="002B568D">
              <w:t>aws &amp; programs</w:t>
            </w:r>
          </w:p>
        </w:tc>
        <w:tc>
          <w:tcPr>
            <w:tcW w:w="1276" w:type="dxa"/>
            <w:vMerge w:val="restart"/>
          </w:tcPr>
          <w:p w14:paraId="4C0A6F47" w14:textId="77777777" w:rsidR="00A52242" w:rsidRPr="002B568D" w:rsidRDefault="00A52242" w:rsidP="00EB1859">
            <w:pPr>
              <w:pStyle w:val="TableTextHeading"/>
            </w:pPr>
            <w:r w:rsidRPr="002B568D">
              <w:t>Education</w:t>
            </w:r>
          </w:p>
        </w:tc>
        <w:tc>
          <w:tcPr>
            <w:tcW w:w="992" w:type="dxa"/>
            <w:vMerge w:val="restart"/>
          </w:tcPr>
          <w:p w14:paraId="475BE6A9" w14:textId="77777777" w:rsidR="00A52242" w:rsidRPr="002B568D" w:rsidRDefault="00A52242" w:rsidP="00EB1859">
            <w:pPr>
              <w:pStyle w:val="TableTextHeading"/>
            </w:pPr>
            <w:r w:rsidRPr="002B568D">
              <w:t>Accom</w:t>
            </w:r>
          </w:p>
        </w:tc>
        <w:tc>
          <w:tcPr>
            <w:tcW w:w="850" w:type="dxa"/>
            <w:vMerge w:val="restart"/>
          </w:tcPr>
          <w:p w14:paraId="2BACC281" w14:textId="77777777" w:rsidR="00A52242" w:rsidRPr="002B568D" w:rsidRDefault="00A52242" w:rsidP="00EB1859">
            <w:pPr>
              <w:pStyle w:val="TableTextHeading"/>
            </w:pPr>
            <w:r w:rsidRPr="002B568D">
              <w:t>Super &amp; insurance</w:t>
            </w:r>
          </w:p>
        </w:tc>
        <w:tc>
          <w:tcPr>
            <w:tcW w:w="993" w:type="dxa"/>
            <w:vMerge w:val="restart"/>
          </w:tcPr>
          <w:p w14:paraId="1DAE91ED" w14:textId="77777777" w:rsidR="00A52242" w:rsidRPr="00E468FF" w:rsidRDefault="00A52242" w:rsidP="00EB1859">
            <w:pPr>
              <w:pStyle w:val="TableTextBold"/>
            </w:pPr>
            <w:r w:rsidRPr="00E468FF">
              <w:t xml:space="preserve">Club </w:t>
            </w:r>
            <w:proofErr w:type="spellStart"/>
            <w:r>
              <w:t>m’ship</w:t>
            </w:r>
            <w:proofErr w:type="spellEnd"/>
            <w:r>
              <w:t xml:space="preserve"> &amp; a</w:t>
            </w:r>
            <w:r w:rsidRPr="00E468FF">
              <w:t>ffairs</w:t>
            </w:r>
          </w:p>
        </w:tc>
        <w:tc>
          <w:tcPr>
            <w:tcW w:w="1275" w:type="dxa"/>
            <w:vMerge w:val="restart"/>
          </w:tcPr>
          <w:p w14:paraId="4D20FA61" w14:textId="601950AC" w:rsidR="00A52242" w:rsidRPr="00ED1050" w:rsidRDefault="00A52242" w:rsidP="00EB1859">
            <w:pPr>
              <w:pStyle w:val="TableTextBold"/>
            </w:pPr>
            <w:r w:rsidRPr="00ED1050">
              <w:t>% of accepted discrim complaints</w:t>
            </w:r>
            <w:r>
              <w:t xml:space="preserve"> </w:t>
            </w:r>
            <w:r w:rsidR="007914A1">
              <w:t>alleging</w:t>
            </w:r>
            <w:r>
              <w:t xml:space="preserve"> this breach</w:t>
            </w:r>
          </w:p>
        </w:tc>
      </w:tr>
      <w:tr w:rsidR="00A52242" w:rsidRPr="00ED1050" w14:paraId="592C294D" w14:textId="77777777" w:rsidTr="001D16A2">
        <w:trPr>
          <w:trHeight w:val="85"/>
        </w:trPr>
        <w:tc>
          <w:tcPr>
            <w:tcW w:w="1564" w:type="dxa"/>
          </w:tcPr>
          <w:p w14:paraId="701FE979" w14:textId="77777777" w:rsidR="00A52242" w:rsidRPr="00191D80" w:rsidRDefault="00A52242" w:rsidP="00EB1859">
            <w:pPr>
              <w:pStyle w:val="TableTextBody"/>
            </w:pPr>
            <w:r w:rsidRPr="00191D80">
              <w:t>Attribute</w:t>
            </w:r>
          </w:p>
        </w:tc>
        <w:tc>
          <w:tcPr>
            <w:tcW w:w="856" w:type="dxa"/>
            <w:vMerge/>
            <w:vAlign w:val="center"/>
          </w:tcPr>
          <w:p w14:paraId="134CB57B" w14:textId="77777777" w:rsidR="00A52242" w:rsidRPr="00ED1050" w:rsidRDefault="00A52242" w:rsidP="00EB1859">
            <w:pPr>
              <w:pStyle w:val="TableTextBody"/>
            </w:pPr>
          </w:p>
        </w:tc>
        <w:tc>
          <w:tcPr>
            <w:tcW w:w="1119" w:type="dxa"/>
            <w:vMerge/>
            <w:vAlign w:val="center"/>
          </w:tcPr>
          <w:p w14:paraId="00DAE02B" w14:textId="77777777" w:rsidR="00A52242" w:rsidRPr="00ED1050" w:rsidRDefault="00A52242" w:rsidP="00EB1859">
            <w:pPr>
              <w:pStyle w:val="TableTextBody"/>
            </w:pPr>
          </w:p>
        </w:tc>
        <w:tc>
          <w:tcPr>
            <w:tcW w:w="1276" w:type="dxa"/>
            <w:vMerge/>
            <w:vAlign w:val="center"/>
          </w:tcPr>
          <w:p w14:paraId="67D672BD" w14:textId="77777777" w:rsidR="00A52242" w:rsidRPr="00ED1050" w:rsidRDefault="00A52242" w:rsidP="00EB1859">
            <w:pPr>
              <w:pStyle w:val="TableTextBody"/>
            </w:pPr>
          </w:p>
        </w:tc>
        <w:tc>
          <w:tcPr>
            <w:tcW w:w="1276" w:type="dxa"/>
            <w:vMerge/>
            <w:vAlign w:val="center"/>
          </w:tcPr>
          <w:p w14:paraId="28FCA171" w14:textId="77777777" w:rsidR="00A52242" w:rsidRPr="00ED1050" w:rsidRDefault="00A52242" w:rsidP="00EB1859">
            <w:pPr>
              <w:pStyle w:val="TableTextBody"/>
            </w:pPr>
          </w:p>
        </w:tc>
        <w:tc>
          <w:tcPr>
            <w:tcW w:w="992" w:type="dxa"/>
            <w:vMerge/>
            <w:vAlign w:val="center"/>
          </w:tcPr>
          <w:p w14:paraId="7ECA36C0" w14:textId="77777777" w:rsidR="00A52242" w:rsidRPr="00ED1050" w:rsidRDefault="00A52242" w:rsidP="00EB1859">
            <w:pPr>
              <w:pStyle w:val="TableTextBody"/>
            </w:pPr>
          </w:p>
        </w:tc>
        <w:tc>
          <w:tcPr>
            <w:tcW w:w="850" w:type="dxa"/>
            <w:vMerge/>
            <w:vAlign w:val="center"/>
          </w:tcPr>
          <w:p w14:paraId="2EA367A0" w14:textId="77777777" w:rsidR="00A52242" w:rsidRPr="00ED1050" w:rsidRDefault="00A52242" w:rsidP="00EB1859">
            <w:pPr>
              <w:pStyle w:val="TableTextBody"/>
            </w:pPr>
          </w:p>
        </w:tc>
        <w:tc>
          <w:tcPr>
            <w:tcW w:w="993" w:type="dxa"/>
            <w:vMerge/>
          </w:tcPr>
          <w:p w14:paraId="4DCB32FA" w14:textId="77777777" w:rsidR="00A52242" w:rsidRPr="00ED1050" w:rsidRDefault="00A52242" w:rsidP="00EB1859">
            <w:pPr>
              <w:pStyle w:val="TableTextBold"/>
            </w:pPr>
          </w:p>
        </w:tc>
        <w:tc>
          <w:tcPr>
            <w:tcW w:w="1275" w:type="dxa"/>
            <w:vMerge/>
          </w:tcPr>
          <w:p w14:paraId="076F7019" w14:textId="77777777" w:rsidR="00A52242" w:rsidRPr="00ED1050" w:rsidRDefault="00A52242" w:rsidP="00EB1859">
            <w:pPr>
              <w:pStyle w:val="TableTextBold"/>
            </w:pPr>
          </w:p>
        </w:tc>
      </w:tr>
      <w:tr w:rsidR="00A52242" w:rsidRPr="00ED1050" w14:paraId="370D52D3" w14:textId="77777777" w:rsidTr="001D16A2">
        <w:tc>
          <w:tcPr>
            <w:tcW w:w="1564" w:type="dxa"/>
          </w:tcPr>
          <w:p w14:paraId="0E394DFC" w14:textId="77777777" w:rsidR="00A52242" w:rsidRPr="00D5130A" w:rsidRDefault="00A52242" w:rsidP="00EB1859">
            <w:pPr>
              <w:pStyle w:val="TableTextBody"/>
              <w:rPr>
                <w:i/>
              </w:rPr>
            </w:pPr>
            <w:r w:rsidRPr="004A696A">
              <w:t>Impairment</w:t>
            </w:r>
          </w:p>
        </w:tc>
        <w:tc>
          <w:tcPr>
            <w:tcW w:w="856" w:type="dxa"/>
            <w:vAlign w:val="center"/>
          </w:tcPr>
          <w:p w14:paraId="47717C50" w14:textId="77777777" w:rsidR="00A52242" w:rsidRPr="004139E4" w:rsidRDefault="00A52242" w:rsidP="00EB1859">
            <w:pPr>
              <w:pStyle w:val="TableTextBody"/>
            </w:pPr>
            <w:r>
              <w:t>115</w:t>
            </w:r>
          </w:p>
        </w:tc>
        <w:tc>
          <w:tcPr>
            <w:tcW w:w="1119" w:type="dxa"/>
            <w:vAlign w:val="center"/>
          </w:tcPr>
          <w:p w14:paraId="67BAD2A4" w14:textId="77777777" w:rsidR="00A52242" w:rsidRPr="004139E4" w:rsidRDefault="00A52242" w:rsidP="00EB1859">
            <w:pPr>
              <w:pStyle w:val="TableTextBody"/>
            </w:pPr>
            <w:r>
              <w:t>131</w:t>
            </w:r>
          </w:p>
        </w:tc>
        <w:tc>
          <w:tcPr>
            <w:tcW w:w="1276" w:type="dxa"/>
            <w:vAlign w:val="center"/>
          </w:tcPr>
          <w:p w14:paraId="052FC5A8" w14:textId="77777777" w:rsidR="00A52242" w:rsidRPr="004139E4" w:rsidRDefault="00A52242" w:rsidP="00EB1859">
            <w:pPr>
              <w:pStyle w:val="TableTextBody"/>
            </w:pPr>
            <w:r>
              <w:t>52</w:t>
            </w:r>
          </w:p>
        </w:tc>
        <w:tc>
          <w:tcPr>
            <w:tcW w:w="1276" w:type="dxa"/>
            <w:vAlign w:val="center"/>
          </w:tcPr>
          <w:p w14:paraId="14BE7CF9" w14:textId="77777777" w:rsidR="00A52242" w:rsidRPr="004139E4" w:rsidRDefault="00A52242" w:rsidP="00EB1859">
            <w:pPr>
              <w:pStyle w:val="TableTextBody"/>
            </w:pPr>
            <w:r>
              <w:t>27</w:t>
            </w:r>
          </w:p>
        </w:tc>
        <w:tc>
          <w:tcPr>
            <w:tcW w:w="992" w:type="dxa"/>
            <w:vAlign w:val="center"/>
          </w:tcPr>
          <w:p w14:paraId="6ACD261C" w14:textId="77777777" w:rsidR="00A52242" w:rsidRPr="004139E4" w:rsidRDefault="00A52242" w:rsidP="00EB1859">
            <w:pPr>
              <w:pStyle w:val="TableTextBody"/>
            </w:pPr>
            <w:r>
              <w:t>21</w:t>
            </w:r>
          </w:p>
        </w:tc>
        <w:tc>
          <w:tcPr>
            <w:tcW w:w="850" w:type="dxa"/>
            <w:vAlign w:val="center"/>
          </w:tcPr>
          <w:p w14:paraId="5B3BEF37" w14:textId="77777777" w:rsidR="00A52242" w:rsidRPr="004139E4" w:rsidRDefault="00A52242" w:rsidP="00EB1859">
            <w:pPr>
              <w:pStyle w:val="TableTextBody"/>
            </w:pPr>
            <w:r>
              <w:t>2</w:t>
            </w:r>
          </w:p>
        </w:tc>
        <w:tc>
          <w:tcPr>
            <w:tcW w:w="993" w:type="dxa"/>
            <w:vAlign w:val="center"/>
          </w:tcPr>
          <w:p w14:paraId="2554F250" w14:textId="77777777" w:rsidR="00A52242" w:rsidRPr="00E468FF" w:rsidDel="00D44020" w:rsidRDefault="00A52242" w:rsidP="00EB1859">
            <w:pPr>
              <w:pStyle w:val="TableTextBold"/>
            </w:pPr>
            <w:r w:rsidRPr="00E468FF">
              <w:t>2</w:t>
            </w:r>
          </w:p>
        </w:tc>
        <w:tc>
          <w:tcPr>
            <w:tcW w:w="1275" w:type="dxa"/>
          </w:tcPr>
          <w:p w14:paraId="46E0BF07" w14:textId="77777777" w:rsidR="00A52242" w:rsidRPr="00ED1050" w:rsidRDefault="00A52242" w:rsidP="00EB1859">
            <w:pPr>
              <w:pStyle w:val="TableTextBold"/>
            </w:pPr>
            <w:r>
              <w:t>65</w:t>
            </w:r>
          </w:p>
        </w:tc>
      </w:tr>
      <w:tr w:rsidR="00A52242" w:rsidRPr="00ED1050" w14:paraId="419A7BB6" w14:textId="77777777" w:rsidTr="001D16A2">
        <w:tc>
          <w:tcPr>
            <w:tcW w:w="1564" w:type="dxa"/>
          </w:tcPr>
          <w:p w14:paraId="152F35FB" w14:textId="77777777" w:rsidR="00A52242" w:rsidRPr="00D5130A" w:rsidRDefault="00A52242" w:rsidP="00EB1859">
            <w:pPr>
              <w:pStyle w:val="TableTextBody"/>
              <w:rPr>
                <w:i/>
              </w:rPr>
            </w:pPr>
            <w:r w:rsidRPr="004A696A">
              <w:t>Race</w:t>
            </w:r>
          </w:p>
        </w:tc>
        <w:tc>
          <w:tcPr>
            <w:tcW w:w="856" w:type="dxa"/>
            <w:vAlign w:val="center"/>
          </w:tcPr>
          <w:p w14:paraId="4F36A30B" w14:textId="77777777" w:rsidR="00A52242" w:rsidRPr="004139E4" w:rsidRDefault="00A52242" w:rsidP="00EB1859">
            <w:pPr>
              <w:pStyle w:val="TableTextBody"/>
            </w:pPr>
            <w:r>
              <w:t>38</w:t>
            </w:r>
          </w:p>
        </w:tc>
        <w:tc>
          <w:tcPr>
            <w:tcW w:w="1119" w:type="dxa"/>
            <w:vAlign w:val="center"/>
          </w:tcPr>
          <w:p w14:paraId="7E19B40F" w14:textId="77777777" w:rsidR="00A52242" w:rsidRPr="004139E4" w:rsidRDefault="00A52242" w:rsidP="00EB1859">
            <w:pPr>
              <w:pStyle w:val="TableTextBody"/>
            </w:pPr>
            <w:r>
              <w:t>23</w:t>
            </w:r>
          </w:p>
        </w:tc>
        <w:tc>
          <w:tcPr>
            <w:tcW w:w="1276" w:type="dxa"/>
            <w:vAlign w:val="center"/>
          </w:tcPr>
          <w:p w14:paraId="3B1DA633" w14:textId="77777777" w:rsidR="00A52242" w:rsidRPr="004139E4" w:rsidRDefault="00A52242" w:rsidP="00EB1859">
            <w:pPr>
              <w:pStyle w:val="TableTextBody"/>
            </w:pPr>
            <w:r>
              <w:t>14</w:t>
            </w:r>
          </w:p>
        </w:tc>
        <w:tc>
          <w:tcPr>
            <w:tcW w:w="1276" w:type="dxa"/>
            <w:vAlign w:val="center"/>
          </w:tcPr>
          <w:p w14:paraId="7B7DCB04" w14:textId="77777777" w:rsidR="00A52242" w:rsidRPr="004139E4" w:rsidRDefault="00A52242" w:rsidP="00EB1859">
            <w:pPr>
              <w:pStyle w:val="TableTextBody"/>
            </w:pPr>
            <w:r>
              <w:t>5</w:t>
            </w:r>
          </w:p>
        </w:tc>
        <w:tc>
          <w:tcPr>
            <w:tcW w:w="992" w:type="dxa"/>
            <w:vAlign w:val="center"/>
          </w:tcPr>
          <w:p w14:paraId="23E24626" w14:textId="77777777" w:rsidR="00A52242" w:rsidRPr="004139E4" w:rsidRDefault="00A52242" w:rsidP="00EB1859">
            <w:pPr>
              <w:pStyle w:val="TableTextBody"/>
            </w:pPr>
            <w:r>
              <w:t>3</w:t>
            </w:r>
          </w:p>
        </w:tc>
        <w:tc>
          <w:tcPr>
            <w:tcW w:w="850" w:type="dxa"/>
            <w:vAlign w:val="center"/>
          </w:tcPr>
          <w:p w14:paraId="3AA9F6A6" w14:textId="77777777" w:rsidR="00A52242" w:rsidRPr="004139E4" w:rsidRDefault="00A52242" w:rsidP="00EB1859">
            <w:pPr>
              <w:pStyle w:val="TableTextBody"/>
            </w:pPr>
          </w:p>
        </w:tc>
        <w:tc>
          <w:tcPr>
            <w:tcW w:w="993" w:type="dxa"/>
            <w:vAlign w:val="center"/>
          </w:tcPr>
          <w:p w14:paraId="256805CA" w14:textId="77777777" w:rsidR="00A52242" w:rsidDel="00D44020" w:rsidRDefault="00A52242" w:rsidP="00EB1859">
            <w:pPr>
              <w:pStyle w:val="TableTextBold"/>
            </w:pPr>
          </w:p>
        </w:tc>
        <w:tc>
          <w:tcPr>
            <w:tcW w:w="1275" w:type="dxa"/>
          </w:tcPr>
          <w:p w14:paraId="22B2D4CD" w14:textId="77777777" w:rsidR="00A52242" w:rsidRPr="00ED1050" w:rsidRDefault="00A52242" w:rsidP="00EB1859">
            <w:pPr>
              <w:pStyle w:val="TableTextBold"/>
            </w:pPr>
            <w:r>
              <w:t>15</w:t>
            </w:r>
          </w:p>
        </w:tc>
      </w:tr>
      <w:tr w:rsidR="00A52242" w:rsidRPr="00ED1050" w14:paraId="15047479" w14:textId="77777777" w:rsidTr="001D16A2">
        <w:tc>
          <w:tcPr>
            <w:tcW w:w="1564" w:type="dxa"/>
          </w:tcPr>
          <w:p w14:paraId="5E88DAA5" w14:textId="77777777" w:rsidR="00A52242" w:rsidRPr="00D5130A" w:rsidRDefault="00A52242" w:rsidP="00EB1859">
            <w:pPr>
              <w:pStyle w:val="TableTextBody"/>
              <w:rPr>
                <w:i/>
              </w:rPr>
            </w:pPr>
            <w:r w:rsidRPr="004A696A">
              <w:t>Sex</w:t>
            </w:r>
          </w:p>
        </w:tc>
        <w:tc>
          <w:tcPr>
            <w:tcW w:w="856" w:type="dxa"/>
            <w:vAlign w:val="center"/>
          </w:tcPr>
          <w:p w14:paraId="4338CA80" w14:textId="77777777" w:rsidR="00A52242" w:rsidRPr="004139E4" w:rsidRDefault="00A52242" w:rsidP="00EB1859">
            <w:pPr>
              <w:pStyle w:val="TableTextBody"/>
            </w:pPr>
            <w:r>
              <w:t>40</w:t>
            </w:r>
          </w:p>
        </w:tc>
        <w:tc>
          <w:tcPr>
            <w:tcW w:w="1119" w:type="dxa"/>
            <w:vAlign w:val="center"/>
          </w:tcPr>
          <w:p w14:paraId="74BD732D" w14:textId="77777777" w:rsidR="00A52242" w:rsidRPr="004139E4" w:rsidRDefault="00A52242" w:rsidP="00EB1859">
            <w:pPr>
              <w:pStyle w:val="TableTextBody"/>
            </w:pPr>
            <w:r>
              <w:t>4</w:t>
            </w:r>
          </w:p>
        </w:tc>
        <w:tc>
          <w:tcPr>
            <w:tcW w:w="1276" w:type="dxa"/>
            <w:vAlign w:val="center"/>
          </w:tcPr>
          <w:p w14:paraId="22F88E05" w14:textId="77777777" w:rsidR="00A52242" w:rsidRPr="004139E4" w:rsidRDefault="00A52242" w:rsidP="00EB1859">
            <w:pPr>
              <w:pStyle w:val="TableTextBody"/>
            </w:pPr>
            <w:r>
              <w:t>5</w:t>
            </w:r>
          </w:p>
        </w:tc>
        <w:tc>
          <w:tcPr>
            <w:tcW w:w="1276" w:type="dxa"/>
            <w:vAlign w:val="center"/>
          </w:tcPr>
          <w:p w14:paraId="346D1548" w14:textId="77777777" w:rsidR="00A52242" w:rsidRPr="004139E4" w:rsidRDefault="00A52242" w:rsidP="00EB1859">
            <w:pPr>
              <w:pStyle w:val="TableTextBody"/>
            </w:pPr>
            <w:r>
              <w:t>2</w:t>
            </w:r>
          </w:p>
        </w:tc>
        <w:tc>
          <w:tcPr>
            <w:tcW w:w="992" w:type="dxa"/>
            <w:vAlign w:val="center"/>
          </w:tcPr>
          <w:p w14:paraId="57D63F3A" w14:textId="77777777" w:rsidR="00A52242" w:rsidRPr="004139E4" w:rsidRDefault="00A52242" w:rsidP="00EB1859">
            <w:pPr>
              <w:pStyle w:val="TableTextBody"/>
            </w:pPr>
            <w:r>
              <w:t>1</w:t>
            </w:r>
          </w:p>
        </w:tc>
        <w:tc>
          <w:tcPr>
            <w:tcW w:w="850" w:type="dxa"/>
            <w:vAlign w:val="center"/>
          </w:tcPr>
          <w:p w14:paraId="51446644" w14:textId="77777777" w:rsidR="00A52242" w:rsidRPr="004139E4" w:rsidRDefault="00A52242" w:rsidP="00EB1859">
            <w:pPr>
              <w:pStyle w:val="TableTextBody"/>
            </w:pPr>
          </w:p>
        </w:tc>
        <w:tc>
          <w:tcPr>
            <w:tcW w:w="993" w:type="dxa"/>
            <w:vAlign w:val="center"/>
          </w:tcPr>
          <w:p w14:paraId="48142282" w14:textId="77777777" w:rsidR="00A52242" w:rsidDel="00D44020" w:rsidRDefault="00A52242" w:rsidP="00EB1859">
            <w:pPr>
              <w:pStyle w:val="TableTextBold"/>
            </w:pPr>
          </w:p>
        </w:tc>
        <w:tc>
          <w:tcPr>
            <w:tcW w:w="1275" w:type="dxa"/>
          </w:tcPr>
          <w:p w14:paraId="477CACF8" w14:textId="77777777" w:rsidR="00A52242" w:rsidRPr="00ED1050" w:rsidRDefault="00A52242" w:rsidP="00EB1859">
            <w:pPr>
              <w:pStyle w:val="TableTextBold"/>
            </w:pPr>
            <w:r>
              <w:t>10</w:t>
            </w:r>
          </w:p>
        </w:tc>
      </w:tr>
      <w:tr w:rsidR="00A52242" w:rsidRPr="00ED1050" w14:paraId="3CDD1C4F" w14:textId="77777777" w:rsidTr="001D16A2">
        <w:trPr>
          <w:trHeight w:val="268"/>
        </w:trPr>
        <w:tc>
          <w:tcPr>
            <w:tcW w:w="1564" w:type="dxa"/>
          </w:tcPr>
          <w:p w14:paraId="66F4F948" w14:textId="77777777" w:rsidR="00A52242" w:rsidRPr="00D5130A" w:rsidRDefault="00A52242" w:rsidP="00EB1859">
            <w:pPr>
              <w:pStyle w:val="TableTextBody"/>
              <w:rPr>
                <w:i/>
              </w:rPr>
            </w:pPr>
            <w:r w:rsidRPr="004A696A">
              <w:t>Family responsibility</w:t>
            </w:r>
          </w:p>
        </w:tc>
        <w:tc>
          <w:tcPr>
            <w:tcW w:w="856" w:type="dxa"/>
            <w:vAlign w:val="center"/>
          </w:tcPr>
          <w:p w14:paraId="5F0C2941" w14:textId="77777777" w:rsidR="00A52242" w:rsidRPr="004139E4" w:rsidRDefault="00A52242" w:rsidP="00EB1859">
            <w:pPr>
              <w:pStyle w:val="TableTextBody"/>
            </w:pPr>
            <w:r>
              <w:t>34</w:t>
            </w:r>
          </w:p>
        </w:tc>
        <w:tc>
          <w:tcPr>
            <w:tcW w:w="1119" w:type="dxa"/>
            <w:vAlign w:val="center"/>
          </w:tcPr>
          <w:p w14:paraId="7097843E" w14:textId="77777777" w:rsidR="00A52242" w:rsidRPr="004139E4" w:rsidRDefault="00A52242" w:rsidP="00EB1859">
            <w:pPr>
              <w:pStyle w:val="TableTextBody"/>
            </w:pPr>
            <w:r>
              <w:t>5</w:t>
            </w:r>
          </w:p>
        </w:tc>
        <w:tc>
          <w:tcPr>
            <w:tcW w:w="1276" w:type="dxa"/>
            <w:vAlign w:val="center"/>
          </w:tcPr>
          <w:p w14:paraId="7FB9325C" w14:textId="77777777" w:rsidR="00A52242" w:rsidRPr="004139E4" w:rsidRDefault="00A52242" w:rsidP="00EB1859">
            <w:pPr>
              <w:pStyle w:val="TableTextBody"/>
            </w:pPr>
            <w:r>
              <w:t>2</w:t>
            </w:r>
          </w:p>
        </w:tc>
        <w:tc>
          <w:tcPr>
            <w:tcW w:w="1276" w:type="dxa"/>
            <w:vAlign w:val="center"/>
          </w:tcPr>
          <w:p w14:paraId="7ECDECBA" w14:textId="77777777" w:rsidR="00A52242" w:rsidRPr="004139E4" w:rsidRDefault="00A52242" w:rsidP="00EB1859">
            <w:pPr>
              <w:pStyle w:val="TableTextBody"/>
            </w:pPr>
            <w:r>
              <w:t>1</w:t>
            </w:r>
          </w:p>
        </w:tc>
        <w:tc>
          <w:tcPr>
            <w:tcW w:w="992" w:type="dxa"/>
            <w:vAlign w:val="center"/>
          </w:tcPr>
          <w:p w14:paraId="3CFF9EC5" w14:textId="77777777" w:rsidR="00A52242" w:rsidRPr="004139E4" w:rsidRDefault="00A52242" w:rsidP="00EB1859">
            <w:pPr>
              <w:pStyle w:val="TableTextBody"/>
            </w:pPr>
            <w:r>
              <w:t>3</w:t>
            </w:r>
          </w:p>
        </w:tc>
        <w:tc>
          <w:tcPr>
            <w:tcW w:w="850" w:type="dxa"/>
            <w:vAlign w:val="center"/>
          </w:tcPr>
          <w:p w14:paraId="357AC781" w14:textId="77777777" w:rsidR="00A52242" w:rsidRPr="004139E4" w:rsidRDefault="00A52242" w:rsidP="00EB1859">
            <w:pPr>
              <w:pStyle w:val="TableTextBody"/>
            </w:pPr>
          </w:p>
        </w:tc>
        <w:tc>
          <w:tcPr>
            <w:tcW w:w="993" w:type="dxa"/>
            <w:vAlign w:val="center"/>
          </w:tcPr>
          <w:p w14:paraId="424474D5" w14:textId="77777777" w:rsidR="00A52242" w:rsidDel="00D44020" w:rsidRDefault="00A52242" w:rsidP="00EB1859">
            <w:pPr>
              <w:pStyle w:val="TableTextBold"/>
            </w:pPr>
          </w:p>
        </w:tc>
        <w:tc>
          <w:tcPr>
            <w:tcW w:w="1275" w:type="dxa"/>
            <w:vAlign w:val="center"/>
          </w:tcPr>
          <w:p w14:paraId="5742E878" w14:textId="77777777" w:rsidR="00A52242" w:rsidRPr="00ED1050" w:rsidRDefault="00A52242" w:rsidP="001D16A2">
            <w:pPr>
              <w:pStyle w:val="TableTextBold"/>
            </w:pPr>
            <w:r>
              <w:t>9</w:t>
            </w:r>
          </w:p>
        </w:tc>
      </w:tr>
      <w:tr w:rsidR="00A52242" w:rsidRPr="00ED1050" w14:paraId="3D2A8346" w14:textId="77777777" w:rsidTr="001D16A2">
        <w:trPr>
          <w:trHeight w:val="268"/>
        </w:trPr>
        <w:tc>
          <w:tcPr>
            <w:tcW w:w="1564" w:type="dxa"/>
          </w:tcPr>
          <w:p w14:paraId="0993DEF1" w14:textId="77777777" w:rsidR="00A52242" w:rsidRPr="00D5130A" w:rsidRDefault="00A52242" w:rsidP="00EB1859">
            <w:pPr>
              <w:pStyle w:val="TableTextBody"/>
              <w:rPr>
                <w:i/>
              </w:rPr>
            </w:pPr>
            <w:r w:rsidRPr="004A696A">
              <w:t>Religion</w:t>
            </w:r>
          </w:p>
        </w:tc>
        <w:tc>
          <w:tcPr>
            <w:tcW w:w="856" w:type="dxa"/>
            <w:vAlign w:val="center"/>
          </w:tcPr>
          <w:p w14:paraId="08DC67AB" w14:textId="77777777" w:rsidR="00A52242" w:rsidRPr="004139E4" w:rsidRDefault="00A52242" w:rsidP="00EB1859">
            <w:pPr>
              <w:pStyle w:val="TableTextBody"/>
            </w:pPr>
            <w:r>
              <w:t>15</w:t>
            </w:r>
          </w:p>
        </w:tc>
        <w:tc>
          <w:tcPr>
            <w:tcW w:w="1119" w:type="dxa"/>
            <w:vAlign w:val="center"/>
          </w:tcPr>
          <w:p w14:paraId="0A81D3BB" w14:textId="77777777" w:rsidR="00A52242" w:rsidRPr="004139E4" w:rsidRDefault="00A52242" w:rsidP="00EB1859">
            <w:pPr>
              <w:pStyle w:val="TableTextBody"/>
            </w:pPr>
            <w:r>
              <w:t>8</w:t>
            </w:r>
          </w:p>
        </w:tc>
        <w:tc>
          <w:tcPr>
            <w:tcW w:w="1276" w:type="dxa"/>
            <w:vAlign w:val="center"/>
          </w:tcPr>
          <w:p w14:paraId="31A460C9" w14:textId="77777777" w:rsidR="00A52242" w:rsidRPr="004139E4" w:rsidRDefault="00A52242" w:rsidP="00EB1859">
            <w:pPr>
              <w:pStyle w:val="TableTextBody"/>
            </w:pPr>
            <w:r>
              <w:t>7</w:t>
            </w:r>
          </w:p>
        </w:tc>
        <w:tc>
          <w:tcPr>
            <w:tcW w:w="1276" w:type="dxa"/>
            <w:vAlign w:val="center"/>
          </w:tcPr>
          <w:p w14:paraId="0A21CD2C" w14:textId="77777777" w:rsidR="00A52242" w:rsidRPr="004139E4" w:rsidRDefault="00A52242" w:rsidP="00EB1859">
            <w:pPr>
              <w:pStyle w:val="TableTextBody"/>
            </w:pPr>
            <w:r>
              <w:t>7</w:t>
            </w:r>
          </w:p>
        </w:tc>
        <w:tc>
          <w:tcPr>
            <w:tcW w:w="992" w:type="dxa"/>
            <w:vAlign w:val="center"/>
          </w:tcPr>
          <w:p w14:paraId="4DC8D5C5" w14:textId="77777777" w:rsidR="00A52242" w:rsidRPr="004139E4" w:rsidRDefault="00A52242" w:rsidP="00EB1859">
            <w:pPr>
              <w:pStyle w:val="TableTextBody"/>
            </w:pPr>
            <w:r>
              <w:t>6</w:t>
            </w:r>
          </w:p>
        </w:tc>
        <w:tc>
          <w:tcPr>
            <w:tcW w:w="850" w:type="dxa"/>
            <w:vAlign w:val="center"/>
          </w:tcPr>
          <w:p w14:paraId="2CBDB6AB" w14:textId="77777777" w:rsidR="00A52242" w:rsidRPr="004139E4" w:rsidRDefault="00A52242" w:rsidP="00EB1859">
            <w:pPr>
              <w:pStyle w:val="TableTextBody"/>
            </w:pPr>
          </w:p>
        </w:tc>
        <w:tc>
          <w:tcPr>
            <w:tcW w:w="993" w:type="dxa"/>
            <w:vAlign w:val="center"/>
          </w:tcPr>
          <w:p w14:paraId="05157845" w14:textId="77777777" w:rsidR="00A52242" w:rsidDel="001E0DA6" w:rsidRDefault="00A52242" w:rsidP="00EB1859">
            <w:pPr>
              <w:pStyle w:val="TableTextBold"/>
            </w:pPr>
          </w:p>
        </w:tc>
        <w:tc>
          <w:tcPr>
            <w:tcW w:w="1275" w:type="dxa"/>
          </w:tcPr>
          <w:p w14:paraId="23B3A0BF" w14:textId="77777777" w:rsidR="00A52242" w:rsidRPr="00ED1050" w:rsidRDefault="00A52242" w:rsidP="00EB1859">
            <w:pPr>
              <w:pStyle w:val="TableTextBold"/>
            </w:pPr>
            <w:r>
              <w:t>7</w:t>
            </w:r>
          </w:p>
        </w:tc>
      </w:tr>
      <w:tr w:rsidR="00A52242" w:rsidRPr="00ED1050" w14:paraId="753969D3" w14:textId="77777777" w:rsidTr="001D16A2">
        <w:tc>
          <w:tcPr>
            <w:tcW w:w="1564" w:type="dxa"/>
          </w:tcPr>
          <w:p w14:paraId="22FADDA3" w14:textId="77777777" w:rsidR="00A52242" w:rsidRPr="00D5130A" w:rsidRDefault="00A52242" w:rsidP="00EB1859">
            <w:pPr>
              <w:pStyle w:val="TableTextBody"/>
              <w:rPr>
                <w:i/>
              </w:rPr>
            </w:pPr>
            <w:r w:rsidRPr="004A696A">
              <w:t>Age</w:t>
            </w:r>
          </w:p>
        </w:tc>
        <w:tc>
          <w:tcPr>
            <w:tcW w:w="856" w:type="dxa"/>
            <w:vAlign w:val="center"/>
          </w:tcPr>
          <w:p w14:paraId="0D157B74" w14:textId="77777777" w:rsidR="00A52242" w:rsidRPr="004139E4" w:rsidRDefault="00A52242" w:rsidP="00EB1859">
            <w:pPr>
              <w:pStyle w:val="TableTextBody"/>
            </w:pPr>
            <w:r>
              <w:t>16</w:t>
            </w:r>
          </w:p>
        </w:tc>
        <w:tc>
          <w:tcPr>
            <w:tcW w:w="1119" w:type="dxa"/>
            <w:vAlign w:val="center"/>
          </w:tcPr>
          <w:p w14:paraId="0C2DBE53" w14:textId="77777777" w:rsidR="00A52242" w:rsidRPr="004139E4" w:rsidRDefault="00A52242" w:rsidP="00EB1859">
            <w:pPr>
              <w:pStyle w:val="TableTextBody"/>
            </w:pPr>
            <w:r>
              <w:t>2</w:t>
            </w:r>
          </w:p>
        </w:tc>
        <w:tc>
          <w:tcPr>
            <w:tcW w:w="1276" w:type="dxa"/>
            <w:vAlign w:val="center"/>
          </w:tcPr>
          <w:p w14:paraId="51EB3DEF" w14:textId="77777777" w:rsidR="00A52242" w:rsidRPr="004139E4" w:rsidRDefault="00A52242" w:rsidP="00EB1859">
            <w:pPr>
              <w:pStyle w:val="TableTextBody"/>
            </w:pPr>
            <w:r>
              <w:t>2</w:t>
            </w:r>
          </w:p>
        </w:tc>
        <w:tc>
          <w:tcPr>
            <w:tcW w:w="1276" w:type="dxa"/>
            <w:vAlign w:val="center"/>
          </w:tcPr>
          <w:p w14:paraId="48B3D41D" w14:textId="77777777" w:rsidR="00A52242" w:rsidRPr="004139E4" w:rsidRDefault="00A52242" w:rsidP="00EB1859">
            <w:pPr>
              <w:pStyle w:val="TableTextBody"/>
            </w:pPr>
          </w:p>
        </w:tc>
        <w:tc>
          <w:tcPr>
            <w:tcW w:w="992" w:type="dxa"/>
            <w:vAlign w:val="center"/>
          </w:tcPr>
          <w:p w14:paraId="35DD31A8" w14:textId="77777777" w:rsidR="00A52242" w:rsidRPr="004139E4" w:rsidRDefault="00A52242" w:rsidP="00EB1859">
            <w:pPr>
              <w:pStyle w:val="TableTextBody"/>
            </w:pPr>
            <w:r>
              <w:t>8</w:t>
            </w:r>
          </w:p>
        </w:tc>
        <w:tc>
          <w:tcPr>
            <w:tcW w:w="850" w:type="dxa"/>
            <w:vAlign w:val="center"/>
          </w:tcPr>
          <w:p w14:paraId="01C6BAB3" w14:textId="77777777" w:rsidR="00A52242" w:rsidRPr="004139E4" w:rsidRDefault="00A52242" w:rsidP="00EB1859">
            <w:pPr>
              <w:pStyle w:val="TableTextBody"/>
            </w:pPr>
          </w:p>
        </w:tc>
        <w:tc>
          <w:tcPr>
            <w:tcW w:w="993" w:type="dxa"/>
            <w:vAlign w:val="center"/>
          </w:tcPr>
          <w:p w14:paraId="3FF50F23" w14:textId="77777777" w:rsidR="00A52242" w:rsidDel="00D44020" w:rsidRDefault="00A52242" w:rsidP="00EB1859">
            <w:pPr>
              <w:pStyle w:val="TableTextBold"/>
            </w:pPr>
          </w:p>
        </w:tc>
        <w:tc>
          <w:tcPr>
            <w:tcW w:w="1275" w:type="dxa"/>
          </w:tcPr>
          <w:p w14:paraId="37528EB4" w14:textId="77777777" w:rsidR="00A52242" w:rsidRPr="00ED1050" w:rsidRDefault="00A52242" w:rsidP="00EB1859">
            <w:pPr>
              <w:pStyle w:val="TableTextBold"/>
            </w:pPr>
            <w:r>
              <w:t>6</w:t>
            </w:r>
          </w:p>
        </w:tc>
      </w:tr>
      <w:tr w:rsidR="00A52242" w:rsidRPr="00ED1050" w14:paraId="026F08AF" w14:textId="77777777" w:rsidTr="001D16A2">
        <w:trPr>
          <w:trHeight w:val="268"/>
        </w:trPr>
        <w:tc>
          <w:tcPr>
            <w:tcW w:w="1564" w:type="dxa"/>
          </w:tcPr>
          <w:p w14:paraId="369DCD12" w14:textId="77777777" w:rsidR="00A52242" w:rsidRPr="00D5130A" w:rsidRDefault="00A52242" w:rsidP="00EB1859">
            <w:pPr>
              <w:pStyle w:val="TableTextBody"/>
              <w:rPr>
                <w:i/>
              </w:rPr>
            </w:pPr>
            <w:r w:rsidRPr="004A696A">
              <w:t>Pregnancy</w:t>
            </w:r>
          </w:p>
        </w:tc>
        <w:tc>
          <w:tcPr>
            <w:tcW w:w="856" w:type="dxa"/>
            <w:vAlign w:val="center"/>
          </w:tcPr>
          <w:p w14:paraId="5ED10A79" w14:textId="77777777" w:rsidR="00A52242" w:rsidRPr="004139E4" w:rsidRDefault="00A52242" w:rsidP="00EB1859">
            <w:pPr>
              <w:pStyle w:val="TableTextBody"/>
            </w:pPr>
            <w:r>
              <w:t>7</w:t>
            </w:r>
          </w:p>
        </w:tc>
        <w:tc>
          <w:tcPr>
            <w:tcW w:w="1119" w:type="dxa"/>
            <w:vAlign w:val="center"/>
          </w:tcPr>
          <w:p w14:paraId="148BA31E" w14:textId="77777777" w:rsidR="00A52242" w:rsidRPr="004139E4" w:rsidRDefault="00A52242" w:rsidP="00EB1859">
            <w:pPr>
              <w:pStyle w:val="TableTextBody"/>
            </w:pPr>
            <w:r>
              <w:t>3</w:t>
            </w:r>
          </w:p>
        </w:tc>
        <w:tc>
          <w:tcPr>
            <w:tcW w:w="1276" w:type="dxa"/>
            <w:vAlign w:val="center"/>
          </w:tcPr>
          <w:p w14:paraId="4BFD8399" w14:textId="77777777" w:rsidR="00A52242" w:rsidRPr="004139E4" w:rsidRDefault="00A52242" w:rsidP="00EB1859">
            <w:pPr>
              <w:pStyle w:val="TableTextBody"/>
            </w:pPr>
            <w:r>
              <w:t>1</w:t>
            </w:r>
          </w:p>
        </w:tc>
        <w:tc>
          <w:tcPr>
            <w:tcW w:w="1276" w:type="dxa"/>
            <w:vAlign w:val="center"/>
          </w:tcPr>
          <w:p w14:paraId="57AE6C48" w14:textId="77777777" w:rsidR="00A52242" w:rsidRPr="004139E4" w:rsidRDefault="00A52242" w:rsidP="00EB1859">
            <w:pPr>
              <w:pStyle w:val="TableTextBody"/>
            </w:pPr>
          </w:p>
        </w:tc>
        <w:tc>
          <w:tcPr>
            <w:tcW w:w="992" w:type="dxa"/>
            <w:vAlign w:val="center"/>
          </w:tcPr>
          <w:p w14:paraId="597CEEFB" w14:textId="77777777" w:rsidR="00A52242" w:rsidRPr="004139E4" w:rsidRDefault="00A52242" w:rsidP="00EB1859">
            <w:pPr>
              <w:pStyle w:val="TableTextBody"/>
            </w:pPr>
          </w:p>
        </w:tc>
        <w:tc>
          <w:tcPr>
            <w:tcW w:w="850" w:type="dxa"/>
            <w:vAlign w:val="center"/>
          </w:tcPr>
          <w:p w14:paraId="28E8F172" w14:textId="77777777" w:rsidR="00A52242" w:rsidRPr="004139E4" w:rsidRDefault="00A52242" w:rsidP="00EB1859">
            <w:pPr>
              <w:pStyle w:val="TableTextBody"/>
            </w:pPr>
          </w:p>
        </w:tc>
        <w:tc>
          <w:tcPr>
            <w:tcW w:w="993" w:type="dxa"/>
            <w:vAlign w:val="center"/>
          </w:tcPr>
          <w:p w14:paraId="0B83693A" w14:textId="77777777" w:rsidR="00A52242" w:rsidDel="001E0DA6" w:rsidRDefault="00A52242" w:rsidP="00EB1859">
            <w:pPr>
              <w:pStyle w:val="TableTextBold"/>
            </w:pPr>
          </w:p>
        </w:tc>
        <w:tc>
          <w:tcPr>
            <w:tcW w:w="1275" w:type="dxa"/>
          </w:tcPr>
          <w:p w14:paraId="4B687C22" w14:textId="77777777" w:rsidR="00A52242" w:rsidRPr="00ED1050" w:rsidRDefault="00A52242" w:rsidP="00EB1859">
            <w:pPr>
              <w:pStyle w:val="TableTextBold"/>
            </w:pPr>
            <w:r>
              <w:t>2</w:t>
            </w:r>
          </w:p>
        </w:tc>
      </w:tr>
      <w:tr w:rsidR="00A52242" w:rsidRPr="00ED1050" w14:paraId="0DB18615" w14:textId="77777777" w:rsidTr="001D16A2">
        <w:tc>
          <w:tcPr>
            <w:tcW w:w="1564" w:type="dxa"/>
          </w:tcPr>
          <w:p w14:paraId="78ACDD5D" w14:textId="77777777" w:rsidR="00A52242" w:rsidRPr="00D5130A" w:rsidRDefault="00A52242" w:rsidP="00EB1859">
            <w:pPr>
              <w:pStyle w:val="TableTextBody"/>
              <w:rPr>
                <w:i/>
              </w:rPr>
            </w:pPr>
            <w:r w:rsidRPr="004A696A">
              <w:t>Sexuality</w:t>
            </w:r>
          </w:p>
        </w:tc>
        <w:tc>
          <w:tcPr>
            <w:tcW w:w="856" w:type="dxa"/>
            <w:vAlign w:val="center"/>
          </w:tcPr>
          <w:p w14:paraId="1AB5370B" w14:textId="77777777" w:rsidR="00A52242" w:rsidRPr="004139E4" w:rsidRDefault="00A52242" w:rsidP="00EB1859">
            <w:pPr>
              <w:pStyle w:val="TableTextBody"/>
            </w:pPr>
            <w:r>
              <w:t>4</w:t>
            </w:r>
          </w:p>
        </w:tc>
        <w:tc>
          <w:tcPr>
            <w:tcW w:w="1119" w:type="dxa"/>
            <w:vAlign w:val="center"/>
          </w:tcPr>
          <w:p w14:paraId="350D6DF3" w14:textId="77777777" w:rsidR="00A52242" w:rsidRPr="004139E4" w:rsidRDefault="00A52242" w:rsidP="00EB1859">
            <w:pPr>
              <w:pStyle w:val="TableTextBody"/>
            </w:pPr>
            <w:r>
              <w:t>4</w:t>
            </w:r>
          </w:p>
        </w:tc>
        <w:tc>
          <w:tcPr>
            <w:tcW w:w="1276" w:type="dxa"/>
            <w:vAlign w:val="center"/>
          </w:tcPr>
          <w:p w14:paraId="5F3FCBA8" w14:textId="77777777" w:rsidR="00A52242" w:rsidRPr="004139E4" w:rsidRDefault="00A52242" w:rsidP="00EB1859">
            <w:pPr>
              <w:pStyle w:val="TableTextBody"/>
            </w:pPr>
            <w:r>
              <w:t>3</w:t>
            </w:r>
          </w:p>
        </w:tc>
        <w:tc>
          <w:tcPr>
            <w:tcW w:w="1276" w:type="dxa"/>
            <w:vAlign w:val="center"/>
          </w:tcPr>
          <w:p w14:paraId="2D74D7B4" w14:textId="77777777" w:rsidR="00A52242" w:rsidRPr="004139E4" w:rsidRDefault="00A52242" w:rsidP="00EB1859">
            <w:pPr>
              <w:pStyle w:val="TableTextBody"/>
            </w:pPr>
            <w:r>
              <w:t>3</w:t>
            </w:r>
          </w:p>
        </w:tc>
        <w:tc>
          <w:tcPr>
            <w:tcW w:w="992" w:type="dxa"/>
            <w:vAlign w:val="center"/>
          </w:tcPr>
          <w:p w14:paraId="7683EEE7" w14:textId="77777777" w:rsidR="00A52242" w:rsidRPr="004139E4" w:rsidRDefault="00A52242" w:rsidP="00EB1859">
            <w:pPr>
              <w:pStyle w:val="TableTextBody"/>
            </w:pPr>
          </w:p>
        </w:tc>
        <w:tc>
          <w:tcPr>
            <w:tcW w:w="850" w:type="dxa"/>
            <w:vAlign w:val="center"/>
          </w:tcPr>
          <w:p w14:paraId="3E70FDF1" w14:textId="77777777" w:rsidR="00A52242" w:rsidRPr="004139E4" w:rsidRDefault="00A52242" w:rsidP="00EB1859">
            <w:pPr>
              <w:pStyle w:val="TableTextBody"/>
            </w:pPr>
          </w:p>
        </w:tc>
        <w:tc>
          <w:tcPr>
            <w:tcW w:w="993" w:type="dxa"/>
            <w:vAlign w:val="center"/>
          </w:tcPr>
          <w:p w14:paraId="0FCAE14B" w14:textId="77777777" w:rsidR="00A52242" w:rsidDel="001E0DA6" w:rsidRDefault="00A52242" w:rsidP="00EB1859">
            <w:pPr>
              <w:pStyle w:val="TableTextBold"/>
            </w:pPr>
          </w:p>
        </w:tc>
        <w:tc>
          <w:tcPr>
            <w:tcW w:w="1275" w:type="dxa"/>
          </w:tcPr>
          <w:p w14:paraId="7531AC72" w14:textId="77777777" w:rsidR="00A52242" w:rsidRPr="00ED1050" w:rsidRDefault="00A52242" w:rsidP="00EB1859">
            <w:pPr>
              <w:pStyle w:val="TableTextBold"/>
            </w:pPr>
            <w:r>
              <w:t>2</w:t>
            </w:r>
          </w:p>
        </w:tc>
      </w:tr>
      <w:tr w:rsidR="00A52242" w:rsidRPr="00ED1050" w14:paraId="3CEA3C9B" w14:textId="77777777" w:rsidTr="001D16A2">
        <w:tc>
          <w:tcPr>
            <w:tcW w:w="1564" w:type="dxa"/>
          </w:tcPr>
          <w:p w14:paraId="6E71800F" w14:textId="77777777" w:rsidR="00A52242" w:rsidRPr="00D5130A" w:rsidRDefault="00A52242" w:rsidP="00EB1859">
            <w:pPr>
              <w:pStyle w:val="TableTextBody"/>
              <w:rPr>
                <w:i/>
              </w:rPr>
            </w:pPr>
            <w:r w:rsidRPr="004A696A">
              <w:t>Parental status</w:t>
            </w:r>
          </w:p>
        </w:tc>
        <w:tc>
          <w:tcPr>
            <w:tcW w:w="856" w:type="dxa"/>
            <w:vAlign w:val="center"/>
          </w:tcPr>
          <w:p w14:paraId="134AB4A4" w14:textId="77777777" w:rsidR="00A52242" w:rsidRPr="004139E4" w:rsidRDefault="00A52242" w:rsidP="00EB1859">
            <w:pPr>
              <w:pStyle w:val="TableTextBody"/>
            </w:pPr>
            <w:r>
              <w:t>7</w:t>
            </w:r>
          </w:p>
        </w:tc>
        <w:tc>
          <w:tcPr>
            <w:tcW w:w="1119" w:type="dxa"/>
            <w:vAlign w:val="center"/>
          </w:tcPr>
          <w:p w14:paraId="3400AE5A" w14:textId="77777777" w:rsidR="00A52242" w:rsidRPr="004139E4" w:rsidRDefault="00A52242" w:rsidP="00EB1859">
            <w:pPr>
              <w:pStyle w:val="TableTextBody"/>
            </w:pPr>
            <w:r>
              <w:t>2</w:t>
            </w:r>
          </w:p>
        </w:tc>
        <w:tc>
          <w:tcPr>
            <w:tcW w:w="1276" w:type="dxa"/>
            <w:vAlign w:val="center"/>
          </w:tcPr>
          <w:p w14:paraId="192D8412" w14:textId="77777777" w:rsidR="00A52242" w:rsidRPr="004139E4" w:rsidRDefault="00A52242" w:rsidP="00EB1859">
            <w:pPr>
              <w:pStyle w:val="TableTextBody"/>
            </w:pPr>
          </w:p>
        </w:tc>
        <w:tc>
          <w:tcPr>
            <w:tcW w:w="1276" w:type="dxa"/>
            <w:vAlign w:val="center"/>
          </w:tcPr>
          <w:p w14:paraId="0230640F" w14:textId="77777777" w:rsidR="00A52242" w:rsidRPr="004139E4" w:rsidRDefault="00A52242" w:rsidP="00EB1859">
            <w:pPr>
              <w:pStyle w:val="TableTextBody"/>
            </w:pPr>
          </w:p>
        </w:tc>
        <w:tc>
          <w:tcPr>
            <w:tcW w:w="992" w:type="dxa"/>
            <w:vAlign w:val="center"/>
          </w:tcPr>
          <w:p w14:paraId="157B4BCC" w14:textId="77777777" w:rsidR="00A52242" w:rsidRPr="004139E4" w:rsidRDefault="00A52242" w:rsidP="00EB1859">
            <w:pPr>
              <w:pStyle w:val="TableTextBody"/>
            </w:pPr>
          </w:p>
        </w:tc>
        <w:tc>
          <w:tcPr>
            <w:tcW w:w="850" w:type="dxa"/>
            <w:vAlign w:val="center"/>
          </w:tcPr>
          <w:p w14:paraId="36179B5E" w14:textId="77777777" w:rsidR="00A52242" w:rsidRPr="004139E4" w:rsidRDefault="00A52242" w:rsidP="00EB1859">
            <w:pPr>
              <w:pStyle w:val="TableTextBody"/>
            </w:pPr>
          </w:p>
        </w:tc>
        <w:tc>
          <w:tcPr>
            <w:tcW w:w="993" w:type="dxa"/>
            <w:vAlign w:val="center"/>
          </w:tcPr>
          <w:p w14:paraId="42B02FDA" w14:textId="77777777" w:rsidR="00A52242" w:rsidDel="001E0DA6" w:rsidRDefault="00A52242" w:rsidP="00EB1859">
            <w:pPr>
              <w:pStyle w:val="TableTextBold"/>
            </w:pPr>
          </w:p>
        </w:tc>
        <w:tc>
          <w:tcPr>
            <w:tcW w:w="1275" w:type="dxa"/>
          </w:tcPr>
          <w:p w14:paraId="7C289BB4" w14:textId="77777777" w:rsidR="00A52242" w:rsidRPr="00ED1050" w:rsidRDefault="00A52242" w:rsidP="00EB1859">
            <w:pPr>
              <w:pStyle w:val="TableTextBold"/>
            </w:pPr>
            <w:r>
              <w:t>2</w:t>
            </w:r>
          </w:p>
        </w:tc>
      </w:tr>
      <w:tr w:rsidR="00A52242" w:rsidRPr="00ED1050" w14:paraId="310E5C4E" w14:textId="77777777" w:rsidTr="001D16A2">
        <w:tc>
          <w:tcPr>
            <w:tcW w:w="1564" w:type="dxa"/>
          </w:tcPr>
          <w:p w14:paraId="0123D5A9" w14:textId="77777777" w:rsidR="00A52242" w:rsidRPr="00D5130A" w:rsidRDefault="00A52242" w:rsidP="00EB1859">
            <w:pPr>
              <w:pStyle w:val="TableTextBody"/>
              <w:rPr>
                <w:i/>
              </w:rPr>
            </w:pPr>
            <w:r w:rsidRPr="004A696A">
              <w:t>Relationship status</w:t>
            </w:r>
          </w:p>
        </w:tc>
        <w:tc>
          <w:tcPr>
            <w:tcW w:w="856" w:type="dxa"/>
            <w:vAlign w:val="center"/>
          </w:tcPr>
          <w:p w14:paraId="56C87595" w14:textId="77777777" w:rsidR="00A52242" w:rsidRPr="004139E4" w:rsidRDefault="00A52242" w:rsidP="00EB1859">
            <w:pPr>
              <w:pStyle w:val="TableTextBody"/>
            </w:pPr>
            <w:r>
              <w:t>4</w:t>
            </w:r>
          </w:p>
        </w:tc>
        <w:tc>
          <w:tcPr>
            <w:tcW w:w="1119" w:type="dxa"/>
            <w:vAlign w:val="center"/>
          </w:tcPr>
          <w:p w14:paraId="6353B004" w14:textId="77777777" w:rsidR="00A52242" w:rsidRPr="004917DB" w:rsidRDefault="00A52242" w:rsidP="00EB1859">
            <w:pPr>
              <w:pStyle w:val="TableTextBody"/>
            </w:pPr>
            <w:r w:rsidRPr="004917DB">
              <w:t>3</w:t>
            </w:r>
          </w:p>
        </w:tc>
        <w:tc>
          <w:tcPr>
            <w:tcW w:w="1276" w:type="dxa"/>
            <w:vAlign w:val="center"/>
          </w:tcPr>
          <w:p w14:paraId="1C947B6C" w14:textId="77777777" w:rsidR="00A52242" w:rsidRPr="004917DB" w:rsidRDefault="00A52242" w:rsidP="00EB1859">
            <w:pPr>
              <w:pStyle w:val="TableTextBody"/>
            </w:pPr>
            <w:r w:rsidRPr="004917DB">
              <w:t>1</w:t>
            </w:r>
          </w:p>
        </w:tc>
        <w:tc>
          <w:tcPr>
            <w:tcW w:w="1276" w:type="dxa"/>
            <w:vAlign w:val="center"/>
          </w:tcPr>
          <w:p w14:paraId="074F9C47" w14:textId="77777777" w:rsidR="00A52242" w:rsidRPr="004917DB" w:rsidRDefault="00A52242" w:rsidP="00EB1859">
            <w:pPr>
              <w:pStyle w:val="TableTextBody"/>
            </w:pPr>
          </w:p>
        </w:tc>
        <w:tc>
          <w:tcPr>
            <w:tcW w:w="992" w:type="dxa"/>
            <w:vAlign w:val="center"/>
          </w:tcPr>
          <w:p w14:paraId="142B128F" w14:textId="77777777" w:rsidR="00A52242" w:rsidRPr="004917DB" w:rsidRDefault="00A52242" w:rsidP="00EB1859">
            <w:pPr>
              <w:pStyle w:val="TableTextBody"/>
            </w:pPr>
            <w:r w:rsidRPr="004917DB">
              <w:t>1</w:t>
            </w:r>
          </w:p>
        </w:tc>
        <w:tc>
          <w:tcPr>
            <w:tcW w:w="850" w:type="dxa"/>
            <w:vAlign w:val="center"/>
          </w:tcPr>
          <w:p w14:paraId="5373A55B" w14:textId="77777777" w:rsidR="00A52242" w:rsidRPr="004139E4" w:rsidRDefault="00A52242" w:rsidP="00EB1859">
            <w:pPr>
              <w:pStyle w:val="TableTextBody"/>
            </w:pPr>
          </w:p>
        </w:tc>
        <w:tc>
          <w:tcPr>
            <w:tcW w:w="993" w:type="dxa"/>
            <w:vAlign w:val="center"/>
          </w:tcPr>
          <w:p w14:paraId="169B70BF" w14:textId="77777777" w:rsidR="00A52242" w:rsidDel="005E10F6" w:rsidRDefault="00A52242" w:rsidP="00EB1859">
            <w:pPr>
              <w:pStyle w:val="TableTextBold"/>
            </w:pPr>
          </w:p>
        </w:tc>
        <w:tc>
          <w:tcPr>
            <w:tcW w:w="1275" w:type="dxa"/>
          </w:tcPr>
          <w:p w14:paraId="64411D4F" w14:textId="77777777" w:rsidR="00A52242" w:rsidRPr="00ED1050" w:rsidRDefault="00A52242" w:rsidP="00EB1859">
            <w:pPr>
              <w:pStyle w:val="TableTextBold"/>
            </w:pPr>
            <w:r>
              <w:t>2</w:t>
            </w:r>
          </w:p>
        </w:tc>
      </w:tr>
      <w:tr w:rsidR="00A52242" w:rsidRPr="00ED1050" w14:paraId="59183549" w14:textId="77777777" w:rsidTr="001D16A2">
        <w:trPr>
          <w:trHeight w:val="268"/>
        </w:trPr>
        <w:tc>
          <w:tcPr>
            <w:tcW w:w="1564" w:type="dxa"/>
          </w:tcPr>
          <w:p w14:paraId="0EF7F8CD" w14:textId="77777777" w:rsidR="00A52242" w:rsidRPr="00D5130A" w:rsidRDefault="00A52242" w:rsidP="00EB1859">
            <w:pPr>
              <w:pStyle w:val="TableTextBody"/>
              <w:rPr>
                <w:i/>
              </w:rPr>
            </w:pPr>
            <w:r w:rsidRPr="004A696A">
              <w:t>Trade union activity</w:t>
            </w:r>
          </w:p>
        </w:tc>
        <w:tc>
          <w:tcPr>
            <w:tcW w:w="856" w:type="dxa"/>
            <w:vAlign w:val="center"/>
          </w:tcPr>
          <w:p w14:paraId="5A10897E" w14:textId="77777777" w:rsidR="00A52242" w:rsidRPr="004139E4" w:rsidRDefault="00A52242" w:rsidP="00EB1859">
            <w:pPr>
              <w:pStyle w:val="TableTextBody"/>
            </w:pPr>
            <w:r>
              <w:t>3</w:t>
            </w:r>
          </w:p>
        </w:tc>
        <w:tc>
          <w:tcPr>
            <w:tcW w:w="1119" w:type="dxa"/>
            <w:vAlign w:val="center"/>
          </w:tcPr>
          <w:p w14:paraId="47778961" w14:textId="77777777" w:rsidR="00A52242" w:rsidRPr="004917DB" w:rsidRDefault="00A52242" w:rsidP="00EB1859">
            <w:pPr>
              <w:pStyle w:val="TableTextBody"/>
            </w:pPr>
          </w:p>
        </w:tc>
        <w:tc>
          <w:tcPr>
            <w:tcW w:w="1276" w:type="dxa"/>
            <w:vAlign w:val="center"/>
          </w:tcPr>
          <w:p w14:paraId="4FDE2993" w14:textId="77777777" w:rsidR="00A52242" w:rsidRPr="004917DB" w:rsidRDefault="00A52242" w:rsidP="00EB1859">
            <w:pPr>
              <w:pStyle w:val="TableTextBody"/>
            </w:pPr>
          </w:p>
        </w:tc>
        <w:tc>
          <w:tcPr>
            <w:tcW w:w="1276" w:type="dxa"/>
            <w:vAlign w:val="center"/>
          </w:tcPr>
          <w:p w14:paraId="18EDD65B" w14:textId="77777777" w:rsidR="00A52242" w:rsidRPr="004917DB" w:rsidRDefault="00A52242" w:rsidP="00EB1859">
            <w:pPr>
              <w:pStyle w:val="TableTextBody"/>
            </w:pPr>
          </w:p>
        </w:tc>
        <w:tc>
          <w:tcPr>
            <w:tcW w:w="992" w:type="dxa"/>
            <w:vAlign w:val="center"/>
          </w:tcPr>
          <w:p w14:paraId="77450E63" w14:textId="77777777" w:rsidR="00A52242" w:rsidRPr="004917DB" w:rsidRDefault="00A52242" w:rsidP="00EB1859">
            <w:pPr>
              <w:pStyle w:val="TableTextBody"/>
            </w:pPr>
          </w:p>
        </w:tc>
        <w:tc>
          <w:tcPr>
            <w:tcW w:w="850" w:type="dxa"/>
            <w:vAlign w:val="center"/>
          </w:tcPr>
          <w:p w14:paraId="2F45E80C" w14:textId="77777777" w:rsidR="00A52242" w:rsidRPr="004139E4" w:rsidRDefault="00A52242" w:rsidP="00EB1859">
            <w:pPr>
              <w:pStyle w:val="TableTextBody"/>
            </w:pPr>
          </w:p>
        </w:tc>
        <w:tc>
          <w:tcPr>
            <w:tcW w:w="993" w:type="dxa"/>
            <w:vAlign w:val="center"/>
          </w:tcPr>
          <w:p w14:paraId="27E3E668" w14:textId="77777777" w:rsidR="00A52242" w:rsidDel="005E10F6" w:rsidRDefault="00A52242" w:rsidP="00EB1859">
            <w:pPr>
              <w:pStyle w:val="TableTextBold"/>
            </w:pPr>
          </w:p>
        </w:tc>
        <w:tc>
          <w:tcPr>
            <w:tcW w:w="1275" w:type="dxa"/>
            <w:vAlign w:val="center"/>
          </w:tcPr>
          <w:p w14:paraId="6D0AF9A6" w14:textId="77777777" w:rsidR="00A52242" w:rsidRPr="00ED1050" w:rsidRDefault="00A52242" w:rsidP="001D16A2">
            <w:pPr>
              <w:pStyle w:val="TableTextBold"/>
            </w:pPr>
            <w:r>
              <w:t>1</w:t>
            </w:r>
          </w:p>
        </w:tc>
      </w:tr>
      <w:tr w:rsidR="00A52242" w:rsidRPr="00ED1050" w14:paraId="7F950EFD" w14:textId="77777777" w:rsidTr="001D16A2">
        <w:tc>
          <w:tcPr>
            <w:tcW w:w="1564" w:type="dxa"/>
          </w:tcPr>
          <w:p w14:paraId="10C12596" w14:textId="77777777" w:rsidR="00A52242" w:rsidRPr="00D5130A" w:rsidRDefault="00A52242" w:rsidP="00EB1859">
            <w:pPr>
              <w:pStyle w:val="TableTextBody"/>
              <w:rPr>
                <w:i/>
              </w:rPr>
            </w:pPr>
            <w:r w:rsidRPr="004A696A">
              <w:t>Gender identity</w:t>
            </w:r>
          </w:p>
        </w:tc>
        <w:tc>
          <w:tcPr>
            <w:tcW w:w="856" w:type="dxa"/>
            <w:vAlign w:val="center"/>
          </w:tcPr>
          <w:p w14:paraId="5CCBACD4" w14:textId="77777777" w:rsidR="00A52242" w:rsidRPr="004139E4" w:rsidRDefault="00A52242" w:rsidP="00EB1859">
            <w:pPr>
              <w:pStyle w:val="TableTextBody"/>
            </w:pPr>
            <w:r>
              <w:t>2</w:t>
            </w:r>
          </w:p>
        </w:tc>
        <w:tc>
          <w:tcPr>
            <w:tcW w:w="1119" w:type="dxa"/>
            <w:vAlign w:val="center"/>
          </w:tcPr>
          <w:p w14:paraId="0CB229D8" w14:textId="77777777" w:rsidR="00A52242" w:rsidRPr="004917DB" w:rsidRDefault="00A52242" w:rsidP="00EB1859">
            <w:pPr>
              <w:pStyle w:val="TableTextBody"/>
            </w:pPr>
            <w:r w:rsidRPr="004917DB">
              <w:t>2</w:t>
            </w:r>
          </w:p>
        </w:tc>
        <w:tc>
          <w:tcPr>
            <w:tcW w:w="1276" w:type="dxa"/>
            <w:vAlign w:val="center"/>
          </w:tcPr>
          <w:p w14:paraId="29FBFB5E" w14:textId="77777777" w:rsidR="00A52242" w:rsidRPr="004917DB" w:rsidRDefault="00A52242" w:rsidP="00EB1859">
            <w:pPr>
              <w:pStyle w:val="TableTextBody"/>
            </w:pPr>
            <w:r w:rsidRPr="004917DB">
              <w:t>2</w:t>
            </w:r>
          </w:p>
        </w:tc>
        <w:tc>
          <w:tcPr>
            <w:tcW w:w="1276" w:type="dxa"/>
            <w:vAlign w:val="center"/>
          </w:tcPr>
          <w:p w14:paraId="42E70BF5" w14:textId="77777777" w:rsidR="00A52242" w:rsidRPr="004917DB" w:rsidRDefault="00A52242" w:rsidP="00EB1859">
            <w:pPr>
              <w:pStyle w:val="TableTextBody"/>
            </w:pPr>
            <w:r w:rsidRPr="004917DB">
              <w:t>1</w:t>
            </w:r>
          </w:p>
        </w:tc>
        <w:tc>
          <w:tcPr>
            <w:tcW w:w="992" w:type="dxa"/>
            <w:vAlign w:val="center"/>
          </w:tcPr>
          <w:p w14:paraId="34C2826F" w14:textId="77777777" w:rsidR="00A52242" w:rsidRPr="004917DB" w:rsidRDefault="00A52242" w:rsidP="00EB1859">
            <w:pPr>
              <w:pStyle w:val="TableTextBody"/>
            </w:pPr>
          </w:p>
        </w:tc>
        <w:tc>
          <w:tcPr>
            <w:tcW w:w="850" w:type="dxa"/>
            <w:vAlign w:val="center"/>
          </w:tcPr>
          <w:p w14:paraId="25129A4B" w14:textId="77777777" w:rsidR="00A52242" w:rsidRPr="004139E4" w:rsidRDefault="00A52242" w:rsidP="00EB1859">
            <w:pPr>
              <w:pStyle w:val="TableTextBody"/>
            </w:pPr>
          </w:p>
        </w:tc>
        <w:tc>
          <w:tcPr>
            <w:tcW w:w="993" w:type="dxa"/>
            <w:vAlign w:val="center"/>
          </w:tcPr>
          <w:p w14:paraId="55B5EB0A" w14:textId="77777777" w:rsidR="00A52242" w:rsidDel="001E0DA6" w:rsidRDefault="00A52242" w:rsidP="00EB1859">
            <w:pPr>
              <w:pStyle w:val="TableTextBold"/>
            </w:pPr>
          </w:p>
        </w:tc>
        <w:tc>
          <w:tcPr>
            <w:tcW w:w="1275" w:type="dxa"/>
            <w:vAlign w:val="center"/>
          </w:tcPr>
          <w:p w14:paraId="3F06B686" w14:textId="77777777" w:rsidR="00A52242" w:rsidRPr="00ED1050" w:rsidRDefault="00A52242" w:rsidP="001D16A2">
            <w:pPr>
              <w:pStyle w:val="TableTextBold"/>
            </w:pPr>
            <w:r>
              <w:t>1</w:t>
            </w:r>
          </w:p>
        </w:tc>
      </w:tr>
      <w:tr w:rsidR="00A52242" w:rsidRPr="00ED1050" w14:paraId="539B0B63" w14:textId="77777777" w:rsidTr="001D16A2">
        <w:tc>
          <w:tcPr>
            <w:tcW w:w="1564" w:type="dxa"/>
          </w:tcPr>
          <w:p w14:paraId="146CF7B9" w14:textId="77777777" w:rsidR="00A52242" w:rsidRPr="00D5130A" w:rsidRDefault="00A52242" w:rsidP="00EB1859">
            <w:pPr>
              <w:pStyle w:val="TableTextBody"/>
              <w:rPr>
                <w:i/>
              </w:rPr>
            </w:pPr>
            <w:r w:rsidRPr="004A696A">
              <w:t>Breastfeeding</w:t>
            </w:r>
          </w:p>
        </w:tc>
        <w:tc>
          <w:tcPr>
            <w:tcW w:w="856" w:type="dxa"/>
            <w:vAlign w:val="center"/>
          </w:tcPr>
          <w:p w14:paraId="336838C4" w14:textId="77777777" w:rsidR="00A52242" w:rsidRPr="004139E4" w:rsidRDefault="00A52242" w:rsidP="00EB1859">
            <w:pPr>
              <w:pStyle w:val="TableTextBody"/>
            </w:pPr>
            <w:r>
              <w:t>4</w:t>
            </w:r>
          </w:p>
        </w:tc>
        <w:tc>
          <w:tcPr>
            <w:tcW w:w="1119" w:type="dxa"/>
            <w:vAlign w:val="center"/>
          </w:tcPr>
          <w:p w14:paraId="405698C3" w14:textId="77777777" w:rsidR="00A52242" w:rsidRPr="004917DB" w:rsidRDefault="00A52242" w:rsidP="00EB1859">
            <w:pPr>
              <w:pStyle w:val="TableTextBody"/>
            </w:pPr>
          </w:p>
        </w:tc>
        <w:tc>
          <w:tcPr>
            <w:tcW w:w="1276" w:type="dxa"/>
            <w:vAlign w:val="center"/>
          </w:tcPr>
          <w:p w14:paraId="552F3759" w14:textId="77777777" w:rsidR="00A52242" w:rsidRPr="004917DB" w:rsidRDefault="00A52242" w:rsidP="00EB1859">
            <w:pPr>
              <w:pStyle w:val="TableTextBody"/>
            </w:pPr>
            <w:r w:rsidRPr="004917DB">
              <w:t>2</w:t>
            </w:r>
          </w:p>
        </w:tc>
        <w:tc>
          <w:tcPr>
            <w:tcW w:w="1276" w:type="dxa"/>
            <w:vAlign w:val="center"/>
          </w:tcPr>
          <w:p w14:paraId="0F6B2841" w14:textId="77777777" w:rsidR="00A52242" w:rsidRPr="004917DB" w:rsidRDefault="00A52242" w:rsidP="00EB1859">
            <w:pPr>
              <w:pStyle w:val="TableTextBody"/>
            </w:pPr>
          </w:p>
        </w:tc>
        <w:tc>
          <w:tcPr>
            <w:tcW w:w="992" w:type="dxa"/>
            <w:vAlign w:val="center"/>
          </w:tcPr>
          <w:p w14:paraId="1CF3EDB4" w14:textId="77777777" w:rsidR="00A52242" w:rsidRPr="004917DB" w:rsidRDefault="00A52242" w:rsidP="00EB1859">
            <w:pPr>
              <w:pStyle w:val="TableTextBody"/>
            </w:pPr>
          </w:p>
        </w:tc>
        <w:tc>
          <w:tcPr>
            <w:tcW w:w="850" w:type="dxa"/>
            <w:vAlign w:val="center"/>
          </w:tcPr>
          <w:p w14:paraId="54F2CCAF" w14:textId="77777777" w:rsidR="00A52242" w:rsidRPr="004139E4" w:rsidRDefault="00A52242" w:rsidP="00EB1859">
            <w:pPr>
              <w:pStyle w:val="TableTextBody"/>
            </w:pPr>
          </w:p>
        </w:tc>
        <w:tc>
          <w:tcPr>
            <w:tcW w:w="993" w:type="dxa"/>
            <w:vAlign w:val="center"/>
          </w:tcPr>
          <w:p w14:paraId="01A33B8E" w14:textId="77777777" w:rsidR="00A52242" w:rsidDel="005E10F6" w:rsidRDefault="00A52242" w:rsidP="00EB1859">
            <w:pPr>
              <w:pStyle w:val="TableTextBold"/>
            </w:pPr>
          </w:p>
        </w:tc>
        <w:tc>
          <w:tcPr>
            <w:tcW w:w="1275" w:type="dxa"/>
            <w:vAlign w:val="center"/>
          </w:tcPr>
          <w:p w14:paraId="6E30723A" w14:textId="77777777" w:rsidR="00A52242" w:rsidRPr="00ED1050" w:rsidRDefault="00A52242" w:rsidP="001D16A2">
            <w:pPr>
              <w:pStyle w:val="TableTextBold"/>
            </w:pPr>
            <w:r>
              <w:t>1</w:t>
            </w:r>
          </w:p>
        </w:tc>
      </w:tr>
      <w:tr w:rsidR="00A52242" w:rsidRPr="00ED1050" w14:paraId="6E108ABF" w14:textId="77777777" w:rsidTr="001D16A2">
        <w:trPr>
          <w:trHeight w:val="268"/>
        </w:trPr>
        <w:tc>
          <w:tcPr>
            <w:tcW w:w="1564" w:type="dxa"/>
          </w:tcPr>
          <w:p w14:paraId="7E10C521" w14:textId="77777777" w:rsidR="00A52242" w:rsidRPr="005E716B" w:rsidRDefault="00A52242" w:rsidP="00EB1859">
            <w:pPr>
              <w:pStyle w:val="TableTextBody"/>
              <w:rPr>
                <w:i/>
              </w:rPr>
            </w:pPr>
            <w:r w:rsidRPr="004A696A">
              <w:t>Lawful sexual activity</w:t>
            </w:r>
          </w:p>
        </w:tc>
        <w:tc>
          <w:tcPr>
            <w:tcW w:w="856" w:type="dxa"/>
            <w:vAlign w:val="center"/>
          </w:tcPr>
          <w:p w14:paraId="64677FF7" w14:textId="77777777" w:rsidR="00A52242" w:rsidRPr="004139E4" w:rsidRDefault="00A52242" w:rsidP="00EB1859">
            <w:pPr>
              <w:pStyle w:val="TableTextBody"/>
            </w:pPr>
          </w:p>
        </w:tc>
        <w:tc>
          <w:tcPr>
            <w:tcW w:w="1119" w:type="dxa"/>
            <w:vAlign w:val="center"/>
          </w:tcPr>
          <w:p w14:paraId="71A52608" w14:textId="77777777" w:rsidR="00A52242" w:rsidRPr="004917DB" w:rsidRDefault="00A52242" w:rsidP="00EB1859">
            <w:pPr>
              <w:pStyle w:val="TableTextBody"/>
            </w:pPr>
            <w:r w:rsidRPr="004917DB">
              <w:t>1</w:t>
            </w:r>
          </w:p>
        </w:tc>
        <w:tc>
          <w:tcPr>
            <w:tcW w:w="1276" w:type="dxa"/>
            <w:vAlign w:val="center"/>
          </w:tcPr>
          <w:p w14:paraId="67B0F20C" w14:textId="77777777" w:rsidR="00A52242" w:rsidRPr="004917DB" w:rsidRDefault="00A52242" w:rsidP="00EB1859">
            <w:pPr>
              <w:pStyle w:val="TableTextBody"/>
            </w:pPr>
          </w:p>
        </w:tc>
        <w:tc>
          <w:tcPr>
            <w:tcW w:w="1276" w:type="dxa"/>
            <w:vAlign w:val="center"/>
          </w:tcPr>
          <w:p w14:paraId="0A429AFE" w14:textId="77777777" w:rsidR="00A52242" w:rsidRPr="004917DB" w:rsidRDefault="00A52242" w:rsidP="00EB1859">
            <w:pPr>
              <w:pStyle w:val="TableTextBody"/>
            </w:pPr>
          </w:p>
        </w:tc>
        <w:tc>
          <w:tcPr>
            <w:tcW w:w="992" w:type="dxa"/>
            <w:vAlign w:val="center"/>
          </w:tcPr>
          <w:p w14:paraId="3840B394" w14:textId="77777777" w:rsidR="00A52242" w:rsidRPr="004917DB" w:rsidRDefault="00A52242" w:rsidP="00EB1859">
            <w:pPr>
              <w:pStyle w:val="TableTextBody"/>
            </w:pPr>
          </w:p>
        </w:tc>
        <w:tc>
          <w:tcPr>
            <w:tcW w:w="850" w:type="dxa"/>
            <w:vAlign w:val="center"/>
          </w:tcPr>
          <w:p w14:paraId="2535FC2D" w14:textId="77777777" w:rsidR="00A52242" w:rsidRPr="004139E4" w:rsidRDefault="00A52242" w:rsidP="00EB1859">
            <w:pPr>
              <w:pStyle w:val="TableTextBody"/>
            </w:pPr>
          </w:p>
        </w:tc>
        <w:tc>
          <w:tcPr>
            <w:tcW w:w="993" w:type="dxa"/>
            <w:vAlign w:val="center"/>
          </w:tcPr>
          <w:p w14:paraId="231801CC" w14:textId="77777777" w:rsidR="00A52242" w:rsidDel="005E10F6" w:rsidRDefault="00A52242" w:rsidP="00EB1859">
            <w:pPr>
              <w:pStyle w:val="TableTextBold"/>
            </w:pPr>
          </w:p>
        </w:tc>
        <w:tc>
          <w:tcPr>
            <w:tcW w:w="1275" w:type="dxa"/>
            <w:vAlign w:val="center"/>
          </w:tcPr>
          <w:p w14:paraId="6B09B278" w14:textId="77777777" w:rsidR="00A52242" w:rsidRPr="00ED1050" w:rsidRDefault="00A52242" w:rsidP="001D16A2">
            <w:pPr>
              <w:pStyle w:val="TableTextBold"/>
            </w:pPr>
            <w:r>
              <w:t>&lt;1</w:t>
            </w:r>
          </w:p>
        </w:tc>
      </w:tr>
      <w:tr w:rsidR="00A52242" w:rsidRPr="00ED1050" w14:paraId="750A2DF2" w14:textId="77777777" w:rsidTr="001D16A2">
        <w:tc>
          <w:tcPr>
            <w:tcW w:w="1564" w:type="dxa"/>
          </w:tcPr>
          <w:p w14:paraId="0BA7A39F" w14:textId="77777777" w:rsidR="00A52242" w:rsidRPr="00D5130A" w:rsidRDefault="00A52242" w:rsidP="00EB1859">
            <w:pPr>
              <w:pStyle w:val="TableTextBody"/>
              <w:rPr>
                <w:i/>
              </w:rPr>
            </w:pPr>
            <w:r w:rsidRPr="004A696A">
              <w:t>Political belief/activity</w:t>
            </w:r>
          </w:p>
        </w:tc>
        <w:tc>
          <w:tcPr>
            <w:tcW w:w="856" w:type="dxa"/>
            <w:vAlign w:val="center"/>
          </w:tcPr>
          <w:p w14:paraId="393CC355" w14:textId="77777777" w:rsidR="00A52242" w:rsidRPr="004139E4" w:rsidRDefault="00A52242" w:rsidP="00EB1859">
            <w:pPr>
              <w:pStyle w:val="TableTextBody"/>
            </w:pPr>
          </w:p>
        </w:tc>
        <w:tc>
          <w:tcPr>
            <w:tcW w:w="1119" w:type="dxa"/>
            <w:vAlign w:val="center"/>
          </w:tcPr>
          <w:p w14:paraId="6B1E7309" w14:textId="77777777" w:rsidR="00A52242" w:rsidRPr="004139E4" w:rsidRDefault="00A52242" w:rsidP="00EB1859">
            <w:pPr>
              <w:pStyle w:val="TableTextBody"/>
            </w:pPr>
          </w:p>
        </w:tc>
        <w:tc>
          <w:tcPr>
            <w:tcW w:w="1276" w:type="dxa"/>
            <w:vAlign w:val="center"/>
          </w:tcPr>
          <w:p w14:paraId="0A301456" w14:textId="77777777" w:rsidR="00A52242" w:rsidRPr="004139E4" w:rsidRDefault="00A52242" w:rsidP="00EB1859">
            <w:pPr>
              <w:pStyle w:val="TableTextBody"/>
            </w:pPr>
          </w:p>
        </w:tc>
        <w:tc>
          <w:tcPr>
            <w:tcW w:w="1276" w:type="dxa"/>
            <w:vAlign w:val="center"/>
          </w:tcPr>
          <w:p w14:paraId="7188E8A7" w14:textId="77777777" w:rsidR="00A52242" w:rsidRPr="004139E4" w:rsidRDefault="00A52242" w:rsidP="00EB1859">
            <w:pPr>
              <w:pStyle w:val="TableTextBody"/>
            </w:pPr>
          </w:p>
        </w:tc>
        <w:tc>
          <w:tcPr>
            <w:tcW w:w="992" w:type="dxa"/>
            <w:vAlign w:val="center"/>
          </w:tcPr>
          <w:p w14:paraId="2C523E76" w14:textId="77777777" w:rsidR="00A52242" w:rsidRPr="004139E4" w:rsidRDefault="00A52242" w:rsidP="00EB1859">
            <w:pPr>
              <w:pStyle w:val="TableTextBody"/>
            </w:pPr>
          </w:p>
        </w:tc>
        <w:tc>
          <w:tcPr>
            <w:tcW w:w="850" w:type="dxa"/>
            <w:vAlign w:val="center"/>
          </w:tcPr>
          <w:p w14:paraId="6A330F01" w14:textId="77777777" w:rsidR="00A52242" w:rsidRPr="004139E4" w:rsidRDefault="00A52242" w:rsidP="00EB1859">
            <w:pPr>
              <w:pStyle w:val="TableTextBody"/>
            </w:pPr>
          </w:p>
        </w:tc>
        <w:tc>
          <w:tcPr>
            <w:tcW w:w="993" w:type="dxa"/>
            <w:vAlign w:val="center"/>
          </w:tcPr>
          <w:p w14:paraId="43D386E9" w14:textId="77777777" w:rsidR="00A52242" w:rsidDel="005E10F6" w:rsidRDefault="00A52242" w:rsidP="00EB1859">
            <w:pPr>
              <w:pStyle w:val="TableTextBold"/>
            </w:pPr>
          </w:p>
        </w:tc>
        <w:tc>
          <w:tcPr>
            <w:tcW w:w="1275" w:type="dxa"/>
            <w:vAlign w:val="center"/>
          </w:tcPr>
          <w:p w14:paraId="24EB618D" w14:textId="77777777" w:rsidR="00A52242" w:rsidRPr="00ED1050" w:rsidRDefault="00A52242" w:rsidP="001D16A2">
            <w:pPr>
              <w:pStyle w:val="TableTextBold"/>
            </w:pPr>
            <w:r>
              <w:t xml:space="preserve"> 0</w:t>
            </w:r>
          </w:p>
        </w:tc>
      </w:tr>
      <w:tr w:rsidR="00A52242" w:rsidRPr="00ED1050" w14:paraId="36D46F5E" w14:textId="77777777" w:rsidTr="001D16A2">
        <w:tc>
          <w:tcPr>
            <w:tcW w:w="1564" w:type="dxa"/>
          </w:tcPr>
          <w:p w14:paraId="229180F2" w14:textId="1AD73E77" w:rsidR="00A52242" w:rsidRPr="00ED1050" w:rsidRDefault="00A52242" w:rsidP="00EB1859">
            <w:pPr>
              <w:pStyle w:val="TableTextBold"/>
            </w:pPr>
            <w:r w:rsidRPr="00ED1050">
              <w:t xml:space="preserve">% of accepted </w:t>
            </w:r>
            <w:r>
              <w:t xml:space="preserve">discrim </w:t>
            </w:r>
            <w:r w:rsidRPr="00ED1050">
              <w:t xml:space="preserve">complaints </w:t>
            </w:r>
            <w:r w:rsidR="007914A1">
              <w:t>alleging</w:t>
            </w:r>
            <w:r>
              <w:t xml:space="preserve"> this breach</w:t>
            </w:r>
          </w:p>
        </w:tc>
        <w:tc>
          <w:tcPr>
            <w:tcW w:w="856" w:type="dxa"/>
            <w:vAlign w:val="center"/>
          </w:tcPr>
          <w:p w14:paraId="430C8A46" w14:textId="77777777" w:rsidR="00A52242" w:rsidRPr="00ED1050" w:rsidRDefault="00A52242" w:rsidP="00EB1859">
            <w:pPr>
              <w:pStyle w:val="TableTextBold"/>
            </w:pPr>
            <w:r>
              <w:t>43</w:t>
            </w:r>
          </w:p>
        </w:tc>
        <w:tc>
          <w:tcPr>
            <w:tcW w:w="1119" w:type="dxa"/>
            <w:vAlign w:val="center"/>
          </w:tcPr>
          <w:p w14:paraId="53216869" w14:textId="77777777" w:rsidR="00A52242" w:rsidRPr="00ED1050" w:rsidRDefault="00A52242" w:rsidP="00EB1859">
            <w:pPr>
              <w:pStyle w:val="TableTextBold"/>
            </w:pPr>
            <w:r>
              <w:t>33</w:t>
            </w:r>
          </w:p>
        </w:tc>
        <w:tc>
          <w:tcPr>
            <w:tcW w:w="1276" w:type="dxa"/>
            <w:vAlign w:val="center"/>
          </w:tcPr>
          <w:p w14:paraId="43AF5AD6" w14:textId="77777777" w:rsidR="00A52242" w:rsidRPr="00ED1050" w:rsidRDefault="00A52242" w:rsidP="00EB1859">
            <w:pPr>
              <w:pStyle w:val="TableTextBold"/>
            </w:pPr>
            <w:r>
              <w:t>16</w:t>
            </w:r>
          </w:p>
        </w:tc>
        <w:tc>
          <w:tcPr>
            <w:tcW w:w="1276" w:type="dxa"/>
            <w:vAlign w:val="center"/>
          </w:tcPr>
          <w:p w14:paraId="393CA3A7" w14:textId="77777777" w:rsidR="00A52242" w:rsidRPr="00ED1050" w:rsidRDefault="00A52242" w:rsidP="00EB1859">
            <w:pPr>
              <w:pStyle w:val="TableTextBold"/>
            </w:pPr>
            <w:r>
              <w:t>8</w:t>
            </w:r>
          </w:p>
        </w:tc>
        <w:tc>
          <w:tcPr>
            <w:tcW w:w="992" w:type="dxa"/>
            <w:vAlign w:val="center"/>
          </w:tcPr>
          <w:p w14:paraId="665F0453" w14:textId="77777777" w:rsidR="00A52242" w:rsidRPr="00ED1050" w:rsidRDefault="00A52242" w:rsidP="00EB1859">
            <w:pPr>
              <w:pStyle w:val="TableTextBold"/>
            </w:pPr>
            <w:r>
              <w:t>7</w:t>
            </w:r>
          </w:p>
        </w:tc>
        <w:tc>
          <w:tcPr>
            <w:tcW w:w="850" w:type="dxa"/>
            <w:vAlign w:val="center"/>
          </w:tcPr>
          <w:p w14:paraId="6635C901" w14:textId="77777777" w:rsidR="00A52242" w:rsidRPr="00ED1050" w:rsidRDefault="00A52242" w:rsidP="00EB1859">
            <w:pPr>
              <w:pStyle w:val="TableTextBold"/>
            </w:pPr>
            <w:r>
              <w:t>&lt;1</w:t>
            </w:r>
          </w:p>
        </w:tc>
        <w:tc>
          <w:tcPr>
            <w:tcW w:w="993" w:type="dxa"/>
            <w:vAlign w:val="center"/>
          </w:tcPr>
          <w:p w14:paraId="386D17EF" w14:textId="77777777" w:rsidR="00A52242" w:rsidRPr="00ED1050" w:rsidRDefault="00A52242" w:rsidP="00EB1859">
            <w:pPr>
              <w:pStyle w:val="TableTextBold"/>
            </w:pPr>
            <w:r>
              <w:t>&lt;1</w:t>
            </w:r>
          </w:p>
        </w:tc>
        <w:tc>
          <w:tcPr>
            <w:tcW w:w="1275" w:type="dxa"/>
            <w:vAlign w:val="center"/>
          </w:tcPr>
          <w:p w14:paraId="4C3C0D3B" w14:textId="77777777" w:rsidR="00A52242" w:rsidRPr="00ED1050" w:rsidRDefault="00A52242" w:rsidP="00EB1859">
            <w:pPr>
              <w:pStyle w:val="TableTextBold"/>
            </w:pPr>
          </w:p>
        </w:tc>
      </w:tr>
    </w:tbl>
    <w:p w14:paraId="27FFCC67" w14:textId="2B72A6DB" w:rsidR="00A52242" w:rsidRPr="004756AC" w:rsidRDefault="00A52242" w:rsidP="004756AC">
      <w:pPr>
        <w:pStyle w:val="Diagram"/>
        <w:jc w:val="both"/>
        <w:rPr>
          <w:sz w:val="16"/>
          <w:szCs w:val="16"/>
        </w:rPr>
      </w:pPr>
      <w:r w:rsidRPr="004756AC">
        <w:rPr>
          <w:sz w:val="16"/>
          <w:szCs w:val="16"/>
        </w:rPr>
        <w:t xml:space="preserve">Note: Percentages in this table have been rounded to the nearest whole percentage point. </w:t>
      </w:r>
    </w:p>
    <w:p w14:paraId="1B514CC2" w14:textId="77777777" w:rsidR="00A52242" w:rsidRPr="004756AC" w:rsidRDefault="00A52242" w:rsidP="004756AC">
      <w:pPr>
        <w:jc w:val="both"/>
        <w:rPr>
          <w:sz w:val="16"/>
          <w:szCs w:val="16"/>
        </w:rPr>
      </w:pPr>
      <w:r w:rsidRPr="004756AC">
        <w:rPr>
          <w:sz w:val="16"/>
          <w:szCs w:val="16"/>
        </w:rPr>
        <w:t>Note: Each complaint can identify more than one breach.</w:t>
      </w:r>
    </w:p>
    <w:p w14:paraId="32C7E734" w14:textId="77777777" w:rsidR="004756AC" w:rsidRDefault="004756AC">
      <w:pPr>
        <w:ind w:right="0"/>
        <w:rPr>
          <w:color w:val="000000" w:themeColor="text1"/>
          <w:sz w:val="36"/>
        </w:rPr>
      </w:pPr>
      <w:bookmarkStart w:id="69" w:name="_Toc80971348"/>
      <w:bookmarkStart w:id="70" w:name="_Toc143677683"/>
      <w:bookmarkStart w:id="71" w:name="_Toc143677803"/>
      <w:bookmarkStart w:id="72" w:name="_Toc143678703"/>
      <w:bookmarkStart w:id="73" w:name="_Toc144200483"/>
      <w:r>
        <w:br w:type="page"/>
      </w:r>
    </w:p>
    <w:p w14:paraId="4CCB5396" w14:textId="1BB61171" w:rsidR="00A52242" w:rsidRPr="00ED1050" w:rsidRDefault="00A52242" w:rsidP="00CA5EBF">
      <w:pPr>
        <w:pStyle w:val="Heading2"/>
      </w:pPr>
      <w:r>
        <w:lastRenderedPageBreak/>
        <w:t>A</w:t>
      </w:r>
      <w:r w:rsidRPr="00ED1050">
        <w:t>ccepted complaints: human rights</w:t>
      </w:r>
      <w:bookmarkEnd w:id="69"/>
      <w:bookmarkEnd w:id="70"/>
      <w:bookmarkEnd w:id="71"/>
      <w:bookmarkEnd w:id="72"/>
      <w:bookmarkEnd w:id="73"/>
      <w:r w:rsidRPr="00ED1050">
        <w:t xml:space="preserve"> </w:t>
      </w:r>
    </w:p>
    <w:p w14:paraId="2F526DEC" w14:textId="77777777" w:rsidR="00A52242" w:rsidRPr="00ED1050" w:rsidRDefault="00A52242" w:rsidP="00EB1859">
      <w:r w:rsidRPr="00ED1050">
        <w:t xml:space="preserve">Complaints about human rights can be made about unreasonable limitations on </w:t>
      </w:r>
      <w:r>
        <w:t>human</w:t>
      </w:r>
      <w:r w:rsidRPr="00ED1050">
        <w:t xml:space="preserve"> rights by public entities. </w:t>
      </w:r>
    </w:p>
    <w:p w14:paraId="084FB4B4" w14:textId="77777777" w:rsidR="00A52242" w:rsidRPr="00ED1050" w:rsidRDefault="00A52242" w:rsidP="00EB1859">
      <w:r w:rsidRPr="00ED1050">
        <w:t xml:space="preserve">The complaint must be in relation to one of the 23 rights protected by the </w:t>
      </w:r>
      <w:r>
        <w:t xml:space="preserve">Human Rights </w:t>
      </w:r>
      <w:r w:rsidRPr="00ED1050">
        <w:t>Act,</w:t>
      </w:r>
      <w:r>
        <w:t xml:space="preserve"> </w:t>
      </w:r>
      <w:r w:rsidRPr="00ED1050">
        <w:t xml:space="preserve">and can only be made in relation to public entities. Under the Act, a public entity is one providing services to and for Queenslanders, including state and local governments, emergency services, public schools and public hospitals, NDIS providers, and organisations providing services on behalf of the state. Federal government departments and agencies are not covered by the Act, nor are private businesses (unless they are providing services on behalf of the state). </w:t>
      </w:r>
    </w:p>
    <w:p w14:paraId="74D4192E" w14:textId="2CAA1CF6" w:rsidR="00A52242" w:rsidRPr="00ED1050" w:rsidRDefault="00A52242" w:rsidP="00EB1859">
      <w:r w:rsidRPr="00406EE3">
        <w:t xml:space="preserve">Table </w:t>
      </w:r>
      <w:r w:rsidR="00406EE3" w:rsidRPr="00406EE3">
        <w:t>2</w:t>
      </w:r>
      <w:r w:rsidRPr="00406EE3">
        <w:t xml:space="preserve"> </w:t>
      </w:r>
      <w:r w:rsidR="00406EE3">
        <w:t xml:space="preserve">on the following page </w:t>
      </w:r>
      <w:r w:rsidRPr="00406EE3">
        <w:t>shows the number of human rights complaints that</w:t>
      </w:r>
      <w:r w:rsidRPr="00ED1050">
        <w:t xml:space="preserve"> were accepted</w:t>
      </w:r>
      <w:r>
        <w:t xml:space="preserve"> and finalised this year</w:t>
      </w:r>
      <w:r w:rsidRPr="00ED1050">
        <w:t xml:space="preserve">, by right. </w:t>
      </w:r>
      <w:r>
        <w:t>This includes piggy-back complaints (dealt with under the Anti-Discrimination Act but also containing allegations covered by the Human Rights Act).</w:t>
      </w:r>
    </w:p>
    <w:p w14:paraId="0892A651" w14:textId="77777777" w:rsidR="00A52242" w:rsidRDefault="00A52242" w:rsidP="00EB1859">
      <w:pPr>
        <w:rPr>
          <w:color w:val="000000" w:themeColor="text1"/>
        </w:rPr>
      </w:pPr>
      <w:r>
        <w:t>T</w:t>
      </w:r>
      <w:r w:rsidRPr="00ED1050">
        <w:t xml:space="preserve">he highest number of human rights complaints accepted </w:t>
      </w:r>
      <w:r>
        <w:t>this year again</w:t>
      </w:r>
      <w:r w:rsidRPr="00ED1050">
        <w:t xml:space="preserve"> </w:t>
      </w:r>
      <w:r>
        <w:t>engaged</w:t>
      </w:r>
      <w:r w:rsidRPr="00ED1050">
        <w:t xml:space="preserve"> the right to recognition and equality before the law. </w:t>
      </w:r>
      <w:r w:rsidRPr="00ED1050">
        <w:rPr>
          <w:color w:val="000000" w:themeColor="text1"/>
        </w:rPr>
        <w:t xml:space="preserve">This right is about fair treatment and non-discrimination. Many discrimination complaints made about public entities will also be a complaint about the right to recognition and equality before the law, which explains the relatively high </w:t>
      </w:r>
      <w:r>
        <w:rPr>
          <w:color w:val="000000" w:themeColor="text1"/>
        </w:rPr>
        <w:t>number of</w:t>
      </w:r>
      <w:r w:rsidRPr="00ED1050">
        <w:rPr>
          <w:color w:val="000000" w:themeColor="text1"/>
        </w:rPr>
        <w:t xml:space="preserve"> human rights complaints</w:t>
      </w:r>
      <w:r>
        <w:rPr>
          <w:color w:val="000000" w:themeColor="text1"/>
        </w:rPr>
        <w:t xml:space="preserve"> which engage this right</w:t>
      </w:r>
      <w:r w:rsidRPr="00ED1050">
        <w:rPr>
          <w:color w:val="000000" w:themeColor="text1"/>
        </w:rPr>
        <w:t xml:space="preserve">. </w:t>
      </w:r>
    </w:p>
    <w:p w14:paraId="7D0331C9" w14:textId="77777777" w:rsidR="00A52242" w:rsidRDefault="00A52242" w:rsidP="00EB1859"/>
    <w:p w14:paraId="7A8B0535" w14:textId="6201A483" w:rsidR="007608F0" w:rsidRDefault="007608F0" w:rsidP="007608F0">
      <w:pPr>
        <w:pStyle w:val="Keystatistics"/>
        <w:rPr>
          <w:shd w:val="clear" w:color="auto" w:fill="FFFFFF"/>
        </w:rPr>
      </w:pPr>
      <w:r>
        <w:rPr>
          <w:shd w:val="clear" w:color="auto" w:fill="FFFFFF"/>
        </w:rPr>
        <w:t>“(Conciliator)</w:t>
      </w:r>
      <w:r w:rsidRPr="008510F2">
        <w:rPr>
          <w:shd w:val="clear" w:color="auto" w:fill="FFFFFF"/>
        </w:rPr>
        <w:t xml:space="preserve"> is to be complimented for the very professional way she handled the complaint. She dealt with matters promptly and gave the impression that she cared. I have no doubt she dealt with the respondents the same. As the conciliator she had to walk a very fine line </w:t>
      </w:r>
      <w:r>
        <w:rPr>
          <w:shd w:val="clear" w:color="auto" w:fill="FFFFFF"/>
        </w:rPr>
        <w:t xml:space="preserve">and </w:t>
      </w:r>
      <w:r w:rsidRPr="008510F2">
        <w:rPr>
          <w:shd w:val="clear" w:color="auto" w:fill="FFFFFF"/>
        </w:rPr>
        <w:t>she did that very well</w:t>
      </w:r>
      <w:r>
        <w:rPr>
          <w:shd w:val="clear" w:color="auto" w:fill="FFFFFF"/>
        </w:rPr>
        <w:t>” – c</w:t>
      </w:r>
      <w:r w:rsidRPr="008510F2">
        <w:rPr>
          <w:shd w:val="clear" w:color="auto" w:fill="FFFFFF"/>
        </w:rPr>
        <w:t>omplainant</w:t>
      </w:r>
      <w:r>
        <w:rPr>
          <w:shd w:val="clear" w:color="auto" w:fill="FFFFFF"/>
        </w:rPr>
        <w:t xml:space="preserve"> </w:t>
      </w:r>
    </w:p>
    <w:p w14:paraId="7E99ED58" w14:textId="4253CA53" w:rsidR="00A52242" w:rsidRDefault="00A52242" w:rsidP="00EB1859">
      <w:pPr>
        <w:rPr>
          <w:rFonts w:eastAsiaTheme="minorEastAsia"/>
          <w:color w:val="000000" w:themeColor="text1"/>
          <w:sz w:val="20"/>
          <w:szCs w:val="18"/>
        </w:rPr>
      </w:pPr>
    </w:p>
    <w:p w14:paraId="2E77552D" w14:textId="77777777" w:rsidR="007608F0" w:rsidRDefault="007608F0">
      <w:pPr>
        <w:ind w:right="0"/>
        <w:rPr>
          <w:rFonts w:eastAsiaTheme="minorEastAsia"/>
          <w:b/>
          <w:bCs/>
          <w:i/>
          <w:iCs/>
          <w:color w:val="000000" w:themeColor="text1"/>
          <w:sz w:val="20"/>
          <w:szCs w:val="18"/>
          <w:lang w:eastAsia="en-US"/>
        </w:rPr>
      </w:pPr>
      <w:r>
        <w:br w:type="page"/>
      </w:r>
    </w:p>
    <w:p w14:paraId="72333696" w14:textId="59550A41" w:rsidR="00A52242" w:rsidRPr="00ED1050" w:rsidRDefault="00A52242" w:rsidP="00EB1859">
      <w:pPr>
        <w:pStyle w:val="Caption"/>
      </w:pPr>
      <w:r w:rsidRPr="00ED1050">
        <w:lastRenderedPageBreak/>
        <w:t xml:space="preserve">Table </w:t>
      </w:r>
      <w:r w:rsidR="00406EE3">
        <w:t>2</w:t>
      </w:r>
      <w:r w:rsidRPr="00ED1050">
        <w:t xml:space="preserve">: </w:t>
      </w:r>
      <w:r>
        <w:t>Accepted and finalised human rights complaints</w:t>
      </w:r>
      <w:r w:rsidRPr="00ED1050">
        <w:t xml:space="preserve">, by right </w:t>
      </w:r>
      <w:r>
        <w:t>2022-23</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823"/>
        <w:gridCol w:w="2268"/>
        <w:gridCol w:w="1701"/>
      </w:tblGrid>
      <w:tr w:rsidR="00A52242" w:rsidRPr="00ED1050" w14:paraId="5FE5D65A" w14:textId="77777777" w:rsidTr="00B817C2">
        <w:tc>
          <w:tcPr>
            <w:tcW w:w="3823" w:type="dxa"/>
          </w:tcPr>
          <w:p w14:paraId="31C20ECE" w14:textId="77777777" w:rsidR="00A52242" w:rsidRPr="00ED1050" w:rsidRDefault="00A52242" w:rsidP="00EB1859">
            <w:pPr>
              <w:pStyle w:val="TableTextHeading"/>
            </w:pPr>
            <w:r w:rsidRPr="00ED1050">
              <w:t xml:space="preserve">Right </w:t>
            </w:r>
          </w:p>
        </w:tc>
        <w:tc>
          <w:tcPr>
            <w:tcW w:w="2268" w:type="dxa"/>
          </w:tcPr>
          <w:p w14:paraId="7CBEC77A" w14:textId="187FD408" w:rsidR="00A52242" w:rsidRPr="00ED1050" w:rsidRDefault="00A52242" w:rsidP="00EB1859">
            <w:pPr>
              <w:pStyle w:val="TableTextHeading"/>
            </w:pPr>
            <w:r>
              <w:t xml:space="preserve">Number of accepted </w:t>
            </w:r>
            <w:r w:rsidR="00B817C2">
              <w:t xml:space="preserve">and finalised </w:t>
            </w:r>
            <w:r>
              <w:t>complaints</w:t>
            </w:r>
            <w:r w:rsidR="00B817C2">
              <w:t xml:space="preserve"> alleging a breach of this right</w:t>
            </w:r>
          </w:p>
        </w:tc>
        <w:tc>
          <w:tcPr>
            <w:tcW w:w="1701" w:type="dxa"/>
          </w:tcPr>
          <w:p w14:paraId="3DF7A0EF" w14:textId="3061C8A4" w:rsidR="00A52242" w:rsidRPr="00ED1050" w:rsidRDefault="00A52242" w:rsidP="00EB1859">
            <w:pPr>
              <w:pStyle w:val="TableTextHeading"/>
            </w:pPr>
            <w:r w:rsidRPr="00ED1050">
              <w:t xml:space="preserve">% of accepted </w:t>
            </w:r>
            <w:r w:rsidR="00B817C2">
              <w:t xml:space="preserve">and finalised </w:t>
            </w:r>
            <w:r w:rsidRPr="00ED1050">
              <w:t xml:space="preserve">human rights complaints </w:t>
            </w:r>
          </w:p>
        </w:tc>
      </w:tr>
      <w:tr w:rsidR="00A52242" w:rsidRPr="00ED1050" w14:paraId="03BC670E" w14:textId="77777777" w:rsidTr="00B817C2">
        <w:tc>
          <w:tcPr>
            <w:tcW w:w="3823" w:type="dxa"/>
          </w:tcPr>
          <w:p w14:paraId="0F5D1942" w14:textId="77777777" w:rsidR="00A52242" w:rsidRPr="00ED1050" w:rsidRDefault="00A52242" w:rsidP="00EB1859">
            <w:pPr>
              <w:pStyle w:val="TableTextBody"/>
            </w:pPr>
            <w:r w:rsidRPr="00ED1050">
              <w:t>Recognition and equality before the law</w:t>
            </w:r>
          </w:p>
        </w:tc>
        <w:tc>
          <w:tcPr>
            <w:tcW w:w="2268" w:type="dxa"/>
          </w:tcPr>
          <w:p w14:paraId="019EB54C" w14:textId="77777777" w:rsidR="00A52242" w:rsidRPr="00ED1050" w:rsidRDefault="00A52242" w:rsidP="00EB1859">
            <w:pPr>
              <w:pStyle w:val="TableTextBody"/>
            </w:pPr>
            <w:r>
              <w:t xml:space="preserve"> 180</w:t>
            </w:r>
          </w:p>
        </w:tc>
        <w:tc>
          <w:tcPr>
            <w:tcW w:w="1701" w:type="dxa"/>
          </w:tcPr>
          <w:p w14:paraId="409DE08D" w14:textId="77777777" w:rsidR="00A52242" w:rsidRPr="00ED1050" w:rsidRDefault="00A52242" w:rsidP="00EB1859">
            <w:pPr>
              <w:pStyle w:val="TableTextBody"/>
            </w:pPr>
            <w:r>
              <w:t>75</w:t>
            </w:r>
          </w:p>
        </w:tc>
      </w:tr>
      <w:tr w:rsidR="00A52242" w:rsidRPr="00ED1050" w14:paraId="7CE66090" w14:textId="77777777" w:rsidTr="00B817C2">
        <w:tc>
          <w:tcPr>
            <w:tcW w:w="3823" w:type="dxa"/>
          </w:tcPr>
          <w:p w14:paraId="6DCA3D41" w14:textId="77777777" w:rsidR="00A52242" w:rsidRPr="00ED1050" w:rsidRDefault="00A52242" w:rsidP="00EB1859">
            <w:pPr>
              <w:pStyle w:val="TableTextBody"/>
            </w:pPr>
            <w:r w:rsidRPr="00ED1050">
              <w:t>Privacy and reputation</w:t>
            </w:r>
          </w:p>
        </w:tc>
        <w:tc>
          <w:tcPr>
            <w:tcW w:w="2268" w:type="dxa"/>
          </w:tcPr>
          <w:p w14:paraId="029CD729" w14:textId="77777777" w:rsidR="00A52242" w:rsidRPr="00ED1050" w:rsidRDefault="00A52242" w:rsidP="00EB1859">
            <w:pPr>
              <w:pStyle w:val="TableTextBody"/>
            </w:pPr>
            <w:r>
              <w:t xml:space="preserve"> 106</w:t>
            </w:r>
          </w:p>
        </w:tc>
        <w:tc>
          <w:tcPr>
            <w:tcW w:w="1701" w:type="dxa"/>
          </w:tcPr>
          <w:p w14:paraId="55F6ECC7" w14:textId="77777777" w:rsidR="00A52242" w:rsidRPr="00ED1050" w:rsidRDefault="00A52242" w:rsidP="00EB1859">
            <w:pPr>
              <w:pStyle w:val="TableTextBody"/>
            </w:pPr>
            <w:r>
              <w:t>44</w:t>
            </w:r>
          </w:p>
        </w:tc>
      </w:tr>
      <w:tr w:rsidR="00A52242" w:rsidRPr="00ED1050" w14:paraId="68A4366F" w14:textId="77777777" w:rsidTr="00B817C2">
        <w:tc>
          <w:tcPr>
            <w:tcW w:w="3823" w:type="dxa"/>
          </w:tcPr>
          <w:p w14:paraId="2D137617" w14:textId="77777777" w:rsidR="00A52242" w:rsidRPr="00ED1050" w:rsidRDefault="00A52242" w:rsidP="00EB1859">
            <w:pPr>
              <w:pStyle w:val="TableTextBody"/>
            </w:pPr>
            <w:r w:rsidRPr="00ED1050">
              <w:t>Protection from torture &amp; cruel, inhuman or degrading treatment</w:t>
            </w:r>
          </w:p>
        </w:tc>
        <w:tc>
          <w:tcPr>
            <w:tcW w:w="2268" w:type="dxa"/>
          </w:tcPr>
          <w:p w14:paraId="5EA61AE8" w14:textId="77777777" w:rsidR="00A52242" w:rsidRDefault="00A52242" w:rsidP="00EB1859">
            <w:pPr>
              <w:pStyle w:val="TableTextBody"/>
            </w:pPr>
            <w:r>
              <w:t xml:space="preserve"> 47</w:t>
            </w:r>
          </w:p>
        </w:tc>
        <w:tc>
          <w:tcPr>
            <w:tcW w:w="1701" w:type="dxa"/>
          </w:tcPr>
          <w:p w14:paraId="25632C38" w14:textId="77777777" w:rsidR="00A52242" w:rsidDel="007C46E2" w:rsidRDefault="00A52242" w:rsidP="00EB1859">
            <w:pPr>
              <w:pStyle w:val="TableTextBody"/>
            </w:pPr>
            <w:r>
              <w:t>20</w:t>
            </w:r>
          </w:p>
        </w:tc>
      </w:tr>
      <w:tr w:rsidR="00A52242" w:rsidRPr="00ED1050" w14:paraId="1BC9877E" w14:textId="77777777" w:rsidTr="00B817C2">
        <w:tc>
          <w:tcPr>
            <w:tcW w:w="3823" w:type="dxa"/>
          </w:tcPr>
          <w:p w14:paraId="7EC93535" w14:textId="77777777" w:rsidR="00A52242" w:rsidRPr="00ED1050" w:rsidRDefault="00A52242" w:rsidP="00EB1859">
            <w:pPr>
              <w:pStyle w:val="TableTextBody"/>
            </w:pPr>
            <w:r w:rsidRPr="00ED1050">
              <w:t>Humane treatment when deprived of liberty</w:t>
            </w:r>
          </w:p>
        </w:tc>
        <w:tc>
          <w:tcPr>
            <w:tcW w:w="2268" w:type="dxa"/>
          </w:tcPr>
          <w:p w14:paraId="080B403F" w14:textId="77777777" w:rsidR="00A52242" w:rsidRPr="00ED1050" w:rsidRDefault="00A52242" w:rsidP="00EB1859">
            <w:pPr>
              <w:pStyle w:val="TableTextBody"/>
            </w:pPr>
            <w:r>
              <w:t xml:space="preserve"> 39</w:t>
            </w:r>
          </w:p>
        </w:tc>
        <w:tc>
          <w:tcPr>
            <w:tcW w:w="1701" w:type="dxa"/>
          </w:tcPr>
          <w:p w14:paraId="32AC6C75" w14:textId="77777777" w:rsidR="00A52242" w:rsidRPr="00ED1050" w:rsidRDefault="00A52242" w:rsidP="00EB1859">
            <w:pPr>
              <w:pStyle w:val="TableTextBody"/>
            </w:pPr>
            <w:r>
              <w:t>16</w:t>
            </w:r>
          </w:p>
        </w:tc>
      </w:tr>
      <w:tr w:rsidR="00A52242" w:rsidRPr="00ED1050" w14:paraId="40036513" w14:textId="77777777" w:rsidTr="00B817C2">
        <w:tc>
          <w:tcPr>
            <w:tcW w:w="3823" w:type="dxa"/>
          </w:tcPr>
          <w:p w14:paraId="1D5FAF16" w14:textId="77777777" w:rsidR="00A52242" w:rsidRPr="00ED1050" w:rsidRDefault="00A52242" w:rsidP="00EB1859">
            <w:pPr>
              <w:pStyle w:val="TableTextBody"/>
            </w:pPr>
            <w:r w:rsidRPr="00ED1050">
              <w:t>Protection of families and children</w:t>
            </w:r>
          </w:p>
        </w:tc>
        <w:tc>
          <w:tcPr>
            <w:tcW w:w="2268" w:type="dxa"/>
          </w:tcPr>
          <w:p w14:paraId="7ACCAF50" w14:textId="77777777" w:rsidR="00A52242" w:rsidRDefault="00A52242" w:rsidP="00EB1859">
            <w:pPr>
              <w:pStyle w:val="TableTextBody"/>
            </w:pPr>
            <w:r>
              <w:t xml:space="preserve"> 34</w:t>
            </w:r>
          </w:p>
        </w:tc>
        <w:tc>
          <w:tcPr>
            <w:tcW w:w="1701" w:type="dxa"/>
          </w:tcPr>
          <w:p w14:paraId="196E857A" w14:textId="77777777" w:rsidR="00A52242" w:rsidRDefault="00A52242" w:rsidP="00EB1859">
            <w:pPr>
              <w:pStyle w:val="TableTextBody"/>
            </w:pPr>
            <w:r>
              <w:t>14</w:t>
            </w:r>
          </w:p>
        </w:tc>
      </w:tr>
      <w:tr w:rsidR="00A52242" w:rsidRPr="00ED1050" w14:paraId="39FCA8CD" w14:textId="77777777" w:rsidTr="00B817C2">
        <w:tc>
          <w:tcPr>
            <w:tcW w:w="3823" w:type="dxa"/>
          </w:tcPr>
          <w:p w14:paraId="5D4955E1" w14:textId="47390C11" w:rsidR="00A52242" w:rsidRPr="00ED1050" w:rsidRDefault="00A52242" w:rsidP="00EB1859">
            <w:pPr>
              <w:pStyle w:val="TableTextBody"/>
            </w:pPr>
            <w:r>
              <w:t>Right to health services</w:t>
            </w:r>
          </w:p>
        </w:tc>
        <w:tc>
          <w:tcPr>
            <w:tcW w:w="2268" w:type="dxa"/>
          </w:tcPr>
          <w:p w14:paraId="6170799E" w14:textId="77777777" w:rsidR="00A52242" w:rsidRDefault="00A52242" w:rsidP="00EB1859">
            <w:pPr>
              <w:pStyle w:val="TableTextBody"/>
            </w:pPr>
            <w:r>
              <w:t xml:space="preserve"> 26</w:t>
            </w:r>
          </w:p>
        </w:tc>
        <w:tc>
          <w:tcPr>
            <w:tcW w:w="1701" w:type="dxa"/>
          </w:tcPr>
          <w:p w14:paraId="32F69D48" w14:textId="77777777" w:rsidR="00A52242" w:rsidRDefault="00A52242" w:rsidP="00EB1859">
            <w:pPr>
              <w:pStyle w:val="TableTextBody"/>
            </w:pPr>
            <w:r>
              <w:t>11</w:t>
            </w:r>
          </w:p>
        </w:tc>
      </w:tr>
      <w:tr w:rsidR="00A52242" w:rsidRPr="00ED1050" w14:paraId="35690738" w14:textId="77777777" w:rsidTr="00B817C2">
        <w:tc>
          <w:tcPr>
            <w:tcW w:w="3823" w:type="dxa"/>
          </w:tcPr>
          <w:p w14:paraId="2CE48B8D" w14:textId="77777777" w:rsidR="00A52242" w:rsidRDefault="00A52242" w:rsidP="00EB1859">
            <w:pPr>
              <w:pStyle w:val="TableTextBody"/>
            </w:pPr>
            <w:r w:rsidRPr="00ED1050">
              <w:t>Freedom of expression</w:t>
            </w:r>
          </w:p>
        </w:tc>
        <w:tc>
          <w:tcPr>
            <w:tcW w:w="2268" w:type="dxa"/>
          </w:tcPr>
          <w:p w14:paraId="56CA7A36" w14:textId="77777777" w:rsidR="00A52242" w:rsidRDefault="00A52242" w:rsidP="00EB1859">
            <w:pPr>
              <w:pStyle w:val="TableTextBody"/>
            </w:pPr>
            <w:r>
              <w:t xml:space="preserve"> 16</w:t>
            </w:r>
          </w:p>
        </w:tc>
        <w:tc>
          <w:tcPr>
            <w:tcW w:w="1701" w:type="dxa"/>
          </w:tcPr>
          <w:p w14:paraId="30BF493A" w14:textId="77777777" w:rsidR="00A52242" w:rsidRDefault="00A52242" w:rsidP="00EB1859">
            <w:pPr>
              <w:pStyle w:val="TableTextBody"/>
            </w:pPr>
            <w:r>
              <w:t>7</w:t>
            </w:r>
          </w:p>
        </w:tc>
      </w:tr>
      <w:tr w:rsidR="00A52242" w:rsidRPr="00ED1050" w14:paraId="493F741E" w14:textId="77777777" w:rsidTr="00B817C2">
        <w:tc>
          <w:tcPr>
            <w:tcW w:w="3823" w:type="dxa"/>
          </w:tcPr>
          <w:p w14:paraId="1946BE52" w14:textId="77777777" w:rsidR="00A52242" w:rsidRPr="00ED1050" w:rsidRDefault="00A52242" w:rsidP="00EB1859">
            <w:pPr>
              <w:pStyle w:val="TableTextBody"/>
            </w:pPr>
            <w:r w:rsidRPr="00ED1050">
              <w:t>Right to education</w:t>
            </w:r>
          </w:p>
        </w:tc>
        <w:tc>
          <w:tcPr>
            <w:tcW w:w="2268" w:type="dxa"/>
          </w:tcPr>
          <w:p w14:paraId="4A00147F" w14:textId="77777777" w:rsidR="00A52242" w:rsidRDefault="00A52242" w:rsidP="00EB1859">
            <w:pPr>
              <w:pStyle w:val="TableTextBody"/>
            </w:pPr>
            <w:r>
              <w:t xml:space="preserve"> 15</w:t>
            </w:r>
          </w:p>
        </w:tc>
        <w:tc>
          <w:tcPr>
            <w:tcW w:w="1701" w:type="dxa"/>
          </w:tcPr>
          <w:p w14:paraId="001F3BA2" w14:textId="77777777" w:rsidR="00A52242" w:rsidRDefault="00A52242" w:rsidP="00EB1859">
            <w:pPr>
              <w:pStyle w:val="TableTextBody"/>
            </w:pPr>
            <w:r>
              <w:t>6</w:t>
            </w:r>
          </w:p>
        </w:tc>
      </w:tr>
      <w:tr w:rsidR="00A52242" w:rsidRPr="00ED1050" w14:paraId="1442A86C" w14:textId="77777777" w:rsidTr="00B817C2">
        <w:tc>
          <w:tcPr>
            <w:tcW w:w="3823" w:type="dxa"/>
          </w:tcPr>
          <w:p w14:paraId="22567A91" w14:textId="77777777" w:rsidR="00A52242" w:rsidRPr="00ED1050" w:rsidRDefault="00A52242" w:rsidP="00EB1859">
            <w:pPr>
              <w:pStyle w:val="TableTextBody"/>
            </w:pPr>
            <w:r w:rsidRPr="00ED1050">
              <w:t>Freedom of movement</w:t>
            </w:r>
          </w:p>
        </w:tc>
        <w:tc>
          <w:tcPr>
            <w:tcW w:w="2268" w:type="dxa"/>
          </w:tcPr>
          <w:p w14:paraId="6AA8E277" w14:textId="77777777" w:rsidR="00A52242" w:rsidRPr="00ED1050" w:rsidRDefault="00A52242" w:rsidP="00EB1859">
            <w:pPr>
              <w:pStyle w:val="TableTextBody"/>
            </w:pPr>
            <w:r>
              <w:t xml:space="preserve"> 14</w:t>
            </w:r>
          </w:p>
        </w:tc>
        <w:tc>
          <w:tcPr>
            <w:tcW w:w="1701" w:type="dxa"/>
          </w:tcPr>
          <w:p w14:paraId="6C04EE9B" w14:textId="77777777" w:rsidR="00A52242" w:rsidRPr="00ED1050" w:rsidRDefault="00A52242" w:rsidP="00EB1859">
            <w:pPr>
              <w:pStyle w:val="TableTextBody"/>
            </w:pPr>
            <w:r>
              <w:t>6</w:t>
            </w:r>
          </w:p>
        </w:tc>
      </w:tr>
      <w:tr w:rsidR="00A52242" w:rsidRPr="00ED1050" w14:paraId="511C92FF" w14:textId="77777777" w:rsidTr="00B817C2">
        <w:tc>
          <w:tcPr>
            <w:tcW w:w="3823" w:type="dxa"/>
          </w:tcPr>
          <w:p w14:paraId="5C43F14D" w14:textId="77777777" w:rsidR="00A52242" w:rsidRPr="00ED1050" w:rsidRDefault="00A52242" w:rsidP="00EB1859">
            <w:pPr>
              <w:pStyle w:val="TableTextBody"/>
            </w:pPr>
            <w:r w:rsidRPr="00ED1050">
              <w:t>Freedom of thought, conscience, religion and belief</w:t>
            </w:r>
          </w:p>
        </w:tc>
        <w:tc>
          <w:tcPr>
            <w:tcW w:w="2268" w:type="dxa"/>
          </w:tcPr>
          <w:p w14:paraId="358D0E69" w14:textId="77777777" w:rsidR="00A52242" w:rsidRDefault="00A52242" w:rsidP="00EB1859">
            <w:pPr>
              <w:pStyle w:val="TableTextBody"/>
            </w:pPr>
            <w:r>
              <w:t xml:space="preserve"> 12</w:t>
            </w:r>
          </w:p>
        </w:tc>
        <w:tc>
          <w:tcPr>
            <w:tcW w:w="1701" w:type="dxa"/>
          </w:tcPr>
          <w:p w14:paraId="7F6E9A26" w14:textId="77777777" w:rsidR="00A52242" w:rsidRDefault="00A52242" w:rsidP="00EB1859">
            <w:pPr>
              <w:pStyle w:val="TableTextBody"/>
            </w:pPr>
            <w:r>
              <w:t>5</w:t>
            </w:r>
          </w:p>
        </w:tc>
      </w:tr>
      <w:tr w:rsidR="00A52242" w:rsidRPr="00ED1050" w14:paraId="2F540992" w14:textId="77777777" w:rsidTr="00B817C2">
        <w:tc>
          <w:tcPr>
            <w:tcW w:w="3823" w:type="dxa"/>
          </w:tcPr>
          <w:p w14:paraId="50402FC1" w14:textId="77777777" w:rsidR="00A52242" w:rsidRPr="00ED1050" w:rsidRDefault="00A52242" w:rsidP="00EB1859">
            <w:pPr>
              <w:pStyle w:val="TableTextBody"/>
            </w:pPr>
            <w:r w:rsidRPr="00ED1050">
              <w:t>Cultural rights – Aboriginal people &amp; Torres Strait Islander peoples</w:t>
            </w:r>
          </w:p>
        </w:tc>
        <w:tc>
          <w:tcPr>
            <w:tcW w:w="2268" w:type="dxa"/>
          </w:tcPr>
          <w:p w14:paraId="4974E743" w14:textId="77777777" w:rsidR="00A52242" w:rsidRPr="00ED1050" w:rsidRDefault="00A52242" w:rsidP="00EB1859">
            <w:pPr>
              <w:pStyle w:val="TableTextBody"/>
            </w:pPr>
            <w:r>
              <w:t xml:space="preserve"> 9</w:t>
            </w:r>
          </w:p>
        </w:tc>
        <w:tc>
          <w:tcPr>
            <w:tcW w:w="1701" w:type="dxa"/>
          </w:tcPr>
          <w:p w14:paraId="24D8E19D" w14:textId="77777777" w:rsidR="00A52242" w:rsidRPr="00ED1050" w:rsidRDefault="00A52242" w:rsidP="00EB1859">
            <w:pPr>
              <w:pStyle w:val="TableTextBody"/>
            </w:pPr>
            <w:r>
              <w:t>4</w:t>
            </w:r>
          </w:p>
        </w:tc>
      </w:tr>
      <w:tr w:rsidR="00A52242" w:rsidRPr="00ED1050" w14:paraId="43C1D593" w14:textId="77777777" w:rsidTr="00B817C2">
        <w:tc>
          <w:tcPr>
            <w:tcW w:w="3823" w:type="dxa"/>
          </w:tcPr>
          <w:p w14:paraId="45FFEF18" w14:textId="77777777" w:rsidR="00A52242" w:rsidRPr="00ED1050" w:rsidRDefault="00A52242" w:rsidP="00EB1859">
            <w:pPr>
              <w:pStyle w:val="TableTextBody"/>
            </w:pPr>
            <w:r w:rsidRPr="00ED1050">
              <w:t>Right to liberty and security of person</w:t>
            </w:r>
          </w:p>
        </w:tc>
        <w:tc>
          <w:tcPr>
            <w:tcW w:w="2268" w:type="dxa"/>
          </w:tcPr>
          <w:p w14:paraId="06844962" w14:textId="77777777" w:rsidR="00A52242" w:rsidRPr="00ED1050" w:rsidRDefault="00A52242" w:rsidP="00EB1859">
            <w:pPr>
              <w:pStyle w:val="TableTextBody"/>
            </w:pPr>
            <w:r>
              <w:t>8</w:t>
            </w:r>
          </w:p>
        </w:tc>
        <w:tc>
          <w:tcPr>
            <w:tcW w:w="1701" w:type="dxa"/>
          </w:tcPr>
          <w:p w14:paraId="1BFFEA07" w14:textId="77777777" w:rsidR="00A52242" w:rsidRPr="00ED1050" w:rsidRDefault="00A52242" w:rsidP="00EB1859">
            <w:pPr>
              <w:pStyle w:val="TableTextBody"/>
            </w:pPr>
            <w:r>
              <w:t>3</w:t>
            </w:r>
          </w:p>
        </w:tc>
      </w:tr>
      <w:tr w:rsidR="00A52242" w:rsidRPr="00ED1050" w14:paraId="63B50AD4" w14:textId="77777777" w:rsidTr="00B817C2">
        <w:tc>
          <w:tcPr>
            <w:tcW w:w="3823" w:type="dxa"/>
          </w:tcPr>
          <w:p w14:paraId="7E2B49BB" w14:textId="77777777" w:rsidR="00A52242" w:rsidRPr="00ED1050" w:rsidRDefault="00A52242" w:rsidP="00EB1859">
            <w:pPr>
              <w:pStyle w:val="TableTextBody"/>
            </w:pPr>
            <w:r w:rsidRPr="00ED1050">
              <w:t>Taking part in public life</w:t>
            </w:r>
          </w:p>
        </w:tc>
        <w:tc>
          <w:tcPr>
            <w:tcW w:w="2268" w:type="dxa"/>
          </w:tcPr>
          <w:p w14:paraId="5DB88943" w14:textId="77777777" w:rsidR="00A52242" w:rsidRPr="00ED1050" w:rsidRDefault="00A52242" w:rsidP="00EB1859">
            <w:pPr>
              <w:pStyle w:val="TableTextBody"/>
            </w:pPr>
            <w:r>
              <w:t xml:space="preserve"> 7</w:t>
            </w:r>
          </w:p>
        </w:tc>
        <w:tc>
          <w:tcPr>
            <w:tcW w:w="1701" w:type="dxa"/>
          </w:tcPr>
          <w:p w14:paraId="0B76B2C6" w14:textId="77777777" w:rsidR="00A52242" w:rsidRPr="00ED1050" w:rsidRDefault="00A52242" w:rsidP="00EB1859">
            <w:pPr>
              <w:pStyle w:val="TableTextBody"/>
            </w:pPr>
            <w:r>
              <w:t>3</w:t>
            </w:r>
          </w:p>
        </w:tc>
      </w:tr>
      <w:tr w:rsidR="00A52242" w:rsidRPr="00ED1050" w14:paraId="7CD9D09D" w14:textId="77777777" w:rsidTr="00B817C2">
        <w:tc>
          <w:tcPr>
            <w:tcW w:w="3823" w:type="dxa"/>
          </w:tcPr>
          <w:p w14:paraId="336D49FF" w14:textId="77777777" w:rsidR="00A52242" w:rsidRPr="00ED1050" w:rsidRDefault="00A52242" w:rsidP="00EB1859">
            <w:pPr>
              <w:pStyle w:val="TableTextBody"/>
            </w:pPr>
            <w:r w:rsidRPr="00ED1050">
              <w:t xml:space="preserve">Cultural rights – general </w:t>
            </w:r>
          </w:p>
        </w:tc>
        <w:tc>
          <w:tcPr>
            <w:tcW w:w="2268" w:type="dxa"/>
          </w:tcPr>
          <w:p w14:paraId="02BC9375" w14:textId="77777777" w:rsidR="00A52242" w:rsidRDefault="00A52242" w:rsidP="00EB1859">
            <w:pPr>
              <w:pStyle w:val="TableTextBody"/>
            </w:pPr>
            <w:r>
              <w:t xml:space="preserve"> 5</w:t>
            </w:r>
          </w:p>
        </w:tc>
        <w:tc>
          <w:tcPr>
            <w:tcW w:w="1701" w:type="dxa"/>
          </w:tcPr>
          <w:p w14:paraId="17719E7D" w14:textId="77777777" w:rsidR="00A52242" w:rsidRDefault="00A52242" w:rsidP="00EB1859">
            <w:pPr>
              <w:pStyle w:val="TableTextBody"/>
            </w:pPr>
            <w:r>
              <w:t>2</w:t>
            </w:r>
          </w:p>
        </w:tc>
      </w:tr>
      <w:tr w:rsidR="00A52242" w:rsidRPr="00ED1050" w14:paraId="0366AB3E" w14:textId="77777777" w:rsidTr="00B817C2">
        <w:tc>
          <w:tcPr>
            <w:tcW w:w="3823" w:type="dxa"/>
          </w:tcPr>
          <w:p w14:paraId="4B251883" w14:textId="77777777" w:rsidR="00A52242" w:rsidRPr="00ED1050" w:rsidRDefault="00A52242" w:rsidP="00EB1859">
            <w:pPr>
              <w:pStyle w:val="TableTextBody"/>
            </w:pPr>
            <w:r w:rsidRPr="00ED1050">
              <w:t>Fair hearing</w:t>
            </w:r>
          </w:p>
        </w:tc>
        <w:tc>
          <w:tcPr>
            <w:tcW w:w="2268" w:type="dxa"/>
          </w:tcPr>
          <w:p w14:paraId="692A2EA2" w14:textId="77777777" w:rsidR="00A52242" w:rsidRPr="00ED1050" w:rsidRDefault="00A52242" w:rsidP="00EB1859">
            <w:pPr>
              <w:pStyle w:val="TableTextBody"/>
            </w:pPr>
            <w:r>
              <w:t xml:space="preserve"> 3</w:t>
            </w:r>
          </w:p>
        </w:tc>
        <w:tc>
          <w:tcPr>
            <w:tcW w:w="1701" w:type="dxa"/>
          </w:tcPr>
          <w:p w14:paraId="124BDCEA" w14:textId="77777777" w:rsidR="00A52242" w:rsidRPr="00ED1050" w:rsidRDefault="00A52242" w:rsidP="00EB1859">
            <w:pPr>
              <w:pStyle w:val="TableTextBody"/>
            </w:pPr>
            <w:r>
              <w:t>1</w:t>
            </w:r>
          </w:p>
        </w:tc>
      </w:tr>
      <w:tr w:rsidR="00A52242" w:rsidRPr="00ED1050" w14:paraId="55B1641A" w14:textId="77777777" w:rsidTr="00B817C2">
        <w:tc>
          <w:tcPr>
            <w:tcW w:w="3823" w:type="dxa"/>
          </w:tcPr>
          <w:p w14:paraId="14C41FC6" w14:textId="77777777" w:rsidR="00A52242" w:rsidRPr="00ED1050" w:rsidRDefault="00A52242" w:rsidP="00EB1859">
            <w:pPr>
              <w:pStyle w:val="TableTextBody"/>
            </w:pPr>
            <w:r w:rsidRPr="00ED1050">
              <w:t>Property rights</w:t>
            </w:r>
          </w:p>
        </w:tc>
        <w:tc>
          <w:tcPr>
            <w:tcW w:w="2268" w:type="dxa"/>
          </w:tcPr>
          <w:p w14:paraId="4303B5E3" w14:textId="77777777" w:rsidR="00A52242" w:rsidRDefault="00A52242" w:rsidP="00EB1859">
            <w:pPr>
              <w:pStyle w:val="TableTextBody"/>
            </w:pPr>
            <w:r>
              <w:t xml:space="preserve"> 3</w:t>
            </w:r>
          </w:p>
        </w:tc>
        <w:tc>
          <w:tcPr>
            <w:tcW w:w="1701" w:type="dxa"/>
          </w:tcPr>
          <w:p w14:paraId="00659FD5" w14:textId="77777777" w:rsidR="00A52242" w:rsidDel="007C46E2" w:rsidRDefault="00A52242" w:rsidP="00EB1859">
            <w:pPr>
              <w:pStyle w:val="TableTextBody"/>
            </w:pPr>
            <w:r>
              <w:t>1</w:t>
            </w:r>
          </w:p>
        </w:tc>
      </w:tr>
      <w:tr w:rsidR="00A52242" w:rsidRPr="00ED1050" w14:paraId="210CF792" w14:textId="77777777" w:rsidTr="00B817C2">
        <w:tc>
          <w:tcPr>
            <w:tcW w:w="3823" w:type="dxa"/>
          </w:tcPr>
          <w:p w14:paraId="115A1C5B" w14:textId="77777777" w:rsidR="00A52242" w:rsidRPr="00ED1050" w:rsidRDefault="00A52242" w:rsidP="00EB1859">
            <w:pPr>
              <w:pStyle w:val="TableTextBody"/>
            </w:pPr>
            <w:r w:rsidRPr="00ED1050">
              <w:t>Right to life</w:t>
            </w:r>
          </w:p>
        </w:tc>
        <w:tc>
          <w:tcPr>
            <w:tcW w:w="2268" w:type="dxa"/>
          </w:tcPr>
          <w:p w14:paraId="48FE87EE" w14:textId="77777777" w:rsidR="00A52242" w:rsidRDefault="00A52242" w:rsidP="00EB1859">
            <w:pPr>
              <w:pStyle w:val="TableTextBody"/>
            </w:pPr>
            <w:r>
              <w:t xml:space="preserve"> 3</w:t>
            </w:r>
          </w:p>
        </w:tc>
        <w:tc>
          <w:tcPr>
            <w:tcW w:w="1701" w:type="dxa"/>
          </w:tcPr>
          <w:p w14:paraId="67B18A21" w14:textId="77777777" w:rsidR="00A52242" w:rsidRDefault="00A52242" w:rsidP="00EB1859">
            <w:pPr>
              <w:pStyle w:val="TableTextBody"/>
            </w:pPr>
            <w:r>
              <w:t>1</w:t>
            </w:r>
          </w:p>
        </w:tc>
      </w:tr>
      <w:tr w:rsidR="00A52242" w:rsidRPr="00ED1050" w14:paraId="31C022BF" w14:textId="77777777" w:rsidTr="00B817C2">
        <w:tc>
          <w:tcPr>
            <w:tcW w:w="3823" w:type="dxa"/>
          </w:tcPr>
          <w:p w14:paraId="09825EE1" w14:textId="77777777" w:rsidR="00A52242" w:rsidRPr="00ED1050" w:rsidRDefault="00A52242" w:rsidP="00EB1859">
            <w:pPr>
              <w:pStyle w:val="TableTextBody"/>
            </w:pPr>
            <w:r w:rsidRPr="00ED1050">
              <w:t>Protection of children in the criminal process</w:t>
            </w:r>
          </w:p>
        </w:tc>
        <w:tc>
          <w:tcPr>
            <w:tcW w:w="2268" w:type="dxa"/>
          </w:tcPr>
          <w:p w14:paraId="697E921C" w14:textId="77777777" w:rsidR="00A52242" w:rsidRPr="00ED1050" w:rsidRDefault="00A52242" w:rsidP="00EB1859">
            <w:pPr>
              <w:pStyle w:val="TableTextBody"/>
            </w:pPr>
            <w:r>
              <w:t xml:space="preserve"> 1</w:t>
            </w:r>
          </w:p>
        </w:tc>
        <w:tc>
          <w:tcPr>
            <w:tcW w:w="1701" w:type="dxa"/>
          </w:tcPr>
          <w:p w14:paraId="37B83B1A" w14:textId="77777777" w:rsidR="00A52242" w:rsidRPr="00ED1050" w:rsidRDefault="00A52242" w:rsidP="00EB1859">
            <w:pPr>
              <w:pStyle w:val="TableTextBody"/>
            </w:pPr>
            <w:r>
              <w:t>&lt;1</w:t>
            </w:r>
          </w:p>
        </w:tc>
      </w:tr>
      <w:tr w:rsidR="00A52242" w:rsidRPr="00ED1050" w14:paraId="59B7E878" w14:textId="77777777" w:rsidTr="00B817C2">
        <w:tc>
          <w:tcPr>
            <w:tcW w:w="3823" w:type="dxa"/>
          </w:tcPr>
          <w:p w14:paraId="3301CC1C" w14:textId="77777777" w:rsidR="00A52242" w:rsidRPr="00ED1050" w:rsidRDefault="00A52242" w:rsidP="00EB1859">
            <w:pPr>
              <w:pStyle w:val="TableTextBody"/>
            </w:pPr>
            <w:r w:rsidRPr="00ED1050">
              <w:t>Rights in criminal proceedings</w:t>
            </w:r>
          </w:p>
        </w:tc>
        <w:tc>
          <w:tcPr>
            <w:tcW w:w="2268" w:type="dxa"/>
          </w:tcPr>
          <w:p w14:paraId="67001607" w14:textId="77777777" w:rsidR="00A52242" w:rsidRPr="00ED1050" w:rsidRDefault="00A52242" w:rsidP="00EB1859">
            <w:pPr>
              <w:pStyle w:val="TableTextBody"/>
            </w:pPr>
            <w:r>
              <w:t xml:space="preserve"> 1</w:t>
            </w:r>
          </w:p>
        </w:tc>
        <w:tc>
          <w:tcPr>
            <w:tcW w:w="1701" w:type="dxa"/>
          </w:tcPr>
          <w:p w14:paraId="0959EBCE" w14:textId="77777777" w:rsidR="00A52242" w:rsidRPr="00ED1050" w:rsidRDefault="00A52242" w:rsidP="00EB1859">
            <w:pPr>
              <w:pStyle w:val="TableTextBody"/>
            </w:pPr>
            <w:r>
              <w:t>&lt;1</w:t>
            </w:r>
          </w:p>
        </w:tc>
      </w:tr>
      <w:tr w:rsidR="00A52242" w:rsidRPr="00ED1050" w14:paraId="25771B57" w14:textId="77777777" w:rsidTr="00B817C2">
        <w:tc>
          <w:tcPr>
            <w:tcW w:w="3823" w:type="dxa"/>
          </w:tcPr>
          <w:p w14:paraId="7F5E2AFE" w14:textId="77777777" w:rsidR="00A52242" w:rsidRPr="00ED1050" w:rsidRDefault="00A52242" w:rsidP="00EB1859">
            <w:pPr>
              <w:pStyle w:val="TableTextBody"/>
              <w:rPr>
                <w:b/>
              </w:rPr>
            </w:pPr>
            <w:r w:rsidRPr="00ED1050">
              <w:t xml:space="preserve">Peaceful assembly and freedom of association </w:t>
            </w:r>
          </w:p>
        </w:tc>
        <w:tc>
          <w:tcPr>
            <w:tcW w:w="2268" w:type="dxa"/>
          </w:tcPr>
          <w:p w14:paraId="5AA44596" w14:textId="77777777" w:rsidR="00A52242" w:rsidRPr="00ED1050" w:rsidRDefault="00A52242" w:rsidP="00EB1859">
            <w:pPr>
              <w:pStyle w:val="TableTextBody"/>
              <w:rPr>
                <w:b/>
              </w:rPr>
            </w:pPr>
            <w:r>
              <w:t xml:space="preserve"> 1</w:t>
            </w:r>
          </w:p>
        </w:tc>
        <w:tc>
          <w:tcPr>
            <w:tcW w:w="1701" w:type="dxa"/>
          </w:tcPr>
          <w:p w14:paraId="6B0E7A4F" w14:textId="77777777" w:rsidR="00A52242" w:rsidRPr="00ED1050" w:rsidRDefault="00A52242" w:rsidP="00EB1859">
            <w:pPr>
              <w:pStyle w:val="TableTextBody"/>
            </w:pPr>
            <w:r>
              <w:t>&lt;1</w:t>
            </w:r>
          </w:p>
        </w:tc>
      </w:tr>
      <w:tr w:rsidR="00A52242" w:rsidRPr="00ED1050" w14:paraId="3751FEE8" w14:textId="77777777" w:rsidTr="00B817C2">
        <w:tc>
          <w:tcPr>
            <w:tcW w:w="3823" w:type="dxa"/>
          </w:tcPr>
          <w:p w14:paraId="6560AF25" w14:textId="77777777" w:rsidR="00A52242" w:rsidRPr="00ED1050" w:rsidRDefault="00A52242" w:rsidP="00EB1859">
            <w:pPr>
              <w:pStyle w:val="TableTextBody"/>
            </w:pPr>
            <w:r w:rsidRPr="00ED1050">
              <w:t>Right not to be tried or punished more than once</w:t>
            </w:r>
          </w:p>
        </w:tc>
        <w:tc>
          <w:tcPr>
            <w:tcW w:w="2268" w:type="dxa"/>
          </w:tcPr>
          <w:p w14:paraId="492C16C7" w14:textId="77777777" w:rsidR="00A52242" w:rsidRPr="00ED1050" w:rsidRDefault="00A52242" w:rsidP="00EB1859">
            <w:pPr>
              <w:pStyle w:val="TableTextBody"/>
            </w:pPr>
            <w:r>
              <w:t xml:space="preserve"> 0</w:t>
            </w:r>
          </w:p>
        </w:tc>
        <w:tc>
          <w:tcPr>
            <w:tcW w:w="1701" w:type="dxa"/>
          </w:tcPr>
          <w:p w14:paraId="3B729F31" w14:textId="77777777" w:rsidR="00A52242" w:rsidRPr="00ED1050" w:rsidRDefault="00A52242" w:rsidP="00EB1859">
            <w:pPr>
              <w:pStyle w:val="TableTextBody"/>
            </w:pPr>
            <w:r w:rsidRPr="00ED1050">
              <w:t>-</w:t>
            </w:r>
          </w:p>
        </w:tc>
      </w:tr>
      <w:tr w:rsidR="00A52242" w:rsidRPr="007608F0" w14:paraId="163E4625" w14:textId="77777777" w:rsidTr="00B817C2">
        <w:tc>
          <w:tcPr>
            <w:tcW w:w="3823" w:type="dxa"/>
          </w:tcPr>
          <w:p w14:paraId="5FACD788" w14:textId="77777777" w:rsidR="00A52242" w:rsidRPr="007608F0" w:rsidRDefault="00A52242" w:rsidP="00EB1859">
            <w:pPr>
              <w:pStyle w:val="TableTextHeading"/>
              <w:rPr>
                <w:b w:val="0"/>
                <w:bCs/>
              </w:rPr>
            </w:pPr>
            <w:r w:rsidRPr="007608F0">
              <w:rPr>
                <w:b w:val="0"/>
                <w:bCs/>
              </w:rPr>
              <w:t>Protection from retrospective criminal laws</w:t>
            </w:r>
          </w:p>
        </w:tc>
        <w:tc>
          <w:tcPr>
            <w:tcW w:w="2268" w:type="dxa"/>
          </w:tcPr>
          <w:p w14:paraId="04D560AA" w14:textId="77777777" w:rsidR="00A52242" w:rsidRPr="007608F0" w:rsidRDefault="00A52242" w:rsidP="00EB1859">
            <w:pPr>
              <w:pStyle w:val="TableTextHeading"/>
              <w:rPr>
                <w:b w:val="0"/>
                <w:bCs/>
              </w:rPr>
            </w:pPr>
            <w:r w:rsidRPr="007608F0">
              <w:rPr>
                <w:b w:val="0"/>
                <w:bCs/>
              </w:rPr>
              <w:t xml:space="preserve"> 0</w:t>
            </w:r>
          </w:p>
        </w:tc>
        <w:tc>
          <w:tcPr>
            <w:tcW w:w="1701" w:type="dxa"/>
          </w:tcPr>
          <w:p w14:paraId="08EA0E96" w14:textId="77777777" w:rsidR="00A52242" w:rsidRPr="007608F0" w:rsidRDefault="00A52242" w:rsidP="00EB1859">
            <w:pPr>
              <w:pStyle w:val="TableTextHeading"/>
              <w:rPr>
                <w:b w:val="0"/>
                <w:bCs/>
              </w:rPr>
            </w:pPr>
            <w:r w:rsidRPr="007608F0">
              <w:rPr>
                <w:b w:val="0"/>
                <w:bCs/>
              </w:rPr>
              <w:t>-</w:t>
            </w:r>
          </w:p>
        </w:tc>
      </w:tr>
      <w:tr w:rsidR="00A52242" w:rsidRPr="00ED1050" w14:paraId="51C0B99C" w14:textId="77777777" w:rsidTr="00B817C2">
        <w:tc>
          <w:tcPr>
            <w:tcW w:w="3823" w:type="dxa"/>
          </w:tcPr>
          <w:p w14:paraId="6E15AF03" w14:textId="77777777" w:rsidR="00A52242" w:rsidRPr="00ED1050" w:rsidRDefault="00A52242" w:rsidP="00EB1859">
            <w:pPr>
              <w:pStyle w:val="TableTextBody"/>
            </w:pPr>
            <w:r w:rsidRPr="00ED1050">
              <w:t>Freedom from forced work</w:t>
            </w:r>
          </w:p>
        </w:tc>
        <w:tc>
          <w:tcPr>
            <w:tcW w:w="2268" w:type="dxa"/>
          </w:tcPr>
          <w:p w14:paraId="50E8016C" w14:textId="77777777" w:rsidR="00A52242" w:rsidRPr="00ED1050" w:rsidRDefault="00A52242" w:rsidP="00EB1859">
            <w:pPr>
              <w:pStyle w:val="TableTextBody"/>
            </w:pPr>
            <w:r>
              <w:t xml:space="preserve"> 0</w:t>
            </w:r>
          </w:p>
        </w:tc>
        <w:tc>
          <w:tcPr>
            <w:tcW w:w="1701" w:type="dxa"/>
          </w:tcPr>
          <w:p w14:paraId="6F8B6579" w14:textId="77777777" w:rsidR="00A52242" w:rsidRPr="00ED1050" w:rsidRDefault="00A52242" w:rsidP="00EB1859">
            <w:pPr>
              <w:pStyle w:val="TableTextBody"/>
            </w:pPr>
            <w:r w:rsidRPr="00ED1050">
              <w:t>-</w:t>
            </w:r>
          </w:p>
        </w:tc>
      </w:tr>
    </w:tbl>
    <w:p w14:paraId="699D69D0" w14:textId="5B04BDBB" w:rsidR="00A52242" w:rsidRPr="00ED1050" w:rsidRDefault="00A52242" w:rsidP="00CA5EBF">
      <w:pPr>
        <w:pStyle w:val="Note"/>
        <w:ind w:right="2080"/>
        <w:jc w:val="left"/>
      </w:pPr>
      <w:r w:rsidRPr="00ED1050">
        <w:t xml:space="preserve">Note: </w:t>
      </w:r>
      <w:r>
        <w:t xml:space="preserve">Each complaint can </w:t>
      </w:r>
      <w:r w:rsidRPr="00ED1050">
        <w:t xml:space="preserve">identify more than one </w:t>
      </w:r>
      <w:r>
        <w:t xml:space="preserve">protected </w:t>
      </w:r>
      <w:r w:rsidRPr="00ED1050">
        <w:t>right</w:t>
      </w:r>
      <w:r>
        <w:t xml:space="preserve">. </w:t>
      </w:r>
    </w:p>
    <w:p w14:paraId="56F15017" w14:textId="77777777" w:rsidR="00A52242" w:rsidRPr="00ED1050" w:rsidRDefault="00A52242" w:rsidP="00CA5EBF">
      <w:pPr>
        <w:pStyle w:val="Note"/>
        <w:ind w:right="2080"/>
        <w:jc w:val="left"/>
      </w:pPr>
      <w:r w:rsidRPr="00ED1050">
        <w:t xml:space="preserve">Note: Percentages in this table have been rounded to the nearest </w:t>
      </w:r>
      <w:r>
        <w:t>whole percentage</w:t>
      </w:r>
      <w:r w:rsidRPr="00ED1050">
        <w:t xml:space="preserve"> point.</w:t>
      </w:r>
    </w:p>
    <w:p w14:paraId="029A620B" w14:textId="77777777" w:rsidR="00A52242" w:rsidRPr="00ED1050" w:rsidRDefault="00A52242" w:rsidP="00EB1859">
      <w:pPr>
        <w:pStyle w:val="Note"/>
      </w:pPr>
    </w:p>
    <w:p w14:paraId="7439EE72" w14:textId="77777777" w:rsidR="00B817C2" w:rsidRDefault="00B817C2" w:rsidP="00EB1859">
      <w:pPr>
        <w:rPr>
          <w:color w:val="000000" w:themeColor="text1"/>
          <w:sz w:val="36"/>
        </w:rPr>
      </w:pPr>
      <w:bookmarkStart w:id="74" w:name="_Toc143677684"/>
      <w:bookmarkStart w:id="75" w:name="_Toc143677804"/>
      <w:bookmarkStart w:id="76" w:name="_Toc143678704"/>
      <w:bookmarkStart w:id="77" w:name="_Toc80971340"/>
      <w:bookmarkStart w:id="78" w:name="_Toc80971349"/>
      <w:r>
        <w:br w:type="page"/>
      </w:r>
    </w:p>
    <w:p w14:paraId="77AFF1BF" w14:textId="20E10999" w:rsidR="00A52242" w:rsidRDefault="00A52242" w:rsidP="00CA5EBF">
      <w:pPr>
        <w:pStyle w:val="Heading2"/>
      </w:pPr>
      <w:bookmarkStart w:id="79" w:name="_Toc144200484"/>
      <w:r>
        <w:lastRenderedPageBreak/>
        <w:t>Accepted complaints: other breaches</w:t>
      </w:r>
      <w:bookmarkEnd w:id="74"/>
      <w:bookmarkEnd w:id="75"/>
      <w:bookmarkEnd w:id="76"/>
      <w:bookmarkEnd w:id="79"/>
      <w:r>
        <w:t xml:space="preserve"> </w:t>
      </w:r>
    </w:p>
    <w:p w14:paraId="33DA1D9B" w14:textId="77777777" w:rsidR="00A52242" w:rsidRPr="00ED1050" w:rsidRDefault="00A52242" w:rsidP="00CA5EBF">
      <w:pPr>
        <w:pStyle w:val="Heading3"/>
        <w:rPr>
          <w:i/>
        </w:rPr>
      </w:pPr>
      <w:bookmarkStart w:id="80" w:name="_Toc143677685"/>
      <w:bookmarkStart w:id="81" w:name="_Toc143677805"/>
      <w:r w:rsidRPr="00ED1050">
        <w:t>Sexual harassment</w:t>
      </w:r>
      <w:bookmarkEnd w:id="77"/>
      <w:bookmarkEnd w:id="80"/>
      <w:bookmarkEnd w:id="81"/>
      <w:r w:rsidRPr="00ED1050">
        <w:t xml:space="preserve"> </w:t>
      </w:r>
    </w:p>
    <w:p w14:paraId="51AE9F65" w14:textId="77777777" w:rsidR="00A52242" w:rsidRDefault="00A52242" w:rsidP="00EB1859">
      <w:r>
        <w:t>We</w:t>
      </w:r>
      <w:r w:rsidRPr="00ED1050">
        <w:t xml:space="preserve"> accepted </w:t>
      </w:r>
      <w:r>
        <w:t xml:space="preserve">50 </w:t>
      </w:r>
      <w:r w:rsidRPr="00ED1050">
        <w:t xml:space="preserve">complaints about sexual harassment this year, </w:t>
      </w:r>
      <w:r>
        <w:t>comparable with</w:t>
      </w:r>
      <w:r w:rsidRPr="00ED1050">
        <w:t xml:space="preserve"> last year’s </w:t>
      </w:r>
      <w:r>
        <w:t>54</w:t>
      </w:r>
      <w:r w:rsidRPr="00ED1050">
        <w:t xml:space="preserve"> complaints. </w:t>
      </w:r>
    </w:p>
    <w:p w14:paraId="25E51325" w14:textId="77777777" w:rsidR="008B07B6" w:rsidRDefault="00A52242" w:rsidP="00EB1859">
      <w:r w:rsidRPr="00ED1050">
        <w:t xml:space="preserve">Sexual harassment is unwelcome sexual behaviour such as comments about a person’s body and/or sex life, telling lewd jokes to or about a person, requests for sex, sending sexualised emails and texts, showing pornographic pictures and/or videos, sexual assault and even rape. </w:t>
      </w:r>
    </w:p>
    <w:p w14:paraId="3325C899" w14:textId="3D93E951" w:rsidR="00A52242" w:rsidRPr="00ED1050" w:rsidRDefault="00A52242" w:rsidP="00EB1859">
      <w:r w:rsidRPr="00ED1050">
        <w:t>Unlike discrimination or human rights complaints, sexual harassment complaints can be made about harassment that happens anywhere, not just in prescribed areas</w:t>
      </w:r>
      <w:r>
        <w:t>.</w:t>
      </w:r>
      <w:r w:rsidRPr="00ED1050">
        <w:t xml:space="preserve"> </w:t>
      </w:r>
      <w:r>
        <w:t>T</w:t>
      </w:r>
      <w:r w:rsidRPr="00ED1050">
        <w:t>he majority of sexual harassment complaints we receive</w:t>
      </w:r>
      <w:r>
        <w:t xml:space="preserve"> however</w:t>
      </w:r>
      <w:r w:rsidRPr="00ED1050">
        <w:t xml:space="preserve"> are about the workplace</w:t>
      </w:r>
      <w:r>
        <w:t xml:space="preserve"> – in 2022-23 </w:t>
      </w:r>
      <w:r w:rsidR="008B07B6">
        <w:t xml:space="preserve">they </w:t>
      </w:r>
      <w:r>
        <w:t>accounted for 80% of the sexual harassment complaints we dealt with</w:t>
      </w:r>
      <w:r w:rsidRPr="00ED1050">
        <w:t xml:space="preserve">. </w:t>
      </w:r>
    </w:p>
    <w:p w14:paraId="4B8D666E" w14:textId="77777777" w:rsidR="00A52242" w:rsidRPr="00ED1050" w:rsidRDefault="00A52242" w:rsidP="00CA5EBF">
      <w:pPr>
        <w:pStyle w:val="Heading3"/>
      </w:pPr>
      <w:bookmarkStart w:id="82" w:name="_Toc80971341"/>
      <w:bookmarkStart w:id="83" w:name="_Toc143677686"/>
      <w:bookmarkStart w:id="84" w:name="_Toc143677806"/>
      <w:r w:rsidRPr="00ED1050">
        <w:t>Vilification</w:t>
      </w:r>
      <w:bookmarkEnd w:id="82"/>
      <w:bookmarkEnd w:id="83"/>
      <w:bookmarkEnd w:id="84"/>
      <w:r w:rsidRPr="00ED1050">
        <w:t xml:space="preserve"> </w:t>
      </w:r>
    </w:p>
    <w:p w14:paraId="0A9F636E" w14:textId="77777777" w:rsidR="00A52242" w:rsidRPr="00ED1050" w:rsidRDefault="00A52242" w:rsidP="00EB1859">
      <w:pPr>
        <w:rPr>
          <w:i/>
        </w:rPr>
      </w:pPr>
      <w:r>
        <w:t xml:space="preserve">There were 23 </w:t>
      </w:r>
      <w:r w:rsidRPr="00ED1050">
        <w:t>accepted complaints of vilification in 202</w:t>
      </w:r>
      <w:r>
        <w:t>2-23</w:t>
      </w:r>
      <w:r w:rsidRPr="00ED1050">
        <w:t xml:space="preserve">, </w:t>
      </w:r>
      <w:r>
        <w:t>compared with 14</w:t>
      </w:r>
      <w:r w:rsidRPr="00ED1050">
        <w:t xml:space="preserve"> last year. </w:t>
      </w:r>
      <w:r>
        <w:t>This year 15 were about racial vilification, 4 were about religious vilification, 4 were about sexuality vilification, and 2 were about gender identity.</w:t>
      </w:r>
    </w:p>
    <w:p w14:paraId="1FB621CB" w14:textId="77777777" w:rsidR="00A52242" w:rsidRPr="00ED1050" w:rsidRDefault="00A52242" w:rsidP="00EB1859">
      <w:r w:rsidRPr="00ED1050">
        <w:t xml:space="preserve">To make a complaint of vilification, a complainant must provide information to allege that others have been publicly encouraged to hate, severely ridicule or have severe contempt for them, or threaten harm to them or their property. Complaints can only be made about vilification on the basis of the complainant’s race, religion, sexuality or gender identity. </w:t>
      </w:r>
    </w:p>
    <w:p w14:paraId="293B3061" w14:textId="77777777" w:rsidR="00A52242" w:rsidRPr="00ED1050" w:rsidRDefault="00A52242" w:rsidP="00EB1859">
      <w:pPr>
        <w:pStyle w:val="Keystatistics"/>
      </w:pPr>
      <w:r w:rsidRPr="00ED1050">
        <w:t xml:space="preserve">Of the </w:t>
      </w:r>
      <w:r>
        <w:rPr>
          <w:sz w:val="36"/>
          <w:szCs w:val="36"/>
        </w:rPr>
        <w:t xml:space="preserve">23 </w:t>
      </w:r>
      <w:r w:rsidRPr="00ED1050">
        <w:rPr>
          <w:sz w:val="36"/>
          <w:szCs w:val="36"/>
        </w:rPr>
        <w:t>vilification complaints</w:t>
      </w:r>
      <w:r>
        <w:t xml:space="preserve"> we accepted in 2023, 15</w:t>
      </w:r>
      <w:r w:rsidRPr="00ED1050">
        <w:t xml:space="preserve"> were about racial vilification. </w:t>
      </w:r>
    </w:p>
    <w:p w14:paraId="5EBBC597" w14:textId="77777777" w:rsidR="00A52242" w:rsidRPr="00ED1050" w:rsidRDefault="00A52242" w:rsidP="00CA5EBF">
      <w:pPr>
        <w:pStyle w:val="Heading3"/>
      </w:pPr>
      <w:bookmarkStart w:id="85" w:name="_Toc80971342"/>
      <w:bookmarkStart w:id="86" w:name="_Toc143677687"/>
      <w:bookmarkStart w:id="87" w:name="_Toc143677807"/>
      <w:r w:rsidRPr="00ED1050">
        <w:t>Victimisation</w:t>
      </w:r>
      <w:bookmarkEnd w:id="85"/>
      <w:bookmarkEnd w:id="86"/>
      <w:bookmarkEnd w:id="87"/>
      <w:r w:rsidRPr="00ED1050">
        <w:t xml:space="preserve"> </w:t>
      </w:r>
    </w:p>
    <w:p w14:paraId="64980F37" w14:textId="77777777" w:rsidR="00A52242" w:rsidRPr="00ED1050" w:rsidRDefault="00A52242" w:rsidP="00EB1859">
      <w:r w:rsidRPr="00ED1050">
        <w:t xml:space="preserve">Victimisation complaints arise where a complainant or witness feels they have been poorly treated for being involved in a complaint. Victimisation complaints </w:t>
      </w:r>
      <w:r>
        <w:t xml:space="preserve">increased </w:t>
      </w:r>
      <w:r w:rsidRPr="00ED1050">
        <w:t xml:space="preserve">from </w:t>
      </w:r>
      <w:r>
        <w:t>55</w:t>
      </w:r>
      <w:r w:rsidRPr="00ED1050">
        <w:t xml:space="preserve"> ac</w:t>
      </w:r>
      <w:r>
        <w:t>cepted complaints last year to 66</w:t>
      </w:r>
      <w:r w:rsidRPr="00ED1050">
        <w:t xml:space="preserve"> this year. </w:t>
      </w:r>
    </w:p>
    <w:p w14:paraId="388C9742" w14:textId="77777777" w:rsidR="00A52242" w:rsidRPr="00ED1050" w:rsidRDefault="00A52242" w:rsidP="00EB1859">
      <w:r w:rsidRPr="00ED1050">
        <w:t xml:space="preserve">As with sexual harassment, most accepted victimisation complaints were in relation to the workplace. Because of the continuing relationship between the employer and their employees, there is more opportunity for victimisation complaints to arise after a person makes an initial complaint at work, compared to other areas. Fear of victimisation is also a reason why complainants are sometimes reluctant to lodge complaints until after they leave the workplace, or at all. </w:t>
      </w:r>
    </w:p>
    <w:p w14:paraId="24276675" w14:textId="77777777" w:rsidR="000767A8" w:rsidRDefault="000767A8" w:rsidP="00EB1859">
      <w:pPr>
        <w:pStyle w:val="Heading3Black"/>
      </w:pPr>
      <w:bookmarkStart w:id="88" w:name="_Toc80971343"/>
      <w:bookmarkStart w:id="89" w:name="_Toc143677688"/>
      <w:bookmarkStart w:id="90" w:name="_Toc143677808"/>
    </w:p>
    <w:p w14:paraId="0493967F" w14:textId="16926A6D" w:rsidR="00A52242" w:rsidRPr="00ED1050" w:rsidRDefault="00A52242" w:rsidP="00CA5EBF">
      <w:pPr>
        <w:pStyle w:val="Heading3"/>
        <w:rPr>
          <w:i/>
        </w:rPr>
      </w:pPr>
      <w:r w:rsidRPr="00ED1050">
        <w:lastRenderedPageBreak/>
        <w:t>Reprisal for Public Interest Disclosure</w:t>
      </w:r>
      <w:bookmarkEnd w:id="88"/>
      <w:bookmarkEnd w:id="89"/>
      <w:bookmarkEnd w:id="90"/>
    </w:p>
    <w:p w14:paraId="2D013F9C" w14:textId="00B7FA8C" w:rsidR="00A52242" w:rsidRPr="00ED1050" w:rsidRDefault="00A52242" w:rsidP="00EB1859">
      <w:r w:rsidRPr="00ED1050">
        <w:t xml:space="preserve">Complainants alleging they have been caused a detriment because of making a public interest disclosure under the </w:t>
      </w:r>
      <w:r w:rsidRPr="00ED1050">
        <w:rPr>
          <w:i/>
        </w:rPr>
        <w:t>Public Interest Disclosure Act 2010</w:t>
      </w:r>
      <w:r w:rsidRPr="00ED1050">
        <w:t xml:space="preserve"> are able to make a complaint to the Commission to be dealt with under the </w:t>
      </w:r>
      <w:r w:rsidRPr="00ED1050">
        <w:rPr>
          <w:i/>
        </w:rPr>
        <w:t>Anti-Discrimination Act 1991</w:t>
      </w:r>
      <w:r w:rsidRPr="00ED1050">
        <w:t xml:space="preserve">. </w:t>
      </w:r>
      <w:r>
        <w:t xml:space="preserve">Complaints about this </w:t>
      </w:r>
      <w:r w:rsidR="0065653D">
        <w:t>decreased</w:t>
      </w:r>
      <w:r>
        <w:t xml:space="preserve"> from 8 last year to 4 this year. </w:t>
      </w:r>
    </w:p>
    <w:p w14:paraId="23F2035D" w14:textId="77777777" w:rsidR="00A52242" w:rsidRPr="00ED1050" w:rsidRDefault="00A52242" w:rsidP="00CA5EBF">
      <w:pPr>
        <w:pStyle w:val="Heading3"/>
        <w:rPr>
          <w:i/>
        </w:rPr>
      </w:pPr>
      <w:bookmarkStart w:id="91" w:name="_Toc80971344"/>
      <w:bookmarkStart w:id="92" w:name="_Toc143677689"/>
      <w:bookmarkStart w:id="93" w:name="_Toc143677809"/>
      <w:r w:rsidRPr="00ED1050">
        <w:t>Discrimination in large resource projects</w:t>
      </w:r>
      <w:bookmarkEnd w:id="91"/>
      <w:bookmarkEnd w:id="92"/>
      <w:bookmarkEnd w:id="93"/>
      <w:r w:rsidRPr="00ED1050">
        <w:t xml:space="preserve"> </w:t>
      </w:r>
    </w:p>
    <w:p w14:paraId="1677C966" w14:textId="77777777" w:rsidR="00A52242" w:rsidRDefault="00A52242" w:rsidP="00EB1859">
      <w:r w:rsidRPr="00ED1050">
        <w:t>A new type of discrimination was added to the Act in 2017-18, designed to protect residents of regional towns near large resource projects from being excluded from working on the projects. </w:t>
      </w:r>
      <w:r>
        <w:t>As in previous years, we</w:t>
      </w:r>
      <w:r w:rsidRPr="00ED1050">
        <w:t xml:space="preserve"> received no complaints about this type of discrimination this year. </w:t>
      </w:r>
    </w:p>
    <w:p w14:paraId="0C7613E4" w14:textId="77777777" w:rsidR="00A52242" w:rsidRDefault="00A52242" w:rsidP="00CA5EBF">
      <w:pPr>
        <w:pStyle w:val="Heading2"/>
      </w:pPr>
      <w:bookmarkStart w:id="94" w:name="_Toc143677690"/>
      <w:bookmarkStart w:id="95" w:name="_Toc143677810"/>
      <w:bookmarkStart w:id="96" w:name="_Toc143678705"/>
      <w:bookmarkStart w:id="97" w:name="_Toc144200485"/>
      <w:bookmarkEnd w:id="78"/>
      <w:r>
        <w:t>COVID-19 related complaints</w:t>
      </w:r>
      <w:bookmarkEnd w:id="94"/>
      <w:bookmarkEnd w:id="95"/>
      <w:bookmarkEnd w:id="96"/>
      <w:bookmarkEnd w:id="97"/>
      <w:r>
        <w:t xml:space="preserve"> </w:t>
      </w:r>
    </w:p>
    <w:p w14:paraId="28E5D065" w14:textId="77777777" w:rsidR="00A52242" w:rsidRDefault="00A52242" w:rsidP="00EB1859">
      <w:r>
        <w:t xml:space="preserve">While the COVID-19 pandemic and its associated restrictions are no longer active in Queensland, we continued to deal with large numbers of COVID-19 complaints in 2022-23. </w:t>
      </w:r>
    </w:p>
    <w:p w14:paraId="13787FDF" w14:textId="77777777" w:rsidR="00A52242" w:rsidRDefault="00A52242" w:rsidP="00EB1859">
      <w:r>
        <w:t xml:space="preserve">Pandemic-related complaints accounted for around 30% of all the complaints we received in 2022-23, 24% of the complaints we were able to accept, and 24% of the complaints we resolved through our dispute resolution service. </w:t>
      </w:r>
    </w:p>
    <w:p w14:paraId="10CE44F0" w14:textId="68E154FE" w:rsidR="00A52242" w:rsidRDefault="00A52242" w:rsidP="00EB1859">
      <w:r>
        <w:t>We have now dealt with over 1200 COVID-19 complaints since the pandemic began. Of the 529 we finalised in 2022-23, the largest number were about workplace-related vaccine requirements.</w:t>
      </w:r>
      <w:r w:rsidR="007A61EC">
        <w:t xml:space="preserve"> </w:t>
      </w:r>
    </w:p>
    <w:p w14:paraId="6DDEA1D0" w14:textId="0003F2A7" w:rsidR="007608F0" w:rsidRPr="008510F2" w:rsidRDefault="007608F0" w:rsidP="007608F0">
      <w:pPr>
        <w:pStyle w:val="Keystatistics"/>
      </w:pPr>
      <w:r>
        <w:t>“</w:t>
      </w:r>
      <w:r w:rsidRPr="008510F2">
        <w:t xml:space="preserve">It was a very safe, respectful environment because </w:t>
      </w:r>
      <w:r>
        <w:t>(conciliator)</w:t>
      </w:r>
      <w:r w:rsidRPr="008510F2">
        <w:t xml:space="preserve"> set the tone and managed everyone's expectations, needs and responsibilities. I expected it to be an awfully hard and stressful process and it turned out to be quite a pleasant process</w:t>
      </w:r>
      <w:r w:rsidR="001D16A2">
        <w:t xml:space="preserve"> </w:t>
      </w:r>
      <w:r w:rsidRPr="008510F2">
        <w:t>that ended peacefully too.</w:t>
      </w:r>
      <w:r>
        <w:t xml:space="preserve"> (Conciliator)</w:t>
      </w:r>
      <w:r w:rsidRPr="008510F2">
        <w:t xml:space="preserve"> was excellent as well!</w:t>
      </w:r>
      <w:r>
        <w:t>”</w:t>
      </w:r>
      <w:r w:rsidRPr="008510F2">
        <w:t xml:space="preserve"> </w:t>
      </w:r>
      <w:r>
        <w:t xml:space="preserve">– complainant </w:t>
      </w:r>
    </w:p>
    <w:p w14:paraId="27867FB9" w14:textId="77777777" w:rsidR="007608F0" w:rsidRPr="00292D13" w:rsidRDefault="007608F0" w:rsidP="00EB1859"/>
    <w:p w14:paraId="54376422" w14:textId="77777777" w:rsidR="00A52242" w:rsidRPr="00ED1050" w:rsidRDefault="00A52242" w:rsidP="00CA5EBF">
      <w:pPr>
        <w:pStyle w:val="Heading2"/>
        <w:rPr>
          <w:sz w:val="22"/>
        </w:rPr>
      </w:pPr>
      <w:bookmarkStart w:id="98" w:name="_Toc143677691"/>
      <w:bookmarkStart w:id="99" w:name="_Toc143677811"/>
      <w:bookmarkStart w:id="100" w:name="_Toc143678706"/>
      <w:bookmarkStart w:id="101" w:name="_Toc144200486"/>
      <w:r>
        <w:t>Accepted complaints: outcomes</w:t>
      </w:r>
      <w:bookmarkEnd w:id="98"/>
      <w:bookmarkEnd w:id="99"/>
      <w:bookmarkEnd w:id="100"/>
      <w:bookmarkEnd w:id="101"/>
      <w:r>
        <w:t xml:space="preserve"> </w:t>
      </w:r>
    </w:p>
    <w:p w14:paraId="6C0947FD" w14:textId="77777777" w:rsidR="00A52242" w:rsidRDefault="00A52242" w:rsidP="00EB1859">
      <w:r w:rsidRPr="00ED1050">
        <w:t xml:space="preserve">Conciliators at the Commission assist parties to resolve complaints under the </w:t>
      </w:r>
      <w:r w:rsidRPr="00ED1050">
        <w:rPr>
          <w:i/>
        </w:rPr>
        <w:t>Anti-Discrimination Act 1991</w:t>
      </w:r>
      <w:r w:rsidRPr="00ED1050">
        <w:t xml:space="preserve"> </w:t>
      </w:r>
      <w:r>
        <w:t xml:space="preserve">through conciliation. Complaints under the </w:t>
      </w:r>
      <w:r w:rsidRPr="00ED1050">
        <w:rPr>
          <w:i/>
        </w:rPr>
        <w:t>Human Rights Act 2019</w:t>
      </w:r>
      <w:r>
        <w:rPr>
          <w:i/>
        </w:rPr>
        <w:t xml:space="preserve"> </w:t>
      </w:r>
      <w:r>
        <w:t>have a more flexible resolution process, which can include other steps which can be taken to resolve the complaint as well as conciliation. The absence of legislated timeframes for administrative steps within the Human Rights Act is another reason processes are more flexible than those for Anti-Discrimination Act complaints.</w:t>
      </w:r>
      <w:r w:rsidRPr="00ED1050">
        <w:t xml:space="preserve"> </w:t>
      </w:r>
    </w:p>
    <w:p w14:paraId="3B1B945F" w14:textId="77777777" w:rsidR="00A52242" w:rsidRDefault="00A52242" w:rsidP="00EB1859">
      <w:r w:rsidRPr="00ED1050">
        <w:lastRenderedPageBreak/>
        <w:t xml:space="preserve">The conciliation conference allows the parties to explore each other’s perspective on the issues, identifying what they may have in common, and discuss options for settling the complaint. </w:t>
      </w:r>
    </w:p>
    <w:p w14:paraId="2C17C3E0" w14:textId="77777777" w:rsidR="00A52242" w:rsidRDefault="00A52242" w:rsidP="00EB1859">
      <w:r>
        <w:t>Just under</w:t>
      </w:r>
      <w:r w:rsidRPr="0058058F">
        <w:rPr>
          <w:szCs w:val="22"/>
        </w:rPr>
        <w:t xml:space="preserve"> </w:t>
      </w:r>
      <w:r>
        <w:rPr>
          <w:szCs w:val="22"/>
        </w:rPr>
        <w:t>36</w:t>
      </w:r>
      <w:r w:rsidRPr="0058058F">
        <w:rPr>
          <w:szCs w:val="22"/>
        </w:rPr>
        <w:t>% of</w:t>
      </w:r>
      <w:r>
        <w:t xml:space="preserve"> our accepted and finalised complaints were resolved through our dispute resolution process in 2022-23.</w:t>
      </w:r>
    </w:p>
    <w:p w14:paraId="26C2272B" w14:textId="77777777" w:rsidR="00A52242" w:rsidRDefault="00A52242" w:rsidP="00EB1859">
      <w:r>
        <w:t>A complaint is resolved when the parties have reached an agreement on how to settle the complaint. This can be through an apology (70 complaints this year), payment of damages (46), a policy change (27), training (28), or other measures to resolve the complaint (117). Multiple outcomes to resolve the same complaint can be agreed upon during the resolution process.</w:t>
      </w:r>
    </w:p>
    <w:p w14:paraId="01655858" w14:textId="77777777" w:rsidR="00A52242" w:rsidRDefault="00A52242" w:rsidP="00EB1859">
      <w:r>
        <w:t xml:space="preserve">Resolution rates differ depending on the type of complaint. This year 44% of Anti-Discrimination Act only complaints were resolved, compared with 20% of piggy-back complaints and 32% of Human Rights Act only complaints. There are several possible factors which may impact the difference in resolution rates, including complainants being more likely to be self-represented in human rights matters, and complaints against state government entities being historically less likely to resolve than those against private enterprises. </w:t>
      </w:r>
    </w:p>
    <w:p w14:paraId="27FAD288" w14:textId="77777777" w:rsidR="00A52242" w:rsidRDefault="00A52242" w:rsidP="00EB1859">
      <w:r>
        <w:t xml:space="preserve">Anti-Discrimination Act complaints (including piggy-back complaints) which are unresolved after conciliation may be referred to a tribunal at the complainant’s request. Work-related complaints are referred to the Queensland Industrial Relations Commission (91 complaints this year); all other complaints are referred to the Queensland Civil and Administrative Tribunal (97 complaints). </w:t>
      </w:r>
    </w:p>
    <w:p w14:paraId="5C6B657A" w14:textId="77777777" w:rsidR="00A52242" w:rsidRDefault="00A52242" w:rsidP="00EB1859">
      <w:r>
        <w:t>In some cases complainants choose not to pursue a determination at tribunal, and u</w:t>
      </w:r>
      <w:r w:rsidRPr="00ED1050">
        <w:t>nresolv</w:t>
      </w:r>
      <w:r>
        <w:t>ed</w:t>
      </w:r>
      <w:r w:rsidRPr="00ED1050">
        <w:t xml:space="preserve"> complaints accepted under the Human Rights Act are unable to proceed to a tribunal.</w:t>
      </w:r>
      <w:r>
        <w:t xml:space="preserve"> There were 94 unresolved complaints not referred to tribunal this year – 31 human rights complaints and 63 complaints dealt with under the Anti-Discrimination Act. </w:t>
      </w:r>
    </w:p>
    <w:p w14:paraId="1F20D5E6" w14:textId="77777777" w:rsidR="00A52242" w:rsidRDefault="00A52242" w:rsidP="00CA5EBF">
      <w:pPr>
        <w:pStyle w:val="Heading2"/>
      </w:pPr>
      <w:bookmarkStart w:id="102" w:name="_Toc143677692"/>
      <w:bookmarkStart w:id="103" w:name="_Toc143677812"/>
      <w:bookmarkStart w:id="104" w:name="_Toc143678190"/>
      <w:bookmarkStart w:id="105" w:name="_Toc143678707"/>
      <w:bookmarkStart w:id="106" w:name="_Toc144200487"/>
      <w:r>
        <w:t>Finalised complaints: demographics of complainants</w:t>
      </w:r>
      <w:bookmarkEnd w:id="102"/>
      <w:bookmarkEnd w:id="103"/>
      <w:bookmarkEnd w:id="104"/>
      <w:bookmarkEnd w:id="105"/>
      <w:bookmarkEnd w:id="106"/>
    </w:p>
    <w:p w14:paraId="49BA88CF" w14:textId="77777777" w:rsidR="00A52242" w:rsidRDefault="00A52242" w:rsidP="00EB1859">
      <w:r>
        <w:t xml:space="preserve">Demographics are requested from every person who makes a complaint but the provision of this information is voluntary. Of the finalised complaints where demographic data about the complainant was provided: </w:t>
      </w:r>
    </w:p>
    <w:p w14:paraId="141F4624" w14:textId="77777777" w:rsidR="00A52242" w:rsidRDefault="00A52242" w:rsidP="00EB1859">
      <w:pPr>
        <w:pStyle w:val="ListParagraph"/>
        <w:numPr>
          <w:ilvl w:val="0"/>
          <w:numId w:val="9"/>
        </w:numPr>
      </w:pPr>
      <w:r>
        <w:t xml:space="preserve">The most common age bracket for complainants was 35-54, accounting for 55% of finalised complaints where the complainant’s age was recorded. Only 23 complaints from or on behalf of children or teenagers were finalised this year. </w:t>
      </w:r>
    </w:p>
    <w:p w14:paraId="0ED29DDC" w14:textId="77777777" w:rsidR="00A52242" w:rsidRDefault="00A52242" w:rsidP="00EB1859">
      <w:pPr>
        <w:pStyle w:val="ListParagraph"/>
        <w:numPr>
          <w:ilvl w:val="0"/>
          <w:numId w:val="9"/>
        </w:numPr>
      </w:pPr>
      <w:r>
        <w:t xml:space="preserve">Women were more likely to make complaints than men (51% of complainants who told us their gender were women, compared to 44% men). </w:t>
      </w:r>
    </w:p>
    <w:p w14:paraId="40FEBF0A" w14:textId="77777777" w:rsidR="00A52242" w:rsidRDefault="00A52242" w:rsidP="00EB1859">
      <w:pPr>
        <w:pStyle w:val="ListParagraph"/>
        <w:numPr>
          <w:ilvl w:val="0"/>
          <w:numId w:val="9"/>
        </w:numPr>
      </w:pPr>
      <w:r>
        <w:lastRenderedPageBreak/>
        <w:t xml:space="preserve">144 complainants were First Nations people. </w:t>
      </w:r>
    </w:p>
    <w:p w14:paraId="07F3AC5E" w14:textId="77777777" w:rsidR="00A52242" w:rsidRDefault="00A52242" w:rsidP="00EB1859">
      <w:pPr>
        <w:pStyle w:val="ListParagraph"/>
        <w:numPr>
          <w:ilvl w:val="0"/>
          <w:numId w:val="9"/>
        </w:numPr>
      </w:pPr>
      <w:r>
        <w:t xml:space="preserve">Around 1 in 4 complainants who told us their country of birth were born overseas, and 36 complainants speak a primary language other than English. </w:t>
      </w:r>
    </w:p>
    <w:p w14:paraId="2A283B70" w14:textId="77777777" w:rsidR="00A52242" w:rsidRPr="00ED1050" w:rsidRDefault="00A52242" w:rsidP="00CA5EBF">
      <w:pPr>
        <w:pStyle w:val="Heading2"/>
      </w:pPr>
      <w:bookmarkStart w:id="107" w:name="_Toc143677693"/>
      <w:bookmarkStart w:id="108" w:name="_Toc143677813"/>
      <w:bookmarkStart w:id="109" w:name="_Toc143678191"/>
      <w:bookmarkStart w:id="110" w:name="_Toc143678708"/>
      <w:bookmarkStart w:id="111" w:name="_Toc144200488"/>
      <w:r>
        <w:t>Finalising complaints: our processes</w:t>
      </w:r>
      <w:bookmarkEnd w:id="107"/>
      <w:bookmarkEnd w:id="108"/>
      <w:bookmarkEnd w:id="109"/>
      <w:bookmarkEnd w:id="110"/>
      <w:bookmarkEnd w:id="111"/>
    </w:p>
    <w:p w14:paraId="647CEE62" w14:textId="77777777" w:rsidR="00A52242" w:rsidRPr="00ED1050" w:rsidRDefault="00A52242" w:rsidP="00EB1859">
      <w:r>
        <w:t xml:space="preserve">Complaint handling has become more complex in recent years for a number of reasons – including ongoing complaints about issues arising from the pandemic, continued high complaint numbers, extended wait times for complaints to be assessed after lodgement, and the relatively new Human Rights Act. </w:t>
      </w:r>
    </w:p>
    <w:p w14:paraId="27D2165F" w14:textId="77777777" w:rsidR="00A52242" w:rsidRDefault="00A52242" w:rsidP="00EB1859">
      <w:r>
        <w:t xml:space="preserve">We continue to improve and develop our complaint handling processes under the Human Rights Act, which contains greater flexibility in how complaints are managed. Significant work goes into these complaints, through liaising with the respondent public entities and with complainants to ascertain whether an internal complaint has been made, whether the public entity has had sufficient opportunity to respond to it, and whether or not there has been an unreasonable limitation of human rights, prior to acceptance of the complaint. To avoid multiple processes about the same allegations, we regularly assess whether a complaint has already been adequately dealt with and whether there is a more appropriate course of action. We also adopt a range of processes for dealing with human rights complaints including seeking responses from public entities, early intervention, shuttle negotiations and conciliation conferences. </w:t>
      </w:r>
    </w:p>
    <w:p w14:paraId="41B0FC26" w14:textId="77777777" w:rsidR="00A52242" w:rsidRDefault="00A52242" w:rsidP="00EB1859">
      <w:r>
        <w:t xml:space="preserve">The triage team manages early identification and notification </w:t>
      </w:r>
      <w:r w:rsidRPr="00ED1050">
        <w:t>of complaints that d</w:t>
      </w:r>
      <w:r>
        <w:t>o</w:t>
      </w:r>
      <w:r w:rsidRPr="00ED1050">
        <w:t xml:space="preserve"> not meet the requirements of a complaint under either the </w:t>
      </w:r>
      <w:r w:rsidRPr="00ED1050">
        <w:rPr>
          <w:i/>
        </w:rPr>
        <w:t xml:space="preserve">Anti-Discrimination Act 1991 </w:t>
      </w:r>
      <w:r w:rsidRPr="00ED1050">
        <w:t xml:space="preserve">or the </w:t>
      </w:r>
      <w:r w:rsidRPr="00ED1050">
        <w:rPr>
          <w:i/>
        </w:rPr>
        <w:t>Human Rights Act 2019</w:t>
      </w:r>
      <w:r w:rsidRPr="00ED1050">
        <w:t>, identification of complaints requiring urgent action</w:t>
      </w:r>
      <w:r>
        <w:t xml:space="preserve">, and classification of incoming complaints by complexity to enable allocation to appropriate officers. This year 267 complaints were finalised through the triage team. </w:t>
      </w:r>
    </w:p>
    <w:p w14:paraId="3DC61C24" w14:textId="5C6966B9" w:rsidR="00A52242" w:rsidRDefault="00A52242" w:rsidP="00EB1859">
      <w:r>
        <w:t>The priority complaints team finalised 184 complaints where urgent circumstances meant long wait times were not appropriate. A new team was also established with specific funding from last year’s state budget to assist in expediting complaints which had been awaiting assessment for extended periods of time. This team finalised 486 complaints in 2022-23.</w:t>
      </w:r>
      <w:r w:rsidR="007A61EC">
        <w:t xml:space="preserve"> </w:t>
      </w:r>
    </w:p>
    <w:p w14:paraId="7A75FAF5" w14:textId="6905D4BB" w:rsidR="007608F0" w:rsidRPr="008510F2" w:rsidRDefault="007608F0" w:rsidP="007608F0">
      <w:pPr>
        <w:pStyle w:val="Keystatistics"/>
        <w:rPr>
          <w:shd w:val="clear" w:color="auto" w:fill="FFFFFF"/>
        </w:rPr>
      </w:pPr>
      <w:r>
        <w:rPr>
          <w:shd w:val="clear" w:color="auto" w:fill="FFFFFF"/>
        </w:rPr>
        <w:t>“(Conciliator)</w:t>
      </w:r>
      <w:r w:rsidRPr="008510F2">
        <w:rPr>
          <w:shd w:val="clear" w:color="auto" w:fill="FFFFFF"/>
        </w:rPr>
        <w:t xml:space="preserve"> assisted our client greatly in understanding the process and was a great advocate for fairness and transparency</w:t>
      </w:r>
      <w:r>
        <w:rPr>
          <w:shd w:val="clear" w:color="auto" w:fill="FFFFFF"/>
        </w:rPr>
        <w:t>” - c</w:t>
      </w:r>
      <w:r w:rsidRPr="008510F2">
        <w:rPr>
          <w:shd w:val="clear" w:color="auto" w:fill="FFFFFF"/>
        </w:rPr>
        <w:t>omplainant's advocate</w:t>
      </w:r>
    </w:p>
    <w:p w14:paraId="5296B3A1" w14:textId="77777777" w:rsidR="007608F0" w:rsidRDefault="007608F0" w:rsidP="00EB1859"/>
    <w:p w14:paraId="0DEB04D7" w14:textId="77777777" w:rsidR="008B07B6" w:rsidRDefault="008B07B6" w:rsidP="00EB1859">
      <w:pPr>
        <w:pStyle w:val="Heading2Black"/>
      </w:pPr>
      <w:bookmarkStart w:id="112" w:name="_Toc143677678"/>
      <w:bookmarkStart w:id="113" w:name="_Toc143677798"/>
      <w:bookmarkStart w:id="114" w:name="_Toc143678183"/>
      <w:bookmarkStart w:id="115" w:name="_Toc143678700"/>
      <w:bookmarkStart w:id="116" w:name="_Toc144200489"/>
      <w:bookmarkStart w:id="117" w:name="_Toc80971336"/>
      <w:bookmarkStart w:id="118" w:name="_Toc143677694"/>
      <w:bookmarkStart w:id="119" w:name="_Toc143677814"/>
      <w:bookmarkStart w:id="120" w:name="_Toc143678032"/>
      <w:bookmarkStart w:id="121" w:name="_Toc143678192"/>
      <w:bookmarkStart w:id="122" w:name="_Toc143678709"/>
    </w:p>
    <w:p w14:paraId="4AD300B9" w14:textId="6E6AAFE6" w:rsidR="007914A1" w:rsidRPr="00A21D7D" w:rsidRDefault="007914A1" w:rsidP="00CA5EBF">
      <w:pPr>
        <w:pStyle w:val="Heading2"/>
        <w:rPr>
          <w:i/>
        </w:rPr>
      </w:pPr>
      <w:r>
        <w:lastRenderedPageBreak/>
        <w:t>Administrative d</w:t>
      </w:r>
      <w:r w:rsidRPr="00A21D7D">
        <w:t>ecisions</w:t>
      </w:r>
      <w:bookmarkEnd w:id="112"/>
      <w:bookmarkEnd w:id="113"/>
      <w:bookmarkEnd w:id="114"/>
      <w:bookmarkEnd w:id="115"/>
      <w:bookmarkEnd w:id="116"/>
      <w:r w:rsidRPr="00A21D7D">
        <w:t xml:space="preserve"> </w:t>
      </w:r>
    </w:p>
    <w:p w14:paraId="1BCF8483" w14:textId="77777777" w:rsidR="007914A1" w:rsidRDefault="007914A1" w:rsidP="00EB1859">
      <w:r w:rsidRPr="004C6E97">
        <w:t xml:space="preserve">Throughout the course of managing complaints, numerous </w:t>
      </w:r>
      <w:r>
        <w:t xml:space="preserve">administrative decisions are made. In many cases more </w:t>
      </w:r>
      <w:r w:rsidRPr="004C6E97">
        <w:t xml:space="preserve">complex </w:t>
      </w:r>
      <w:r>
        <w:t xml:space="preserve">statutory </w:t>
      </w:r>
      <w:r w:rsidRPr="004C6E97">
        <w:t xml:space="preserve">decisions </w:t>
      </w:r>
      <w:r>
        <w:t>are also required</w:t>
      </w:r>
      <w:r w:rsidRPr="004C6E97">
        <w:t xml:space="preserve">. </w:t>
      </w:r>
      <w:r>
        <w:t>T</w:t>
      </w:r>
      <w:r w:rsidRPr="004C6E97">
        <w:t xml:space="preserve">hese decisions </w:t>
      </w:r>
      <w:r>
        <w:t>require</w:t>
      </w:r>
      <w:r w:rsidRPr="004C6E97">
        <w:t xml:space="preserve"> natural justice </w:t>
      </w:r>
      <w:r>
        <w:t>to</w:t>
      </w:r>
      <w:r w:rsidRPr="004C6E97">
        <w:t xml:space="preserve"> both parties and the application of good decision</w:t>
      </w:r>
      <w:r>
        <w:t>-</w:t>
      </w:r>
      <w:r w:rsidRPr="004C6E97">
        <w:t xml:space="preserve">making principles and practices including </w:t>
      </w:r>
      <w:r>
        <w:t xml:space="preserve">providing written reasons. Complex administrative </w:t>
      </w:r>
      <w:r w:rsidRPr="004C6E97">
        <w:t xml:space="preserve">decisions </w:t>
      </w:r>
      <w:r>
        <w:t xml:space="preserve">made during the course of complaint handling and assessment </w:t>
      </w:r>
      <w:r w:rsidRPr="004C6E97">
        <w:t>include</w:t>
      </w:r>
      <w:r>
        <w:t xml:space="preserve">: </w:t>
      </w:r>
    </w:p>
    <w:p w14:paraId="031B5E20" w14:textId="77777777" w:rsidR="007914A1" w:rsidRDefault="007914A1" w:rsidP="00EB1859">
      <w:pPr>
        <w:pStyle w:val="ListParagraph"/>
        <w:numPr>
          <w:ilvl w:val="0"/>
          <w:numId w:val="8"/>
        </w:numPr>
      </w:pPr>
      <w:r w:rsidRPr="004C6E97">
        <w:t>whether the complainant has shown good cause to accept a complaint made</w:t>
      </w:r>
      <w:r>
        <w:t xml:space="preserve"> outside legislated timeframes (86 decisions this year) </w:t>
      </w:r>
    </w:p>
    <w:p w14:paraId="4BF69E82" w14:textId="77777777" w:rsidR="007914A1" w:rsidRDefault="007914A1" w:rsidP="00EB1859">
      <w:pPr>
        <w:pStyle w:val="ListParagraph"/>
        <w:numPr>
          <w:ilvl w:val="0"/>
          <w:numId w:val="8"/>
        </w:numPr>
      </w:pPr>
      <w:r w:rsidRPr="004C6E97">
        <w:t xml:space="preserve">whether to reject or stay a complaint dealt with elsewhere </w:t>
      </w:r>
      <w:r w:rsidRPr="005B6616">
        <w:t>(</w:t>
      </w:r>
      <w:r>
        <w:t>11 decisions this year)</w:t>
      </w:r>
    </w:p>
    <w:p w14:paraId="4F2BB380" w14:textId="77777777" w:rsidR="007914A1" w:rsidRDefault="007914A1" w:rsidP="00EB1859">
      <w:pPr>
        <w:pStyle w:val="ListParagraph"/>
        <w:numPr>
          <w:ilvl w:val="0"/>
          <w:numId w:val="8"/>
        </w:numPr>
      </w:pPr>
      <w:r w:rsidRPr="004C6E97">
        <w:t xml:space="preserve">whether to lapse a complaint </w:t>
      </w:r>
      <w:r>
        <w:t>(28 decisions this year)</w:t>
      </w:r>
    </w:p>
    <w:p w14:paraId="5A9210E9" w14:textId="77777777" w:rsidR="007914A1" w:rsidRDefault="007914A1" w:rsidP="00EB1859">
      <w:pPr>
        <w:pStyle w:val="ListParagraph"/>
        <w:numPr>
          <w:ilvl w:val="0"/>
          <w:numId w:val="8"/>
        </w:numPr>
      </w:pPr>
      <w:r w:rsidRPr="004C6E97">
        <w:t xml:space="preserve">whether </w:t>
      </w:r>
      <w:r>
        <w:t xml:space="preserve">to reject a complaint which is frivolous or lacking in substance (14 decisions this year) </w:t>
      </w:r>
    </w:p>
    <w:p w14:paraId="309FAB90" w14:textId="77777777" w:rsidR="007914A1" w:rsidRDefault="007914A1" w:rsidP="00EB1859">
      <w:pPr>
        <w:pStyle w:val="ListParagraph"/>
        <w:numPr>
          <w:ilvl w:val="0"/>
          <w:numId w:val="8"/>
        </w:numPr>
      </w:pPr>
      <w:r>
        <w:t xml:space="preserve">reviews of administrative decisions (12 decisions this year, mostly about decisions made to reject or not accept a complaint). </w:t>
      </w:r>
    </w:p>
    <w:p w14:paraId="165F8802" w14:textId="13548BD6" w:rsidR="007608F0" w:rsidRPr="008B07B6" w:rsidRDefault="007914A1" w:rsidP="00EB1859">
      <w:r w:rsidRPr="004C6E97">
        <w:t xml:space="preserve">The number of administrative decisions increases with </w:t>
      </w:r>
      <w:r>
        <w:t>the rising</w:t>
      </w:r>
      <w:r w:rsidRPr="004C6E97">
        <w:t xml:space="preserve"> numbers of complaints</w:t>
      </w:r>
      <w:r>
        <w:t xml:space="preserve"> and extended wait times for assessment</w:t>
      </w:r>
      <w:r w:rsidRPr="004C6E97">
        <w:t>, and involve</w:t>
      </w:r>
      <w:r>
        <w:t>s</w:t>
      </w:r>
      <w:r w:rsidRPr="004C6E97">
        <w:t xml:space="preserve"> significant resources from the complaint management and </w:t>
      </w:r>
      <w:r>
        <w:t xml:space="preserve">the </w:t>
      </w:r>
      <w:r w:rsidRPr="004C6E97">
        <w:t>legal</w:t>
      </w:r>
      <w:r>
        <w:t>, research and policy</w:t>
      </w:r>
      <w:r w:rsidRPr="004C6E97">
        <w:t xml:space="preserve"> team</w:t>
      </w:r>
      <w:r>
        <w:t>s</w:t>
      </w:r>
      <w:r w:rsidRPr="004C6E97">
        <w:t>.</w:t>
      </w:r>
      <w:r>
        <w:t xml:space="preserve"> </w:t>
      </w:r>
      <w:bookmarkEnd w:id="117"/>
    </w:p>
    <w:p w14:paraId="74325EDA" w14:textId="77777777" w:rsidR="00A52242" w:rsidRDefault="00A52242" w:rsidP="00CA5EBF">
      <w:pPr>
        <w:pStyle w:val="Heading2"/>
      </w:pPr>
      <w:bookmarkStart w:id="123" w:name="_Toc144200490"/>
      <w:r>
        <w:t>Timeliness</w:t>
      </w:r>
      <w:bookmarkEnd w:id="118"/>
      <w:bookmarkEnd w:id="119"/>
      <w:bookmarkEnd w:id="120"/>
      <w:bookmarkEnd w:id="121"/>
      <w:bookmarkEnd w:id="122"/>
      <w:bookmarkEnd w:id="123"/>
    </w:p>
    <w:p w14:paraId="4B6DBFDD" w14:textId="77777777" w:rsidR="00A52242" w:rsidRDefault="00A52242" w:rsidP="00EB1859">
      <w:r w:rsidRPr="00ED1050">
        <w:t xml:space="preserve">Due to the COVID pandemic, the increase in complaints, increased complexity with the </w:t>
      </w:r>
      <w:r w:rsidRPr="00ED1050">
        <w:rPr>
          <w:i/>
        </w:rPr>
        <w:t>Human Rights Act 2019</w:t>
      </w:r>
      <w:r w:rsidRPr="00ED1050">
        <w:t xml:space="preserve">, and a range of staff absences, we have </w:t>
      </w:r>
      <w:r>
        <w:t xml:space="preserve">again </w:t>
      </w:r>
      <w:r w:rsidRPr="00ED1050">
        <w:t xml:space="preserve">not met all complaint management targets this year. </w:t>
      </w:r>
    </w:p>
    <w:p w14:paraId="4C666610" w14:textId="16033518" w:rsidR="00A52242" w:rsidRPr="00B038D7" w:rsidRDefault="00A52242" w:rsidP="00EB1859">
      <w:r w:rsidRPr="00B038D7">
        <w:t>Only 33% of complainants were notified of the assessment decision within 28 days of lodging their complaint. This was well below our target of 60% and was due to the continuing long wait time for complaints to be assessed after lodgement.</w:t>
      </w:r>
      <w:r w:rsidR="00A946AA">
        <w:t xml:space="preserve"> </w:t>
      </w:r>
      <w:r w:rsidRPr="00B038D7">
        <w:t xml:space="preserve">Those </w:t>
      </w:r>
      <w:r w:rsidR="00A946AA">
        <w:t>notified</w:t>
      </w:r>
      <w:r w:rsidRPr="00B038D7">
        <w:t xml:space="preserve"> within the 28 day timeframe were complaints dealt with </w:t>
      </w:r>
      <w:r w:rsidR="00A946AA">
        <w:t>by the</w:t>
      </w:r>
      <w:r w:rsidRPr="00B038D7">
        <w:t xml:space="preserve"> triage </w:t>
      </w:r>
      <w:r w:rsidR="00A946AA">
        <w:t>and</w:t>
      </w:r>
      <w:r w:rsidRPr="00B038D7">
        <w:t xml:space="preserve"> priority complaints </w:t>
      </w:r>
      <w:r w:rsidR="00A946AA">
        <w:t>teams</w:t>
      </w:r>
      <w:r w:rsidRPr="00B038D7">
        <w:t>.</w:t>
      </w:r>
    </w:p>
    <w:p w14:paraId="0F66596B" w14:textId="1418869B" w:rsidR="00A52242" w:rsidRDefault="00A52242" w:rsidP="00EB1859">
      <w:r>
        <w:t>Despite the delays in assessment, 62% of accepted complaints proceeded to a conciliation conference less than 6 weeks after assessment. Although this was 8% below our target of 70%, this was a good result given the high volume of complaints we received and finalised in 2022-2023.</w:t>
      </w:r>
    </w:p>
    <w:p w14:paraId="64811D09" w14:textId="77777777" w:rsidR="00A52242" w:rsidRDefault="00A52242" w:rsidP="00EB1859">
      <w:r>
        <w:t>74%</w:t>
      </w:r>
      <w:r w:rsidRPr="00ED1050">
        <w:t xml:space="preserve"> of complaints were finalised within </w:t>
      </w:r>
      <w:r>
        <w:t>3</w:t>
      </w:r>
      <w:r w:rsidRPr="00ED1050">
        <w:t xml:space="preserve"> months </w:t>
      </w:r>
      <w:r>
        <w:t>of assessment, and a further 18%</w:t>
      </w:r>
      <w:r w:rsidRPr="00ED1050">
        <w:t xml:space="preserve"> were finalised within </w:t>
      </w:r>
      <w:r>
        <w:t xml:space="preserve">6 </w:t>
      </w:r>
      <w:r w:rsidRPr="00ED1050">
        <w:t xml:space="preserve">months. This means </w:t>
      </w:r>
      <w:r>
        <w:t>that regardless of the increased workload and some complaint targets not being met, 92%</w:t>
      </w:r>
      <w:r w:rsidRPr="00ED1050">
        <w:t xml:space="preserve"> of complaints were finalised within six months of </w:t>
      </w:r>
      <w:r>
        <w:t>assessment</w:t>
      </w:r>
      <w:r w:rsidRPr="00ED1050">
        <w:t xml:space="preserve">. </w:t>
      </w:r>
    </w:p>
    <w:p w14:paraId="2772ECC1" w14:textId="77777777" w:rsidR="00A946AA" w:rsidRDefault="00A946AA">
      <w:pPr>
        <w:ind w:right="0"/>
        <w:rPr>
          <w:color w:val="000000" w:themeColor="text1"/>
          <w:sz w:val="36"/>
        </w:rPr>
      </w:pPr>
      <w:bookmarkStart w:id="124" w:name="_Toc143677695"/>
      <w:bookmarkStart w:id="125" w:name="_Toc143677815"/>
      <w:bookmarkStart w:id="126" w:name="_Toc143678193"/>
      <w:bookmarkStart w:id="127" w:name="_Toc143678710"/>
      <w:bookmarkStart w:id="128" w:name="_Toc144200491"/>
      <w:r>
        <w:br w:type="page"/>
      </w:r>
    </w:p>
    <w:p w14:paraId="4843C0D4" w14:textId="0BF09438" w:rsidR="00A52242" w:rsidRDefault="00A52242" w:rsidP="00CA5EBF">
      <w:pPr>
        <w:pStyle w:val="Heading2"/>
      </w:pPr>
      <w:r>
        <w:lastRenderedPageBreak/>
        <w:t>Feedback from complaint parties</w:t>
      </w:r>
      <w:bookmarkEnd w:id="124"/>
      <w:bookmarkEnd w:id="125"/>
      <w:bookmarkEnd w:id="126"/>
      <w:bookmarkEnd w:id="127"/>
      <w:bookmarkEnd w:id="128"/>
      <w:r>
        <w:t xml:space="preserve"> </w:t>
      </w:r>
    </w:p>
    <w:p w14:paraId="6A4967B2" w14:textId="5288F259" w:rsidR="00A52242" w:rsidRPr="00ED1050" w:rsidRDefault="00A52242" w:rsidP="00EB1859">
      <w:pPr>
        <w:rPr>
          <w:color w:val="000000" w:themeColor="text1"/>
        </w:rPr>
      </w:pPr>
      <w:r>
        <w:t xml:space="preserve">There was a decrease in satisfaction rate from </w:t>
      </w:r>
      <w:r w:rsidR="00A946AA">
        <w:t>parties</w:t>
      </w:r>
      <w:r>
        <w:t xml:space="preserve"> in 2022-23. </w:t>
      </w:r>
      <w:r w:rsidR="00A946AA">
        <w:t xml:space="preserve">Of those who completed an evaluation form, </w:t>
      </w:r>
      <w:r>
        <w:t xml:space="preserve">70% were satisfied with the service they received compared with 85% last year. </w:t>
      </w:r>
    </w:p>
    <w:p w14:paraId="1D1BF9F9" w14:textId="1628BD00" w:rsidR="00A52242" w:rsidRDefault="00A52242" w:rsidP="00EB1859">
      <w:r>
        <w:t>It was disappointing to see a decline in satisfaction rate. The ongoing extended delays may have led to the decreased overall satisfaction rate. The majority of parties who were not satisfied with the overall process were respondents. We continue to</w:t>
      </w:r>
      <w:r w:rsidRPr="00ED1050">
        <w:t xml:space="preserve"> focus on respectful</w:t>
      </w:r>
      <w:r>
        <w:t xml:space="preserve"> and </w:t>
      </w:r>
      <w:r w:rsidRPr="00ED1050">
        <w:t>honest communication with parties and</w:t>
      </w:r>
      <w:r>
        <w:t>, after a complaint has been allocated to a conciliator,</w:t>
      </w:r>
      <w:r w:rsidRPr="00ED1050">
        <w:t xml:space="preserve"> providing a professional</w:t>
      </w:r>
      <w:r>
        <w:t>,</w:t>
      </w:r>
      <w:r w:rsidRPr="00ED1050">
        <w:t xml:space="preserve"> fair </w:t>
      </w:r>
      <w:r>
        <w:t xml:space="preserve">and timely </w:t>
      </w:r>
      <w:r w:rsidRPr="00ED1050">
        <w:t>service that meets the needs of our clients</w:t>
      </w:r>
      <w:r>
        <w:t xml:space="preserve">. </w:t>
      </w:r>
    </w:p>
    <w:p w14:paraId="3493FC0C" w14:textId="77777777" w:rsidR="008B07B6" w:rsidRPr="008510F2" w:rsidRDefault="008B07B6" w:rsidP="008B07B6">
      <w:pPr>
        <w:pStyle w:val="Keystatistics"/>
      </w:pPr>
      <w:r>
        <w:t>“</w:t>
      </w:r>
      <w:r w:rsidRPr="008510F2">
        <w:t>I congratulate the QHRC on the process you use to resolve complaints. Don't change it</w:t>
      </w:r>
      <w:r>
        <w:t>” – c</w:t>
      </w:r>
      <w:r w:rsidRPr="008510F2">
        <w:rPr>
          <w:shd w:val="clear" w:color="auto" w:fill="FFFFFF"/>
        </w:rPr>
        <w:t>omplainant</w:t>
      </w:r>
      <w:r>
        <w:rPr>
          <w:shd w:val="clear" w:color="auto" w:fill="FFFFFF"/>
        </w:rPr>
        <w:t xml:space="preserve"> </w:t>
      </w:r>
    </w:p>
    <w:p w14:paraId="33E76911" w14:textId="77777777" w:rsidR="008B07B6" w:rsidRDefault="008B07B6" w:rsidP="00EB1859"/>
    <w:p w14:paraId="64ADB322" w14:textId="7A48698A" w:rsidR="00C267C4" w:rsidRDefault="00C267C4" w:rsidP="00CA5EBF">
      <w:pPr>
        <w:pStyle w:val="Heading2"/>
      </w:pPr>
      <w:bookmarkStart w:id="129" w:name="_Toc143678711"/>
      <w:bookmarkStart w:id="130" w:name="_Toc144200492"/>
      <w:r>
        <w:t>Conciliated complaints</w:t>
      </w:r>
      <w:bookmarkEnd w:id="129"/>
      <w:bookmarkEnd w:id="130"/>
    </w:p>
    <w:p w14:paraId="0A781A64" w14:textId="77777777" w:rsidR="00A52242" w:rsidRPr="00195832" w:rsidRDefault="00A52242" w:rsidP="00CA5EBF">
      <w:pPr>
        <w:pStyle w:val="Heading3"/>
      </w:pPr>
      <w:r w:rsidRPr="00195832">
        <w:t xml:space="preserve">Unrealistic </w:t>
      </w:r>
      <w:r>
        <w:t>p</w:t>
      </w:r>
      <w:r w:rsidRPr="00195832">
        <w:t xml:space="preserve">roof of </w:t>
      </w:r>
      <w:r>
        <w:t>i</w:t>
      </w:r>
      <w:r w:rsidRPr="00195832">
        <w:t xml:space="preserve">dentification required of </w:t>
      </w:r>
      <w:r>
        <w:t>c</w:t>
      </w:r>
      <w:r w:rsidRPr="00195832">
        <w:t xml:space="preserve">ustomer with </w:t>
      </w:r>
      <w:r>
        <w:t>v</w:t>
      </w:r>
      <w:r w:rsidRPr="00195832">
        <w:t xml:space="preserve">ision </w:t>
      </w:r>
      <w:r>
        <w:t>i</w:t>
      </w:r>
      <w:r w:rsidRPr="00195832">
        <w:t>mpairment</w:t>
      </w:r>
    </w:p>
    <w:p w14:paraId="3C991571" w14:textId="77777777" w:rsidR="00A52242" w:rsidRDefault="00A52242" w:rsidP="00EB1859">
      <w:r>
        <w:t xml:space="preserve">The complainant had </w:t>
      </w:r>
      <w:r w:rsidRPr="0043721A">
        <w:t>a vision impairment</w:t>
      </w:r>
      <w:r>
        <w:t xml:space="preserve"> and </w:t>
      </w:r>
      <w:r w:rsidRPr="0043721A">
        <w:t xml:space="preserve">was attempting to purchase a mobile phone plan online through the </w:t>
      </w:r>
      <w:r>
        <w:t>respondent business</w:t>
      </w:r>
      <w:r w:rsidRPr="0043721A">
        <w:t xml:space="preserve">. The </w:t>
      </w:r>
      <w:r>
        <w:t xml:space="preserve">complainant </w:t>
      </w:r>
      <w:r w:rsidRPr="0043721A">
        <w:t xml:space="preserve">was unable to make the purchase as the </w:t>
      </w:r>
      <w:r>
        <w:t xml:space="preserve">respondent </w:t>
      </w:r>
      <w:r w:rsidRPr="0043721A">
        <w:t>only accept</w:t>
      </w:r>
      <w:r>
        <w:t>ed</w:t>
      </w:r>
      <w:r w:rsidRPr="0043721A">
        <w:t xml:space="preserve"> certain types</w:t>
      </w:r>
      <w:r>
        <w:t xml:space="preserve"> </w:t>
      </w:r>
      <w:r w:rsidRPr="0043721A">
        <w:t>of ID to create an account. ID accepted include</w:t>
      </w:r>
      <w:r>
        <w:t>d</w:t>
      </w:r>
      <w:r w:rsidRPr="0043721A">
        <w:t xml:space="preserve"> an Australian Driver's Licence, Australian Passport and/or an International Passport and Visa.</w:t>
      </w:r>
      <w:r>
        <w:t xml:space="preserve"> The complainant </w:t>
      </w:r>
      <w:r w:rsidRPr="0043721A">
        <w:t>could not provide a</w:t>
      </w:r>
      <w:r>
        <w:t xml:space="preserve"> drivers’ licence </w:t>
      </w:r>
      <w:r w:rsidRPr="0043721A">
        <w:t xml:space="preserve">due to her disability. She had other forms of ID - Proof of Age card, Vision Impaired Concession Card, Working with </w:t>
      </w:r>
      <w:r>
        <w:t>C</w:t>
      </w:r>
      <w:r w:rsidRPr="0043721A">
        <w:t>hildren card and G</w:t>
      </w:r>
      <w:r>
        <w:t xml:space="preserve">uide Hearing and Assistant Dog </w:t>
      </w:r>
      <w:r w:rsidRPr="0043721A">
        <w:t xml:space="preserve">card, but these were not accepted by the </w:t>
      </w:r>
      <w:r>
        <w:t>respondent</w:t>
      </w:r>
      <w:r w:rsidRPr="0043721A">
        <w:t xml:space="preserve">. The </w:t>
      </w:r>
      <w:r>
        <w:t xml:space="preserve">complainant </w:t>
      </w:r>
      <w:r w:rsidRPr="0043721A">
        <w:t xml:space="preserve">attempted self-resolution through the </w:t>
      </w:r>
      <w:r>
        <w:t xml:space="preserve">respondent’s </w:t>
      </w:r>
      <w:r w:rsidRPr="0043721A">
        <w:t xml:space="preserve">online platform but </w:t>
      </w:r>
      <w:r>
        <w:t xml:space="preserve">this </w:t>
      </w:r>
      <w:r w:rsidRPr="0043721A">
        <w:t>was unsuccessful</w:t>
      </w:r>
      <w:r>
        <w:t xml:space="preserve"> as she was informed again that </w:t>
      </w:r>
      <w:r w:rsidRPr="0043721A">
        <w:t>she would not be able to sign up to the mobi</w:t>
      </w:r>
      <w:r>
        <w:t>l</w:t>
      </w:r>
      <w:r w:rsidRPr="0043721A">
        <w:t>e plan unless she could provide the specific</w:t>
      </w:r>
      <w:r>
        <w:t xml:space="preserve"> forms of ID requested.</w:t>
      </w:r>
    </w:p>
    <w:p w14:paraId="57D862D8" w14:textId="77777777" w:rsidR="00A52242" w:rsidRDefault="00A52242" w:rsidP="00EB1859">
      <w:r>
        <w:t xml:space="preserve">Through the conciliation process the respondent </w:t>
      </w:r>
      <w:r w:rsidRPr="0043721A">
        <w:t>was deeply regretful and accepted that their terms and conditions</w:t>
      </w:r>
      <w:r>
        <w:t xml:space="preserve"> </w:t>
      </w:r>
      <w:r w:rsidRPr="0043721A">
        <w:t>did not consider people with a disability.</w:t>
      </w:r>
    </w:p>
    <w:p w14:paraId="2354EDA9" w14:textId="7F05B489" w:rsidR="00A52242" w:rsidRDefault="00A52242" w:rsidP="00EB1859">
      <w:r>
        <w:t>The complaint was resolved with a w</w:t>
      </w:r>
      <w:r w:rsidRPr="0043721A">
        <w:t xml:space="preserve">ritten </w:t>
      </w:r>
      <w:r>
        <w:t>a</w:t>
      </w:r>
      <w:r w:rsidRPr="0043721A">
        <w:t xml:space="preserve">pology; </w:t>
      </w:r>
      <w:r>
        <w:t>d</w:t>
      </w:r>
      <w:r w:rsidRPr="0043721A">
        <w:t xml:space="preserve">isability </w:t>
      </w:r>
      <w:r>
        <w:t>c</w:t>
      </w:r>
      <w:r w:rsidRPr="0043721A">
        <w:t xml:space="preserve">onfidence </w:t>
      </w:r>
      <w:r>
        <w:t>t</w:t>
      </w:r>
      <w:r w:rsidRPr="0043721A">
        <w:t xml:space="preserve">raining for all relevant staff to be completed within the following 2 months; </w:t>
      </w:r>
      <w:r>
        <w:t>a</w:t>
      </w:r>
      <w:r w:rsidRPr="0043721A">
        <w:t>mendment to their Terms and Conditions to include Proof of Age cards and Medicare cards as acceptable forms of ID</w:t>
      </w:r>
      <w:r>
        <w:t>,</w:t>
      </w:r>
      <w:r w:rsidRPr="0043721A">
        <w:t xml:space="preserve"> and a gift card.</w:t>
      </w:r>
    </w:p>
    <w:p w14:paraId="50A41097" w14:textId="77777777" w:rsidR="00DE2197" w:rsidRDefault="00DE2197">
      <w:pPr>
        <w:ind w:right="0"/>
        <w:rPr>
          <w:color w:val="000000" w:themeColor="text1"/>
          <w:sz w:val="28"/>
        </w:rPr>
      </w:pPr>
      <w:r>
        <w:br w:type="page"/>
      </w:r>
    </w:p>
    <w:p w14:paraId="0C2E232C" w14:textId="6AC6331F" w:rsidR="00A52242" w:rsidRPr="009D2C89" w:rsidRDefault="00A52242" w:rsidP="00CA5EBF">
      <w:pPr>
        <w:pStyle w:val="Heading3"/>
      </w:pPr>
      <w:r w:rsidRPr="009D2C89">
        <w:lastRenderedPageBreak/>
        <w:t>Employee with auto</w:t>
      </w:r>
      <w:r>
        <w:t>-</w:t>
      </w:r>
      <w:r w:rsidRPr="009D2C89">
        <w:t>immune disease refused vaccination exemption</w:t>
      </w:r>
    </w:p>
    <w:p w14:paraId="6107F9FE" w14:textId="01E27192" w:rsidR="00A52242" w:rsidRDefault="00A52242" w:rsidP="00EB1859">
      <w:r>
        <w:t xml:space="preserve">The complainant </w:t>
      </w:r>
      <w:r w:rsidRPr="0043721A">
        <w:t>ha</w:t>
      </w:r>
      <w:r>
        <w:t>d</w:t>
      </w:r>
      <w:r w:rsidRPr="0043721A">
        <w:t xml:space="preserve"> an auto</w:t>
      </w:r>
      <w:r>
        <w:t>-</w:t>
      </w:r>
      <w:r w:rsidRPr="0043721A">
        <w:t>immune disease</w:t>
      </w:r>
      <w:r>
        <w:t xml:space="preserve"> and </w:t>
      </w:r>
      <w:r w:rsidRPr="0043721A">
        <w:t xml:space="preserve">applied for an exemption from </w:t>
      </w:r>
      <w:r>
        <w:t xml:space="preserve">her employer’s </w:t>
      </w:r>
      <w:r w:rsidRPr="0043721A">
        <w:t>C</w:t>
      </w:r>
      <w:r>
        <w:t>OVID</w:t>
      </w:r>
      <w:r w:rsidRPr="0043721A">
        <w:t xml:space="preserve">-19 vaccine mandate. </w:t>
      </w:r>
      <w:r>
        <w:t xml:space="preserve">The complainant provided a medical report that referred to the </w:t>
      </w:r>
      <w:r w:rsidRPr="0043721A">
        <w:t>risk of C</w:t>
      </w:r>
      <w:r>
        <w:t>OVID</w:t>
      </w:r>
      <w:r w:rsidRPr="0043721A">
        <w:t>-19 vaccines for patients with auto</w:t>
      </w:r>
      <w:r>
        <w:t>-</w:t>
      </w:r>
      <w:r w:rsidRPr="0043721A">
        <w:t>immune conditions</w:t>
      </w:r>
      <w:r>
        <w:t xml:space="preserve"> and </w:t>
      </w:r>
      <w:r w:rsidRPr="0043721A">
        <w:t>state</w:t>
      </w:r>
      <w:r>
        <w:t>d</w:t>
      </w:r>
      <w:r w:rsidRPr="0043721A">
        <w:t xml:space="preserve"> that</w:t>
      </w:r>
      <w:r>
        <w:t xml:space="preserve">, because she had already had COVID </w:t>
      </w:r>
      <w:r w:rsidRPr="0043721A">
        <w:t>she ha</w:t>
      </w:r>
      <w:r>
        <w:t>d</w:t>
      </w:r>
      <w:r w:rsidRPr="0043721A">
        <w:t xml:space="preserve"> </w:t>
      </w:r>
      <w:r>
        <w:t xml:space="preserve">a </w:t>
      </w:r>
      <w:r w:rsidRPr="0043721A">
        <w:t xml:space="preserve">natural immunity and that to have the vaccine </w:t>
      </w:r>
      <w:r>
        <w:t>was</w:t>
      </w:r>
      <w:r w:rsidRPr="0043721A">
        <w:t xml:space="preserve"> a risk</w:t>
      </w:r>
      <w:r>
        <w:t xml:space="preserve"> to her health</w:t>
      </w:r>
      <w:r w:rsidRPr="0043721A">
        <w:t>.</w:t>
      </w:r>
      <w:r>
        <w:t xml:space="preserve"> Despite the medical report, the complainant was </w:t>
      </w:r>
      <w:r w:rsidRPr="0043721A">
        <w:t>denied an exemption.</w:t>
      </w:r>
      <w:r w:rsidR="007A61EC">
        <w:t xml:space="preserve"> </w:t>
      </w:r>
      <w:r>
        <w:t xml:space="preserve">She </w:t>
      </w:r>
      <w:r w:rsidRPr="0043721A">
        <w:t xml:space="preserve">was required to take leave and not return to the workplace until </w:t>
      </w:r>
      <w:r>
        <w:t>she</w:t>
      </w:r>
      <w:r w:rsidRPr="0043721A">
        <w:t xml:space="preserve"> had the C</w:t>
      </w:r>
      <w:r>
        <w:t>OVID</w:t>
      </w:r>
      <w:r w:rsidRPr="0043721A">
        <w:t>-19 vaccine</w:t>
      </w:r>
      <w:r>
        <w:t xml:space="preserve">. She </w:t>
      </w:r>
      <w:r w:rsidRPr="0043721A">
        <w:t>was threatened with disciplinary action if she did not comply with the C</w:t>
      </w:r>
      <w:r>
        <w:t>OVID</w:t>
      </w:r>
      <w:r w:rsidRPr="0043721A">
        <w:t>-19 vaccine mandate.</w:t>
      </w:r>
    </w:p>
    <w:p w14:paraId="0A0E6928" w14:textId="77777777" w:rsidR="00A52242" w:rsidRDefault="00A52242" w:rsidP="00EB1859">
      <w:r>
        <w:t>Through the conciliation process and a</w:t>
      </w:r>
      <w:r w:rsidRPr="0043721A">
        <w:t xml:space="preserve">fter further consideration of </w:t>
      </w:r>
      <w:r>
        <w:t>the complainant’s</w:t>
      </w:r>
      <w:r w:rsidRPr="0043721A">
        <w:t xml:space="preserve"> position</w:t>
      </w:r>
      <w:r>
        <w:t xml:space="preserve">, the respondent decided </w:t>
      </w:r>
      <w:r w:rsidRPr="0043721A">
        <w:t>the C</w:t>
      </w:r>
      <w:r>
        <w:t>OVID</w:t>
      </w:r>
      <w:r w:rsidRPr="0043721A">
        <w:t xml:space="preserve">-19 </w:t>
      </w:r>
      <w:r>
        <w:t>v</w:t>
      </w:r>
      <w:r w:rsidRPr="0043721A">
        <w:t xml:space="preserve">accine mandate did not apply to the </w:t>
      </w:r>
      <w:r>
        <w:t>complainant in her role.</w:t>
      </w:r>
    </w:p>
    <w:p w14:paraId="4313D83D" w14:textId="70D43525" w:rsidR="00C267C4" w:rsidRDefault="00A52242" w:rsidP="00EB1859">
      <w:pPr>
        <w:rPr>
          <w:color w:val="000000" w:themeColor="text1"/>
          <w:sz w:val="28"/>
        </w:rPr>
      </w:pPr>
      <w:r>
        <w:t>The complaint was resolved with a written a</w:t>
      </w:r>
      <w:r w:rsidRPr="0043721A">
        <w:t>pology</w:t>
      </w:r>
      <w:r>
        <w:t xml:space="preserve">, agreement that </w:t>
      </w:r>
      <w:r w:rsidRPr="0043721A">
        <w:t>the C</w:t>
      </w:r>
      <w:r>
        <w:t>OVID</w:t>
      </w:r>
      <w:r w:rsidRPr="0043721A">
        <w:t>-19 vaccine mandate d</w:t>
      </w:r>
      <w:r>
        <w:t xml:space="preserve">id </w:t>
      </w:r>
      <w:r w:rsidRPr="0043721A">
        <w:t xml:space="preserve">not apply to </w:t>
      </w:r>
      <w:r>
        <w:t>the complainant and that she could</w:t>
      </w:r>
      <w:r w:rsidRPr="0043721A">
        <w:t xml:space="preserve"> return to work</w:t>
      </w:r>
      <w:r>
        <w:t xml:space="preserve">. It was also agreed that all leave entitlements used whilst she had been required to take leave would be recredited to her. </w:t>
      </w:r>
    </w:p>
    <w:p w14:paraId="17D410FF" w14:textId="4705C2ED" w:rsidR="00A52242" w:rsidRPr="0066210F" w:rsidRDefault="00A52242" w:rsidP="00CA5EBF">
      <w:pPr>
        <w:pStyle w:val="Heading3"/>
      </w:pPr>
      <w:r>
        <w:t>Racist comments made to First Nations employee</w:t>
      </w:r>
    </w:p>
    <w:p w14:paraId="3D9CBA56" w14:textId="49471A0B" w:rsidR="00A52242" w:rsidRDefault="00A52242" w:rsidP="00EB1859">
      <w:r>
        <w:t xml:space="preserve">The complainant is a </w:t>
      </w:r>
      <w:r w:rsidRPr="00AD23FA">
        <w:t>First Nations person.</w:t>
      </w:r>
      <w:r>
        <w:t xml:space="preserve"> He alleged </w:t>
      </w:r>
      <w:r w:rsidRPr="00AD23FA">
        <w:t>that</w:t>
      </w:r>
      <w:r>
        <w:t>, during a conversation about Workcover, his colleague said to him, “You know why you got compo... it’s because of the colour of your skin.”</w:t>
      </w:r>
      <w:r w:rsidR="007A61EC">
        <w:t xml:space="preserve"> </w:t>
      </w:r>
      <w:r>
        <w:t xml:space="preserve">He also alleged various other offensive things were said to him by his colleagues which did not refer specifically to his race. The complainant had raised the issues with his employer and his employer had responded “We did away with racism ages ago” and that he would investigate the complaint. The complainant alleged that he experienced ongoing unfavourable treatment by his work colleagues and he resigned from his employment without providing a reason. </w:t>
      </w:r>
    </w:p>
    <w:p w14:paraId="40A55BD2" w14:textId="79688B0C" w:rsidR="00A52242" w:rsidRDefault="00A52242" w:rsidP="00EB1859">
      <w:r w:rsidRPr="00AD23FA">
        <w:t xml:space="preserve">During the conciliation conference </w:t>
      </w:r>
      <w:r>
        <w:t xml:space="preserve">the </w:t>
      </w:r>
      <w:r w:rsidRPr="00AD23FA">
        <w:t xml:space="preserve">respondents apologised </w:t>
      </w:r>
      <w:r>
        <w:t xml:space="preserve">for the comments they had made and for the </w:t>
      </w:r>
      <w:r w:rsidRPr="00AD23FA">
        <w:t xml:space="preserve">hurt </w:t>
      </w:r>
      <w:r>
        <w:t xml:space="preserve">they had </w:t>
      </w:r>
      <w:r w:rsidRPr="00AD23FA">
        <w:t>caused</w:t>
      </w:r>
      <w:r>
        <w:t xml:space="preserve">. The respondents </w:t>
      </w:r>
      <w:r w:rsidRPr="00AD23FA">
        <w:t xml:space="preserve">acknowledged that they had not </w:t>
      </w:r>
      <w:r>
        <w:t>intended for their comments to be made because of the complainant’s race.</w:t>
      </w:r>
      <w:r w:rsidRPr="00AD23FA">
        <w:t xml:space="preserve"> </w:t>
      </w:r>
      <w:r>
        <w:t xml:space="preserve">At the conference, the parties discussed what </w:t>
      </w:r>
      <w:r w:rsidRPr="00AD23FA">
        <w:t xml:space="preserve">reasonable steps </w:t>
      </w:r>
      <w:r>
        <w:t xml:space="preserve">the employer had </w:t>
      </w:r>
      <w:r w:rsidRPr="00AD23FA">
        <w:t xml:space="preserve">taken to prevent a contravention of the </w:t>
      </w:r>
      <w:r>
        <w:t xml:space="preserve">Anti-Discrimination Act so as to raise the defence in the Act, however, these were limited. </w:t>
      </w:r>
      <w:r w:rsidRPr="00AD23FA">
        <w:t xml:space="preserve">The </w:t>
      </w:r>
      <w:r>
        <w:t>c</w:t>
      </w:r>
      <w:r w:rsidRPr="00AD23FA">
        <w:t>omplain</w:t>
      </w:r>
      <w:r>
        <w:t xml:space="preserve">t settled with a payment of general damages, </w:t>
      </w:r>
      <w:r w:rsidRPr="00AD23FA">
        <w:t xml:space="preserve">confidentiality, </w:t>
      </w:r>
      <w:r>
        <w:t xml:space="preserve">and a </w:t>
      </w:r>
      <w:r w:rsidRPr="00AD23FA">
        <w:t>bar to</w:t>
      </w:r>
      <w:r>
        <w:t xml:space="preserve"> further</w:t>
      </w:r>
      <w:r w:rsidRPr="00AD23FA">
        <w:t xml:space="preserve"> proceeding</w:t>
      </w:r>
      <w:r>
        <w:t>s</w:t>
      </w:r>
      <w:r w:rsidRPr="00AD23FA">
        <w:t>.</w:t>
      </w:r>
    </w:p>
    <w:p w14:paraId="5FC46B28" w14:textId="77777777" w:rsidR="00104F88" w:rsidRDefault="00104F88">
      <w:pPr>
        <w:ind w:right="0"/>
        <w:rPr>
          <w:color w:val="000000" w:themeColor="text1"/>
          <w:sz w:val="28"/>
        </w:rPr>
      </w:pPr>
      <w:r>
        <w:br w:type="page"/>
      </w:r>
    </w:p>
    <w:p w14:paraId="22C05451" w14:textId="5D033992" w:rsidR="00A52242" w:rsidRPr="00B8258E" w:rsidRDefault="00A52242" w:rsidP="00CA5EBF">
      <w:pPr>
        <w:pStyle w:val="Heading3"/>
      </w:pPr>
      <w:r w:rsidRPr="00B8258E">
        <w:lastRenderedPageBreak/>
        <w:t xml:space="preserve">Club </w:t>
      </w:r>
      <w:r>
        <w:t>p</w:t>
      </w:r>
      <w:r w:rsidRPr="00B8258E">
        <w:t>atron with a chronic health condition refused entry</w:t>
      </w:r>
    </w:p>
    <w:p w14:paraId="476F76C6" w14:textId="0B1333D0" w:rsidR="00A52242" w:rsidRDefault="00A52242" w:rsidP="00EB1859">
      <w:r>
        <w:t>The complainant had a chronic health condition which meant she could not wear a mask. She went to a club which required all patrons to wear a mask, and she attempted to follow this rule by partially wearing a mask (covering h</w:t>
      </w:r>
      <w:r w:rsidR="000056ED">
        <w:t>er</w:t>
      </w:r>
      <w:r>
        <w:t xml:space="preserve"> mouth but not h</w:t>
      </w:r>
      <w:r w:rsidR="000056ED">
        <w:t>er</w:t>
      </w:r>
      <w:r>
        <w:t xml:space="preserve"> nose). She advised the security guard of her chronic health condition but was directed to leave the premises. </w:t>
      </w:r>
    </w:p>
    <w:p w14:paraId="1A2C717C" w14:textId="1400D55B" w:rsidR="00A52242" w:rsidRDefault="00A52242" w:rsidP="00EB1859">
      <w:r>
        <w:t>In the conference, the complainant said that she was vaccinated and had exemption documentation with her at the venue, and had tried to explain this to the security guard. She had felt harassed and singled out as other patrons were wearing masks incorrectly and were not asked to leave.</w:t>
      </w:r>
    </w:p>
    <w:p w14:paraId="360A5693" w14:textId="77777777" w:rsidR="00A52242" w:rsidRDefault="00A52242" w:rsidP="00EB1859">
      <w:r>
        <w:t>The respondent’s written response outlined the challenges of the pandemic and keeping up with the regulations. They said they implemented a blanket policy regarding masks as over 75% of club members were what the Chief Health Officer determined "high risk". The response stated that this policy was not intended to discriminate and expressed empathy for the distress the complainant had felt.</w:t>
      </w:r>
    </w:p>
    <w:p w14:paraId="45A8058A" w14:textId="77777777" w:rsidR="00A52242" w:rsidRDefault="00A52242" w:rsidP="00EB1859">
      <w:r>
        <w:t>During the conciliation conference, the respondents informed the complainant that she was a valued member of the club and they were not happy with the way she had been treated by the security guard. They apologised for the distress caused that had been caused by the treatment. They also informed the complainant that they had changed security providers since this incident, and that they treated the complaint as a learning experience to be able to improve in future.</w:t>
      </w:r>
    </w:p>
    <w:p w14:paraId="59E96B8E" w14:textId="7B0F6C9E" w:rsidR="00A52242" w:rsidRDefault="00A52242" w:rsidP="00EB1859">
      <w:r>
        <w:t>The complaint was resolved on the basis that the respondent agreed to ensure that any future policies relating to the wearing of masks will comply with the Anti-Discrimination Act, and will provide for people with lawful medical exemptions.</w:t>
      </w:r>
      <w:r w:rsidR="007A61EC">
        <w:t xml:space="preserve"> </w:t>
      </w:r>
      <w:r>
        <w:t xml:space="preserve">The respondent also agreed to ensure all managers and team leaders undergo training on their obligations under the Anti-Discrimination Act, in particular obligations relating to people with a disability. The respondent also invited the complainant and her support person to attend a complimentary lunch at the club and were open to further discussion about the </w:t>
      </w:r>
      <w:r w:rsidR="009D0BB2">
        <w:t>c</w:t>
      </w:r>
      <w:r>
        <w:t>omplainant’s experiences.</w:t>
      </w:r>
    </w:p>
    <w:p w14:paraId="6ACFFA0E" w14:textId="77777777" w:rsidR="00A52242" w:rsidRPr="000706F2" w:rsidRDefault="00A52242" w:rsidP="00CA5EBF">
      <w:pPr>
        <w:pStyle w:val="Heading3"/>
      </w:pPr>
      <w:r w:rsidRPr="000706F2">
        <w:t xml:space="preserve">Female apprentice dismissed after complaining about sexual harassment, and cleaning and administration tasks </w:t>
      </w:r>
    </w:p>
    <w:p w14:paraId="47B8D243" w14:textId="12AD2807" w:rsidR="00A52242" w:rsidRDefault="00A52242" w:rsidP="00EB1859">
      <w:r>
        <w:t xml:space="preserve">A young </w:t>
      </w:r>
      <w:r w:rsidRPr="00822718">
        <w:t>female app</w:t>
      </w:r>
      <w:r>
        <w:t>r</w:t>
      </w:r>
      <w:r w:rsidRPr="00822718">
        <w:t xml:space="preserve">entice reported sexual harassment to </w:t>
      </w:r>
      <w:r>
        <w:t xml:space="preserve">her </w:t>
      </w:r>
      <w:r w:rsidRPr="00822718">
        <w:t>employer. No action was taken</w:t>
      </w:r>
      <w:r>
        <w:t>,</w:t>
      </w:r>
      <w:r w:rsidRPr="00822718">
        <w:t xml:space="preserve"> and she was told not be so sensitive.</w:t>
      </w:r>
      <w:r>
        <w:t xml:space="preserve"> </w:t>
      </w:r>
      <w:r w:rsidR="000347E0">
        <w:t xml:space="preserve">She </w:t>
      </w:r>
      <w:r>
        <w:t xml:space="preserve">was </w:t>
      </w:r>
      <w:r w:rsidRPr="00822718">
        <w:t>also given all of the cleaning and admin</w:t>
      </w:r>
      <w:r>
        <w:t>i</w:t>
      </w:r>
      <w:r w:rsidRPr="00822718">
        <w:t xml:space="preserve">stration jobs that the 5 male apprentices were not given. When the </w:t>
      </w:r>
      <w:r>
        <w:t>complainant a</w:t>
      </w:r>
      <w:r w:rsidRPr="00822718">
        <w:t xml:space="preserve">dvised </w:t>
      </w:r>
      <w:r>
        <w:t xml:space="preserve">her employer that she was experiencing </w:t>
      </w:r>
      <w:r w:rsidRPr="00822718">
        <w:t>anxiety, she was told she could not handle the workplace.</w:t>
      </w:r>
      <w:r>
        <w:t xml:space="preserve"> Her employment was then terminated. </w:t>
      </w:r>
    </w:p>
    <w:p w14:paraId="186732D4" w14:textId="77777777" w:rsidR="00A52242" w:rsidRDefault="00A52242" w:rsidP="00EB1859">
      <w:r>
        <w:t xml:space="preserve">During the conciliation process, the respondents stated that the complainant’s </w:t>
      </w:r>
      <w:r w:rsidRPr="00822718">
        <w:t xml:space="preserve">employment was terminated due to them having safety </w:t>
      </w:r>
      <w:r w:rsidRPr="00822718">
        <w:lastRenderedPageBreak/>
        <w:t xml:space="preserve">concerns about her. They denied it had anything to do with </w:t>
      </w:r>
      <w:r>
        <w:t xml:space="preserve">her </w:t>
      </w:r>
      <w:r w:rsidRPr="00822718">
        <w:t xml:space="preserve">making </w:t>
      </w:r>
      <w:r>
        <w:t>c</w:t>
      </w:r>
      <w:r w:rsidRPr="00822718">
        <w:t>omplaints.</w:t>
      </w:r>
    </w:p>
    <w:p w14:paraId="4A15A45D" w14:textId="2787870A" w:rsidR="00A52242" w:rsidRDefault="00A52242" w:rsidP="00EB1859">
      <w:r>
        <w:t>The complaint was resolved with a s</w:t>
      </w:r>
      <w:r w:rsidRPr="00822718">
        <w:t>tatement of regret</w:t>
      </w:r>
      <w:r w:rsidR="00DE2197">
        <w:t xml:space="preserve"> and </w:t>
      </w:r>
      <w:r>
        <w:t>payment of e</w:t>
      </w:r>
      <w:r w:rsidRPr="00822718">
        <w:t xml:space="preserve">conomic loss </w:t>
      </w:r>
      <w:r>
        <w:t xml:space="preserve">and </w:t>
      </w:r>
      <w:r w:rsidRPr="00822718">
        <w:t>general damages.</w:t>
      </w:r>
    </w:p>
    <w:p w14:paraId="3B4F6A36" w14:textId="77777777" w:rsidR="00A52242" w:rsidRPr="00BF038A" w:rsidRDefault="00A52242" w:rsidP="00CA5EBF">
      <w:pPr>
        <w:pStyle w:val="Heading3"/>
      </w:pPr>
      <w:r>
        <w:t>Widow denied holiday package</w:t>
      </w:r>
    </w:p>
    <w:p w14:paraId="70AA7F11" w14:textId="77777777" w:rsidR="00A52242" w:rsidRDefault="00A52242" w:rsidP="00EB1859">
      <w:r>
        <w:t>The complainant, a widow, attempted to purchase a discounted holiday package from a salesperson. The salesperson informed the complainant that she was not eligible for the discounted holiday package because she was single. He told her that she needed to be with her husband or a de facto partner of two years to be eligible as a result of recent changes to relevant legislation and the terms and conditions of the offer. The complainant sought further information from the salesperson about the legislative changes and terms and conditions, however he did not respond to any of her requests for this information and nor did the business he was working for.</w:t>
      </w:r>
    </w:p>
    <w:p w14:paraId="57D9AD21" w14:textId="4C0E1951" w:rsidR="00A52242" w:rsidRDefault="00A52242" w:rsidP="00EB1859">
      <w:r>
        <w:t xml:space="preserve">In the conciliation process, the salesperson and the business </w:t>
      </w:r>
      <w:r w:rsidRPr="00FF7446">
        <w:t xml:space="preserve">provided a written apology to </w:t>
      </w:r>
      <w:r>
        <w:t xml:space="preserve">the complainant. The business </w:t>
      </w:r>
      <w:r w:rsidRPr="00FF7446">
        <w:t xml:space="preserve">agreed to gift the original holiday package offered to </w:t>
      </w:r>
      <w:r>
        <w:t xml:space="preserve">the complainant </w:t>
      </w:r>
      <w:r w:rsidRPr="00FF7446">
        <w:t>free of charge, along with complimentary breakfast and dinner for the duration of the holiday stay, and a goods and services voucher to be spent at the holiday premis</w:t>
      </w:r>
      <w:r>
        <w:t>e</w:t>
      </w:r>
      <w:r w:rsidRPr="00FF7446">
        <w:t>s.</w:t>
      </w:r>
      <w:r>
        <w:t xml:space="preserve"> The business also agreed to pay the complainant damages </w:t>
      </w:r>
      <w:r w:rsidRPr="00FF7446">
        <w:t xml:space="preserve">accounting for one day's wage </w:t>
      </w:r>
      <w:r>
        <w:t xml:space="preserve">which the complainant had </w:t>
      </w:r>
      <w:r w:rsidRPr="00FF7446">
        <w:t xml:space="preserve">lost investigating the relevant legislation and terms and conditions raised by </w:t>
      </w:r>
      <w:r>
        <w:t xml:space="preserve">the salesperson. The respondent business agreed to </w:t>
      </w:r>
      <w:r w:rsidRPr="00FF7446">
        <w:t xml:space="preserve">undertake a review of their discrimination and diversity policies, and their staff training, to ensure they were compliant with relevant </w:t>
      </w:r>
      <w:r>
        <w:t>federal</w:t>
      </w:r>
      <w:r w:rsidRPr="00FF7446">
        <w:t xml:space="preserve"> and state anti-discrimination law and committed to notifying </w:t>
      </w:r>
      <w:r>
        <w:t xml:space="preserve">the complainant </w:t>
      </w:r>
      <w:r w:rsidRPr="00FF7446">
        <w:t xml:space="preserve">by letter once this had been </w:t>
      </w:r>
      <w:r>
        <w:t>done</w:t>
      </w:r>
      <w:r w:rsidRPr="00FF7446">
        <w:t>.</w:t>
      </w:r>
    </w:p>
    <w:p w14:paraId="54D3B1DD" w14:textId="77777777" w:rsidR="00A52242" w:rsidRPr="00727E9B" w:rsidRDefault="00A52242" w:rsidP="00CA5EBF">
      <w:pPr>
        <w:pStyle w:val="Heading3"/>
      </w:pPr>
      <w:r>
        <w:t xml:space="preserve">Hot desking workplace denies workstation </w:t>
      </w:r>
      <w:r w:rsidRPr="00727E9B">
        <w:t>ergonomic assessment</w:t>
      </w:r>
      <w:r>
        <w:t xml:space="preserve"> for injured worker</w:t>
      </w:r>
    </w:p>
    <w:p w14:paraId="5FAF9705" w14:textId="675257E7" w:rsidR="00A52242" w:rsidRDefault="00A52242" w:rsidP="00EB1859">
      <w:r>
        <w:t>The complainant had a permanent spinal injury. She gave her manager a letter from her physiotherapist explaining her injury and the requirement of an ergonomic assessment and workstation setup to decrease the likelihood of flare-ups of her condition.</w:t>
      </w:r>
      <w:r w:rsidR="00104F88">
        <w:t xml:space="preserve"> </w:t>
      </w:r>
      <w:r>
        <w:t>The employer had a hot-desking arrangement, and did not make arrangements for a single ergonomically assessed workstation. The employer provided a standing station but it was not consistent with the complainant’s condition and no ergonomic assessment was carried out.</w:t>
      </w:r>
      <w:r w:rsidR="00104F88">
        <w:t xml:space="preserve"> </w:t>
      </w:r>
      <w:r>
        <w:t>After the complainant met with the human resources department of her employer to complain about her manager's treatment of her and that her manager was not providing her with a workstation that was ergonomically suitable, her contract was terminated.</w:t>
      </w:r>
    </w:p>
    <w:p w14:paraId="6E418DFB" w14:textId="77777777" w:rsidR="00A52242" w:rsidRDefault="00A52242" w:rsidP="00EB1859">
      <w:r>
        <w:t xml:space="preserve">The respondent claimed there was no employment relationship as the complainant was employed by separate entity and therefore her employment was not terminated by the respondent. The respondent also </w:t>
      </w:r>
      <w:r>
        <w:lastRenderedPageBreak/>
        <w:t>claimed that the complainant’s role was absorbed as part of an organisational restructure.</w:t>
      </w:r>
    </w:p>
    <w:p w14:paraId="63F0B6FD" w14:textId="77777777" w:rsidR="00A52242" w:rsidRDefault="00A52242" w:rsidP="00EB1859">
      <w:r>
        <w:t>During the conciliation process the respondent regretted that an ergonomic assessment was not conducted expeditiously but also highlighted that the complainant had used the incorrect email address when making the request.</w:t>
      </w:r>
    </w:p>
    <w:p w14:paraId="24A8FBD4" w14:textId="25F418ED" w:rsidR="00A52242" w:rsidRDefault="00A52242" w:rsidP="00EB1859">
      <w:r w:rsidRPr="007D666C">
        <w:t>The parties agreed to financial compensation as general damages</w:t>
      </w:r>
      <w:r>
        <w:t>, m</w:t>
      </w:r>
      <w:r w:rsidRPr="007D666C">
        <w:t>utual non-disparagement and mutual confidentiality.</w:t>
      </w:r>
    </w:p>
    <w:p w14:paraId="1CA10C48" w14:textId="206D0D52" w:rsidR="00A52242" w:rsidRDefault="00A52242" w:rsidP="00EB1859"/>
    <w:p w14:paraId="591B64E2" w14:textId="77777777" w:rsidR="000347E0" w:rsidRDefault="000347E0">
      <w:pPr>
        <w:ind w:right="0"/>
        <w:rPr>
          <w:color w:val="000000" w:themeColor="text1"/>
          <w:sz w:val="48"/>
        </w:rPr>
      </w:pPr>
      <w:bookmarkStart w:id="131" w:name="_Toc143678712"/>
      <w:bookmarkStart w:id="132" w:name="_Toc144200493"/>
      <w:bookmarkStart w:id="133" w:name="_Toc49508889"/>
      <w:bookmarkStart w:id="134" w:name="_Toc80971328"/>
      <w:r>
        <w:br w:type="page"/>
      </w:r>
    </w:p>
    <w:p w14:paraId="5D4AAA5A" w14:textId="12A4D8BC" w:rsidR="00A52242" w:rsidRDefault="00A52242" w:rsidP="00CA5EBF">
      <w:pPr>
        <w:pStyle w:val="Heading1"/>
      </w:pPr>
      <w:r>
        <w:lastRenderedPageBreak/>
        <w:t>Enquiries</w:t>
      </w:r>
      <w:bookmarkEnd w:id="131"/>
      <w:bookmarkEnd w:id="132"/>
      <w:r>
        <w:t xml:space="preserve"> </w:t>
      </w:r>
    </w:p>
    <w:bookmarkEnd w:id="133"/>
    <w:bookmarkEnd w:id="134"/>
    <w:p w14:paraId="14761A56" w14:textId="77777777" w:rsidR="00A52242" w:rsidRDefault="00A52242" w:rsidP="00EB1859">
      <w:r>
        <w:t>We</w:t>
      </w:r>
      <w:r w:rsidRPr="00A21D7D">
        <w:t xml:space="preserve"> provide a free, accessible and personal information service </w:t>
      </w:r>
      <w:r>
        <w:t xml:space="preserve">to </w:t>
      </w:r>
      <w:r w:rsidRPr="00A21D7D">
        <w:t xml:space="preserve">help </w:t>
      </w:r>
      <w:r>
        <w:t>people</w:t>
      </w:r>
      <w:r w:rsidRPr="00A21D7D">
        <w:t xml:space="preserve"> understand their rights and responsibilities under </w:t>
      </w:r>
      <w:r>
        <w:t>Queensland’s anti-discrimination and human rights</w:t>
      </w:r>
      <w:r w:rsidRPr="00A21D7D">
        <w:t xml:space="preserve"> legislation. </w:t>
      </w:r>
    </w:p>
    <w:p w14:paraId="11DD0E57" w14:textId="77777777" w:rsidR="00A52242" w:rsidRDefault="00A52242" w:rsidP="00EB1859">
      <w:r>
        <w:t xml:space="preserve">Enquiries are taken via telephone, email, post and in person. </w:t>
      </w:r>
    </w:p>
    <w:p w14:paraId="687BE2D0" w14:textId="77777777" w:rsidR="00A52242" w:rsidRDefault="00A52242" w:rsidP="00EB1859">
      <w:r w:rsidRPr="00A21D7D">
        <w:t xml:space="preserve">All four </w:t>
      </w:r>
      <w:r>
        <w:t>Commission</w:t>
      </w:r>
      <w:r w:rsidRPr="00A21D7D">
        <w:t xml:space="preserve"> offices provide information services, but the bulk of telephone and email enquiries </w:t>
      </w:r>
      <w:r>
        <w:t>continue to be</w:t>
      </w:r>
      <w:r w:rsidRPr="00A21D7D">
        <w:t xml:space="preserve"> managed through the Brisbane office. </w:t>
      </w:r>
    </w:p>
    <w:p w14:paraId="73B94324" w14:textId="77777777" w:rsidR="00A52242" w:rsidRDefault="00A52242" w:rsidP="00EB1859">
      <w:pPr>
        <w:pStyle w:val="Keystatistics"/>
        <w:rPr>
          <w:rFonts w:eastAsiaTheme="majorEastAsia" w:cstheme="majorBidi"/>
          <w:sz w:val="36"/>
          <w:szCs w:val="26"/>
        </w:rPr>
      </w:pPr>
      <w:r>
        <w:t xml:space="preserve">This year we responded to </w:t>
      </w:r>
      <w:r>
        <w:rPr>
          <w:sz w:val="36"/>
          <w:szCs w:val="36"/>
        </w:rPr>
        <w:t xml:space="preserve">3829 </w:t>
      </w:r>
      <w:r>
        <w:t xml:space="preserve">enquiries, a decrease of 40% on last year’s figure of 6405. </w:t>
      </w:r>
    </w:p>
    <w:p w14:paraId="2551A667" w14:textId="77777777" w:rsidR="00A52242" w:rsidRDefault="00A52242" w:rsidP="00EB1859">
      <w:r>
        <w:t xml:space="preserve">There was a sharp decrease in the number of enquiries received this year, the first decline since 2019-20. </w:t>
      </w:r>
    </w:p>
    <w:p w14:paraId="48698DAA" w14:textId="6D5174FF" w:rsidR="00A52242" w:rsidRDefault="00A52242" w:rsidP="00EB1859">
      <w:r>
        <w:t xml:space="preserve">This coincided with the end of the peak of the pandemic and mirrors a drop in website traffic and in the number of media enquiries relating to COVID-19. </w:t>
      </w:r>
    </w:p>
    <w:p w14:paraId="69024ED9" w14:textId="77777777" w:rsidR="00CA5EBF" w:rsidRDefault="00CA5EBF" w:rsidP="00EB1859"/>
    <w:p w14:paraId="146CA135" w14:textId="70223642" w:rsidR="00A52242" w:rsidRPr="00FC6699" w:rsidRDefault="00A52242" w:rsidP="00EB1859">
      <w:pPr>
        <w:pStyle w:val="Caption"/>
      </w:pPr>
      <w:r>
        <w:t xml:space="preserve">Figure </w:t>
      </w:r>
      <w:r w:rsidR="00E9526A">
        <w:t>3</w:t>
      </w:r>
      <w:r w:rsidRPr="0045695B">
        <w:t xml:space="preserve">: </w:t>
      </w:r>
      <w:r>
        <w:t>Enquiries received by year, 2017-18 to present</w:t>
      </w:r>
    </w:p>
    <w:p w14:paraId="267117B1" w14:textId="77777777" w:rsidR="00A52242" w:rsidRDefault="00A52242" w:rsidP="00EB1859">
      <w:r>
        <w:rPr>
          <w:noProof/>
        </w:rPr>
        <w:drawing>
          <wp:inline distT="0" distB="0" distL="0" distR="0" wp14:anchorId="2E097A46" wp14:editId="02C0F102">
            <wp:extent cx="4572000" cy="2743200"/>
            <wp:effectExtent l="0" t="0" r="0" b="0"/>
            <wp:docPr id="1" name="Chart 1" descr="Line graph showing the number of enquiries received each year from 2017-18 to 2022-23: &#10;- 2017-18: 2826 enquiries&#10;- 2018-19: 2840&#10;- 2019-20: 3947&#10;- 2020-21: 5856&#10;- 2021-22: 6405&#10;- 2022-23: 3829">
              <a:extLst xmlns:a="http://schemas.openxmlformats.org/drawingml/2006/main">
                <a:ext uri="{FF2B5EF4-FFF2-40B4-BE49-F238E27FC236}">
                  <a16:creationId xmlns:a16="http://schemas.microsoft.com/office/drawing/2014/main" id="{F539CC1C-3537-4830-980B-8334B65574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AF2AE64" w14:textId="77777777" w:rsidR="00CA5EBF" w:rsidRDefault="00CA5EBF" w:rsidP="00EB1859"/>
    <w:p w14:paraId="5BA6A5EF" w14:textId="0BFA4340" w:rsidR="00A52242" w:rsidRDefault="00A52242" w:rsidP="00EB1859">
      <w:r>
        <w:t xml:space="preserve">In 2021-22, COVID-19 accounted for just under 30% of our enquiries. In 2022-23 those enquiries only made up 2.5% of the total received across the year. </w:t>
      </w:r>
    </w:p>
    <w:p w14:paraId="37FDC170" w14:textId="77777777" w:rsidR="00CA5EBF" w:rsidRDefault="00CA5EBF" w:rsidP="00EB1859"/>
    <w:p w14:paraId="2338AA5A" w14:textId="6B18F862" w:rsidR="00A52242" w:rsidRDefault="00A52242" w:rsidP="00EB1859">
      <w:r>
        <w:lastRenderedPageBreak/>
        <w:t xml:space="preserve">As in previous years, the majority of enquirers (3612 or 94%) were potential complainants – that is, people with questions about whether conduct they had experienced could be covered by the Human Rights or Anti-Discrimination Acts. Other types of enquiries were from people calling for general information (102) or with questions about their obligations under anti-discrimination or human rights law (45 enquiries), and small numbers of people seeking policy advice or enquiring about the </w:t>
      </w:r>
      <w:r w:rsidRPr="002E155B">
        <w:t>application of the Human Rights Act</w:t>
      </w:r>
      <w:r>
        <w:t xml:space="preserve"> (21)</w:t>
      </w:r>
      <w:r w:rsidRPr="002E155B">
        <w:t xml:space="preserve">. </w:t>
      </w:r>
    </w:p>
    <w:p w14:paraId="4FEC0115" w14:textId="77777777" w:rsidR="00A52242" w:rsidRDefault="00A52242" w:rsidP="00EB1859">
      <w:r>
        <w:t>Demographics are sought from enquirers and providing this information is voluntary. W</w:t>
      </w:r>
      <w:r w:rsidRPr="002E155B">
        <w:t>here the gender of the enquirer was recorded, women were slightly more likely (55%) to make enquiries than men (44%),</w:t>
      </w:r>
      <w:r>
        <w:t xml:space="preserve"> with non-binary people and other genders making up less than 1%. People aged under 25 made far fewer enquiries than people in older age brackets, where the age of the enquirer was recorded.</w:t>
      </w:r>
    </w:p>
    <w:p w14:paraId="2BF259EC" w14:textId="77777777" w:rsidR="00A52242" w:rsidRDefault="00A52242" w:rsidP="00EB1859">
      <w:r>
        <w:t xml:space="preserve">The vast </w:t>
      </w:r>
      <w:r w:rsidRPr="002E155B">
        <w:t>majority (</w:t>
      </w:r>
      <w:r>
        <w:t>90</w:t>
      </w:r>
      <w:r w:rsidRPr="002E155B">
        <w:t>%) of enquirers contacted us by phone, continuing the pattern of previous years. Other methods of contact include email (</w:t>
      </w:r>
      <w:r>
        <w:t>7</w:t>
      </w:r>
      <w:r w:rsidRPr="002E155B">
        <w:t xml:space="preserve">%) and letter (&lt;1%), with in person enquiries </w:t>
      </w:r>
      <w:r>
        <w:t xml:space="preserve">increasing slightly to 63, compared to 49 last year </w:t>
      </w:r>
      <w:r w:rsidRPr="002E155B">
        <w:t>-</w:t>
      </w:r>
      <w:r>
        <w:t>possibly reflecting the increased mobility of people with the end of the pandemic lockdowns.</w:t>
      </w:r>
    </w:p>
    <w:p w14:paraId="0B707DAB" w14:textId="77777777" w:rsidR="00A52242" w:rsidRDefault="00A52242" w:rsidP="00EB1859">
      <w:r>
        <w:t xml:space="preserve">In addition to our general </w:t>
      </w:r>
      <w:proofErr w:type="spellStart"/>
      <w:r>
        <w:t>statewide</w:t>
      </w:r>
      <w:proofErr w:type="spellEnd"/>
      <w:r>
        <w:t xml:space="preserve"> enquiries line, we also provide dedicated points of contact for prisoners, LGBTIQ+ people, and Aboriginal and Torres Strait Islander people. </w:t>
      </w:r>
    </w:p>
    <w:p w14:paraId="7591AECF" w14:textId="77777777" w:rsidR="00A52242" w:rsidRDefault="00A52242" w:rsidP="00EB1859">
      <w:r>
        <w:t xml:space="preserve">During specified hours two days per week our enquiry team is available to prisoners via the Prison Telephone System in correction centres. </w:t>
      </w:r>
      <w:bookmarkStart w:id="135" w:name="_Hlk142655832"/>
      <w:r>
        <w:t>In 2022-23 we received 168 enquiries through this service, a decrease from last year’s 259</w:t>
      </w:r>
      <w:bookmarkEnd w:id="135"/>
      <w:r>
        <w:t xml:space="preserve">. </w:t>
      </w:r>
    </w:p>
    <w:p w14:paraId="70EC230C" w14:textId="2A9934D8" w:rsidR="00A52242" w:rsidRPr="003E19E6" w:rsidRDefault="00A52242" w:rsidP="00EB1859">
      <w:r>
        <w:t>Outside our enquiries team, our LGBTIQ+ Liaison Officer and staff in our Aboriginal and Torres Strait Islander Unit are available for members of the community to contact directly for information and support. This year our LGBTIQ+ Liaison Officer handled 27 enquiries from the community and the Unit was contacted 116 times by Aboriginal and Torres Strait Islander community members (</w:t>
      </w:r>
      <w:r w:rsidR="00104F88">
        <w:t>slightly up on last year’s</w:t>
      </w:r>
      <w:r>
        <w:t xml:space="preserve"> 107).</w:t>
      </w:r>
      <w:r w:rsidRPr="003E19E6">
        <w:t xml:space="preserve"> </w:t>
      </w:r>
    </w:p>
    <w:p w14:paraId="4464E228" w14:textId="116BA5B6" w:rsidR="00A52242" w:rsidRDefault="00A52242" w:rsidP="00EB1859">
      <w:r>
        <w:br w:type="page"/>
      </w:r>
    </w:p>
    <w:p w14:paraId="7319D4BE" w14:textId="77777777" w:rsidR="00A52242" w:rsidRDefault="00A52242" w:rsidP="00CA5EBF">
      <w:pPr>
        <w:pStyle w:val="Heading1"/>
      </w:pPr>
      <w:bookmarkStart w:id="136" w:name="_Toc112424407"/>
      <w:bookmarkStart w:id="137" w:name="_Toc143678713"/>
      <w:bookmarkStart w:id="138" w:name="_Toc144200494"/>
      <w:r w:rsidRPr="00FE5CB7">
        <w:lastRenderedPageBreak/>
        <w:t>Education and training</w:t>
      </w:r>
      <w:bookmarkEnd w:id="136"/>
      <w:bookmarkEnd w:id="137"/>
      <w:bookmarkEnd w:id="138"/>
    </w:p>
    <w:p w14:paraId="41037F06" w14:textId="77777777" w:rsidR="00A52242" w:rsidRDefault="00A52242" w:rsidP="00EB1859">
      <w:r>
        <w:t>We d</w:t>
      </w:r>
      <w:r w:rsidRPr="00A21D7D">
        <w:t xml:space="preserve">eliver </w:t>
      </w:r>
      <w:r>
        <w:t>education and training</w:t>
      </w:r>
      <w:r w:rsidRPr="00A21D7D">
        <w:t xml:space="preserve"> to</w:t>
      </w:r>
      <w:r>
        <w:t xml:space="preserve"> businesses, government and the community to</w:t>
      </w:r>
      <w:r w:rsidRPr="00A21D7D">
        <w:t xml:space="preserve"> increase understanding </w:t>
      </w:r>
      <w:r>
        <w:t xml:space="preserve">of rights and responsibilities under the Anti-Discrimination Act and Human Rights Act. </w:t>
      </w:r>
    </w:p>
    <w:p w14:paraId="3E2CE8B7" w14:textId="77777777" w:rsidR="00A52242" w:rsidRDefault="00A52242" w:rsidP="00EB1859">
      <w:r>
        <w:t>We offer education and training through:</w:t>
      </w:r>
    </w:p>
    <w:p w14:paraId="5BE87EA8" w14:textId="77777777" w:rsidR="00A52242" w:rsidRPr="00AF0801" w:rsidRDefault="00A52242" w:rsidP="00EB1859">
      <w:pPr>
        <w:pStyle w:val="ListParagraph"/>
        <w:numPr>
          <w:ilvl w:val="0"/>
          <w:numId w:val="11"/>
        </w:numPr>
      </w:pPr>
      <w:r w:rsidRPr="00193A0D">
        <w:t>training sessions provided by one of our experienced trainers, either in person or vir</w:t>
      </w:r>
      <w:r w:rsidRPr="00AF0801">
        <w:t>tually via videoconference</w:t>
      </w:r>
    </w:p>
    <w:p w14:paraId="014FEC7F" w14:textId="77777777" w:rsidR="00A52242" w:rsidRPr="00A9775F" w:rsidRDefault="00A52242" w:rsidP="00EB1859">
      <w:pPr>
        <w:pStyle w:val="ListParagraph"/>
        <w:numPr>
          <w:ilvl w:val="0"/>
          <w:numId w:val="11"/>
        </w:numPr>
      </w:pPr>
      <w:r w:rsidRPr="00CC5EC8">
        <w:t xml:space="preserve">online learning via self-paced modules </w:t>
      </w:r>
    </w:p>
    <w:p w14:paraId="7230621B" w14:textId="77777777" w:rsidR="00A52242" w:rsidRPr="00A82284" w:rsidRDefault="00A52242" w:rsidP="00EB1859">
      <w:pPr>
        <w:pStyle w:val="ListParagraph"/>
        <w:numPr>
          <w:ilvl w:val="0"/>
          <w:numId w:val="11"/>
        </w:numPr>
        <w:rPr>
          <w:i/>
        </w:rPr>
      </w:pPr>
      <w:r w:rsidRPr="00A82284">
        <w:t>public webinars.</w:t>
      </w:r>
    </w:p>
    <w:p w14:paraId="453098D3" w14:textId="77777777" w:rsidR="00A52242" w:rsidRPr="00A82284" w:rsidRDefault="00A52242" w:rsidP="00EB1859">
      <w:r>
        <w:t>Education and training</w:t>
      </w:r>
      <w:r w:rsidRPr="00A21D7D">
        <w:t xml:space="preserve"> is provided by all four </w:t>
      </w:r>
      <w:r>
        <w:t>Commission</w:t>
      </w:r>
      <w:r w:rsidRPr="00A21D7D">
        <w:t xml:space="preserve"> offices in Brisbane, Rockhampton, Townsville and Cairns</w:t>
      </w:r>
      <w:r>
        <w:t>. Each</w:t>
      </w:r>
      <w:r w:rsidRPr="00A21D7D">
        <w:t xml:space="preserve"> office </w:t>
      </w:r>
      <w:r>
        <w:t xml:space="preserve">generally </w:t>
      </w:r>
      <w:r w:rsidRPr="00A21D7D">
        <w:t>servic</w:t>
      </w:r>
      <w:r>
        <w:t>es</w:t>
      </w:r>
      <w:r w:rsidRPr="00A21D7D">
        <w:t xml:space="preserve"> demand within their geographical region</w:t>
      </w:r>
      <w:r>
        <w:t>, although i</w:t>
      </w:r>
      <w:r w:rsidRPr="00A81A7C">
        <w:t xml:space="preserve">ncreased </w:t>
      </w:r>
      <w:r w:rsidRPr="009700B8">
        <w:t xml:space="preserve">requests </w:t>
      </w:r>
      <w:r w:rsidRPr="00E25A45">
        <w:t>for virtual training instead of face</w:t>
      </w:r>
      <w:r>
        <w:t>-</w:t>
      </w:r>
      <w:r w:rsidRPr="00E25A45">
        <w:t>to</w:t>
      </w:r>
      <w:r>
        <w:t>-</w:t>
      </w:r>
      <w:r w:rsidRPr="00E25A45">
        <w:t>face sessions has increased our capacity and flexibility to share the workload across the state.</w:t>
      </w:r>
    </w:p>
    <w:p w14:paraId="7463B522" w14:textId="77777777" w:rsidR="00A52242" w:rsidRDefault="00A52242" w:rsidP="00CA5EBF">
      <w:pPr>
        <w:pStyle w:val="Heading2"/>
      </w:pPr>
      <w:bookmarkStart w:id="139" w:name="_Toc112424408"/>
      <w:bookmarkStart w:id="140" w:name="_Toc143678197"/>
      <w:bookmarkStart w:id="141" w:name="_Toc143678714"/>
      <w:bookmarkStart w:id="142" w:name="_Toc144200495"/>
      <w:r>
        <w:t>Training</w:t>
      </w:r>
      <w:bookmarkEnd w:id="139"/>
      <w:bookmarkEnd w:id="140"/>
      <w:bookmarkEnd w:id="141"/>
      <w:bookmarkEnd w:id="142"/>
      <w:r>
        <w:t xml:space="preserve"> </w:t>
      </w:r>
    </w:p>
    <w:p w14:paraId="3028DB6E" w14:textId="77777777" w:rsidR="00A52242" w:rsidRDefault="00A52242" w:rsidP="00EB1859">
      <w:pPr>
        <w:rPr>
          <w:rFonts w:cs="Arial"/>
        </w:rPr>
      </w:pPr>
      <w:r>
        <w:t xml:space="preserve">We offer a range of training sessions to suit varying needs. They range from general introductory sessions to more focused training specific to participants’ roles or organisations. Training can be delivered directly to teams or workplaces, or via public training sessions open to anyone to register for. Our training is delivered by one of our experienced and qualified trainers, either in person or virtually via videoconference, and is highly interactive, incorporating real case studies and activities. </w:t>
      </w:r>
      <w:r>
        <w:rPr>
          <w:rFonts w:cs="Arial"/>
        </w:rPr>
        <w:t>T</w:t>
      </w:r>
      <w:r w:rsidRPr="00A21D7D">
        <w:rPr>
          <w:rFonts w:cs="Arial"/>
        </w:rPr>
        <w:t xml:space="preserve">raining is provided on a fee-for-service basis, with reduced rates </w:t>
      </w:r>
      <w:r>
        <w:rPr>
          <w:rFonts w:cs="Arial"/>
        </w:rPr>
        <w:t>available</w:t>
      </w:r>
      <w:r w:rsidRPr="00A21D7D">
        <w:rPr>
          <w:rFonts w:cs="Arial"/>
        </w:rPr>
        <w:t xml:space="preserve"> </w:t>
      </w:r>
      <w:r>
        <w:rPr>
          <w:rFonts w:cs="Arial"/>
        </w:rPr>
        <w:t>for</w:t>
      </w:r>
      <w:r w:rsidRPr="00A21D7D">
        <w:rPr>
          <w:rFonts w:cs="Arial"/>
        </w:rPr>
        <w:t xml:space="preserve"> small community organisati</w:t>
      </w:r>
      <w:r>
        <w:rPr>
          <w:rFonts w:cs="Arial"/>
        </w:rPr>
        <w:t>ons and groups that demonstrate</w:t>
      </w:r>
      <w:r w:rsidRPr="00A21D7D">
        <w:rPr>
          <w:rFonts w:cs="Arial"/>
        </w:rPr>
        <w:t xml:space="preserve"> limited capacity to pay.</w:t>
      </w:r>
    </w:p>
    <w:p w14:paraId="2A76CB07" w14:textId="6B886302" w:rsidR="00A52242" w:rsidRDefault="00A52242" w:rsidP="00EB1859">
      <w:pPr>
        <w:pStyle w:val="Keystatistics"/>
      </w:pPr>
      <w:r w:rsidRPr="00A21D7D">
        <w:t xml:space="preserve">Across the state we </w:t>
      </w:r>
      <w:r w:rsidRPr="003C4BD3">
        <w:t xml:space="preserve">delivered </w:t>
      </w:r>
      <w:r>
        <w:rPr>
          <w:sz w:val="36"/>
          <w:szCs w:val="36"/>
        </w:rPr>
        <w:t xml:space="preserve">275 </w:t>
      </w:r>
      <w:r w:rsidRPr="00A21D7D">
        <w:t xml:space="preserve">training sessions to approximately </w:t>
      </w:r>
      <w:r>
        <w:rPr>
          <w:sz w:val="36"/>
          <w:szCs w:val="36"/>
        </w:rPr>
        <w:t>4,341</w:t>
      </w:r>
      <w:r w:rsidRPr="00A21D7D">
        <w:t>people</w:t>
      </w:r>
      <w:r>
        <w:t xml:space="preserve"> </w:t>
      </w:r>
      <w:r w:rsidRPr="00A21D7D">
        <w:t>in 20</w:t>
      </w:r>
      <w:r>
        <w:t>22-23</w:t>
      </w:r>
      <w:r w:rsidRPr="00A21D7D">
        <w:t xml:space="preserve">. </w:t>
      </w:r>
    </w:p>
    <w:p w14:paraId="2A578AA2" w14:textId="77777777" w:rsidR="00A52242" w:rsidRPr="00227F82" w:rsidRDefault="00A52242" w:rsidP="00EB1859">
      <w:pPr>
        <w:rPr>
          <w:highlight w:val="yellow"/>
        </w:rPr>
      </w:pPr>
      <w:r w:rsidRPr="00DF3D38">
        <w:t>In 2022</w:t>
      </w:r>
      <w:r>
        <w:t>-23</w:t>
      </w:r>
      <w:r w:rsidRPr="00DF3D38">
        <w:t xml:space="preserve"> we delivered </w:t>
      </w:r>
      <w:r>
        <w:t>275</w:t>
      </w:r>
      <w:r w:rsidRPr="00DF3D38">
        <w:t xml:space="preserve"> sessions to approximately </w:t>
      </w:r>
      <w:r>
        <w:t xml:space="preserve">4,341 </w:t>
      </w:r>
      <w:r w:rsidRPr="00DF3D38">
        <w:t>participants</w:t>
      </w:r>
      <w:r>
        <w:t>, up from 226 sessions to 3,482 participants the previous year</w:t>
      </w:r>
      <w:r w:rsidRPr="00DF3D38">
        <w:t>. As a result of continued strong demand for trainin</w:t>
      </w:r>
      <w:r>
        <w:t>g</w:t>
      </w:r>
      <w:r w:rsidRPr="00DF3D38">
        <w:t>, our 202</w:t>
      </w:r>
      <w:r>
        <w:t>2-23</w:t>
      </w:r>
      <w:r w:rsidRPr="00DF3D38">
        <w:t xml:space="preserve"> training revenue reached</w:t>
      </w:r>
      <w:r>
        <w:t xml:space="preserve"> </w:t>
      </w:r>
      <w:r w:rsidRPr="001E7055">
        <w:t xml:space="preserve">$262,503.29, exceeding the annual </w:t>
      </w:r>
      <w:r>
        <w:t>budget</w:t>
      </w:r>
      <w:r w:rsidRPr="001E7055">
        <w:t xml:space="preserve"> by approximately </w:t>
      </w:r>
      <w:r>
        <w:t>$50,000</w:t>
      </w:r>
      <w:r w:rsidRPr="001E7055">
        <w:t>.</w:t>
      </w:r>
    </w:p>
    <w:p w14:paraId="7B6E4070" w14:textId="77777777" w:rsidR="00A52242" w:rsidRPr="00680422" w:rsidRDefault="00A52242" w:rsidP="00EB1859">
      <w:pPr>
        <w:pStyle w:val="Keystatistics"/>
        <w:rPr>
          <w:lang w:val="en-GB"/>
        </w:rPr>
      </w:pPr>
      <w:r>
        <w:rPr>
          <w:lang w:val="en-GB"/>
        </w:rPr>
        <w:t>“</w:t>
      </w:r>
      <w:r w:rsidRPr="00680422">
        <w:rPr>
          <w:lang w:val="en-GB"/>
        </w:rPr>
        <w:t>Course materials and scenarios are targeted and helpful</w:t>
      </w:r>
      <w:r>
        <w:rPr>
          <w:lang w:val="en-GB"/>
        </w:rPr>
        <w:t xml:space="preserve">”- training participant </w:t>
      </w:r>
    </w:p>
    <w:p w14:paraId="43DDCFB7" w14:textId="77777777" w:rsidR="008540FE" w:rsidRDefault="008540FE" w:rsidP="00EB1859">
      <w:pPr>
        <w:pStyle w:val="Caption"/>
      </w:pPr>
    </w:p>
    <w:p w14:paraId="4FAB15DA" w14:textId="14B6CCDC" w:rsidR="00A52242" w:rsidRPr="00FC6699" w:rsidRDefault="00A52242" w:rsidP="00EB1859">
      <w:pPr>
        <w:pStyle w:val="Caption"/>
      </w:pPr>
      <w:r w:rsidRPr="0045695B">
        <w:lastRenderedPageBreak/>
        <w:t xml:space="preserve">Table </w:t>
      </w:r>
      <w:r w:rsidRPr="00E9526A">
        <w:t>3:</w:t>
      </w:r>
      <w:r w:rsidRPr="0045695B">
        <w:t xml:space="preserve"> Delivery of training sessions by sector</w:t>
      </w:r>
    </w:p>
    <w:tbl>
      <w:tblPr>
        <w:tblW w:w="0" w:type="auto"/>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1E0" w:firstRow="1" w:lastRow="1" w:firstColumn="1" w:lastColumn="1" w:noHBand="0" w:noVBand="0"/>
      </w:tblPr>
      <w:tblGrid>
        <w:gridCol w:w="2547"/>
        <w:gridCol w:w="1843"/>
        <w:gridCol w:w="1984"/>
      </w:tblGrid>
      <w:tr w:rsidR="00A52242" w:rsidRPr="00A21D7D" w14:paraId="64C1976A" w14:textId="77777777" w:rsidTr="00F541AA">
        <w:trPr>
          <w:trHeight w:val="438"/>
        </w:trPr>
        <w:tc>
          <w:tcPr>
            <w:tcW w:w="2547" w:type="dxa"/>
          </w:tcPr>
          <w:p w14:paraId="71722E20" w14:textId="77777777" w:rsidR="00A52242" w:rsidRPr="00A21D7D" w:rsidRDefault="00A52242" w:rsidP="00EB1859">
            <w:pPr>
              <w:pStyle w:val="TableTextHeading"/>
            </w:pPr>
          </w:p>
        </w:tc>
        <w:tc>
          <w:tcPr>
            <w:tcW w:w="1843" w:type="dxa"/>
          </w:tcPr>
          <w:p w14:paraId="44606AF9" w14:textId="77777777" w:rsidR="00A52242" w:rsidRPr="00A21D7D" w:rsidRDefault="00A52242" w:rsidP="00EB1859">
            <w:pPr>
              <w:pStyle w:val="TableTextHeading"/>
            </w:pPr>
            <w:r>
              <w:t>No. of sessions 2022-23</w:t>
            </w:r>
          </w:p>
        </w:tc>
        <w:tc>
          <w:tcPr>
            <w:tcW w:w="1984" w:type="dxa"/>
          </w:tcPr>
          <w:p w14:paraId="41F4BB48" w14:textId="77777777" w:rsidR="00A52242" w:rsidRDefault="00A52242" w:rsidP="00EB1859">
            <w:pPr>
              <w:pStyle w:val="TableTextHeading"/>
            </w:pPr>
            <w:r>
              <w:t>No. of sessions 2021-22</w:t>
            </w:r>
          </w:p>
        </w:tc>
      </w:tr>
      <w:tr w:rsidR="00A52242" w:rsidRPr="00354795" w14:paraId="12F38CBB" w14:textId="77777777" w:rsidTr="00F541AA">
        <w:trPr>
          <w:trHeight w:val="690"/>
        </w:trPr>
        <w:tc>
          <w:tcPr>
            <w:tcW w:w="2547" w:type="dxa"/>
          </w:tcPr>
          <w:p w14:paraId="71DAAAAD" w14:textId="77777777" w:rsidR="00A52242" w:rsidRPr="00354795" w:rsidRDefault="00A52242" w:rsidP="00EB1859">
            <w:pPr>
              <w:pStyle w:val="TableTextBody"/>
            </w:pPr>
            <w:r w:rsidRPr="00354795">
              <w:t>Private sector</w:t>
            </w:r>
          </w:p>
        </w:tc>
        <w:tc>
          <w:tcPr>
            <w:tcW w:w="1843" w:type="dxa"/>
          </w:tcPr>
          <w:p w14:paraId="6CD2A1A3" w14:textId="77777777" w:rsidR="00A52242" w:rsidRPr="00CA2129" w:rsidRDefault="00A52242" w:rsidP="00EB1859">
            <w:pPr>
              <w:pStyle w:val="TableTextBody"/>
            </w:pPr>
            <w:r w:rsidRPr="00CA2129">
              <w:t>89</w:t>
            </w:r>
          </w:p>
        </w:tc>
        <w:tc>
          <w:tcPr>
            <w:tcW w:w="1984" w:type="dxa"/>
          </w:tcPr>
          <w:p w14:paraId="678FCE8B" w14:textId="77777777" w:rsidR="00A52242" w:rsidRPr="00CA2129" w:rsidRDefault="00A52242" w:rsidP="00EB1859">
            <w:pPr>
              <w:pStyle w:val="TableTextBody"/>
            </w:pPr>
            <w:r>
              <w:t>72</w:t>
            </w:r>
          </w:p>
        </w:tc>
      </w:tr>
      <w:tr w:rsidR="00A52242" w:rsidRPr="00354795" w14:paraId="3F802C3D" w14:textId="77777777" w:rsidTr="00F541AA">
        <w:trPr>
          <w:trHeight w:val="397"/>
        </w:trPr>
        <w:tc>
          <w:tcPr>
            <w:tcW w:w="2547" w:type="dxa"/>
          </w:tcPr>
          <w:p w14:paraId="246A9A6E" w14:textId="77777777" w:rsidR="00A52242" w:rsidRPr="00354795" w:rsidRDefault="00A52242" w:rsidP="00EB1859">
            <w:pPr>
              <w:pStyle w:val="TableTextBody"/>
            </w:pPr>
            <w:r w:rsidRPr="00354795">
              <w:t>Public sector</w:t>
            </w:r>
          </w:p>
        </w:tc>
        <w:tc>
          <w:tcPr>
            <w:tcW w:w="1843" w:type="dxa"/>
          </w:tcPr>
          <w:p w14:paraId="28B34627" w14:textId="77777777" w:rsidR="00A52242" w:rsidRPr="00CA2129" w:rsidRDefault="00A52242" w:rsidP="00EB1859">
            <w:pPr>
              <w:pStyle w:val="TableTextBody"/>
            </w:pPr>
            <w:r w:rsidRPr="00CA2129">
              <w:t>125</w:t>
            </w:r>
          </w:p>
        </w:tc>
        <w:tc>
          <w:tcPr>
            <w:tcW w:w="1984" w:type="dxa"/>
          </w:tcPr>
          <w:p w14:paraId="009717FE" w14:textId="77777777" w:rsidR="00A52242" w:rsidRPr="00CA2129" w:rsidRDefault="00A52242" w:rsidP="00EB1859">
            <w:pPr>
              <w:pStyle w:val="TableTextBody"/>
            </w:pPr>
            <w:r>
              <w:t>96</w:t>
            </w:r>
          </w:p>
        </w:tc>
      </w:tr>
      <w:tr w:rsidR="00A52242" w:rsidRPr="00354795" w14:paraId="4D796124" w14:textId="77777777" w:rsidTr="00F541AA">
        <w:trPr>
          <w:trHeight w:val="397"/>
        </w:trPr>
        <w:tc>
          <w:tcPr>
            <w:tcW w:w="2547" w:type="dxa"/>
          </w:tcPr>
          <w:p w14:paraId="332DE625" w14:textId="77777777" w:rsidR="00A52242" w:rsidRPr="00354795" w:rsidRDefault="00A52242" w:rsidP="00EB1859">
            <w:pPr>
              <w:pStyle w:val="TableTextBody"/>
            </w:pPr>
            <w:r w:rsidRPr="00354795">
              <w:t>Community</w:t>
            </w:r>
          </w:p>
        </w:tc>
        <w:tc>
          <w:tcPr>
            <w:tcW w:w="1843" w:type="dxa"/>
          </w:tcPr>
          <w:p w14:paraId="02E2F169" w14:textId="77777777" w:rsidR="00A52242" w:rsidRPr="00CA2129" w:rsidRDefault="00A52242" w:rsidP="00EB1859">
            <w:pPr>
              <w:pStyle w:val="TableTextBody"/>
            </w:pPr>
            <w:r w:rsidRPr="00CA2129">
              <w:t>31</w:t>
            </w:r>
          </w:p>
        </w:tc>
        <w:tc>
          <w:tcPr>
            <w:tcW w:w="1984" w:type="dxa"/>
          </w:tcPr>
          <w:p w14:paraId="5754060F" w14:textId="77777777" w:rsidR="00A52242" w:rsidRPr="00CA2129" w:rsidRDefault="00A52242" w:rsidP="00EB1859">
            <w:pPr>
              <w:pStyle w:val="TableTextBody"/>
            </w:pPr>
            <w:r>
              <w:t>24</w:t>
            </w:r>
          </w:p>
        </w:tc>
      </w:tr>
      <w:tr w:rsidR="00A52242" w:rsidRPr="00354795" w14:paraId="0D8CB4AB" w14:textId="77777777" w:rsidTr="00F541AA">
        <w:trPr>
          <w:trHeight w:val="397"/>
        </w:trPr>
        <w:tc>
          <w:tcPr>
            <w:tcW w:w="2547" w:type="dxa"/>
          </w:tcPr>
          <w:p w14:paraId="44907DF1" w14:textId="77777777" w:rsidR="00A52242" w:rsidRPr="00354795" w:rsidRDefault="00A52242" w:rsidP="00EB1859">
            <w:pPr>
              <w:pStyle w:val="TableTextBody"/>
            </w:pPr>
            <w:r w:rsidRPr="00354795">
              <w:t>In-house</w:t>
            </w:r>
            <w:r>
              <w:t>*</w:t>
            </w:r>
          </w:p>
        </w:tc>
        <w:tc>
          <w:tcPr>
            <w:tcW w:w="1843" w:type="dxa"/>
          </w:tcPr>
          <w:p w14:paraId="763C548C" w14:textId="77777777" w:rsidR="00A52242" w:rsidRPr="00CA2129" w:rsidRDefault="00A52242" w:rsidP="00EB1859">
            <w:pPr>
              <w:pStyle w:val="TableTextBody"/>
            </w:pPr>
            <w:r w:rsidRPr="00CA2129">
              <w:t>30</w:t>
            </w:r>
          </w:p>
        </w:tc>
        <w:tc>
          <w:tcPr>
            <w:tcW w:w="1984" w:type="dxa"/>
          </w:tcPr>
          <w:p w14:paraId="03848270" w14:textId="77777777" w:rsidR="00A52242" w:rsidRPr="00CA2129" w:rsidRDefault="00A52242" w:rsidP="00EB1859">
            <w:pPr>
              <w:pStyle w:val="TableTextBody"/>
            </w:pPr>
            <w:r>
              <w:t>34</w:t>
            </w:r>
          </w:p>
        </w:tc>
      </w:tr>
      <w:tr w:rsidR="00A52242" w:rsidRPr="00354795" w14:paraId="132F199C" w14:textId="77777777" w:rsidTr="00F541AA">
        <w:trPr>
          <w:trHeight w:val="397"/>
        </w:trPr>
        <w:tc>
          <w:tcPr>
            <w:tcW w:w="2547" w:type="dxa"/>
          </w:tcPr>
          <w:p w14:paraId="69FBBD84" w14:textId="77777777" w:rsidR="00A52242" w:rsidRPr="00354795" w:rsidRDefault="00A52242" w:rsidP="00EB1859">
            <w:pPr>
              <w:pStyle w:val="TableTextBody"/>
            </w:pPr>
            <w:r w:rsidRPr="00354795">
              <w:t>Total</w:t>
            </w:r>
          </w:p>
        </w:tc>
        <w:tc>
          <w:tcPr>
            <w:tcW w:w="1843" w:type="dxa"/>
          </w:tcPr>
          <w:p w14:paraId="79A25009" w14:textId="77777777" w:rsidR="00A52242" w:rsidRPr="0045695B" w:rsidRDefault="00A52242" w:rsidP="00EB1859">
            <w:pPr>
              <w:pStyle w:val="TableTextBody"/>
            </w:pPr>
            <w:r w:rsidRPr="0045695B">
              <w:t>275</w:t>
            </w:r>
          </w:p>
        </w:tc>
        <w:tc>
          <w:tcPr>
            <w:tcW w:w="1984" w:type="dxa"/>
          </w:tcPr>
          <w:p w14:paraId="62E5565D" w14:textId="77777777" w:rsidR="00A52242" w:rsidRPr="0045695B" w:rsidRDefault="00A52242" w:rsidP="00EB1859">
            <w:pPr>
              <w:pStyle w:val="TableTextBody"/>
            </w:pPr>
            <w:r>
              <w:t>226</w:t>
            </w:r>
          </w:p>
        </w:tc>
      </w:tr>
    </w:tbl>
    <w:p w14:paraId="10F637C3" w14:textId="77777777" w:rsidR="00A52242" w:rsidRPr="00703F5F" w:rsidRDefault="00A52242" w:rsidP="00CA5EBF">
      <w:pPr>
        <w:pStyle w:val="Note"/>
        <w:ind w:right="2222"/>
      </w:pPr>
      <w:r w:rsidRPr="00703F5F">
        <w:t>*In-house training refers to publicly available sessions that individuals can register to attend</w:t>
      </w:r>
    </w:p>
    <w:p w14:paraId="23F01AA7" w14:textId="77777777" w:rsidR="00CA5EBF" w:rsidRDefault="00CA5EBF" w:rsidP="00104F88"/>
    <w:p w14:paraId="50C5EF42" w14:textId="1CF2A6A7" w:rsidR="00A52242" w:rsidRPr="008D3A7B" w:rsidRDefault="00A52242" w:rsidP="00104F88">
      <w:r w:rsidRPr="008D3A7B">
        <w:t xml:space="preserve">Our face-to-face </w:t>
      </w:r>
      <w:r w:rsidRPr="00706CF4">
        <w:t>training was delivered in a broad range of locations this year including</w:t>
      </w:r>
      <w:r>
        <w:t xml:space="preserve"> </w:t>
      </w:r>
      <w:r w:rsidRPr="006047F1">
        <w:t>Clermont, Dalby,</w:t>
      </w:r>
      <w:r>
        <w:t xml:space="preserve"> </w:t>
      </w:r>
      <w:r w:rsidRPr="006047F1">
        <w:t>Sunshine Coast, Bowen, Toowoomba, Townsville, Bowen</w:t>
      </w:r>
      <w:r>
        <w:t xml:space="preserve">, </w:t>
      </w:r>
      <w:r w:rsidRPr="006047F1">
        <w:t>Rockhampton, Ipswich, Cairns,</w:t>
      </w:r>
      <w:r>
        <w:t xml:space="preserve"> and</w:t>
      </w:r>
      <w:r w:rsidRPr="006047F1">
        <w:t xml:space="preserve"> Maryborough</w:t>
      </w:r>
      <w:r>
        <w:t>.</w:t>
      </w:r>
      <w:r w:rsidRPr="006047F1">
        <w:t xml:space="preserve"> </w:t>
      </w:r>
    </w:p>
    <w:p w14:paraId="54789263" w14:textId="672DE67B" w:rsidR="00A52242" w:rsidRDefault="00A52242" w:rsidP="00EB1859">
      <w:r>
        <w:t>Our standard training courses on the Human Rights and Anti-Discrimination Acts have remained popular, as well as contact officer and unconscious bias training. Our standalone s</w:t>
      </w:r>
      <w:r w:rsidRPr="006152B4">
        <w:t xml:space="preserve">exual harassment </w:t>
      </w:r>
      <w:r>
        <w:t>session,</w:t>
      </w:r>
      <w:r w:rsidRPr="006152B4">
        <w:t xml:space="preserve"> </w:t>
      </w:r>
      <w:r w:rsidRPr="00DE1901">
        <w:rPr>
          <w:i/>
          <w:iCs/>
        </w:rPr>
        <w:t>Recognising and responding to sexual harassment in the workplace</w:t>
      </w:r>
      <w:r>
        <w:t>, has seen high demand again this year, particularly from the private sector.</w:t>
      </w:r>
    </w:p>
    <w:p w14:paraId="66EFE4E8" w14:textId="77777777" w:rsidR="00CA5EBF" w:rsidRDefault="00CA5EBF" w:rsidP="00EB1859"/>
    <w:p w14:paraId="3094D0E2" w14:textId="77777777" w:rsidR="00A52242" w:rsidRPr="00354795" w:rsidRDefault="00A52242" w:rsidP="00EB1859">
      <w:pPr>
        <w:pStyle w:val="Caption"/>
      </w:pPr>
      <w:r w:rsidRPr="00E9526A">
        <w:t>Table 4:</w:t>
      </w:r>
      <w:r w:rsidRPr="005468D1">
        <w:t xml:space="preserve"> Training sessions delivered by topic, 2022-23</w:t>
      </w:r>
    </w:p>
    <w:tbl>
      <w:tblPr>
        <w:tblW w:w="6374"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ayout w:type="fixed"/>
        <w:tblLook w:val="01E0" w:firstRow="1" w:lastRow="1" w:firstColumn="1" w:lastColumn="1" w:noHBand="0" w:noVBand="0"/>
      </w:tblPr>
      <w:tblGrid>
        <w:gridCol w:w="5240"/>
        <w:gridCol w:w="1134"/>
      </w:tblGrid>
      <w:tr w:rsidR="00A52242" w:rsidRPr="00354795" w14:paraId="3ED84B13" w14:textId="77777777" w:rsidTr="00F541AA">
        <w:trPr>
          <w:trHeight w:val="497"/>
        </w:trPr>
        <w:tc>
          <w:tcPr>
            <w:tcW w:w="5240" w:type="dxa"/>
          </w:tcPr>
          <w:p w14:paraId="581E3DAD" w14:textId="77777777" w:rsidR="00A52242" w:rsidRPr="00354795" w:rsidRDefault="00A52242" w:rsidP="00EB1859">
            <w:pPr>
              <w:pStyle w:val="TableTextHeading"/>
            </w:pPr>
            <w:r w:rsidRPr="00354795">
              <w:t>Course</w:t>
            </w:r>
          </w:p>
        </w:tc>
        <w:tc>
          <w:tcPr>
            <w:tcW w:w="1134" w:type="dxa"/>
          </w:tcPr>
          <w:p w14:paraId="1B30EBF1" w14:textId="77777777" w:rsidR="00A52242" w:rsidRPr="00354795" w:rsidRDefault="00A52242" w:rsidP="00EB1859">
            <w:pPr>
              <w:pStyle w:val="TableTextHeading"/>
            </w:pPr>
            <w:r>
              <w:t>Sessions delivered</w:t>
            </w:r>
          </w:p>
        </w:tc>
      </w:tr>
      <w:tr w:rsidR="00A52242" w:rsidRPr="00354795" w14:paraId="064DBCF0" w14:textId="77777777" w:rsidTr="00F541AA">
        <w:tc>
          <w:tcPr>
            <w:tcW w:w="5240" w:type="dxa"/>
          </w:tcPr>
          <w:p w14:paraId="0AC4FF88" w14:textId="77777777" w:rsidR="00A52242" w:rsidRPr="00354795" w:rsidRDefault="00A52242" w:rsidP="00EB1859">
            <w:pPr>
              <w:pStyle w:val="TableTextBody"/>
            </w:pPr>
            <w:r w:rsidRPr="00354795">
              <w:t>Introduction to the Anti-Discrimination Act</w:t>
            </w:r>
          </w:p>
        </w:tc>
        <w:tc>
          <w:tcPr>
            <w:tcW w:w="1134" w:type="dxa"/>
          </w:tcPr>
          <w:p w14:paraId="428BBFE6" w14:textId="77777777" w:rsidR="00A52242" w:rsidRPr="00DE1B4C" w:rsidRDefault="00A52242" w:rsidP="00EB1859">
            <w:pPr>
              <w:pStyle w:val="TableTextBody"/>
            </w:pPr>
            <w:r w:rsidRPr="00D74B9B">
              <w:t>58</w:t>
            </w:r>
          </w:p>
        </w:tc>
      </w:tr>
      <w:tr w:rsidR="00A52242" w:rsidRPr="00354795" w14:paraId="0DDB60C4" w14:textId="77777777" w:rsidTr="00F541AA">
        <w:tc>
          <w:tcPr>
            <w:tcW w:w="5240" w:type="dxa"/>
          </w:tcPr>
          <w:p w14:paraId="6F56099E" w14:textId="77777777" w:rsidR="00A52242" w:rsidRPr="00354795" w:rsidRDefault="00A52242" w:rsidP="00EB1859">
            <w:pPr>
              <w:pStyle w:val="TableTextBody"/>
            </w:pPr>
            <w:r w:rsidRPr="00354795">
              <w:t>Introduction to the Human Rights Act</w:t>
            </w:r>
          </w:p>
        </w:tc>
        <w:tc>
          <w:tcPr>
            <w:tcW w:w="1134" w:type="dxa"/>
          </w:tcPr>
          <w:p w14:paraId="52BBE8B6" w14:textId="77777777" w:rsidR="00A52242" w:rsidRPr="00D74B9B" w:rsidRDefault="00A52242" w:rsidP="00EB1859">
            <w:pPr>
              <w:pStyle w:val="TableTextBody"/>
            </w:pPr>
            <w:r w:rsidRPr="00D74B9B">
              <w:t>56</w:t>
            </w:r>
          </w:p>
        </w:tc>
      </w:tr>
      <w:tr w:rsidR="00A52242" w:rsidRPr="00354795" w14:paraId="72FE97EB" w14:textId="77777777" w:rsidTr="00F541AA">
        <w:tc>
          <w:tcPr>
            <w:tcW w:w="5240" w:type="dxa"/>
          </w:tcPr>
          <w:p w14:paraId="341C0018" w14:textId="77777777" w:rsidR="00A52242" w:rsidRPr="00354795" w:rsidRDefault="00A52242" w:rsidP="00EB1859">
            <w:pPr>
              <w:pStyle w:val="TableTextBody"/>
            </w:pPr>
            <w:r>
              <w:t>Sexual harassment – recognising and responding</w:t>
            </w:r>
          </w:p>
        </w:tc>
        <w:tc>
          <w:tcPr>
            <w:tcW w:w="1134" w:type="dxa"/>
          </w:tcPr>
          <w:p w14:paraId="313C57BC" w14:textId="77777777" w:rsidR="00A52242" w:rsidRPr="00D74B9B" w:rsidRDefault="00A52242" w:rsidP="00EB1859">
            <w:pPr>
              <w:pStyle w:val="TableTextBody"/>
            </w:pPr>
            <w:r w:rsidRPr="00D74B9B">
              <w:t>38</w:t>
            </w:r>
          </w:p>
        </w:tc>
      </w:tr>
      <w:tr w:rsidR="00A52242" w:rsidRPr="00354795" w14:paraId="613B1036" w14:textId="77777777" w:rsidTr="00F541AA">
        <w:tc>
          <w:tcPr>
            <w:tcW w:w="5240" w:type="dxa"/>
          </w:tcPr>
          <w:p w14:paraId="2C16FD4C" w14:textId="77777777" w:rsidR="00A52242" w:rsidRPr="00354795" w:rsidRDefault="00A52242" w:rsidP="00EB1859">
            <w:pPr>
              <w:pStyle w:val="TableTextBody"/>
            </w:pPr>
            <w:r w:rsidRPr="00354795">
              <w:t xml:space="preserve">Unconscious bias </w:t>
            </w:r>
          </w:p>
        </w:tc>
        <w:tc>
          <w:tcPr>
            <w:tcW w:w="1134" w:type="dxa"/>
          </w:tcPr>
          <w:p w14:paraId="090007E2" w14:textId="77777777" w:rsidR="00A52242" w:rsidRPr="00D74B9B" w:rsidRDefault="00A52242" w:rsidP="00EB1859">
            <w:pPr>
              <w:pStyle w:val="TableTextBody"/>
            </w:pPr>
            <w:r w:rsidRPr="00D74B9B">
              <w:t>35</w:t>
            </w:r>
          </w:p>
        </w:tc>
      </w:tr>
      <w:tr w:rsidR="00A52242" w:rsidRPr="00354795" w14:paraId="4874B909" w14:textId="77777777" w:rsidTr="00F541AA">
        <w:tc>
          <w:tcPr>
            <w:tcW w:w="5240" w:type="dxa"/>
          </w:tcPr>
          <w:p w14:paraId="31E9E0C7" w14:textId="77777777" w:rsidR="00A52242" w:rsidRPr="00354795" w:rsidRDefault="00A52242" w:rsidP="00EB1859">
            <w:pPr>
              <w:pStyle w:val="TableTextBody"/>
            </w:pPr>
            <w:r w:rsidRPr="00354795">
              <w:t xml:space="preserve">Contact </w:t>
            </w:r>
            <w:r>
              <w:t>o</w:t>
            </w:r>
            <w:r w:rsidRPr="00354795">
              <w:t xml:space="preserve">fficer </w:t>
            </w:r>
          </w:p>
        </w:tc>
        <w:tc>
          <w:tcPr>
            <w:tcW w:w="1134" w:type="dxa"/>
          </w:tcPr>
          <w:p w14:paraId="7461011D" w14:textId="77777777" w:rsidR="00A52242" w:rsidRPr="00D74B9B" w:rsidRDefault="00A52242" w:rsidP="00EB1859">
            <w:pPr>
              <w:pStyle w:val="TableTextBody"/>
            </w:pPr>
            <w:r w:rsidRPr="00D74B9B">
              <w:t>29</w:t>
            </w:r>
          </w:p>
        </w:tc>
      </w:tr>
      <w:tr w:rsidR="00A52242" w:rsidRPr="007F2834" w14:paraId="149BA31B" w14:textId="77777777" w:rsidTr="00F541AA">
        <w:tc>
          <w:tcPr>
            <w:tcW w:w="5240" w:type="dxa"/>
          </w:tcPr>
          <w:p w14:paraId="40EB5FB8" w14:textId="77777777" w:rsidR="00A52242" w:rsidRPr="00354795" w:rsidRDefault="00A52242" w:rsidP="00EB1859">
            <w:pPr>
              <w:pStyle w:val="TableTextBody"/>
            </w:pPr>
            <w:r w:rsidRPr="00354795">
              <w:t xml:space="preserve">Anti-Discrimination Act for </w:t>
            </w:r>
            <w:r>
              <w:t>m</w:t>
            </w:r>
            <w:r w:rsidRPr="00354795">
              <w:t xml:space="preserve">anagers </w:t>
            </w:r>
          </w:p>
        </w:tc>
        <w:tc>
          <w:tcPr>
            <w:tcW w:w="1134" w:type="dxa"/>
          </w:tcPr>
          <w:p w14:paraId="20C3DA55" w14:textId="77777777" w:rsidR="00A52242" w:rsidRPr="00DE1B4C" w:rsidRDefault="00A52242" w:rsidP="00EB1859">
            <w:pPr>
              <w:pStyle w:val="TableTextBody"/>
            </w:pPr>
            <w:r w:rsidRPr="00D74B9B">
              <w:t>22</w:t>
            </w:r>
          </w:p>
        </w:tc>
      </w:tr>
      <w:tr w:rsidR="00A52242" w:rsidRPr="007F2834" w14:paraId="0A0AA169" w14:textId="77777777" w:rsidTr="00F541AA">
        <w:tc>
          <w:tcPr>
            <w:tcW w:w="5240" w:type="dxa"/>
          </w:tcPr>
          <w:p w14:paraId="31CD0D70" w14:textId="77777777" w:rsidR="00A52242" w:rsidRPr="00354795" w:rsidRDefault="00A52242" w:rsidP="00EB1859">
            <w:pPr>
              <w:pStyle w:val="TableTextBody"/>
            </w:pPr>
            <w:r w:rsidRPr="00354795">
              <w:t>Gender identity and discrimination</w:t>
            </w:r>
          </w:p>
        </w:tc>
        <w:tc>
          <w:tcPr>
            <w:tcW w:w="1134" w:type="dxa"/>
          </w:tcPr>
          <w:p w14:paraId="2289583B" w14:textId="77777777" w:rsidR="00A52242" w:rsidRPr="00D74B9B" w:rsidRDefault="00A52242" w:rsidP="00EB1859">
            <w:pPr>
              <w:pStyle w:val="TableTextBody"/>
            </w:pPr>
            <w:r w:rsidRPr="00D74B9B">
              <w:t>11</w:t>
            </w:r>
          </w:p>
        </w:tc>
      </w:tr>
      <w:tr w:rsidR="00A52242" w:rsidRPr="00354795" w14:paraId="4F0654AD" w14:textId="77777777" w:rsidTr="00F541AA">
        <w:tc>
          <w:tcPr>
            <w:tcW w:w="5240" w:type="dxa"/>
          </w:tcPr>
          <w:p w14:paraId="54DEE1AE" w14:textId="77777777" w:rsidR="00A52242" w:rsidRPr="00354795" w:rsidRDefault="00A52242" w:rsidP="00EB1859">
            <w:pPr>
              <w:pStyle w:val="TableTextBody"/>
            </w:pPr>
            <w:r>
              <w:t>Human Rights Act for community advocates</w:t>
            </w:r>
          </w:p>
        </w:tc>
        <w:tc>
          <w:tcPr>
            <w:tcW w:w="1134" w:type="dxa"/>
          </w:tcPr>
          <w:p w14:paraId="0584B452" w14:textId="77777777" w:rsidR="00A52242" w:rsidRPr="00DE1B4C" w:rsidRDefault="00A52242" w:rsidP="00EB1859">
            <w:pPr>
              <w:pStyle w:val="TableTextBody"/>
            </w:pPr>
            <w:r w:rsidRPr="00D74B9B">
              <w:t>10</w:t>
            </w:r>
          </w:p>
        </w:tc>
      </w:tr>
      <w:tr w:rsidR="00A52242" w:rsidRPr="00354795" w14:paraId="0E419FDE" w14:textId="77777777" w:rsidTr="00F541AA">
        <w:tc>
          <w:tcPr>
            <w:tcW w:w="5240" w:type="dxa"/>
          </w:tcPr>
          <w:p w14:paraId="40EB551A" w14:textId="77777777" w:rsidR="00A52242" w:rsidRDefault="00A52242" w:rsidP="00EB1859">
            <w:pPr>
              <w:pStyle w:val="TableTextBody"/>
            </w:pPr>
            <w:r w:rsidRPr="00354795">
              <w:t>Tailored training</w:t>
            </w:r>
          </w:p>
        </w:tc>
        <w:tc>
          <w:tcPr>
            <w:tcW w:w="1134" w:type="dxa"/>
          </w:tcPr>
          <w:p w14:paraId="1F2CA1A3" w14:textId="77777777" w:rsidR="00A52242" w:rsidRPr="00D74B9B" w:rsidRDefault="00A52242" w:rsidP="00EB1859">
            <w:pPr>
              <w:pStyle w:val="TableTextBody"/>
            </w:pPr>
            <w:r w:rsidRPr="00D74B9B">
              <w:t>10</w:t>
            </w:r>
          </w:p>
        </w:tc>
      </w:tr>
      <w:tr w:rsidR="00A52242" w:rsidRPr="00354795" w14:paraId="052FADF1" w14:textId="77777777" w:rsidTr="00F541AA">
        <w:tc>
          <w:tcPr>
            <w:tcW w:w="5240" w:type="dxa"/>
          </w:tcPr>
          <w:p w14:paraId="069EBD3A" w14:textId="77777777" w:rsidR="00A52242" w:rsidRPr="00354795" w:rsidRDefault="00A52242" w:rsidP="00EB1859">
            <w:pPr>
              <w:pStyle w:val="TableTextBody"/>
            </w:pPr>
            <w:r>
              <w:t>Human Rights Act for legal advocates</w:t>
            </w:r>
          </w:p>
        </w:tc>
        <w:tc>
          <w:tcPr>
            <w:tcW w:w="1134" w:type="dxa"/>
          </w:tcPr>
          <w:p w14:paraId="12CE08AE" w14:textId="77777777" w:rsidR="00A52242" w:rsidRPr="00DE1B4C" w:rsidRDefault="00A52242" w:rsidP="00EB1859">
            <w:pPr>
              <w:pStyle w:val="TableTextBody"/>
            </w:pPr>
            <w:r w:rsidRPr="00D74B9B">
              <w:t>3</w:t>
            </w:r>
          </w:p>
        </w:tc>
      </w:tr>
      <w:tr w:rsidR="00A52242" w:rsidRPr="00354795" w14:paraId="4AAA0302" w14:textId="77777777" w:rsidTr="00F541AA">
        <w:tc>
          <w:tcPr>
            <w:tcW w:w="5240" w:type="dxa"/>
          </w:tcPr>
          <w:p w14:paraId="1130A8E8" w14:textId="77777777" w:rsidR="00A52242" w:rsidRDefault="00A52242" w:rsidP="00EB1859">
            <w:pPr>
              <w:pStyle w:val="TableTextBody"/>
            </w:pPr>
            <w:r w:rsidRPr="00354795">
              <w:t>Business benefits of diverse &amp; inclusive workplaces</w:t>
            </w:r>
          </w:p>
        </w:tc>
        <w:tc>
          <w:tcPr>
            <w:tcW w:w="1134" w:type="dxa"/>
          </w:tcPr>
          <w:p w14:paraId="12CC8228" w14:textId="77777777" w:rsidR="00A52242" w:rsidRPr="00D74B9B" w:rsidRDefault="00A52242" w:rsidP="00EB1859">
            <w:pPr>
              <w:pStyle w:val="TableTextBody"/>
            </w:pPr>
            <w:r w:rsidRPr="00D74B9B">
              <w:t>2</w:t>
            </w:r>
          </w:p>
        </w:tc>
      </w:tr>
      <w:tr w:rsidR="00A52242" w:rsidRPr="00354795" w14:paraId="1E0A95E4" w14:textId="77777777" w:rsidTr="00F541AA">
        <w:tc>
          <w:tcPr>
            <w:tcW w:w="5240" w:type="dxa"/>
          </w:tcPr>
          <w:p w14:paraId="774252B1" w14:textId="77777777" w:rsidR="00A52242" w:rsidRPr="00354795" w:rsidRDefault="00A52242" w:rsidP="00EB1859">
            <w:pPr>
              <w:pStyle w:val="TableTextBody"/>
            </w:pPr>
            <w:r>
              <w:t xml:space="preserve">Contact officer: refresher </w:t>
            </w:r>
          </w:p>
        </w:tc>
        <w:tc>
          <w:tcPr>
            <w:tcW w:w="1134" w:type="dxa"/>
          </w:tcPr>
          <w:p w14:paraId="466B50E1" w14:textId="77777777" w:rsidR="00A52242" w:rsidRPr="00DE1B4C" w:rsidRDefault="00A52242" w:rsidP="00EB1859">
            <w:pPr>
              <w:pStyle w:val="TableTextBody"/>
              <w:rPr>
                <w:rStyle w:val="CommentReference"/>
                <w:bCs/>
              </w:rPr>
            </w:pPr>
            <w:r w:rsidRPr="00D74B9B">
              <w:t>1</w:t>
            </w:r>
          </w:p>
        </w:tc>
      </w:tr>
    </w:tbl>
    <w:p w14:paraId="1725109D" w14:textId="77777777" w:rsidR="00A52242" w:rsidRDefault="00A52242" w:rsidP="00EB1859">
      <w:pPr>
        <w:pStyle w:val="Heading2Black"/>
      </w:pPr>
      <w:bookmarkStart w:id="143" w:name="_Toc112424409"/>
    </w:p>
    <w:p w14:paraId="03FB2723" w14:textId="528D1A6F" w:rsidR="00A52242" w:rsidRDefault="00A52242" w:rsidP="00CA5EBF">
      <w:pPr>
        <w:pStyle w:val="Heading2"/>
      </w:pPr>
      <w:bookmarkStart w:id="144" w:name="_Toc143678198"/>
      <w:bookmarkStart w:id="145" w:name="_Toc143678715"/>
      <w:bookmarkStart w:id="146" w:name="_Toc144200496"/>
      <w:r>
        <w:lastRenderedPageBreak/>
        <w:t>Online learning</w:t>
      </w:r>
      <w:bookmarkEnd w:id="143"/>
      <w:bookmarkEnd w:id="144"/>
      <w:bookmarkEnd w:id="145"/>
      <w:bookmarkEnd w:id="146"/>
      <w:r>
        <w:t xml:space="preserve"> </w:t>
      </w:r>
    </w:p>
    <w:p w14:paraId="551923DC" w14:textId="77777777" w:rsidR="00A52242" w:rsidRDefault="00A52242" w:rsidP="00EB1859">
      <w:r w:rsidRPr="00D72BAD">
        <w:t xml:space="preserve">Our online training modules are designed to provide accessible, alternative learning options for people who may be unable to access face-to-face education. </w:t>
      </w:r>
      <w:r>
        <w:t xml:space="preserve">They are self-paced and can be completed at a time which suits participants. Group subscription rates are available and there are options for organisations to embed modules on their existing Learning Management System, </w:t>
      </w:r>
      <w:r w:rsidRPr="00D72BAD">
        <w:t>provid</w:t>
      </w:r>
      <w:r>
        <w:t>ing</w:t>
      </w:r>
      <w:r w:rsidRPr="00D72BAD">
        <w:t xml:space="preserve"> a cost-effective training solution for larger </w:t>
      </w:r>
      <w:r>
        <w:t>workforces</w:t>
      </w:r>
      <w:r w:rsidRPr="00D72BAD">
        <w:t xml:space="preserve">. </w:t>
      </w:r>
    </w:p>
    <w:p w14:paraId="408186F7" w14:textId="77777777" w:rsidR="00A52242" w:rsidRPr="00546655" w:rsidRDefault="00A52242" w:rsidP="00EB1859">
      <w:pPr>
        <w:pStyle w:val="Keystatistics"/>
      </w:pPr>
      <w:r>
        <w:t xml:space="preserve">The number of active users of our online learning products has </w:t>
      </w:r>
      <w:r w:rsidRPr="005A194A">
        <w:rPr>
          <w:sz w:val="36"/>
          <w:szCs w:val="36"/>
        </w:rPr>
        <w:t xml:space="preserve">grown by 65% </w:t>
      </w:r>
      <w:r w:rsidRPr="005A194A">
        <w:rPr>
          <w:szCs w:val="22"/>
        </w:rPr>
        <w:t>in the last three years.</w:t>
      </w:r>
      <w:r>
        <w:t xml:space="preserve"> </w:t>
      </w:r>
    </w:p>
    <w:p w14:paraId="4423759E" w14:textId="3996C2A3" w:rsidR="00A52242" w:rsidRDefault="00A52242" w:rsidP="00EB1859">
      <w:r>
        <w:t xml:space="preserve">As at 30 June 2023 there were almost 60,000 active users of our online learning products, with 15,566 new enrolments during 2022-23. The continued growth in this area alongside our face-to-face and virtual training shows the importance of offering a range of ways for people to engage in our education programs. </w:t>
      </w:r>
    </w:p>
    <w:p w14:paraId="1F63F79B" w14:textId="77777777" w:rsidR="00A52242" w:rsidRPr="003C6B4D" w:rsidRDefault="00A52242" w:rsidP="00EB1859">
      <w:r w:rsidRPr="008D3A7B">
        <w:t xml:space="preserve">We offer </w:t>
      </w:r>
      <w:r>
        <w:t>3 standalone online modules, and a</w:t>
      </w:r>
      <w:r w:rsidRPr="008D3A7B">
        <w:t xml:space="preserve"> package </w:t>
      </w:r>
      <w:r>
        <w:t xml:space="preserve">of 6 individual modules called Diversity Awareness. The Diversity Awareness package is designed to support organisations to value and promote diversity in the workplace through greater understanding and practical </w:t>
      </w:r>
      <w:r w:rsidRPr="003C6B4D">
        <w:t xml:space="preserve">strategies for inclusion. </w:t>
      </w:r>
    </w:p>
    <w:p w14:paraId="591EBA8B" w14:textId="77777777" w:rsidR="00A52242" w:rsidRPr="003C6B4D" w:rsidRDefault="00A52242" w:rsidP="00EB1859">
      <w:pPr>
        <w:rPr>
          <w:rFonts w:cs="Arial"/>
        </w:rPr>
      </w:pPr>
      <w:r w:rsidRPr="003C6B4D">
        <w:t>In addition to the publicly-available modules</w:t>
      </w:r>
      <w:r>
        <w:t xml:space="preserve">, </w:t>
      </w:r>
      <w:r w:rsidRPr="003C6B4D">
        <w:t xml:space="preserve">a </w:t>
      </w:r>
      <w:bookmarkStart w:id="147" w:name="_Hlk106090949"/>
      <w:r w:rsidRPr="003C6B4D">
        <w:t>tailored ‘Public</w:t>
      </w:r>
      <w:r>
        <w:t xml:space="preserve"> e</w:t>
      </w:r>
      <w:r w:rsidRPr="003C6B4D">
        <w:t xml:space="preserve">ntities and the </w:t>
      </w:r>
      <w:r w:rsidRPr="003C6B4D">
        <w:rPr>
          <w:i/>
          <w:iCs/>
        </w:rPr>
        <w:t xml:space="preserve">Queensland Human Rights Act 2019’ </w:t>
      </w:r>
      <w:r w:rsidRPr="003C6B4D">
        <w:t xml:space="preserve">module </w:t>
      </w:r>
      <w:r>
        <w:t xml:space="preserve">was developed </w:t>
      </w:r>
      <w:r w:rsidRPr="003C6B4D">
        <w:t xml:space="preserve">for the Department </w:t>
      </w:r>
      <w:r>
        <w:t xml:space="preserve">of </w:t>
      </w:r>
      <w:r w:rsidRPr="003C6B4D">
        <w:t xml:space="preserve">Children, Youth Justice and Multicultural Affairs. </w:t>
      </w:r>
      <w:bookmarkEnd w:id="147"/>
    </w:p>
    <w:p w14:paraId="4A234326" w14:textId="77777777" w:rsidR="00CA5EBF" w:rsidRDefault="00CA5EBF" w:rsidP="00EB1859">
      <w:pPr>
        <w:pStyle w:val="Caption"/>
      </w:pPr>
    </w:p>
    <w:p w14:paraId="0AE73A0B" w14:textId="1A4E5518" w:rsidR="00A52242" w:rsidRPr="00FC6699" w:rsidRDefault="00A52242" w:rsidP="00EB1859">
      <w:pPr>
        <w:pStyle w:val="Caption"/>
      </w:pPr>
      <w:r w:rsidRPr="00F23EB8">
        <w:t>Table 5: Online learning 2022-23</w:t>
      </w:r>
    </w:p>
    <w:tbl>
      <w:tblPr>
        <w:tblW w:w="0" w:type="auto"/>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3539"/>
        <w:gridCol w:w="1418"/>
        <w:gridCol w:w="1417"/>
      </w:tblGrid>
      <w:tr w:rsidR="00A52242" w:rsidRPr="00A21D7D" w14:paraId="2AFBC3EA" w14:textId="77777777" w:rsidTr="00F541AA">
        <w:tc>
          <w:tcPr>
            <w:tcW w:w="3539" w:type="dxa"/>
          </w:tcPr>
          <w:p w14:paraId="63AA7FC7" w14:textId="77777777" w:rsidR="00A52242" w:rsidRPr="00A21D7D" w:rsidRDefault="00A52242" w:rsidP="00EB1859">
            <w:pPr>
              <w:pStyle w:val="TableTextHeading"/>
            </w:pPr>
            <w:r>
              <w:t>Module</w:t>
            </w:r>
          </w:p>
        </w:tc>
        <w:tc>
          <w:tcPr>
            <w:tcW w:w="1418" w:type="dxa"/>
          </w:tcPr>
          <w:p w14:paraId="1EF4CF95" w14:textId="77777777" w:rsidR="00A52242" w:rsidRPr="00576E30" w:rsidRDefault="00A52242" w:rsidP="00EB1859">
            <w:pPr>
              <w:pStyle w:val="TableTextHeading"/>
            </w:pPr>
            <w:r w:rsidRPr="00576E30">
              <w:t xml:space="preserve">New enrolments </w:t>
            </w:r>
          </w:p>
        </w:tc>
        <w:tc>
          <w:tcPr>
            <w:tcW w:w="1417" w:type="dxa"/>
          </w:tcPr>
          <w:p w14:paraId="30CC5C40" w14:textId="77777777" w:rsidR="00A52242" w:rsidRPr="00576E30" w:rsidRDefault="00A52242" w:rsidP="00EB1859">
            <w:pPr>
              <w:pStyle w:val="TableTextHeading"/>
            </w:pPr>
            <w:r w:rsidRPr="00576E30">
              <w:t>Course completions</w:t>
            </w:r>
          </w:p>
        </w:tc>
      </w:tr>
      <w:tr w:rsidR="00F23EB8" w:rsidRPr="00A21D7D" w14:paraId="312D637E" w14:textId="77777777" w:rsidTr="00F541AA">
        <w:tc>
          <w:tcPr>
            <w:tcW w:w="3539" w:type="dxa"/>
          </w:tcPr>
          <w:p w14:paraId="1797B87C" w14:textId="705F8D65" w:rsidR="00F23EB8" w:rsidRPr="00A21D7D" w:rsidRDefault="00F23EB8" w:rsidP="00EB1859">
            <w:pPr>
              <w:pStyle w:val="TableTextBody"/>
            </w:pPr>
            <w:r>
              <w:t>Discrimination a</w:t>
            </w:r>
            <w:r w:rsidRPr="00A21D7D">
              <w:t>wareness in Queensland</w:t>
            </w:r>
          </w:p>
        </w:tc>
        <w:tc>
          <w:tcPr>
            <w:tcW w:w="1418" w:type="dxa"/>
          </w:tcPr>
          <w:p w14:paraId="328D23AC" w14:textId="16174578" w:rsidR="00F23EB8" w:rsidRPr="00D97E79" w:rsidRDefault="00F23EB8" w:rsidP="00EB1859">
            <w:pPr>
              <w:pStyle w:val="TableTextBody"/>
              <w:rPr>
                <w:b/>
                <w:bCs/>
                <w:highlight w:val="yellow"/>
              </w:rPr>
            </w:pPr>
            <w:r w:rsidRPr="005B76AD">
              <w:t>362</w:t>
            </w:r>
          </w:p>
        </w:tc>
        <w:tc>
          <w:tcPr>
            <w:tcW w:w="1417" w:type="dxa"/>
          </w:tcPr>
          <w:p w14:paraId="6B9E40EB" w14:textId="0387EE2C" w:rsidR="00F23EB8" w:rsidRPr="00D97E79" w:rsidRDefault="00F23EB8" w:rsidP="00EB1859">
            <w:pPr>
              <w:pStyle w:val="TableTextBody"/>
              <w:rPr>
                <w:b/>
                <w:bCs/>
              </w:rPr>
            </w:pPr>
            <w:r w:rsidRPr="005B76AD">
              <w:t>271</w:t>
            </w:r>
          </w:p>
        </w:tc>
      </w:tr>
      <w:tr w:rsidR="00F23EB8" w:rsidRPr="00A21D7D" w14:paraId="2859EC06" w14:textId="77777777" w:rsidTr="00F541AA">
        <w:tc>
          <w:tcPr>
            <w:tcW w:w="3539" w:type="dxa"/>
          </w:tcPr>
          <w:p w14:paraId="354EB6CF" w14:textId="0230EC58" w:rsidR="00F23EB8" w:rsidRPr="00A21D7D" w:rsidRDefault="00F23EB8" w:rsidP="00EB1859">
            <w:pPr>
              <w:pStyle w:val="TableTextBody"/>
            </w:pPr>
            <w:r w:rsidRPr="00A21D7D">
              <w:t xml:space="preserve">Introduction to the Queensland </w:t>
            </w:r>
            <w:r w:rsidRPr="00FC6699">
              <w:rPr>
                <w:i/>
              </w:rPr>
              <w:t>Human Rights Act 2019</w:t>
            </w:r>
          </w:p>
        </w:tc>
        <w:tc>
          <w:tcPr>
            <w:tcW w:w="1418" w:type="dxa"/>
          </w:tcPr>
          <w:p w14:paraId="27C7FB77" w14:textId="3424DDE0" w:rsidR="00F23EB8" w:rsidRPr="00D97E79" w:rsidRDefault="00F23EB8" w:rsidP="00EB1859">
            <w:pPr>
              <w:pStyle w:val="TableTextBody"/>
              <w:rPr>
                <w:b/>
                <w:bCs/>
                <w:highlight w:val="yellow"/>
              </w:rPr>
            </w:pPr>
            <w:r w:rsidRPr="0079156D">
              <w:t>2,217</w:t>
            </w:r>
          </w:p>
        </w:tc>
        <w:tc>
          <w:tcPr>
            <w:tcW w:w="1417" w:type="dxa"/>
          </w:tcPr>
          <w:p w14:paraId="3E06DD05" w14:textId="6A10F219" w:rsidR="00F23EB8" w:rsidRPr="00D97E79" w:rsidRDefault="00F23EB8" w:rsidP="00EB1859">
            <w:pPr>
              <w:pStyle w:val="TableTextBody"/>
              <w:rPr>
                <w:b/>
                <w:bCs/>
              </w:rPr>
            </w:pPr>
            <w:r w:rsidRPr="0079156D">
              <w:t>1,813</w:t>
            </w:r>
          </w:p>
        </w:tc>
      </w:tr>
      <w:tr w:rsidR="00F23EB8" w:rsidRPr="00A21D7D" w14:paraId="61711AFA" w14:textId="77777777" w:rsidTr="00F541AA">
        <w:tc>
          <w:tcPr>
            <w:tcW w:w="3539" w:type="dxa"/>
          </w:tcPr>
          <w:p w14:paraId="1CC0688A" w14:textId="42C47B1C" w:rsidR="00F23EB8" w:rsidRPr="00A21D7D" w:rsidRDefault="00F23EB8" w:rsidP="00EB1859">
            <w:pPr>
              <w:pStyle w:val="TableTextBody"/>
            </w:pPr>
            <w:r w:rsidRPr="00A21D7D">
              <w:t xml:space="preserve">Public entities and the Queensland </w:t>
            </w:r>
            <w:r w:rsidRPr="00FC6699">
              <w:rPr>
                <w:i/>
              </w:rPr>
              <w:t>Human Rights Act 2019</w:t>
            </w:r>
          </w:p>
        </w:tc>
        <w:tc>
          <w:tcPr>
            <w:tcW w:w="1418" w:type="dxa"/>
          </w:tcPr>
          <w:p w14:paraId="1C773F1E" w14:textId="356852CD" w:rsidR="00F23EB8" w:rsidRPr="00D97E79" w:rsidRDefault="00F23EB8" w:rsidP="00EB1859">
            <w:pPr>
              <w:pStyle w:val="TableTextBody"/>
              <w:rPr>
                <w:b/>
                <w:bCs/>
                <w:highlight w:val="yellow"/>
              </w:rPr>
            </w:pPr>
            <w:r w:rsidRPr="00D6012D">
              <w:t>6,090</w:t>
            </w:r>
          </w:p>
        </w:tc>
        <w:tc>
          <w:tcPr>
            <w:tcW w:w="1417" w:type="dxa"/>
          </w:tcPr>
          <w:p w14:paraId="25BD123B" w14:textId="11B809FF" w:rsidR="00F23EB8" w:rsidRPr="00D97E79" w:rsidRDefault="00F23EB8" w:rsidP="00EB1859">
            <w:pPr>
              <w:pStyle w:val="TableTextBody"/>
              <w:rPr>
                <w:b/>
                <w:bCs/>
              </w:rPr>
            </w:pPr>
            <w:r w:rsidRPr="00D6012D">
              <w:t>5,740</w:t>
            </w:r>
          </w:p>
        </w:tc>
      </w:tr>
      <w:tr w:rsidR="00F23EB8" w:rsidRPr="00A21D7D" w14:paraId="2F9444CF" w14:textId="77777777" w:rsidTr="00F541AA">
        <w:tc>
          <w:tcPr>
            <w:tcW w:w="3539" w:type="dxa"/>
          </w:tcPr>
          <w:p w14:paraId="4B24D5D7" w14:textId="0E41913D" w:rsidR="00F23EB8" w:rsidRPr="00A21D7D" w:rsidRDefault="00F23EB8" w:rsidP="00EB1859">
            <w:pPr>
              <w:pStyle w:val="TableTextBody"/>
            </w:pPr>
            <w:r>
              <w:t>Diversity awareness package</w:t>
            </w:r>
          </w:p>
        </w:tc>
        <w:tc>
          <w:tcPr>
            <w:tcW w:w="1418" w:type="dxa"/>
          </w:tcPr>
          <w:p w14:paraId="5F2C7DF5" w14:textId="7B32541B" w:rsidR="00F23EB8" w:rsidRPr="00D97E79" w:rsidRDefault="00F23EB8" w:rsidP="00EB1859">
            <w:pPr>
              <w:pStyle w:val="TableTextBody"/>
              <w:rPr>
                <w:b/>
                <w:bCs/>
              </w:rPr>
            </w:pPr>
            <w:r>
              <w:t>4,484</w:t>
            </w:r>
          </w:p>
        </w:tc>
        <w:tc>
          <w:tcPr>
            <w:tcW w:w="1417" w:type="dxa"/>
          </w:tcPr>
          <w:p w14:paraId="48E90C93" w14:textId="033BBB1F" w:rsidR="00F23EB8" w:rsidRPr="0034574E" w:rsidRDefault="00F23EB8" w:rsidP="00EB1859">
            <w:pPr>
              <w:pStyle w:val="TableTextBody"/>
              <w:rPr>
                <w:b/>
                <w:bCs/>
              </w:rPr>
            </w:pPr>
            <w:r>
              <w:t>3,419</w:t>
            </w:r>
          </w:p>
        </w:tc>
      </w:tr>
      <w:tr w:rsidR="00F23EB8" w:rsidRPr="00A21D7D" w14:paraId="51333895" w14:textId="77777777" w:rsidTr="00F541AA">
        <w:tc>
          <w:tcPr>
            <w:tcW w:w="3539" w:type="dxa"/>
          </w:tcPr>
          <w:p w14:paraId="66209822" w14:textId="2B4A1189" w:rsidR="00F23EB8" w:rsidRPr="00A21D7D" w:rsidRDefault="00F23EB8" w:rsidP="00EB1859">
            <w:pPr>
              <w:pStyle w:val="TableTextBody"/>
            </w:pPr>
            <w:r w:rsidRPr="00B56B83">
              <w:t xml:space="preserve">Tailored </w:t>
            </w:r>
            <w:r>
              <w:t>module for CYJMA</w:t>
            </w:r>
          </w:p>
        </w:tc>
        <w:tc>
          <w:tcPr>
            <w:tcW w:w="1418" w:type="dxa"/>
          </w:tcPr>
          <w:p w14:paraId="0B792F84" w14:textId="42006F24" w:rsidR="00F23EB8" w:rsidRPr="00AD041D" w:rsidRDefault="00F23EB8" w:rsidP="00EB1859">
            <w:pPr>
              <w:pStyle w:val="TableTextBody"/>
            </w:pPr>
            <w:r>
              <w:t>1,395</w:t>
            </w:r>
          </w:p>
        </w:tc>
        <w:tc>
          <w:tcPr>
            <w:tcW w:w="1417" w:type="dxa"/>
          </w:tcPr>
          <w:p w14:paraId="4320824A" w14:textId="1C8AE7D2" w:rsidR="00F23EB8" w:rsidRPr="00AD041D" w:rsidRDefault="00F23EB8" w:rsidP="00EB1859">
            <w:pPr>
              <w:pStyle w:val="TableTextBody"/>
            </w:pPr>
            <w:r>
              <w:t>1,103</w:t>
            </w:r>
          </w:p>
        </w:tc>
      </w:tr>
      <w:tr w:rsidR="00F23EB8" w:rsidRPr="00104F88" w14:paraId="572641FF" w14:textId="77777777" w:rsidTr="00F541AA">
        <w:tc>
          <w:tcPr>
            <w:tcW w:w="3539" w:type="dxa"/>
          </w:tcPr>
          <w:p w14:paraId="350E94F4" w14:textId="582F237E" w:rsidR="00F23EB8" w:rsidRPr="00104F88" w:rsidRDefault="00F23EB8" w:rsidP="00EB1859">
            <w:pPr>
              <w:pStyle w:val="TableTextBody"/>
              <w:rPr>
                <w:b/>
                <w:bCs/>
                <w:highlight w:val="yellow"/>
              </w:rPr>
            </w:pPr>
            <w:r w:rsidRPr="00104F88">
              <w:rPr>
                <w:b/>
                <w:bCs/>
              </w:rPr>
              <w:t>Total</w:t>
            </w:r>
          </w:p>
        </w:tc>
        <w:tc>
          <w:tcPr>
            <w:tcW w:w="1418" w:type="dxa"/>
          </w:tcPr>
          <w:p w14:paraId="0B7532E7" w14:textId="555A5F45" w:rsidR="00F23EB8" w:rsidRPr="00104F88" w:rsidRDefault="00F23EB8" w:rsidP="00EB1859">
            <w:pPr>
              <w:pStyle w:val="TableTextBody"/>
              <w:rPr>
                <w:b/>
                <w:bCs/>
                <w:highlight w:val="yellow"/>
              </w:rPr>
            </w:pPr>
            <w:r w:rsidRPr="00104F88">
              <w:rPr>
                <w:b/>
                <w:bCs/>
              </w:rPr>
              <w:t>15,566</w:t>
            </w:r>
            <w:r w:rsidRPr="00104F88">
              <w:rPr>
                <w:b/>
                <w:bCs/>
              </w:rPr>
              <w:tab/>
            </w:r>
          </w:p>
        </w:tc>
        <w:tc>
          <w:tcPr>
            <w:tcW w:w="1417" w:type="dxa"/>
          </w:tcPr>
          <w:p w14:paraId="2A2E8EBA" w14:textId="0403F83B" w:rsidR="00F23EB8" w:rsidRPr="00104F88" w:rsidRDefault="00F23EB8" w:rsidP="00EB1859">
            <w:pPr>
              <w:pStyle w:val="TableTextBody"/>
              <w:rPr>
                <w:b/>
                <w:bCs/>
              </w:rPr>
            </w:pPr>
            <w:r w:rsidRPr="00104F88">
              <w:rPr>
                <w:b/>
                <w:bCs/>
              </w:rPr>
              <w:t>13,253</w:t>
            </w:r>
          </w:p>
        </w:tc>
      </w:tr>
    </w:tbl>
    <w:p w14:paraId="71BEB7F7" w14:textId="77777777" w:rsidR="00A52242" w:rsidRDefault="00A52242" w:rsidP="00EB1859">
      <w:pPr>
        <w:pStyle w:val="Heading2Black"/>
      </w:pPr>
      <w:bookmarkStart w:id="148" w:name="_Toc112424410"/>
      <w:bookmarkStart w:id="149" w:name="_Toc49508893"/>
    </w:p>
    <w:p w14:paraId="3CA460E3" w14:textId="2F76775F" w:rsidR="00A52242" w:rsidRDefault="00A52242" w:rsidP="00CA5EBF">
      <w:pPr>
        <w:pStyle w:val="Heading2"/>
      </w:pPr>
      <w:bookmarkStart w:id="150" w:name="_Toc143678199"/>
      <w:bookmarkStart w:id="151" w:name="_Toc143678716"/>
      <w:bookmarkStart w:id="152" w:name="_Toc144200497"/>
      <w:r>
        <w:lastRenderedPageBreak/>
        <w:t>Public webinars</w:t>
      </w:r>
      <w:bookmarkEnd w:id="148"/>
      <w:bookmarkEnd w:id="150"/>
      <w:bookmarkEnd w:id="151"/>
      <w:bookmarkEnd w:id="152"/>
      <w:r>
        <w:t xml:space="preserve"> </w:t>
      </w:r>
    </w:p>
    <w:p w14:paraId="0925BC82" w14:textId="77777777" w:rsidR="00A52242" w:rsidRDefault="00A52242" w:rsidP="00EB1859">
      <w:r>
        <w:t>Our public webinars are aimed at providing general information on aspects of human rights and discrimination to members of the public. They are delivered by our training team and are less interactive than our training sessions.</w:t>
      </w:r>
    </w:p>
    <w:p w14:paraId="07BD8B1E" w14:textId="77777777" w:rsidR="00A52242" w:rsidRDefault="00A52242" w:rsidP="00EB1859">
      <w:r w:rsidRPr="00A412CA">
        <w:t>This year we provided 4 free webinars for the community during Human Rights Week; 2 Introduction to the Human Rights Act</w:t>
      </w:r>
      <w:r>
        <w:t xml:space="preserve"> webinars </w:t>
      </w:r>
      <w:r w:rsidRPr="00A412CA">
        <w:t>and 2 Introduction to the Anti-Discrimination Act</w:t>
      </w:r>
      <w:r>
        <w:t xml:space="preserve"> webinars</w:t>
      </w:r>
      <w:r w:rsidRPr="00A412CA">
        <w:t xml:space="preserve">. </w:t>
      </w:r>
    </w:p>
    <w:p w14:paraId="0D8EA0BE" w14:textId="7C729719" w:rsidR="00A52242" w:rsidRPr="00A21D7D" w:rsidRDefault="00A52242" w:rsidP="00CA5EBF">
      <w:pPr>
        <w:pStyle w:val="Heading2"/>
      </w:pPr>
      <w:bookmarkStart w:id="153" w:name="_Toc80971332"/>
      <w:bookmarkStart w:id="154" w:name="_Toc112424411"/>
      <w:bookmarkStart w:id="155" w:name="_Toc143678200"/>
      <w:bookmarkStart w:id="156" w:name="_Toc143678717"/>
      <w:bookmarkStart w:id="157" w:name="_Toc144200498"/>
      <w:r w:rsidRPr="00A21D7D">
        <w:t>Evaluation</w:t>
      </w:r>
      <w:bookmarkEnd w:id="149"/>
      <w:bookmarkEnd w:id="153"/>
      <w:r>
        <w:t>s</w:t>
      </w:r>
      <w:bookmarkEnd w:id="154"/>
      <w:bookmarkEnd w:id="155"/>
      <w:bookmarkEnd w:id="156"/>
      <w:bookmarkEnd w:id="157"/>
      <w:r w:rsidRPr="00A21D7D">
        <w:t xml:space="preserve"> </w:t>
      </w:r>
    </w:p>
    <w:p w14:paraId="33B95E42" w14:textId="77777777" w:rsidR="00A52242" w:rsidRPr="00A21D7D" w:rsidRDefault="00A52242" w:rsidP="00EB1859">
      <w:r w:rsidRPr="00A21D7D">
        <w:t xml:space="preserve">As part of </w:t>
      </w:r>
      <w:r>
        <w:t>our</w:t>
      </w:r>
      <w:r w:rsidRPr="00A21D7D">
        <w:t xml:space="preserve"> commitment to continuous improvement of services, face-to-face </w:t>
      </w:r>
      <w:r>
        <w:t xml:space="preserve">and virtual </w:t>
      </w:r>
      <w:r w:rsidRPr="00A21D7D">
        <w:t>training</w:t>
      </w:r>
      <w:r>
        <w:t xml:space="preserve">, </w:t>
      </w:r>
      <w:r w:rsidRPr="00A21D7D">
        <w:t>participants are asked to complete an evaluation form at the end of each training session</w:t>
      </w:r>
      <w:r>
        <w:t xml:space="preserve">. </w:t>
      </w:r>
    </w:p>
    <w:p w14:paraId="6961DD85" w14:textId="77777777" w:rsidR="00A52242" w:rsidRDefault="00A52242" w:rsidP="00EB1859">
      <w:pPr>
        <w:pStyle w:val="Keystatistics"/>
      </w:pPr>
      <w:r w:rsidRPr="00A21D7D">
        <w:t xml:space="preserve">Overall participant </w:t>
      </w:r>
      <w:r>
        <w:t>satisfaction has</w:t>
      </w:r>
      <w:r w:rsidRPr="00433674">
        <w:t xml:space="preserve"> remained very high with an </w:t>
      </w:r>
      <w:r w:rsidRPr="006C6123">
        <w:t xml:space="preserve">average </w:t>
      </w:r>
      <w:r w:rsidRPr="006868E9">
        <w:rPr>
          <w:sz w:val="36"/>
          <w:szCs w:val="36"/>
        </w:rPr>
        <w:t>9</w:t>
      </w:r>
      <w:r>
        <w:rPr>
          <w:sz w:val="36"/>
          <w:szCs w:val="36"/>
        </w:rPr>
        <w:t>5</w:t>
      </w:r>
      <w:r w:rsidRPr="006868E9">
        <w:rPr>
          <w:sz w:val="36"/>
          <w:szCs w:val="36"/>
        </w:rPr>
        <w:t>%</w:t>
      </w:r>
      <w:r w:rsidRPr="00A21D7D">
        <w:t xml:space="preserve"> satisfaction rating.</w:t>
      </w:r>
      <w:r>
        <w:t xml:space="preserve"> </w:t>
      </w:r>
    </w:p>
    <w:p w14:paraId="6A7C2575" w14:textId="77777777" w:rsidR="00A52242" w:rsidRDefault="00A52242" w:rsidP="00EB1859">
      <w:r>
        <w:rPr>
          <w:lang w:val="en-GB"/>
        </w:rPr>
        <w:t xml:space="preserve">The overall participant satisfaction has remained very high with an average 95% satisfaction rating. Over 81% of participants told us their </w:t>
      </w:r>
      <w:r w:rsidRPr="007C4E8A">
        <w:rPr>
          <w:lang w:val="en-GB"/>
        </w:rPr>
        <w:t>understanding of rights and</w:t>
      </w:r>
      <w:r w:rsidRPr="002F7A1F">
        <w:rPr>
          <w:lang w:val="en-GB"/>
        </w:rPr>
        <w:t xml:space="preserve"> </w:t>
      </w:r>
      <w:r w:rsidRPr="007C4E8A">
        <w:rPr>
          <w:lang w:val="en-GB"/>
        </w:rPr>
        <w:t xml:space="preserve">responsibilities under </w:t>
      </w:r>
      <w:r>
        <w:rPr>
          <w:lang w:val="en-GB"/>
        </w:rPr>
        <w:t>a</w:t>
      </w:r>
      <w:r w:rsidRPr="00DB508E">
        <w:rPr>
          <w:lang w:val="en-GB"/>
        </w:rPr>
        <w:t>nti-</w:t>
      </w:r>
      <w:r>
        <w:rPr>
          <w:lang w:val="en-GB"/>
        </w:rPr>
        <w:t>d</w:t>
      </w:r>
      <w:r w:rsidRPr="00DB508E">
        <w:rPr>
          <w:lang w:val="en-GB"/>
        </w:rPr>
        <w:t xml:space="preserve">iscrimination and/or </w:t>
      </w:r>
      <w:r>
        <w:rPr>
          <w:lang w:val="en-GB"/>
        </w:rPr>
        <w:t>h</w:t>
      </w:r>
      <w:r w:rsidRPr="00DB508E">
        <w:rPr>
          <w:lang w:val="en-GB"/>
        </w:rPr>
        <w:t xml:space="preserve">uman </w:t>
      </w:r>
      <w:r>
        <w:rPr>
          <w:lang w:val="en-GB"/>
        </w:rPr>
        <w:t>r</w:t>
      </w:r>
      <w:r w:rsidRPr="00DB508E">
        <w:rPr>
          <w:lang w:val="en-GB"/>
        </w:rPr>
        <w:t xml:space="preserve">ights law increased </w:t>
      </w:r>
      <w:r>
        <w:rPr>
          <w:lang w:val="en-GB"/>
        </w:rPr>
        <w:t>as a result of the training they attended.</w:t>
      </w:r>
    </w:p>
    <w:p w14:paraId="37B5FA28" w14:textId="77777777" w:rsidR="00A52242" w:rsidRPr="00A21D7D" w:rsidRDefault="00A52242" w:rsidP="00EB1859">
      <w:r>
        <w:t>The following</w:t>
      </w:r>
      <w:r w:rsidRPr="00A21D7D">
        <w:t xml:space="preserve"> is a sample of</w:t>
      </w:r>
      <w:r>
        <w:t xml:space="preserve"> participant</w:t>
      </w:r>
      <w:r w:rsidRPr="00A21D7D">
        <w:t xml:space="preserve"> responses from the 20</w:t>
      </w:r>
      <w:r>
        <w:t>22-23</w:t>
      </w:r>
      <w:r w:rsidRPr="00A21D7D">
        <w:t xml:space="preserve"> </w:t>
      </w:r>
      <w:r w:rsidRPr="00433674">
        <w:t>training evaluations, when asked what they liked most about the training:</w:t>
      </w:r>
      <w:r w:rsidRPr="00A21D7D">
        <w:t xml:space="preserve"> </w:t>
      </w:r>
    </w:p>
    <w:p w14:paraId="5B4AA5A6" w14:textId="77777777" w:rsidR="00A52242" w:rsidRPr="00D44BB6" w:rsidRDefault="00A52242" w:rsidP="00EB1859">
      <w:pPr>
        <w:pStyle w:val="ListParagraph"/>
        <w:numPr>
          <w:ilvl w:val="0"/>
          <w:numId w:val="12"/>
        </w:numPr>
        <w:rPr>
          <w:lang w:val="en-GB"/>
        </w:rPr>
      </w:pPr>
      <w:r w:rsidRPr="00D44BB6">
        <w:rPr>
          <w:lang w:val="en-GB"/>
        </w:rPr>
        <w:t>Content was delivered in an easy-to-understand manner. The real-life examples were beneficial and able to be considered in current work context.</w:t>
      </w:r>
    </w:p>
    <w:p w14:paraId="59C1B854" w14:textId="77777777" w:rsidR="00A52242" w:rsidRPr="00D44BB6" w:rsidRDefault="00A52242" w:rsidP="00EB1859">
      <w:pPr>
        <w:pStyle w:val="ListParagraph"/>
        <w:numPr>
          <w:ilvl w:val="0"/>
          <w:numId w:val="12"/>
        </w:numPr>
        <w:rPr>
          <w:lang w:val="en-GB"/>
        </w:rPr>
      </w:pPr>
      <w:r w:rsidRPr="00D44BB6">
        <w:rPr>
          <w:lang w:val="en-GB"/>
        </w:rPr>
        <w:t>It was made relevant to our organisation and when questions were asked, real-life examples were given. It was nice to have a transgender person here to give their own personal experience</w:t>
      </w:r>
      <w:r>
        <w:rPr>
          <w:lang w:val="en-GB"/>
        </w:rPr>
        <w:t>.</w:t>
      </w:r>
      <w:r w:rsidRPr="00D44BB6">
        <w:rPr>
          <w:lang w:val="en-GB"/>
        </w:rPr>
        <w:t xml:space="preserve"> </w:t>
      </w:r>
    </w:p>
    <w:p w14:paraId="77C96559" w14:textId="77777777" w:rsidR="00A52242" w:rsidRPr="00D44BB6" w:rsidRDefault="00A52242" w:rsidP="00EB1859">
      <w:pPr>
        <w:pStyle w:val="ListParagraph"/>
        <w:numPr>
          <w:ilvl w:val="0"/>
          <w:numId w:val="12"/>
        </w:numPr>
        <w:rPr>
          <w:lang w:val="en-GB"/>
        </w:rPr>
      </w:pPr>
      <w:r w:rsidRPr="00D44BB6">
        <w:rPr>
          <w:lang w:val="en-GB"/>
        </w:rPr>
        <w:t xml:space="preserve">Presenter was very informed, opportunity for discussion was good. </w:t>
      </w:r>
    </w:p>
    <w:p w14:paraId="04420AAF" w14:textId="77777777" w:rsidR="00A52242" w:rsidRPr="00D44BB6" w:rsidRDefault="00A52242" w:rsidP="00EB1859">
      <w:pPr>
        <w:pStyle w:val="ListParagraph"/>
        <w:numPr>
          <w:ilvl w:val="0"/>
          <w:numId w:val="12"/>
        </w:numPr>
        <w:rPr>
          <w:lang w:val="en-GB"/>
        </w:rPr>
      </w:pPr>
      <w:r w:rsidRPr="00D44BB6">
        <w:rPr>
          <w:lang w:val="en-GB"/>
        </w:rPr>
        <w:t xml:space="preserve">It was very well laid out and encouraged participation. </w:t>
      </w:r>
    </w:p>
    <w:p w14:paraId="74A09F15" w14:textId="77777777" w:rsidR="00A52242" w:rsidRPr="00D44BB6" w:rsidRDefault="00A52242" w:rsidP="00EB1859">
      <w:pPr>
        <w:pStyle w:val="ListParagraph"/>
        <w:numPr>
          <w:ilvl w:val="0"/>
          <w:numId w:val="12"/>
        </w:numPr>
        <w:rPr>
          <w:lang w:val="en-GB"/>
        </w:rPr>
      </w:pPr>
      <w:r w:rsidRPr="00D44BB6">
        <w:rPr>
          <w:lang w:val="en-GB"/>
        </w:rPr>
        <w:t xml:space="preserve">Content, structure and teaching style – excellent. </w:t>
      </w:r>
    </w:p>
    <w:p w14:paraId="5103DBB8" w14:textId="77777777" w:rsidR="00A52242" w:rsidRPr="00461CDD" w:rsidRDefault="00A52242" w:rsidP="00EB1859">
      <w:pPr>
        <w:pStyle w:val="ListParagraph"/>
        <w:numPr>
          <w:ilvl w:val="0"/>
          <w:numId w:val="12"/>
        </w:numPr>
        <w:rPr>
          <w:lang w:val="en-GB"/>
        </w:rPr>
      </w:pPr>
      <w:r w:rsidRPr="00D44BB6">
        <w:rPr>
          <w:lang w:val="en-GB"/>
        </w:rPr>
        <w:t>Very informative presenter who had a great presentation style.</w:t>
      </w:r>
      <w:r>
        <w:rPr>
          <w:lang w:val="en-GB"/>
        </w:rPr>
        <w:t xml:space="preserve"> </w:t>
      </w:r>
      <w:r w:rsidRPr="00461CDD">
        <w:rPr>
          <w:lang w:val="en-GB"/>
        </w:rPr>
        <w:t xml:space="preserve">Contained lots of examples and activities so we could understand theory. </w:t>
      </w:r>
    </w:p>
    <w:p w14:paraId="69C0F049" w14:textId="0B0CE216" w:rsidR="00A52242" w:rsidRDefault="00A52242" w:rsidP="00EB1859">
      <w:r>
        <w:br w:type="page"/>
      </w:r>
    </w:p>
    <w:p w14:paraId="084A1CC5" w14:textId="2A1B9E31" w:rsidR="00642B24" w:rsidRDefault="00A52242" w:rsidP="00CA5EBF">
      <w:pPr>
        <w:pStyle w:val="Heading1"/>
      </w:pPr>
      <w:bookmarkStart w:id="158" w:name="_Toc143678718"/>
      <w:bookmarkStart w:id="159" w:name="_Toc144200499"/>
      <w:r>
        <w:lastRenderedPageBreak/>
        <w:t>Legal and policy</w:t>
      </w:r>
      <w:bookmarkEnd w:id="158"/>
      <w:bookmarkEnd w:id="159"/>
      <w:r>
        <w:t xml:space="preserve"> </w:t>
      </w:r>
    </w:p>
    <w:p w14:paraId="2C49948F" w14:textId="77777777" w:rsidR="009F4971" w:rsidRPr="00A21D7D" w:rsidRDefault="009F4971" w:rsidP="00CA5EBF">
      <w:pPr>
        <w:pStyle w:val="Heading2"/>
      </w:pPr>
      <w:bookmarkStart w:id="160" w:name="_Toc143678719"/>
      <w:bookmarkStart w:id="161" w:name="_Toc144200500"/>
      <w:r>
        <w:t>Submissions to parliamentary inquiries and other reviews and consultations</w:t>
      </w:r>
      <w:bookmarkEnd w:id="160"/>
      <w:bookmarkEnd w:id="161"/>
    </w:p>
    <w:p w14:paraId="1DD4FF34" w14:textId="77777777" w:rsidR="009F4971" w:rsidRDefault="009F4971" w:rsidP="00EB1859">
      <w:r>
        <w:t xml:space="preserve">We regularly participate in the development of legislation and government policy through parliamentary inquiries and other consultation processes. </w:t>
      </w:r>
    </w:p>
    <w:p w14:paraId="0F4F2BC9" w14:textId="77777777" w:rsidR="009F4971" w:rsidRDefault="009F4971" w:rsidP="00EB1859">
      <w:r>
        <w:t xml:space="preserve">Our work in this area aims to assist in the development of legislation and policy that protects and promotes human rights. </w:t>
      </w:r>
    </w:p>
    <w:p w14:paraId="6B4F72D7" w14:textId="77777777" w:rsidR="009F4971" w:rsidRDefault="009F4971" w:rsidP="00EB1859">
      <w:r>
        <w:t xml:space="preserve">We are often called on to appear before parliamentary committees conducting these inquiries, particularly where there are human rights implications of proposed legislation. Under the Human Rights Act, parliament has a responsibility to scrutinise new legislation for compatibility with human rights. Appearing before committee gives members of parliament the opportunity to ask questions of the Commission and builds understanding of the intersection between the Act and other legislation. </w:t>
      </w:r>
    </w:p>
    <w:p w14:paraId="61F5A47B" w14:textId="77777777" w:rsidR="009F4971" w:rsidRDefault="009F4971" w:rsidP="00EB1859">
      <w:r w:rsidRPr="00546655">
        <w:t xml:space="preserve">In </w:t>
      </w:r>
      <w:r w:rsidRPr="002C766E">
        <w:t>2022-23</w:t>
      </w:r>
      <w:r w:rsidRPr="00546655">
        <w:t xml:space="preserve">, the Commission provided </w:t>
      </w:r>
      <w:r w:rsidRPr="002C766E">
        <w:t>22</w:t>
      </w:r>
      <w:r>
        <w:t xml:space="preserve"> </w:t>
      </w:r>
      <w:r w:rsidRPr="00546655">
        <w:t xml:space="preserve">submissions to parliamentary committees and other bodies on the development of government policies and legislation. </w:t>
      </w:r>
      <w:r>
        <w:t>If our submission is published by a parliamentary committee or other body, we publish the submission on our website.</w:t>
      </w:r>
    </w:p>
    <w:p w14:paraId="27B3DE9F" w14:textId="77777777" w:rsidR="009F4971" w:rsidRDefault="009F4971" w:rsidP="00EB1859">
      <w:r>
        <w:t>The following are brief summaries of selected submissions.</w:t>
      </w:r>
      <w:r w:rsidRPr="00546655">
        <w:t xml:space="preserve"> </w:t>
      </w:r>
    </w:p>
    <w:p w14:paraId="3A704EBB" w14:textId="77777777" w:rsidR="009F4971" w:rsidRDefault="009F4971" w:rsidP="00CA5EBF">
      <w:pPr>
        <w:pStyle w:val="Heading3Black"/>
        <w:ind w:right="2363"/>
      </w:pPr>
      <w:r>
        <w:t xml:space="preserve">Births, Deaths and </w:t>
      </w:r>
      <w:r w:rsidRPr="00CA5EBF">
        <w:t>Marriages</w:t>
      </w:r>
      <w:r>
        <w:t xml:space="preserve"> Registration Bill 2022</w:t>
      </w:r>
    </w:p>
    <w:p w14:paraId="01893507" w14:textId="3699C2C3" w:rsidR="009F4971" w:rsidRDefault="009F4971" w:rsidP="00EB1859">
      <w:r w:rsidRPr="00633A28">
        <w:t xml:space="preserve">The </w:t>
      </w:r>
      <w:r>
        <w:t>key objectives of the Bill included strengthening the legal recognition of trans and gender diverse people, and better recognising contemporary family and parenting structures</w:t>
      </w:r>
      <w:r w:rsidRPr="00633A28">
        <w:t>.</w:t>
      </w:r>
      <w:r w:rsidR="00A946AA">
        <w:t xml:space="preserve"> </w:t>
      </w:r>
      <w:r>
        <w:t>The Commission has long supported reform to achieve these objectives.</w:t>
      </w:r>
      <w:r w:rsidR="007A61EC">
        <w:t xml:space="preserve"> </w:t>
      </w:r>
    </w:p>
    <w:p w14:paraId="07C3FFE6" w14:textId="77777777" w:rsidR="009F4971" w:rsidRDefault="009F4971" w:rsidP="00EB1859">
      <w:r>
        <w:t>The changes include: removing the requirement for a person to undergo sexual reassignment surgery in order to alter the record of their sex; introducing a more accessible framework for people aged 16 years and older to apply to alter the record of their sex; enabling a person to nominate a sex descriptor of their choice (male, female, or any other sex); and allowing each of a child’s parents to be registered as mother, father or parent, which allows combinations that are not confined to ‘mother/father’.</w:t>
      </w:r>
    </w:p>
    <w:p w14:paraId="053CD06F" w14:textId="77777777" w:rsidR="009F4971" w:rsidRPr="00CF2BA9" w:rsidRDefault="009F4971" w:rsidP="00EB1859">
      <w:r>
        <w:t xml:space="preserve">The </w:t>
      </w:r>
      <w:r>
        <w:rPr>
          <w:i/>
          <w:iCs/>
        </w:rPr>
        <w:t xml:space="preserve">Anti-Discrimination Act 1991 </w:t>
      </w:r>
      <w:r>
        <w:t>will also be amended to change the definition of ‘gender identity’ so that it is more inclusive, to introduce a new protected attribute of ‘sex characteristics’ to provide protections for members of the intersex community, and to repeal an exemption that allows discrimination in working with children.</w:t>
      </w:r>
    </w:p>
    <w:p w14:paraId="0914E1F2" w14:textId="77777777" w:rsidR="009F4971" w:rsidRPr="00633A28" w:rsidRDefault="009F4971" w:rsidP="00EB1859">
      <w:r>
        <w:t>The Commission supported the Bill and suggested that the government conduct an audit of legislation to identify where the terms ‘sex’, ‘gender’, and gender-specific language is used to ensure uniformity.</w:t>
      </w:r>
    </w:p>
    <w:p w14:paraId="012CB1CF" w14:textId="77777777" w:rsidR="009F4971" w:rsidRPr="00633A28" w:rsidRDefault="009F4971" w:rsidP="00EB1859">
      <w:r>
        <w:lastRenderedPageBreak/>
        <w:t>The Bill has been passed and received assent, and will commence on a date to be fixed by proclamation.</w:t>
      </w:r>
    </w:p>
    <w:p w14:paraId="2AAE0677" w14:textId="77777777" w:rsidR="009F4971" w:rsidRPr="00BF74F5" w:rsidRDefault="009F4971" w:rsidP="00CA5EBF">
      <w:pPr>
        <w:pStyle w:val="Heading3"/>
      </w:pPr>
      <w:r>
        <w:t>Review of the Public Interest Disclosure Act 2010</w:t>
      </w:r>
    </w:p>
    <w:p w14:paraId="713ABE29" w14:textId="5E107CAC" w:rsidR="009F4971" w:rsidRDefault="009F4971" w:rsidP="00EB1859">
      <w:r>
        <w:t xml:space="preserve">The </w:t>
      </w:r>
      <w:r w:rsidRPr="00405775">
        <w:rPr>
          <w:i/>
          <w:iCs/>
        </w:rPr>
        <w:t>Public Interest Disclosure Act 2010</w:t>
      </w:r>
      <w:r>
        <w:t xml:space="preserve"> (PID Act) provides a framework for reporting wrongdoing in the public sector, as well as protections for people who make disclosures, including from reprisal.</w:t>
      </w:r>
      <w:r w:rsidR="007A61EC">
        <w:t xml:space="preserve"> </w:t>
      </w:r>
      <w:r>
        <w:t xml:space="preserve">A person who experiences reprisal may take court proceedings or make a complaint to the Commission that is dealt with as a complaint under the </w:t>
      </w:r>
      <w:r w:rsidRPr="007A1CED">
        <w:rPr>
          <w:i/>
          <w:iCs/>
        </w:rPr>
        <w:t>Anti-Discrimination Act 1991</w:t>
      </w:r>
      <w:r>
        <w:t>.</w:t>
      </w:r>
    </w:p>
    <w:p w14:paraId="759E1E0E" w14:textId="77777777" w:rsidR="009F4971" w:rsidRDefault="009F4971" w:rsidP="00EB1859">
      <w:r>
        <w:t>The Commission provided statistics relating to complaints of reprisal for the three-year period from 2019 to 2022 as well as the outcomes of complaints that were resolved through conciliation.</w:t>
      </w:r>
    </w:p>
    <w:p w14:paraId="4DF40655" w14:textId="3F759148" w:rsidR="009F4971" w:rsidRDefault="009F4971" w:rsidP="00EB1859">
      <w:r>
        <w:t>The Commission also made a submission that focused on the objectives of the PID Act, including compatibility of the objectives with human rights, the definition of a public interest disclosure and who may make a public interest disclosure, remedies for reprisal, and suggestions for reform.</w:t>
      </w:r>
      <w:r w:rsidR="007A61EC">
        <w:t xml:space="preserve"> </w:t>
      </w:r>
      <w:r>
        <w:t>The Commission recommended: enacting a requirement to make an assessment decision and a right of review to the QIRC; having a central agency assessing disclosures (for example, the Queensland Ombudsman); reducing the coverage of matters that may be a public interest disclosure; an agency such as Victims Assist providing support for disclosers; and in principle approval of an administrative access scheme for people who experience reprisal.</w:t>
      </w:r>
    </w:p>
    <w:p w14:paraId="25A3BF7A" w14:textId="77777777" w:rsidR="009F4971" w:rsidRDefault="009F4971" w:rsidP="00CA5EBF">
      <w:pPr>
        <w:pStyle w:val="Heading3"/>
      </w:pPr>
      <w:r>
        <w:t>Path to Treaty Bill 2023</w:t>
      </w:r>
    </w:p>
    <w:p w14:paraId="15F56192" w14:textId="0604837D" w:rsidR="009F4971" w:rsidRDefault="009F4971" w:rsidP="00EB1859">
      <w:r w:rsidRPr="00021A56">
        <w:t xml:space="preserve">This Bill establishes the legislative framework needed to progress truth and treaty in Queensland. The Commission supported the intent of the Bill as promoting the human rights of Aboriginal people and Torres Strait Islander people but made several </w:t>
      </w:r>
      <w:r>
        <w:t>recommendations</w:t>
      </w:r>
      <w:r w:rsidRPr="00021A56">
        <w:t xml:space="preserve"> regarding its detail. In particular, the Commission noted that the truth-telling and healing inquiry’s compulsive powers were insufficient and did not include the power to compel the Queensland Police Service to give information or attend a hearing. The Commission also submitted that the </w:t>
      </w:r>
      <w:r>
        <w:t>three-</w:t>
      </w:r>
      <w:r w:rsidRPr="00021A56">
        <w:t>year time frame for the inquiry should be expanded, persons convicted of indictable offences should not be automatically disqualified from holding positions on the First Nations Treaty Institute, and that there be a 12-month review after the commencement of the inquiry in relation to the mechanisms and powers of the inquiry.</w:t>
      </w:r>
    </w:p>
    <w:p w14:paraId="01ACE500" w14:textId="77777777" w:rsidR="009F4971" w:rsidRDefault="009F4971" w:rsidP="00EB1859">
      <w:pPr>
        <w:rPr>
          <w:szCs w:val="22"/>
        </w:rPr>
      </w:pPr>
      <w:r>
        <w:t xml:space="preserve">The Bill was amended to remove the automatic disqualification of people with convictions for indictable offences from holding positions on the </w:t>
      </w:r>
      <w:r w:rsidRPr="00021A56">
        <w:rPr>
          <w:szCs w:val="22"/>
        </w:rPr>
        <w:t>First Nations Treaty Institute</w:t>
      </w:r>
      <w:r>
        <w:rPr>
          <w:szCs w:val="22"/>
        </w:rPr>
        <w:t>, to enable the Queensland Police Commissioner to be compelled to provide information, and to require the Minister to provide a report on the operation and efficiency of the Inquiry within one year after it is established.</w:t>
      </w:r>
    </w:p>
    <w:p w14:paraId="60D9E500" w14:textId="77777777" w:rsidR="009F4971" w:rsidRPr="00470589" w:rsidRDefault="009F4971" w:rsidP="00EB1859">
      <w:r>
        <w:t>The Bill has been passed and received assent, and will commence on a date to be fixed by proclamation.</w:t>
      </w:r>
    </w:p>
    <w:p w14:paraId="22330D17" w14:textId="77777777" w:rsidR="009F4971" w:rsidRDefault="009F4971" w:rsidP="00CA5EBF">
      <w:pPr>
        <w:pStyle w:val="Heading3"/>
      </w:pPr>
      <w:bookmarkStart w:id="162" w:name="_Toc143678720"/>
      <w:r>
        <w:lastRenderedPageBreak/>
        <w:t>Inquiry into support provided to victims of crime</w:t>
      </w:r>
      <w:bookmarkEnd w:id="162"/>
    </w:p>
    <w:p w14:paraId="1B89FEE7" w14:textId="77777777" w:rsidR="009F4971" w:rsidRDefault="009F4971" w:rsidP="00EB1859">
      <w:r>
        <w:t>The Legislative Assembly agreed to a motion that the Legal Affairs and Safety Committee inquire and report on support provided to victims of crime in Queensland. The terms of reference included: consideration of b</w:t>
      </w:r>
      <w:r w:rsidRPr="007F56EE">
        <w:t>etter coordination of state-wide services to ensure there is trauma informed, victim centric and timely support for victims, from the time of the incident and throughout the subsequent investigation and any prosecution</w:t>
      </w:r>
      <w:r>
        <w:t xml:space="preserve">; and the operation and effectiveness of the </w:t>
      </w:r>
      <w:r w:rsidRPr="00D93C7A">
        <w:rPr>
          <w:i/>
          <w:iCs/>
        </w:rPr>
        <w:t>Victims of Crime Assistance Act</w:t>
      </w:r>
      <w:r>
        <w:rPr>
          <w:i/>
          <w:iCs/>
        </w:rPr>
        <w:t xml:space="preserve"> 2009</w:t>
      </w:r>
      <w:r>
        <w:t xml:space="preserve"> including the Charter of Victims’ rights. </w:t>
      </w:r>
    </w:p>
    <w:p w14:paraId="1804ABB4" w14:textId="77777777" w:rsidR="009F4971" w:rsidRDefault="009F4971" w:rsidP="00EB1859">
      <w:r>
        <w:t>The Commission identified opportunities to strengthen support and rights for victims, including:</w:t>
      </w:r>
    </w:p>
    <w:p w14:paraId="063BCC52" w14:textId="77777777" w:rsidR="009F4971" w:rsidRDefault="009F4971" w:rsidP="00EB1859">
      <w:pPr>
        <w:pStyle w:val="ListParagraph"/>
        <w:numPr>
          <w:ilvl w:val="0"/>
          <w:numId w:val="24"/>
        </w:numPr>
      </w:pPr>
      <w:r>
        <w:t xml:space="preserve">Supporting the establishment of a dedicated victim’s commissioner whose functions include advancing systemic issues for victim-survivors and facilitating collaboration to expand pilot intermediary schemes to support vulnerable witnesses and victim-survivors of sexual violence. </w:t>
      </w:r>
    </w:p>
    <w:p w14:paraId="3F1A148B" w14:textId="77777777" w:rsidR="009F4971" w:rsidRDefault="009F4971" w:rsidP="00EB1859">
      <w:pPr>
        <w:pStyle w:val="ListParagraph"/>
        <w:numPr>
          <w:ilvl w:val="0"/>
          <w:numId w:val="24"/>
        </w:numPr>
      </w:pPr>
      <w:r>
        <w:t xml:space="preserve">The upcoming review of the </w:t>
      </w:r>
      <w:r w:rsidRPr="009F4971">
        <w:rPr>
          <w:i/>
        </w:rPr>
        <w:t>Human Rights Act 2019</w:t>
      </w:r>
      <w:r>
        <w:t xml:space="preserve"> (HR Act) and the likely review of the Victims Charter provide opportunities to consider the appropriate scope of victims’ rights, whether greater clarity is needed about the application of the HR Act to victims, and the interaction of the Victims Charter with the HR Act.</w:t>
      </w:r>
    </w:p>
    <w:p w14:paraId="6692FF85" w14:textId="77777777" w:rsidR="009F4971" w:rsidRDefault="009F4971" w:rsidP="00EB1859">
      <w:r>
        <w:t>Recommendations of the Committee included that: the government review the Charter of victims’ rights; and as part of its review of the HR Act, the government consider whether recognition of victims’ rights under the Charter of victims’ rights should be incorporated into the HR Act.</w:t>
      </w:r>
    </w:p>
    <w:p w14:paraId="30618827" w14:textId="77777777" w:rsidR="009F4971" w:rsidRDefault="009F4971" w:rsidP="00CA5EBF">
      <w:pPr>
        <w:pStyle w:val="Heading3"/>
        <w:ind w:right="2222"/>
      </w:pPr>
      <w:r>
        <w:t>Criminal Code (Serious Vilification and Hate Crimes) and Other Legislation Amendment Bill 2023</w:t>
      </w:r>
    </w:p>
    <w:p w14:paraId="28B11D28" w14:textId="6C88979D" w:rsidR="009F4971" w:rsidRPr="00737EC6" w:rsidRDefault="009F4971" w:rsidP="00EB1859">
      <w:r w:rsidRPr="00737EC6">
        <w:t>The purpose of the Bill is to implement recommendations 7, 8, 9, and 16 of the Legal Affairs and Safety Committee following its Inquiry into Serious Vilification and Hate Crimes.</w:t>
      </w:r>
      <w:r w:rsidR="007A61EC">
        <w:t xml:space="preserve"> </w:t>
      </w:r>
      <w:r w:rsidRPr="00737EC6">
        <w:t>It also provides for the increase of the maximum penalty for serious vilification to three years imprisonment.</w:t>
      </w:r>
    </w:p>
    <w:p w14:paraId="2DB84AF8" w14:textId="77777777" w:rsidR="009F4971" w:rsidRPr="00737EC6" w:rsidRDefault="009F4971" w:rsidP="00EB1859">
      <w:r w:rsidRPr="00737EC6">
        <w:t>The Commission support</w:t>
      </w:r>
      <w:r>
        <w:t>ed</w:t>
      </w:r>
      <w:r w:rsidRPr="00737EC6">
        <w:t xml:space="preserve"> the relocation of </w:t>
      </w:r>
      <w:r>
        <w:t xml:space="preserve">offence of serious vilification from </w:t>
      </w:r>
      <w:r w:rsidRPr="00737EC6">
        <w:t>s</w:t>
      </w:r>
      <w:r>
        <w:t xml:space="preserve">ection </w:t>
      </w:r>
      <w:r w:rsidRPr="00737EC6">
        <w:t xml:space="preserve">131A of the </w:t>
      </w:r>
      <w:r>
        <w:rPr>
          <w:i/>
          <w:iCs/>
        </w:rPr>
        <w:t>Anti-Discrimination Act 1991</w:t>
      </w:r>
      <w:r w:rsidRPr="00737EC6">
        <w:t xml:space="preserve"> into the Criminal Code, </w:t>
      </w:r>
      <w:r>
        <w:t>removing</w:t>
      </w:r>
      <w:r w:rsidRPr="00737EC6">
        <w:t xml:space="preserve"> the requirement to obtain the consent of the D</w:t>
      </w:r>
      <w:r>
        <w:t>irector of Public Prosecutions</w:t>
      </w:r>
      <w:r w:rsidRPr="00737EC6">
        <w:t xml:space="preserve"> or </w:t>
      </w:r>
      <w:r>
        <w:t xml:space="preserve">the </w:t>
      </w:r>
      <w:r w:rsidRPr="00737EC6">
        <w:t>A</w:t>
      </w:r>
      <w:r>
        <w:t>ttorney</w:t>
      </w:r>
      <w:r w:rsidRPr="00737EC6">
        <w:t>-G</w:t>
      </w:r>
      <w:r>
        <w:t>eneral</w:t>
      </w:r>
      <w:r w:rsidRPr="00737EC6">
        <w:t xml:space="preserve"> before </w:t>
      </w:r>
      <w:r>
        <w:t xml:space="preserve">police can </w:t>
      </w:r>
      <w:r w:rsidRPr="00737EC6">
        <w:t>commenc</w:t>
      </w:r>
      <w:r>
        <w:t>e</w:t>
      </w:r>
      <w:r w:rsidRPr="00737EC6">
        <w:t xml:space="preserve"> a prosecution, increasing the maximum penalty </w:t>
      </w:r>
      <w:r>
        <w:t xml:space="preserve">for serious vilification </w:t>
      </w:r>
      <w:r w:rsidRPr="00737EC6">
        <w:t xml:space="preserve">to three years imprisonment, introducing a statutory circumstance of aggravation of hate and serious contempt for certain offences, and prohibiting the </w:t>
      </w:r>
      <w:r>
        <w:t xml:space="preserve">public </w:t>
      </w:r>
      <w:r w:rsidRPr="00737EC6">
        <w:t>display of hate symbols.</w:t>
      </w:r>
    </w:p>
    <w:p w14:paraId="1220D1DB" w14:textId="77777777" w:rsidR="009F4971" w:rsidRPr="00737EC6" w:rsidRDefault="009F4971" w:rsidP="00EB1859">
      <w:r w:rsidRPr="00737EC6">
        <w:t>The Commission recommended:</w:t>
      </w:r>
    </w:p>
    <w:p w14:paraId="101F7629" w14:textId="77777777" w:rsidR="009F4971" w:rsidRPr="00737EC6" w:rsidRDefault="009F4971" w:rsidP="00EB1859">
      <w:pPr>
        <w:pStyle w:val="ListParagraph"/>
        <w:numPr>
          <w:ilvl w:val="0"/>
          <w:numId w:val="25"/>
        </w:numPr>
      </w:pPr>
      <w:r w:rsidRPr="00737EC6">
        <w:lastRenderedPageBreak/>
        <w:t>Clarifying that a public act may occur in a closed environment such as a workplace of educational institution.</w:t>
      </w:r>
    </w:p>
    <w:p w14:paraId="2204ADD5" w14:textId="77777777" w:rsidR="009F4971" w:rsidRPr="00737EC6" w:rsidRDefault="009F4971" w:rsidP="00EB1859">
      <w:pPr>
        <w:pStyle w:val="ListParagraph"/>
        <w:numPr>
          <w:ilvl w:val="0"/>
          <w:numId w:val="25"/>
        </w:numPr>
      </w:pPr>
      <w:r w:rsidRPr="00737EC6">
        <w:t>Simplifying the test for aggravation.</w:t>
      </w:r>
    </w:p>
    <w:p w14:paraId="288D7AEE" w14:textId="77777777" w:rsidR="009F4971" w:rsidRPr="00737EC6" w:rsidRDefault="009F4971" w:rsidP="00EB1859">
      <w:pPr>
        <w:pStyle w:val="ListParagraph"/>
        <w:numPr>
          <w:ilvl w:val="0"/>
          <w:numId w:val="25"/>
        </w:numPr>
      </w:pPr>
      <w:r w:rsidRPr="00737EC6">
        <w:t>Adding the ground of impairment to vilification and circumstance of aggravation.</w:t>
      </w:r>
    </w:p>
    <w:p w14:paraId="56B1B8ED" w14:textId="77777777" w:rsidR="009F4971" w:rsidRPr="00737EC6" w:rsidRDefault="009F4971" w:rsidP="00EB1859">
      <w:pPr>
        <w:pStyle w:val="ListParagraph"/>
        <w:numPr>
          <w:ilvl w:val="0"/>
          <w:numId w:val="25"/>
        </w:numPr>
      </w:pPr>
      <w:r w:rsidRPr="00737EC6">
        <w:t>Clarify that the public display of prohibited symbols includes closed environments.</w:t>
      </w:r>
    </w:p>
    <w:p w14:paraId="7B104C56" w14:textId="77777777" w:rsidR="009F4971" w:rsidRPr="00737EC6" w:rsidRDefault="009F4971" w:rsidP="00EB1859">
      <w:pPr>
        <w:pStyle w:val="ListParagraph"/>
        <w:numPr>
          <w:ilvl w:val="0"/>
          <w:numId w:val="25"/>
        </w:numPr>
      </w:pPr>
      <w:r w:rsidRPr="00737EC6">
        <w:t>Provide for a review of the operation of aggravated offences against Aboriginal and Torres Strait Islander peoples.</w:t>
      </w:r>
    </w:p>
    <w:p w14:paraId="3B4D8331" w14:textId="77777777" w:rsidR="009F4971" w:rsidRPr="00737EC6" w:rsidRDefault="009F4971" w:rsidP="00EB1859">
      <w:pPr>
        <w:pStyle w:val="ListParagraph"/>
        <w:numPr>
          <w:ilvl w:val="0"/>
          <w:numId w:val="25"/>
        </w:numPr>
      </w:pPr>
      <w:r w:rsidRPr="00737EC6">
        <w:t>Exclude aggravated offensive behaviour towards police.</w:t>
      </w:r>
    </w:p>
    <w:p w14:paraId="27AEC3B2" w14:textId="1BB4092F" w:rsidR="009F4971" w:rsidRDefault="009F4971" w:rsidP="00EB1859">
      <w:r>
        <w:t>The Committee has made nine recommendations including that the Bill be amended to include closed environments such as hospitals and educational institutions where the offences of serious vilification and displaying prohibited symbols are prohibited.</w:t>
      </w:r>
      <w:r w:rsidR="007A61EC">
        <w:t xml:space="preserve"> </w:t>
      </w:r>
      <w:r>
        <w:t xml:space="preserve">The Committee also recommended that the government consider additional grounds for both vilification and serious vilification in its review of the </w:t>
      </w:r>
      <w:r w:rsidRPr="00B04B17">
        <w:rPr>
          <w:i/>
          <w:iCs/>
        </w:rPr>
        <w:t>Anti-Discrimination Act 1991</w:t>
      </w:r>
      <w:r>
        <w:t>, amending the definition of ‘public act’, and conducting a review within 24 months of commencement to consider the impact of the amendments on First Nations peoples.</w:t>
      </w:r>
    </w:p>
    <w:p w14:paraId="514E3926" w14:textId="767243EA" w:rsidR="007A61EC" w:rsidRDefault="007A61EC" w:rsidP="00CA5EBF">
      <w:pPr>
        <w:pStyle w:val="Heading3"/>
      </w:pPr>
      <w:r w:rsidRPr="00B83839">
        <w:t>Strengthening Community Safety Bill 2023</w:t>
      </w:r>
    </w:p>
    <w:p w14:paraId="74719CF9" w14:textId="77777777" w:rsidR="00FD520D" w:rsidRDefault="007A61EC" w:rsidP="00EB1859">
      <w:r w:rsidRPr="007A61EC">
        <w:t xml:space="preserve">The Strengthening Community Safety Bill 2023 proposed amendments to various laws </w:t>
      </w:r>
      <w:r>
        <w:t>in response to public concern and debate over youth offending</w:t>
      </w:r>
      <w:r w:rsidRPr="007A61EC">
        <w:t>.</w:t>
      </w:r>
      <w:r>
        <w:t xml:space="preserve"> </w:t>
      </w:r>
    </w:p>
    <w:p w14:paraId="233184BA" w14:textId="77777777" w:rsidR="00FD520D" w:rsidRDefault="009E3673" w:rsidP="00EB1859">
      <w:r>
        <w:t xml:space="preserve">The Human Rights Act provides that the Act may be overridden by parliament in situations where exceptional circumstances apply, and therefore an Act or provisions can be enacted despite being incompatible with human rights. </w:t>
      </w:r>
    </w:p>
    <w:p w14:paraId="7ADBFB5E" w14:textId="552C2DA1" w:rsidR="00B74253" w:rsidRDefault="00FD520D" w:rsidP="00EB1859">
      <w:r>
        <w:t xml:space="preserve">The Strengthening Community Safety </w:t>
      </w:r>
      <w:r w:rsidR="009E3673">
        <w:t xml:space="preserve">Bill marks the first override declaration made under the Act, </w:t>
      </w:r>
      <w:r>
        <w:t xml:space="preserve">with the government acknowledging that </w:t>
      </w:r>
      <w:r w:rsidR="009E3673">
        <w:t>certain</w:t>
      </w:r>
      <w:r>
        <w:t xml:space="preserve"> of its</w:t>
      </w:r>
      <w:r w:rsidR="009E3673">
        <w:t xml:space="preserve"> provisions </w:t>
      </w:r>
      <w:r>
        <w:t>(</w:t>
      </w:r>
      <w:r w:rsidR="009E3673">
        <w:t>changing the granting of bail and the detention of children</w:t>
      </w:r>
      <w:r>
        <w:t xml:space="preserve">) </w:t>
      </w:r>
      <w:r w:rsidR="009E3673">
        <w:t>were incompatible with several rights</w:t>
      </w:r>
      <w:r>
        <w:t>,</w:t>
      </w:r>
      <w:r w:rsidR="009E3673">
        <w:t xml:space="preserve"> including the rights of children to protection in their best interest, and the right to liberty.</w:t>
      </w:r>
      <w:r w:rsidR="00A946AA">
        <w:t xml:space="preserve"> </w:t>
      </w:r>
    </w:p>
    <w:p w14:paraId="0F783BE5" w14:textId="77777777" w:rsidR="007A61EC" w:rsidRPr="007A61EC" w:rsidRDefault="007A61EC" w:rsidP="00EB1859">
      <w:r w:rsidRPr="007A61EC">
        <w:t>The Commission recommended the Bill not be passed because of the significant and disproportionate limitations it placed on the rights of children. The Commission suggested the proposed override of the Human Rights Act was not justified and it would have been preferable for the government to have instead provided detailed justification for compatibility and incompatibility with human rights.</w:t>
      </w:r>
    </w:p>
    <w:p w14:paraId="55E88470" w14:textId="5E1E528B" w:rsidR="007A61EC" w:rsidRPr="007A61EC" w:rsidRDefault="007A61EC" w:rsidP="00EB1859">
      <w:r w:rsidRPr="007A61EC">
        <w:t xml:space="preserve">The Economics and Governance Committee report concluded that the incompatibilities with human rights were justified and that other limitations of human rights struck an appropriate balance between the protection of the rights of children and strengthening community safety. Therefore, the Bill’s impact on human rights was justified in the circumstances and recommended parliament pass the bill. </w:t>
      </w:r>
    </w:p>
    <w:p w14:paraId="542D9F71" w14:textId="25A77E56" w:rsidR="007A61EC" w:rsidRPr="007A61EC" w:rsidRDefault="007A61EC" w:rsidP="00EB1859">
      <w:r w:rsidRPr="007A61EC">
        <w:lastRenderedPageBreak/>
        <w:t xml:space="preserve">The Bill passed with the </w:t>
      </w:r>
      <w:r w:rsidR="00B83839">
        <w:t>o</w:t>
      </w:r>
      <w:r w:rsidRPr="007A61EC">
        <w:t xml:space="preserve">verride </w:t>
      </w:r>
      <w:r w:rsidR="00B83839">
        <w:t>d</w:t>
      </w:r>
      <w:r w:rsidRPr="007A61EC">
        <w:t xml:space="preserve">eclaration. The Act was discussed throughout the debate stage, including </w:t>
      </w:r>
      <w:r w:rsidR="004D6933">
        <w:t xml:space="preserve">our </w:t>
      </w:r>
      <w:r w:rsidRPr="007A61EC">
        <w:t>submissions.</w:t>
      </w:r>
    </w:p>
    <w:p w14:paraId="769655C8" w14:textId="70E30BF2" w:rsidR="009F4971" w:rsidRDefault="009F4971" w:rsidP="00CA5EBF">
      <w:pPr>
        <w:pStyle w:val="Heading3"/>
      </w:pPr>
      <w:r>
        <w:t>Public Health and Other Legislation (COVID-19 Management) Amendment Bill 2022</w:t>
      </w:r>
    </w:p>
    <w:p w14:paraId="0065DCDC" w14:textId="44DD833A" w:rsidR="009F4971" w:rsidRDefault="009F4971" w:rsidP="00EB1859">
      <w:r>
        <w:t>This Bill was informed by feedback and advocacy of the Commission and other stakeholders on the Bill and COVID-19 legislation more broadly.</w:t>
      </w:r>
      <w:r w:rsidR="007A61EC">
        <w:t xml:space="preserve"> </w:t>
      </w:r>
      <w:r>
        <w:t>It became temporary legislation that provides a step-down approach to managing COVID-19 for the period between 31 October 2022 and 31 October 2023.</w:t>
      </w:r>
    </w:p>
    <w:p w14:paraId="5ED6997E" w14:textId="7C58A64A" w:rsidR="009F4971" w:rsidRDefault="009F4971" w:rsidP="00EB1859">
      <w:r>
        <w:t>The power of the Chief Health Officer to make public health directions is limited to three key measures: masks, isolation and quarantine, and vaccinations for workers in high-risk settings.</w:t>
      </w:r>
      <w:r w:rsidR="007A61EC">
        <w:t xml:space="preserve"> </w:t>
      </w:r>
      <w:r>
        <w:t>Directions would undergo a parliamentary process that includes a statement explaining the rationale and compatibility with human rights.</w:t>
      </w:r>
      <w:r w:rsidR="007A61EC">
        <w:t xml:space="preserve"> </w:t>
      </w:r>
      <w:r>
        <w:t>Directions would expire automatically after 90 days.</w:t>
      </w:r>
      <w:r w:rsidR="007A61EC">
        <w:t xml:space="preserve"> </w:t>
      </w:r>
      <w:r>
        <w:t>There are additional safeguards that require a person to be given an opportunity to voluntarily comply with a direction before compliance is enforced.</w:t>
      </w:r>
    </w:p>
    <w:p w14:paraId="69CB721B" w14:textId="77777777" w:rsidR="009F4971" w:rsidRDefault="009F4971" w:rsidP="00EB1859">
      <w:r>
        <w:t>There are no public health directions in effect.</w:t>
      </w:r>
    </w:p>
    <w:p w14:paraId="2D42EFB1" w14:textId="2DBB2849" w:rsidR="00A52242" w:rsidRPr="000734F3" w:rsidRDefault="00A52242" w:rsidP="00CA5EBF">
      <w:pPr>
        <w:pStyle w:val="Heading2"/>
      </w:pPr>
      <w:bookmarkStart w:id="163" w:name="_Toc143678721"/>
      <w:bookmarkStart w:id="164" w:name="_Toc144200501"/>
      <w:r w:rsidRPr="000734F3">
        <w:t>Courts and tribunals</w:t>
      </w:r>
      <w:bookmarkEnd w:id="163"/>
      <w:bookmarkEnd w:id="164"/>
      <w:r w:rsidRPr="000734F3">
        <w:t xml:space="preserve"> </w:t>
      </w:r>
    </w:p>
    <w:p w14:paraId="7BF2195C" w14:textId="77777777" w:rsidR="00A52242" w:rsidRPr="000734F3" w:rsidRDefault="00A52242" w:rsidP="00CA5EBF">
      <w:pPr>
        <w:pStyle w:val="Heading3"/>
      </w:pPr>
      <w:bookmarkStart w:id="165" w:name="_Toc80971372"/>
      <w:bookmarkStart w:id="166" w:name="_Toc80971370"/>
      <w:r w:rsidRPr="000734F3">
        <w:t>Intervention in proceedings</w:t>
      </w:r>
      <w:bookmarkEnd w:id="165"/>
      <w:r w:rsidRPr="000734F3">
        <w:t xml:space="preserve"> </w:t>
      </w:r>
    </w:p>
    <w:p w14:paraId="11C3EA3E" w14:textId="77777777" w:rsidR="00A52242" w:rsidRPr="000734F3" w:rsidRDefault="00A52242" w:rsidP="00EB1859">
      <w:r w:rsidRPr="000734F3">
        <w:t xml:space="preserve">Our functions under the </w:t>
      </w:r>
      <w:r w:rsidRPr="000734F3">
        <w:rPr>
          <w:i/>
        </w:rPr>
        <w:t>Anti-Discrimination Act 1991</w:t>
      </w:r>
      <w:r w:rsidRPr="000734F3">
        <w:t xml:space="preserve"> include intervening in a proceeding that involves human rights issues with the leave of the court hearing the proceeding.</w:t>
      </w:r>
      <w:r>
        <w:t xml:space="preserve"> </w:t>
      </w:r>
      <w:r w:rsidRPr="000734F3">
        <w:t>In the period</w:t>
      </w:r>
      <w:r>
        <w:t>, we</w:t>
      </w:r>
      <w:r w:rsidRPr="000734F3">
        <w:t xml:space="preserve"> did not intervene in any proceedings under this function.</w:t>
      </w:r>
    </w:p>
    <w:p w14:paraId="23FDFDE7" w14:textId="77777777" w:rsidR="00A52242" w:rsidRPr="000734F3" w:rsidRDefault="00A52242" w:rsidP="00EB1859">
      <w:r w:rsidRPr="000734F3">
        <w:t xml:space="preserve">Under the </w:t>
      </w:r>
      <w:r w:rsidRPr="000734F3">
        <w:rPr>
          <w:i/>
        </w:rPr>
        <w:t>Human Rights Act 2019</w:t>
      </w:r>
      <w:r w:rsidRPr="000734F3">
        <w:t xml:space="preserve">, we may also intervene in a proceeding in a court or tribunal where there is a question of law about the application of the </w:t>
      </w:r>
      <w:r w:rsidRPr="00C108AD">
        <w:rPr>
          <w:iCs/>
        </w:rPr>
        <w:t>Human Rights Act</w:t>
      </w:r>
      <w:r w:rsidRPr="000734F3">
        <w:t xml:space="preserve">, or a question in relation to the interpretation of a statutory provision in accordance with the </w:t>
      </w:r>
      <w:r w:rsidRPr="00C108AD">
        <w:rPr>
          <w:iCs/>
        </w:rPr>
        <w:t>Human Rights Act</w:t>
      </w:r>
      <w:r w:rsidRPr="000734F3">
        <w:t>.</w:t>
      </w:r>
      <w:r>
        <w:t xml:space="preserve"> </w:t>
      </w:r>
      <w:r w:rsidRPr="000734F3">
        <w:t xml:space="preserve">Where either of these questions arise in a proceeding in the Supreme or District Courts, a party is required to give notice to the Commission of the relevant question (section 52 of </w:t>
      </w:r>
      <w:r>
        <w:t xml:space="preserve">the </w:t>
      </w:r>
      <w:r w:rsidRPr="00C108AD">
        <w:rPr>
          <w:iCs/>
        </w:rPr>
        <w:t>Human Rights Act</w:t>
      </w:r>
      <w:r w:rsidRPr="000734F3">
        <w:t>).</w:t>
      </w:r>
      <w:r>
        <w:t xml:space="preserve"> </w:t>
      </w:r>
      <w:r w:rsidRPr="000734F3">
        <w:t>We are sometimes notified of proceedings outside of this statutory requirement and asked to intervene in a proceeding.</w:t>
      </w:r>
    </w:p>
    <w:p w14:paraId="6202554B" w14:textId="77777777" w:rsidR="00A52242" w:rsidRPr="000734F3" w:rsidRDefault="00A52242" w:rsidP="00EB1859">
      <w:r w:rsidRPr="000734F3">
        <w:t xml:space="preserve">A guideline as to when we might exercise the power under the </w:t>
      </w:r>
      <w:r w:rsidRPr="00C108AD">
        <w:rPr>
          <w:iCs/>
        </w:rPr>
        <w:t>Human Rights Act</w:t>
      </w:r>
      <w:r w:rsidRPr="000734F3">
        <w:t xml:space="preserve"> to intervene in proceedings is published on our website.</w:t>
      </w:r>
    </w:p>
    <w:p w14:paraId="0E8EF7F0" w14:textId="3A92939A" w:rsidR="00A52242" w:rsidRPr="000734F3" w:rsidRDefault="00A52242" w:rsidP="00EB1859">
      <w:r w:rsidRPr="000734F3">
        <w:t xml:space="preserve">In 2022-23, we received 26 notifications or requests to intervene under the </w:t>
      </w:r>
      <w:r w:rsidRPr="00C108AD">
        <w:rPr>
          <w:iCs/>
        </w:rPr>
        <w:t>Human Rights Act</w:t>
      </w:r>
      <w:r w:rsidRPr="000734F3">
        <w:t>.</w:t>
      </w:r>
      <w:r>
        <w:t xml:space="preserve"> </w:t>
      </w:r>
      <w:r w:rsidRPr="000734F3">
        <w:t>Of those, 16 were notices under section 52 of the</w:t>
      </w:r>
      <w:r>
        <w:t xml:space="preserve"> </w:t>
      </w:r>
      <w:r w:rsidRPr="00C108AD">
        <w:rPr>
          <w:iCs/>
        </w:rPr>
        <w:t>Act</w:t>
      </w:r>
      <w:r w:rsidRPr="000734F3">
        <w:t>.</w:t>
      </w:r>
      <w:r>
        <w:t xml:space="preserve"> </w:t>
      </w:r>
      <w:r w:rsidRPr="001B2425">
        <w:t xml:space="preserve">In the period we intervened in </w:t>
      </w:r>
      <w:r w:rsidR="00B83839">
        <w:t>five</w:t>
      </w:r>
      <w:r w:rsidRPr="001B2425">
        <w:t xml:space="preserve"> matters in the Supreme Court and one matter in the District Court.</w:t>
      </w:r>
    </w:p>
    <w:p w14:paraId="1DCA75ED" w14:textId="77777777" w:rsidR="00A52242" w:rsidRPr="000734F3" w:rsidRDefault="00A52242" w:rsidP="00EB1859">
      <w:r w:rsidRPr="000734F3">
        <w:t xml:space="preserve">The first Supreme Court matter was an application by the Attorney-General under the </w:t>
      </w:r>
      <w:r w:rsidRPr="000734F3">
        <w:rPr>
          <w:i/>
          <w:iCs/>
        </w:rPr>
        <w:t xml:space="preserve">Dangerous Prisoners (Sexual Offences) Act 2003 </w:t>
      </w:r>
      <w:r w:rsidRPr="000734F3">
        <w:t xml:space="preserve">about the release of a person who had been convicted of sexual offences and served their time, and who remained a risk if they were to </w:t>
      </w:r>
      <w:r w:rsidRPr="000734F3">
        <w:lastRenderedPageBreak/>
        <w:t>be released without a supervision order.</w:t>
      </w:r>
      <w:r>
        <w:t xml:space="preserve"> We</w:t>
      </w:r>
      <w:r w:rsidRPr="000734F3">
        <w:t xml:space="preserve"> made submissions about the application of the </w:t>
      </w:r>
      <w:r w:rsidRPr="00C108AD">
        <w:rPr>
          <w:iCs/>
        </w:rPr>
        <w:t>Human Rights Act</w:t>
      </w:r>
      <w:r w:rsidRPr="000734F3">
        <w:t xml:space="preserve"> (HR Act) when a court has functions under the part of the HR Act that sets out the human rights.</w:t>
      </w:r>
      <w:r>
        <w:t xml:space="preserve"> </w:t>
      </w:r>
    </w:p>
    <w:p w14:paraId="7B1AC05D" w14:textId="77777777" w:rsidR="00A52242" w:rsidRPr="000734F3" w:rsidRDefault="00A52242" w:rsidP="00EB1859">
      <w:r w:rsidRPr="000734F3">
        <w:t xml:space="preserve">A decision in this matter was delivered on 16 November 2022 - </w:t>
      </w:r>
      <w:r w:rsidRPr="000734F3">
        <w:rPr>
          <w:i/>
          <w:iCs/>
        </w:rPr>
        <w:t xml:space="preserve">Attorney-General for the State of Queensland v Grant (No 2) </w:t>
      </w:r>
      <w:r w:rsidRPr="000734F3">
        <w:t>[2022] QSC 253.</w:t>
      </w:r>
      <w:r>
        <w:t xml:space="preserve"> </w:t>
      </w:r>
      <w:r w:rsidRPr="000734F3">
        <w:t>The Supreme Court clarified that a court is required to apply the human rights that are relevant to the subject matter under consideration (the ‘intermediate approach’) rather than limiting its consideration to those rights that are explicitly addressed to courts (for example, the right to fair hearing and rights in criminal proceedings).</w:t>
      </w:r>
      <w:r>
        <w:t xml:space="preserve"> </w:t>
      </w:r>
      <w:r w:rsidRPr="000734F3">
        <w:t xml:space="preserve">In this case where there was expert evidence the risk could be ameliorated by making a supervision order, the Court considered that deciding whether to make an order for continued detention or a supervision order involved consideration of the right to liberty in section 29(1), the right to protection against arbitrary detention in section 29(2), and the right to humane treatment when deprived of liberty in section 30 of the </w:t>
      </w:r>
      <w:r w:rsidRPr="00C108AD">
        <w:rPr>
          <w:iCs/>
        </w:rPr>
        <w:t>Human Rights Act</w:t>
      </w:r>
      <w:r w:rsidRPr="000734F3">
        <w:t>.</w:t>
      </w:r>
      <w:r>
        <w:t xml:space="preserve"> </w:t>
      </w:r>
    </w:p>
    <w:p w14:paraId="4C52A3A0" w14:textId="5804B49B" w:rsidR="00A52242" w:rsidRPr="000734F3" w:rsidRDefault="00A52242" w:rsidP="00EB1859">
      <w:r w:rsidRPr="000734F3">
        <w:t xml:space="preserve">The other </w:t>
      </w:r>
      <w:r w:rsidR="00B83839">
        <w:t xml:space="preserve">four </w:t>
      </w:r>
      <w:r w:rsidRPr="000734F3">
        <w:t>Supreme Court matter</w:t>
      </w:r>
      <w:r w:rsidR="00B83839">
        <w:t>s</w:t>
      </w:r>
      <w:r w:rsidRPr="000734F3">
        <w:t xml:space="preserve"> in which </w:t>
      </w:r>
      <w:r>
        <w:t>we</w:t>
      </w:r>
      <w:r w:rsidRPr="000734F3">
        <w:t xml:space="preserve"> intervened </w:t>
      </w:r>
      <w:r w:rsidR="00B83839">
        <w:t>were related</w:t>
      </w:r>
      <w:r w:rsidRPr="000734F3">
        <w:t xml:space="preserve"> application</w:t>
      </w:r>
      <w:r w:rsidR="00B83839">
        <w:t>s</w:t>
      </w:r>
      <w:r w:rsidRPr="000734F3">
        <w:t xml:space="preserve"> for review of a decision of a Magistrate to release children on bail.</w:t>
      </w:r>
      <w:r>
        <w:t xml:space="preserve"> We</w:t>
      </w:r>
      <w:r w:rsidRPr="000734F3">
        <w:t xml:space="preserve"> made submissions about the extent to which limitation of human rights is relevant to the consideration of risk when deciding whether to release someone on bail.</w:t>
      </w:r>
      <w:r>
        <w:t xml:space="preserve"> </w:t>
      </w:r>
      <w:r w:rsidRPr="000734F3">
        <w:t xml:space="preserve">The applications were withdrawn before being heard. </w:t>
      </w:r>
    </w:p>
    <w:p w14:paraId="195C0413" w14:textId="77777777" w:rsidR="00A52242" w:rsidRPr="000734F3" w:rsidRDefault="00A52242" w:rsidP="00EB1859">
      <w:r w:rsidRPr="000734F3">
        <w:t xml:space="preserve">The District Court matter in which </w:t>
      </w:r>
      <w:r>
        <w:t>we</w:t>
      </w:r>
      <w:r w:rsidRPr="000734F3">
        <w:t xml:space="preserve"> intervened was an application to exclude certain evidence in criminal proceedings.</w:t>
      </w:r>
      <w:r>
        <w:t xml:space="preserve"> We</w:t>
      </w:r>
      <w:r w:rsidRPr="000734F3">
        <w:t xml:space="preserve"> made submissions about the right to privacy and how it applied to questioning and seizure of property by police, and the obligations on police to give proper consideration of human rights when deciding to seize property.</w:t>
      </w:r>
      <w:r>
        <w:t xml:space="preserve"> </w:t>
      </w:r>
      <w:r w:rsidRPr="000734F3">
        <w:t>At the hearing of the application the prosecution entered a nolle prosequi, which has the effect of discharging the accused person.</w:t>
      </w:r>
    </w:p>
    <w:p w14:paraId="7A15034C" w14:textId="77777777" w:rsidR="00A52242" w:rsidRPr="000734F3" w:rsidRDefault="00A52242" w:rsidP="00EB1859">
      <w:bookmarkStart w:id="167" w:name="_Hlk141883716"/>
      <w:r w:rsidRPr="000734F3">
        <w:t>In 2021-22</w:t>
      </w:r>
      <w:r>
        <w:t>, we</w:t>
      </w:r>
      <w:r w:rsidRPr="000734F3">
        <w:t xml:space="preserve"> intervened in a coronial inquest into the deaths of three young Aboriginal women from the same remote community as a result of rheumatic heart disease. </w:t>
      </w:r>
      <w:r>
        <w:t>Our</w:t>
      </w:r>
      <w:r w:rsidRPr="000734F3">
        <w:t xml:space="preserve"> submissions included the application of the HR Act to the Coroners Court and the scope of rights relevant to the investigation.</w:t>
      </w:r>
    </w:p>
    <w:p w14:paraId="132C75DF" w14:textId="77777777" w:rsidR="00A52242" w:rsidRDefault="00A52242" w:rsidP="00EB1859">
      <w:r w:rsidRPr="000734F3">
        <w:t xml:space="preserve">The Coroners Court handed down its findings in </w:t>
      </w:r>
      <w:r w:rsidRPr="000734F3">
        <w:rPr>
          <w:i/>
          <w:iCs/>
        </w:rPr>
        <w:t xml:space="preserve">Inquest into the deaths of Yvette Michelle Wilma Booth, Adele Estelle Sandy, </w:t>
      </w:r>
      <w:proofErr w:type="spellStart"/>
      <w:r w:rsidRPr="000734F3">
        <w:rPr>
          <w:i/>
          <w:iCs/>
        </w:rPr>
        <w:t>Shakaya</w:t>
      </w:r>
      <w:proofErr w:type="spellEnd"/>
      <w:r w:rsidRPr="000734F3">
        <w:rPr>
          <w:i/>
          <w:iCs/>
        </w:rPr>
        <w:t xml:space="preserve"> George</w:t>
      </w:r>
      <w:r w:rsidRPr="000734F3">
        <w:t xml:space="preserve"> (‘RHD Doomadgee Cluster’) on 30 June 2023.</w:t>
      </w:r>
      <w:r>
        <w:t xml:space="preserve"> </w:t>
      </w:r>
      <w:r w:rsidRPr="000734F3">
        <w:t>The Coroner accepted that holding an inquest and making findings and recommendations to prevent deaths in the future is an administrative function of the Court and is therefore subject to the obligations of a public entity under section 58 of the HR Act.</w:t>
      </w:r>
      <w:r>
        <w:t xml:space="preserve"> </w:t>
      </w:r>
      <w:r w:rsidRPr="000734F3">
        <w:t xml:space="preserve">The Coroner went on to find that failures in information sharing between health services, and between health services, patients and their families, had impacted on the patients’ rights to life and their right to access health services. The Coroner acknowledged concerns regarding cultural safety at the health services in the community and made recommendations to address this. The findings outline how cultural rights are preserved by the existence of an Aboriginal Community Controlled Health Organisation in the community, including </w:t>
      </w:r>
      <w:r w:rsidRPr="000734F3">
        <w:lastRenderedPageBreak/>
        <w:t>because they support community identity by employing locals, ensure observance of language and cultural expression, recognise kinship ties and how those relationships may be impacted, and are governed by a predominantly First Nations Board of Directors and CEO, some of whom have close cultural connections to the community.</w:t>
      </w:r>
    </w:p>
    <w:p w14:paraId="2BB297D9" w14:textId="77777777" w:rsidR="00A52242" w:rsidRPr="000734F3" w:rsidRDefault="00A52242" w:rsidP="00EB1859">
      <w:r w:rsidRPr="00850BE3">
        <w:t xml:space="preserve">In 2021-22 we also intervened in a number of matters relating to vaccine mandates introduced as part of the COVID-19 pandemic response. </w:t>
      </w:r>
      <w:r w:rsidRPr="00850BE3">
        <w:rPr>
          <w:rStyle w:val="ui-provider"/>
        </w:rPr>
        <w:t>While there were some preliminary decisions by courts during the year in these matters, as at 30 June 2023 several of these matters were ongoing and there has not yet been a decision by the Supreme Court regarding the compatibility of vaccination mandates with human rights.</w:t>
      </w:r>
    </w:p>
    <w:bookmarkEnd w:id="167"/>
    <w:p w14:paraId="7D781D45" w14:textId="77777777" w:rsidR="00A52242" w:rsidRPr="000734F3" w:rsidRDefault="00A52242" w:rsidP="00CA5EBF">
      <w:pPr>
        <w:pStyle w:val="Heading3"/>
      </w:pPr>
      <w:r w:rsidRPr="000734F3">
        <w:t>Applications to the Tribunal for review</w:t>
      </w:r>
      <w:bookmarkEnd w:id="166"/>
    </w:p>
    <w:p w14:paraId="0407DE2D" w14:textId="77777777" w:rsidR="00A52242" w:rsidRPr="000734F3" w:rsidRDefault="00A52242" w:rsidP="00EB1859">
      <w:r w:rsidRPr="000734F3">
        <w:t xml:space="preserve">Under section 169 of the </w:t>
      </w:r>
      <w:r w:rsidRPr="000734F3">
        <w:rPr>
          <w:i/>
        </w:rPr>
        <w:t xml:space="preserve">Anti-Discrimination Act 1991 </w:t>
      </w:r>
      <w:r w:rsidRPr="000734F3">
        <w:t>a complainant may apply to the tribunal for review of a decision to lapse a complaint where the Commissioner has formed the opinion that the complainant had lost interest in continuing with the complaint.</w:t>
      </w:r>
    </w:p>
    <w:p w14:paraId="3CE30C6F" w14:textId="77777777" w:rsidR="00A52242" w:rsidRPr="000734F3" w:rsidRDefault="00A52242" w:rsidP="00EB1859">
      <w:r w:rsidRPr="000734F3">
        <w:t>There was one application to the Queensland Civil and Administrative Tribunal (the tribunal) for review during the period.</w:t>
      </w:r>
      <w:r>
        <w:t xml:space="preserve"> </w:t>
      </w:r>
      <w:r w:rsidRPr="000734F3">
        <w:t xml:space="preserve">As required under the </w:t>
      </w:r>
      <w:r w:rsidRPr="000734F3">
        <w:rPr>
          <w:i/>
          <w:iCs/>
        </w:rPr>
        <w:t>Queensland Civil and Administrative Tribunal Act 2009</w:t>
      </w:r>
      <w:r w:rsidRPr="000734F3">
        <w:t>, the Commission has filed a Statement of Reasons and a Chronology with copies of relevant documents.</w:t>
      </w:r>
      <w:r>
        <w:t xml:space="preserve"> </w:t>
      </w:r>
      <w:r w:rsidRPr="000734F3">
        <w:t>The application is ongoing.</w:t>
      </w:r>
    </w:p>
    <w:p w14:paraId="6D60DEFB" w14:textId="77777777" w:rsidR="00A52242" w:rsidRPr="000734F3" w:rsidRDefault="00A52242" w:rsidP="00CA5EBF">
      <w:pPr>
        <w:pStyle w:val="Heading3"/>
      </w:pPr>
      <w:bookmarkStart w:id="168" w:name="_Toc80971371"/>
      <w:r w:rsidRPr="000734F3">
        <w:t>Judicial review of decisions</w:t>
      </w:r>
      <w:bookmarkEnd w:id="168"/>
      <w:r w:rsidRPr="000734F3">
        <w:t xml:space="preserve"> </w:t>
      </w:r>
    </w:p>
    <w:p w14:paraId="38572929" w14:textId="77777777" w:rsidR="00A52242" w:rsidRPr="000734F3" w:rsidRDefault="00A52242" w:rsidP="00EB1859">
      <w:r w:rsidRPr="000734F3">
        <w:t xml:space="preserve">Decisions of the Commissioner may be judicially reviewed by the Queensland Supreme Court under the </w:t>
      </w:r>
      <w:r w:rsidRPr="000734F3">
        <w:rPr>
          <w:i/>
        </w:rPr>
        <w:t>Judicial Review Act 1991.</w:t>
      </w:r>
    </w:p>
    <w:p w14:paraId="02D2EBFB" w14:textId="77777777" w:rsidR="00A52242" w:rsidRPr="000734F3" w:rsidRDefault="00A52242" w:rsidP="00EB1859">
      <w:r w:rsidRPr="000734F3">
        <w:t>There were two applications in the current period.</w:t>
      </w:r>
      <w:r>
        <w:t xml:space="preserve"> </w:t>
      </w:r>
      <w:r w:rsidRPr="000734F3">
        <w:t>One application was for review of a decision to reject a discrimination complaint on the basis that it was vexatious.</w:t>
      </w:r>
      <w:r>
        <w:t xml:space="preserve"> </w:t>
      </w:r>
      <w:r w:rsidRPr="000734F3">
        <w:t>The applicant withdrew the application.</w:t>
      </w:r>
    </w:p>
    <w:p w14:paraId="70B3A6BD" w14:textId="77777777" w:rsidR="00A52242" w:rsidRPr="000734F3" w:rsidRDefault="00A52242" w:rsidP="00EB1859">
      <w:r w:rsidRPr="000734F3">
        <w:t>The other application was for review of a decision to not accept a complaint of discrimination.</w:t>
      </w:r>
      <w:r>
        <w:t xml:space="preserve"> </w:t>
      </w:r>
      <w:r w:rsidRPr="000734F3">
        <w:t xml:space="preserve">At the instigation of the </w:t>
      </w:r>
      <w:r>
        <w:t>r</w:t>
      </w:r>
      <w:r w:rsidRPr="000734F3">
        <w:t>espondent to the complaint, all parties agreed to orders setting aside the decision.</w:t>
      </w:r>
    </w:p>
    <w:p w14:paraId="3710A776" w14:textId="77777777" w:rsidR="00A52242" w:rsidRPr="000734F3" w:rsidRDefault="00A52242" w:rsidP="00EB1859">
      <w:r w:rsidRPr="000734F3">
        <w:t>During the period the Supreme Court heard and delivered a decision on an application made in the previous reporting period.</w:t>
      </w:r>
      <w:r>
        <w:t xml:space="preserve"> </w:t>
      </w:r>
      <w:r w:rsidRPr="000734F3">
        <w:t xml:space="preserve">The application was for review of a decision to not accept a complaint of discrimination on the basis that it did not indicate an alleged contravention of the </w:t>
      </w:r>
      <w:r w:rsidRPr="000734F3">
        <w:rPr>
          <w:i/>
          <w:iCs/>
        </w:rPr>
        <w:t xml:space="preserve">Anti-Discrimination Act 1991 </w:t>
      </w:r>
      <w:r w:rsidRPr="000734F3">
        <w:t>(the AD Act) as required by section 136 of the AD Act.</w:t>
      </w:r>
      <w:r>
        <w:t xml:space="preserve"> </w:t>
      </w:r>
      <w:r w:rsidRPr="000734F3">
        <w:t>The Court considered that the requirements in section 136 relate to the form of a complaint and did not authorise the Commissioner to not accept a complaint on that basis.</w:t>
      </w:r>
      <w:r>
        <w:t xml:space="preserve"> </w:t>
      </w:r>
      <w:r w:rsidRPr="000734F3">
        <w:t>The proper approach is to consider whether, in those circumstances, the complaint is misconceived or lacking in substance in accordance with section 139, which requires the Commissioner to reject a complaint if the requisite opinion is formed.</w:t>
      </w:r>
      <w:r>
        <w:t xml:space="preserve"> </w:t>
      </w:r>
      <w:r w:rsidRPr="000734F3">
        <w:t xml:space="preserve">See </w:t>
      </w:r>
      <w:r w:rsidRPr="000734F3">
        <w:rPr>
          <w:i/>
          <w:iCs/>
        </w:rPr>
        <w:t>Sandy v Queensland Human Rights Commissioner</w:t>
      </w:r>
      <w:r w:rsidRPr="000734F3">
        <w:t xml:space="preserve"> [2022] QSC 277 (9 December 2022).</w:t>
      </w:r>
    </w:p>
    <w:p w14:paraId="14F51B95" w14:textId="77777777" w:rsidR="00A52242" w:rsidRPr="000734F3" w:rsidRDefault="00A52242" w:rsidP="00EB1859">
      <w:r>
        <w:lastRenderedPageBreak/>
        <w:t>Our</w:t>
      </w:r>
      <w:r w:rsidRPr="000734F3">
        <w:t xml:space="preserve"> website includes a table of all the published Court decisions on applications for judicial review of decisions of the Commission.</w:t>
      </w:r>
      <w:r>
        <w:t xml:space="preserve"> </w:t>
      </w:r>
      <w:r w:rsidRPr="000734F3">
        <w:t>It is arranged according to the provision of the Act under which the Commission’s decision was made and includes a brief summary.</w:t>
      </w:r>
    </w:p>
    <w:p w14:paraId="1A2FE212" w14:textId="77777777" w:rsidR="00A52242" w:rsidRPr="000734F3" w:rsidRDefault="00A52242" w:rsidP="00CA5EBF">
      <w:pPr>
        <w:pStyle w:val="Heading3"/>
      </w:pPr>
      <w:bookmarkStart w:id="169" w:name="_Toc80971373"/>
      <w:r w:rsidRPr="000734F3">
        <w:t>Exemption applications</w:t>
      </w:r>
      <w:bookmarkEnd w:id="169"/>
      <w:r w:rsidRPr="000734F3">
        <w:t xml:space="preserve"> </w:t>
      </w:r>
    </w:p>
    <w:p w14:paraId="3A009632" w14:textId="77777777" w:rsidR="00A52242" w:rsidRPr="000734F3" w:rsidRDefault="00A52242" w:rsidP="00EB1859">
      <w:r w:rsidRPr="000734F3">
        <w:t xml:space="preserve">Under section 113 of the </w:t>
      </w:r>
      <w:r w:rsidRPr="000734F3">
        <w:rPr>
          <w:i/>
        </w:rPr>
        <w:t>Anti-Discrimination Act 1991</w:t>
      </w:r>
      <w:r w:rsidRPr="000734F3">
        <w:t xml:space="preserve"> (the AD Act</w:t>
      </w:r>
      <w:r w:rsidRPr="000734F3">
        <w:rPr>
          <w:caps/>
        </w:rPr>
        <w:t xml:space="preserve">) </w:t>
      </w:r>
      <w:r w:rsidRPr="000734F3">
        <w:t>the tribunal is required to consult the Commission before deciding an application for an exemption from the operation of a specified provision of the Act. For work-related applications the tribunal is the Queensland Industrial Relations Commission (QIRC), and for all other applications, the tribunal is the Queensland Civil and Administrative Tribunal (QCAT).</w:t>
      </w:r>
    </w:p>
    <w:p w14:paraId="438EC4D8" w14:textId="77777777" w:rsidR="00A52242" w:rsidRPr="000734F3" w:rsidRDefault="00A52242" w:rsidP="00EB1859">
      <w:pPr>
        <w:rPr>
          <w:i/>
        </w:rPr>
      </w:pPr>
      <w:r w:rsidRPr="000734F3">
        <w:t>During the period we made submissions on two applications to the QIRC and on six applications to the QCAT for exemption from the operation of the</w:t>
      </w:r>
      <w:r w:rsidRPr="000734F3">
        <w:rPr>
          <w:i/>
        </w:rPr>
        <w:t xml:space="preserve"> </w:t>
      </w:r>
      <w:r w:rsidRPr="000734F3">
        <w:rPr>
          <w:iCs/>
        </w:rPr>
        <w:t xml:space="preserve">Act. </w:t>
      </w:r>
    </w:p>
    <w:p w14:paraId="572273A6" w14:textId="77777777" w:rsidR="00A52242" w:rsidRPr="000734F3" w:rsidRDefault="00A52242" w:rsidP="00EB1859">
      <w:r w:rsidRPr="000734F3">
        <w:t>There were three decisions of the QCAT and two decisions of the QIRC published during the period.</w:t>
      </w:r>
      <w:r>
        <w:t xml:space="preserve"> </w:t>
      </w:r>
      <w:r w:rsidRPr="000734F3">
        <w:t>Four of the decisions were on applications made during previous reporting periods.</w:t>
      </w:r>
    </w:p>
    <w:p w14:paraId="5FBB97B2" w14:textId="77777777" w:rsidR="00A52242" w:rsidRPr="000734F3" w:rsidRDefault="00A52242" w:rsidP="00EB1859">
      <w:r w:rsidRPr="000734F3">
        <w:t>The QCAT refused applications by three separate residential complexes to restrict ownership and occupation to people over the age of 50 years.</w:t>
      </w:r>
      <w:r>
        <w:t xml:space="preserve"> </w:t>
      </w:r>
    </w:p>
    <w:p w14:paraId="3AB77330" w14:textId="77777777" w:rsidR="00A52242" w:rsidRPr="000734F3" w:rsidRDefault="00A52242" w:rsidP="00EB1859">
      <w:r w:rsidRPr="000734F3">
        <w:t>Two of the residential complexes were manufactured home parks and had previously been granted exemptions.</w:t>
      </w:r>
      <w:r>
        <w:t xml:space="preserve"> </w:t>
      </w:r>
      <w:r w:rsidRPr="000734F3">
        <w:t xml:space="preserve">The previous exemptions were granted before the </w:t>
      </w:r>
      <w:r w:rsidRPr="000734F3">
        <w:rPr>
          <w:i/>
        </w:rPr>
        <w:t xml:space="preserve">Human Rights Act 2019, </w:t>
      </w:r>
      <w:r w:rsidRPr="000734F3">
        <w:t>which has had a significant impact on deciding this type of application</w:t>
      </w:r>
      <w:r w:rsidRPr="000734F3">
        <w:rPr>
          <w:i/>
        </w:rPr>
        <w:t>.</w:t>
      </w:r>
      <w:r>
        <w:rPr>
          <w:i/>
        </w:rPr>
        <w:t xml:space="preserve"> </w:t>
      </w:r>
      <w:r w:rsidRPr="000734F3">
        <w:t xml:space="preserve">The tribunal considered that the purpose of providing affordable housing to older people can be achieved by legitimate means without an exemption, and that the limitation of the rights under the </w:t>
      </w:r>
      <w:r w:rsidRPr="00B82FFB">
        <w:t xml:space="preserve">Human Rights Act </w:t>
      </w:r>
      <w:r>
        <w:t>w</w:t>
      </w:r>
      <w:r w:rsidRPr="000734F3">
        <w:t>ere not reasonable and demonstrably justified.</w:t>
      </w:r>
      <w:r>
        <w:t xml:space="preserve"> </w:t>
      </w:r>
      <w:r w:rsidRPr="000734F3">
        <w:t>The relevant rights were the right to equality and to equal protection of the law without and against discrimination and property rights.</w:t>
      </w:r>
      <w:r w:rsidRPr="000734F3">
        <w:rPr>
          <w:rStyle w:val="FootnoteReference"/>
          <w:rFonts w:cs="Arial"/>
          <w:iCs/>
        </w:rPr>
        <w:footnoteReference w:id="1"/>
      </w:r>
      <w:r>
        <w:t xml:space="preserve"> </w:t>
      </w:r>
    </w:p>
    <w:p w14:paraId="2ACAC504" w14:textId="77777777" w:rsidR="00A52242" w:rsidRPr="000734F3" w:rsidRDefault="00A52242" w:rsidP="00EB1859">
      <w:r w:rsidRPr="000734F3">
        <w:t xml:space="preserve">Another residential complex remained registered as a retirement village under the </w:t>
      </w:r>
      <w:r w:rsidRPr="000734F3">
        <w:rPr>
          <w:i/>
        </w:rPr>
        <w:t>Retirement Villages Act 1999</w:t>
      </w:r>
      <w:r w:rsidRPr="000734F3">
        <w:t>, which contains an exemption that allows discrimination on the basis of age in limiting residence to older members of the community and retired persons.</w:t>
      </w:r>
      <w:r>
        <w:t xml:space="preserve"> </w:t>
      </w:r>
      <w:r w:rsidRPr="000734F3">
        <w:t>The tribunal said it is not appropriate to make a decision on a hypothetical circumstance, and there is no utility in granting an exemption to an entity that intends to cease to exist.</w:t>
      </w:r>
      <w:r>
        <w:t xml:space="preserve"> </w:t>
      </w:r>
      <w:r w:rsidRPr="000734F3">
        <w:t xml:space="preserve">The tribunal noted that for a community title complex, the </w:t>
      </w:r>
      <w:r w:rsidRPr="000734F3">
        <w:rPr>
          <w:i/>
        </w:rPr>
        <w:t>Body Corporate and Community Management Act 1997</w:t>
      </w:r>
      <w:r w:rsidRPr="000734F3">
        <w:t xml:space="preserve"> may present an obstacle to imposing an age restriction on the sale of lots.</w:t>
      </w:r>
      <w:r w:rsidRPr="000734F3">
        <w:rPr>
          <w:rStyle w:val="FootnoteReference"/>
          <w:rFonts w:cs="Arial"/>
          <w:iCs/>
        </w:rPr>
        <w:footnoteReference w:id="2"/>
      </w:r>
    </w:p>
    <w:p w14:paraId="3FF4F65B" w14:textId="77777777" w:rsidR="00A52242" w:rsidRPr="000734F3" w:rsidRDefault="00A52242" w:rsidP="00EB1859">
      <w:r w:rsidRPr="000734F3">
        <w:t>The QIRC granted exemptions to two companies that provide defence services and equipment to the Australian Government.</w:t>
      </w:r>
      <w:r>
        <w:t xml:space="preserve"> </w:t>
      </w:r>
      <w:r w:rsidRPr="000734F3">
        <w:t xml:space="preserve">Technology associated with the equipment is regulated by United States laws that prohibits people who are nationals of certain countries from accessing </w:t>
      </w:r>
      <w:r w:rsidRPr="000734F3">
        <w:lastRenderedPageBreak/>
        <w:t>the technology.</w:t>
      </w:r>
      <w:r>
        <w:t xml:space="preserve"> </w:t>
      </w:r>
      <w:r w:rsidRPr="000734F3">
        <w:t>The QIRC considered the exemptions were necessary for the companies to perform critical work that is in the community interest, and that the limitation of the right to protection of the law without and against discrimination is reasonable and justified.</w:t>
      </w:r>
      <w:r w:rsidRPr="000734F3">
        <w:rPr>
          <w:rStyle w:val="FootnoteReference"/>
          <w:rFonts w:cs="Arial"/>
          <w:iCs/>
        </w:rPr>
        <w:footnoteReference w:id="3"/>
      </w:r>
    </w:p>
    <w:p w14:paraId="339BDAF9" w14:textId="77777777" w:rsidR="00A52242" w:rsidRPr="000734F3" w:rsidRDefault="00A52242" w:rsidP="00EB1859">
      <w:r w:rsidRPr="000734F3">
        <w:t>A table of all published decisions of the QCAT and the QIRC on exemption applications is published on the Commission’s website.</w:t>
      </w:r>
    </w:p>
    <w:p w14:paraId="7D2C5B18" w14:textId="77777777" w:rsidR="00A52242" w:rsidRPr="000734F3" w:rsidRDefault="00A52242" w:rsidP="00CA5EBF">
      <w:pPr>
        <w:pStyle w:val="Heading3"/>
      </w:pPr>
      <w:bookmarkStart w:id="170" w:name="_Toc80971374"/>
      <w:r w:rsidRPr="000734F3">
        <w:t>Tribunal decisions</w:t>
      </w:r>
      <w:bookmarkEnd w:id="170"/>
      <w:r w:rsidRPr="000734F3">
        <w:t xml:space="preserve"> </w:t>
      </w:r>
    </w:p>
    <w:p w14:paraId="29AFA35A" w14:textId="77777777" w:rsidR="00A52242" w:rsidRPr="000734F3" w:rsidRDefault="00A52242" w:rsidP="00EB1859">
      <w:r w:rsidRPr="000734F3">
        <w:t xml:space="preserve">Under the </w:t>
      </w:r>
      <w:r w:rsidRPr="000734F3">
        <w:rPr>
          <w:i/>
        </w:rPr>
        <w:t>Anti-Discrimination Act 1991</w:t>
      </w:r>
      <w:r w:rsidRPr="000734F3">
        <w:t>, the tribunals have the functions of:</w:t>
      </w:r>
    </w:p>
    <w:p w14:paraId="521A8272" w14:textId="77777777" w:rsidR="00A52242" w:rsidRPr="000734F3" w:rsidRDefault="00A52242" w:rsidP="00EB1859">
      <w:pPr>
        <w:pStyle w:val="ListParagraph"/>
        <w:numPr>
          <w:ilvl w:val="0"/>
          <w:numId w:val="13"/>
        </w:numPr>
      </w:pPr>
      <w:r w:rsidRPr="000734F3">
        <w:t>hearing and determining complaints referred by the Commissioner;</w:t>
      </w:r>
      <w:r w:rsidRPr="000734F3">
        <w:rPr>
          <w:rStyle w:val="FootnoteReference"/>
          <w:rFonts w:cs="Arial"/>
          <w:color w:val="000000"/>
        </w:rPr>
        <w:footnoteReference w:id="4"/>
      </w:r>
    </w:p>
    <w:p w14:paraId="5E0B2595" w14:textId="77777777" w:rsidR="00A52242" w:rsidRPr="000734F3" w:rsidRDefault="00A52242" w:rsidP="00EB1859">
      <w:pPr>
        <w:pStyle w:val="ListParagraph"/>
        <w:numPr>
          <w:ilvl w:val="0"/>
          <w:numId w:val="13"/>
        </w:numPr>
      </w:pPr>
      <w:r w:rsidRPr="000734F3">
        <w:t>hearing and determining applications for exemptions;</w:t>
      </w:r>
      <w:r w:rsidRPr="000734F3">
        <w:rPr>
          <w:rStyle w:val="FootnoteReference"/>
          <w:rFonts w:cs="Arial"/>
          <w:color w:val="000000"/>
        </w:rPr>
        <w:footnoteReference w:id="5"/>
      </w:r>
    </w:p>
    <w:p w14:paraId="6CAD9A9F" w14:textId="77777777" w:rsidR="00A52242" w:rsidRPr="000734F3" w:rsidRDefault="00A52242" w:rsidP="00EB1859">
      <w:pPr>
        <w:pStyle w:val="ListParagraph"/>
        <w:numPr>
          <w:ilvl w:val="0"/>
          <w:numId w:val="13"/>
        </w:numPr>
      </w:pPr>
      <w:r w:rsidRPr="000734F3">
        <w:t>hearing and determining applications for interim orders before referral of a complaint;</w:t>
      </w:r>
      <w:r w:rsidRPr="000734F3">
        <w:rPr>
          <w:rStyle w:val="FootnoteReference"/>
          <w:rFonts w:cs="Arial"/>
          <w:color w:val="000000"/>
        </w:rPr>
        <w:footnoteReference w:id="6"/>
      </w:r>
    </w:p>
    <w:p w14:paraId="5B11A944" w14:textId="77777777" w:rsidR="00A52242" w:rsidRPr="000734F3" w:rsidRDefault="00A52242" w:rsidP="00EB1859">
      <w:pPr>
        <w:pStyle w:val="ListParagraph"/>
        <w:numPr>
          <w:ilvl w:val="0"/>
          <w:numId w:val="13"/>
        </w:numPr>
      </w:pPr>
      <w:r w:rsidRPr="000734F3">
        <w:t>considering applications for review of a decision that a complainant has lost interest;</w:t>
      </w:r>
      <w:r w:rsidRPr="000734F3">
        <w:rPr>
          <w:rStyle w:val="FootnoteReference"/>
          <w:rFonts w:cs="Arial"/>
          <w:color w:val="000000"/>
        </w:rPr>
        <w:footnoteReference w:id="7"/>
      </w:r>
      <w:r w:rsidRPr="000734F3">
        <w:t xml:space="preserve"> and</w:t>
      </w:r>
    </w:p>
    <w:p w14:paraId="4F9777EF" w14:textId="77777777" w:rsidR="00A52242" w:rsidRPr="000734F3" w:rsidRDefault="00A52242" w:rsidP="00EB1859">
      <w:pPr>
        <w:pStyle w:val="ListParagraph"/>
        <w:numPr>
          <w:ilvl w:val="0"/>
          <w:numId w:val="13"/>
        </w:numPr>
      </w:pPr>
      <w:r w:rsidRPr="000734F3">
        <w:t>providing opinions about the application of the Act.</w:t>
      </w:r>
      <w:r w:rsidRPr="000734F3">
        <w:rPr>
          <w:rStyle w:val="FootnoteReference"/>
          <w:rFonts w:cs="Arial"/>
          <w:color w:val="000000"/>
        </w:rPr>
        <w:footnoteReference w:id="8"/>
      </w:r>
    </w:p>
    <w:p w14:paraId="00E0EAB0" w14:textId="77777777" w:rsidR="00A52242" w:rsidRPr="000734F3" w:rsidRDefault="00A52242" w:rsidP="00EB1859">
      <w:r w:rsidRPr="000734F3">
        <w:t>The Queensland Industrial Relations Commission (QIRC) is the tribunal for all work-related matters, and the Queensland Civil and Administrative Tribunal (QCAT) is the tribunal for all other matters.</w:t>
      </w:r>
    </w:p>
    <w:p w14:paraId="4F9813C4" w14:textId="77777777" w:rsidR="00A52242" w:rsidRDefault="00A52242" w:rsidP="00EB1859">
      <w:r>
        <w:br w:type="page"/>
      </w:r>
    </w:p>
    <w:p w14:paraId="183B1807" w14:textId="77777777" w:rsidR="00A52242" w:rsidRPr="000734F3" w:rsidRDefault="00A52242" w:rsidP="00EB1859">
      <w:r w:rsidRPr="000734F3">
        <w:lastRenderedPageBreak/>
        <w:t xml:space="preserve">There were </w:t>
      </w:r>
      <w:r w:rsidRPr="000734F3">
        <w:rPr>
          <w:color w:val="000000" w:themeColor="text1"/>
        </w:rPr>
        <w:t xml:space="preserve">55 </w:t>
      </w:r>
      <w:r w:rsidRPr="000734F3">
        <w:t>decisions of the tribunals published or notified for the period, made up as follows:</w:t>
      </w:r>
    </w:p>
    <w:p w14:paraId="2E1590F9" w14:textId="561BFC41" w:rsidR="00A52242" w:rsidRPr="000734F3" w:rsidRDefault="00A52242" w:rsidP="00EB1859">
      <w:pPr>
        <w:pStyle w:val="Caption"/>
      </w:pPr>
      <w:r w:rsidRPr="000734F3">
        <w:t xml:space="preserve">Table </w:t>
      </w:r>
      <w:r w:rsidR="00467D9C">
        <w:t>6</w:t>
      </w:r>
      <w:r w:rsidRPr="000734F3">
        <w:t>: Tribunal decisions</w:t>
      </w:r>
    </w:p>
    <w:tbl>
      <w:tblPr>
        <w:tblpPr w:leftFromText="180" w:rightFromText="180" w:vertAnchor="text" w:horzAnchor="margin" w:tblpY="39"/>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5"/>
        <w:gridCol w:w="1418"/>
        <w:gridCol w:w="1275"/>
        <w:gridCol w:w="1133"/>
      </w:tblGrid>
      <w:tr w:rsidR="00A52242" w:rsidRPr="000734F3" w14:paraId="50CDA56C" w14:textId="77777777" w:rsidTr="00F541AA">
        <w:trPr>
          <w:tblHeader/>
        </w:trPr>
        <w:tc>
          <w:tcPr>
            <w:tcW w:w="2835" w:type="dxa"/>
          </w:tcPr>
          <w:p w14:paraId="0C675E6D" w14:textId="77777777" w:rsidR="00A52242" w:rsidRPr="000734F3" w:rsidRDefault="00A52242" w:rsidP="00EB1859">
            <w:pPr>
              <w:pStyle w:val="TableTextHeading"/>
            </w:pPr>
          </w:p>
        </w:tc>
        <w:tc>
          <w:tcPr>
            <w:tcW w:w="1418" w:type="dxa"/>
          </w:tcPr>
          <w:p w14:paraId="749E3763" w14:textId="77777777" w:rsidR="00A52242" w:rsidRPr="000734F3" w:rsidRDefault="00A52242" w:rsidP="00EB1859">
            <w:pPr>
              <w:pStyle w:val="TableTextHeading"/>
            </w:pPr>
            <w:r w:rsidRPr="000734F3">
              <w:t>QIRC</w:t>
            </w:r>
          </w:p>
        </w:tc>
        <w:tc>
          <w:tcPr>
            <w:tcW w:w="1275" w:type="dxa"/>
          </w:tcPr>
          <w:p w14:paraId="74BFCF37" w14:textId="77777777" w:rsidR="00A52242" w:rsidRPr="000734F3" w:rsidRDefault="00A52242" w:rsidP="00EB1859">
            <w:pPr>
              <w:pStyle w:val="TableTextHeading"/>
            </w:pPr>
            <w:r w:rsidRPr="000734F3">
              <w:t>QCAT</w:t>
            </w:r>
          </w:p>
        </w:tc>
        <w:tc>
          <w:tcPr>
            <w:tcW w:w="1133" w:type="dxa"/>
          </w:tcPr>
          <w:p w14:paraId="7D7D73BA" w14:textId="07E6F622" w:rsidR="00A52242" w:rsidRPr="00850BE3" w:rsidRDefault="00A52242" w:rsidP="00EB1859">
            <w:pPr>
              <w:pStyle w:val="TableTextHeading"/>
            </w:pPr>
            <w:r w:rsidRPr="00850BE3">
              <w:t>Total</w:t>
            </w:r>
          </w:p>
        </w:tc>
      </w:tr>
      <w:tr w:rsidR="00A52242" w:rsidRPr="000734F3" w14:paraId="423CE55D" w14:textId="77777777" w:rsidTr="00F541AA">
        <w:tc>
          <w:tcPr>
            <w:tcW w:w="2835" w:type="dxa"/>
          </w:tcPr>
          <w:p w14:paraId="7C500E00" w14:textId="77777777" w:rsidR="00A52242" w:rsidRPr="000734F3" w:rsidRDefault="00A52242" w:rsidP="00EB1859">
            <w:pPr>
              <w:pStyle w:val="TableTextBody"/>
            </w:pPr>
            <w:r w:rsidRPr="000734F3">
              <w:t>Final hearings</w:t>
            </w:r>
          </w:p>
        </w:tc>
        <w:tc>
          <w:tcPr>
            <w:tcW w:w="1418" w:type="dxa"/>
          </w:tcPr>
          <w:p w14:paraId="26361A2D" w14:textId="77777777" w:rsidR="00A52242" w:rsidRPr="000734F3" w:rsidRDefault="00A52242" w:rsidP="00EB1859">
            <w:pPr>
              <w:pStyle w:val="TableTextBody"/>
            </w:pPr>
            <w:r w:rsidRPr="000734F3">
              <w:t>6</w:t>
            </w:r>
          </w:p>
        </w:tc>
        <w:tc>
          <w:tcPr>
            <w:tcW w:w="1275" w:type="dxa"/>
          </w:tcPr>
          <w:p w14:paraId="0496F3B6" w14:textId="77777777" w:rsidR="00A52242" w:rsidRPr="000734F3" w:rsidRDefault="00A52242" w:rsidP="00EB1859">
            <w:pPr>
              <w:pStyle w:val="TableTextBody"/>
            </w:pPr>
            <w:r w:rsidRPr="000734F3">
              <w:t>13</w:t>
            </w:r>
          </w:p>
        </w:tc>
        <w:tc>
          <w:tcPr>
            <w:tcW w:w="1133" w:type="dxa"/>
          </w:tcPr>
          <w:p w14:paraId="2E104BE9" w14:textId="77777777" w:rsidR="00A52242" w:rsidRPr="00850BE3" w:rsidRDefault="00A52242" w:rsidP="00EB1859">
            <w:pPr>
              <w:pStyle w:val="TableTextBody"/>
              <w:rPr>
                <w:b/>
              </w:rPr>
            </w:pPr>
            <w:r w:rsidRPr="00850BE3">
              <w:rPr>
                <w:b/>
              </w:rPr>
              <w:t>19</w:t>
            </w:r>
          </w:p>
        </w:tc>
      </w:tr>
      <w:tr w:rsidR="00A52242" w:rsidRPr="000734F3" w14:paraId="281A2E6A" w14:textId="77777777" w:rsidTr="00F541AA">
        <w:tc>
          <w:tcPr>
            <w:tcW w:w="2835" w:type="dxa"/>
          </w:tcPr>
          <w:p w14:paraId="3537F1B5" w14:textId="77777777" w:rsidR="00A52242" w:rsidRPr="000734F3" w:rsidRDefault="00A52242" w:rsidP="00EB1859">
            <w:pPr>
              <w:pStyle w:val="TableTextBody"/>
            </w:pPr>
            <w:r w:rsidRPr="000734F3">
              <w:t>Dismiss/strike out</w:t>
            </w:r>
          </w:p>
        </w:tc>
        <w:tc>
          <w:tcPr>
            <w:tcW w:w="1418" w:type="dxa"/>
          </w:tcPr>
          <w:p w14:paraId="3E408D30" w14:textId="77777777" w:rsidR="00A52242" w:rsidRPr="000734F3" w:rsidRDefault="00A52242" w:rsidP="00EB1859">
            <w:pPr>
              <w:pStyle w:val="TableTextBody"/>
            </w:pPr>
            <w:r w:rsidRPr="000734F3">
              <w:t>8</w:t>
            </w:r>
          </w:p>
        </w:tc>
        <w:tc>
          <w:tcPr>
            <w:tcW w:w="1275" w:type="dxa"/>
          </w:tcPr>
          <w:p w14:paraId="4D753B82" w14:textId="77777777" w:rsidR="00A52242" w:rsidRPr="000734F3" w:rsidRDefault="00A52242" w:rsidP="00EB1859">
            <w:pPr>
              <w:pStyle w:val="TableTextBody"/>
            </w:pPr>
            <w:r w:rsidRPr="000734F3">
              <w:t>2</w:t>
            </w:r>
          </w:p>
        </w:tc>
        <w:tc>
          <w:tcPr>
            <w:tcW w:w="1133" w:type="dxa"/>
          </w:tcPr>
          <w:p w14:paraId="2578D899" w14:textId="77777777" w:rsidR="00A52242" w:rsidRPr="00850BE3" w:rsidRDefault="00A52242" w:rsidP="00EB1859">
            <w:pPr>
              <w:pStyle w:val="TableTextBody"/>
              <w:rPr>
                <w:b/>
              </w:rPr>
            </w:pPr>
            <w:r w:rsidRPr="00850BE3">
              <w:rPr>
                <w:b/>
              </w:rPr>
              <w:t>10</w:t>
            </w:r>
          </w:p>
        </w:tc>
      </w:tr>
      <w:tr w:rsidR="00A52242" w:rsidRPr="000734F3" w14:paraId="18F6A83B" w14:textId="77777777" w:rsidTr="00F541AA">
        <w:tc>
          <w:tcPr>
            <w:tcW w:w="2835" w:type="dxa"/>
          </w:tcPr>
          <w:p w14:paraId="0F736144" w14:textId="77777777" w:rsidR="00A52242" w:rsidRPr="000734F3" w:rsidRDefault="00A52242" w:rsidP="00EB1859">
            <w:pPr>
              <w:pStyle w:val="TableTextBody"/>
            </w:pPr>
            <w:r w:rsidRPr="000734F3">
              <w:t>Produce/disclose documents</w:t>
            </w:r>
          </w:p>
        </w:tc>
        <w:tc>
          <w:tcPr>
            <w:tcW w:w="1418" w:type="dxa"/>
          </w:tcPr>
          <w:p w14:paraId="58672F7D" w14:textId="77777777" w:rsidR="00A52242" w:rsidRPr="000734F3" w:rsidRDefault="00A52242" w:rsidP="00EB1859">
            <w:pPr>
              <w:pStyle w:val="TableTextBody"/>
            </w:pPr>
            <w:r w:rsidRPr="000734F3">
              <w:t>2</w:t>
            </w:r>
          </w:p>
        </w:tc>
        <w:tc>
          <w:tcPr>
            <w:tcW w:w="1275" w:type="dxa"/>
          </w:tcPr>
          <w:p w14:paraId="0995BAAF" w14:textId="77777777" w:rsidR="00A52242" w:rsidRPr="000734F3" w:rsidRDefault="00A52242" w:rsidP="00EB1859">
            <w:pPr>
              <w:pStyle w:val="TableTextBody"/>
            </w:pPr>
            <w:r w:rsidRPr="000734F3">
              <w:t>0</w:t>
            </w:r>
          </w:p>
        </w:tc>
        <w:tc>
          <w:tcPr>
            <w:tcW w:w="1133" w:type="dxa"/>
          </w:tcPr>
          <w:p w14:paraId="5027911B" w14:textId="77777777" w:rsidR="00A52242" w:rsidRPr="00850BE3" w:rsidRDefault="00A52242" w:rsidP="00EB1859">
            <w:pPr>
              <w:pStyle w:val="TableTextBody"/>
              <w:rPr>
                <w:b/>
              </w:rPr>
            </w:pPr>
            <w:r w:rsidRPr="00850BE3">
              <w:rPr>
                <w:b/>
              </w:rPr>
              <w:t>2</w:t>
            </w:r>
          </w:p>
        </w:tc>
      </w:tr>
      <w:tr w:rsidR="00A52242" w:rsidRPr="000734F3" w14:paraId="5332E5BD" w14:textId="77777777" w:rsidTr="00F541AA">
        <w:tc>
          <w:tcPr>
            <w:tcW w:w="2835" w:type="dxa"/>
          </w:tcPr>
          <w:p w14:paraId="49A096BB" w14:textId="77777777" w:rsidR="00A52242" w:rsidRPr="000734F3" w:rsidRDefault="00A52242" w:rsidP="00EB1859">
            <w:pPr>
              <w:pStyle w:val="TableTextBody"/>
            </w:pPr>
            <w:r w:rsidRPr="000734F3">
              <w:t>Legal representation</w:t>
            </w:r>
          </w:p>
        </w:tc>
        <w:tc>
          <w:tcPr>
            <w:tcW w:w="1418" w:type="dxa"/>
          </w:tcPr>
          <w:p w14:paraId="30C35FB9" w14:textId="77777777" w:rsidR="00A52242" w:rsidRPr="000734F3" w:rsidRDefault="00A52242" w:rsidP="00EB1859">
            <w:pPr>
              <w:pStyle w:val="TableTextBody"/>
            </w:pPr>
            <w:r w:rsidRPr="000734F3">
              <w:t>7</w:t>
            </w:r>
          </w:p>
        </w:tc>
        <w:tc>
          <w:tcPr>
            <w:tcW w:w="1275" w:type="dxa"/>
          </w:tcPr>
          <w:p w14:paraId="523C033D" w14:textId="77777777" w:rsidR="00A52242" w:rsidRPr="000734F3" w:rsidRDefault="00A52242" w:rsidP="00EB1859">
            <w:pPr>
              <w:pStyle w:val="TableTextBody"/>
            </w:pPr>
            <w:r w:rsidRPr="000734F3">
              <w:t>0</w:t>
            </w:r>
          </w:p>
        </w:tc>
        <w:tc>
          <w:tcPr>
            <w:tcW w:w="1133" w:type="dxa"/>
          </w:tcPr>
          <w:p w14:paraId="63551C7D" w14:textId="77777777" w:rsidR="00A52242" w:rsidRPr="00850BE3" w:rsidRDefault="00A52242" w:rsidP="00EB1859">
            <w:pPr>
              <w:pStyle w:val="TableTextBody"/>
              <w:rPr>
                <w:b/>
              </w:rPr>
            </w:pPr>
            <w:r w:rsidRPr="00850BE3">
              <w:rPr>
                <w:b/>
              </w:rPr>
              <w:t>7</w:t>
            </w:r>
          </w:p>
        </w:tc>
      </w:tr>
      <w:tr w:rsidR="00A52242" w:rsidRPr="000734F3" w14:paraId="7D4D24B0" w14:textId="77777777" w:rsidTr="00F541AA">
        <w:tc>
          <w:tcPr>
            <w:tcW w:w="2835" w:type="dxa"/>
          </w:tcPr>
          <w:p w14:paraId="62A466F0" w14:textId="77777777" w:rsidR="00A52242" w:rsidRPr="000734F3" w:rsidRDefault="00A52242" w:rsidP="00EB1859">
            <w:pPr>
              <w:pStyle w:val="TableTextBody"/>
            </w:pPr>
            <w:r w:rsidRPr="000734F3">
              <w:t>Interim orders before referral (s144)</w:t>
            </w:r>
          </w:p>
        </w:tc>
        <w:tc>
          <w:tcPr>
            <w:tcW w:w="1418" w:type="dxa"/>
          </w:tcPr>
          <w:p w14:paraId="580DF8E0" w14:textId="77777777" w:rsidR="00A52242" w:rsidRPr="000734F3" w:rsidRDefault="00A52242" w:rsidP="00EB1859">
            <w:pPr>
              <w:pStyle w:val="TableTextBody"/>
            </w:pPr>
            <w:r w:rsidRPr="000734F3">
              <w:t>0</w:t>
            </w:r>
          </w:p>
        </w:tc>
        <w:tc>
          <w:tcPr>
            <w:tcW w:w="1275" w:type="dxa"/>
          </w:tcPr>
          <w:p w14:paraId="2B119499" w14:textId="77777777" w:rsidR="00A52242" w:rsidRPr="000734F3" w:rsidRDefault="00A52242" w:rsidP="00EB1859">
            <w:pPr>
              <w:pStyle w:val="TableTextBody"/>
            </w:pPr>
            <w:r w:rsidRPr="000734F3">
              <w:t>1</w:t>
            </w:r>
          </w:p>
        </w:tc>
        <w:tc>
          <w:tcPr>
            <w:tcW w:w="1133" w:type="dxa"/>
          </w:tcPr>
          <w:p w14:paraId="5C7E88A6" w14:textId="77777777" w:rsidR="00A52242" w:rsidRPr="00850BE3" w:rsidRDefault="00A52242" w:rsidP="00EB1859">
            <w:pPr>
              <w:pStyle w:val="TableTextBody"/>
              <w:rPr>
                <w:b/>
              </w:rPr>
            </w:pPr>
            <w:r w:rsidRPr="00850BE3">
              <w:rPr>
                <w:b/>
              </w:rPr>
              <w:t>1</w:t>
            </w:r>
          </w:p>
        </w:tc>
      </w:tr>
      <w:tr w:rsidR="00A52242" w:rsidRPr="000734F3" w14:paraId="3A92AB8B" w14:textId="77777777" w:rsidTr="00F541AA">
        <w:tc>
          <w:tcPr>
            <w:tcW w:w="2835" w:type="dxa"/>
          </w:tcPr>
          <w:p w14:paraId="138572B8" w14:textId="77777777" w:rsidR="00A52242" w:rsidRPr="000734F3" w:rsidRDefault="00A52242" w:rsidP="00EB1859">
            <w:pPr>
              <w:pStyle w:val="TableTextBody"/>
            </w:pPr>
            <w:r w:rsidRPr="000734F3">
              <w:t>Non-publication</w:t>
            </w:r>
          </w:p>
        </w:tc>
        <w:tc>
          <w:tcPr>
            <w:tcW w:w="1418" w:type="dxa"/>
          </w:tcPr>
          <w:p w14:paraId="018EBD36" w14:textId="77777777" w:rsidR="00A52242" w:rsidRPr="000734F3" w:rsidRDefault="00A52242" w:rsidP="00EB1859">
            <w:pPr>
              <w:pStyle w:val="TableTextBody"/>
            </w:pPr>
            <w:r w:rsidRPr="000734F3">
              <w:t>0</w:t>
            </w:r>
          </w:p>
        </w:tc>
        <w:tc>
          <w:tcPr>
            <w:tcW w:w="1275" w:type="dxa"/>
          </w:tcPr>
          <w:p w14:paraId="5BFD7537" w14:textId="77777777" w:rsidR="00A52242" w:rsidRPr="000734F3" w:rsidRDefault="00A52242" w:rsidP="00EB1859">
            <w:pPr>
              <w:pStyle w:val="TableTextBody"/>
            </w:pPr>
            <w:r w:rsidRPr="000734F3">
              <w:t>1</w:t>
            </w:r>
          </w:p>
        </w:tc>
        <w:tc>
          <w:tcPr>
            <w:tcW w:w="1133" w:type="dxa"/>
          </w:tcPr>
          <w:p w14:paraId="2586AC74" w14:textId="77777777" w:rsidR="00A52242" w:rsidRPr="00850BE3" w:rsidRDefault="00A52242" w:rsidP="00EB1859">
            <w:pPr>
              <w:pStyle w:val="TableTextBody"/>
              <w:rPr>
                <w:b/>
              </w:rPr>
            </w:pPr>
            <w:r w:rsidRPr="00850BE3">
              <w:rPr>
                <w:b/>
              </w:rPr>
              <w:t>1</w:t>
            </w:r>
          </w:p>
        </w:tc>
      </w:tr>
      <w:tr w:rsidR="00A52242" w:rsidRPr="000734F3" w14:paraId="2B9739E8" w14:textId="77777777" w:rsidTr="00F541AA">
        <w:tc>
          <w:tcPr>
            <w:tcW w:w="2835" w:type="dxa"/>
          </w:tcPr>
          <w:p w14:paraId="27CBBF53" w14:textId="77777777" w:rsidR="00A52242" w:rsidRPr="000734F3" w:rsidRDefault="00A52242" w:rsidP="00EB1859">
            <w:pPr>
              <w:pStyle w:val="TableTextBody"/>
            </w:pPr>
            <w:r w:rsidRPr="000734F3">
              <w:t>Miscellaneous process</w:t>
            </w:r>
          </w:p>
        </w:tc>
        <w:tc>
          <w:tcPr>
            <w:tcW w:w="1418" w:type="dxa"/>
          </w:tcPr>
          <w:p w14:paraId="4E77A619" w14:textId="77777777" w:rsidR="00A52242" w:rsidRPr="000734F3" w:rsidRDefault="00A52242" w:rsidP="00EB1859">
            <w:pPr>
              <w:pStyle w:val="TableTextBody"/>
            </w:pPr>
            <w:r w:rsidRPr="000734F3">
              <w:t>7</w:t>
            </w:r>
          </w:p>
        </w:tc>
        <w:tc>
          <w:tcPr>
            <w:tcW w:w="1275" w:type="dxa"/>
          </w:tcPr>
          <w:p w14:paraId="5F2BE9D7" w14:textId="77777777" w:rsidR="00A52242" w:rsidRPr="000734F3" w:rsidRDefault="00A52242" w:rsidP="00EB1859">
            <w:pPr>
              <w:pStyle w:val="TableTextBody"/>
            </w:pPr>
            <w:r w:rsidRPr="000734F3">
              <w:t>3</w:t>
            </w:r>
          </w:p>
        </w:tc>
        <w:tc>
          <w:tcPr>
            <w:tcW w:w="1133" w:type="dxa"/>
          </w:tcPr>
          <w:p w14:paraId="32B6D85D" w14:textId="77777777" w:rsidR="00A52242" w:rsidRPr="00850BE3" w:rsidRDefault="00A52242" w:rsidP="00EB1859">
            <w:pPr>
              <w:pStyle w:val="TableTextBody"/>
              <w:rPr>
                <w:b/>
              </w:rPr>
            </w:pPr>
            <w:r w:rsidRPr="00850BE3">
              <w:rPr>
                <w:b/>
              </w:rPr>
              <w:t>10</w:t>
            </w:r>
          </w:p>
        </w:tc>
      </w:tr>
      <w:tr w:rsidR="00A52242" w:rsidRPr="000734F3" w14:paraId="66332AA3" w14:textId="77777777" w:rsidTr="00F541AA">
        <w:tc>
          <w:tcPr>
            <w:tcW w:w="2835" w:type="dxa"/>
          </w:tcPr>
          <w:p w14:paraId="6395561E" w14:textId="77777777" w:rsidR="00A52242" w:rsidRPr="000734F3" w:rsidRDefault="00A52242" w:rsidP="00EB1859">
            <w:pPr>
              <w:pStyle w:val="TableTextBody"/>
            </w:pPr>
            <w:r w:rsidRPr="000734F3">
              <w:t>Exemption applications</w:t>
            </w:r>
          </w:p>
        </w:tc>
        <w:tc>
          <w:tcPr>
            <w:tcW w:w="1418" w:type="dxa"/>
          </w:tcPr>
          <w:p w14:paraId="731598C2" w14:textId="77777777" w:rsidR="00A52242" w:rsidRPr="000734F3" w:rsidRDefault="00A52242" w:rsidP="00EB1859">
            <w:pPr>
              <w:pStyle w:val="TableTextBody"/>
            </w:pPr>
            <w:r w:rsidRPr="000734F3">
              <w:t>2</w:t>
            </w:r>
          </w:p>
        </w:tc>
        <w:tc>
          <w:tcPr>
            <w:tcW w:w="1275" w:type="dxa"/>
          </w:tcPr>
          <w:p w14:paraId="1E923ED8" w14:textId="77777777" w:rsidR="00A52242" w:rsidRPr="000734F3" w:rsidRDefault="00A52242" w:rsidP="00EB1859">
            <w:pPr>
              <w:pStyle w:val="TableTextBody"/>
            </w:pPr>
            <w:r w:rsidRPr="000734F3">
              <w:t>3</w:t>
            </w:r>
          </w:p>
        </w:tc>
        <w:tc>
          <w:tcPr>
            <w:tcW w:w="1133" w:type="dxa"/>
          </w:tcPr>
          <w:p w14:paraId="6B819B64" w14:textId="77777777" w:rsidR="00A52242" w:rsidRPr="00850BE3" w:rsidRDefault="00A52242" w:rsidP="00EB1859">
            <w:pPr>
              <w:pStyle w:val="TableTextBody"/>
              <w:rPr>
                <w:b/>
              </w:rPr>
            </w:pPr>
            <w:r w:rsidRPr="00850BE3">
              <w:rPr>
                <w:b/>
              </w:rPr>
              <w:t>5</w:t>
            </w:r>
          </w:p>
        </w:tc>
      </w:tr>
      <w:tr w:rsidR="00A52242" w:rsidRPr="000734F3" w14:paraId="5D6405FB" w14:textId="77777777" w:rsidTr="00F541AA">
        <w:tc>
          <w:tcPr>
            <w:tcW w:w="2835" w:type="dxa"/>
          </w:tcPr>
          <w:p w14:paraId="53F78ADA" w14:textId="427D3AE9" w:rsidR="00A52242" w:rsidRPr="000734F3" w:rsidRDefault="00A52242" w:rsidP="00EB1859">
            <w:pPr>
              <w:pStyle w:val="TableTextBold"/>
            </w:pPr>
            <w:r w:rsidRPr="000734F3">
              <w:t>Total</w:t>
            </w:r>
          </w:p>
        </w:tc>
        <w:tc>
          <w:tcPr>
            <w:tcW w:w="1418" w:type="dxa"/>
          </w:tcPr>
          <w:p w14:paraId="5A96ACA7" w14:textId="01DE3767" w:rsidR="00A52242" w:rsidRPr="000734F3" w:rsidRDefault="00850BE3" w:rsidP="00EB1859">
            <w:pPr>
              <w:pStyle w:val="TableTextBold"/>
            </w:pPr>
            <w:r>
              <w:t>32</w:t>
            </w:r>
          </w:p>
        </w:tc>
        <w:tc>
          <w:tcPr>
            <w:tcW w:w="1275" w:type="dxa"/>
          </w:tcPr>
          <w:p w14:paraId="616A6C3D" w14:textId="0C42F9BB" w:rsidR="00A52242" w:rsidRPr="000734F3" w:rsidRDefault="00EB1FAD" w:rsidP="00EB1859">
            <w:pPr>
              <w:pStyle w:val="TableTextBold"/>
            </w:pPr>
            <w:r>
              <w:t>23</w:t>
            </w:r>
          </w:p>
        </w:tc>
        <w:tc>
          <w:tcPr>
            <w:tcW w:w="1133" w:type="dxa"/>
          </w:tcPr>
          <w:p w14:paraId="4AC75DBD" w14:textId="77777777" w:rsidR="00A52242" w:rsidRPr="00850BE3" w:rsidRDefault="00A52242" w:rsidP="00EB1859">
            <w:pPr>
              <w:pStyle w:val="TableTextBold"/>
            </w:pPr>
            <w:r w:rsidRPr="00850BE3">
              <w:fldChar w:fldCharType="begin"/>
            </w:r>
            <w:r w:rsidRPr="00850BE3">
              <w:instrText xml:space="preserve"> =SUM(ABOVE) </w:instrText>
            </w:r>
            <w:r w:rsidRPr="00850BE3">
              <w:fldChar w:fldCharType="separate"/>
            </w:r>
            <w:r w:rsidRPr="00850BE3">
              <w:rPr>
                <w:noProof/>
              </w:rPr>
              <w:t>55</w:t>
            </w:r>
            <w:r w:rsidRPr="00850BE3">
              <w:fldChar w:fldCharType="end"/>
            </w:r>
          </w:p>
        </w:tc>
      </w:tr>
    </w:tbl>
    <w:p w14:paraId="614664B8" w14:textId="77777777" w:rsidR="00A52242" w:rsidRPr="000734F3" w:rsidRDefault="00A52242" w:rsidP="00EB1859">
      <w:pPr>
        <w:rPr>
          <w:highlight w:val="yellow"/>
        </w:rPr>
      </w:pPr>
    </w:p>
    <w:p w14:paraId="6492CE51" w14:textId="77777777" w:rsidR="00A52242" w:rsidRPr="000734F3" w:rsidRDefault="00A52242" w:rsidP="00EB1859"/>
    <w:p w14:paraId="6F01F3B5" w14:textId="77777777" w:rsidR="00A52242" w:rsidRDefault="00A52242" w:rsidP="00EB1859">
      <w:bookmarkStart w:id="171" w:name="_Toc80971378"/>
    </w:p>
    <w:p w14:paraId="38EF5161" w14:textId="77777777" w:rsidR="00A52242" w:rsidRDefault="00A52242" w:rsidP="00EB1859"/>
    <w:p w14:paraId="5FE1CBA1" w14:textId="77777777" w:rsidR="00EB1FAD" w:rsidRDefault="00EB1FAD" w:rsidP="00EB1859"/>
    <w:p w14:paraId="69F8CD08" w14:textId="77777777" w:rsidR="00EB1FAD" w:rsidRDefault="00EB1FAD" w:rsidP="00EB1859"/>
    <w:p w14:paraId="5D3930FC" w14:textId="77777777" w:rsidR="00EB1FAD" w:rsidRDefault="00EB1FAD" w:rsidP="00EB1859"/>
    <w:p w14:paraId="3EC96B19" w14:textId="77777777" w:rsidR="00EB1FAD" w:rsidRDefault="00EB1FAD" w:rsidP="00EB1859"/>
    <w:p w14:paraId="39228A7B" w14:textId="7D275C48" w:rsidR="00EB1FAD" w:rsidRDefault="00EB1FAD" w:rsidP="00EB1859"/>
    <w:p w14:paraId="6A0C40EC" w14:textId="77777777" w:rsidR="00EB1FAD" w:rsidRDefault="00EB1FAD" w:rsidP="00EB1859"/>
    <w:p w14:paraId="5011BBFF" w14:textId="501E6557" w:rsidR="00A52242" w:rsidRPr="000734F3" w:rsidRDefault="00A52242" w:rsidP="00EB1859">
      <w:r w:rsidRPr="000734F3">
        <w:t xml:space="preserve">The following is a selection of tribunal decisions </w:t>
      </w:r>
      <w:r>
        <w:t>after a</w:t>
      </w:r>
      <w:r w:rsidRPr="000734F3">
        <w:t xml:space="preserve"> final hearing of </w:t>
      </w:r>
      <w:r>
        <w:t>the</w:t>
      </w:r>
      <w:r w:rsidRPr="000734F3">
        <w:t xml:space="preserve"> complaint</w:t>
      </w:r>
      <w:r>
        <w:t>, as well as a preliminary decision.</w:t>
      </w:r>
    </w:p>
    <w:p w14:paraId="53660399" w14:textId="77777777" w:rsidR="00A52242" w:rsidRPr="00C108AD" w:rsidRDefault="00A52242" w:rsidP="00CA5EBF">
      <w:pPr>
        <w:pStyle w:val="Heading3"/>
        <w:ind w:right="2222"/>
      </w:pPr>
      <w:bookmarkStart w:id="172" w:name="_Toc113527209"/>
      <w:r w:rsidRPr="00C108AD">
        <w:t>Pub to pay compensation for not allowing assistance dog inside</w:t>
      </w:r>
      <w:bookmarkEnd w:id="172"/>
    </w:p>
    <w:p w14:paraId="0BA4D5E2" w14:textId="77777777" w:rsidR="00A52242" w:rsidRPr="000734F3" w:rsidRDefault="00A52242" w:rsidP="00EB1859">
      <w:r w:rsidRPr="000734F3">
        <w:t>A pub wouldn’t allow a man who relied on an assistance dog to bring the dog inside the pub with him, and on one occasion he was banned from the pub for one month.</w:t>
      </w:r>
    </w:p>
    <w:p w14:paraId="4DADF5A6" w14:textId="77777777" w:rsidR="00A52242" w:rsidRPr="000734F3" w:rsidRDefault="00A52242" w:rsidP="00EB1859">
      <w:r w:rsidRPr="000734F3">
        <w:t xml:space="preserve">The man had a valid </w:t>
      </w:r>
      <w:proofErr w:type="spellStart"/>
      <w:r w:rsidRPr="000734F3">
        <w:t>Translink</w:t>
      </w:r>
      <w:proofErr w:type="spellEnd"/>
      <w:r w:rsidRPr="000734F3">
        <w:t xml:space="preserve"> Assistance Animal Pass, however when there was a change in management of the pub, staff insisted that the man could not bring the dog inside the pub because he did not have an identity card issued under the </w:t>
      </w:r>
      <w:r w:rsidRPr="000734F3">
        <w:rPr>
          <w:i/>
          <w:iCs/>
        </w:rPr>
        <w:t>Guide Hearing and Assistance Dogs Act 2009</w:t>
      </w:r>
      <w:r w:rsidRPr="000734F3">
        <w:t>.</w:t>
      </w:r>
    </w:p>
    <w:p w14:paraId="25B5C423" w14:textId="77777777" w:rsidR="00A52242" w:rsidRPr="000734F3" w:rsidRDefault="00A52242" w:rsidP="00EB1859">
      <w:r w:rsidRPr="000734F3">
        <w:t xml:space="preserve">The tribunal was satisfied that the dog was an ‘assistance dog’ for the purpose of the </w:t>
      </w:r>
      <w:r w:rsidRPr="000734F3">
        <w:rPr>
          <w:i/>
          <w:iCs/>
        </w:rPr>
        <w:t xml:space="preserve">Anti-Discrimination Act 1991 </w:t>
      </w:r>
      <w:r w:rsidRPr="000734F3">
        <w:t>(the Act), namely a dog trained to perform identifiable physical tasks and behaviours to assist a person with a disability to reduce the person’s need for support.</w:t>
      </w:r>
      <w:r>
        <w:t xml:space="preserve"> </w:t>
      </w:r>
      <w:r w:rsidRPr="000734F3">
        <w:t>The tribunal accepted that training of the dog does not require training by an approved trainer or an approved training institution.</w:t>
      </w:r>
      <w:r>
        <w:t xml:space="preserve"> </w:t>
      </w:r>
      <w:r w:rsidRPr="000734F3">
        <w:t>The tribunal considered that the behaviours that the dog was trained to perform need only involve obedience and companionship to assist the man’s need for support.</w:t>
      </w:r>
      <w:r>
        <w:t xml:space="preserve"> </w:t>
      </w:r>
      <w:r w:rsidRPr="000734F3">
        <w:t>In this case the dog was trained to be next to the man and the dog calmed him when he was anxious.</w:t>
      </w:r>
      <w:r>
        <w:t xml:space="preserve"> </w:t>
      </w:r>
      <w:r w:rsidRPr="000734F3">
        <w:t>The dog also introduced him to many people.</w:t>
      </w:r>
    </w:p>
    <w:p w14:paraId="49323C98" w14:textId="77777777" w:rsidR="00A52242" w:rsidRPr="000734F3" w:rsidRDefault="00A52242" w:rsidP="00EB1859">
      <w:pPr>
        <w:rPr>
          <w:i/>
          <w:iCs/>
        </w:rPr>
      </w:pPr>
      <w:r w:rsidRPr="000734F3">
        <w:t>The tribunal found that in refusing to allow the man to enter inside the pub with the dog the pub treated the man unfavourably in connection with the supply of food and beverages within the meaning of the Act.</w:t>
      </w:r>
      <w:r>
        <w:t xml:space="preserve"> </w:t>
      </w:r>
      <w:r w:rsidRPr="000734F3">
        <w:t xml:space="preserve">It was irrelevant that staff believed it was a statutory requirement that the </w:t>
      </w:r>
      <w:r w:rsidRPr="000734F3">
        <w:lastRenderedPageBreak/>
        <w:t xml:space="preserve">man produce an identity card issued under the </w:t>
      </w:r>
      <w:r w:rsidRPr="000734F3">
        <w:rPr>
          <w:i/>
          <w:iCs/>
        </w:rPr>
        <w:t xml:space="preserve">Guide Hearing and Assistance Dogs Act. </w:t>
      </w:r>
    </w:p>
    <w:p w14:paraId="274B70CE" w14:textId="77777777" w:rsidR="00A52242" w:rsidRPr="000734F3" w:rsidRDefault="00A52242" w:rsidP="00EB1859">
      <w:r w:rsidRPr="000734F3">
        <w:t>The tribunal determined that the man had been discriminated against on the basis of his reliance on an assistance dog and that the pub had engaged in direct discrimination within the meaning of section 10 of the Act.</w:t>
      </w:r>
    </w:p>
    <w:p w14:paraId="143363A8" w14:textId="77777777" w:rsidR="00A52242" w:rsidRPr="000734F3" w:rsidRDefault="00A52242" w:rsidP="00EB1859">
      <w:r w:rsidRPr="000734F3">
        <w:t xml:space="preserve">The refusal to allow entry to the man and his dog inside the pub was not an act that was necessary to comply with, or specifically authorised by, the </w:t>
      </w:r>
      <w:r w:rsidRPr="000734F3">
        <w:rPr>
          <w:i/>
          <w:iCs/>
        </w:rPr>
        <w:t>Liquor Act 1992</w:t>
      </w:r>
      <w:r w:rsidRPr="000734F3">
        <w:t>.</w:t>
      </w:r>
      <w:r>
        <w:t xml:space="preserve"> </w:t>
      </w:r>
    </w:p>
    <w:p w14:paraId="1282EF30" w14:textId="77777777" w:rsidR="00A52242" w:rsidRPr="000734F3" w:rsidRDefault="00A52242" w:rsidP="00EB1859">
      <w:r w:rsidRPr="000734F3">
        <w:t xml:space="preserve">The pub could require that the dog to be on a leash as a condition of entry inside the pub, but the pub was not entitled to refuse entry to the man with his dog merely because the man could only produce a </w:t>
      </w:r>
      <w:proofErr w:type="spellStart"/>
      <w:r w:rsidRPr="000734F3">
        <w:t>Translink</w:t>
      </w:r>
      <w:proofErr w:type="spellEnd"/>
      <w:r w:rsidRPr="000734F3">
        <w:t xml:space="preserve"> Assistance Animal Pass instead of an identity card under the </w:t>
      </w:r>
      <w:r w:rsidRPr="000734F3">
        <w:rPr>
          <w:i/>
          <w:iCs/>
        </w:rPr>
        <w:t>Guide Hearing and Assistance Dogs Act</w:t>
      </w:r>
      <w:r w:rsidRPr="000734F3">
        <w:t>.</w:t>
      </w:r>
    </w:p>
    <w:p w14:paraId="441EBF08" w14:textId="77777777" w:rsidR="00A52242" w:rsidRPr="000734F3" w:rsidRDefault="00A52242" w:rsidP="00EB1859">
      <w:r w:rsidRPr="000734F3">
        <w:t>The tribunal ordered the pub to pay the man $8,000 in compensation.</w:t>
      </w:r>
      <w:r w:rsidRPr="000734F3">
        <w:rPr>
          <w:rStyle w:val="FootnoteReference"/>
          <w:color w:val="000000" w:themeColor="text1"/>
        </w:rPr>
        <w:footnoteReference w:id="9"/>
      </w:r>
    </w:p>
    <w:p w14:paraId="6A937164" w14:textId="77777777" w:rsidR="00A52242" w:rsidRPr="00C108AD" w:rsidRDefault="00A52242" w:rsidP="00CA5EBF">
      <w:pPr>
        <w:pStyle w:val="Heading3"/>
      </w:pPr>
      <w:r w:rsidRPr="00C108AD">
        <w:t>Racial insults from neighbourhood</w:t>
      </w:r>
    </w:p>
    <w:p w14:paraId="35720137" w14:textId="77777777" w:rsidR="00A52242" w:rsidRPr="000734F3" w:rsidRDefault="00A52242" w:rsidP="00EB1859">
      <w:pPr>
        <w:rPr>
          <w:sz w:val="24"/>
        </w:rPr>
      </w:pPr>
      <w:r w:rsidRPr="000734F3">
        <w:t>A man who was originally from Germany and spoke English with a heavy German accent was subjected to racially based insults from an adjacent neighbourhood boundary.</w:t>
      </w:r>
    </w:p>
    <w:p w14:paraId="71A5666E" w14:textId="77777777" w:rsidR="00A52242" w:rsidRPr="000734F3" w:rsidRDefault="00A52242" w:rsidP="00EB1859">
      <w:r w:rsidRPr="000734F3">
        <w:t>The man had been out in a utility driven by his son and when they returned to the man’s home there was no space to park on the street, so they parked in the man’s driveway. The man walked to the footpath to check that his son had parked close enough to hedges that were just inside his property. The man claimed that at that time the neighbour’s son, who was standing with his father and brother in the front yard of the father’s property said, ‘What are you looking at you f***</w:t>
      </w:r>
      <w:proofErr w:type="spellStart"/>
      <w:r w:rsidRPr="000734F3">
        <w:t>ing</w:t>
      </w:r>
      <w:proofErr w:type="spellEnd"/>
      <w:r w:rsidRPr="000734F3">
        <w:t xml:space="preserve"> German c***’. </w:t>
      </w:r>
    </w:p>
    <w:p w14:paraId="715786CA" w14:textId="77777777" w:rsidR="00A52242" w:rsidRPr="000734F3" w:rsidRDefault="00A52242" w:rsidP="00EB1859">
      <w:r w:rsidRPr="000734F3">
        <w:t xml:space="preserve">Although the man and the neighbour’s son had not met or had any conversation before this incident, about a month beforehand the man had spoken with a woman who lived in the neighbouring property where she commented on the man being German. The neighbour’s son claimed he was not aware that the man had German origin and claimed that he called the man a ‘vermin c***’. </w:t>
      </w:r>
    </w:p>
    <w:p w14:paraId="45DAE4E6" w14:textId="77777777" w:rsidR="00A52242" w:rsidRPr="000734F3" w:rsidRDefault="00A52242" w:rsidP="00EB1859">
      <w:r w:rsidRPr="000734F3">
        <w:t>The tribunal said the version given by the neighbour’s son made no sense whatsoever in context, and his claim that the man was waving his arms around and being a pest was not supported by video evidence at the time.</w:t>
      </w:r>
      <w:r>
        <w:t xml:space="preserve"> </w:t>
      </w:r>
      <w:r w:rsidRPr="000734F3">
        <w:t xml:space="preserve">The tribunal accepted that the neighbour’s son had said the words as claimed by the man, and said the comments are insulting and pejorative in relation to the man being thought to be German. </w:t>
      </w:r>
    </w:p>
    <w:p w14:paraId="798C2C95" w14:textId="77777777" w:rsidR="00A52242" w:rsidRPr="000734F3" w:rsidRDefault="00A52242" w:rsidP="00EB1859">
      <w:r w:rsidRPr="000734F3">
        <w:t>The tribunal considered the comments could urge on, stimulate, or prompt to action the ordinary reasonable person to the requisite feelings of ill-will towards the man, and did in law amount to racial vilification.</w:t>
      </w:r>
    </w:p>
    <w:p w14:paraId="119758F3" w14:textId="77777777" w:rsidR="00A52242" w:rsidRPr="000734F3" w:rsidRDefault="00A52242" w:rsidP="00EB1859">
      <w:r w:rsidRPr="000734F3">
        <w:lastRenderedPageBreak/>
        <w:t>The tribunal accepted that the racially vilifying words were highly insulting to the man and caused him to be hurt and humiliated, particularly in front of his son and grandsons who witnessed him being treated in this manner. The man felt intimidated and fearful for his safety and said he suffered anxiety and sleeplessness, and an inability to peacefully enjoy his home in the front yard area. The tribunal considered an appropriate award for a one-off remark of the present kind is $3,300 (inclusive of interest) and ordered the neighbour’s son to pay that amount to the man by way of compensation for racial vilification.</w:t>
      </w:r>
      <w:r w:rsidRPr="000734F3">
        <w:rPr>
          <w:rStyle w:val="FootnoteReference"/>
        </w:rPr>
        <w:footnoteReference w:id="10"/>
      </w:r>
    </w:p>
    <w:p w14:paraId="763C2FD3" w14:textId="77777777" w:rsidR="00A52242" w:rsidRPr="00C108AD" w:rsidRDefault="00A52242" w:rsidP="00CA5EBF">
      <w:pPr>
        <w:pStyle w:val="Heading3"/>
        <w:ind w:right="2222"/>
      </w:pPr>
      <w:r w:rsidRPr="00C108AD">
        <w:t>Tenants mistreated because of race and pregnancy</w:t>
      </w:r>
    </w:p>
    <w:p w14:paraId="7E03B1C7" w14:textId="77777777" w:rsidR="00A52242" w:rsidRPr="000734F3" w:rsidRDefault="00A52242" w:rsidP="00EB1859">
      <w:r w:rsidRPr="000734F3">
        <w:t>A male and female couple (the tenants) had a fixed term residential tenancy of a unit in a block of six units.</w:t>
      </w:r>
      <w:r>
        <w:t xml:space="preserve"> </w:t>
      </w:r>
      <w:r w:rsidRPr="000734F3">
        <w:t>The tenancy was due to end in mid-June 2020 when there were special provisions and restrictions relating to the global COVID-19 pandemic.</w:t>
      </w:r>
      <w:r>
        <w:t xml:space="preserve"> </w:t>
      </w:r>
      <w:r w:rsidRPr="000734F3">
        <w:t>The tenants were of African origin.</w:t>
      </w:r>
    </w:p>
    <w:p w14:paraId="6EC81082" w14:textId="77777777" w:rsidR="00A52242" w:rsidRPr="000734F3" w:rsidRDefault="00A52242" w:rsidP="00EB1859">
      <w:r w:rsidRPr="000734F3">
        <w:t>About halfway through the fixed term tenancy, the female tenant told the landlord that she was pregnant, and they wanted to break the lease because they needed a larger place.</w:t>
      </w:r>
      <w:r>
        <w:t xml:space="preserve"> </w:t>
      </w:r>
      <w:r w:rsidRPr="000734F3">
        <w:t>It was agreed that if a new tenant could be found, then the tenancy could be ended early.</w:t>
      </w:r>
      <w:r>
        <w:t xml:space="preserve"> </w:t>
      </w:r>
      <w:r w:rsidRPr="000734F3">
        <w:t>The tenants were unable to find a new tenant and the baby was due just over six weeks before the end of the fixed term.</w:t>
      </w:r>
      <w:r>
        <w:t xml:space="preserve"> </w:t>
      </w:r>
      <w:r w:rsidRPr="000734F3">
        <w:t>The landlord told the tenants that the baby was not an authorised occupant and if the baby was brought into the unit eviction proceedings would be commenced.</w:t>
      </w:r>
    </w:p>
    <w:p w14:paraId="0C2E36C1" w14:textId="77777777" w:rsidR="00A52242" w:rsidRPr="000734F3" w:rsidRDefault="00A52242" w:rsidP="00EB1859">
      <w:r w:rsidRPr="000734F3">
        <w:t>The tribunal found that the threat to evict the tenants was direct discrimination on the basis of pregnancy and also because of their race.</w:t>
      </w:r>
    </w:p>
    <w:p w14:paraId="63F73066" w14:textId="77777777" w:rsidR="00A52242" w:rsidRDefault="00A52242" w:rsidP="00EB1859">
      <w:r w:rsidRPr="000734F3">
        <w:t>There had also been a campaign against the tenants that included multiple breach notices, filming the female tenant, not dealing quickly with the tenants’ problems with water and electricity, calling the male tenant names, and blocking access to the carport.</w:t>
      </w:r>
      <w:r>
        <w:t xml:space="preserve"> </w:t>
      </w:r>
      <w:r w:rsidRPr="000734F3">
        <w:t>The tribunal concluded that the real reason for the campaign was the race of the tenants, and that this constituted direct discrimination of them.</w:t>
      </w:r>
      <w:r>
        <w:t xml:space="preserve"> </w:t>
      </w:r>
    </w:p>
    <w:p w14:paraId="1D08B24B" w14:textId="3958593D" w:rsidR="00A52242" w:rsidRDefault="00A52242" w:rsidP="00EB1859">
      <w:r w:rsidRPr="000734F3">
        <w:t xml:space="preserve">The </w:t>
      </w:r>
      <w:r>
        <w:t>tribunal will decide the</w:t>
      </w:r>
      <w:r w:rsidR="00483829">
        <w:t xml:space="preserve"> remedy</w:t>
      </w:r>
      <w:r>
        <w:t xml:space="preserve"> </w:t>
      </w:r>
      <w:r w:rsidRPr="000734F3">
        <w:t>if the parties are unable to agree to a resolution.</w:t>
      </w:r>
      <w:r>
        <w:rPr>
          <w:rStyle w:val="FootnoteReference"/>
        </w:rPr>
        <w:footnoteReference w:id="11"/>
      </w:r>
      <w:r w:rsidRPr="000734F3">
        <w:t xml:space="preserve"> </w:t>
      </w:r>
    </w:p>
    <w:p w14:paraId="71AC96AC" w14:textId="77777777" w:rsidR="00A52242" w:rsidRPr="00C108AD" w:rsidRDefault="00A52242" w:rsidP="00CA5EBF">
      <w:pPr>
        <w:pStyle w:val="Heading3"/>
      </w:pPr>
      <w:r w:rsidRPr="00C108AD">
        <w:t>Complaints by children</w:t>
      </w:r>
    </w:p>
    <w:p w14:paraId="051D43DE" w14:textId="77777777" w:rsidR="00A52242" w:rsidRDefault="00A52242" w:rsidP="00EB1859">
      <w:r>
        <w:t>The tribunal sought to clarify whether complaints made by three children were properly made and asked the Commission to make submissions. The complaints were made by a lawyer for the children and the Commissioner had not authorised anyone to act on behalf of the children. The children were aged 17, 16, and 14 at the time the complaints were made.</w:t>
      </w:r>
    </w:p>
    <w:p w14:paraId="4EC14708" w14:textId="77777777" w:rsidR="00A52242" w:rsidRDefault="00A52242" w:rsidP="00EB1859">
      <w:r>
        <w:t xml:space="preserve">The tribunal accepted that the power to authorise a person to make a complaint on behalf of someone who is unable to complain is </w:t>
      </w:r>
      <w:r>
        <w:lastRenderedPageBreak/>
        <w:t xml:space="preserve">procedural, and even if an authorisation should have been made, it did not affect the validity of the complaints. </w:t>
      </w:r>
    </w:p>
    <w:p w14:paraId="67CEDE43" w14:textId="77777777" w:rsidR="00A52242" w:rsidRDefault="00A52242" w:rsidP="00EB1859">
      <w:r>
        <w:t xml:space="preserve">The tribunal found that the statutory regime governing the complaint contemplates that a person under the age of 18 years may bring a complaint and it may properly be referred to the tribunal. The tribunal would then assist the young person without the need for a litigation guardian. That interpretation of the legislation was most compatible with the children’s human rights. </w:t>
      </w:r>
    </w:p>
    <w:p w14:paraId="0631A0D0" w14:textId="77777777" w:rsidR="00A52242" w:rsidRPr="001201D5" w:rsidRDefault="00A52242" w:rsidP="00EB1859">
      <w:pPr>
        <w:rPr>
          <w:szCs w:val="22"/>
        </w:rPr>
      </w:pPr>
      <w:r>
        <w:t>The tribunal said that as the children were legally represented and given the obligations of lawyers to the tribunal and to their clients, it would expect that any lack of capacity due to age or intellectual disability had been addressed by the lawyers to ensure the litigation in the tribunal is properly conducted. The lawyer advised the tribunal that two of the children were competent to provide instructions, however the lawyer took instructions from the mother of the younger child</w:t>
      </w:r>
      <w:r w:rsidRPr="001201D5">
        <w:rPr>
          <w:szCs w:val="22"/>
        </w:rPr>
        <w:t>.</w:t>
      </w:r>
      <w:r>
        <w:rPr>
          <w:szCs w:val="22"/>
        </w:rPr>
        <w:t xml:space="preserve"> </w:t>
      </w:r>
      <w:r w:rsidRPr="001201D5">
        <w:rPr>
          <w:szCs w:val="22"/>
        </w:rPr>
        <w:t>In the interests of a fair hearing, the tribunal ordered that a litigation guardian be appointed for the younger child.</w:t>
      </w:r>
      <w:r>
        <w:rPr>
          <w:rStyle w:val="FootnoteReference"/>
          <w:szCs w:val="22"/>
        </w:rPr>
        <w:footnoteReference w:id="12"/>
      </w:r>
    </w:p>
    <w:p w14:paraId="38F2F154" w14:textId="77777777" w:rsidR="00A52242" w:rsidRPr="000734F3" w:rsidRDefault="00A52242" w:rsidP="00CA5EBF">
      <w:pPr>
        <w:pStyle w:val="Heading3"/>
      </w:pPr>
      <w:r w:rsidRPr="000734F3">
        <w:t>Appeals</w:t>
      </w:r>
      <w:bookmarkEnd w:id="171"/>
      <w:r w:rsidRPr="000734F3">
        <w:t xml:space="preserve"> </w:t>
      </w:r>
    </w:p>
    <w:p w14:paraId="5B20EBF8" w14:textId="77777777" w:rsidR="00A52242" w:rsidRPr="000734F3" w:rsidRDefault="00A52242" w:rsidP="00EB1859">
      <w:r w:rsidRPr="000734F3">
        <w:t>A party to proceedings in the QCAT may appeal a decision on a question of law and apply for leave to appeal a decision on questions of fact, or questions of mixed fact and law. Appeals are decided by the Queensland Civil and Administrative Appeals Tribunal (QCAT Appeal Tribunal). There were two decisions of the QCAT Appeal Tribunal published in the period.</w:t>
      </w:r>
      <w:r w:rsidRPr="000734F3">
        <w:rPr>
          <w:rStyle w:val="FootnoteReference"/>
        </w:rPr>
        <w:footnoteReference w:id="13"/>
      </w:r>
    </w:p>
    <w:p w14:paraId="19097BBD" w14:textId="77777777" w:rsidR="00A52242" w:rsidRPr="000734F3" w:rsidRDefault="00A52242" w:rsidP="00EB1859">
      <w:r w:rsidRPr="000734F3">
        <w:t>A party to proceedings in the QIRC may appeal a decision to the Industrial Court of Queensland (Industrial Court). There were two decisions of the QCAT Appeal Tribunal published in the period.</w:t>
      </w:r>
      <w:r w:rsidRPr="000734F3">
        <w:rPr>
          <w:rStyle w:val="FootnoteReference"/>
        </w:rPr>
        <w:footnoteReference w:id="14"/>
      </w:r>
    </w:p>
    <w:p w14:paraId="1BDCB1B1" w14:textId="77777777" w:rsidR="00A52242" w:rsidRDefault="00A52242" w:rsidP="00EB1859">
      <w:r w:rsidRPr="000734F3">
        <w:t xml:space="preserve">A party to decision of the QCAT Appeal Tribunal or the Industrial Court may appeal the decision to the Court of Appeal (a division of the Supreme Court of Queensland). There were no decisions of the Court of Appeal published in the period. </w:t>
      </w:r>
    </w:p>
    <w:p w14:paraId="2AC4FC1D" w14:textId="77777777" w:rsidR="008540FE" w:rsidRDefault="008540FE">
      <w:pPr>
        <w:ind w:right="0"/>
        <w:rPr>
          <w:i/>
          <w:iCs/>
          <w:color w:val="000000" w:themeColor="text1"/>
          <w:sz w:val="36"/>
        </w:rPr>
      </w:pPr>
      <w:bookmarkStart w:id="173" w:name="_Toc143678722"/>
      <w:bookmarkStart w:id="174" w:name="_Toc144200502"/>
      <w:r>
        <w:rPr>
          <w:i/>
          <w:iCs/>
        </w:rPr>
        <w:br w:type="page"/>
      </w:r>
    </w:p>
    <w:p w14:paraId="7C999755" w14:textId="61CA58FE" w:rsidR="00A52242" w:rsidRPr="00C50C29" w:rsidRDefault="00A52242" w:rsidP="00CA5EBF">
      <w:pPr>
        <w:pStyle w:val="Heading2"/>
      </w:pPr>
      <w:r w:rsidRPr="00C50C29">
        <w:rPr>
          <w:i/>
          <w:iCs/>
        </w:rPr>
        <w:lastRenderedPageBreak/>
        <w:t>Building Belonging</w:t>
      </w:r>
      <w:r w:rsidRPr="00C50C29">
        <w:t>: Our review of Queensland's Anti-Discrimination Act</w:t>
      </w:r>
      <w:bookmarkEnd w:id="173"/>
      <w:bookmarkEnd w:id="174"/>
    </w:p>
    <w:p w14:paraId="2B4F9563" w14:textId="77777777" w:rsidR="00A52242" w:rsidRDefault="00A52242" w:rsidP="00EB1859">
      <w:r w:rsidRPr="00C50C29">
        <w:t>In May 2021, the Attorney-General asked the Queensland Human Rights Commission to undertake a review of the </w:t>
      </w:r>
      <w:r w:rsidRPr="00C50C29">
        <w:rPr>
          <w:i/>
          <w:iCs/>
        </w:rPr>
        <w:t>Anti-Discrimination Act 1991</w:t>
      </w:r>
      <w:r w:rsidRPr="00C50C29">
        <w:t>. </w:t>
      </w:r>
    </w:p>
    <w:p w14:paraId="2722B409" w14:textId="77777777" w:rsidR="00A52242" w:rsidRPr="00C50C29" w:rsidRDefault="00A52242" w:rsidP="00EB1859">
      <w:r w:rsidRPr="00C50C29">
        <w:t xml:space="preserve">This was the first holistic </w:t>
      </w:r>
      <w:r>
        <w:t>review</w:t>
      </w:r>
      <w:r w:rsidRPr="00C50C29">
        <w:t xml:space="preserve"> of the Act since its introduction 30 years ago, and provided a valuable opportunity to make sure our law is keeping up to date with the changing needs of our society.</w:t>
      </w:r>
    </w:p>
    <w:p w14:paraId="7961722A" w14:textId="77777777" w:rsidR="00A52242" w:rsidRDefault="00A52242" w:rsidP="00EB1859">
      <w:r w:rsidRPr="00C50C29">
        <w:t>The final report</w:t>
      </w:r>
      <w:r>
        <w:t xml:space="preserve">, </w:t>
      </w:r>
      <w:r w:rsidRPr="00E36B21">
        <w:rPr>
          <w:i/>
          <w:iCs/>
        </w:rPr>
        <w:t>Building Belonging</w:t>
      </w:r>
      <w:r>
        <w:t xml:space="preserve">: </w:t>
      </w:r>
      <w:r w:rsidRPr="007D1E47">
        <w:rPr>
          <w:i/>
          <w:iCs/>
        </w:rPr>
        <w:t>Review of Queensland’s Anti-Discrimination Act 1991</w:t>
      </w:r>
      <w:r>
        <w:t>,</w:t>
      </w:r>
      <w:r w:rsidRPr="00C50C29">
        <w:t xml:space="preserve"> was handed to the Attorney-General on 29 July 2022 and tabled in parliament on 1 September 2022.</w:t>
      </w:r>
    </w:p>
    <w:p w14:paraId="2A65BE9A" w14:textId="77777777" w:rsidR="00A52242" w:rsidRDefault="00A52242" w:rsidP="00CA5EBF">
      <w:pPr>
        <w:pStyle w:val="Heading3"/>
      </w:pPr>
      <w:r>
        <w:t xml:space="preserve">About the review </w:t>
      </w:r>
    </w:p>
    <w:p w14:paraId="1C4DF1D7" w14:textId="77777777" w:rsidR="00A52242" w:rsidRDefault="00A52242" w:rsidP="00EB1859">
      <w:r w:rsidRPr="00C50C29">
        <w:t xml:space="preserve">When asked to undertake this </w:t>
      </w:r>
      <w:r>
        <w:t>legislative review</w:t>
      </w:r>
      <w:r w:rsidRPr="00C50C29">
        <w:t>, the Commissioner established a team within the Commission to conduct the Review. The Review team commenced work on 21 June 2021</w:t>
      </w:r>
      <w:r>
        <w:t>, and completed their task at delivery of the final report in September 2022.</w:t>
      </w:r>
    </w:p>
    <w:p w14:paraId="75437B0D" w14:textId="77777777" w:rsidR="00A52242" w:rsidRDefault="00A52242" w:rsidP="00EB1859">
      <w:r>
        <w:t xml:space="preserve">We also established a Reference Group representing nine key stakeholder streams to provide input into priority issues and support engagement. </w:t>
      </w:r>
    </w:p>
    <w:p w14:paraId="38D49989" w14:textId="77777777" w:rsidR="00A52242" w:rsidRDefault="00A52242" w:rsidP="00EB1859">
      <w:r>
        <w:t xml:space="preserve">The Review gathered information through three key activities – consultations, submissions, and research. </w:t>
      </w:r>
    </w:p>
    <w:p w14:paraId="4F12E154" w14:textId="77777777" w:rsidR="00A52242" w:rsidRDefault="00A52242" w:rsidP="00EB1859">
      <w:r>
        <w:t xml:space="preserve">We aimed to consult widely to ensure that as many people as possible could have input into the future of Queensland’s discrimination law. </w:t>
      </w:r>
    </w:p>
    <w:p w14:paraId="225B3513" w14:textId="77777777" w:rsidR="00A52242" w:rsidRDefault="00A52242" w:rsidP="00EB1859">
      <w:r>
        <w:t xml:space="preserve">We sought direct input from people who have experienced discrimination and sexual harassment, and took steps to proactively engage with people and communities who don’t usually report their experiences. </w:t>
      </w:r>
    </w:p>
    <w:p w14:paraId="200FE06A" w14:textId="77777777" w:rsidR="00A52242" w:rsidRDefault="00A52242" w:rsidP="00EB1859">
      <w:r>
        <w:t>Across the course of the Review, we conducted more than 120 stakeholder consultations, held four public consultations, and hosted a series of six roundtables.</w:t>
      </w:r>
    </w:p>
    <w:p w14:paraId="37197B43" w14:textId="0D643CC0" w:rsidR="00A52242" w:rsidRDefault="00A52242" w:rsidP="00EB1859">
      <w:r>
        <w:t xml:space="preserve">In November 2021 we published a Discussion Paper outlining priority topics, and including 56 questions about options for reform. We received 159 written submissions, most of which are published on our website. We conducted an online survey and received 1,109 responses. </w:t>
      </w:r>
    </w:p>
    <w:p w14:paraId="679A99FF" w14:textId="77777777" w:rsidR="00A52242" w:rsidRDefault="00A52242" w:rsidP="00EB1859">
      <w:r>
        <w:t xml:space="preserve">We also undertook extensive analysis of Australian and international discrimination and human rights law and academic literature. </w:t>
      </w:r>
    </w:p>
    <w:p w14:paraId="3112B19E" w14:textId="77777777" w:rsidR="00A52242" w:rsidRPr="00C50C29" w:rsidRDefault="00A52242" w:rsidP="00EB1859">
      <w:r>
        <w:t>Throughout the process we were informed by our guiding principles – comprehensive and consultative, transparent and inclusive, evidence-based and independent.</w:t>
      </w:r>
    </w:p>
    <w:p w14:paraId="2F040487" w14:textId="77777777" w:rsidR="008540FE" w:rsidRDefault="008540FE">
      <w:pPr>
        <w:ind w:right="0"/>
        <w:rPr>
          <w:color w:val="000000" w:themeColor="text1"/>
          <w:sz w:val="28"/>
        </w:rPr>
      </w:pPr>
      <w:r>
        <w:br w:type="page"/>
      </w:r>
    </w:p>
    <w:p w14:paraId="3534B60B" w14:textId="036E06B5" w:rsidR="00A52242" w:rsidRDefault="00A52242" w:rsidP="00CA5EBF">
      <w:pPr>
        <w:pStyle w:val="Heading3"/>
      </w:pPr>
      <w:r>
        <w:lastRenderedPageBreak/>
        <w:t>Key reforms</w:t>
      </w:r>
    </w:p>
    <w:p w14:paraId="3F29C714" w14:textId="536F1DCD" w:rsidR="00A52242" w:rsidRDefault="00A52242" w:rsidP="00EB1859">
      <w:r w:rsidRPr="00E36B21">
        <w:t>Throughout our Review, the consistent theme that emerged is that the current system lacks a preventative focus</w:t>
      </w:r>
      <w:r>
        <w:t>.</w:t>
      </w:r>
      <w:r w:rsidR="008540FE">
        <w:t xml:space="preserve"> </w:t>
      </w:r>
      <w:r w:rsidRPr="00E36B21">
        <w:rPr>
          <w:i/>
          <w:iCs/>
        </w:rPr>
        <w:t>Building Belonging</w:t>
      </w:r>
      <w:r>
        <w:t xml:space="preserve"> </w:t>
      </w:r>
      <w:r w:rsidRPr="00E36B21">
        <w:t>ma</w:t>
      </w:r>
      <w:r>
        <w:t>d</w:t>
      </w:r>
      <w:r w:rsidRPr="00E36B21">
        <w:t>e 122 recommendations to strengthen and modernise Queensland’s discrimination protections</w:t>
      </w:r>
      <w:r>
        <w:t>.</w:t>
      </w:r>
      <w:r w:rsidR="008540FE">
        <w:t xml:space="preserve"> </w:t>
      </w:r>
      <w:r w:rsidRPr="00CC2443">
        <w:t>We recommend</w:t>
      </w:r>
      <w:r>
        <w:t>ed</w:t>
      </w:r>
      <w:r w:rsidRPr="00CC2443">
        <w:t xml:space="preserve"> five key reforms: </w:t>
      </w:r>
    </w:p>
    <w:p w14:paraId="40C715CB" w14:textId="77777777" w:rsidR="00A52242" w:rsidRDefault="00A52242" w:rsidP="00EB1859">
      <w:pPr>
        <w:pStyle w:val="ListParagraph"/>
        <w:numPr>
          <w:ilvl w:val="0"/>
          <w:numId w:val="14"/>
        </w:numPr>
      </w:pPr>
      <w:r w:rsidRPr="00CC2443">
        <w:rPr>
          <w:b/>
          <w:bCs/>
        </w:rPr>
        <w:t>Eliminate discrimination</w:t>
      </w:r>
      <w:r w:rsidRPr="00CC2443">
        <w:t>. Introduce a new Act to protect and promote the right to equality and eliminate discrimination and sexual harassment to the greatest extent possible.</w:t>
      </w:r>
    </w:p>
    <w:p w14:paraId="309BEA2F" w14:textId="77777777" w:rsidR="00A52242" w:rsidRDefault="00A52242" w:rsidP="00EB1859">
      <w:pPr>
        <w:pStyle w:val="ListParagraph"/>
        <w:numPr>
          <w:ilvl w:val="0"/>
          <w:numId w:val="14"/>
        </w:numPr>
      </w:pPr>
      <w:r w:rsidRPr="00CC2443">
        <w:rPr>
          <w:b/>
          <w:bCs/>
        </w:rPr>
        <w:t>Refine the key concepts</w:t>
      </w:r>
      <w:r w:rsidRPr="00CC2443">
        <w:t>. Ensure the legal tests for discrimination respond effectively to the problems they are seeking to address and are easy to understand and apply.</w:t>
      </w:r>
    </w:p>
    <w:p w14:paraId="6873D3F4" w14:textId="77777777" w:rsidR="00A52242" w:rsidRDefault="00A52242" w:rsidP="00EB1859">
      <w:pPr>
        <w:pStyle w:val="ListParagraph"/>
        <w:numPr>
          <w:ilvl w:val="0"/>
          <w:numId w:val="14"/>
        </w:numPr>
      </w:pPr>
      <w:r w:rsidRPr="00CC2443">
        <w:rPr>
          <w:b/>
          <w:bCs/>
        </w:rPr>
        <w:t>Shift the focus to prevention</w:t>
      </w:r>
      <w:r w:rsidRPr="00CC2443">
        <w:t>. Promote compliance by shifting the focus to preventing discrimination and sexual harassment before it happens.</w:t>
      </w:r>
    </w:p>
    <w:p w14:paraId="3E973166" w14:textId="77777777" w:rsidR="00A52242" w:rsidRDefault="00A52242" w:rsidP="00EB1859">
      <w:pPr>
        <w:pStyle w:val="ListParagraph"/>
        <w:numPr>
          <w:ilvl w:val="0"/>
          <w:numId w:val="14"/>
        </w:numPr>
      </w:pPr>
      <w:r w:rsidRPr="00CC2443">
        <w:rPr>
          <w:b/>
          <w:bCs/>
        </w:rPr>
        <w:t>Improve the complaints system</w:t>
      </w:r>
      <w:r w:rsidRPr="00CC2443">
        <w:t>. Reorientate the dispute resolution process to ensure it is flexible and efficient, and to enhance access to justice.</w:t>
      </w:r>
    </w:p>
    <w:p w14:paraId="494EF643" w14:textId="77777777" w:rsidR="00A52242" w:rsidRDefault="00A52242" w:rsidP="00EB1859">
      <w:pPr>
        <w:pStyle w:val="ListParagraph"/>
        <w:numPr>
          <w:ilvl w:val="0"/>
          <w:numId w:val="14"/>
        </w:numPr>
      </w:pPr>
      <w:r w:rsidRPr="00CC2443">
        <w:rPr>
          <w:b/>
          <w:bCs/>
        </w:rPr>
        <w:t>Increase protection</w:t>
      </w:r>
      <w:r w:rsidRPr="00CC2443">
        <w:t>. Ensure all people who require protection under the Act are included, and that coverage of the law extends to all contexts and settings where unfair discrimination occurs, subject to reasonable exceptions.</w:t>
      </w:r>
    </w:p>
    <w:p w14:paraId="754A4ADE" w14:textId="77777777" w:rsidR="00A52242" w:rsidRDefault="00A52242" w:rsidP="00CA5EBF">
      <w:pPr>
        <w:pStyle w:val="Heading3"/>
      </w:pPr>
      <w:r>
        <w:t>Government response</w:t>
      </w:r>
    </w:p>
    <w:p w14:paraId="3E272162" w14:textId="77777777" w:rsidR="00A52242" w:rsidRPr="00C50C29" w:rsidRDefault="00A52242" w:rsidP="00EB1859">
      <w:r w:rsidRPr="00E36B21">
        <w:t>In tabling the report</w:t>
      </w:r>
      <w:r>
        <w:t xml:space="preserve"> in the Queensland Parliament</w:t>
      </w:r>
      <w:r w:rsidRPr="00E36B21">
        <w:t>, the Attorney-General described the QHRC review as ‘comprehensive, consultative, inclusive and evidence-based’.</w:t>
      </w:r>
    </w:p>
    <w:p w14:paraId="7E387474" w14:textId="77777777" w:rsidR="00A52242" w:rsidRDefault="00A52242" w:rsidP="00EB1859">
      <w:r w:rsidRPr="00C50C29">
        <w:t xml:space="preserve">On 28 March 2023, the Queensland Government published its </w:t>
      </w:r>
      <w:r>
        <w:t xml:space="preserve">final </w:t>
      </w:r>
      <w:r w:rsidRPr="00C50C29">
        <w:t>response to the </w:t>
      </w:r>
      <w:r w:rsidRPr="00C50C29">
        <w:rPr>
          <w:i/>
          <w:iCs/>
        </w:rPr>
        <w:t>Building Belong </w:t>
      </w:r>
      <w:r w:rsidRPr="00C50C29">
        <w:t>report</w:t>
      </w:r>
      <w:r>
        <w:t>, supporting in-</w:t>
      </w:r>
      <w:r w:rsidRPr="00C50C29">
        <w:t xml:space="preserve">principle support all </w:t>
      </w:r>
      <w:r>
        <w:t xml:space="preserve">122 </w:t>
      </w:r>
      <w:r w:rsidRPr="00C50C29">
        <w:t>recommendations</w:t>
      </w:r>
      <w:r>
        <w:t>.</w:t>
      </w:r>
    </w:p>
    <w:p w14:paraId="56D88DC3" w14:textId="77777777" w:rsidR="00A52242" w:rsidRDefault="00A52242" w:rsidP="00EB1859">
      <w:r>
        <w:t xml:space="preserve">The response commits the Queensland Government to introducing a Bill to repeal and replace the </w:t>
      </w:r>
      <w:r>
        <w:rPr>
          <w:i/>
          <w:iCs/>
        </w:rPr>
        <w:t>Anti-Discrimination Act 1991</w:t>
      </w:r>
      <w:r>
        <w:t xml:space="preserve"> within the current term of government.</w:t>
      </w:r>
    </w:p>
    <w:p w14:paraId="4CC342FD" w14:textId="77777777" w:rsidR="00A52242" w:rsidRDefault="00A52242" w:rsidP="00EB1859">
      <w:r w:rsidRPr="00C50C29">
        <w:t xml:space="preserve">The Department of Justice and Attorney-General are working to implement these recommendations. </w:t>
      </w:r>
      <w:r w:rsidRPr="00CC2443">
        <w:t xml:space="preserve">New anti-discrimination legislation and reform will </w:t>
      </w:r>
      <w:r>
        <w:t xml:space="preserve">now </w:t>
      </w:r>
      <w:r w:rsidRPr="00CC2443">
        <w:t>be prepared to meet the needs of a modern Queensland.</w:t>
      </w:r>
    </w:p>
    <w:p w14:paraId="68D734DC" w14:textId="4CA5731D" w:rsidR="008540FE" w:rsidRDefault="008540FE" w:rsidP="00483829">
      <w:pPr>
        <w:pStyle w:val="Keystatistics"/>
        <w:ind w:left="709"/>
      </w:pPr>
      <w:bookmarkStart w:id="175" w:name="_Toc143678723"/>
      <w:bookmarkStart w:id="176" w:name="_Toc144200503"/>
      <w:r>
        <w:rPr>
          <w:i w:val="0"/>
          <w:iCs/>
        </w:rPr>
        <w:br w:type="page"/>
      </w:r>
    </w:p>
    <w:p w14:paraId="79EDB2E2" w14:textId="482E806A" w:rsidR="00A52242" w:rsidRDefault="00A52242" w:rsidP="00CA5EBF">
      <w:pPr>
        <w:pStyle w:val="Heading2"/>
      </w:pPr>
      <w:r w:rsidRPr="00576F0C">
        <w:rPr>
          <w:i/>
          <w:iCs/>
        </w:rPr>
        <w:lastRenderedPageBreak/>
        <w:t>Shifting the focus</w:t>
      </w:r>
      <w:r>
        <w:t>: the third annual report on the operation of the Human Rights Act</w:t>
      </w:r>
      <w:bookmarkEnd w:id="175"/>
      <w:bookmarkEnd w:id="176"/>
    </w:p>
    <w:p w14:paraId="2EF4732D" w14:textId="77777777" w:rsidR="00A52242" w:rsidRDefault="00A52242" w:rsidP="00EB1859">
      <w:r>
        <w:t xml:space="preserve">Under the Human Rights Act, we are required to produce an annual report on the operation of the Act. </w:t>
      </w:r>
    </w:p>
    <w:p w14:paraId="72F34E8D" w14:textId="77777777" w:rsidR="00A52242" w:rsidRDefault="00A52242" w:rsidP="00EB1859">
      <w:r>
        <w:t>These reports include Commission complaints data as well as contributions from state and local government entities, advocates, and functional public entities, and an analysis of the Act's impact on the courts and on parliament.</w:t>
      </w:r>
    </w:p>
    <w:p w14:paraId="7B1962D1" w14:textId="77777777" w:rsidR="00A52242" w:rsidRDefault="00A52242" w:rsidP="00EB1859">
      <w:r w:rsidRPr="008D6025">
        <w:rPr>
          <w:i/>
          <w:iCs/>
        </w:rPr>
        <w:t>Shifting the focus</w:t>
      </w:r>
      <w:r>
        <w:t xml:space="preserve"> is the third of these reports to be published and was tabled in parliament in November 2022. </w:t>
      </w:r>
    </w:p>
    <w:p w14:paraId="17F0E5D6" w14:textId="77777777" w:rsidR="00A52242" w:rsidRDefault="00A52242" w:rsidP="00EB1859">
      <w:r>
        <w:t>While COVID-related issues still dominated the application of the Act across various sectors in 2021-22, this report was aimed at helping refocus Queensland’s attention on how the Act will be used to protect and promote human rights into the future, where COVID-19 issues are less likely to dominate and other challenges come to the fore</w:t>
      </w:r>
    </w:p>
    <w:p w14:paraId="0FAE0A9A" w14:textId="77777777" w:rsidR="00A52242" w:rsidRDefault="00A52242" w:rsidP="00EB1859">
      <w:pPr>
        <w:pStyle w:val="Keystatistics"/>
      </w:pPr>
      <w:r>
        <w:t xml:space="preserve">"While it is no surprise that an international pandemic and its inescapable impact domestically has been the focal point for Queensland’s newly minted human rights legislation, three years into the Act’s operation, it is time to lift our eyes to the horizon and expand our understanding of how human rights protections apply to acts and decisions beyond those related to COVID." – Scott McDougall, Queensland Human Rights Commissioner, in the foreword to </w:t>
      </w:r>
      <w:r w:rsidRPr="008D6025">
        <w:rPr>
          <w:iCs/>
        </w:rPr>
        <w:t>Shifting the focus</w:t>
      </w:r>
      <w:r>
        <w:t>.</w:t>
      </w:r>
    </w:p>
    <w:p w14:paraId="22D970D7" w14:textId="77777777" w:rsidR="00A52242" w:rsidRDefault="00A52242" w:rsidP="00EB1859">
      <w:r>
        <w:t xml:space="preserve">The report has been viewed over 3,700 times as at 30 June 2023, and shared with stakeholders via a variety of channels including media coverage, email bulletins, social media, and through our partnerships and networks with community organisations, legal practitioners, academics, and government departments and agencies. </w:t>
      </w:r>
    </w:p>
    <w:p w14:paraId="0ACAB91B" w14:textId="77777777" w:rsidR="00A52242" w:rsidRPr="00C50C29" w:rsidRDefault="00A52242" w:rsidP="00EB1859">
      <w:r>
        <w:t xml:space="preserve">The report is available on our website at </w:t>
      </w:r>
      <w:r w:rsidRPr="0041790F">
        <w:t>www.qhrc.qld.gov.au/resources/reports</w:t>
      </w:r>
      <w:r>
        <w:t xml:space="preserve">. </w:t>
      </w:r>
    </w:p>
    <w:p w14:paraId="1E2C01D9" w14:textId="77777777" w:rsidR="00A52242" w:rsidRPr="003E19E6" w:rsidRDefault="00A52242" w:rsidP="00EB1859">
      <w:r w:rsidRPr="003E19E6">
        <w:t xml:space="preserve"> </w:t>
      </w:r>
    </w:p>
    <w:p w14:paraId="194FAEC9" w14:textId="77777777" w:rsidR="00A52242" w:rsidRPr="000734F3" w:rsidRDefault="00A52242" w:rsidP="00EB1859"/>
    <w:p w14:paraId="00907FAB" w14:textId="0EFD6293" w:rsidR="008B3FBA" w:rsidRDefault="008B3FBA" w:rsidP="00EB1859">
      <w:r>
        <w:br w:type="page"/>
      </w:r>
    </w:p>
    <w:p w14:paraId="123E32B7" w14:textId="77777777" w:rsidR="008B3FBA" w:rsidRDefault="008B3FBA" w:rsidP="00CA5EBF">
      <w:pPr>
        <w:pStyle w:val="Heading1"/>
      </w:pPr>
      <w:bookmarkStart w:id="177" w:name="_Toc112424427"/>
      <w:bookmarkStart w:id="178" w:name="_Toc143678724"/>
      <w:bookmarkStart w:id="179" w:name="_Toc144200504"/>
      <w:r>
        <w:lastRenderedPageBreak/>
        <w:t>Community engagement and communications</w:t>
      </w:r>
      <w:bookmarkEnd w:id="177"/>
      <w:bookmarkEnd w:id="178"/>
      <w:bookmarkEnd w:id="179"/>
      <w:r>
        <w:t xml:space="preserve"> </w:t>
      </w:r>
    </w:p>
    <w:p w14:paraId="772C5904" w14:textId="77777777" w:rsidR="008B3FBA" w:rsidRDefault="008B3FBA" w:rsidP="00EB1859">
      <w:r>
        <w:t xml:space="preserve">We take part in a range of community engagement activities as part of our commitment to increasing public understanding and discussion of human rights and responsibilities. </w:t>
      </w:r>
    </w:p>
    <w:p w14:paraId="7B5FD3AE" w14:textId="77777777" w:rsidR="008B3FBA" w:rsidRDefault="008B3FBA" w:rsidP="00CA5EBF">
      <w:pPr>
        <w:pStyle w:val="Heading2"/>
      </w:pPr>
      <w:bookmarkStart w:id="180" w:name="_Toc80971307"/>
      <w:bookmarkStart w:id="181" w:name="_Toc112424428"/>
      <w:bookmarkStart w:id="182" w:name="_Toc143678725"/>
      <w:bookmarkStart w:id="183" w:name="_Toc144200505"/>
      <w:r>
        <w:t>Events</w:t>
      </w:r>
      <w:bookmarkEnd w:id="180"/>
      <w:bookmarkEnd w:id="181"/>
      <w:bookmarkEnd w:id="182"/>
      <w:bookmarkEnd w:id="183"/>
    </w:p>
    <w:p w14:paraId="2648A356" w14:textId="77777777" w:rsidR="008B3FBA" w:rsidRDefault="008B3FBA" w:rsidP="00EB1859">
      <w:r w:rsidRPr="00D057F7">
        <w:t xml:space="preserve">After several years of events being cancelled or held via alternative formats due to COVID-19, 2022-23 saw a </w:t>
      </w:r>
      <w:r>
        <w:t xml:space="preserve">strong </w:t>
      </w:r>
      <w:r w:rsidRPr="00D057F7">
        <w:t>return to face</w:t>
      </w:r>
      <w:r>
        <w:t>-</w:t>
      </w:r>
      <w:r w:rsidRPr="00D057F7">
        <w:t>to</w:t>
      </w:r>
      <w:r>
        <w:t>-</w:t>
      </w:r>
      <w:r w:rsidRPr="00D057F7">
        <w:t>face events. This year we took part in or attended over 50 events across the state – more than double the number we took part in in 2021-22</w:t>
      </w:r>
      <w:r>
        <w:t xml:space="preserve"> – including: </w:t>
      </w:r>
    </w:p>
    <w:p w14:paraId="4BAEEE16" w14:textId="77777777" w:rsidR="008B3FBA" w:rsidRDefault="008B3FBA" w:rsidP="00EB1859">
      <w:pPr>
        <w:pStyle w:val="ListParagraph"/>
        <w:numPr>
          <w:ilvl w:val="0"/>
          <w:numId w:val="16"/>
        </w:numPr>
      </w:pPr>
      <w:r>
        <w:t xml:space="preserve">MOSAIC Multicultural Festival </w:t>
      </w:r>
    </w:p>
    <w:p w14:paraId="10F0A5A6" w14:textId="77777777" w:rsidR="008B3FBA" w:rsidRDefault="008B3FBA" w:rsidP="00EB1859">
      <w:pPr>
        <w:pStyle w:val="ListParagraph"/>
        <w:numPr>
          <w:ilvl w:val="0"/>
          <w:numId w:val="16"/>
        </w:numPr>
      </w:pPr>
      <w:r>
        <w:t xml:space="preserve">Brisbane and Cairns Pride Fair Days </w:t>
      </w:r>
    </w:p>
    <w:p w14:paraId="7B0F9B1B" w14:textId="77777777" w:rsidR="008B3FBA" w:rsidRDefault="008B3FBA" w:rsidP="00EB1859">
      <w:pPr>
        <w:pStyle w:val="ListParagraph"/>
        <w:numPr>
          <w:ilvl w:val="0"/>
          <w:numId w:val="16"/>
        </w:numPr>
      </w:pPr>
      <w:r>
        <w:t xml:space="preserve">Rockhampton’s all abilities Beach Day Out </w:t>
      </w:r>
    </w:p>
    <w:p w14:paraId="20BE57CB" w14:textId="77777777" w:rsidR="008B3FBA" w:rsidRDefault="008B3FBA" w:rsidP="00EB1859">
      <w:pPr>
        <w:pStyle w:val="ListParagraph"/>
        <w:numPr>
          <w:ilvl w:val="0"/>
          <w:numId w:val="16"/>
        </w:numPr>
      </w:pPr>
      <w:r>
        <w:t>NAIDOC parades, fairs and Deadly Day Out in Townsville, Cairns, Rockhampton and Brisbane</w:t>
      </w:r>
    </w:p>
    <w:p w14:paraId="413AB953" w14:textId="77777777" w:rsidR="008B3FBA" w:rsidRDefault="008B3FBA" w:rsidP="00EB1859">
      <w:pPr>
        <w:pStyle w:val="ListParagraph"/>
        <w:numPr>
          <w:ilvl w:val="0"/>
          <w:numId w:val="16"/>
        </w:numPr>
      </w:pPr>
      <w:r>
        <w:t>QCOSS conference in Brisbane</w:t>
      </w:r>
    </w:p>
    <w:p w14:paraId="04E46FEF" w14:textId="77777777" w:rsidR="008B3FBA" w:rsidRDefault="008B3FBA" w:rsidP="00EB1859">
      <w:pPr>
        <w:pStyle w:val="ListParagraph"/>
        <w:numPr>
          <w:ilvl w:val="0"/>
          <w:numId w:val="16"/>
        </w:numPr>
      </w:pPr>
      <w:r>
        <w:t>Islamic Society of Central Queensland’s first Youth Conference</w:t>
      </w:r>
    </w:p>
    <w:p w14:paraId="4AA6E1F0" w14:textId="77777777" w:rsidR="008B3FBA" w:rsidRDefault="008B3FBA" w:rsidP="00EB1859">
      <w:pPr>
        <w:pStyle w:val="ListParagraph"/>
        <w:numPr>
          <w:ilvl w:val="0"/>
          <w:numId w:val="16"/>
        </w:numPr>
      </w:pPr>
      <w:r>
        <w:t xml:space="preserve">Townsville citizenship ceremonies </w:t>
      </w:r>
    </w:p>
    <w:p w14:paraId="7F36A447" w14:textId="77777777" w:rsidR="008B3FBA" w:rsidRDefault="008B3FBA" w:rsidP="00EB1859">
      <w:pPr>
        <w:pStyle w:val="ListParagraph"/>
        <w:numPr>
          <w:ilvl w:val="0"/>
          <w:numId w:val="16"/>
        </w:numPr>
      </w:pPr>
      <w:r>
        <w:t xml:space="preserve">Iftar dinners in Brisbane, Mareeba and Cairns </w:t>
      </w:r>
    </w:p>
    <w:p w14:paraId="6E492DCD" w14:textId="77777777" w:rsidR="008B3FBA" w:rsidRDefault="008B3FBA" w:rsidP="00EB1859">
      <w:pPr>
        <w:pStyle w:val="ListParagraph"/>
        <w:numPr>
          <w:ilvl w:val="0"/>
          <w:numId w:val="16"/>
        </w:numPr>
      </w:pPr>
      <w:r>
        <w:t xml:space="preserve">Human Rights Week community conversation days across southeast Queensland </w:t>
      </w:r>
    </w:p>
    <w:p w14:paraId="086F14FA" w14:textId="77777777" w:rsidR="008B3FBA" w:rsidRDefault="008B3FBA" w:rsidP="00EB1859">
      <w:pPr>
        <w:pStyle w:val="ListParagraph"/>
        <w:numPr>
          <w:ilvl w:val="0"/>
          <w:numId w:val="16"/>
        </w:numPr>
      </w:pPr>
      <w:r>
        <w:t xml:space="preserve">Townsville International Women’s Day </w:t>
      </w:r>
    </w:p>
    <w:p w14:paraId="288465E8" w14:textId="77777777" w:rsidR="008B3FBA" w:rsidRDefault="008B3FBA" w:rsidP="00EB1859">
      <w:pPr>
        <w:pStyle w:val="ListParagraph"/>
        <w:numPr>
          <w:ilvl w:val="0"/>
          <w:numId w:val="16"/>
        </w:numPr>
      </w:pPr>
      <w:r>
        <w:t>Market days and Orientation Week events at James Cook University’s Townsville and Cairns campuses and Central Queensland University.</w:t>
      </w:r>
    </w:p>
    <w:p w14:paraId="7A4639C3" w14:textId="77777777" w:rsidR="008B3FBA" w:rsidRDefault="008B3FBA" w:rsidP="00CA5EBF">
      <w:pPr>
        <w:pStyle w:val="Heading2"/>
      </w:pPr>
      <w:bookmarkStart w:id="184" w:name="_Toc143678207"/>
      <w:bookmarkStart w:id="185" w:name="_Toc143678726"/>
      <w:bookmarkStart w:id="186" w:name="_Toc144200506"/>
      <w:bookmarkStart w:id="187" w:name="_Toc80971310"/>
      <w:bookmarkStart w:id="188" w:name="_Toc112424429"/>
      <w:r w:rsidRPr="000E0735">
        <w:t>Mabo Oration 2023</w:t>
      </w:r>
      <w:bookmarkEnd w:id="184"/>
      <w:bookmarkEnd w:id="185"/>
      <w:bookmarkEnd w:id="186"/>
    </w:p>
    <w:p w14:paraId="7322EECA" w14:textId="77777777" w:rsidR="008B3FBA" w:rsidRDefault="008B3FBA" w:rsidP="00EB1859">
      <w:pPr>
        <w:rPr>
          <w:rFonts w:cs="Arial"/>
        </w:rPr>
      </w:pPr>
      <w:r w:rsidRPr="00FA3A6F">
        <w:t xml:space="preserve">The Mabo Oration has been held since 2005, honouring the legacy of Eddie Koiki Mabo and his ground-breaking contributions to Indigenous land rights. Usually a biennial event, this year was the first </w:t>
      </w:r>
      <w:r>
        <w:t>o</w:t>
      </w:r>
      <w:r w:rsidRPr="00FA3A6F">
        <w:t xml:space="preserve">ration since 2019 and the first to take place outside southeast Queensland. </w:t>
      </w:r>
    </w:p>
    <w:p w14:paraId="1E2FAC74" w14:textId="77777777" w:rsidR="008B3FBA" w:rsidRDefault="008B3FBA" w:rsidP="00EB1859">
      <w:r w:rsidRPr="00984F45">
        <w:t xml:space="preserve">In partnership with the Queensland Performing Arts Centre, we </w:t>
      </w:r>
      <w:r>
        <w:t>presented</w:t>
      </w:r>
      <w:r w:rsidRPr="00984F45">
        <w:t xml:space="preserve"> the 2023 Mabo Oration on 2 June 2023 in Townsville.</w:t>
      </w:r>
    </w:p>
    <w:p w14:paraId="25F7955D" w14:textId="77777777" w:rsidR="008B3FBA" w:rsidRPr="0027629F" w:rsidRDefault="008B3FBA" w:rsidP="00EB1859">
      <w:r w:rsidRPr="00FA3A6F">
        <w:t>Professor Dr Megan Davis</w:t>
      </w:r>
      <w:r>
        <w:t xml:space="preserve">, a </w:t>
      </w:r>
      <w:r w:rsidRPr="00DE3318">
        <w:t xml:space="preserve">renowned constitutional lawyer </w:t>
      </w:r>
      <w:r>
        <w:t xml:space="preserve">and Uluru </w:t>
      </w:r>
      <w:r w:rsidRPr="0027629F">
        <w:t xml:space="preserve">Statement from the Heart </w:t>
      </w:r>
      <w:r>
        <w:t>co-chair,</w:t>
      </w:r>
      <w:r w:rsidRPr="00FA3A6F">
        <w:t xml:space="preserve"> delivered this year’s </w:t>
      </w:r>
      <w:r>
        <w:t>o</w:t>
      </w:r>
      <w:r w:rsidRPr="00FA3A6F">
        <w:t>ration.</w:t>
      </w:r>
      <w:r w:rsidRPr="0027629F">
        <w:t xml:space="preserve"> </w:t>
      </w:r>
    </w:p>
    <w:p w14:paraId="2629E59B" w14:textId="77777777" w:rsidR="008B3FBA" w:rsidRDefault="008B3FBA" w:rsidP="00EB1859">
      <w:r w:rsidRPr="00FA3A6F">
        <w:t>Her address was followed by a panel discussion</w:t>
      </w:r>
      <w:r>
        <w:t xml:space="preserve">, </w:t>
      </w:r>
      <w:r w:rsidRPr="00FA3A6F">
        <w:t>chaired by MC Jeff McMullen</w:t>
      </w:r>
      <w:r>
        <w:t xml:space="preserve">, and </w:t>
      </w:r>
      <w:r w:rsidRPr="00FA3A6F">
        <w:t>featuring Professor Davis, Gail Mabo</w:t>
      </w:r>
      <w:r>
        <w:t>,</w:t>
      </w:r>
      <w:r w:rsidRPr="008847BC">
        <w:t xml:space="preserve"> </w:t>
      </w:r>
      <w:r>
        <w:t>multidisciplinary artist</w:t>
      </w:r>
      <w:r w:rsidRPr="00FA3A6F">
        <w:t xml:space="preserve"> </w:t>
      </w:r>
      <w:r>
        <w:t xml:space="preserve">and daughter of Eddie Mabo, </w:t>
      </w:r>
      <w:r w:rsidRPr="00FA3A6F">
        <w:t xml:space="preserve">and </w:t>
      </w:r>
      <w:r>
        <w:t xml:space="preserve">also </w:t>
      </w:r>
      <w:r w:rsidRPr="00FA3A6F">
        <w:t>Professor Henry Reynolds</w:t>
      </w:r>
      <w:r>
        <w:t xml:space="preserve">, </w:t>
      </w:r>
      <w:r>
        <w:lastRenderedPageBreak/>
        <w:t xml:space="preserve">a historian </w:t>
      </w:r>
      <w:r w:rsidRPr="00F87317">
        <w:t xml:space="preserve">considered one of the leading authorities on </w:t>
      </w:r>
      <w:r>
        <w:t>Australia’s frontier conflicts.</w:t>
      </w:r>
    </w:p>
    <w:p w14:paraId="305A3677" w14:textId="77777777" w:rsidR="008B3FBA" w:rsidRPr="00FA3A6F" w:rsidRDefault="008B3FBA" w:rsidP="00EB1859">
      <w:pPr>
        <w:rPr>
          <w:rFonts w:cs="Arial"/>
        </w:rPr>
      </w:pPr>
      <w:r w:rsidRPr="00FA3A6F">
        <w:t xml:space="preserve">The </w:t>
      </w:r>
      <w:r>
        <w:t xml:space="preserve">Mabo Oration 2023 </w:t>
      </w:r>
      <w:r w:rsidRPr="00FA3A6F">
        <w:t xml:space="preserve">was embraced by </w:t>
      </w:r>
      <w:r>
        <w:t xml:space="preserve">the North Queensland community </w:t>
      </w:r>
      <w:r w:rsidRPr="00FA3A6F">
        <w:t>with over 350 people in attendance</w:t>
      </w:r>
      <w:r>
        <w:t xml:space="preserve">. </w:t>
      </w:r>
    </w:p>
    <w:p w14:paraId="0FE82DD4" w14:textId="77777777" w:rsidR="008B3FBA" w:rsidRPr="00FA3A6F" w:rsidRDefault="008B3FBA" w:rsidP="00EB1859">
      <w:r>
        <w:t>We are grateful for</w:t>
      </w:r>
      <w:r w:rsidRPr="00FA3A6F">
        <w:t xml:space="preserve"> </w:t>
      </w:r>
      <w:r>
        <w:t xml:space="preserve">our </w:t>
      </w:r>
      <w:r w:rsidRPr="00FA3A6F">
        <w:t>event partner</w:t>
      </w:r>
      <w:r>
        <w:t>s</w:t>
      </w:r>
      <w:r w:rsidRPr="00FA3A6F">
        <w:t xml:space="preserve"> Queensland Performing Arts Centre (QPAC) for their continued support and commitment to this event</w:t>
      </w:r>
      <w:r>
        <w:t>,</w:t>
      </w:r>
      <w:r w:rsidRPr="00FA3A6F">
        <w:t xml:space="preserve"> </w:t>
      </w:r>
      <w:r>
        <w:t xml:space="preserve">and </w:t>
      </w:r>
      <w:r w:rsidRPr="00FA3A6F">
        <w:t xml:space="preserve">the Mabo family, without whose ongoing support this event would not be possible. </w:t>
      </w:r>
    </w:p>
    <w:p w14:paraId="5932D323" w14:textId="77777777" w:rsidR="008B3FBA" w:rsidRPr="00A21D7D" w:rsidRDefault="008B3FBA" w:rsidP="00CA5EBF">
      <w:pPr>
        <w:pStyle w:val="Heading2"/>
      </w:pPr>
      <w:bookmarkStart w:id="189" w:name="_Toc143678208"/>
      <w:bookmarkStart w:id="190" w:name="_Toc143678727"/>
      <w:bookmarkStart w:id="191" w:name="_Toc144200507"/>
      <w:r w:rsidRPr="00A21D7D">
        <w:t xml:space="preserve">Human Rights </w:t>
      </w:r>
      <w:bookmarkEnd w:id="187"/>
      <w:r>
        <w:t>Week</w:t>
      </w:r>
      <w:bookmarkEnd w:id="188"/>
      <w:bookmarkEnd w:id="189"/>
      <w:bookmarkEnd w:id="190"/>
      <w:bookmarkEnd w:id="191"/>
      <w:r>
        <w:t xml:space="preserve"> </w:t>
      </w:r>
    </w:p>
    <w:p w14:paraId="0DDADD9A" w14:textId="77777777" w:rsidR="008B3FBA" w:rsidRDefault="008B3FBA" w:rsidP="00EB1859">
      <w:r>
        <w:t xml:space="preserve">As part of our objective to provide education and awareness about human rights to the community, the Commission runs an annual </w:t>
      </w:r>
      <w:r w:rsidRPr="00A21D7D">
        <w:t xml:space="preserve">Human Rights </w:t>
      </w:r>
      <w:r>
        <w:t>Week</w:t>
      </w:r>
      <w:r w:rsidRPr="00A21D7D">
        <w:t xml:space="preserve"> campaign</w:t>
      </w:r>
      <w:r>
        <w:t xml:space="preserve"> starting on</w:t>
      </w:r>
      <w:r w:rsidRPr="00A21D7D">
        <w:t xml:space="preserve"> </w:t>
      </w:r>
      <w:r>
        <w:t xml:space="preserve">1 December and culminating on Human Rights Day on 10 December. </w:t>
      </w:r>
    </w:p>
    <w:p w14:paraId="20742866" w14:textId="77777777" w:rsidR="008B3FBA" w:rsidRDefault="008B3FBA" w:rsidP="00EB1859">
      <w:r>
        <w:t xml:space="preserve">As with other events this year, more face-to-face activity was possible in 2022-23 than the preceding years and we were able to augment our online awareness activities with more in-person events. </w:t>
      </w:r>
    </w:p>
    <w:p w14:paraId="233EA786" w14:textId="77777777" w:rsidR="008B3FBA" w:rsidRDefault="008B3FBA" w:rsidP="00EB1859">
      <w:r>
        <w:t xml:space="preserve">This fit well with our theme for Human Rights Week 2022, ‘Close to Home’. Close to Home aimed to focus on human rights at a local level, helping people and their communities to know the Act, to share it, and to use it. </w:t>
      </w:r>
    </w:p>
    <w:p w14:paraId="35AD8AAF" w14:textId="77777777" w:rsidR="008B3FBA" w:rsidRPr="00E914D6" w:rsidRDefault="008B3FBA" w:rsidP="00EB1859">
      <w:r w:rsidRPr="00E914D6">
        <w:t>Human Rights Week opened with a forum on the implementation of the Optional Protocol to the Convention Against Torture and Other Cruel, Inhuman or Degrading Treatment (often referred to simply as OPCAT). OPCAT is an international agreement aiming to prevent the mistreatment of people in detention. We co-convened the forum with the Public Advocate and Queensland Advocacy for Inclusion on 1 December in Brisbane, and o</w:t>
      </w:r>
      <w:r w:rsidRPr="00E914D6">
        <w:rPr>
          <w:szCs w:val="22"/>
          <w:shd w:val="clear" w:color="auto" w:fill="FFFFFF"/>
        </w:rPr>
        <w:t>ver 120 participants gathered to call on state government to prioritise the commencement of independent oversight of prisons, youth detention centres, locked mental health wards, and state-run aged care centres.</w:t>
      </w:r>
    </w:p>
    <w:p w14:paraId="5DAE2E98" w14:textId="77777777" w:rsidR="008B3FBA" w:rsidRDefault="008B3FBA" w:rsidP="00EB1859">
      <w:r>
        <w:t xml:space="preserve">In keeping with the ‘Close to Home’ theme, we held several community conversation days across southeast Queensland during Human Rights Week, which provided an opportunity for people to come together to discuss human rights and discrimination, and to find out about or connect with services or campaigns happening in their local community. These events incorporated free human rights training for community advocates, which we also offered online during Human Rights Week for people who weren’t able to make it to a face-to-face event. </w:t>
      </w:r>
    </w:p>
    <w:p w14:paraId="7E3E60F2" w14:textId="77777777" w:rsidR="008B3FBA" w:rsidRDefault="008B3FBA" w:rsidP="00EB1859">
      <w:r>
        <w:t>We also ran free introductory human rights training in Townsville, a pop-up information stall in Cairns, and free webinars on Queensland’s Anti-Discrimination and Human Rights Acts. Daily spotlights on our website and across our socials highlighted key human rights issues in Queensland, including accessibility, climate change, housing, and First Nations Justice.</w:t>
      </w:r>
    </w:p>
    <w:p w14:paraId="3A1A1B0D" w14:textId="77777777" w:rsidR="008B3FBA" w:rsidRPr="00A21D7D" w:rsidRDefault="008B3FBA" w:rsidP="00CA5EBF">
      <w:pPr>
        <w:pStyle w:val="Heading2"/>
      </w:pPr>
      <w:bookmarkStart w:id="192" w:name="_Toc80971311"/>
      <w:bookmarkStart w:id="193" w:name="_Toc112424430"/>
      <w:bookmarkStart w:id="194" w:name="_Toc143678209"/>
      <w:bookmarkStart w:id="195" w:name="_Toc143678728"/>
      <w:bookmarkStart w:id="196" w:name="_Toc144200508"/>
      <w:r w:rsidRPr="00A21D7D">
        <w:lastRenderedPageBreak/>
        <w:t>Speaking engagements</w:t>
      </w:r>
      <w:bookmarkEnd w:id="192"/>
      <w:bookmarkEnd w:id="193"/>
      <w:bookmarkEnd w:id="194"/>
      <w:bookmarkEnd w:id="195"/>
      <w:bookmarkEnd w:id="196"/>
      <w:r w:rsidRPr="00A21D7D">
        <w:t xml:space="preserve"> </w:t>
      </w:r>
    </w:p>
    <w:p w14:paraId="168C945F" w14:textId="77777777" w:rsidR="008B3FBA" w:rsidRDefault="008B3FBA" w:rsidP="00EB1859">
      <w:r w:rsidRPr="00A21D7D">
        <w:t>The Commissioner and other</w:t>
      </w:r>
      <w:r>
        <w:t xml:space="preserve"> Commission staff members</w:t>
      </w:r>
      <w:r w:rsidRPr="00A21D7D">
        <w:t xml:space="preserve"> regularly accept invitations to speak to students, community groups, lawyers, employee and employer groups, and at community events. Speaking topics range from specific issues in human rights and anti-discrimination law to broader topics of diversity and inclusion. </w:t>
      </w:r>
      <w:r>
        <w:t>There</w:t>
      </w:r>
      <w:r w:rsidRPr="00CA5FC7">
        <w:t xml:space="preserve"> was continued strong demand for </w:t>
      </w:r>
      <w:r>
        <w:t>Commission</w:t>
      </w:r>
      <w:r w:rsidRPr="00CA5FC7">
        <w:t xml:space="preserve"> speakers</w:t>
      </w:r>
      <w:r>
        <w:t xml:space="preserve"> this year. Events we took part included:</w:t>
      </w:r>
    </w:p>
    <w:p w14:paraId="2A24C167" w14:textId="77777777" w:rsidR="008B3FBA" w:rsidRPr="003E19E6" w:rsidRDefault="008B3FBA" w:rsidP="00EB1859">
      <w:pPr>
        <w:pStyle w:val="ListParagraph"/>
        <w:numPr>
          <w:ilvl w:val="0"/>
          <w:numId w:val="18"/>
        </w:numPr>
      </w:pPr>
      <w:r>
        <w:t>E</w:t>
      </w:r>
      <w:r w:rsidRPr="00EE3384">
        <w:t xml:space="preserve">limination of </w:t>
      </w:r>
      <w:r>
        <w:t>V</w:t>
      </w:r>
      <w:r w:rsidRPr="00EE3384">
        <w:t xml:space="preserve">iolence </w:t>
      </w:r>
      <w:r>
        <w:t>A</w:t>
      </w:r>
      <w:r w:rsidRPr="00EE3384">
        <w:t xml:space="preserve">gainst </w:t>
      </w:r>
      <w:r>
        <w:t>W</w:t>
      </w:r>
      <w:r w:rsidRPr="00EE3384">
        <w:t xml:space="preserve">omen </w:t>
      </w:r>
      <w:r>
        <w:t>D</w:t>
      </w:r>
      <w:r w:rsidRPr="00EE3384">
        <w:t>ay</w:t>
      </w:r>
      <w:r>
        <w:t xml:space="preserve"> coordinated by Legal Aid Queensland</w:t>
      </w:r>
    </w:p>
    <w:p w14:paraId="5F1C4B6E" w14:textId="77777777" w:rsidR="008B3FBA" w:rsidRDefault="008B3FBA" w:rsidP="00EB1859">
      <w:pPr>
        <w:pStyle w:val="ListParagraph"/>
        <w:numPr>
          <w:ilvl w:val="0"/>
          <w:numId w:val="18"/>
        </w:numPr>
      </w:pPr>
      <w:r>
        <w:t>QCOSS conference</w:t>
      </w:r>
    </w:p>
    <w:p w14:paraId="5B86B1F2" w14:textId="77777777" w:rsidR="008B3FBA" w:rsidRDefault="008B3FBA" w:rsidP="00EB1859">
      <w:pPr>
        <w:pStyle w:val="ListParagraph"/>
        <w:numPr>
          <w:ilvl w:val="0"/>
          <w:numId w:val="18"/>
        </w:numPr>
      </w:pPr>
      <w:r>
        <w:rPr>
          <w:lang w:val="en-US"/>
        </w:rPr>
        <w:t>North Queensland Law Association conference in Cairns</w:t>
      </w:r>
    </w:p>
    <w:p w14:paraId="59657BD6" w14:textId="77777777" w:rsidR="008B3FBA" w:rsidRDefault="008B3FBA" w:rsidP="00EB1859">
      <w:pPr>
        <w:pStyle w:val="ListParagraph"/>
        <w:numPr>
          <w:ilvl w:val="0"/>
          <w:numId w:val="18"/>
        </w:numPr>
      </w:pPr>
      <w:r w:rsidRPr="005B3835">
        <w:t>Queensland Aboriginal and Islander Health Council</w:t>
      </w:r>
      <w:r>
        <w:t xml:space="preserve"> Members’ conference</w:t>
      </w:r>
    </w:p>
    <w:p w14:paraId="254CA24D" w14:textId="77777777" w:rsidR="008B3FBA" w:rsidRPr="00175B69" w:rsidRDefault="008B3FBA" w:rsidP="00EB1859">
      <w:pPr>
        <w:pStyle w:val="ListParagraph"/>
        <w:numPr>
          <w:ilvl w:val="0"/>
          <w:numId w:val="18"/>
        </w:numPr>
      </w:pPr>
      <w:r w:rsidRPr="00396802">
        <w:t xml:space="preserve">Community Champions </w:t>
      </w:r>
      <w:r>
        <w:t>–</w:t>
      </w:r>
      <w:r w:rsidRPr="00396802">
        <w:t xml:space="preserve"> Workers</w:t>
      </w:r>
      <w:r>
        <w:t>’</w:t>
      </w:r>
      <w:r w:rsidRPr="00396802">
        <w:t xml:space="preserve"> Rights</w:t>
      </w:r>
      <w:r>
        <w:t xml:space="preserve"> forum hosted by Multicultural Australia</w:t>
      </w:r>
    </w:p>
    <w:p w14:paraId="07FB2A7C" w14:textId="77777777" w:rsidR="008B3FBA" w:rsidRDefault="008B3FBA" w:rsidP="00EB1859">
      <w:pPr>
        <w:pStyle w:val="ListParagraph"/>
        <w:numPr>
          <w:ilvl w:val="0"/>
          <w:numId w:val="18"/>
        </w:numPr>
      </w:pPr>
      <w:r>
        <w:t>T</w:t>
      </w:r>
      <w:r w:rsidRPr="00EE3384">
        <w:t xml:space="preserve">ribal Habits </w:t>
      </w:r>
      <w:r>
        <w:t xml:space="preserve">podcast </w:t>
      </w:r>
      <w:r w:rsidRPr="00EE3384">
        <w:t>on the benefits of</w:t>
      </w:r>
      <w:r>
        <w:t>,</w:t>
      </w:r>
      <w:r w:rsidRPr="00EE3384">
        <w:t xml:space="preserve"> </w:t>
      </w:r>
      <w:r>
        <w:t xml:space="preserve">and </w:t>
      </w:r>
      <w:r w:rsidRPr="00EE3384">
        <w:t>how to achieve</w:t>
      </w:r>
      <w:r>
        <w:t>,</w:t>
      </w:r>
      <w:r w:rsidRPr="00EE3384">
        <w:t xml:space="preserve"> </w:t>
      </w:r>
      <w:r>
        <w:t>diversity and inclusion</w:t>
      </w:r>
      <w:r w:rsidRPr="00EE3384">
        <w:t xml:space="preserve"> for not-for-profits and small businesses </w:t>
      </w:r>
    </w:p>
    <w:p w14:paraId="4999879A" w14:textId="77777777" w:rsidR="008B3FBA" w:rsidRDefault="008B3FBA" w:rsidP="00EB1859">
      <w:pPr>
        <w:pStyle w:val="ListParagraph"/>
        <w:numPr>
          <w:ilvl w:val="0"/>
          <w:numId w:val="17"/>
        </w:numPr>
      </w:pPr>
      <w:r w:rsidRPr="00CA1C58">
        <w:t>Human Rights in Action</w:t>
      </w:r>
      <w:r>
        <w:t xml:space="preserve"> webinars held by QCOSS</w:t>
      </w:r>
    </w:p>
    <w:p w14:paraId="21F3ED66" w14:textId="77777777" w:rsidR="008B3FBA" w:rsidRDefault="008B3FBA" w:rsidP="00EB1859">
      <w:pPr>
        <w:pStyle w:val="ListParagraph"/>
        <w:numPr>
          <w:ilvl w:val="0"/>
          <w:numId w:val="17"/>
        </w:numPr>
      </w:pPr>
      <w:r w:rsidRPr="005B3835">
        <w:t>Queensland Schools Constitutional Convention 2022</w:t>
      </w:r>
    </w:p>
    <w:p w14:paraId="25E71C5A" w14:textId="77777777" w:rsidR="008B3FBA" w:rsidRPr="00A21D7D" w:rsidRDefault="008B3FBA" w:rsidP="00CA5EBF">
      <w:pPr>
        <w:pStyle w:val="Heading2"/>
      </w:pPr>
      <w:bookmarkStart w:id="197" w:name="_Toc80971313"/>
      <w:bookmarkStart w:id="198" w:name="_Toc112424431"/>
      <w:bookmarkStart w:id="199" w:name="_Toc143678210"/>
      <w:bookmarkStart w:id="200" w:name="_Toc143678729"/>
      <w:bookmarkStart w:id="201" w:name="_Toc144200509"/>
      <w:r w:rsidRPr="002E1C0E">
        <w:t>Partnerships and networks</w:t>
      </w:r>
      <w:bookmarkEnd w:id="197"/>
      <w:bookmarkEnd w:id="198"/>
      <w:bookmarkEnd w:id="199"/>
      <w:bookmarkEnd w:id="200"/>
      <w:bookmarkEnd w:id="201"/>
      <w:r w:rsidRPr="00A21D7D">
        <w:t xml:space="preserve"> </w:t>
      </w:r>
    </w:p>
    <w:p w14:paraId="2E376850" w14:textId="77777777" w:rsidR="008B3FBA" w:rsidRDefault="008B3FBA" w:rsidP="00EB1859">
      <w:pPr>
        <w:rPr>
          <w:lang w:val="en-US"/>
        </w:rPr>
      </w:pPr>
      <w:r>
        <w:rPr>
          <w:lang w:val="en-US"/>
        </w:rPr>
        <w:t>We are</w:t>
      </w:r>
      <w:r w:rsidRPr="00A21D7D">
        <w:rPr>
          <w:lang w:val="en-US"/>
        </w:rPr>
        <w:t xml:space="preserve"> involved in a range of issue and location based advisory groups and networks across Queensland. These include multicultural and multi-faith networks</w:t>
      </w:r>
      <w:r>
        <w:rPr>
          <w:lang w:val="en-US"/>
        </w:rPr>
        <w:t>, disability networks,</w:t>
      </w:r>
      <w:r w:rsidRPr="00A21D7D">
        <w:rPr>
          <w:lang w:val="en-US"/>
        </w:rPr>
        <w:t xml:space="preserve"> access and inclusion advisory groups</w:t>
      </w:r>
      <w:r>
        <w:rPr>
          <w:lang w:val="en-US"/>
        </w:rPr>
        <w:t>,</w:t>
      </w:r>
      <w:r w:rsidRPr="00A21D7D">
        <w:rPr>
          <w:lang w:val="en-US"/>
        </w:rPr>
        <w:t xml:space="preserve"> and public sector interagency networks. Additionally, </w:t>
      </w:r>
      <w:r>
        <w:rPr>
          <w:lang w:val="en-US"/>
        </w:rPr>
        <w:t>we</w:t>
      </w:r>
      <w:r w:rsidRPr="00A21D7D">
        <w:rPr>
          <w:lang w:val="en-US"/>
        </w:rPr>
        <w:t xml:space="preserve"> ha</w:t>
      </w:r>
      <w:r>
        <w:rPr>
          <w:lang w:val="en-US"/>
        </w:rPr>
        <w:t>ve</w:t>
      </w:r>
      <w:r w:rsidRPr="00A21D7D">
        <w:rPr>
          <w:lang w:val="en-US"/>
        </w:rPr>
        <w:t xml:space="preserve"> initiated and/or contribute</w:t>
      </w:r>
      <w:r>
        <w:rPr>
          <w:lang w:val="en-US"/>
        </w:rPr>
        <w:t>d</w:t>
      </w:r>
      <w:r w:rsidRPr="00A21D7D">
        <w:rPr>
          <w:lang w:val="en-US"/>
        </w:rPr>
        <w:t xml:space="preserve"> to various consultation groups and cross-agency collaboration networks including: </w:t>
      </w:r>
    </w:p>
    <w:p w14:paraId="1EA980B5" w14:textId="77777777" w:rsidR="008B3FBA" w:rsidRDefault="008B3FBA" w:rsidP="00EB1859">
      <w:pPr>
        <w:pStyle w:val="ListParagraph"/>
        <w:numPr>
          <w:ilvl w:val="0"/>
          <w:numId w:val="4"/>
        </w:numPr>
        <w:rPr>
          <w:lang w:val="en-US"/>
        </w:rPr>
      </w:pPr>
      <w:r w:rsidRPr="0081462C">
        <w:rPr>
          <w:b/>
          <w:bCs/>
          <w:lang w:val="en-US"/>
        </w:rPr>
        <w:t>Queensland Human Rights Advocates Group:</w:t>
      </w:r>
      <w:r>
        <w:rPr>
          <w:lang w:val="en-US"/>
        </w:rPr>
        <w:t xml:space="preserve"> lawyers and advocates who work in discrimination and human rights law</w:t>
      </w:r>
    </w:p>
    <w:p w14:paraId="67BB69B5" w14:textId="77777777" w:rsidR="008B3FBA" w:rsidRDefault="008B3FBA" w:rsidP="00EB1859">
      <w:pPr>
        <w:pStyle w:val="ListParagraph"/>
        <w:numPr>
          <w:ilvl w:val="0"/>
          <w:numId w:val="4"/>
        </w:numPr>
        <w:rPr>
          <w:lang w:val="en-US"/>
        </w:rPr>
      </w:pPr>
      <w:r w:rsidRPr="0081462C">
        <w:rPr>
          <w:b/>
          <w:bCs/>
          <w:lang w:val="en-US"/>
        </w:rPr>
        <w:t>Queensland Academics Human Rights Group:</w:t>
      </w:r>
      <w:r>
        <w:rPr>
          <w:lang w:val="en-US"/>
        </w:rPr>
        <w:t xml:space="preserve"> academics undertaking research and sharing information to support Queensland’s developing human rights culture</w:t>
      </w:r>
    </w:p>
    <w:p w14:paraId="1BD3294F" w14:textId="77777777" w:rsidR="008B3FBA" w:rsidRDefault="008B3FBA" w:rsidP="00EB1859">
      <w:pPr>
        <w:pStyle w:val="ListParagraph"/>
        <w:numPr>
          <w:ilvl w:val="0"/>
          <w:numId w:val="4"/>
        </w:numPr>
        <w:rPr>
          <w:lang w:val="en-US"/>
        </w:rPr>
      </w:pPr>
      <w:r w:rsidRPr="0081462C">
        <w:rPr>
          <w:b/>
          <w:bCs/>
          <w:lang w:val="en-US"/>
        </w:rPr>
        <w:t>Human Rights Inter-jurisdiction Legal Officers:</w:t>
      </w:r>
      <w:r>
        <w:rPr>
          <w:lang w:val="en-US"/>
        </w:rPr>
        <w:t xml:space="preserve"> legal officers from the Commissions in the three Australian jurisdictions with human rights legislation (ACT, Victoria and Queensland)</w:t>
      </w:r>
    </w:p>
    <w:p w14:paraId="0EE48C66" w14:textId="77777777" w:rsidR="008B3FBA" w:rsidRDefault="008B3FBA" w:rsidP="00EB1859">
      <w:pPr>
        <w:pStyle w:val="ListParagraph"/>
        <w:numPr>
          <w:ilvl w:val="0"/>
          <w:numId w:val="4"/>
        </w:numPr>
        <w:rPr>
          <w:lang w:val="en-US"/>
        </w:rPr>
      </w:pPr>
      <w:bookmarkStart w:id="202" w:name="_Hlk112423482"/>
      <w:r w:rsidRPr="0081462C">
        <w:rPr>
          <w:b/>
          <w:bCs/>
          <w:lang w:val="en-US"/>
        </w:rPr>
        <w:t>Queensland Law Society Committees:</w:t>
      </w:r>
      <w:r>
        <w:rPr>
          <w:lang w:val="en-US"/>
        </w:rPr>
        <w:t xml:space="preserve"> each of the Commission’s three Principal Lawyers is a member of a QLS Committee; the Human Rights and Public Law Committee, the Health and Disability Committee, and the Equity and Diversity Committee</w:t>
      </w:r>
    </w:p>
    <w:p w14:paraId="70EAF094" w14:textId="77777777" w:rsidR="008B3FBA" w:rsidRPr="00F33CE7" w:rsidRDefault="008B3FBA" w:rsidP="00EB1859">
      <w:pPr>
        <w:pStyle w:val="ListParagraph"/>
        <w:numPr>
          <w:ilvl w:val="0"/>
          <w:numId w:val="4"/>
        </w:numPr>
        <w:rPr>
          <w:b/>
          <w:bCs/>
          <w:lang w:val="en-US"/>
        </w:rPr>
      </w:pPr>
      <w:r w:rsidRPr="00F33CE7">
        <w:rPr>
          <w:b/>
          <w:bCs/>
        </w:rPr>
        <w:t>Shifting Minds Strategic Leadership Group</w:t>
      </w:r>
      <w:r>
        <w:rPr>
          <w:b/>
          <w:bCs/>
        </w:rPr>
        <w:t>:</w:t>
      </w:r>
      <w:r w:rsidRPr="00FF3BAD">
        <w:rPr>
          <w:rFonts w:eastAsiaTheme="minorHAnsi"/>
          <w:b/>
          <w:bCs/>
          <w:color w:val="1F497D"/>
          <w:szCs w:val="24"/>
        </w:rPr>
        <w:t xml:space="preserve"> </w:t>
      </w:r>
      <w:r w:rsidRPr="00FF3BAD">
        <w:t xml:space="preserve">oversees the implementation of the whole of government strategic plan for the </w:t>
      </w:r>
      <w:r w:rsidRPr="00FF3BAD">
        <w:lastRenderedPageBreak/>
        <w:t>improvement of mental health and the limiting of harm associated with substance misuse in Queensland</w:t>
      </w:r>
    </w:p>
    <w:p w14:paraId="001C6192" w14:textId="3E1022C0" w:rsidR="008B3FBA" w:rsidRPr="00BE0CD7" w:rsidRDefault="008B3FBA" w:rsidP="00EB1859">
      <w:pPr>
        <w:pStyle w:val="ListParagraph"/>
        <w:numPr>
          <w:ilvl w:val="0"/>
          <w:numId w:val="4"/>
        </w:numPr>
        <w:rPr>
          <w:b/>
          <w:bCs/>
        </w:rPr>
      </w:pPr>
      <w:bookmarkStart w:id="203" w:name="_Hlk143177509"/>
      <w:r w:rsidRPr="00F33CE7">
        <w:rPr>
          <w:b/>
          <w:bCs/>
        </w:rPr>
        <w:t>Q</w:t>
      </w:r>
      <w:r>
        <w:rPr>
          <w:b/>
          <w:bCs/>
        </w:rPr>
        <w:t xml:space="preserve">ueensland </w:t>
      </w:r>
      <w:r w:rsidRPr="00F33CE7">
        <w:rPr>
          <w:b/>
          <w:bCs/>
        </w:rPr>
        <w:t>F</w:t>
      </w:r>
      <w:r>
        <w:rPr>
          <w:b/>
          <w:bCs/>
        </w:rPr>
        <w:t>amily and Child Commission Adv</w:t>
      </w:r>
      <w:r w:rsidRPr="00F33CE7">
        <w:rPr>
          <w:b/>
          <w:bCs/>
        </w:rPr>
        <w:t>isory Council</w:t>
      </w:r>
      <w:r>
        <w:rPr>
          <w:b/>
          <w:bCs/>
        </w:rPr>
        <w:t xml:space="preserve"> (QFCC):</w:t>
      </w:r>
      <w:r w:rsidRPr="00F33CE7">
        <w:rPr>
          <w:rFonts w:ascii="Fira Sans" w:eastAsia="Times New Roman" w:hAnsi="Fira Sans" w:cs="Times New Roman"/>
          <w:color w:val="2B353B"/>
          <w:sz w:val="24"/>
        </w:rPr>
        <w:t xml:space="preserve"> </w:t>
      </w:r>
      <w:r w:rsidRPr="00F33CE7">
        <w:t>provide</w:t>
      </w:r>
      <w:r>
        <w:t xml:space="preserve">s </w:t>
      </w:r>
      <w:r w:rsidRPr="00F33CE7">
        <w:t xml:space="preserve">insight into the issues affecting children, families and the sector, and to provide guidance on the work of the </w:t>
      </w:r>
      <w:r>
        <w:t>QFCC</w:t>
      </w:r>
      <w:bookmarkEnd w:id="203"/>
    </w:p>
    <w:p w14:paraId="0C11FB04" w14:textId="3672A6DF" w:rsidR="00BE0CD7" w:rsidRPr="00BE0CD7" w:rsidRDefault="00BE0CD7" w:rsidP="00BE0CD7">
      <w:pPr>
        <w:pStyle w:val="ListParagraph"/>
        <w:numPr>
          <w:ilvl w:val="0"/>
          <w:numId w:val="4"/>
        </w:numPr>
        <w:rPr>
          <w:rFonts w:cs="Arial"/>
        </w:rPr>
      </w:pPr>
      <w:r w:rsidRPr="00BE0CD7">
        <w:rPr>
          <w:rFonts w:cs="Arial"/>
          <w:b/>
          <w:bCs/>
        </w:rPr>
        <w:t>Department of Communities LGBTIQ+ roundtable:</w:t>
      </w:r>
      <w:r w:rsidRPr="00BE0CD7">
        <w:rPr>
          <w:rFonts w:cs="Arial"/>
        </w:rPr>
        <w:t xml:space="preserve"> works with an LGBTIQ+ community-led alliance to improve the development and delivery of services, policies, programs and strategies to people who are diverse in their sex, gender or sexuality.</w:t>
      </w:r>
    </w:p>
    <w:p w14:paraId="5BD7BEA2" w14:textId="77777777" w:rsidR="008B3FBA" w:rsidRPr="00A21D7D" w:rsidRDefault="008B3FBA" w:rsidP="00CA5EBF">
      <w:pPr>
        <w:pStyle w:val="Heading2"/>
      </w:pPr>
      <w:bookmarkStart w:id="204" w:name="_Toc80971322"/>
      <w:bookmarkStart w:id="205" w:name="_Toc112424432"/>
      <w:bookmarkStart w:id="206" w:name="_Toc143678211"/>
      <w:bookmarkStart w:id="207" w:name="_Toc143678730"/>
      <w:bookmarkStart w:id="208" w:name="_Toc144200510"/>
      <w:bookmarkEnd w:id="202"/>
      <w:r>
        <w:t>W</w:t>
      </w:r>
      <w:r w:rsidRPr="00A21D7D">
        <w:t>hole-of-government plans</w:t>
      </w:r>
      <w:bookmarkEnd w:id="204"/>
      <w:bookmarkEnd w:id="205"/>
      <w:bookmarkEnd w:id="206"/>
      <w:bookmarkEnd w:id="207"/>
      <w:bookmarkEnd w:id="208"/>
      <w:r w:rsidRPr="00A21D7D">
        <w:t xml:space="preserve"> </w:t>
      </w:r>
    </w:p>
    <w:p w14:paraId="7EB92737" w14:textId="77777777" w:rsidR="008B3FBA" w:rsidRDefault="008B3FBA" w:rsidP="00EB1859">
      <w:r>
        <w:t>We</w:t>
      </w:r>
      <w:r w:rsidRPr="00A21D7D">
        <w:t xml:space="preserve"> contributed to the following whole-of-government plans and initiatives during 20</w:t>
      </w:r>
      <w:r>
        <w:t>22-23</w:t>
      </w:r>
      <w:r w:rsidRPr="00A21D7D">
        <w:t>:</w:t>
      </w:r>
    </w:p>
    <w:p w14:paraId="20225375" w14:textId="77777777" w:rsidR="008B3FBA" w:rsidRDefault="008B3FBA" w:rsidP="00EB1859">
      <w:pPr>
        <w:pStyle w:val="ListParagraph"/>
        <w:numPr>
          <w:ilvl w:val="0"/>
          <w:numId w:val="4"/>
        </w:numPr>
      </w:pPr>
      <w:r w:rsidRPr="0081462C">
        <w:rPr>
          <w:b/>
          <w:bCs/>
        </w:rPr>
        <w:t>Queensland Youth Strategy:</w:t>
      </w:r>
      <w:r>
        <w:t xml:space="preserve"> this strategy sets the vision for young people to actively contribute to Queensland’s economic, civic, and cultural life. Our actions under this strategy include producing and disseminating information and resources to young people. </w:t>
      </w:r>
    </w:p>
    <w:p w14:paraId="5FE86753" w14:textId="77777777" w:rsidR="008B3FBA" w:rsidRDefault="008B3FBA" w:rsidP="00EB1859">
      <w:pPr>
        <w:pStyle w:val="ListParagraph"/>
        <w:numPr>
          <w:ilvl w:val="0"/>
          <w:numId w:val="4"/>
        </w:numPr>
      </w:pPr>
      <w:r w:rsidRPr="0081462C">
        <w:rPr>
          <w:b/>
          <w:bCs/>
        </w:rPr>
        <w:t>Queensland Multicultural Action Plan:</w:t>
      </w:r>
      <w:r>
        <w:t xml:space="preserve"> this plan drives state government action to help improve social and economic outcomes for Queensland’s culturally diverse communities. We have multiple actions under this plan and our progress against each action will be published on our website to coincide with the tabling of this annual report. </w:t>
      </w:r>
    </w:p>
    <w:p w14:paraId="71D0C15A" w14:textId="77777777" w:rsidR="008B3FBA" w:rsidRDefault="008B3FBA" w:rsidP="00EB1859">
      <w:pPr>
        <w:pStyle w:val="ListParagraph"/>
        <w:numPr>
          <w:ilvl w:val="0"/>
          <w:numId w:val="4"/>
        </w:numPr>
      </w:pPr>
      <w:r w:rsidRPr="0081462C">
        <w:rPr>
          <w:b/>
          <w:bCs/>
        </w:rPr>
        <w:t>Every Life: The Queensland Suicide Prevention Plan 2019-2029:</w:t>
      </w:r>
      <w:r>
        <w:t xml:space="preserve"> this whole-of-government plan provides a renewed drive and approach to suicide prevention. Our primary action under this plan is to work with LGBTIQ+ communities and the Queensland LGBTI Roundtable to build inclusion and belonging, with a particular focus on trans communities. We continue to do this through the provision of training and the production of resources to support safe environments for trans and gender diverse children and adults. </w:t>
      </w:r>
    </w:p>
    <w:p w14:paraId="7096909B" w14:textId="77777777" w:rsidR="008B3FBA" w:rsidRDefault="008B3FBA" w:rsidP="00CA5EBF">
      <w:pPr>
        <w:pStyle w:val="Heading2"/>
      </w:pPr>
      <w:bookmarkStart w:id="209" w:name="_Toc80971329"/>
      <w:bookmarkStart w:id="210" w:name="_Toc112424433"/>
      <w:bookmarkStart w:id="211" w:name="_Toc143678731"/>
      <w:bookmarkStart w:id="212" w:name="_Toc144200511"/>
      <w:bookmarkStart w:id="213" w:name="_Hlk143089134"/>
      <w:r w:rsidRPr="00D042FF">
        <w:t>Aboriginal and Torres Strait Islander community engagement</w:t>
      </w:r>
      <w:bookmarkEnd w:id="209"/>
      <w:bookmarkEnd w:id="210"/>
      <w:bookmarkEnd w:id="211"/>
      <w:bookmarkEnd w:id="212"/>
    </w:p>
    <w:p w14:paraId="5B366E56" w14:textId="77777777" w:rsidR="008B3FBA" w:rsidRPr="00D042FF" w:rsidRDefault="008B3FBA" w:rsidP="00EB1859">
      <w:r w:rsidRPr="00D042FF">
        <w:t>Our work involves taking a leadership role in human rights in Queensland including promoting and protecting the rights of Aboriginal peoples and Torres Strait Islander peoples</w:t>
      </w:r>
      <w:r>
        <w:t>.</w:t>
      </w:r>
      <w:r w:rsidRPr="00D042FF">
        <w:t xml:space="preserve"> </w:t>
      </w:r>
    </w:p>
    <w:p w14:paraId="5233C5F6" w14:textId="77777777" w:rsidR="008B3FBA" w:rsidRPr="00D042FF" w:rsidRDefault="008B3FBA" w:rsidP="00EB1859">
      <w:r w:rsidRPr="00D042FF">
        <w:t xml:space="preserve">Our two person Aboriginal and Torres Strait Islander unit has continued to promote the work of the </w:t>
      </w:r>
      <w:r>
        <w:t>C</w:t>
      </w:r>
      <w:r w:rsidRPr="00D042FF">
        <w:t xml:space="preserve">ommission throughout </w:t>
      </w:r>
      <w:r>
        <w:t xml:space="preserve">First Nations </w:t>
      </w:r>
      <w:r>
        <w:lastRenderedPageBreak/>
        <w:t>communities</w:t>
      </w:r>
      <w:r w:rsidRPr="00D042FF">
        <w:t xml:space="preserve">, </w:t>
      </w:r>
      <w:r>
        <w:t>particularly in raising</w:t>
      </w:r>
      <w:r w:rsidRPr="00D042FF">
        <w:t xml:space="preserve"> awareness and understanding of both </w:t>
      </w:r>
      <w:r>
        <w:t xml:space="preserve">the Anti-Discrimination and Human Rights </w:t>
      </w:r>
      <w:r w:rsidRPr="00D042FF">
        <w:t>Acts.</w:t>
      </w:r>
    </w:p>
    <w:p w14:paraId="273E5DB6" w14:textId="77777777" w:rsidR="008B3FBA" w:rsidRPr="00D11022" w:rsidRDefault="008B3FBA" w:rsidP="00EB1859">
      <w:pPr>
        <w:rPr>
          <w:color w:val="333333"/>
        </w:rPr>
      </w:pPr>
      <w:r>
        <w:t xml:space="preserve">Building relationships, genuine connections and trust with community is essential so that </w:t>
      </w:r>
      <w:r w:rsidRPr="00DE3318">
        <w:t>Aboriginal peoples and Torres Strait Islander people are able to access our services</w:t>
      </w:r>
      <w:r>
        <w:rPr>
          <w:color w:val="333333"/>
        </w:rPr>
        <w:t>.</w:t>
      </w:r>
      <w:r w:rsidRPr="00D11022">
        <w:rPr>
          <w:rFonts w:asciiTheme="minorHAnsi" w:hAnsiTheme="minorHAnsi"/>
          <w:color w:val="333333"/>
          <w:szCs w:val="22"/>
          <w:lang w:eastAsia="en-US"/>
        </w:rPr>
        <w:t xml:space="preserve"> </w:t>
      </w:r>
    </w:p>
    <w:p w14:paraId="1E9DE5D0" w14:textId="77777777" w:rsidR="008B3FBA" w:rsidRPr="00D042FF" w:rsidRDefault="008B3FBA" w:rsidP="00EB1859">
      <w:r>
        <w:t>Across 2022-23 we</w:t>
      </w:r>
      <w:r w:rsidRPr="00D042FF">
        <w:t xml:space="preserve"> met with community members and representatives from Aboriginal and Torres Strait organisations in Mount Isa, Cairns, Townsville, Rockhampton and Brisbane to </w:t>
      </w:r>
      <w:r>
        <w:t xml:space="preserve">share information about our role and to </w:t>
      </w:r>
      <w:r w:rsidRPr="00D042FF">
        <w:t xml:space="preserve">discuss human rights and discrimination issues impacting communities such as the welfare of children and youth and access to health, housing and legal services. </w:t>
      </w:r>
    </w:p>
    <w:p w14:paraId="2A86161C" w14:textId="77777777" w:rsidR="008B3FBA" w:rsidRPr="00D042FF" w:rsidRDefault="008B3FBA" w:rsidP="00EB1859">
      <w:r w:rsidRPr="00D042FF">
        <w:t xml:space="preserve">Training sessions on the Human Rights Act were conducted with staff from an Aboriginal and Torres Strait Islander healthcare service provider. </w:t>
      </w:r>
    </w:p>
    <w:p w14:paraId="750AF6D4" w14:textId="77777777" w:rsidR="008B3FBA" w:rsidRPr="00D042FF" w:rsidRDefault="008B3FBA" w:rsidP="00EB1859">
      <w:r w:rsidRPr="00D042FF">
        <w:t xml:space="preserve">In </w:t>
      </w:r>
      <w:r>
        <w:t>April</w:t>
      </w:r>
      <w:r w:rsidRPr="00D042FF">
        <w:t xml:space="preserve"> we had the opportunity to speak about the role of the </w:t>
      </w:r>
      <w:r>
        <w:t>C</w:t>
      </w:r>
      <w:r w:rsidRPr="00D042FF">
        <w:t>ommission and the Human Rights Act to representatives from 17 First Nations councils at a Local Government A</w:t>
      </w:r>
      <w:r>
        <w:t>ssociation</w:t>
      </w:r>
      <w:r w:rsidRPr="00D042FF">
        <w:t xml:space="preserve"> Queensland forum in Cairns.</w:t>
      </w:r>
      <w:r>
        <w:t xml:space="preserve"> </w:t>
      </w:r>
    </w:p>
    <w:p w14:paraId="40AC07DF" w14:textId="77777777" w:rsidR="008B3FBA" w:rsidRPr="00D042FF" w:rsidRDefault="008B3FBA" w:rsidP="00EB1859">
      <w:r w:rsidRPr="00D042FF">
        <w:t xml:space="preserve">The unit continued to receive a number of direct, indirect and mainstream enquiries over the past 12 months. The introduction of a dedicated First Nations email address, which is </w:t>
      </w:r>
      <w:r>
        <w:t xml:space="preserve">publicly available </w:t>
      </w:r>
      <w:r w:rsidRPr="00D042FF">
        <w:t>on our website, has provided the option for First Nations people to make direct contact with the unit. This increased accessibility has led to more written enquiries and greater opportunities to raise awareness and connect with community.</w:t>
      </w:r>
    </w:p>
    <w:p w14:paraId="22B6BC5F" w14:textId="77777777" w:rsidR="008B3FBA" w:rsidRPr="00ED4D7A" w:rsidRDefault="008B3FBA" w:rsidP="00EB1859">
      <w:r w:rsidRPr="00D042FF">
        <w:t>2021 saw the commencement of our Aboriginal and Torres Strait Islander graduate program, with 3 graduates employed on an 18 month placement</w:t>
      </w:r>
      <w:r>
        <w:t xml:space="preserve"> to </w:t>
      </w:r>
      <w:r w:rsidRPr="00D042FF">
        <w:t>June 2022. We currently have one graduate placed, working in our Brisbane office within our Legal, Research and Policy team.</w:t>
      </w:r>
      <w:r>
        <w:t xml:space="preserve"> </w:t>
      </w:r>
    </w:p>
    <w:p w14:paraId="5765517E" w14:textId="77777777" w:rsidR="008B3FBA" w:rsidRDefault="008B3FBA" w:rsidP="00CA5EBF">
      <w:pPr>
        <w:pStyle w:val="Heading2"/>
      </w:pPr>
      <w:bookmarkStart w:id="214" w:name="_Toc112424434"/>
      <w:bookmarkStart w:id="215" w:name="_Toc143678732"/>
      <w:bookmarkStart w:id="216" w:name="_Toc144200512"/>
      <w:bookmarkEnd w:id="213"/>
      <w:r>
        <w:t>Media and communications</w:t>
      </w:r>
      <w:bookmarkEnd w:id="214"/>
      <w:bookmarkEnd w:id="215"/>
      <w:bookmarkEnd w:id="216"/>
      <w:r>
        <w:t xml:space="preserve"> </w:t>
      </w:r>
    </w:p>
    <w:p w14:paraId="64F42577" w14:textId="77777777" w:rsidR="008B3FBA" w:rsidRDefault="008B3FBA" w:rsidP="00EB1859">
      <w:r>
        <w:t xml:space="preserve">Our media engagement and broader public communications activities are a crucial part of our work to increase public understanding and discussion of human rights. </w:t>
      </w:r>
    </w:p>
    <w:p w14:paraId="054E2625" w14:textId="77777777" w:rsidR="008B3FBA" w:rsidRDefault="008B3FBA" w:rsidP="00CA5EBF">
      <w:pPr>
        <w:pStyle w:val="Heading3"/>
      </w:pPr>
      <w:bookmarkStart w:id="217" w:name="_Toc112424435"/>
      <w:r>
        <w:t>Media</w:t>
      </w:r>
      <w:bookmarkEnd w:id="217"/>
      <w:r>
        <w:t xml:space="preserve"> </w:t>
      </w:r>
    </w:p>
    <w:p w14:paraId="2219F9BD" w14:textId="6B74041D" w:rsidR="008B3FBA" w:rsidRDefault="008B3FBA" w:rsidP="00EB1859">
      <w:r>
        <w:t xml:space="preserve">We received over 90 requests for information and public comment from media outlets in 2022-23, </w:t>
      </w:r>
      <w:r w:rsidRPr="003268A6">
        <w:t>up</w:t>
      </w:r>
      <w:r>
        <w:t xml:space="preserve"> from 71 last year. The most common topic was youth justice, particularly in relation to law reform this year and the associated override of the Human Rights Act (</w:t>
      </w:r>
      <w:r w:rsidRPr="007873DB">
        <w:t xml:space="preserve">see page </w:t>
      </w:r>
      <w:r w:rsidR="007873DB">
        <w:t>36</w:t>
      </w:r>
      <w:r>
        <w:t xml:space="preserve"> for more information). Over a third of our media work in 2022-23 was youth justice-related.</w:t>
      </w:r>
    </w:p>
    <w:p w14:paraId="598E8626" w14:textId="77777777" w:rsidR="008B3FBA" w:rsidRDefault="008B3FBA" w:rsidP="00EB1859">
      <w:pPr>
        <w:pStyle w:val="Keystatistics"/>
      </w:pPr>
      <w:r w:rsidRPr="00CC07B9">
        <w:rPr>
          <w:sz w:val="36"/>
          <w:szCs w:val="40"/>
        </w:rPr>
        <w:lastRenderedPageBreak/>
        <w:t xml:space="preserve">Over </w:t>
      </w:r>
      <w:r>
        <w:rPr>
          <w:sz w:val="36"/>
          <w:szCs w:val="40"/>
        </w:rPr>
        <w:t>one third</w:t>
      </w:r>
      <w:r>
        <w:t xml:space="preserve"> of all media requests this year were about youth justice. </w:t>
      </w:r>
    </w:p>
    <w:p w14:paraId="4BBD4C60" w14:textId="77777777" w:rsidR="008B3FBA" w:rsidRDefault="008B3FBA" w:rsidP="00EB1859">
      <w:r>
        <w:t xml:space="preserve">Other media requests were about a wide variety of issues connected to our work, including our Review of Queensland’s Anti-Discrimination Act, discrimination against people with disability and LGBTIQ+ students and teachers, racial discrimination and vilification, cultural rights for Aboriginal and Torres Strait Islander people under the Human Rights Act, and the outcomes of complaints made to us at the Commission. </w:t>
      </w:r>
    </w:p>
    <w:p w14:paraId="3827E048" w14:textId="77777777" w:rsidR="008B3FBA" w:rsidRDefault="008B3FBA" w:rsidP="00EB1859">
      <w:r>
        <w:t xml:space="preserve">We are not always able to respond to requests for public comment. Our role in complaint handling is as an impartial dispute resolution service so we do not provide comment which may compromise our impartiality in this work. We also do not provide public comment or information about complaints we receive at any stage of proceedings. </w:t>
      </w:r>
    </w:p>
    <w:p w14:paraId="6CD40917" w14:textId="77777777" w:rsidR="008B3FBA" w:rsidRDefault="008B3FBA" w:rsidP="00EB1859">
      <w:r>
        <w:t xml:space="preserve">The majority of our public comment and media interviews are provided by the Commissioner, and this year were published by a wide variety of television, radio, print and digital outlets in Queensland and interstate, </w:t>
      </w:r>
      <w:r w:rsidRPr="003A0F38">
        <w:t>including multiple ABC platforms, the Courier Mail, Sunday Mail, Guardian Australia, Brisbane Times, Channel 7, Channel 9, Channel 10, Sky News, and the National Indigenous Times, as well as local newspapers and community radio stations and programs.</w:t>
      </w:r>
      <w:r>
        <w:t xml:space="preserve"> </w:t>
      </w:r>
    </w:p>
    <w:p w14:paraId="1D6D9684" w14:textId="77777777" w:rsidR="008B3FBA" w:rsidRPr="00CD5F2B" w:rsidRDefault="008B3FBA" w:rsidP="00CA5EBF">
      <w:pPr>
        <w:pStyle w:val="Heading3"/>
      </w:pPr>
      <w:bookmarkStart w:id="218" w:name="_Toc112424436"/>
      <w:r>
        <w:t>Website</w:t>
      </w:r>
      <w:bookmarkEnd w:id="218"/>
      <w:r>
        <w:t xml:space="preserve"> </w:t>
      </w:r>
    </w:p>
    <w:p w14:paraId="103413CF" w14:textId="77777777" w:rsidR="008B3FBA" w:rsidRPr="00A21D7D" w:rsidRDefault="008B3FBA" w:rsidP="00EB1859">
      <w:pPr>
        <w:rPr>
          <w:i/>
        </w:rPr>
      </w:pPr>
      <w:r>
        <w:t>Our</w:t>
      </w:r>
      <w:r w:rsidRPr="00A21D7D">
        <w:t xml:space="preserve"> website is AA compliant with the W3C (World Wide Web Consortium) Guidelines, and in some areas is AAA compliant</w:t>
      </w:r>
      <w:r>
        <w:t>, making it accessible for people with a range of needs</w:t>
      </w:r>
      <w:r w:rsidRPr="00A21D7D">
        <w:t xml:space="preserve">. </w:t>
      </w:r>
      <w:r>
        <w:t xml:space="preserve">W3C compliance is critical in enabling </w:t>
      </w:r>
      <w:r w:rsidRPr="00A21D7D">
        <w:t xml:space="preserve">people with visual and motor impairments, </w:t>
      </w:r>
      <w:r>
        <w:t xml:space="preserve">users of assistive technologies (such as screen readers), and </w:t>
      </w:r>
      <w:r w:rsidRPr="00A21D7D">
        <w:t>people from n</w:t>
      </w:r>
      <w:r>
        <w:t>on-English speaking backgrounds</w:t>
      </w:r>
      <w:r w:rsidRPr="00A21D7D">
        <w:t xml:space="preserve"> </w:t>
      </w:r>
      <w:r>
        <w:t>full access to</w:t>
      </w:r>
      <w:r w:rsidRPr="00A21D7D">
        <w:t xml:space="preserve"> the site.</w:t>
      </w:r>
      <w:r>
        <w:t xml:space="preserve"> Accessibility is a key consideration when planning and managing our web content and we are committed to continual improvement in this critical area of service delivery. </w:t>
      </w:r>
    </w:p>
    <w:p w14:paraId="38E8951C" w14:textId="77777777" w:rsidR="008B3FBA" w:rsidRDefault="008B3FBA" w:rsidP="00EB1859">
      <w:pPr>
        <w:pStyle w:val="Keystatistics"/>
      </w:pPr>
      <w:r w:rsidRPr="00CC07B9">
        <w:t>In 2022</w:t>
      </w:r>
      <w:r>
        <w:t>-23</w:t>
      </w:r>
      <w:r w:rsidRPr="00CC07B9">
        <w:t xml:space="preserve"> there were over </w:t>
      </w:r>
      <w:r>
        <w:rPr>
          <w:sz w:val="36"/>
          <w:szCs w:val="36"/>
        </w:rPr>
        <w:t>700,000</w:t>
      </w:r>
      <w:r w:rsidRPr="00CC07B9">
        <w:t xml:space="preserve"> page views of our website</w:t>
      </w:r>
      <w:r>
        <w:t>. This is a decrease from last year’s 1 million page views, over two thirds of which is accounted for by the high traffic to COVID-related pages in 2021-22.</w:t>
      </w:r>
    </w:p>
    <w:p w14:paraId="4DAD33C1" w14:textId="77777777" w:rsidR="008B3FBA" w:rsidRDefault="008B3FBA" w:rsidP="00EB1859">
      <w:r>
        <w:t xml:space="preserve">There has been a significant reduction in the number of page views for website content this year compared to 2021-22. Over two thirds of the difference is accounted for by the artificial spike in traffic to COVID-related human rights information during 2021-22. </w:t>
      </w:r>
      <w:r w:rsidRPr="00A21D7D">
        <w:t>T</w:t>
      </w:r>
      <w:r>
        <w:t>his shift is clearly visible in t</w:t>
      </w:r>
      <w:r w:rsidRPr="00A21D7D">
        <w:t xml:space="preserve">able </w:t>
      </w:r>
      <w:r>
        <w:t>7, which</w:t>
      </w:r>
      <w:r w:rsidRPr="00A21D7D">
        <w:t xml:space="preserve"> shows the top</w:t>
      </w:r>
      <w:r>
        <w:t xml:space="preserve"> 10 most visited pages on</w:t>
      </w:r>
      <w:r w:rsidRPr="00A21D7D">
        <w:t xml:space="preserve"> </w:t>
      </w:r>
      <w:r>
        <w:t>our</w:t>
      </w:r>
      <w:r w:rsidRPr="00A21D7D">
        <w:t xml:space="preserve"> website in 20</w:t>
      </w:r>
      <w:r>
        <w:t xml:space="preserve">22-23 as compared to the previous year </w:t>
      </w:r>
      <w:r w:rsidRPr="003F0BAB">
        <w:t xml:space="preserve">where COVID-related pages made up 3 of the top five ranking pages and accounted for </w:t>
      </w:r>
      <w:r w:rsidRPr="003F0BAB">
        <w:lastRenderedPageBreak/>
        <w:t>over 20% of our total page views across our website.</w:t>
      </w:r>
      <w:r>
        <w:t xml:space="preserve"> The drop in COVID-related traffic in 2022-23 also impacted on traffic to other pages including our online complaint form and information on specific rights protected by the Human Rights Act. </w:t>
      </w:r>
    </w:p>
    <w:p w14:paraId="08A75220" w14:textId="28FD3A10" w:rsidR="008B3FBA" w:rsidRPr="00FC6699" w:rsidRDefault="008B3FBA" w:rsidP="00EB1859">
      <w:pPr>
        <w:pStyle w:val="Caption"/>
      </w:pPr>
      <w:r w:rsidRPr="003F0BAB">
        <w:t>Table 7: 10 most visited website pages</w:t>
      </w:r>
      <w:r>
        <w:t xml:space="preserve"> </w:t>
      </w:r>
      <w:r w:rsidR="00274AD7">
        <w:t xml:space="preserve">in 2022-23 </w:t>
      </w:r>
      <w:r>
        <w:t>compared with 2021-22</w:t>
      </w:r>
    </w:p>
    <w:tbl>
      <w:tblPr>
        <w:tblW w:w="9209"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1005"/>
        <w:gridCol w:w="3351"/>
        <w:gridCol w:w="772"/>
        <w:gridCol w:w="3372"/>
        <w:gridCol w:w="709"/>
      </w:tblGrid>
      <w:tr w:rsidR="008B3FBA" w:rsidRPr="00FF5721" w14:paraId="0A0B96BC" w14:textId="77777777" w:rsidTr="00F541AA">
        <w:trPr>
          <w:trHeight w:val="318"/>
        </w:trPr>
        <w:tc>
          <w:tcPr>
            <w:tcW w:w="1005" w:type="dxa"/>
          </w:tcPr>
          <w:p w14:paraId="16065564" w14:textId="77777777" w:rsidR="008B3FBA" w:rsidRPr="00274AD7" w:rsidRDefault="008B3FBA" w:rsidP="00EB1859">
            <w:pPr>
              <w:pStyle w:val="TableTextBody"/>
            </w:pPr>
            <w:r w:rsidRPr="00274AD7">
              <w:t>Ranking</w:t>
            </w:r>
          </w:p>
        </w:tc>
        <w:tc>
          <w:tcPr>
            <w:tcW w:w="3351" w:type="dxa"/>
          </w:tcPr>
          <w:p w14:paraId="0C06A6E9" w14:textId="77777777" w:rsidR="008B3FBA" w:rsidRDefault="008B3FBA" w:rsidP="00EB1859">
            <w:pPr>
              <w:pStyle w:val="TableTextBody"/>
            </w:pPr>
            <w:r>
              <w:t>2022-23</w:t>
            </w:r>
          </w:p>
        </w:tc>
        <w:tc>
          <w:tcPr>
            <w:tcW w:w="772" w:type="dxa"/>
          </w:tcPr>
          <w:p w14:paraId="763DFA5B" w14:textId="77777777" w:rsidR="008B3FBA" w:rsidRDefault="008B3FBA" w:rsidP="00EB1859">
            <w:pPr>
              <w:pStyle w:val="TableTextBody"/>
            </w:pPr>
            <w:r>
              <w:t>% of traffic</w:t>
            </w:r>
          </w:p>
        </w:tc>
        <w:tc>
          <w:tcPr>
            <w:tcW w:w="3372" w:type="dxa"/>
          </w:tcPr>
          <w:p w14:paraId="42BA5A5D" w14:textId="77777777" w:rsidR="008B3FBA" w:rsidRPr="00CC07B9" w:rsidRDefault="008B3FBA" w:rsidP="00EB1859">
            <w:pPr>
              <w:pStyle w:val="TableTextBody"/>
            </w:pPr>
            <w:r>
              <w:t>2021-22</w:t>
            </w:r>
            <w:r w:rsidRPr="00CC07B9">
              <w:t xml:space="preserve"> </w:t>
            </w:r>
          </w:p>
        </w:tc>
        <w:tc>
          <w:tcPr>
            <w:tcW w:w="709" w:type="dxa"/>
          </w:tcPr>
          <w:p w14:paraId="02296B72" w14:textId="77777777" w:rsidR="008B3FBA" w:rsidRPr="00CC07B9" w:rsidRDefault="008B3FBA" w:rsidP="00EB1859">
            <w:pPr>
              <w:pStyle w:val="TableTextBody"/>
            </w:pPr>
            <w:r w:rsidRPr="00CC07B9">
              <w:t>% of traffic</w:t>
            </w:r>
          </w:p>
        </w:tc>
      </w:tr>
      <w:tr w:rsidR="008B3FBA" w:rsidRPr="00A21D7D" w14:paraId="1361A7A1" w14:textId="77777777" w:rsidTr="00F541AA">
        <w:trPr>
          <w:trHeight w:val="318"/>
        </w:trPr>
        <w:tc>
          <w:tcPr>
            <w:tcW w:w="1005" w:type="dxa"/>
          </w:tcPr>
          <w:p w14:paraId="79A2651D" w14:textId="77777777" w:rsidR="008B3FBA" w:rsidRPr="00274AD7" w:rsidRDefault="008B3FBA" w:rsidP="00EB1859">
            <w:pPr>
              <w:pStyle w:val="TableTextBody"/>
            </w:pPr>
            <w:r w:rsidRPr="00274AD7">
              <w:t>1</w:t>
            </w:r>
          </w:p>
        </w:tc>
        <w:tc>
          <w:tcPr>
            <w:tcW w:w="3351" w:type="dxa"/>
          </w:tcPr>
          <w:p w14:paraId="660E10EB" w14:textId="77777777" w:rsidR="008B3FBA" w:rsidRDefault="008B3FBA" w:rsidP="00EB1859">
            <w:pPr>
              <w:pStyle w:val="TableTextBody"/>
            </w:pPr>
            <w:r>
              <w:t xml:space="preserve">Home page </w:t>
            </w:r>
          </w:p>
        </w:tc>
        <w:tc>
          <w:tcPr>
            <w:tcW w:w="772" w:type="dxa"/>
          </w:tcPr>
          <w:p w14:paraId="44AC00FB" w14:textId="77777777" w:rsidR="008B3FBA" w:rsidRDefault="008B3FBA" w:rsidP="00EB1859">
            <w:pPr>
              <w:pStyle w:val="TableTextBody"/>
            </w:pPr>
            <w:r>
              <w:t>9.9</w:t>
            </w:r>
          </w:p>
        </w:tc>
        <w:tc>
          <w:tcPr>
            <w:tcW w:w="3372" w:type="dxa"/>
          </w:tcPr>
          <w:p w14:paraId="15AE6F75" w14:textId="77777777" w:rsidR="008B3FBA" w:rsidRPr="00A21D7D" w:rsidRDefault="008B3FBA" w:rsidP="00EB1859">
            <w:pPr>
              <w:pStyle w:val="TableTextBody"/>
            </w:pPr>
            <w:r>
              <w:t xml:space="preserve">Home page </w:t>
            </w:r>
          </w:p>
        </w:tc>
        <w:tc>
          <w:tcPr>
            <w:tcW w:w="709" w:type="dxa"/>
          </w:tcPr>
          <w:p w14:paraId="5FF69FE9" w14:textId="77777777" w:rsidR="008B3FBA" w:rsidRPr="00A21D7D" w:rsidRDefault="008B3FBA" w:rsidP="00EB1859">
            <w:pPr>
              <w:pStyle w:val="TableTextBody"/>
            </w:pPr>
            <w:r>
              <w:t>9.4</w:t>
            </w:r>
          </w:p>
        </w:tc>
      </w:tr>
      <w:tr w:rsidR="008B3FBA" w:rsidRPr="00A21D7D" w14:paraId="43A0059E" w14:textId="77777777" w:rsidTr="00F541AA">
        <w:trPr>
          <w:trHeight w:val="318"/>
        </w:trPr>
        <w:tc>
          <w:tcPr>
            <w:tcW w:w="1005" w:type="dxa"/>
          </w:tcPr>
          <w:p w14:paraId="24689A3D" w14:textId="77777777" w:rsidR="008B3FBA" w:rsidRPr="00274AD7" w:rsidRDefault="008B3FBA" w:rsidP="00EB1859">
            <w:pPr>
              <w:pStyle w:val="TableTextBody"/>
            </w:pPr>
            <w:r w:rsidRPr="00274AD7">
              <w:t>2</w:t>
            </w:r>
          </w:p>
        </w:tc>
        <w:tc>
          <w:tcPr>
            <w:tcW w:w="3351" w:type="dxa"/>
          </w:tcPr>
          <w:p w14:paraId="5BF1EC54" w14:textId="77777777" w:rsidR="008B3FBA" w:rsidRDefault="008B3FBA" w:rsidP="00EB1859">
            <w:pPr>
              <w:pStyle w:val="TableTextBody"/>
            </w:pPr>
            <w:r>
              <w:t xml:space="preserve">Case studies – sexual harassment </w:t>
            </w:r>
          </w:p>
        </w:tc>
        <w:tc>
          <w:tcPr>
            <w:tcW w:w="772" w:type="dxa"/>
          </w:tcPr>
          <w:p w14:paraId="6B042802" w14:textId="77777777" w:rsidR="008B3FBA" w:rsidRDefault="008B3FBA" w:rsidP="00EB1859">
            <w:pPr>
              <w:pStyle w:val="TableTextBody"/>
            </w:pPr>
            <w:r>
              <w:t>4.6</w:t>
            </w:r>
          </w:p>
        </w:tc>
        <w:tc>
          <w:tcPr>
            <w:tcW w:w="3372" w:type="dxa"/>
          </w:tcPr>
          <w:p w14:paraId="197FB83C" w14:textId="77777777" w:rsidR="008B3FBA" w:rsidRPr="00A21D7D" w:rsidRDefault="008B3FBA" w:rsidP="00EB1859">
            <w:pPr>
              <w:pStyle w:val="TableTextBody"/>
            </w:pPr>
            <w:r>
              <w:t xml:space="preserve">Vaccination and your rights </w:t>
            </w:r>
          </w:p>
        </w:tc>
        <w:tc>
          <w:tcPr>
            <w:tcW w:w="709" w:type="dxa"/>
          </w:tcPr>
          <w:p w14:paraId="53CB91AA" w14:textId="77777777" w:rsidR="008B3FBA" w:rsidRPr="00A21D7D" w:rsidRDefault="008B3FBA" w:rsidP="00EB1859">
            <w:pPr>
              <w:pStyle w:val="TableTextBody"/>
            </w:pPr>
            <w:r>
              <w:t>8.0</w:t>
            </w:r>
          </w:p>
        </w:tc>
      </w:tr>
      <w:tr w:rsidR="008B3FBA" w:rsidRPr="00A21D7D" w14:paraId="38DAB189" w14:textId="77777777" w:rsidTr="00F541AA">
        <w:trPr>
          <w:trHeight w:val="318"/>
        </w:trPr>
        <w:tc>
          <w:tcPr>
            <w:tcW w:w="1005" w:type="dxa"/>
          </w:tcPr>
          <w:p w14:paraId="6D045696" w14:textId="77777777" w:rsidR="008B3FBA" w:rsidRPr="00274AD7" w:rsidRDefault="008B3FBA" w:rsidP="00EB1859">
            <w:pPr>
              <w:pStyle w:val="TableTextBody"/>
            </w:pPr>
            <w:r w:rsidRPr="00274AD7">
              <w:t>3</w:t>
            </w:r>
          </w:p>
        </w:tc>
        <w:tc>
          <w:tcPr>
            <w:tcW w:w="3351" w:type="dxa"/>
          </w:tcPr>
          <w:p w14:paraId="5A7AB0AD" w14:textId="77777777" w:rsidR="008B3FBA" w:rsidRDefault="008B3FBA" w:rsidP="00EB1859">
            <w:pPr>
              <w:pStyle w:val="TableTextBody"/>
            </w:pPr>
            <w:r>
              <w:t xml:space="preserve">Human rights law </w:t>
            </w:r>
          </w:p>
        </w:tc>
        <w:tc>
          <w:tcPr>
            <w:tcW w:w="772" w:type="dxa"/>
          </w:tcPr>
          <w:p w14:paraId="2FD8C42D" w14:textId="77777777" w:rsidR="008B3FBA" w:rsidRDefault="008B3FBA" w:rsidP="00EB1859">
            <w:pPr>
              <w:pStyle w:val="TableTextBody"/>
            </w:pPr>
            <w:r>
              <w:t>3.6</w:t>
            </w:r>
          </w:p>
        </w:tc>
        <w:tc>
          <w:tcPr>
            <w:tcW w:w="3372" w:type="dxa"/>
          </w:tcPr>
          <w:p w14:paraId="29EAB855" w14:textId="77777777" w:rsidR="008B3FBA" w:rsidRPr="00A21D7D" w:rsidRDefault="008B3FBA" w:rsidP="00EB1859">
            <w:pPr>
              <w:pStyle w:val="TableTextBody"/>
            </w:pPr>
            <w:r>
              <w:t xml:space="preserve">COVID-19 and human rights </w:t>
            </w:r>
          </w:p>
        </w:tc>
        <w:tc>
          <w:tcPr>
            <w:tcW w:w="709" w:type="dxa"/>
          </w:tcPr>
          <w:p w14:paraId="2CAE6162" w14:textId="77777777" w:rsidR="008B3FBA" w:rsidRPr="00A21D7D" w:rsidRDefault="008B3FBA" w:rsidP="00EB1859">
            <w:pPr>
              <w:pStyle w:val="TableTextBody"/>
            </w:pPr>
            <w:r>
              <w:t>5.0</w:t>
            </w:r>
          </w:p>
        </w:tc>
      </w:tr>
      <w:tr w:rsidR="008B3FBA" w:rsidRPr="00A21D7D" w14:paraId="7B83CE42" w14:textId="77777777" w:rsidTr="00F541AA">
        <w:trPr>
          <w:trHeight w:val="318"/>
        </w:trPr>
        <w:tc>
          <w:tcPr>
            <w:tcW w:w="1005" w:type="dxa"/>
          </w:tcPr>
          <w:p w14:paraId="38D9B2CE" w14:textId="77777777" w:rsidR="008B3FBA" w:rsidRPr="00274AD7" w:rsidRDefault="008B3FBA" w:rsidP="00EB1859">
            <w:pPr>
              <w:pStyle w:val="TableTextBody"/>
            </w:pPr>
            <w:r w:rsidRPr="00274AD7">
              <w:t>4</w:t>
            </w:r>
          </w:p>
        </w:tc>
        <w:tc>
          <w:tcPr>
            <w:tcW w:w="3351" w:type="dxa"/>
          </w:tcPr>
          <w:p w14:paraId="12AD611B" w14:textId="77777777" w:rsidR="008B3FBA" w:rsidRDefault="008B3FBA" w:rsidP="00EB1859">
            <w:pPr>
              <w:pStyle w:val="TableTextBody"/>
            </w:pPr>
            <w:r>
              <w:t>Human rights law – your right to recognition and equality before the law</w:t>
            </w:r>
          </w:p>
        </w:tc>
        <w:tc>
          <w:tcPr>
            <w:tcW w:w="772" w:type="dxa"/>
          </w:tcPr>
          <w:p w14:paraId="2072FB3D" w14:textId="77777777" w:rsidR="008B3FBA" w:rsidRDefault="008B3FBA" w:rsidP="00EB1859">
            <w:pPr>
              <w:pStyle w:val="TableTextBody"/>
            </w:pPr>
            <w:r>
              <w:t>2.7</w:t>
            </w:r>
          </w:p>
        </w:tc>
        <w:tc>
          <w:tcPr>
            <w:tcW w:w="3372" w:type="dxa"/>
          </w:tcPr>
          <w:p w14:paraId="761D1000" w14:textId="77777777" w:rsidR="008B3FBA" w:rsidRPr="00A21D7D" w:rsidRDefault="008B3FBA" w:rsidP="00EB1859">
            <w:pPr>
              <w:pStyle w:val="TableTextBody"/>
            </w:pPr>
            <w:r>
              <w:t xml:space="preserve">Case studies – sexual harassment </w:t>
            </w:r>
          </w:p>
        </w:tc>
        <w:tc>
          <w:tcPr>
            <w:tcW w:w="709" w:type="dxa"/>
          </w:tcPr>
          <w:p w14:paraId="53FBBCB8" w14:textId="77777777" w:rsidR="008B3FBA" w:rsidRPr="00A21D7D" w:rsidRDefault="008B3FBA" w:rsidP="00EB1859">
            <w:pPr>
              <w:pStyle w:val="TableTextBody"/>
            </w:pPr>
            <w:r>
              <w:t>4.9</w:t>
            </w:r>
          </w:p>
        </w:tc>
      </w:tr>
      <w:tr w:rsidR="008B3FBA" w:rsidRPr="00A21D7D" w14:paraId="2D431C8F" w14:textId="77777777" w:rsidTr="00F541AA">
        <w:trPr>
          <w:trHeight w:val="318"/>
        </w:trPr>
        <w:tc>
          <w:tcPr>
            <w:tcW w:w="1005" w:type="dxa"/>
          </w:tcPr>
          <w:p w14:paraId="0A8CBE01" w14:textId="77777777" w:rsidR="008B3FBA" w:rsidRPr="00274AD7" w:rsidRDefault="008B3FBA" w:rsidP="00EB1859">
            <w:pPr>
              <w:pStyle w:val="TableTextBody"/>
            </w:pPr>
            <w:r w:rsidRPr="00274AD7">
              <w:t>5</w:t>
            </w:r>
          </w:p>
        </w:tc>
        <w:tc>
          <w:tcPr>
            <w:tcW w:w="3351" w:type="dxa"/>
          </w:tcPr>
          <w:p w14:paraId="5461E1F0" w14:textId="77777777" w:rsidR="008B3FBA" w:rsidRDefault="008B3FBA" w:rsidP="00EB1859">
            <w:pPr>
              <w:pStyle w:val="TableTextBody"/>
            </w:pPr>
            <w:r>
              <w:t xml:space="preserve">LGBTIQ+ terminology </w:t>
            </w:r>
          </w:p>
        </w:tc>
        <w:tc>
          <w:tcPr>
            <w:tcW w:w="772" w:type="dxa"/>
          </w:tcPr>
          <w:p w14:paraId="4A258928" w14:textId="77777777" w:rsidR="008B3FBA" w:rsidRDefault="008B3FBA" w:rsidP="00EB1859">
            <w:pPr>
              <w:pStyle w:val="TableTextBody"/>
            </w:pPr>
            <w:r>
              <w:t>2.1</w:t>
            </w:r>
          </w:p>
        </w:tc>
        <w:tc>
          <w:tcPr>
            <w:tcW w:w="3372" w:type="dxa"/>
          </w:tcPr>
          <w:p w14:paraId="1D0B9CA0" w14:textId="77777777" w:rsidR="008B3FBA" w:rsidRPr="00A21D7D" w:rsidRDefault="008B3FBA" w:rsidP="00EB1859">
            <w:pPr>
              <w:pStyle w:val="TableTextBody"/>
            </w:pPr>
            <w:r>
              <w:t xml:space="preserve">Face masks and your rights </w:t>
            </w:r>
          </w:p>
        </w:tc>
        <w:tc>
          <w:tcPr>
            <w:tcW w:w="709" w:type="dxa"/>
          </w:tcPr>
          <w:p w14:paraId="6184587A" w14:textId="77777777" w:rsidR="008B3FBA" w:rsidRPr="00A21D7D" w:rsidRDefault="008B3FBA" w:rsidP="00EB1859">
            <w:pPr>
              <w:pStyle w:val="TableTextBody"/>
            </w:pPr>
            <w:r>
              <w:t>3.9</w:t>
            </w:r>
          </w:p>
        </w:tc>
      </w:tr>
      <w:tr w:rsidR="008B3FBA" w:rsidRPr="00A21D7D" w14:paraId="732F1A65" w14:textId="77777777" w:rsidTr="00F541AA">
        <w:trPr>
          <w:trHeight w:val="318"/>
        </w:trPr>
        <w:tc>
          <w:tcPr>
            <w:tcW w:w="1005" w:type="dxa"/>
          </w:tcPr>
          <w:p w14:paraId="02AB646F" w14:textId="77777777" w:rsidR="008B3FBA" w:rsidRPr="00274AD7" w:rsidRDefault="008B3FBA" w:rsidP="00EB1859">
            <w:pPr>
              <w:pStyle w:val="TableTextBody"/>
            </w:pPr>
            <w:r w:rsidRPr="00274AD7">
              <w:t>6</w:t>
            </w:r>
          </w:p>
        </w:tc>
        <w:tc>
          <w:tcPr>
            <w:tcW w:w="3351" w:type="dxa"/>
          </w:tcPr>
          <w:p w14:paraId="04389892" w14:textId="77777777" w:rsidR="008B3FBA" w:rsidRDefault="008B3FBA" w:rsidP="00EB1859">
            <w:pPr>
              <w:pStyle w:val="TableTextBody"/>
            </w:pPr>
            <w:r>
              <w:t>Discrimination law</w:t>
            </w:r>
          </w:p>
        </w:tc>
        <w:tc>
          <w:tcPr>
            <w:tcW w:w="772" w:type="dxa"/>
          </w:tcPr>
          <w:p w14:paraId="0A41CCE5" w14:textId="77777777" w:rsidR="008B3FBA" w:rsidRDefault="008B3FBA" w:rsidP="00EB1859">
            <w:pPr>
              <w:pStyle w:val="TableTextBody"/>
            </w:pPr>
            <w:r>
              <w:t>1.9</w:t>
            </w:r>
          </w:p>
        </w:tc>
        <w:tc>
          <w:tcPr>
            <w:tcW w:w="3372" w:type="dxa"/>
          </w:tcPr>
          <w:p w14:paraId="195E2BFA" w14:textId="77777777" w:rsidR="008B3FBA" w:rsidRPr="00A21D7D" w:rsidRDefault="008B3FBA" w:rsidP="00EB1859">
            <w:pPr>
              <w:pStyle w:val="TableTextBody"/>
            </w:pPr>
            <w:r>
              <w:t xml:space="preserve">Human rights law </w:t>
            </w:r>
          </w:p>
        </w:tc>
        <w:tc>
          <w:tcPr>
            <w:tcW w:w="709" w:type="dxa"/>
          </w:tcPr>
          <w:p w14:paraId="4CC9C248" w14:textId="77777777" w:rsidR="008B3FBA" w:rsidRPr="00A21D7D" w:rsidRDefault="008B3FBA" w:rsidP="00EB1859">
            <w:pPr>
              <w:pStyle w:val="TableTextBody"/>
            </w:pPr>
            <w:r>
              <w:t>3.4</w:t>
            </w:r>
          </w:p>
        </w:tc>
      </w:tr>
      <w:tr w:rsidR="008B3FBA" w:rsidRPr="00A21D7D" w14:paraId="79F6DD6A" w14:textId="77777777" w:rsidTr="00F541AA">
        <w:trPr>
          <w:trHeight w:val="318"/>
        </w:trPr>
        <w:tc>
          <w:tcPr>
            <w:tcW w:w="1005" w:type="dxa"/>
          </w:tcPr>
          <w:p w14:paraId="71149783" w14:textId="77777777" w:rsidR="008B3FBA" w:rsidRPr="00274AD7" w:rsidRDefault="008B3FBA" w:rsidP="00EB1859">
            <w:pPr>
              <w:pStyle w:val="TableTextBody"/>
            </w:pPr>
            <w:r w:rsidRPr="00274AD7">
              <w:t>7</w:t>
            </w:r>
          </w:p>
        </w:tc>
        <w:tc>
          <w:tcPr>
            <w:tcW w:w="3351" w:type="dxa"/>
          </w:tcPr>
          <w:p w14:paraId="3E05827D" w14:textId="77777777" w:rsidR="008B3FBA" w:rsidRDefault="008B3FBA" w:rsidP="00EB1859">
            <w:pPr>
              <w:pStyle w:val="TableTextBody"/>
            </w:pPr>
            <w:r>
              <w:t>Information about making a complaint</w:t>
            </w:r>
          </w:p>
        </w:tc>
        <w:tc>
          <w:tcPr>
            <w:tcW w:w="772" w:type="dxa"/>
          </w:tcPr>
          <w:p w14:paraId="746BBFA9" w14:textId="77777777" w:rsidR="008B3FBA" w:rsidRDefault="008B3FBA" w:rsidP="00EB1859">
            <w:pPr>
              <w:pStyle w:val="TableTextBody"/>
            </w:pPr>
            <w:r>
              <w:t>1.9</w:t>
            </w:r>
          </w:p>
        </w:tc>
        <w:tc>
          <w:tcPr>
            <w:tcW w:w="3372" w:type="dxa"/>
          </w:tcPr>
          <w:p w14:paraId="64A4B6D2" w14:textId="77777777" w:rsidR="008B3FBA" w:rsidRPr="00A21D7D" w:rsidRDefault="008B3FBA" w:rsidP="00EB1859">
            <w:pPr>
              <w:pStyle w:val="TableTextBody"/>
            </w:pPr>
            <w:r>
              <w:t xml:space="preserve">Discrimination law </w:t>
            </w:r>
          </w:p>
        </w:tc>
        <w:tc>
          <w:tcPr>
            <w:tcW w:w="709" w:type="dxa"/>
          </w:tcPr>
          <w:p w14:paraId="1E067D05" w14:textId="77777777" w:rsidR="008B3FBA" w:rsidRPr="00A21D7D" w:rsidRDefault="008B3FBA" w:rsidP="00EB1859">
            <w:pPr>
              <w:pStyle w:val="TableTextBody"/>
            </w:pPr>
            <w:r>
              <w:t>2.2</w:t>
            </w:r>
          </w:p>
        </w:tc>
      </w:tr>
      <w:tr w:rsidR="008B3FBA" w:rsidRPr="00A21D7D" w14:paraId="1BBA9542" w14:textId="77777777" w:rsidTr="00F541AA">
        <w:trPr>
          <w:trHeight w:val="318"/>
        </w:trPr>
        <w:tc>
          <w:tcPr>
            <w:tcW w:w="1005" w:type="dxa"/>
          </w:tcPr>
          <w:p w14:paraId="0E9918FB" w14:textId="77777777" w:rsidR="008B3FBA" w:rsidRPr="00274AD7" w:rsidRDefault="008B3FBA" w:rsidP="00EB1859">
            <w:pPr>
              <w:pStyle w:val="TableTextBody"/>
            </w:pPr>
            <w:r w:rsidRPr="00274AD7">
              <w:t>8</w:t>
            </w:r>
          </w:p>
        </w:tc>
        <w:tc>
          <w:tcPr>
            <w:tcW w:w="3351" w:type="dxa"/>
          </w:tcPr>
          <w:p w14:paraId="22601733" w14:textId="77777777" w:rsidR="008B3FBA" w:rsidRDefault="008B3FBA" w:rsidP="00EB1859">
            <w:pPr>
              <w:pStyle w:val="TableTextBody"/>
            </w:pPr>
            <w:r>
              <w:t xml:space="preserve">Online complaint form </w:t>
            </w:r>
          </w:p>
        </w:tc>
        <w:tc>
          <w:tcPr>
            <w:tcW w:w="772" w:type="dxa"/>
          </w:tcPr>
          <w:p w14:paraId="5B66B3FA" w14:textId="77777777" w:rsidR="008B3FBA" w:rsidRDefault="008B3FBA" w:rsidP="00EB1859">
            <w:pPr>
              <w:pStyle w:val="TableTextBody"/>
            </w:pPr>
            <w:r>
              <w:t>1.9</w:t>
            </w:r>
          </w:p>
        </w:tc>
        <w:tc>
          <w:tcPr>
            <w:tcW w:w="3372" w:type="dxa"/>
          </w:tcPr>
          <w:p w14:paraId="0E135D5B" w14:textId="77777777" w:rsidR="008B3FBA" w:rsidRPr="00A21D7D" w:rsidRDefault="008B3FBA" w:rsidP="00EB1859">
            <w:pPr>
              <w:pStyle w:val="TableTextBody"/>
            </w:pPr>
            <w:r>
              <w:t xml:space="preserve">Human rights law – your right to recognition and equality before the law </w:t>
            </w:r>
          </w:p>
        </w:tc>
        <w:tc>
          <w:tcPr>
            <w:tcW w:w="709" w:type="dxa"/>
          </w:tcPr>
          <w:p w14:paraId="17F1363E" w14:textId="77777777" w:rsidR="008B3FBA" w:rsidRPr="00A21D7D" w:rsidRDefault="008B3FBA" w:rsidP="00EB1859">
            <w:pPr>
              <w:pStyle w:val="TableTextBody"/>
            </w:pPr>
            <w:r>
              <w:t>1.8</w:t>
            </w:r>
          </w:p>
        </w:tc>
      </w:tr>
      <w:tr w:rsidR="008B3FBA" w:rsidRPr="00A21D7D" w14:paraId="230D8A21" w14:textId="77777777" w:rsidTr="00F541AA">
        <w:trPr>
          <w:trHeight w:val="318"/>
        </w:trPr>
        <w:tc>
          <w:tcPr>
            <w:tcW w:w="1005" w:type="dxa"/>
          </w:tcPr>
          <w:p w14:paraId="5FFCC94F" w14:textId="77777777" w:rsidR="008B3FBA" w:rsidRPr="00274AD7" w:rsidRDefault="008B3FBA" w:rsidP="00EB1859">
            <w:pPr>
              <w:pStyle w:val="TableTextBody"/>
            </w:pPr>
            <w:r w:rsidRPr="00274AD7">
              <w:t>9</w:t>
            </w:r>
          </w:p>
        </w:tc>
        <w:tc>
          <w:tcPr>
            <w:tcW w:w="3351" w:type="dxa"/>
          </w:tcPr>
          <w:p w14:paraId="7FC3CEB6" w14:textId="77777777" w:rsidR="008B3FBA" w:rsidRDefault="008B3FBA" w:rsidP="00EB1859">
            <w:pPr>
              <w:pStyle w:val="TableTextBody"/>
            </w:pPr>
            <w:r>
              <w:t>Human rights law – right to life</w:t>
            </w:r>
          </w:p>
        </w:tc>
        <w:tc>
          <w:tcPr>
            <w:tcW w:w="772" w:type="dxa"/>
          </w:tcPr>
          <w:p w14:paraId="15DE155B" w14:textId="77777777" w:rsidR="008B3FBA" w:rsidRDefault="008B3FBA" w:rsidP="00EB1859">
            <w:pPr>
              <w:pStyle w:val="TableTextBody"/>
            </w:pPr>
            <w:r>
              <w:t>1.8</w:t>
            </w:r>
          </w:p>
        </w:tc>
        <w:tc>
          <w:tcPr>
            <w:tcW w:w="3372" w:type="dxa"/>
          </w:tcPr>
          <w:p w14:paraId="03E5F3A4" w14:textId="77777777" w:rsidR="008B3FBA" w:rsidRPr="00A21D7D" w:rsidRDefault="008B3FBA" w:rsidP="00EB1859">
            <w:pPr>
              <w:pStyle w:val="TableTextBody"/>
            </w:pPr>
            <w:r>
              <w:t xml:space="preserve">Customers, face masks and discrimination: a guide for Queensland businesses and services </w:t>
            </w:r>
          </w:p>
        </w:tc>
        <w:tc>
          <w:tcPr>
            <w:tcW w:w="709" w:type="dxa"/>
          </w:tcPr>
          <w:p w14:paraId="27C09B2B" w14:textId="77777777" w:rsidR="008B3FBA" w:rsidRPr="00A21D7D" w:rsidRDefault="008B3FBA" w:rsidP="00EB1859">
            <w:pPr>
              <w:pStyle w:val="TableTextBody"/>
            </w:pPr>
            <w:r>
              <w:t>1.8</w:t>
            </w:r>
          </w:p>
        </w:tc>
      </w:tr>
      <w:tr w:rsidR="008B3FBA" w:rsidRPr="00A21D7D" w14:paraId="1D495C1A" w14:textId="77777777" w:rsidTr="00F541AA">
        <w:trPr>
          <w:trHeight w:val="318"/>
        </w:trPr>
        <w:tc>
          <w:tcPr>
            <w:tcW w:w="1005" w:type="dxa"/>
          </w:tcPr>
          <w:p w14:paraId="5978CEBB" w14:textId="77777777" w:rsidR="008B3FBA" w:rsidRPr="00274AD7" w:rsidRDefault="008B3FBA" w:rsidP="00EB1859">
            <w:pPr>
              <w:pStyle w:val="TableTextBody"/>
            </w:pPr>
            <w:r w:rsidRPr="00274AD7">
              <w:t>10</w:t>
            </w:r>
          </w:p>
        </w:tc>
        <w:tc>
          <w:tcPr>
            <w:tcW w:w="3351" w:type="dxa"/>
          </w:tcPr>
          <w:p w14:paraId="0A9FC55C" w14:textId="77777777" w:rsidR="008B3FBA" w:rsidRDefault="008B3FBA" w:rsidP="00EB1859">
            <w:pPr>
              <w:pStyle w:val="TableTextBody"/>
            </w:pPr>
            <w:r>
              <w:t xml:space="preserve">Human rights law – right to liberty and security of person </w:t>
            </w:r>
          </w:p>
        </w:tc>
        <w:tc>
          <w:tcPr>
            <w:tcW w:w="772" w:type="dxa"/>
          </w:tcPr>
          <w:p w14:paraId="2E6323B4" w14:textId="77777777" w:rsidR="008B3FBA" w:rsidRDefault="008B3FBA" w:rsidP="00EB1859">
            <w:pPr>
              <w:pStyle w:val="TableTextBody"/>
            </w:pPr>
            <w:r>
              <w:t>1.7</w:t>
            </w:r>
          </w:p>
        </w:tc>
        <w:tc>
          <w:tcPr>
            <w:tcW w:w="3372" w:type="dxa"/>
          </w:tcPr>
          <w:p w14:paraId="2C5D7C98" w14:textId="77777777" w:rsidR="008B3FBA" w:rsidRPr="00A21D7D" w:rsidRDefault="008B3FBA" w:rsidP="00EB1859">
            <w:pPr>
              <w:pStyle w:val="TableTextBody"/>
            </w:pPr>
            <w:r>
              <w:t xml:space="preserve">Online complaint form </w:t>
            </w:r>
          </w:p>
        </w:tc>
        <w:tc>
          <w:tcPr>
            <w:tcW w:w="709" w:type="dxa"/>
          </w:tcPr>
          <w:p w14:paraId="1981A2A5" w14:textId="77777777" w:rsidR="008B3FBA" w:rsidRPr="00A21D7D" w:rsidRDefault="008B3FBA" w:rsidP="00EB1859">
            <w:pPr>
              <w:pStyle w:val="TableTextBody"/>
            </w:pPr>
            <w:r>
              <w:t>1.7</w:t>
            </w:r>
          </w:p>
        </w:tc>
      </w:tr>
    </w:tbl>
    <w:p w14:paraId="225F01DA" w14:textId="77777777" w:rsidR="008B3FBA" w:rsidRPr="00A21D7D" w:rsidRDefault="008B3FBA" w:rsidP="00EB1859"/>
    <w:p w14:paraId="31D6C8B6" w14:textId="77777777" w:rsidR="008B3FBA" w:rsidRDefault="008B3FBA" w:rsidP="00CA5EBF">
      <w:pPr>
        <w:pStyle w:val="Heading3"/>
      </w:pPr>
      <w:bookmarkStart w:id="219" w:name="_Toc112424437"/>
      <w:r>
        <w:t>Social media</w:t>
      </w:r>
      <w:bookmarkEnd w:id="219"/>
      <w:r>
        <w:t xml:space="preserve"> </w:t>
      </w:r>
    </w:p>
    <w:p w14:paraId="17DEB0A8" w14:textId="77777777" w:rsidR="008B3FBA" w:rsidRDefault="008B3FBA" w:rsidP="00EB1859">
      <w:r>
        <w:t xml:space="preserve">We use Facebook, Instagram, LinkedIn and </w:t>
      </w:r>
      <w:proofErr w:type="spellStart"/>
      <w:r>
        <w:t>Youtube</w:t>
      </w:r>
      <w:proofErr w:type="spellEnd"/>
      <w:r>
        <w:t xml:space="preserve"> to share information and updates with social media users. </w:t>
      </w:r>
    </w:p>
    <w:p w14:paraId="552BDBE5" w14:textId="77777777" w:rsidR="008B3FBA" w:rsidRDefault="008B3FBA" w:rsidP="00EB1859">
      <w:r>
        <w:t xml:space="preserve">As organic reach on platforms declines and risk increases, we continue to modify the way we use social media to connect with community. In 2021-22, after assessing the risk of being legally responsible for third party comments and our obligations under the </w:t>
      </w:r>
      <w:r w:rsidRPr="00B52A5B">
        <w:rPr>
          <w:i/>
          <w:iCs/>
        </w:rPr>
        <w:t>Human Rights Act 2019</w:t>
      </w:r>
      <w:r>
        <w:t xml:space="preserve">, we made the decision to no longer allow direct messages or comments on posts on our Facebook page. With only one staff member to administer pages and moderate comments, we do not have capacity to respond to requests for information or monitor third party contributions for potential risk. </w:t>
      </w:r>
    </w:p>
    <w:p w14:paraId="0E9FC93F" w14:textId="77777777" w:rsidR="008B3FBA" w:rsidRDefault="008B3FBA" w:rsidP="00EB1859">
      <w:r>
        <w:t xml:space="preserve">As at 30 June 2023 we had </w:t>
      </w:r>
      <w:r w:rsidRPr="00484D23">
        <w:t>over 7300 social media users</w:t>
      </w:r>
      <w:r>
        <w:t xml:space="preserve"> following our accounts. </w:t>
      </w:r>
    </w:p>
    <w:p w14:paraId="332342C7" w14:textId="77777777" w:rsidR="001E582F" w:rsidRDefault="001E582F" w:rsidP="00EB1859">
      <w:pPr>
        <w:pStyle w:val="Heading3Black"/>
      </w:pPr>
      <w:bookmarkStart w:id="220" w:name="_Toc112424438"/>
    </w:p>
    <w:p w14:paraId="22F81C54" w14:textId="5933CBEE" w:rsidR="008B3FBA" w:rsidRDefault="008B3FBA" w:rsidP="00CA5EBF">
      <w:pPr>
        <w:pStyle w:val="Heading3"/>
      </w:pPr>
      <w:r>
        <w:lastRenderedPageBreak/>
        <w:t>Bulletins</w:t>
      </w:r>
      <w:bookmarkEnd w:id="220"/>
      <w:r>
        <w:t xml:space="preserve"> </w:t>
      </w:r>
    </w:p>
    <w:p w14:paraId="23637CF6" w14:textId="77777777" w:rsidR="008B3FBA" w:rsidRDefault="008B3FBA" w:rsidP="00EB1859">
      <w:r w:rsidRPr="00CC07B9">
        <w:t xml:space="preserve">We </w:t>
      </w:r>
      <w:r>
        <w:t xml:space="preserve">produce email bulletins to help keep subscribers up to date with news about discrimination and human rights law, including court and tribunal decisions, training opportunities, new resources to aid in understanding and applying the law, and the work of the Commission. Bulletins include: </w:t>
      </w:r>
    </w:p>
    <w:p w14:paraId="3ABDB6EB" w14:textId="77777777" w:rsidR="008B3FBA" w:rsidRDefault="008B3FBA" w:rsidP="00EB1859">
      <w:pPr>
        <w:pStyle w:val="ListParagraph"/>
        <w:numPr>
          <w:ilvl w:val="0"/>
          <w:numId w:val="15"/>
        </w:numPr>
      </w:pPr>
      <w:r>
        <w:t xml:space="preserve">A general news bulletin with updates on human rights, discrimination and sexual harassment law, and our work </w:t>
      </w:r>
    </w:p>
    <w:p w14:paraId="1B1F2F23" w14:textId="77777777" w:rsidR="008B3FBA" w:rsidRDefault="008B3FBA" w:rsidP="00EB1859">
      <w:pPr>
        <w:pStyle w:val="ListParagraph"/>
        <w:numPr>
          <w:ilvl w:val="0"/>
          <w:numId w:val="15"/>
        </w:numPr>
      </w:pPr>
      <w:r>
        <w:t>A monthly training bulletin, containing upcoming training opportunities across Queensland and online</w:t>
      </w:r>
    </w:p>
    <w:p w14:paraId="16601C6C" w14:textId="77777777" w:rsidR="008B3FBA" w:rsidRDefault="008B3FBA" w:rsidP="00EB1859">
      <w:pPr>
        <w:pStyle w:val="ListParagraph"/>
        <w:numPr>
          <w:ilvl w:val="0"/>
          <w:numId w:val="15"/>
        </w:numPr>
      </w:pPr>
      <w:r>
        <w:t xml:space="preserve">The Dialogue, issued quarterly and containing information, tools, training and resources specifically for public entities, to help them carry out their obligations under the Human Rights Act </w:t>
      </w:r>
    </w:p>
    <w:p w14:paraId="002F1263" w14:textId="77777777" w:rsidR="008B3FBA" w:rsidRDefault="008B3FBA" w:rsidP="00EB1859">
      <w:pPr>
        <w:pStyle w:val="ListParagraph"/>
        <w:numPr>
          <w:ilvl w:val="0"/>
          <w:numId w:val="15"/>
        </w:numPr>
      </w:pPr>
      <w:r>
        <w:t xml:space="preserve">The Brief, issued quarterly for lawyers and advocates, containing news, case law, submissions, interventions, and resources on the application of the Human Rights Act and the Anti-Discrimination Act </w:t>
      </w:r>
    </w:p>
    <w:p w14:paraId="28E10774" w14:textId="77777777" w:rsidR="008B3FBA" w:rsidRDefault="008B3FBA" w:rsidP="00EB1859">
      <w:pPr>
        <w:pStyle w:val="ListParagraph"/>
        <w:numPr>
          <w:ilvl w:val="0"/>
          <w:numId w:val="15"/>
        </w:numPr>
      </w:pPr>
      <w:r>
        <w:t xml:space="preserve">Our Human Rights Week bulletin, which runs up to and across Human Rights Week in December. </w:t>
      </w:r>
    </w:p>
    <w:p w14:paraId="5BE7BC6A" w14:textId="77777777" w:rsidR="008B3FBA" w:rsidRDefault="008B3FBA" w:rsidP="00EB1859">
      <w:r>
        <w:t xml:space="preserve">22 bulletins were sent out across the course of 2022-23, with an average open rate of between 30 and 60%. As at 30 June 2023 over 4500 people were subscribed to receive bulletins. </w:t>
      </w:r>
    </w:p>
    <w:p w14:paraId="64341D7A" w14:textId="77777777" w:rsidR="008B3FBA" w:rsidRPr="0085686C" w:rsidRDefault="008B3FBA" w:rsidP="00EB1859">
      <w:r w:rsidRPr="0085686C">
        <w:t xml:space="preserve"> </w:t>
      </w:r>
    </w:p>
    <w:p w14:paraId="29BB51CF" w14:textId="0342787A" w:rsidR="008B3FBA" w:rsidRDefault="008B3FBA" w:rsidP="00EB1859">
      <w:r>
        <w:br w:type="page"/>
      </w:r>
    </w:p>
    <w:p w14:paraId="7E0B2D2F" w14:textId="77777777" w:rsidR="008B3FBA" w:rsidRPr="00A21D7D" w:rsidRDefault="008B3FBA" w:rsidP="00CA5EBF">
      <w:pPr>
        <w:pStyle w:val="Heading1"/>
      </w:pPr>
      <w:bookmarkStart w:id="221" w:name="_Toc80971379"/>
      <w:bookmarkStart w:id="222" w:name="_Toc143678733"/>
      <w:bookmarkStart w:id="223" w:name="_Toc144200513"/>
      <w:r w:rsidRPr="00A21D7D">
        <w:lastRenderedPageBreak/>
        <w:t>Corporate governance</w:t>
      </w:r>
      <w:bookmarkEnd w:id="221"/>
      <w:bookmarkEnd w:id="222"/>
      <w:bookmarkEnd w:id="223"/>
      <w:r w:rsidRPr="00A21D7D">
        <w:t xml:space="preserve"> </w:t>
      </w:r>
    </w:p>
    <w:p w14:paraId="0DD16661" w14:textId="77777777" w:rsidR="008B3FBA" w:rsidRPr="00A21D7D" w:rsidRDefault="008B3FBA" w:rsidP="00CA5EBF">
      <w:pPr>
        <w:pStyle w:val="Heading2"/>
      </w:pPr>
      <w:bookmarkStart w:id="224" w:name="_Toc80971380"/>
      <w:bookmarkStart w:id="225" w:name="_Toc143678215"/>
      <w:bookmarkStart w:id="226" w:name="_Toc143678734"/>
      <w:bookmarkStart w:id="227" w:name="_Toc144200514"/>
      <w:r w:rsidRPr="00A21D7D">
        <w:t>Governance framework</w:t>
      </w:r>
      <w:bookmarkEnd w:id="224"/>
      <w:bookmarkEnd w:id="225"/>
      <w:bookmarkEnd w:id="226"/>
      <w:bookmarkEnd w:id="227"/>
      <w:r w:rsidRPr="00A21D7D">
        <w:t xml:space="preserve"> </w:t>
      </w:r>
    </w:p>
    <w:p w14:paraId="355145EB" w14:textId="77777777" w:rsidR="008B3FBA" w:rsidRPr="00A21D7D" w:rsidRDefault="008B3FBA" w:rsidP="00EB1859">
      <w:r w:rsidRPr="00A21D7D">
        <w:t xml:space="preserve">While </w:t>
      </w:r>
      <w:r>
        <w:t xml:space="preserve">the Commission is </w:t>
      </w:r>
      <w:r w:rsidRPr="00A21D7D">
        <w:t xml:space="preserve">an independent statutory body, </w:t>
      </w:r>
      <w:r>
        <w:t>we are</w:t>
      </w:r>
      <w:r w:rsidRPr="00A21D7D">
        <w:t xml:space="preserve"> accountable to the Queensland Parliament through the Attorney-G</w:t>
      </w:r>
      <w:r>
        <w:t xml:space="preserve">eneral and Minister for Justice, Minister for Women and Minister for the Prevention of Domestic and Family Violence. </w:t>
      </w:r>
    </w:p>
    <w:p w14:paraId="09F4286F" w14:textId="77777777" w:rsidR="008B3FBA" w:rsidRPr="00A21D7D" w:rsidRDefault="008B3FBA" w:rsidP="00CA5EBF">
      <w:pPr>
        <w:pStyle w:val="Heading2"/>
      </w:pPr>
      <w:bookmarkStart w:id="228" w:name="_Toc80971381"/>
      <w:bookmarkStart w:id="229" w:name="_Toc143678216"/>
      <w:bookmarkStart w:id="230" w:name="_Toc143678735"/>
      <w:bookmarkStart w:id="231" w:name="_Toc144200515"/>
      <w:r>
        <w:t>Executive m</w:t>
      </w:r>
      <w:r w:rsidRPr="00A21D7D">
        <w:t>anagement</w:t>
      </w:r>
      <w:bookmarkEnd w:id="228"/>
      <w:bookmarkEnd w:id="229"/>
      <w:bookmarkEnd w:id="230"/>
      <w:bookmarkEnd w:id="231"/>
    </w:p>
    <w:p w14:paraId="76BFD88D" w14:textId="77777777" w:rsidR="008B3FBA" w:rsidRPr="00A21D7D" w:rsidRDefault="008B3FBA" w:rsidP="00EB1859">
      <w:pPr>
        <w:rPr>
          <w:i/>
        </w:rPr>
      </w:pPr>
      <w:r w:rsidRPr="00A21D7D">
        <w:t xml:space="preserve">Accountability for </w:t>
      </w:r>
      <w:r>
        <w:t>our</w:t>
      </w:r>
      <w:r w:rsidRPr="00A21D7D">
        <w:t xml:space="preserve"> operations under the </w:t>
      </w:r>
      <w:r w:rsidRPr="00A21D7D">
        <w:rPr>
          <w:i/>
        </w:rPr>
        <w:t>Financial Accountability Act 2009</w:t>
      </w:r>
      <w:r w:rsidRPr="00A21D7D">
        <w:t xml:space="preserve"> resides solely with the Commissioner as the Accountable Officer. </w:t>
      </w:r>
    </w:p>
    <w:p w14:paraId="38E39C33" w14:textId="77777777" w:rsidR="008B3FBA" w:rsidRDefault="008B3FBA" w:rsidP="00EB1859">
      <w:r w:rsidRPr="00A21D7D">
        <w:t xml:space="preserve">The Commissioner is appointed under section 238 of the </w:t>
      </w:r>
      <w:r w:rsidRPr="00FC6699">
        <w:rPr>
          <w:i/>
        </w:rPr>
        <w:t>Anti-Discrimination Act 1991</w:t>
      </w:r>
      <w:r w:rsidRPr="00A21D7D">
        <w:t xml:space="preserve"> for a term of no longer than seven years. </w:t>
      </w:r>
      <w:r w:rsidRPr="00BF0133">
        <w:t>The current Commissioner is appointed until October 2025, which will mark the end of this seven-year term.</w:t>
      </w:r>
    </w:p>
    <w:p w14:paraId="0EEC177D" w14:textId="77777777" w:rsidR="008B3FBA" w:rsidRPr="00A21D7D" w:rsidRDefault="008B3FBA" w:rsidP="00CA5EBF">
      <w:pPr>
        <w:pStyle w:val="Heading3"/>
      </w:pPr>
      <w:r>
        <w:t>Executive Leadership Team</w:t>
      </w:r>
    </w:p>
    <w:p w14:paraId="124DCA6A" w14:textId="77777777" w:rsidR="008B3FBA" w:rsidRPr="00A21D7D" w:rsidRDefault="008B3FBA" w:rsidP="00EB1859">
      <w:pPr>
        <w:rPr>
          <w:b/>
          <w:lang w:val="en-US"/>
        </w:rPr>
      </w:pPr>
      <w:r w:rsidRPr="00A21D7D">
        <w:rPr>
          <w:lang w:val="en-US"/>
        </w:rPr>
        <w:t>The Executive Leadership Team (ELT) is one of the key strategic advisory bodies for the Commission.</w:t>
      </w:r>
      <w:r>
        <w:rPr>
          <w:lang w:val="en-US"/>
        </w:rPr>
        <w:t xml:space="preserve"> </w:t>
      </w:r>
      <w:r w:rsidRPr="00A21D7D">
        <w:rPr>
          <w:lang w:val="en-US"/>
        </w:rPr>
        <w:t>It supports the Commissioner in providing strategic direction for the Commission as part of the overall corporate governance framework. It also oversees the Commission’s strategic performance and acts as the Audit Committee, Risk Management Committee and Finance Committee.</w:t>
      </w:r>
    </w:p>
    <w:p w14:paraId="4D5AFA3B" w14:textId="77777777" w:rsidR="008B3FBA" w:rsidRPr="00A21D7D" w:rsidRDefault="008B3FBA" w:rsidP="00EB1859">
      <w:pPr>
        <w:rPr>
          <w:b/>
          <w:lang w:val="en-US"/>
        </w:rPr>
      </w:pPr>
      <w:r w:rsidRPr="00A21D7D">
        <w:rPr>
          <w:lang w:val="en-US"/>
        </w:rPr>
        <w:t>The group provides advice to the Commissioner in the following areas:</w:t>
      </w:r>
    </w:p>
    <w:p w14:paraId="363E8C57" w14:textId="77777777" w:rsidR="008B3FBA" w:rsidRPr="00A21D7D" w:rsidRDefault="008B3FBA" w:rsidP="00EB1859">
      <w:pPr>
        <w:pStyle w:val="ListParagraph"/>
        <w:numPr>
          <w:ilvl w:val="0"/>
          <w:numId w:val="4"/>
        </w:numPr>
        <w:rPr>
          <w:b/>
          <w:lang w:val="en-US"/>
        </w:rPr>
      </w:pPr>
      <w:r w:rsidRPr="00A21D7D">
        <w:rPr>
          <w:lang w:val="en-US"/>
        </w:rPr>
        <w:t>establishing priorities</w:t>
      </w:r>
      <w:r>
        <w:rPr>
          <w:lang w:val="en-US"/>
        </w:rPr>
        <w:t>;</w:t>
      </w:r>
      <w:r w:rsidRPr="00A21D7D">
        <w:rPr>
          <w:lang w:val="en-US"/>
        </w:rPr>
        <w:t xml:space="preserve"> </w:t>
      </w:r>
    </w:p>
    <w:p w14:paraId="189AB675" w14:textId="77777777" w:rsidR="008B3FBA" w:rsidRPr="00A21D7D" w:rsidRDefault="008B3FBA" w:rsidP="00EB1859">
      <w:pPr>
        <w:pStyle w:val="ListParagraph"/>
        <w:numPr>
          <w:ilvl w:val="0"/>
          <w:numId w:val="4"/>
        </w:numPr>
        <w:rPr>
          <w:b/>
          <w:lang w:val="en-US"/>
        </w:rPr>
      </w:pPr>
      <w:r w:rsidRPr="00A21D7D">
        <w:rPr>
          <w:lang w:val="en-US"/>
        </w:rPr>
        <w:t>developing an overarching fiscal strategy</w:t>
      </w:r>
      <w:r>
        <w:rPr>
          <w:lang w:val="en-US"/>
        </w:rPr>
        <w:t>;</w:t>
      </w:r>
    </w:p>
    <w:p w14:paraId="0256599C" w14:textId="77777777" w:rsidR="008B3FBA" w:rsidRPr="00A21D7D" w:rsidRDefault="008B3FBA" w:rsidP="00EB1859">
      <w:pPr>
        <w:pStyle w:val="ListParagraph"/>
        <w:numPr>
          <w:ilvl w:val="0"/>
          <w:numId w:val="4"/>
        </w:numPr>
        <w:rPr>
          <w:b/>
          <w:lang w:val="en-US"/>
        </w:rPr>
      </w:pPr>
      <w:r w:rsidRPr="00A21D7D">
        <w:rPr>
          <w:lang w:val="en-US"/>
        </w:rPr>
        <w:t>maintaining the corporate governance framework</w:t>
      </w:r>
      <w:r>
        <w:rPr>
          <w:lang w:val="en-US"/>
        </w:rPr>
        <w:t>;</w:t>
      </w:r>
    </w:p>
    <w:p w14:paraId="45B86481" w14:textId="77777777" w:rsidR="008B3FBA" w:rsidRPr="00A21D7D" w:rsidRDefault="008B3FBA" w:rsidP="00EB1859">
      <w:pPr>
        <w:pStyle w:val="ListParagraph"/>
        <w:numPr>
          <w:ilvl w:val="0"/>
          <w:numId w:val="4"/>
        </w:numPr>
        <w:rPr>
          <w:b/>
          <w:lang w:val="en-US"/>
        </w:rPr>
      </w:pPr>
      <w:r w:rsidRPr="00A21D7D">
        <w:rPr>
          <w:lang w:val="en-US"/>
        </w:rPr>
        <w:t>overseeing major initiatives and projects</w:t>
      </w:r>
      <w:r>
        <w:rPr>
          <w:lang w:val="en-US"/>
        </w:rPr>
        <w:t>;</w:t>
      </w:r>
    </w:p>
    <w:p w14:paraId="4DF4707F" w14:textId="77777777" w:rsidR="008B3FBA" w:rsidRPr="00A21D7D" w:rsidRDefault="008B3FBA" w:rsidP="00EB1859">
      <w:pPr>
        <w:pStyle w:val="ListParagraph"/>
        <w:numPr>
          <w:ilvl w:val="0"/>
          <w:numId w:val="4"/>
        </w:numPr>
        <w:rPr>
          <w:b/>
          <w:lang w:val="en-US"/>
        </w:rPr>
      </w:pPr>
      <w:r w:rsidRPr="00A21D7D">
        <w:rPr>
          <w:lang w:val="en-US"/>
        </w:rPr>
        <w:t>managing external relationships</w:t>
      </w:r>
      <w:r>
        <w:rPr>
          <w:lang w:val="en-US"/>
        </w:rPr>
        <w:t>;</w:t>
      </w:r>
    </w:p>
    <w:p w14:paraId="358C9B7E" w14:textId="77777777" w:rsidR="008B3FBA" w:rsidRPr="00A21D7D" w:rsidRDefault="008B3FBA" w:rsidP="00EB1859">
      <w:pPr>
        <w:pStyle w:val="ListParagraph"/>
        <w:numPr>
          <w:ilvl w:val="0"/>
          <w:numId w:val="4"/>
        </w:numPr>
        <w:rPr>
          <w:b/>
          <w:lang w:val="en-US"/>
        </w:rPr>
      </w:pPr>
      <w:r w:rsidRPr="00A21D7D">
        <w:rPr>
          <w:lang w:val="en-US"/>
        </w:rPr>
        <w:t>setting corporate performance objectives</w:t>
      </w:r>
      <w:r>
        <w:rPr>
          <w:lang w:val="en-US"/>
        </w:rPr>
        <w:t>;</w:t>
      </w:r>
    </w:p>
    <w:p w14:paraId="6E360511" w14:textId="77777777" w:rsidR="008B3FBA" w:rsidRPr="00A21D7D" w:rsidRDefault="008B3FBA" w:rsidP="00EB1859">
      <w:pPr>
        <w:pStyle w:val="ListParagraph"/>
        <w:numPr>
          <w:ilvl w:val="0"/>
          <w:numId w:val="4"/>
        </w:numPr>
        <w:rPr>
          <w:b/>
          <w:lang w:val="en-US"/>
        </w:rPr>
      </w:pPr>
      <w:r w:rsidRPr="00A21D7D">
        <w:rPr>
          <w:lang w:val="en-US"/>
        </w:rPr>
        <w:t>fostering an appropriate corporate culture that supports the Commission’s values and code of conduct</w:t>
      </w:r>
      <w:r>
        <w:rPr>
          <w:lang w:val="en-US"/>
        </w:rPr>
        <w:t>;</w:t>
      </w:r>
    </w:p>
    <w:p w14:paraId="296D4447" w14:textId="77777777" w:rsidR="008B3FBA" w:rsidRPr="00A21D7D" w:rsidRDefault="008B3FBA" w:rsidP="00EB1859">
      <w:pPr>
        <w:pStyle w:val="ListParagraph"/>
        <w:numPr>
          <w:ilvl w:val="0"/>
          <w:numId w:val="4"/>
        </w:numPr>
        <w:rPr>
          <w:b/>
          <w:lang w:val="en-US"/>
        </w:rPr>
      </w:pPr>
      <w:r w:rsidRPr="00A21D7D">
        <w:rPr>
          <w:lang w:val="en-US"/>
        </w:rPr>
        <w:t>ensuring business continuity</w:t>
      </w:r>
      <w:r>
        <w:rPr>
          <w:lang w:val="en-US"/>
        </w:rPr>
        <w:t>; and</w:t>
      </w:r>
    </w:p>
    <w:p w14:paraId="5FE12F3C" w14:textId="77777777" w:rsidR="008B3FBA" w:rsidRPr="00A21D7D" w:rsidRDefault="008B3FBA" w:rsidP="00EB1859">
      <w:pPr>
        <w:pStyle w:val="ListParagraph"/>
        <w:numPr>
          <w:ilvl w:val="0"/>
          <w:numId w:val="4"/>
        </w:numPr>
        <w:rPr>
          <w:b/>
          <w:lang w:val="en-US"/>
        </w:rPr>
      </w:pPr>
      <w:r w:rsidRPr="00A21D7D">
        <w:rPr>
          <w:lang w:val="en-US"/>
        </w:rPr>
        <w:t>providing the strategic focus for corporate communications and marketing.</w:t>
      </w:r>
    </w:p>
    <w:p w14:paraId="5CDDE9A9" w14:textId="77777777" w:rsidR="008B3FBA" w:rsidRPr="00A21D7D" w:rsidRDefault="008B3FBA" w:rsidP="00EB1859">
      <w:pPr>
        <w:rPr>
          <w:b/>
          <w:lang w:val="en-US"/>
        </w:rPr>
      </w:pPr>
      <w:r w:rsidRPr="00A21D7D">
        <w:rPr>
          <w:lang w:val="en-US"/>
        </w:rPr>
        <w:t>The members of the ELT are:</w:t>
      </w:r>
    </w:p>
    <w:p w14:paraId="4859E291" w14:textId="77777777" w:rsidR="008B3FBA" w:rsidRPr="00A21D7D" w:rsidRDefault="008B3FBA" w:rsidP="00EB1859">
      <w:pPr>
        <w:pStyle w:val="ListParagraph"/>
        <w:numPr>
          <w:ilvl w:val="0"/>
          <w:numId w:val="4"/>
        </w:numPr>
        <w:rPr>
          <w:b/>
          <w:lang w:val="en-US"/>
        </w:rPr>
      </w:pPr>
      <w:r w:rsidRPr="00A21D7D">
        <w:rPr>
          <w:lang w:val="en-US"/>
        </w:rPr>
        <w:t>Scott McDougall, Human Rights Commissioner (Chair)</w:t>
      </w:r>
    </w:p>
    <w:p w14:paraId="3B55BD47" w14:textId="77777777" w:rsidR="008B3FBA" w:rsidRPr="00A21D7D" w:rsidRDefault="008B3FBA" w:rsidP="00EB1859">
      <w:pPr>
        <w:pStyle w:val="ListParagraph"/>
        <w:numPr>
          <w:ilvl w:val="0"/>
          <w:numId w:val="4"/>
        </w:numPr>
        <w:rPr>
          <w:b/>
          <w:lang w:val="en-US"/>
        </w:rPr>
      </w:pPr>
      <w:r w:rsidRPr="00A21D7D">
        <w:rPr>
          <w:lang w:val="en-US"/>
        </w:rPr>
        <w:t>Neroli Holmes, Deputy Commissioner (Deputy Chair)</w:t>
      </w:r>
    </w:p>
    <w:p w14:paraId="634B1625" w14:textId="77777777" w:rsidR="008B3FBA" w:rsidRPr="00A21D7D" w:rsidRDefault="008B3FBA" w:rsidP="00EB1859">
      <w:pPr>
        <w:pStyle w:val="ListParagraph"/>
        <w:numPr>
          <w:ilvl w:val="0"/>
          <w:numId w:val="4"/>
        </w:numPr>
        <w:rPr>
          <w:b/>
          <w:lang w:val="en-US"/>
        </w:rPr>
      </w:pPr>
      <w:r w:rsidRPr="00A21D7D">
        <w:rPr>
          <w:lang w:val="en-US"/>
        </w:rPr>
        <w:t>Deborah Keenan, Director, Complaint Services</w:t>
      </w:r>
    </w:p>
    <w:p w14:paraId="529D82F9" w14:textId="77777777" w:rsidR="008B3FBA" w:rsidRPr="008D5465" w:rsidRDefault="008B3FBA" w:rsidP="00EB1859">
      <w:pPr>
        <w:pStyle w:val="ListParagraph"/>
        <w:numPr>
          <w:ilvl w:val="0"/>
          <w:numId w:val="4"/>
        </w:numPr>
        <w:rPr>
          <w:b/>
          <w:lang w:val="en-US"/>
        </w:rPr>
      </w:pPr>
      <w:r>
        <w:rPr>
          <w:lang w:val="en-US"/>
        </w:rPr>
        <w:t>Natalie Hartill</w:t>
      </w:r>
      <w:r w:rsidRPr="00A21D7D">
        <w:rPr>
          <w:lang w:val="en-US"/>
        </w:rPr>
        <w:t>, Director, Corporate Services</w:t>
      </w:r>
    </w:p>
    <w:p w14:paraId="7FB67C1F" w14:textId="77777777" w:rsidR="008B3FBA" w:rsidRPr="001D67D7" w:rsidRDefault="008B3FBA" w:rsidP="00EB1859">
      <w:pPr>
        <w:pStyle w:val="ListParagraph"/>
        <w:numPr>
          <w:ilvl w:val="0"/>
          <w:numId w:val="4"/>
        </w:numPr>
        <w:rPr>
          <w:b/>
          <w:lang w:val="en-US"/>
        </w:rPr>
      </w:pPr>
      <w:r>
        <w:rPr>
          <w:lang w:val="en-US"/>
        </w:rPr>
        <w:t>Anne Franzmann, Director, Community Engagement</w:t>
      </w:r>
    </w:p>
    <w:p w14:paraId="16C4A029" w14:textId="304B67F8" w:rsidR="008B3FBA" w:rsidRPr="00A21D7D" w:rsidRDefault="008B3FBA" w:rsidP="00EB1859">
      <w:pPr>
        <w:pStyle w:val="ListParagraph"/>
        <w:numPr>
          <w:ilvl w:val="0"/>
          <w:numId w:val="4"/>
        </w:numPr>
        <w:rPr>
          <w:b/>
          <w:lang w:val="en-US"/>
        </w:rPr>
      </w:pPr>
      <w:r>
        <w:rPr>
          <w:lang w:val="en-US"/>
        </w:rPr>
        <w:lastRenderedPageBreak/>
        <w:t>Jane Vasey, Director, Independent Reviews and Special Projects</w:t>
      </w:r>
      <w:r w:rsidR="00D02A58">
        <w:rPr>
          <w:lang w:val="en-US"/>
        </w:rPr>
        <w:t>.</w:t>
      </w:r>
    </w:p>
    <w:p w14:paraId="1040F1C8" w14:textId="1695400E" w:rsidR="008B3FBA" w:rsidRPr="00A21D7D" w:rsidRDefault="008B3FBA" w:rsidP="00EB1859">
      <w:r w:rsidRPr="00A21D7D">
        <w:t xml:space="preserve">The areas of operational responsibility for each ELT member are outlined in the </w:t>
      </w:r>
      <w:r w:rsidRPr="00BE1DB2">
        <w:t xml:space="preserve">organisational structure at </w:t>
      </w:r>
      <w:r w:rsidRPr="00D02A58">
        <w:t xml:space="preserve">Appendix </w:t>
      </w:r>
      <w:r w:rsidR="00274AD7" w:rsidRPr="00D02A58">
        <w:t>E</w:t>
      </w:r>
      <w:r w:rsidRPr="00BE1DB2">
        <w:t>.</w:t>
      </w:r>
      <w:r>
        <w:t xml:space="preserve"> </w:t>
      </w:r>
    </w:p>
    <w:p w14:paraId="26883191" w14:textId="77777777" w:rsidR="008B3FBA" w:rsidRDefault="008B3FBA" w:rsidP="00CA5EBF">
      <w:pPr>
        <w:pStyle w:val="Heading3"/>
        <w:rPr>
          <w:lang w:val="en-US"/>
        </w:rPr>
      </w:pPr>
      <w:r>
        <w:rPr>
          <w:lang w:val="en-US"/>
        </w:rPr>
        <w:t>Leadership Group</w:t>
      </w:r>
    </w:p>
    <w:p w14:paraId="51E24C16" w14:textId="77777777" w:rsidR="008B3FBA" w:rsidRPr="00A21D7D" w:rsidRDefault="008B3FBA" w:rsidP="00EB1859">
      <w:pPr>
        <w:rPr>
          <w:b/>
          <w:lang w:val="en-US"/>
        </w:rPr>
      </w:pPr>
      <w:r w:rsidRPr="00A21D7D">
        <w:rPr>
          <w:lang w:val="en-US"/>
        </w:rPr>
        <w:t>The Leadership Group is a sub-committee of the Executive Leadership Team (ELT).</w:t>
      </w:r>
      <w:r>
        <w:rPr>
          <w:lang w:val="en-US"/>
        </w:rPr>
        <w:t xml:space="preserve"> </w:t>
      </w:r>
      <w:r w:rsidRPr="00A21D7D">
        <w:rPr>
          <w:color w:val="000000"/>
          <w:lang w:val="en-US"/>
        </w:rPr>
        <w:t xml:space="preserve">It supports the Commissioner </w:t>
      </w:r>
      <w:r w:rsidRPr="00A21D7D">
        <w:rPr>
          <w:lang w:val="en-US"/>
        </w:rPr>
        <w:t>by ensuring that operational activity aligns with the strategic direction of the Commission as set by the ELT.</w:t>
      </w:r>
      <w:r>
        <w:rPr>
          <w:lang w:val="en-US"/>
        </w:rPr>
        <w:t xml:space="preserve"> </w:t>
      </w:r>
      <w:r w:rsidRPr="00A21D7D">
        <w:rPr>
          <w:lang w:val="en-US"/>
        </w:rPr>
        <w:t xml:space="preserve">The group is responsible for providing advice to the Commissioner, and contributing to operational decision making where delegated. </w:t>
      </w:r>
    </w:p>
    <w:p w14:paraId="718DBB9C" w14:textId="77777777" w:rsidR="008B3FBA" w:rsidRPr="00A21D7D" w:rsidRDefault="008B3FBA" w:rsidP="00EB1859">
      <w:pPr>
        <w:rPr>
          <w:b/>
          <w:lang w:val="en-US"/>
        </w:rPr>
      </w:pPr>
      <w:r w:rsidRPr="00A21D7D">
        <w:rPr>
          <w:lang w:val="en-US"/>
        </w:rPr>
        <w:t xml:space="preserve">Responsibilities of the Leadership Group include: </w:t>
      </w:r>
    </w:p>
    <w:p w14:paraId="656344C8" w14:textId="77777777" w:rsidR="008B3FBA" w:rsidRPr="00A21D7D" w:rsidRDefault="008B3FBA" w:rsidP="00EB1859">
      <w:pPr>
        <w:pStyle w:val="ListParagraph"/>
        <w:numPr>
          <w:ilvl w:val="0"/>
          <w:numId w:val="4"/>
        </w:numPr>
        <w:rPr>
          <w:b/>
          <w:lang w:val="en-US"/>
        </w:rPr>
      </w:pPr>
      <w:r w:rsidRPr="00A21D7D">
        <w:rPr>
          <w:lang w:val="en-US"/>
        </w:rPr>
        <w:t>overseeing implementation of strategic and operational plans to ensure progress toward goals and performance measures is aligned with overarching priorities</w:t>
      </w:r>
      <w:r>
        <w:rPr>
          <w:lang w:val="en-US"/>
        </w:rPr>
        <w:t>;</w:t>
      </w:r>
    </w:p>
    <w:p w14:paraId="2C52A943" w14:textId="77777777" w:rsidR="008B3FBA" w:rsidRPr="00A21D7D" w:rsidRDefault="008B3FBA" w:rsidP="00EB1859">
      <w:pPr>
        <w:pStyle w:val="ListParagraph"/>
        <w:numPr>
          <w:ilvl w:val="0"/>
          <w:numId w:val="4"/>
        </w:numPr>
        <w:rPr>
          <w:b/>
          <w:lang w:val="en-US"/>
        </w:rPr>
      </w:pPr>
      <w:r w:rsidRPr="00A21D7D">
        <w:rPr>
          <w:lang w:val="en-US"/>
        </w:rPr>
        <w:t>monitoring performance to ensure services are being delivered to the required level and quality and providing input on strategies for continuous improvement</w:t>
      </w:r>
      <w:r>
        <w:rPr>
          <w:lang w:val="en-US"/>
        </w:rPr>
        <w:t>;</w:t>
      </w:r>
    </w:p>
    <w:p w14:paraId="7A344BCC" w14:textId="77777777" w:rsidR="008B3FBA" w:rsidRPr="00A21D7D" w:rsidRDefault="008B3FBA" w:rsidP="00EB1859">
      <w:pPr>
        <w:pStyle w:val="ListParagraph"/>
        <w:numPr>
          <w:ilvl w:val="0"/>
          <w:numId w:val="4"/>
        </w:numPr>
        <w:rPr>
          <w:b/>
          <w:lang w:val="en-US"/>
        </w:rPr>
      </w:pPr>
      <w:r w:rsidRPr="00A21D7D">
        <w:rPr>
          <w:lang w:val="en-US"/>
        </w:rPr>
        <w:t>ensuring that consistent, integrated and high quality service is provided through effective representation of individual operational areas including regional offices</w:t>
      </w:r>
      <w:r>
        <w:rPr>
          <w:lang w:val="en-US"/>
        </w:rPr>
        <w:t>;</w:t>
      </w:r>
    </w:p>
    <w:p w14:paraId="434CD6DB" w14:textId="77777777" w:rsidR="008B3FBA" w:rsidRPr="00A21D7D" w:rsidRDefault="008B3FBA" w:rsidP="00EB1859">
      <w:pPr>
        <w:pStyle w:val="ListParagraph"/>
        <w:numPr>
          <w:ilvl w:val="0"/>
          <w:numId w:val="4"/>
        </w:numPr>
        <w:rPr>
          <w:b/>
          <w:lang w:val="en-US"/>
        </w:rPr>
      </w:pPr>
      <w:r w:rsidRPr="00A21D7D">
        <w:rPr>
          <w:lang w:val="en-US"/>
        </w:rPr>
        <w:t>providing holistic leadership of service provision through collaboration, robust discussion, interrogation of performance information and the sharing and analysis of relevant data and research</w:t>
      </w:r>
      <w:r>
        <w:rPr>
          <w:lang w:val="en-US"/>
        </w:rPr>
        <w:t>;</w:t>
      </w:r>
    </w:p>
    <w:p w14:paraId="75DB723C" w14:textId="77777777" w:rsidR="008B3FBA" w:rsidRPr="00A21D7D" w:rsidRDefault="008B3FBA" w:rsidP="00EB1859">
      <w:pPr>
        <w:pStyle w:val="ListParagraph"/>
        <w:numPr>
          <w:ilvl w:val="0"/>
          <w:numId w:val="4"/>
        </w:numPr>
        <w:rPr>
          <w:b/>
          <w:lang w:val="en-US"/>
        </w:rPr>
      </w:pPr>
      <w:r w:rsidRPr="00A21D7D">
        <w:rPr>
          <w:lang w:val="en-US"/>
        </w:rPr>
        <w:t>identifying the need for review of governance practices including policies and procedures</w:t>
      </w:r>
      <w:r>
        <w:rPr>
          <w:lang w:val="en-US"/>
        </w:rPr>
        <w:t>;</w:t>
      </w:r>
    </w:p>
    <w:p w14:paraId="7EBA7076" w14:textId="77777777" w:rsidR="008B3FBA" w:rsidRPr="00A21D7D" w:rsidRDefault="008B3FBA" w:rsidP="00EB1859">
      <w:pPr>
        <w:pStyle w:val="ListParagraph"/>
        <w:numPr>
          <w:ilvl w:val="0"/>
          <w:numId w:val="4"/>
        </w:numPr>
        <w:rPr>
          <w:b/>
          <w:lang w:val="en-US"/>
        </w:rPr>
      </w:pPr>
      <w:r w:rsidRPr="00A21D7D">
        <w:rPr>
          <w:lang w:val="en-US"/>
        </w:rPr>
        <w:t>ensuring that planning and performance management decisions are based on an informed understanding of operational issues and constraints</w:t>
      </w:r>
      <w:r>
        <w:rPr>
          <w:lang w:val="en-US"/>
        </w:rPr>
        <w:t>;</w:t>
      </w:r>
    </w:p>
    <w:p w14:paraId="51796B0F" w14:textId="77777777" w:rsidR="008B3FBA" w:rsidRPr="00A21D7D" w:rsidRDefault="008B3FBA" w:rsidP="00EB1859">
      <w:pPr>
        <w:pStyle w:val="ListParagraph"/>
        <w:numPr>
          <w:ilvl w:val="0"/>
          <w:numId w:val="4"/>
        </w:numPr>
        <w:rPr>
          <w:b/>
          <w:lang w:val="en-US"/>
        </w:rPr>
      </w:pPr>
      <w:r w:rsidRPr="00A21D7D">
        <w:rPr>
          <w:lang w:val="en-US"/>
        </w:rPr>
        <w:t>identifying issues relevant to maintaining satisfactory relationships and partnerships with stakeholders</w:t>
      </w:r>
      <w:r>
        <w:rPr>
          <w:lang w:val="en-US"/>
        </w:rPr>
        <w:t>;</w:t>
      </w:r>
    </w:p>
    <w:p w14:paraId="3A0CF298" w14:textId="77777777" w:rsidR="008B3FBA" w:rsidRPr="00A21D7D" w:rsidRDefault="008B3FBA" w:rsidP="00EB1859">
      <w:pPr>
        <w:pStyle w:val="ListParagraph"/>
        <w:numPr>
          <w:ilvl w:val="0"/>
          <w:numId w:val="4"/>
        </w:numPr>
        <w:rPr>
          <w:b/>
          <w:lang w:val="en-US"/>
        </w:rPr>
      </w:pPr>
      <w:r w:rsidRPr="00A21D7D">
        <w:rPr>
          <w:lang w:val="en-US"/>
        </w:rPr>
        <w:t>acting as champions for the Commission’s strategic direction within operational teams and externally</w:t>
      </w:r>
      <w:r>
        <w:rPr>
          <w:lang w:val="en-US"/>
        </w:rPr>
        <w:t>;</w:t>
      </w:r>
    </w:p>
    <w:p w14:paraId="1DC38A63" w14:textId="77777777" w:rsidR="008B3FBA" w:rsidRPr="00A21D7D" w:rsidRDefault="008B3FBA" w:rsidP="00EB1859">
      <w:pPr>
        <w:pStyle w:val="ListParagraph"/>
        <w:numPr>
          <w:ilvl w:val="0"/>
          <w:numId w:val="4"/>
        </w:numPr>
        <w:rPr>
          <w:b/>
          <w:lang w:val="en-US"/>
        </w:rPr>
      </w:pPr>
      <w:r w:rsidRPr="00A21D7D">
        <w:rPr>
          <w:lang w:val="en-US"/>
        </w:rPr>
        <w:t xml:space="preserve">leading a culture of team collegiality in which diversity of opinion and areas of expertise are </w:t>
      </w:r>
      <w:proofErr w:type="spellStart"/>
      <w:r w:rsidRPr="00A21D7D">
        <w:rPr>
          <w:lang w:val="en-US"/>
        </w:rPr>
        <w:t>recognised</w:t>
      </w:r>
      <w:proofErr w:type="spellEnd"/>
      <w:r w:rsidRPr="00A21D7D">
        <w:rPr>
          <w:lang w:val="en-US"/>
        </w:rPr>
        <w:t xml:space="preserve"> and valued</w:t>
      </w:r>
      <w:r>
        <w:rPr>
          <w:lang w:val="en-US"/>
        </w:rPr>
        <w:t xml:space="preserve">; </w:t>
      </w:r>
    </w:p>
    <w:p w14:paraId="71A0B148" w14:textId="77777777" w:rsidR="008B3FBA" w:rsidRPr="00A21D7D" w:rsidRDefault="008B3FBA" w:rsidP="00EB1859">
      <w:pPr>
        <w:pStyle w:val="ListParagraph"/>
        <w:numPr>
          <w:ilvl w:val="0"/>
          <w:numId w:val="4"/>
        </w:numPr>
        <w:rPr>
          <w:b/>
          <w:lang w:val="en-US"/>
        </w:rPr>
      </w:pPr>
      <w:r w:rsidRPr="00A21D7D">
        <w:rPr>
          <w:lang w:val="en-US"/>
        </w:rPr>
        <w:t>actively demonstrating the Commission’s agreed values of independence, respect,</w:t>
      </w:r>
      <w:r>
        <w:rPr>
          <w:lang w:val="en-US"/>
        </w:rPr>
        <w:t xml:space="preserve"> </w:t>
      </w:r>
      <w:r w:rsidRPr="00A21D7D">
        <w:rPr>
          <w:lang w:val="en-US"/>
        </w:rPr>
        <w:t>inclusion, diversity and integrity.</w:t>
      </w:r>
    </w:p>
    <w:p w14:paraId="3CBE15A3" w14:textId="77777777" w:rsidR="008B3FBA" w:rsidRPr="00A21D7D" w:rsidRDefault="008B3FBA" w:rsidP="00EB1859">
      <w:pPr>
        <w:rPr>
          <w:b/>
          <w:lang w:val="en-US"/>
        </w:rPr>
      </w:pPr>
      <w:r w:rsidRPr="00A21D7D">
        <w:rPr>
          <w:lang w:val="en-US"/>
        </w:rPr>
        <w:t>The members of the Leadership Group are:</w:t>
      </w:r>
    </w:p>
    <w:p w14:paraId="6350D911" w14:textId="77777777" w:rsidR="008B3FBA" w:rsidRPr="00A21D7D" w:rsidRDefault="008B3FBA" w:rsidP="00EB1859">
      <w:pPr>
        <w:pStyle w:val="ListParagraph"/>
        <w:numPr>
          <w:ilvl w:val="0"/>
          <w:numId w:val="4"/>
        </w:numPr>
        <w:rPr>
          <w:b/>
          <w:lang w:val="en-US"/>
        </w:rPr>
      </w:pPr>
      <w:r w:rsidRPr="00A21D7D">
        <w:rPr>
          <w:lang w:val="en-US"/>
        </w:rPr>
        <w:t>Human Rights Commissioner</w:t>
      </w:r>
    </w:p>
    <w:p w14:paraId="2FA44CA0" w14:textId="77777777" w:rsidR="008B3FBA" w:rsidRPr="00A21D7D" w:rsidRDefault="008B3FBA" w:rsidP="00EB1859">
      <w:pPr>
        <w:pStyle w:val="ListParagraph"/>
        <w:numPr>
          <w:ilvl w:val="0"/>
          <w:numId w:val="4"/>
        </w:numPr>
        <w:rPr>
          <w:b/>
          <w:lang w:val="en-US"/>
        </w:rPr>
      </w:pPr>
      <w:r w:rsidRPr="00A21D7D">
        <w:rPr>
          <w:lang w:val="en-US"/>
        </w:rPr>
        <w:t>Deputy Commissioner</w:t>
      </w:r>
    </w:p>
    <w:p w14:paraId="4D1C5BBC" w14:textId="77777777" w:rsidR="008B3FBA" w:rsidRPr="00A21D7D" w:rsidRDefault="008B3FBA" w:rsidP="00EB1859">
      <w:pPr>
        <w:pStyle w:val="ListParagraph"/>
        <w:numPr>
          <w:ilvl w:val="0"/>
          <w:numId w:val="4"/>
        </w:numPr>
        <w:rPr>
          <w:b/>
          <w:lang w:val="en-US"/>
        </w:rPr>
      </w:pPr>
      <w:r w:rsidRPr="00A21D7D">
        <w:rPr>
          <w:lang w:val="en-US"/>
        </w:rPr>
        <w:t>Director, Complaint Services</w:t>
      </w:r>
    </w:p>
    <w:p w14:paraId="53F80B52" w14:textId="77777777" w:rsidR="008B3FBA" w:rsidRPr="00C20AE5" w:rsidRDefault="008B3FBA" w:rsidP="00EB1859">
      <w:pPr>
        <w:pStyle w:val="ListParagraph"/>
        <w:numPr>
          <w:ilvl w:val="0"/>
          <w:numId w:val="4"/>
        </w:numPr>
        <w:rPr>
          <w:b/>
          <w:lang w:val="en-US"/>
        </w:rPr>
      </w:pPr>
      <w:r w:rsidRPr="00A21D7D">
        <w:rPr>
          <w:lang w:val="en-US"/>
        </w:rPr>
        <w:lastRenderedPageBreak/>
        <w:t>Director, Corporate Services</w:t>
      </w:r>
    </w:p>
    <w:p w14:paraId="6DD72253" w14:textId="77777777" w:rsidR="008B3FBA" w:rsidRPr="001D67D7" w:rsidRDefault="008B3FBA" w:rsidP="00EB1859">
      <w:pPr>
        <w:pStyle w:val="ListParagraph"/>
        <w:numPr>
          <w:ilvl w:val="0"/>
          <w:numId w:val="4"/>
        </w:numPr>
        <w:rPr>
          <w:b/>
          <w:lang w:val="en-US"/>
        </w:rPr>
      </w:pPr>
      <w:r>
        <w:rPr>
          <w:lang w:val="en-US"/>
        </w:rPr>
        <w:t>Director, Community Engagement</w:t>
      </w:r>
    </w:p>
    <w:p w14:paraId="714CCCAD" w14:textId="77777777" w:rsidR="008B3FBA" w:rsidRPr="00A21D7D" w:rsidRDefault="008B3FBA" w:rsidP="00EB1859">
      <w:pPr>
        <w:pStyle w:val="ListParagraph"/>
        <w:numPr>
          <w:ilvl w:val="0"/>
          <w:numId w:val="4"/>
        </w:numPr>
        <w:rPr>
          <w:b/>
          <w:lang w:val="en-US"/>
        </w:rPr>
      </w:pPr>
      <w:r>
        <w:rPr>
          <w:lang w:val="en-US"/>
        </w:rPr>
        <w:t xml:space="preserve">Director, Independent Reviews and Special Projects </w:t>
      </w:r>
    </w:p>
    <w:p w14:paraId="2A54F2DF" w14:textId="77777777" w:rsidR="008B3FBA" w:rsidRPr="00A21D7D" w:rsidRDefault="008B3FBA" w:rsidP="00EB1859">
      <w:pPr>
        <w:pStyle w:val="ListParagraph"/>
        <w:numPr>
          <w:ilvl w:val="0"/>
          <w:numId w:val="4"/>
        </w:numPr>
        <w:rPr>
          <w:b/>
          <w:lang w:val="en-US"/>
        </w:rPr>
      </w:pPr>
      <w:r>
        <w:rPr>
          <w:lang w:val="en-US"/>
        </w:rPr>
        <w:t xml:space="preserve">Regional </w:t>
      </w:r>
      <w:r w:rsidRPr="00A21D7D">
        <w:rPr>
          <w:lang w:val="en-US"/>
        </w:rPr>
        <w:t xml:space="preserve">Manager, Cairns </w:t>
      </w:r>
    </w:p>
    <w:p w14:paraId="17F62FC1" w14:textId="77777777" w:rsidR="008B3FBA" w:rsidRPr="00A21D7D" w:rsidRDefault="008B3FBA" w:rsidP="00EB1859">
      <w:pPr>
        <w:pStyle w:val="ListParagraph"/>
        <w:numPr>
          <w:ilvl w:val="0"/>
          <w:numId w:val="4"/>
        </w:numPr>
        <w:rPr>
          <w:b/>
          <w:lang w:val="en-US"/>
        </w:rPr>
      </w:pPr>
      <w:r>
        <w:rPr>
          <w:lang w:val="en-US"/>
        </w:rPr>
        <w:t xml:space="preserve">Regional </w:t>
      </w:r>
      <w:r w:rsidRPr="00A21D7D">
        <w:rPr>
          <w:lang w:val="en-US"/>
        </w:rPr>
        <w:t xml:space="preserve">Manager, Townsville </w:t>
      </w:r>
    </w:p>
    <w:p w14:paraId="5A92B150" w14:textId="77777777" w:rsidR="008B3FBA" w:rsidRPr="00A21D7D" w:rsidRDefault="008B3FBA" w:rsidP="00EB1859">
      <w:pPr>
        <w:pStyle w:val="ListParagraph"/>
        <w:numPr>
          <w:ilvl w:val="0"/>
          <w:numId w:val="4"/>
        </w:numPr>
        <w:rPr>
          <w:b/>
          <w:lang w:val="en-US"/>
        </w:rPr>
      </w:pPr>
      <w:r>
        <w:rPr>
          <w:lang w:val="en-US"/>
        </w:rPr>
        <w:t xml:space="preserve">Regional </w:t>
      </w:r>
      <w:r w:rsidRPr="00A21D7D">
        <w:rPr>
          <w:lang w:val="en-US"/>
        </w:rPr>
        <w:t xml:space="preserve">Manager, Rockhampton </w:t>
      </w:r>
    </w:p>
    <w:p w14:paraId="48A93EBA" w14:textId="77777777" w:rsidR="008B3FBA" w:rsidRPr="00020BF6" w:rsidRDefault="008B3FBA" w:rsidP="00EB1859">
      <w:pPr>
        <w:pStyle w:val="ListParagraph"/>
        <w:numPr>
          <w:ilvl w:val="0"/>
          <w:numId w:val="4"/>
        </w:numPr>
        <w:rPr>
          <w:lang w:val="en-US"/>
        </w:rPr>
      </w:pPr>
      <w:r w:rsidRPr="001D67D7">
        <w:rPr>
          <w:lang w:val="en-US"/>
        </w:rPr>
        <w:t>Se</w:t>
      </w:r>
      <w:r>
        <w:rPr>
          <w:lang w:val="en-US"/>
        </w:rPr>
        <w:t>nior Manager, Brisbane complaint team</w:t>
      </w:r>
    </w:p>
    <w:p w14:paraId="1FD8384B" w14:textId="77777777" w:rsidR="008B3FBA" w:rsidRPr="00A21D7D" w:rsidRDefault="008B3FBA" w:rsidP="00EB1859">
      <w:pPr>
        <w:pStyle w:val="ListParagraph"/>
        <w:numPr>
          <w:ilvl w:val="0"/>
          <w:numId w:val="4"/>
        </w:numPr>
        <w:rPr>
          <w:b/>
          <w:lang w:val="en-US"/>
        </w:rPr>
      </w:pPr>
      <w:r w:rsidRPr="00A21D7D">
        <w:rPr>
          <w:lang w:val="en-US"/>
        </w:rPr>
        <w:t xml:space="preserve">Managers, Brisbane </w:t>
      </w:r>
      <w:r>
        <w:rPr>
          <w:lang w:val="en-US"/>
        </w:rPr>
        <w:t>c</w:t>
      </w:r>
      <w:r w:rsidRPr="00A21D7D">
        <w:rPr>
          <w:lang w:val="en-US"/>
        </w:rPr>
        <w:t xml:space="preserve">omplaint </w:t>
      </w:r>
      <w:r>
        <w:rPr>
          <w:lang w:val="en-US"/>
        </w:rPr>
        <w:t>t</w:t>
      </w:r>
      <w:r w:rsidRPr="00A21D7D">
        <w:rPr>
          <w:lang w:val="en-US"/>
        </w:rPr>
        <w:t>eam</w:t>
      </w:r>
      <w:r>
        <w:rPr>
          <w:lang w:val="en-US"/>
        </w:rPr>
        <w:t>s</w:t>
      </w:r>
    </w:p>
    <w:p w14:paraId="44F45D1A" w14:textId="77777777" w:rsidR="008B3FBA" w:rsidRPr="00C20AE5" w:rsidRDefault="008B3FBA" w:rsidP="00EB1859">
      <w:pPr>
        <w:pStyle w:val="ListParagraph"/>
        <w:numPr>
          <w:ilvl w:val="0"/>
          <w:numId w:val="4"/>
        </w:numPr>
        <w:rPr>
          <w:b/>
          <w:lang w:val="en-US"/>
        </w:rPr>
      </w:pPr>
      <w:r w:rsidRPr="00A21D7D">
        <w:rPr>
          <w:lang w:val="en-US"/>
        </w:rPr>
        <w:t>Aboriginal &amp; Torres Strait Islander</w:t>
      </w:r>
      <w:r>
        <w:rPr>
          <w:lang w:val="en-US"/>
        </w:rPr>
        <w:t xml:space="preserve"> </w:t>
      </w:r>
      <w:r w:rsidRPr="00A21D7D">
        <w:rPr>
          <w:lang w:val="en-US"/>
        </w:rPr>
        <w:t>Community Engagement Coordinator</w:t>
      </w:r>
    </w:p>
    <w:p w14:paraId="6DA48FB3" w14:textId="77777777" w:rsidR="008B3FBA" w:rsidRPr="00A21D7D" w:rsidRDefault="008B3FBA" w:rsidP="00EB1859">
      <w:pPr>
        <w:pStyle w:val="ListParagraph"/>
        <w:numPr>
          <w:ilvl w:val="0"/>
          <w:numId w:val="4"/>
        </w:numPr>
        <w:rPr>
          <w:b/>
          <w:lang w:val="en-US"/>
        </w:rPr>
      </w:pPr>
      <w:r w:rsidRPr="00A21D7D">
        <w:rPr>
          <w:lang w:val="en-US"/>
        </w:rPr>
        <w:t>Principal Lawyers</w:t>
      </w:r>
    </w:p>
    <w:p w14:paraId="5D29BD63" w14:textId="77777777" w:rsidR="008B3FBA" w:rsidRPr="001D67D7" w:rsidRDefault="008B3FBA" w:rsidP="00EB1859">
      <w:pPr>
        <w:pStyle w:val="ListParagraph"/>
        <w:numPr>
          <w:ilvl w:val="0"/>
          <w:numId w:val="4"/>
        </w:numPr>
        <w:rPr>
          <w:b/>
          <w:lang w:val="en-US"/>
        </w:rPr>
      </w:pPr>
      <w:r>
        <w:rPr>
          <w:lang w:val="en-US"/>
        </w:rPr>
        <w:t>Principal</w:t>
      </w:r>
      <w:r w:rsidRPr="00A21D7D">
        <w:rPr>
          <w:lang w:val="en-US"/>
        </w:rPr>
        <w:t xml:space="preserve"> Policy Officer</w:t>
      </w:r>
    </w:p>
    <w:p w14:paraId="25536671" w14:textId="77777777" w:rsidR="008B3FBA" w:rsidRPr="00A21D7D" w:rsidRDefault="008B3FBA" w:rsidP="00EB1859">
      <w:pPr>
        <w:pStyle w:val="ListParagraph"/>
        <w:numPr>
          <w:ilvl w:val="0"/>
          <w:numId w:val="4"/>
        </w:numPr>
        <w:rPr>
          <w:b/>
          <w:lang w:val="en-US"/>
        </w:rPr>
      </w:pPr>
      <w:r>
        <w:rPr>
          <w:lang w:val="en-US"/>
        </w:rPr>
        <w:t>Principal Finance Officer</w:t>
      </w:r>
    </w:p>
    <w:p w14:paraId="0B8DD0F9" w14:textId="77777777" w:rsidR="008B3FBA" w:rsidRPr="00A21D7D" w:rsidRDefault="008B3FBA" w:rsidP="00EB1859">
      <w:pPr>
        <w:pStyle w:val="ListParagraph"/>
        <w:numPr>
          <w:ilvl w:val="0"/>
          <w:numId w:val="4"/>
        </w:numPr>
        <w:rPr>
          <w:b/>
          <w:lang w:val="en-US"/>
        </w:rPr>
      </w:pPr>
      <w:r w:rsidRPr="00A21D7D">
        <w:rPr>
          <w:lang w:val="en-US"/>
        </w:rPr>
        <w:t>Senior Communications Officer</w:t>
      </w:r>
      <w:r>
        <w:rPr>
          <w:lang w:val="en-US"/>
        </w:rPr>
        <w:t>.</w:t>
      </w:r>
    </w:p>
    <w:p w14:paraId="5A96A4B7" w14:textId="77777777" w:rsidR="008B3FBA" w:rsidRPr="00A21D7D" w:rsidRDefault="008B3FBA" w:rsidP="00CA5EBF">
      <w:pPr>
        <w:pStyle w:val="Heading2"/>
      </w:pPr>
      <w:bookmarkStart w:id="232" w:name="_Toc80971382"/>
      <w:bookmarkStart w:id="233" w:name="_Toc143678217"/>
      <w:bookmarkStart w:id="234" w:name="_Toc143678736"/>
      <w:bookmarkStart w:id="235" w:name="_Toc144200516"/>
      <w:r>
        <w:t>Our</w:t>
      </w:r>
      <w:r w:rsidRPr="00A21D7D">
        <w:t xml:space="preserve"> staff</w:t>
      </w:r>
      <w:bookmarkEnd w:id="232"/>
      <w:bookmarkEnd w:id="233"/>
      <w:bookmarkEnd w:id="234"/>
      <w:bookmarkEnd w:id="235"/>
      <w:r w:rsidRPr="00A21D7D">
        <w:t xml:space="preserve"> </w:t>
      </w:r>
    </w:p>
    <w:p w14:paraId="6039EC87" w14:textId="77777777" w:rsidR="008B3FBA" w:rsidRPr="00A21D7D" w:rsidRDefault="008B3FBA" w:rsidP="00EB1859">
      <w:r w:rsidRPr="00CA6CEC">
        <w:t>The Commission maintains offices in Brisbane, Cairns, Townsville and Rockhampton. As at 30 June 2023, we employed 71 permanent and temporary staff, equating to 63.09 full-time equivalent staff (up from 45.13 at June 2022).</w:t>
      </w:r>
      <w:r w:rsidRPr="00546655">
        <w:t xml:space="preserve"> </w:t>
      </w:r>
    </w:p>
    <w:p w14:paraId="2933CE09" w14:textId="77777777" w:rsidR="008B3FBA" w:rsidRPr="00A21D7D" w:rsidRDefault="008B3FBA" w:rsidP="00EB1859">
      <w:r>
        <w:t>We are</w:t>
      </w:r>
      <w:r w:rsidRPr="00A21D7D">
        <w:t xml:space="preserve"> committed to maintaining a diverse and inclusive workplace where the </w:t>
      </w:r>
      <w:r w:rsidRPr="00472897">
        <w:t>contributions of all staff are valued. Strategies that have been implemented to promote diversity and inclusion include:</w:t>
      </w:r>
    </w:p>
    <w:p w14:paraId="437404B0" w14:textId="77777777" w:rsidR="008B3FBA" w:rsidRPr="00A21D7D" w:rsidRDefault="008B3FBA" w:rsidP="00EB1859">
      <w:pPr>
        <w:pStyle w:val="ListParagraph"/>
        <w:numPr>
          <w:ilvl w:val="0"/>
          <w:numId w:val="4"/>
        </w:numPr>
      </w:pPr>
      <w:r w:rsidRPr="00A21D7D">
        <w:t>active promotion of flexible work including compressed hours, part-time and working from home arrangements</w:t>
      </w:r>
    </w:p>
    <w:p w14:paraId="54E4B079" w14:textId="77777777" w:rsidR="008B3FBA" w:rsidRPr="00A21D7D" w:rsidRDefault="008B3FBA" w:rsidP="00EB1859">
      <w:pPr>
        <w:pStyle w:val="ListParagraph"/>
        <w:numPr>
          <w:ilvl w:val="0"/>
          <w:numId w:val="4"/>
        </w:numPr>
      </w:pPr>
      <w:r w:rsidRPr="00A21D7D">
        <w:t>the provision of a parenting/prayer room</w:t>
      </w:r>
    </w:p>
    <w:p w14:paraId="6452F84F" w14:textId="77777777" w:rsidR="008B3FBA" w:rsidRPr="00A21D7D" w:rsidRDefault="008B3FBA" w:rsidP="00EB1859">
      <w:pPr>
        <w:pStyle w:val="ListParagraph"/>
        <w:numPr>
          <w:ilvl w:val="0"/>
          <w:numId w:val="4"/>
        </w:numPr>
      </w:pPr>
      <w:r w:rsidRPr="00A21D7D">
        <w:t>provision of highly accessible office spaces where possible</w:t>
      </w:r>
    </w:p>
    <w:p w14:paraId="5E0CCD2F" w14:textId="77777777" w:rsidR="008B3FBA" w:rsidRPr="00A21D7D" w:rsidRDefault="008B3FBA" w:rsidP="00EB1859">
      <w:pPr>
        <w:pStyle w:val="ListParagraph"/>
        <w:numPr>
          <w:ilvl w:val="0"/>
          <w:numId w:val="4"/>
        </w:numPr>
      </w:pPr>
      <w:r w:rsidRPr="00A21D7D">
        <w:t>appointment of Equity Contact Officers</w:t>
      </w:r>
    </w:p>
    <w:p w14:paraId="2C285FCA" w14:textId="77777777" w:rsidR="008B3FBA" w:rsidRPr="00A21D7D" w:rsidRDefault="008B3FBA" w:rsidP="00EB1859">
      <w:pPr>
        <w:pStyle w:val="ListParagraph"/>
        <w:numPr>
          <w:ilvl w:val="0"/>
          <w:numId w:val="4"/>
        </w:numPr>
      </w:pPr>
      <w:r w:rsidRPr="00A21D7D">
        <w:t>LGBTIQ+ and Aboriginal and Torres Strait Islander liaison officers</w:t>
      </w:r>
    </w:p>
    <w:p w14:paraId="23EF8873" w14:textId="77777777" w:rsidR="008B3FBA" w:rsidRDefault="008B3FBA" w:rsidP="00EB1859">
      <w:pPr>
        <w:pStyle w:val="ListParagraph"/>
        <w:numPr>
          <w:ilvl w:val="0"/>
          <w:numId w:val="4"/>
        </w:numPr>
      </w:pPr>
      <w:r>
        <w:t>revision of our induction processes for new employees</w:t>
      </w:r>
    </w:p>
    <w:p w14:paraId="375262DE" w14:textId="77777777" w:rsidR="008B3FBA" w:rsidRPr="00A21D7D" w:rsidRDefault="008B3FBA" w:rsidP="00EB1859">
      <w:pPr>
        <w:pStyle w:val="ListParagraph"/>
        <w:numPr>
          <w:ilvl w:val="0"/>
          <w:numId w:val="4"/>
        </w:numPr>
      </w:pPr>
      <w:r>
        <w:t xml:space="preserve">update of </w:t>
      </w:r>
      <w:r w:rsidRPr="00A21D7D">
        <w:t>performance management policies</w:t>
      </w:r>
      <w:r>
        <w:t xml:space="preserve"> in line with amendments to the </w:t>
      </w:r>
      <w:r w:rsidRPr="00472897">
        <w:rPr>
          <w:i/>
        </w:rPr>
        <w:t>Public Se</w:t>
      </w:r>
      <w:r>
        <w:rPr>
          <w:i/>
        </w:rPr>
        <w:t>ctor</w:t>
      </w:r>
      <w:r w:rsidRPr="00472897">
        <w:rPr>
          <w:i/>
        </w:rPr>
        <w:t xml:space="preserve"> Act 20</w:t>
      </w:r>
      <w:r>
        <w:rPr>
          <w:i/>
        </w:rPr>
        <w:t>22</w:t>
      </w:r>
      <w:r>
        <w:t>, including the introduction of positive performance management principles</w:t>
      </w:r>
    </w:p>
    <w:p w14:paraId="6EA7B63D" w14:textId="77777777" w:rsidR="008B3FBA" w:rsidRDefault="008B3FBA" w:rsidP="00EB1859">
      <w:pPr>
        <w:pStyle w:val="ListParagraph"/>
        <w:numPr>
          <w:ilvl w:val="0"/>
          <w:numId w:val="4"/>
        </w:numPr>
      </w:pPr>
      <w:r>
        <w:t>p</w:t>
      </w:r>
      <w:r w:rsidRPr="00A21D7D">
        <w:t>rofessional development of all staff on a continuing basis</w:t>
      </w:r>
      <w:r>
        <w:t xml:space="preserve">. </w:t>
      </w:r>
    </w:p>
    <w:p w14:paraId="113C89AD" w14:textId="77777777" w:rsidR="00A90D6A" w:rsidRDefault="00A90D6A">
      <w:pPr>
        <w:ind w:right="0"/>
        <w:rPr>
          <w:rFonts w:eastAsiaTheme="minorEastAsia"/>
          <w:b/>
          <w:bCs/>
          <w:i/>
          <w:iCs/>
          <w:color w:val="000000" w:themeColor="text1"/>
          <w:sz w:val="20"/>
          <w:szCs w:val="18"/>
          <w:lang w:eastAsia="en-US"/>
        </w:rPr>
      </w:pPr>
      <w:r>
        <w:br w:type="page"/>
      </w:r>
    </w:p>
    <w:p w14:paraId="330728F6" w14:textId="4A93554F" w:rsidR="008B3FBA" w:rsidRDefault="008B3FBA" w:rsidP="00EB1859">
      <w:pPr>
        <w:pStyle w:val="Caption"/>
      </w:pPr>
      <w:r w:rsidRPr="00CA6CEC">
        <w:lastRenderedPageBreak/>
        <w:t xml:space="preserve">Table </w:t>
      </w:r>
      <w:r w:rsidR="00274AD7" w:rsidRPr="00CA6CEC">
        <w:t>8</w:t>
      </w:r>
      <w:r w:rsidRPr="00CA6CEC">
        <w:t>: Workforce profile data, 2022-23</w:t>
      </w:r>
      <w:r w:rsidR="00F746FD" w:rsidRPr="00CA6CEC">
        <w:t xml:space="preserve"> </w:t>
      </w:r>
    </w:p>
    <w:tbl>
      <w:tblPr>
        <w:tblStyle w:val="TableGrid"/>
        <w:tblW w:w="7792"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3964"/>
        <w:gridCol w:w="1418"/>
        <w:gridCol w:w="2410"/>
      </w:tblGrid>
      <w:tr w:rsidR="008B3FBA" w14:paraId="274A9EF8" w14:textId="77777777" w:rsidTr="00F541AA">
        <w:tc>
          <w:tcPr>
            <w:tcW w:w="3964" w:type="dxa"/>
            <w:shd w:val="clear" w:color="auto" w:fill="auto"/>
          </w:tcPr>
          <w:p w14:paraId="34BB474D" w14:textId="77777777" w:rsidR="008B3FBA" w:rsidRPr="00B1407C" w:rsidRDefault="008B3FBA" w:rsidP="00EB1859">
            <w:pPr>
              <w:pStyle w:val="TableTextHeading"/>
            </w:pPr>
            <w:r w:rsidRPr="00B1407C">
              <w:t>Gender</w:t>
            </w:r>
          </w:p>
        </w:tc>
        <w:tc>
          <w:tcPr>
            <w:tcW w:w="1418" w:type="dxa"/>
            <w:shd w:val="clear" w:color="auto" w:fill="auto"/>
          </w:tcPr>
          <w:p w14:paraId="0FAB17F6" w14:textId="77777777" w:rsidR="008B3FBA" w:rsidRPr="00B1407C" w:rsidRDefault="008B3FBA" w:rsidP="00EB1859">
            <w:pPr>
              <w:pStyle w:val="TableTextHeading"/>
            </w:pPr>
            <w:r w:rsidRPr="00B1407C">
              <w:t>Number</w:t>
            </w:r>
          </w:p>
          <w:p w14:paraId="31C2FAAE" w14:textId="77777777" w:rsidR="008B3FBA" w:rsidRPr="00B1407C" w:rsidRDefault="008B3FBA" w:rsidP="00EB1859">
            <w:pPr>
              <w:pStyle w:val="TableTextHeading"/>
            </w:pPr>
            <w:r w:rsidRPr="00B1407C">
              <w:t>(</w:t>
            </w:r>
            <w:r>
              <w:t>h</w:t>
            </w:r>
            <w:r w:rsidRPr="00B1407C">
              <w:t>eadcount)</w:t>
            </w:r>
          </w:p>
        </w:tc>
        <w:tc>
          <w:tcPr>
            <w:tcW w:w="2410" w:type="dxa"/>
            <w:shd w:val="clear" w:color="auto" w:fill="auto"/>
          </w:tcPr>
          <w:p w14:paraId="2017B589" w14:textId="77777777" w:rsidR="008B3FBA" w:rsidRPr="00B1407C" w:rsidRDefault="008B3FBA" w:rsidP="00EB1859">
            <w:pPr>
              <w:pStyle w:val="TableTextHeading"/>
            </w:pPr>
            <w:r w:rsidRPr="00B1407C">
              <w:t>Percentage of total workforce</w:t>
            </w:r>
          </w:p>
          <w:p w14:paraId="489C17D2" w14:textId="77777777" w:rsidR="008B3FBA" w:rsidRPr="00B1407C" w:rsidRDefault="008B3FBA" w:rsidP="00EB1859">
            <w:pPr>
              <w:pStyle w:val="TableTextHeading"/>
            </w:pPr>
            <w:r w:rsidRPr="00B1407C">
              <w:t>(</w:t>
            </w:r>
            <w:r>
              <w:t>c</w:t>
            </w:r>
            <w:r w:rsidRPr="00B1407C">
              <w:t>alculated on headcount)</w:t>
            </w:r>
          </w:p>
        </w:tc>
      </w:tr>
      <w:tr w:rsidR="008B3FBA" w14:paraId="27D4ECE7" w14:textId="77777777" w:rsidTr="00F541AA">
        <w:tc>
          <w:tcPr>
            <w:tcW w:w="3964" w:type="dxa"/>
            <w:shd w:val="clear" w:color="auto" w:fill="auto"/>
          </w:tcPr>
          <w:p w14:paraId="74C1551A" w14:textId="77777777" w:rsidR="008B3FBA" w:rsidRDefault="008B3FBA" w:rsidP="00EB1859">
            <w:pPr>
              <w:pStyle w:val="TableTextBody"/>
            </w:pPr>
            <w:r>
              <w:t>Woman</w:t>
            </w:r>
          </w:p>
        </w:tc>
        <w:tc>
          <w:tcPr>
            <w:tcW w:w="1418" w:type="dxa"/>
            <w:shd w:val="clear" w:color="auto" w:fill="auto"/>
          </w:tcPr>
          <w:p w14:paraId="37EAAB73" w14:textId="77777777" w:rsidR="008B3FBA" w:rsidRDefault="008B3FBA" w:rsidP="00EB1859">
            <w:pPr>
              <w:pStyle w:val="TableTextBody"/>
            </w:pPr>
            <w:r>
              <w:t>57</w:t>
            </w:r>
          </w:p>
        </w:tc>
        <w:tc>
          <w:tcPr>
            <w:tcW w:w="2410" w:type="dxa"/>
            <w:shd w:val="clear" w:color="auto" w:fill="auto"/>
          </w:tcPr>
          <w:p w14:paraId="40C02EEC" w14:textId="77777777" w:rsidR="008B3FBA" w:rsidRDefault="008B3FBA" w:rsidP="00EB1859">
            <w:pPr>
              <w:pStyle w:val="TableTextBody"/>
            </w:pPr>
            <w:r>
              <w:t>80%</w:t>
            </w:r>
          </w:p>
        </w:tc>
      </w:tr>
      <w:tr w:rsidR="008B3FBA" w14:paraId="58F8D663" w14:textId="77777777" w:rsidTr="00F541AA">
        <w:tc>
          <w:tcPr>
            <w:tcW w:w="3964" w:type="dxa"/>
            <w:shd w:val="clear" w:color="auto" w:fill="auto"/>
          </w:tcPr>
          <w:p w14:paraId="2E91133D" w14:textId="77777777" w:rsidR="008B3FBA" w:rsidRDefault="008B3FBA" w:rsidP="00EB1859">
            <w:pPr>
              <w:pStyle w:val="TableTextBody"/>
            </w:pPr>
            <w:r>
              <w:t>Man</w:t>
            </w:r>
          </w:p>
        </w:tc>
        <w:tc>
          <w:tcPr>
            <w:tcW w:w="1418" w:type="dxa"/>
            <w:shd w:val="clear" w:color="auto" w:fill="auto"/>
          </w:tcPr>
          <w:p w14:paraId="0E9BE347" w14:textId="77777777" w:rsidR="008B3FBA" w:rsidRDefault="008B3FBA" w:rsidP="00EB1859">
            <w:pPr>
              <w:pStyle w:val="TableTextBody"/>
            </w:pPr>
            <w:r>
              <w:t>13</w:t>
            </w:r>
          </w:p>
        </w:tc>
        <w:tc>
          <w:tcPr>
            <w:tcW w:w="2410" w:type="dxa"/>
            <w:shd w:val="clear" w:color="auto" w:fill="auto"/>
          </w:tcPr>
          <w:p w14:paraId="0D6AE5A6" w14:textId="77777777" w:rsidR="008B3FBA" w:rsidRDefault="008B3FBA" w:rsidP="00EB1859">
            <w:pPr>
              <w:pStyle w:val="TableTextBody"/>
            </w:pPr>
            <w:r>
              <w:t>18%</w:t>
            </w:r>
          </w:p>
        </w:tc>
      </w:tr>
      <w:tr w:rsidR="008B3FBA" w14:paraId="2D3F21B2" w14:textId="77777777" w:rsidTr="00F541AA">
        <w:tc>
          <w:tcPr>
            <w:tcW w:w="3964" w:type="dxa"/>
            <w:shd w:val="clear" w:color="auto" w:fill="auto"/>
          </w:tcPr>
          <w:p w14:paraId="5D457FEF" w14:textId="77777777" w:rsidR="008B3FBA" w:rsidRPr="00CA6CEC" w:rsidRDefault="008B3FBA" w:rsidP="00EB1859">
            <w:pPr>
              <w:pStyle w:val="TableTextBody"/>
            </w:pPr>
            <w:r w:rsidRPr="00CA6CEC">
              <w:t>Non-binary</w:t>
            </w:r>
          </w:p>
        </w:tc>
        <w:tc>
          <w:tcPr>
            <w:tcW w:w="1418" w:type="dxa"/>
            <w:shd w:val="clear" w:color="auto" w:fill="auto"/>
          </w:tcPr>
          <w:p w14:paraId="4E49EA36" w14:textId="7D50B885" w:rsidR="008B3FBA" w:rsidRPr="00CA6CEC" w:rsidRDefault="00CA6CEC" w:rsidP="00EB1859">
            <w:pPr>
              <w:pStyle w:val="TableTextBody"/>
            </w:pPr>
            <w:r w:rsidRPr="00CA6CEC">
              <w:t>1</w:t>
            </w:r>
          </w:p>
        </w:tc>
        <w:tc>
          <w:tcPr>
            <w:tcW w:w="2410" w:type="dxa"/>
            <w:shd w:val="clear" w:color="auto" w:fill="auto"/>
          </w:tcPr>
          <w:p w14:paraId="04AAF329" w14:textId="77777777" w:rsidR="008B3FBA" w:rsidRDefault="008B3FBA" w:rsidP="00EB1859">
            <w:pPr>
              <w:pStyle w:val="TableTextBody"/>
            </w:pPr>
            <w:r w:rsidRPr="00CA6CEC">
              <w:t>2%</w:t>
            </w:r>
          </w:p>
        </w:tc>
      </w:tr>
      <w:tr w:rsidR="008B3FBA" w14:paraId="48588D50" w14:textId="77777777" w:rsidTr="00F541AA">
        <w:tc>
          <w:tcPr>
            <w:tcW w:w="3964" w:type="dxa"/>
            <w:shd w:val="clear" w:color="auto" w:fill="auto"/>
          </w:tcPr>
          <w:p w14:paraId="69FC6D2C" w14:textId="77777777" w:rsidR="008B3FBA" w:rsidRPr="00B1407C" w:rsidRDefault="008B3FBA" w:rsidP="00EB1859">
            <w:pPr>
              <w:pStyle w:val="TableTextHeading"/>
            </w:pPr>
            <w:r w:rsidRPr="00B1407C">
              <w:t xml:space="preserve">Diversity </w:t>
            </w:r>
            <w:r>
              <w:t>g</w:t>
            </w:r>
            <w:r w:rsidRPr="00B1407C">
              <w:t>roups</w:t>
            </w:r>
          </w:p>
        </w:tc>
        <w:tc>
          <w:tcPr>
            <w:tcW w:w="1418" w:type="dxa"/>
            <w:shd w:val="clear" w:color="auto" w:fill="auto"/>
          </w:tcPr>
          <w:p w14:paraId="13F52414" w14:textId="77777777" w:rsidR="008B3FBA" w:rsidRPr="00B1407C" w:rsidRDefault="008B3FBA" w:rsidP="00EB1859">
            <w:pPr>
              <w:pStyle w:val="TableTextHeading"/>
            </w:pPr>
            <w:r w:rsidRPr="00B1407C">
              <w:t>Number</w:t>
            </w:r>
          </w:p>
          <w:p w14:paraId="3E75C6BE" w14:textId="77777777" w:rsidR="008B3FBA" w:rsidRPr="00B1407C" w:rsidRDefault="008B3FBA" w:rsidP="00EB1859">
            <w:pPr>
              <w:pStyle w:val="TableTextHeading"/>
            </w:pPr>
            <w:r w:rsidRPr="00B1407C">
              <w:t>(</w:t>
            </w:r>
            <w:r>
              <w:t>h</w:t>
            </w:r>
            <w:r w:rsidRPr="00B1407C">
              <w:t>eadcount)</w:t>
            </w:r>
          </w:p>
        </w:tc>
        <w:tc>
          <w:tcPr>
            <w:tcW w:w="2410" w:type="dxa"/>
            <w:shd w:val="clear" w:color="auto" w:fill="auto"/>
          </w:tcPr>
          <w:p w14:paraId="475638B2" w14:textId="77777777" w:rsidR="008B3FBA" w:rsidRPr="00B1407C" w:rsidRDefault="008B3FBA" w:rsidP="00EB1859">
            <w:pPr>
              <w:pStyle w:val="TableTextHeading"/>
            </w:pPr>
            <w:r w:rsidRPr="00B1407C">
              <w:t>Percentage of total workforce</w:t>
            </w:r>
          </w:p>
          <w:p w14:paraId="51C9DE0E" w14:textId="77777777" w:rsidR="008B3FBA" w:rsidRPr="00B1407C" w:rsidRDefault="008B3FBA" w:rsidP="00EB1859">
            <w:pPr>
              <w:pStyle w:val="TableTextHeading"/>
            </w:pPr>
            <w:r w:rsidRPr="00B1407C">
              <w:t>(</w:t>
            </w:r>
            <w:r>
              <w:t>c</w:t>
            </w:r>
            <w:r w:rsidRPr="00B1407C">
              <w:t>alculated on headcount)</w:t>
            </w:r>
          </w:p>
        </w:tc>
      </w:tr>
      <w:tr w:rsidR="008B3FBA" w14:paraId="1EEE1CFF" w14:textId="77777777" w:rsidTr="00F541AA">
        <w:tc>
          <w:tcPr>
            <w:tcW w:w="3964" w:type="dxa"/>
            <w:shd w:val="clear" w:color="auto" w:fill="auto"/>
          </w:tcPr>
          <w:p w14:paraId="083201D2" w14:textId="77777777" w:rsidR="008B3FBA" w:rsidRDefault="008B3FBA" w:rsidP="00EB1859">
            <w:pPr>
              <w:pStyle w:val="TableTextBody"/>
            </w:pPr>
            <w:r>
              <w:t>Women</w:t>
            </w:r>
          </w:p>
        </w:tc>
        <w:tc>
          <w:tcPr>
            <w:tcW w:w="1418" w:type="dxa"/>
            <w:shd w:val="clear" w:color="auto" w:fill="auto"/>
          </w:tcPr>
          <w:p w14:paraId="017C7AE8" w14:textId="77777777" w:rsidR="008B3FBA" w:rsidRDefault="008B3FBA" w:rsidP="00EB1859">
            <w:pPr>
              <w:pStyle w:val="TableTextBody"/>
            </w:pPr>
            <w:r>
              <w:t>57</w:t>
            </w:r>
          </w:p>
        </w:tc>
        <w:tc>
          <w:tcPr>
            <w:tcW w:w="2410" w:type="dxa"/>
            <w:shd w:val="clear" w:color="auto" w:fill="auto"/>
          </w:tcPr>
          <w:p w14:paraId="1F83D0CD" w14:textId="77777777" w:rsidR="008B3FBA" w:rsidRDefault="008B3FBA" w:rsidP="00EB1859">
            <w:pPr>
              <w:pStyle w:val="TableTextBody"/>
            </w:pPr>
            <w:r>
              <w:t>80%</w:t>
            </w:r>
          </w:p>
        </w:tc>
      </w:tr>
      <w:tr w:rsidR="008B3FBA" w14:paraId="0632DDF1" w14:textId="77777777" w:rsidTr="00F541AA">
        <w:tc>
          <w:tcPr>
            <w:tcW w:w="3964" w:type="dxa"/>
            <w:shd w:val="clear" w:color="auto" w:fill="auto"/>
          </w:tcPr>
          <w:p w14:paraId="2FDB1D6B" w14:textId="77777777" w:rsidR="008B3FBA" w:rsidRDefault="008B3FBA" w:rsidP="00EB1859">
            <w:pPr>
              <w:pStyle w:val="TableTextBody"/>
            </w:pPr>
            <w:r>
              <w:t>Aboriginal peoples and Torres Strait Islander peoples</w:t>
            </w:r>
          </w:p>
        </w:tc>
        <w:tc>
          <w:tcPr>
            <w:tcW w:w="1418" w:type="dxa"/>
            <w:shd w:val="clear" w:color="auto" w:fill="auto"/>
          </w:tcPr>
          <w:p w14:paraId="04046B9A" w14:textId="77777777" w:rsidR="008B3FBA" w:rsidRDefault="008B3FBA" w:rsidP="00EB1859">
            <w:pPr>
              <w:pStyle w:val="TableTextBody"/>
            </w:pPr>
            <w:r>
              <w:t>&lt;5</w:t>
            </w:r>
          </w:p>
        </w:tc>
        <w:tc>
          <w:tcPr>
            <w:tcW w:w="2410" w:type="dxa"/>
            <w:shd w:val="clear" w:color="auto" w:fill="auto"/>
          </w:tcPr>
          <w:p w14:paraId="38A0A6FC" w14:textId="116D5F7A" w:rsidR="008B3FBA" w:rsidRDefault="008B3FBA" w:rsidP="00EB1859">
            <w:pPr>
              <w:pStyle w:val="TableTextBody"/>
            </w:pPr>
          </w:p>
        </w:tc>
      </w:tr>
      <w:tr w:rsidR="008B3FBA" w14:paraId="2B0E24B0" w14:textId="77777777" w:rsidTr="00F541AA">
        <w:tc>
          <w:tcPr>
            <w:tcW w:w="3964" w:type="dxa"/>
            <w:shd w:val="clear" w:color="auto" w:fill="auto"/>
          </w:tcPr>
          <w:p w14:paraId="68790DD0" w14:textId="77777777" w:rsidR="008B3FBA" w:rsidRDefault="008B3FBA" w:rsidP="00EB1859">
            <w:pPr>
              <w:pStyle w:val="TableTextBody"/>
            </w:pPr>
            <w:r>
              <w:t>People with disability</w:t>
            </w:r>
          </w:p>
        </w:tc>
        <w:tc>
          <w:tcPr>
            <w:tcW w:w="1418" w:type="dxa"/>
            <w:shd w:val="clear" w:color="auto" w:fill="auto"/>
          </w:tcPr>
          <w:p w14:paraId="0713C54C" w14:textId="77777777" w:rsidR="008B3FBA" w:rsidRDefault="008B3FBA" w:rsidP="00EB1859">
            <w:pPr>
              <w:pStyle w:val="TableTextBody"/>
            </w:pPr>
            <w:r>
              <w:t>&lt;5</w:t>
            </w:r>
          </w:p>
        </w:tc>
        <w:tc>
          <w:tcPr>
            <w:tcW w:w="2410" w:type="dxa"/>
            <w:shd w:val="clear" w:color="auto" w:fill="auto"/>
          </w:tcPr>
          <w:p w14:paraId="1C84BB32" w14:textId="5352254A" w:rsidR="008B3FBA" w:rsidRDefault="008B3FBA" w:rsidP="00EB1859">
            <w:pPr>
              <w:pStyle w:val="TableTextBody"/>
            </w:pPr>
          </w:p>
        </w:tc>
      </w:tr>
      <w:tr w:rsidR="008B3FBA" w14:paraId="226C5E84" w14:textId="77777777" w:rsidTr="00F541AA">
        <w:tc>
          <w:tcPr>
            <w:tcW w:w="3964" w:type="dxa"/>
            <w:shd w:val="clear" w:color="auto" w:fill="auto"/>
          </w:tcPr>
          <w:p w14:paraId="58A23E44" w14:textId="77777777" w:rsidR="008B3FBA" w:rsidRDefault="008B3FBA" w:rsidP="00EB1859">
            <w:pPr>
              <w:pStyle w:val="TableTextBody"/>
            </w:pPr>
            <w:r>
              <w:t xml:space="preserve">Culturally and linguistically diverse – born overseas </w:t>
            </w:r>
          </w:p>
        </w:tc>
        <w:tc>
          <w:tcPr>
            <w:tcW w:w="1418" w:type="dxa"/>
            <w:shd w:val="clear" w:color="auto" w:fill="auto"/>
          </w:tcPr>
          <w:p w14:paraId="633B97BC" w14:textId="77777777" w:rsidR="008B3FBA" w:rsidRDefault="008B3FBA" w:rsidP="00EB1859">
            <w:pPr>
              <w:pStyle w:val="TableTextBody"/>
            </w:pPr>
            <w:r>
              <w:t>7</w:t>
            </w:r>
          </w:p>
        </w:tc>
        <w:tc>
          <w:tcPr>
            <w:tcW w:w="2410" w:type="dxa"/>
            <w:shd w:val="clear" w:color="auto" w:fill="auto"/>
          </w:tcPr>
          <w:p w14:paraId="0038E9C2" w14:textId="77777777" w:rsidR="008B3FBA" w:rsidRDefault="008B3FBA" w:rsidP="00EB1859">
            <w:pPr>
              <w:pStyle w:val="TableTextBody"/>
            </w:pPr>
            <w:r>
              <w:t>10%</w:t>
            </w:r>
          </w:p>
        </w:tc>
      </w:tr>
      <w:tr w:rsidR="008B3FBA" w14:paraId="7AE38FCD" w14:textId="77777777" w:rsidTr="00F541AA">
        <w:tc>
          <w:tcPr>
            <w:tcW w:w="3964" w:type="dxa"/>
            <w:shd w:val="clear" w:color="auto" w:fill="auto"/>
          </w:tcPr>
          <w:p w14:paraId="3272B9C8" w14:textId="77777777" w:rsidR="008B3FBA" w:rsidRDefault="008B3FBA" w:rsidP="00EB1859">
            <w:pPr>
              <w:pStyle w:val="TableTextBody"/>
            </w:pPr>
            <w:r>
              <w:t>Culturally and linguistically diverse – speak a language at home other than English (including Aboriginal and Torres Strait Islander languages or Australian South Sea Islander languages)</w:t>
            </w:r>
          </w:p>
        </w:tc>
        <w:tc>
          <w:tcPr>
            <w:tcW w:w="1418" w:type="dxa"/>
            <w:shd w:val="clear" w:color="auto" w:fill="auto"/>
          </w:tcPr>
          <w:p w14:paraId="764E0EFC" w14:textId="77777777" w:rsidR="008B3FBA" w:rsidRDefault="008B3FBA" w:rsidP="00EB1859">
            <w:pPr>
              <w:pStyle w:val="TableTextBody"/>
            </w:pPr>
            <w:r>
              <w:t>8</w:t>
            </w:r>
          </w:p>
        </w:tc>
        <w:tc>
          <w:tcPr>
            <w:tcW w:w="2410" w:type="dxa"/>
            <w:shd w:val="clear" w:color="auto" w:fill="auto"/>
          </w:tcPr>
          <w:p w14:paraId="2BA1D7E1" w14:textId="77777777" w:rsidR="008B3FBA" w:rsidRDefault="008B3FBA" w:rsidP="00EB1859">
            <w:pPr>
              <w:pStyle w:val="TableTextBody"/>
            </w:pPr>
            <w:r>
              <w:t>11%</w:t>
            </w:r>
          </w:p>
        </w:tc>
      </w:tr>
      <w:tr w:rsidR="008B3FBA" w14:paraId="22ABAE5B" w14:textId="77777777" w:rsidTr="00F541AA">
        <w:tc>
          <w:tcPr>
            <w:tcW w:w="3964" w:type="dxa"/>
            <w:shd w:val="clear" w:color="auto" w:fill="auto"/>
          </w:tcPr>
          <w:p w14:paraId="0710AD1A" w14:textId="77777777" w:rsidR="008B3FBA" w:rsidRPr="00B1407C" w:rsidRDefault="008B3FBA" w:rsidP="00EB1859">
            <w:pPr>
              <w:pStyle w:val="TableTextHeading"/>
            </w:pPr>
          </w:p>
        </w:tc>
        <w:tc>
          <w:tcPr>
            <w:tcW w:w="1418" w:type="dxa"/>
            <w:shd w:val="clear" w:color="auto" w:fill="auto"/>
          </w:tcPr>
          <w:p w14:paraId="25CD7B37" w14:textId="77777777" w:rsidR="008B3FBA" w:rsidRPr="00B1407C" w:rsidRDefault="008B3FBA" w:rsidP="00EB1859">
            <w:pPr>
              <w:pStyle w:val="TableTextHeading"/>
            </w:pPr>
            <w:r w:rsidRPr="00B1407C">
              <w:t>Number</w:t>
            </w:r>
          </w:p>
          <w:p w14:paraId="56FCAC5E" w14:textId="77777777" w:rsidR="008B3FBA" w:rsidRPr="00B1407C" w:rsidRDefault="008B3FBA" w:rsidP="00EB1859">
            <w:pPr>
              <w:pStyle w:val="TableTextHeading"/>
            </w:pPr>
            <w:r w:rsidRPr="00B1407C">
              <w:t>(</w:t>
            </w:r>
            <w:r>
              <w:t>h</w:t>
            </w:r>
            <w:r w:rsidRPr="00B1407C">
              <w:t>eadcount)</w:t>
            </w:r>
          </w:p>
        </w:tc>
        <w:tc>
          <w:tcPr>
            <w:tcW w:w="2410" w:type="dxa"/>
            <w:shd w:val="clear" w:color="auto" w:fill="auto"/>
          </w:tcPr>
          <w:p w14:paraId="366D859D" w14:textId="77777777" w:rsidR="008B3FBA" w:rsidRPr="00B1407C" w:rsidRDefault="008B3FBA" w:rsidP="00EB1859">
            <w:pPr>
              <w:pStyle w:val="TableTextHeading"/>
            </w:pPr>
            <w:r w:rsidRPr="00B1407C">
              <w:t xml:space="preserve">Percentage of total </w:t>
            </w:r>
            <w:r>
              <w:t>l</w:t>
            </w:r>
            <w:r w:rsidRPr="00B1407C">
              <w:t xml:space="preserve">eadership </w:t>
            </w:r>
            <w:r>
              <w:t>c</w:t>
            </w:r>
            <w:r w:rsidRPr="00B1407C">
              <w:t>ohort</w:t>
            </w:r>
            <w:r>
              <w:t xml:space="preserve"> </w:t>
            </w:r>
            <w:r w:rsidRPr="00B1407C">
              <w:t>(</w:t>
            </w:r>
            <w:r>
              <w:t>c</w:t>
            </w:r>
            <w:r w:rsidRPr="00B1407C">
              <w:t>alculated on headcount)</w:t>
            </w:r>
          </w:p>
        </w:tc>
      </w:tr>
      <w:tr w:rsidR="008B3FBA" w14:paraId="778A1C3A" w14:textId="77777777" w:rsidTr="00F541AA">
        <w:tc>
          <w:tcPr>
            <w:tcW w:w="3964" w:type="dxa"/>
          </w:tcPr>
          <w:p w14:paraId="2F4C9620" w14:textId="77777777" w:rsidR="008B3FBA" w:rsidRPr="00CA6CEC" w:rsidRDefault="008B3FBA" w:rsidP="00EB1859">
            <w:pPr>
              <w:pStyle w:val="TableTextBody"/>
            </w:pPr>
            <w:r w:rsidRPr="00CA6CEC">
              <w:t>Women in leadership roles*</w:t>
            </w:r>
          </w:p>
        </w:tc>
        <w:tc>
          <w:tcPr>
            <w:tcW w:w="1418" w:type="dxa"/>
          </w:tcPr>
          <w:p w14:paraId="282824E4" w14:textId="4C8CB319" w:rsidR="008B3FBA" w:rsidRPr="00CA6CEC" w:rsidRDefault="00CA6CEC" w:rsidP="00EB1859">
            <w:pPr>
              <w:pStyle w:val="TableTextBody"/>
            </w:pPr>
            <w:r w:rsidRPr="00CA6CEC">
              <w:t>6</w:t>
            </w:r>
          </w:p>
        </w:tc>
        <w:tc>
          <w:tcPr>
            <w:tcW w:w="2410" w:type="dxa"/>
          </w:tcPr>
          <w:p w14:paraId="271BFB72" w14:textId="6CAC4652" w:rsidR="008B3FBA" w:rsidRDefault="008B3FBA" w:rsidP="00EB1859">
            <w:pPr>
              <w:pStyle w:val="TableTextBody"/>
            </w:pPr>
            <w:r w:rsidRPr="00CA6CEC">
              <w:t>8</w:t>
            </w:r>
            <w:r w:rsidR="00CA6CEC" w:rsidRPr="00CA6CEC">
              <w:t>5</w:t>
            </w:r>
            <w:r w:rsidRPr="00CA6CEC">
              <w:t>%</w:t>
            </w:r>
          </w:p>
        </w:tc>
      </w:tr>
    </w:tbl>
    <w:p w14:paraId="0869D8C8" w14:textId="076EFB99" w:rsidR="008B3FBA" w:rsidRDefault="008B3FBA" w:rsidP="00A90D6A">
      <w:pPr>
        <w:pStyle w:val="Note"/>
        <w:ind w:right="1655"/>
        <w:jc w:val="left"/>
      </w:pPr>
      <w:r>
        <w:t>*Leadership roles are those at Senior Officer and equivalent and above.</w:t>
      </w:r>
      <w:r w:rsidR="00CA6CEC">
        <w:t xml:space="preserve"> As at June 2023, this figure includes one leadership role where the occupant was on paid leave and backfilled. </w:t>
      </w:r>
    </w:p>
    <w:p w14:paraId="5FAE1FEF" w14:textId="77777777" w:rsidR="008B3FBA" w:rsidRDefault="008B3FBA" w:rsidP="00A90D6A">
      <w:pPr>
        <w:pStyle w:val="Note"/>
        <w:ind w:right="1655"/>
        <w:jc w:val="left"/>
      </w:pPr>
      <w:r>
        <w:t xml:space="preserve">Note: percentages in this table have been rounded to the nearest whole number. </w:t>
      </w:r>
      <w:r>
        <w:br/>
      </w:r>
    </w:p>
    <w:p w14:paraId="360C0544" w14:textId="77777777" w:rsidR="008B3FBA" w:rsidRPr="00A21D7D" w:rsidRDefault="008B3FBA" w:rsidP="00CA5EBF">
      <w:pPr>
        <w:pStyle w:val="Heading2"/>
      </w:pPr>
      <w:bookmarkStart w:id="236" w:name="_Toc80971383"/>
      <w:bookmarkStart w:id="237" w:name="_Toc143678218"/>
      <w:bookmarkStart w:id="238" w:name="_Toc143678737"/>
      <w:bookmarkStart w:id="239" w:name="_Toc144200517"/>
      <w:r w:rsidRPr="00A21D7D">
        <w:t>Corporate services</w:t>
      </w:r>
      <w:bookmarkEnd w:id="236"/>
      <w:bookmarkEnd w:id="237"/>
      <w:bookmarkEnd w:id="238"/>
      <w:bookmarkEnd w:id="239"/>
      <w:r w:rsidRPr="00A21D7D">
        <w:t xml:space="preserve"> </w:t>
      </w:r>
    </w:p>
    <w:p w14:paraId="0632DBB2" w14:textId="77777777" w:rsidR="008B3FBA" w:rsidRDefault="008B3FBA" w:rsidP="00EB1859">
      <w:pPr>
        <w:rPr>
          <w:rFonts w:eastAsiaTheme="majorEastAsia" w:cstheme="majorBidi"/>
          <w:color w:val="000000" w:themeColor="text1"/>
          <w:sz w:val="36"/>
          <w:szCs w:val="26"/>
        </w:rPr>
      </w:pPr>
      <w:r w:rsidRPr="00A21D7D">
        <w:t>In</w:t>
      </w:r>
      <w:r>
        <w:t>-</w:t>
      </w:r>
      <w:r w:rsidRPr="00A21D7D">
        <w:t xml:space="preserve">house corporate services provided by our staff are supplemented through service level agreements with the Department of Justice and Attorney-General and Queensland Shared Services for the provision of financial, human resource, internal audit and processing services. These arrangements benefit </w:t>
      </w:r>
      <w:r>
        <w:t>the Commission</w:t>
      </w:r>
      <w:r w:rsidRPr="00A21D7D">
        <w:t xml:space="preserve"> by providing a cost-effective processing environment and access to a greater range of skills than </w:t>
      </w:r>
      <w:r>
        <w:t>we</w:t>
      </w:r>
      <w:r w:rsidRPr="00A21D7D">
        <w:t xml:space="preserve"> can maintain internally given </w:t>
      </w:r>
      <w:r>
        <w:t>our</w:t>
      </w:r>
      <w:r w:rsidRPr="00A21D7D">
        <w:t xml:space="preserve"> size, and allow </w:t>
      </w:r>
      <w:r>
        <w:t xml:space="preserve">us </w:t>
      </w:r>
      <w:r w:rsidRPr="00A21D7D">
        <w:t>to focus on core business</w:t>
      </w:r>
      <w:r>
        <w:t>.</w:t>
      </w:r>
    </w:p>
    <w:p w14:paraId="22EA45B5" w14:textId="77777777" w:rsidR="00A90D6A" w:rsidRDefault="00A90D6A">
      <w:pPr>
        <w:ind w:right="0"/>
        <w:rPr>
          <w:color w:val="000000" w:themeColor="text1"/>
          <w:sz w:val="36"/>
        </w:rPr>
      </w:pPr>
      <w:bookmarkStart w:id="240" w:name="_Toc80971384"/>
      <w:bookmarkStart w:id="241" w:name="_Toc143678219"/>
      <w:bookmarkStart w:id="242" w:name="_Toc143678738"/>
      <w:bookmarkStart w:id="243" w:name="_Toc144200518"/>
      <w:r>
        <w:br w:type="page"/>
      </w:r>
    </w:p>
    <w:p w14:paraId="6822F4E8" w14:textId="5A7A5A62" w:rsidR="008B3FBA" w:rsidRPr="00A21D7D" w:rsidRDefault="008B3FBA" w:rsidP="00CA5EBF">
      <w:pPr>
        <w:pStyle w:val="Heading2"/>
      </w:pPr>
      <w:r w:rsidRPr="00A21D7D">
        <w:lastRenderedPageBreak/>
        <w:t>Information and communications technology (ICT)</w:t>
      </w:r>
      <w:bookmarkEnd w:id="240"/>
      <w:bookmarkEnd w:id="241"/>
      <w:bookmarkEnd w:id="242"/>
      <w:bookmarkEnd w:id="243"/>
    </w:p>
    <w:p w14:paraId="201A5FCB" w14:textId="77777777" w:rsidR="008B3FBA" w:rsidRDefault="008B3FBA" w:rsidP="00EB1859">
      <w:r>
        <w:t>We</w:t>
      </w:r>
      <w:r w:rsidRPr="00A21D7D">
        <w:t xml:space="preserve"> </w:t>
      </w:r>
      <w:r>
        <w:t>utilise</w:t>
      </w:r>
      <w:r w:rsidRPr="00A21D7D">
        <w:t xml:space="preserve"> Surface Pro tablet devices and operate cloud-based computing and telecommunications services</w:t>
      </w:r>
      <w:r>
        <w:t xml:space="preserve">, reducing </w:t>
      </w:r>
      <w:r w:rsidRPr="00A21D7D">
        <w:t>costs</w:t>
      </w:r>
      <w:r>
        <w:t xml:space="preserve"> and </w:t>
      </w:r>
      <w:r w:rsidRPr="00A21D7D">
        <w:t xml:space="preserve">risks associated with in-house management of computing services. </w:t>
      </w:r>
    </w:p>
    <w:p w14:paraId="2ED9BDB9" w14:textId="77777777" w:rsidR="008B3FBA" w:rsidRDefault="008B3FBA" w:rsidP="00EB1859">
      <w:r>
        <w:rPr>
          <w:lang w:val="en"/>
        </w:rPr>
        <w:t xml:space="preserve">As a Queensland independent statutory body, we must have regard to Information security policy (IS18:2018) in the context of internal controls, financial information management systems and risk management. </w:t>
      </w:r>
      <w:r>
        <w:t>Our</w:t>
      </w:r>
      <w:r w:rsidRPr="000304C0">
        <w:t xml:space="preserve"> </w:t>
      </w:r>
      <w:r>
        <w:t>Executive Leadership Team</w:t>
      </w:r>
      <w:r w:rsidRPr="000304C0">
        <w:t xml:space="preserve"> </w:t>
      </w:r>
      <w:r>
        <w:t>is</w:t>
      </w:r>
      <w:r w:rsidRPr="000304C0">
        <w:t xml:space="preserve"> guided by IS18:2018 in applying a consistent, risk-based approach to information security in order to safeguard the confidentiality, integrity, and availability of the data and information maintained by </w:t>
      </w:r>
      <w:r>
        <w:t xml:space="preserve">the Commission. </w:t>
      </w:r>
    </w:p>
    <w:p w14:paraId="725026EA" w14:textId="77777777" w:rsidR="008B3FBA" w:rsidRPr="00A21D7D" w:rsidRDefault="008B3FBA" w:rsidP="00CA5EBF">
      <w:pPr>
        <w:pStyle w:val="Heading2"/>
      </w:pPr>
      <w:bookmarkStart w:id="244" w:name="_Toc80971385"/>
      <w:bookmarkStart w:id="245" w:name="_Toc143678220"/>
      <w:bookmarkStart w:id="246" w:name="_Toc143678739"/>
      <w:bookmarkStart w:id="247" w:name="_Toc144200519"/>
      <w:r w:rsidRPr="00A21D7D">
        <w:t>Statutory obligations</w:t>
      </w:r>
      <w:bookmarkEnd w:id="244"/>
      <w:bookmarkEnd w:id="245"/>
      <w:bookmarkEnd w:id="246"/>
      <w:bookmarkEnd w:id="247"/>
      <w:r w:rsidRPr="00A21D7D">
        <w:t xml:space="preserve"> </w:t>
      </w:r>
    </w:p>
    <w:p w14:paraId="07F1CE81" w14:textId="77777777" w:rsidR="008B3FBA" w:rsidRPr="00A21D7D" w:rsidRDefault="008B3FBA" w:rsidP="00CA5EBF">
      <w:pPr>
        <w:pStyle w:val="Heading3"/>
      </w:pPr>
      <w:bookmarkStart w:id="248" w:name="_Toc49508929"/>
      <w:bookmarkStart w:id="249" w:name="_Toc80971386"/>
      <w:r w:rsidRPr="00A21D7D">
        <w:t>Ethical behaviour</w:t>
      </w:r>
      <w:bookmarkEnd w:id="248"/>
      <w:bookmarkEnd w:id="249"/>
    </w:p>
    <w:p w14:paraId="628BE920" w14:textId="77777777" w:rsidR="008B3FBA" w:rsidRDefault="008B3FBA" w:rsidP="00EB1859">
      <w:r w:rsidRPr="00A21D7D">
        <w:t xml:space="preserve">The Code of Conduct for the Queensland Public Service applies to our staff as we are prescribed as a public service agency under the </w:t>
      </w:r>
      <w:r w:rsidRPr="00A21D7D">
        <w:rPr>
          <w:i/>
        </w:rPr>
        <w:t>Public Sector Ethics Regulation 2010</w:t>
      </w:r>
      <w:r w:rsidRPr="00A21D7D">
        <w:t xml:space="preserve">. In accordance with section 23 of the </w:t>
      </w:r>
      <w:r w:rsidRPr="00A21D7D">
        <w:rPr>
          <w:i/>
        </w:rPr>
        <w:t>Public Sector Ethics Act 1994</w:t>
      </w:r>
      <w:r w:rsidRPr="00A21D7D">
        <w:t xml:space="preserve">, all new starters are provided with information about the Code of Conduct as part of their induction program and are asked to confirm their understanding and ability to apply the code. Staff can readily access the code through our intranet and it is referenced in a variety of </w:t>
      </w:r>
      <w:r>
        <w:t>Commission</w:t>
      </w:r>
      <w:r w:rsidRPr="00A21D7D">
        <w:t xml:space="preserve"> policies and staff documents including the Workplace Behaviour policy and the staff induction manual. </w:t>
      </w:r>
    </w:p>
    <w:p w14:paraId="2C7B6EA8" w14:textId="77777777" w:rsidR="008B3FBA" w:rsidRPr="00A21D7D" w:rsidRDefault="008B3FBA" w:rsidP="00EB1859">
      <w:r w:rsidRPr="00A21D7D">
        <w:t xml:space="preserve">All staff are required to complete annual refresher training on the Code of Conduct which is monitored through the performance and development management process and an annual internal audit of staff mandatory training records. </w:t>
      </w:r>
    </w:p>
    <w:p w14:paraId="1650EA71" w14:textId="77777777" w:rsidR="008B3FBA" w:rsidRPr="00A21D7D" w:rsidRDefault="008B3FBA" w:rsidP="00EB1859">
      <w:r w:rsidRPr="00A21D7D">
        <w:t xml:space="preserve">Additionally, all staff complete annual training on </w:t>
      </w:r>
      <w:r>
        <w:t xml:space="preserve">the </w:t>
      </w:r>
      <w:r w:rsidRPr="00A21D7D">
        <w:t xml:space="preserve">Right to Information Act, information privacy, domestic and family violence awareness and cultural capability. </w:t>
      </w:r>
    </w:p>
    <w:p w14:paraId="393EA880" w14:textId="77777777" w:rsidR="008B3FBA" w:rsidRPr="00A21D7D" w:rsidRDefault="008B3FBA" w:rsidP="00CA5EBF">
      <w:pPr>
        <w:pStyle w:val="Heading3"/>
      </w:pPr>
      <w:bookmarkStart w:id="250" w:name="_Toc49508931"/>
      <w:bookmarkStart w:id="251" w:name="_Toc80971388"/>
      <w:bookmarkStart w:id="252" w:name="_Toc49508930"/>
      <w:bookmarkStart w:id="253" w:name="_Toc80971387"/>
      <w:r w:rsidRPr="00A21D7D">
        <w:t>Client complaints</w:t>
      </w:r>
      <w:bookmarkEnd w:id="250"/>
      <w:bookmarkEnd w:id="251"/>
    </w:p>
    <w:p w14:paraId="33D2F9DD" w14:textId="77777777" w:rsidR="008B3FBA" w:rsidRDefault="008B3FBA" w:rsidP="00EB1859">
      <w:r w:rsidRPr="008C2530">
        <w:t xml:space="preserve">We received </w:t>
      </w:r>
      <w:r>
        <w:t xml:space="preserve">36 </w:t>
      </w:r>
      <w:r w:rsidRPr="00A21D7D">
        <w:t xml:space="preserve">complaints about </w:t>
      </w:r>
      <w:r>
        <w:t>our</w:t>
      </w:r>
      <w:r w:rsidRPr="00A21D7D">
        <w:t xml:space="preserve"> service during 20</w:t>
      </w:r>
      <w:r>
        <w:t>22-23, compared to 26</w:t>
      </w:r>
      <w:r w:rsidRPr="00A21D7D">
        <w:t xml:space="preserve"> in 20</w:t>
      </w:r>
      <w:r>
        <w:t>21-22</w:t>
      </w:r>
      <w:r w:rsidRPr="00A21D7D">
        <w:t xml:space="preserve">. </w:t>
      </w:r>
      <w:r>
        <w:t xml:space="preserve">The increase on last year’s complaints is partly due to a changed internal process, resulting in all instances where people request to speak to a supervisor being recorded as a complaint. </w:t>
      </w:r>
      <w:r w:rsidRPr="00A21D7D">
        <w:t xml:space="preserve">All complaints were investigated and managed in accordance with </w:t>
      </w:r>
      <w:r>
        <w:t>our</w:t>
      </w:r>
      <w:r w:rsidRPr="00A21D7D">
        <w:t xml:space="preserve"> client complaint management policy.</w:t>
      </w:r>
      <w:r>
        <w:t xml:space="preserve"> The complaints were resolved in the following manner: </w:t>
      </w:r>
    </w:p>
    <w:p w14:paraId="3FC85213" w14:textId="77777777" w:rsidR="008B3FBA" w:rsidRPr="00AB2CE8" w:rsidRDefault="008B3FBA" w:rsidP="00EB1859">
      <w:pPr>
        <w:pStyle w:val="ListParagraph"/>
        <w:numPr>
          <w:ilvl w:val="0"/>
          <w:numId w:val="7"/>
        </w:numPr>
      </w:pPr>
      <w:r w:rsidRPr="00AB2CE8">
        <w:t>Explanation provided</w:t>
      </w:r>
      <w:r>
        <w:t>:</w:t>
      </w:r>
      <w:r w:rsidRPr="00AB2CE8">
        <w:t xml:space="preserve"> </w:t>
      </w:r>
      <w:r>
        <w:t>17</w:t>
      </w:r>
      <w:r w:rsidRPr="00AB2CE8">
        <w:t xml:space="preserve"> complaints</w:t>
      </w:r>
    </w:p>
    <w:p w14:paraId="030184FD" w14:textId="77777777" w:rsidR="008B3FBA" w:rsidRPr="00BC034F" w:rsidRDefault="008B3FBA" w:rsidP="00EB1859">
      <w:pPr>
        <w:pStyle w:val="ListParagraph"/>
        <w:numPr>
          <w:ilvl w:val="0"/>
          <w:numId w:val="7"/>
        </w:numPr>
      </w:pPr>
      <w:r w:rsidRPr="00BC034F">
        <w:t xml:space="preserve">Review decision – upheld: </w:t>
      </w:r>
      <w:r>
        <w:t>3</w:t>
      </w:r>
      <w:r w:rsidRPr="00BC034F">
        <w:t xml:space="preserve"> complaints</w:t>
      </w:r>
    </w:p>
    <w:p w14:paraId="6C578878" w14:textId="77777777" w:rsidR="008B3FBA" w:rsidRPr="00BC034F" w:rsidRDefault="008B3FBA" w:rsidP="00EB1859">
      <w:pPr>
        <w:pStyle w:val="ListParagraph"/>
        <w:numPr>
          <w:ilvl w:val="0"/>
          <w:numId w:val="7"/>
        </w:numPr>
      </w:pPr>
      <w:r w:rsidRPr="00BC034F">
        <w:t>Review decision – amended: 3 complaint</w:t>
      </w:r>
    </w:p>
    <w:p w14:paraId="751B4407" w14:textId="77777777" w:rsidR="008B3FBA" w:rsidRDefault="008B3FBA" w:rsidP="00EB1859">
      <w:pPr>
        <w:pStyle w:val="ListParagraph"/>
        <w:numPr>
          <w:ilvl w:val="0"/>
          <w:numId w:val="7"/>
        </w:numPr>
      </w:pPr>
      <w:r w:rsidRPr="00AB2CE8">
        <w:t>Apology</w:t>
      </w:r>
      <w:r>
        <w:t>:</w:t>
      </w:r>
      <w:r w:rsidRPr="00AB2CE8">
        <w:t xml:space="preserve"> </w:t>
      </w:r>
      <w:r>
        <w:t>4</w:t>
      </w:r>
      <w:r w:rsidRPr="00AB2CE8">
        <w:t xml:space="preserve"> complaints</w:t>
      </w:r>
    </w:p>
    <w:p w14:paraId="320DA89F" w14:textId="77777777" w:rsidR="008B3FBA" w:rsidRDefault="008B3FBA" w:rsidP="00EB1859">
      <w:pPr>
        <w:pStyle w:val="ListParagraph"/>
        <w:numPr>
          <w:ilvl w:val="0"/>
          <w:numId w:val="7"/>
        </w:numPr>
      </w:pPr>
      <w:r>
        <w:lastRenderedPageBreak/>
        <w:t xml:space="preserve">No response from complainant: 1 complaint </w:t>
      </w:r>
    </w:p>
    <w:p w14:paraId="510A9AC7" w14:textId="77777777" w:rsidR="008B3FBA" w:rsidRDefault="008B3FBA" w:rsidP="00EB1859">
      <w:pPr>
        <w:pStyle w:val="ListParagraph"/>
        <w:numPr>
          <w:ilvl w:val="0"/>
          <w:numId w:val="7"/>
        </w:numPr>
      </w:pPr>
      <w:r>
        <w:t>Rejected – frivolous/vexatious: 1 complaint</w:t>
      </w:r>
    </w:p>
    <w:p w14:paraId="1EE094EB" w14:textId="77777777" w:rsidR="008B3FBA" w:rsidRDefault="008B3FBA" w:rsidP="00EB1859">
      <w:pPr>
        <w:pStyle w:val="ListParagraph"/>
        <w:numPr>
          <w:ilvl w:val="0"/>
          <w:numId w:val="7"/>
        </w:numPr>
      </w:pPr>
      <w:r>
        <w:t>Rejected – no issues to be addressed: 1 complaint</w:t>
      </w:r>
    </w:p>
    <w:p w14:paraId="28BDBFEF" w14:textId="77777777" w:rsidR="008B3FBA" w:rsidRPr="00A21D7D" w:rsidRDefault="008B3FBA" w:rsidP="00EB1859">
      <w:pPr>
        <w:rPr>
          <w:i/>
        </w:rPr>
      </w:pPr>
      <w:r>
        <w:t>N</w:t>
      </w:r>
      <w:r w:rsidRPr="00A21D7D">
        <w:t>o client complaint investigations indicated the existence of any systemic problems.</w:t>
      </w:r>
    </w:p>
    <w:p w14:paraId="1278EF05" w14:textId="5AAA122A" w:rsidR="008B3FBA" w:rsidRPr="00A21D7D" w:rsidRDefault="008B3FBA" w:rsidP="00CA5EBF">
      <w:pPr>
        <w:pStyle w:val="Heading3"/>
      </w:pPr>
      <w:r w:rsidRPr="00A21D7D">
        <w:t>Human rights</w:t>
      </w:r>
      <w:bookmarkEnd w:id="252"/>
      <w:bookmarkEnd w:id="253"/>
    </w:p>
    <w:p w14:paraId="44765953" w14:textId="77777777" w:rsidR="008B3FBA" w:rsidRPr="00A21D7D" w:rsidRDefault="008B3FBA" w:rsidP="00EB1859">
      <w:r w:rsidRPr="00A21D7D">
        <w:t xml:space="preserve">As Queensland’s leading human rights agency, </w:t>
      </w:r>
      <w:r>
        <w:t>our</w:t>
      </w:r>
      <w:r w:rsidRPr="00A21D7D">
        <w:t xml:space="preserve"> core business is to further the objects of the </w:t>
      </w:r>
      <w:r w:rsidRPr="00FC6699">
        <w:rPr>
          <w:i/>
        </w:rPr>
        <w:t>Human Rights Act 2019</w:t>
      </w:r>
      <w:r w:rsidRPr="00A21D7D">
        <w:t>.</w:t>
      </w:r>
      <w:r>
        <w:t xml:space="preserve"> T</w:t>
      </w:r>
      <w:r w:rsidRPr="00A21D7D">
        <w:t>he objective of promoting understanding, acceptance and public discussion of human rights</w:t>
      </w:r>
      <w:r>
        <w:t xml:space="preserve"> is c</w:t>
      </w:r>
      <w:r w:rsidRPr="00A21D7D">
        <w:t>entral to the deliver</w:t>
      </w:r>
      <w:r>
        <w:t>y of all frontline services.</w:t>
      </w:r>
      <w:r w:rsidRPr="00A21D7D">
        <w:t xml:space="preserve"> </w:t>
      </w:r>
    </w:p>
    <w:p w14:paraId="0B4D9C13" w14:textId="77777777" w:rsidR="008B3FBA" w:rsidRPr="006A12CA" w:rsidRDefault="008B3FBA" w:rsidP="00EB1859">
      <w:r w:rsidRPr="00A21D7D">
        <w:t xml:space="preserve">In relation to </w:t>
      </w:r>
      <w:r>
        <w:t xml:space="preserve">the </w:t>
      </w:r>
      <w:r w:rsidRPr="00A21D7D">
        <w:t xml:space="preserve">obligations of public entities under the Act, </w:t>
      </w:r>
      <w:r>
        <w:t xml:space="preserve">we </w:t>
      </w:r>
      <w:r w:rsidRPr="00A21D7D">
        <w:t>undertook the following activities during 202</w:t>
      </w:r>
      <w:r>
        <w:t>2-23</w:t>
      </w:r>
      <w:r w:rsidRPr="00A21D7D">
        <w:t>:</w:t>
      </w:r>
    </w:p>
    <w:p w14:paraId="3B692CFD" w14:textId="77777777" w:rsidR="008B3FBA" w:rsidRPr="00A21D7D" w:rsidRDefault="008B3FBA" w:rsidP="00EB1859">
      <w:pPr>
        <w:pStyle w:val="ListParagraph"/>
        <w:numPr>
          <w:ilvl w:val="0"/>
          <w:numId w:val="4"/>
        </w:numPr>
      </w:pPr>
      <w:r w:rsidRPr="00A21D7D">
        <w:t xml:space="preserve">Ran the Human Rights </w:t>
      </w:r>
      <w:r>
        <w:t>Week</w:t>
      </w:r>
      <w:r w:rsidRPr="00A21D7D">
        <w:t xml:space="preserve"> campaign </w:t>
      </w:r>
      <w:r>
        <w:t xml:space="preserve">from 1 to 10 </w:t>
      </w:r>
      <w:r w:rsidRPr="00A21D7D">
        <w:t>December 20</w:t>
      </w:r>
      <w:r>
        <w:t>22</w:t>
      </w:r>
      <w:r w:rsidRPr="00A21D7D">
        <w:t xml:space="preserve"> to raise awareness of the Act</w:t>
      </w:r>
      <w:r>
        <w:t>;</w:t>
      </w:r>
    </w:p>
    <w:p w14:paraId="4CEFC691" w14:textId="77777777" w:rsidR="008B3FBA" w:rsidRDefault="008B3FBA" w:rsidP="00EB1859">
      <w:pPr>
        <w:pStyle w:val="ListParagraph"/>
        <w:numPr>
          <w:ilvl w:val="0"/>
          <w:numId w:val="4"/>
        </w:numPr>
      </w:pPr>
      <w:r w:rsidRPr="00A21D7D">
        <w:t>Delivered</w:t>
      </w:r>
      <w:r>
        <w:t xml:space="preserve"> </w:t>
      </w:r>
      <w:r w:rsidRPr="00A21D7D">
        <w:t xml:space="preserve">face-to-face training sessions and webinars on the </w:t>
      </w:r>
      <w:r w:rsidRPr="00FC6699">
        <w:rPr>
          <w:i/>
        </w:rPr>
        <w:t>Human Rights Act 2019</w:t>
      </w:r>
      <w:r>
        <w:t xml:space="preserve">; </w:t>
      </w:r>
    </w:p>
    <w:p w14:paraId="25A18EA8" w14:textId="77777777" w:rsidR="008B3FBA" w:rsidRDefault="008B3FBA" w:rsidP="00EB1859">
      <w:pPr>
        <w:pStyle w:val="ListParagraph"/>
        <w:numPr>
          <w:ilvl w:val="0"/>
          <w:numId w:val="4"/>
        </w:numPr>
      </w:pPr>
      <w:r>
        <w:t xml:space="preserve">Required all new staff to complete the online training module </w:t>
      </w:r>
      <w:r w:rsidRPr="00B764DC">
        <w:rPr>
          <w:i/>
        </w:rPr>
        <w:t>Public entities and the Queensland Human Rights Act 2019.</w:t>
      </w:r>
    </w:p>
    <w:p w14:paraId="41EA7EAD" w14:textId="77777777" w:rsidR="008B3FBA" w:rsidRDefault="008B3FBA" w:rsidP="00EB1859">
      <w:r>
        <w:t xml:space="preserve">Of the 36 </w:t>
      </w:r>
      <w:r w:rsidRPr="00A21D7D">
        <w:t xml:space="preserve">client complaints received by </w:t>
      </w:r>
      <w:r>
        <w:t>the Commission</w:t>
      </w:r>
      <w:r w:rsidRPr="00A21D7D">
        <w:t xml:space="preserve"> </w:t>
      </w:r>
      <w:r>
        <w:t xml:space="preserve">this year 13 </w:t>
      </w:r>
      <w:r w:rsidRPr="00A21D7D">
        <w:t>w</w:t>
      </w:r>
      <w:r w:rsidRPr="00B764DC">
        <w:t xml:space="preserve">ere assessed as being human rights complaints. </w:t>
      </w:r>
      <w:r>
        <w:t>This means that d</w:t>
      </w:r>
      <w:r w:rsidRPr="00B764DC">
        <w:t>uring the process of assessing and investigating the</w:t>
      </w:r>
      <w:r>
        <w:t>se</w:t>
      </w:r>
      <w:r w:rsidRPr="00B764DC">
        <w:t xml:space="preserve"> complaints</w:t>
      </w:r>
      <w:r>
        <w:t>,</w:t>
      </w:r>
      <w:r w:rsidRPr="00B764DC">
        <w:t xml:space="preserve"> our staff identified human rights that were engaged by the actions and decisions of the Commission. In</w:t>
      </w:r>
      <w:r>
        <w:t xml:space="preserve"> </w:t>
      </w:r>
      <w:r w:rsidRPr="00875493">
        <w:t>all</w:t>
      </w:r>
      <w:r w:rsidRPr="001D67D7">
        <w:t xml:space="preserve"> </w:t>
      </w:r>
      <w:r w:rsidRPr="00875493">
        <w:t>instances</w:t>
      </w:r>
      <w:r w:rsidRPr="00B764DC">
        <w:t xml:space="preserve"> it was determined through investigation that human rights were not unjustifiably limited. </w:t>
      </w:r>
      <w:r>
        <w:t>5</w:t>
      </w:r>
      <w:r w:rsidRPr="00B764DC">
        <w:t xml:space="preserve"> of the complaints were resolved through an explanation of legislative requirements and procedures relating to the conciliation process.</w:t>
      </w:r>
      <w:r w:rsidRPr="00A21D7D">
        <w:t xml:space="preserve"> </w:t>
      </w:r>
      <w:r>
        <w:t xml:space="preserve">The remaining 8 human rights complaints were resolved by: </w:t>
      </w:r>
    </w:p>
    <w:p w14:paraId="5C0A7CCD" w14:textId="77777777" w:rsidR="008B3FBA" w:rsidRDefault="008B3FBA" w:rsidP="00EB1859">
      <w:pPr>
        <w:pStyle w:val="ListParagraph"/>
        <w:numPr>
          <w:ilvl w:val="0"/>
          <w:numId w:val="19"/>
        </w:numPr>
      </w:pPr>
      <w:r>
        <w:t xml:space="preserve">Apology: 2 complaints </w:t>
      </w:r>
    </w:p>
    <w:p w14:paraId="1962A907" w14:textId="77777777" w:rsidR="008B3FBA" w:rsidRDefault="008B3FBA" w:rsidP="00EB1859">
      <w:pPr>
        <w:pStyle w:val="ListParagraph"/>
        <w:numPr>
          <w:ilvl w:val="0"/>
          <w:numId w:val="19"/>
        </w:numPr>
      </w:pPr>
      <w:r>
        <w:t xml:space="preserve">Review decision – upheld: 2 complaints </w:t>
      </w:r>
    </w:p>
    <w:p w14:paraId="78FB423D" w14:textId="77777777" w:rsidR="008B3FBA" w:rsidRDefault="008B3FBA" w:rsidP="00EB1859">
      <w:pPr>
        <w:pStyle w:val="ListParagraph"/>
        <w:numPr>
          <w:ilvl w:val="0"/>
          <w:numId w:val="19"/>
        </w:numPr>
      </w:pPr>
      <w:r>
        <w:t xml:space="preserve">Review decision – amended: 2 complaints </w:t>
      </w:r>
    </w:p>
    <w:p w14:paraId="5A29100D" w14:textId="77777777" w:rsidR="008B3FBA" w:rsidRDefault="008B3FBA" w:rsidP="00EB1859">
      <w:pPr>
        <w:pStyle w:val="ListParagraph"/>
        <w:numPr>
          <w:ilvl w:val="0"/>
          <w:numId w:val="19"/>
        </w:numPr>
      </w:pPr>
      <w:r>
        <w:t xml:space="preserve">Rejected – 1 complaint </w:t>
      </w:r>
    </w:p>
    <w:p w14:paraId="7459A028" w14:textId="77777777" w:rsidR="008B3FBA" w:rsidRDefault="008B3FBA" w:rsidP="00EB1859">
      <w:pPr>
        <w:pStyle w:val="ListParagraph"/>
        <w:numPr>
          <w:ilvl w:val="0"/>
          <w:numId w:val="19"/>
        </w:numPr>
      </w:pPr>
      <w:r>
        <w:t xml:space="preserve">No response from complainant – 1 complaint </w:t>
      </w:r>
    </w:p>
    <w:p w14:paraId="2D620BC7" w14:textId="77777777" w:rsidR="008B3FBA" w:rsidRPr="006A12CA" w:rsidRDefault="008B3FBA" w:rsidP="00EB1859">
      <w:r w:rsidRPr="006A12CA">
        <w:t xml:space="preserve">Human rights identified in client complaints included: </w:t>
      </w:r>
    </w:p>
    <w:p w14:paraId="256AA4D7" w14:textId="77777777" w:rsidR="008B3FBA" w:rsidRPr="006A12CA" w:rsidRDefault="008B3FBA" w:rsidP="00EB1859">
      <w:pPr>
        <w:pStyle w:val="ListParagraph"/>
        <w:numPr>
          <w:ilvl w:val="0"/>
          <w:numId w:val="20"/>
        </w:numPr>
      </w:pPr>
      <w:r w:rsidRPr="006A12CA">
        <w:t>Right to recognition and equality before the law;</w:t>
      </w:r>
    </w:p>
    <w:p w14:paraId="074293E4" w14:textId="77777777" w:rsidR="008B3FBA" w:rsidRPr="006A12CA" w:rsidRDefault="008B3FBA" w:rsidP="00EB1859">
      <w:pPr>
        <w:pStyle w:val="ListParagraph"/>
        <w:numPr>
          <w:ilvl w:val="0"/>
          <w:numId w:val="20"/>
        </w:numPr>
      </w:pPr>
      <w:r w:rsidRPr="006A12CA">
        <w:t xml:space="preserve">Right to a fair hearing; </w:t>
      </w:r>
    </w:p>
    <w:p w14:paraId="203045C1" w14:textId="77777777" w:rsidR="008B3FBA" w:rsidRPr="006A12CA" w:rsidRDefault="008B3FBA" w:rsidP="00EB1859">
      <w:pPr>
        <w:pStyle w:val="ListParagraph"/>
        <w:numPr>
          <w:ilvl w:val="0"/>
          <w:numId w:val="20"/>
        </w:numPr>
      </w:pPr>
      <w:r w:rsidRPr="006A12CA">
        <w:t>Right to privacy and reputation; and</w:t>
      </w:r>
    </w:p>
    <w:p w14:paraId="76F0D23B" w14:textId="77777777" w:rsidR="008B3FBA" w:rsidRPr="006A12CA" w:rsidRDefault="008B3FBA" w:rsidP="00EB1859">
      <w:pPr>
        <w:pStyle w:val="ListParagraph"/>
        <w:numPr>
          <w:ilvl w:val="0"/>
          <w:numId w:val="20"/>
        </w:numPr>
        <w:rPr>
          <w:rFonts w:cs="Arial"/>
          <w:color w:val="000000"/>
          <w:szCs w:val="22"/>
        </w:rPr>
      </w:pPr>
      <w:r w:rsidRPr="006A12CA">
        <w:t>Cultural rights.</w:t>
      </w:r>
    </w:p>
    <w:p w14:paraId="3F9D509E" w14:textId="77777777" w:rsidR="00A90D6A" w:rsidRDefault="00A90D6A">
      <w:pPr>
        <w:ind w:right="0"/>
        <w:rPr>
          <w:color w:val="000000" w:themeColor="text1"/>
          <w:sz w:val="28"/>
        </w:rPr>
      </w:pPr>
      <w:bookmarkStart w:id="254" w:name="_Toc49508932"/>
      <w:bookmarkStart w:id="255" w:name="_Toc80971389"/>
      <w:bookmarkStart w:id="256" w:name="_Hlk107233831"/>
      <w:r>
        <w:br w:type="page"/>
      </w:r>
    </w:p>
    <w:p w14:paraId="0857676B" w14:textId="1080FE02" w:rsidR="008B3FBA" w:rsidRPr="00A21D7D" w:rsidRDefault="008B3FBA" w:rsidP="00BD5D1A">
      <w:pPr>
        <w:pStyle w:val="Heading3"/>
      </w:pPr>
      <w:r w:rsidRPr="006A12CA">
        <w:lastRenderedPageBreak/>
        <w:t>Information systems and recordkeeping</w:t>
      </w:r>
      <w:bookmarkEnd w:id="254"/>
      <w:bookmarkEnd w:id="255"/>
    </w:p>
    <w:p w14:paraId="7C9FE271" w14:textId="77777777" w:rsidR="00BD5D1A" w:rsidRDefault="00BD5D1A" w:rsidP="00BD5D1A">
      <w:pPr>
        <w:rPr>
          <w:rFonts w:cs="Arial"/>
        </w:rPr>
      </w:pPr>
      <w:bookmarkStart w:id="257" w:name="_Toc49508933"/>
      <w:bookmarkStart w:id="258" w:name="_Toc80971390"/>
      <w:bookmarkEnd w:id="256"/>
      <w:r>
        <w:rPr>
          <w:rFonts w:cs="Arial"/>
        </w:rPr>
        <w:t xml:space="preserve">The Commission uses </w:t>
      </w:r>
      <w:proofErr w:type="spellStart"/>
      <w:r>
        <w:rPr>
          <w:rFonts w:cs="Arial"/>
        </w:rPr>
        <w:t>RecFind</w:t>
      </w:r>
      <w:proofErr w:type="spellEnd"/>
      <w:r>
        <w:rPr>
          <w:rFonts w:cs="Arial"/>
        </w:rPr>
        <w:t xml:space="preserve"> as its electronic documents and records management system (EDRMS). We have fully transitioned to digital records; however, we have made the decision to convert to a digital format any physical source records that involve complaints, and retain the physical source record for as long as the digital record is retained. Physical source records that do not involve a complaint are converted to a digital format and then securely destroyed in accordance with General Records and Disposal Schedule (GRDS) reference 2074. Our core Retention and Disposal Schedule is QDAN568 v2; last reviewed 14 January 2015.</w:t>
      </w:r>
    </w:p>
    <w:p w14:paraId="65C7ABE5" w14:textId="77777777" w:rsidR="00BD5D1A" w:rsidRDefault="00BD5D1A" w:rsidP="00BD5D1A">
      <w:pPr>
        <w:rPr>
          <w:rFonts w:cs="Arial"/>
        </w:rPr>
      </w:pPr>
      <w:r>
        <w:rPr>
          <w:rFonts w:cs="Arial"/>
        </w:rPr>
        <w:t xml:space="preserve">In support of the general retention and disposal schedule that includes sentencing of complaints involving vulnerable people, the Commission retains all complaint files for 100 years. We have not transferred any records to Queensland State Archives. As a result of the establishment of Queensland Civil and Administrative Tribunal (QCAT) in 2009, signed conciliation agreements are transferred to QCAT. </w:t>
      </w:r>
    </w:p>
    <w:p w14:paraId="67BB96DB" w14:textId="77777777" w:rsidR="00BD5D1A" w:rsidRDefault="00BD5D1A" w:rsidP="00BD5D1A">
      <w:pPr>
        <w:rPr>
          <w:rFonts w:cs="Arial"/>
        </w:rPr>
      </w:pPr>
      <w:r>
        <w:rPr>
          <w:rFonts w:cs="Arial"/>
        </w:rPr>
        <w:t xml:space="preserve">In the reporting period there was one information security incident which was managed in accordance with the </w:t>
      </w:r>
      <w:r>
        <w:rPr>
          <w:rFonts w:cs="Arial"/>
          <w:i/>
          <w:iCs/>
        </w:rPr>
        <w:t>Information Privacy Act 2009</w:t>
      </w:r>
      <w:r>
        <w:rPr>
          <w:rFonts w:cs="Arial"/>
        </w:rPr>
        <w:t xml:space="preserve"> (Qld) and the </w:t>
      </w:r>
      <w:r>
        <w:rPr>
          <w:rFonts w:cs="Arial"/>
          <w:i/>
          <w:iCs/>
        </w:rPr>
        <w:t xml:space="preserve">Human Rights Act 2019 </w:t>
      </w:r>
      <w:r>
        <w:rPr>
          <w:rFonts w:cs="Arial"/>
        </w:rPr>
        <w:t xml:space="preserve">(Qld) and reported to relevant state and federal authorities. New security measures and additional in-house IT capacity have been introduced in response. We recognise the significant value of our information resources and as such records management and the security of the information we hold is a priority. </w:t>
      </w:r>
    </w:p>
    <w:p w14:paraId="1E1E8894" w14:textId="77777777" w:rsidR="00BD5D1A" w:rsidRDefault="00BD5D1A" w:rsidP="00BD5D1A">
      <w:pPr>
        <w:rPr>
          <w:rFonts w:cs="Arial"/>
        </w:rPr>
      </w:pPr>
      <w:r>
        <w:rPr>
          <w:rFonts w:cs="Arial"/>
        </w:rPr>
        <w:t xml:space="preserve">Upon commencement at the Commission, all staff undertake an online records management tutorial provided by Queensland State Archives in addition to an induction conducted by our records management officer. </w:t>
      </w:r>
    </w:p>
    <w:p w14:paraId="50E6CEE3" w14:textId="77777777" w:rsidR="00BD5D1A" w:rsidRDefault="00BD5D1A" w:rsidP="00BD5D1A">
      <w:pPr>
        <w:rPr>
          <w:rFonts w:cs="Arial"/>
          <w:szCs w:val="22"/>
        </w:rPr>
      </w:pPr>
      <w:r>
        <w:rPr>
          <w:rFonts w:cs="Arial"/>
        </w:rPr>
        <w:t xml:space="preserve">The records management officer provides regular updates to the Executive Leadership Team about records management practices and ensures policies and procedures manuals are reviewed and updated accordingly. </w:t>
      </w:r>
    </w:p>
    <w:p w14:paraId="00CC84CB" w14:textId="77777777" w:rsidR="008B3FBA" w:rsidRPr="00A21D7D" w:rsidRDefault="008B3FBA" w:rsidP="00CA5EBF">
      <w:pPr>
        <w:pStyle w:val="Heading3"/>
      </w:pPr>
      <w:r w:rsidRPr="00A21D7D">
        <w:t>Internal and external audit</w:t>
      </w:r>
      <w:bookmarkEnd w:id="257"/>
      <w:bookmarkEnd w:id="258"/>
      <w:r w:rsidRPr="00A21D7D">
        <w:t xml:space="preserve"> </w:t>
      </w:r>
    </w:p>
    <w:p w14:paraId="410F0F53" w14:textId="77777777" w:rsidR="008B3FBA" w:rsidRPr="00A21D7D" w:rsidRDefault="008B3FBA" w:rsidP="00EB1859">
      <w:pPr>
        <w:rPr>
          <w:color w:val="FF0000"/>
        </w:rPr>
      </w:pPr>
      <w:r w:rsidRPr="00A21D7D">
        <w:t xml:space="preserve">Internal audit services are provided on an as needed basis to the </w:t>
      </w:r>
      <w:r>
        <w:t>Commission</w:t>
      </w:r>
      <w:r w:rsidRPr="00A21D7D">
        <w:t xml:space="preserve"> under a service level agreement with the Department of Justice and Attorney-General. The size of the </w:t>
      </w:r>
      <w:r>
        <w:t>Commission</w:t>
      </w:r>
      <w:r w:rsidRPr="00A21D7D">
        <w:t xml:space="preserve"> is such that a formal Audit Committee is not required. The responsibilities associated with internal audit and the maintenance of an appropriate internal control framework are discharged by the Executive Leadership Team. A copy of the external audit report and certificate of our financial statements are supplied with this report. </w:t>
      </w:r>
    </w:p>
    <w:p w14:paraId="79CBCA1A" w14:textId="77777777" w:rsidR="008B3FBA" w:rsidRPr="00A21D7D" w:rsidRDefault="008B3FBA" w:rsidP="00CA5EBF">
      <w:pPr>
        <w:pStyle w:val="Heading3"/>
      </w:pPr>
      <w:bookmarkStart w:id="259" w:name="_Toc49508934"/>
      <w:bookmarkStart w:id="260" w:name="_Toc80971391"/>
      <w:r w:rsidRPr="00A21D7D">
        <w:t>Risk management</w:t>
      </w:r>
      <w:bookmarkEnd w:id="259"/>
      <w:bookmarkEnd w:id="260"/>
      <w:r w:rsidRPr="00A21D7D">
        <w:t xml:space="preserve"> </w:t>
      </w:r>
    </w:p>
    <w:p w14:paraId="1A1542C8" w14:textId="77777777" w:rsidR="008B3FBA" w:rsidRPr="00A21D7D" w:rsidRDefault="008B3FBA" w:rsidP="00EB1859">
      <w:r w:rsidRPr="00A21D7D">
        <w:t xml:space="preserve">Our governance and assurance strategies for risk management reflect the functions and size of our agency. The Executive Leadership Team provides oversight of our risk management framework and operational management of risks. </w:t>
      </w:r>
    </w:p>
    <w:p w14:paraId="3CAFA588" w14:textId="77777777" w:rsidR="008B3FBA" w:rsidRPr="00A21D7D" w:rsidRDefault="008B3FBA" w:rsidP="00CA5EBF">
      <w:pPr>
        <w:pStyle w:val="Heading3"/>
      </w:pPr>
      <w:bookmarkStart w:id="261" w:name="_Toc49508935"/>
      <w:bookmarkStart w:id="262" w:name="_Toc80971392"/>
      <w:r w:rsidRPr="00A21D7D">
        <w:lastRenderedPageBreak/>
        <w:t>Early retirement, redundancy and retrenchment</w:t>
      </w:r>
      <w:bookmarkEnd w:id="261"/>
      <w:bookmarkEnd w:id="262"/>
      <w:r w:rsidRPr="00A21D7D">
        <w:t xml:space="preserve"> </w:t>
      </w:r>
    </w:p>
    <w:p w14:paraId="396E390F" w14:textId="77777777" w:rsidR="008B3FBA" w:rsidRDefault="008B3FBA" w:rsidP="00EB1859">
      <w:pPr>
        <w:rPr>
          <w:i/>
        </w:rPr>
      </w:pPr>
      <w:r>
        <w:t>No redundancy, early retirement, or retrenchment packages were paid during the period.</w:t>
      </w:r>
    </w:p>
    <w:p w14:paraId="548FC871" w14:textId="77777777" w:rsidR="008B3FBA" w:rsidRPr="00A21D7D" w:rsidRDefault="008B3FBA" w:rsidP="00CA5EBF">
      <w:pPr>
        <w:pStyle w:val="Heading3"/>
      </w:pPr>
      <w:bookmarkStart w:id="263" w:name="_Toc49508936"/>
      <w:bookmarkStart w:id="264" w:name="_Toc80971393"/>
      <w:r w:rsidRPr="00A21D7D">
        <w:t>Open data</w:t>
      </w:r>
      <w:bookmarkEnd w:id="263"/>
      <w:bookmarkEnd w:id="264"/>
    </w:p>
    <w:p w14:paraId="2B0988A5" w14:textId="77777777" w:rsidR="008B3FBA" w:rsidRPr="008D5465" w:rsidRDefault="008B3FBA" w:rsidP="00EB1859">
      <w:r w:rsidRPr="00A21D7D">
        <w:t xml:space="preserve">The Commission publishes annual data on consultancies, overseas travel and language services at </w:t>
      </w:r>
      <w:hyperlink r:id="rId19" w:history="1">
        <w:r w:rsidRPr="00A21D7D">
          <w:rPr>
            <w:rStyle w:val="Hyperlink"/>
            <w:rFonts w:cs="Arial"/>
          </w:rPr>
          <w:t>https://data.qld.gov.au</w:t>
        </w:r>
      </w:hyperlink>
      <w:r w:rsidRPr="00A21D7D">
        <w:t>.</w:t>
      </w:r>
      <w:r>
        <w:t xml:space="preserve"> </w:t>
      </w:r>
    </w:p>
    <w:p w14:paraId="2814845D" w14:textId="1FF48757" w:rsidR="008B3FBA" w:rsidRDefault="008B3FBA" w:rsidP="00EB1859">
      <w:r>
        <w:br w:type="page"/>
      </w:r>
    </w:p>
    <w:p w14:paraId="262813CA" w14:textId="77777777" w:rsidR="008B3FBA" w:rsidRPr="00A21D7D" w:rsidRDefault="008B3FBA" w:rsidP="00CA5EBF">
      <w:pPr>
        <w:pStyle w:val="Heading1"/>
      </w:pPr>
      <w:bookmarkStart w:id="265" w:name="_Toc80971394"/>
      <w:bookmarkStart w:id="266" w:name="_Toc143678740"/>
      <w:bookmarkStart w:id="267" w:name="_Toc144200520"/>
      <w:r w:rsidRPr="00A21D7D">
        <w:lastRenderedPageBreak/>
        <w:t>Summary of financial performance</w:t>
      </w:r>
      <w:bookmarkEnd w:id="265"/>
      <w:bookmarkEnd w:id="266"/>
      <w:bookmarkEnd w:id="267"/>
      <w:r w:rsidRPr="00A21D7D">
        <w:t xml:space="preserve"> </w:t>
      </w:r>
    </w:p>
    <w:p w14:paraId="6A8BFC41" w14:textId="77777777" w:rsidR="008B3FBA" w:rsidRPr="00A21D7D" w:rsidRDefault="008B3FBA" w:rsidP="00CA5EBF">
      <w:pPr>
        <w:pStyle w:val="Heading2"/>
      </w:pPr>
      <w:bookmarkStart w:id="268" w:name="_Toc80971395"/>
      <w:bookmarkStart w:id="269" w:name="_Toc143678222"/>
      <w:bookmarkStart w:id="270" w:name="_Toc143678741"/>
      <w:bookmarkStart w:id="271" w:name="_Toc144200521"/>
      <w:r>
        <w:t>Financial g</w:t>
      </w:r>
      <w:r w:rsidRPr="00A21D7D">
        <w:t>overnance</w:t>
      </w:r>
      <w:bookmarkEnd w:id="268"/>
      <w:bookmarkEnd w:id="269"/>
      <w:bookmarkEnd w:id="270"/>
      <w:bookmarkEnd w:id="271"/>
    </w:p>
    <w:p w14:paraId="17593B95" w14:textId="77777777" w:rsidR="008B3FBA" w:rsidRPr="009C6263" w:rsidRDefault="008B3FBA" w:rsidP="00EB1859">
      <w:r w:rsidRPr="00A21D7D">
        <w:t xml:space="preserve">The Commission is managed in accordance with the requirements of the </w:t>
      </w:r>
      <w:r w:rsidRPr="00D02A58">
        <w:rPr>
          <w:i/>
          <w:iCs/>
        </w:rPr>
        <w:t>Financial Accountability Act 2009</w:t>
      </w:r>
      <w:r w:rsidRPr="00A21D7D">
        <w:t xml:space="preserve">, the Financial and Performance Management Standard 2019, the </w:t>
      </w:r>
      <w:r w:rsidRPr="00D02A58">
        <w:rPr>
          <w:i/>
          <w:iCs/>
        </w:rPr>
        <w:t>Statutory Bodies Financial Arrangements Act 1982</w:t>
      </w:r>
      <w:r w:rsidRPr="00A21D7D">
        <w:t xml:space="preserve">, the </w:t>
      </w:r>
      <w:r w:rsidRPr="00D02A58">
        <w:rPr>
          <w:i/>
          <w:iCs/>
        </w:rPr>
        <w:t>Anti-Discrimination Act 1991</w:t>
      </w:r>
      <w:r w:rsidRPr="00A21D7D">
        <w:t xml:space="preserve"> and the </w:t>
      </w:r>
      <w:r w:rsidRPr="00D02A58">
        <w:rPr>
          <w:i/>
          <w:iCs/>
        </w:rPr>
        <w:t>Human Rights Act 2019</w:t>
      </w:r>
      <w:r w:rsidRPr="009C6263">
        <w:t>.</w:t>
      </w:r>
    </w:p>
    <w:p w14:paraId="554F812B" w14:textId="77777777" w:rsidR="008B3FBA" w:rsidRPr="00A21D7D" w:rsidRDefault="008B3FBA" w:rsidP="00CA5EBF">
      <w:pPr>
        <w:pStyle w:val="Heading2"/>
      </w:pPr>
      <w:bookmarkStart w:id="272" w:name="_Toc80971396"/>
      <w:bookmarkStart w:id="273" w:name="_Toc143678223"/>
      <w:bookmarkStart w:id="274" w:name="_Toc143678742"/>
      <w:bookmarkStart w:id="275" w:name="_Toc144200522"/>
      <w:r w:rsidRPr="009C6263">
        <w:t xml:space="preserve">Financial summary </w:t>
      </w:r>
      <w:bookmarkEnd w:id="272"/>
      <w:r>
        <w:t>2022-23</w:t>
      </w:r>
      <w:bookmarkEnd w:id="273"/>
      <w:bookmarkEnd w:id="274"/>
      <w:bookmarkEnd w:id="275"/>
    </w:p>
    <w:p w14:paraId="661B37BE" w14:textId="77777777" w:rsidR="008B3FBA" w:rsidRPr="00C775BC" w:rsidRDefault="008B3FBA" w:rsidP="00EB1859">
      <w:pPr>
        <w:rPr>
          <w:highlight w:val="yellow"/>
        </w:rPr>
      </w:pPr>
      <w:r w:rsidRPr="00275A7C">
        <w:t xml:space="preserve">This summary provides an overview of the Commission’s financial performance for </w:t>
      </w:r>
      <w:r>
        <w:t>2022-23</w:t>
      </w:r>
      <w:r w:rsidRPr="00275A7C">
        <w:t xml:space="preserve"> and a comparison with 202</w:t>
      </w:r>
      <w:r>
        <w:t>1</w:t>
      </w:r>
      <w:r w:rsidRPr="00275A7C">
        <w:t>-2</w:t>
      </w:r>
      <w:r>
        <w:t>2</w:t>
      </w:r>
      <w:r w:rsidRPr="00275A7C">
        <w:t xml:space="preserve">. </w:t>
      </w:r>
      <w:r w:rsidRPr="007A317C">
        <w:t xml:space="preserve">A detailed view of the financial performance for 2022-23 is provided in the financial statements included in </w:t>
      </w:r>
      <w:r w:rsidRPr="00D54238">
        <w:t>Appendix F</w:t>
      </w:r>
      <w:r w:rsidRPr="007A317C">
        <w:t xml:space="preserve"> of this annual report</w:t>
      </w:r>
      <w:r>
        <w:t xml:space="preserve">. </w:t>
      </w:r>
    </w:p>
    <w:p w14:paraId="3D366E28" w14:textId="3511B946" w:rsidR="008B3FBA" w:rsidRPr="00C775BC" w:rsidRDefault="008B3FBA" w:rsidP="00EB1859">
      <w:pPr>
        <w:rPr>
          <w:highlight w:val="yellow"/>
        </w:rPr>
      </w:pPr>
      <w:r w:rsidRPr="003330CF">
        <w:t>The operating result for the Commission for 2022-23 was a surplus of approximately $</w:t>
      </w:r>
      <w:r>
        <w:t xml:space="preserve">1.572M. This is a result of vacant positions across the Commission during the year, recognition of grant revenue for completion of </w:t>
      </w:r>
      <w:r w:rsidRPr="00216B32">
        <w:rPr>
          <w:i/>
          <w:iCs/>
        </w:rPr>
        <w:t>Anti-Discrimination Act 1991</w:t>
      </w:r>
      <w:r>
        <w:t xml:space="preserve"> review, less than anticipated expenditure for supplies and services,</w:t>
      </w:r>
      <w:r w:rsidRPr="000E5E8F">
        <w:t xml:space="preserve"> </w:t>
      </w:r>
      <w:r>
        <w:t>increased interest revenue, and increased demand for training.</w:t>
      </w:r>
      <w:r w:rsidR="007A61EC">
        <w:t xml:space="preserve"> </w:t>
      </w:r>
    </w:p>
    <w:p w14:paraId="6C2CD137" w14:textId="77777777" w:rsidR="008B3FBA" w:rsidRDefault="008B3FBA" w:rsidP="00EB1859">
      <w:r>
        <w:t>From</w:t>
      </w:r>
      <w:r w:rsidRPr="00B57B20">
        <w:t xml:space="preserve"> 2022-23,</w:t>
      </w:r>
      <w:r>
        <w:t xml:space="preserve"> the Commission received additional funding of $2.670M and 16.5 FTEs, of which, $0.764M and 4 FTEs are ongoing from 2023-24. This additional funding allows for increased capacity of frontline services in complaints and enquires to meet an ongoing demand for services. The Queensland government extended the limited life funding of $1.318M in 2023-24 for the Commission to reduce the extended wait times caused by large numbers of incoming complaints to a sustainable level. </w:t>
      </w:r>
    </w:p>
    <w:p w14:paraId="0E631F46" w14:textId="77777777" w:rsidR="008B3FBA" w:rsidRPr="0055524F" w:rsidRDefault="008B3FBA" w:rsidP="00CA5EBF">
      <w:pPr>
        <w:pStyle w:val="Heading2"/>
      </w:pPr>
      <w:bookmarkStart w:id="276" w:name="_Toc80971397"/>
      <w:bookmarkStart w:id="277" w:name="_Toc143678224"/>
      <w:bookmarkStart w:id="278" w:name="_Toc143678743"/>
      <w:bookmarkStart w:id="279" w:name="_Toc144200523"/>
      <w:r w:rsidRPr="0055524F">
        <w:t>Income</w:t>
      </w:r>
      <w:bookmarkEnd w:id="276"/>
      <w:bookmarkEnd w:id="277"/>
      <w:bookmarkEnd w:id="278"/>
      <w:bookmarkEnd w:id="279"/>
    </w:p>
    <w:p w14:paraId="0BB37050" w14:textId="30E405C6" w:rsidR="008B3FBA" w:rsidRPr="0055524F" w:rsidRDefault="008B3FBA" w:rsidP="00EB1859">
      <w:r w:rsidRPr="0055524F">
        <w:t>The Commission derives most of its income from the Queensland Government through a grant paid by the Department of Justice and Attorney-General. The Commission also</w:t>
      </w:r>
      <w:r>
        <w:t xml:space="preserve"> provides some services on a fee for service basis, including training and our advisory and consultancy services.</w:t>
      </w:r>
      <w:r w:rsidR="007A61EC">
        <w:t xml:space="preserve"> </w:t>
      </w:r>
      <w:r>
        <w:t>Interest is also generated based on cash held with the Commission’s financial institution.</w:t>
      </w:r>
    </w:p>
    <w:p w14:paraId="7DE86328" w14:textId="77777777" w:rsidR="008B3FBA" w:rsidRDefault="008B3FBA" w:rsidP="00EB1859">
      <w:bookmarkStart w:id="280" w:name="_Hlk143615689"/>
      <w:r w:rsidRPr="000C4739">
        <w:t>Training revenue increased by $45K (21%) on 2021-22.</w:t>
      </w:r>
      <w:r>
        <w:t xml:space="preserve"> </w:t>
      </w:r>
    </w:p>
    <w:bookmarkEnd w:id="280"/>
    <w:p w14:paraId="5730FB47" w14:textId="77777777" w:rsidR="008B3FBA" w:rsidRPr="00F45B73" w:rsidRDefault="008B3FBA" w:rsidP="00EB1859">
      <w:r>
        <w:t xml:space="preserve">The Commission received $64K for </w:t>
      </w:r>
      <w:r w:rsidRPr="00E738D2">
        <w:t>costs recovered</w:t>
      </w:r>
      <w:r>
        <w:t xml:space="preserve"> from a Queensland public sector duty holder for scoping of an independent review to commence in 2023-24.</w:t>
      </w:r>
    </w:p>
    <w:p w14:paraId="0D24B57A" w14:textId="77777777" w:rsidR="008B3FBA" w:rsidRDefault="008B3FBA" w:rsidP="00EB1859">
      <w:r w:rsidRPr="00E64705">
        <w:t>Interest and other revenue increased by</w:t>
      </w:r>
      <w:r>
        <w:t xml:space="preserve"> $143K (790%)</w:t>
      </w:r>
      <w:r w:rsidRPr="00E64705">
        <w:t xml:space="preserve"> in 2022-23, </w:t>
      </w:r>
      <w:r>
        <w:t>which is</w:t>
      </w:r>
      <w:r w:rsidRPr="00E64705">
        <w:t xml:space="preserve"> due to increased grant revenue contributing to higher cash holdings, combined with recent interest rate rises. </w:t>
      </w:r>
    </w:p>
    <w:p w14:paraId="1EA15D01" w14:textId="77777777" w:rsidR="00D02A58" w:rsidRDefault="00D02A58" w:rsidP="00EB1859">
      <w:pPr>
        <w:pStyle w:val="Caption"/>
      </w:pPr>
    </w:p>
    <w:p w14:paraId="5452C543" w14:textId="792F1764" w:rsidR="008B3FBA" w:rsidRPr="00813375" w:rsidRDefault="008B3FBA" w:rsidP="00EB1859">
      <w:pPr>
        <w:pStyle w:val="Caption"/>
      </w:pPr>
      <w:r w:rsidRPr="00D54238">
        <w:lastRenderedPageBreak/>
        <w:t xml:space="preserve">Table </w:t>
      </w:r>
      <w:r w:rsidR="00D54238" w:rsidRPr="00D54238">
        <w:t>9</w:t>
      </w:r>
      <w:r w:rsidRPr="00D54238">
        <w:t>: Statement of comprehensive income</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5"/>
        <w:gridCol w:w="992"/>
        <w:gridCol w:w="992"/>
      </w:tblGrid>
      <w:tr w:rsidR="008B3FBA" w:rsidRPr="00C775BC" w14:paraId="1B7209A0" w14:textId="77777777" w:rsidTr="00D02A58">
        <w:tc>
          <w:tcPr>
            <w:tcW w:w="4815" w:type="dxa"/>
            <w:shd w:val="clear" w:color="auto" w:fill="auto"/>
          </w:tcPr>
          <w:p w14:paraId="0666812C" w14:textId="77777777" w:rsidR="008B3FBA" w:rsidRPr="00813375" w:rsidRDefault="008B3FBA" w:rsidP="00EB1859">
            <w:pPr>
              <w:pStyle w:val="TableTextHeading"/>
            </w:pPr>
          </w:p>
        </w:tc>
        <w:tc>
          <w:tcPr>
            <w:tcW w:w="992" w:type="dxa"/>
            <w:shd w:val="clear" w:color="auto" w:fill="auto"/>
          </w:tcPr>
          <w:p w14:paraId="257622B1" w14:textId="77777777" w:rsidR="008B3FBA" w:rsidRPr="00813375" w:rsidRDefault="008B3FBA" w:rsidP="00EB1859">
            <w:pPr>
              <w:pStyle w:val="TableTextHeading"/>
            </w:pPr>
            <w:r w:rsidRPr="00813375">
              <w:t>2022-23</w:t>
            </w:r>
          </w:p>
          <w:p w14:paraId="401DB27F" w14:textId="77777777" w:rsidR="008B3FBA" w:rsidRPr="00813375" w:rsidRDefault="008B3FBA" w:rsidP="00EB1859">
            <w:pPr>
              <w:pStyle w:val="TableTextHeading"/>
            </w:pPr>
            <w:r w:rsidRPr="00813375">
              <w:t>($’000)</w:t>
            </w:r>
          </w:p>
        </w:tc>
        <w:tc>
          <w:tcPr>
            <w:tcW w:w="992" w:type="dxa"/>
            <w:shd w:val="clear" w:color="auto" w:fill="auto"/>
          </w:tcPr>
          <w:p w14:paraId="4E5595F1" w14:textId="77777777" w:rsidR="008B3FBA" w:rsidRPr="00813375" w:rsidRDefault="008B3FBA" w:rsidP="00EB1859">
            <w:pPr>
              <w:pStyle w:val="TableTextHeading"/>
            </w:pPr>
            <w:r w:rsidRPr="00813375">
              <w:t>2021-22</w:t>
            </w:r>
          </w:p>
          <w:p w14:paraId="4466164B" w14:textId="77777777" w:rsidR="008B3FBA" w:rsidRPr="00813375" w:rsidRDefault="008B3FBA" w:rsidP="00EB1859">
            <w:pPr>
              <w:pStyle w:val="TableTextHeading"/>
            </w:pPr>
            <w:r w:rsidRPr="00813375">
              <w:t>($’000)</w:t>
            </w:r>
          </w:p>
        </w:tc>
      </w:tr>
      <w:tr w:rsidR="008B3FBA" w:rsidRPr="00C775BC" w14:paraId="3692B3AB" w14:textId="77777777" w:rsidTr="00D02A58">
        <w:tc>
          <w:tcPr>
            <w:tcW w:w="4815" w:type="dxa"/>
            <w:shd w:val="clear" w:color="auto" w:fill="auto"/>
          </w:tcPr>
          <w:p w14:paraId="00E7F274" w14:textId="77777777" w:rsidR="008B3FBA" w:rsidRPr="00813375" w:rsidRDefault="008B3FBA" w:rsidP="00EB1859">
            <w:pPr>
              <w:pStyle w:val="TableTextBody"/>
            </w:pPr>
            <w:r w:rsidRPr="00813375">
              <w:t>User charges and fees</w:t>
            </w:r>
          </w:p>
        </w:tc>
        <w:tc>
          <w:tcPr>
            <w:tcW w:w="992" w:type="dxa"/>
            <w:shd w:val="clear" w:color="auto" w:fill="auto"/>
          </w:tcPr>
          <w:p w14:paraId="5D4D0FE0" w14:textId="77777777" w:rsidR="008B3FBA" w:rsidRPr="00813375" w:rsidRDefault="008B3FBA" w:rsidP="00EB1859">
            <w:pPr>
              <w:pStyle w:val="TableTextBody"/>
            </w:pPr>
            <w:r w:rsidRPr="00813375">
              <w:t>263</w:t>
            </w:r>
          </w:p>
        </w:tc>
        <w:tc>
          <w:tcPr>
            <w:tcW w:w="992" w:type="dxa"/>
            <w:shd w:val="clear" w:color="auto" w:fill="auto"/>
          </w:tcPr>
          <w:p w14:paraId="7066E601" w14:textId="77777777" w:rsidR="008B3FBA" w:rsidRPr="00813375" w:rsidRDefault="008B3FBA" w:rsidP="00EB1859">
            <w:pPr>
              <w:pStyle w:val="TableTextBody"/>
            </w:pPr>
            <w:r w:rsidRPr="00813375">
              <w:t>218</w:t>
            </w:r>
          </w:p>
        </w:tc>
      </w:tr>
      <w:tr w:rsidR="008B3FBA" w:rsidRPr="00C775BC" w14:paraId="5B2247DA" w14:textId="77777777" w:rsidTr="00D02A58">
        <w:tc>
          <w:tcPr>
            <w:tcW w:w="4815" w:type="dxa"/>
            <w:shd w:val="clear" w:color="auto" w:fill="auto"/>
          </w:tcPr>
          <w:p w14:paraId="350371FA" w14:textId="77777777" w:rsidR="008B3FBA" w:rsidRPr="00813375" w:rsidRDefault="008B3FBA" w:rsidP="00EB1859">
            <w:pPr>
              <w:pStyle w:val="TableTextBody"/>
            </w:pPr>
            <w:r w:rsidRPr="00813375">
              <w:t>Professional services</w:t>
            </w:r>
          </w:p>
        </w:tc>
        <w:tc>
          <w:tcPr>
            <w:tcW w:w="992" w:type="dxa"/>
            <w:shd w:val="clear" w:color="auto" w:fill="auto"/>
          </w:tcPr>
          <w:p w14:paraId="603848E7" w14:textId="77777777" w:rsidR="008B3FBA" w:rsidRPr="00813375" w:rsidRDefault="008B3FBA" w:rsidP="00EB1859">
            <w:pPr>
              <w:pStyle w:val="TableTextBody"/>
            </w:pPr>
            <w:r w:rsidRPr="00813375">
              <w:t>64</w:t>
            </w:r>
          </w:p>
        </w:tc>
        <w:tc>
          <w:tcPr>
            <w:tcW w:w="992" w:type="dxa"/>
            <w:shd w:val="clear" w:color="auto" w:fill="auto"/>
          </w:tcPr>
          <w:p w14:paraId="6A51B1E3" w14:textId="77777777" w:rsidR="008B3FBA" w:rsidRPr="00813375" w:rsidRDefault="008B3FBA" w:rsidP="00EB1859">
            <w:pPr>
              <w:pStyle w:val="TableTextBody"/>
            </w:pPr>
            <w:r w:rsidRPr="00813375">
              <w:t>-</w:t>
            </w:r>
          </w:p>
        </w:tc>
      </w:tr>
      <w:tr w:rsidR="008B3FBA" w:rsidRPr="00C775BC" w14:paraId="04C692F8" w14:textId="77777777" w:rsidTr="00D02A58">
        <w:tc>
          <w:tcPr>
            <w:tcW w:w="4815" w:type="dxa"/>
            <w:shd w:val="clear" w:color="auto" w:fill="auto"/>
          </w:tcPr>
          <w:p w14:paraId="4D2B4FBC" w14:textId="77777777" w:rsidR="008B3FBA" w:rsidRPr="00813375" w:rsidRDefault="008B3FBA" w:rsidP="00EB1859">
            <w:pPr>
              <w:pStyle w:val="TableTextBody"/>
            </w:pPr>
            <w:r w:rsidRPr="00813375">
              <w:t>Grants and other contributions</w:t>
            </w:r>
          </w:p>
        </w:tc>
        <w:tc>
          <w:tcPr>
            <w:tcW w:w="992" w:type="dxa"/>
            <w:shd w:val="clear" w:color="auto" w:fill="auto"/>
          </w:tcPr>
          <w:p w14:paraId="119EBB76" w14:textId="77777777" w:rsidR="008B3FBA" w:rsidRPr="00813375" w:rsidRDefault="008B3FBA" w:rsidP="00EB1859">
            <w:pPr>
              <w:pStyle w:val="TableTextBody"/>
            </w:pPr>
            <w:r w:rsidRPr="00813375">
              <w:t>10,877</w:t>
            </w:r>
          </w:p>
        </w:tc>
        <w:tc>
          <w:tcPr>
            <w:tcW w:w="992" w:type="dxa"/>
            <w:shd w:val="clear" w:color="auto" w:fill="auto"/>
          </w:tcPr>
          <w:p w14:paraId="118A6161" w14:textId="77777777" w:rsidR="008B3FBA" w:rsidRPr="00813375" w:rsidRDefault="008B3FBA" w:rsidP="00EB1859">
            <w:pPr>
              <w:pStyle w:val="TableTextBody"/>
            </w:pPr>
            <w:r w:rsidRPr="00813375">
              <w:t>8,301</w:t>
            </w:r>
          </w:p>
        </w:tc>
      </w:tr>
      <w:tr w:rsidR="008B3FBA" w:rsidRPr="00C775BC" w14:paraId="5571D173" w14:textId="77777777" w:rsidTr="00D02A58">
        <w:tc>
          <w:tcPr>
            <w:tcW w:w="4815" w:type="dxa"/>
            <w:shd w:val="clear" w:color="auto" w:fill="auto"/>
          </w:tcPr>
          <w:p w14:paraId="5100E792" w14:textId="77777777" w:rsidR="008B3FBA" w:rsidRPr="00813375" w:rsidRDefault="008B3FBA" w:rsidP="00EB1859">
            <w:pPr>
              <w:pStyle w:val="TableTextBody"/>
            </w:pPr>
            <w:r w:rsidRPr="00813375">
              <w:t>Interest and other revenue</w:t>
            </w:r>
          </w:p>
        </w:tc>
        <w:tc>
          <w:tcPr>
            <w:tcW w:w="992" w:type="dxa"/>
            <w:shd w:val="clear" w:color="auto" w:fill="auto"/>
          </w:tcPr>
          <w:p w14:paraId="2AC09DB6" w14:textId="77777777" w:rsidR="008B3FBA" w:rsidRPr="00813375" w:rsidRDefault="008B3FBA" w:rsidP="00EB1859">
            <w:pPr>
              <w:pStyle w:val="TableTextBody"/>
            </w:pPr>
            <w:r w:rsidRPr="00813375">
              <w:t>161</w:t>
            </w:r>
          </w:p>
        </w:tc>
        <w:tc>
          <w:tcPr>
            <w:tcW w:w="992" w:type="dxa"/>
            <w:shd w:val="clear" w:color="auto" w:fill="auto"/>
          </w:tcPr>
          <w:p w14:paraId="3A6F2882" w14:textId="77777777" w:rsidR="008B3FBA" w:rsidRPr="00813375" w:rsidRDefault="008B3FBA" w:rsidP="00EB1859">
            <w:pPr>
              <w:pStyle w:val="TableTextBody"/>
            </w:pPr>
            <w:r w:rsidRPr="00813375">
              <w:t>18</w:t>
            </w:r>
          </w:p>
        </w:tc>
      </w:tr>
      <w:tr w:rsidR="008B3FBA" w:rsidRPr="00C775BC" w14:paraId="71793A74" w14:textId="77777777" w:rsidTr="00D02A58">
        <w:tc>
          <w:tcPr>
            <w:tcW w:w="4815" w:type="dxa"/>
            <w:shd w:val="clear" w:color="auto" w:fill="auto"/>
          </w:tcPr>
          <w:p w14:paraId="0A7D1AE6" w14:textId="77777777" w:rsidR="008B3FBA" w:rsidRPr="00813375" w:rsidRDefault="008B3FBA" w:rsidP="00EB1859">
            <w:pPr>
              <w:pStyle w:val="TableTextBold"/>
            </w:pPr>
            <w:r w:rsidRPr="00813375">
              <w:t>Total income from continuing operations</w:t>
            </w:r>
          </w:p>
        </w:tc>
        <w:tc>
          <w:tcPr>
            <w:tcW w:w="992" w:type="dxa"/>
            <w:shd w:val="clear" w:color="auto" w:fill="auto"/>
          </w:tcPr>
          <w:p w14:paraId="7C7D8F2A" w14:textId="77777777" w:rsidR="008B3FBA" w:rsidRPr="00813375" w:rsidRDefault="008B3FBA" w:rsidP="00EB1859">
            <w:pPr>
              <w:pStyle w:val="TableTextBold"/>
            </w:pPr>
            <w:r w:rsidRPr="00813375">
              <w:t>11,583</w:t>
            </w:r>
          </w:p>
        </w:tc>
        <w:tc>
          <w:tcPr>
            <w:tcW w:w="992" w:type="dxa"/>
            <w:shd w:val="clear" w:color="auto" w:fill="auto"/>
          </w:tcPr>
          <w:p w14:paraId="77EA4580" w14:textId="77777777" w:rsidR="008B3FBA" w:rsidRPr="00813375" w:rsidRDefault="008B3FBA" w:rsidP="00EB1859">
            <w:pPr>
              <w:pStyle w:val="TableTextBold"/>
            </w:pPr>
            <w:r w:rsidRPr="00813375">
              <w:t>8,537</w:t>
            </w:r>
          </w:p>
        </w:tc>
      </w:tr>
      <w:tr w:rsidR="008B3FBA" w:rsidRPr="00C775BC" w14:paraId="5F0A92EA" w14:textId="77777777" w:rsidTr="00D02A58">
        <w:tc>
          <w:tcPr>
            <w:tcW w:w="4815" w:type="dxa"/>
            <w:shd w:val="clear" w:color="auto" w:fill="auto"/>
          </w:tcPr>
          <w:p w14:paraId="52C47730" w14:textId="77777777" w:rsidR="008B3FBA" w:rsidRPr="00C775BC" w:rsidRDefault="008B3FBA" w:rsidP="00EB1859">
            <w:pPr>
              <w:pStyle w:val="TableTextBody"/>
              <w:rPr>
                <w:highlight w:val="yellow"/>
              </w:rPr>
            </w:pPr>
          </w:p>
        </w:tc>
        <w:tc>
          <w:tcPr>
            <w:tcW w:w="992" w:type="dxa"/>
            <w:shd w:val="clear" w:color="auto" w:fill="auto"/>
          </w:tcPr>
          <w:p w14:paraId="561D60CD" w14:textId="77777777" w:rsidR="008B3FBA" w:rsidRPr="00C775BC" w:rsidRDefault="008B3FBA" w:rsidP="00EB1859">
            <w:pPr>
              <w:pStyle w:val="TableTextBody"/>
              <w:rPr>
                <w:highlight w:val="yellow"/>
              </w:rPr>
            </w:pPr>
          </w:p>
        </w:tc>
        <w:tc>
          <w:tcPr>
            <w:tcW w:w="992" w:type="dxa"/>
            <w:shd w:val="clear" w:color="auto" w:fill="auto"/>
          </w:tcPr>
          <w:p w14:paraId="401775AF" w14:textId="77777777" w:rsidR="008B3FBA" w:rsidRPr="00C775BC" w:rsidRDefault="008B3FBA" w:rsidP="00EB1859">
            <w:pPr>
              <w:pStyle w:val="TableTextBody"/>
              <w:rPr>
                <w:highlight w:val="yellow"/>
              </w:rPr>
            </w:pPr>
          </w:p>
        </w:tc>
      </w:tr>
      <w:tr w:rsidR="008B3FBA" w:rsidRPr="00C775BC" w14:paraId="275D4BDC" w14:textId="77777777" w:rsidTr="00D02A58">
        <w:tc>
          <w:tcPr>
            <w:tcW w:w="4815" w:type="dxa"/>
            <w:shd w:val="clear" w:color="auto" w:fill="auto"/>
          </w:tcPr>
          <w:p w14:paraId="33B2FAC4" w14:textId="77777777" w:rsidR="008B3FBA" w:rsidRPr="00496516" w:rsidRDefault="008B3FBA" w:rsidP="00EB1859">
            <w:pPr>
              <w:pStyle w:val="TableTextBody"/>
            </w:pPr>
            <w:r w:rsidRPr="00496516">
              <w:t>Employee expenditure</w:t>
            </w:r>
          </w:p>
        </w:tc>
        <w:tc>
          <w:tcPr>
            <w:tcW w:w="992" w:type="dxa"/>
            <w:shd w:val="clear" w:color="auto" w:fill="auto"/>
          </w:tcPr>
          <w:p w14:paraId="744B1049" w14:textId="77777777" w:rsidR="008B3FBA" w:rsidRPr="00496516" w:rsidRDefault="008B3FBA" w:rsidP="00EB1859">
            <w:pPr>
              <w:pStyle w:val="TableTextBody"/>
            </w:pPr>
            <w:r w:rsidRPr="00496516">
              <w:t>7,591</w:t>
            </w:r>
          </w:p>
        </w:tc>
        <w:tc>
          <w:tcPr>
            <w:tcW w:w="992" w:type="dxa"/>
            <w:shd w:val="clear" w:color="auto" w:fill="auto"/>
          </w:tcPr>
          <w:p w14:paraId="7EBCAD9D" w14:textId="77777777" w:rsidR="008B3FBA" w:rsidRPr="00496516" w:rsidRDefault="008B3FBA" w:rsidP="00EB1859">
            <w:pPr>
              <w:pStyle w:val="TableTextBody"/>
            </w:pPr>
            <w:r w:rsidRPr="00496516">
              <w:t>5,950</w:t>
            </w:r>
          </w:p>
        </w:tc>
      </w:tr>
      <w:tr w:rsidR="008B3FBA" w:rsidRPr="00C775BC" w14:paraId="2BCFE757" w14:textId="77777777" w:rsidTr="00D02A58">
        <w:tc>
          <w:tcPr>
            <w:tcW w:w="4815" w:type="dxa"/>
            <w:shd w:val="clear" w:color="auto" w:fill="auto"/>
          </w:tcPr>
          <w:p w14:paraId="4133F915" w14:textId="77777777" w:rsidR="008B3FBA" w:rsidRPr="00496516" w:rsidRDefault="008B3FBA" w:rsidP="00EB1859">
            <w:pPr>
              <w:pStyle w:val="TableTextBody"/>
            </w:pPr>
            <w:r w:rsidRPr="00496516">
              <w:t>Supplies and services</w:t>
            </w:r>
          </w:p>
        </w:tc>
        <w:tc>
          <w:tcPr>
            <w:tcW w:w="992" w:type="dxa"/>
            <w:shd w:val="clear" w:color="auto" w:fill="auto"/>
          </w:tcPr>
          <w:p w14:paraId="01E78362" w14:textId="77777777" w:rsidR="008B3FBA" w:rsidRPr="00496516" w:rsidRDefault="008B3FBA" w:rsidP="00EB1859">
            <w:pPr>
              <w:pStyle w:val="TableTextBody"/>
            </w:pPr>
            <w:r w:rsidRPr="00496516">
              <w:t>2,173</w:t>
            </w:r>
          </w:p>
        </w:tc>
        <w:tc>
          <w:tcPr>
            <w:tcW w:w="992" w:type="dxa"/>
            <w:shd w:val="clear" w:color="auto" w:fill="auto"/>
          </w:tcPr>
          <w:p w14:paraId="29A7F788" w14:textId="77777777" w:rsidR="008B3FBA" w:rsidRPr="00496516" w:rsidRDefault="008B3FBA" w:rsidP="00EB1859">
            <w:pPr>
              <w:pStyle w:val="TableTextBody"/>
            </w:pPr>
            <w:r w:rsidRPr="00496516">
              <w:t>1,814</w:t>
            </w:r>
          </w:p>
        </w:tc>
      </w:tr>
      <w:tr w:rsidR="008B3FBA" w:rsidRPr="00C775BC" w14:paraId="2E0C74F4" w14:textId="77777777" w:rsidTr="00D02A58">
        <w:tc>
          <w:tcPr>
            <w:tcW w:w="4815" w:type="dxa"/>
            <w:shd w:val="clear" w:color="auto" w:fill="auto"/>
          </w:tcPr>
          <w:p w14:paraId="61EAB14C" w14:textId="77777777" w:rsidR="008B3FBA" w:rsidRPr="00496516" w:rsidRDefault="008B3FBA" w:rsidP="00EB1859">
            <w:pPr>
              <w:pStyle w:val="TableTextBody"/>
            </w:pPr>
            <w:r w:rsidRPr="00496516">
              <w:t>Grants and subsidies</w:t>
            </w:r>
          </w:p>
        </w:tc>
        <w:tc>
          <w:tcPr>
            <w:tcW w:w="992" w:type="dxa"/>
            <w:shd w:val="clear" w:color="auto" w:fill="auto"/>
          </w:tcPr>
          <w:p w14:paraId="03A08F66" w14:textId="77777777" w:rsidR="008B3FBA" w:rsidRPr="00496516" w:rsidRDefault="008B3FBA" w:rsidP="00EB1859">
            <w:pPr>
              <w:pStyle w:val="TableTextBody"/>
            </w:pPr>
            <w:r w:rsidRPr="00496516">
              <w:t>26</w:t>
            </w:r>
          </w:p>
        </w:tc>
        <w:tc>
          <w:tcPr>
            <w:tcW w:w="992" w:type="dxa"/>
            <w:shd w:val="clear" w:color="auto" w:fill="auto"/>
          </w:tcPr>
          <w:p w14:paraId="41A9E6EA" w14:textId="77777777" w:rsidR="008B3FBA" w:rsidRPr="00496516" w:rsidRDefault="008B3FBA" w:rsidP="00EB1859">
            <w:pPr>
              <w:pStyle w:val="TableTextBody"/>
            </w:pPr>
            <w:r w:rsidRPr="00496516">
              <w:t>13</w:t>
            </w:r>
          </w:p>
        </w:tc>
      </w:tr>
      <w:tr w:rsidR="008B3FBA" w:rsidRPr="00C775BC" w14:paraId="441687AC" w14:textId="77777777" w:rsidTr="00D02A58">
        <w:tc>
          <w:tcPr>
            <w:tcW w:w="4815" w:type="dxa"/>
            <w:shd w:val="clear" w:color="auto" w:fill="auto"/>
          </w:tcPr>
          <w:p w14:paraId="2EEF753B" w14:textId="77777777" w:rsidR="008B3FBA" w:rsidRPr="00496516" w:rsidRDefault="008B3FBA" w:rsidP="00EB1859">
            <w:pPr>
              <w:pStyle w:val="TableTextBody"/>
            </w:pPr>
            <w:r w:rsidRPr="00496516">
              <w:t>Depreciation and amortisation</w:t>
            </w:r>
          </w:p>
        </w:tc>
        <w:tc>
          <w:tcPr>
            <w:tcW w:w="992" w:type="dxa"/>
            <w:shd w:val="clear" w:color="auto" w:fill="auto"/>
          </w:tcPr>
          <w:p w14:paraId="337121F0" w14:textId="77777777" w:rsidR="008B3FBA" w:rsidRPr="00496516" w:rsidRDefault="008B3FBA" w:rsidP="00EB1859">
            <w:pPr>
              <w:pStyle w:val="TableTextBody"/>
            </w:pPr>
            <w:r w:rsidRPr="00496516">
              <w:t>187</w:t>
            </w:r>
          </w:p>
        </w:tc>
        <w:tc>
          <w:tcPr>
            <w:tcW w:w="992" w:type="dxa"/>
            <w:shd w:val="clear" w:color="auto" w:fill="auto"/>
          </w:tcPr>
          <w:p w14:paraId="162FD54C" w14:textId="77777777" w:rsidR="008B3FBA" w:rsidRPr="00496516" w:rsidRDefault="008B3FBA" w:rsidP="00EB1859">
            <w:pPr>
              <w:pStyle w:val="TableTextBody"/>
            </w:pPr>
            <w:r w:rsidRPr="00496516">
              <w:t>206</w:t>
            </w:r>
          </w:p>
        </w:tc>
      </w:tr>
      <w:tr w:rsidR="008B3FBA" w:rsidRPr="00C775BC" w14:paraId="416C2F6A" w14:textId="77777777" w:rsidTr="00D02A58">
        <w:tc>
          <w:tcPr>
            <w:tcW w:w="4815" w:type="dxa"/>
            <w:shd w:val="clear" w:color="auto" w:fill="auto"/>
          </w:tcPr>
          <w:p w14:paraId="2F5F9AC4" w14:textId="77777777" w:rsidR="008B3FBA" w:rsidRPr="00496516" w:rsidRDefault="008B3FBA" w:rsidP="00EB1859">
            <w:pPr>
              <w:pStyle w:val="TableTextBody"/>
            </w:pPr>
            <w:r w:rsidRPr="00496516">
              <w:t>Other expenses</w:t>
            </w:r>
          </w:p>
        </w:tc>
        <w:tc>
          <w:tcPr>
            <w:tcW w:w="992" w:type="dxa"/>
            <w:shd w:val="clear" w:color="auto" w:fill="auto"/>
          </w:tcPr>
          <w:p w14:paraId="01C11D69" w14:textId="77777777" w:rsidR="008B3FBA" w:rsidRPr="00496516" w:rsidRDefault="008B3FBA" w:rsidP="00EB1859">
            <w:pPr>
              <w:pStyle w:val="TableTextBody"/>
            </w:pPr>
            <w:r w:rsidRPr="00496516">
              <w:t>34</w:t>
            </w:r>
          </w:p>
        </w:tc>
        <w:tc>
          <w:tcPr>
            <w:tcW w:w="992" w:type="dxa"/>
            <w:shd w:val="clear" w:color="auto" w:fill="auto"/>
          </w:tcPr>
          <w:p w14:paraId="6891EE34" w14:textId="77777777" w:rsidR="008B3FBA" w:rsidRPr="00496516" w:rsidRDefault="008B3FBA" w:rsidP="00EB1859">
            <w:pPr>
              <w:pStyle w:val="TableTextBody"/>
            </w:pPr>
            <w:r w:rsidRPr="00496516">
              <w:t>29</w:t>
            </w:r>
          </w:p>
        </w:tc>
      </w:tr>
      <w:tr w:rsidR="008B3FBA" w:rsidRPr="00C775BC" w14:paraId="5F23BE75" w14:textId="77777777" w:rsidTr="00D02A58">
        <w:tc>
          <w:tcPr>
            <w:tcW w:w="4815" w:type="dxa"/>
            <w:shd w:val="clear" w:color="auto" w:fill="auto"/>
          </w:tcPr>
          <w:p w14:paraId="6E63BCE9" w14:textId="77777777" w:rsidR="008B3FBA" w:rsidRPr="00496516" w:rsidRDefault="008B3FBA" w:rsidP="00EB1859">
            <w:pPr>
              <w:pStyle w:val="TableTextBold"/>
            </w:pPr>
            <w:r w:rsidRPr="00496516">
              <w:t>Total expenditure from continuing operations</w:t>
            </w:r>
          </w:p>
        </w:tc>
        <w:tc>
          <w:tcPr>
            <w:tcW w:w="992" w:type="dxa"/>
            <w:shd w:val="clear" w:color="auto" w:fill="auto"/>
          </w:tcPr>
          <w:p w14:paraId="03533AD2" w14:textId="77777777" w:rsidR="008B3FBA" w:rsidRPr="00496516" w:rsidRDefault="008B3FBA" w:rsidP="00EB1859">
            <w:pPr>
              <w:pStyle w:val="TableTextBold"/>
            </w:pPr>
            <w:r w:rsidRPr="00496516">
              <w:t>10,011</w:t>
            </w:r>
          </w:p>
        </w:tc>
        <w:tc>
          <w:tcPr>
            <w:tcW w:w="992" w:type="dxa"/>
            <w:shd w:val="clear" w:color="auto" w:fill="auto"/>
          </w:tcPr>
          <w:p w14:paraId="2B044DA7" w14:textId="77777777" w:rsidR="008B3FBA" w:rsidRPr="00496516" w:rsidRDefault="008B3FBA" w:rsidP="00EB1859">
            <w:pPr>
              <w:pStyle w:val="TableTextBold"/>
            </w:pPr>
            <w:r w:rsidRPr="00496516">
              <w:t>8,012</w:t>
            </w:r>
          </w:p>
        </w:tc>
      </w:tr>
      <w:tr w:rsidR="008B3FBA" w:rsidRPr="00C775BC" w14:paraId="761389BD" w14:textId="77777777" w:rsidTr="00D02A58">
        <w:tc>
          <w:tcPr>
            <w:tcW w:w="4815" w:type="dxa"/>
            <w:shd w:val="clear" w:color="auto" w:fill="auto"/>
          </w:tcPr>
          <w:p w14:paraId="794E8796" w14:textId="77777777" w:rsidR="008B3FBA" w:rsidRPr="00496516" w:rsidRDefault="008B3FBA" w:rsidP="00EB1859">
            <w:pPr>
              <w:pStyle w:val="TableTextBold"/>
            </w:pPr>
          </w:p>
        </w:tc>
        <w:tc>
          <w:tcPr>
            <w:tcW w:w="992" w:type="dxa"/>
            <w:shd w:val="clear" w:color="auto" w:fill="auto"/>
          </w:tcPr>
          <w:p w14:paraId="54B473B6" w14:textId="77777777" w:rsidR="008B3FBA" w:rsidRPr="00496516" w:rsidRDefault="008B3FBA" w:rsidP="00EB1859">
            <w:pPr>
              <w:pStyle w:val="TableTextBold"/>
            </w:pPr>
          </w:p>
        </w:tc>
        <w:tc>
          <w:tcPr>
            <w:tcW w:w="992" w:type="dxa"/>
            <w:shd w:val="clear" w:color="auto" w:fill="auto"/>
          </w:tcPr>
          <w:p w14:paraId="29C7EE73" w14:textId="77777777" w:rsidR="008B3FBA" w:rsidRPr="00496516" w:rsidRDefault="008B3FBA" w:rsidP="00EB1859">
            <w:pPr>
              <w:pStyle w:val="TableTextBold"/>
            </w:pPr>
          </w:p>
        </w:tc>
      </w:tr>
      <w:tr w:rsidR="008B3FBA" w:rsidRPr="00C775BC" w14:paraId="3EC73E5B" w14:textId="77777777" w:rsidTr="00D02A58">
        <w:tc>
          <w:tcPr>
            <w:tcW w:w="4815" w:type="dxa"/>
            <w:shd w:val="clear" w:color="auto" w:fill="auto"/>
          </w:tcPr>
          <w:p w14:paraId="6698214D" w14:textId="77777777" w:rsidR="008B3FBA" w:rsidRPr="00496516" w:rsidRDefault="008B3FBA" w:rsidP="00EB1859">
            <w:pPr>
              <w:pStyle w:val="TableTextBold"/>
            </w:pPr>
            <w:r w:rsidRPr="00496516">
              <w:t>Operating result for the year</w:t>
            </w:r>
          </w:p>
        </w:tc>
        <w:tc>
          <w:tcPr>
            <w:tcW w:w="992" w:type="dxa"/>
            <w:shd w:val="clear" w:color="auto" w:fill="auto"/>
          </w:tcPr>
          <w:p w14:paraId="75427ABC" w14:textId="77777777" w:rsidR="008B3FBA" w:rsidRPr="00496516" w:rsidRDefault="008B3FBA" w:rsidP="00EB1859">
            <w:pPr>
              <w:pStyle w:val="TableTextBold"/>
            </w:pPr>
            <w:r w:rsidRPr="00496516">
              <w:t>1,572</w:t>
            </w:r>
          </w:p>
        </w:tc>
        <w:tc>
          <w:tcPr>
            <w:tcW w:w="992" w:type="dxa"/>
            <w:shd w:val="clear" w:color="auto" w:fill="auto"/>
          </w:tcPr>
          <w:p w14:paraId="126B707E" w14:textId="77777777" w:rsidR="008B3FBA" w:rsidRPr="00496516" w:rsidRDefault="008B3FBA" w:rsidP="00EB1859">
            <w:pPr>
              <w:pStyle w:val="TableTextBold"/>
            </w:pPr>
            <w:r w:rsidRPr="00496516">
              <w:t>525</w:t>
            </w:r>
          </w:p>
        </w:tc>
      </w:tr>
    </w:tbl>
    <w:p w14:paraId="7CB005D1" w14:textId="77777777" w:rsidR="008B3FBA" w:rsidRPr="00C775BC" w:rsidRDefault="008B3FBA" w:rsidP="00EB1859">
      <w:pPr>
        <w:rPr>
          <w:highlight w:val="yellow"/>
        </w:rPr>
      </w:pPr>
    </w:p>
    <w:p w14:paraId="07DC1E30" w14:textId="77777777" w:rsidR="008B3FBA" w:rsidRPr="003F2455" w:rsidRDefault="008B3FBA" w:rsidP="00CA5EBF">
      <w:pPr>
        <w:pStyle w:val="Heading2"/>
      </w:pPr>
      <w:bookmarkStart w:id="281" w:name="_Toc80971398"/>
      <w:bookmarkStart w:id="282" w:name="_Toc143678225"/>
      <w:bookmarkStart w:id="283" w:name="_Toc143678744"/>
      <w:bookmarkStart w:id="284" w:name="_Toc144200524"/>
      <w:r w:rsidRPr="003F2455">
        <w:t>Expenditure</w:t>
      </w:r>
      <w:bookmarkEnd w:id="281"/>
      <w:bookmarkEnd w:id="282"/>
      <w:bookmarkEnd w:id="283"/>
      <w:bookmarkEnd w:id="284"/>
    </w:p>
    <w:p w14:paraId="227EC346" w14:textId="77777777" w:rsidR="008B3FBA" w:rsidRPr="00C775BC" w:rsidRDefault="008B3FBA" w:rsidP="00EB1859">
      <w:pPr>
        <w:rPr>
          <w:highlight w:val="yellow"/>
        </w:rPr>
      </w:pPr>
      <w:r w:rsidRPr="003F2455">
        <w:t>Employee expenditure remains the biggest Commission expenditure (on average, 7</w:t>
      </w:r>
      <w:r>
        <w:t>5</w:t>
      </w:r>
      <w:r w:rsidRPr="003F2455">
        <w:t xml:space="preserve">% of expenditure). This increased by $1.641M (28%) in 2022-23 from the previous period, </w:t>
      </w:r>
      <w:r>
        <w:t>following</w:t>
      </w:r>
      <w:r w:rsidRPr="003F2455">
        <w:t xml:space="preserve"> an increase in funding for additional FTE to address the Commission's ongoing complaint backlog</w:t>
      </w:r>
      <w:r w:rsidRPr="00DB7667">
        <w:t xml:space="preserve">. </w:t>
      </w:r>
      <w:r>
        <w:t>The Commission’s</w:t>
      </w:r>
      <w:r w:rsidRPr="00DB7667">
        <w:t xml:space="preserve"> FTE grew from 46 in 2021-22 to 63 in 2022-23. </w:t>
      </w:r>
    </w:p>
    <w:p w14:paraId="741611DE" w14:textId="77777777" w:rsidR="008B3FBA" w:rsidRPr="006A3673" w:rsidRDefault="008B3FBA" w:rsidP="00EB1859">
      <w:r w:rsidRPr="00111B1A">
        <w:t>The second biggest expense category is supplies and services (on average, 22% of expenditure). This increased by $0.359M (20</w:t>
      </w:r>
      <w:r w:rsidRPr="00F9073D">
        <w:t>%) from 2021-22</w:t>
      </w:r>
      <w:r>
        <w:t xml:space="preserve"> across areas like ICT, travel, printing and postage, shared service usage, legal fees and office accommodation as a result of expanded programs of work and increased staffing.</w:t>
      </w:r>
      <w:r w:rsidRPr="006A3673">
        <w:t xml:space="preserve"> </w:t>
      </w:r>
    </w:p>
    <w:p w14:paraId="0DB86FC2" w14:textId="446D7D9F" w:rsidR="008B3FBA" w:rsidRPr="006A3673" w:rsidRDefault="008B3FBA" w:rsidP="00EB1859">
      <w:r w:rsidRPr="006A3673">
        <w:t xml:space="preserve">The Grants and </w:t>
      </w:r>
      <w:r>
        <w:t>S</w:t>
      </w:r>
      <w:r w:rsidRPr="006A3673">
        <w:t xml:space="preserve">ubsidies expense </w:t>
      </w:r>
      <w:r>
        <w:t>increased by $13K (100%) as the Commission agreed to contribute to two research projects around human right practices, the Mosaic Multicultural Festival, Play by the Rules program, Luminous Parade and Sydney World Pride Conference.</w:t>
      </w:r>
      <w:r w:rsidR="00A946AA">
        <w:t xml:space="preserve"> </w:t>
      </w:r>
    </w:p>
    <w:p w14:paraId="77A40D8F" w14:textId="77777777" w:rsidR="008B3FBA" w:rsidRPr="00CA40D6" w:rsidRDefault="008B3FBA" w:rsidP="00EB1859">
      <w:r w:rsidRPr="00CA40D6">
        <w:t xml:space="preserve">Other expenses increased by $5K (17%) from 2021-22, which is </w:t>
      </w:r>
      <w:r>
        <w:t>predominately</w:t>
      </w:r>
      <w:r w:rsidRPr="00CA40D6">
        <w:t xml:space="preserve"> due to the increase in audit fees.</w:t>
      </w:r>
    </w:p>
    <w:p w14:paraId="57EE403A" w14:textId="77777777" w:rsidR="00D02A58" w:rsidRDefault="00D02A58">
      <w:pPr>
        <w:ind w:right="0"/>
        <w:rPr>
          <w:rFonts w:eastAsiaTheme="minorEastAsia"/>
          <w:b/>
          <w:bCs/>
          <w:i/>
          <w:iCs/>
          <w:color w:val="000000" w:themeColor="text1"/>
          <w:sz w:val="20"/>
          <w:szCs w:val="18"/>
          <w:lang w:eastAsia="en-US"/>
        </w:rPr>
      </w:pPr>
      <w:r>
        <w:br w:type="page"/>
      </w:r>
    </w:p>
    <w:p w14:paraId="6BA92DF8" w14:textId="1D36BC9B" w:rsidR="008B3FBA" w:rsidRPr="00D54238" w:rsidRDefault="008B3FBA" w:rsidP="00EB1859">
      <w:pPr>
        <w:pStyle w:val="Caption"/>
      </w:pPr>
      <w:r w:rsidRPr="00D54238">
        <w:lastRenderedPageBreak/>
        <w:t xml:space="preserve">Table </w:t>
      </w:r>
      <w:r w:rsidR="00D54238" w:rsidRPr="00D54238">
        <w:t>10</w:t>
      </w:r>
      <w:r w:rsidRPr="00D54238">
        <w:t>: Statement of financial position</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1701"/>
        <w:gridCol w:w="1559"/>
      </w:tblGrid>
      <w:tr w:rsidR="008B3FBA" w:rsidRPr="00C775BC" w14:paraId="3EC50A13" w14:textId="77777777" w:rsidTr="00F541AA">
        <w:tc>
          <w:tcPr>
            <w:tcW w:w="2547" w:type="dxa"/>
            <w:shd w:val="clear" w:color="auto" w:fill="auto"/>
          </w:tcPr>
          <w:p w14:paraId="54556938" w14:textId="77777777" w:rsidR="008B3FBA" w:rsidRPr="00545358" w:rsidRDefault="008B3FBA" w:rsidP="00EB1859">
            <w:pPr>
              <w:pStyle w:val="TableTextHeading"/>
            </w:pPr>
          </w:p>
        </w:tc>
        <w:tc>
          <w:tcPr>
            <w:tcW w:w="1701" w:type="dxa"/>
            <w:shd w:val="clear" w:color="auto" w:fill="auto"/>
          </w:tcPr>
          <w:p w14:paraId="6BB2795C" w14:textId="77777777" w:rsidR="008B3FBA" w:rsidRPr="00545358" w:rsidRDefault="008B3FBA" w:rsidP="00EB1859">
            <w:pPr>
              <w:pStyle w:val="TableTextHeading"/>
            </w:pPr>
            <w:r w:rsidRPr="00545358">
              <w:t>2022-23</w:t>
            </w:r>
          </w:p>
          <w:p w14:paraId="38E6AD77" w14:textId="77777777" w:rsidR="008B3FBA" w:rsidRPr="00545358" w:rsidRDefault="008B3FBA" w:rsidP="00EB1859">
            <w:pPr>
              <w:pStyle w:val="TableTextHeading"/>
            </w:pPr>
            <w:r w:rsidRPr="00545358">
              <w:t>($’000)</w:t>
            </w:r>
          </w:p>
        </w:tc>
        <w:tc>
          <w:tcPr>
            <w:tcW w:w="1559" w:type="dxa"/>
            <w:shd w:val="clear" w:color="auto" w:fill="auto"/>
          </w:tcPr>
          <w:p w14:paraId="04998F91" w14:textId="77777777" w:rsidR="008B3FBA" w:rsidRPr="00545358" w:rsidRDefault="008B3FBA" w:rsidP="00EB1859">
            <w:pPr>
              <w:pStyle w:val="TableTextHeading"/>
            </w:pPr>
            <w:r w:rsidRPr="00545358">
              <w:t>2021-22</w:t>
            </w:r>
          </w:p>
          <w:p w14:paraId="12255F48" w14:textId="77777777" w:rsidR="008B3FBA" w:rsidRPr="00545358" w:rsidRDefault="008B3FBA" w:rsidP="00EB1859">
            <w:pPr>
              <w:pStyle w:val="TableTextHeading"/>
            </w:pPr>
            <w:r w:rsidRPr="00545358">
              <w:t>($’000)</w:t>
            </w:r>
          </w:p>
        </w:tc>
      </w:tr>
      <w:tr w:rsidR="008B3FBA" w:rsidRPr="00C775BC" w14:paraId="7AD50198" w14:textId="77777777" w:rsidTr="00F541AA">
        <w:tc>
          <w:tcPr>
            <w:tcW w:w="2547" w:type="dxa"/>
            <w:shd w:val="clear" w:color="auto" w:fill="auto"/>
          </w:tcPr>
          <w:p w14:paraId="2820483B" w14:textId="77777777" w:rsidR="008B3FBA" w:rsidRPr="00545358" w:rsidRDefault="008B3FBA" w:rsidP="00EB1859">
            <w:pPr>
              <w:pStyle w:val="TableTextBody"/>
            </w:pPr>
            <w:r w:rsidRPr="00545358">
              <w:t>Current assets</w:t>
            </w:r>
          </w:p>
        </w:tc>
        <w:tc>
          <w:tcPr>
            <w:tcW w:w="1701" w:type="dxa"/>
            <w:shd w:val="clear" w:color="auto" w:fill="auto"/>
          </w:tcPr>
          <w:p w14:paraId="797FC44A" w14:textId="77777777" w:rsidR="008B3FBA" w:rsidRPr="00545358" w:rsidRDefault="008B3FBA" w:rsidP="00EB1859">
            <w:pPr>
              <w:pStyle w:val="TableTextBody"/>
            </w:pPr>
            <w:r w:rsidRPr="00545358">
              <w:t>3,973</w:t>
            </w:r>
          </w:p>
        </w:tc>
        <w:tc>
          <w:tcPr>
            <w:tcW w:w="1559" w:type="dxa"/>
            <w:shd w:val="clear" w:color="auto" w:fill="auto"/>
          </w:tcPr>
          <w:p w14:paraId="359A4850" w14:textId="77777777" w:rsidR="008B3FBA" w:rsidRPr="00545358" w:rsidRDefault="008B3FBA" w:rsidP="00EB1859">
            <w:pPr>
              <w:pStyle w:val="TableTextBody"/>
            </w:pPr>
            <w:r w:rsidRPr="00545358">
              <w:t>2,356</w:t>
            </w:r>
          </w:p>
        </w:tc>
      </w:tr>
      <w:tr w:rsidR="008B3FBA" w:rsidRPr="00C775BC" w14:paraId="5E52775A" w14:textId="77777777" w:rsidTr="00F541AA">
        <w:tc>
          <w:tcPr>
            <w:tcW w:w="2547" w:type="dxa"/>
            <w:shd w:val="clear" w:color="auto" w:fill="auto"/>
          </w:tcPr>
          <w:p w14:paraId="58AB30EF" w14:textId="77777777" w:rsidR="008B3FBA" w:rsidRPr="00545358" w:rsidRDefault="008B3FBA" w:rsidP="00EB1859">
            <w:pPr>
              <w:pStyle w:val="TableTextBody"/>
            </w:pPr>
            <w:r w:rsidRPr="00545358">
              <w:t>Non-current assets</w:t>
            </w:r>
          </w:p>
        </w:tc>
        <w:tc>
          <w:tcPr>
            <w:tcW w:w="1701" w:type="dxa"/>
            <w:shd w:val="clear" w:color="auto" w:fill="auto"/>
          </w:tcPr>
          <w:p w14:paraId="3A811F76" w14:textId="77777777" w:rsidR="008B3FBA" w:rsidRPr="00545358" w:rsidRDefault="008B3FBA" w:rsidP="00EB1859">
            <w:pPr>
              <w:pStyle w:val="TableTextBody"/>
            </w:pPr>
            <w:r w:rsidRPr="00545358">
              <w:t>535</w:t>
            </w:r>
          </w:p>
        </w:tc>
        <w:tc>
          <w:tcPr>
            <w:tcW w:w="1559" w:type="dxa"/>
            <w:shd w:val="clear" w:color="auto" w:fill="auto"/>
          </w:tcPr>
          <w:p w14:paraId="06A0B528" w14:textId="77777777" w:rsidR="008B3FBA" w:rsidRPr="00545358" w:rsidRDefault="008B3FBA" w:rsidP="00EB1859">
            <w:pPr>
              <w:pStyle w:val="TableTextBody"/>
            </w:pPr>
            <w:r w:rsidRPr="00545358">
              <w:t>621</w:t>
            </w:r>
          </w:p>
        </w:tc>
      </w:tr>
      <w:tr w:rsidR="008B3FBA" w:rsidRPr="00C775BC" w14:paraId="5F9ACCBB" w14:textId="77777777" w:rsidTr="00F541AA">
        <w:tc>
          <w:tcPr>
            <w:tcW w:w="2547" w:type="dxa"/>
            <w:shd w:val="clear" w:color="auto" w:fill="auto"/>
          </w:tcPr>
          <w:p w14:paraId="1CB99DE6" w14:textId="77777777" w:rsidR="008B3FBA" w:rsidRPr="00545358" w:rsidRDefault="008B3FBA" w:rsidP="00EB1859">
            <w:pPr>
              <w:pStyle w:val="TableTextBold"/>
            </w:pPr>
            <w:r w:rsidRPr="00545358">
              <w:t>Total assets</w:t>
            </w:r>
          </w:p>
        </w:tc>
        <w:tc>
          <w:tcPr>
            <w:tcW w:w="1701" w:type="dxa"/>
            <w:shd w:val="clear" w:color="auto" w:fill="auto"/>
          </w:tcPr>
          <w:p w14:paraId="17EB511B" w14:textId="77777777" w:rsidR="008B3FBA" w:rsidRPr="00545358" w:rsidRDefault="008B3FBA" w:rsidP="00EB1859">
            <w:pPr>
              <w:pStyle w:val="TableTextBold"/>
            </w:pPr>
            <w:r w:rsidRPr="00545358">
              <w:t>4,508</w:t>
            </w:r>
          </w:p>
        </w:tc>
        <w:tc>
          <w:tcPr>
            <w:tcW w:w="1559" w:type="dxa"/>
            <w:shd w:val="clear" w:color="auto" w:fill="auto"/>
          </w:tcPr>
          <w:p w14:paraId="39933666" w14:textId="77777777" w:rsidR="008B3FBA" w:rsidRPr="00545358" w:rsidRDefault="008B3FBA" w:rsidP="00EB1859">
            <w:pPr>
              <w:pStyle w:val="TableTextBold"/>
            </w:pPr>
            <w:r w:rsidRPr="00545358">
              <w:t>2,977</w:t>
            </w:r>
          </w:p>
        </w:tc>
      </w:tr>
      <w:tr w:rsidR="008B3FBA" w:rsidRPr="00C775BC" w14:paraId="0FACD8F6" w14:textId="77777777" w:rsidTr="00F541AA">
        <w:tc>
          <w:tcPr>
            <w:tcW w:w="2547" w:type="dxa"/>
            <w:shd w:val="clear" w:color="auto" w:fill="auto"/>
          </w:tcPr>
          <w:p w14:paraId="50AD0E6E" w14:textId="77777777" w:rsidR="008B3FBA" w:rsidRPr="00545358" w:rsidRDefault="008B3FBA" w:rsidP="00EB1859">
            <w:pPr>
              <w:pStyle w:val="TableTextBody"/>
            </w:pPr>
          </w:p>
        </w:tc>
        <w:tc>
          <w:tcPr>
            <w:tcW w:w="1701" w:type="dxa"/>
            <w:shd w:val="clear" w:color="auto" w:fill="auto"/>
          </w:tcPr>
          <w:p w14:paraId="1A0F6C67" w14:textId="77777777" w:rsidR="008B3FBA" w:rsidRPr="00545358" w:rsidRDefault="008B3FBA" w:rsidP="00EB1859">
            <w:pPr>
              <w:pStyle w:val="TableTextBody"/>
            </w:pPr>
          </w:p>
        </w:tc>
        <w:tc>
          <w:tcPr>
            <w:tcW w:w="1559" w:type="dxa"/>
            <w:shd w:val="clear" w:color="auto" w:fill="auto"/>
          </w:tcPr>
          <w:p w14:paraId="5CBE681C" w14:textId="77777777" w:rsidR="008B3FBA" w:rsidRPr="00545358" w:rsidRDefault="008B3FBA" w:rsidP="00EB1859">
            <w:pPr>
              <w:pStyle w:val="TableTextBody"/>
            </w:pPr>
          </w:p>
        </w:tc>
      </w:tr>
      <w:tr w:rsidR="008B3FBA" w:rsidRPr="00C775BC" w14:paraId="7515005E" w14:textId="77777777" w:rsidTr="00F541AA">
        <w:tc>
          <w:tcPr>
            <w:tcW w:w="2547" w:type="dxa"/>
            <w:shd w:val="clear" w:color="auto" w:fill="auto"/>
          </w:tcPr>
          <w:p w14:paraId="750C0039" w14:textId="77777777" w:rsidR="008B3FBA" w:rsidRPr="00545358" w:rsidRDefault="008B3FBA" w:rsidP="00EB1859">
            <w:pPr>
              <w:pStyle w:val="TableTextBody"/>
            </w:pPr>
            <w:r w:rsidRPr="00545358">
              <w:t>Current liabilities</w:t>
            </w:r>
          </w:p>
        </w:tc>
        <w:tc>
          <w:tcPr>
            <w:tcW w:w="1701" w:type="dxa"/>
            <w:shd w:val="clear" w:color="auto" w:fill="auto"/>
          </w:tcPr>
          <w:p w14:paraId="68718703" w14:textId="77777777" w:rsidR="008B3FBA" w:rsidRPr="00545358" w:rsidRDefault="008B3FBA" w:rsidP="00EB1859">
            <w:pPr>
              <w:pStyle w:val="TableTextBody"/>
            </w:pPr>
            <w:r w:rsidRPr="00545358">
              <w:t>954</w:t>
            </w:r>
          </w:p>
        </w:tc>
        <w:tc>
          <w:tcPr>
            <w:tcW w:w="1559" w:type="dxa"/>
            <w:shd w:val="clear" w:color="auto" w:fill="auto"/>
          </w:tcPr>
          <w:p w14:paraId="6655651D" w14:textId="77777777" w:rsidR="008B3FBA" w:rsidRPr="00545358" w:rsidRDefault="008B3FBA" w:rsidP="00EB1859">
            <w:pPr>
              <w:pStyle w:val="TableTextBody"/>
            </w:pPr>
            <w:r w:rsidRPr="00545358">
              <w:t>995</w:t>
            </w:r>
          </w:p>
        </w:tc>
      </w:tr>
      <w:tr w:rsidR="008B3FBA" w:rsidRPr="00C775BC" w14:paraId="2D498DC4" w14:textId="77777777" w:rsidTr="00F541AA">
        <w:tc>
          <w:tcPr>
            <w:tcW w:w="2547" w:type="dxa"/>
            <w:shd w:val="clear" w:color="auto" w:fill="auto"/>
          </w:tcPr>
          <w:p w14:paraId="41BC197F" w14:textId="77777777" w:rsidR="008B3FBA" w:rsidRPr="00545358" w:rsidRDefault="008B3FBA" w:rsidP="00EB1859">
            <w:pPr>
              <w:pStyle w:val="TableTextBold"/>
            </w:pPr>
            <w:r w:rsidRPr="00545358">
              <w:t>Total liabilities</w:t>
            </w:r>
          </w:p>
        </w:tc>
        <w:tc>
          <w:tcPr>
            <w:tcW w:w="1701" w:type="dxa"/>
            <w:shd w:val="clear" w:color="auto" w:fill="auto"/>
          </w:tcPr>
          <w:p w14:paraId="682B0702" w14:textId="77777777" w:rsidR="008B3FBA" w:rsidRPr="00545358" w:rsidRDefault="008B3FBA" w:rsidP="00EB1859">
            <w:pPr>
              <w:pStyle w:val="TableTextBold"/>
            </w:pPr>
            <w:r w:rsidRPr="00545358">
              <w:t>954</w:t>
            </w:r>
          </w:p>
        </w:tc>
        <w:tc>
          <w:tcPr>
            <w:tcW w:w="1559" w:type="dxa"/>
            <w:shd w:val="clear" w:color="auto" w:fill="auto"/>
          </w:tcPr>
          <w:p w14:paraId="55B8CAD1" w14:textId="77777777" w:rsidR="008B3FBA" w:rsidRPr="00545358" w:rsidRDefault="008B3FBA" w:rsidP="00EB1859">
            <w:pPr>
              <w:pStyle w:val="TableTextBold"/>
            </w:pPr>
            <w:r w:rsidRPr="00545358">
              <w:t>995</w:t>
            </w:r>
          </w:p>
        </w:tc>
      </w:tr>
      <w:tr w:rsidR="008B3FBA" w:rsidRPr="00C775BC" w14:paraId="2BEDC796" w14:textId="77777777" w:rsidTr="00F541AA">
        <w:tc>
          <w:tcPr>
            <w:tcW w:w="2547" w:type="dxa"/>
            <w:shd w:val="clear" w:color="auto" w:fill="auto"/>
          </w:tcPr>
          <w:p w14:paraId="79D069DF" w14:textId="77777777" w:rsidR="008B3FBA" w:rsidRPr="00545358" w:rsidRDefault="008B3FBA" w:rsidP="00EB1859">
            <w:pPr>
              <w:pStyle w:val="TableTextBody"/>
            </w:pPr>
          </w:p>
        </w:tc>
        <w:tc>
          <w:tcPr>
            <w:tcW w:w="1701" w:type="dxa"/>
            <w:shd w:val="clear" w:color="auto" w:fill="auto"/>
          </w:tcPr>
          <w:p w14:paraId="4B7A8FC4" w14:textId="77777777" w:rsidR="008B3FBA" w:rsidRPr="00545358" w:rsidRDefault="008B3FBA" w:rsidP="00EB1859">
            <w:pPr>
              <w:pStyle w:val="TableTextBody"/>
            </w:pPr>
          </w:p>
        </w:tc>
        <w:tc>
          <w:tcPr>
            <w:tcW w:w="1559" w:type="dxa"/>
            <w:shd w:val="clear" w:color="auto" w:fill="auto"/>
          </w:tcPr>
          <w:p w14:paraId="37EA2081" w14:textId="77777777" w:rsidR="008B3FBA" w:rsidRPr="00545358" w:rsidRDefault="008B3FBA" w:rsidP="00EB1859">
            <w:pPr>
              <w:pStyle w:val="TableTextBody"/>
            </w:pPr>
          </w:p>
        </w:tc>
      </w:tr>
      <w:tr w:rsidR="008B3FBA" w:rsidRPr="00C775BC" w14:paraId="46748F99" w14:textId="77777777" w:rsidTr="00F541AA">
        <w:tc>
          <w:tcPr>
            <w:tcW w:w="2547" w:type="dxa"/>
            <w:shd w:val="clear" w:color="auto" w:fill="auto"/>
          </w:tcPr>
          <w:p w14:paraId="5C0E8D59" w14:textId="77777777" w:rsidR="008B3FBA" w:rsidRPr="00545358" w:rsidRDefault="008B3FBA" w:rsidP="00EB1859">
            <w:pPr>
              <w:pStyle w:val="TableTextBody"/>
            </w:pPr>
            <w:r w:rsidRPr="00545358">
              <w:t>Net assets</w:t>
            </w:r>
          </w:p>
        </w:tc>
        <w:tc>
          <w:tcPr>
            <w:tcW w:w="1701" w:type="dxa"/>
            <w:shd w:val="clear" w:color="auto" w:fill="auto"/>
          </w:tcPr>
          <w:p w14:paraId="35517097" w14:textId="77777777" w:rsidR="008B3FBA" w:rsidRPr="00545358" w:rsidRDefault="008B3FBA" w:rsidP="00EB1859">
            <w:pPr>
              <w:pStyle w:val="TableTextBody"/>
            </w:pPr>
            <w:r w:rsidRPr="00545358">
              <w:t>3,554</w:t>
            </w:r>
          </w:p>
        </w:tc>
        <w:tc>
          <w:tcPr>
            <w:tcW w:w="1559" w:type="dxa"/>
            <w:shd w:val="clear" w:color="auto" w:fill="auto"/>
          </w:tcPr>
          <w:p w14:paraId="105921DB" w14:textId="77777777" w:rsidR="008B3FBA" w:rsidRPr="00545358" w:rsidRDefault="008B3FBA" w:rsidP="00EB1859">
            <w:pPr>
              <w:pStyle w:val="TableTextBody"/>
            </w:pPr>
            <w:r w:rsidRPr="00545358">
              <w:t>1,982</w:t>
            </w:r>
          </w:p>
        </w:tc>
      </w:tr>
      <w:tr w:rsidR="008B3FBA" w:rsidRPr="00C775BC" w14:paraId="531C684C" w14:textId="77777777" w:rsidTr="00F541AA">
        <w:tc>
          <w:tcPr>
            <w:tcW w:w="2547" w:type="dxa"/>
            <w:shd w:val="clear" w:color="auto" w:fill="auto"/>
          </w:tcPr>
          <w:p w14:paraId="00B5AD8A" w14:textId="77777777" w:rsidR="008B3FBA" w:rsidRPr="00545358" w:rsidRDefault="008B3FBA" w:rsidP="00EB1859">
            <w:pPr>
              <w:pStyle w:val="TableTextBody"/>
            </w:pPr>
          </w:p>
        </w:tc>
        <w:tc>
          <w:tcPr>
            <w:tcW w:w="1701" w:type="dxa"/>
            <w:shd w:val="clear" w:color="auto" w:fill="auto"/>
          </w:tcPr>
          <w:p w14:paraId="54CF2926" w14:textId="77777777" w:rsidR="008B3FBA" w:rsidRPr="00545358" w:rsidRDefault="008B3FBA" w:rsidP="00EB1859">
            <w:pPr>
              <w:pStyle w:val="TableTextBody"/>
            </w:pPr>
          </w:p>
        </w:tc>
        <w:tc>
          <w:tcPr>
            <w:tcW w:w="1559" w:type="dxa"/>
            <w:shd w:val="clear" w:color="auto" w:fill="auto"/>
          </w:tcPr>
          <w:p w14:paraId="2A6A827B" w14:textId="77777777" w:rsidR="008B3FBA" w:rsidRPr="00545358" w:rsidRDefault="008B3FBA" w:rsidP="00EB1859">
            <w:pPr>
              <w:pStyle w:val="TableTextBody"/>
            </w:pPr>
          </w:p>
        </w:tc>
      </w:tr>
      <w:tr w:rsidR="008B3FBA" w:rsidRPr="00C775BC" w14:paraId="06F854F4" w14:textId="77777777" w:rsidTr="00F541AA">
        <w:tc>
          <w:tcPr>
            <w:tcW w:w="2547" w:type="dxa"/>
            <w:shd w:val="clear" w:color="auto" w:fill="auto"/>
          </w:tcPr>
          <w:p w14:paraId="03DA0D9F" w14:textId="77777777" w:rsidR="008B3FBA" w:rsidRPr="00545358" w:rsidRDefault="008B3FBA" w:rsidP="00EB1859">
            <w:pPr>
              <w:pStyle w:val="TableTextBold"/>
            </w:pPr>
            <w:r w:rsidRPr="00545358">
              <w:t>Total equity</w:t>
            </w:r>
          </w:p>
        </w:tc>
        <w:tc>
          <w:tcPr>
            <w:tcW w:w="1701" w:type="dxa"/>
            <w:shd w:val="clear" w:color="auto" w:fill="auto"/>
          </w:tcPr>
          <w:p w14:paraId="5F49305A" w14:textId="77777777" w:rsidR="008B3FBA" w:rsidRPr="00545358" w:rsidRDefault="008B3FBA" w:rsidP="00EB1859">
            <w:pPr>
              <w:pStyle w:val="TableTextBold"/>
            </w:pPr>
            <w:r w:rsidRPr="00545358">
              <w:t>3,554</w:t>
            </w:r>
          </w:p>
        </w:tc>
        <w:tc>
          <w:tcPr>
            <w:tcW w:w="1559" w:type="dxa"/>
            <w:shd w:val="clear" w:color="auto" w:fill="auto"/>
          </w:tcPr>
          <w:p w14:paraId="15D0D141" w14:textId="77777777" w:rsidR="008B3FBA" w:rsidRPr="00545358" w:rsidRDefault="008B3FBA" w:rsidP="00EB1859">
            <w:pPr>
              <w:pStyle w:val="TableTextBold"/>
            </w:pPr>
            <w:r w:rsidRPr="00545358">
              <w:t>1,982</w:t>
            </w:r>
          </w:p>
        </w:tc>
      </w:tr>
    </w:tbl>
    <w:p w14:paraId="7FDFB9CD" w14:textId="77777777" w:rsidR="008B3FBA" w:rsidRPr="00C775BC" w:rsidRDefault="008B3FBA" w:rsidP="00EB1859">
      <w:pPr>
        <w:rPr>
          <w:highlight w:val="yellow"/>
        </w:rPr>
      </w:pPr>
    </w:p>
    <w:p w14:paraId="44E7F146" w14:textId="1FEE194F" w:rsidR="008B3FBA" w:rsidRPr="004C00E0" w:rsidRDefault="008B3FBA" w:rsidP="00EB1859">
      <w:r w:rsidRPr="00D54238">
        <w:t xml:space="preserve">Table </w:t>
      </w:r>
      <w:r w:rsidR="00D54238" w:rsidRPr="00D54238">
        <w:t>10</w:t>
      </w:r>
      <w:r w:rsidRPr="00D54238">
        <w:t xml:space="preserve"> sets out the Commission’s net assets (that is, assets</w:t>
      </w:r>
      <w:r w:rsidRPr="004C00E0">
        <w:t xml:space="preserve"> less liabilities) and equity. As at 30 June 2023, the Commission’s net assets were $3.554</w:t>
      </w:r>
      <w:r>
        <w:t>M</w:t>
      </w:r>
      <w:r w:rsidRPr="004C00E0">
        <w:t>, up $1.572</w:t>
      </w:r>
      <w:r>
        <w:t xml:space="preserve">M </w:t>
      </w:r>
      <w:r w:rsidRPr="004C00E0">
        <w:t xml:space="preserve">due to current year operating surplus. </w:t>
      </w:r>
    </w:p>
    <w:p w14:paraId="111FD164" w14:textId="5ACD65A1" w:rsidR="008B3FBA" w:rsidRDefault="008B3FBA" w:rsidP="00EB1859">
      <w:bookmarkStart w:id="285" w:name="_Hlk143519907"/>
      <w:r w:rsidRPr="00C82586">
        <w:t xml:space="preserve">This year </w:t>
      </w:r>
      <w:r w:rsidRPr="005F41EE">
        <w:t xml:space="preserve">the Commission’s total assets increased to $4.508M, </w:t>
      </w:r>
      <w:r>
        <w:t xml:space="preserve">up </w:t>
      </w:r>
      <w:r w:rsidRPr="005F41EE">
        <w:t>$1.531M (51%) from 2021-22.</w:t>
      </w:r>
      <w:r>
        <w:t xml:space="preserve"> This is due to an increase in current assets of $1.617M, and a decrease in non-current assets of $0.086M.</w:t>
      </w:r>
      <w:r w:rsidR="007A61EC">
        <w:t xml:space="preserve"> </w:t>
      </w:r>
    </w:p>
    <w:p w14:paraId="0CB09D55" w14:textId="3BF1BD48" w:rsidR="008B3FBA" w:rsidRPr="00F37269" w:rsidRDefault="008B3FBA" w:rsidP="00EB1859">
      <w:r>
        <w:t xml:space="preserve">The current assets movement was predominately from an increase of cash and cash equivalents of $1.410M from cash provided by operating activities. Other current assets had increases in receivables and prepayments, which fluctuate year </w:t>
      </w:r>
      <w:r w:rsidRPr="00F37269">
        <w:t>on year depending on operational requirements.</w:t>
      </w:r>
      <w:r w:rsidR="00A946AA">
        <w:t xml:space="preserve"> </w:t>
      </w:r>
    </w:p>
    <w:p w14:paraId="6E907B9A" w14:textId="250D6691" w:rsidR="008B3FBA" w:rsidRPr="005F553E" w:rsidRDefault="008B3FBA" w:rsidP="00EB1859">
      <w:bookmarkStart w:id="286" w:name="_Hlk143616013"/>
      <w:r w:rsidRPr="00F37269">
        <w:t>The decrease of non-current assets by $0.086M is due to annual depreciation and amortisation expense ($0.187M), less investment in new plant and equipment ($0.101M) related to an office fit out to accommodate additional staff.</w:t>
      </w:r>
      <w:r w:rsidR="007A61EC">
        <w:t xml:space="preserve"> </w:t>
      </w:r>
    </w:p>
    <w:bookmarkEnd w:id="285"/>
    <w:bookmarkEnd w:id="286"/>
    <w:p w14:paraId="37E2A5DA" w14:textId="77777777" w:rsidR="008B3FBA" w:rsidRPr="005F553E" w:rsidRDefault="008B3FBA" w:rsidP="00EB1859">
      <w:r w:rsidRPr="008456B3">
        <w:t xml:space="preserve">The majority of current liabilities relate to employee </w:t>
      </w:r>
      <w:r>
        <w:t xml:space="preserve">annual leave </w:t>
      </w:r>
      <w:r w:rsidRPr="008456B3">
        <w:t>entitlements ($0.</w:t>
      </w:r>
      <w:r w:rsidRPr="00626486">
        <w:t xml:space="preserve">750 million or </w:t>
      </w:r>
      <w:r w:rsidRPr="000E5B51">
        <w:t xml:space="preserve">79%) </w:t>
      </w:r>
      <w:r w:rsidRPr="008456B3">
        <w:t xml:space="preserve">as at 30 June 2023. </w:t>
      </w:r>
      <w:r>
        <w:t>T</w:t>
      </w:r>
      <w:r w:rsidRPr="008456B3">
        <w:t>he remaining</w:t>
      </w:r>
      <w:r w:rsidRPr="00626486">
        <w:t xml:space="preserve"> $0.204M relates to end of financial year trade creditors and accruals</w:t>
      </w:r>
      <w:r w:rsidRPr="005F553E">
        <w:t xml:space="preserve"> of</w:t>
      </w:r>
      <w:r w:rsidRPr="008456B3">
        <w:t xml:space="preserve"> $0.198M</w:t>
      </w:r>
      <w:r>
        <w:t>,</w:t>
      </w:r>
      <w:r w:rsidRPr="008456B3">
        <w:t xml:space="preserve"> </w:t>
      </w:r>
      <w:r>
        <w:t>and</w:t>
      </w:r>
      <w:r w:rsidRPr="008456B3">
        <w:t xml:space="preserve"> $6K unearned training revenue by the end of financial year</w:t>
      </w:r>
      <w:r w:rsidRPr="00626486">
        <w:t xml:space="preserve">, which will be recognised as revenue in 2023-24 once training </w:t>
      </w:r>
      <w:r>
        <w:t>ha</w:t>
      </w:r>
      <w:r w:rsidRPr="00626486">
        <w:t>s</w:t>
      </w:r>
      <w:r>
        <w:t xml:space="preserve"> been</w:t>
      </w:r>
      <w:r w:rsidRPr="00626486">
        <w:t xml:space="preserve"> delivered. </w:t>
      </w:r>
    </w:p>
    <w:p w14:paraId="5627E349" w14:textId="77777777" w:rsidR="00D02A58" w:rsidRDefault="00D02A58">
      <w:pPr>
        <w:ind w:right="0"/>
        <w:rPr>
          <w:color w:val="000000" w:themeColor="text1"/>
          <w:sz w:val="36"/>
        </w:rPr>
      </w:pPr>
      <w:bookmarkStart w:id="287" w:name="_Toc80971399"/>
      <w:bookmarkStart w:id="288" w:name="_Toc143678226"/>
      <w:bookmarkStart w:id="289" w:name="_Toc143678745"/>
      <w:bookmarkStart w:id="290" w:name="_Toc144200525"/>
      <w:r>
        <w:br w:type="page"/>
      </w:r>
    </w:p>
    <w:p w14:paraId="0D016D0C" w14:textId="6A22DA91" w:rsidR="008B3FBA" w:rsidRPr="00E61F52" w:rsidRDefault="008B3FBA" w:rsidP="00A97969">
      <w:pPr>
        <w:pStyle w:val="Heading2"/>
      </w:pPr>
      <w:r w:rsidRPr="00E61F52">
        <w:lastRenderedPageBreak/>
        <w:t>Comparison to the 2022-23 Budget</w:t>
      </w:r>
      <w:r w:rsidRPr="00E61F52">
        <w:rPr>
          <w:rStyle w:val="FootnoteReference"/>
        </w:rPr>
        <w:footnoteReference w:id="15"/>
      </w:r>
      <w:bookmarkEnd w:id="287"/>
      <w:bookmarkEnd w:id="288"/>
      <w:bookmarkEnd w:id="289"/>
      <w:bookmarkEnd w:id="290"/>
    </w:p>
    <w:p w14:paraId="0AC11877" w14:textId="77777777" w:rsidR="008B3FBA" w:rsidRPr="00E61F52" w:rsidRDefault="008B3FBA" w:rsidP="00EB1859">
      <w:r w:rsidRPr="00E61F52">
        <w:t xml:space="preserve">Budget and Actual performance together with explanatory notes on major variances are provided in detail in Note E1 of the audited financial statements provided with this report. </w:t>
      </w:r>
    </w:p>
    <w:p w14:paraId="2CD43C10" w14:textId="77777777" w:rsidR="008B3FBA" w:rsidRPr="00E61F52" w:rsidRDefault="008B3FBA" w:rsidP="00A97969">
      <w:pPr>
        <w:pStyle w:val="Heading3"/>
      </w:pPr>
      <w:bookmarkStart w:id="291" w:name="_Toc80971400"/>
      <w:r w:rsidRPr="00E61F52">
        <w:t>Certification of financial statements</w:t>
      </w:r>
      <w:bookmarkEnd w:id="291"/>
    </w:p>
    <w:p w14:paraId="6510F971" w14:textId="77777777" w:rsidR="008B3FBA" w:rsidRPr="00E61F52" w:rsidRDefault="008B3FBA" w:rsidP="00EB1859">
      <w:r w:rsidRPr="00E61F52">
        <w:t xml:space="preserve">The certification of financial statements accompanies the annual report or can be view at </w:t>
      </w:r>
      <w:hyperlink r:id="rId20" w:history="1">
        <w:r w:rsidRPr="00330D85">
          <w:rPr>
            <w:rStyle w:val="Hyperlink"/>
          </w:rPr>
          <w:t>www.qhrc.qld.gov.au</w:t>
        </w:r>
      </w:hyperlink>
      <w:r w:rsidRPr="00E61F52">
        <w:t>.</w:t>
      </w:r>
    </w:p>
    <w:p w14:paraId="573E56C4" w14:textId="77777777" w:rsidR="008B3FBA" w:rsidRPr="00E61F52" w:rsidRDefault="008B3FBA" w:rsidP="00A97969">
      <w:pPr>
        <w:pStyle w:val="Heading3"/>
      </w:pPr>
      <w:bookmarkStart w:id="292" w:name="_Toc80971401"/>
      <w:r w:rsidRPr="00E61F52">
        <w:t>Independent auditor’s report</w:t>
      </w:r>
      <w:bookmarkEnd w:id="292"/>
    </w:p>
    <w:p w14:paraId="02F8D220" w14:textId="05F846D2" w:rsidR="00E32E4E" w:rsidRDefault="008B3FBA" w:rsidP="00EB1859">
      <w:r w:rsidRPr="00E61F52">
        <w:t xml:space="preserve">The independent auditor’s report accompanies the annual report or can be viewed at </w:t>
      </w:r>
      <w:hyperlink r:id="rId21" w:history="1">
        <w:r w:rsidRPr="00330D85">
          <w:rPr>
            <w:rStyle w:val="Hyperlink"/>
          </w:rPr>
          <w:t>www.qhrc.qld.gov.au</w:t>
        </w:r>
      </w:hyperlink>
      <w:r w:rsidRPr="00E61F52">
        <w:t>.</w:t>
      </w:r>
    </w:p>
    <w:p w14:paraId="3D322882" w14:textId="77777777" w:rsidR="00D54238" w:rsidRDefault="00D54238" w:rsidP="00EB1859">
      <w:pPr>
        <w:rPr>
          <w:color w:val="000000" w:themeColor="text1"/>
          <w:sz w:val="48"/>
        </w:rPr>
      </w:pPr>
      <w:bookmarkStart w:id="293" w:name="_Toc143678746"/>
      <w:r>
        <w:br w:type="page"/>
      </w:r>
    </w:p>
    <w:p w14:paraId="54E553BA" w14:textId="20C19307" w:rsidR="008B3FBA" w:rsidRDefault="00E32E4E" w:rsidP="00A97969">
      <w:pPr>
        <w:pStyle w:val="Heading1"/>
      </w:pPr>
      <w:bookmarkStart w:id="294" w:name="_Toc144200526"/>
      <w:r>
        <w:lastRenderedPageBreak/>
        <w:t>Appendix A: Compliance checklist</w:t>
      </w:r>
      <w:bookmarkEnd w:id="293"/>
      <w:bookmarkEnd w:id="294"/>
      <w:r>
        <w:t xml:space="preserve"> </w:t>
      </w:r>
    </w:p>
    <w:tbl>
      <w:tblPr>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1696"/>
        <w:gridCol w:w="3544"/>
        <w:gridCol w:w="2268"/>
        <w:gridCol w:w="1559"/>
      </w:tblGrid>
      <w:tr w:rsidR="00E41315" w:rsidRPr="00A21D7D" w14:paraId="085953C1" w14:textId="77777777" w:rsidTr="00BC6581">
        <w:trPr>
          <w:cantSplit/>
          <w:tblHeader/>
        </w:trPr>
        <w:tc>
          <w:tcPr>
            <w:tcW w:w="5240" w:type="dxa"/>
            <w:gridSpan w:val="2"/>
            <w:shd w:val="clear" w:color="auto" w:fill="auto"/>
            <w:vAlign w:val="center"/>
          </w:tcPr>
          <w:p w14:paraId="1AD40CF8" w14:textId="77777777" w:rsidR="00E41315" w:rsidRPr="00A21D7D" w:rsidRDefault="00E41315" w:rsidP="00582B85">
            <w:pPr>
              <w:pStyle w:val="TableTextHeading"/>
            </w:pPr>
            <w:r w:rsidRPr="00A21D7D">
              <w:t>Summary of requirement</w:t>
            </w:r>
          </w:p>
        </w:tc>
        <w:tc>
          <w:tcPr>
            <w:tcW w:w="2268" w:type="dxa"/>
            <w:shd w:val="clear" w:color="auto" w:fill="auto"/>
            <w:vAlign w:val="center"/>
          </w:tcPr>
          <w:p w14:paraId="54024D46" w14:textId="77777777" w:rsidR="00E41315" w:rsidRPr="00A21D7D" w:rsidRDefault="00E41315" w:rsidP="00582B85">
            <w:pPr>
              <w:pStyle w:val="TableTextHeading"/>
            </w:pPr>
            <w:r w:rsidRPr="00A21D7D">
              <w:t>Basis for requirement</w:t>
            </w:r>
          </w:p>
        </w:tc>
        <w:tc>
          <w:tcPr>
            <w:tcW w:w="1559" w:type="dxa"/>
            <w:shd w:val="clear" w:color="auto" w:fill="auto"/>
            <w:vAlign w:val="center"/>
          </w:tcPr>
          <w:p w14:paraId="775B65B2" w14:textId="77777777" w:rsidR="00E41315" w:rsidRPr="00A21D7D" w:rsidRDefault="00E41315" w:rsidP="00582B85">
            <w:pPr>
              <w:pStyle w:val="TableTextHeading"/>
            </w:pPr>
            <w:r w:rsidRPr="00A21D7D">
              <w:t>Annual report reference</w:t>
            </w:r>
          </w:p>
        </w:tc>
      </w:tr>
      <w:tr w:rsidR="00E41315" w:rsidRPr="00A21D7D" w14:paraId="35FD9B29" w14:textId="77777777" w:rsidTr="00BC6581">
        <w:trPr>
          <w:cantSplit/>
        </w:trPr>
        <w:tc>
          <w:tcPr>
            <w:tcW w:w="1696" w:type="dxa"/>
          </w:tcPr>
          <w:p w14:paraId="65EED0C7" w14:textId="77777777" w:rsidR="00E41315" w:rsidRPr="00936236" w:rsidRDefault="00E41315" w:rsidP="00582B85">
            <w:pPr>
              <w:pStyle w:val="TableTextBody"/>
              <w:rPr>
                <w:b/>
                <w:bCs/>
              </w:rPr>
            </w:pPr>
            <w:r w:rsidRPr="00936236">
              <w:rPr>
                <w:b/>
                <w:bCs/>
              </w:rPr>
              <w:t>Letter of compliance</w:t>
            </w:r>
          </w:p>
        </w:tc>
        <w:tc>
          <w:tcPr>
            <w:tcW w:w="3544" w:type="dxa"/>
          </w:tcPr>
          <w:p w14:paraId="15CC4EF1" w14:textId="77777777" w:rsidR="00E41315" w:rsidRPr="00A21D7D" w:rsidRDefault="00E41315" w:rsidP="00582B85">
            <w:pPr>
              <w:pStyle w:val="TableTextBody"/>
            </w:pPr>
            <w:r w:rsidRPr="00A21D7D">
              <w:t>A letter of compliance from the accountable officer or statutory body to the relevant Minister/s</w:t>
            </w:r>
          </w:p>
        </w:tc>
        <w:tc>
          <w:tcPr>
            <w:tcW w:w="2268" w:type="dxa"/>
            <w:shd w:val="clear" w:color="auto" w:fill="auto"/>
          </w:tcPr>
          <w:p w14:paraId="59FD3590" w14:textId="77777777" w:rsidR="00E41315" w:rsidRPr="00A21D7D" w:rsidRDefault="00E41315" w:rsidP="00582B85">
            <w:pPr>
              <w:pStyle w:val="TableTextBody"/>
            </w:pPr>
            <w:r w:rsidRPr="00A21D7D">
              <w:t>ARRs</w:t>
            </w:r>
            <w:r w:rsidRPr="00A21D7D">
              <w:rPr>
                <w:i/>
              </w:rPr>
              <w:t xml:space="preserve"> – </w:t>
            </w:r>
            <w:r w:rsidRPr="00A21D7D">
              <w:t>section 7</w:t>
            </w:r>
          </w:p>
        </w:tc>
        <w:tc>
          <w:tcPr>
            <w:tcW w:w="1559" w:type="dxa"/>
            <w:shd w:val="clear" w:color="auto" w:fill="auto"/>
          </w:tcPr>
          <w:p w14:paraId="61FCB020" w14:textId="77777777" w:rsidR="00E41315" w:rsidRPr="00A21D7D" w:rsidRDefault="00E41315" w:rsidP="00582B85">
            <w:pPr>
              <w:pStyle w:val="TableTextBody"/>
            </w:pPr>
            <w:r>
              <w:t>Page 4</w:t>
            </w:r>
          </w:p>
        </w:tc>
      </w:tr>
      <w:tr w:rsidR="00E41315" w:rsidRPr="00A21D7D" w14:paraId="1C047F53" w14:textId="77777777" w:rsidTr="00BC6581">
        <w:trPr>
          <w:cantSplit/>
        </w:trPr>
        <w:tc>
          <w:tcPr>
            <w:tcW w:w="1696" w:type="dxa"/>
            <w:vMerge w:val="restart"/>
          </w:tcPr>
          <w:p w14:paraId="5D363E12" w14:textId="77777777" w:rsidR="00E41315" w:rsidRPr="00936236" w:rsidRDefault="00E41315" w:rsidP="00582B85">
            <w:pPr>
              <w:pStyle w:val="TableTextBody"/>
              <w:rPr>
                <w:b/>
                <w:bCs/>
              </w:rPr>
            </w:pPr>
            <w:r w:rsidRPr="00936236">
              <w:rPr>
                <w:b/>
                <w:bCs/>
              </w:rPr>
              <w:t>Accessibility</w:t>
            </w:r>
          </w:p>
        </w:tc>
        <w:tc>
          <w:tcPr>
            <w:tcW w:w="3544" w:type="dxa"/>
          </w:tcPr>
          <w:p w14:paraId="04F83200" w14:textId="77777777" w:rsidR="00E41315" w:rsidRPr="00A21D7D" w:rsidRDefault="00E41315" w:rsidP="00582B85">
            <w:pPr>
              <w:pStyle w:val="TableTextBody"/>
            </w:pPr>
            <w:r w:rsidRPr="00A21D7D">
              <w:t>Table of contents</w:t>
            </w:r>
          </w:p>
          <w:p w14:paraId="40A2EE56" w14:textId="77777777" w:rsidR="00E41315" w:rsidRPr="00A21D7D" w:rsidRDefault="00E41315" w:rsidP="00582B85">
            <w:pPr>
              <w:pStyle w:val="TableTextBody"/>
            </w:pPr>
            <w:r w:rsidRPr="00A21D7D">
              <w:t>Glossary</w:t>
            </w:r>
          </w:p>
        </w:tc>
        <w:tc>
          <w:tcPr>
            <w:tcW w:w="2268" w:type="dxa"/>
            <w:shd w:val="clear" w:color="auto" w:fill="auto"/>
          </w:tcPr>
          <w:p w14:paraId="459E25E5" w14:textId="77777777" w:rsidR="00E41315" w:rsidRPr="00A21D7D" w:rsidRDefault="00E41315" w:rsidP="00582B85">
            <w:pPr>
              <w:pStyle w:val="TableTextBody"/>
            </w:pPr>
            <w:r w:rsidRPr="00A21D7D">
              <w:t>ARRs – section 9.1</w:t>
            </w:r>
          </w:p>
        </w:tc>
        <w:tc>
          <w:tcPr>
            <w:tcW w:w="1559" w:type="dxa"/>
            <w:shd w:val="clear" w:color="auto" w:fill="auto"/>
          </w:tcPr>
          <w:p w14:paraId="5F20950F" w14:textId="77777777" w:rsidR="00E41315" w:rsidRDefault="00E41315" w:rsidP="00582B85">
            <w:pPr>
              <w:pStyle w:val="TableTextBody"/>
            </w:pPr>
            <w:r>
              <w:t>Page 3</w:t>
            </w:r>
          </w:p>
          <w:p w14:paraId="00035C9C" w14:textId="77777777" w:rsidR="00E41315" w:rsidRPr="00A21D7D" w:rsidRDefault="00E41315" w:rsidP="00582B85">
            <w:pPr>
              <w:pStyle w:val="TableTextBody"/>
            </w:pPr>
            <w:r>
              <w:t>Appendix C</w:t>
            </w:r>
          </w:p>
        </w:tc>
      </w:tr>
      <w:tr w:rsidR="00E41315" w:rsidRPr="00A21D7D" w14:paraId="04FB0C77" w14:textId="77777777" w:rsidTr="00BC6581">
        <w:trPr>
          <w:cantSplit/>
        </w:trPr>
        <w:tc>
          <w:tcPr>
            <w:tcW w:w="1696" w:type="dxa"/>
            <w:vMerge/>
          </w:tcPr>
          <w:p w14:paraId="739564E6" w14:textId="77777777" w:rsidR="00E41315" w:rsidRPr="00936236" w:rsidRDefault="00E41315" w:rsidP="00582B85">
            <w:pPr>
              <w:pStyle w:val="TableTextBody"/>
              <w:rPr>
                <w:b/>
                <w:bCs/>
              </w:rPr>
            </w:pPr>
          </w:p>
        </w:tc>
        <w:tc>
          <w:tcPr>
            <w:tcW w:w="3544" w:type="dxa"/>
          </w:tcPr>
          <w:p w14:paraId="454CB9BD" w14:textId="77777777" w:rsidR="00E41315" w:rsidRPr="00A21D7D" w:rsidRDefault="00E41315" w:rsidP="00582B85">
            <w:pPr>
              <w:pStyle w:val="TableTextBody"/>
            </w:pPr>
            <w:r w:rsidRPr="00A21D7D">
              <w:t>Public availability</w:t>
            </w:r>
          </w:p>
        </w:tc>
        <w:tc>
          <w:tcPr>
            <w:tcW w:w="2268" w:type="dxa"/>
            <w:shd w:val="clear" w:color="auto" w:fill="auto"/>
          </w:tcPr>
          <w:p w14:paraId="2B7E525E" w14:textId="77777777" w:rsidR="00E41315" w:rsidRPr="00A21D7D" w:rsidRDefault="00E41315" w:rsidP="00582B85">
            <w:pPr>
              <w:pStyle w:val="TableTextBody"/>
            </w:pPr>
            <w:r w:rsidRPr="00A21D7D">
              <w:t>ARRs – section 9.2</w:t>
            </w:r>
          </w:p>
        </w:tc>
        <w:tc>
          <w:tcPr>
            <w:tcW w:w="1559" w:type="dxa"/>
            <w:shd w:val="clear" w:color="auto" w:fill="auto"/>
          </w:tcPr>
          <w:p w14:paraId="282A974C" w14:textId="77777777" w:rsidR="00E41315" w:rsidRPr="00A21D7D" w:rsidRDefault="00E41315" w:rsidP="00582B85">
            <w:pPr>
              <w:pStyle w:val="TableTextBody"/>
            </w:pPr>
            <w:r>
              <w:t>Page 2</w:t>
            </w:r>
          </w:p>
        </w:tc>
      </w:tr>
      <w:tr w:rsidR="00E41315" w:rsidRPr="00A21D7D" w14:paraId="16FCC2C4" w14:textId="77777777" w:rsidTr="00BC6581">
        <w:trPr>
          <w:cantSplit/>
        </w:trPr>
        <w:tc>
          <w:tcPr>
            <w:tcW w:w="1696" w:type="dxa"/>
            <w:vMerge/>
          </w:tcPr>
          <w:p w14:paraId="2E19DA25" w14:textId="77777777" w:rsidR="00E41315" w:rsidRPr="00936236" w:rsidRDefault="00E41315" w:rsidP="00582B85">
            <w:pPr>
              <w:pStyle w:val="TableTextBody"/>
              <w:rPr>
                <w:b/>
                <w:bCs/>
              </w:rPr>
            </w:pPr>
          </w:p>
        </w:tc>
        <w:tc>
          <w:tcPr>
            <w:tcW w:w="3544" w:type="dxa"/>
          </w:tcPr>
          <w:p w14:paraId="30D277A9" w14:textId="77777777" w:rsidR="00E41315" w:rsidRPr="00A21D7D" w:rsidRDefault="00E41315" w:rsidP="00582B85">
            <w:pPr>
              <w:pStyle w:val="TableTextBody"/>
            </w:pPr>
            <w:r w:rsidRPr="00A21D7D">
              <w:t>Interpreter service statement</w:t>
            </w:r>
          </w:p>
        </w:tc>
        <w:tc>
          <w:tcPr>
            <w:tcW w:w="2268" w:type="dxa"/>
            <w:shd w:val="clear" w:color="auto" w:fill="auto"/>
          </w:tcPr>
          <w:p w14:paraId="15456D68" w14:textId="77777777" w:rsidR="00E41315" w:rsidRPr="00A21D7D" w:rsidRDefault="00E41315" w:rsidP="00582B85">
            <w:pPr>
              <w:pStyle w:val="TableTextBody"/>
              <w:rPr>
                <w:i/>
              </w:rPr>
            </w:pPr>
            <w:r w:rsidRPr="00A21D7D">
              <w:rPr>
                <w:i/>
              </w:rPr>
              <w:t>Queensland Government Language Services Policy</w:t>
            </w:r>
          </w:p>
          <w:p w14:paraId="2382EE8C" w14:textId="77777777" w:rsidR="00E41315" w:rsidRPr="00A21D7D" w:rsidRDefault="00E41315" w:rsidP="00582B85">
            <w:pPr>
              <w:pStyle w:val="TableTextBody"/>
            </w:pPr>
            <w:r w:rsidRPr="00A21D7D">
              <w:t>ARRs – section 9.3</w:t>
            </w:r>
          </w:p>
        </w:tc>
        <w:tc>
          <w:tcPr>
            <w:tcW w:w="1559" w:type="dxa"/>
            <w:shd w:val="clear" w:color="auto" w:fill="auto"/>
          </w:tcPr>
          <w:p w14:paraId="71063A70" w14:textId="77777777" w:rsidR="00E41315" w:rsidRPr="00A21D7D" w:rsidRDefault="00E41315" w:rsidP="00582B85">
            <w:pPr>
              <w:pStyle w:val="TableTextBody"/>
            </w:pPr>
            <w:r>
              <w:t>Page 2</w:t>
            </w:r>
          </w:p>
        </w:tc>
      </w:tr>
      <w:tr w:rsidR="00E41315" w:rsidRPr="00A21D7D" w14:paraId="3D1E39C2" w14:textId="77777777" w:rsidTr="00BC6581">
        <w:trPr>
          <w:cantSplit/>
        </w:trPr>
        <w:tc>
          <w:tcPr>
            <w:tcW w:w="1696" w:type="dxa"/>
            <w:vMerge/>
          </w:tcPr>
          <w:p w14:paraId="79C89837" w14:textId="77777777" w:rsidR="00E41315" w:rsidRPr="00936236" w:rsidRDefault="00E41315" w:rsidP="00582B85">
            <w:pPr>
              <w:pStyle w:val="TableTextBody"/>
              <w:rPr>
                <w:b/>
                <w:bCs/>
              </w:rPr>
            </w:pPr>
          </w:p>
        </w:tc>
        <w:tc>
          <w:tcPr>
            <w:tcW w:w="3544" w:type="dxa"/>
          </w:tcPr>
          <w:p w14:paraId="1F846CF8" w14:textId="77777777" w:rsidR="00E41315" w:rsidRPr="00A21D7D" w:rsidRDefault="00E41315" w:rsidP="00582B85">
            <w:pPr>
              <w:pStyle w:val="TableTextBody"/>
            </w:pPr>
            <w:r w:rsidRPr="00A21D7D">
              <w:t>Copyright notice</w:t>
            </w:r>
          </w:p>
        </w:tc>
        <w:tc>
          <w:tcPr>
            <w:tcW w:w="2268" w:type="dxa"/>
            <w:shd w:val="clear" w:color="auto" w:fill="auto"/>
          </w:tcPr>
          <w:p w14:paraId="36552AA7" w14:textId="77777777" w:rsidR="00E41315" w:rsidRPr="00A21D7D" w:rsidRDefault="00E41315" w:rsidP="00582B85">
            <w:pPr>
              <w:pStyle w:val="TableTextBody"/>
              <w:rPr>
                <w:i/>
              </w:rPr>
            </w:pPr>
            <w:r w:rsidRPr="00A21D7D">
              <w:rPr>
                <w:i/>
              </w:rPr>
              <w:t>Copyright Act 1968</w:t>
            </w:r>
          </w:p>
          <w:p w14:paraId="7C522A39" w14:textId="77777777" w:rsidR="00E41315" w:rsidRPr="00A21D7D" w:rsidRDefault="00E41315" w:rsidP="00582B85">
            <w:pPr>
              <w:pStyle w:val="TableTextBody"/>
            </w:pPr>
            <w:r w:rsidRPr="00A21D7D">
              <w:t>ARRs – section 9.4</w:t>
            </w:r>
          </w:p>
        </w:tc>
        <w:tc>
          <w:tcPr>
            <w:tcW w:w="1559" w:type="dxa"/>
            <w:shd w:val="clear" w:color="auto" w:fill="auto"/>
          </w:tcPr>
          <w:p w14:paraId="772AB993" w14:textId="77777777" w:rsidR="00E41315" w:rsidRPr="00A21D7D" w:rsidRDefault="00E41315" w:rsidP="00582B85">
            <w:pPr>
              <w:pStyle w:val="TableTextBody"/>
            </w:pPr>
            <w:r>
              <w:t>Page 2</w:t>
            </w:r>
          </w:p>
        </w:tc>
      </w:tr>
      <w:tr w:rsidR="00E41315" w:rsidRPr="00A21D7D" w14:paraId="38DDA06C" w14:textId="77777777" w:rsidTr="00BC6581">
        <w:trPr>
          <w:cantSplit/>
        </w:trPr>
        <w:tc>
          <w:tcPr>
            <w:tcW w:w="1696" w:type="dxa"/>
            <w:vMerge/>
          </w:tcPr>
          <w:p w14:paraId="4B9A9CF8" w14:textId="77777777" w:rsidR="00E41315" w:rsidRPr="00936236" w:rsidRDefault="00E41315" w:rsidP="00582B85">
            <w:pPr>
              <w:pStyle w:val="TableTextBody"/>
              <w:rPr>
                <w:b/>
                <w:bCs/>
              </w:rPr>
            </w:pPr>
          </w:p>
        </w:tc>
        <w:tc>
          <w:tcPr>
            <w:tcW w:w="3544" w:type="dxa"/>
          </w:tcPr>
          <w:p w14:paraId="0584B99A" w14:textId="77777777" w:rsidR="00E41315" w:rsidRPr="00A21D7D" w:rsidRDefault="00E41315" w:rsidP="00582B85">
            <w:pPr>
              <w:pStyle w:val="TableTextBody"/>
            </w:pPr>
            <w:r w:rsidRPr="00A21D7D">
              <w:t xml:space="preserve">Information </w:t>
            </w:r>
            <w:r>
              <w:t>l</w:t>
            </w:r>
            <w:r w:rsidRPr="00A21D7D">
              <w:t>icensing</w:t>
            </w:r>
          </w:p>
        </w:tc>
        <w:tc>
          <w:tcPr>
            <w:tcW w:w="2268" w:type="dxa"/>
            <w:shd w:val="clear" w:color="auto" w:fill="auto"/>
          </w:tcPr>
          <w:p w14:paraId="4FD104D0" w14:textId="77777777" w:rsidR="00E41315" w:rsidRPr="00A21D7D" w:rsidRDefault="00E41315" w:rsidP="00582B85">
            <w:pPr>
              <w:pStyle w:val="TableTextBody"/>
              <w:rPr>
                <w:i/>
              </w:rPr>
            </w:pPr>
            <w:r w:rsidRPr="00A21D7D">
              <w:rPr>
                <w:i/>
              </w:rPr>
              <w:t>QGEA – Information Licensing</w:t>
            </w:r>
          </w:p>
          <w:p w14:paraId="20B27E6D" w14:textId="77777777" w:rsidR="00E41315" w:rsidRPr="00A21D7D" w:rsidRDefault="00E41315" w:rsidP="00582B85">
            <w:pPr>
              <w:pStyle w:val="TableTextBody"/>
            </w:pPr>
            <w:r w:rsidRPr="00A21D7D">
              <w:t>ARRs – section 9.5</w:t>
            </w:r>
          </w:p>
        </w:tc>
        <w:tc>
          <w:tcPr>
            <w:tcW w:w="1559" w:type="dxa"/>
            <w:shd w:val="clear" w:color="auto" w:fill="auto"/>
          </w:tcPr>
          <w:p w14:paraId="7AA8CD6C" w14:textId="77777777" w:rsidR="00E41315" w:rsidRPr="00A21D7D" w:rsidRDefault="00E41315" w:rsidP="00582B85">
            <w:pPr>
              <w:pStyle w:val="TableTextBody"/>
            </w:pPr>
            <w:r>
              <w:t>Page 2</w:t>
            </w:r>
          </w:p>
        </w:tc>
      </w:tr>
      <w:tr w:rsidR="00E41315" w:rsidRPr="00A21D7D" w14:paraId="73A52DB3" w14:textId="77777777" w:rsidTr="00BC6581">
        <w:trPr>
          <w:cantSplit/>
          <w:trHeight w:val="485"/>
        </w:trPr>
        <w:tc>
          <w:tcPr>
            <w:tcW w:w="1696" w:type="dxa"/>
          </w:tcPr>
          <w:p w14:paraId="29601033" w14:textId="77777777" w:rsidR="00E41315" w:rsidRPr="00936236" w:rsidRDefault="00E41315" w:rsidP="00582B85">
            <w:pPr>
              <w:pStyle w:val="TableTextBody"/>
              <w:rPr>
                <w:b/>
                <w:bCs/>
              </w:rPr>
            </w:pPr>
            <w:r w:rsidRPr="00936236">
              <w:rPr>
                <w:b/>
                <w:bCs/>
              </w:rPr>
              <w:t>General information</w:t>
            </w:r>
          </w:p>
        </w:tc>
        <w:tc>
          <w:tcPr>
            <w:tcW w:w="3544" w:type="dxa"/>
          </w:tcPr>
          <w:p w14:paraId="655A3A82" w14:textId="5CD108FF" w:rsidR="00E41315" w:rsidRPr="00A21D7D" w:rsidRDefault="00E41315" w:rsidP="00582B85">
            <w:pPr>
              <w:pStyle w:val="TableTextBody"/>
            </w:pPr>
            <w:r w:rsidRPr="00A21D7D">
              <w:t xml:space="preserve">Introductory </w:t>
            </w:r>
            <w:r w:rsidR="00DD36A6">
              <w:t>i</w:t>
            </w:r>
            <w:r w:rsidRPr="00A21D7D">
              <w:t>nformation</w:t>
            </w:r>
          </w:p>
        </w:tc>
        <w:tc>
          <w:tcPr>
            <w:tcW w:w="2268" w:type="dxa"/>
            <w:shd w:val="clear" w:color="auto" w:fill="auto"/>
          </w:tcPr>
          <w:p w14:paraId="51838017" w14:textId="77777777" w:rsidR="00E41315" w:rsidRPr="00A21D7D" w:rsidRDefault="00E41315" w:rsidP="00582B85">
            <w:pPr>
              <w:pStyle w:val="TableTextBody"/>
              <w:rPr>
                <w:lang w:val="fr-FR"/>
              </w:rPr>
            </w:pPr>
            <w:proofErr w:type="spellStart"/>
            <w:r w:rsidRPr="00A21D7D">
              <w:rPr>
                <w:lang w:val="fr-FR"/>
              </w:rPr>
              <w:t>ARRs</w:t>
            </w:r>
            <w:proofErr w:type="spellEnd"/>
            <w:r w:rsidRPr="00A21D7D">
              <w:rPr>
                <w:lang w:val="fr-FR"/>
              </w:rPr>
              <w:t xml:space="preserve"> – section </w:t>
            </w:r>
            <w:r>
              <w:t>10</w:t>
            </w:r>
          </w:p>
        </w:tc>
        <w:tc>
          <w:tcPr>
            <w:tcW w:w="1559" w:type="dxa"/>
            <w:shd w:val="clear" w:color="auto" w:fill="auto"/>
          </w:tcPr>
          <w:p w14:paraId="3CD5DDA7" w14:textId="77777777" w:rsidR="00E41315" w:rsidRPr="00A21D7D" w:rsidRDefault="00E41315" w:rsidP="00582B85">
            <w:pPr>
              <w:pStyle w:val="TableTextBody"/>
            </w:pPr>
            <w:r>
              <w:t xml:space="preserve">Page 6 </w:t>
            </w:r>
          </w:p>
        </w:tc>
      </w:tr>
      <w:tr w:rsidR="00E41315" w:rsidRPr="00A21D7D" w14:paraId="4D121D86" w14:textId="77777777" w:rsidTr="00BC6581">
        <w:trPr>
          <w:cantSplit/>
        </w:trPr>
        <w:tc>
          <w:tcPr>
            <w:tcW w:w="1696" w:type="dxa"/>
            <w:vMerge w:val="restart"/>
          </w:tcPr>
          <w:p w14:paraId="22D72AA9" w14:textId="77777777" w:rsidR="00E41315" w:rsidRPr="00936236" w:rsidRDefault="00E41315" w:rsidP="00582B85">
            <w:pPr>
              <w:pStyle w:val="TableTextBody"/>
              <w:rPr>
                <w:b/>
                <w:bCs/>
              </w:rPr>
            </w:pPr>
            <w:r w:rsidRPr="00936236">
              <w:rPr>
                <w:b/>
                <w:bCs/>
              </w:rPr>
              <w:t>Non-financial performance</w:t>
            </w:r>
          </w:p>
        </w:tc>
        <w:tc>
          <w:tcPr>
            <w:tcW w:w="3544" w:type="dxa"/>
          </w:tcPr>
          <w:p w14:paraId="338C47F9" w14:textId="77777777" w:rsidR="00E41315" w:rsidRPr="00A21D7D" w:rsidRDefault="00E41315" w:rsidP="00582B85">
            <w:pPr>
              <w:pStyle w:val="TableTextBody"/>
            </w:pPr>
            <w:r w:rsidRPr="00A21D7D">
              <w:t>Government’s objectives for the community</w:t>
            </w:r>
            <w:r>
              <w:t xml:space="preserve"> and whole-of government plans/specific initiatives</w:t>
            </w:r>
          </w:p>
        </w:tc>
        <w:tc>
          <w:tcPr>
            <w:tcW w:w="2268" w:type="dxa"/>
            <w:shd w:val="clear" w:color="auto" w:fill="auto"/>
          </w:tcPr>
          <w:p w14:paraId="27B1E63D" w14:textId="77777777" w:rsidR="00E41315" w:rsidRPr="00A21D7D" w:rsidRDefault="00E41315" w:rsidP="00582B85">
            <w:pPr>
              <w:pStyle w:val="TableTextBody"/>
            </w:pPr>
            <w:r w:rsidRPr="00A21D7D">
              <w:t>ARRs – section 11.1</w:t>
            </w:r>
          </w:p>
        </w:tc>
        <w:tc>
          <w:tcPr>
            <w:tcW w:w="1559" w:type="dxa"/>
            <w:shd w:val="clear" w:color="auto" w:fill="auto"/>
          </w:tcPr>
          <w:p w14:paraId="6EDA7046" w14:textId="5DEAA2EB" w:rsidR="00E41315" w:rsidRPr="00A21D7D" w:rsidRDefault="00E41315" w:rsidP="00582B85">
            <w:pPr>
              <w:pStyle w:val="TableTextBody"/>
            </w:pPr>
            <w:r>
              <w:t xml:space="preserve">Page 6, </w:t>
            </w:r>
            <w:r w:rsidR="00635A82">
              <w:t>52</w:t>
            </w:r>
          </w:p>
        </w:tc>
      </w:tr>
      <w:tr w:rsidR="00E41315" w:rsidRPr="00A21D7D" w14:paraId="68ECFB18" w14:textId="77777777" w:rsidTr="00BC6581">
        <w:trPr>
          <w:cantSplit/>
        </w:trPr>
        <w:tc>
          <w:tcPr>
            <w:tcW w:w="1696" w:type="dxa"/>
            <w:vMerge/>
          </w:tcPr>
          <w:p w14:paraId="4B036D54" w14:textId="77777777" w:rsidR="00E41315" w:rsidRPr="00936236" w:rsidRDefault="00E41315" w:rsidP="00582B85">
            <w:pPr>
              <w:pStyle w:val="TableTextBody"/>
              <w:rPr>
                <w:b/>
                <w:bCs/>
              </w:rPr>
            </w:pPr>
          </w:p>
        </w:tc>
        <w:tc>
          <w:tcPr>
            <w:tcW w:w="3544" w:type="dxa"/>
          </w:tcPr>
          <w:p w14:paraId="5D860C93" w14:textId="77777777" w:rsidR="00E41315" w:rsidRPr="00A21D7D" w:rsidRDefault="00E41315" w:rsidP="00582B85">
            <w:pPr>
              <w:pStyle w:val="TableTextBody"/>
            </w:pPr>
            <w:r w:rsidRPr="00A21D7D">
              <w:t>Agency objectives and performance indicators</w:t>
            </w:r>
          </w:p>
        </w:tc>
        <w:tc>
          <w:tcPr>
            <w:tcW w:w="2268" w:type="dxa"/>
            <w:shd w:val="clear" w:color="auto" w:fill="auto"/>
          </w:tcPr>
          <w:p w14:paraId="7A9D542B" w14:textId="77777777" w:rsidR="00E41315" w:rsidRPr="00A21D7D" w:rsidRDefault="00E41315" w:rsidP="00582B85">
            <w:pPr>
              <w:pStyle w:val="TableTextBody"/>
            </w:pPr>
            <w:r>
              <w:t>ARRs – section 11.2</w:t>
            </w:r>
          </w:p>
        </w:tc>
        <w:tc>
          <w:tcPr>
            <w:tcW w:w="1559" w:type="dxa"/>
            <w:shd w:val="clear" w:color="auto" w:fill="auto"/>
          </w:tcPr>
          <w:p w14:paraId="00B2DDA0" w14:textId="77777777" w:rsidR="00E41315" w:rsidRPr="00A21D7D" w:rsidRDefault="00E41315" w:rsidP="00582B85">
            <w:pPr>
              <w:pStyle w:val="TableTextBody"/>
            </w:pPr>
            <w:r>
              <w:t>Appendix B</w:t>
            </w:r>
          </w:p>
        </w:tc>
      </w:tr>
      <w:tr w:rsidR="00E41315" w:rsidRPr="00A21D7D" w14:paraId="2D150273" w14:textId="77777777" w:rsidTr="00BC6581">
        <w:trPr>
          <w:cantSplit/>
        </w:trPr>
        <w:tc>
          <w:tcPr>
            <w:tcW w:w="1696" w:type="dxa"/>
            <w:vMerge/>
          </w:tcPr>
          <w:p w14:paraId="6669BBDB" w14:textId="77777777" w:rsidR="00E41315" w:rsidRPr="00936236" w:rsidRDefault="00E41315" w:rsidP="00582B85">
            <w:pPr>
              <w:pStyle w:val="TableTextBody"/>
              <w:rPr>
                <w:b/>
                <w:bCs/>
              </w:rPr>
            </w:pPr>
          </w:p>
        </w:tc>
        <w:tc>
          <w:tcPr>
            <w:tcW w:w="3544" w:type="dxa"/>
          </w:tcPr>
          <w:p w14:paraId="0158BAB2" w14:textId="77777777" w:rsidR="00E41315" w:rsidRPr="00A21D7D" w:rsidRDefault="00E41315" w:rsidP="00582B85">
            <w:pPr>
              <w:pStyle w:val="TableTextBody"/>
            </w:pPr>
            <w:r w:rsidRPr="00A21D7D">
              <w:t xml:space="preserve">Agency service areas and service standards </w:t>
            </w:r>
          </w:p>
        </w:tc>
        <w:tc>
          <w:tcPr>
            <w:tcW w:w="2268" w:type="dxa"/>
            <w:shd w:val="clear" w:color="auto" w:fill="auto"/>
          </w:tcPr>
          <w:p w14:paraId="43FEF4FD" w14:textId="77777777" w:rsidR="00E41315" w:rsidRPr="00A21D7D" w:rsidRDefault="00E41315" w:rsidP="00582B85">
            <w:pPr>
              <w:pStyle w:val="TableTextBody"/>
              <w:rPr>
                <w:i/>
              </w:rPr>
            </w:pPr>
            <w:r>
              <w:t>ARRs – section 11.3</w:t>
            </w:r>
          </w:p>
        </w:tc>
        <w:tc>
          <w:tcPr>
            <w:tcW w:w="1559" w:type="dxa"/>
            <w:shd w:val="clear" w:color="auto" w:fill="auto"/>
          </w:tcPr>
          <w:p w14:paraId="27095BD7" w14:textId="77777777" w:rsidR="00E41315" w:rsidRPr="00A21D7D" w:rsidRDefault="00E41315" w:rsidP="00582B85">
            <w:pPr>
              <w:pStyle w:val="TableTextBody"/>
            </w:pPr>
            <w:r>
              <w:t>Appendix B</w:t>
            </w:r>
          </w:p>
        </w:tc>
      </w:tr>
      <w:tr w:rsidR="00E41315" w:rsidRPr="00A21D7D" w14:paraId="5A04CE1F" w14:textId="77777777" w:rsidTr="00BC6581">
        <w:trPr>
          <w:cantSplit/>
        </w:trPr>
        <w:tc>
          <w:tcPr>
            <w:tcW w:w="1696" w:type="dxa"/>
          </w:tcPr>
          <w:p w14:paraId="1A0BCA39" w14:textId="77777777" w:rsidR="00E41315" w:rsidRPr="00936236" w:rsidRDefault="00E41315" w:rsidP="00582B85">
            <w:pPr>
              <w:pStyle w:val="TableTextBody"/>
              <w:rPr>
                <w:b/>
                <w:bCs/>
              </w:rPr>
            </w:pPr>
            <w:r w:rsidRPr="00936236">
              <w:rPr>
                <w:b/>
                <w:bCs/>
              </w:rPr>
              <w:t>Financial performance</w:t>
            </w:r>
          </w:p>
        </w:tc>
        <w:tc>
          <w:tcPr>
            <w:tcW w:w="3544" w:type="dxa"/>
          </w:tcPr>
          <w:p w14:paraId="5159BB62" w14:textId="77777777" w:rsidR="00E41315" w:rsidRPr="00A21D7D" w:rsidRDefault="00E41315" w:rsidP="00582B85">
            <w:pPr>
              <w:pStyle w:val="TableTextBody"/>
            </w:pPr>
            <w:r w:rsidRPr="00A21D7D">
              <w:t>Summary of financial performance</w:t>
            </w:r>
          </w:p>
        </w:tc>
        <w:tc>
          <w:tcPr>
            <w:tcW w:w="2268" w:type="dxa"/>
            <w:shd w:val="clear" w:color="auto" w:fill="auto"/>
          </w:tcPr>
          <w:p w14:paraId="7A766DCC" w14:textId="77777777" w:rsidR="00E41315" w:rsidRPr="00A21D7D" w:rsidRDefault="00E41315" w:rsidP="00582B85">
            <w:pPr>
              <w:pStyle w:val="TableTextBody"/>
            </w:pPr>
            <w:r w:rsidRPr="00A21D7D">
              <w:t>ARRs – section 12.1</w:t>
            </w:r>
          </w:p>
        </w:tc>
        <w:tc>
          <w:tcPr>
            <w:tcW w:w="1559" w:type="dxa"/>
            <w:shd w:val="clear" w:color="auto" w:fill="auto"/>
          </w:tcPr>
          <w:p w14:paraId="2C5F2B17" w14:textId="56E8FA38" w:rsidR="00E41315" w:rsidRPr="00A21D7D" w:rsidRDefault="00E41315" w:rsidP="00582B85">
            <w:pPr>
              <w:pStyle w:val="TableTextBody"/>
            </w:pPr>
            <w:r>
              <w:t>Page 6</w:t>
            </w:r>
            <w:r w:rsidR="00DD36A6">
              <w:t>5</w:t>
            </w:r>
          </w:p>
        </w:tc>
      </w:tr>
      <w:tr w:rsidR="00E41315" w:rsidRPr="00A21D7D" w14:paraId="23A10299" w14:textId="77777777" w:rsidTr="00BC6581">
        <w:trPr>
          <w:cantSplit/>
        </w:trPr>
        <w:tc>
          <w:tcPr>
            <w:tcW w:w="1696" w:type="dxa"/>
            <w:vMerge w:val="restart"/>
          </w:tcPr>
          <w:p w14:paraId="05646105" w14:textId="77777777" w:rsidR="00E41315" w:rsidRPr="00936236" w:rsidRDefault="00E41315" w:rsidP="00582B85">
            <w:pPr>
              <w:pStyle w:val="TableTextBody"/>
              <w:rPr>
                <w:b/>
                <w:bCs/>
              </w:rPr>
            </w:pPr>
            <w:r w:rsidRPr="00936236">
              <w:rPr>
                <w:b/>
                <w:bCs/>
              </w:rPr>
              <w:t>Governance – management and structure</w:t>
            </w:r>
          </w:p>
        </w:tc>
        <w:tc>
          <w:tcPr>
            <w:tcW w:w="3544" w:type="dxa"/>
          </w:tcPr>
          <w:p w14:paraId="76EAA38D" w14:textId="77777777" w:rsidR="00E41315" w:rsidRPr="00A21D7D" w:rsidRDefault="00E41315" w:rsidP="00582B85">
            <w:pPr>
              <w:pStyle w:val="TableTextBody"/>
            </w:pPr>
            <w:r w:rsidRPr="00A21D7D">
              <w:t xml:space="preserve">Organisational structure </w:t>
            </w:r>
          </w:p>
        </w:tc>
        <w:tc>
          <w:tcPr>
            <w:tcW w:w="2268" w:type="dxa"/>
            <w:shd w:val="clear" w:color="auto" w:fill="auto"/>
          </w:tcPr>
          <w:p w14:paraId="229154E8" w14:textId="77777777" w:rsidR="00E41315" w:rsidRPr="00A21D7D" w:rsidRDefault="00E41315" w:rsidP="00582B85">
            <w:pPr>
              <w:pStyle w:val="TableTextBody"/>
            </w:pPr>
            <w:r w:rsidRPr="00A21D7D">
              <w:t>ARRs – section 13.1</w:t>
            </w:r>
          </w:p>
        </w:tc>
        <w:tc>
          <w:tcPr>
            <w:tcW w:w="1559" w:type="dxa"/>
            <w:shd w:val="clear" w:color="auto" w:fill="auto"/>
          </w:tcPr>
          <w:p w14:paraId="3C730559" w14:textId="77777777" w:rsidR="00E41315" w:rsidRPr="00A21D7D" w:rsidRDefault="00E41315" w:rsidP="00582B85">
            <w:pPr>
              <w:pStyle w:val="TableTextBody"/>
            </w:pPr>
            <w:r>
              <w:t>Appendix E</w:t>
            </w:r>
          </w:p>
        </w:tc>
      </w:tr>
      <w:tr w:rsidR="00E41315" w:rsidRPr="00A21D7D" w14:paraId="6DC551F5" w14:textId="77777777" w:rsidTr="00BC6581">
        <w:trPr>
          <w:cantSplit/>
        </w:trPr>
        <w:tc>
          <w:tcPr>
            <w:tcW w:w="1696" w:type="dxa"/>
            <w:vMerge/>
          </w:tcPr>
          <w:p w14:paraId="72ED6432" w14:textId="77777777" w:rsidR="00E41315" w:rsidRPr="00936236" w:rsidRDefault="00E41315" w:rsidP="00582B85">
            <w:pPr>
              <w:pStyle w:val="TableTextBody"/>
              <w:rPr>
                <w:b/>
                <w:bCs/>
              </w:rPr>
            </w:pPr>
          </w:p>
        </w:tc>
        <w:tc>
          <w:tcPr>
            <w:tcW w:w="3544" w:type="dxa"/>
          </w:tcPr>
          <w:p w14:paraId="1829D059" w14:textId="77777777" w:rsidR="00E41315" w:rsidRPr="00A21D7D" w:rsidRDefault="00E41315" w:rsidP="00582B85">
            <w:pPr>
              <w:pStyle w:val="TableTextBody"/>
            </w:pPr>
            <w:r w:rsidRPr="00A21D7D">
              <w:t>Executive management</w:t>
            </w:r>
          </w:p>
        </w:tc>
        <w:tc>
          <w:tcPr>
            <w:tcW w:w="2268" w:type="dxa"/>
            <w:shd w:val="clear" w:color="auto" w:fill="auto"/>
          </w:tcPr>
          <w:p w14:paraId="172A9551" w14:textId="77777777" w:rsidR="00E41315" w:rsidRPr="00A21D7D" w:rsidRDefault="00E41315" w:rsidP="00582B85">
            <w:pPr>
              <w:pStyle w:val="TableTextBody"/>
            </w:pPr>
            <w:r w:rsidRPr="00A21D7D">
              <w:t>ARRs – section 13.2</w:t>
            </w:r>
          </w:p>
        </w:tc>
        <w:tc>
          <w:tcPr>
            <w:tcW w:w="1559" w:type="dxa"/>
            <w:shd w:val="clear" w:color="auto" w:fill="auto"/>
          </w:tcPr>
          <w:p w14:paraId="57AEF3A1" w14:textId="41DDC7D3" w:rsidR="00E41315" w:rsidRPr="00A21D7D" w:rsidRDefault="00E41315" w:rsidP="00582B85">
            <w:pPr>
              <w:pStyle w:val="TableTextBody"/>
            </w:pPr>
            <w:r>
              <w:t xml:space="preserve">Page </w:t>
            </w:r>
            <w:r w:rsidR="00635A82">
              <w:t>57</w:t>
            </w:r>
          </w:p>
        </w:tc>
      </w:tr>
      <w:tr w:rsidR="00E41315" w:rsidRPr="00A21D7D" w14:paraId="5CB92500" w14:textId="77777777" w:rsidTr="00BC6581">
        <w:trPr>
          <w:cantSplit/>
        </w:trPr>
        <w:tc>
          <w:tcPr>
            <w:tcW w:w="1696" w:type="dxa"/>
            <w:vMerge/>
          </w:tcPr>
          <w:p w14:paraId="45E6287A" w14:textId="77777777" w:rsidR="00E41315" w:rsidRPr="00936236" w:rsidRDefault="00E41315" w:rsidP="00582B85">
            <w:pPr>
              <w:pStyle w:val="TableTextBody"/>
              <w:rPr>
                <w:b/>
                <w:bCs/>
              </w:rPr>
            </w:pPr>
          </w:p>
        </w:tc>
        <w:tc>
          <w:tcPr>
            <w:tcW w:w="3544" w:type="dxa"/>
          </w:tcPr>
          <w:p w14:paraId="29ABAF8E" w14:textId="77777777" w:rsidR="00E41315" w:rsidRPr="00A21D7D" w:rsidRDefault="00E41315" w:rsidP="00582B85">
            <w:pPr>
              <w:pStyle w:val="TableTextBody"/>
            </w:pPr>
            <w:r w:rsidRPr="00A21D7D">
              <w:t>Government bodies (statutory bodies and other entities)</w:t>
            </w:r>
          </w:p>
        </w:tc>
        <w:tc>
          <w:tcPr>
            <w:tcW w:w="2268" w:type="dxa"/>
            <w:shd w:val="clear" w:color="auto" w:fill="auto"/>
          </w:tcPr>
          <w:p w14:paraId="3A7AAF41" w14:textId="77777777" w:rsidR="00E41315" w:rsidRPr="00A21D7D" w:rsidRDefault="00E41315" w:rsidP="00582B85">
            <w:pPr>
              <w:pStyle w:val="TableTextBody"/>
            </w:pPr>
            <w:r w:rsidRPr="00A21D7D">
              <w:t>ARRs – section 13.3</w:t>
            </w:r>
          </w:p>
        </w:tc>
        <w:tc>
          <w:tcPr>
            <w:tcW w:w="1559" w:type="dxa"/>
            <w:shd w:val="clear" w:color="auto" w:fill="auto"/>
          </w:tcPr>
          <w:p w14:paraId="0FA23432" w14:textId="77777777" w:rsidR="00E41315" w:rsidRPr="00A21D7D" w:rsidRDefault="00E41315" w:rsidP="00582B85">
            <w:pPr>
              <w:pStyle w:val="TableTextBody"/>
            </w:pPr>
            <w:r>
              <w:t>N/A</w:t>
            </w:r>
          </w:p>
        </w:tc>
      </w:tr>
      <w:tr w:rsidR="00E41315" w:rsidRPr="00A21D7D" w14:paraId="0793AED2" w14:textId="77777777" w:rsidTr="00BC6581">
        <w:trPr>
          <w:cantSplit/>
        </w:trPr>
        <w:tc>
          <w:tcPr>
            <w:tcW w:w="1696" w:type="dxa"/>
            <w:vMerge/>
          </w:tcPr>
          <w:p w14:paraId="45CD4BBD" w14:textId="77777777" w:rsidR="00E41315" w:rsidRPr="00936236" w:rsidRDefault="00E41315" w:rsidP="00582B85">
            <w:pPr>
              <w:pStyle w:val="TableTextBody"/>
              <w:rPr>
                <w:b/>
                <w:bCs/>
              </w:rPr>
            </w:pPr>
          </w:p>
        </w:tc>
        <w:tc>
          <w:tcPr>
            <w:tcW w:w="3544" w:type="dxa"/>
          </w:tcPr>
          <w:p w14:paraId="6FDF6A39" w14:textId="77777777" w:rsidR="00E41315" w:rsidRPr="00A21D7D" w:rsidRDefault="00E41315" w:rsidP="00582B85">
            <w:pPr>
              <w:pStyle w:val="TableTextBody"/>
            </w:pPr>
            <w:r w:rsidRPr="00A21D7D">
              <w:t>Public Sector Ethics</w:t>
            </w:r>
            <w:r w:rsidRPr="00A21D7D">
              <w:rPr>
                <w:i/>
              </w:rPr>
              <w:t xml:space="preserve"> </w:t>
            </w:r>
          </w:p>
        </w:tc>
        <w:tc>
          <w:tcPr>
            <w:tcW w:w="2268" w:type="dxa"/>
            <w:shd w:val="clear" w:color="auto" w:fill="auto"/>
          </w:tcPr>
          <w:p w14:paraId="68FB015E" w14:textId="77777777" w:rsidR="00E41315" w:rsidRPr="00A21D7D" w:rsidRDefault="00E41315" w:rsidP="00582B85">
            <w:pPr>
              <w:pStyle w:val="TableTextBody"/>
              <w:rPr>
                <w:i/>
              </w:rPr>
            </w:pPr>
            <w:r w:rsidRPr="00A21D7D">
              <w:rPr>
                <w:i/>
              </w:rPr>
              <w:t>Public Sector Ethics Act 1994</w:t>
            </w:r>
          </w:p>
          <w:p w14:paraId="00706C50" w14:textId="77777777" w:rsidR="00E41315" w:rsidRPr="00A21D7D" w:rsidRDefault="00E41315" w:rsidP="00582B85">
            <w:pPr>
              <w:pStyle w:val="TableTextBody"/>
            </w:pPr>
            <w:r w:rsidRPr="00A21D7D">
              <w:t>ARRs – section 13.4</w:t>
            </w:r>
          </w:p>
        </w:tc>
        <w:tc>
          <w:tcPr>
            <w:tcW w:w="1559" w:type="dxa"/>
            <w:shd w:val="clear" w:color="auto" w:fill="auto"/>
          </w:tcPr>
          <w:p w14:paraId="73F7E185" w14:textId="3DFB1677" w:rsidR="00E41315" w:rsidRPr="00A21D7D" w:rsidRDefault="00E41315" w:rsidP="00582B85">
            <w:pPr>
              <w:pStyle w:val="TableTextBody"/>
            </w:pPr>
            <w:r>
              <w:t xml:space="preserve">Page </w:t>
            </w:r>
            <w:r w:rsidR="00635A82">
              <w:t>61</w:t>
            </w:r>
          </w:p>
        </w:tc>
      </w:tr>
      <w:tr w:rsidR="00E41315" w:rsidRPr="00A21D7D" w14:paraId="7A2F6186" w14:textId="77777777" w:rsidTr="00BC6581">
        <w:trPr>
          <w:cantSplit/>
        </w:trPr>
        <w:tc>
          <w:tcPr>
            <w:tcW w:w="1696" w:type="dxa"/>
            <w:vMerge/>
          </w:tcPr>
          <w:p w14:paraId="47A664E9" w14:textId="77777777" w:rsidR="00E41315" w:rsidRPr="00936236" w:rsidRDefault="00E41315" w:rsidP="00582B85">
            <w:pPr>
              <w:pStyle w:val="TableTextBody"/>
              <w:rPr>
                <w:b/>
                <w:bCs/>
              </w:rPr>
            </w:pPr>
          </w:p>
        </w:tc>
        <w:tc>
          <w:tcPr>
            <w:tcW w:w="3544" w:type="dxa"/>
          </w:tcPr>
          <w:p w14:paraId="557A2871" w14:textId="77777777" w:rsidR="00E41315" w:rsidRPr="00A21D7D" w:rsidRDefault="00E41315" w:rsidP="00582B85">
            <w:pPr>
              <w:pStyle w:val="TableTextBody"/>
            </w:pPr>
            <w:r w:rsidRPr="00A21D7D">
              <w:t xml:space="preserve">Human Rights </w:t>
            </w:r>
          </w:p>
        </w:tc>
        <w:tc>
          <w:tcPr>
            <w:tcW w:w="2268" w:type="dxa"/>
            <w:shd w:val="clear" w:color="auto" w:fill="auto"/>
          </w:tcPr>
          <w:p w14:paraId="4A6E632C" w14:textId="77777777" w:rsidR="00E41315" w:rsidRPr="00A21D7D" w:rsidRDefault="00E41315" w:rsidP="00582B85">
            <w:pPr>
              <w:pStyle w:val="TableTextBody"/>
              <w:rPr>
                <w:i/>
              </w:rPr>
            </w:pPr>
            <w:r w:rsidRPr="00FC6699">
              <w:rPr>
                <w:i/>
              </w:rPr>
              <w:t>Human Rights Act 2019</w:t>
            </w:r>
          </w:p>
          <w:p w14:paraId="07DF6CF3" w14:textId="77777777" w:rsidR="00E41315" w:rsidRPr="00A21D7D" w:rsidRDefault="00E41315" w:rsidP="00582B85">
            <w:pPr>
              <w:pStyle w:val="TableTextBody"/>
            </w:pPr>
            <w:r w:rsidRPr="00A21D7D">
              <w:t>ARRs – section 13.5</w:t>
            </w:r>
          </w:p>
        </w:tc>
        <w:tc>
          <w:tcPr>
            <w:tcW w:w="1559" w:type="dxa"/>
            <w:shd w:val="clear" w:color="auto" w:fill="auto"/>
          </w:tcPr>
          <w:p w14:paraId="21635137" w14:textId="65B57EDA" w:rsidR="00E41315" w:rsidRPr="00A21D7D" w:rsidRDefault="00E41315" w:rsidP="00582B85">
            <w:pPr>
              <w:pStyle w:val="TableTextBody"/>
            </w:pPr>
            <w:r>
              <w:t xml:space="preserve">Page </w:t>
            </w:r>
            <w:r w:rsidR="00635A82">
              <w:t>62</w:t>
            </w:r>
          </w:p>
        </w:tc>
      </w:tr>
      <w:tr w:rsidR="00E41315" w:rsidRPr="00A21D7D" w14:paraId="48C75AB0" w14:textId="77777777" w:rsidTr="00BC6581">
        <w:trPr>
          <w:cantSplit/>
        </w:trPr>
        <w:tc>
          <w:tcPr>
            <w:tcW w:w="1696" w:type="dxa"/>
            <w:vMerge/>
          </w:tcPr>
          <w:p w14:paraId="06BD5AE1" w14:textId="77777777" w:rsidR="00E41315" w:rsidRPr="00936236" w:rsidRDefault="00E41315" w:rsidP="00582B85">
            <w:pPr>
              <w:pStyle w:val="TableTextBody"/>
              <w:rPr>
                <w:b/>
                <w:bCs/>
              </w:rPr>
            </w:pPr>
          </w:p>
        </w:tc>
        <w:tc>
          <w:tcPr>
            <w:tcW w:w="3544" w:type="dxa"/>
          </w:tcPr>
          <w:p w14:paraId="29540D55" w14:textId="77777777" w:rsidR="00E41315" w:rsidRPr="00A21D7D" w:rsidRDefault="00E41315" w:rsidP="00582B85">
            <w:pPr>
              <w:pStyle w:val="TableTextBody"/>
              <w:rPr>
                <w:i/>
              </w:rPr>
            </w:pPr>
            <w:r w:rsidRPr="00A21D7D">
              <w:t>Queensland public service values</w:t>
            </w:r>
          </w:p>
        </w:tc>
        <w:tc>
          <w:tcPr>
            <w:tcW w:w="2268" w:type="dxa"/>
            <w:shd w:val="clear" w:color="auto" w:fill="auto"/>
          </w:tcPr>
          <w:p w14:paraId="18903412" w14:textId="77777777" w:rsidR="00E41315" w:rsidRPr="00A21D7D" w:rsidRDefault="00E41315" w:rsidP="00582B85">
            <w:pPr>
              <w:pStyle w:val="TableTextBody"/>
              <w:rPr>
                <w:i/>
              </w:rPr>
            </w:pPr>
            <w:r w:rsidRPr="00A21D7D">
              <w:t>ARRs – section 13.6</w:t>
            </w:r>
          </w:p>
        </w:tc>
        <w:tc>
          <w:tcPr>
            <w:tcW w:w="1559" w:type="dxa"/>
            <w:shd w:val="clear" w:color="auto" w:fill="auto"/>
          </w:tcPr>
          <w:p w14:paraId="6F2A673C" w14:textId="77777777" w:rsidR="00E41315" w:rsidRPr="00A21D7D" w:rsidRDefault="00E41315" w:rsidP="00582B85">
            <w:pPr>
              <w:pStyle w:val="TableTextBody"/>
            </w:pPr>
            <w:r>
              <w:t>Page 6</w:t>
            </w:r>
          </w:p>
        </w:tc>
      </w:tr>
    </w:tbl>
    <w:p w14:paraId="4361FCC2" w14:textId="77777777" w:rsidR="00E41315" w:rsidRDefault="00E41315" w:rsidP="00E41315">
      <w:pPr>
        <w:ind w:right="0"/>
      </w:pPr>
      <w:r>
        <w:br w:type="page"/>
      </w:r>
    </w:p>
    <w:p w14:paraId="212A71E0" w14:textId="77777777" w:rsidR="00E41315" w:rsidRDefault="00E41315" w:rsidP="00E41315"/>
    <w:tbl>
      <w:tblPr>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1696"/>
        <w:gridCol w:w="3544"/>
        <w:gridCol w:w="2126"/>
        <w:gridCol w:w="1701"/>
      </w:tblGrid>
      <w:tr w:rsidR="00E41315" w:rsidRPr="00A21D7D" w14:paraId="3602C3EE" w14:textId="77777777" w:rsidTr="00E41315">
        <w:trPr>
          <w:cantSplit/>
        </w:trPr>
        <w:tc>
          <w:tcPr>
            <w:tcW w:w="1696" w:type="dxa"/>
            <w:vMerge w:val="restart"/>
          </w:tcPr>
          <w:p w14:paraId="745F5837" w14:textId="77777777" w:rsidR="00E41315" w:rsidRPr="00936236" w:rsidRDefault="00E41315" w:rsidP="00582B85">
            <w:pPr>
              <w:pStyle w:val="TableTextBody"/>
              <w:rPr>
                <w:b/>
                <w:bCs/>
              </w:rPr>
            </w:pPr>
            <w:r w:rsidRPr="00936236">
              <w:rPr>
                <w:b/>
                <w:bCs/>
              </w:rPr>
              <w:t>Governance – risk management and accountability</w:t>
            </w:r>
          </w:p>
        </w:tc>
        <w:tc>
          <w:tcPr>
            <w:tcW w:w="3544" w:type="dxa"/>
          </w:tcPr>
          <w:p w14:paraId="08C83EE1" w14:textId="77777777" w:rsidR="00E41315" w:rsidRPr="00A21D7D" w:rsidRDefault="00E41315" w:rsidP="00582B85">
            <w:pPr>
              <w:pStyle w:val="TableTextBody"/>
            </w:pPr>
            <w:r w:rsidRPr="00A21D7D">
              <w:t>Risk management</w:t>
            </w:r>
          </w:p>
        </w:tc>
        <w:tc>
          <w:tcPr>
            <w:tcW w:w="2126" w:type="dxa"/>
            <w:shd w:val="clear" w:color="auto" w:fill="auto"/>
          </w:tcPr>
          <w:p w14:paraId="0520EBD3" w14:textId="77777777" w:rsidR="00E41315" w:rsidRPr="00A21D7D" w:rsidRDefault="00E41315" w:rsidP="00582B85">
            <w:pPr>
              <w:pStyle w:val="TableTextBody"/>
            </w:pPr>
            <w:r w:rsidRPr="00A21D7D">
              <w:t>ARRs – section 14.1</w:t>
            </w:r>
          </w:p>
        </w:tc>
        <w:tc>
          <w:tcPr>
            <w:tcW w:w="1701" w:type="dxa"/>
            <w:shd w:val="clear" w:color="auto" w:fill="auto"/>
          </w:tcPr>
          <w:p w14:paraId="5B03A5F6" w14:textId="39DA39A9" w:rsidR="00E41315" w:rsidRPr="00A21D7D" w:rsidRDefault="00E41315" w:rsidP="00582B85">
            <w:pPr>
              <w:pStyle w:val="TableTextBody"/>
            </w:pPr>
            <w:r>
              <w:t xml:space="preserve">Page </w:t>
            </w:r>
            <w:r w:rsidR="00635A82">
              <w:t>63</w:t>
            </w:r>
          </w:p>
        </w:tc>
      </w:tr>
      <w:tr w:rsidR="00E41315" w:rsidRPr="00A21D7D" w14:paraId="3E2B4D74" w14:textId="77777777" w:rsidTr="00E41315">
        <w:trPr>
          <w:cantSplit/>
        </w:trPr>
        <w:tc>
          <w:tcPr>
            <w:tcW w:w="1696" w:type="dxa"/>
            <w:vMerge/>
          </w:tcPr>
          <w:p w14:paraId="23235B14" w14:textId="77777777" w:rsidR="00E41315" w:rsidRPr="00A21D7D" w:rsidRDefault="00E41315" w:rsidP="00582B85">
            <w:pPr>
              <w:pStyle w:val="TableTextBody"/>
            </w:pPr>
          </w:p>
        </w:tc>
        <w:tc>
          <w:tcPr>
            <w:tcW w:w="3544" w:type="dxa"/>
          </w:tcPr>
          <w:p w14:paraId="1E69CB09" w14:textId="77777777" w:rsidR="00E41315" w:rsidRPr="00A21D7D" w:rsidRDefault="00E41315" w:rsidP="00582B85">
            <w:pPr>
              <w:pStyle w:val="TableTextBody"/>
            </w:pPr>
            <w:r w:rsidRPr="00A21D7D">
              <w:t>Audit committee</w:t>
            </w:r>
          </w:p>
        </w:tc>
        <w:tc>
          <w:tcPr>
            <w:tcW w:w="2126" w:type="dxa"/>
            <w:shd w:val="clear" w:color="auto" w:fill="auto"/>
          </w:tcPr>
          <w:p w14:paraId="5B9ED7A8" w14:textId="77777777" w:rsidR="00E41315" w:rsidRPr="00A21D7D" w:rsidRDefault="00E41315" w:rsidP="00582B85">
            <w:pPr>
              <w:pStyle w:val="TableTextBody"/>
            </w:pPr>
            <w:r w:rsidRPr="00A21D7D">
              <w:t>ARRs – section 14.2</w:t>
            </w:r>
          </w:p>
        </w:tc>
        <w:tc>
          <w:tcPr>
            <w:tcW w:w="1701" w:type="dxa"/>
            <w:shd w:val="clear" w:color="auto" w:fill="auto"/>
          </w:tcPr>
          <w:p w14:paraId="77C43B7E" w14:textId="484C9C14" w:rsidR="00E41315" w:rsidRPr="00A21D7D" w:rsidRDefault="00E41315" w:rsidP="00582B85">
            <w:pPr>
              <w:pStyle w:val="TableTextBody"/>
            </w:pPr>
            <w:r>
              <w:t xml:space="preserve">Page </w:t>
            </w:r>
            <w:r w:rsidR="00635A82">
              <w:t>63</w:t>
            </w:r>
          </w:p>
        </w:tc>
      </w:tr>
      <w:tr w:rsidR="00E41315" w:rsidRPr="00A21D7D" w14:paraId="74133BD8" w14:textId="77777777" w:rsidTr="00E41315">
        <w:trPr>
          <w:cantSplit/>
          <w:trHeight w:val="422"/>
        </w:trPr>
        <w:tc>
          <w:tcPr>
            <w:tcW w:w="1696" w:type="dxa"/>
            <w:vMerge/>
          </w:tcPr>
          <w:p w14:paraId="1E473E93" w14:textId="77777777" w:rsidR="00E41315" w:rsidRPr="00A21D7D" w:rsidRDefault="00E41315" w:rsidP="00582B85">
            <w:pPr>
              <w:pStyle w:val="TableTextBody"/>
            </w:pPr>
          </w:p>
        </w:tc>
        <w:tc>
          <w:tcPr>
            <w:tcW w:w="3544" w:type="dxa"/>
          </w:tcPr>
          <w:p w14:paraId="2E38424E" w14:textId="77777777" w:rsidR="00E41315" w:rsidRPr="00A21D7D" w:rsidRDefault="00E41315" w:rsidP="00582B85">
            <w:pPr>
              <w:pStyle w:val="TableTextBody"/>
            </w:pPr>
            <w:r w:rsidRPr="00A21D7D">
              <w:t>Internal audit</w:t>
            </w:r>
          </w:p>
        </w:tc>
        <w:tc>
          <w:tcPr>
            <w:tcW w:w="2126" w:type="dxa"/>
            <w:shd w:val="clear" w:color="auto" w:fill="auto"/>
          </w:tcPr>
          <w:p w14:paraId="3F5466F4" w14:textId="77777777" w:rsidR="00E41315" w:rsidRPr="00A21D7D" w:rsidRDefault="00E41315" w:rsidP="00582B85">
            <w:pPr>
              <w:pStyle w:val="TableTextBody"/>
            </w:pPr>
            <w:r w:rsidRPr="00A21D7D">
              <w:t>ARRs – section 14.3</w:t>
            </w:r>
          </w:p>
        </w:tc>
        <w:tc>
          <w:tcPr>
            <w:tcW w:w="1701" w:type="dxa"/>
            <w:shd w:val="clear" w:color="auto" w:fill="auto"/>
          </w:tcPr>
          <w:p w14:paraId="23FE7675" w14:textId="3D012373" w:rsidR="00E41315" w:rsidRPr="00A21D7D" w:rsidRDefault="00E41315" w:rsidP="00582B85">
            <w:pPr>
              <w:pStyle w:val="TableTextBody"/>
            </w:pPr>
            <w:r>
              <w:t xml:space="preserve">Page </w:t>
            </w:r>
            <w:r w:rsidR="00635A82">
              <w:t>63</w:t>
            </w:r>
          </w:p>
        </w:tc>
      </w:tr>
      <w:tr w:rsidR="00E41315" w:rsidRPr="00A21D7D" w14:paraId="18E0187F" w14:textId="77777777" w:rsidTr="00E41315">
        <w:trPr>
          <w:cantSplit/>
          <w:trHeight w:val="422"/>
        </w:trPr>
        <w:tc>
          <w:tcPr>
            <w:tcW w:w="1696" w:type="dxa"/>
            <w:vMerge/>
          </w:tcPr>
          <w:p w14:paraId="20EBC967" w14:textId="77777777" w:rsidR="00E41315" w:rsidRPr="00A21D7D" w:rsidRDefault="00E41315" w:rsidP="00582B85">
            <w:pPr>
              <w:pStyle w:val="TableTextBody"/>
            </w:pPr>
          </w:p>
        </w:tc>
        <w:tc>
          <w:tcPr>
            <w:tcW w:w="3544" w:type="dxa"/>
          </w:tcPr>
          <w:p w14:paraId="109A38AE" w14:textId="77777777" w:rsidR="00E41315" w:rsidRPr="00A21D7D" w:rsidRDefault="00E41315" w:rsidP="00582B85">
            <w:pPr>
              <w:pStyle w:val="TableTextBody"/>
            </w:pPr>
            <w:r w:rsidRPr="00A21D7D">
              <w:t>External scrutiny</w:t>
            </w:r>
          </w:p>
        </w:tc>
        <w:tc>
          <w:tcPr>
            <w:tcW w:w="2126" w:type="dxa"/>
            <w:shd w:val="clear" w:color="auto" w:fill="auto"/>
          </w:tcPr>
          <w:p w14:paraId="077D30E6" w14:textId="77777777" w:rsidR="00E41315" w:rsidRPr="00A21D7D" w:rsidRDefault="00E41315" w:rsidP="00582B85">
            <w:pPr>
              <w:pStyle w:val="TableTextBody"/>
            </w:pPr>
            <w:r w:rsidRPr="00A21D7D">
              <w:t>ARRs – section 14.4</w:t>
            </w:r>
          </w:p>
        </w:tc>
        <w:tc>
          <w:tcPr>
            <w:tcW w:w="1701" w:type="dxa"/>
            <w:shd w:val="clear" w:color="auto" w:fill="auto"/>
          </w:tcPr>
          <w:p w14:paraId="68C9982E" w14:textId="191FF7F6" w:rsidR="00E41315" w:rsidRPr="00A21D7D" w:rsidRDefault="00E41315" w:rsidP="00582B85">
            <w:pPr>
              <w:pStyle w:val="TableTextBody"/>
            </w:pPr>
            <w:r>
              <w:t xml:space="preserve">Page </w:t>
            </w:r>
            <w:r w:rsidR="00635A82">
              <w:t>63</w:t>
            </w:r>
          </w:p>
        </w:tc>
      </w:tr>
      <w:tr w:rsidR="00E41315" w:rsidRPr="00A21D7D" w14:paraId="5B8D2628" w14:textId="77777777" w:rsidTr="00E41315">
        <w:trPr>
          <w:cantSplit/>
          <w:trHeight w:val="422"/>
        </w:trPr>
        <w:tc>
          <w:tcPr>
            <w:tcW w:w="1696" w:type="dxa"/>
            <w:vMerge/>
          </w:tcPr>
          <w:p w14:paraId="6818764F" w14:textId="77777777" w:rsidR="00E41315" w:rsidRPr="00A21D7D" w:rsidRDefault="00E41315" w:rsidP="00582B85">
            <w:pPr>
              <w:pStyle w:val="TableTextBody"/>
            </w:pPr>
          </w:p>
        </w:tc>
        <w:tc>
          <w:tcPr>
            <w:tcW w:w="3544" w:type="dxa"/>
          </w:tcPr>
          <w:p w14:paraId="0D7F9B0E" w14:textId="77777777" w:rsidR="00E41315" w:rsidRPr="00A21D7D" w:rsidRDefault="00E41315" w:rsidP="00582B85">
            <w:pPr>
              <w:pStyle w:val="TableTextBody"/>
            </w:pPr>
            <w:r w:rsidRPr="00A21D7D">
              <w:t>Information systems and recordkeeping</w:t>
            </w:r>
          </w:p>
        </w:tc>
        <w:tc>
          <w:tcPr>
            <w:tcW w:w="2126" w:type="dxa"/>
            <w:shd w:val="clear" w:color="auto" w:fill="auto"/>
          </w:tcPr>
          <w:p w14:paraId="736C2034" w14:textId="77777777" w:rsidR="00E41315" w:rsidRPr="00A21D7D" w:rsidRDefault="00E41315" w:rsidP="00582B85">
            <w:pPr>
              <w:pStyle w:val="TableTextBody"/>
            </w:pPr>
            <w:r w:rsidRPr="00A21D7D">
              <w:t>ARRs – section 14.5</w:t>
            </w:r>
          </w:p>
        </w:tc>
        <w:tc>
          <w:tcPr>
            <w:tcW w:w="1701" w:type="dxa"/>
            <w:shd w:val="clear" w:color="auto" w:fill="auto"/>
          </w:tcPr>
          <w:p w14:paraId="161C6CF8" w14:textId="4A384D58" w:rsidR="00E41315" w:rsidRPr="00A21D7D" w:rsidRDefault="00E41315" w:rsidP="00582B85">
            <w:pPr>
              <w:pStyle w:val="TableTextBody"/>
            </w:pPr>
            <w:r>
              <w:t xml:space="preserve">Page </w:t>
            </w:r>
            <w:r w:rsidR="00635A82">
              <w:t>63</w:t>
            </w:r>
          </w:p>
        </w:tc>
      </w:tr>
      <w:tr w:rsidR="00E41315" w:rsidRPr="00A21D7D" w14:paraId="341BC187" w14:textId="77777777" w:rsidTr="00E41315">
        <w:trPr>
          <w:cantSplit/>
          <w:trHeight w:val="422"/>
        </w:trPr>
        <w:tc>
          <w:tcPr>
            <w:tcW w:w="1696" w:type="dxa"/>
            <w:vMerge/>
          </w:tcPr>
          <w:p w14:paraId="50FDB1FC" w14:textId="77777777" w:rsidR="00E41315" w:rsidRPr="00A21D7D" w:rsidRDefault="00E41315" w:rsidP="00582B85">
            <w:pPr>
              <w:pStyle w:val="TableTextBody"/>
            </w:pPr>
          </w:p>
        </w:tc>
        <w:tc>
          <w:tcPr>
            <w:tcW w:w="3544" w:type="dxa"/>
          </w:tcPr>
          <w:p w14:paraId="2FA1E824" w14:textId="77777777" w:rsidR="00E41315" w:rsidRPr="00A21D7D" w:rsidRDefault="00E41315" w:rsidP="00582B85">
            <w:pPr>
              <w:pStyle w:val="TableTextBody"/>
            </w:pPr>
            <w:r>
              <w:t>Information security attestation</w:t>
            </w:r>
          </w:p>
        </w:tc>
        <w:tc>
          <w:tcPr>
            <w:tcW w:w="2126" w:type="dxa"/>
            <w:shd w:val="clear" w:color="auto" w:fill="auto"/>
          </w:tcPr>
          <w:p w14:paraId="71536D84" w14:textId="77777777" w:rsidR="00E41315" w:rsidRPr="00A21D7D" w:rsidRDefault="00E41315" w:rsidP="00582B85">
            <w:pPr>
              <w:pStyle w:val="TableTextBody"/>
            </w:pPr>
            <w:r>
              <w:t>ARRs – section 14.6</w:t>
            </w:r>
          </w:p>
        </w:tc>
        <w:tc>
          <w:tcPr>
            <w:tcW w:w="1701" w:type="dxa"/>
            <w:shd w:val="clear" w:color="auto" w:fill="auto"/>
          </w:tcPr>
          <w:p w14:paraId="289D42E3" w14:textId="77777777" w:rsidR="00E41315" w:rsidRDefault="00E41315" w:rsidP="00582B85">
            <w:pPr>
              <w:pStyle w:val="TableTextBody"/>
            </w:pPr>
            <w:r w:rsidRPr="00673971">
              <w:t>N/A</w:t>
            </w:r>
          </w:p>
        </w:tc>
      </w:tr>
      <w:tr w:rsidR="00E41315" w:rsidRPr="00A21D7D" w14:paraId="679109A8" w14:textId="77777777" w:rsidTr="00E41315">
        <w:trPr>
          <w:cantSplit/>
        </w:trPr>
        <w:tc>
          <w:tcPr>
            <w:tcW w:w="1696" w:type="dxa"/>
            <w:vMerge w:val="restart"/>
          </w:tcPr>
          <w:p w14:paraId="27DC2153" w14:textId="77777777" w:rsidR="00E41315" w:rsidRPr="00936236" w:rsidRDefault="00E41315" w:rsidP="00582B85">
            <w:pPr>
              <w:pStyle w:val="TableTextBody"/>
              <w:rPr>
                <w:b/>
                <w:bCs/>
              </w:rPr>
            </w:pPr>
            <w:r w:rsidRPr="00936236">
              <w:rPr>
                <w:b/>
                <w:bCs/>
              </w:rPr>
              <w:t>Governance – human resources</w:t>
            </w:r>
          </w:p>
        </w:tc>
        <w:tc>
          <w:tcPr>
            <w:tcW w:w="3544" w:type="dxa"/>
          </w:tcPr>
          <w:p w14:paraId="42F7395B" w14:textId="77777777" w:rsidR="00E41315" w:rsidRPr="00A21D7D" w:rsidRDefault="00E41315" w:rsidP="00582B85">
            <w:pPr>
              <w:pStyle w:val="TableTextBody"/>
            </w:pPr>
            <w:r w:rsidRPr="00A21D7D">
              <w:t>Strategic workforce planning and performance</w:t>
            </w:r>
          </w:p>
        </w:tc>
        <w:tc>
          <w:tcPr>
            <w:tcW w:w="2126" w:type="dxa"/>
            <w:shd w:val="clear" w:color="auto" w:fill="auto"/>
          </w:tcPr>
          <w:p w14:paraId="2160277C" w14:textId="77777777" w:rsidR="00E41315" w:rsidRPr="00A21D7D" w:rsidRDefault="00E41315" w:rsidP="00582B85">
            <w:pPr>
              <w:pStyle w:val="TableTextBody"/>
            </w:pPr>
            <w:r w:rsidRPr="00A21D7D">
              <w:t>ARRs – section 15.1</w:t>
            </w:r>
          </w:p>
        </w:tc>
        <w:tc>
          <w:tcPr>
            <w:tcW w:w="1701" w:type="dxa"/>
            <w:shd w:val="clear" w:color="auto" w:fill="auto"/>
          </w:tcPr>
          <w:p w14:paraId="00D78835" w14:textId="7781F290" w:rsidR="00E41315" w:rsidRPr="00A21D7D" w:rsidRDefault="00E41315" w:rsidP="00582B85">
            <w:pPr>
              <w:pStyle w:val="TableTextBody"/>
            </w:pPr>
            <w:r>
              <w:t xml:space="preserve">Page </w:t>
            </w:r>
            <w:r w:rsidR="00635A82">
              <w:t>59</w:t>
            </w:r>
          </w:p>
        </w:tc>
      </w:tr>
      <w:tr w:rsidR="00E41315" w:rsidRPr="00A21D7D" w14:paraId="044A27A3" w14:textId="77777777" w:rsidTr="00E41315">
        <w:trPr>
          <w:cantSplit/>
        </w:trPr>
        <w:tc>
          <w:tcPr>
            <w:tcW w:w="1696" w:type="dxa"/>
            <w:vMerge/>
          </w:tcPr>
          <w:p w14:paraId="422C58E9" w14:textId="77777777" w:rsidR="00E41315" w:rsidRPr="00936236" w:rsidRDefault="00E41315" w:rsidP="00582B85">
            <w:pPr>
              <w:pStyle w:val="TableTextBody"/>
              <w:rPr>
                <w:b/>
                <w:bCs/>
              </w:rPr>
            </w:pPr>
          </w:p>
        </w:tc>
        <w:tc>
          <w:tcPr>
            <w:tcW w:w="3544" w:type="dxa"/>
          </w:tcPr>
          <w:p w14:paraId="3A5BB0A5" w14:textId="77777777" w:rsidR="00E41315" w:rsidRPr="00A21D7D" w:rsidRDefault="00E41315" w:rsidP="00582B85">
            <w:pPr>
              <w:pStyle w:val="TableTextBody"/>
            </w:pPr>
            <w:r w:rsidRPr="00A21D7D">
              <w:t>Early retirement, redundancy and retrenchment</w:t>
            </w:r>
          </w:p>
        </w:tc>
        <w:tc>
          <w:tcPr>
            <w:tcW w:w="2126" w:type="dxa"/>
            <w:shd w:val="clear" w:color="auto" w:fill="auto"/>
          </w:tcPr>
          <w:p w14:paraId="6A948726" w14:textId="77777777" w:rsidR="00E41315" w:rsidRPr="00A21D7D" w:rsidRDefault="00E41315" w:rsidP="00582B85">
            <w:pPr>
              <w:pStyle w:val="TableTextBody"/>
            </w:pPr>
            <w:r w:rsidRPr="00A21D7D">
              <w:t xml:space="preserve">Directive No.04/18 </w:t>
            </w:r>
            <w:r w:rsidRPr="00A21D7D">
              <w:rPr>
                <w:i/>
              </w:rPr>
              <w:t xml:space="preserve">Early Retirement, Redundancy and Retrenchment </w:t>
            </w:r>
          </w:p>
          <w:p w14:paraId="5F11BB82" w14:textId="77777777" w:rsidR="00E41315" w:rsidRPr="00A21D7D" w:rsidRDefault="00E41315" w:rsidP="00582B85">
            <w:pPr>
              <w:pStyle w:val="TableTextBody"/>
            </w:pPr>
            <w:r w:rsidRPr="00A21D7D">
              <w:t>ARRs – section 15.2</w:t>
            </w:r>
          </w:p>
        </w:tc>
        <w:tc>
          <w:tcPr>
            <w:tcW w:w="1701" w:type="dxa"/>
            <w:shd w:val="clear" w:color="auto" w:fill="auto"/>
          </w:tcPr>
          <w:p w14:paraId="465349FC" w14:textId="1FA210A7" w:rsidR="00E41315" w:rsidRPr="00A21D7D" w:rsidRDefault="00E41315" w:rsidP="00582B85">
            <w:pPr>
              <w:pStyle w:val="TableTextBody"/>
            </w:pPr>
            <w:r>
              <w:t xml:space="preserve">Page </w:t>
            </w:r>
            <w:r w:rsidR="00635A82">
              <w:t>64</w:t>
            </w:r>
          </w:p>
        </w:tc>
      </w:tr>
      <w:tr w:rsidR="00E41315" w:rsidRPr="00A21D7D" w14:paraId="157ECA1C" w14:textId="77777777" w:rsidTr="00E41315">
        <w:trPr>
          <w:cantSplit/>
        </w:trPr>
        <w:tc>
          <w:tcPr>
            <w:tcW w:w="1696" w:type="dxa"/>
            <w:vMerge w:val="restart"/>
          </w:tcPr>
          <w:p w14:paraId="2BDF3896" w14:textId="77777777" w:rsidR="00E41315" w:rsidRPr="00936236" w:rsidRDefault="00E41315" w:rsidP="00582B85">
            <w:pPr>
              <w:pStyle w:val="TableTextBody"/>
              <w:rPr>
                <w:b/>
                <w:bCs/>
              </w:rPr>
            </w:pPr>
            <w:r w:rsidRPr="00936236">
              <w:rPr>
                <w:b/>
                <w:bCs/>
              </w:rPr>
              <w:t>Open Data</w:t>
            </w:r>
          </w:p>
        </w:tc>
        <w:tc>
          <w:tcPr>
            <w:tcW w:w="3544" w:type="dxa"/>
          </w:tcPr>
          <w:p w14:paraId="2D8A97F4" w14:textId="77777777" w:rsidR="00E41315" w:rsidRPr="00A21D7D" w:rsidRDefault="00E41315" w:rsidP="00582B85">
            <w:pPr>
              <w:pStyle w:val="TableTextBody"/>
            </w:pPr>
            <w:r w:rsidRPr="00A21D7D">
              <w:t>Statement advising publication of information</w:t>
            </w:r>
          </w:p>
        </w:tc>
        <w:tc>
          <w:tcPr>
            <w:tcW w:w="2126" w:type="dxa"/>
            <w:shd w:val="clear" w:color="auto" w:fill="auto"/>
          </w:tcPr>
          <w:p w14:paraId="38F42DBA" w14:textId="77777777" w:rsidR="00E41315" w:rsidRPr="00A21D7D" w:rsidRDefault="00E41315" w:rsidP="00582B85">
            <w:pPr>
              <w:pStyle w:val="TableTextBody"/>
            </w:pPr>
            <w:r w:rsidRPr="00A21D7D">
              <w:t>ARRs – section 16</w:t>
            </w:r>
          </w:p>
        </w:tc>
        <w:tc>
          <w:tcPr>
            <w:tcW w:w="1701" w:type="dxa"/>
            <w:shd w:val="clear" w:color="auto" w:fill="auto"/>
          </w:tcPr>
          <w:p w14:paraId="0A8B1A5B" w14:textId="61E1BBC3" w:rsidR="00E41315" w:rsidRPr="00A21D7D" w:rsidRDefault="00E41315" w:rsidP="00582B85">
            <w:pPr>
              <w:pStyle w:val="TableTextBody"/>
            </w:pPr>
            <w:r>
              <w:t xml:space="preserve">Page </w:t>
            </w:r>
            <w:r w:rsidR="00635A82">
              <w:t>64</w:t>
            </w:r>
          </w:p>
        </w:tc>
      </w:tr>
      <w:tr w:rsidR="00E41315" w:rsidRPr="00A21D7D" w14:paraId="6581B4DF" w14:textId="77777777" w:rsidTr="00E41315">
        <w:trPr>
          <w:cantSplit/>
        </w:trPr>
        <w:tc>
          <w:tcPr>
            <w:tcW w:w="1696" w:type="dxa"/>
            <w:vMerge/>
          </w:tcPr>
          <w:p w14:paraId="3C1C5EBA" w14:textId="77777777" w:rsidR="00E41315" w:rsidRPr="00936236" w:rsidRDefault="00E41315" w:rsidP="00582B85">
            <w:pPr>
              <w:pStyle w:val="TableTextBody"/>
              <w:rPr>
                <w:b/>
                <w:bCs/>
              </w:rPr>
            </w:pPr>
          </w:p>
        </w:tc>
        <w:tc>
          <w:tcPr>
            <w:tcW w:w="3544" w:type="dxa"/>
          </w:tcPr>
          <w:p w14:paraId="276AD525" w14:textId="77777777" w:rsidR="00E41315" w:rsidRPr="00A21D7D" w:rsidRDefault="00E41315" w:rsidP="00582B85">
            <w:pPr>
              <w:pStyle w:val="TableTextBody"/>
            </w:pPr>
            <w:r w:rsidRPr="00A21D7D">
              <w:t xml:space="preserve">Consultancies </w:t>
            </w:r>
          </w:p>
        </w:tc>
        <w:tc>
          <w:tcPr>
            <w:tcW w:w="2126" w:type="dxa"/>
            <w:shd w:val="clear" w:color="auto" w:fill="auto"/>
          </w:tcPr>
          <w:p w14:paraId="487FC289" w14:textId="77777777" w:rsidR="00E41315" w:rsidRPr="00A21D7D" w:rsidRDefault="00E41315" w:rsidP="00582B85">
            <w:pPr>
              <w:pStyle w:val="TableTextBody"/>
            </w:pPr>
            <w:r w:rsidRPr="00A21D7D">
              <w:t>ARRs – section 33.1</w:t>
            </w:r>
          </w:p>
        </w:tc>
        <w:tc>
          <w:tcPr>
            <w:tcW w:w="1701" w:type="dxa"/>
            <w:shd w:val="clear" w:color="auto" w:fill="auto"/>
          </w:tcPr>
          <w:p w14:paraId="6856D04B" w14:textId="77777777" w:rsidR="00E41315" w:rsidRPr="00A21D7D" w:rsidRDefault="00BD5D1A" w:rsidP="00582B85">
            <w:pPr>
              <w:pStyle w:val="TableTextBody"/>
              <w:rPr>
                <w:sz w:val="14"/>
                <w:szCs w:val="12"/>
              </w:rPr>
            </w:pPr>
            <w:hyperlink r:id="rId22" w:history="1">
              <w:r w:rsidR="00E41315" w:rsidRPr="00A9439E">
                <w:rPr>
                  <w:rStyle w:val="Hyperlink"/>
                  <w:rFonts w:eastAsiaTheme="majorEastAsia" w:cs="Arial"/>
                  <w:sz w:val="14"/>
                  <w:szCs w:val="12"/>
                </w:rPr>
                <w:t>https://data.qld.gov.au</w:t>
              </w:r>
            </w:hyperlink>
          </w:p>
        </w:tc>
      </w:tr>
      <w:tr w:rsidR="00E41315" w:rsidRPr="00A21D7D" w14:paraId="3D8BE328" w14:textId="77777777" w:rsidTr="00E41315">
        <w:trPr>
          <w:cantSplit/>
        </w:trPr>
        <w:tc>
          <w:tcPr>
            <w:tcW w:w="1696" w:type="dxa"/>
            <w:vMerge/>
          </w:tcPr>
          <w:p w14:paraId="3C04B0DE" w14:textId="77777777" w:rsidR="00E41315" w:rsidRPr="00936236" w:rsidRDefault="00E41315" w:rsidP="00582B85">
            <w:pPr>
              <w:pStyle w:val="TableTextBody"/>
              <w:rPr>
                <w:b/>
                <w:bCs/>
              </w:rPr>
            </w:pPr>
          </w:p>
        </w:tc>
        <w:tc>
          <w:tcPr>
            <w:tcW w:w="3544" w:type="dxa"/>
          </w:tcPr>
          <w:p w14:paraId="1B021708" w14:textId="77777777" w:rsidR="00E41315" w:rsidRPr="00A21D7D" w:rsidRDefault="00E41315" w:rsidP="00582B85">
            <w:pPr>
              <w:pStyle w:val="TableTextBody"/>
            </w:pPr>
            <w:r w:rsidRPr="00A21D7D">
              <w:t>Overseas travel</w:t>
            </w:r>
          </w:p>
        </w:tc>
        <w:tc>
          <w:tcPr>
            <w:tcW w:w="2126" w:type="dxa"/>
            <w:shd w:val="clear" w:color="auto" w:fill="auto"/>
          </w:tcPr>
          <w:p w14:paraId="3A3A5457" w14:textId="77777777" w:rsidR="00E41315" w:rsidRPr="00A21D7D" w:rsidRDefault="00E41315" w:rsidP="00582B85">
            <w:pPr>
              <w:pStyle w:val="TableTextBody"/>
            </w:pPr>
            <w:r w:rsidRPr="00A21D7D">
              <w:t>ARRs – section 33.2</w:t>
            </w:r>
          </w:p>
        </w:tc>
        <w:tc>
          <w:tcPr>
            <w:tcW w:w="1701" w:type="dxa"/>
            <w:shd w:val="clear" w:color="auto" w:fill="auto"/>
          </w:tcPr>
          <w:p w14:paraId="6AC25D8D" w14:textId="77777777" w:rsidR="00E41315" w:rsidRPr="00A21D7D" w:rsidRDefault="00BD5D1A" w:rsidP="00582B85">
            <w:pPr>
              <w:pStyle w:val="TableTextBody"/>
              <w:rPr>
                <w:sz w:val="14"/>
                <w:szCs w:val="12"/>
              </w:rPr>
            </w:pPr>
            <w:hyperlink r:id="rId23" w:history="1">
              <w:r w:rsidR="00E41315" w:rsidRPr="00A9439E">
                <w:rPr>
                  <w:rStyle w:val="Hyperlink"/>
                  <w:rFonts w:eastAsiaTheme="majorEastAsia" w:cs="Arial"/>
                  <w:sz w:val="14"/>
                  <w:szCs w:val="12"/>
                </w:rPr>
                <w:t>https://data.qld.gov.au</w:t>
              </w:r>
            </w:hyperlink>
          </w:p>
        </w:tc>
      </w:tr>
      <w:tr w:rsidR="00E41315" w:rsidRPr="00A21D7D" w14:paraId="2C62AE24" w14:textId="77777777" w:rsidTr="00E41315">
        <w:trPr>
          <w:cantSplit/>
        </w:trPr>
        <w:tc>
          <w:tcPr>
            <w:tcW w:w="1696" w:type="dxa"/>
            <w:vMerge/>
          </w:tcPr>
          <w:p w14:paraId="3A9655D1" w14:textId="77777777" w:rsidR="00E41315" w:rsidRPr="00936236" w:rsidRDefault="00E41315" w:rsidP="00582B85">
            <w:pPr>
              <w:pStyle w:val="TableTextBody"/>
              <w:rPr>
                <w:b/>
                <w:bCs/>
              </w:rPr>
            </w:pPr>
          </w:p>
        </w:tc>
        <w:tc>
          <w:tcPr>
            <w:tcW w:w="3544" w:type="dxa"/>
          </w:tcPr>
          <w:p w14:paraId="3466F610" w14:textId="77777777" w:rsidR="00E41315" w:rsidRPr="00A21D7D" w:rsidRDefault="00E41315" w:rsidP="00582B85">
            <w:pPr>
              <w:pStyle w:val="TableTextBody"/>
            </w:pPr>
            <w:r w:rsidRPr="00A21D7D">
              <w:t>Queensland Language Services Policy</w:t>
            </w:r>
          </w:p>
        </w:tc>
        <w:tc>
          <w:tcPr>
            <w:tcW w:w="2126" w:type="dxa"/>
            <w:shd w:val="clear" w:color="auto" w:fill="auto"/>
          </w:tcPr>
          <w:p w14:paraId="6CFA940F" w14:textId="77777777" w:rsidR="00E41315" w:rsidRPr="00A21D7D" w:rsidRDefault="00E41315" w:rsidP="00582B85">
            <w:pPr>
              <w:pStyle w:val="TableTextBody"/>
            </w:pPr>
            <w:r w:rsidRPr="00A21D7D">
              <w:t>ARRs – section 33.3</w:t>
            </w:r>
          </w:p>
        </w:tc>
        <w:tc>
          <w:tcPr>
            <w:tcW w:w="1701" w:type="dxa"/>
            <w:shd w:val="clear" w:color="auto" w:fill="auto"/>
          </w:tcPr>
          <w:p w14:paraId="640EF1E4" w14:textId="77777777" w:rsidR="00E41315" w:rsidRPr="00A21D7D" w:rsidRDefault="00BD5D1A" w:rsidP="00582B85">
            <w:pPr>
              <w:pStyle w:val="TableTextBody"/>
              <w:rPr>
                <w:sz w:val="14"/>
                <w:szCs w:val="12"/>
              </w:rPr>
            </w:pPr>
            <w:hyperlink r:id="rId24" w:history="1">
              <w:r w:rsidR="00E41315" w:rsidRPr="00A9439E">
                <w:rPr>
                  <w:rStyle w:val="Hyperlink"/>
                  <w:rFonts w:eastAsiaTheme="majorEastAsia" w:cs="Arial"/>
                  <w:sz w:val="14"/>
                  <w:szCs w:val="12"/>
                </w:rPr>
                <w:t>https://data.qld.gov.au</w:t>
              </w:r>
            </w:hyperlink>
          </w:p>
        </w:tc>
      </w:tr>
      <w:tr w:rsidR="00E41315" w:rsidRPr="00A21D7D" w14:paraId="62D597EC" w14:textId="77777777" w:rsidTr="00E41315">
        <w:trPr>
          <w:cantSplit/>
        </w:trPr>
        <w:tc>
          <w:tcPr>
            <w:tcW w:w="1696" w:type="dxa"/>
            <w:vMerge w:val="restart"/>
          </w:tcPr>
          <w:p w14:paraId="60BF6DA6" w14:textId="77777777" w:rsidR="00E41315" w:rsidRPr="00936236" w:rsidRDefault="00E41315" w:rsidP="00582B85">
            <w:pPr>
              <w:pStyle w:val="TableTextBody"/>
              <w:rPr>
                <w:b/>
                <w:bCs/>
              </w:rPr>
            </w:pPr>
            <w:r w:rsidRPr="00936236">
              <w:rPr>
                <w:b/>
                <w:bCs/>
              </w:rPr>
              <w:t>Financial statements</w:t>
            </w:r>
          </w:p>
        </w:tc>
        <w:tc>
          <w:tcPr>
            <w:tcW w:w="3544" w:type="dxa"/>
          </w:tcPr>
          <w:p w14:paraId="2ADE5997" w14:textId="77777777" w:rsidR="00E41315" w:rsidRPr="00A21D7D" w:rsidRDefault="00E41315" w:rsidP="00582B85">
            <w:pPr>
              <w:pStyle w:val="TableTextBody"/>
            </w:pPr>
            <w:r w:rsidRPr="00A21D7D">
              <w:t>Certification of financial statements</w:t>
            </w:r>
          </w:p>
        </w:tc>
        <w:tc>
          <w:tcPr>
            <w:tcW w:w="2126" w:type="dxa"/>
            <w:shd w:val="clear" w:color="auto" w:fill="auto"/>
          </w:tcPr>
          <w:p w14:paraId="2F1FB8FE" w14:textId="77777777" w:rsidR="00E41315" w:rsidRPr="00A21D7D" w:rsidRDefault="00E41315" w:rsidP="00582B85">
            <w:pPr>
              <w:pStyle w:val="TableTextBody"/>
            </w:pPr>
            <w:r w:rsidRPr="00A21D7D">
              <w:t>FAA – section 62</w:t>
            </w:r>
          </w:p>
          <w:p w14:paraId="6F08B885" w14:textId="77777777" w:rsidR="00E41315" w:rsidRPr="00A21D7D" w:rsidRDefault="00E41315" w:rsidP="00582B85">
            <w:pPr>
              <w:pStyle w:val="TableTextBody"/>
            </w:pPr>
            <w:r w:rsidRPr="00A21D7D">
              <w:t>FPMS – sections 38, 39 and 46</w:t>
            </w:r>
          </w:p>
          <w:p w14:paraId="3C9BB4C3" w14:textId="77777777" w:rsidR="00E41315" w:rsidRPr="00A21D7D" w:rsidRDefault="00E41315" w:rsidP="00582B85">
            <w:pPr>
              <w:pStyle w:val="TableTextBody"/>
            </w:pPr>
            <w:r w:rsidRPr="00A21D7D">
              <w:t>ARRs – section 17.1</w:t>
            </w:r>
          </w:p>
        </w:tc>
        <w:tc>
          <w:tcPr>
            <w:tcW w:w="1701" w:type="dxa"/>
            <w:shd w:val="clear" w:color="auto" w:fill="auto"/>
          </w:tcPr>
          <w:p w14:paraId="3C726CCA" w14:textId="438F63E5" w:rsidR="00E41315" w:rsidRDefault="00E41315" w:rsidP="00582B85">
            <w:pPr>
              <w:pStyle w:val="TableTextBody"/>
            </w:pPr>
            <w:r>
              <w:t>Page 7</w:t>
            </w:r>
            <w:r w:rsidR="00A8396C">
              <w:t>5</w:t>
            </w:r>
          </w:p>
          <w:p w14:paraId="0CC453F5" w14:textId="77777777" w:rsidR="00E41315" w:rsidRPr="00A21D7D" w:rsidRDefault="00E41315" w:rsidP="00582B85">
            <w:pPr>
              <w:pStyle w:val="TableTextBody"/>
            </w:pPr>
            <w:r>
              <w:t>Appendix F</w:t>
            </w:r>
          </w:p>
        </w:tc>
      </w:tr>
      <w:tr w:rsidR="00E41315" w:rsidRPr="00A21D7D" w14:paraId="71133D64" w14:textId="77777777" w:rsidTr="00E41315">
        <w:trPr>
          <w:cantSplit/>
        </w:trPr>
        <w:tc>
          <w:tcPr>
            <w:tcW w:w="1696" w:type="dxa"/>
            <w:vMerge/>
          </w:tcPr>
          <w:p w14:paraId="3732223C" w14:textId="77777777" w:rsidR="00E41315" w:rsidRPr="00A21D7D" w:rsidRDefault="00E41315" w:rsidP="00582B85">
            <w:pPr>
              <w:pStyle w:val="TableTextBody"/>
            </w:pPr>
          </w:p>
        </w:tc>
        <w:tc>
          <w:tcPr>
            <w:tcW w:w="3544" w:type="dxa"/>
          </w:tcPr>
          <w:p w14:paraId="1958280C" w14:textId="77777777" w:rsidR="00E41315" w:rsidRPr="00A21D7D" w:rsidRDefault="00E41315" w:rsidP="00582B85">
            <w:pPr>
              <w:pStyle w:val="TableTextBody"/>
            </w:pPr>
            <w:r w:rsidRPr="00A21D7D">
              <w:t>Independent Auditor’s Report</w:t>
            </w:r>
          </w:p>
        </w:tc>
        <w:tc>
          <w:tcPr>
            <w:tcW w:w="2126" w:type="dxa"/>
            <w:shd w:val="clear" w:color="auto" w:fill="auto"/>
          </w:tcPr>
          <w:p w14:paraId="66051C70" w14:textId="77777777" w:rsidR="00E41315" w:rsidRPr="00A21D7D" w:rsidRDefault="00E41315" w:rsidP="00582B85">
            <w:pPr>
              <w:pStyle w:val="TableTextBody"/>
            </w:pPr>
            <w:r w:rsidRPr="00A21D7D">
              <w:t>FAA – section 62</w:t>
            </w:r>
          </w:p>
          <w:p w14:paraId="6D20EAD9" w14:textId="77777777" w:rsidR="00E41315" w:rsidRPr="00A21D7D" w:rsidRDefault="00E41315" w:rsidP="00582B85">
            <w:pPr>
              <w:pStyle w:val="TableTextBody"/>
            </w:pPr>
            <w:r w:rsidRPr="00A21D7D">
              <w:t>FPMS – section 46</w:t>
            </w:r>
          </w:p>
          <w:p w14:paraId="22DE71D5" w14:textId="77777777" w:rsidR="00E41315" w:rsidRPr="00A21D7D" w:rsidRDefault="00E41315" w:rsidP="00582B85">
            <w:pPr>
              <w:pStyle w:val="TableTextBody"/>
            </w:pPr>
            <w:r w:rsidRPr="00A21D7D">
              <w:t>ARRs – section 17.2</w:t>
            </w:r>
          </w:p>
        </w:tc>
        <w:tc>
          <w:tcPr>
            <w:tcW w:w="1701" w:type="dxa"/>
            <w:shd w:val="clear" w:color="auto" w:fill="auto"/>
          </w:tcPr>
          <w:p w14:paraId="4AC1BA8A" w14:textId="428E83F0" w:rsidR="00E41315" w:rsidRDefault="00E41315" w:rsidP="00582B85">
            <w:pPr>
              <w:pStyle w:val="TableTextBody"/>
            </w:pPr>
            <w:r>
              <w:t>Page 7</w:t>
            </w:r>
            <w:r w:rsidR="00A8396C">
              <w:t>5</w:t>
            </w:r>
          </w:p>
          <w:p w14:paraId="051E28E3" w14:textId="77777777" w:rsidR="00E41315" w:rsidRPr="00A21D7D" w:rsidRDefault="00E41315" w:rsidP="00582B85">
            <w:pPr>
              <w:pStyle w:val="TableTextBody"/>
            </w:pPr>
            <w:r>
              <w:t>Appendix F</w:t>
            </w:r>
          </w:p>
        </w:tc>
      </w:tr>
    </w:tbl>
    <w:p w14:paraId="7EB1F081" w14:textId="0B6481B3" w:rsidR="00E32E4E" w:rsidRDefault="00E32E4E" w:rsidP="00EB1859">
      <w:r>
        <w:br w:type="page"/>
      </w:r>
    </w:p>
    <w:p w14:paraId="776A0A77" w14:textId="5A1C3EF1" w:rsidR="00E32E4E" w:rsidRPr="00A21D7D" w:rsidRDefault="00E32E4E" w:rsidP="00A97969">
      <w:pPr>
        <w:pStyle w:val="Heading1"/>
      </w:pPr>
      <w:bookmarkStart w:id="295" w:name="_Toc143678747"/>
      <w:bookmarkStart w:id="296" w:name="_Toc144200527"/>
      <w:bookmarkStart w:id="297" w:name="_Toc80971304"/>
      <w:r>
        <w:lastRenderedPageBreak/>
        <w:t>Appendix B: Performance statement</w:t>
      </w:r>
      <w:bookmarkEnd w:id="295"/>
      <w:bookmarkEnd w:id="296"/>
      <w:r w:rsidR="00A946AA">
        <w:t xml:space="preserve"> </w:t>
      </w:r>
      <w:r>
        <w:t xml:space="preserve"> </w:t>
      </w:r>
      <w:bookmarkEnd w:id="297"/>
    </w:p>
    <w:p w14:paraId="3A2081D9" w14:textId="77777777" w:rsidR="00E32E4E" w:rsidRDefault="00E32E4E" w:rsidP="00A97969">
      <w:pPr>
        <w:pStyle w:val="Heading2"/>
      </w:pPr>
      <w:bookmarkStart w:id="298" w:name="_Toc80971305"/>
      <w:bookmarkStart w:id="299" w:name="_Toc143678229"/>
      <w:bookmarkStart w:id="300" w:name="_Toc143678748"/>
      <w:bookmarkStart w:id="301" w:name="_Toc144200528"/>
      <w:bookmarkStart w:id="302" w:name="_Hlk112425830"/>
      <w:r>
        <w:t>Human Rights</w:t>
      </w:r>
      <w:bookmarkEnd w:id="298"/>
      <w:bookmarkEnd w:id="299"/>
      <w:bookmarkEnd w:id="300"/>
      <w:bookmarkEnd w:id="301"/>
    </w:p>
    <w:p w14:paraId="0C223D2C" w14:textId="77777777" w:rsidR="00E32E4E" w:rsidRPr="00752F2E" w:rsidRDefault="00E32E4E" w:rsidP="00EB1859">
      <w:r w:rsidRPr="00752F2E">
        <w:t>Service area objective</w:t>
      </w:r>
    </w:p>
    <w:p w14:paraId="2197A8BC" w14:textId="51E8E8E0" w:rsidR="00E32E4E" w:rsidRPr="00A21D7D" w:rsidRDefault="00E32E4E" w:rsidP="00E41315">
      <w:r>
        <w:t>S</w:t>
      </w:r>
      <w:r w:rsidRPr="00A21D7D">
        <w:t xml:space="preserve">trengthen the understanding, promotion and protection of human rights in Queensland. </w:t>
      </w:r>
    </w:p>
    <w:tbl>
      <w:tblPr>
        <w:tblW w:w="8222" w:type="dxa"/>
        <w:tblInd w:w="-5"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ayout w:type="fixed"/>
        <w:tblLook w:val="01E0" w:firstRow="1" w:lastRow="1" w:firstColumn="1" w:lastColumn="1" w:noHBand="0" w:noVBand="0"/>
      </w:tblPr>
      <w:tblGrid>
        <w:gridCol w:w="4395"/>
        <w:gridCol w:w="1275"/>
        <w:gridCol w:w="1276"/>
        <w:gridCol w:w="1276"/>
      </w:tblGrid>
      <w:tr w:rsidR="00E32E4E" w:rsidRPr="00A21D7D" w14:paraId="4774FCA8" w14:textId="77777777" w:rsidTr="00F541AA">
        <w:trPr>
          <w:tblHeader/>
        </w:trPr>
        <w:tc>
          <w:tcPr>
            <w:tcW w:w="4395" w:type="dxa"/>
            <w:shd w:val="clear" w:color="auto" w:fill="auto"/>
            <w:vAlign w:val="center"/>
            <w:hideMark/>
          </w:tcPr>
          <w:p w14:paraId="52310A04" w14:textId="77777777" w:rsidR="00E32E4E" w:rsidRPr="00A21D7D" w:rsidRDefault="00E32E4E" w:rsidP="00EB1859">
            <w:pPr>
              <w:pStyle w:val="TableTextHeading"/>
            </w:pPr>
            <w:r>
              <w:t>Service standards</w:t>
            </w:r>
          </w:p>
        </w:tc>
        <w:tc>
          <w:tcPr>
            <w:tcW w:w="1275" w:type="dxa"/>
            <w:shd w:val="clear" w:color="auto" w:fill="auto"/>
            <w:vAlign w:val="center"/>
            <w:hideMark/>
          </w:tcPr>
          <w:p w14:paraId="3E5A0D80" w14:textId="77777777" w:rsidR="00E32E4E" w:rsidRPr="00A21D7D" w:rsidRDefault="00E32E4E" w:rsidP="00EB1859">
            <w:pPr>
              <w:pStyle w:val="TableTextHeading"/>
            </w:pPr>
            <w:r w:rsidRPr="00A21D7D">
              <w:t>20</w:t>
            </w:r>
            <w:r>
              <w:t>22-23</w:t>
            </w:r>
          </w:p>
          <w:p w14:paraId="1FC4BD5F" w14:textId="77777777" w:rsidR="00E32E4E" w:rsidRPr="00A21D7D" w:rsidRDefault="00E32E4E" w:rsidP="00EB1859">
            <w:pPr>
              <w:pStyle w:val="TableTextHeading"/>
            </w:pPr>
            <w:r w:rsidRPr="00A21D7D">
              <w:t>Target/Est</w:t>
            </w:r>
            <w:r>
              <w:t>.</w:t>
            </w:r>
          </w:p>
        </w:tc>
        <w:tc>
          <w:tcPr>
            <w:tcW w:w="1276" w:type="dxa"/>
            <w:shd w:val="clear" w:color="auto" w:fill="auto"/>
            <w:vAlign w:val="center"/>
            <w:hideMark/>
          </w:tcPr>
          <w:p w14:paraId="59A19F21" w14:textId="77777777" w:rsidR="00E32E4E" w:rsidRPr="00037BB7" w:rsidRDefault="00E32E4E" w:rsidP="00EB1859">
            <w:pPr>
              <w:pStyle w:val="TableTextHeading"/>
            </w:pPr>
            <w:r w:rsidRPr="00037BB7">
              <w:t>20</w:t>
            </w:r>
            <w:r>
              <w:t>22-23</w:t>
            </w:r>
          </w:p>
          <w:p w14:paraId="2862A8FB" w14:textId="77777777" w:rsidR="00E32E4E" w:rsidRPr="00037BB7" w:rsidRDefault="00E32E4E" w:rsidP="00EB1859">
            <w:pPr>
              <w:pStyle w:val="TableTextHeading"/>
            </w:pPr>
            <w:r w:rsidRPr="00037BB7">
              <w:t>Actual</w:t>
            </w:r>
          </w:p>
        </w:tc>
        <w:tc>
          <w:tcPr>
            <w:tcW w:w="1276" w:type="dxa"/>
            <w:shd w:val="clear" w:color="auto" w:fill="auto"/>
            <w:vAlign w:val="center"/>
            <w:hideMark/>
          </w:tcPr>
          <w:p w14:paraId="6BF95F8D" w14:textId="77777777" w:rsidR="00E32E4E" w:rsidRPr="00A21D7D" w:rsidRDefault="00E32E4E" w:rsidP="00EB1859">
            <w:pPr>
              <w:pStyle w:val="TableTextHeading"/>
            </w:pPr>
            <w:r w:rsidRPr="00A21D7D">
              <w:t>20</w:t>
            </w:r>
            <w:r>
              <w:t>23-24</w:t>
            </w:r>
          </w:p>
          <w:p w14:paraId="58D3912B" w14:textId="77777777" w:rsidR="00E32E4E" w:rsidRPr="00A21D7D" w:rsidRDefault="00E32E4E" w:rsidP="00EB1859">
            <w:pPr>
              <w:pStyle w:val="TableTextHeading"/>
            </w:pPr>
            <w:r w:rsidRPr="00A21D7D">
              <w:t>Target/Est</w:t>
            </w:r>
            <w:r>
              <w:t>.</w:t>
            </w:r>
          </w:p>
        </w:tc>
      </w:tr>
      <w:tr w:rsidR="00E32E4E" w:rsidRPr="00A21D7D" w14:paraId="198BE967" w14:textId="77777777" w:rsidTr="00F541AA">
        <w:trPr>
          <w:tblHeader/>
        </w:trPr>
        <w:tc>
          <w:tcPr>
            <w:tcW w:w="8222" w:type="dxa"/>
            <w:gridSpan w:val="4"/>
            <w:shd w:val="clear" w:color="auto" w:fill="auto"/>
            <w:vAlign w:val="center"/>
          </w:tcPr>
          <w:p w14:paraId="6E0D914B" w14:textId="77777777" w:rsidR="00E32E4E" w:rsidRPr="00A21D7D" w:rsidRDefault="00E32E4E" w:rsidP="00EB1859">
            <w:pPr>
              <w:pStyle w:val="TableTextHeading"/>
            </w:pPr>
            <w:r w:rsidRPr="00752F2E">
              <w:t>Effectiveness measures</w:t>
            </w:r>
          </w:p>
        </w:tc>
      </w:tr>
      <w:tr w:rsidR="00E32E4E" w:rsidRPr="00A21D7D" w14:paraId="6243A426" w14:textId="77777777" w:rsidTr="00F541AA">
        <w:tc>
          <w:tcPr>
            <w:tcW w:w="4395" w:type="dxa"/>
            <w:shd w:val="clear" w:color="auto" w:fill="auto"/>
            <w:vAlign w:val="bottom"/>
            <w:hideMark/>
          </w:tcPr>
          <w:p w14:paraId="2785D156" w14:textId="77777777" w:rsidR="00E32E4E" w:rsidRPr="00A21D7D" w:rsidRDefault="00E32E4E" w:rsidP="00EB1859">
            <w:pPr>
              <w:pStyle w:val="TableTextBody"/>
            </w:pPr>
            <w:r w:rsidRPr="00A21D7D">
              <w:t xml:space="preserve">Percentage of accepted </w:t>
            </w:r>
            <w:r w:rsidRPr="006674AC">
              <w:rPr>
                <w:i/>
                <w:iCs/>
              </w:rPr>
              <w:t>Anti-Discrimination Act 1991</w:t>
            </w:r>
            <w:r>
              <w:t xml:space="preserve"> (A</w:t>
            </w:r>
            <w:r w:rsidRPr="00A21D7D">
              <w:t>DA</w:t>
            </w:r>
            <w:r>
              <w:t>)</w:t>
            </w:r>
            <w:r w:rsidRPr="00A21D7D">
              <w:t xml:space="preserve"> complaints resolved by conciliation</w:t>
            </w:r>
            <w:r w:rsidRPr="00A21D7D">
              <w:rPr>
                <w:vertAlign w:val="superscript"/>
              </w:rPr>
              <w:t>1</w:t>
            </w:r>
          </w:p>
        </w:tc>
        <w:tc>
          <w:tcPr>
            <w:tcW w:w="1275" w:type="dxa"/>
            <w:shd w:val="clear" w:color="auto" w:fill="auto"/>
            <w:vAlign w:val="bottom"/>
          </w:tcPr>
          <w:p w14:paraId="53BC9D91" w14:textId="77777777" w:rsidR="00E32E4E" w:rsidRPr="00A21D7D" w:rsidRDefault="00E32E4E" w:rsidP="00EB1859">
            <w:pPr>
              <w:pStyle w:val="TableTextBody"/>
            </w:pPr>
            <w:r>
              <w:t>50%</w:t>
            </w:r>
          </w:p>
        </w:tc>
        <w:tc>
          <w:tcPr>
            <w:tcW w:w="1276" w:type="dxa"/>
            <w:shd w:val="clear" w:color="auto" w:fill="auto"/>
            <w:vAlign w:val="bottom"/>
          </w:tcPr>
          <w:p w14:paraId="05F5AEE7" w14:textId="77777777" w:rsidR="00E32E4E" w:rsidRPr="00037BB7" w:rsidRDefault="00E32E4E" w:rsidP="00EB1859">
            <w:pPr>
              <w:pStyle w:val="TableTextBody"/>
            </w:pPr>
            <w:r>
              <w:t>36%</w:t>
            </w:r>
          </w:p>
        </w:tc>
        <w:tc>
          <w:tcPr>
            <w:tcW w:w="1276" w:type="dxa"/>
            <w:shd w:val="clear" w:color="auto" w:fill="auto"/>
            <w:vAlign w:val="bottom"/>
          </w:tcPr>
          <w:p w14:paraId="3D43849F" w14:textId="77777777" w:rsidR="00E32E4E" w:rsidRPr="00A21D7D" w:rsidRDefault="00E32E4E" w:rsidP="00EB1859">
            <w:pPr>
              <w:pStyle w:val="TableTextBody"/>
            </w:pPr>
            <w:r>
              <w:t>50%</w:t>
            </w:r>
          </w:p>
        </w:tc>
      </w:tr>
      <w:tr w:rsidR="00E32E4E" w:rsidRPr="00A21D7D" w14:paraId="0EE68B79" w14:textId="77777777" w:rsidTr="00F541AA">
        <w:tc>
          <w:tcPr>
            <w:tcW w:w="4395" w:type="dxa"/>
            <w:shd w:val="clear" w:color="auto" w:fill="auto"/>
            <w:vAlign w:val="bottom"/>
          </w:tcPr>
          <w:p w14:paraId="57FD1E38" w14:textId="77777777" w:rsidR="00E32E4E" w:rsidRPr="00A21D7D" w:rsidRDefault="00E32E4E" w:rsidP="00EB1859">
            <w:pPr>
              <w:pStyle w:val="TableTextBody"/>
            </w:pPr>
            <w:r>
              <w:t xml:space="preserve">Percentage of </w:t>
            </w:r>
            <w:r w:rsidRPr="006674AC">
              <w:rPr>
                <w:i/>
                <w:iCs/>
              </w:rPr>
              <w:t>accepted Human Rights Act 2019</w:t>
            </w:r>
            <w:r>
              <w:t xml:space="preserve"> (HRA) complaints resolved by conciliation</w:t>
            </w:r>
            <w:r w:rsidRPr="006674AC">
              <w:rPr>
                <w:vertAlign w:val="superscript"/>
              </w:rPr>
              <w:t>1</w:t>
            </w:r>
          </w:p>
        </w:tc>
        <w:tc>
          <w:tcPr>
            <w:tcW w:w="1275" w:type="dxa"/>
            <w:shd w:val="clear" w:color="auto" w:fill="auto"/>
            <w:vAlign w:val="bottom"/>
          </w:tcPr>
          <w:p w14:paraId="247D3113" w14:textId="77777777" w:rsidR="00E32E4E" w:rsidRPr="00A21D7D" w:rsidRDefault="00E32E4E" w:rsidP="00EB1859">
            <w:pPr>
              <w:pStyle w:val="TableTextBody"/>
            </w:pPr>
            <w:r>
              <w:t>40%</w:t>
            </w:r>
          </w:p>
        </w:tc>
        <w:tc>
          <w:tcPr>
            <w:tcW w:w="1276" w:type="dxa"/>
            <w:shd w:val="clear" w:color="auto" w:fill="auto"/>
            <w:vAlign w:val="bottom"/>
          </w:tcPr>
          <w:p w14:paraId="71D05A80" w14:textId="77777777" w:rsidR="00E32E4E" w:rsidRDefault="00E32E4E" w:rsidP="00EB1859">
            <w:pPr>
              <w:pStyle w:val="TableTextBody"/>
            </w:pPr>
            <w:r>
              <w:t>34%</w:t>
            </w:r>
          </w:p>
        </w:tc>
        <w:tc>
          <w:tcPr>
            <w:tcW w:w="1276" w:type="dxa"/>
            <w:shd w:val="clear" w:color="auto" w:fill="auto"/>
            <w:vAlign w:val="bottom"/>
          </w:tcPr>
          <w:p w14:paraId="612CCDF8" w14:textId="77777777" w:rsidR="00E32E4E" w:rsidRPr="00A21D7D" w:rsidRDefault="00E32E4E" w:rsidP="00EB1859">
            <w:pPr>
              <w:pStyle w:val="TableTextBody"/>
            </w:pPr>
            <w:r>
              <w:t>40%</w:t>
            </w:r>
          </w:p>
        </w:tc>
      </w:tr>
      <w:tr w:rsidR="00E32E4E" w:rsidRPr="00A21D7D" w14:paraId="636DD61D" w14:textId="77777777" w:rsidTr="00F541AA">
        <w:tc>
          <w:tcPr>
            <w:tcW w:w="4395" w:type="dxa"/>
            <w:shd w:val="clear" w:color="auto" w:fill="auto"/>
            <w:vAlign w:val="bottom"/>
          </w:tcPr>
          <w:p w14:paraId="3D815568" w14:textId="77777777" w:rsidR="00E32E4E" w:rsidRPr="00411815" w:rsidRDefault="00E32E4E" w:rsidP="00EB1859">
            <w:pPr>
              <w:pStyle w:val="TableTextBody"/>
            </w:pPr>
            <w:r>
              <w:t>Clients’ overall satisfaction with complaint handling service</w:t>
            </w:r>
          </w:p>
        </w:tc>
        <w:tc>
          <w:tcPr>
            <w:tcW w:w="1275" w:type="dxa"/>
            <w:shd w:val="clear" w:color="auto" w:fill="auto"/>
            <w:vAlign w:val="bottom"/>
          </w:tcPr>
          <w:p w14:paraId="25B65651" w14:textId="77777777" w:rsidR="00E32E4E" w:rsidRPr="00A21D7D" w:rsidRDefault="00E32E4E" w:rsidP="00EB1859">
            <w:pPr>
              <w:pStyle w:val="TableTextBody"/>
            </w:pPr>
            <w:r>
              <w:t>85%</w:t>
            </w:r>
          </w:p>
        </w:tc>
        <w:tc>
          <w:tcPr>
            <w:tcW w:w="1276" w:type="dxa"/>
            <w:shd w:val="clear" w:color="auto" w:fill="auto"/>
            <w:vAlign w:val="bottom"/>
          </w:tcPr>
          <w:p w14:paraId="5F1A2B9A" w14:textId="77777777" w:rsidR="00E32E4E" w:rsidRPr="00037BB7" w:rsidRDefault="00E32E4E" w:rsidP="00EB1859">
            <w:pPr>
              <w:pStyle w:val="TableTextBody"/>
            </w:pPr>
            <w:r>
              <w:t>79%</w:t>
            </w:r>
          </w:p>
        </w:tc>
        <w:tc>
          <w:tcPr>
            <w:tcW w:w="1276" w:type="dxa"/>
            <w:shd w:val="clear" w:color="auto" w:fill="auto"/>
            <w:vAlign w:val="bottom"/>
          </w:tcPr>
          <w:p w14:paraId="0A07AC68" w14:textId="77777777" w:rsidR="00E32E4E" w:rsidRPr="00A21D7D" w:rsidRDefault="00E32E4E" w:rsidP="00EB1859">
            <w:pPr>
              <w:pStyle w:val="TableTextBody"/>
            </w:pPr>
            <w:r>
              <w:t>85%</w:t>
            </w:r>
          </w:p>
        </w:tc>
      </w:tr>
      <w:tr w:rsidR="00E32E4E" w:rsidRPr="00A21D7D" w14:paraId="7D94D90D" w14:textId="77777777" w:rsidTr="00F541AA">
        <w:tc>
          <w:tcPr>
            <w:tcW w:w="4395" w:type="dxa"/>
            <w:shd w:val="clear" w:color="auto" w:fill="auto"/>
            <w:vAlign w:val="bottom"/>
          </w:tcPr>
          <w:p w14:paraId="07BC098E" w14:textId="77777777" w:rsidR="00E32E4E" w:rsidRPr="00411815" w:rsidRDefault="00E32E4E" w:rsidP="00EB1859">
            <w:pPr>
              <w:pStyle w:val="TableTextBody"/>
            </w:pPr>
            <w:r>
              <w:t>Clients’ overall satisfaction with training sessions</w:t>
            </w:r>
          </w:p>
        </w:tc>
        <w:tc>
          <w:tcPr>
            <w:tcW w:w="1275" w:type="dxa"/>
            <w:shd w:val="clear" w:color="auto" w:fill="auto"/>
            <w:vAlign w:val="bottom"/>
          </w:tcPr>
          <w:p w14:paraId="53C73918" w14:textId="77777777" w:rsidR="00E32E4E" w:rsidRPr="00A21D7D" w:rsidRDefault="00E32E4E" w:rsidP="00EB1859">
            <w:pPr>
              <w:pStyle w:val="TableTextBody"/>
            </w:pPr>
            <w:r>
              <w:t>95%</w:t>
            </w:r>
          </w:p>
        </w:tc>
        <w:tc>
          <w:tcPr>
            <w:tcW w:w="1276" w:type="dxa"/>
            <w:shd w:val="clear" w:color="auto" w:fill="auto"/>
            <w:vAlign w:val="bottom"/>
          </w:tcPr>
          <w:p w14:paraId="1CE62384" w14:textId="77777777" w:rsidR="00E32E4E" w:rsidRPr="00037BB7" w:rsidRDefault="00E32E4E" w:rsidP="00EB1859">
            <w:pPr>
              <w:pStyle w:val="TableTextBody"/>
            </w:pPr>
            <w:r>
              <w:t>96%</w:t>
            </w:r>
          </w:p>
        </w:tc>
        <w:tc>
          <w:tcPr>
            <w:tcW w:w="1276" w:type="dxa"/>
            <w:shd w:val="clear" w:color="auto" w:fill="auto"/>
            <w:vAlign w:val="bottom"/>
          </w:tcPr>
          <w:p w14:paraId="43ED319B" w14:textId="77777777" w:rsidR="00E32E4E" w:rsidRPr="00A21D7D" w:rsidRDefault="00E32E4E" w:rsidP="00EB1859">
            <w:pPr>
              <w:pStyle w:val="TableTextBody"/>
            </w:pPr>
            <w:r>
              <w:t>95%</w:t>
            </w:r>
          </w:p>
        </w:tc>
      </w:tr>
      <w:tr w:rsidR="00E32E4E" w:rsidRPr="00A21D7D" w14:paraId="1ED0B3B2" w14:textId="77777777" w:rsidTr="00F541AA">
        <w:tc>
          <w:tcPr>
            <w:tcW w:w="4395" w:type="dxa"/>
            <w:shd w:val="clear" w:color="auto" w:fill="auto"/>
            <w:vAlign w:val="bottom"/>
          </w:tcPr>
          <w:p w14:paraId="5257CE71" w14:textId="77777777" w:rsidR="00E32E4E" w:rsidRPr="00A21D7D" w:rsidRDefault="00E32E4E" w:rsidP="00EB1859">
            <w:pPr>
              <w:pStyle w:val="TableTextBody"/>
            </w:pPr>
            <w:r>
              <w:t>Percentage of clients whose understanding of rights and responsibilities under anti-discrimination and/or human rights law increased following training</w:t>
            </w:r>
          </w:p>
        </w:tc>
        <w:tc>
          <w:tcPr>
            <w:tcW w:w="1275" w:type="dxa"/>
            <w:shd w:val="clear" w:color="auto" w:fill="auto"/>
            <w:vAlign w:val="bottom"/>
          </w:tcPr>
          <w:p w14:paraId="0D97B5AC" w14:textId="77777777" w:rsidR="00E32E4E" w:rsidRDefault="00E32E4E" w:rsidP="00EB1859">
            <w:pPr>
              <w:pStyle w:val="TableTextBody"/>
            </w:pPr>
            <w:r>
              <w:t>85%</w:t>
            </w:r>
          </w:p>
        </w:tc>
        <w:tc>
          <w:tcPr>
            <w:tcW w:w="1276" w:type="dxa"/>
            <w:shd w:val="clear" w:color="auto" w:fill="auto"/>
            <w:vAlign w:val="bottom"/>
          </w:tcPr>
          <w:p w14:paraId="10213B30" w14:textId="77777777" w:rsidR="00E32E4E" w:rsidRDefault="00E32E4E" w:rsidP="00EB1859">
            <w:pPr>
              <w:pStyle w:val="TableTextBody"/>
            </w:pPr>
            <w:r>
              <w:t>85%</w:t>
            </w:r>
          </w:p>
        </w:tc>
        <w:tc>
          <w:tcPr>
            <w:tcW w:w="1276" w:type="dxa"/>
            <w:shd w:val="clear" w:color="auto" w:fill="auto"/>
            <w:vAlign w:val="bottom"/>
          </w:tcPr>
          <w:p w14:paraId="65E860A6" w14:textId="77777777" w:rsidR="00E32E4E" w:rsidRDefault="00E32E4E" w:rsidP="00EB1859">
            <w:pPr>
              <w:pStyle w:val="TableTextBody"/>
            </w:pPr>
            <w:r>
              <w:t>85%</w:t>
            </w:r>
          </w:p>
        </w:tc>
      </w:tr>
      <w:tr w:rsidR="00E32E4E" w:rsidRPr="00A21D7D" w14:paraId="300AF45B" w14:textId="77777777" w:rsidTr="00F541AA">
        <w:tc>
          <w:tcPr>
            <w:tcW w:w="4395" w:type="dxa"/>
            <w:shd w:val="clear" w:color="auto" w:fill="auto"/>
            <w:vAlign w:val="bottom"/>
            <w:hideMark/>
          </w:tcPr>
          <w:p w14:paraId="478A8303" w14:textId="77777777" w:rsidR="00E32E4E" w:rsidRPr="00A21D7D" w:rsidRDefault="00E32E4E" w:rsidP="00EB1859">
            <w:pPr>
              <w:pStyle w:val="TableTextBody"/>
              <w:rPr>
                <w:vertAlign w:val="superscript"/>
              </w:rPr>
            </w:pPr>
            <w:r w:rsidRPr="00A21D7D">
              <w:t xml:space="preserve">Percentage of accepted ADA complaints </w:t>
            </w:r>
            <w:r>
              <w:t xml:space="preserve">not referred to a tribunal and </w:t>
            </w:r>
            <w:r w:rsidRPr="00A21D7D">
              <w:t>finalised within the Commission</w:t>
            </w:r>
            <w:r>
              <w:rPr>
                <w:vertAlign w:val="superscript"/>
              </w:rPr>
              <w:t>2</w:t>
            </w:r>
          </w:p>
        </w:tc>
        <w:tc>
          <w:tcPr>
            <w:tcW w:w="1275" w:type="dxa"/>
            <w:shd w:val="clear" w:color="auto" w:fill="auto"/>
            <w:vAlign w:val="bottom"/>
          </w:tcPr>
          <w:p w14:paraId="27D0F1A4" w14:textId="77777777" w:rsidR="00E32E4E" w:rsidRPr="00A21D7D" w:rsidRDefault="00E32E4E" w:rsidP="00EB1859">
            <w:pPr>
              <w:pStyle w:val="TableTextBody"/>
            </w:pPr>
            <w:r>
              <w:t>70%</w:t>
            </w:r>
          </w:p>
        </w:tc>
        <w:tc>
          <w:tcPr>
            <w:tcW w:w="1276" w:type="dxa"/>
            <w:shd w:val="clear" w:color="auto" w:fill="auto"/>
            <w:vAlign w:val="bottom"/>
          </w:tcPr>
          <w:p w14:paraId="15D2FB78" w14:textId="77777777" w:rsidR="00E32E4E" w:rsidRPr="00037BB7" w:rsidRDefault="00E32E4E" w:rsidP="00EB1859">
            <w:pPr>
              <w:pStyle w:val="TableTextBody"/>
            </w:pPr>
            <w:r>
              <w:t>65%</w:t>
            </w:r>
          </w:p>
        </w:tc>
        <w:tc>
          <w:tcPr>
            <w:tcW w:w="1276" w:type="dxa"/>
            <w:shd w:val="clear" w:color="auto" w:fill="auto"/>
            <w:vAlign w:val="bottom"/>
          </w:tcPr>
          <w:p w14:paraId="5A05EABB" w14:textId="77777777" w:rsidR="00E32E4E" w:rsidRPr="00A21D7D" w:rsidRDefault="00E32E4E" w:rsidP="00EB1859">
            <w:pPr>
              <w:pStyle w:val="TableTextBody"/>
            </w:pPr>
            <w:r>
              <w:t>70%</w:t>
            </w:r>
          </w:p>
        </w:tc>
      </w:tr>
      <w:tr w:rsidR="00E32E4E" w:rsidRPr="00A21D7D" w14:paraId="3BFF9438" w14:textId="77777777" w:rsidTr="00F541AA">
        <w:tc>
          <w:tcPr>
            <w:tcW w:w="8222" w:type="dxa"/>
            <w:gridSpan w:val="4"/>
            <w:shd w:val="clear" w:color="auto" w:fill="auto"/>
            <w:vAlign w:val="bottom"/>
          </w:tcPr>
          <w:p w14:paraId="2F4D1A88" w14:textId="77777777" w:rsidR="00E32E4E" w:rsidRDefault="00E32E4E" w:rsidP="00EB1859">
            <w:pPr>
              <w:pStyle w:val="TableTextBody"/>
            </w:pPr>
            <w:r w:rsidRPr="00411815">
              <w:t>Efficiency measure</w:t>
            </w:r>
          </w:p>
        </w:tc>
      </w:tr>
      <w:tr w:rsidR="00E32E4E" w:rsidRPr="00A21D7D" w14:paraId="76B05193" w14:textId="77777777" w:rsidTr="00F541AA">
        <w:tc>
          <w:tcPr>
            <w:tcW w:w="4395" w:type="dxa"/>
            <w:shd w:val="clear" w:color="auto" w:fill="auto"/>
            <w:vAlign w:val="bottom"/>
            <w:hideMark/>
          </w:tcPr>
          <w:p w14:paraId="56E606C1" w14:textId="77777777" w:rsidR="00E32E4E" w:rsidRPr="00A21D7D" w:rsidRDefault="00E32E4E" w:rsidP="00EB1859">
            <w:pPr>
              <w:pStyle w:val="TableTextBody"/>
            </w:pPr>
            <w:r w:rsidRPr="00A21D7D">
              <w:t>Clearance rate for accepted complaints dealt with under the ADA</w:t>
            </w:r>
            <w:r>
              <w:t xml:space="preserve"> and HRA</w:t>
            </w:r>
            <w:r w:rsidRPr="005F4CD7">
              <w:rPr>
                <w:vertAlign w:val="superscript"/>
              </w:rPr>
              <w:t>3</w:t>
            </w:r>
          </w:p>
        </w:tc>
        <w:tc>
          <w:tcPr>
            <w:tcW w:w="1275" w:type="dxa"/>
            <w:shd w:val="clear" w:color="auto" w:fill="auto"/>
            <w:vAlign w:val="bottom"/>
          </w:tcPr>
          <w:p w14:paraId="519DEEDB" w14:textId="77777777" w:rsidR="00E32E4E" w:rsidRPr="00A21D7D" w:rsidRDefault="00E32E4E" w:rsidP="00EB1859">
            <w:pPr>
              <w:pStyle w:val="TableTextBody"/>
            </w:pPr>
            <w:r w:rsidRPr="00A21D7D">
              <w:t>100%</w:t>
            </w:r>
          </w:p>
        </w:tc>
        <w:tc>
          <w:tcPr>
            <w:tcW w:w="1276" w:type="dxa"/>
            <w:shd w:val="clear" w:color="auto" w:fill="auto"/>
            <w:vAlign w:val="bottom"/>
          </w:tcPr>
          <w:p w14:paraId="32E1321C" w14:textId="77777777" w:rsidR="00E32E4E" w:rsidRPr="00037BB7" w:rsidRDefault="00E32E4E" w:rsidP="00EB1859">
            <w:pPr>
              <w:pStyle w:val="TableTextBody"/>
            </w:pPr>
            <w:r>
              <w:t>92%</w:t>
            </w:r>
          </w:p>
        </w:tc>
        <w:tc>
          <w:tcPr>
            <w:tcW w:w="1276" w:type="dxa"/>
            <w:shd w:val="clear" w:color="auto" w:fill="auto"/>
            <w:vAlign w:val="bottom"/>
          </w:tcPr>
          <w:p w14:paraId="044C1AE4" w14:textId="77777777" w:rsidR="00E32E4E" w:rsidRPr="00A21D7D" w:rsidRDefault="00E32E4E" w:rsidP="00EB1859">
            <w:pPr>
              <w:pStyle w:val="TableTextBody"/>
            </w:pPr>
            <w:r w:rsidRPr="00A21D7D">
              <w:t>1</w:t>
            </w:r>
            <w:r>
              <w:t>12</w:t>
            </w:r>
            <w:r w:rsidRPr="00A21D7D">
              <w:t>%</w:t>
            </w:r>
          </w:p>
        </w:tc>
      </w:tr>
    </w:tbl>
    <w:p w14:paraId="65366FCF" w14:textId="77777777" w:rsidR="00E32E4E" w:rsidRPr="00A21D7D" w:rsidRDefault="00E32E4E" w:rsidP="00EB1859">
      <w:pPr>
        <w:pStyle w:val="Note"/>
      </w:pPr>
      <w:r w:rsidRPr="00A21D7D">
        <w:t>Notes:</w:t>
      </w:r>
    </w:p>
    <w:bookmarkEnd w:id="302"/>
    <w:p w14:paraId="746C3854" w14:textId="77777777" w:rsidR="00E32E4E" w:rsidRPr="00E41315" w:rsidRDefault="00E32E4E" w:rsidP="00EB1859">
      <w:pPr>
        <w:rPr>
          <w:rFonts w:cs="Arial"/>
          <w:sz w:val="16"/>
          <w:szCs w:val="18"/>
        </w:rPr>
      </w:pPr>
      <w:r w:rsidRPr="00E41315">
        <w:rPr>
          <w:rFonts w:cs="Arial"/>
          <w:sz w:val="16"/>
          <w:szCs w:val="18"/>
        </w:rPr>
        <w:t xml:space="preserve">1. </w:t>
      </w:r>
      <w:r w:rsidRPr="00E41315">
        <w:rPr>
          <w:sz w:val="16"/>
          <w:szCs w:val="18"/>
        </w:rPr>
        <w:t xml:space="preserve">The variance between the 2022–23 Target/Estimate and 2022–23 Estimated Actual is primarily a result of the increased complexity of complaints where human rights considerations need to be taken into account for complaints against public entities, a significant backlog which means the dispute may be more entrenched for all parties, and </w:t>
      </w:r>
      <w:r w:rsidRPr="00E41315">
        <w:rPr>
          <w:rFonts w:cs="Arial"/>
          <w:sz w:val="16"/>
          <w:szCs w:val="18"/>
        </w:rPr>
        <w:t>increases in staff turnover.</w:t>
      </w:r>
    </w:p>
    <w:p w14:paraId="76B9F070" w14:textId="77777777" w:rsidR="00E32E4E" w:rsidRPr="00E41315" w:rsidRDefault="00E32E4E" w:rsidP="00EB1859">
      <w:pPr>
        <w:rPr>
          <w:sz w:val="16"/>
          <w:szCs w:val="18"/>
        </w:rPr>
      </w:pPr>
      <w:r w:rsidRPr="00E41315">
        <w:rPr>
          <w:rFonts w:cs="Arial"/>
          <w:sz w:val="16"/>
          <w:szCs w:val="18"/>
        </w:rPr>
        <w:t xml:space="preserve">2. </w:t>
      </w:r>
      <w:r w:rsidRPr="00E41315">
        <w:rPr>
          <w:sz w:val="16"/>
          <w:szCs w:val="18"/>
        </w:rPr>
        <w:t xml:space="preserve">The variance between the 2022–23 Target/Estimate and the 2022–23 Estimate Actual is primarily a result of a significant backlog which means the dispute may be more entrenched for all parties that they wish to seek outcomes in the judicial system, rather than parties reaching an agreement under QHRC’s dispute resolution services. This variance is related to the conciliation rate which has reduced due to increased complexity of complaints where human rights considerations need to be taken into account for complaints about public entities, </w:t>
      </w:r>
      <w:r w:rsidRPr="00E41315">
        <w:rPr>
          <w:rFonts w:cs="Arial"/>
          <w:sz w:val="16"/>
          <w:szCs w:val="18"/>
        </w:rPr>
        <w:t xml:space="preserve">increases in staff turnover, </w:t>
      </w:r>
      <w:r w:rsidRPr="00E41315">
        <w:rPr>
          <w:sz w:val="16"/>
          <w:szCs w:val="18"/>
        </w:rPr>
        <w:t>as well as the delays caused by the backlog.</w:t>
      </w:r>
    </w:p>
    <w:p w14:paraId="5649F7B1" w14:textId="77777777" w:rsidR="00E32E4E" w:rsidRPr="00E41315" w:rsidRDefault="00E32E4E" w:rsidP="00EB1859">
      <w:pPr>
        <w:rPr>
          <w:sz w:val="16"/>
          <w:szCs w:val="18"/>
        </w:rPr>
      </w:pPr>
      <w:r w:rsidRPr="00E41315">
        <w:rPr>
          <w:rFonts w:cs="Arial"/>
          <w:sz w:val="16"/>
          <w:szCs w:val="18"/>
        </w:rPr>
        <w:t xml:space="preserve">3. </w:t>
      </w:r>
      <w:r w:rsidRPr="00E41315">
        <w:rPr>
          <w:sz w:val="16"/>
          <w:szCs w:val="18"/>
        </w:rPr>
        <w:t>The variance between the 2022–23 Target/Estimate and 2022–23 Estimated Actual is primarily a result of higher than anticipated complaints received in recent years (as at 31 March 2023, decrease of 12 per cent on 2021–22 volume, and increase of 108 per cent on 2017–18 volume). Additional resources provided for in the 2022–23 Budget allowed QHRC to increase the clearance rate from 2021–22 (82 per cent as per annual report)</w:t>
      </w:r>
      <w:r w:rsidRPr="00E41315">
        <w:rPr>
          <w:rFonts w:cs="Arial"/>
          <w:sz w:val="16"/>
          <w:szCs w:val="18"/>
        </w:rPr>
        <w:t>.</w:t>
      </w:r>
    </w:p>
    <w:p w14:paraId="29D054D2" w14:textId="34480A07" w:rsidR="00E32E4E" w:rsidRDefault="00E32E4E" w:rsidP="00EB1859">
      <w:r>
        <w:br w:type="page"/>
      </w:r>
    </w:p>
    <w:p w14:paraId="7FDF8913" w14:textId="77777777" w:rsidR="00FC285C" w:rsidRPr="00A21D7D" w:rsidRDefault="00FC285C" w:rsidP="00A97969">
      <w:pPr>
        <w:pStyle w:val="Heading1"/>
      </w:pPr>
      <w:bookmarkStart w:id="303" w:name="_Toc80971403"/>
      <w:bookmarkStart w:id="304" w:name="_Toc143678749"/>
      <w:bookmarkStart w:id="305" w:name="_Toc144200529"/>
      <w:r w:rsidRPr="00A21D7D">
        <w:lastRenderedPageBreak/>
        <w:t xml:space="preserve">Appendix </w:t>
      </w:r>
      <w:r>
        <w:t>C</w:t>
      </w:r>
      <w:r w:rsidRPr="00A21D7D">
        <w:t>: Glossary of terms</w:t>
      </w:r>
      <w:bookmarkEnd w:id="303"/>
      <w:bookmarkEnd w:id="304"/>
      <w:bookmarkEnd w:id="305"/>
      <w:r w:rsidRPr="00A21D7D">
        <w:t xml:space="preserve"> </w:t>
      </w:r>
    </w:p>
    <w:tbl>
      <w:tblPr>
        <w:tblW w:w="0" w:type="auto"/>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1E0" w:firstRow="1" w:lastRow="1" w:firstColumn="1" w:lastColumn="1" w:noHBand="0" w:noVBand="0"/>
      </w:tblPr>
      <w:tblGrid>
        <w:gridCol w:w="1383"/>
        <w:gridCol w:w="6655"/>
      </w:tblGrid>
      <w:tr w:rsidR="00FC285C" w:rsidRPr="00A21D7D" w14:paraId="38F6582C" w14:textId="77777777" w:rsidTr="00F541AA">
        <w:tc>
          <w:tcPr>
            <w:tcW w:w="0" w:type="auto"/>
          </w:tcPr>
          <w:p w14:paraId="3D9A9737" w14:textId="77777777" w:rsidR="00FC285C" w:rsidRPr="00A21D7D" w:rsidRDefault="00FC285C" w:rsidP="00EB1859">
            <w:pPr>
              <w:pStyle w:val="TableTextHeading"/>
              <w:rPr>
                <w:i/>
              </w:rPr>
            </w:pPr>
            <w:r w:rsidRPr="00A21D7D">
              <w:t>Term</w:t>
            </w:r>
          </w:p>
        </w:tc>
        <w:tc>
          <w:tcPr>
            <w:tcW w:w="6655" w:type="dxa"/>
          </w:tcPr>
          <w:p w14:paraId="6EA7DDD6" w14:textId="77777777" w:rsidR="00FC285C" w:rsidRPr="00A21D7D" w:rsidRDefault="00FC285C" w:rsidP="00EB1859">
            <w:pPr>
              <w:pStyle w:val="TableTextHeading"/>
              <w:rPr>
                <w:i/>
              </w:rPr>
            </w:pPr>
            <w:r w:rsidRPr="00A21D7D">
              <w:t>Description</w:t>
            </w:r>
          </w:p>
        </w:tc>
      </w:tr>
      <w:tr w:rsidR="00FC285C" w:rsidRPr="00A21D7D" w14:paraId="1A054E9C" w14:textId="77777777" w:rsidTr="00F541AA">
        <w:tc>
          <w:tcPr>
            <w:tcW w:w="0" w:type="auto"/>
          </w:tcPr>
          <w:p w14:paraId="5DA16C85" w14:textId="77777777" w:rsidR="00FC285C" w:rsidRPr="00A21D7D" w:rsidRDefault="00FC285C" w:rsidP="00EB1859">
            <w:pPr>
              <w:pStyle w:val="TableTextBody"/>
            </w:pPr>
            <w:r>
              <w:t xml:space="preserve">ADA, AD Act </w:t>
            </w:r>
          </w:p>
        </w:tc>
        <w:tc>
          <w:tcPr>
            <w:tcW w:w="6655" w:type="dxa"/>
          </w:tcPr>
          <w:p w14:paraId="14CD10AC" w14:textId="77777777" w:rsidR="00FC285C" w:rsidRPr="00A21D7D" w:rsidRDefault="00FC285C" w:rsidP="00EB1859">
            <w:pPr>
              <w:pStyle w:val="TableTextBody"/>
            </w:pPr>
            <w:r w:rsidRPr="00A94869">
              <w:t xml:space="preserve">Anti-Discrimination Act 1991 </w:t>
            </w:r>
            <w:r>
              <w:t>(Qld)</w:t>
            </w:r>
          </w:p>
        </w:tc>
      </w:tr>
      <w:tr w:rsidR="00FC285C" w:rsidRPr="00A21D7D" w14:paraId="444D49FA" w14:textId="77777777" w:rsidTr="00F541AA">
        <w:tc>
          <w:tcPr>
            <w:tcW w:w="0" w:type="auto"/>
          </w:tcPr>
          <w:p w14:paraId="58A56C05" w14:textId="77777777" w:rsidR="00FC285C" w:rsidRPr="00A21D7D" w:rsidRDefault="00FC285C" w:rsidP="00EB1859">
            <w:pPr>
              <w:pStyle w:val="TableTextBody"/>
              <w:rPr>
                <w:i/>
              </w:rPr>
            </w:pPr>
            <w:r w:rsidRPr="00A21D7D">
              <w:t>Commission</w:t>
            </w:r>
          </w:p>
        </w:tc>
        <w:tc>
          <w:tcPr>
            <w:tcW w:w="6655" w:type="dxa"/>
          </w:tcPr>
          <w:p w14:paraId="5D2DE23E" w14:textId="77777777" w:rsidR="00FC285C" w:rsidRPr="00A21D7D" w:rsidRDefault="00FC285C" w:rsidP="00EB1859">
            <w:pPr>
              <w:pStyle w:val="TableTextBody"/>
              <w:rPr>
                <w:i/>
              </w:rPr>
            </w:pPr>
            <w:r w:rsidRPr="00A21D7D">
              <w:t xml:space="preserve">Queensland Human Rights Commission </w:t>
            </w:r>
          </w:p>
        </w:tc>
      </w:tr>
      <w:tr w:rsidR="00FC285C" w:rsidRPr="00A21D7D" w14:paraId="4643AAD8" w14:textId="77777777" w:rsidTr="00F541AA">
        <w:tc>
          <w:tcPr>
            <w:tcW w:w="0" w:type="auto"/>
          </w:tcPr>
          <w:p w14:paraId="641BD369" w14:textId="77777777" w:rsidR="00FC285C" w:rsidRPr="00A21D7D" w:rsidRDefault="00FC285C" w:rsidP="00EB1859">
            <w:pPr>
              <w:pStyle w:val="TableTextBody"/>
              <w:rPr>
                <w:i/>
              </w:rPr>
            </w:pPr>
            <w:r>
              <w:t>ELT</w:t>
            </w:r>
          </w:p>
        </w:tc>
        <w:tc>
          <w:tcPr>
            <w:tcW w:w="6655" w:type="dxa"/>
          </w:tcPr>
          <w:p w14:paraId="1A8A49F3" w14:textId="77777777" w:rsidR="00FC285C" w:rsidRPr="00A21D7D" w:rsidRDefault="00FC285C" w:rsidP="00EB1859">
            <w:pPr>
              <w:pStyle w:val="TableTextBody"/>
              <w:rPr>
                <w:i/>
              </w:rPr>
            </w:pPr>
            <w:r w:rsidRPr="00A21D7D">
              <w:t>The Executive Leadership Team</w:t>
            </w:r>
            <w:r>
              <w:t xml:space="preserve"> (ELT) </w:t>
            </w:r>
            <w:r w:rsidRPr="00A21D7D">
              <w:t>is one of the key strategic advisory bodies of the QHRC. It supports the Commissioner in providing the strategic direction as part of the overall corporate governance framework and oversees the Commission’s strategic performance.</w:t>
            </w:r>
          </w:p>
        </w:tc>
      </w:tr>
      <w:tr w:rsidR="00FC285C" w:rsidRPr="00A21D7D" w14:paraId="21EB0745" w14:textId="77777777" w:rsidTr="00F541AA">
        <w:tc>
          <w:tcPr>
            <w:tcW w:w="0" w:type="auto"/>
          </w:tcPr>
          <w:p w14:paraId="2CFE09D2" w14:textId="77777777" w:rsidR="00FC285C" w:rsidRPr="00A21D7D" w:rsidDel="007A0A4C" w:rsidRDefault="00FC285C" w:rsidP="00EB1859">
            <w:pPr>
              <w:pStyle w:val="TableTextBody"/>
            </w:pPr>
            <w:r>
              <w:t xml:space="preserve">HRA, HR Act </w:t>
            </w:r>
          </w:p>
        </w:tc>
        <w:tc>
          <w:tcPr>
            <w:tcW w:w="6655" w:type="dxa"/>
          </w:tcPr>
          <w:p w14:paraId="28CB7F9A" w14:textId="77777777" w:rsidR="00FC285C" w:rsidRPr="00A21D7D" w:rsidRDefault="00FC285C" w:rsidP="00EB1859">
            <w:pPr>
              <w:pStyle w:val="TableTextBody"/>
            </w:pPr>
            <w:r w:rsidRPr="00A94869">
              <w:t xml:space="preserve">Human Rights Act 2019 </w:t>
            </w:r>
            <w:r>
              <w:t xml:space="preserve">(Qld) </w:t>
            </w:r>
          </w:p>
        </w:tc>
      </w:tr>
      <w:tr w:rsidR="00FC285C" w:rsidRPr="00A21D7D" w14:paraId="43B0CDC6" w14:textId="77777777" w:rsidTr="00F541AA">
        <w:tc>
          <w:tcPr>
            <w:tcW w:w="0" w:type="auto"/>
          </w:tcPr>
          <w:p w14:paraId="5082B11D" w14:textId="77777777" w:rsidR="00FC285C" w:rsidRPr="00A21D7D" w:rsidRDefault="00FC285C" w:rsidP="00EB1859">
            <w:pPr>
              <w:pStyle w:val="TableTextBody"/>
              <w:rPr>
                <w:i/>
              </w:rPr>
            </w:pPr>
            <w:r>
              <w:t>LG</w:t>
            </w:r>
          </w:p>
        </w:tc>
        <w:tc>
          <w:tcPr>
            <w:tcW w:w="6655" w:type="dxa"/>
          </w:tcPr>
          <w:p w14:paraId="40D19794" w14:textId="77777777" w:rsidR="00FC285C" w:rsidRPr="00A21D7D" w:rsidRDefault="00FC285C" w:rsidP="00EB1859">
            <w:pPr>
              <w:pStyle w:val="TableTextBody"/>
              <w:rPr>
                <w:i/>
              </w:rPr>
            </w:pPr>
            <w:r w:rsidRPr="00A21D7D">
              <w:t xml:space="preserve">The Leadership Group </w:t>
            </w:r>
            <w:r>
              <w:t xml:space="preserve">(LG) </w:t>
            </w:r>
            <w:r w:rsidRPr="00A21D7D">
              <w:t>is a sub-committee of the Executive Leadership Team (ELT). It supports the Commissioner by ensuring that operational activity aligns with the strategic direction of the QHRC as set by the ELT.</w:t>
            </w:r>
          </w:p>
        </w:tc>
      </w:tr>
      <w:tr w:rsidR="00FC285C" w:rsidRPr="00A21D7D" w14:paraId="4E8CA855" w14:textId="77777777" w:rsidTr="00F541AA">
        <w:tc>
          <w:tcPr>
            <w:tcW w:w="0" w:type="auto"/>
          </w:tcPr>
          <w:p w14:paraId="70D309EE" w14:textId="77777777" w:rsidR="00FC285C" w:rsidRPr="00A21D7D" w:rsidDel="007A0A4C" w:rsidRDefault="00FC285C" w:rsidP="00EB1859">
            <w:pPr>
              <w:pStyle w:val="TableTextBody"/>
            </w:pPr>
            <w:r>
              <w:t xml:space="preserve">PID Act </w:t>
            </w:r>
          </w:p>
        </w:tc>
        <w:tc>
          <w:tcPr>
            <w:tcW w:w="6655" w:type="dxa"/>
          </w:tcPr>
          <w:p w14:paraId="6B30E9F7" w14:textId="77777777" w:rsidR="00FC285C" w:rsidRPr="00A21D7D" w:rsidRDefault="00FC285C" w:rsidP="00EB1859">
            <w:pPr>
              <w:pStyle w:val="TableTextBody"/>
            </w:pPr>
            <w:r w:rsidRPr="00A94869">
              <w:t>Public Interest Disclosure Act 2010</w:t>
            </w:r>
            <w:r>
              <w:t xml:space="preserve"> (Qld)</w:t>
            </w:r>
          </w:p>
        </w:tc>
      </w:tr>
      <w:tr w:rsidR="00FC285C" w:rsidRPr="00A21D7D" w14:paraId="07C8288A" w14:textId="77777777" w:rsidTr="00F541AA">
        <w:tc>
          <w:tcPr>
            <w:tcW w:w="0" w:type="auto"/>
          </w:tcPr>
          <w:p w14:paraId="0522AB9C" w14:textId="77777777" w:rsidR="00FC285C" w:rsidRPr="00A21D7D" w:rsidRDefault="00FC285C" w:rsidP="00EB1859">
            <w:pPr>
              <w:pStyle w:val="TableTextBody"/>
              <w:rPr>
                <w:i/>
              </w:rPr>
            </w:pPr>
            <w:r w:rsidRPr="00A21D7D">
              <w:t>QCAT</w:t>
            </w:r>
          </w:p>
        </w:tc>
        <w:tc>
          <w:tcPr>
            <w:tcW w:w="6655" w:type="dxa"/>
          </w:tcPr>
          <w:p w14:paraId="1E1E3446" w14:textId="77777777" w:rsidR="00FC285C" w:rsidRPr="00A21D7D" w:rsidRDefault="00FC285C" w:rsidP="00EB1859">
            <w:pPr>
              <w:pStyle w:val="TableTextBody"/>
              <w:rPr>
                <w:i/>
              </w:rPr>
            </w:pPr>
            <w:r w:rsidRPr="00A21D7D">
              <w:t>Queensland Civil and Administrative Tribunal</w:t>
            </w:r>
          </w:p>
        </w:tc>
      </w:tr>
      <w:tr w:rsidR="00FC285C" w:rsidRPr="00A21D7D" w14:paraId="48BCF942" w14:textId="77777777" w:rsidTr="00F541AA">
        <w:tc>
          <w:tcPr>
            <w:tcW w:w="0" w:type="auto"/>
          </w:tcPr>
          <w:p w14:paraId="24C7F812" w14:textId="77777777" w:rsidR="00FC285C" w:rsidRPr="00A21D7D" w:rsidRDefault="00FC285C" w:rsidP="00EB1859">
            <w:pPr>
              <w:pStyle w:val="TableTextBody"/>
            </w:pPr>
            <w:r w:rsidRPr="00A21D7D">
              <w:t>QHRC</w:t>
            </w:r>
          </w:p>
        </w:tc>
        <w:tc>
          <w:tcPr>
            <w:tcW w:w="6655" w:type="dxa"/>
          </w:tcPr>
          <w:p w14:paraId="26849E63" w14:textId="77777777" w:rsidR="00FC285C" w:rsidRPr="00A21D7D" w:rsidRDefault="00FC285C" w:rsidP="00EB1859">
            <w:pPr>
              <w:pStyle w:val="TableTextBody"/>
            </w:pPr>
            <w:r w:rsidRPr="00A21D7D">
              <w:t xml:space="preserve">Queensland Human Rights Commission (formerly Anti-Discrimination Commission Queensland) </w:t>
            </w:r>
          </w:p>
        </w:tc>
      </w:tr>
      <w:tr w:rsidR="00FC285C" w:rsidRPr="00A21D7D" w14:paraId="331E3B5F" w14:textId="77777777" w:rsidTr="00F541AA">
        <w:tc>
          <w:tcPr>
            <w:tcW w:w="0" w:type="auto"/>
          </w:tcPr>
          <w:p w14:paraId="14B322C9" w14:textId="77777777" w:rsidR="00FC285C" w:rsidRPr="00A21D7D" w:rsidRDefault="00FC285C" w:rsidP="00EB1859">
            <w:pPr>
              <w:pStyle w:val="TableTextBody"/>
              <w:rPr>
                <w:i/>
              </w:rPr>
            </w:pPr>
            <w:r w:rsidRPr="00A21D7D">
              <w:t>QIRC</w:t>
            </w:r>
          </w:p>
        </w:tc>
        <w:tc>
          <w:tcPr>
            <w:tcW w:w="6655" w:type="dxa"/>
          </w:tcPr>
          <w:p w14:paraId="374A2946" w14:textId="77777777" w:rsidR="00FC285C" w:rsidRPr="00A21D7D" w:rsidRDefault="00FC285C" w:rsidP="00EB1859">
            <w:pPr>
              <w:pStyle w:val="TableTextBody"/>
              <w:rPr>
                <w:i/>
              </w:rPr>
            </w:pPr>
            <w:r w:rsidRPr="00A21D7D">
              <w:t>Queensland Industrial Relations Commission</w:t>
            </w:r>
          </w:p>
        </w:tc>
      </w:tr>
    </w:tbl>
    <w:p w14:paraId="29D8764B" w14:textId="77777777" w:rsidR="00FC285C" w:rsidRPr="004B1307" w:rsidRDefault="00FC285C" w:rsidP="00EB1859">
      <w:pPr>
        <w:rPr>
          <w:lang w:val="en-GB"/>
        </w:rPr>
      </w:pPr>
    </w:p>
    <w:p w14:paraId="4AB58E14" w14:textId="59D92D9A" w:rsidR="00FC285C" w:rsidRDefault="00FC285C" w:rsidP="00EB1859">
      <w:r>
        <w:br w:type="page"/>
      </w:r>
    </w:p>
    <w:p w14:paraId="69FE542C" w14:textId="77777777" w:rsidR="00FC285C" w:rsidRDefault="00FC285C" w:rsidP="00A97969">
      <w:pPr>
        <w:pStyle w:val="Heading1"/>
      </w:pPr>
      <w:bookmarkStart w:id="306" w:name="_Toc143678750"/>
      <w:bookmarkStart w:id="307" w:name="_Toc144200530"/>
      <w:r>
        <w:lastRenderedPageBreak/>
        <w:t xml:space="preserve">Appendix D: Our </w:t>
      </w:r>
      <w:r w:rsidRPr="00FC285C">
        <w:t>functions</w:t>
      </w:r>
      <w:bookmarkEnd w:id="306"/>
      <w:bookmarkEnd w:id="307"/>
      <w:r>
        <w:t xml:space="preserve"> </w:t>
      </w:r>
    </w:p>
    <w:p w14:paraId="5CF0009D" w14:textId="77777777" w:rsidR="00FC285C" w:rsidRDefault="00FC285C" w:rsidP="00EB1859">
      <w:r>
        <w:t xml:space="preserve">We have legislated functions under the </w:t>
      </w:r>
      <w:r>
        <w:rPr>
          <w:i/>
        </w:rPr>
        <w:t xml:space="preserve">Anti-Discrimination Act 1991 </w:t>
      </w:r>
      <w:r>
        <w:t>and</w:t>
      </w:r>
      <w:r>
        <w:rPr>
          <w:i/>
        </w:rPr>
        <w:t xml:space="preserve"> Human Rights Act 2019. </w:t>
      </w:r>
      <w:r>
        <w:t>Our primary functions under each Act are</w:t>
      </w:r>
      <w:r>
        <w:rPr>
          <w:i/>
        </w:rPr>
        <w:t xml:space="preserve"> </w:t>
      </w:r>
      <w:r>
        <w:t>as follows</w:t>
      </w:r>
      <w:r>
        <w:rPr>
          <w:i/>
        </w:rPr>
        <w:t>.</w:t>
      </w:r>
      <w:r>
        <w:t xml:space="preserve">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252"/>
      </w:tblGrid>
      <w:tr w:rsidR="00FC285C" w14:paraId="7ABFFDFE" w14:textId="77777777" w:rsidTr="00FC285C">
        <w:tc>
          <w:tcPr>
            <w:tcW w:w="4248" w:type="dxa"/>
            <w:tcBorders>
              <w:top w:val="dotted" w:sz="4" w:space="0" w:color="auto"/>
              <w:left w:val="dotted" w:sz="4" w:space="0" w:color="auto"/>
              <w:bottom w:val="dotted" w:sz="4" w:space="0" w:color="auto"/>
              <w:right w:val="dotted" w:sz="4" w:space="0" w:color="auto"/>
            </w:tcBorders>
            <w:hideMark/>
          </w:tcPr>
          <w:p w14:paraId="7E545EB3" w14:textId="77777777" w:rsidR="00FC285C" w:rsidRDefault="00FC285C" w:rsidP="00EB1859">
            <w:pPr>
              <w:pStyle w:val="TableTextHeading"/>
            </w:pPr>
            <w:r>
              <w:t>Anti-Discrimination Act 1991</w:t>
            </w:r>
          </w:p>
        </w:tc>
        <w:tc>
          <w:tcPr>
            <w:tcW w:w="4252" w:type="dxa"/>
            <w:tcBorders>
              <w:top w:val="dotted" w:sz="4" w:space="0" w:color="auto"/>
              <w:left w:val="dotted" w:sz="4" w:space="0" w:color="auto"/>
              <w:bottom w:val="dotted" w:sz="4" w:space="0" w:color="auto"/>
              <w:right w:val="dotted" w:sz="4" w:space="0" w:color="auto"/>
            </w:tcBorders>
            <w:hideMark/>
          </w:tcPr>
          <w:p w14:paraId="05C1E6CD" w14:textId="77777777" w:rsidR="00FC285C" w:rsidRDefault="00FC285C" w:rsidP="00EB1859">
            <w:pPr>
              <w:pStyle w:val="TableTextHeading"/>
            </w:pPr>
            <w:r>
              <w:t>Human Rights Act 2019</w:t>
            </w:r>
          </w:p>
        </w:tc>
      </w:tr>
      <w:tr w:rsidR="00FC285C" w14:paraId="5094E04C" w14:textId="77777777" w:rsidTr="00FC285C">
        <w:tc>
          <w:tcPr>
            <w:tcW w:w="4248" w:type="dxa"/>
            <w:tcBorders>
              <w:top w:val="dotted" w:sz="4" w:space="0" w:color="auto"/>
              <w:left w:val="dotted" w:sz="4" w:space="0" w:color="auto"/>
              <w:bottom w:val="dotted" w:sz="4" w:space="0" w:color="auto"/>
              <w:right w:val="dotted" w:sz="4" w:space="0" w:color="auto"/>
            </w:tcBorders>
            <w:hideMark/>
          </w:tcPr>
          <w:p w14:paraId="327FE9F7" w14:textId="77777777" w:rsidR="00FC285C" w:rsidRDefault="00FC285C" w:rsidP="00EB1859">
            <w:pPr>
              <w:pStyle w:val="TableTextBody"/>
            </w:pPr>
            <w:r>
              <w:t xml:space="preserve">Inquire into complaints and, where possible, to effect conciliation and carry out investigations relating to contraventions of the Act. </w:t>
            </w:r>
          </w:p>
        </w:tc>
        <w:tc>
          <w:tcPr>
            <w:tcW w:w="4252" w:type="dxa"/>
            <w:tcBorders>
              <w:top w:val="dotted" w:sz="4" w:space="0" w:color="auto"/>
              <w:left w:val="dotted" w:sz="4" w:space="0" w:color="auto"/>
              <w:bottom w:val="dotted" w:sz="4" w:space="0" w:color="auto"/>
              <w:right w:val="dotted" w:sz="4" w:space="0" w:color="auto"/>
            </w:tcBorders>
            <w:hideMark/>
          </w:tcPr>
          <w:p w14:paraId="703F89C3" w14:textId="77777777" w:rsidR="00FC285C" w:rsidRDefault="00FC285C" w:rsidP="00EB1859">
            <w:pPr>
              <w:pStyle w:val="TableTextBody"/>
            </w:pPr>
            <w:r>
              <w:t>Deal with human rights complaints.</w:t>
            </w:r>
          </w:p>
        </w:tc>
      </w:tr>
      <w:tr w:rsidR="00FC285C" w14:paraId="6A3E8555" w14:textId="77777777" w:rsidTr="00FC285C">
        <w:tc>
          <w:tcPr>
            <w:tcW w:w="4248" w:type="dxa"/>
            <w:tcBorders>
              <w:top w:val="dotted" w:sz="4" w:space="0" w:color="auto"/>
              <w:left w:val="dotted" w:sz="4" w:space="0" w:color="auto"/>
              <w:bottom w:val="dotted" w:sz="4" w:space="0" w:color="auto"/>
              <w:right w:val="dotted" w:sz="4" w:space="0" w:color="auto"/>
            </w:tcBorders>
            <w:hideMark/>
          </w:tcPr>
          <w:p w14:paraId="7A6D9128" w14:textId="77777777" w:rsidR="00FC285C" w:rsidRDefault="00FC285C" w:rsidP="00EB1859">
            <w:pPr>
              <w:pStyle w:val="TableTextBody"/>
            </w:pPr>
            <w:r>
              <w:t>Undertake research and educational programs to promote the purposes of the Act, and to coordinate programs undertaken by other people or authorities on behalf of the State.</w:t>
            </w:r>
          </w:p>
        </w:tc>
        <w:tc>
          <w:tcPr>
            <w:tcW w:w="4252" w:type="dxa"/>
            <w:tcBorders>
              <w:top w:val="dotted" w:sz="4" w:space="0" w:color="auto"/>
              <w:left w:val="dotted" w:sz="4" w:space="0" w:color="auto"/>
              <w:bottom w:val="dotted" w:sz="4" w:space="0" w:color="auto"/>
              <w:right w:val="dotted" w:sz="4" w:space="0" w:color="auto"/>
            </w:tcBorders>
            <w:hideMark/>
          </w:tcPr>
          <w:p w14:paraId="5866ABA8" w14:textId="77777777" w:rsidR="00FC285C" w:rsidRDefault="00FC285C" w:rsidP="00EB1859">
            <w:pPr>
              <w:pStyle w:val="TableTextBody"/>
            </w:pPr>
            <w:r>
              <w:t>Provide education about human rights and this Act.</w:t>
            </w:r>
          </w:p>
          <w:p w14:paraId="75D43D3F" w14:textId="77777777" w:rsidR="00FC285C" w:rsidRDefault="00FC285C" w:rsidP="00EB1859">
            <w:pPr>
              <w:pStyle w:val="TableTextBody"/>
            </w:pPr>
            <w:r>
              <w:t>Make information about human rights available to the community.</w:t>
            </w:r>
          </w:p>
        </w:tc>
      </w:tr>
      <w:tr w:rsidR="00FC285C" w14:paraId="31B741D1" w14:textId="77777777" w:rsidTr="00FC285C">
        <w:tc>
          <w:tcPr>
            <w:tcW w:w="4248" w:type="dxa"/>
            <w:tcBorders>
              <w:top w:val="dotted" w:sz="4" w:space="0" w:color="auto"/>
              <w:left w:val="dotted" w:sz="4" w:space="0" w:color="auto"/>
              <w:bottom w:val="dotted" w:sz="4" w:space="0" w:color="auto"/>
              <w:right w:val="dotted" w:sz="4" w:space="0" w:color="auto"/>
            </w:tcBorders>
            <w:hideMark/>
          </w:tcPr>
          <w:p w14:paraId="7B8DF9FF" w14:textId="77777777" w:rsidR="00FC285C" w:rsidRDefault="00FC285C" w:rsidP="00EB1859">
            <w:pPr>
              <w:pStyle w:val="TableTextBody"/>
            </w:pPr>
            <w:r>
              <w:t>Consult with various organisations to ascertain means of improving services and conditions affecting groups that are subjected to contraventions of the Act.</w:t>
            </w:r>
          </w:p>
        </w:tc>
        <w:tc>
          <w:tcPr>
            <w:tcW w:w="4252" w:type="dxa"/>
            <w:tcBorders>
              <w:top w:val="dotted" w:sz="4" w:space="0" w:color="auto"/>
              <w:left w:val="dotted" w:sz="4" w:space="0" w:color="auto"/>
              <w:bottom w:val="dotted" w:sz="4" w:space="0" w:color="auto"/>
              <w:right w:val="dotted" w:sz="4" w:space="0" w:color="auto"/>
            </w:tcBorders>
            <w:hideMark/>
          </w:tcPr>
          <w:p w14:paraId="10BCAFF7" w14:textId="77777777" w:rsidR="00FC285C" w:rsidRDefault="00FC285C" w:rsidP="00EB1859">
            <w:pPr>
              <w:pStyle w:val="TableTextBody"/>
            </w:pPr>
            <w:r>
              <w:t>Review public entities’ policies, programs, procedures, practices and services in relation to their compatibility with human rights.</w:t>
            </w:r>
          </w:p>
        </w:tc>
      </w:tr>
      <w:tr w:rsidR="00FC285C" w14:paraId="3506FFED" w14:textId="77777777" w:rsidTr="00FC285C">
        <w:tc>
          <w:tcPr>
            <w:tcW w:w="4248" w:type="dxa"/>
            <w:tcBorders>
              <w:top w:val="dotted" w:sz="4" w:space="0" w:color="auto"/>
              <w:left w:val="dotted" w:sz="4" w:space="0" w:color="auto"/>
              <w:bottom w:val="dotted" w:sz="4" w:space="0" w:color="auto"/>
              <w:right w:val="dotted" w:sz="4" w:space="0" w:color="auto"/>
            </w:tcBorders>
            <w:hideMark/>
          </w:tcPr>
          <w:p w14:paraId="5E64B369" w14:textId="77777777" w:rsidR="00FC285C" w:rsidRDefault="00FC285C" w:rsidP="00EB1859">
            <w:pPr>
              <w:pStyle w:val="TableTextBody"/>
            </w:pPr>
            <w:r>
              <w:t>Examine Acts and, when requested by the Minister, proposed Acts, to determine whether they are, or would be, inconsistent with the purposes of the Act, and to report to the Minister the results of the examination.</w:t>
            </w:r>
          </w:p>
        </w:tc>
        <w:tc>
          <w:tcPr>
            <w:tcW w:w="4252" w:type="dxa"/>
            <w:tcBorders>
              <w:top w:val="dotted" w:sz="4" w:space="0" w:color="auto"/>
              <w:left w:val="dotted" w:sz="4" w:space="0" w:color="auto"/>
              <w:bottom w:val="dotted" w:sz="4" w:space="0" w:color="auto"/>
              <w:right w:val="dotted" w:sz="4" w:space="0" w:color="auto"/>
            </w:tcBorders>
            <w:hideMark/>
          </w:tcPr>
          <w:p w14:paraId="58439DBB" w14:textId="77777777" w:rsidR="00FC285C" w:rsidRDefault="00FC285C" w:rsidP="00EB1859">
            <w:pPr>
              <w:pStyle w:val="TableTextBody"/>
            </w:pPr>
            <w:r>
              <w:t>If asked by the Attorney-General, to review the effect of Acts, statutory instruments and the common law on human rights and give the Attorney-General a written report about the outcome of the review.</w:t>
            </w:r>
          </w:p>
        </w:tc>
      </w:tr>
      <w:tr w:rsidR="00FC285C" w14:paraId="6379461F" w14:textId="77777777" w:rsidTr="00FC285C">
        <w:tc>
          <w:tcPr>
            <w:tcW w:w="4248" w:type="dxa"/>
            <w:tcBorders>
              <w:top w:val="dotted" w:sz="4" w:space="0" w:color="auto"/>
              <w:left w:val="dotted" w:sz="4" w:space="0" w:color="auto"/>
              <w:bottom w:val="dotted" w:sz="4" w:space="0" w:color="auto"/>
              <w:right w:val="dotted" w:sz="4" w:space="0" w:color="auto"/>
            </w:tcBorders>
            <w:hideMark/>
          </w:tcPr>
          <w:p w14:paraId="6894FDA3" w14:textId="77777777" w:rsidR="00FC285C" w:rsidRDefault="00FC285C" w:rsidP="00EB1859">
            <w:pPr>
              <w:pStyle w:val="TableTextBody"/>
            </w:pPr>
            <w:r>
              <w:t>When requested by the Minister, to research and develop additional grounds of discrimination and to make recommendations for the inclusion of such grounds in the Act.</w:t>
            </w:r>
          </w:p>
        </w:tc>
        <w:tc>
          <w:tcPr>
            <w:tcW w:w="4252" w:type="dxa"/>
            <w:tcBorders>
              <w:top w:val="dotted" w:sz="4" w:space="0" w:color="auto"/>
              <w:left w:val="dotted" w:sz="4" w:space="0" w:color="auto"/>
              <w:bottom w:val="dotted" w:sz="4" w:space="0" w:color="auto"/>
              <w:right w:val="dotted" w:sz="4" w:space="0" w:color="auto"/>
            </w:tcBorders>
            <w:hideMark/>
          </w:tcPr>
          <w:p w14:paraId="36D34E8D" w14:textId="77777777" w:rsidR="00FC285C" w:rsidRDefault="00FC285C" w:rsidP="00EB1859">
            <w:pPr>
              <w:pStyle w:val="TableTextBody"/>
            </w:pPr>
            <w:r>
              <w:t>Assist the Attorney-General in reviews of this Act under sections 95 and 96.</w:t>
            </w:r>
          </w:p>
        </w:tc>
      </w:tr>
      <w:tr w:rsidR="00FC285C" w14:paraId="6AC19879" w14:textId="77777777" w:rsidTr="00FC285C">
        <w:tc>
          <w:tcPr>
            <w:tcW w:w="4248" w:type="dxa"/>
            <w:tcBorders>
              <w:top w:val="dotted" w:sz="4" w:space="0" w:color="auto"/>
              <w:left w:val="dotted" w:sz="4" w:space="0" w:color="auto"/>
              <w:bottom w:val="dotted" w:sz="4" w:space="0" w:color="auto"/>
              <w:right w:val="dotted" w:sz="4" w:space="0" w:color="auto"/>
            </w:tcBorders>
            <w:hideMark/>
          </w:tcPr>
          <w:p w14:paraId="3E83F75E" w14:textId="77777777" w:rsidR="00FC285C" w:rsidRDefault="00FC285C" w:rsidP="00EB1859">
            <w:pPr>
              <w:pStyle w:val="TableTextBody"/>
            </w:pPr>
            <w:r>
              <w:t>If the commission considers it appropriate to do so—to intervene in a proceeding that involves human rights issues with the leave of the court hearing the proceeding and subject to any conditions imposed by the court.</w:t>
            </w:r>
          </w:p>
        </w:tc>
        <w:tc>
          <w:tcPr>
            <w:tcW w:w="4252" w:type="dxa"/>
            <w:tcBorders>
              <w:top w:val="dotted" w:sz="4" w:space="0" w:color="auto"/>
              <w:left w:val="dotted" w:sz="4" w:space="0" w:color="auto"/>
              <w:bottom w:val="dotted" w:sz="4" w:space="0" w:color="auto"/>
              <w:right w:val="dotted" w:sz="4" w:space="0" w:color="auto"/>
            </w:tcBorders>
          </w:tcPr>
          <w:p w14:paraId="67B59E66" w14:textId="77777777" w:rsidR="00FC285C" w:rsidRDefault="00FC285C" w:rsidP="00EB1859">
            <w:pPr>
              <w:pStyle w:val="TableTextBody"/>
            </w:pPr>
            <w:r>
              <w:t>Advise the Attorney-General about matters relevant to the operation of this Act.</w:t>
            </w:r>
          </w:p>
          <w:p w14:paraId="3D8A934F" w14:textId="77777777" w:rsidR="00FC285C" w:rsidRDefault="00FC285C" w:rsidP="00EB1859">
            <w:pPr>
              <w:pStyle w:val="TableTextBody"/>
              <w:rPr>
                <w:sz w:val="24"/>
              </w:rPr>
            </w:pPr>
            <w:r>
              <w:t xml:space="preserve">Intervene in and be joined as a party to a proceeding before a court or tribunal in which a question of law arises that relates to the application of this Act; or a question arises in relation to the interpretation of a statutory provision in accordance with this act. </w:t>
            </w:r>
          </w:p>
          <w:p w14:paraId="084218E4" w14:textId="77777777" w:rsidR="00FC285C" w:rsidRDefault="00FC285C" w:rsidP="00EB1859">
            <w:pPr>
              <w:pStyle w:val="TableTextBody"/>
            </w:pPr>
          </w:p>
        </w:tc>
      </w:tr>
      <w:tr w:rsidR="00FC285C" w14:paraId="3BF724F2" w14:textId="77777777" w:rsidTr="00FC285C">
        <w:tc>
          <w:tcPr>
            <w:tcW w:w="8500" w:type="dxa"/>
            <w:gridSpan w:val="2"/>
            <w:tcBorders>
              <w:top w:val="dotted" w:sz="4" w:space="0" w:color="auto"/>
              <w:left w:val="dotted" w:sz="4" w:space="0" w:color="auto"/>
              <w:bottom w:val="dotted" w:sz="4" w:space="0" w:color="auto"/>
              <w:right w:val="dotted" w:sz="4" w:space="0" w:color="auto"/>
            </w:tcBorders>
            <w:hideMark/>
          </w:tcPr>
          <w:p w14:paraId="20035C42" w14:textId="77777777" w:rsidR="00FC285C" w:rsidRDefault="00FC285C" w:rsidP="00EB1859">
            <w:pPr>
              <w:pStyle w:val="TableTextBody"/>
            </w:pPr>
            <w:r>
              <w:t>Promote an understanding and acceptance, and the public discussion, of human rights in Queensland.</w:t>
            </w:r>
          </w:p>
        </w:tc>
      </w:tr>
    </w:tbl>
    <w:p w14:paraId="13513102" w14:textId="77777777" w:rsidR="00FC285C" w:rsidRDefault="00FC285C" w:rsidP="00EB1859">
      <w:pPr>
        <w:rPr>
          <w:lang w:eastAsia="en-US"/>
        </w:rPr>
      </w:pPr>
      <w:r>
        <w:t xml:space="preserve"> </w:t>
      </w:r>
    </w:p>
    <w:p w14:paraId="7BB74A01" w14:textId="71F1ADF2" w:rsidR="00FC285C" w:rsidRDefault="00FC285C" w:rsidP="00EB1859">
      <w:r>
        <w:br w:type="page"/>
      </w:r>
    </w:p>
    <w:p w14:paraId="629FA127" w14:textId="77777777" w:rsidR="00FC285C" w:rsidRDefault="00FC285C" w:rsidP="00A97969">
      <w:pPr>
        <w:pStyle w:val="Heading1"/>
      </w:pPr>
      <w:bookmarkStart w:id="308" w:name="_Toc143678751"/>
      <w:bookmarkStart w:id="309" w:name="_Toc144200531"/>
      <w:r>
        <w:lastRenderedPageBreak/>
        <w:softHyphen/>
      </w:r>
      <w:r>
        <w:softHyphen/>
      </w:r>
      <w:r>
        <w:softHyphen/>
      </w:r>
      <w:r>
        <w:softHyphen/>
        <w:t>Appendix E: Our organisational structure</w:t>
      </w:r>
      <w:bookmarkEnd w:id="308"/>
      <w:bookmarkEnd w:id="309"/>
    </w:p>
    <w:p w14:paraId="20F64CC1" w14:textId="77777777" w:rsidR="00FC285C" w:rsidRDefault="00FC285C" w:rsidP="00EB1859">
      <w:r>
        <w:rPr>
          <w:noProof/>
        </w:rPr>
        <mc:AlternateContent>
          <mc:Choice Requires="wpg">
            <w:drawing>
              <wp:anchor distT="0" distB="0" distL="114300" distR="114300" simplePos="0" relativeHeight="251663360" behindDoc="0" locked="0" layoutInCell="1" allowOverlap="1" wp14:anchorId="6EE87AD2" wp14:editId="7961122E">
                <wp:simplePos x="0" y="0"/>
                <wp:positionH relativeFrom="page">
                  <wp:posOffset>207010</wp:posOffset>
                </wp:positionH>
                <wp:positionV relativeFrom="paragraph">
                  <wp:posOffset>34925</wp:posOffset>
                </wp:positionV>
                <wp:extent cx="7239502" cy="7425690"/>
                <wp:effectExtent l="0" t="0" r="0" b="3810"/>
                <wp:wrapNone/>
                <wp:docPr id="4" name="Group 4"/>
                <wp:cNvGraphicFramePr/>
                <a:graphic xmlns:a="http://schemas.openxmlformats.org/drawingml/2006/main">
                  <a:graphicData uri="http://schemas.microsoft.com/office/word/2010/wordprocessingGroup">
                    <wpg:wgp>
                      <wpg:cNvGrpSpPr/>
                      <wpg:grpSpPr>
                        <a:xfrm>
                          <a:off x="0" y="0"/>
                          <a:ext cx="7239502" cy="7425690"/>
                          <a:chOff x="0" y="0"/>
                          <a:chExt cx="7239502" cy="7425690"/>
                        </a:xfrm>
                      </wpg:grpSpPr>
                      <wpg:grpSp>
                        <wpg:cNvPr id="5" name="Group 5"/>
                        <wpg:cNvGrpSpPr/>
                        <wpg:grpSpPr>
                          <a:xfrm>
                            <a:off x="0" y="0"/>
                            <a:ext cx="6783705" cy="7425690"/>
                            <a:chOff x="-124833" y="-140465"/>
                            <a:chExt cx="6787630" cy="7128343"/>
                          </a:xfrm>
                        </wpg:grpSpPr>
                        <wps:wsp>
                          <wps:cNvPr id="6" name="Text Box 2"/>
                          <wps:cNvSpPr txBox="1">
                            <a:spLocks noChangeArrowheads="1"/>
                          </wps:cNvSpPr>
                          <wps:spPr bwMode="auto">
                            <a:xfrm>
                              <a:off x="2133600" y="-140465"/>
                              <a:ext cx="2876550" cy="421640"/>
                            </a:xfrm>
                            <a:prstGeom prst="rect">
                              <a:avLst/>
                            </a:prstGeom>
                            <a:solidFill>
                              <a:srgbClr val="FFFFFF"/>
                            </a:solidFill>
                            <a:ln w="28575">
                              <a:noFill/>
                              <a:prstDash val="sysDot"/>
                              <a:miter lim="800000"/>
                              <a:headEnd/>
                              <a:tailEnd/>
                            </a:ln>
                          </wps:spPr>
                          <wps:txbx>
                            <w:txbxContent>
                              <w:p w14:paraId="10612347" w14:textId="77777777" w:rsidR="00FC285C" w:rsidRPr="00FC285C" w:rsidRDefault="00FC285C" w:rsidP="00EB1859">
                                <w:pPr>
                                  <w:pStyle w:val="Diagram"/>
                                </w:pPr>
                                <w:r w:rsidRPr="00FC285C">
                                  <w:t>Human Rights Commissioner</w:t>
                                </w:r>
                              </w:p>
                            </w:txbxContent>
                          </wps:txbx>
                          <wps:bodyPr rot="0" vert="horz" wrap="square" lIns="91440" tIns="45720" rIns="91440" bIns="45720" anchor="t" anchorCtr="0">
                            <a:noAutofit/>
                          </wps:bodyPr>
                        </wps:wsp>
                        <wps:wsp>
                          <wps:cNvPr id="7" name="Text Box 7"/>
                          <wps:cNvSpPr txBox="1">
                            <a:spLocks noChangeArrowheads="1"/>
                          </wps:cNvSpPr>
                          <wps:spPr bwMode="auto">
                            <a:xfrm>
                              <a:off x="-37101" y="732739"/>
                              <a:ext cx="1533525" cy="622300"/>
                            </a:xfrm>
                            <a:prstGeom prst="rect">
                              <a:avLst/>
                            </a:prstGeom>
                            <a:solidFill>
                              <a:srgbClr val="FFFFFF"/>
                            </a:solidFill>
                            <a:ln w="28575">
                              <a:noFill/>
                              <a:prstDash val="sysDot"/>
                              <a:miter lim="800000"/>
                              <a:headEnd/>
                              <a:tailEnd/>
                            </a:ln>
                          </wps:spPr>
                          <wps:txbx>
                            <w:txbxContent>
                              <w:p w14:paraId="1A88B3E1" w14:textId="77777777" w:rsidR="00FC285C" w:rsidRPr="00FC285C" w:rsidRDefault="00FC285C" w:rsidP="00EB1859">
                                <w:pPr>
                                  <w:pStyle w:val="Diagram"/>
                                </w:pPr>
                                <w:r w:rsidRPr="00FC285C">
                                  <w:t>Deputy Commissioner</w:t>
                                </w:r>
                              </w:p>
                            </w:txbxContent>
                          </wps:txbx>
                          <wps:bodyPr rot="0" vert="horz" wrap="square" lIns="91440" tIns="45720" rIns="91440" bIns="45720" anchor="t" anchorCtr="0">
                            <a:noAutofit/>
                          </wps:bodyPr>
                        </wps:wsp>
                        <wps:wsp>
                          <wps:cNvPr id="9" name="Text Box 9"/>
                          <wps:cNvSpPr txBox="1">
                            <a:spLocks noChangeArrowheads="1"/>
                          </wps:cNvSpPr>
                          <wps:spPr bwMode="auto">
                            <a:xfrm>
                              <a:off x="1313525" y="727902"/>
                              <a:ext cx="1085850" cy="823595"/>
                            </a:xfrm>
                            <a:prstGeom prst="rect">
                              <a:avLst/>
                            </a:prstGeom>
                            <a:solidFill>
                              <a:srgbClr val="FFFFFF"/>
                            </a:solidFill>
                            <a:ln w="28575">
                              <a:noFill/>
                              <a:prstDash val="sysDot"/>
                              <a:miter lim="800000"/>
                              <a:headEnd/>
                              <a:tailEnd/>
                            </a:ln>
                          </wps:spPr>
                          <wps:txbx>
                            <w:txbxContent>
                              <w:p w14:paraId="2D217BB9" w14:textId="77777777" w:rsidR="00FC285C" w:rsidRPr="00FC285C" w:rsidRDefault="00FC285C" w:rsidP="00EB1859">
                                <w:pPr>
                                  <w:pStyle w:val="Diagram"/>
                                </w:pPr>
                                <w:r w:rsidRPr="00FC285C">
                                  <w:t xml:space="preserve">Director, </w:t>
                                </w:r>
                              </w:p>
                              <w:p w14:paraId="789436CE" w14:textId="77777777" w:rsidR="00FC285C" w:rsidRPr="00FC285C" w:rsidRDefault="00FC285C" w:rsidP="00EB1859">
                                <w:pPr>
                                  <w:pStyle w:val="Diagram"/>
                                </w:pPr>
                                <w:r w:rsidRPr="00FC285C">
                                  <w:t xml:space="preserve">Complaint Management </w:t>
                                </w:r>
                              </w:p>
                            </w:txbxContent>
                          </wps:txbx>
                          <wps:bodyPr rot="0" vert="horz" wrap="square" lIns="91440" tIns="45720" rIns="91440" bIns="45720" anchor="t" anchorCtr="0">
                            <a:noAutofit/>
                          </wps:bodyPr>
                        </wps:wsp>
                        <wps:wsp>
                          <wps:cNvPr id="10" name="Text Box 10"/>
                          <wps:cNvSpPr txBox="1">
                            <a:spLocks noChangeArrowheads="1"/>
                          </wps:cNvSpPr>
                          <wps:spPr bwMode="auto">
                            <a:xfrm>
                              <a:off x="4293220" y="728741"/>
                              <a:ext cx="1743075" cy="823595"/>
                            </a:xfrm>
                            <a:prstGeom prst="rect">
                              <a:avLst/>
                            </a:prstGeom>
                            <a:solidFill>
                              <a:srgbClr val="FFFFFF"/>
                            </a:solidFill>
                            <a:ln w="28575">
                              <a:noFill/>
                              <a:prstDash val="sysDot"/>
                              <a:miter lim="800000"/>
                              <a:headEnd/>
                              <a:tailEnd/>
                            </a:ln>
                          </wps:spPr>
                          <wps:txbx>
                            <w:txbxContent>
                              <w:p w14:paraId="5CB138B2" w14:textId="77777777" w:rsidR="00FC285C" w:rsidRPr="00FC285C" w:rsidRDefault="00FC285C" w:rsidP="00EB1859">
                                <w:pPr>
                                  <w:pStyle w:val="Diagram"/>
                                </w:pPr>
                                <w:r w:rsidRPr="00FC285C">
                                  <w:t xml:space="preserve">Director, </w:t>
                                </w:r>
                              </w:p>
                              <w:p w14:paraId="15D8E76C" w14:textId="77777777" w:rsidR="00FC285C" w:rsidRPr="00FC285C" w:rsidRDefault="00FC285C" w:rsidP="00EB1859">
                                <w:pPr>
                                  <w:pStyle w:val="Diagram"/>
                                </w:pPr>
                                <w:r w:rsidRPr="00FC285C">
                                  <w:t xml:space="preserve">Community Engagement </w:t>
                                </w:r>
                              </w:p>
                            </w:txbxContent>
                          </wps:txbx>
                          <wps:bodyPr rot="0" vert="horz" wrap="square" lIns="91440" tIns="45720" rIns="91440" bIns="45720" anchor="t" anchorCtr="0">
                            <a:noAutofit/>
                          </wps:bodyPr>
                        </wps:wsp>
                        <wps:wsp>
                          <wps:cNvPr id="11" name="Text Box 11"/>
                          <wps:cNvSpPr txBox="1">
                            <a:spLocks noChangeArrowheads="1"/>
                          </wps:cNvSpPr>
                          <wps:spPr bwMode="auto">
                            <a:xfrm>
                              <a:off x="2797157" y="729359"/>
                              <a:ext cx="1371600" cy="823595"/>
                            </a:xfrm>
                            <a:prstGeom prst="rect">
                              <a:avLst/>
                            </a:prstGeom>
                            <a:solidFill>
                              <a:srgbClr val="FFFFFF"/>
                            </a:solidFill>
                            <a:ln w="28575">
                              <a:noFill/>
                              <a:prstDash val="sysDot"/>
                              <a:miter lim="800000"/>
                              <a:headEnd/>
                              <a:tailEnd/>
                            </a:ln>
                          </wps:spPr>
                          <wps:txbx>
                            <w:txbxContent>
                              <w:p w14:paraId="635AB625" w14:textId="77777777" w:rsidR="00FC285C" w:rsidRPr="00FC285C" w:rsidRDefault="00FC285C" w:rsidP="00EB1859">
                                <w:pPr>
                                  <w:pStyle w:val="Diagram"/>
                                </w:pPr>
                                <w:r w:rsidRPr="00FC285C">
                                  <w:t xml:space="preserve">Director, </w:t>
                                </w:r>
                              </w:p>
                              <w:p w14:paraId="2A0AA440" w14:textId="77777777" w:rsidR="00FC285C" w:rsidRPr="00FC285C" w:rsidRDefault="00FC285C" w:rsidP="00EB1859">
                                <w:pPr>
                                  <w:pStyle w:val="Diagram"/>
                                </w:pPr>
                                <w:r w:rsidRPr="00FC285C">
                                  <w:t xml:space="preserve">Corporate Services </w:t>
                                </w:r>
                              </w:p>
                            </w:txbxContent>
                          </wps:txbx>
                          <wps:bodyPr rot="0" vert="horz" wrap="square" lIns="91440" tIns="45720" rIns="91440" bIns="45720" anchor="t" anchorCtr="0">
                            <a:noAutofit/>
                          </wps:bodyPr>
                        </wps:wsp>
                        <wps:wsp>
                          <wps:cNvPr id="12" name="Text Box 12"/>
                          <wps:cNvSpPr txBox="1">
                            <a:spLocks noChangeArrowheads="1"/>
                          </wps:cNvSpPr>
                          <wps:spPr bwMode="auto">
                            <a:xfrm>
                              <a:off x="-124833" y="4777031"/>
                              <a:ext cx="1781175" cy="1790700"/>
                            </a:xfrm>
                            <a:prstGeom prst="rect">
                              <a:avLst/>
                            </a:prstGeom>
                            <a:solidFill>
                              <a:srgbClr val="FFFFFF"/>
                            </a:solidFill>
                            <a:ln w="28575">
                              <a:noFill/>
                              <a:prstDash val="sysDot"/>
                              <a:miter lim="800000"/>
                              <a:headEnd/>
                              <a:tailEnd/>
                            </a:ln>
                          </wps:spPr>
                          <wps:txbx>
                            <w:txbxContent>
                              <w:p w14:paraId="7EBFC84B" w14:textId="502B5C98" w:rsidR="00FC285C" w:rsidRPr="00FC285C" w:rsidRDefault="00FC285C" w:rsidP="00EB1859">
                                <w:pPr>
                                  <w:pStyle w:val="Diagram"/>
                                </w:pPr>
                                <w:r w:rsidRPr="00FC285C">
                                  <w:t xml:space="preserve">Brisbane complaints team </w:t>
                                </w:r>
                              </w:p>
                              <w:p w14:paraId="2A8C25B6" w14:textId="77777777" w:rsidR="00FC285C" w:rsidRDefault="00FC285C" w:rsidP="00EB1859">
                                <w:pPr>
                                  <w:pStyle w:val="Diagram"/>
                                </w:pPr>
                              </w:p>
                              <w:p w14:paraId="1E73E54D" w14:textId="77777777" w:rsidR="00FC285C" w:rsidRPr="00394242" w:rsidRDefault="00FC285C" w:rsidP="00EB1859">
                                <w:pPr>
                                  <w:pStyle w:val="Diagram"/>
                                </w:pPr>
                                <w:r w:rsidRPr="00394242">
                                  <w:t xml:space="preserve">This team provides </w:t>
                                </w:r>
                                <w:r>
                                  <w:t xml:space="preserve">dispute resolution and complaints management, and enquiry services. </w:t>
                                </w:r>
                              </w:p>
                            </w:txbxContent>
                          </wps:txbx>
                          <wps:bodyPr rot="0" vert="horz" wrap="square" lIns="91440" tIns="45720" rIns="91440" bIns="45720" anchor="t" anchorCtr="0">
                            <a:noAutofit/>
                          </wps:bodyPr>
                        </wps:wsp>
                        <wps:wsp>
                          <wps:cNvPr id="13" name="Text Box 13"/>
                          <wps:cNvSpPr txBox="1">
                            <a:spLocks noChangeArrowheads="1"/>
                          </wps:cNvSpPr>
                          <wps:spPr bwMode="auto">
                            <a:xfrm>
                              <a:off x="-124833" y="2109229"/>
                              <a:ext cx="1866900" cy="1866900"/>
                            </a:xfrm>
                            <a:prstGeom prst="rect">
                              <a:avLst/>
                            </a:prstGeom>
                            <a:solidFill>
                              <a:srgbClr val="FFFFFF"/>
                            </a:solidFill>
                            <a:ln w="28575">
                              <a:noFill/>
                              <a:prstDash val="sysDot"/>
                              <a:miter lim="800000"/>
                              <a:headEnd/>
                              <a:tailEnd/>
                            </a:ln>
                          </wps:spPr>
                          <wps:txbx>
                            <w:txbxContent>
                              <w:p w14:paraId="627CA741" w14:textId="77777777" w:rsidR="00FC285C" w:rsidRPr="00FC285C" w:rsidRDefault="00FC285C" w:rsidP="00EB1859">
                                <w:pPr>
                                  <w:pStyle w:val="Diagram"/>
                                </w:pPr>
                                <w:r w:rsidRPr="00FC285C">
                                  <w:t xml:space="preserve">Legal, Research and </w:t>
                                </w:r>
                              </w:p>
                              <w:p w14:paraId="63295854" w14:textId="176D4183" w:rsidR="00FC285C" w:rsidRDefault="00FC285C" w:rsidP="00EB1859">
                                <w:pPr>
                                  <w:pStyle w:val="Diagram"/>
                                </w:pPr>
                                <w:r w:rsidRPr="00FC285C">
                                  <w:t xml:space="preserve">Policy team </w:t>
                                </w:r>
                              </w:p>
                              <w:p w14:paraId="5576F895" w14:textId="77777777" w:rsidR="00FC285C" w:rsidRPr="00FC285C" w:rsidRDefault="00FC285C" w:rsidP="00EB1859">
                                <w:pPr>
                                  <w:pStyle w:val="Diagram"/>
                                </w:pPr>
                              </w:p>
                              <w:p w14:paraId="442E880D" w14:textId="77777777" w:rsidR="00FC285C" w:rsidRPr="00394242" w:rsidRDefault="00FC285C" w:rsidP="00EB1859">
                                <w:pPr>
                                  <w:pStyle w:val="Diagram"/>
                                </w:pPr>
                                <w:r w:rsidRPr="00394242">
                                  <w:t>This team provides executive support and legal services, develops human rights policy, and undertakes research on human rights issues.</w:t>
                                </w:r>
                              </w:p>
                            </w:txbxContent>
                          </wps:txbx>
                          <wps:bodyPr rot="0" vert="horz" wrap="square" lIns="91440" tIns="45720" rIns="91440" bIns="45720" anchor="t" anchorCtr="0">
                            <a:noAutofit/>
                          </wps:bodyPr>
                        </wps:wsp>
                        <wps:wsp>
                          <wps:cNvPr id="14" name="Text Box 14"/>
                          <wps:cNvSpPr txBox="1">
                            <a:spLocks noChangeArrowheads="1"/>
                          </wps:cNvSpPr>
                          <wps:spPr bwMode="auto">
                            <a:xfrm>
                              <a:off x="4776847" y="4794852"/>
                              <a:ext cx="1885950" cy="1866900"/>
                            </a:xfrm>
                            <a:prstGeom prst="rect">
                              <a:avLst/>
                            </a:prstGeom>
                            <a:solidFill>
                              <a:srgbClr val="FFFFFF"/>
                            </a:solidFill>
                            <a:ln w="28575">
                              <a:noFill/>
                              <a:prstDash val="sysDot"/>
                              <a:miter lim="800000"/>
                              <a:headEnd/>
                              <a:tailEnd/>
                            </a:ln>
                          </wps:spPr>
                          <wps:txbx>
                            <w:txbxContent>
                              <w:p w14:paraId="7A8DA312" w14:textId="77777777" w:rsidR="00FC285C" w:rsidRPr="00FC285C" w:rsidRDefault="00FC285C" w:rsidP="00EB1859">
                                <w:pPr>
                                  <w:pStyle w:val="Diagram"/>
                                </w:pPr>
                                <w:r w:rsidRPr="00FC285C">
                                  <w:t xml:space="preserve">Community </w:t>
                                </w:r>
                              </w:p>
                              <w:p w14:paraId="26B5E326" w14:textId="498D479A" w:rsidR="00FC285C" w:rsidRDefault="00FC285C" w:rsidP="00EB1859">
                                <w:pPr>
                                  <w:pStyle w:val="Diagram"/>
                                </w:pPr>
                                <w:r w:rsidRPr="00FC285C">
                                  <w:t xml:space="preserve">Engagement team </w:t>
                                </w:r>
                              </w:p>
                              <w:p w14:paraId="4C00C958" w14:textId="77777777" w:rsidR="00FC285C" w:rsidRPr="00FC285C" w:rsidRDefault="00FC285C" w:rsidP="00EB1859">
                                <w:pPr>
                                  <w:pStyle w:val="Diagram"/>
                                </w:pPr>
                              </w:p>
                              <w:p w14:paraId="2AD7FB27" w14:textId="77777777" w:rsidR="00FC285C" w:rsidRPr="00394242" w:rsidRDefault="00FC285C" w:rsidP="00EB1859">
                                <w:pPr>
                                  <w:pStyle w:val="Diagram"/>
                                </w:pPr>
                                <w:r w:rsidRPr="00394242">
                                  <w:t xml:space="preserve">This team provides </w:t>
                                </w:r>
                                <w:r>
                                  <w:t>training and engagement activities, communications, and includes the Aboriginal and Torres Strait Islander Unit.</w:t>
                                </w:r>
                              </w:p>
                            </w:txbxContent>
                          </wps:txbx>
                          <wps:bodyPr rot="0" vert="horz" wrap="square" lIns="91440" tIns="45720" rIns="91440" bIns="45720" anchor="t" anchorCtr="0">
                            <a:noAutofit/>
                          </wps:bodyPr>
                        </wps:wsp>
                        <wps:wsp>
                          <wps:cNvPr id="15" name="Text Box 15"/>
                          <wps:cNvSpPr txBox="1">
                            <a:spLocks noChangeArrowheads="1"/>
                          </wps:cNvSpPr>
                          <wps:spPr bwMode="auto">
                            <a:xfrm>
                              <a:off x="2768346" y="2109229"/>
                              <a:ext cx="1714501" cy="1857375"/>
                            </a:xfrm>
                            <a:prstGeom prst="rect">
                              <a:avLst/>
                            </a:prstGeom>
                            <a:solidFill>
                              <a:srgbClr val="FFFFFF"/>
                            </a:solidFill>
                            <a:ln w="28575">
                              <a:noFill/>
                              <a:prstDash val="sysDot"/>
                              <a:miter lim="800000"/>
                              <a:headEnd/>
                              <a:tailEnd/>
                            </a:ln>
                          </wps:spPr>
                          <wps:txbx>
                            <w:txbxContent>
                              <w:p w14:paraId="11FC145D" w14:textId="77777777" w:rsidR="00FC285C" w:rsidRPr="00FC285C" w:rsidRDefault="00FC285C" w:rsidP="00EB1859">
                                <w:pPr>
                                  <w:pStyle w:val="Diagram"/>
                                </w:pPr>
                                <w:r w:rsidRPr="00FC285C">
                                  <w:t xml:space="preserve">Corporate Services </w:t>
                                </w:r>
                              </w:p>
                              <w:p w14:paraId="0EA5DC8D" w14:textId="3C294C9F" w:rsidR="00FC285C" w:rsidRDefault="00FC285C" w:rsidP="00EB1859">
                                <w:pPr>
                                  <w:pStyle w:val="Diagram"/>
                                </w:pPr>
                                <w:r w:rsidRPr="00FC285C">
                                  <w:t>Team</w:t>
                                </w:r>
                              </w:p>
                              <w:p w14:paraId="531C2085" w14:textId="77777777" w:rsidR="00FC285C" w:rsidRPr="00FC285C" w:rsidRDefault="00FC285C" w:rsidP="00EB1859">
                                <w:pPr>
                                  <w:pStyle w:val="Diagram"/>
                                </w:pPr>
                              </w:p>
                              <w:p w14:paraId="0C0AB982" w14:textId="77777777" w:rsidR="00FC285C" w:rsidRPr="00394242" w:rsidRDefault="00FC285C" w:rsidP="00EB1859">
                                <w:pPr>
                                  <w:pStyle w:val="Diagram"/>
                                </w:pPr>
                                <w:r w:rsidRPr="00394242">
                                  <w:t xml:space="preserve">This team provides </w:t>
                                </w:r>
                                <w:r>
                                  <w:t>administrative, financial, human resource, information technology, facilities, and governance services.</w:t>
                                </w:r>
                              </w:p>
                            </w:txbxContent>
                          </wps:txbx>
                          <wps:bodyPr rot="0" vert="horz" wrap="square" lIns="91440" tIns="45720" rIns="91440" bIns="45720" anchor="t" anchorCtr="0">
                            <a:noAutofit/>
                          </wps:bodyPr>
                        </wps:wsp>
                        <wps:wsp>
                          <wps:cNvPr id="16" name="Text Box 16"/>
                          <wps:cNvSpPr txBox="1">
                            <a:spLocks noChangeArrowheads="1"/>
                          </wps:cNvSpPr>
                          <wps:spPr bwMode="auto">
                            <a:xfrm>
                              <a:off x="2112912" y="4783193"/>
                              <a:ext cx="2342005" cy="2204685"/>
                            </a:xfrm>
                            <a:prstGeom prst="rect">
                              <a:avLst/>
                            </a:prstGeom>
                            <a:solidFill>
                              <a:srgbClr val="FFFFFF"/>
                            </a:solidFill>
                            <a:ln w="28575">
                              <a:noFill/>
                              <a:prstDash val="sysDot"/>
                              <a:miter lim="800000"/>
                              <a:headEnd/>
                              <a:tailEnd/>
                            </a:ln>
                          </wps:spPr>
                          <wps:txbx>
                            <w:txbxContent>
                              <w:p w14:paraId="24AF4AEA" w14:textId="5D8F7F92" w:rsidR="00FC285C" w:rsidRDefault="00FC285C" w:rsidP="00EB1859">
                                <w:pPr>
                                  <w:pStyle w:val="Diagram"/>
                                </w:pPr>
                                <w:r w:rsidRPr="00FC285C">
                                  <w:t xml:space="preserve">Regional offices </w:t>
                                </w:r>
                              </w:p>
                              <w:p w14:paraId="651DF6AD" w14:textId="77777777" w:rsidR="00FC285C" w:rsidRPr="00FC285C" w:rsidRDefault="00FC285C" w:rsidP="00EB1859">
                                <w:pPr>
                                  <w:pStyle w:val="Diagram"/>
                                </w:pPr>
                              </w:p>
                              <w:p w14:paraId="73D9C3A1" w14:textId="40DBD4E4" w:rsidR="00FC285C" w:rsidRPr="00394242" w:rsidRDefault="00FC285C" w:rsidP="00EB1859">
                                <w:pPr>
                                  <w:pStyle w:val="Diagram"/>
                                </w:pPr>
                                <w:r>
                                  <w:t>Our three regional office teams are mixed model, with each team delivering a combination of dispute resolution and complaints management, training, and community engagement services throughout their regions. Offices are located in Cairns, Townsville and Rockhampton.</w:t>
                                </w:r>
                                <w:r w:rsidR="007A61EC">
                                  <w:t xml:space="preserve"> </w:t>
                                </w:r>
                              </w:p>
                            </w:txbxContent>
                          </wps:txbx>
                          <wps:bodyPr rot="0" vert="horz" wrap="square" lIns="91440" tIns="45720" rIns="91440" bIns="45720" anchor="t" anchorCtr="0">
                            <a:noAutofit/>
                          </wps:bodyPr>
                        </wps:wsp>
                      </wpg:grpSp>
                      <wps:wsp>
                        <wps:cNvPr id="17" name="Straight Connector 17"/>
                        <wps:cNvCnPr/>
                        <wps:spPr>
                          <a:xfrm>
                            <a:off x="2006221" y="332949"/>
                            <a:ext cx="322897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Straight Connector 19"/>
                        <wps:cNvCnPr/>
                        <wps:spPr>
                          <a:xfrm>
                            <a:off x="191069" y="906154"/>
                            <a:ext cx="93345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Straight Connector 20"/>
                        <wps:cNvCnPr/>
                        <wps:spPr>
                          <a:xfrm>
                            <a:off x="1528549" y="906154"/>
                            <a:ext cx="10668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Straight Connector 21"/>
                        <wps:cNvCnPr/>
                        <wps:spPr>
                          <a:xfrm>
                            <a:off x="3029803" y="906154"/>
                            <a:ext cx="10668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Straight Connector 22"/>
                        <wps:cNvCnPr/>
                        <wps:spPr>
                          <a:xfrm>
                            <a:off x="4503761" y="906154"/>
                            <a:ext cx="10668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Straight Connector 23"/>
                        <wps:cNvCnPr/>
                        <wps:spPr>
                          <a:xfrm>
                            <a:off x="95535" y="2270931"/>
                            <a:ext cx="10668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Straight Connector 24"/>
                        <wps:cNvCnPr/>
                        <wps:spPr>
                          <a:xfrm>
                            <a:off x="5008729" y="5027778"/>
                            <a:ext cx="10668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 name="Straight Connector 25"/>
                        <wps:cNvCnPr/>
                        <wps:spPr>
                          <a:xfrm>
                            <a:off x="3002508" y="2270931"/>
                            <a:ext cx="10668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 name="Straight Connector 26"/>
                        <wps:cNvCnPr/>
                        <wps:spPr>
                          <a:xfrm>
                            <a:off x="109182" y="5014131"/>
                            <a:ext cx="10668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Straight Connector 27"/>
                        <wps:cNvCnPr/>
                        <wps:spPr>
                          <a:xfrm>
                            <a:off x="2347415" y="5027778"/>
                            <a:ext cx="10668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Straight Connector 28"/>
                        <wps:cNvCnPr/>
                        <wps:spPr>
                          <a:xfrm>
                            <a:off x="600502" y="668740"/>
                            <a:ext cx="5795159"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Straight Connector 29"/>
                        <wps:cNvCnPr/>
                        <wps:spPr>
                          <a:xfrm>
                            <a:off x="614149" y="668740"/>
                            <a:ext cx="0" cy="2286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 name="Straight Connector 30"/>
                        <wps:cNvCnPr/>
                        <wps:spPr>
                          <a:xfrm>
                            <a:off x="2047164" y="668740"/>
                            <a:ext cx="0" cy="2286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 name="Straight Connector 31"/>
                        <wps:cNvCnPr/>
                        <wps:spPr>
                          <a:xfrm>
                            <a:off x="3548418" y="668740"/>
                            <a:ext cx="0" cy="2286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2" name="Straight Connector 192"/>
                        <wps:cNvCnPr/>
                        <wps:spPr>
                          <a:xfrm>
                            <a:off x="5076967" y="668740"/>
                            <a:ext cx="0" cy="2286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3" name="Straight Connector 193"/>
                        <wps:cNvCnPr/>
                        <wps:spPr>
                          <a:xfrm>
                            <a:off x="614149" y="4776716"/>
                            <a:ext cx="2351314"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4" name="Straight Connector 194"/>
                        <wps:cNvCnPr/>
                        <wps:spPr>
                          <a:xfrm>
                            <a:off x="614149" y="4776716"/>
                            <a:ext cx="0" cy="2286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5" name="Straight Connector 195"/>
                        <wps:cNvCnPr/>
                        <wps:spPr>
                          <a:xfrm>
                            <a:off x="2947917" y="4776716"/>
                            <a:ext cx="0" cy="2286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6" name="Straight Connector 196"/>
                        <wps:cNvCnPr/>
                        <wps:spPr>
                          <a:xfrm>
                            <a:off x="2033517" y="1651379"/>
                            <a:ext cx="5938" cy="311727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7" name="Straight Connector 197"/>
                        <wps:cNvCnPr/>
                        <wps:spPr>
                          <a:xfrm>
                            <a:off x="614149" y="1487606"/>
                            <a:ext cx="0" cy="784594"/>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8" name="Straight Connector 198"/>
                        <wps:cNvCnPr/>
                        <wps:spPr>
                          <a:xfrm>
                            <a:off x="5063320" y="1665027"/>
                            <a:ext cx="0" cy="335601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9" name="Straight Connector 199"/>
                        <wps:cNvCnPr/>
                        <wps:spPr>
                          <a:xfrm>
                            <a:off x="3548418" y="1651379"/>
                            <a:ext cx="0" cy="62510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0" name="Straight Connector 200"/>
                        <wps:cNvCnPr/>
                        <wps:spPr>
                          <a:xfrm>
                            <a:off x="3548418" y="341194"/>
                            <a:ext cx="0" cy="3238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1" name="Text Box 201"/>
                        <wps:cNvSpPr txBox="1">
                          <a:spLocks noChangeArrowheads="1"/>
                        </wps:cNvSpPr>
                        <wps:spPr bwMode="auto">
                          <a:xfrm>
                            <a:off x="5868537" y="914400"/>
                            <a:ext cx="1370965" cy="926275"/>
                          </a:xfrm>
                          <a:prstGeom prst="rect">
                            <a:avLst/>
                          </a:prstGeom>
                          <a:noFill/>
                          <a:ln w="28575">
                            <a:noFill/>
                            <a:prstDash val="sysDot"/>
                            <a:miter lim="800000"/>
                            <a:headEnd/>
                            <a:tailEnd/>
                          </a:ln>
                        </wps:spPr>
                        <wps:txbx>
                          <w:txbxContent>
                            <w:p w14:paraId="2F24B7C7" w14:textId="77777777" w:rsidR="00FC285C" w:rsidRPr="00FC285C" w:rsidRDefault="00FC285C" w:rsidP="00EB1859">
                              <w:pPr>
                                <w:pStyle w:val="Diagram"/>
                              </w:pPr>
                              <w:r w:rsidRPr="00FC285C">
                                <w:t xml:space="preserve">Director, </w:t>
                              </w:r>
                            </w:p>
                            <w:p w14:paraId="2EAB1AC5" w14:textId="77777777" w:rsidR="00FC285C" w:rsidRPr="00FC285C" w:rsidRDefault="00FC285C" w:rsidP="00EB1859">
                              <w:pPr>
                                <w:pStyle w:val="Diagram"/>
                              </w:pPr>
                              <w:r w:rsidRPr="00FC285C">
                                <w:t xml:space="preserve">Independent Reviews &amp; Special Projects </w:t>
                              </w:r>
                            </w:p>
                          </w:txbxContent>
                        </wps:txbx>
                        <wps:bodyPr rot="0" vert="horz" wrap="square" lIns="91440" tIns="45720" rIns="91440" bIns="45720" anchor="t" anchorCtr="0">
                          <a:noAutofit/>
                        </wps:bodyPr>
                      </wps:wsp>
                      <wps:wsp>
                        <wps:cNvPr id="202" name="Text Box 202"/>
                        <wps:cNvSpPr txBox="1">
                          <a:spLocks noChangeArrowheads="1"/>
                        </wps:cNvSpPr>
                        <wps:spPr bwMode="auto">
                          <a:xfrm>
                            <a:off x="5868537" y="2361063"/>
                            <a:ext cx="1238250" cy="2213811"/>
                          </a:xfrm>
                          <a:prstGeom prst="rect">
                            <a:avLst/>
                          </a:prstGeom>
                          <a:solidFill>
                            <a:srgbClr val="FFFFFF"/>
                          </a:solidFill>
                          <a:ln w="28575">
                            <a:noFill/>
                            <a:prstDash val="sysDot"/>
                            <a:miter lim="800000"/>
                            <a:headEnd/>
                            <a:tailEnd/>
                          </a:ln>
                        </wps:spPr>
                        <wps:txbx>
                          <w:txbxContent>
                            <w:p w14:paraId="1F16209D" w14:textId="77777777" w:rsidR="00FC285C" w:rsidRPr="00FC285C" w:rsidRDefault="00FC285C" w:rsidP="00EB1859">
                              <w:pPr>
                                <w:pStyle w:val="Diagram"/>
                              </w:pPr>
                              <w:r w:rsidRPr="00FC285C">
                                <w:t xml:space="preserve">Review team </w:t>
                              </w:r>
                            </w:p>
                            <w:p w14:paraId="5406C439" w14:textId="77777777" w:rsidR="00FC285C" w:rsidRDefault="00FC285C" w:rsidP="00EB1859">
                              <w:pPr>
                                <w:pStyle w:val="Diagram"/>
                              </w:pPr>
                            </w:p>
                            <w:p w14:paraId="2EEDDDCF" w14:textId="4795AC7B" w:rsidR="00FC285C" w:rsidRDefault="00FC285C" w:rsidP="00EB1859">
                              <w:pPr>
                                <w:pStyle w:val="Diagram"/>
                              </w:pPr>
                              <w:r>
                                <w:t>This team conducts major reviews and special projects that focus on effecting systemic change.</w:t>
                              </w:r>
                            </w:p>
                            <w:p w14:paraId="76631F91" w14:textId="77777777" w:rsidR="00FC285C" w:rsidRPr="00394242" w:rsidRDefault="00FC285C" w:rsidP="00EB1859">
                              <w:pPr>
                                <w:pStyle w:val="Diagram"/>
                              </w:pPr>
                            </w:p>
                          </w:txbxContent>
                        </wps:txbx>
                        <wps:bodyPr rot="0" vert="horz" wrap="square" lIns="91440" tIns="45720" rIns="91440" bIns="45720" anchor="t" anchorCtr="0">
                          <a:noAutofit/>
                        </wps:bodyPr>
                      </wps:wsp>
                      <wps:wsp>
                        <wps:cNvPr id="203" name="Straight Connector 203"/>
                        <wps:cNvCnPr/>
                        <wps:spPr>
                          <a:xfrm>
                            <a:off x="6400800" y="668740"/>
                            <a:ext cx="0" cy="2286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4" name="Straight Connector 204"/>
                        <wps:cNvCnPr/>
                        <wps:spPr>
                          <a:xfrm>
                            <a:off x="5977720" y="906154"/>
                            <a:ext cx="10668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5" name="Straight Connector 205"/>
                        <wps:cNvCnPr/>
                        <wps:spPr>
                          <a:xfrm>
                            <a:off x="5964072" y="2270931"/>
                            <a:ext cx="10668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6" name="Straight Connector 206"/>
                        <wps:cNvCnPr/>
                        <wps:spPr>
                          <a:xfrm>
                            <a:off x="6509982" y="1801504"/>
                            <a:ext cx="0" cy="4572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EE87AD2" id="Group 4" o:spid="_x0000_s1027" style="position:absolute;margin-left:16.3pt;margin-top:2.75pt;width:570.05pt;height:584.7pt;z-index:251663360;mso-position-horizontal-relative:page" coordsize="72395,74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">
                <v:group id="Group 5" o:spid="_x0000_s1028" style="position:absolute;width:67837;height:74256" coordorigin="-1248,-1404" coordsize="67876,71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_x0000_s1029" type="#_x0000_t202" style="position:absolute;left:21336;top:-1404;width:28765;height:4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" stroked="f" strokeweight="2.25pt">
                    <v:stroke dashstyle="1 1"/>
                    <v:textbox>
                      <w:txbxContent>
                        <w:p w14:paraId="10612347" w14:textId="77777777" w:rsidR="00FC285C" w:rsidRPr="00FC285C" w:rsidRDefault="00FC285C" w:rsidP="00EB1859">
                          <w:pPr>
                            <w:pStyle w:val="Diagram"/>
                          </w:pPr>
                          <w:r w:rsidRPr="00FC285C">
                            <w:t>Human Rights Commissioner</w:t>
                          </w:r>
                        </w:p>
                      </w:txbxContent>
                    </v:textbox>
                  </v:shape>
                  <v:shape id="Text Box 7" o:spid="_x0000_s1030" type="#_x0000_t202" style="position:absolute;left:-371;top:7327;width:15335;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" stroked="f" strokeweight="2.25pt">
                    <v:stroke dashstyle="1 1"/>
                    <v:textbox>
                      <w:txbxContent>
                        <w:p w14:paraId="1A88B3E1" w14:textId="77777777" w:rsidR="00FC285C" w:rsidRPr="00FC285C" w:rsidRDefault="00FC285C" w:rsidP="00EB1859">
                          <w:pPr>
                            <w:pStyle w:val="Diagram"/>
                          </w:pPr>
                          <w:r w:rsidRPr="00FC285C">
                            <w:t>Deputy Commissioner</w:t>
                          </w:r>
                        </w:p>
                      </w:txbxContent>
                    </v:textbox>
                  </v:shape>
                  <v:shape id="Text Box 9" o:spid="_x0000_s1031" type="#_x0000_t202" style="position:absolute;left:13135;top:7279;width:10858;height:8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" stroked="f" strokeweight="2.25pt">
                    <v:stroke dashstyle="1 1"/>
                    <v:textbox>
                      <w:txbxContent>
                        <w:p w14:paraId="2D217BB9" w14:textId="77777777" w:rsidR="00FC285C" w:rsidRPr="00FC285C" w:rsidRDefault="00FC285C" w:rsidP="00EB1859">
                          <w:pPr>
                            <w:pStyle w:val="Diagram"/>
                          </w:pPr>
                          <w:r w:rsidRPr="00FC285C">
                            <w:t xml:space="preserve">Director, </w:t>
                          </w:r>
                        </w:p>
                        <w:p w14:paraId="789436CE" w14:textId="77777777" w:rsidR="00FC285C" w:rsidRPr="00FC285C" w:rsidRDefault="00FC285C" w:rsidP="00EB1859">
                          <w:pPr>
                            <w:pStyle w:val="Diagram"/>
                          </w:pPr>
                          <w:r w:rsidRPr="00FC285C">
                            <w:t xml:space="preserve">Complaint Management </w:t>
                          </w:r>
                        </w:p>
                      </w:txbxContent>
                    </v:textbox>
                  </v:shape>
                  <v:shape id="Text Box 10" o:spid="_x0000_s1032" type="#_x0000_t202" style="position:absolute;left:42932;top:7287;width:17430;height:8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" stroked="f" strokeweight="2.25pt">
                    <v:stroke dashstyle="1 1"/>
                    <v:textbox>
                      <w:txbxContent>
                        <w:p w14:paraId="5CB138B2" w14:textId="77777777" w:rsidR="00FC285C" w:rsidRPr="00FC285C" w:rsidRDefault="00FC285C" w:rsidP="00EB1859">
                          <w:pPr>
                            <w:pStyle w:val="Diagram"/>
                          </w:pPr>
                          <w:r w:rsidRPr="00FC285C">
                            <w:t xml:space="preserve">Director, </w:t>
                          </w:r>
                        </w:p>
                        <w:p w14:paraId="15D8E76C" w14:textId="77777777" w:rsidR="00FC285C" w:rsidRPr="00FC285C" w:rsidRDefault="00FC285C" w:rsidP="00EB1859">
                          <w:pPr>
                            <w:pStyle w:val="Diagram"/>
                          </w:pPr>
                          <w:r w:rsidRPr="00FC285C">
                            <w:t xml:space="preserve">Community Engagement </w:t>
                          </w:r>
                        </w:p>
                      </w:txbxContent>
                    </v:textbox>
                  </v:shape>
                  <v:shape id="Text Box 11" o:spid="_x0000_s1033" type="#_x0000_t202" style="position:absolute;left:27971;top:7293;width:13716;height:8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" stroked="f" strokeweight="2.25pt">
                    <v:stroke dashstyle="1 1"/>
                    <v:textbox>
                      <w:txbxContent>
                        <w:p w14:paraId="635AB625" w14:textId="77777777" w:rsidR="00FC285C" w:rsidRPr="00FC285C" w:rsidRDefault="00FC285C" w:rsidP="00EB1859">
                          <w:pPr>
                            <w:pStyle w:val="Diagram"/>
                          </w:pPr>
                          <w:r w:rsidRPr="00FC285C">
                            <w:t xml:space="preserve">Director, </w:t>
                          </w:r>
                        </w:p>
                        <w:p w14:paraId="2A0AA440" w14:textId="77777777" w:rsidR="00FC285C" w:rsidRPr="00FC285C" w:rsidRDefault="00FC285C" w:rsidP="00EB1859">
                          <w:pPr>
                            <w:pStyle w:val="Diagram"/>
                          </w:pPr>
                          <w:r w:rsidRPr="00FC285C">
                            <w:t xml:space="preserve">Corporate Services </w:t>
                          </w:r>
                        </w:p>
                      </w:txbxContent>
                    </v:textbox>
                  </v:shape>
                  <v:shape id="Text Box 12" o:spid="_x0000_s1034" type="#_x0000_t202" style="position:absolute;left:-1248;top:47770;width:17811;height:17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" stroked="f" strokeweight="2.25pt">
                    <v:stroke dashstyle="1 1"/>
                    <v:textbox>
                      <w:txbxContent>
                        <w:p w14:paraId="7EBFC84B" w14:textId="502B5C98" w:rsidR="00FC285C" w:rsidRPr="00FC285C" w:rsidRDefault="00FC285C" w:rsidP="00EB1859">
                          <w:pPr>
                            <w:pStyle w:val="Diagram"/>
                          </w:pPr>
                          <w:r w:rsidRPr="00FC285C">
                            <w:t xml:space="preserve">Brisbane complaints team </w:t>
                          </w:r>
                        </w:p>
                        <w:p w14:paraId="2A8C25B6" w14:textId="77777777" w:rsidR="00FC285C" w:rsidRDefault="00FC285C" w:rsidP="00EB1859">
                          <w:pPr>
                            <w:pStyle w:val="Diagram"/>
                          </w:pPr>
                        </w:p>
                        <w:p w14:paraId="1E73E54D" w14:textId="77777777" w:rsidR="00FC285C" w:rsidRPr="00394242" w:rsidRDefault="00FC285C" w:rsidP="00EB1859">
                          <w:pPr>
                            <w:pStyle w:val="Diagram"/>
                          </w:pPr>
                          <w:r w:rsidRPr="00394242">
                            <w:t xml:space="preserve">This team provides </w:t>
                          </w:r>
                          <w:r>
                            <w:t xml:space="preserve">dispute resolution and complaints management, and enquiry services. </w:t>
                          </w:r>
                        </w:p>
                      </w:txbxContent>
                    </v:textbox>
                  </v:shape>
                  <v:shape id="Text Box 13" o:spid="_x0000_s1035" type="#_x0000_t202" style="position:absolute;left:-1248;top:21092;width:18668;height:18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" stroked="f" strokeweight="2.25pt">
                    <v:stroke dashstyle="1 1"/>
                    <v:textbox>
                      <w:txbxContent>
                        <w:p w14:paraId="627CA741" w14:textId="77777777" w:rsidR="00FC285C" w:rsidRPr="00FC285C" w:rsidRDefault="00FC285C" w:rsidP="00EB1859">
                          <w:pPr>
                            <w:pStyle w:val="Diagram"/>
                          </w:pPr>
                          <w:r w:rsidRPr="00FC285C">
                            <w:t xml:space="preserve">Legal, Research and </w:t>
                          </w:r>
                        </w:p>
                        <w:p w14:paraId="63295854" w14:textId="176D4183" w:rsidR="00FC285C" w:rsidRDefault="00FC285C" w:rsidP="00EB1859">
                          <w:pPr>
                            <w:pStyle w:val="Diagram"/>
                          </w:pPr>
                          <w:r w:rsidRPr="00FC285C">
                            <w:t xml:space="preserve">Policy team </w:t>
                          </w:r>
                        </w:p>
                        <w:p w14:paraId="5576F895" w14:textId="77777777" w:rsidR="00FC285C" w:rsidRPr="00FC285C" w:rsidRDefault="00FC285C" w:rsidP="00EB1859">
                          <w:pPr>
                            <w:pStyle w:val="Diagram"/>
                          </w:pPr>
                        </w:p>
                        <w:p w14:paraId="442E880D" w14:textId="77777777" w:rsidR="00FC285C" w:rsidRPr="00394242" w:rsidRDefault="00FC285C" w:rsidP="00EB1859">
                          <w:pPr>
                            <w:pStyle w:val="Diagram"/>
                          </w:pPr>
                          <w:r w:rsidRPr="00394242">
                            <w:t>This team provides executive support and legal services, develops human rights policy, and undertakes research on human rights issues.</w:t>
                          </w:r>
                        </w:p>
                      </w:txbxContent>
                    </v:textbox>
                  </v:shape>
                  <v:shape id="Text Box 14" o:spid="_x0000_s1036" type="#_x0000_t202" style="position:absolute;left:47768;top:47948;width:18859;height:18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" stroked="f" strokeweight="2.25pt">
                    <v:stroke dashstyle="1 1"/>
                    <v:textbox>
                      <w:txbxContent>
                        <w:p w14:paraId="7A8DA312" w14:textId="77777777" w:rsidR="00FC285C" w:rsidRPr="00FC285C" w:rsidRDefault="00FC285C" w:rsidP="00EB1859">
                          <w:pPr>
                            <w:pStyle w:val="Diagram"/>
                          </w:pPr>
                          <w:r w:rsidRPr="00FC285C">
                            <w:t xml:space="preserve">Community </w:t>
                          </w:r>
                        </w:p>
                        <w:p w14:paraId="26B5E326" w14:textId="498D479A" w:rsidR="00FC285C" w:rsidRDefault="00FC285C" w:rsidP="00EB1859">
                          <w:pPr>
                            <w:pStyle w:val="Diagram"/>
                          </w:pPr>
                          <w:r w:rsidRPr="00FC285C">
                            <w:t xml:space="preserve">Engagement team </w:t>
                          </w:r>
                        </w:p>
                        <w:p w14:paraId="4C00C958" w14:textId="77777777" w:rsidR="00FC285C" w:rsidRPr="00FC285C" w:rsidRDefault="00FC285C" w:rsidP="00EB1859">
                          <w:pPr>
                            <w:pStyle w:val="Diagram"/>
                          </w:pPr>
                        </w:p>
                        <w:p w14:paraId="2AD7FB27" w14:textId="77777777" w:rsidR="00FC285C" w:rsidRPr="00394242" w:rsidRDefault="00FC285C" w:rsidP="00EB1859">
                          <w:pPr>
                            <w:pStyle w:val="Diagram"/>
                          </w:pPr>
                          <w:r w:rsidRPr="00394242">
                            <w:t xml:space="preserve">This team provides </w:t>
                          </w:r>
                          <w:r>
                            <w:t>training and engagement activities, communications, and includes the Aboriginal and Torres Strait Islander Unit.</w:t>
                          </w:r>
                        </w:p>
                      </w:txbxContent>
                    </v:textbox>
                  </v:shape>
                  <v:shape id="Text Box 15" o:spid="_x0000_s1037" type="#_x0000_t202" style="position:absolute;left:27683;top:21092;width:17145;height:18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" stroked="f" strokeweight="2.25pt">
                    <v:stroke dashstyle="1 1"/>
                    <v:textbox>
                      <w:txbxContent>
                        <w:p w14:paraId="11FC145D" w14:textId="77777777" w:rsidR="00FC285C" w:rsidRPr="00FC285C" w:rsidRDefault="00FC285C" w:rsidP="00EB1859">
                          <w:pPr>
                            <w:pStyle w:val="Diagram"/>
                          </w:pPr>
                          <w:r w:rsidRPr="00FC285C">
                            <w:t xml:space="preserve">Corporate Services </w:t>
                          </w:r>
                        </w:p>
                        <w:p w14:paraId="0EA5DC8D" w14:textId="3C294C9F" w:rsidR="00FC285C" w:rsidRDefault="00FC285C" w:rsidP="00EB1859">
                          <w:pPr>
                            <w:pStyle w:val="Diagram"/>
                          </w:pPr>
                          <w:r w:rsidRPr="00FC285C">
                            <w:t>Team</w:t>
                          </w:r>
                        </w:p>
                        <w:p w14:paraId="531C2085" w14:textId="77777777" w:rsidR="00FC285C" w:rsidRPr="00FC285C" w:rsidRDefault="00FC285C" w:rsidP="00EB1859">
                          <w:pPr>
                            <w:pStyle w:val="Diagram"/>
                          </w:pPr>
                        </w:p>
                        <w:p w14:paraId="0C0AB982" w14:textId="77777777" w:rsidR="00FC285C" w:rsidRPr="00394242" w:rsidRDefault="00FC285C" w:rsidP="00EB1859">
                          <w:pPr>
                            <w:pStyle w:val="Diagram"/>
                          </w:pPr>
                          <w:r w:rsidRPr="00394242">
                            <w:t xml:space="preserve">This team provides </w:t>
                          </w:r>
                          <w:r>
                            <w:t>administrative, financial, human resource, information technology, facilities, and governance services.</w:t>
                          </w:r>
                        </w:p>
                      </w:txbxContent>
                    </v:textbox>
                  </v:shape>
                  <v:shape id="Text Box 16" o:spid="_x0000_s1038" type="#_x0000_t202" style="position:absolute;left:21129;top:47831;width:23420;height:22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" stroked="f" strokeweight="2.25pt">
                    <v:stroke dashstyle="1 1"/>
                    <v:textbox>
                      <w:txbxContent>
                        <w:p w14:paraId="24AF4AEA" w14:textId="5D8F7F92" w:rsidR="00FC285C" w:rsidRDefault="00FC285C" w:rsidP="00EB1859">
                          <w:pPr>
                            <w:pStyle w:val="Diagram"/>
                          </w:pPr>
                          <w:r w:rsidRPr="00FC285C">
                            <w:t xml:space="preserve">Regional offices </w:t>
                          </w:r>
                        </w:p>
                        <w:p w14:paraId="651DF6AD" w14:textId="77777777" w:rsidR="00FC285C" w:rsidRPr="00FC285C" w:rsidRDefault="00FC285C" w:rsidP="00EB1859">
                          <w:pPr>
                            <w:pStyle w:val="Diagram"/>
                          </w:pPr>
                        </w:p>
                        <w:p w14:paraId="73D9C3A1" w14:textId="40DBD4E4" w:rsidR="00FC285C" w:rsidRPr="00394242" w:rsidRDefault="00FC285C" w:rsidP="00EB1859">
                          <w:pPr>
                            <w:pStyle w:val="Diagram"/>
                          </w:pPr>
                          <w:r>
                            <w:t>Our three regional office teams are mixed model, with each team delivering a combination of dispute resolution and complaints management, training, and community engagement services throughout their regions. Offices are located in Cairns, Townsville and Rockhampton.</w:t>
                          </w:r>
                          <w:r w:rsidR="007A61EC">
                            <w:t xml:space="preserve"> </w:t>
                          </w:r>
                        </w:p>
                      </w:txbxContent>
                    </v:textbox>
                  </v:shape>
                </v:group>
                <v:line id="Straight Connector 17" o:spid="_x0000_s1039" style="position:absolute;visibility:visible;mso-wrap-style:square" from="20062,3329" to="52351,3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" strokecolor="black [3213]" strokeweight="3pt">
                  <v:stroke joinstyle="miter"/>
                </v:line>
                <v:line id="Straight Connector 19" o:spid="_x0000_s1040" style="position:absolute;visibility:visible;mso-wrap-style:square" from="1910,9061" to="11245,9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" strokecolor="black [3213]" strokeweight="3pt">
                  <v:stroke joinstyle="miter"/>
                </v:line>
                <v:line id="Straight Connector 20" o:spid="_x0000_s1041" style="position:absolute;visibility:visible;mso-wrap-style:square" from="15285,9061" to="25953,9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" strokecolor="black [3213]" strokeweight="3pt">
                  <v:stroke joinstyle="miter"/>
                </v:line>
                <v:line id="Straight Connector 21" o:spid="_x0000_s1042" style="position:absolute;visibility:visible;mso-wrap-style:square" from="30298,9061" to="40966,9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" strokecolor="black [3213]" strokeweight="3pt">
                  <v:stroke joinstyle="miter"/>
                </v:line>
                <v:line id="Straight Connector 22" o:spid="_x0000_s1043" style="position:absolute;visibility:visible;mso-wrap-style:square" from="45037,9061" to="55705,9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" strokecolor="black [3213]" strokeweight="3pt">
                  <v:stroke joinstyle="miter"/>
                </v:line>
                <v:line id="Straight Connector 23" o:spid="_x0000_s1044" style="position:absolute;visibility:visible;mso-wrap-style:square" from="955,22709" to="11623,22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" strokecolor="black [3213]" strokeweight="3pt">
                  <v:stroke joinstyle="miter"/>
                </v:line>
                <v:line id="Straight Connector 24" o:spid="_x0000_s1045" style="position:absolute;visibility:visible;mso-wrap-style:square" from="50087,50277" to="60755,50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" strokecolor="black [3213]" strokeweight="3pt">
                  <v:stroke joinstyle="miter"/>
                </v:line>
                <v:line id="Straight Connector 25" o:spid="_x0000_s1046" style="position:absolute;visibility:visible;mso-wrap-style:square" from="30025,22709" to="40693,22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" strokecolor="black [3213]" strokeweight="3pt">
                  <v:stroke joinstyle="miter"/>
                </v:line>
                <v:line id="Straight Connector 26" o:spid="_x0000_s1047" style="position:absolute;visibility:visible;mso-wrap-style:square" from="1091,50141" to="11759,50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" strokecolor="black [3213]" strokeweight="3pt">
                  <v:stroke joinstyle="miter"/>
                </v:line>
                <v:line id="Straight Connector 27" o:spid="_x0000_s1048" style="position:absolute;visibility:visible;mso-wrap-style:square" from="23474,50277" to="34142,50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" strokecolor="black [3213]" strokeweight="3pt">
                  <v:stroke joinstyle="miter"/>
                </v:line>
                <v:line id="Straight Connector 28" o:spid="_x0000_s1049" style="position:absolute;visibility:visible;mso-wrap-style:square" from="6005,6687" to="63956,6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" strokecolor="black [3213]" strokeweight="1.5pt">
                  <v:stroke joinstyle="miter"/>
                </v:line>
                <v:line id="Straight Connector 29" o:spid="_x0000_s1050" style="position:absolute;visibility:visible;mso-wrap-style:square" from="6141,6687" to="6141,8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" strokecolor="black [3213]" strokeweight="1.5pt">
                  <v:stroke joinstyle="miter"/>
                </v:line>
                <v:line id="Straight Connector 30" o:spid="_x0000_s1051" style="position:absolute;visibility:visible;mso-wrap-style:square" from="20471,6687" to="20471,8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" strokecolor="black [3213]" strokeweight="1.5pt">
                  <v:stroke joinstyle="miter"/>
                </v:line>
                <v:line id="Straight Connector 31" o:spid="_x0000_s1052" style="position:absolute;visibility:visible;mso-wrap-style:square" from="35484,6687" to="35484,8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" strokecolor="black [3213]" strokeweight="1.5pt">
                  <v:stroke joinstyle="miter"/>
                </v:line>
                <v:line id="Straight Connector 192" o:spid="_x0000_s1053" style="position:absolute;visibility:visible;mso-wrap-style:square" from="50769,6687" to="50769,8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" strokecolor="black [3213]" strokeweight="1.5pt">
                  <v:stroke joinstyle="miter"/>
                </v:line>
                <v:line id="Straight Connector 193" o:spid="_x0000_s1054" style="position:absolute;visibility:visible;mso-wrap-style:square" from="6141,47767" to="29654,47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" strokecolor="black [3213]" strokeweight="1.5pt">
                  <v:stroke joinstyle="miter"/>
                </v:line>
                <v:line id="Straight Connector 194" o:spid="_x0000_s1055" style="position:absolute;visibility:visible;mso-wrap-style:square" from="6141,47767" to="6141,50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" strokecolor="black [3213]" strokeweight="1.5pt">
                  <v:stroke joinstyle="miter"/>
                </v:line>
                <v:line id="Straight Connector 195" o:spid="_x0000_s1056" style="position:absolute;visibility:visible;mso-wrap-style:square" from="29479,47767" to="29479,50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" strokecolor="black [3213]" strokeweight="1.5pt">
                  <v:stroke joinstyle="miter"/>
                </v:line>
                <v:line id="Straight Connector 196" o:spid="_x0000_s1057" style="position:absolute;visibility:visible;mso-wrap-style:square" from="20335,16513" to="20394,47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" strokecolor="black [3213]" strokeweight="1.5pt">
                  <v:stroke joinstyle="miter"/>
                </v:line>
                <v:line id="Straight Connector 197" o:spid="_x0000_s1058" style="position:absolute;visibility:visible;mso-wrap-style:square" from="6141,14876" to="6141,22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" strokecolor="black [3213]" strokeweight="1.5pt">
                  <v:stroke joinstyle="miter"/>
                </v:line>
                <v:line id="Straight Connector 198" o:spid="_x0000_s1059" style="position:absolute;visibility:visible;mso-wrap-style:square" from="50633,16650" to="50633,50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" strokecolor="black [3213]" strokeweight="1.5pt">
                  <v:stroke joinstyle="miter"/>
                </v:line>
                <v:line id="Straight Connector 199" o:spid="_x0000_s1060" style="position:absolute;visibility:visible;mso-wrap-style:square" from="35484,16513" to="35484,22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" strokecolor="black [3213]" strokeweight="1.5pt">
                  <v:stroke joinstyle="miter"/>
                </v:line>
                <v:line id="Straight Connector 200" o:spid="_x0000_s1061" style="position:absolute;visibility:visible;mso-wrap-style:square" from="35484,3411" to="35484,6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" strokecolor="black [3213]" strokeweight="1.5pt">
                  <v:stroke joinstyle="miter"/>
                </v:line>
                <v:shape id="Text Box 201" o:spid="_x0000_s1062" type="#_x0000_t202" style="position:absolute;left:58685;top:9144;width:13710;height:9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" filled="f" stroked="f" strokeweight="2.25pt">
                  <v:stroke dashstyle="1 1"/>
                  <v:textbox>
                    <w:txbxContent>
                      <w:p w14:paraId="2F24B7C7" w14:textId="77777777" w:rsidR="00FC285C" w:rsidRPr="00FC285C" w:rsidRDefault="00FC285C" w:rsidP="00EB1859">
                        <w:pPr>
                          <w:pStyle w:val="Diagram"/>
                        </w:pPr>
                        <w:r w:rsidRPr="00FC285C">
                          <w:t xml:space="preserve">Director, </w:t>
                        </w:r>
                      </w:p>
                      <w:p w14:paraId="2EAB1AC5" w14:textId="77777777" w:rsidR="00FC285C" w:rsidRPr="00FC285C" w:rsidRDefault="00FC285C" w:rsidP="00EB1859">
                        <w:pPr>
                          <w:pStyle w:val="Diagram"/>
                        </w:pPr>
                        <w:r w:rsidRPr="00FC285C">
                          <w:t xml:space="preserve">Independent Reviews &amp; Special Projects </w:t>
                        </w:r>
                      </w:p>
                    </w:txbxContent>
                  </v:textbox>
                </v:shape>
                <v:shape id="Text Box 202" o:spid="_x0000_s1063" type="#_x0000_t202" style="position:absolute;left:58685;top:23610;width:12382;height:22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" stroked="f" strokeweight="2.25pt">
                  <v:stroke dashstyle="1 1"/>
                  <v:textbox>
                    <w:txbxContent>
                      <w:p w14:paraId="1F16209D" w14:textId="77777777" w:rsidR="00FC285C" w:rsidRPr="00FC285C" w:rsidRDefault="00FC285C" w:rsidP="00EB1859">
                        <w:pPr>
                          <w:pStyle w:val="Diagram"/>
                        </w:pPr>
                        <w:r w:rsidRPr="00FC285C">
                          <w:t xml:space="preserve">Review team </w:t>
                        </w:r>
                      </w:p>
                      <w:p w14:paraId="5406C439" w14:textId="77777777" w:rsidR="00FC285C" w:rsidRDefault="00FC285C" w:rsidP="00EB1859">
                        <w:pPr>
                          <w:pStyle w:val="Diagram"/>
                        </w:pPr>
                      </w:p>
                      <w:p w14:paraId="2EEDDDCF" w14:textId="4795AC7B" w:rsidR="00FC285C" w:rsidRDefault="00FC285C" w:rsidP="00EB1859">
                        <w:pPr>
                          <w:pStyle w:val="Diagram"/>
                        </w:pPr>
                        <w:r>
                          <w:t>This team conducts major reviews and special projects that focus on effecting systemic change.</w:t>
                        </w:r>
                      </w:p>
                      <w:p w14:paraId="76631F91" w14:textId="77777777" w:rsidR="00FC285C" w:rsidRPr="00394242" w:rsidRDefault="00FC285C" w:rsidP="00EB1859">
                        <w:pPr>
                          <w:pStyle w:val="Diagram"/>
                        </w:pPr>
                      </w:p>
                    </w:txbxContent>
                  </v:textbox>
                </v:shape>
                <v:line id="Straight Connector 203" o:spid="_x0000_s1064" style="position:absolute;visibility:visible;mso-wrap-style:square" from="64008,6687" to="64008,8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" strokecolor="black [3213]" strokeweight="1.5pt">
                  <v:stroke joinstyle="miter"/>
                </v:line>
                <v:line id="Straight Connector 204" o:spid="_x0000_s1065" style="position:absolute;visibility:visible;mso-wrap-style:square" from="59777,9061" to="70445,9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" strokecolor="black [3213]" strokeweight="3pt">
                  <v:stroke joinstyle="miter"/>
                </v:line>
                <v:line id="Straight Connector 205" o:spid="_x0000_s1066" style="position:absolute;visibility:visible;mso-wrap-style:square" from="59640,22709" to="70308,22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" strokecolor="black [3213]" strokeweight="3pt">
                  <v:stroke joinstyle="miter"/>
                </v:line>
                <v:line id="Straight Connector 206" o:spid="_x0000_s1067" style="position:absolute;visibility:visible;mso-wrap-style:square" from="65099,18015" to="65099,22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" strokecolor="black [3213]" strokeweight="1.5pt">
                  <v:stroke joinstyle="miter"/>
                </v:line>
                <w10:wrap anchorx="page"/>
              </v:group>
            </w:pict>
          </mc:Fallback>
        </mc:AlternateContent>
      </w:r>
    </w:p>
    <w:p w14:paraId="23EB5E0F" w14:textId="77777777" w:rsidR="00FC285C" w:rsidRDefault="00FC285C" w:rsidP="00EB1859"/>
    <w:p w14:paraId="1784260A" w14:textId="77777777" w:rsidR="00FC285C" w:rsidRDefault="00FC285C" w:rsidP="00EB1859">
      <w:r>
        <w:br w:type="page"/>
      </w:r>
    </w:p>
    <w:p w14:paraId="43B41723" w14:textId="77777777" w:rsidR="00FC285C" w:rsidRPr="009A0494" w:rsidRDefault="00FC285C" w:rsidP="00EB1859">
      <w:pPr>
        <w:pStyle w:val="Heading1Black"/>
      </w:pPr>
      <w:bookmarkStart w:id="310" w:name="_Toc143678752"/>
      <w:bookmarkStart w:id="311" w:name="_Toc144200532"/>
      <w:r>
        <w:lastRenderedPageBreak/>
        <w:t>Appendix F: Certified financial statements</w:t>
      </w:r>
      <w:bookmarkEnd w:id="310"/>
      <w:bookmarkEnd w:id="311"/>
      <w:r>
        <w:t xml:space="preserve"> </w:t>
      </w:r>
    </w:p>
    <w:p w14:paraId="5FAB1758" w14:textId="77777777" w:rsidR="00E32E4E" w:rsidRPr="00E32E4E" w:rsidRDefault="00E32E4E" w:rsidP="00EB1859"/>
    <w:p w14:paraId="0578DF95" w14:textId="77777777" w:rsidR="00A52242" w:rsidRPr="00A52242" w:rsidRDefault="00A52242" w:rsidP="00EB1859"/>
    <w:sectPr w:rsidR="00A52242" w:rsidRPr="00A52242" w:rsidSect="00FC285C">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29371" w14:textId="77777777" w:rsidR="00A52242" w:rsidRDefault="00A52242" w:rsidP="00EB1859">
      <w:r>
        <w:separator/>
      </w:r>
    </w:p>
  </w:endnote>
  <w:endnote w:type="continuationSeparator" w:id="0">
    <w:p w14:paraId="35A8F16F" w14:textId="77777777" w:rsidR="00A52242" w:rsidRDefault="00A52242" w:rsidP="00EB1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Fira Sans">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4ED54" w14:textId="0270BC90" w:rsidR="00FC285C" w:rsidRPr="006D5673" w:rsidRDefault="006D5673" w:rsidP="00EB1859">
    <w:pPr>
      <w:pStyle w:val="Footer"/>
      <w:rPr>
        <w:lang w:val="en-GB"/>
      </w:rPr>
    </w:pPr>
    <w:r>
      <w:rPr>
        <w:lang w:val="en-GB"/>
      </w:rPr>
      <w:t>Queensland Human Rights Commission | qhrc.qld.gov.au</w:t>
    </w:r>
    <w:r>
      <w:rPr>
        <w:lang w:val="en-GB"/>
      </w:rPr>
      <w:tab/>
    </w:r>
    <w:r w:rsidRPr="006D5673">
      <w:rPr>
        <w:lang w:val="en-GB"/>
      </w:rPr>
      <w:fldChar w:fldCharType="begin"/>
    </w:r>
    <w:r w:rsidRPr="006D5673">
      <w:rPr>
        <w:lang w:val="en-GB"/>
      </w:rPr>
      <w:instrText xml:space="preserve"> PAGE   \* MERGEFORMAT </w:instrText>
    </w:r>
    <w:r w:rsidRPr="006D5673">
      <w:rPr>
        <w:lang w:val="en-GB"/>
      </w:rPr>
      <w:fldChar w:fldCharType="separate"/>
    </w:r>
    <w:r w:rsidRPr="006D5673">
      <w:rPr>
        <w:noProof/>
        <w:lang w:val="en-GB"/>
      </w:rPr>
      <w:t>1</w:t>
    </w:r>
    <w:r w:rsidRPr="006D5673">
      <w:rPr>
        <w:noProof/>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94EA1" w14:textId="627EFCEF" w:rsidR="00FC285C" w:rsidRPr="006D5673" w:rsidRDefault="006D5673" w:rsidP="00EB1859">
    <w:pPr>
      <w:pStyle w:val="Footer"/>
      <w:rPr>
        <w:lang w:val="en-GB"/>
      </w:rPr>
    </w:pPr>
    <w:r>
      <w:rPr>
        <w:lang w:val="en-GB"/>
      </w:rPr>
      <w:t>Annual Report 2022-23</w:t>
    </w:r>
    <w:r>
      <w:rPr>
        <w:lang w:val="en-GB"/>
      </w:rPr>
      <w:tab/>
    </w:r>
    <w:r>
      <w:rPr>
        <w:lang w:val="en-GB"/>
      </w:rPr>
      <w:tab/>
    </w:r>
    <w:r w:rsidRPr="006D5673">
      <w:rPr>
        <w:lang w:val="en-GB"/>
      </w:rPr>
      <w:fldChar w:fldCharType="begin"/>
    </w:r>
    <w:r w:rsidRPr="006D5673">
      <w:rPr>
        <w:lang w:val="en-GB"/>
      </w:rPr>
      <w:instrText xml:space="preserve"> PAGE   \* MERGEFORMAT </w:instrText>
    </w:r>
    <w:r w:rsidRPr="006D5673">
      <w:rPr>
        <w:lang w:val="en-GB"/>
      </w:rPr>
      <w:fldChar w:fldCharType="separate"/>
    </w:r>
    <w:r w:rsidRPr="006D5673">
      <w:rPr>
        <w:noProof/>
        <w:lang w:val="en-GB"/>
      </w:rPr>
      <w:t>1</w:t>
    </w:r>
    <w:r w:rsidRPr="006D5673">
      <w:rPr>
        <w:noProof/>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AA30A" w14:textId="77777777" w:rsidR="00913E95" w:rsidRDefault="00913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6D4DC" w14:textId="77777777" w:rsidR="00A52242" w:rsidRDefault="00A52242" w:rsidP="00EB1859">
      <w:r>
        <w:separator/>
      </w:r>
    </w:p>
  </w:footnote>
  <w:footnote w:type="continuationSeparator" w:id="0">
    <w:p w14:paraId="7971405E" w14:textId="77777777" w:rsidR="00A52242" w:rsidRDefault="00A52242" w:rsidP="00EB1859">
      <w:r>
        <w:continuationSeparator/>
      </w:r>
    </w:p>
  </w:footnote>
  <w:footnote w:id="1">
    <w:p w14:paraId="20F11D67" w14:textId="77777777" w:rsidR="00A52242" w:rsidRPr="00850BE3" w:rsidRDefault="00A52242" w:rsidP="00850BE3">
      <w:pPr>
        <w:pStyle w:val="FootnoteText"/>
        <w:ind w:right="521"/>
        <w:rPr>
          <w:rFonts w:ascii="Arial" w:hAnsi="Arial" w:cs="Arial"/>
          <w:lang w:val="en-US"/>
        </w:rPr>
      </w:pPr>
      <w:r w:rsidRPr="00850BE3">
        <w:rPr>
          <w:rStyle w:val="FootnoteReference"/>
          <w:rFonts w:ascii="Arial" w:hAnsi="Arial" w:cs="Arial"/>
        </w:rPr>
        <w:footnoteRef/>
      </w:r>
      <w:r w:rsidRPr="00850BE3">
        <w:rPr>
          <w:rFonts w:ascii="Arial" w:hAnsi="Arial" w:cs="Arial"/>
        </w:rPr>
        <w:t xml:space="preserve"> </w:t>
      </w:r>
      <w:r w:rsidRPr="00850BE3">
        <w:rPr>
          <w:rFonts w:ascii="Arial" w:hAnsi="Arial" w:cs="Arial"/>
          <w:i/>
          <w:iCs/>
          <w:lang w:val="en-US"/>
        </w:rPr>
        <w:t>Burleigh Town Village Pty Ltd (3)</w:t>
      </w:r>
      <w:r w:rsidRPr="00850BE3">
        <w:rPr>
          <w:rFonts w:ascii="Arial" w:hAnsi="Arial" w:cs="Arial"/>
          <w:lang w:val="en-US"/>
        </w:rPr>
        <w:t xml:space="preserve"> [2022] QCAT 285 (27 July 2022); and </w:t>
      </w:r>
      <w:r w:rsidRPr="00850BE3">
        <w:rPr>
          <w:rFonts w:ascii="Arial" w:hAnsi="Arial" w:cs="Arial"/>
          <w:i/>
          <w:iCs/>
          <w:lang w:val="en-US"/>
        </w:rPr>
        <w:t>Surtie Enterprises Pty Ltd T/A Greenbank Gardens Manufactured Home Park</w:t>
      </w:r>
      <w:r w:rsidRPr="00850BE3">
        <w:rPr>
          <w:rFonts w:ascii="Arial" w:hAnsi="Arial" w:cs="Arial"/>
          <w:lang w:val="en-US"/>
        </w:rPr>
        <w:t xml:space="preserve"> [2023] QCAT 228 (26 June 2023).</w:t>
      </w:r>
    </w:p>
  </w:footnote>
  <w:footnote w:id="2">
    <w:p w14:paraId="5D01BDBA" w14:textId="77777777" w:rsidR="00A52242" w:rsidRPr="00850BE3" w:rsidRDefault="00A52242" w:rsidP="004401CD">
      <w:pPr>
        <w:pStyle w:val="FootnoteText"/>
        <w:ind w:right="521"/>
        <w:rPr>
          <w:rFonts w:ascii="Arial" w:hAnsi="Arial" w:cs="Arial"/>
          <w:lang w:val="en-US"/>
        </w:rPr>
      </w:pPr>
      <w:r w:rsidRPr="00850BE3">
        <w:rPr>
          <w:rStyle w:val="FootnoteReference"/>
          <w:rFonts w:ascii="Arial" w:hAnsi="Arial" w:cs="Arial"/>
        </w:rPr>
        <w:footnoteRef/>
      </w:r>
      <w:r w:rsidRPr="00850BE3">
        <w:rPr>
          <w:rFonts w:ascii="Arial" w:hAnsi="Arial" w:cs="Arial"/>
        </w:rPr>
        <w:t xml:space="preserve"> </w:t>
      </w:r>
      <w:r w:rsidRPr="00850BE3">
        <w:rPr>
          <w:rFonts w:ascii="Arial" w:hAnsi="Arial" w:cs="Arial"/>
          <w:i/>
          <w:iCs/>
          <w:lang w:val="en-US"/>
        </w:rPr>
        <w:t>Seachange Retirement Village Management Pty Ltd</w:t>
      </w:r>
      <w:r w:rsidRPr="00850BE3">
        <w:rPr>
          <w:rFonts w:ascii="Arial" w:hAnsi="Arial" w:cs="Arial"/>
          <w:lang w:val="en-US"/>
        </w:rPr>
        <w:t xml:space="preserve"> [2022] QCAT 246 (5 July 2022).</w:t>
      </w:r>
    </w:p>
  </w:footnote>
  <w:footnote w:id="3">
    <w:p w14:paraId="26D86316" w14:textId="77777777" w:rsidR="00A52242" w:rsidRPr="00850BE3" w:rsidRDefault="00A52242" w:rsidP="004401CD">
      <w:pPr>
        <w:pStyle w:val="FootnoteText"/>
        <w:ind w:right="521"/>
        <w:rPr>
          <w:rFonts w:ascii="Arial" w:hAnsi="Arial" w:cs="Arial"/>
          <w:lang w:val="en-US"/>
        </w:rPr>
      </w:pPr>
      <w:r w:rsidRPr="00850BE3">
        <w:rPr>
          <w:rStyle w:val="FootnoteReference"/>
          <w:rFonts w:ascii="Arial" w:hAnsi="Arial" w:cs="Arial"/>
        </w:rPr>
        <w:footnoteRef/>
      </w:r>
      <w:r w:rsidRPr="00850BE3">
        <w:rPr>
          <w:rFonts w:ascii="Arial" w:hAnsi="Arial" w:cs="Arial"/>
        </w:rPr>
        <w:t xml:space="preserve"> </w:t>
      </w:r>
      <w:r w:rsidRPr="00850BE3">
        <w:rPr>
          <w:rFonts w:ascii="Arial" w:hAnsi="Arial" w:cs="Arial"/>
          <w:i/>
          <w:iCs/>
          <w:lang w:val="en-US"/>
        </w:rPr>
        <w:t>Re: Cobham Aviation Services Australia Pty Ltd &amp; Ors</w:t>
      </w:r>
      <w:r w:rsidRPr="00850BE3">
        <w:rPr>
          <w:rFonts w:ascii="Arial" w:hAnsi="Arial" w:cs="Arial"/>
          <w:lang w:val="en-US"/>
        </w:rPr>
        <w:t xml:space="preserve"> [2022] QIRC 326 (19 August 2022); and </w:t>
      </w:r>
      <w:r w:rsidRPr="00850BE3">
        <w:rPr>
          <w:rFonts w:ascii="Arial" w:hAnsi="Arial" w:cs="Arial"/>
          <w:i/>
          <w:iCs/>
          <w:lang w:val="en-US"/>
        </w:rPr>
        <w:t>Re: Rheinmetall Defence Australia Pty Ltd</w:t>
      </w:r>
      <w:r w:rsidRPr="00850BE3">
        <w:rPr>
          <w:rFonts w:ascii="Arial" w:hAnsi="Arial" w:cs="Arial"/>
          <w:lang w:val="en-US"/>
        </w:rPr>
        <w:t xml:space="preserve"> [2022] QIRC 440 (14 November 2022).</w:t>
      </w:r>
    </w:p>
  </w:footnote>
  <w:footnote w:id="4">
    <w:p w14:paraId="565E06A7" w14:textId="77777777" w:rsidR="00A52242" w:rsidRPr="00850BE3" w:rsidRDefault="00A52242" w:rsidP="004401CD">
      <w:pPr>
        <w:pStyle w:val="FootnoteText"/>
        <w:ind w:right="521"/>
        <w:rPr>
          <w:rFonts w:ascii="Arial" w:hAnsi="Arial" w:cs="Arial"/>
          <w:lang w:val="en-US"/>
        </w:rPr>
      </w:pPr>
      <w:r w:rsidRPr="00850BE3">
        <w:rPr>
          <w:rStyle w:val="FootnoteReference"/>
          <w:rFonts w:ascii="Arial" w:hAnsi="Arial" w:cs="Arial"/>
        </w:rPr>
        <w:footnoteRef/>
      </w:r>
      <w:r w:rsidRPr="00850BE3">
        <w:rPr>
          <w:rFonts w:ascii="Arial" w:hAnsi="Arial" w:cs="Arial"/>
        </w:rPr>
        <w:t xml:space="preserve"> </w:t>
      </w:r>
      <w:r w:rsidRPr="00850BE3">
        <w:rPr>
          <w:rFonts w:ascii="Arial" w:hAnsi="Arial" w:cs="Arial"/>
          <w:i/>
          <w:iCs/>
        </w:rPr>
        <w:t>Anti-Discrimination Act 1991</w:t>
      </w:r>
      <w:r w:rsidRPr="00850BE3">
        <w:rPr>
          <w:rFonts w:ascii="Arial" w:hAnsi="Arial" w:cs="Arial"/>
        </w:rPr>
        <w:t>, section 175.</w:t>
      </w:r>
    </w:p>
  </w:footnote>
  <w:footnote w:id="5">
    <w:p w14:paraId="70320F54" w14:textId="77777777" w:rsidR="00A52242" w:rsidRPr="00850BE3" w:rsidRDefault="00A52242" w:rsidP="004401CD">
      <w:pPr>
        <w:pStyle w:val="FootnoteText"/>
        <w:ind w:right="521"/>
        <w:rPr>
          <w:rFonts w:ascii="Arial" w:hAnsi="Arial" w:cs="Arial"/>
          <w:lang w:val="en-US"/>
        </w:rPr>
      </w:pPr>
      <w:r w:rsidRPr="00850BE3">
        <w:rPr>
          <w:rStyle w:val="FootnoteReference"/>
          <w:rFonts w:ascii="Arial" w:hAnsi="Arial" w:cs="Arial"/>
        </w:rPr>
        <w:footnoteRef/>
      </w:r>
      <w:r w:rsidRPr="00850BE3">
        <w:rPr>
          <w:rFonts w:ascii="Arial" w:hAnsi="Arial" w:cs="Arial"/>
        </w:rPr>
        <w:t xml:space="preserve"> </w:t>
      </w:r>
      <w:r w:rsidRPr="00850BE3">
        <w:rPr>
          <w:rFonts w:ascii="Arial" w:hAnsi="Arial" w:cs="Arial"/>
          <w:i/>
          <w:iCs/>
        </w:rPr>
        <w:t>Anti-Discrimination Act 1991</w:t>
      </w:r>
      <w:r w:rsidRPr="00850BE3">
        <w:rPr>
          <w:rFonts w:ascii="Arial" w:hAnsi="Arial" w:cs="Arial"/>
        </w:rPr>
        <w:t>, section 113.</w:t>
      </w:r>
    </w:p>
  </w:footnote>
  <w:footnote w:id="6">
    <w:p w14:paraId="4B83017A" w14:textId="77777777" w:rsidR="00A52242" w:rsidRPr="00850BE3" w:rsidRDefault="00A52242" w:rsidP="004401CD">
      <w:pPr>
        <w:pStyle w:val="FootnoteText"/>
        <w:ind w:right="521"/>
        <w:rPr>
          <w:rFonts w:ascii="Arial" w:hAnsi="Arial" w:cs="Arial"/>
          <w:lang w:val="en-US"/>
        </w:rPr>
      </w:pPr>
      <w:r w:rsidRPr="00850BE3">
        <w:rPr>
          <w:rStyle w:val="FootnoteReference"/>
          <w:rFonts w:ascii="Arial" w:hAnsi="Arial" w:cs="Arial"/>
        </w:rPr>
        <w:footnoteRef/>
      </w:r>
      <w:r w:rsidRPr="00850BE3">
        <w:rPr>
          <w:rFonts w:ascii="Arial" w:hAnsi="Arial" w:cs="Arial"/>
        </w:rPr>
        <w:t xml:space="preserve"> </w:t>
      </w:r>
      <w:r w:rsidRPr="00850BE3">
        <w:rPr>
          <w:rFonts w:ascii="Arial" w:hAnsi="Arial" w:cs="Arial"/>
          <w:i/>
          <w:iCs/>
        </w:rPr>
        <w:t>Anti-Discrimination Act 1991</w:t>
      </w:r>
      <w:r w:rsidRPr="00850BE3">
        <w:rPr>
          <w:rFonts w:ascii="Arial" w:hAnsi="Arial" w:cs="Arial"/>
        </w:rPr>
        <w:t>, section 144.</w:t>
      </w:r>
    </w:p>
  </w:footnote>
  <w:footnote w:id="7">
    <w:p w14:paraId="7BDC77D0" w14:textId="77777777" w:rsidR="00A52242" w:rsidRPr="00850BE3" w:rsidRDefault="00A52242" w:rsidP="004401CD">
      <w:pPr>
        <w:pStyle w:val="FootnoteText"/>
        <w:ind w:right="521"/>
        <w:rPr>
          <w:rFonts w:ascii="Arial" w:hAnsi="Arial" w:cs="Arial"/>
          <w:lang w:val="en-US"/>
        </w:rPr>
      </w:pPr>
      <w:r w:rsidRPr="00850BE3">
        <w:rPr>
          <w:rStyle w:val="FootnoteReference"/>
          <w:rFonts w:ascii="Arial" w:hAnsi="Arial" w:cs="Arial"/>
        </w:rPr>
        <w:footnoteRef/>
      </w:r>
      <w:r w:rsidRPr="00850BE3">
        <w:rPr>
          <w:rFonts w:ascii="Arial" w:hAnsi="Arial" w:cs="Arial"/>
        </w:rPr>
        <w:t xml:space="preserve"> </w:t>
      </w:r>
      <w:r w:rsidRPr="00850BE3">
        <w:rPr>
          <w:rFonts w:ascii="Arial" w:hAnsi="Arial" w:cs="Arial"/>
          <w:i/>
          <w:iCs/>
        </w:rPr>
        <w:t>Anti-Discrimination Act 1991</w:t>
      </w:r>
      <w:r w:rsidRPr="00850BE3">
        <w:rPr>
          <w:rFonts w:ascii="Arial" w:hAnsi="Arial" w:cs="Arial"/>
        </w:rPr>
        <w:t>, section 169.</w:t>
      </w:r>
    </w:p>
  </w:footnote>
  <w:footnote w:id="8">
    <w:p w14:paraId="53ED663D" w14:textId="77777777" w:rsidR="00A52242" w:rsidRPr="00850BE3" w:rsidRDefault="00A52242" w:rsidP="004401CD">
      <w:pPr>
        <w:pStyle w:val="FootnoteText"/>
        <w:ind w:right="521"/>
        <w:rPr>
          <w:rFonts w:ascii="Arial" w:hAnsi="Arial" w:cs="Arial"/>
          <w:lang w:val="en-US"/>
        </w:rPr>
      </w:pPr>
      <w:r w:rsidRPr="00850BE3">
        <w:rPr>
          <w:rStyle w:val="FootnoteReference"/>
          <w:rFonts w:ascii="Arial" w:hAnsi="Arial" w:cs="Arial"/>
        </w:rPr>
        <w:footnoteRef/>
      </w:r>
      <w:r w:rsidRPr="00850BE3">
        <w:rPr>
          <w:rFonts w:ascii="Arial" w:hAnsi="Arial" w:cs="Arial"/>
        </w:rPr>
        <w:t xml:space="preserve"> </w:t>
      </w:r>
      <w:r w:rsidRPr="00850BE3">
        <w:rPr>
          <w:rFonts w:ascii="Arial" w:hAnsi="Arial" w:cs="Arial"/>
          <w:i/>
          <w:iCs/>
        </w:rPr>
        <w:t>Anti-Discrimination Act 1991</w:t>
      </w:r>
      <w:r w:rsidRPr="00850BE3">
        <w:rPr>
          <w:rFonts w:ascii="Arial" w:hAnsi="Arial" w:cs="Arial"/>
        </w:rPr>
        <w:t>, section 228.</w:t>
      </w:r>
    </w:p>
  </w:footnote>
  <w:footnote w:id="9">
    <w:p w14:paraId="55781FC7" w14:textId="77777777" w:rsidR="00A52242" w:rsidRPr="004401CD" w:rsidRDefault="00A52242" w:rsidP="004401CD">
      <w:pPr>
        <w:pStyle w:val="FootnoteText"/>
        <w:ind w:right="521"/>
        <w:rPr>
          <w:rFonts w:ascii="Arial" w:hAnsi="Arial" w:cs="Arial"/>
          <w:lang w:val="en-US"/>
        </w:rPr>
      </w:pPr>
      <w:r w:rsidRPr="004401CD">
        <w:rPr>
          <w:rStyle w:val="FootnoteReference"/>
          <w:rFonts w:ascii="Arial" w:hAnsi="Arial" w:cs="Arial"/>
        </w:rPr>
        <w:footnoteRef/>
      </w:r>
      <w:r w:rsidRPr="004401CD">
        <w:rPr>
          <w:rFonts w:ascii="Arial" w:hAnsi="Arial" w:cs="Arial"/>
        </w:rPr>
        <w:t xml:space="preserve"> </w:t>
      </w:r>
      <w:r w:rsidRPr="004401CD">
        <w:rPr>
          <w:rFonts w:ascii="Arial" w:hAnsi="Arial" w:cs="Arial"/>
          <w:i/>
          <w:iCs/>
          <w:lang w:val="en-US"/>
        </w:rPr>
        <w:t>Matthews v Woombye Pub Trading Pty Ltd</w:t>
      </w:r>
      <w:r w:rsidRPr="004401CD">
        <w:rPr>
          <w:rFonts w:ascii="Arial" w:hAnsi="Arial" w:cs="Arial"/>
          <w:lang w:val="en-US"/>
        </w:rPr>
        <w:t xml:space="preserve"> [2022] QCAT 301 (2 August 2022).</w:t>
      </w:r>
    </w:p>
  </w:footnote>
  <w:footnote w:id="10">
    <w:p w14:paraId="7C680B87" w14:textId="77777777" w:rsidR="00A52242" w:rsidRPr="004401CD" w:rsidRDefault="00A52242" w:rsidP="00EB1859">
      <w:pPr>
        <w:pStyle w:val="FootnoteText"/>
        <w:rPr>
          <w:rFonts w:ascii="Arial" w:hAnsi="Arial" w:cs="Arial"/>
          <w:lang w:val="en-US"/>
        </w:rPr>
      </w:pPr>
      <w:r w:rsidRPr="004401CD">
        <w:rPr>
          <w:rStyle w:val="FootnoteReference"/>
          <w:rFonts w:ascii="Arial" w:hAnsi="Arial" w:cs="Arial"/>
        </w:rPr>
        <w:footnoteRef/>
      </w:r>
      <w:r w:rsidRPr="004401CD">
        <w:rPr>
          <w:rFonts w:ascii="Arial" w:hAnsi="Arial" w:cs="Arial"/>
        </w:rPr>
        <w:t xml:space="preserve"> </w:t>
      </w:r>
      <w:r w:rsidRPr="004401CD">
        <w:rPr>
          <w:rFonts w:ascii="Arial" w:hAnsi="Arial" w:cs="Arial"/>
          <w:i/>
          <w:iCs/>
          <w:lang w:val="en-US"/>
        </w:rPr>
        <w:t xml:space="preserve">Huenerberg v Murray </w:t>
      </w:r>
      <w:r w:rsidRPr="004401CD">
        <w:rPr>
          <w:rFonts w:ascii="Arial" w:hAnsi="Arial" w:cs="Arial"/>
          <w:lang w:val="en-US"/>
        </w:rPr>
        <w:t>[2023] QCAT 175 (2 May 2023).</w:t>
      </w:r>
    </w:p>
  </w:footnote>
  <w:footnote w:id="11">
    <w:p w14:paraId="3E8F2C02" w14:textId="7E5B256A" w:rsidR="00A52242" w:rsidRPr="004401CD" w:rsidRDefault="00A52242" w:rsidP="004401CD">
      <w:pPr>
        <w:pStyle w:val="FootnoteText"/>
        <w:ind w:right="521"/>
        <w:rPr>
          <w:rFonts w:ascii="Arial" w:hAnsi="Arial" w:cs="Arial"/>
          <w:lang w:val="en-US"/>
        </w:rPr>
      </w:pPr>
      <w:r w:rsidRPr="004401CD">
        <w:rPr>
          <w:rStyle w:val="FootnoteReference"/>
          <w:rFonts w:ascii="Arial" w:hAnsi="Arial" w:cs="Arial"/>
        </w:rPr>
        <w:footnoteRef/>
      </w:r>
      <w:r w:rsidRPr="004401CD">
        <w:rPr>
          <w:rFonts w:ascii="Arial" w:hAnsi="Arial" w:cs="Arial"/>
        </w:rPr>
        <w:t xml:space="preserve"> </w:t>
      </w:r>
      <w:r w:rsidRPr="004401CD">
        <w:rPr>
          <w:rFonts w:ascii="Arial" w:hAnsi="Arial" w:cs="Arial"/>
          <w:i/>
          <w:iCs/>
          <w:lang w:val="en-US"/>
        </w:rPr>
        <w:t xml:space="preserve">Gitau </w:t>
      </w:r>
      <w:r w:rsidR="00483829">
        <w:rPr>
          <w:rFonts w:ascii="Arial" w:hAnsi="Arial" w:cs="Arial"/>
          <w:i/>
          <w:iCs/>
          <w:lang w:val="en-US"/>
        </w:rPr>
        <w:t>&amp;</w:t>
      </w:r>
      <w:r w:rsidRPr="004401CD">
        <w:rPr>
          <w:rFonts w:ascii="Arial" w:hAnsi="Arial" w:cs="Arial"/>
          <w:i/>
          <w:iCs/>
          <w:lang w:val="en-US"/>
        </w:rPr>
        <w:t xml:space="preserve"> Ng’ang’a v De Soysa Walsh Pty Ltd, Walsh &amp; Boles</w:t>
      </w:r>
      <w:r w:rsidRPr="004401CD">
        <w:rPr>
          <w:rFonts w:ascii="Arial" w:hAnsi="Arial" w:cs="Arial"/>
          <w:lang w:val="en-US"/>
        </w:rPr>
        <w:t xml:space="preserve"> [2023] QCAT 189 (22 May 2023).</w:t>
      </w:r>
    </w:p>
  </w:footnote>
  <w:footnote w:id="12">
    <w:p w14:paraId="15982D35" w14:textId="77777777" w:rsidR="00A52242" w:rsidRPr="008540FE" w:rsidRDefault="00A52242" w:rsidP="004401CD">
      <w:pPr>
        <w:pStyle w:val="FootnoteText"/>
        <w:ind w:right="521"/>
        <w:rPr>
          <w:rFonts w:ascii="Arial" w:hAnsi="Arial" w:cs="Arial"/>
          <w:lang w:val="en-US"/>
        </w:rPr>
      </w:pPr>
      <w:r w:rsidRPr="008540FE">
        <w:rPr>
          <w:rStyle w:val="FootnoteReference"/>
          <w:rFonts w:ascii="Arial" w:hAnsi="Arial" w:cs="Arial"/>
        </w:rPr>
        <w:footnoteRef/>
      </w:r>
      <w:r w:rsidRPr="008540FE">
        <w:rPr>
          <w:rFonts w:ascii="Arial" w:hAnsi="Arial" w:cs="Arial"/>
        </w:rPr>
        <w:t xml:space="preserve"> </w:t>
      </w:r>
      <w:r w:rsidRPr="008540FE">
        <w:rPr>
          <w:rFonts w:ascii="Arial" w:hAnsi="Arial" w:cs="Arial"/>
          <w:i/>
          <w:iCs/>
        </w:rPr>
        <w:t xml:space="preserve">BA, DC, FE v State of Queensland </w:t>
      </w:r>
      <w:r w:rsidRPr="008540FE">
        <w:rPr>
          <w:rFonts w:ascii="Arial" w:hAnsi="Arial" w:cs="Arial"/>
        </w:rPr>
        <w:t>[2022] QCAT 332 (2 September 2022).</w:t>
      </w:r>
    </w:p>
  </w:footnote>
  <w:footnote w:id="13">
    <w:p w14:paraId="0A0B13FD" w14:textId="77777777" w:rsidR="00A52242" w:rsidRPr="008540FE" w:rsidRDefault="00A52242" w:rsidP="004401CD">
      <w:pPr>
        <w:pStyle w:val="FootnoteText"/>
        <w:ind w:right="521"/>
        <w:rPr>
          <w:rFonts w:ascii="Arial" w:hAnsi="Arial" w:cs="Arial"/>
          <w:lang w:val="en-US"/>
        </w:rPr>
      </w:pPr>
      <w:r w:rsidRPr="008540FE">
        <w:rPr>
          <w:rStyle w:val="FootnoteReference"/>
          <w:rFonts w:ascii="Arial" w:hAnsi="Arial" w:cs="Arial"/>
        </w:rPr>
        <w:footnoteRef/>
      </w:r>
      <w:r w:rsidRPr="008540FE">
        <w:rPr>
          <w:rFonts w:ascii="Arial" w:hAnsi="Arial" w:cs="Arial"/>
        </w:rPr>
        <w:t xml:space="preserve"> </w:t>
      </w:r>
      <w:r w:rsidRPr="008540FE">
        <w:rPr>
          <w:rFonts w:ascii="Arial" w:hAnsi="Arial" w:cs="Arial"/>
          <w:lang w:val="en-US"/>
        </w:rPr>
        <w:t>Australian Christian College Moreton Ltd &amp; Anor v Taniela [2022] QCATA 118 (9 August 2022); and State of Queensland v Mizner [2022] QCATA 149 (11 October 2022).</w:t>
      </w:r>
    </w:p>
  </w:footnote>
  <w:footnote w:id="14">
    <w:p w14:paraId="660A7A32" w14:textId="77777777" w:rsidR="00A52242" w:rsidRPr="008540FE" w:rsidRDefault="00A52242" w:rsidP="004401CD">
      <w:pPr>
        <w:pStyle w:val="FootnoteText"/>
        <w:ind w:right="521"/>
        <w:rPr>
          <w:rFonts w:ascii="Arial" w:hAnsi="Arial" w:cs="Arial"/>
          <w:lang w:val="en-US"/>
        </w:rPr>
      </w:pPr>
      <w:r w:rsidRPr="008540FE">
        <w:rPr>
          <w:rStyle w:val="FootnoteReference"/>
          <w:rFonts w:ascii="Arial" w:hAnsi="Arial" w:cs="Arial"/>
        </w:rPr>
        <w:footnoteRef/>
      </w:r>
      <w:r w:rsidRPr="008540FE">
        <w:rPr>
          <w:rFonts w:ascii="Arial" w:hAnsi="Arial" w:cs="Arial"/>
        </w:rPr>
        <w:t xml:space="preserve"> </w:t>
      </w:r>
      <w:r w:rsidRPr="008540FE">
        <w:rPr>
          <w:rFonts w:ascii="Arial" w:hAnsi="Arial" w:cs="Arial"/>
          <w:lang w:val="en-US"/>
        </w:rPr>
        <w:t>Jin v State of Queensland (Department of Communities, Housing and Digital Economy) &amp; Anor [2023] ICQ 10 (30 May 2023); and Robertson v McDonald’s Australia Limited (No 3) [2023] ICQ 11 (5 June 2023).</w:t>
      </w:r>
    </w:p>
  </w:footnote>
  <w:footnote w:id="15">
    <w:p w14:paraId="24A29460" w14:textId="77777777" w:rsidR="008B3FBA" w:rsidRPr="00D02A58" w:rsidRDefault="008B3FBA" w:rsidP="00D02A58">
      <w:pPr>
        <w:pStyle w:val="FootnoteText"/>
        <w:ind w:right="521"/>
        <w:rPr>
          <w:rFonts w:ascii="Arial" w:hAnsi="Arial" w:cs="Arial"/>
          <w:lang w:val="en-US"/>
        </w:rPr>
      </w:pPr>
      <w:r w:rsidRPr="00D02A58">
        <w:rPr>
          <w:rStyle w:val="FootnoteReference"/>
          <w:rFonts w:ascii="Arial" w:hAnsi="Arial" w:cs="Arial"/>
        </w:rPr>
        <w:footnoteRef/>
      </w:r>
      <w:r w:rsidRPr="00D02A58">
        <w:rPr>
          <w:rFonts w:ascii="Arial" w:hAnsi="Arial" w:cs="Arial"/>
        </w:rPr>
        <w:t xml:space="preserve"> </w:t>
      </w:r>
      <w:r w:rsidRPr="00D02A58">
        <w:rPr>
          <w:rFonts w:ascii="Arial" w:hAnsi="Arial" w:cs="Arial"/>
          <w:lang w:val="en-US"/>
        </w:rPr>
        <w:t>2022-23 Queensland State Budget – Service Delivery Statements – Queensland Human Rights Commission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A651F" w14:textId="77777777" w:rsidR="00913E95" w:rsidRDefault="00913E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9737F" w14:textId="5F7A7DE6" w:rsidR="00886B17" w:rsidRDefault="00886B17">
    <w:pPr>
      <w:pStyle w:val="Header"/>
    </w:pPr>
    <w:r>
      <w:rPr>
        <w:noProof/>
      </w:rPr>
      <w:drawing>
        <wp:anchor distT="0" distB="0" distL="114300" distR="114300" simplePos="0" relativeHeight="251658240" behindDoc="1" locked="0" layoutInCell="1" allowOverlap="1" wp14:anchorId="793CCEB2" wp14:editId="7C9B4561">
          <wp:simplePos x="0" y="0"/>
          <wp:positionH relativeFrom="rightMargin">
            <wp:posOffset>-4385310</wp:posOffset>
          </wp:positionH>
          <wp:positionV relativeFrom="paragraph">
            <wp:posOffset>4230370</wp:posOffset>
          </wp:positionV>
          <wp:extent cx="10992580" cy="1111924"/>
          <wp:effectExtent l="6350" t="0" r="5715" b="5715"/>
          <wp:wrapNone/>
          <wp:docPr id="209" name="Picture 2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Picture 20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16200000">
                    <a:off x="0" y="0"/>
                    <a:ext cx="10992580" cy="1111924"/>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80E4A" w14:textId="77777777" w:rsidR="00913E95" w:rsidRDefault="00913E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ACC098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1B5A98"/>
    <w:multiLevelType w:val="hybridMultilevel"/>
    <w:tmpl w:val="AA2A9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952B22"/>
    <w:multiLevelType w:val="hybridMultilevel"/>
    <w:tmpl w:val="E724EC32"/>
    <w:lvl w:ilvl="0" w:tplc="50984DEE">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A37F63"/>
    <w:multiLevelType w:val="hybridMultilevel"/>
    <w:tmpl w:val="A3602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1A3B22"/>
    <w:multiLevelType w:val="hybridMultilevel"/>
    <w:tmpl w:val="5574BE4A"/>
    <w:lvl w:ilvl="0" w:tplc="7CA6647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250E7E"/>
    <w:multiLevelType w:val="multilevel"/>
    <w:tmpl w:val="D6D67582"/>
    <w:lvl w:ilvl="0">
      <w:start w:val="1"/>
      <w:numFmt w:val="decimal"/>
      <w:pStyle w:val="Numberedparagraph"/>
      <w:lvlText w:val="%1."/>
      <w:lvlJc w:val="left"/>
      <w:pPr>
        <w:ind w:left="567" w:hanging="567"/>
      </w:pPr>
      <w:rPr>
        <w:rFonts w:hint="default"/>
      </w:rPr>
    </w:lvl>
    <w:lvl w:ilvl="1">
      <w:start w:val="1"/>
      <w:numFmt w:val="lowerLetter"/>
      <w:lvlText w:val="%2."/>
      <w:lvlJc w:val="left"/>
      <w:pPr>
        <w:ind w:left="1077" w:hanging="357"/>
      </w:pPr>
      <w:rPr>
        <w:rFonts w:hint="default"/>
        <w:b w:val="0"/>
        <w:i w:val="0"/>
        <w:sz w:val="24"/>
      </w:rPr>
    </w:lvl>
    <w:lvl w:ilvl="2">
      <w:start w:val="1"/>
      <w:numFmt w:val="lowerRoman"/>
      <w:lvlText w:val="%3."/>
      <w:lvlJc w:val="right"/>
      <w:pPr>
        <w:ind w:left="-5274" w:hanging="113"/>
      </w:pPr>
      <w:rPr>
        <w:rFonts w:hint="default"/>
      </w:rPr>
    </w:lvl>
    <w:lvl w:ilvl="3">
      <w:start w:val="1"/>
      <w:numFmt w:val="decimal"/>
      <w:lvlText w:val="%4."/>
      <w:lvlJc w:val="left"/>
      <w:pPr>
        <w:ind w:left="-5093" w:hanging="357"/>
      </w:pPr>
      <w:rPr>
        <w:rFonts w:hint="default"/>
      </w:rPr>
    </w:lvl>
    <w:lvl w:ilvl="4">
      <w:start w:val="1"/>
      <w:numFmt w:val="lowerLetter"/>
      <w:lvlText w:val="%5."/>
      <w:lvlJc w:val="left"/>
      <w:pPr>
        <w:ind w:left="-4736" w:hanging="357"/>
      </w:pPr>
      <w:rPr>
        <w:rFonts w:hint="default"/>
      </w:rPr>
    </w:lvl>
    <w:lvl w:ilvl="5">
      <w:start w:val="1"/>
      <w:numFmt w:val="lowerRoman"/>
      <w:lvlText w:val="%6."/>
      <w:lvlJc w:val="right"/>
      <w:pPr>
        <w:ind w:left="-4379" w:hanging="357"/>
      </w:pPr>
      <w:rPr>
        <w:rFonts w:hint="default"/>
      </w:rPr>
    </w:lvl>
    <w:lvl w:ilvl="6">
      <w:start w:val="1"/>
      <w:numFmt w:val="decimal"/>
      <w:lvlText w:val="%7."/>
      <w:lvlJc w:val="left"/>
      <w:pPr>
        <w:ind w:left="-4022" w:hanging="357"/>
      </w:pPr>
      <w:rPr>
        <w:rFonts w:hint="default"/>
      </w:rPr>
    </w:lvl>
    <w:lvl w:ilvl="7">
      <w:start w:val="1"/>
      <w:numFmt w:val="lowerLetter"/>
      <w:lvlText w:val="%8."/>
      <w:lvlJc w:val="left"/>
      <w:pPr>
        <w:ind w:left="-3665" w:hanging="357"/>
      </w:pPr>
      <w:rPr>
        <w:rFonts w:hint="default"/>
      </w:rPr>
    </w:lvl>
    <w:lvl w:ilvl="8">
      <w:start w:val="1"/>
      <w:numFmt w:val="lowerRoman"/>
      <w:lvlText w:val="%9."/>
      <w:lvlJc w:val="right"/>
      <w:pPr>
        <w:ind w:left="-3308" w:hanging="357"/>
      </w:pPr>
      <w:rPr>
        <w:rFonts w:hint="default"/>
      </w:rPr>
    </w:lvl>
  </w:abstractNum>
  <w:abstractNum w:abstractNumId="6" w15:restartNumberingAfterBreak="0">
    <w:nsid w:val="1BB51691"/>
    <w:multiLevelType w:val="hybridMultilevel"/>
    <w:tmpl w:val="B53075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124923"/>
    <w:multiLevelType w:val="hybridMultilevel"/>
    <w:tmpl w:val="E7C05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DA2D8A"/>
    <w:multiLevelType w:val="hybridMultilevel"/>
    <w:tmpl w:val="A86EE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DA4696"/>
    <w:multiLevelType w:val="multilevel"/>
    <w:tmpl w:val="6D16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7D3DAD"/>
    <w:multiLevelType w:val="hybridMultilevel"/>
    <w:tmpl w:val="CE8C8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31045B"/>
    <w:multiLevelType w:val="hybridMultilevel"/>
    <w:tmpl w:val="86502D9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1546AA8"/>
    <w:multiLevelType w:val="hybridMultilevel"/>
    <w:tmpl w:val="EE200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1F64C2"/>
    <w:multiLevelType w:val="hybridMultilevel"/>
    <w:tmpl w:val="5568D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F5B25E8"/>
    <w:multiLevelType w:val="hybridMultilevel"/>
    <w:tmpl w:val="ECD66B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FDA20F5"/>
    <w:multiLevelType w:val="hybridMultilevel"/>
    <w:tmpl w:val="069CF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1B64A6"/>
    <w:multiLevelType w:val="hybridMultilevel"/>
    <w:tmpl w:val="F36AA9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9736CBD"/>
    <w:multiLevelType w:val="hybridMultilevel"/>
    <w:tmpl w:val="C366B4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EE2B94"/>
    <w:multiLevelType w:val="hybridMultilevel"/>
    <w:tmpl w:val="15AE2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5036EBA"/>
    <w:multiLevelType w:val="hybridMultilevel"/>
    <w:tmpl w:val="6554B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6FC0E07"/>
    <w:multiLevelType w:val="hybridMultilevel"/>
    <w:tmpl w:val="5D3C21F6"/>
    <w:lvl w:ilvl="0" w:tplc="1AB8621A">
      <w:start w:val="1"/>
      <w:numFmt w:val="decimal"/>
      <w:pStyle w:val="NoteIndent"/>
      <w:lvlText w:val="%1."/>
      <w:lvlJc w:val="left"/>
      <w:pPr>
        <w:ind w:left="360" w:hanging="360"/>
      </w:pPr>
      <w:rPr>
        <w:rFonts w:ascii="Arial" w:hAnsi="Arial" w:hint="default"/>
        <w:b w:val="0"/>
        <w:i w:val="0"/>
        <w:sz w:val="16"/>
        <w:u w:val="none"/>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21" w15:restartNumberingAfterBreak="0">
    <w:nsid w:val="6A905F97"/>
    <w:multiLevelType w:val="hybridMultilevel"/>
    <w:tmpl w:val="CBD2D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D67696D"/>
    <w:multiLevelType w:val="hybridMultilevel"/>
    <w:tmpl w:val="196EF686"/>
    <w:lvl w:ilvl="0" w:tplc="0C090001">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67E128E"/>
    <w:multiLevelType w:val="hybridMultilevel"/>
    <w:tmpl w:val="09AC8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7327E4F"/>
    <w:multiLevelType w:val="hybridMultilevel"/>
    <w:tmpl w:val="ED764728"/>
    <w:lvl w:ilvl="0" w:tplc="50984DEE">
      <w:start w:val="1"/>
      <w:numFmt w:val="bullet"/>
      <w:lvlText w:val=""/>
      <w:lvlJc w:val="left"/>
      <w:pPr>
        <w:ind w:left="720" w:hanging="360"/>
      </w:pPr>
      <w:rPr>
        <w:rFonts w:ascii="Wingdings" w:hAnsi="Wingdings"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D0042CC"/>
    <w:multiLevelType w:val="multilevel"/>
    <w:tmpl w:val="B9EE8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992B83"/>
    <w:multiLevelType w:val="hybridMultilevel"/>
    <w:tmpl w:val="F6908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6"/>
  </w:num>
  <w:num w:numId="3">
    <w:abstractNumId w:val="19"/>
  </w:num>
  <w:num w:numId="4">
    <w:abstractNumId w:val="4"/>
  </w:num>
  <w:num w:numId="5">
    <w:abstractNumId w:val="0"/>
  </w:num>
  <w:num w:numId="6">
    <w:abstractNumId w:val="20"/>
  </w:num>
  <w:num w:numId="7">
    <w:abstractNumId w:val="13"/>
  </w:num>
  <w:num w:numId="8">
    <w:abstractNumId w:val="10"/>
  </w:num>
  <w:num w:numId="9">
    <w:abstractNumId w:val="21"/>
  </w:num>
  <w:num w:numId="10">
    <w:abstractNumId w:val="12"/>
  </w:num>
  <w:num w:numId="11">
    <w:abstractNumId w:val="7"/>
  </w:num>
  <w:num w:numId="12">
    <w:abstractNumId w:val="1"/>
  </w:num>
  <w:num w:numId="13">
    <w:abstractNumId w:val="11"/>
  </w:num>
  <w:num w:numId="14">
    <w:abstractNumId w:val="3"/>
  </w:num>
  <w:num w:numId="15">
    <w:abstractNumId w:val="23"/>
  </w:num>
  <w:num w:numId="16">
    <w:abstractNumId w:val="8"/>
  </w:num>
  <w:num w:numId="17">
    <w:abstractNumId w:val="18"/>
  </w:num>
  <w:num w:numId="18">
    <w:abstractNumId w:val="26"/>
  </w:num>
  <w:num w:numId="19">
    <w:abstractNumId w:val="15"/>
  </w:num>
  <w:num w:numId="20">
    <w:abstractNumId w:val="16"/>
  </w:num>
  <w:num w:numId="21">
    <w:abstractNumId w:val="5"/>
  </w:num>
  <w:num w:numId="22">
    <w:abstractNumId w:val="2"/>
  </w:num>
  <w:num w:numId="23">
    <w:abstractNumId w:val="24"/>
  </w:num>
  <w:num w:numId="24">
    <w:abstractNumId w:val="17"/>
  </w:num>
  <w:num w:numId="25">
    <w:abstractNumId w:val="14"/>
  </w:num>
  <w:num w:numId="26">
    <w:abstractNumId w:val="9"/>
  </w:num>
  <w:num w:numId="27">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811"/>
    <w:rsid w:val="000056ED"/>
    <w:rsid w:val="000347E0"/>
    <w:rsid w:val="000767A8"/>
    <w:rsid w:val="000768B0"/>
    <w:rsid w:val="000E1D31"/>
    <w:rsid w:val="00104F88"/>
    <w:rsid w:val="00137493"/>
    <w:rsid w:val="001601D1"/>
    <w:rsid w:val="001604E1"/>
    <w:rsid w:val="001D16A2"/>
    <w:rsid w:val="001E582F"/>
    <w:rsid w:val="002227CC"/>
    <w:rsid w:val="00242ADB"/>
    <w:rsid w:val="00256F98"/>
    <w:rsid w:val="00261169"/>
    <w:rsid w:val="00274AD7"/>
    <w:rsid w:val="00282232"/>
    <w:rsid w:val="002D68BE"/>
    <w:rsid w:val="002E4AF0"/>
    <w:rsid w:val="002E5F94"/>
    <w:rsid w:val="00325447"/>
    <w:rsid w:val="0036058A"/>
    <w:rsid w:val="003E0063"/>
    <w:rsid w:val="003E19E6"/>
    <w:rsid w:val="003E4805"/>
    <w:rsid w:val="003F1E29"/>
    <w:rsid w:val="00403BA7"/>
    <w:rsid w:val="00406EE3"/>
    <w:rsid w:val="00416B21"/>
    <w:rsid w:val="00431269"/>
    <w:rsid w:val="004327C1"/>
    <w:rsid w:val="004401CD"/>
    <w:rsid w:val="00467D9C"/>
    <w:rsid w:val="004756AC"/>
    <w:rsid w:val="00483829"/>
    <w:rsid w:val="00492CC6"/>
    <w:rsid w:val="004A400E"/>
    <w:rsid w:val="004A57B1"/>
    <w:rsid w:val="004C1856"/>
    <w:rsid w:val="004D6933"/>
    <w:rsid w:val="004E1035"/>
    <w:rsid w:val="005909FD"/>
    <w:rsid w:val="00592BA3"/>
    <w:rsid w:val="005A1B34"/>
    <w:rsid w:val="005C7AEB"/>
    <w:rsid w:val="005E17CA"/>
    <w:rsid w:val="00635A82"/>
    <w:rsid w:val="00642B24"/>
    <w:rsid w:val="0065653D"/>
    <w:rsid w:val="0065699E"/>
    <w:rsid w:val="006704FD"/>
    <w:rsid w:val="0067314F"/>
    <w:rsid w:val="006D5673"/>
    <w:rsid w:val="00717572"/>
    <w:rsid w:val="007608F0"/>
    <w:rsid w:val="00777F56"/>
    <w:rsid w:val="007873DB"/>
    <w:rsid w:val="007914A1"/>
    <w:rsid w:val="007A61EC"/>
    <w:rsid w:val="007D1E47"/>
    <w:rsid w:val="007E51EF"/>
    <w:rsid w:val="0081588E"/>
    <w:rsid w:val="00821BF5"/>
    <w:rsid w:val="00831A1F"/>
    <w:rsid w:val="00850BE3"/>
    <w:rsid w:val="008512D6"/>
    <w:rsid w:val="008540FE"/>
    <w:rsid w:val="00886B17"/>
    <w:rsid w:val="00890A41"/>
    <w:rsid w:val="008B07B6"/>
    <w:rsid w:val="008B3FBA"/>
    <w:rsid w:val="008F27F6"/>
    <w:rsid w:val="00913E95"/>
    <w:rsid w:val="00950811"/>
    <w:rsid w:val="009D0BB2"/>
    <w:rsid w:val="009E3673"/>
    <w:rsid w:val="009F4971"/>
    <w:rsid w:val="00A52242"/>
    <w:rsid w:val="00A8396C"/>
    <w:rsid w:val="00A90D6A"/>
    <w:rsid w:val="00A946AA"/>
    <w:rsid w:val="00A97969"/>
    <w:rsid w:val="00AF15B0"/>
    <w:rsid w:val="00B02541"/>
    <w:rsid w:val="00B038D7"/>
    <w:rsid w:val="00B74253"/>
    <w:rsid w:val="00B817C2"/>
    <w:rsid w:val="00B83839"/>
    <w:rsid w:val="00BA53C0"/>
    <w:rsid w:val="00BC6581"/>
    <w:rsid w:val="00BD5D1A"/>
    <w:rsid w:val="00BE0CD7"/>
    <w:rsid w:val="00C267C4"/>
    <w:rsid w:val="00C3615A"/>
    <w:rsid w:val="00C45615"/>
    <w:rsid w:val="00CA5EBF"/>
    <w:rsid w:val="00CA6CEC"/>
    <w:rsid w:val="00CF0F8F"/>
    <w:rsid w:val="00D02A58"/>
    <w:rsid w:val="00D54238"/>
    <w:rsid w:val="00DD36A6"/>
    <w:rsid w:val="00DE2197"/>
    <w:rsid w:val="00DF76B4"/>
    <w:rsid w:val="00E144FF"/>
    <w:rsid w:val="00E15785"/>
    <w:rsid w:val="00E32E4E"/>
    <w:rsid w:val="00E41315"/>
    <w:rsid w:val="00E9526A"/>
    <w:rsid w:val="00EA1E5F"/>
    <w:rsid w:val="00EB1859"/>
    <w:rsid w:val="00EB1FAD"/>
    <w:rsid w:val="00ED67E6"/>
    <w:rsid w:val="00F23EB8"/>
    <w:rsid w:val="00F33D35"/>
    <w:rsid w:val="00F45FE3"/>
    <w:rsid w:val="00F746FD"/>
    <w:rsid w:val="00FC285C"/>
    <w:rsid w:val="00FD52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7DD045"/>
  <w15:chartTrackingRefBased/>
  <w15:docId w15:val="{09AF24C9-C9B4-42AB-AFF7-D58A4F562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859"/>
    <w:pPr>
      <w:ind w:right="1938"/>
    </w:pPr>
    <w:rPr>
      <w:sz w:val="22"/>
      <w:lang w:eastAsia="en-AU"/>
    </w:rPr>
  </w:style>
  <w:style w:type="paragraph" w:styleId="Heading1">
    <w:name w:val="heading 1"/>
    <w:aliases w:val="Heading 1 (light blue)"/>
    <w:basedOn w:val="Heading1Black"/>
    <w:next w:val="Normal"/>
    <w:link w:val="Heading1Char"/>
    <w:uiPriority w:val="9"/>
    <w:qFormat/>
    <w:rsid w:val="00CA5EBF"/>
    <w:pPr>
      <w:outlineLvl w:val="0"/>
    </w:pPr>
  </w:style>
  <w:style w:type="paragraph" w:styleId="Heading2">
    <w:name w:val="heading 2"/>
    <w:aliases w:val="Heading 2 (light blue)"/>
    <w:basedOn w:val="Heading2Black"/>
    <w:next w:val="Normal"/>
    <w:link w:val="Heading2Char"/>
    <w:uiPriority w:val="1"/>
    <w:unhideWhenUsed/>
    <w:rsid w:val="00CA5EBF"/>
    <w:pPr>
      <w:outlineLvl w:val="1"/>
    </w:pPr>
  </w:style>
  <w:style w:type="paragraph" w:styleId="Heading3">
    <w:name w:val="heading 3"/>
    <w:aliases w:val="Heading 3 (light blue)"/>
    <w:basedOn w:val="Heading3Black"/>
    <w:next w:val="Normal"/>
    <w:link w:val="Heading3Char"/>
    <w:uiPriority w:val="1"/>
    <w:unhideWhenUsed/>
    <w:qFormat/>
    <w:rsid w:val="00CA5EBF"/>
    <w:pPr>
      <w:outlineLvl w:val="2"/>
    </w:pPr>
  </w:style>
  <w:style w:type="paragraph" w:styleId="Heading4">
    <w:name w:val="heading 4"/>
    <w:basedOn w:val="Normal"/>
    <w:next w:val="Normal"/>
    <w:link w:val="Heading4Char"/>
    <w:uiPriority w:val="9"/>
    <w:unhideWhenUsed/>
    <w:qFormat/>
    <w:rsid w:val="002E5F94"/>
    <w:pPr>
      <w:keepNext/>
      <w:keepLines/>
      <w:spacing w:before="40" w:after="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rsid w:val="002E5F94"/>
    <w:pPr>
      <w:keepNext/>
      <w:keepLines/>
      <w:spacing w:before="40" w:after="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rsid w:val="002E5F94"/>
    <w:pPr>
      <w:keepNext/>
      <w:keepLines/>
      <w:spacing w:before="40" w:after="0"/>
      <w:outlineLvl w:val="5"/>
    </w:pPr>
    <w:rPr>
      <w:rFonts w:eastAsiaTheme="majorEastAsia"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light blue) Char"/>
    <w:basedOn w:val="DefaultParagraphFont"/>
    <w:link w:val="Heading1"/>
    <w:uiPriority w:val="9"/>
    <w:rsid w:val="00CA5EBF"/>
    <w:rPr>
      <w:color w:val="000000" w:themeColor="text1"/>
      <w:sz w:val="48"/>
      <w:lang w:eastAsia="en-AU"/>
    </w:rPr>
  </w:style>
  <w:style w:type="character" w:customStyle="1" w:styleId="Heading2Char">
    <w:name w:val="Heading 2 Char"/>
    <w:aliases w:val="Heading 2 (light blue) Char"/>
    <w:basedOn w:val="DefaultParagraphFont"/>
    <w:link w:val="Heading2"/>
    <w:uiPriority w:val="1"/>
    <w:rsid w:val="00CA5EBF"/>
    <w:rPr>
      <w:color w:val="000000" w:themeColor="text1"/>
      <w:sz w:val="36"/>
      <w:lang w:eastAsia="en-AU"/>
    </w:rPr>
  </w:style>
  <w:style w:type="character" w:customStyle="1" w:styleId="Heading3Char">
    <w:name w:val="Heading 3 Char"/>
    <w:aliases w:val="Heading 3 (light blue) Char"/>
    <w:basedOn w:val="DefaultParagraphFont"/>
    <w:link w:val="Heading3"/>
    <w:uiPriority w:val="1"/>
    <w:rsid w:val="00CA5EBF"/>
    <w:rPr>
      <w:color w:val="000000" w:themeColor="text1"/>
      <w:sz w:val="28"/>
      <w:lang w:eastAsia="en-AU"/>
    </w:rPr>
  </w:style>
  <w:style w:type="paragraph" w:styleId="Title">
    <w:name w:val="Title"/>
    <w:basedOn w:val="Normal"/>
    <w:next w:val="Normal"/>
    <w:link w:val="TitleChar"/>
    <w:uiPriority w:val="10"/>
    <w:qFormat/>
    <w:rsid w:val="00BA53C0"/>
    <w:pPr>
      <w:spacing w:after="0" w:line="240" w:lineRule="auto"/>
      <w:contextualSpacing/>
    </w:pPr>
    <w:rPr>
      <w:rFonts w:eastAsiaTheme="majorEastAsia" w:cstheme="majorBidi"/>
      <w:color w:val="000000" w:themeColor="text1"/>
      <w:spacing w:val="-10"/>
      <w:kern w:val="28"/>
      <w:sz w:val="56"/>
      <w:szCs w:val="56"/>
    </w:rPr>
  </w:style>
  <w:style w:type="character" w:customStyle="1" w:styleId="TitleChar">
    <w:name w:val="Title Char"/>
    <w:basedOn w:val="DefaultParagraphFont"/>
    <w:link w:val="Title"/>
    <w:uiPriority w:val="10"/>
    <w:rsid w:val="00BA53C0"/>
    <w:rPr>
      <w:rFonts w:eastAsiaTheme="majorEastAsia" w:cstheme="majorBidi"/>
      <w:color w:val="000000" w:themeColor="text1"/>
      <w:spacing w:val="-10"/>
      <w:kern w:val="28"/>
      <w:sz w:val="56"/>
      <w:szCs w:val="56"/>
    </w:rPr>
  </w:style>
  <w:style w:type="character" w:customStyle="1" w:styleId="Heading4Char">
    <w:name w:val="Heading 4 Char"/>
    <w:basedOn w:val="DefaultParagraphFont"/>
    <w:link w:val="Heading4"/>
    <w:uiPriority w:val="9"/>
    <w:rsid w:val="002E5F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2E5F94"/>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2E5F94"/>
    <w:rPr>
      <w:rFonts w:eastAsiaTheme="majorEastAsia" w:cstheme="majorBidi"/>
      <w:color w:val="1F3763" w:themeColor="accent1" w:themeShade="7F"/>
    </w:rPr>
  </w:style>
  <w:style w:type="paragraph" w:customStyle="1" w:styleId="Heading1Black">
    <w:name w:val="Heading 1 (Black)"/>
    <w:basedOn w:val="Normal"/>
    <w:next w:val="Normal"/>
    <w:link w:val="Heading1BlackChar"/>
    <w:uiPriority w:val="3"/>
    <w:qFormat/>
    <w:rsid w:val="00FC285C"/>
    <w:pPr>
      <w:ind w:right="1134"/>
    </w:pPr>
    <w:rPr>
      <w:color w:val="000000" w:themeColor="text1"/>
      <w:sz w:val="48"/>
    </w:rPr>
  </w:style>
  <w:style w:type="character" w:customStyle="1" w:styleId="Heading1BlackChar">
    <w:name w:val="Heading 1 (Black) Char"/>
    <w:basedOn w:val="DefaultParagraphFont"/>
    <w:link w:val="Heading1Black"/>
    <w:uiPriority w:val="3"/>
    <w:rsid w:val="00FC285C"/>
    <w:rPr>
      <w:color w:val="000000" w:themeColor="text1"/>
      <w:sz w:val="48"/>
      <w:lang w:eastAsia="en-AU"/>
    </w:rPr>
  </w:style>
  <w:style w:type="paragraph" w:customStyle="1" w:styleId="Heading2Black">
    <w:name w:val="Heading 2 (Black)"/>
    <w:basedOn w:val="Heading1Black"/>
    <w:next w:val="Normal"/>
    <w:link w:val="Heading2BlackChar"/>
    <w:uiPriority w:val="3"/>
    <w:qFormat/>
    <w:rsid w:val="009F4971"/>
    <w:pPr>
      <w:ind w:right="2835"/>
    </w:pPr>
    <w:rPr>
      <w:sz w:val="36"/>
    </w:rPr>
  </w:style>
  <w:style w:type="character" w:customStyle="1" w:styleId="Heading2BlackChar">
    <w:name w:val="Heading 2 (Black) Char"/>
    <w:basedOn w:val="Heading1BlackChar"/>
    <w:link w:val="Heading2Black"/>
    <w:uiPriority w:val="3"/>
    <w:rsid w:val="009F4971"/>
    <w:rPr>
      <w:color w:val="000000" w:themeColor="text1"/>
      <w:sz w:val="36"/>
      <w:lang w:eastAsia="en-AU"/>
    </w:rPr>
  </w:style>
  <w:style w:type="paragraph" w:customStyle="1" w:styleId="Heading3Black">
    <w:name w:val="Heading 3 (Black)"/>
    <w:basedOn w:val="Heading2Black"/>
    <w:next w:val="Normal"/>
    <w:link w:val="Heading3BlackChar"/>
    <w:uiPriority w:val="3"/>
    <w:qFormat/>
    <w:rsid w:val="009F4971"/>
    <w:rPr>
      <w:sz w:val="28"/>
    </w:rPr>
  </w:style>
  <w:style w:type="character" w:customStyle="1" w:styleId="Heading3BlackChar">
    <w:name w:val="Heading 3 (Black) Char"/>
    <w:basedOn w:val="Heading2BlackChar"/>
    <w:link w:val="Heading3Black"/>
    <w:uiPriority w:val="3"/>
    <w:rsid w:val="009F4971"/>
    <w:rPr>
      <w:color w:val="000000" w:themeColor="text1"/>
      <w:sz w:val="28"/>
      <w:lang w:eastAsia="en-AU"/>
    </w:rPr>
  </w:style>
  <w:style w:type="paragraph" w:styleId="Quote">
    <w:name w:val="Quote"/>
    <w:basedOn w:val="Normal"/>
    <w:next w:val="Normal"/>
    <w:link w:val="QuoteChar"/>
    <w:uiPriority w:val="29"/>
    <w:qFormat/>
    <w:rsid w:val="00BA53C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E4AF0"/>
    <w:rPr>
      <w:i/>
      <w:iCs/>
      <w:color w:val="404040" w:themeColor="text1" w:themeTint="BF"/>
    </w:rPr>
  </w:style>
  <w:style w:type="paragraph" w:customStyle="1" w:styleId="Headerfooter">
    <w:name w:val="Header/footer"/>
    <w:basedOn w:val="Normal"/>
    <w:uiPriority w:val="4"/>
    <w:qFormat/>
    <w:rsid w:val="00BA53C0"/>
    <w:rPr>
      <w:color w:val="000000" w:themeColor="text1"/>
      <w:sz w:val="20"/>
    </w:rPr>
  </w:style>
  <w:style w:type="paragraph" w:customStyle="1" w:styleId="Header1darkblue">
    <w:name w:val="Header 1 (dark blue)"/>
    <w:basedOn w:val="Heading1Black"/>
    <w:uiPriority w:val="2"/>
    <w:qFormat/>
    <w:rsid w:val="00BA53C0"/>
    <w:rPr>
      <w:color w:val="004270"/>
    </w:rPr>
  </w:style>
  <w:style w:type="paragraph" w:customStyle="1" w:styleId="Header2darkblue">
    <w:name w:val="Header 2 (dark blue)"/>
    <w:basedOn w:val="Header1darkblue"/>
    <w:uiPriority w:val="2"/>
    <w:qFormat/>
    <w:rsid w:val="00BA53C0"/>
    <w:rPr>
      <w:sz w:val="36"/>
    </w:rPr>
  </w:style>
  <w:style w:type="paragraph" w:customStyle="1" w:styleId="Header3darkblue">
    <w:name w:val="Header 3 (dark blue)"/>
    <w:basedOn w:val="Header2darkblue"/>
    <w:uiPriority w:val="2"/>
    <w:qFormat/>
    <w:rsid w:val="00BA53C0"/>
    <w:rPr>
      <w:sz w:val="28"/>
    </w:rPr>
  </w:style>
  <w:style w:type="paragraph" w:styleId="ListParagraph">
    <w:name w:val="List Paragraph"/>
    <w:basedOn w:val="Normal"/>
    <w:link w:val="ListParagraphChar"/>
    <w:uiPriority w:val="7"/>
    <w:qFormat/>
    <w:rsid w:val="00950811"/>
    <w:pPr>
      <w:numPr>
        <w:numId w:val="1"/>
      </w:numPr>
      <w:spacing w:after="200" w:line="288" w:lineRule="auto"/>
      <w:contextualSpacing/>
    </w:pPr>
    <w:rPr>
      <w:rFonts w:eastAsiaTheme="minorEastAsia"/>
      <w:iCs/>
      <w:color w:val="000000" w:themeColor="text1"/>
      <w:szCs w:val="20"/>
    </w:rPr>
  </w:style>
  <w:style w:type="character" w:customStyle="1" w:styleId="ListParagraphChar">
    <w:name w:val="List Paragraph Char"/>
    <w:link w:val="ListParagraph"/>
    <w:uiPriority w:val="7"/>
    <w:locked/>
    <w:rsid w:val="00950811"/>
    <w:rPr>
      <w:rFonts w:eastAsiaTheme="minorEastAsia"/>
      <w:iCs/>
      <w:color w:val="000000" w:themeColor="text1"/>
      <w:sz w:val="22"/>
      <w:szCs w:val="20"/>
      <w:lang w:eastAsia="en-AU"/>
    </w:rPr>
  </w:style>
  <w:style w:type="paragraph" w:styleId="Caption">
    <w:name w:val="caption"/>
    <w:basedOn w:val="Normal"/>
    <w:next w:val="Normal"/>
    <w:unhideWhenUsed/>
    <w:qFormat/>
    <w:rsid w:val="00A52242"/>
    <w:pPr>
      <w:spacing w:after="200" w:line="288" w:lineRule="auto"/>
      <w:ind w:right="1701"/>
    </w:pPr>
    <w:rPr>
      <w:rFonts w:eastAsiaTheme="minorEastAsia"/>
      <w:b/>
      <w:bCs/>
      <w:i/>
      <w:iCs/>
      <w:color w:val="000000" w:themeColor="text1"/>
      <w:sz w:val="20"/>
      <w:szCs w:val="18"/>
      <w:lang w:eastAsia="en-US"/>
    </w:rPr>
  </w:style>
  <w:style w:type="paragraph" w:customStyle="1" w:styleId="TableTextBody">
    <w:name w:val="Table Text Body"/>
    <w:basedOn w:val="Normal"/>
    <w:uiPriority w:val="16"/>
    <w:qFormat/>
    <w:rsid w:val="00A52242"/>
    <w:pPr>
      <w:spacing w:before="60" w:after="60" w:line="264" w:lineRule="auto"/>
      <w:ind w:right="0"/>
    </w:pPr>
    <w:rPr>
      <w:sz w:val="20"/>
      <w:szCs w:val="18"/>
      <w:lang w:eastAsia="en-US"/>
    </w:rPr>
  </w:style>
  <w:style w:type="character" w:styleId="Emphasis">
    <w:name w:val="Emphasis"/>
    <w:basedOn w:val="DefaultParagraphFont"/>
    <w:uiPriority w:val="20"/>
    <w:qFormat/>
    <w:rsid w:val="00A52242"/>
    <w:rPr>
      <w:i/>
      <w:iCs/>
    </w:rPr>
  </w:style>
  <w:style w:type="paragraph" w:customStyle="1" w:styleId="Keystatistics">
    <w:name w:val="Key statistics"/>
    <w:basedOn w:val="Normal"/>
    <w:qFormat/>
    <w:rsid w:val="00A52242"/>
    <w:pPr>
      <w:pBdr>
        <w:top w:val="single" w:sz="4" w:space="12" w:color="auto"/>
        <w:bottom w:val="single" w:sz="4" w:space="12" w:color="auto"/>
      </w:pBdr>
      <w:spacing w:before="240" w:after="240"/>
      <w:ind w:left="3402" w:right="0"/>
      <w:contextualSpacing/>
      <w:jc w:val="right"/>
    </w:pPr>
    <w:rPr>
      <w:i/>
      <w:color w:val="000000" w:themeColor="text1"/>
      <w:lang w:eastAsia="en-US"/>
    </w:rPr>
  </w:style>
  <w:style w:type="paragraph" w:customStyle="1" w:styleId="TableTextHeading">
    <w:name w:val="Table Text Heading"/>
    <w:basedOn w:val="Normal"/>
    <w:uiPriority w:val="13"/>
    <w:qFormat/>
    <w:rsid w:val="00A52242"/>
    <w:pPr>
      <w:spacing w:before="60" w:after="60" w:line="264" w:lineRule="auto"/>
      <w:ind w:right="0"/>
    </w:pPr>
    <w:rPr>
      <w:b/>
      <w:sz w:val="20"/>
      <w:szCs w:val="18"/>
      <w:lang w:eastAsia="en-US"/>
    </w:rPr>
  </w:style>
  <w:style w:type="paragraph" w:customStyle="1" w:styleId="TableTextBold">
    <w:name w:val="Table Text Bold"/>
    <w:basedOn w:val="Normal"/>
    <w:uiPriority w:val="17"/>
    <w:qFormat/>
    <w:rsid w:val="00A52242"/>
    <w:pPr>
      <w:spacing w:before="60" w:after="60" w:line="264" w:lineRule="auto"/>
      <w:ind w:right="0"/>
    </w:pPr>
    <w:rPr>
      <w:b/>
      <w:sz w:val="20"/>
      <w:szCs w:val="18"/>
      <w:lang w:eastAsia="en-US"/>
    </w:rPr>
  </w:style>
  <w:style w:type="paragraph" w:customStyle="1" w:styleId="Note">
    <w:name w:val="Note"/>
    <w:basedOn w:val="Normal"/>
    <w:next w:val="Normal"/>
    <w:uiPriority w:val="22"/>
    <w:qFormat/>
    <w:rsid w:val="00A52242"/>
    <w:pPr>
      <w:spacing w:before="60" w:after="60" w:line="264" w:lineRule="auto"/>
      <w:ind w:right="2835"/>
      <w:jc w:val="both"/>
    </w:pPr>
    <w:rPr>
      <w:sz w:val="16"/>
      <w:szCs w:val="22"/>
      <w:lang w:eastAsia="en-US"/>
    </w:rPr>
  </w:style>
  <w:style w:type="paragraph" w:styleId="Footer">
    <w:name w:val="footer"/>
    <w:basedOn w:val="Normal"/>
    <w:link w:val="FooterChar"/>
    <w:uiPriority w:val="99"/>
    <w:unhideWhenUsed/>
    <w:qFormat/>
    <w:rsid w:val="00A52242"/>
    <w:pPr>
      <w:tabs>
        <w:tab w:val="center" w:pos="4513"/>
        <w:tab w:val="right" w:pos="9026"/>
      </w:tabs>
      <w:spacing w:after="0" w:line="240" w:lineRule="auto"/>
      <w:ind w:right="2835"/>
    </w:pPr>
    <w:rPr>
      <w:color w:val="595959" w:themeColor="text1" w:themeTint="A6"/>
      <w:sz w:val="20"/>
      <w:lang w:eastAsia="en-US"/>
    </w:rPr>
  </w:style>
  <w:style w:type="character" w:customStyle="1" w:styleId="FooterChar">
    <w:name w:val="Footer Char"/>
    <w:basedOn w:val="DefaultParagraphFont"/>
    <w:link w:val="Footer"/>
    <w:uiPriority w:val="99"/>
    <w:rsid w:val="00A52242"/>
    <w:rPr>
      <w:color w:val="595959" w:themeColor="text1" w:themeTint="A6"/>
      <w:sz w:val="20"/>
    </w:rPr>
  </w:style>
  <w:style w:type="character" w:styleId="Hyperlink">
    <w:name w:val="Hyperlink"/>
    <w:basedOn w:val="DefaultParagraphFont"/>
    <w:uiPriority w:val="99"/>
    <w:unhideWhenUsed/>
    <w:rsid w:val="00A52242"/>
    <w:rPr>
      <w:color w:val="0563C1" w:themeColor="hyperlink"/>
      <w:u w:val="single"/>
    </w:rPr>
  </w:style>
  <w:style w:type="paragraph" w:styleId="Header">
    <w:name w:val="header"/>
    <w:basedOn w:val="Normal"/>
    <w:link w:val="HeaderChar"/>
    <w:uiPriority w:val="99"/>
    <w:unhideWhenUsed/>
    <w:rsid w:val="00A52242"/>
    <w:pPr>
      <w:tabs>
        <w:tab w:val="center" w:pos="4513"/>
        <w:tab w:val="right" w:pos="9026"/>
      </w:tabs>
      <w:spacing w:after="0" w:line="240" w:lineRule="auto"/>
      <w:ind w:right="2835"/>
    </w:pPr>
    <w:rPr>
      <w:lang w:eastAsia="en-US"/>
    </w:rPr>
  </w:style>
  <w:style w:type="character" w:customStyle="1" w:styleId="HeaderChar">
    <w:name w:val="Header Char"/>
    <w:basedOn w:val="DefaultParagraphFont"/>
    <w:link w:val="Header"/>
    <w:uiPriority w:val="99"/>
    <w:rsid w:val="00A52242"/>
    <w:rPr>
      <w:sz w:val="22"/>
    </w:rPr>
  </w:style>
  <w:style w:type="paragraph" w:customStyle="1" w:styleId="Default">
    <w:name w:val="Default"/>
    <w:rsid w:val="00A52242"/>
    <w:pPr>
      <w:autoSpaceDE w:val="0"/>
      <w:autoSpaceDN w:val="0"/>
      <w:adjustRightInd w:val="0"/>
      <w:spacing w:after="0" w:line="240" w:lineRule="auto"/>
    </w:pPr>
    <w:rPr>
      <w:rFonts w:cs="Arial"/>
      <w:color w:val="000000"/>
    </w:rPr>
  </w:style>
  <w:style w:type="table" w:styleId="TableGridLight">
    <w:name w:val="Grid Table Light"/>
    <w:basedOn w:val="TableNormal"/>
    <w:uiPriority w:val="40"/>
    <w:rsid w:val="00A52242"/>
    <w:pPr>
      <w:spacing w:after="0" w:line="240" w:lineRule="auto"/>
    </w:pPr>
    <w:rPr>
      <w:rFonts w:asciiTheme="minorHAnsi" w:eastAsiaTheme="minorEastAsia" w:hAnsi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A52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52242"/>
    <w:rPr>
      <w:sz w:val="16"/>
      <w:szCs w:val="16"/>
    </w:rPr>
  </w:style>
  <w:style w:type="paragraph" w:styleId="CommentText">
    <w:name w:val="annotation text"/>
    <w:basedOn w:val="Normal"/>
    <w:link w:val="CommentTextChar"/>
    <w:uiPriority w:val="99"/>
    <w:unhideWhenUsed/>
    <w:rsid w:val="00A52242"/>
    <w:pPr>
      <w:spacing w:after="0" w:line="240" w:lineRule="auto"/>
      <w:ind w:right="2835"/>
    </w:pPr>
    <w:rPr>
      <w:rFonts w:eastAsia="Times New Roman" w:cs="Times New Roman"/>
      <w:sz w:val="20"/>
      <w:szCs w:val="20"/>
    </w:rPr>
  </w:style>
  <w:style w:type="character" w:customStyle="1" w:styleId="CommentTextChar">
    <w:name w:val="Comment Text Char"/>
    <w:basedOn w:val="DefaultParagraphFont"/>
    <w:link w:val="CommentText"/>
    <w:uiPriority w:val="99"/>
    <w:rsid w:val="00A52242"/>
    <w:rPr>
      <w:rFonts w:eastAsia="Times New Roman" w:cs="Times New Roman"/>
      <w:sz w:val="20"/>
      <w:szCs w:val="20"/>
      <w:lang w:eastAsia="en-AU"/>
    </w:rPr>
  </w:style>
  <w:style w:type="paragraph" w:styleId="ListBullet">
    <w:name w:val="List Bullet"/>
    <w:basedOn w:val="Normal"/>
    <w:uiPriority w:val="9"/>
    <w:rsid w:val="00A52242"/>
    <w:pPr>
      <w:numPr>
        <w:numId w:val="5"/>
      </w:numPr>
      <w:tabs>
        <w:tab w:val="clear" w:pos="360"/>
        <w:tab w:val="left" w:pos="357"/>
      </w:tabs>
      <w:spacing w:before="60" w:after="60" w:line="264" w:lineRule="auto"/>
      <w:ind w:left="357" w:right="2835" w:hanging="357"/>
    </w:pPr>
    <w:rPr>
      <w:sz w:val="19"/>
      <w:szCs w:val="18"/>
      <w:lang w:eastAsia="en-US"/>
    </w:rPr>
  </w:style>
  <w:style w:type="paragraph" w:customStyle="1" w:styleId="TableText">
    <w:name w:val="Table Text"/>
    <w:basedOn w:val="Normal"/>
    <w:uiPriority w:val="14"/>
    <w:rsid w:val="00A52242"/>
    <w:pPr>
      <w:spacing w:before="60" w:after="60" w:line="264" w:lineRule="auto"/>
      <w:ind w:right="2835"/>
    </w:pPr>
    <w:rPr>
      <w:sz w:val="19"/>
      <w:szCs w:val="18"/>
      <w:lang w:eastAsia="en-US"/>
    </w:rPr>
  </w:style>
  <w:style w:type="paragraph" w:customStyle="1" w:styleId="TableTextItalics">
    <w:name w:val="Table Text Italics"/>
    <w:basedOn w:val="TableText"/>
    <w:uiPriority w:val="18"/>
    <w:rsid w:val="00A52242"/>
    <w:rPr>
      <w:i/>
    </w:rPr>
  </w:style>
  <w:style w:type="paragraph" w:customStyle="1" w:styleId="NoteIndent">
    <w:name w:val="Note Indent"/>
    <w:basedOn w:val="Normal"/>
    <w:uiPriority w:val="22"/>
    <w:qFormat/>
    <w:rsid w:val="00A52242"/>
    <w:pPr>
      <w:numPr>
        <w:numId w:val="6"/>
      </w:numPr>
      <w:tabs>
        <w:tab w:val="left" w:pos="357"/>
      </w:tabs>
      <w:spacing w:before="60" w:after="60" w:line="264" w:lineRule="auto"/>
      <w:ind w:left="357" w:right="1701" w:hanging="357"/>
    </w:pPr>
    <w:rPr>
      <w:sz w:val="16"/>
      <w:szCs w:val="18"/>
      <w:lang w:eastAsia="en-US"/>
    </w:rPr>
  </w:style>
  <w:style w:type="character" w:styleId="SubtleReference">
    <w:name w:val="Subtle Reference"/>
    <w:basedOn w:val="DefaultParagraphFont"/>
    <w:uiPriority w:val="31"/>
    <w:rsid w:val="00A52242"/>
    <w:rPr>
      <w:smallCaps/>
      <w:color w:val="5A5A5A" w:themeColor="text1" w:themeTint="A5"/>
    </w:rPr>
  </w:style>
  <w:style w:type="paragraph" w:styleId="BalloonText">
    <w:name w:val="Balloon Text"/>
    <w:basedOn w:val="Normal"/>
    <w:link w:val="BalloonTextChar"/>
    <w:uiPriority w:val="99"/>
    <w:semiHidden/>
    <w:unhideWhenUsed/>
    <w:rsid w:val="00A52242"/>
    <w:pPr>
      <w:spacing w:after="0" w:line="240" w:lineRule="auto"/>
      <w:ind w:right="2835"/>
    </w:pPr>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rsid w:val="00A52242"/>
    <w:rPr>
      <w:rFonts w:ascii="Segoe UI" w:hAnsi="Segoe UI" w:cs="Segoe UI"/>
      <w:sz w:val="18"/>
      <w:szCs w:val="18"/>
    </w:rPr>
  </w:style>
  <w:style w:type="paragraph" w:styleId="NormalWeb">
    <w:name w:val="Normal (Web)"/>
    <w:basedOn w:val="Normal"/>
    <w:uiPriority w:val="99"/>
    <w:unhideWhenUsed/>
    <w:rsid w:val="00A52242"/>
    <w:pPr>
      <w:spacing w:before="100" w:beforeAutospacing="1" w:after="100" w:afterAutospacing="1" w:line="240" w:lineRule="auto"/>
      <w:ind w:right="2835"/>
    </w:pPr>
    <w:rPr>
      <w:rFonts w:ascii="Times New Roman" w:eastAsia="Times New Roman" w:hAnsi="Times New Roman" w:cs="Times New Roman"/>
    </w:rPr>
  </w:style>
  <w:style w:type="paragraph" w:styleId="FootnoteText">
    <w:name w:val="footnote text"/>
    <w:basedOn w:val="Normal"/>
    <w:link w:val="FootnoteTextChar"/>
    <w:uiPriority w:val="99"/>
    <w:rsid w:val="00A52242"/>
    <w:pPr>
      <w:spacing w:after="0" w:line="240" w:lineRule="auto"/>
      <w:ind w:right="2835"/>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A52242"/>
    <w:rPr>
      <w:rFonts w:ascii="Times New Roman" w:eastAsia="Times New Roman" w:hAnsi="Times New Roman" w:cs="Times New Roman"/>
      <w:sz w:val="20"/>
      <w:szCs w:val="20"/>
      <w:lang w:eastAsia="en-AU"/>
    </w:rPr>
  </w:style>
  <w:style w:type="character" w:styleId="FootnoteReference">
    <w:name w:val="footnote reference"/>
    <w:uiPriority w:val="99"/>
    <w:rsid w:val="00A52242"/>
    <w:rPr>
      <w:vertAlign w:val="superscript"/>
    </w:rPr>
  </w:style>
  <w:style w:type="character" w:customStyle="1" w:styleId="listnumber">
    <w:name w:val="listnumber"/>
    <w:basedOn w:val="DefaultParagraphFont"/>
    <w:rsid w:val="00A52242"/>
  </w:style>
  <w:style w:type="paragraph" w:customStyle="1" w:styleId="VEOHRCBodytext">
    <w:name w:val="VEOHRC Body text"/>
    <w:link w:val="VEOHRCBodytextChar"/>
    <w:rsid w:val="00A52242"/>
    <w:pPr>
      <w:tabs>
        <w:tab w:val="left" w:pos="2640"/>
      </w:tabs>
      <w:spacing w:before="80" w:after="120" w:line="240" w:lineRule="auto"/>
    </w:pPr>
    <w:rPr>
      <w:rFonts w:eastAsia="Arial Unicode MS" w:cs="Times New Roman"/>
      <w:lang w:val="en-GB" w:eastAsia="en-AU"/>
    </w:rPr>
  </w:style>
  <w:style w:type="character" w:customStyle="1" w:styleId="VEOHRCBodytextChar">
    <w:name w:val="VEOHRC Body text Char"/>
    <w:link w:val="VEOHRCBodytext"/>
    <w:rsid w:val="00A52242"/>
    <w:rPr>
      <w:rFonts w:eastAsia="Arial Unicode MS" w:cs="Times New Roman"/>
      <w:lang w:val="en-GB" w:eastAsia="en-AU"/>
    </w:rPr>
  </w:style>
  <w:style w:type="paragraph" w:customStyle="1" w:styleId="Text">
    <w:name w:val="Text"/>
    <w:basedOn w:val="Normal"/>
    <w:rsid w:val="00A52242"/>
    <w:pPr>
      <w:tabs>
        <w:tab w:val="num" w:pos="1713"/>
      </w:tabs>
      <w:spacing w:before="120" w:after="120" w:line="240" w:lineRule="auto"/>
      <w:ind w:right="2835"/>
    </w:pPr>
    <w:rPr>
      <w:rFonts w:eastAsia="Times New Roman" w:cs="Times New Roman"/>
      <w:sz w:val="20"/>
      <w:szCs w:val="20"/>
    </w:rPr>
  </w:style>
  <w:style w:type="paragraph" w:styleId="BodyText">
    <w:name w:val="Body Text"/>
    <w:basedOn w:val="Normal"/>
    <w:link w:val="BodyTextChar"/>
    <w:uiPriority w:val="99"/>
    <w:rsid w:val="00A52242"/>
    <w:pPr>
      <w:suppressAutoHyphens/>
      <w:spacing w:before="80" w:after="120" w:line="240" w:lineRule="auto"/>
      <w:ind w:right="2835"/>
    </w:pPr>
    <w:rPr>
      <w:rFonts w:eastAsia="Times New Roman" w:cs="Times New Roman"/>
      <w:szCs w:val="20"/>
      <w:lang w:eastAsia="en-US"/>
    </w:rPr>
  </w:style>
  <w:style w:type="character" w:customStyle="1" w:styleId="BodyTextChar">
    <w:name w:val="Body Text Char"/>
    <w:basedOn w:val="DefaultParagraphFont"/>
    <w:link w:val="BodyText"/>
    <w:uiPriority w:val="99"/>
    <w:rsid w:val="00A52242"/>
    <w:rPr>
      <w:rFonts w:eastAsia="Times New Roman" w:cs="Times New Roman"/>
      <w:sz w:val="22"/>
      <w:szCs w:val="20"/>
    </w:rPr>
  </w:style>
  <w:style w:type="character" w:customStyle="1" w:styleId="meta">
    <w:name w:val="meta"/>
    <w:basedOn w:val="DefaultParagraphFont"/>
    <w:rsid w:val="00A52242"/>
  </w:style>
  <w:style w:type="character" w:customStyle="1" w:styleId="filetype">
    <w:name w:val="filetype"/>
    <w:basedOn w:val="DefaultParagraphFont"/>
    <w:rsid w:val="00A52242"/>
  </w:style>
  <w:style w:type="character" w:customStyle="1" w:styleId="offscreen">
    <w:name w:val="offscreen"/>
    <w:basedOn w:val="DefaultParagraphFont"/>
    <w:rsid w:val="00A52242"/>
  </w:style>
  <w:style w:type="paragraph" w:styleId="CommentSubject">
    <w:name w:val="annotation subject"/>
    <w:basedOn w:val="CommentText"/>
    <w:next w:val="CommentText"/>
    <w:link w:val="CommentSubjectChar"/>
    <w:uiPriority w:val="99"/>
    <w:semiHidden/>
    <w:unhideWhenUsed/>
    <w:rsid w:val="00A52242"/>
    <w:pPr>
      <w:spacing w:after="160"/>
    </w:pPr>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A52242"/>
    <w:rPr>
      <w:rFonts w:eastAsia="Times New Roman" w:cs="Times New Roman"/>
      <w:b/>
      <w:bCs/>
      <w:sz w:val="20"/>
      <w:szCs w:val="20"/>
      <w:lang w:eastAsia="en-AU"/>
    </w:rPr>
  </w:style>
  <w:style w:type="paragraph" w:styleId="NoSpacing">
    <w:name w:val="No Spacing"/>
    <w:aliases w:val="Normal (landscape)"/>
    <w:uiPriority w:val="1"/>
    <w:qFormat/>
    <w:rsid w:val="00A52242"/>
    <w:pPr>
      <w:spacing w:after="0" w:line="240" w:lineRule="auto"/>
    </w:pPr>
    <w:rPr>
      <w:sz w:val="22"/>
    </w:rPr>
  </w:style>
  <w:style w:type="paragraph" w:styleId="TOCHeading">
    <w:name w:val="TOC Heading"/>
    <w:basedOn w:val="Heading1"/>
    <w:next w:val="Normal"/>
    <w:uiPriority w:val="39"/>
    <w:unhideWhenUsed/>
    <w:qFormat/>
    <w:rsid w:val="00A52242"/>
    <w:pPr>
      <w:ind w:right="0"/>
      <w:outlineLvl w:val="9"/>
    </w:pPr>
    <w:rPr>
      <w:rFonts w:asciiTheme="majorHAnsi" w:hAnsiTheme="majorHAnsi"/>
      <w:color w:val="2F5496" w:themeColor="accent1" w:themeShade="BF"/>
      <w:sz w:val="32"/>
      <w:lang w:val="en-US" w:eastAsia="en-US"/>
    </w:rPr>
  </w:style>
  <w:style w:type="paragraph" w:styleId="TOC1">
    <w:name w:val="toc 1"/>
    <w:basedOn w:val="Normal"/>
    <w:next w:val="Normal"/>
    <w:autoRedefine/>
    <w:uiPriority w:val="39"/>
    <w:unhideWhenUsed/>
    <w:rsid w:val="00A52242"/>
    <w:pPr>
      <w:spacing w:after="100"/>
      <w:ind w:right="2835"/>
    </w:pPr>
    <w:rPr>
      <w:lang w:eastAsia="en-US"/>
    </w:rPr>
  </w:style>
  <w:style w:type="paragraph" w:styleId="TOC2">
    <w:name w:val="toc 2"/>
    <w:basedOn w:val="Normal"/>
    <w:next w:val="Normal"/>
    <w:autoRedefine/>
    <w:uiPriority w:val="39"/>
    <w:unhideWhenUsed/>
    <w:rsid w:val="00A52242"/>
    <w:pPr>
      <w:spacing w:after="100"/>
      <w:ind w:left="220" w:right="2835"/>
    </w:pPr>
    <w:rPr>
      <w:lang w:eastAsia="en-US"/>
    </w:rPr>
  </w:style>
  <w:style w:type="paragraph" w:styleId="TOC3">
    <w:name w:val="toc 3"/>
    <w:basedOn w:val="Normal"/>
    <w:next w:val="Normal"/>
    <w:autoRedefine/>
    <w:uiPriority w:val="39"/>
    <w:unhideWhenUsed/>
    <w:rsid w:val="00A52242"/>
    <w:pPr>
      <w:spacing w:after="100"/>
      <w:ind w:left="440" w:right="2835"/>
    </w:pPr>
    <w:rPr>
      <w:lang w:eastAsia="en-US"/>
    </w:rPr>
  </w:style>
  <w:style w:type="paragraph" w:styleId="TOC4">
    <w:name w:val="toc 4"/>
    <w:basedOn w:val="Normal"/>
    <w:next w:val="Normal"/>
    <w:autoRedefine/>
    <w:uiPriority w:val="39"/>
    <w:unhideWhenUsed/>
    <w:rsid w:val="00A52242"/>
    <w:pPr>
      <w:spacing w:after="100"/>
      <w:ind w:left="660" w:right="0"/>
    </w:pPr>
    <w:rPr>
      <w:rFonts w:asciiTheme="minorHAnsi" w:eastAsiaTheme="minorEastAsia" w:hAnsiTheme="minorHAnsi"/>
      <w:szCs w:val="22"/>
    </w:rPr>
  </w:style>
  <w:style w:type="paragraph" w:styleId="TOC5">
    <w:name w:val="toc 5"/>
    <w:basedOn w:val="Normal"/>
    <w:next w:val="Normal"/>
    <w:autoRedefine/>
    <w:uiPriority w:val="39"/>
    <w:unhideWhenUsed/>
    <w:rsid w:val="00A52242"/>
    <w:pPr>
      <w:spacing w:after="100"/>
      <w:ind w:left="880" w:right="0"/>
    </w:pPr>
    <w:rPr>
      <w:rFonts w:asciiTheme="minorHAnsi" w:eastAsiaTheme="minorEastAsia" w:hAnsiTheme="minorHAnsi"/>
      <w:szCs w:val="22"/>
    </w:rPr>
  </w:style>
  <w:style w:type="paragraph" w:styleId="TOC6">
    <w:name w:val="toc 6"/>
    <w:basedOn w:val="Normal"/>
    <w:next w:val="Normal"/>
    <w:autoRedefine/>
    <w:uiPriority w:val="39"/>
    <w:unhideWhenUsed/>
    <w:rsid w:val="00A52242"/>
    <w:pPr>
      <w:spacing w:after="100"/>
      <w:ind w:left="1100" w:right="0"/>
    </w:pPr>
    <w:rPr>
      <w:rFonts w:asciiTheme="minorHAnsi" w:eastAsiaTheme="minorEastAsia" w:hAnsiTheme="minorHAnsi"/>
      <w:szCs w:val="22"/>
    </w:rPr>
  </w:style>
  <w:style w:type="paragraph" w:styleId="TOC7">
    <w:name w:val="toc 7"/>
    <w:basedOn w:val="Normal"/>
    <w:next w:val="Normal"/>
    <w:autoRedefine/>
    <w:uiPriority w:val="39"/>
    <w:unhideWhenUsed/>
    <w:rsid w:val="00A52242"/>
    <w:pPr>
      <w:spacing w:after="100"/>
      <w:ind w:left="1320" w:right="0"/>
    </w:pPr>
    <w:rPr>
      <w:rFonts w:asciiTheme="minorHAnsi" w:eastAsiaTheme="minorEastAsia" w:hAnsiTheme="minorHAnsi"/>
      <w:szCs w:val="22"/>
    </w:rPr>
  </w:style>
  <w:style w:type="paragraph" w:styleId="TOC8">
    <w:name w:val="toc 8"/>
    <w:basedOn w:val="Normal"/>
    <w:next w:val="Normal"/>
    <w:autoRedefine/>
    <w:uiPriority w:val="39"/>
    <w:unhideWhenUsed/>
    <w:rsid w:val="00A52242"/>
    <w:pPr>
      <w:spacing w:after="100"/>
      <w:ind w:left="1540" w:right="0"/>
    </w:pPr>
    <w:rPr>
      <w:rFonts w:asciiTheme="minorHAnsi" w:eastAsiaTheme="minorEastAsia" w:hAnsiTheme="minorHAnsi"/>
      <w:szCs w:val="22"/>
    </w:rPr>
  </w:style>
  <w:style w:type="paragraph" w:styleId="TOC9">
    <w:name w:val="toc 9"/>
    <w:basedOn w:val="Normal"/>
    <w:next w:val="Normal"/>
    <w:autoRedefine/>
    <w:uiPriority w:val="39"/>
    <w:unhideWhenUsed/>
    <w:rsid w:val="00A52242"/>
    <w:pPr>
      <w:spacing w:after="100"/>
      <w:ind w:left="1760" w:right="0"/>
    </w:pPr>
    <w:rPr>
      <w:rFonts w:asciiTheme="minorHAnsi" w:eastAsiaTheme="minorEastAsia" w:hAnsiTheme="minorHAnsi"/>
      <w:szCs w:val="22"/>
    </w:rPr>
  </w:style>
  <w:style w:type="paragraph" w:styleId="IntenseQuote">
    <w:name w:val="Intense Quote"/>
    <w:basedOn w:val="Normal"/>
    <w:next w:val="Normal"/>
    <w:link w:val="IntenseQuoteChar"/>
    <w:uiPriority w:val="30"/>
    <w:rsid w:val="00A52242"/>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en-US"/>
    </w:rPr>
  </w:style>
  <w:style w:type="character" w:customStyle="1" w:styleId="IntenseQuoteChar">
    <w:name w:val="Intense Quote Char"/>
    <w:basedOn w:val="DefaultParagraphFont"/>
    <w:link w:val="IntenseQuote"/>
    <w:uiPriority w:val="30"/>
    <w:rsid w:val="00A52242"/>
    <w:rPr>
      <w:i/>
      <w:iCs/>
      <w:color w:val="4472C4" w:themeColor="accent1"/>
      <w:sz w:val="22"/>
    </w:rPr>
  </w:style>
  <w:style w:type="character" w:styleId="Strong">
    <w:name w:val="Strong"/>
    <w:basedOn w:val="DefaultParagraphFont"/>
    <w:uiPriority w:val="22"/>
    <w:qFormat/>
    <w:rsid w:val="00A52242"/>
    <w:rPr>
      <w:b/>
      <w:bCs/>
    </w:rPr>
  </w:style>
  <w:style w:type="character" w:styleId="HTMLCite">
    <w:name w:val="HTML Cite"/>
    <w:basedOn w:val="DefaultParagraphFont"/>
    <w:uiPriority w:val="99"/>
    <w:semiHidden/>
    <w:unhideWhenUsed/>
    <w:rsid w:val="00A52242"/>
    <w:rPr>
      <w:i/>
      <w:iCs/>
    </w:rPr>
  </w:style>
  <w:style w:type="paragraph" w:customStyle="1" w:styleId="paragraph">
    <w:name w:val="paragraph"/>
    <w:basedOn w:val="Normal"/>
    <w:rsid w:val="00A52242"/>
    <w:pPr>
      <w:spacing w:before="100" w:beforeAutospacing="1" w:after="100" w:afterAutospacing="1" w:line="240" w:lineRule="auto"/>
      <w:ind w:right="0"/>
    </w:pPr>
    <w:rPr>
      <w:rFonts w:ascii="Times New Roman" w:eastAsia="Times New Roman" w:hAnsi="Times New Roman" w:cs="Times New Roman"/>
      <w:sz w:val="24"/>
    </w:rPr>
  </w:style>
  <w:style w:type="character" w:customStyle="1" w:styleId="normaltextrun">
    <w:name w:val="normaltextrun"/>
    <w:basedOn w:val="DefaultParagraphFont"/>
    <w:rsid w:val="00A52242"/>
  </w:style>
  <w:style w:type="character" w:customStyle="1" w:styleId="eop">
    <w:name w:val="eop"/>
    <w:basedOn w:val="DefaultParagraphFont"/>
    <w:rsid w:val="00A52242"/>
  </w:style>
  <w:style w:type="paragraph" w:customStyle="1" w:styleId="Pa6">
    <w:name w:val="Pa6"/>
    <w:basedOn w:val="Default"/>
    <w:next w:val="Default"/>
    <w:uiPriority w:val="99"/>
    <w:rsid w:val="00A52242"/>
    <w:pPr>
      <w:spacing w:line="481" w:lineRule="atLeast"/>
    </w:pPr>
    <w:rPr>
      <w:color w:val="auto"/>
    </w:rPr>
  </w:style>
  <w:style w:type="paragraph" w:customStyle="1" w:styleId="Pa7">
    <w:name w:val="Pa7"/>
    <w:basedOn w:val="Default"/>
    <w:next w:val="Default"/>
    <w:uiPriority w:val="99"/>
    <w:rsid w:val="00A52242"/>
    <w:pPr>
      <w:spacing w:line="221" w:lineRule="atLeast"/>
    </w:pPr>
    <w:rPr>
      <w:color w:val="auto"/>
    </w:rPr>
  </w:style>
  <w:style w:type="paragraph" w:styleId="Revision">
    <w:name w:val="Revision"/>
    <w:hidden/>
    <w:uiPriority w:val="99"/>
    <w:semiHidden/>
    <w:rsid w:val="00A52242"/>
    <w:pPr>
      <w:spacing w:after="0" w:line="240" w:lineRule="auto"/>
    </w:pPr>
    <w:rPr>
      <w:sz w:val="22"/>
    </w:rPr>
  </w:style>
  <w:style w:type="paragraph" w:customStyle="1" w:styleId="xmsonormal">
    <w:name w:val="x_msonormal"/>
    <w:basedOn w:val="Normal"/>
    <w:rsid w:val="00A52242"/>
    <w:pPr>
      <w:spacing w:before="100" w:beforeAutospacing="1" w:after="100" w:afterAutospacing="1" w:line="240" w:lineRule="auto"/>
      <w:ind w:right="0"/>
    </w:pPr>
    <w:rPr>
      <w:rFonts w:ascii="Times New Roman" w:eastAsia="Times New Roman" w:hAnsi="Times New Roman" w:cs="Times New Roman"/>
      <w:sz w:val="24"/>
    </w:rPr>
  </w:style>
  <w:style w:type="character" w:styleId="UnresolvedMention">
    <w:name w:val="Unresolved Mention"/>
    <w:basedOn w:val="DefaultParagraphFont"/>
    <w:uiPriority w:val="99"/>
    <w:semiHidden/>
    <w:unhideWhenUsed/>
    <w:rsid w:val="00A52242"/>
    <w:rPr>
      <w:color w:val="605E5C"/>
      <w:shd w:val="clear" w:color="auto" w:fill="E1DFDD"/>
    </w:rPr>
  </w:style>
  <w:style w:type="character" w:styleId="FollowedHyperlink">
    <w:name w:val="FollowedHyperlink"/>
    <w:basedOn w:val="DefaultParagraphFont"/>
    <w:uiPriority w:val="99"/>
    <w:semiHidden/>
    <w:unhideWhenUsed/>
    <w:rsid w:val="00A52242"/>
    <w:rPr>
      <w:color w:val="954F72" w:themeColor="followedHyperlink"/>
      <w:u w:val="single"/>
    </w:rPr>
  </w:style>
  <w:style w:type="character" w:customStyle="1" w:styleId="ui-provider">
    <w:name w:val="ui-provider"/>
    <w:basedOn w:val="DefaultParagraphFont"/>
    <w:rsid w:val="00A52242"/>
  </w:style>
  <w:style w:type="paragraph" w:customStyle="1" w:styleId="Diagram">
    <w:name w:val="Diagram"/>
    <w:basedOn w:val="Normal"/>
    <w:qFormat/>
    <w:rsid w:val="00FC285C"/>
    <w:pPr>
      <w:spacing w:after="0"/>
      <w:ind w:right="0"/>
    </w:pPr>
    <w:rPr>
      <w:lang w:val="en-US"/>
    </w:rPr>
  </w:style>
  <w:style w:type="paragraph" w:customStyle="1" w:styleId="Numberedparagraph">
    <w:name w:val="Numbered paragraph"/>
    <w:basedOn w:val="ListParagraph"/>
    <w:link w:val="NumberedparagraphChar"/>
    <w:qFormat/>
    <w:rsid w:val="009F4971"/>
    <w:pPr>
      <w:numPr>
        <w:numId w:val="21"/>
      </w:numPr>
      <w:spacing w:before="120" w:after="240" w:line="276" w:lineRule="auto"/>
      <w:ind w:right="0"/>
      <w:contextualSpacing w:val="0"/>
    </w:pPr>
    <w:rPr>
      <w:rFonts w:cs="Arial"/>
      <w:iCs w:val="0"/>
      <w:color w:val="auto"/>
      <w:sz w:val="24"/>
      <w:szCs w:val="24"/>
      <w:lang w:eastAsia="en-US"/>
    </w:rPr>
  </w:style>
  <w:style w:type="character" w:customStyle="1" w:styleId="NumberedparagraphChar">
    <w:name w:val="Numbered paragraph Char"/>
    <w:basedOn w:val="DefaultParagraphFont"/>
    <w:link w:val="Numberedparagraph"/>
    <w:rsid w:val="009F4971"/>
    <w:rPr>
      <w:rFonts w:eastAsiaTheme="minorEastAsia"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55237">
      <w:bodyDiv w:val="1"/>
      <w:marLeft w:val="0"/>
      <w:marRight w:val="0"/>
      <w:marTop w:val="0"/>
      <w:marBottom w:val="0"/>
      <w:divBdr>
        <w:top w:val="none" w:sz="0" w:space="0" w:color="auto"/>
        <w:left w:val="none" w:sz="0" w:space="0" w:color="auto"/>
        <w:bottom w:val="none" w:sz="0" w:space="0" w:color="auto"/>
        <w:right w:val="none" w:sz="0" w:space="0" w:color="auto"/>
      </w:divBdr>
    </w:div>
    <w:div w:id="165436654">
      <w:bodyDiv w:val="1"/>
      <w:marLeft w:val="0"/>
      <w:marRight w:val="0"/>
      <w:marTop w:val="0"/>
      <w:marBottom w:val="0"/>
      <w:divBdr>
        <w:top w:val="none" w:sz="0" w:space="0" w:color="auto"/>
        <w:left w:val="none" w:sz="0" w:space="0" w:color="auto"/>
        <w:bottom w:val="none" w:sz="0" w:space="0" w:color="auto"/>
        <w:right w:val="none" w:sz="0" w:space="0" w:color="auto"/>
      </w:divBdr>
    </w:div>
    <w:div w:id="270742337">
      <w:bodyDiv w:val="1"/>
      <w:marLeft w:val="0"/>
      <w:marRight w:val="0"/>
      <w:marTop w:val="0"/>
      <w:marBottom w:val="0"/>
      <w:divBdr>
        <w:top w:val="none" w:sz="0" w:space="0" w:color="auto"/>
        <w:left w:val="none" w:sz="0" w:space="0" w:color="auto"/>
        <w:bottom w:val="none" w:sz="0" w:space="0" w:color="auto"/>
        <w:right w:val="none" w:sz="0" w:space="0" w:color="auto"/>
      </w:divBdr>
    </w:div>
    <w:div w:id="1208031025">
      <w:bodyDiv w:val="1"/>
      <w:marLeft w:val="0"/>
      <w:marRight w:val="0"/>
      <w:marTop w:val="0"/>
      <w:marBottom w:val="0"/>
      <w:divBdr>
        <w:top w:val="none" w:sz="0" w:space="0" w:color="auto"/>
        <w:left w:val="none" w:sz="0" w:space="0" w:color="auto"/>
        <w:bottom w:val="none" w:sz="0" w:space="0" w:color="auto"/>
        <w:right w:val="none" w:sz="0" w:space="0" w:color="auto"/>
      </w:divBdr>
    </w:div>
    <w:div w:id="1401905363">
      <w:bodyDiv w:val="1"/>
      <w:marLeft w:val="0"/>
      <w:marRight w:val="0"/>
      <w:marTop w:val="0"/>
      <w:marBottom w:val="0"/>
      <w:divBdr>
        <w:top w:val="none" w:sz="0" w:space="0" w:color="auto"/>
        <w:left w:val="none" w:sz="0" w:space="0" w:color="auto"/>
        <w:bottom w:val="none" w:sz="0" w:space="0" w:color="auto"/>
        <w:right w:val="none" w:sz="0" w:space="0" w:color="auto"/>
      </w:divBdr>
    </w:div>
    <w:div w:id="1987278119">
      <w:bodyDiv w:val="1"/>
      <w:marLeft w:val="0"/>
      <w:marRight w:val="0"/>
      <w:marTop w:val="0"/>
      <w:marBottom w:val="0"/>
      <w:divBdr>
        <w:top w:val="none" w:sz="0" w:space="0" w:color="auto"/>
        <w:left w:val="none" w:sz="0" w:space="0" w:color="auto"/>
        <w:bottom w:val="none" w:sz="0" w:space="0" w:color="auto"/>
        <w:right w:val="none" w:sz="0" w:space="0" w:color="auto"/>
      </w:divBdr>
    </w:div>
    <w:div w:id="198739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qhrc.qld.gov.au" TargetMode="External"/><Relationship Id="rId18" Type="http://schemas.openxmlformats.org/officeDocument/2006/relationships/chart" Target="charts/chart2.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qhrc.qld.gov.au" TargetMode="External"/><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www.qhrc.qld.gov.au"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yperlink" Target="https://data.qld.gov.a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hrc.qld.gov.au/law-reform" TargetMode="External"/><Relationship Id="rId23" Type="http://schemas.openxmlformats.org/officeDocument/2006/relationships/hyperlink" Target="https://data.qld.gov.au" TargetMode="External"/><Relationship Id="rId28" Type="http://schemas.openxmlformats.org/officeDocument/2006/relationships/footer" Target="footer2.xml"/><Relationship Id="rId10" Type="http://schemas.microsoft.com/office/2007/relationships/hdphoto" Target="media/hdphoto1.wdp"/><Relationship Id="rId19" Type="http://schemas.openxmlformats.org/officeDocument/2006/relationships/hyperlink" Target="https://data.qld.gov.a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hyperlink" Target="https://data.qld.gov.au"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charts/_rels/chart1.xml.rels><?xml version="1.0" encoding="UTF-8" standalone="yes"?>
<Relationships xmlns="http://schemas.openxmlformats.org/package/2006/relationships"><Relationship Id="rId3" Type="http://schemas.openxmlformats.org/officeDocument/2006/relationships/oleObject" Target="file:///\\adcq-file01\Data\Shared\REPORTS\Annual%20Report\Annual%20Report%202022-23\Data\Complaints%20data%20from%20Power%20BI%20as%20at%203%20Aug%2020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adcq-file01\Data\Shared\REPORTS\Annual%20Report\Annual%20Report%202022-23\Data\Enquiries%20data%20from%20Power%20BI%20as%20at%203%20Aug%202023.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'Total complaint numbers'!$B$1</c:f>
              <c:strCache>
                <c:ptCount val="1"/>
                <c:pt idx="0">
                  <c:v>Complaints Received</c:v>
                </c:pt>
              </c:strCache>
            </c:strRef>
          </c:tx>
          <c:spPr>
            <a:ln w="19050" cap="rnd">
              <a:solidFill>
                <a:schemeClr val="tx1"/>
              </a:solidFill>
              <a:round/>
            </a:ln>
            <a:effectLst/>
          </c:spPr>
          <c:marker>
            <c:symbol val="none"/>
          </c:marker>
          <c:cat>
            <c:strRef>
              <c:f>'Total complaint numbers'!$A$2:$A$7</c:f>
              <c:strCache>
                <c:ptCount val="6"/>
                <c:pt idx="0">
                  <c:v>2017-18</c:v>
                </c:pt>
                <c:pt idx="1">
                  <c:v>2018-19</c:v>
                </c:pt>
                <c:pt idx="2">
                  <c:v>2019-20</c:v>
                </c:pt>
                <c:pt idx="3">
                  <c:v>2020-21</c:v>
                </c:pt>
                <c:pt idx="4">
                  <c:v>2021-22</c:v>
                </c:pt>
                <c:pt idx="5">
                  <c:v>2022-23</c:v>
                </c:pt>
              </c:strCache>
            </c:strRef>
          </c:cat>
          <c:val>
            <c:numRef>
              <c:f>'Total complaint numbers'!$B$2:$B$7</c:f>
              <c:numCache>
                <c:formatCode>0</c:formatCode>
                <c:ptCount val="6"/>
                <c:pt idx="0">
                  <c:v>809</c:v>
                </c:pt>
                <c:pt idx="1">
                  <c:v>968</c:v>
                </c:pt>
                <c:pt idx="2">
                  <c:v>1011</c:v>
                </c:pt>
                <c:pt idx="3">
                  <c:v>1509</c:v>
                </c:pt>
                <c:pt idx="4">
                  <c:v>1886</c:v>
                </c:pt>
                <c:pt idx="5">
                  <c:v>1857</c:v>
                </c:pt>
              </c:numCache>
            </c:numRef>
          </c:val>
          <c:smooth val="0"/>
          <c:extLst>
            <c:ext xmlns:c16="http://schemas.microsoft.com/office/drawing/2014/chart" uri="{C3380CC4-5D6E-409C-BE32-E72D297353CC}">
              <c16:uniqueId val="{00000000-C858-4661-9F57-1E887AA73A9E}"/>
            </c:ext>
          </c:extLst>
        </c:ser>
        <c:dLbls>
          <c:showLegendKey val="0"/>
          <c:showVal val="0"/>
          <c:showCatName val="0"/>
          <c:showSerName val="0"/>
          <c:showPercent val="0"/>
          <c:showBubbleSize val="0"/>
        </c:dLbls>
        <c:smooth val="0"/>
        <c:axId val="372607608"/>
        <c:axId val="361988608"/>
      </c:lineChart>
      <c:catAx>
        <c:axId val="372607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61988608"/>
        <c:crosses val="autoZero"/>
        <c:auto val="1"/>
        <c:lblAlgn val="ctr"/>
        <c:lblOffset val="100"/>
        <c:noMultiLvlLbl val="0"/>
      </c:catAx>
      <c:valAx>
        <c:axId val="361988608"/>
        <c:scaling>
          <c:orientation val="minMax"/>
        </c:scaling>
        <c:delete val="0"/>
        <c:axPos val="l"/>
        <c:majorGridlines>
          <c:spPr>
            <a:ln w="9525" cap="flat" cmpd="sng" algn="ctr">
              <a:solidFill>
                <a:schemeClr val="bg2">
                  <a:lumMod val="50000"/>
                </a:schemeClr>
              </a:solidFill>
              <a:prstDash val="sysDot"/>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72607608"/>
        <c:crosses val="autoZero"/>
        <c:crossBetween val="between"/>
        <c:majorUnit val="50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'Enquiries - breach and method'!$R$1</c:f>
              <c:strCache>
                <c:ptCount val="1"/>
                <c:pt idx="0">
                  <c:v>Enquiry Count</c:v>
                </c:pt>
              </c:strCache>
            </c:strRef>
          </c:tx>
          <c:spPr>
            <a:ln w="28575" cap="rnd">
              <a:solidFill>
                <a:schemeClr val="tx1"/>
              </a:solidFill>
              <a:round/>
            </a:ln>
            <a:effectLst/>
          </c:spPr>
          <c:marker>
            <c:symbol val="none"/>
          </c:marker>
          <c:cat>
            <c:strRef>
              <c:f>'Enquiries - breach and method'!$Q$2:$Q$7</c:f>
              <c:strCache>
                <c:ptCount val="6"/>
                <c:pt idx="0">
                  <c:v>2017-18</c:v>
                </c:pt>
                <c:pt idx="1">
                  <c:v>2018-19</c:v>
                </c:pt>
                <c:pt idx="2">
                  <c:v>2019-20</c:v>
                </c:pt>
                <c:pt idx="3">
                  <c:v>2020-21</c:v>
                </c:pt>
                <c:pt idx="4">
                  <c:v>2021-22</c:v>
                </c:pt>
                <c:pt idx="5">
                  <c:v>2022-23</c:v>
                </c:pt>
              </c:strCache>
            </c:strRef>
          </c:cat>
          <c:val>
            <c:numRef>
              <c:f>'Enquiries - breach and method'!$R$2:$R$7</c:f>
              <c:numCache>
                <c:formatCode>General</c:formatCode>
                <c:ptCount val="6"/>
                <c:pt idx="0">
                  <c:v>2826</c:v>
                </c:pt>
                <c:pt idx="1">
                  <c:v>2840</c:v>
                </c:pt>
                <c:pt idx="2">
                  <c:v>3947</c:v>
                </c:pt>
                <c:pt idx="3">
                  <c:v>5856</c:v>
                </c:pt>
                <c:pt idx="4">
                  <c:v>6405</c:v>
                </c:pt>
                <c:pt idx="5">
                  <c:v>3829</c:v>
                </c:pt>
              </c:numCache>
            </c:numRef>
          </c:val>
          <c:smooth val="0"/>
          <c:extLst>
            <c:ext xmlns:c16="http://schemas.microsoft.com/office/drawing/2014/chart" uri="{C3380CC4-5D6E-409C-BE32-E72D297353CC}">
              <c16:uniqueId val="{00000000-C28E-433E-8496-81CB8560594A}"/>
            </c:ext>
          </c:extLst>
        </c:ser>
        <c:dLbls>
          <c:showLegendKey val="0"/>
          <c:showVal val="0"/>
          <c:showCatName val="0"/>
          <c:showSerName val="0"/>
          <c:showPercent val="0"/>
          <c:showBubbleSize val="0"/>
        </c:dLbls>
        <c:smooth val="0"/>
        <c:axId val="293273880"/>
        <c:axId val="293276504"/>
      </c:lineChart>
      <c:catAx>
        <c:axId val="293273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93276504"/>
        <c:crosses val="autoZero"/>
        <c:auto val="1"/>
        <c:lblAlgn val="ctr"/>
        <c:lblOffset val="100"/>
        <c:noMultiLvlLbl val="0"/>
      </c:catAx>
      <c:valAx>
        <c:axId val="293276504"/>
        <c:scaling>
          <c:orientation val="minMax"/>
        </c:scaling>
        <c:delete val="0"/>
        <c:axPos val="l"/>
        <c:majorGridlines>
          <c:spPr>
            <a:ln w="19050" cap="flat" cmpd="sng" algn="ctr">
              <a:solidFill>
                <a:schemeClr val="bg2">
                  <a:lumMod val="75000"/>
                </a:schemeClr>
              </a:solidFill>
              <a:prstDash val="sysDot"/>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932738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7C3A2-984A-4C21-85A2-1862FBFC7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75</Pages>
  <Words>20952</Words>
  <Characters>119428</Characters>
  <Application>Microsoft Office Word</Application>
  <DocSecurity>0</DocSecurity>
  <Lines>995</Lines>
  <Paragraphs>280</Paragraphs>
  <ScaleCrop>false</ScaleCrop>
  <HeadingPairs>
    <vt:vector size="2" baseType="variant">
      <vt:variant>
        <vt:lpstr>Title</vt:lpstr>
      </vt:variant>
      <vt:variant>
        <vt:i4>1</vt:i4>
      </vt:variant>
    </vt:vector>
  </HeadingPairs>
  <TitlesOfParts>
    <vt:vector size="1" baseType="lpstr">
      <vt:lpstr/>
    </vt:vector>
  </TitlesOfParts>
  <Company>ADCQ</Company>
  <LinksUpToDate>false</LinksUpToDate>
  <CharactersWithSpaces>140100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Marsh</dc:creator>
  <cp:keywords/>
  <dc:description/>
  <cp:lastModifiedBy>Kate Marsh</cp:lastModifiedBy>
  <cp:revision>14</cp:revision>
  <cp:lastPrinted>2023-08-31T01:12:00Z</cp:lastPrinted>
  <dcterms:created xsi:type="dcterms:W3CDTF">2023-08-30T23:31:00Z</dcterms:created>
  <dcterms:modified xsi:type="dcterms:W3CDTF">2023-11-20T04:05:00Z</dcterms:modified>
</cp:coreProperties>
</file>