
<file path=[Content_Types].xml><?xml version="1.0" encoding="utf-8"?>
<Types xmlns="http://schemas.openxmlformats.org/package/2006/content-types">
  <Default Extension="png" ContentType="image/png"/>
  <Default Extension="emf" ContentType="image/x-emf"/>
  <Default Extension="jpeg" ContentType="image/jpeg"/>
  <Default Extension="rels" ContentType="application/vnd.openxmlformats-package.relationships+xml"/>
  <Default Extension="xml" ContentType="application/xml"/>
  <Default Extension="wdp" ContentType="image/vnd.ms-photo"/>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charts/chart1.xml" ContentType="application/vnd.openxmlformats-officedocument.drawingml.chart+xml"/>
  <Override PartName="/word/charts/style1.xml" ContentType="application/vnd.ms-office.chartstyle+xml"/>
  <Override PartName="/word/charts/colors1.xml" ContentType="application/vnd.ms-office.chartcolorstyle+xml"/>
  <Override PartName="/word/charts/chart2.xml" ContentType="application/vnd.openxmlformats-officedocument.drawingml.chart+xml"/>
  <Override PartName="/word/charts/style2.xml" ContentType="application/vnd.ms-office.chartstyle+xml"/>
  <Override PartName="/word/charts/colors2.xml" ContentType="application/vnd.ms-office.chartcolorstyle+xml"/>
  <Override PartName="/word/charts/chart3.xml" ContentType="application/vnd.openxmlformats-officedocument.drawingml.chart+xml"/>
  <Override PartName="/word/charts/style3.xml" ContentType="application/vnd.ms-office.chartstyle+xml"/>
  <Override PartName="/word/charts/colors3.xml" ContentType="application/vnd.ms-office.chartcolorstyle+xml"/>
  <Override PartName="/word/drawings/drawing1.xml" ContentType="application/vnd.openxmlformats-officedocument.drawingml.chartshapes+xml"/>
  <Override PartName="/word/charts/chart4.xml" ContentType="application/vnd.openxmlformats-officedocument.drawingml.chart+xml"/>
  <Override PartName="/word/charts/style4.xml" ContentType="application/vnd.ms-office.chartstyle+xml"/>
  <Override PartName="/word/charts/colors4.xml" ContentType="application/vnd.ms-office.chartcolorstyle+xml"/>
  <Override PartName="/word/charts/chart5.xml" ContentType="application/vnd.openxmlformats-officedocument.drawingml.chart+xml"/>
  <Override PartName="/word/charts/style5.xml" ContentType="application/vnd.ms-office.chartstyle+xml"/>
  <Override PartName="/word/charts/colors5.xml" ContentType="application/vnd.ms-office.chartcolorstyle+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ackground w:color="FFFFFF" w:themeColor="background1"/>
  <w:body>
    <w:p w14:paraId="48905CF3" w14:textId="3D8DFCA9" w:rsidR="008A2E30" w:rsidRPr="008A2E30" w:rsidRDefault="00364438" w:rsidP="008A2E30">
      <w:r>
        <w:rPr>
          <w:noProof/>
          <w:lang w:eastAsia="en-AU"/>
        </w:rPr>
        <w:drawing>
          <wp:anchor distT="0" distB="0" distL="114300" distR="114300" simplePos="0" relativeHeight="251658257" behindDoc="1" locked="0" layoutInCell="1" allowOverlap="1" wp14:anchorId="0B22C3BA" wp14:editId="7CB4E463">
            <wp:simplePos x="0" y="0"/>
            <wp:positionH relativeFrom="page">
              <wp:align>left</wp:align>
            </wp:positionH>
            <wp:positionV relativeFrom="page">
              <wp:align>top</wp:align>
            </wp:positionV>
            <wp:extent cx="7572375" cy="10710966"/>
            <wp:effectExtent l="0" t="0" r="0" b="0"/>
            <wp:wrapNone/>
            <wp:docPr id="15" name="Picture 15" descr="Front cover. Colour photo of someone walking - they are wearing all black and have a long dark braid, headphones and a backpack on, and are wearing a face mask. There's a bright blue wall behind them. White text reads &quot;Balancing life and liberty: the second annual report on the operation of Queensland's Human Rights Act 2019; 2020-21&quot;. The QHRC logo is at the botto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descr="A picture containing text, outdoor&#10;&#10;Description automatically generated"/>
                    <pic:cNvPicPr/>
                  </pic:nvPicPr>
                  <pic:blipFill>
                    <a:blip r:embed="rId11" cstate="print">
                      <a:extLst>
                        <a:ext uri="{28A0092B-C50C-407E-A947-70E740481C1C}">
                          <a14:useLocalDpi xmlns:a14="http://schemas.microsoft.com/office/drawing/2010/main" val="0"/>
                        </a:ext>
                      </a:extLst>
                    </a:blip>
                    <a:stretch>
                      <a:fillRect/>
                    </a:stretch>
                  </pic:blipFill>
                  <pic:spPr>
                    <a:xfrm>
                      <a:off x="0" y="0"/>
                      <a:ext cx="7572375" cy="10710966"/>
                    </a:xfrm>
                    <a:prstGeom prst="rect">
                      <a:avLst/>
                    </a:prstGeom>
                  </pic:spPr>
                </pic:pic>
              </a:graphicData>
            </a:graphic>
            <wp14:sizeRelH relativeFrom="margin">
              <wp14:pctWidth>0</wp14:pctWidth>
            </wp14:sizeRelH>
            <wp14:sizeRelV relativeFrom="margin">
              <wp14:pctHeight>0</wp14:pctHeight>
            </wp14:sizeRelV>
          </wp:anchor>
        </w:drawing>
      </w:r>
    </w:p>
    <w:p w14:paraId="2E18F4E8" w14:textId="77777777" w:rsidR="00B41EFD" w:rsidRPr="00235A48" w:rsidRDefault="00B41EFD" w:rsidP="00E80267"/>
    <w:p w14:paraId="4D00735B" w14:textId="77777777" w:rsidR="00E27B3E" w:rsidRDefault="00C50D5E" w:rsidP="00364438">
      <w:pPr>
        <w:pStyle w:val="Heading1"/>
        <w:rPr>
          <w:i/>
        </w:rPr>
      </w:pPr>
      <w:r w:rsidRPr="008A00EB">
        <w:rPr>
          <w:rFonts w:cs="Arial"/>
        </w:rPr>
        <w:br w:type="page"/>
      </w:r>
      <w:bookmarkStart w:id="0" w:name="_Toc56451020"/>
      <w:bookmarkStart w:id="1" w:name="_Toc56451344"/>
      <w:bookmarkStart w:id="2" w:name="_Toc56451525"/>
      <w:bookmarkStart w:id="3" w:name="_Toc56452099"/>
      <w:bookmarkStart w:id="4" w:name="_Toc76640408"/>
      <w:bookmarkStart w:id="5" w:name="_Toc84593823"/>
      <w:bookmarkStart w:id="6" w:name="_Toc85451696"/>
      <w:bookmarkStart w:id="7" w:name="_Toc85526618"/>
      <w:bookmarkStart w:id="8" w:name="_Toc85787033"/>
      <w:r w:rsidR="004B2D50" w:rsidRPr="004B2D50">
        <w:rPr>
          <w:rFonts w:cs="Arial"/>
          <w:i/>
        </w:rPr>
        <w:lastRenderedPageBreak/>
        <w:softHyphen/>
      </w:r>
      <w:r w:rsidR="004B2D50" w:rsidRPr="004B2D50">
        <w:rPr>
          <w:rFonts w:cs="Arial"/>
          <w:i/>
        </w:rPr>
        <w:softHyphen/>
      </w:r>
      <w:bookmarkStart w:id="9" w:name="_Toc52884999"/>
      <w:bookmarkStart w:id="10" w:name="_Toc52980101"/>
      <w:bookmarkStart w:id="11" w:name="_Toc53039735"/>
      <w:bookmarkStart w:id="12" w:name="_Toc53041543"/>
      <w:bookmarkStart w:id="13" w:name="_Toc53041601"/>
      <w:bookmarkStart w:id="14" w:name="_Toc53046256"/>
      <w:bookmarkStart w:id="15" w:name="_Toc53066205"/>
      <w:bookmarkStart w:id="16" w:name="_Toc53483261"/>
      <w:bookmarkStart w:id="17" w:name="_Toc53495659"/>
      <w:bookmarkStart w:id="18" w:name="_Toc53497610"/>
      <w:bookmarkStart w:id="19" w:name="_Toc53497735"/>
      <w:bookmarkStart w:id="20" w:name="_Toc53499258"/>
      <w:bookmarkStart w:id="21" w:name="_Toc54244612"/>
      <w:bookmarkStart w:id="22" w:name="_Toc54610541"/>
      <w:bookmarkStart w:id="23" w:name="_Toc54610630"/>
      <w:bookmarkStart w:id="24" w:name="_Toc54674737"/>
      <w:bookmarkStart w:id="25" w:name="_Toc54674825"/>
      <w:bookmarkStart w:id="26" w:name="_Toc55224339"/>
      <w:bookmarkStart w:id="27" w:name="_Toc55314756"/>
      <w:bookmarkStart w:id="28" w:name="_Toc55482259"/>
      <w:bookmarkStart w:id="29" w:name="_Toc56085676"/>
      <w:bookmarkStart w:id="30" w:name="_Toc56167125"/>
      <w:bookmarkStart w:id="31" w:name="_Toc56429094"/>
      <w:r w:rsidR="756403B4" w:rsidRPr="004B2D50">
        <w:rPr>
          <w:i/>
        </w:rPr>
        <w:t>Annual report</w:t>
      </w:r>
      <w:r w:rsidR="00341230" w:rsidRPr="004B2D50">
        <w:rPr>
          <w:i/>
        </w:rPr>
        <w:t xml:space="preserve"> on the operation of the Human Rights Act</w:t>
      </w:r>
      <w:r w:rsidR="756403B4" w:rsidRPr="004B2D50">
        <w:rPr>
          <w:i/>
        </w:rPr>
        <w:t xml:space="preserve"> </w:t>
      </w:r>
      <w:r w:rsidR="00364B3B" w:rsidRPr="004B2D50">
        <w:rPr>
          <w:i/>
        </w:rPr>
        <w:t>2019</w:t>
      </w:r>
      <w:bookmarkEnd w:id="9"/>
      <w:bookmarkEnd w:id="10"/>
      <w:bookmarkEnd w:id="11"/>
      <w:bookmarkEnd w:id="12"/>
      <w:bookmarkEnd w:id="13"/>
      <w:bookmarkEnd w:id="14"/>
      <w:bookmarkEnd w:id="15"/>
      <w:bookmarkEnd w:id="16"/>
      <w:bookmarkEnd w:id="17"/>
      <w:bookmarkEnd w:id="18"/>
      <w:bookmarkEnd w:id="19"/>
      <w:bookmarkEnd w:id="20"/>
      <w:bookmarkEnd w:id="21"/>
      <w:bookmarkEnd w:id="22"/>
      <w:bookmarkEnd w:id="23"/>
      <w:bookmarkEnd w:id="24"/>
      <w:bookmarkEnd w:id="25"/>
      <w:bookmarkEnd w:id="26"/>
      <w:bookmarkEnd w:id="27"/>
      <w:bookmarkEnd w:id="28"/>
      <w:bookmarkEnd w:id="29"/>
      <w:bookmarkEnd w:id="30"/>
      <w:r w:rsidR="00983353" w:rsidRPr="004B2D50">
        <w:rPr>
          <w:i/>
        </w:rPr>
        <w:t xml:space="preserve"> </w:t>
      </w:r>
      <w:bookmarkStart w:id="32" w:name="_Toc54244613"/>
      <w:bookmarkStart w:id="33" w:name="_Toc54610542"/>
      <w:bookmarkStart w:id="34" w:name="_Toc54610631"/>
      <w:bookmarkStart w:id="35" w:name="_Toc54674738"/>
      <w:bookmarkStart w:id="36" w:name="_Toc54674826"/>
      <w:bookmarkStart w:id="37" w:name="_Toc55224340"/>
      <w:bookmarkStart w:id="38" w:name="_Toc55314757"/>
      <w:bookmarkStart w:id="39" w:name="_Toc55482260"/>
      <w:bookmarkStart w:id="40" w:name="_Toc56085677"/>
      <w:bookmarkStart w:id="41" w:name="_Toc56167126"/>
    </w:p>
    <w:p w14:paraId="343BBECD" w14:textId="3A724651" w:rsidR="007301EA" w:rsidRPr="004B2D50" w:rsidRDefault="007301EA" w:rsidP="00364438">
      <w:pPr>
        <w:pStyle w:val="Heading1"/>
        <w:rPr>
          <w:i/>
        </w:rPr>
      </w:pPr>
      <w:r w:rsidRPr="004B2D50">
        <w:rPr>
          <w:i/>
        </w:rPr>
        <w:t>20</w:t>
      </w:r>
      <w:r w:rsidR="00047D3A">
        <w:rPr>
          <w:i/>
        </w:rPr>
        <w:t>20</w:t>
      </w:r>
      <w:r w:rsidRPr="004B2D50">
        <w:rPr>
          <w:i/>
        </w:rPr>
        <w:t>-2</w:t>
      </w:r>
      <w:bookmarkEnd w:id="0"/>
      <w:bookmarkEnd w:id="1"/>
      <w:bookmarkEnd w:id="2"/>
      <w:bookmarkEnd w:id="3"/>
      <w:bookmarkEnd w:id="31"/>
      <w:bookmarkEnd w:id="32"/>
      <w:bookmarkEnd w:id="33"/>
      <w:bookmarkEnd w:id="34"/>
      <w:bookmarkEnd w:id="35"/>
      <w:bookmarkEnd w:id="36"/>
      <w:bookmarkEnd w:id="37"/>
      <w:bookmarkEnd w:id="38"/>
      <w:bookmarkEnd w:id="39"/>
      <w:bookmarkEnd w:id="40"/>
      <w:bookmarkEnd w:id="41"/>
      <w:r w:rsidR="00047D3A">
        <w:rPr>
          <w:i/>
        </w:rPr>
        <w:t>1</w:t>
      </w:r>
      <w:bookmarkEnd w:id="4"/>
      <w:bookmarkEnd w:id="5"/>
      <w:bookmarkEnd w:id="6"/>
      <w:bookmarkEnd w:id="7"/>
      <w:bookmarkEnd w:id="8"/>
      <w:r w:rsidR="00592144">
        <w:rPr>
          <w:i/>
        </w:rPr>
        <w:softHyphen/>
      </w:r>
      <w:r w:rsidR="00592144">
        <w:rPr>
          <w:i/>
        </w:rPr>
        <w:softHyphen/>
      </w:r>
      <w:r w:rsidR="00592144">
        <w:rPr>
          <w:i/>
        </w:rPr>
        <w:softHyphen/>
      </w:r>
    </w:p>
    <w:p w14:paraId="0041CDC0" w14:textId="220DAD70" w:rsidR="006F5840" w:rsidRPr="008A00EB" w:rsidRDefault="004B2D50" w:rsidP="006F5840">
      <w:pPr>
        <w:spacing w:before="360" w:after="120" w:line="240" w:lineRule="auto"/>
        <w:rPr>
          <w:rFonts w:cs="Arial"/>
          <w:i/>
          <w:sz w:val="18"/>
          <w:szCs w:val="18"/>
        </w:rPr>
      </w:pPr>
      <w:r w:rsidRPr="008A00EB">
        <w:rPr>
          <w:noProof/>
          <w:color w:val="2B579A"/>
          <w:shd w:val="clear" w:color="auto" w:fill="E6E6E6"/>
          <w:lang w:eastAsia="en-AU"/>
        </w:rPr>
        <w:drawing>
          <wp:anchor distT="0" distB="0" distL="114300" distR="114300" simplePos="0" relativeHeight="251658243" behindDoc="0" locked="0" layoutInCell="1" allowOverlap="1" wp14:anchorId="3CB131EA" wp14:editId="5E50793C">
            <wp:simplePos x="0" y="0"/>
            <wp:positionH relativeFrom="column">
              <wp:posOffset>-1507</wp:posOffset>
            </wp:positionH>
            <wp:positionV relativeFrom="paragraph">
              <wp:posOffset>51530</wp:posOffset>
            </wp:positionV>
            <wp:extent cx="581025" cy="581025"/>
            <wp:effectExtent l="0" t="0" r="9525" b="9525"/>
            <wp:wrapSquare wrapText="bothSides"/>
            <wp:docPr id="3" name="Picture 3" descr="http://www.immi.gov.au/living-in-australia/help-with-english/NIS/interpreter_symbol_text.jpg" title="Interpreter informa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12">
                      <a:extLst>
                        <a:ext uri="{BEBA8EAE-BF5A-486C-A8C5-ECC9F3942E4B}">
                          <a14:imgProps xmlns:a14="http://schemas.microsoft.com/office/drawing/2010/main">
                            <a14:imgLayer r:embed="rId13">
                              <a14:imgEffect>
                                <a14:brightnessContrast bright="-40000" contrast="40000"/>
                              </a14:imgEffect>
                            </a14:imgLayer>
                          </a14:imgProps>
                        </a:ext>
                        <a:ext uri="{28A0092B-C50C-407E-A947-70E740481C1C}">
                          <a14:useLocalDpi xmlns:a14="http://schemas.microsoft.com/office/drawing/2010/main" val="0"/>
                        </a:ext>
                      </a:extLst>
                    </a:blip>
                    <a:stretch>
                      <a:fillRect/>
                    </a:stretch>
                  </pic:blipFill>
                  <pic:spPr>
                    <a:xfrm>
                      <a:off x="0" y="0"/>
                      <a:ext cx="581025" cy="581025"/>
                    </a:xfrm>
                    <a:prstGeom prst="rect">
                      <a:avLst/>
                    </a:prstGeom>
                  </pic:spPr>
                </pic:pic>
              </a:graphicData>
            </a:graphic>
          </wp:anchor>
        </w:drawing>
      </w:r>
      <w:r w:rsidR="006F5840" w:rsidRPr="008A00EB">
        <w:rPr>
          <w:rFonts w:cs="Arial"/>
          <w:sz w:val="18"/>
          <w:szCs w:val="18"/>
        </w:rPr>
        <w:t xml:space="preserve">The Queensland Human Rights Commission is committed to providing accessible services to Queenslanders from all culturally and linguistically diverse backgrounds. If you have difficulty in understanding the annual report, you can contact us on toll free 1300 130 670 and we will arrange an interpreter to effectively communicate the report to you. </w:t>
      </w:r>
    </w:p>
    <w:p w14:paraId="297A6612" w14:textId="0EF72CDE" w:rsidR="006F5840" w:rsidRPr="008A00EB" w:rsidRDefault="006F5840" w:rsidP="2D5FE124">
      <w:pPr>
        <w:spacing w:line="240" w:lineRule="auto"/>
        <w:rPr>
          <w:rFonts w:cs="Arial"/>
          <w:i/>
          <w:iCs/>
          <w:noProof/>
          <w:sz w:val="18"/>
          <w:szCs w:val="18"/>
          <w:lang w:eastAsia="en-AU"/>
        </w:rPr>
      </w:pPr>
      <w:r w:rsidRPr="008A00EB">
        <w:rPr>
          <w:rFonts w:cs="Arial"/>
          <w:noProof/>
          <w:sz w:val="18"/>
          <w:szCs w:val="18"/>
          <w:lang w:eastAsia="en-AU"/>
        </w:rPr>
        <w:t>English: If you’d like us to arrange an interpreter for this report, please call us on 1300 130 670.</w:t>
      </w:r>
      <w:r w:rsidR="14318FCA" w:rsidRPr="008A00EB">
        <w:rPr>
          <w:rFonts w:cs="Arial"/>
          <w:noProof/>
          <w:sz w:val="18"/>
          <w:szCs w:val="18"/>
          <w:lang w:eastAsia="en-AU"/>
        </w:rPr>
        <w:t xml:space="preserve"> </w:t>
      </w:r>
    </w:p>
    <w:p w14:paraId="7F295870" w14:textId="77777777" w:rsidR="006F5840" w:rsidRPr="008A00EB" w:rsidRDefault="006F5840" w:rsidP="006F5840">
      <w:pPr>
        <w:spacing w:line="240" w:lineRule="auto"/>
        <w:rPr>
          <w:rFonts w:cs="Arial"/>
          <w:i/>
          <w:noProof/>
          <w:sz w:val="18"/>
          <w:szCs w:val="18"/>
          <w:lang w:val="es-ES" w:eastAsia="en-AU"/>
        </w:rPr>
      </w:pPr>
      <w:r w:rsidRPr="008A00EB">
        <w:rPr>
          <w:rFonts w:cs="Arial"/>
          <w:noProof/>
          <w:sz w:val="18"/>
          <w:szCs w:val="18"/>
          <w:lang w:val="es-ES" w:eastAsia="en-AU"/>
        </w:rPr>
        <w:t>Spanish: Si desea que nosotros para solicitar un intérprete de este informe, por favor llámenos en 1300 130 670</w:t>
      </w:r>
    </w:p>
    <w:p w14:paraId="2FA45949" w14:textId="77777777" w:rsidR="006F5840" w:rsidRPr="00AC7032" w:rsidRDefault="006F5840" w:rsidP="006F5840">
      <w:pPr>
        <w:spacing w:line="240" w:lineRule="auto"/>
        <w:rPr>
          <w:rFonts w:cs="Arial"/>
          <w:i/>
          <w:noProof/>
          <w:sz w:val="18"/>
          <w:szCs w:val="18"/>
          <w:lang w:val="fr-FR" w:eastAsia="en-AU"/>
        </w:rPr>
      </w:pPr>
      <w:r w:rsidRPr="00AC7032">
        <w:rPr>
          <w:rFonts w:cs="Arial"/>
          <w:noProof/>
          <w:sz w:val="18"/>
          <w:szCs w:val="18"/>
          <w:lang w:val="fr-FR" w:eastAsia="en-AU"/>
        </w:rPr>
        <w:t>French: Si vous souhaitez organiser un interprète pour ce rapport, veuillez nous appeler au 1300 130 670</w:t>
      </w:r>
    </w:p>
    <w:p w14:paraId="367198B9" w14:textId="6F6B9BBC" w:rsidR="006F5840" w:rsidRPr="008A00EB" w:rsidRDefault="006F5840" w:rsidP="2D5FE124">
      <w:pPr>
        <w:spacing w:line="240" w:lineRule="auto"/>
        <w:rPr>
          <w:rFonts w:cs="Arial"/>
          <w:i/>
          <w:sz w:val="18"/>
          <w:szCs w:val="18"/>
          <w:lang w:val="es-ES" w:eastAsia="zh-CN"/>
        </w:rPr>
      </w:pPr>
      <w:r w:rsidRPr="008A00EB">
        <w:rPr>
          <w:rFonts w:cs="Arial"/>
          <w:noProof/>
          <w:sz w:val="18"/>
          <w:szCs w:val="18"/>
          <w:lang w:val="es-ES" w:eastAsia="zh-CN"/>
        </w:rPr>
        <w:t xml:space="preserve">Chinese: </w:t>
      </w:r>
      <w:r w:rsidRPr="008A00EB">
        <w:rPr>
          <w:rFonts w:eastAsia="MS Gothic" w:cs="Arial"/>
          <w:noProof/>
          <w:sz w:val="18"/>
          <w:szCs w:val="18"/>
          <w:lang w:eastAsia="zh-CN"/>
        </w:rPr>
        <w:t>如果您想</w:t>
      </w:r>
      <w:r w:rsidRPr="008A00EB">
        <w:rPr>
          <w:rFonts w:eastAsia="MingLiU" w:cs="Arial"/>
          <w:noProof/>
          <w:sz w:val="18"/>
          <w:szCs w:val="18"/>
          <w:lang w:eastAsia="zh-CN"/>
        </w:rPr>
        <w:t>让</w:t>
      </w:r>
      <w:r w:rsidRPr="008A00EB">
        <w:rPr>
          <w:rFonts w:eastAsia="MS Mincho" w:cs="Arial"/>
          <w:noProof/>
          <w:sz w:val="18"/>
          <w:szCs w:val="18"/>
          <w:lang w:eastAsia="zh-CN"/>
        </w:rPr>
        <w:t>我</w:t>
      </w:r>
      <w:r w:rsidRPr="008A00EB">
        <w:rPr>
          <w:rFonts w:eastAsia="MingLiU" w:cs="Arial"/>
          <w:noProof/>
          <w:sz w:val="18"/>
          <w:szCs w:val="18"/>
          <w:lang w:eastAsia="zh-CN"/>
        </w:rPr>
        <w:t>们为</w:t>
      </w:r>
      <w:r w:rsidRPr="008A00EB">
        <w:rPr>
          <w:rFonts w:eastAsia="MS Mincho" w:cs="Arial"/>
          <w:noProof/>
          <w:sz w:val="18"/>
          <w:szCs w:val="18"/>
          <w:lang w:eastAsia="zh-CN"/>
        </w:rPr>
        <w:t>此</w:t>
      </w:r>
      <w:r w:rsidRPr="008A00EB">
        <w:rPr>
          <w:rFonts w:eastAsia="MingLiU" w:cs="Arial"/>
          <w:noProof/>
          <w:sz w:val="18"/>
          <w:szCs w:val="18"/>
          <w:lang w:eastAsia="zh-CN"/>
        </w:rPr>
        <w:t>报</w:t>
      </w:r>
      <w:r w:rsidR="2277F804" w:rsidRPr="008A00EB">
        <w:rPr>
          <w:rFonts w:eastAsia="MingLiU" w:cs="Arial"/>
          <w:noProof/>
          <w:sz w:val="18"/>
          <w:szCs w:val="18"/>
          <w:lang w:eastAsia="zh-CN"/>
        </w:rPr>
        <w:t>co</w:t>
      </w:r>
      <w:r w:rsidRPr="008A00EB">
        <w:rPr>
          <w:rFonts w:eastAsia="MS Mincho" w:cs="Arial"/>
          <w:noProof/>
          <w:sz w:val="18"/>
          <w:szCs w:val="18"/>
          <w:lang w:eastAsia="zh-CN"/>
        </w:rPr>
        <w:t>告安排</w:t>
      </w:r>
      <w:r w:rsidRPr="008A00EB">
        <w:rPr>
          <w:rFonts w:eastAsia="MingLiU" w:cs="Arial"/>
          <w:noProof/>
          <w:sz w:val="18"/>
          <w:szCs w:val="18"/>
          <w:lang w:eastAsia="zh-CN"/>
        </w:rPr>
        <w:t>传译员</w:t>
      </w:r>
      <w:r w:rsidRPr="008A00EB">
        <w:rPr>
          <w:rFonts w:eastAsia="MS Mincho" w:cs="Arial"/>
          <w:noProof/>
          <w:sz w:val="18"/>
          <w:szCs w:val="18"/>
          <w:lang w:val="es-ES" w:eastAsia="zh-CN"/>
        </w:rPr>
        <w:t>，</w:t>
      </w:r>
      <w:r w:rsidRPr="008A00EB">
        <w:rPr>
          <w:rFonts w:eastAsia="MingLiU" w:cs="Arial"/>
          <w:noProof/>
          <w:sz w:val="18"/>
          <w:szCs w:val="18"/>
          <w:lang w:eastAsia="zh-CN"/>
        </w:rPr>
        <w:t>请</w:t>
      </w:r>
      <w:r w:rsidRPr="008A00EB">
        <w:rPr>
          <w:rFonts w:eastAsia="MS Mincho" w:cs="Arial"/>
          <w:noProof/>
          <w:sz w:val="18"/>
          <w:szCs w:val="18"/>
          <w:lang w:eastAsia="zh-CN"/>
        </w:rPr>
        <w:t>致</w:t>
      </w:r>
      <w:r w:rsidRPr="008A00EB">
        <w:rPr>
          <w:rFonts w:eastAsia="MingLiU" w:cs="Arial"/>
          <w:noProof/>
          <w:sz w:val="18"/>
          <w:szCs w:val="18"/>
          <w:lang w:eastAsia="zh-CN"/>
        </w:rPr>
        <w:t>电</w:t>
      </w:r>
      <w:r w:rsidRPr="008A00EB">
        <w:rPr>
          <w:rFonts w:eastAsia="MS Mincho" w:cs="Arial"/>
          <w:noProof/>
          <w:sz w:val="18"/>
          <w:szCs w:val="18"/>
          <w:lang w:eastAsia="zh-CN"/>
        </w:rPr>
        <w:t>我</w:t>
      </w:r>
      <w:r w:rsidRPr="008A00EB">
        <w:rPr>
          <w:rFonts w:eastAsia="MingLiU" w:cs="Arial"/>
          <w:noProof/>
          <w:sz w:val="18"/>
          <w:szCs w:val="18"/>
          <w:lang w:eastAsia="zh-CN"/>
        </w:rPr>
        <w:t>们</w:t>
      </w:r>
      <w:r w:rsidRPr="008A00EB">
        <w:rPr>
          <w:rFonts w:cs="Arial"/>
          <w:noProof/>
          <w:sz w:val="18"/>
          <w:szCs w:val="18"/>
          <w:lang w:val="es-ES" w:eastAsia="zh-CN"/>
        </w:rPr>
        <w:t xml:space="preserve"> 1300</w:t>
      </w:r>
      <w:r w:rsidRPr="008A00EB">
        <w:rPr>
          <w:rFonts w:eastAsia="MS Gothic" w:cs="Arial"/>
          <w:noProof/>
          <w:sz w:val="18"/>
          <w:szCs w:val="18"/>
          <w:lang w:eastAsia="zh-CN"/>
        </w:rPr>
        <w:t>年</w:t>
      </w:r>
      <w:r w:rsidRPr="008A00EB">
        <w:rPr>
          <w:rFonts w:cs="Arial"/>
          <w:noProof/>
          <w:sz w:val="18"/>
          <w:szCs w:val="18"/>
          <w:lang w:val="es-ES" w:eastAsia="zh-CN"/>
        </w:rPr>
        <w:t xml:space="preserve"> 130 670</w:t>
      </w:r>
    </w:p>
    <w:p w14:paraId="7BBD96C6" w14:textId="77777777" w:rsidR="006F5840" w:rsidRPr="008A00EB" w:rsidRDefault="006F5840" w:rsidP="006F5840">
      <w:pPr>
        <w:spacing w:line="240" w:lineRule="auto"/>
        <w:rPr>
          <w:rFonts w:cs="Arial"/>
          <w:i/>
          <w:noProof/>
          <w:sz w:val="18"/>
          <w:szCs w:val="18"/>
          <w:lang w:val="es-ES" w:eastAsia="en-AU"/>
        </w:rPr>
      </w:pPr>
      <w:r w:rsidRPr="008A00EB">
        <w:rPr>
          <w:rFonts w:cs="Arial"/>
          <w:noProof/>
          <w:sz w:val="18"/>
          <w:szCs w:val="18"/>
          <w:lang w:val="es-ES" w:eastAsia="en-AU"/>
        </w:rPr>
        <w:t xml:space="preserve">Arabic: </w:t>
      </w:r>
      <w:r w:rsidRPr="008A00EB">
        <w:rPr>
          <w:rFonts w:cs="Arial"/>
          <w:noProof/>
          <w:sz w:val="18"/>
          <w:szCs w:val="18"/>
          <w:lang w:eastAsia="en-AU"/>
        </w:rPr>
        <w:t>إذا</w:t>
      </w:r>
      <w:r w:rsidRPr="008A00EB">
        <w:rPr>
          <w:rFonts w:cs="Arial"/>
          <w:noProof/>
          <w:sz w:val="18"/>
          <w:szCs w:val="18"/>
          <w:lang w:val="es-ES" w:eastAsia="en-AU"/>
        </w:rPr>
        <w:t xml:space="preserve"> </w:t>
      </w:r>
      <w:r w:rsidRPr="008A00EB">
        <w:rPr>
          <w:rFonts w:cs="Arial"/>
          <w:noProof/>
          <w:sz w:val="18"/>
          <w:szCs w:val="18"/>
          <w:lang w:eastAsia="en-AU"/>
        </w:rPr>
        <w:t>كنت</w:t>
      </w:r>
      <w:r w:rsidRPr="008A00EB">
        <w:rPr>
          <w:rFonts w:cs="Arial"/>
          <w:noProof/>
          <w:sz w:val="18"/>
          <w:szCs w:val="18"/>
          <w:lang w:val="es-ES" w:eastAsia="en-AU"/>
        </w:rPr>
        <w:t xml:space="preserve"> </w:t>
      </w:r>
      <w:r w:rsidRPr="008A00EB">
        <w:rPr>
          <w:rFonts w:cs="Arial"/>
          <w:noProof/>
          <w:sz w:val="18"/>
          <w:szCs w:val="18"/>
          <w:lang w:eastAsia="en-AU"/>
        </w:rPr>
        <w:t>تريد</w:t>
      </w:r>
      <w:r w:rsidRPr="008A00EB">
        <w:rPr>
          <w:rFonts w:cs="Arial"/>
          <w:noProof/>
          <w:sz w:val="18"/>
          <w:szCs w:val="18"/>
          <w:lang w:val="es-ES" w:eastAsia="en-AU"/>
        </w:rPr>
        <w:t xml:space="preserve"> </w:t>
      </w:r>
      <w:r w:rsidRPr="008A00EB">
        <w:rPr>
          <w:rFonts w:cs="Arial"/>
          <w:noProof/>
          <w:sz w:val="18"/>
          <w:szCs w:val="18"/>
          <w:lang w:eastAsia="en-AU"/>
        </w:rPr>
        <w:t>منا</w:t>
      </w:r>
      <w:r w:rsidRPr="008A00EB">
        <w:rPr>
          <w:rFonts w:cs="Arial"/>
          <w:noProof/>
          <w:sz w:val="18"/>
          <w:szCs w:val="18"/>
          <w:lang w:val="es-ES" w:eastAsia="en-AU"/>
        </w:rPr>
        <w:t xml:space="preserve"> </w:t>
      </w:r>
      <w:r w:rsidRPr="008A00EB">
        <w:rPr>
          <w:rFonts w:cs="Arial"/>
          <w:noProof/>
          <w:sz w:val="18"/>
          <w:szCs w:val="18"/>
          <w:lang w:eastAsia="en-AU"/>
        </w:rPr>
        <w:t>أن</w:t>
      </w:r>
      <w:r w:rsidRPr="008A00EB">
        <w:rPr>
          <w:rFonts w:cs="Arial"/>
          <w:noProof/>
          <w:sz w:val="18"/>
          <w:szCs w:val="18"/>
          <w:lang w:val="es-ES" w:eastAsia="en-AU"/>
        </w:rPr>
        <w:t xml:space="preserve"> </w:t>
      </w:r>
      <w:r w:rsidRPr="008A00EB">
        <w:rPr>
          <w:rFonts w:cs="Arial"/>
          <w:noProof/>
          <w:sz w:val="18"/>
          <w:szCs w:val="18"/>
          <w:lang w:eastAsia="en-AU"/>
        </w:rPr>
        <w:t>يرتب</w:t>
      </w:r>
      <w:r w:rsidRPr="008A00EB">
        <w:rPr>
          <w:rFonts w:cs="Arial"/>
          <w:noProof/>
          <w:sz w:val="18"/>
          <w:szCs w:val="18"/>
          <w:lang w:val="es-ES" w:eastAsia="en-AU"/>
        </w:rPr>
        <w:t xml:space="preserve"> </w:t>
      </w:r>
      <w:r w:rsidRPr="008A00EB">
        <w:rPr>
          <w:rFonts w:cs="Arial"/>
          <w:noProof/>
          <w:sz w:val="18"/>
          <w:szCs w:val="18"/>
          <w:lang w:eastAsia="en-AU"/>
        </w:rPr>
        <w:t>مترجما</w:t>
      </w:r>
      <w:r w:rsidRPr="008A00EB">
        <w:rPr>
          <w:rFonts w:cs="Arial"/>
          <w:noProof/>
          <w:sz w:val="18"/>
          <w:szCs w:val="18"/>
          <w:lang w:val="es-ES" w:eastAsia="en-AU"/>
        </w:rPr>
        <w:t xml:space="preserve"> </w:t>
      </w:r>
      <w:r w:rsidRPr="008A00EB">
        <w:rPr>
          <w:rFonts w:cs="Arial"/>
          <w:noProof/>
          <w:sz w:val="18"/>
          <w:szCs w:val="18"/>
          <w:lang w:eastAsia="en-AU"/>
        </w:rPr>
        <w:t>لهذا</w:t>
      </w:r>
      <w:r w:rsidRPr="008A00EB">
        <w:rPr>
          <w:rFonts w:cs="Arial"/>
          <w:noProof/>
          <w:sz w:val="18"/>
          <w:szCs w:val="18"/>
          <w:lang w:val="es-ES" w:eastAsia="en-AU"/>
        </w:rPr>
        <w:t xml:space="preserve"> </w:t>
      </w:r>
      <w:r w:rsidRPr="008A00EB">
        <w:rPr>
          <w:rFonts w:cs="Arial"/>
          <w:noProof/>
          <w:sz w:val="18"/>
          <w:szCs w:val="18"/>
          <w:lang w:eastAsia="en-AU"/>
        </w:rPr>
        <w:t>التقرير،</w:t>
      </w:r>
      <w:r w:rsidRPr="008A00EB">
        <w:rPr>
          <w:rFonts w:cs="Arial"/>
          <w:noProof/>
          <w:sz w:val="18"/>
          <w:szCs w:val="18"/>
          <w:lang w:val="es-ES" w:eastAsia="en-AU"/>
        </w:rPr>
        <w:t xml:space="preserve"> </w:t>
      </w:r>
      <w:r w:rsidRPr="008A00EB">
        <w:rPr>
          <w:rFonts w:cs="Arial"/>
          <w:noProof/>
          <w:sz w:val="18"/>
          <w:szCs w:val="18"/>
          <w:lang w:eastAsia="en-AU"/>
        </w:rPr>
        <w:t>يرجى</w:t>
      </w:r>
      <w:r w:rsidRPr="008A00EB">
        <w:rPr>
          <w:rFonts w:cs="Arial"/>
          <w:noProof/>
          <w:sz w:val="18"/>
          <w:szCs w:val="18"/>
          <w:lang w:val="es-ES" w:eastAsia="en-AU"/>
        </w:rPr>
        <w:t xml:space="preserve"> </w:t>
      </w:r>
      <w:r w:rsidRPr="008A00EB">
        <w:rPr>
          <w:rFonts w:cs="Arial"/>
          <w:noProof/>
          <w:sz w:val="18"/>
          <w:szCs w:val="18"/>
          <w:lang w:eastAsia="en-AU"/>
        </w:rPr>
        <w:t>الاتصال</w:t>
      </w:r>
      <w:r w:rsidRPr="008A00EB">
        <w:rPr>
          <w:rFonts w:cs="Arial"/>
          <w:noProof/>
          <w:sz w:val="18"/>
          <w:szCs w:val="18"/>
          <w:lang w:val="es-ES" w:eastAsia="en-AU"/>
        </w:rPr>
        <w:t xml:space="preserve"> </w:t>
      </w:r>
      <w:r w:rsidRPr="008A00EB">
        <w:rPr>
          <w:rFonts w:cs="Arial"/>
          <w:noProof/>
          <w:sz w:val="18"/>
          <w:szCs w:val="18"/>
          <w:lang w:eastAsia="en-AU"/>
        </w:rPr>
        <w:t>بنا</w:t>
      </w:r>
      <w:r w:rsidRPr="008A00EB">
        <w:rPr>
          <w:rFonts w:cs="Arial"/>
          <w:noProof/>
          <w:sz w:val="18"/>
          <w:szCs w:val="18"/>
          <w:lang w:val="es-ES" w:eastAsia="en-AU"/>
        </w:rPr>
        <w:t xml:space="preserve"> </w:t>
      </w:r>
      <w:r w:rsidRPr="008A00EB">
        <w:rPr>
          <w:rFonts w:cs="Arial"/>
          <w:noProof/>
          <w:sz w:val="18"/>
          <w:szCs w:val="18"/>
          <w:lang w:eastAsia="en-AU"/>
        </w:rPr>
        <w:t>على</w:t>
      </w:r>
      <w:r w:rsidRPr="008A00EB">
        <w:rPr>
          <w:rFonts w:cs="Arial"/>
          <w:noProof/>
          <w:sz w:val="18"/>
          <w:szCs w:val="18"/>
          <w:lang w:val="es-ES" w:eastAsia="en-AU"/>
        </w:rPr>
        <w:t xml:space="preserve"> 1300 130 670</w:t>
      </w:r>
    </w:p>
    <w:p w14:paraId="28D2D43A" w14:textId="77777777" w:rsidR="006F5840" w:rsidRPr="00AC7032" w:rsidRDefault="006F5840" w:rsidP="006F5840">
      <w:pPr>
        <w:spacing w:line="240" w:lineRule="auto"/>
        <w:rPr>
          <w:rFonts w:cs="Arial"/>
          <w:i/>
          <w:noProof/>
          <w:sz w:val="18"/>
          <w:szCs w:val="18"/>
          <w:lang w:val="de-DE" w:eastAsia="en-AU"/>
        </w:rPr>
      </w:pPr>
      <w:r w:rsidRPr="00AC7032">
        <w:rPr>
          <w:rFonts w:cs="Arial"/>
          <w:noProof/>
          <w:sz w:val="18"/>
          <w:szCs w:val="18"/>
          <w:lang w:val="de-DE" w:eastAsia="en-AU"/>
        </w:rPr>
        <w:t>German: Wenn Sie uns einen Dolmetscher für diesen Bericht anordnen möchten, rufen Sie uns bitte auf 1300 130 670</w:t>
      </w:r>
    </w:p>
    <w:p w14:paraId="3D52C763" w14:textId="77777777" w:rsidR="006F5840" w:rsidRPr="00AC7032" w:rsidRDefault="006F5840" w:rsidP="006F5840">
      <w:pPr>
        <w:spacing w:line="240" w:lineRule="auto"/>
        <w:rPr>
          <w:rFonts w:cs="Arial"/>
          <w:i/>
          <w:noProof/>
          <w:sz w:val="18"/>
          <w:szCs w:val="18"/>
          <w:lang w:val="de-DE" w:eastAsia="en-AU"/>
        </w:rPr>
      </w:pPr>
      <w:r w:rsidRPr="00AC7032">
        <w:rPr>
          <w:rFonts w:cs="Arial"/>
          <w:noProof/>
          <w:sz w:val="18"/>
          <w:szCs w:val="18"/>
          <w:lang w:val="de-DE" w:eastAsia="en-AU"/>
        </w:rPr>
        <w:t>Turkish: Lütfen bizi arayın 1300 130 670 bizimle bu rapor için bir tercüman istiyorsanız,</w:t>
      </w:r>
    </w:p>
    <w:p w14:paraId="578460E5" w14:textId="77777777" w:rsidR="006F5840" w:rsidRPr="008A00EB" w:rsidRDefault="006F5840" w:rsidP="006F5840">
      <w:pPr>
        <w:spacing w:line="240" w:lineRule="auto"/>
        <w:rPr>
          <w:rFonts w:cs="Arial"/>
          <w:i/>
          <w:noProof/>
          <w:sz w:val="18"/>
          <w:szCs w:val="18"/>
          <w:lang w:eastAsia="ja-JP"/>
        </w:rPr>
      </w:pPr>
      <w:r w:rsidRPr="008A00EB">
        <w:rPr>
          <w:rFonts w:cs="Arial"/>
          <w:noProof/>
          <w:sz w:val="18"/>
          <w:szCs w:val="18"/>
          <w:lang w:eastAsia="ja-JP"/>
        </w:rPr>
        <w:t xml:space="preserve">Japanese: </w:t>
      </w:r>
      <w:r w:rsidRPr="008A00EB">
        <w:rPr>
          <w:rFonts w:eastAsia="MS Gothic" w:cs="Arial"/>
          <w:noProof/>
          <w:sz w:val="18"/>
          <w:szCs w:val="18"/>
          <w:lang w:eastAsia="ja-JP"/>
        </w:rPr>
        <w:t>このレポートのための通訳の手配を希望する場合は、</w:t>
      </w:r>
      <w:r w:rsidRPr="008A00EB">
        <w:rPr>
          <w:rFonts w:cs="Arial"/>
          <w:noProof/>
          <w:sz w:val="18"/>
          <w:szCs w:val="18"/>
          <w:lang w:eastAsia="ja-JP"/>
        </w:rPr>
        <w:t>1300</w:t>
      </w:r>
      <w:r w:rsidRPr="008A00EB">
        <w:rPr>
          <w:rFonts w:eastAsia="MS Gothic" w:cs="Arial"/>
          <w:noProof/>
          <w:sz w:val="18"/>
          <w:szCs w:val="18"/>
          <w:lang w:eastAsia="ja-JP"/>
        </w:rPr>
        <w:t>年</w:t>
      </w:r>
      <w:r w:rsidRPr="008A00EB">
        <w:rPr>
          <w:rFonts w:cs="Arial"/>
          <w:noProof/>
          <w:sz w:val="18"/>
          <w:szCs w:val="18"/>
          <w:lang w:eastAsia="ja-JP"/>
        </w:rPr>
        <w:t xml:space="preserve"> 130 670 </w:t>
      </w:r>
      <w:r w:rsidRPr="008A00EB">
        <w:rPr>
          <w:rFonts w:eastAsia="MS Gothic" w:cs="Arial"/>
          <w:noProof/>
          <w:sz w:val="18"/>
          <w:szCs w:val="18"/>
          <w:lang w:eastAsia="ja-JP"/>
        </w:rPr>
        <w:t>に問い合わせください。</w:t>
      </w:r>
    </w:p>
    <w:p w14:paraId="7DFA2757" w14:textId="77777777" w:rsidR="006F5840" w:rsidRPr="00AC7032" w:rsidRDefault="006F5840" w:rsidP="006F5840">
      <w:pPr>
        <w:spacing w:line="240" w:lineRule="auto"/>
        <w:rPr>
          <w:rFonts w:cs="Arial"/>
          <w:i/>
          <w:noProof/>
          <w:sz w:val="18"/>
          <w:szCs w:val="18"/>
          <w:lang w:val="nl-NL" w:eastAsia="en-AU"/>
        </w:rPr>
      </w:pPr>
      <w:r w:rsidRPr="00AC7032">
        <w:rPr>
          <w:rFonts w:cs="Arial"/>
          <w:noProof/>
          <w:sz w:val="18"/>
          <w:szCs w:val="18"/>
          <w:lang w:val="nl-NL" w:eastAsia="en-AU"/>
        </w:rPr>
        <w:t>Dutch: Als u wij dat wilt te regelen een tolk voor dit verslag, bel ons op 1300 130 670</w:t>
      </w:r>
    </w:p>
    <w:p w14:paraId="684AC2AE" w14:textId="77777777" w:rsidR="006F5840" w:rsidRPr="008A00EB" w:rsidRDefault="006F5840" w:rsidP="006F5840">
      <w:pPr>
        <w:spacing w:line="240" w:lineRule="auto"/>
        <w:rPr>
          <w:rFonts w:cs="Arial"/>
          <w:i/>
          <w:noProof/>
          <w:sz w:val="18"/>
          <w:szCs w:val="18"/>
          <w:lang w:eastAsia="ko-KR"/>
        </w:rPr>
      </w:pPr>
      <w:r w:rsidRPr="008A00EB">
        <w:rPr>
          <w:rFonts w:cs="Arial"/>
          <w:noProof/>
          <w:sz w:val="18"/>
          <w:szCs w:val="18"/>
          <w:lang w:eastAsia="ko-KR"/>
        </w:rPr>
        <w:t xml:space="preserve">Korean: </w:t>
      </w:r>
      <w:r w:rsidRPr="008A00EB">
        <w:rPr>
          <w:rFonts w:eastAsia="Batang" w:cs="Arial"/>
          <w:noProof/>
          <w:sz w:val="18"/>
          <w:szCs w:val="18"/>
          <w:lang w:eastAsia="ko-KR"/>
        </w:rPr>
        <w:t>우리가이</w:t>
      </w:r>
      <w:r w:rsidRPr="008A00EB">
        <w:rPr>
          <w:rFonts w:cs="Arial"/>
          <w:noProof/>
          <w:sz w:val="18"/>
          <w:szCs w:val="18"/>
          <w:lang w:eastAsia="ko-KR"/>
        </w:rPr>
        <w:t xml:space="preserve"> </w:t>
      </w:r>
      <w:r w:rsidRPr="008A00EB">
        <w:rPr>
          <w:rFonts w:eastAsia="Batang" w:cs="Arial"/>
          <w:noProof/>
          <w:sz w:val="18"/>
          <w:szCs w:val="18"/>
          <w:lang w:eastAsia="ko-KR"/>
        </w:rPr>
        <w:t>보고서에</w:t>
      </w:r>
      <w:r w:rsidRPr="008A00EB">
        <w:rPr>
          <w:rFonts w:cs="Arial"/>
          <w:noProof/>
          <w:sz w:val="18"/>
          <w:szCs w:val="18"/>
          <w:lang w:eastAsia="ko-KR"/>
        </w:rPr>
        <w:t xml:space="preserve"> </w:t>
      </w:r>
      <w:r w:rsidRPr="008A00EB">
        <w:rPr>
          <w:rFonts w:eastAsia="Batang" w:cs="Arial"/>
          <w:noProof/>
          <w:sz w:val="18"/>
          <w:szCs w:val="18"/>
          <w:lang w:eastAsia="ko-KR"/>
        </w:rPr>
        <w:t>대</w:t>
      </w:r>
      <w:r w:rsidRPr="008A00EB">
        <w:rPr>
          <w:rFonts w:cs="Arial"/>
          <w:noProof/>
          <w:sz w:val="18"/>
          <w:szCs w:val="18"/>
          <w:lang w:eastAsia="ko-KR"/>
        </w:rPr>
        <w:t xml:space="preserve"> </w:t>
      </w:r>
      <w:r w:rsidRPr="008A00EB">
        <w:rPr>
          <w:rFonts w:eastAsia="Batang" w:cs="Arial"/>
          <w:noProof/>
          <w:sz w:val="18"/>
          <w:szCs w:val="18"/>
          <w:lang w:eastAsia="ko-KR"/>
        </w:rPr>
        <w:t>한</w:t>
      </w:r>
      <w:r w:rsidRPr="008A00EB">
        <w:rPr>
          <w:rFonts w:cs="Arial"/>
          <w:noProof/>
          <w:sz w:val="18"/>
          <w:szCs w:val="18"/>
          <w:lang w:eastAsia="ko-KR"/>
        </w:rPr>
        <w:t xml:space="preserve"> </w:t>
      </w:r>
      <w:r w:rsidRPr="008A00EB">
        <w:rPr>
          <w:rFonts w:eastAsia="Batang" w:cs="Arial"/>
          <w:noProof/>
          <w:sz w:val="18"/>
          <w:szCs w:val="18"/>
          <w:lang w:eastAsia="ko-KR"/>
        </w:rPr>
        <w:t>해석자를</w:t>
      </w:r>
      <w:r w:rsidRPr="008A00EB">
        <w:rPr>
          <w:rFonts w:cs="Arial"/>
          <w:noProof/>
          <w:sz w:val="18"/>
          <w:szCs w:val="18"/>
          <w:lang w:eastAsia="ko-KR"/>
        </w:rPr>
        <w:t xml:space="preserve"> </w:t>
      </w:r>
      <w:r w:rsidRPr="008A00EB">
        <w:rPr>
          <w:rFonts w:eastAsia="Batang" w:cs="Arial"/>
          <w:noProof/>
          <w:sz w:val="18"/>
          <w:szCs w:val="18"/>
          <w:lang w:eastAsia="ko-KR"/>
        </w:rPr>
        <w:t>정렬</w:t>
      </w:r>
      <w:r w:rsidRPr="008A00EB">
        <w:rPr>
          <w:rFonts w:cs="Arial"/>
          <w:noProof/>
          <w:sz w:val="18"/>
          <w:szCs w:val="18"/>
          <w:lang w:eastAsia="ko-KR"/>
        </w:rPr>
        <w:t xml:space="preserve"> </w:t>
      </w:r>
      <w:r w:rsidRPr="008A00EB">
        <w:rPr>
          <w:rFonts w:eastAsia="Batang" w:cs="Arial"/>
          <w:noProof/>
          <w:sz w:val="18"/>
          <w:szCs w:val="18"/>
          <w:lang w:eastAsia="ko-KR"/>
        </w:rPr>
        <w:t>작업을</w:t>
      </w:r>
      <w:r w:rsidRPr="008A00EB">
        <w:rPr>
          <w:rFonts w:cs="Arial"/>
          <w:noProof/>
          <w:sz w:val="18"/>
          <w:szCs w:val="18"/>
          <w:lang w:eastAsia="ko-KR"/>
        </w:rPr>
        <w:t xml:space="preserve"> </w:t>
      </w:r>
      <w:r w:rsidRPr="008A00EB">
        <w:rPr>
          <w:rFonts w:eastAsia="Batang" w:cs="Arial"/>
          <w:noProof/>
          <w:sz w:val="18"/>
          <w:szCs w:val="18"/>
          <w:lang w:eastAsia="ko-KR"/>
        </w:rPr>
        <w:t>원하시면</w:t>
      </w:r>
      <w:r w:rsidRPr="008A00EB">
        <w:rPr>
          <w:rFonts w:cs="Arial"/>
          <w:noProof/>
          <w:sz w:val="18"/>
          <w:szCs w:val="18"/>
          <w:lang w:eastAsia="ko-KR"/>
        </w:rPr>
        <w:t xml:space="preserve"> </w:t>
      </w:r>
      <w:r w:rsidRPr="008A00EB">
        <w:rPr>
          <w:rFonts w:eastAsia="Batang" w:cs="Arial"/>
          <w:noProof/>
          <w:sz w:val="18"/>
          <w:szCs w:val="18"/>
          <w:lang w:eastAsia="ko-KR"/>
        </w:rPr>
        <w:t>전화</w:t>
      </w:r>
      <w:r w:rsidRPr="008A00EB">
        <w:rPr>
          <w:rFonts w:cs="Arial"/>
          <w:noProof/>
          <w:sz w:val="18"/>
          <w:szCs w:val="18"/>
          <w:lang w:eastAsia="ko-KR"/>
        </w:rPr>
        <w:t xml:space="preserve"> </w:t>
      </w:r>
      <w:r w:rsidRPr="008A00EB">
        <w:rPr>
          <w:rFonts w:eastAsia="Batang" w:cs="Arial"/>
          <w:noProof/>
          <w:sz w:val="18"/>
          <w:szCs w:val="18"/>
          <w:lang w:eastAsia="ko-KR"/>
        </w:rPr>
        <w:t>주시기</w:t>
      </w:r>
      <w:r w:rsidRPr="008A00EB">
        <w:rPr>
          <w:rFonts w:cs="Arial"/>
          <w:noProof/>
          <w:sz w:val="18"/>
          <w:szCs w:val="18"/>
          <w:lang w:eastAsia="ko-KR"/>
        </w:rPr>
        <w:t xml:space="preserve"> </w:t>
      </w:r>
      <w:r w:rsidRPr="008A00EB">
        <w:rPr>
          <w:rFonts w:eastAsia="Batang" w:cs="Arial"/>
          <w:noProof/>
          <w:sz w:val="18"/>
          <w:szCs w:val="18"/>
          <w:lang w:eastAsia="ko-KR"/>
        </w:rPr>
        <w:t>바랍니다에</w:t>
      </w:r>
      <w:r w:rsidRPr="008A00EB">
        <w:rPr>
          <w:rFonts w:cs="Arial"/>
          <w:noProof/>
          <w:sz w:val="18"/>
          <w:szCs w:val="18"/>
          <w:lang w:eastAsia="ko-KR"/>
        </w:rPr>
        <w:t xml:space="preserve"> 1300 130 670</w:t>
      </w:r>
    </w:p>
    <w:p w14:paraId="6A05A809" w14:textId="77777777" w:rsidR="006860E4" w:rsidRPr="008A00EB" w:rsidRDefault="006860E4" w:rsidP="006F5840">
      <w:pPr>
        <w:spacing w:line="240" w:lineRule="auto"/>
        <w:rPr>
          <w:rFonts w:cs="Arial"/>
          <w:sz w:val="18"/>
          <w:szCs w:val="18"/>
          <w:lang w:eastAsia="ko-KR"/>
        </w:rPr>
      </w:pPr>
    </w:p>
    <w:p w14:paraId="5A39BBE3" w14:textId="77777777" w:rsidR="006860E4" w:rsidRPr="008A00EB" w:rsidRDefault="006860E4" w:rsidP="006F5840">
      <w:pPr>
        <w:spacing w:line="240" w:lineRule="auto"/>
        <w:rPr>
          <w:rFonts w:cs="Arial"/>
          <w:sz w:val="18"/>
          <w:szCs w:val="18"/>
          <w:lang w:eastAsia="ko-KR"/>
        </w:rPr>
      </w:pPr>
    </w:p>
    <w:p w14:paraId="5B0256D4" w14:textId="7564C556" w:rsidR="006F5840" w:rsidRPr="00626427" w:rsidRDefault="006F5840" w:rsidP="006F5840">
      <w:pPr>
        <w:spacing w:line="240" w:lineRule="auto"/>
        <w:rPr>
          <w:rFonts w:cs="Arial"/>
          <w:b/>
          <w:i/>
          <w:sz w:val="18"/>
          <w:szCs w:val="18"/>
        </w:rPr>
      </w:pPr>
      <w:r w:rsidRPr="00626427">
        <w:rPr>
          <w:rFonts w:cs="Arial"/>
          <w:b/>
          <w:sz w:val="18"/>
          <w:szCs w:val="18"/>
        </w:rPr>
        <w:t xml:space="preserve">© Queensland Human Rights Commission </w:t>
      </w:r>
      <w:r w:rsidR="00047D3A">
        <w:rPr>
          <w:rFonts w:cs="Arial"/>
          <w:b/>
          <w:sz w:val="18"/>
          <w:szCs w:val="18"/>
        </w:rPr>
        <w:t>2021</w:t>
      </w:r>
      <w:bookmarkStart w:id="42" w:name="_GoBack"/>
      <w:bookmarkEnd w:id="42"/>
    </w:p>
    <w:p w14:paraId="7372F7DE" w14:textId="6A9D1528" w:rsidR="006F5840" w:rsidRPr="00626427" w:rsidRDefault="006F5840" w:rsidP="006F5840">
      <w:pPr>
        <w:spacing w:line="240" w:lineRule="auto"/>
        <w:rPr>
          <w:rFonts w:cs="Arial"/>
          <w:b/>
          <w:i/>
          <w:sz w:val="18"/>
          <w:szCs w:val="18"/>
        </w:rPr>
      </w:pPr>
      <w:r w:rsidRPr="00047F17">
        <w:rPr>
          <w:rFonts w:cs="Arial"/>
          <w:b/>
          <w:sz w:val="18"/>
          <w:szCs w:val="18"/>
        </w:rPr>
        <w:t xml:space="preserve">ISSN </w:t>
      </w:r>
      <w:r w:rsidR="006B3FDA" w:rsidRPr="00047F17">
        <w:rPr>
          <w:rFonts w:cs="Arial"/>
          <w:b/>
          <w:color w:val="000000"/>
          <w:sz w:val="18"/>
          <w:szCs w:val="18"/>
        </w:rPr>
        <w:t>2652-8835</w:t>
      </w:r>
      <w:r w:rsidR="006B3FDA" w:rsidRPr="00047F17">
        <w:rPr>
          <w:rFonts w:cs="Arial"/>
          <w:b/>
          <w:sz w:val="18"/>
          <w:szCs w:val="18"/>
        </w:rPr>
        <w:t xml:space="preserve"> </w:t>
      </w:r>
      <w:r w:rsidRPr="00047F17">
        <w:rPr>
          <w:rFonts w:cs="Arial"/>
          <w:b/>
          <w:sz w:val="18"/>
          <w:szCs w:val="18"/>
        </w:rPr>
        <w:t>(online)</w:t>
      </w:r>
    </w:p>
    <w:p w14:paraId="41C8F396" w14:textId="77777777" w:rsidR="006860E4" w:rsidRPr="008A00EB" w:rsidRDefault="006860E4" w:rsidP="007A7861">
      <w:pPr>
        <w:autoSpaceDE w:val="0"/>
        <w:autoSpaceDN w:val="0"/>
        <w:spacing w:after="0"/>
        <w:rPr>
          <w:rFonts w:cs="Arial"/>
          <w:b/>
          <w:bCs/>
          <w:sz w:val="18"/>
          <w:lang w:eastAsia="en-AU"/>
        </w:rPr>
      </w:pPr>
    </w:p>
    <w:p w14:paraId="75A6C0BA" w14:textId="77777777" w:rsidR="007A7861" w:rsidRPr="008A00EB" w:rsidRDefault="007A7861" w:rsidP="007A7861">
      <w:pPr>
        <w:autoSpaceDE w:val="0"/>
        <w:autoSpaceDN w:val="0"/>
        <w:spacing w:after="0"/>
        <w:rPr>
          <w:rFonts w:cs="Arial"/>
          <w:sz w:val="18"/>
          <w:lang w:eastAsia="en-AU"/>
        </w:rPr>
      </w:pPr>
      <w:r w:rsidRPr="008A00EB">
        <w:rPr>
          <w:rFonts w:cs="Arial"/>
          <w:b/>
          <w:bCs/>
          <w:sz w:val="18"/>
          <w:lang w:eastAsia="en-AU"/>
        </w:rPr>
        <w:t>Licence</w:t>
      </w:r>
      <w:r w:rsidRPr="008A00EB">
        <w:rPr>
          <w:rFonts w:cs="Arial"/>
          <w:sz w:val="18"/>
          <w:lang w:eastAsia="en-AU"/>
        </w:rPr>
        <w:t>:</w:t>
      </w:r>
      <w:r w:rsidR="006860E4" w:rsidRPr="008A00EB">
        <w:rPr>
          <w:rFonts w:cs="Arial"/>
          <w:sz w:val="18"/>
          <w:lang w:eastAsia="en-AU"/>
        </w:rPr>
        <w:t xml:space="preserve"> </w:t>
      </w:r>
      <w:r w:rsidRPr="008A00EB">
        <w:rPr>
          <w:rFonts w:cs="Arial"/>
          <w:sz w:val="18"/>
          <w:lang w:eastAsia="en-AU"/>
        </w:rPr>
        <w:t>This annual report is licensed by Queensland Human Rights Commission under a Creative Commons Attribution</w:t>
      </w:r>
    </w:p>
    <w:p w14:paraId="18112EC3" w14:textId="77777777" w:rsidR="007A7861" w:rsidRPr="008A00EB" w:rsidRDefault="007A7861" w:rsidP="007A7861">
      <w:pPr>
        <w:autoSpaceDE w:val="0"/>
        <w:autoSpaceDN w:val="0"/>
        <w:spacing w:after="0"/>
        <w:rPr>
          <w:rFonts w:cs="Arial"/>
          <w:sz w:val="18"/>
          <w:lang w:eastAsia="en-AU"/>
        </w:rPr>
      </w:pPr>
      <w:r w:rsidRPr="008A00EB">
        <w:rPr>
          <w:rFonts w:cs="Arial"/>
          <w:sz w:val="18"/>
          <w:lang w:eastAsia="en-AU"/>
        </w:rPr>
        <w:t>(CC BY) 4</w:t>
      </w:r>
      <w:r w:rsidRPr="008A00EB">
        <w:rPr>
          <w:rFonts w:cs="Arial"/>
          <w:i/>
          <w:iCs/>
          <w:sz w:val="18"/>
          <w:lang w:eastAsia="en-AU"/>
        </w:rPr>
        <w:t>.0 International licence</w:t>
      </w:r>
      <w:r w:rsidRPr="008A00EB">
        <w:rPr>
          <w:rFonts w:cs="Arial"/>
          <w:sz w:val="18"/>
          <w:lang w:eastAsia="en-AU"/>
        </w:rPr>
        <w:t>.</w:t>
      </w:r>
    </w:p>
    <w:p w14:paraId="6E8B47AB" w14:textId="77777777" w:rsidR="006F5840" w:rsidRPr="008A00EB" w:rsidRDefault="006F5840" w:rsidP="006F5840">
      <w:pPr>
        <w:spacing w:line="240" w:lineRule="auto"/>
        <w:rPr>
          <w:rFonts w:cs="Arial"/>
          <w:iCs/>
          <w:sz w:val="18"/>
          <w:szCs w:val="18"/>
        </w:rPr>
      </w:pPr>
      <w:r w:rsidRPr="008A00EB">
        <w:rPr>
          <w:rFonts w:cs="Arial"/>
          <w:i/>
          <w:noProof/>
          <w:color w:val="2B579A"/>
          <w:sz w:val="18"/>
          <w:szCs w:val="18"/>
          <w:shd w:val="clear" w:color="auto" w:fill="E6E6E6"/>
          <w:lang w:eastAsia="en-AU"/>
        </w:rPr>
        <w:drawing>
          <wp:inline distT="0" distB="0" distL="0" distR="0" wp14:anchorId="02DC0F05" wp14:editId="3B99EDD9">
            <wp:extent cx="781050" cy="266700"/>
            <wp:effectExtent l="0" t="0" r="0" b="0"/>
            <wp:docPr id="2" name="Picture 2" descr="Creative Commons license, attribution requir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4">
                      <a:extLst>
                        <a:ext uri="{28A0092B-C50C-407E-A947-70E740481C1C}">
                          <a14:useLocalDpi xmlns:a14="http://schemas.microsoft.com/office/drawing/2010/main" val="0"/>
                        </a:ext>
                      </a:extLst>
                    </a:blip>
                    <a:srcRect l="5747" b="6666"/>
                    <a:stretch/>
                  </pic:blipFill>
                  <pic:spPr bwMode="auto">
                    <a:xfrm>
                      <a:off x="0" y="0"/>
                      <a:ext cx="781050" cy="266700"/>
                    </a:xfrm>
                    <a:prstGeom prst="rect">
                      <a:avLst/>
                    </a:prstGeom>
                    <a:noFill/>
                    <a:ln>
                      <a:noFill/>
                    </a:ln>
                    <a:extLst>
                      <a:ext uri="{53640926-AAD7-44D8-BBD7-CCE9431645EC}">
                        <a14:shadowObscured xmlns:a14="http://schemas.microsoft.com/office/drawing/2010/main"/>
                      </a:ext>
                    </a:extLst>
                  </pic:spPr>
                </pic:pic>
              </a:graphicData>
            </a:graphic>
          </wp:inline>
        </w:drawing>
      </w:r>
      <w:r w:rsidR="43055D36" w:rsidRPr="008A00EB">
        <w:rPr>
          <w:rFonts w:cs="Arial"/>
          <w:sz w:val="18"/>
          <w:szCs w:val="18"/>
        </w:rPr>
        <w:t xml:space="preserve">To view a copy of this licence, visit: </w:t>
      </w:r>
      <w:hyperlink r:id="rId15" w:history="1">
        <w:r w:rsidR="43055D36" w:rsidRPr="008A00EB">
          <w:rPr>
            <w:rStyle w:val="Hyperlink"/>
            <w:rFonts w:cs="Arial"/>
            <w:color w:val="auto"/>
            <w:sz w:val="18"/>
            <w:szCs w:val="18"/>
          </w:rPr>
          <w:t>http://creativecommons.org/licenses/by/4.0/</w:t>
        </w:r>
      </w:hyperlink>
    </w:p>
    <w:p w14:paraId="366E620B" w14:textId="77777777" w:rsidR="007A7861" w:rsidRPr="008A00EB" w:rsidRDefault="007A7861" w:rsidP="007A7861">
      <w:pPr>
        <w:autoSpaceDE w:val="0"/>
        <w:autoSpaceDN w:val="0"/>
        <w:spacing w:after="0"/>
        <w:rPr>
          <w:rFonts w:cs="Arial"/>
          <w:sz w:val="18"/>
          <w:lang w:eastAsia="en-AU"/>
        </w:rPr>
      </w:pPr>
      <w:r w:rsidRPr="008A00EB">
        <w:rPr>
          <w:rFonts w:cs="Arial"/>
          <w:b/>
          <w:bCs/>
          <w:sz w:val="18"/>
          <w:lang w:eastAsia="en-AU"/>
        </w:rPr>
        <w:t xml:space="preserve">CC BY Licence Summary Statement: </w:t>
      </w:r>
      <w:r w:rsidRPr="008A00EB">
        <w:rPr>
          <w:rFonts w:cs="Arial"/>
          <w:sz w:val="18"/>
          <w:lang w:eastAsia="en-AU"/>
        </w:rPr>
        <w:t xml:space="preserve">In essence, you are free to copy, communicate and adapt this annual report, as long as you attribute the work to the Queensland Human Rights Commission. </w:t>
      </w:r>
    </w:p>
    <w:p w14:paraId="72A3D3EC" w14:textId="77777777" w:rsidR="007A7861" w:rsidRPr="008A00EB" w:rsidRDefault="007A7861" w:rsidP="007A7861">
      <w:pPr>
        <w:autoSpaceDE w:val="0"/>
        <w:autoSpaceDN w:val="0"/>
        <w:spacing w:after="0"/>
        <w:rPr>
          <w:rFonts w:cs="Arial"/>
          <w:sz w:val="18"/>
          <w:lang w:eastAsia="en-AU"/>
        </w:rPr>
      </w:pPr>
    </w:p>
    <w:p w14:paraId="54012642" w14:textId="30A2939D" w:rsidR="007A7861" w:rsidRPr="008A00EB" w:rsidRDefault="007A7861" w:rsidP="007A7861">
      <w:pPr>
        <w:autoSpaceDE w:val="0"/>
        <w:autoSpaceDN w:val="0"/>
        <w:spacing w:after="0"/>
        <w:rPr>
          <w:rFonts w:cs="Arial"/>
          <w:sz w:val="18"/>
          <w:szCs w:val="18"/>
          <w:lang w:eastAsia="en-AU"/>
        </w:rPr>
      </w:pPr>
      <w:r w:rsidRPr="008A00EB">
        <w:rPr>
          <w:rFonts w:cs="Arial"/>
          <w:b/>
          <w:sz w:val="18"/>
          <w:szCs w:val="18"/>
          <w:lang w:eastAsia="en-AU"/>
        </w:rPr>
        <w:t>Attribution</w:t>
      </w:r>
      <w:r w:rsidRPr="008A00EB">
        <w:rPr>
          <w:rFonts w:cs="Arial"/>
          <w:sz w:val="18"/>
          <w:szCs w:val="18"/>
          <w:lang w:eastAsia="en-AU"/>
        </w:rPr>
        <w:t>: Content from this annual report should be attributed as: Queensland Human Rights Commission</w:t>
      </w:r>
      <w:r w:rsidR="00744837" w:rsidRPr="008A00EB">
        <w:rPr>
          <w:rFonts w:cs="Arial"/>
          <w:sz w:val="18"/>
          <w:szCs w:val="18"/>
          <w:lang w:eastAsia="en-AU"/>
        </w:rPr>
        <w:t>, 2020</w:t>
      </w:r>
      <w:r w:rsidR="00CC5BD0">
        <w:rPr>
          <w:rFonts w:cs="Arial"/>
          <w:sz w:val="18"/>
          <w:szCs w:val="18"/>
          <w:lang w:eastAsia="en-AU"/>
        </w:rPr>
        <w:t>-2021</w:t>
      </w:r>
      <w:r w:rsidR="00744837" w:rsidRPr="008A00EB">
        <w:rPr>
          <w:rFonts w:cs="Arial"/>
          <w:sz w:val="18"/>
          <w:szCs w:val="18"/>
          <w:lang w:eastAsia="en-AU"/>
        </w:rPr>
        <w:t xml:space="preserve"> Annual report on the operation of the</w:t>
      </w:r>
      <w:r w:rsidRPr="008A00EB">
        <w:rPr>
          <w:rFonts w:cs="Arial"/>
          <w:sz w:val="18"/>
          <w:szCs w:val="18"/>
          <w:lang w:eastAsia="en-AU"/>
        </w:rPr>
        <w:t xml:space="preserve"> </w:t>
      </w:r>
      <w:r w:rsidR="39DB5F43" w:rsidRPr="008A00EB">
        <w:rPr>
          <w:rFonts w:cs="Arial"/>
          <w:i/>
          <w:sz w:val="18"/>
          <w:szCs w:val="18"/>
          <w:lang w:eastAsia="en-AU"/>
        </w:rPr>
        <w:t xml:space="preserve">Human Rights Act </w:t>
      </w:r>
      <w:r w:rsidR="00744837" w:rsidRPr="008A00EB">
        <w:rPr>
          <w:rFonts w:cs="Arial"/>
          <w:i/>
          <w:sz w:val="18"/>
          <w:szCs w:val="18"/>
          <w:lang w:eastAsia="en-AU"/>
        </w:rPr>
        <w:t>2019</w:t>
      </w:r>
      <w:r w:rsidRPr="008A00EB">
        <w:rPr>
          <w:rFonts w:cs="Arial"/>
          <w:sz w:val="18"/>
          <w:szCs w:val="18"/>
          <w:lang w:eastAsia="en-AU"/>
        </w:rPr>
        <w:t>.</w:t>
      </w:r>
    </w:p>
    <w:p w14:paraId="0D0B940D" w14:textId="77777777" w:rsidR="007A7861" w:rsidRPr="008A00EB" w:rsidRDefault="007A7861" w:rsidP="007A7861">
      <w:pPr>
        <w:autoSpaceDE w:val="0"/>
        <w:autoSpaceDN w:val="0"/>
        <w:spacing w:after="0"/>
        <w:rPr>
          <w:rFonts w:cs="Arial"/>
          <w:color w:val="1F497D"/>
          <w:sz w:val="18"/>
        </w:rPr>
      </w:pPr>
    </w:p>
    <w:p w14:paraId="6E0E6602" w14:textId="06F013F6" w:rsidR="00A9550D" w:rsidRDefault="006F5840" w:rsidP="005B65DC">
      <w:pPr>
        <w:tabs>
          <w:tab w:val="left" w:pos="8880"/>
        </w:tabs>
        <w:spacing w:line="240" w:lineRule="auto"/>
        <w:rPr>
          <w:rFonts w:cs="Arial"/>
          <w:sz w:val="18"/>
          <w:szCs w:val="18"/>
        </w:rPr>
      </w:pPr>
      <w:r w:rsidRPr="008A00EB">
        <w:rPr>
          <w:rFonts w:cs="Arial"/>
          <w:sz w:val="18"/>
          <w:szCs w:val="18"/>
        </w:rPr>
        <w:t>This publication is available</w:t>
      </w:r>
      <w:r w:rsidR="007A7861" w:rsidRPr="008A00EB">
        <w:rPr>
          <w:rFonts w:cs="Arial"/>
          <w:sz w:val="18"/>
          <w:szCs w:val="18"/>
        </w:rPr>
        <w:t xml:space="preserve"> in electronic format on the Commission’s </w:t>
      </w:r>
      <w:r w:rsidRPr="008A00EB">
        <w:rPr>
          <w:rFonts w:cs="Arial"/>
          <w:sz w:val="18"/>
          <w:szCs w:val="18"/>
        </w:rPr>
        <w:t xml:space="preserve">website at: </w:t>
      </w:r>
      <w:hyperlink r:id="rId16" w:history="1">
        <w:r w:rsidRPr="008A00EB">
          <w:rPr>
            <w:rStyle w:val="Hyperlink"/>
            <w:rFonts w:cs="Arial"/>
            <w:color w:val="auto"/>
            <w:sz w:val="18"/>
            <w:szCs w:val="18"/>
          </w:rPr>
          <w:t>www.qhrc.qld.gov.au</w:t>
        </w:r>
      </w:hyperlink>
      <w:r w:rsidRPr="008A00EB">
        <w:rPr>
          <w:rFonts w:cs="Arial"/>
          <w:sz w:val="18"/>
          <w:szCs w:val="18"/>
        </w:rPr>
        <w:t>.</w:t>
      </w:r>
      <w:bookmarkStart w:id="43" w:name="_Toc52885000"/>
      <w:bookmarkStart w:id="44" w:name="_Toc52980102"/>
      <w:bookmarkStart w:id="45" w:name="_Toc53039736"/>
      <w:bookmarkStart w:id="46" w:name="_Toc53041602"/>
      <w:bookmarkStart w:id="47" w:name="_Toc53046257"/>
      <w:bookmarkStart w:id="48" w:name="_Toc54610543"/>
      <w:bookmarkStart w:id="49" w:name="_Toc56167127"/>
      <w:bookmarkStart w:id="50" w:name="_Toc56429095"/>
    </w:p>
    <w:p w14:paraId="35273A8B" w14:textId="5D841913" w:rsidR="00712772" w:rsidRPr="008A00EB" w:rsidRDefault="00CC5BD0" w:rsidP="00437885">
      <w:pPr>
        <w:pStyle w:val="Heading1"/>
      </w:pPr>
      <w:r w:rsidRPr="00CC5BD0">
        <w:rPr>
          <w:rFonts w:cs="Arial"/>
          <w:sz w:val="18"/>
          <w:szCs w:val="18"/>
        </w:rPr>
        <w:lastRenderedPageBreak/>
        <w:t xml:space="preserve"> </w:t>
      </w:r>
      <w:bookmarkStart w:id="51" w:name="_Toc56451021"/>
      <w:bookmarkStart w:id="52" w:name="_Toc56451345"/>
      <w:bookmarkStart w:id="53" w:name="_Toc56451526"/>
      <w:bookmarkStart w:id="54" w:name="_Toc56452100"/>
      <w:bookmarkStart w:id="55" w:name="_Toc84593824"/>
      <w:bookmarkStart w:id="56" w:name="_Toc85451697"/>
      <w:bookmarkStart w:id="57" w:name="_Toc85526619"/>
      <w:bookmarkStart w:id="58" w:name="_Toc85787034"/>
      <w:r w:rsidR="756403B4" w:rsidRPr="008A00EB">
        <w:t>Contents</w:t>
      </w:r>
      <w:bookmarkEnd w:id="43"/>
      <w:bookmarkEnd w:id="44"/>
      <w:bookmarkEnd w:id="45"/>
      <w:bookmarkEnd w:id="46"/>
      <w:bookmarkEnd w:id="47"/>
      <w:bookmarkEnd w:id="48"/>
      <w:bookmarkEnd w:id="49"/>
      <w:bookmarkEnd w:id="50"/>
      <w:bookmarkEnd w:id="51"/>
      <w:bookmarkEnd w:id="52"/>
      <w:bookmarkEnd w:id="53"/>
      <w:bookmarkEnd w:id="54"/>
      <w:bookmarkEnd w:id="55"/>
      <w:bookmarkEnd w:id="56"/>
      <w:bookmarkEnd w:id="57"/>
      <w:bookmarkEnd w:id="58"/>
    </w:p>
    <w:sdt>
      <w:sdtPr>
        <w:rPr>
          <w:color w:val="2B579A"/>
          <w:shd w:val="clear" w:color="auto" w:fill="E6E6E6"/>
        </w:rPr>
        <w:id w:val="735595267"/>
        <w:docPartObj>
          <w:docPartGallery w:val="Table of Contents"/>
          <w:docPartUnique/>
        </w:docPartObj>
      </w:sdtPr>
      <w:sdtEndPr>
        <w:rPr>
          <w:b/>
          <w:bCs/>
          <w:noProof/>
          <w:color w:val="auto"/>
          <w:shd w:val="clear" w:color="auto" w:fill="auto"/>
        </w:rPr>
      </w:sdtEndPr>
      <w:sdtContent>
        <w:p w14:paraId="727AA3E8" w14:textId="4CD4462E" w:rsidR="00C56AF3" w:rsidRDefault="0023128D" w:rsidP="00634420">
          <w:pPr>
            <w:pStyle w:val="TOC2"/>
            <w:rPr>
              <w:rFonts w:asciiTheme="minorHAnsi" w:eastAsiaTheme="minorEastAsia" w:hAnsiTheme="minorHAnsi"/>
              <w:noProof/>
              <w:lang w:eastAsia="zh-CN"/>
            </w:rPr>
          </w:pPr>
          <w:r>
            <w:rPr>
              <w:color w:val="2B579A"/>
              <w:shd w:val="clear" w:color="auto" w:fill="E6E6E6"/>
            </w:rPr>
            <w:fldChar w:fldCharType="begin"/>
          </w:r>
          <w:r>
            <w:instrText xml:space="preserve"> TOC \h \z \t "Heading 1,2,Heading 2,3,Chapter heading,1" </w:instrText>
          </w:r>
          <w:r>
            <w:rPr>
              <w:color w:val="2B579A"/>
              <w:shd w:val="clear" w:color="auto" w:fill="E6E6E6"/>
            </w:rPr>
            <w:fldChar w:fldCharType="separate"/>
          </w:r>
          <w:hyperlink w:anchor="_Toc85787035" w:history="1">
            <w:r w:rsidR="00C56AF3" w:rsidRPr="00E064B0">
              <w:rPr>
                <w:rStyle w:val="Hyperlink"/>
                <w:noProof/>
              </w:rPr>
              <w:t>Commissioner’s foreword</w:t>
            </w:r>
            <w:r w:rsidR="00C56AF3">
              <w:rPr>
                <w:noProof/>
                <w:webHidden/>
              </w:rPr>
              <w:tab/>
            </w:r>
            <w:r w:rsidR="00C56AF3">
              <w:rPr>
                <w:noProof/>
                <w:webHidden/>
              </w:rPr>
              <w:fldChar w:fldCharType="begin"/>
            </w:r>
            <w:r w:rsidR="00C56AF3">
              <w:rPr>
                <w:noProof/>
                <w:webHidden/>
              </w:rPr>
              <w:instrText xml:space="preserve"> PAGEREF _Toc85787035 \h </w:instrText>
            </w:r>
            <w:r w:rsidR="00C56AF3">
              <w:rPr>
                <w:noProof/>
                <w:webHidden/>
              </w:rPr>
            </w:r>
            <w:r w:rsidR="00C56AF3">
              <w:rPr>
                <w:noProof/>
                <w:webHidden/>
              </w:rPr>
              <w:fldChar w:fldCharType="separate"/>
            </w:r>
            <w:r w:rsidR="002E59B2">
              <w:rPr>
                <w:noProof/>
                <w:webHidden/>
              </w:rPr>
              <w:t>5</w:t>
            </w:r>
            <w:r w:rsidR="00C56AF3">
              <w:rPr>
                <w:noProof/>
                <w:webHidden/>
              </w:rPr>
              <w:fldChar w:fldCharType="end"/>
            </w:r>
          </w:hyperlink>
        </w:p>
        <w:p w14:paraId="65EEE4EE" w14:textId="7AE6A1E4" w:rsidR="00C56AF3" w:rsidRDefault="002E59B2" w:rsidP="00634420">
          <w:pPr>
            <w:pStyle w:val="TOC2"/>
            <w:rPr>
              <w:rFonts w:asciiTheme="minorHAnsi" w:eastAsiaTheme="minorEastAsia" w:hAnsiTheme="minorHAnsi"/>
              <w:noProof/>
              <w:lang w:eastAsia="zh-CN"/>
            </w:rPr>
          </w:pPr>
          <w:hyperlink w:anchor="_Toc85787036" w:history="1">
            <w:r w:rsidR="00C56AF3" w:rsidRPr="00E064B0">
              <w:rPr>
                <w:rStyle w:val="Hyperlink"/>
                <w:noProof/>
              </w:rPr>
              <w:t>About the Commission</w:t>
            </w:r>
            <w:r w:rsidR="00C56AF3">
              <w:rPr>
                <w:noProof/>
                <w:webHidden/>
              </w:rPr>
              <w:tab/>
            </w:r>
            <w:r w:rsidR="00C56AF3">
              <w:rPr>
                <w:noProof/>
                <w:webHidden/>
              </w:rPr>
              <w:fldChar w:fldCharType="begin"/>
            </w:r>
            <w:r w:rsidR="00C56AF3">
              <w:rPr>
                <w:noProof/>
                <w:webHidden/>
              </w:rPr>
              <w:instrText xml:space="preserve"> PAGEREF _Toc85787036 \h </w:instrText>
            </w:r>
            <w:r w:rsidR="00C56AF3">
              <w:rPr>
                <w:noProof/>
                <w:webHidden/>
              </w:rPr>
            </w:r>
            <w:r w:rsidR="00C56AF3">
              <w:rPr>
                <w:noProof/>
                <w:webHidden/>
              </w:rPr>
              <w:fldChar w:fldCharType="separate"/>
            </w:r>
            <w:r>
              <w:rPr>
                <w:noProof/>
                <w:webHidden/>
              </w:rPr>
              <w:t>7</w:t>
            </w:r>
            <w:r w:rsidR="00C56AF3">
              <w:rPr>
                <w:noProof/>
                <w:webHidden/>
              </w:rPr>
              <w:fldChar w:fldCharType="end"/>
            </w:r>
          </w:hyperlink>
        </w:p>
        <w:p w14:paraId="18D15CCC" w14:textId="5B4831E6" w:rsidR="00C56AF3" w:rsidRDefault="002E59B2" w:rsidP="00634420">
          <w:pPr>
            <w:pStyle w:val="TOC2"/>
            <w:rPr>
              <w:rFonts w:asciiTheme="minorHAnsi" w:eastAsiaTheme="minorEastAsia" w:hAnsiTheme="minorHAnsi"/>
              <w:noProof/>
              <w:lang w:eastAsia="zh-CN"/>
            </w:rPr>
          </w:pPr>
          <w:hyperlink w:anchor="_Toc85787037" w:history="1">
            <w:r w:rsidR="00C56AF3" w:rsidRPr="00E064B0">
              <w:rPr>
                <w:rStyle w:val="Hyperlink"/>
                <w:noProof/>
              </w:rPr>
              <w:t>About this report</w:t>
            </w:r>
            <w:r w:rsidR="00C56AF3">
              <w:rPr>
                <w:noProof/>
                <w:webHidden/>
              </w:rPr>
              <w:tab/>
            </w:r>
            <w:r w:rsidR="00C56AF3">
              <w:rPr>
                <w:noProof/>
                <w:webHidden/>
              </w:rPr>
              <w:fldChar w:fldCharType="begin"/>
            </w:r>
            <w:r w:rsidR="00C56AF3">
              <w:rPr>
                <w:noProof/>
                <w:webHidden/>
              </w:rPr>
              <w:instrText xml:space="preserve"> PAGEREF _Toc85787037 \h </w:instrText>
            </w:r>
            <w:r w:rsidR="00C56AF3">
              <w:rPr>
                <w:noProof/>
                <w:webHidden/>
              </w:rPr>
            </w:r>
            <w:r w:rsidR="00C56AF3">
              <w:rPr>
                <w:noProof/>
                <w:webHidden/>
              </w:rPr>
              <w:fldChar w:fldCharType="separate"/>
            </w:r>
            <w:r>
              <w:rPr>
                <w:noProof/>
                <w:webHidden/>
              </w:rPr>
              <w:t>8</w:t>
            </w:r>
            <w:r w:rsidR="00C56AF3">
              <w:rPr>
                <w:noProof/>
                <w:webHidden/>
              </w:rPr>
              <w:fldChar w:fldCharType="end"/>
            </w:r>
          </w:hyperlink>
        </w:p>
        <w:p w14:paraId="32E1CBE3" w14:textId="08CED320" w:rsidR="00C56AF3" w:rsidRDefault="002E59B2" w:rsidP="00634420">
          <w:pPr>
            <w:pStyle w:val="TOC2"/>
            <w:rPr>
              <w:rFonts w:asciiTheme="minorHAnsi" w:eastAsiaTheme="minorEastAsia" w:hAnsiTheme="minorHAnsi"/>
              <w:noProof/>
              <w:lang w:eastAsia="zh-CN"/>
            </w:rPr>
          </w:pPr>
          <w:hyperlink w:anchor="_Toc85787038" w:history="1">
            <w:r w:rsidR="00C56AF3" w:rsidRPr="00E064B0">
              <w:rPr>
                <w:rStyle w:val="Hyperlink"/>
                <w:noProof/>
              </w:rPr>
              <w:t>Executive summary</w:t>
            </w:r>
            <w:r w:rsidR="00C56AF3">
              <w:rPr>
                <w:noProof/>
                <w:webHidden/>
              </w:rPr>
              <w:tab/>
            </w:r>
            <w:r w:rsidR="00C56AF3">
              <w:rPr>
                <w:noProof/>
                <w:webHidden/>
              </w:rPr>
              <w:fldChar w:fldCharType="begin"/>
            </w:r>
            <w:r w:rsidR="00C56AF3">
              <w:rPr>
                <w:noProof/>
                <w:webHidden/>
              </w:rPr>
              <w:instrText xml:space="preserve"> PAGEREF _Toc85787038 \h </w:instrText>
            </w:r>
            <w:r w:rsidR="00C56AF3">
              <w:rPr>
                <w:noProof/>
                <w:webHidden/>
              </w:rPr>
            </w:r>
            <w:r w:rsidR="00C56AF3">
              <w:rPr>
                <w:noProof/>
                <w:webHidden/>
              </w:rPr>
              <w:fldChar w:fldCharType="separate"/>
            </w:r>
            <w:r>
              <w:rPr>
                <w:noProof/>
                <w:webHidden/>
              </w:rPr>
              <w:t>9</w:t>
            </w:r>
            <w:r w:rsidR="00C56AF3">
              <w:rPr>
                <w:noProof/>
                <w:webHidden/>
              </w:rPr>
              <w:fldChar w:fldCharType="end"/>
            </w:r>
          </w:hyperlink>
        </w:p>
        <w:p w14:paraId="44E14108" w14:textId="124E06AC" w:rsidR="00C56AF3" w:rsidRDefault="002E59B2" w:rsidP="00634420">
          <w:pPr>
            <w:pStyle w:val="TOC2"/>
            <w:rPr>
              <w:rFonts w:asciiTheme="minorHAnsi" w:eastAsiaTheme="minorEastAsia" w:hAnsiTheme="minorHAnsi"/>
              <w:noProof/>
              <w:lang w:eastAsia="zh-CN"/>
            </w:rPr>
          </w:pPr>
          <w:hyperlink w:anchor="_Toc85787043" w:history="1">
            <w:r w:rsidR="00C56AF3" w:rsidRPr="00E064B0">
              <w:rPr>
                <w:rStyle w:val="Hyperlink"/>
                <w:noProof/>
              </w:rPr>
              <w:t>Human Rights Act snapshot of 2020-21: A timeline</w:t>
            </w:r>
            <w:r w:rsidR="00C56AF3">
              <w:rPr>
                <w:noProof/>
                <w:webHidden/>
              </w:rPr>
              <w:tab/>
            </w:r>
            <w:r w:rsidR="00C56AF3">
              <w:rPr>
                <w:noProof/>
                <w:webHidden/>
              </w:rPr>
              <w:fldChar w:fldCharType="begin"/>
            </w:r>
            <w:r w:rsidR="00C56AF3">
              <w:rPr>
                <w:noProof/>
                <w:webHidden/>
              </w:rPr>
              <w:instrText xml:space="preserve"> PAGEREF _Toc85787043 \h </w:instrText>
            </w:r>
            <w:r w:rsidR="00C56AF3">
              <w:rPr>
                <w:noProof/>
                <w:webHidden/>
              </w:rPr>
            </w:r>
            <w:r w:rsidR="00C56AF3">
              <w:rPr>
                <w:noProof/>
                <w:webHidden/>
              </w:rPr>
              <w:fldChar w:fldCharType="separate"/>
            </w:r>
            <w:r>
              <w:rPr>
                <w:noProof/>
                <w:webHidden/>
              </w:rPr>
              <w:t>12</w:t>
            </w:r>
            <w:r w:rsidR="00C56AF3">
              <w:rPr>
                <w:noProof/>
                <w:webHidden/>
              </w:rPr>
              <w:fldChar w:fldCharType="end"/>
            </w:r>
          </w:hyperlink>
        </w:p>
        <w:p w14:paraId="1088B61D" w14:textId="236A932E" w:rsidR="00C56AF3" w:rsidRDefault="002E59B2" w:rsidP="00634420">
          <w:pPr>
            <w:pStyle w:val="TOC2"/>
            <w:rPr>
              <w:rFonts w:asciiTheme="minorHAnsi" w:eastAsiaTheme="minorEastAsia" w:hAnsiTheme="minorHAnsi"/>
              <w:noProof/>
              <w:lang w:eastAsia="zh-CN"/>
            </w:rPr>
          </w:pPr>
          <w:hyperlink w:anchor="_Toc85787044" w:history="1">
            <w:r w:rsidR="00C56AF3" w:rsidRPr="00E064B0">
              <w:rPr>
                <w:rStyle w:val="Hyperlink"/>
                <w:noProof/>
              </w:rPr>
              <w:t>Report summary</w:t>
            </w:r>
            <w:r w:rsidR="00C56AF3">
              <w:rPr>
                <w:noProof/>
                <w:webHidden/>
              </w:rPr>
              <w:tab/>
            </w:r>
            <w:r w:rsidR="00C56AF3">
              <w:rPr>
                <w:noProof/>
                <w:webHidden/>
              </w:rPr>
              <w:fldChar w:fldCharType="begin"/>
            </w:r>
            <w:r w:rsidR="00C56AF3">
              <w:rPr>
                <w:noProof/>
                <w:webHidden/>
              </w:rPr>
              <w:instrText xml:space="preserve"> PAGEREF _Toc85787044 \h </w:instrText>
            </w:r>
            <w:r w:rsidR="00C56AF3">
              <w:rPr>
                <w:noProof/>
                <w:webHidden/>
              </w:rPr>
            </w:r>
            <w:r w:rsidR="00C56AF3">
              <w:rPr>
                <w:noProof/>
                <w:webHidden/>
              </w:rPr>
              <w:fldChar w:fldCharType="separate"/>
            </w:r>
            <w:r>
              <w:rPr>
                <w:noProof/>
                <w:webHidden/>
              </w:rPr>
              <w:t>14</w:t>
            </w:r>
            <w:r w:rsidR="00C56AF3">
              <w:rPr>
                <w:noProof/>
                <w:webHidden/>
              </w:rPr>
              <w:fldChar w:fldCharType="end"/>
            </w:r>
          </w:hyperlink>
        </w:p>
        <w:p w14:paraId="2A5716CD" w14:textId="04A03E7C" w:rsidR="00C56AF3" w:rsidRDefault="002E59B2">
          <w:pPr>
            <w:pStyle w:val="TOC1"/>
            <w:tabs>
              <w:tab w:val="right" w:leader="dot" w:pos="9742"/>
            </w:tabs>
            <w:rPr>
              <w:rFonts w:asciiTheme="minorHAnsi" w:eastAsiaTheme="minorEastAsia" w:hAnsiTheme="minorHAnsi"/>
              <w:noProof/>
              <w:lang w:eastAsia="zh-CN"/>
            </w:rPr>
          </w:pPr>
          <w:hyperlink w:anchor="_Toc85787046" w:history="1">
            <w:r w:rsidR="00C56AF3" w:rsidRPr="00E064B0">
              <w:rPr>
                <w:rStyle w:val="Hyperlink"/>
                <w:noProof/>
              </w:rPr>
              <w:t xml:space="preserve">About the </w:t>
            </w:r>
            <w:r w:rsidR="00C56AF3" w:rsidRPr="00E064B0">
              <w:rPr>
                <w:rStyle w:val="Hyperlink"/>
                <w:i/>
                <w:noProof/>
              </w:rPr>
              <w:t>Human Rights Act 2019</w:t>
            </w:r>
            <w:r w:rsidR="00C56AF3">
              <w:rPr>
                <w:noProof/>
                <w:webHidden/>
              </w:rPr>
              <w:tab/>
            </w:r>
            <w:r w:rsidR="00C56AF3">
              <w:rPr>
                <w:noProof/>
                <w:webHidden/>
              </w:rPr>
              <w:fldChar w:fldCharType="begin"/>
            </w:r>
            <w:r w:rsidR="00C56AF3">
              <w:rPr>
                <w:noProof/>
                <w:webHidden/>
              </w:rPr>
              <w:instrText xml:space="preserve"> PAGEREF _Toc85787046 \h </w:instrText>
            </w:r>
            <w:r w:rsidR="00C56AF3">
              <w:rPr>
                <w:noProof/>
                <w:webHidden/>
              </w:rPr>
            </w:r>
            <w:r w:rsidR="00C56AF3">
              <w:rPr>
                <w:noProof/>
                <w:webHidden/>
              </w:rPr>
              <w:fldChar w:fldCharType="separate"/>
            </w:r>
            <w:r>
              <w:rPr>
                <w:noProof/>
                <w:webHidden/>
              </w:rPr>
              <w:t>19</w:t>
            </w:r>
            <w:r w:rsidR="00C56AF3">
              <w:rPr>
                <w:noProof/>
                <w:webHidden/>
              </w:rPr>
              <w:fldChar w:fldCharType="end"/>
            </w:r>
          </w:hyperlink>
        </w:p>
        <w:p w14:paraId="16A3F57D" w14:textId="49C23380" w:rsidR="00C56AF3" w:rsidRDefault="002E59B2">
          <w:pPr>
            <w:pStyle w:val="TOC1"/>
            <w:tabs>
              <w:tab w:val="right" w:leader="dot" w:pos="9742"/>
            </w:tabs>
            <w:rPr>
              <w:rFonts w:asciiTheme="minorHAnsi" w:eastAsiaTheme="minorEastAsia" w:hAnsiTheme="minorHAnsi"/>
              <w:noProof/>
              <w:lang w:eastAsia="zh-CN"/>
            </w:rPr>
          </w:pPr>
          <w:hyperlink w:anchor="_Toc85787056" w:history="1">
            <w:r w:rsidR="00C56AF3" w:rsidRPr="00E064B0">
              <w:rPr>
                <w:rStyle w:val="Hyperlink"/>
                <w:noProof/>
              </w:rPr>
              <w:t>Human rights and the Parliament</w:t>
            </w:r>
            <w:r w:rsidR="00C56AF3">
              <w:rPr>
                <w:noProof/>
                <w:webHidden/>
              </w:rPr>
              <w:tab/>
            </w:r>
            <w:r w:rsidR="00C56AF3">
              <w:rPr>
                <w:noProof/>
                <w:webHidden/>
              </w:rPr>
              <w:fldChar w:fldCharType="begin"/>
            </w:r>
            <w:r w:rsidR="00C56AF3">
              <w:rPr>
                <w:noProof/>
                <w:webHidden/>
              </w:rPr>
              <w:instrText xml:space="preserve"> PAGEREF _Toc85787056 \h </w:instrText>
            </w:r>
            <w:r w:rsidR="00C56AF3">
              <w:rPr>
                <w:noProof/>
                <w:webHidden/>
              </w:rPr>
            </w:r>
            <w:r w:rsidR="00C56AF3">
              <w:rPr>
                <w:noProof/>
                <w:webHidden/>
              </w:rPr>
              <w:fldChar w:fldCharType="separate"/>
            </w:r>
            <w:r>
              <w:rPr>
                <w:noProof/>
                <w:webHidden/>
              </w:rPr>
              <w:t>25</w:t>
            </w:r>
            <w:r w:rsidR="00C56AF3">
              <w:rPr>
                <w:noProof/>
                <w:webHidden/>
              </w:rPr>
              <w:fldChar w:fldCharType="end"/>
            </w:r>
          </w:hyperlink>
        </w:p>
        <w:p w14:paraId="2B0D677F" w14:textId="0E4CDFED" w:rsidR="00C56AF3" w:rsidRDefault="002E59B2" w:rsidP="00634420">
          <w:pPr>
            <w:pStyle w:val="TOC2"/>
            <w:rPr>
              <w:rFonts w:asciiTheme="minorHAnsi" w:eastAsiaTheme="minorEastAsia" w:hAnsiTheme="minorHAnsi"/>
              <w:noProof/>
              <w:lang w:eastAsia="zh-CN"/>
            </w:rPr>
          </w:pPr>
          <w:hyperlink w:anchor="_Toc85787057" w:history="1">
            <w:r w:rsidR="00C56AF3" w:rsidRPr="00E064B0">
              <w:rPr>
                <w:rStyle w:val="Hyperlink"/>
                <w:noProof/>
              </w:rPr>
              <w:t>The role of parliament</w:t>
            </w:r>
            <w:r w:rsidR="00C56AF3">
              <w:rPr>
                <w:noProof/>
                <w:webHidden/>
              </w:rPr>
              <w:tab/>
            </w:r>
            <w:r w:rsidR="00C56AF3">
              <w:rPr>
                <w:noProof/>
                <w:webHidden/>
              </w:rPr>
              <w:fldChar w:fldCharType="begin"/>
            </w:r>
            <w:r w:rsidR="00C56AF3">
              <w:rPr>
                <w:noProof/>
                <w:webHidden/>
              </w:rPr>
              <w:instrText xml:space="preserve"> PAGEREF _Toc85787057 \h </w:instrText>
            </w:r>
            <w:r w:rsidR="00C56AF3">
              <w:rPr>
                <w:noProof/>
                <w:webHidden/>
              </w:rPr>
            </w:r>
            <w:r w:rsidR="00C56AF3">
              <w:rPr>
                <w:noProof/>
                <w:webHidden/>
              </w:rPr>
              <w:fldChar w:fldCharType="separate"/>
            </w:r>
            <w:r>
              <w:rPr>
                <w:noProof/>
                <w:webHidden/>
              </w:rPr>
              <w:t>26</w:t>
            </w:r>
            <w:r w:rsidR="00C56AF3">
              <w:rPr>
                <w:noProof/>
                <w:webHidden/>
              </w:rPr>
              <w:fldChar w:fldCharType="end"/>
            </w:r>
          </w:hyperlink>
        </w:p>
        <w:p w14:paraId="76E65443" w14:textId="002DC6D0" w:rsidR="00C56AF3" w:rsidRDefault="002E59B2" w:rsidP="00634420">
          <w:pPr>
            <w:pStyle w:val="TOC2"/>
            <w:rPr>
              <w:rFonts w:asciiTheme="minorHAnsi" w:eastAsiaTheme="minorEastAsia" w:hAnsiTheme="minorHAnsi"/>
              <w:noProof/>
              <w:lang w:eastAsia="zh-CN"/>
            </w:rPr>
          </w:pPr>
          <w:hyperlink w:anchor="_Toc85787063" w:history="1">
            <w:r w:rsidR="00C56AF3" w:rsidRPr="00E064B0">
              <w:rPr>
                <w:rStyle w:val="Hyperlink"/>
                <w:noProof/>
              </w:rPr>
              <w:t>Assessing Parliament's role in promoting a human rights culture</w:t>
            </w:r>
            <w:r w:rsidR="00C56AF3">
              <w:rPr>
                <w:noProof/>
                <w:webHidden/>
              </w:rPr>
              <w:tab/>
            </w:r>
            <w:r w:rsidR="00C56AF3">
              <w:rPr>
                <w:noProof/>
                <w:webHidden/>
              </w:rPr>
              <w:fldChar w:fldCharType="begin"/>
            </w:r>
            <w:r w:rsidR="00C56AF3">
              <w:rPr>
                <w:noProof/>
                <w:webHidden/>
              </w:rPr>
              <w:instrText xml:space="preserve"> PAGEREF _Toc85787063 \h </w:instrText>
            </w:r>
            <w:r w:rsidR="00C56AF3">
              <w:rPr>
                <w:noProof/>
                <w:webHidden/>
              </w:rPr>
            </w:r>
            <w:r w:rsidR="00C56AF3">
              <w:rPr>
                <w:noProof/>
                <w:webHidden/>
              </w:rPr>
              <w:fldChar w:fldCharType="separate"/>
            </w:r>
            <w:r>
              <w:rPr>
                <w:noProof/>
                <w:webHidden/>
              </w:rPr>
              <w:t>30</w:t>
            </w:r>
            <w:r w:rsidR="00C56AF3">
              <w:rPr>
                <w:noProof/>
                <w:webHidden/>
              </w:rPr>
              <w:fldChar w:fldCharType="end"/>
            </w:r>
          </w:hyperlink>
        </w:p>
        <w:p w14:paraId="7D3B8061" w14:textId="23038F2B" w:rsidR="00C56AF3" w:rsidRDefault="002E59B2">
          <w:pPr>
            <w:pStyle w:val="TOC3"/>
            <w:rPr>
              <w:rFonts w:asciiTheme="minorHAnsi" w:eastAsiaTheme="minorEastAsia" w:hAnsiTheme="minorHAnsi"/>
              <w:noProof/>
              <w:lang w:eastAsia="zh-CN"/>
            </w:rPr>
          </w:pPr>
          <w:hyperlink w:anchor="_Toc85787064" w:history="1">
            <w:r w:rsidR="00C56AF3" w:rsidRPr="00E064B0">
              <w:rPr>
                <w:rStyle w:val="Hyperlink"/>
                <w:noProof/>
              </w:rPr>
              <w:t>Indicator</w:t>
            </w:r>
            <w:r w:rsidR="002B7CB6">
              <w:rPr>
                <w:rStyle w:val="Hyperlink"/>
                <w:noProof/>
              </w:rPr>
              <w:t>s of a human rights culture</w:t>
            </w:r>
            <w:r w:rsidR="00C56AF3">
              <w:rPr>
                <w:noProof/>
                <w:webHidden/>
              </w:rPr>
              <w:tab/>
            </w:r>
            <w:r w:rsidR="00C56AF3">
              <w:rPr>
                <w:noProof/>
                <w:webHidden/>
              </w:rPr>
              <w:fldChar w:fldCharType="begin"/>
            </w:r>
            <w:r w:rsidR="00C56AF3">
              <w:rPr>
                <w:noProof/>
                <w:webHidden/>
              </w:rPr>
              <w:instrText xml:space="preserve"> PAGEREF _Toc85787064 \h </w:instrText>
            </w:r>
            <w:r w:rsidR="00C56AF3">
              <w:rPr>
                <w:noProof/>
                <w:webHidden/>
              </w:rPr>
            </w:r>
            <w:r w:rsidR="00C56AF3">
              <w:rPr>
                <w:noProof/>
                <w:webHidden/>
              </w:rPr>
              <w:fldChar w:fldCharType="separate"/>
            </w:r>
            <w:r>
              <w:rPr>
                <w:noProof/>
                <w:webHidden/>
              </w:rPr>
              <w:t>34</w:t>
            </w:r>
            <w:r w:rsidR="00C56AF3">
              <w:rPr>
                <w:noProof/>
                <w:webHidden/>
              </w:rPr>
              <w:fldChar w:fldCharType="end"/>
            </w:r>
          </w:hyperlink>
        </w:p>
        <w:p w14:paraId="6817B5CD" w14:textId="17C48A0D" w:rsidR="00C56AF3" w:rsidRDefault="002E59B2" w:rsidP="00634420">
          <w:pPr>
            <w:pStyle w:val="TOC2"/>
            <w:rPr>
              <w:rFonts w:asciiTheme="minorHAnsi" w:eastAsiaTheme="minorEastAsia" w:hAnsiTheme="minorHAnsi"/>
              <w:noProof/>
              <w:lang w:eastAsia="zh-CN"/>
            </w:rPr>
          </w:pPr>
          <w:hyperlink w:anchor="_Toc85787073" w:history="1">
            <w:r w:rsidR="00C56AF3" w:rsidRPr="00E064B0">
              <w:rPr>
                <w:rStyle w:val="Hyperlink"/>
                <w:noProof/>
              </w:rPr>
              <w:t>Significant legislation 2020-21</w:t>
            </w:r>
            <w:r w:rsidR="00C56AF3">
              <w:rPr>
                <w:noProof/>
                <w:webHidden/>
              </w:rPr>
              <w:tab/>
            </w:r>
            <w:r w:rsidR="00C56AF3">
              <w:rPr>
                <w:noProof/>
                <w:webHidden/>
              </w:rPr>
              <w:fldChar w:fldCharType="begin"/>
            </w:r>
            <w:r w:rsidR="00C56AF3">
              <w:rPr>
                <w:noProof/>
                <w:webHidden/>
              </w:rPr>
              <w:instrText xml:space="preserve"> PAGEREF _Toc85787073 \h </w:instrText>
            </w:r>
            <w:r w:rsidR="00C56AF3">
              <w:rPr>
                <w:noProof/>
                <w:webHidden/>
              </w:rPr>
            </w:r>
            <w:r w:rsidR="00C56AF3">
              <w:rPr>
                <w:noProof/>
                <w:webHidden/>
              </w:rPr>
              <w:fldChar w:fldCharType="separate"/>
            </w:r>
            <w:r>
              <w:rPr>
                <w:noProof/>
                <w:webHidden/>
              </w:rPr>
              <w:t>38</w:t>
            </w:r>
            <w:r w:rsidR="00C56AF3">
              <w:rPr>
                <w:noProof/>
                <w:webHidden/>
              </w:rPr>
              <w:fldChar w:fldCharType="end"/>
            </w:r>
          </w:hyperlink>
        </w:p>
        <w:p w14:paraId="2B446B43" w14:textId="55991A0F" w:rsidR="00C56AF3" w:rsidRDefault="002E59B2" w:rsidP="00634420">
          <w:pPr>
            <w:pStyle w:val="TOC2"/>
            <w:rPr>
              <w:rFonts w:asciiTheme="minorHAnsi" w:eastAsiaTheme="minorEastAsia" w:hAnsiTheme="minorHAnsi"/>
              <w:noProof/>
              <w:lang w:eastAsia="zh-CN"/>
            </w:rPr>
          </w:pPr>
          <w:hyperlink w:anchor="_Toc85787086" w:history="1">
            <w:r w:rsidR="00C56AF3" w:rsidRPr="00E064B0">
              <w:rPr>
                <w:rStyle w:val="Hyperlink"/>
                <w:noProof/>
              </w:rPr>
              <w:t>Summary of the role of Parliament in 2020-21</w:t>
            </w:r>
            <w:r w:rsidR="00C56AF3">
              <w:rPr>
                <w:noProof/>
                <w:webHidden/>
              </w:rPr>
              <w:tab/>
            </w:r>
            <w:r w:rsidR="00C56AF3">
              <w:rPr>
                <w:noProof/>
                <w:webHidden/>
              </w:rPr>
              <w:fldChar w:fldCharType="begin"/>
            </w:r>
            <w:r w:rsidR="00C56AF3">
              <w:rPr>
                <w:noProof/>
                <w:webHidden/>
              </w:rPr>
              <w:instrText xml:space="preserve"> PAGEREF _Toc85787086 \h </w:instrText>
            </w:r>
            <w:r w:rsidR="00C56AF3">
              <w:rPr>
                <w:noProof/>
                <w:webHidden/>
              </w:rPr>
            </w:r>
            <w:r w:rsidR="00C56AF3">
              <w:rPr>
                <w:noProof/>
                <w:webHidden/>
              </w:rPr>
              <w:fldChar w:fldCharType="separate"/>
            </w:r>
            <w:r>
              <w:rPr>
                <w:noProof/>
                <w:webHidden/>
              </w:rPr>
              <w:t>56</w:t>
            </w:r>
            <w:r w:rsidR="00C56AF3">
              <w:rPr>
                <w:noProof/>
                <w:webHidden/>
              </w:rPr>
              <w:fldChar w:fldCharType="end"/>
            </w:r>
          </w:hyperlink>
        </w:p>
        <w:p w14:paraId="7AD3A86D" w14:textId="53DC0315" w:rsidR="00C56AF3" w:rsidRDefault="002E59B2">
          <w:pPr>
            <w:pStyle w:val="TOC1"/>
            <w:tabs>
              <w:tab w:val="right" w:leader="dot" w:pos="9742"/>
            </w:tabs>
            <w:rPr>
              <w:rFonts w:asciiTheme="minorHAnsi" w:eastAsiaTheme="minorEastAsia" w:hAnsiTheme="minorHAnsi"/>
              <w:noProof/>
              <w:lang w:eastAsia="zh-CN"/>
            </w:rPr>
          </w:pPr>
          <w:hyperlink w:anchor="_Toc85787087" w:history="1">
            <w:r w:rsidR="00C56AF3" w:rsidRPr="00E064B0">
              <w:rPr>
                <w:rStyle w:val="Hyperlink"/>
                <w:noProof/>
              </w:rPr>
              <w:t>Human rights in courts and tribunals</w:t>
            </w:r>
            <w:r w:rsidR="00C56AF3">
              <w:rPr>
                <w:noProof/>
                <w:webHidden/>
              </w:rPr>
              <w:tab/>
            </w:r>
            <w:r w:rsidR="00C56AF3">
              <w:rPr>
                <w:noProof/>
                <w:webHidden/>
              </w:rPr>
              <w:fldChar w:fldCharType="begin"/>
            </w:r>
            <w:r w:rsidR="00C56AF3">
              <w:rPr>
                <w:noProof/>
                <w:webHidden/>
              </w:rPr>
              <w:instrText xml:space="preserve"> PAGEREF _Toc85787087 \h </w:instrText>
            </w:r>
            <w:r w:rsidR="00C56AF3">
              <w:rPr>
                <w:noProof/>
                <w:webHidden/>
              </w:rPr>
            </w:r>
            <w:r w:rsidR="00C56AF3">
              <w:rPr>
                <w:noProof/>
                <w:webHidden/>
              </w:rPr>
              <w:fldChar w:fldCharType="separate"/>
            </w:r>
            <w:r>
              <w:rPr>
                <w:noProof/>
                <w:webHidden/>
              </w:rPr>
              <w:t>58</w:t>
            </w:r>
            <w:r w:rsidR="00C56AF3">
              <w:rPr>
                <w:noProof/>
                <w:webHidden/>
              </w:rPr>
              <w:fldChar w:fldCharType="end"/>
            </w:r>
          </w:hyperlink>
        </w:p>
        <w:p w14:paraId="24F15B8E" w14:textId="56BD1D39" w:rsidR="00C56AF3" w:rsidRDefault="002E59B2" w:rsidP="00634420">
          <w:pPr>
            <w:pStyle w:val="TOC2"/>
            <w:rPr>
              <w:rFonts w:asciiTheme="minorHAnsi" w:eastAsiaTheme="minorEastAsia" w:hAnsiTheme="minorHAnsi"/>
              <w:noProof/>
              <w:lang w:eastAsia="zh-CN"/>
            </w:rPr>
          </w:pPr>
          <w:hyperlink w:anchor="_Toc85787088" w:history="1">
            <w:r w:rsidR="00C56AF3" w:rsidRPr="00E064B0">
              <w:rPr>
                <w:rStyle w:val="Hyperlink"/>
                <w:noProof/>
              </w:rPr>
              <w:t>The role of courts and tribunals</w:t>
            </w:r>
            <w:r w:rsidR="00C56AF3">
              <w:rPr>
                <w:noProof/>
                <w:webHidden/>
              </w:rPr>
              <w:tab/>
            </w:r>
            <w:r w:rsidR="00C56AF3">
              <w:rPr>
                <w:noProof/>
                <w:webHidden/>
              </w:rPr>
              <w:fldChar w:fldCharType="begin"/>
            </w:r>
            <w:r w:rsidR="00C56AF3">
              <w:rPr>
                <w:noProof/>
                <w:webHidden/>
              </w:rPr>
              <w:instrText xml:space="preserve"> PAGEREF _Toc85787088 \h </w:instrText>
            </w:r>
            <w:r w:rsidR="00C56AF3">
              <w:rPr>
                <w:noProof/>
                <w:webHidden/>
              </w:rPr>
            </w:r>
            <w:r w:rsidR="00C56AF3">
              <w:rPr>
                <w:noProof/>
                <w:webHidden/>
              </w:rPr>
              <w:fldChar w:fldCharType="separate"/>
            </w:r>
            <w:r>
              <w:rPr>
                <w:noProof/>
                <w:webHidden/>
              </w:rPr>
              <w:t>59</w:t>
            </w:r>
            <w:r w:rsidR="00C56AF3">
              <w:rPr>
                <w:noProof/>
                <w:webHidden/>
              </w:rPr>
              <w:fldChar w:fldCharType="end"/>
            </w:r>
          </w:hyperlink>
        </w:p>
        <w:p w14:paraId="1EB3E33B" w14:textId="7EEDF420" w:rsidR="00C56AF3" w:rsidRDefault="002E59B2" w:rsidP="00634420">
          <w:pPr>
            <w:pStyle w:val="TOC2"/>
            <w:rPr>
              <w:rFonts w:asciiTheme="minorHAnsi" w:eastAsiaTheme="minorEastAsia" w:hAnsiTheme="minorHAnsi"/>
              <w:noProof/>
              <w:lang w:eastAsia="zh-CN"/>
            </w:rPr>
          </w:pPr>
          <w:hyperlink w:anchor="_Toc85787096" w:history="1">
            <w:r w:rsidR="00C56AF3" w:rsidRPr="00E064B0">
              <w:rPr>
                <w:rStyle w:val="Hyperlink"/>
                <w:noProof/>
              </w:rPr>
              <w:t>Key cases</w:t>
            </w:r>
            <w:r w:rsidR="00C56AF3">
              <w:rPr>
                <w:noProof/>
                <w:webHidden/>
              </w:rPr>
              <w:tab/>
            </w:r>
            <w:r w:rsidR="00C56AF3">
              <w:rPr>
                <w:noProof/>
                <w:webHidden/>
              </w:rPr>
              <w:fldChar w:fldCharType="begin"/>
            </w:r>
            <w:r w:rsidR="00C56AF3">
              <w:rPr>
                <w:noProof/>
                <w:webHidden/>
              </w:rPr>
              <w:instrText xml:space="preserve"> PAGEREF _Toc85787096 \h </w:instrText>
            </w:r>
            <w:r w:rsidR="00C56AF3">
              <w:rPr>
                <w:noProof/>
                <w:webHidden/>
              </w:rPr>
            </w:r>
            <w:r w:rsidR="00C56AF3">
              <w:rPr>
                <w:noProof/>
                <w:webHidden/>
              </w:rPr>
              <w:fldChar w:fldCharType="separate"/>
            </w:r>
            <w:r>
              <w:rPr>
                <w:noProof/>
                <w:webHidden/>
              </w:rPr>
              <w:t>64</w:t>
            </w:r>
            <w:r w:rsidR="00C56AF3">
              <w:rPr>
                <w:noProof/>
                <w:webHidden/>
              </w:rPr>
              <w:fldChar w:fldCharType="end"/>
            </w:r>
          </w:hyperlink>
        </w:p>
        <w:p w14:paraId="7416E355" w14:textId="7678ECDD" w:rsidR="00C56AF3" w:rsidRDefault="002E59B2" w:rsidP="00634420">
          <w:pPr>
            <w:pStyle w:val="TOC2"/>
            <w:rPr>
              <w:rFonts w:asciiTheme="minorHAnsi" w:eastAsiaTheme="minorEastAsia" w:hAnsiTheme="minorHAnsi"/>
              <w:noProof/>
              <w:lang w:eastAsia="zh-CN"/>
            </w:rPr>
          </w:pPr>
          <w:hyperlink w:anchor="_Toc85787102" w:history="1">
            <w:r w:rsidR="00C56AF3" w:rsidRPr="00E064B0">
              <w:rPr>
                <w:rStyle w:val="Hyperlink"/>
                <w:noProof/>
              </w:rPr>
              <w:t>Interventions</w:t>
            </w:r>
            <w:r w:rsidR="00C56AF3">
              <w:rPr>
                <w:noProof/>
                <w:webHidden/>
              </w:rPr>
              <w:tab/>
            </w:r>
            <w:r w:rsidR="00C56AF3">
              <w:rPr>
                <w:noProof/>
                <w:webHidden/>
              </w:rPr>
              <w:fldChar w:fldCharType="begin"/>
            </w:r>
            <w:r w:rsidR="00C56AF3">
              <w:rPr>
                <w:noProof/>
                <w:webHidden/>
              </w:rPr>
              <w:instrText xml:space="preserve"> PAGEREF _Toc85787102 \h </w:instrText>
            </w:r>
            <w:r w:rsidR="00C56AF3">
              <w:rPr>
                <w:noProof/>
                <w:webHidden/>
              </w:rPr>
            </w:r>
            <w:r w:rsidR="00C56AF3">
              <w:rPr>
                <w:noProof/>
                <w:webHidden/>
              </w:rPr>
              <w:fldChar w:fldCharType="separate"/>
            </w:r>
            <w:r>
              <w:rPr>
                <w:noProof/>
                <w:webHidden/>
              </w:rPr>
              <w:t>68</w:t>
            </w:r>
            <w:r w:rsidR="00C56AF3">
              <w:rPr>
                <w:noProof/>
                <w:webHidden/>
              </w:rPr>
              <w:fldChar w:fldCharType="end"/>
            </w:r>
          </w:hyperlink>
        </w:p>
        <w:p w14:paraId="314D5C5F" w14:textId="310EEFEB" w:rsidR="00C56AF3" w:rsidRDefault="002E59B2" w:rsidP="00634420">
          <w:pPr>
            <w:pStyle w:val="TOC2"/>
            <w:rPr>
              <w:rFonts w:asciiTheme="minorHAnsi" w:eastAsiaTheme="minorEastAsia" w:hAnsiTheme="minorHAnsi"/>
              <w:noProof/>
              <w:lang w:eastAsia="zh-CN"/>
            </w:rPr>
          </w:pPr>
          <w:hyperlink w:anchor="_Toc85787106" w:history="1">
            <w:r w:rsidR="00C56AF3" w:rsidRPr="00E064B0">
              <w:rPr>
                <w:rStyle w:val="Hyperlink"/>
                <w:rFonts w:eastAsia="Arial"/>
                <w:noProof/>
              </w:rPr>
              <w:t>Summary of the role of courts and tribunals in 2020-21</w:t>
            </w:r>
            <w:r w:rsidR="00C56AF3">
              <w:rPr>
                <w:noProof/>
                <w:webHidden/>
              </w:rPr>
              <w:tab/>
            </w:r>
            <w:r w:rsidR="00C56AF3">
              <w:rPr>
                <w:noProof/>
                <w:webHidden/>
              </w:rPr>
              <w:fldChar w:fldCharType="begin"/>
            </w:r>
            <w:r w:rsidR="00C56AF3">
              <w:rPr>
                <w:noProof/>
                <w:webHidden/>
              </w:rPr>
              <w:instrText xml:space="preserve"> PAGEREF _Toc85787106 \h </w:instrText>
            </w:r>
            <w:r w:rsidR="00C56AF3">
              <w:rPr>
                <w:noProof/>
                <w:webHidden/>
              </w:rPr>
            </w:r>
            <w:r w:rsidR="00C56AF3">
              <w:rPr>
                <w:noProof/>
                <w:webHidden/>
              </w:rPr>
              <w:fldChar w:fldCharType="separate"/>
            </w:r>
            <w:r>
              <w:rPr>
                <w:noProof/>
                <w:webHidden/>
              </w:rPr>
              <w:t>71</w:t>
            </w:r>
            <w:r w:rsidR="00C56AF3">
              <w:rPr>
                <w:noProof/>
                <w:webHidden/>
              </w:rPr>
              <w:fldChar w:fldCharType="end"/>
            </w:r>
          </w:hyperlink>
        </w:p>
        <w:p w14:paraId="7FDD7DA0" w14:textId="75B191AA" w:rsidR="00C56AF3" w:rsidRDefault="002E59B2">
          <w:pPr>
            <w:pStyle w:val="TOC1"/>
            <w:tabs>
              <w:tab w:val="right" w:leader="dot" w:pos="9742"/>
            </w:tabs>
            <w:rPr>
              <w:rFonts w:asciiTheme="minorHAnsi" w:eastAsiaTheme="minorEastAsia" w:hAnsiTheme="minorHAnsi"/>
              <w:noProof/>
              <w:lang w:eastAsia="zh-CN"/>
            </w:rPr>
          </w:pPr>
          <w:hyperlink w:anchor="_Toc85787107" w:history="1">
            <w:r w:rsidR="00C56AF3" w:rsidRPr="00E064B0">
              <w:rPr>
                <w:rStyle w:val="Hyperlink"/>
                <w:noProof/>
              </w:rPr>
              <w:t>Human rights and the public sector</w:t>
            </w:r>
            <w:r w:rsidR="00C56AF3">
              <w:rPr>
                <w:noProof/>
                <w:webHidden/>
              </w:rPr>
              <w:tab/>
            </w:r>
            <w:r w:rsidR="00C56AF3">
              <w:rPr>
                <w:noProof/>
                <w:webHidden/>
              </w:rPr>
              <w:fldChar w:fldCharType="begin"/>
            </w:r>
            <w:r w:rsidR="00C56AF3">
              <w:rPr>
                <w:noProof/>
                <w:webHidden/>
              </w:rPr>
              <w:instrText xml:space="preserve"> PAGEREF _Toc85787107 \h </w:instrText>
            </w:r>
            <w:r w:rsidR="00C56AF3">
              <w:rPr>
                <w:noProof/>
                <w:webHidden/>
              </w:rPr>
            </w:r>
            <w:r w:rsidR="00C56AF3">
              <w:rPr>
                <w:noProof/>
                <w:webHidden/>
              </w:rPr>
              <w:fldChar w:fldCharType="separate"/>
            </w:r>
            <w:r>
              <w:rPr>
                <w:noProof/>
                <w:webHidden/>
              </w:rPr>
              <w:t>72</w:t>
            </w:r>
            <w:r w:rsidR="00C56AF3">
              <w:rPr>
                <w:noProof/>
                <w:webHidden/>
              </w:rPr>
              <w:fldChar w:fldCharType="end"/>
            </w:r>
          </w:hyperlink>
        </w:p>
        <w:p w14:paraId="1F8130E9" w14:textId="5AB0FE88" w:rsidR="00C56AF3" w:rsidRDefault="002E59B2" w:rsidP="00634420">
          <w:pPr>
            <w:pStyle w:val="TOC2"/>
            <w:rPr>
              <w:rFonts w:asciiTheme="minorHAnsi" w:eastAsiaTheme="minorEastAsia" w:hAnsiTheme="minorHAnsi"/>
              <w:noProof/>
              <w:lang w:eastAsia="zh-CN"/>
            </w:rPr>
          </w:pPr>
          <w:hyperlink w:anchor="_Toc85787114" w:history="1">
            <w:r w:rsidR="00C56AF3" w:rsidRPr="00E064B0">
              <w:rPr>
                <w:rStyle w:val="Hyperlink"/>
                <w:noProof/>
              </w:rPr>
              <w:t>Indicators of a human rights culture</w:t>
            </w:r>
            <w:r w:rsidR="00C56AF3">
              <w:rPr>
                <w:noProof/>
                <w:webHidden/>
              </w:rPr>
              <w:tab/>
            </w:r>
            <w:r w:rsidR="00C56AF3">
              <w:rPr>
                <w:noProof/>
                <w:webHidden/>
              </w:rPr>
              <w:fldChar w:fldCharType="begin"/>
            </w:r>
            <w:r w:rsidR="00C56AF3">
              <w:rPr>
                <w:noProof/>
                <w:webHidden/>
              </w:rPr>
              <w:instrText xml:space="preserve"> PAGEREF _Toc85787114 \h </w:instrText>
            </w:r>
            <w:r w:rsidR="00C56AF3">
              <w:rPr>
                <w:noProof/>
                <w:webHidden/>
              </w:rPr>
            </w:r>
            <w:r w:rsidR="00C56AF3">
              <w:rPr>
                <w:noProof/>
                <w:webHidden/>
              </w:rPr>
              <w:fldChar w:fldCharType="separate"/>
            </w:r>
            <w:r>
              <w:rPr>
                <w:noProof/>
                <w:webHidden/>
              </w:rPr>
              <w:t>76</w:t>
            </w:r>
            <w:r w:rsidR="00C56AF3">
              <w:rPr>
                <w:noProof/>
                <w:webHidden/>
              </w:rPr>
              <w:fldChar w:fldCharType="end"/>
            </w:r>
          </w:hyperlink>
        </w:p>
        <w:p w14:paraId="3A3E24D3" w14:textId="4C1109E3" w:rsidR="00C56AF3" w:rsidRDefault="002E59B2" w:rsidP="00634420">
          <w:pPr>
            <w:pStyle w:val="TOC2"/>
            <w:rPr>
              <w:rFonts w:asciiTheme="minorHAnsi" w:eastAsiaTheme="minorEastAsia" w:hAnsiTheme="minorHAnsi"/>
              <w:noProof/>
              <w:lang w:eastAsia="zh-CN"/>
            </w:rPr>
          </w:pPr>
          <w:hyperlink w:anchor="_Toc85787115" w:history="1">
            <w:r w:rsidR="00C56AF3" w:rsidRPr="00E064B0">
              <w:rPr>
                <w:rStyle w:val="Hyperlink"/>
                <w:noProof/>
              </w:rPr>
              <w:t>State public entities</w:t>
            </w:r>
            <w:r w:rsidR="00C56AF3">
              <w:rPr>
                <w:noProof/>
                <w:webHidden/>
              </w:rPr>
              <w:tab/>
            </w:r>
            <w:r w:rsidR="00C56AF3">
              <w:rPr>
                <w:noProof/>
                <w:webHidden/>
              </w:rPr>
              <w:fldChar w:fldCharType="begin"/>
            </w:r>
            <w:r w:rsidR="00C56AF3">
              <w:rPr>
                <w:noProof/>
                <w:webHidden/>
              </w:rPr>
              <w:instrText xml:space="preserve"> PAGEREF _Toc85787115 \h </w:instrText>
            </w:r>
            <w:r w:rsidR="00C56AF3">
              <w:rPr>
                <w:noProof/>
                <w:webHidden/>
              </w:rPr>
            </w:r>
            <w:r w:rsidR="00C56AF3">
              <w:rPr>
                <w:noProof/>
                <w:webHidden/>
              </w:rPr>
              <w:fldChar w:fldCharType="separate"/>
            </w:r>
            <w:r>
              <w:rPr>
                <w:noProof/>
                <w:webHidden/>
              </w:rPr>
              <w:t>78</w:t>
            </w:r>
            <w:r w:rsidR="00C56AF3">
              <w:rPr>
                <w:noProof/>
                <w:webHidden/>
              </w:rPr>
              <w:fldChar w:fldCharType="end"/>
            </w:r>
          </w:hyperlink>
        </w:p>
        <w:p w14:paraId="714F6B24" w14:textId="7670FDFA" w:rsidR="00C56AF3" w:rsidRDefault="002E59B2" w:rsidP="00634420">
          <w:pPr>
            <w:pStyle w:val="TOC2"/>
            <w:rPr>
              <w:rFonts w:asciiTheme="minorHAnsi" w:eastAsiaTheme="minorEastAsia" w:hAnsiTheme="minorHAnsi"/>
              <w:noProof/>
              <w:lang w:eastAsia="zh-CN"/>
            </w:rPr>
          </w:pPr>
          <w:hyperlink w:anchor="_Toc85787123" w:history="1">
            <w:r w:rsidR="00C56AF3" w:rsidRPr="00E064B0">
              <w:rPr>
                <w:rStyle w:val="Hyperlink"/>
                <w:noProof/>
              </w:rPr>
              <w:t>Local government public entities</w:t>
            </w:r>
            <w:r w:rsidR="00C56AF3">
              <w:rPr>
                <w:noProof/>
                <w:webHidden/>
              </w:rPr>
              <w:tab/>
            </w:r>
            <w:r w:rsidR="00C56AF3">
              <w:rPr>
                <w:noProof/>
                <w:webHidden/>
              </w:rPr>
              <w:fldChar w:fldCharType="begin"/>
            </w:r>
            <w:r w:rsidR="00C56AF3">
              <w:rPr>
                <w:noProof/>
                <w:webHidden/>
              </w:rPr>
              <w:instrText xml:space="preserve"> PAGEREF _Toc85787123 \h </w:instrText>
            </w:r>
            <w:r w:rsidR="00C56AF3">
              <w:rPr>
                <w:noProof/>
                <w:webHidden/>
              </w:rPr>
            </w:r>
            <w:r w:rsidR="00C56AF3">
              <w:rPr>
                <w:noProof/>
                <w:webHidden/>
              </w:rPr>
              <w:fldChar w:fldCharType="separate"/>
            </w:r>
            <w:r>
              <w:rPr>
                <w:noProof/>
                <w:webHidden/>
              </w:rPr>
              <w:t>102</w:t>
            </w:r>
            <w:r w:rsidR="00C56AF3">
              <w:rPr>
                <w:noProof/>
                <w:webHidden/>
              </w:rPr>
              <w:fldChar w:fldCharType="end"/>
            </w:r>
          </w:hyperlink>
        </w:p>
        <w:p w14:paraId="1AF9A81D" w14:textId="23E356A7" w:rsidR="00C56AF3" w:rsidRDefault="002E59B2" w:rsidP="00634420">
          <w:pPr>
            <w:pStyle w:val="TOC2"/>
            <w:rPr>
              <w:rFonts w:asciiTheme="minorHAnsi" w:eastAsiaTheme="minorEastAsia" w:hAnsiTheme="minorHAnsi"/>
              <w:noProof/>
              <w:lang w:eastAsia="zh-CN"/>
            </w:rPr>
          </w:pPr>
          <w:hyperlink w:anchor="_Toc85787131" w:history="1">
            <w:r w:rsidR="00C56AF3" w:rsidRPr="00E064B0">
              <w:rPr>
                <w:rStyle w:val="Hyperlink"/>
                <w:noProof/>
              </w:rPr>
              <w:t xml:space="preserve">Progress towards a human rights culture in government and </w:t>
            </w:r>
            <w:r w:rsidR="00634420">
              <w:rPr>
                <w:rStyle w:val="Hyperlink"/>
                <w:noProof/>
              </w:rPr>
              <w:t>c</w:t>
            </w:r>
            <w:r w:rsidR="00C56AF3" w:rsidRPr="00E064B0">
              <w:rPr>
                <w:rStyle w:val="Hyperlink"/>
                <w:noProof/>
              </w:rPr>
              <w:t>ouncils</w:t>
            </w:r>
            <w:r w:rsidR="00C56AF3">
              <w:rPr>
                <w:noProof/>
                <w:webHidden/>
              </w:rPr>
              <w:tab/>
            </w:r>
            <w:r w:rsidR="00C56AF3">
              <w:rPr>
                <w:noProof/>
                <w:webHidden/>
              </w:rPr>
              <w:fldChar w:fldCharType="begin"/>
            </w:r>
            <w:r w:rsidR="00C56AF3">
              <w:rPr>
                <w:noProof/>
                <w:webHidden/>
              </w:rPr>
              <w:instrText xml:space="preserve"> PAGEREF _Toc85787131 \h </w:instrText>
            </w:r>
            <w:r w:rsidR="00C56AF3">
              <w:rPr>
                <w:noProof/>
                <w:webHidden/>
              </w:rPr>
            </w:r>
            <w:r w:rsidR="00C56AF3">
              <w:rPr>
                <w:noProof/>
                <w:webHidden/>
              </w:rPr>
              <w:fldChar w:fldCharType="separate"/>
            </w:r>
            <w:r>
              <w:rPr>
                <w:noProof/>
                <w:webHidden/>
              </w:rPr>
              <w:t>110</w:t>
            </w:r>
            <w:r w:rsidR="00C56AF3">
              <w:rPr>
                <w:noProof/>
                <w:webHidden/>
              </w:rPr>
              <w:fldChar w:fldCharType="end"/>
            </w:r>
          </w:hyperlink>
        </w:p>
        <w:p w14:paraId="50135D40" w14:textId="44085F71" w:rsidR="00C56AF3" w:rsidRDefault="002E59B2" w:rsidP="00634420">
          <w:pPr>
            <w:pStyle w:val="TOC2"/>
            <w:rPr>
              <w:rFonts w:asciiTheme="minorHAnsi" w:eastAsiaTheme="minorEastAsia" w:hAnsiTheme="minorHAnsi"/>
              <w:noProof/>
              <w:lang w:eastAsia="zh-CN"/>
            </w:rPr>
          </w:pPr>
          <w:hyperlink w:anchor="_Toc85787133" w:history="1">
            <w:r w:rsidR="00C56AF3" w:rsidRPr="00E064B0">
              <w:rPr>
                <w:rStyle w:val="Hyperlink"/>
                <w:noProof/>
              </w:rPr>
              <w:t>Human rights in vocational and tertiary institutions</w:t>
            </w:r>
            <w:r w:rsidR="00C56AF3">
              <w:rPr>
                <w:noProof/>
                <w:webHidden/>
              </w:rPr>
              <w:tab/>
            </w:r>
            <w:r w:rsidR="00C56AF3">
              <w:rPr>
                <w:noProof/>
                <w:webHidden/>
              </w:rPr>
              <w:fldChar w:fldCharType="begin"/>
            </w:r>
            <w:r w:rsidR="00C56AF3">
              <w:rPr>
                <w:noProof/>
                <w:webHidden/>
              </w:rPr>
              <w:instrText xml:space="preserve"> PAGEREF _Toc85787133 \h </w:instrText>
            </w:r>
            <w:r w:rsidR="00C56AF3">
              <w:rPr>
                <w:noProof/>
                <w:webHidden/>
              </w:rPr>
            </w:r>
            <w:r w:rsidR="00C56AF3">
              <w:rPr>
                <w:noProof/>
                <w:webHidden/>
              </w:rPr>
              <w:fldChar w:fldCharType="separate"/>
            </w:r>
            <w:r>
              <w:rPr>
                <w:noProof/>
                <w:webHidden/>
              </w:rPr>
              <w:t>114</w:t>
            </w:r>
            <w:r w:rsidR="00C56AF3">
              <w:rPr>
                <w:noProof/>
                <w:webHidden/>
              </w:rPr>
              <w:fldChar w:fldCharType="end"/>
            </w:r>
          </w:hyperlink>
        </w:p>
        <w:p w14:paraId="4FBB42A8" w14:textId="5CBF0078" w:rsidR="00C56AF3" w:rsidRDefault="002E59B2" w:rsidP="00634420">
          <w:pPr>
            <w:pStyle w:val="TOC2"/>
            <w:rPr>
              <w:rFonts w:asciiTheme="minorHAnsi" w:eastAsiaTheme="minorEastAsia" w:hAnsiTheme="minorHAnsi"/>
              <w:noProof/>
              <w:lang w:eastAsia="zh-CN"/>
            </w:rPr>
          </w:pPr>
          <w:hyperlink w:anchor="_Toc85787137" w:history="1">
            <w:r w:rsidR="00C56AF3" w:rsidRPr="00E064B0">
              <w:rPr>
                <w:rStyle w:val="Hyperlink"/>
                <w:noProof/>
              </w:rPr>
              <w:t>Functional public entities</w:t>
            </w:r>
            <w:r w:rsidR="00C56AF3">
              <w:rPr>
                <w:noProof/>
                <w:webHidden/>
              </w:rPr>
              <w:tab/>
            </w:r>
            <w:r w:rsidR="00C56AF3">
              <w:rPr>
                <w:noProof/>
                <w:webHidden/>
              </w:rPr>
              <w:fldChar w:fldCharType="begin"/>
            </w:r>
            <w:r w:rsidR="00C56AF3">
              <w:rPr>
                <w:noProof/>
                <w:webHidden/>
              </w:rPr>
              <w:instrText xml:space="preserve"> PAGEREF _Toc85787137 \h </w:instrText>
            </w:r>
            <w:r w:rsidR="00C56AF3">
              <w:rPr>
                <w:noProof/>
                <w:webHidden/>
              </w:rPr>
            </w:r>
            <w:r w:rsidR="00C56AF3">
              <w:rPr>
                <w:noProof/>
                <w:webHidden/>
              </w:rPr>
              <w:fldChar w:fldCharType="separate"/>
            </w:r>
            <w:r>
              <w:rPr>
                <w:noProof/>
                <w:webHidden/>
              </w:rPr>
              <w:t>117</w:t>
            </w:r>
            <w:r w:rsidR="00C56AF3">
              <w:rPr>
                <w:noProof/>
                <w:webHidden/>
              </w:rPr>
              <w:fldChar w:fldCharType="end"/>
            </w:r>
          </w:hyperlink>
        </w:p>
        <w:p w14:paraId="5DF911A7" w14:textId="60FC516E" w:rsidR="00C56AF3" w:rsidRDefault="002E59B2">
          <w:pPr>
            <w:pStyle w:val="TOC3"/>
            <w:rPr>
              <w:rFonts w:asciiTheme="minorHAnsi" w:eastAsiaTheme="minorEastAsia" w:hAnsiTheme="minorHAnsi"/>
              <w:noProof/>
              <w:lang w:eastAsia="zh-CN"/>
            </w:rPr>
          </w:pPr>
          <w:hyperlink w:anchor="_Toc85787138" w:history="1">
            <w:r w:rsidR="00C56AF3" w:rsidRPr="00E064B0">
              <w:rPr>
                <w:rStyle w:val="Hyperlink"/>
                <w:noProof/>
              </w:rPr>
              <w:t>A human rights approach to housing and homelessness services</w:t>
            </w:r>
            <w:r w:rsidR="00C56AF3">
              <w:rPr>
                <w:noProof/>
                <w:webHidden/>
              </w:rPr>
              <w:tab/>
            </w:r>
            <w:r w:rsidR="00C56AF3">
              <w:rPr>
                <w:noProof/>
                <w:webHidden/>
              </w:rPr>
              <w:fldChar w:fldCharType="begin"/>
            </w:r>
            <w:r w:rsidR="00C56AF3">
              <w:rPr>
                <w:noProof/>
                <w:webHidden/>
              </w:rPr>
              <w:instrText xml:space="preserve"> PAGEREF _Toc85787138 \h </w:instrText>
            </w:r>
            <w:r w:rsidR="00C56AF3">
              <w:rPr>
                <w:noProof/>
                <w:webHidden/>
              </w:rPr>
            </w:r>
            <w:r w:rsidR="00C56AF3">
              <w:rPr>
                <w:noProof/>
                <w:webHidden/>
              </w:rPr>
              <w:fldChar w:fldCharType="separate"/>
            </w:r>
            <w:r>
              <w:rPr>
                <w:noProof/>
                <w:webHidden/>
              </w:rPr>
              <w:t>117</w:t>
            </w:r>
            <w:r w:rsidR="00C56AF3">
              <w:rPr>
                <w:noProof/>
                <w:webHidden/>
              </w:rPr>
              <w:fldChar w:fldCharType="end"/>
            </w:r>
          </w:hyperlink>
        </w:p>
        <w:p w14:paraId="72F88678" w14:textId="2EEC4688" w:rsidR="00C56AF3" w:rsidRDefault="002E59B2">
          <w:pPr>
            <w:pStyle w:val="TOC1"/>
            <w:tabs>
              <w:tab w:val="right" w:leader="dot" w:pos="9742"/>
            </w:tabs>
            <w:rPr>
              <w:rFonts w:asciiTheme="minorHAnsi" w:eastAsiaTheme="minorEastAsia" w:hAnsiTheme="minorHAnsi"/>
              <w:noProof/>
              <w:lang w:eastAsia="zh-CN"/>
            </w:rPr>
          </w:pPr>
          <w:hyperlink w:anchor="_Toc85787140" w:history="1">
            <w:r w:rsidR="00C56AF3" w:rsidRPr="00E064B0">
              <w:rPr>
                <w:rStyle w:val="Hyperlink"/>
                <w:noProof/>
              </w:rPr>
              <w:t>Human rights enquiries and complaints</w:t>
            </w:r>
            <w:r w:rsidR="00C56AF3">
              <w:rPr>
                <w:noProof/>
                <w:webHidden/>
              </w:rPr>
              <w:tab/>
            </w:r>
            <w:r w:rsidR="00C56AF3">
              <w:rPr>
                <w:noProof/>
                <w:webHidden/>
              </w:rPr>
              <w:fldChar w:fldCharType="begin"/>
            </w:r>
            <w:r w:rsidR="00C56AF3">
              <w:rPr>
                <w:noProof/>
                <w:webHidden/>
              </w:rPr>
              <w:instrText xml:space="preserve"> PAGEREF _Toc85787140 \h </w:instrText>
            </w:r>
            <w:r w:rsidR="00C56AF3">
              <w:rPr>
                <w:noProof/>
                <w:webHidden/>
              </w:rPr>
            </w:r>
            <w:r w:rsidR="00C56AF3">
              <w:rPr>
                <w:noProof/>
                <w:webHidden/>
              </w:rPr>
              <w:fldChar w:fldCharType="separate"/>
            </w:r>
            <w:r>
              <w:rPr>
                <w:noProof/>
                <w:webHidden/>
              </w:rPr>
              <w:t>122</w:t>
            </w:r>
            <w:r w:rsidR="00C56AF3">
              <w:rPr>
                <w:noProof/>
                <w:webHidden/>
              </w:rPr>
              <w:fldChar w:fldCharType="end"/>
            </w:r>
          </w:hyperlink>
        </w:p>
        <w:p w14:paraId="48143069" w14:textId="6297F009" w:rsidR="00C56AF3" w:rsidRDefault="002E59B2" w:rsidP="00634420">
          <w:pPr>
            <w:pStyle w:val="TOC2"/>
            <w:rPr>
              <w:rFonts w:asciiTheme="minorHAnsi" w:eastAsiaTheme="minorEastAsia" w:hAnsiTheme="minorHAnsi"/>
              <w:noProof/>
              <w:lang w:eastAsia="zh-CN"/>
            </w:rPr>
          </w:pPr>
          <w:hyperlink w:anchor="_Toc85787142" w:history="1">
            <w:r w:rsidR="00C56AF3" w:rsidRPr="00E064B0">
              <w:rPr>
                <w:rStyle w:val="Hyperlink"/>
                <w:noProof/>
              </w:rPr>
              <w:t>Internal complaints made to public entities</w:t>
            </w:r>
            <w:r w:rsidR="00C56AF3">
              <w:rPr>
                <w:noProof/>
                <w:webHidden/>
              </w:rPr>
              <w:tab/>
            </w:r>
            <w:r w:rsidR="00C56AF3">
              <w:rPr>
                <w:noProof/>
                <w:webHidden/>
              </w:rPr>
              <w:fldChar w:fldCharType="begin"/>
            </w:r>
            <w:r w:rsidR="00C56AF3">
              <w:rPr>
                <w:noProof/>
                <w:webHidden/>
              </w:rPr>
              <w:instrText xml:space="preserve"> PAGEREF _Toc85787142 \h </w:instrText>
            </w:r>
            <w:r w:rsidR="00C56AF3">
              <w:rPr>
                <w:noProof/>
                <w:webHidden/>
              </w:rPr>
            </w:r>
            <w:r w:rsidR="00C56AF3">
              <w:rPr>
                <w:noProof/>
                <w:webHidden/>
              </w:rPr>
              <w:fldChar w:fldCharType="separate"/>
            </w:r>
            <w:r>
              <w:rPr>
                <w:noProof/>
                <w:webHidden/>
              </w:rPr>
              <w:t>124</w:t>
            </w:r>
            <w:r w:rsidR="00C56AF3">
              <w:rPr>
                <w:noProof/>
                <w:webHidden/>
              </w:rPr>
              <w:fldChar w:fldCharType="end"/>
            </w:r>
          </w:hyperlink>
        </w:p>
        <w:p w14:paraId="4992127F" w14:textId="33CAB25E" w:rsidR="00C56AF3" w:rsidRDefault="002E59B2" w:rsidP="00634420">
          <w:pPr>
            <w:pStyle w:val="TOC2"/>
            <w:rPr>
              <w:rFonts w:asciiTheme="minorHAnsi" w:eastAsiaTheme="minorEastAsia" w:hAnsiTheme="minorHAnsi"/>
              <w:noProof/>
              <w:lang w:eastAsia="zh-CN"/>
            </w:rPr>
          </w:pPr>
          <w:hyperlink w:anchor="_Toc85787143" w:history="1">
            <w:r w:rsidR="00C56AF3" w:rsidRPr="00E064B0">
              <w:rPr>
                <w:rStyle w:val="Hyperlink"/>
                <w:noProof/>
              </w:rPr>
              <w:t>Early complaint resolution</w:t>
            </w:r>
            <w:r w:rsidR="00C56AF3">
              <w:rPr>
                <w:noProof/>
                <w:webHidden/>
              </w:rPr>
              <w:tab/>
            </w:r>
            <w:r w:rsidR="00C56AF3">
              <w:rPr>
                <w:noProof/>
                <w:webHidden/>
              </w:rPr>
              <w:fldChar w:fldCharType="begin"/>
            </w:r>
            <w:r w:rsidR="00C56AF3">
              <w:rPr>
                <w:noProof/>
                <w:webHidden/>
              </w:rPr>
              <w:instrText xml:space="preserve"> PAGEREF _Toc85787143 \h </w:instrText>
            </w:r>
            <w:r w:rsidR="00C56AF3">
              <w:rPr>
                <w:noProof/>
                <w:webHidden/>
              </w:rPr>
            </w:r>
            <w:r w:rsidR="00C56AF3">
              <w:rPr>
                <w:noProof/>
                <w:webHidden/>
              </w:rPr>
              <w:fldChar w:fldCharType="separate"/>
            </w:r>
            <w:r>
              <w:rPr>
                <w:noProof/>
                <w:webHidden/>
              </w:rPr>
              <w:t>128</w:t>
            </w:r>
            <w:r w:rsidR="00C56AF3">
              <w:rPr>
                <w:noProof/>
                <w:webHidden/>
              </w:rPr>
              <w:fldChar w:fldCharType="end"/>
            </w:r>
          </w:hyperlink>
        </w:p>
        <w:p w14:paraId="03DC70A0" w14:textId="0D61FA7D" w:rsidR="00C56AF3" w:rsidRDefault="002E59B2" w:rsidP="00634420">
          <w:pPr>
            <w:pStyle w:val="TOC2"/>
            <w:rPr>
              <w:rFonts w:asciiTheme="minorHAnsi" w:eastAsiaTheme="minorEastAsia" w:hAnsiTheme="minorHAnsi"/>
              <w:noProof/>
              <w:lang w:eastAsia="zh-CN"/>
            </w:rPr>
          </w:pPr>
          <w:hyperlink w:anchor="_Toc85787144" w:history="1">
            <w:r w:rsidR="00C56AF3" w:rsidRPr="00E064B0">
              <w:rPr>
                <w:rStyle w:val="Hyperlink"/>
                <w:noProof/>
              </w:rPr>
              <w:t>Enquiries to the Commission</w:t>
            </w:r>
            <w:r w:rsidR="00C56AF3">
              <w:rPr>
                <w:noProof/>
                <w:webHidden/>
              </w:rPr>
              <w:tab/>
            </w:r>
            <w:r w:rsidR="00C56AF3">
              <w:rPr>
                <w:noProof/>
                <w:webHidden/>
              </w:rPr>
              <w:fldChar w:fldCharType="begin"/>
            </w:r>
            <w:r w:rsidR="00C56AF3">
              <w:rPr>
                <w:noProof/>
                <w:webHidden/>
              </w:rPr>
              <w:instrText xml:space="preserve"> PAGEREF _Toc85787144 \h </w:instrText>
            </w:r>
            <w:r w:rsidR="00C56AF3">
              <w:rPr>
                <w:noProof/>
                <w:webHidden/>
              </w:rPr>
            </w:r>
            <w:r w:rsidR="00C56AF3">
              <w:rPr>
                <w:noProof/>
                <w:webHidden/>
              </w:rPr>
              <w:fldChar w:fldCharType="separate"/>
            </w:r>
            <w:r>
              <w:rPr>
                <w:noProof/>
                <w:webHidden/>
              </w:rPr>
              <w:t>130</w:t>
            </w:r>
            <w:r w:rsidR="00C56AF3">
              <w:rPr>
                <w:noProof/>
                <w:webHidden/>
              </w:rPr>
              <w:fldChar w:fldCharType="end"/>
            </w:r>
          </w:hyperlink>
        </w:p>
        <w:p w14:paraId="3AD95F79" w14:textId="7C3C7AD8" w:rsidR="00C56AF3" w:rsidRDefault="002E59B2" w:rsidP="00634420">
          <w:pPr>
            <w:pStyle w:val="TOC2"/>
            <w:rPr>
              <w:rFonts w:asciiTheme="minorHAnsi" w:eastAsiaTheme="minorEastAsia" w:hAnsiTheme="minorHAnsi"/>
              <w:noProof/>
              <w:lang w:eastAsia="zh-CN"/>
            </w:rPr>
          </w:pPr>
          <w:hyperlink w:anchor="_Toc85787145" w:history="1">
            <w:r w:rsidR="00C56AF3" w:rsidRPr="00E064B0">
              <w:rPr>
                <w:rStyle w:val="Hyperlink"/>
                <w:noProof/>
                <w:lang w:val="en-US"/>
              </w:rPr>
              <w:t>Complaints to the Commission</w:t>
            </w:r>
            <w:r w:rsidR="00C56AF3">
              <w:rPr>
                <w:noProof/>
                <w:webHidden/>
              </w:rPr>
              <w:tab/>
            </w:r>
            <w:r w:rsidR="00C56AF3">
              <w:rPr>
                <w:noProof/>
                <w:webHidden/>
              </w:rPr>
              <w:fldChar w:fldCharType="begin"/>
            </w:r>
            <w:r w:rsidR="00C56AF3">
              <w:rPr>
                <w:noProof/>
                <w:webHidden/>
              </w:rPr>
              <w:instrText xml:space="preserve"> PAGEREF _Toc85787145 \h </w:instrText>
            </w:r>
            <w:r w:rsidR="00C56AF3">
              <w:rPr>
                <w:noProof/>
                <w:webHidden/>
              </w:rPr>
            </w:r>
            <w:r w:rsidR="00C56AF3">
              <w:rPr>
                <w:noProof/>
                <w:webHidden/>
              </w:rPr>
              <w:fldChar w:fldCharType="separate"/>
            </w:r>
            <w:r>
              <w:rPr>
                <w:noProof/>
                <w:webHidden/>
              </w:rPr>
              <w:t>134</w:t>
            </w:r>
            <w:r w:rsidR="00C56AF3">
              <w:rPr>
                <w:noProof/>
                <w:webHidden/>
              </w:rPr>
              <w:fldChar w:fldCharType="end"/>
            </w:r>
          </w:hyperlink>
        </w:p>
        <w:p w14:paraId="30D3716A" w14:textId="6EEFB60D" w:rsidR="00C56AF3" w:rsidRDefault="002E59B2" w:rsidP="00634420">
          <w:pPr>
            <w:pStyle w:val="TOC2"/>
            <w:rPr>
              <w:rFonts w:asciiTheme="minorHAnsi" w:eastAsiaTheme="minorEastAsia" w:hAnsiTheme="minorHAnsi"/>
              <w:noProof/>
              <w:lang w:eastAsia="zh-CN"/>
            </w:rPr>
          </w:pPr>
          <w:hyperlink w:anchor="_Toc85787160" w:history="1">
            <w:r w:rsidR="00C56AF3" w:rsidRPr="00E064B0">
              <w:rPr>
                <w:rStyle w:val="Hyperlink"/>
                <w:noProof/>
              </w:rPr>
              <w:t>Resolved complaint case studies</w:t>
            </w:r>
            <w:r w:rsidR="00C56AF3">
              <w:rPr>
                <w:noProof/>
                <w:webHidden/>
              </w:rPr>
              <w:tab/>
            </w:r>
            <w:r w:rsidR="00C56AF3">
              <w:rPr>
                <w:noProof/>
                <w:webHidden/>
              </w:rPr>
              <w:fldChar w:fldCharType="begin"/>
            </w:r>
            <w:r w:rsidR="00C56AF3">
              <w:rPr>
                <w:noProof/>
                <w:webHidden/>
              </w:rPr>
              <w:instrText xml:space="preserve"> PAGEREF _Toc85787160 \h </w:instrText>
            </w:r>
            <w:r w:rsidR="00C56AF3">
              <w:rPr>
                <w:noProof/>
                <w:webHidden/>
              </w:rPr>
            </w:r>
            <w:r w:rsidR="00C56AF3">
              <w:rPr>
                <w:noProof/>
                <w:webHidden/>
              </w:rPr>
              <w:fldChar w:fldCharType="separate"/>
            </w:r>
            <w:r>
              <w:rPr>
                <w:noProof/>
                <w:webHidden/>
              </w:rPr>
              <w:t>156</w:t>
            </w:r>
            <w:r w:rsidR="00C56AF3">
              <w:rPr>
                <w:noProof/>
                <w:webHidden/>
              </w:rPr>
              <w:fldChar w:fldCharType="end"/>
            </w:r>
          </w:hyperlink>
        </w:p>
        <w:p w14:paraId="650AB88F" w14:textId="0121B3AF" w:rsidR="00C56AF3" w:rsidRDefault="002E59B2">
          <w:pPr>
            <w:pStyle w:val="TOC1"/>
            <w:tabs>
              <w:tab w:val="right" w:leader="dot" w:pos="9742"/>
            </w:tabs>
            <w:rPr>
              <w:rFonts w:asciiTheme="minorHAnsi" w:eastAsiaTheme="minorEastAsia" w:hAnsiTheme="minorHAnsi"/>
              <w:noProof/>
              <w:lang w:eastAsia="zh-CN"/>
            </w:rPr>
          </w:pPr>
          <w:hyperlink w:anchor="_Toc85787175" w:history="1">
            <w:r w:rsidR="00C56AF3" w:rsidRPr="00E064B0">
              <w:rPr>
                <w:rStyle w:val="Hyperlink"/>
                <w:noProof/>
              </w:rPr>
              <w:t>Human rights in the community</w:t>
            </w:r>
            <w:r w:rsidR="00C56AF3">
              <w:rPr>
                <w:noProof/>
                <w:webHidden/>
              </w:rPr>
              <w:tab/>
            </w:r>
            <w:r w:rsidR="00C56AF3">
              <w:rPr>
                <w:noProof/>
                <w:webHidden/>
              </w:rPr>
              <w:fldChar w:fldCharType="begin"/>
            </w:r>
            <w:r w:rsidR="00C56AF3">
              <w:rPr>
                <w:noProof/>
                <w:webHidden/>
              </w:rPr>
              <w:instrText xml:space="preserve"> PAGEREF _Toc85787175 \h </w:instrText>
            </w:r>
            <w:r w:rsidR="00C56AF3">
              <w:rPr>
                <w:noProof/>
                <w:webHidden/>
              </w:rPr>
            </w:r>
            <w:r w:rsidR="00C56AF3">
              <w:rPr>
                <w:noProof/>
                <w:webHidden/>
              </w:rPr>
              <w:fldChar w:fldCharType="separate"/>
            </w:r>
            <w:r>
              <w:rPr>
                <w:noProof/>
                <w:webHidden/>
              </w:rPr>
              <w:t>166</w:t>
            </w:r>
            <w:r w:rsidR="00C56AF3">
              <w:rPr>
                <w:noProof/>
                <w:webHidden/>
              </w:rPr>
              <w:fldChar w:fldCharType="end"/>
            </w:r>
          </w:hyperlink>
        </w:p>
        <w:p w14:paraId="67572542" w14:textId="11B5601F" w:rsidR="00C56AF3" w:rsidRDefault="002E59B2" w:rsidP="00634420">
          <w:pPr>
            <w:pStyle w:val="TOC2"/>
            <w:rPr>
              <w:rFonts w:asciiTheme="minorHAnsi" w:eastAsiaTheme="minorEastAsia" w:hAnsiTheme="minorHAnsi"/>
              <w:noProof/>
              <w:lang w:eastAsia="zh-CN"/>
            </w:rPr>
          </w:pPr>
          <w:hyperlink w:anchor="_Toc85787176" w:history="1">
            <w:r w:rsidR="00C56AF3" w:rsidRPr="00E064B0">
              <w:rPr>
                <w:rStyle w:val="Hyperlink"/>
                <w:noProof/>
              </w:rPr>
              <w:t>Measuring human rights attitudes</w:t>
            </w:r>
            <w:r w:rsidR="00C56AF3">
              <w:rPr>
                <w:noProof/>
                <w:webHidden/>
              </w:rPr>
              <w:tab/>
            </w:r>
            <w:r w:rsidR="00C56AF3">
              <w:rPr>
                <w:noProof/>
                <w:webHidden/>
              </w:rPr>
              <w:fldChar w:fldCharType="begin"/>
            </w:r>
            <w:r w:rsidR="00C56AF3">
              <w:rPr>
                <w:noProof/>
                <w:webHidden/>
              </w:rPr>
              <w:instrText xml:space="preserve"> PAGEREF _Toc85787176 \h </w:instrText>
            </w:r>
            <w:r w:rsidR="00C56AF3">
              <w:rPr>
                <w:noProof/>
                <w:webHidden/>
              </w:rPr>
            </w:r>
            <w:r w:rsidR="00C56AF3">
              <w:rPr>
                <w:noProof/>
                <w:webHidden/>
              </w:rPr>
              <w:fldChar w:fldCharType="separate"/>
            </w:r>
            <w:r>
              <w:rPr>
                <w:noProof/>
                <w:webHidden/>
              </w:rPr>
              <w:t>167</w:t>
            </w:r>
            <w:r w:rsidR="00C56AF3">
              <w:rPr>
                <w:noProof/>
                <w:webHidden/>
              </w:rPr>
              <w:fldChar w:fldCharType="end"/>
            </w:r>
          </w:hyperlink>
        </w:p>
        <w:p w14:paraId="07F7895A" w14:textId="752E42FD" w:rsidR="00C56AF3" w:rsidRDefault="002E59B2" w:rsidP="00634420">
          <w:pPr>
            <w:pStyle w:val="TOC2"/>
            <w:rPr>
              <w:rFonts w:asciiTheme="minorHAnsi" w:eastAsiaTheme="minorEastAsia" w:hAnsiTheme="minorHAnsi"/>
              <w:noProof/>
              <w:lang w:eastAsia="zh-CN"/>
            </w:rPr>
          </w:pPr>
          <w:hyperlink w:anchor="_Toc85787179" w:history="1">
            <w:r w:rsidR="00C56AF3" w:rsidRPr="00E064B0">
              <w:rPr>
                <w:rStyle w:val="Hyperlink"/>
                <w:noProof/>
              </w:rPr>
              <w:t>Community education</w:t>
            </w:r>
            <w:r w:rsidR="00C56AF3">
              <w:rPr>
                <w:noProof/>
                <w:webHidden/>
              </w:rPr>
              <w:tab/>
            </w:r>
            <w:r w:rsidR="00C56AF3">
              <w:rPr>
                <w:noProof/>
                <w:webHidden/>
              </w:rPr>
              <w:fldChar w:fldCharType="begin"/>
            </w:r>
            <w:r w:rsidR="00C56AF3">
              <w:rPr>
                <w:noProof/>
                <w:webHidden/>
              </w:rPr>
              <w:instrText xml:space="preserve"> PAGEREF _Toc85787179 \h </w:instrText>
            </w:r>
            <w:r w:rsidR="00C56AF3">
              <w:rPr>
                <w:noProof/>
                <w:webHidden/>
              </w:rPr>
            </w:r>
            <w:r w:rsidR="00C56AF3">
              <w:rPr>
                <w:noProof/>
                <w:webHidden/>
              </w:rPr>
              <w:fldChar w:fldCharType="separate"/>
            </w:r>
            <w:r>
              <w:rPr>
                <w:noProof/>
                <w:webHidden/>
              </w:rPr>
              <w:t>169</w:t>
            </w:r>
            <w:r w:rsidR="00C56AF3">
              <w:rPr>
                <w:noProof/>
                <w:webHidden/>
              </w:rPr>
              <w:fldChar w:fldCharType="end"/>
            </w:r>
          </w:hyperlink>
        </w:p>
        <w:p w14:paraId="645FB9B4" w14:textId="71917BB1" w:rsidR="00C56AF3" w:rsidRDefault="002E59B2">
          <w:pPr>
            <w:pStyle w:val="TOC1"/>
            <w:tabs>
              <w:tab w:val="right" w:leader="dot" w:pos="9742"/>
            </w:tabs>
            <w:rPr>
              <w:rFonts w:asciiTheme="minorHAnsi" w:eastAsiaTheme="minorEastAsia" w:hAnsiTheme="minorHAnsi"/>
              <w:noProof/>
              <w:lang w:eastAsia="zh-CN"/>
            </w:rPr>
          </w:pPr>
          <w:hyperlink w:anchor="_Toc85787184" w:history="1">
            <w:r w:rsidR="00C56AF3" w:rsidRPr="00E064B0">
              <w:rPr>
                <w:rStyle w:val="Hyperlink"/>
                <w:noProof/>
              </w:rPr>
              <w:t>Appendix A: Courts and tribunals</w:t>
            </w:r>
            <w:r w:rsidR="00C56AF3">
              <w:rPr>
                <w:noProof/>
                <w:webHidden/>
              </w:rPr>
              <w:tab/>
            </w:r>
            <w:r w:rsidR="00C56AF3">
              <w:rPr>
                <w:noProof/>
                <w:webHidden/>
              </w:rPr>
              <w:fldChar w:fldCharType="begin"/>
            </w:r>
            <w:r w:rsidR="00C56AF3">
              <w:rPr>
                <w:noProof/>
                <w:webHidden/>
              </w:rPr>
              <w:instrText xml:space="preserve"> PAGEREF _Toc85787184 \h </w:instrText>
            </w:r>
            <w:r w:rsidR="00C56AF3">
              <w:rPr>
                <w:noProof/>
                <w:webHidden/>
              </w:rPr>
            </w:r>
            <w:r w:rsidR="00C56AF3">
              <w:rPr>
                <w:noProof/>
                <w:webHidden/>
              </w:rPr>
              <w:fldChar w:fldCharType="separate"/>
            </w:r>
            <w:r>
              <w:rPr>
                <w:noProof/>
                <w:webHidden/>
              </w:rPr>
              <w:t>173</w:t>
            </w:r>
            <w:r w:rsidR="00C56AF3">
              <w:rPr>
                <w:noProof/>
                <w:webHidden/>
              </w:rPr>
              <w:fldChar w:fldCharType="end"/>
            </w:r>
          </w:hyperlink>
        </w:p>
        <w:p w14:paraId="51E65E05" w14:textId="2E880644" w:rsidR="00C56AF3" w:rsidRDefault="002E59B2">
          <w:pPr>
            <w:pStyle w:val="TOC1"/>
            <w:tabs>
              <w:tab w:val="right" w:leader="dot" w:pos="9742"/>
            </w:tabs>
            <w:rPr>
              <w:rFonts w:asciiTheme="minorHAnsi" w:eastAsiaTheme="minorEastAsia" w:hAnsiTheme="minorHAnsi"/>
              <w:noProof/>
              <w:lang w:eastAsia="zh-CN"/>
            </w:rPr>
          </w:pPr>
          <w:hyperlink r:id="rId17" w:anchor="_Toc85787192" w:history="1">
            <w:r w:rsidR="00C56AF3" w:rsidRPr="00E064B0">
              <w:rPr>
                <w:rStyle w:val="Hyperlink"/>
                <w:noProof/>
              </w:rPr>
              <w:t>Appendix B: Human rights indicators</w:t>
            </w:r>
            <w:r w:rsidR="00C56AF3">
              <w:rPr>
                <w:noProof/>
                <w:webHidden/>
              </w:rPr>
              <w:tab/>
            </w:r>
            <w:r w:rsidR="00C56AF3">
              <w:rPr>
                <w:noProof/>
                <w:webHidden/>
              </w:rPr>
              <w:fldChar w:fldCharType="begin"/>
            </w:r>
            <w:r w:rsidR="00C56AF3">
              <w:rPr>
                <w:noProof/>
                <w:webHidden/>
              </w:rPr>
              <w:instrText xml:space="preserve"> PAGEREF _Toc85787192 \h </w:instrText>
            </w:r>
            <w:r w:rsidR="00C56AF3">
              <w:rPr>
                <w:noProof/>
                <w:webHidden/>
              </w:rPr>
            </w:r>
            <w:r w:rsidR="00C56AF3">
              <w:rPr>
                <w:noProof/>
                <w:webHidden/>
              </w:rPr>
              <w:fldChar w:fldCharType="separate"/>
            </w:r>
            <w:r>
              <w:rPr>
                <w:noProof/>
                <w:webHidden/>
              </w:rPr>
              <w:t>183</w:t>
            </w:r>
            <w:r w:rsidR="00C56AF3">
              <w:rPr>
                <w:noProof/>
                <w:webHidden/>
              </w:rPr>
              <w:fldChar w:fldCharType="end"/>
            </w:r>
          </w:hyperlink>
        </w:p>
        <w:p w14:paraId="0DB1CC3F" w14:textId="48743500" w:rsidR="00C56AF3" w:rsidRDefault="002E59B2" w:rsidP="00634420">
          <w:pPr>
            <w:pStyle w:val="TOC2"/>
            <w:rPr>
              <w:rFonts w:asciiTheme="minorHAnsi" w:eastAsiaTheme="minorEastAsia" w:hAnsiTheme="minorHAnsi"/>
              <w:noProof/>
              <w:lang w:eastAsia="zh-CN"/>
            </w:rPr>
          </w:pPr>
          <w:hyperlink w:anchor="_Toc85787193" w:history="1">
            <w:r w:rsidR="00C56AF3" w:rsidRPr="00E064B0">
              <w:rPr>
                <w:rStyle w:val="Hyperlink"/>
                <w:noProof/>
              </w:rPr>
              <w:t>Indicators of a developing human rights culture: State government</w:t>
            </w:r>
            <w:r w:rsidR="00C56AF3">
              <w:rPr>
                <w:noProof/>
                <w:webHidden/>
              </w:rPr>
              <w:tab/>
            </w:r>
            <w:r w:rsidR="00C56AF3">
              <w:rPr>
                <w:noProof/>
                <w:webHidden/>
              </w:rPr>
              <w:fldChar w:fldCharType="begin"/>
            </w:r>
            <w:r w:rsidR="00C56AF3">
              <w:rPr>
                <w:noProof/>
                <w:webHidden/>
              </w:rPr>
              <w:instrText xml:space="preserve"> PAGEREF _Toc85787193 \h </w:instrText>
            </w:r>
            <w:r w:rsidR="00C56AF3">
              <w:rPr>
                <w:noProof/>
                <w:webHidden/>
              </w:rPr>
            </w:r>
            <w:r w:rsidR="00C56AF3">
              <w:rPr>
                <w:noProof/>
                <w:webHidden/>
              </w:rPr>
              <w:fldChar w:fldCharType="separate"/>
            </w:r>
            <w:r>
              <w:rPr>
                <w:noProof/>
                <w:webHidden/>
              </w:rPr>
              <w:t>183</w:t>
            </w:r>
            <w:r w:rsidR="00C56AF3">
              <w:rPr>
                <w:noProof/>
                <w:webHidden/>
              </w:rPr>
              <w:fldChar w:fldCharType="end"/>
            </w:r>
          </w:hyperlink>
        </w:p>
        <w:p w14:paraId="1C46B402" w14:textId="13801858" w:rsidR="00C56AF3" w:rsidRDefault="002E59B2" w:rsidP="00634420">
          <w:pPr>
            <w:pStyle w:val="TOC2"/>
            <w:rPr>
              <w:rFonts w:asciiTheme="minorHAnsi" w:eastAsiaTheme="minorEastAsia" w:hAnsiTheme="minorHAnsi"/>
              <w:noProof/>
              <w:lang w:eastAsia="zh-CN"/>
            </w:rPr>
          </w:pPr>
          <w:hyperlink w:anchor="_Toc85787202" w:history="1">
            <w:r w:rsidR="00C56AF3" w:rsidRPr="00E064B0">
              <w:rPr>
                <w:rStyle w:val="Hyperlink"/>
                <w:noProof/>
              </w:rPr>
              <w:t>Indicators of a developing human rights culture: Councils</w:t>
            </w:r>
            <w:r w:rsidR="00C56AF3">
              <w:rPr>
                <w:noProof/>
                <w:webHidden/>
              </w:rPr>
              <w:tab/>
            </w:r>
            <w:r w:rsidR="00C56AF3">
              <w:rPr>
                <w:noProof/>
                <w:webHidden/>
              </w:rPr>
              <w:fldChar w:fldCharType="begin"/>
            </w:r>
            <w:r w:rsidR="00C56AF3">
              <w:rPr>
                <w:noProof/>
                <w:webHidden/>
              </w:rPr>
              <w:instrText xml:space="preserve"> PAGEREF _Toc85787202 \h </w:instrText>
            </w:r>
            <w:r w:rsidR="00C56AF3">
              <w:rPr>
                <w:noProof/>
                <w:webHidden/>
              </w:rPr>
            </w:r>
            <w:r w:rsidR="00C56AF3">
              <w:rPr>
                <w:noProof/>
                <w:webHidden/>
              </w:rPr>
              <w:fldChar w:fldCharType="separate"/>
            </w:r>
            <w:r>
              <w:rPr>
                <w:noProof/>
                <w:webHidden/>
              </w:rPr>
              <w:t>185</w:t>
            </w:r>
            <w:r w:rsidR="00C56AF3">
              <w:rPr>
                <w:noProof/>
                <w:webHidden/>
              </w:rPr>
              <w:fldChar w:fldCharType="end"/>
            </w:r>
          </w:hyperlink>
        </w:p>
        <w:p w14:paraId="2A34C9E2" w14:textId="17B2915C" w:rsidR="00C56AF3" w:rsidRDefault="002E59B2">
          <w:pPr>
            <w:pStyle w:val="TOC1"/>
            <w:tabs>
              <w:tab w:val="right" w:leader="dot" w:pos="9742"/>
            </w:tabs>
            <w:rPr>
              <w:rFonts w:asciiTheme="minorHAnsi" w:eastAsiaTheme="minorEastAsia" w:hAnsiTheme="minorHAnsi"/>
              <w:noProof/>
              <w:lang w:eastAsia="zh-CN"/>
            </w:rPr>
          </w:pPr>
          <w:hyperlink w:anchor="_Toc85787211" w:history="1">
            <w:r w:rsidR="00C56AF3" w:rsidRPr="00E064B0">
              <w:rPr>
                <w:rStyle w:val="Hyperlink"/>
                <w:noProof/>
              </w:rPr>
              <w:t>Appendix C: Complaints and enquiries data tables</w:t>
            </w:r>
            <w:r w:rsidR="00C56AF3">
              <w:rPr>
                <w:noProof/>
                <w:webHidden/>
              </w:rPr>
              <w:tab/>
            </w:r>
            <w:r w:rsidR="00C56AF3">
              <w:rPr>
                <w:noProof/>
                <w:webHidden/>
              </w:rPr>
              <w:fldChar w:fldCharType="begin"/>
            </w:r>
            <w:r w:rsidR="00C56AF3">
              <w:rPr>
                <w:noProof/>
                <w:webHidden/>
              </w:rPr>
              <w:instrText xml:space="preserve"> PAGEREF _Toc85787211 \h </w:instrText>
            </w:r>
            <w:r w:rsidR="00C56AF3">
              <w:rPr>
                <w:noProof/>
                <w:webHidden/>
              </w:rPr>
            </w:r>
            <w:r w:rsidR="00C56AF3">
              <w:rPr>
                <w:noProof/>
                <w:webHidden/>
              </w:rPr>
              <w:fldChar w:fldCharType="separate"/>
            </w:r>
            <w:r>
              <w:rPr>
                <w:noProof/>
                <w:webHidden/>
              </w:rPr>
              <w:t>188</w:t>
            </w:r>
            <w:r w:rsidR="00C56AF3">
              <w:rPr>
                <w:noProof/>
                <w:webHidden/>
              </w:rPr>
              <w:fldChar w:fldCharType="end"/>
            </w:r>
          </w:hyperlink>
        </w:p>
        <w:p w14:paraId="04910044" w14:textId="42326E65" w:rsidR="00B0107E" w:rsidRPr="008A00EB" w:rsidRDefault="0023128D" w:rsidP="00634420">
          <w:pPr>
            <w:pStyle w:val="TOC2"/>
          </w:pPr>
          <w:r>
            <w:rPr>
              <w:color w:val="2B579A"/>
              <w:shd w:val="clear" w:color="auto" w:fill="E6E6E6"/>
            </w:rPr>
            <w:fldChar w:fldCharType="end"/>
          </w:r>
        </w:p>
      </w:sdtContent>
    </w:sdt>
    <w:p w14:paraId="5830D3AF" w14:textId="77777777" w:rsidR="00A50691" w:rsidRDefault="00DD7958">
      <w:pPr>
        <w:sectPr w:rsidR="00A50691" w:rsidSect="001536DE">
          <w:headerReference w:type="even" r:id="rId18"/>
          <w:headerReference w:type="default" r:id="rId19"/>
          <w:footerReference w:type="even" r:id="rId20"/>
          <w:footerReference w:type="default" r:id="rId21"/>
          <w:headerReference w:type="first" r:id="rId22"/>
          <w:pgSz w:w="11906" w:h="16838" w:code="9"/>
          <w:pgMar w:top="720" w:right="1080" w:bottom="907" w:left="1080" w:header="706" w:footer="706" w:gutter="0"/>
          <w:cols w:space="708"/>
          <w:titlePg/>
          <w:docGrid w:linePitch="360"/>
        </w:sectPr>
      </w:pPr>
      <w:r>
        <w:br w:type="page"/>
      </w:r>
    </w:p>
    <w:p w14:paraId="29EA7A33" w14:textId="206A772A" w:rsidR="006B3878" w:rsidRPr="00EF65A2" w:rsidRDefault="00A9550D" w:rsidP="00A50691">
      <w:pPr>
        <w:pStyle w:val="Heading1"/>
        <w:rPr>
          <w:color w:val="383D41"/>
        </w:rPr>
      </w:pPr>
      <w:bookmarkStart w:id="59" w:name="_Toc84593825"/>
      <w:bookmarkStart w:id="60" w:name="_Toc85451698"/>
      <w:bookmarkStart w:id="61" w:name="_Toc85526620"/>
      <w:bookmarkStart w:id="62" w:name="_Toc85787035"/>
      <w:r>
        <w:rPr>
          <w:noProof/>
          <w:color w:val="2B579A"/>
          <w:shd w:val="clear" w:color="auto" w:fill="E6E6E6"/>
        </w:rPr>
        <w:lastRenderedPageBreak/>
        <w:drawing>
          <wp:anchor distT="0" distB="0" distL="114300" distR="114300" simplePos="0" relativeHeight="251658244" behindDoc="1" locked="0" layoutInCell="1" allowOverlap="1" wp14:anchorId="5A0362A8" wp14:editId="4E4A3B97">
            <wp:simplePos x="0" y="0"/>
            <wp:positionH relativeFrom="margin">
              <wp:posOffset>3313686</wp:posOffset>
            </wp:positionH>
            <wp:positionV relativeFrom="paragraph">
              <wp:posOffset>602435</wp:posOffset>
            </wp:positionV>
            <wp:extent cx="3056255" cy="3042920"/>
            <wp:effectExtent l="0" t="0" r="0" b="5080"/>
            <wp:wrapSquare wrapText="bothSides"/>
            <wp:docPr id="57" name="Picture 57" descr="Photo of Queensland Human Rights Commissioner Scott McDougall. Scott has short brown hair and is wearing a dark blue suit jacket and tie with a light blue collared shirt. A green wall is behind him. He is smiling at the camera, and the photo is in a round frame with a dark grey border." title="Commissioner's phot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7" name="scott.jpg"/>
                    <pic:cNvPicPr/>
                  </pic:nvPicPr>
                  <pic:blipFill rotWithShape="1">
                    <a:blip r:embed="rId23" cstate="print">
                      <a:extLst>
                        <a:ext uri="{28A0092B-C50C-407E-A947-70E740481C1C}">
                          <a14:useLocalDpi xmlns:a14="http://schemas.microsoft.com/office/drawing/2010/main" val="0"/>
                        </a:ext>
                      </a:extLst>
                    </a:blip>
                    <a:srcRect l="34825" t="10579" r="15811" b="40274"/>
                    <a:stretch/>
                  </pic:blipFill>
                  <pic:spPr bwMode="auto">
                    <a:xfrm>
                      <a:off x="0" y="0"/>
                      <a:ext cx="3056255" cy="304292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6B3878" w:rsidRPr="00EF65A2">
        <w:rPr>
          <w:color w:val="383D41"/>
        </w:rPr>
        <w:t>Commissioner’s foreword</w:t>
      </w:r>
      <w:bookmarkEnd w:id="59"/>
      <w:bookmarkEnd w:id="60"/>
      <w:bookmarkEnd w:id="61"/>
      <w:bookmarkEnd w:id="62"/>
      <w:r w:rsidR="006B3878" w:rsidRPr="00EF65A2">
        <w:rPr>
          <w:color w:val="383D41"/>
        </w:rPr>
        <w:t xml:space="preserve"> </w:t>
      </w:r>
    </w:p>
    <w:p w14:paraId="097BE585" w14:textId="71E4BC50" w:rsidR="00172FF0" w:rsidRDefault="000012B7" w:rsidP="00075C64">
      <w:pPr>
        <w:rPr>
          <w:rFonts w:eastAsia="Times New Roman" w:cs="Arial"/>
          <w:iCs/>
          <w:lang w:eastAsia="en-AU"/>
        </w:rPr>
      </w:pPr>
      <w:r>
        <w:rPr>
          <w:rFonts w:eastAsia="Times New Roman" w:cs="Arial"/>
          <w:iCs/>
          <w:lang w:eastAsia="en-AU"/>
        </w:rPr>
        <w:t xml:space="preserve">In my foreword to last year’s report – the first on the operation of Queensland’s </w:t>
      </w:r>
      <w:r w:rsidRPr="008E2498">
        <w:rPr>
          <w:rFonts w:eastAsia="Times New Roman" w:cs="Arial"/>
          <w:i/>
          <w:lang w:eastAsia="en-AU"/>
        </w:rPr>
        <w:t>Human Rights Act 2019</w:t>
      </w:r>
      <w:r>
        <w:rPr>
          <w:rFonts w:eastAsia="Times New Roman" w:cs="Arial"/>
          <w:iCs/>
          <w:lang w:eastAsia="en-AU"/>
        </w:rPr>
        <w:t xml:space="preserve"> – I reflected that there was possibly no greater </w:t>
      </w:r>
      <w:r w:rsidR="00172FF0">
        <w:rPr>
          <w:rFonts w:eastAsia="Times New Roman" w:cs="Arial"/>
          <w:iCs/>
          <w:lang w:eastAsia="en-AU"/>
        </w:rPr>
        <w:t xml:space="preserve">test of new human rights legislation than a global pandemic. </w:t>
      </w:r>
    </w:p>
    <w:p w14:paraId="6BD1D61F" w14:textId="7ED81378" w:rsidR="00172FF0" w:rsidRDefault="0038758A" w:rsidP="00CA4681">
      <w:pPr>
        <w:rPr>
          <w:rFonts w:eastAsia="Times New Roman" w:cs="Arial"/>
          <w:iCs/>
          <w:lang w:eastAsia="en-AU"/>
        </w:rPr>
      </w:pPr>
      <w:r>
        <w:rPr>
          <w:rFonts w:eastAsia="Times New Roman" w:cs="Arial"/>
          <w:iCs/>
          <w:lang w:eastAsia="en-AU"/>
        </w:rPr>
        <w:t xml:space="preserve">COVID-19 </w:t>
      </w:r>
      <w:r w:rsidR="00A01BF4">
        <w:rPr>
          <w:rFonts w:eastAsia="Times New Roman" w:cs="Arial"/>
          <w:iCs/>
          <w:lang w:eastAsia="en-AU"/>
        </w:rPr>
        <w:t xml:space="preserve">and </w:t>
      </w:r>
      <w:r w:rsidR="006D77CA">
        <w:rPr>
          <w:rFonts w:eastAsia="Times New Roman" w:cs="Arial"/>
          <w:iCs/>
          <w:lang w:eastAsia="en-AU"/>
        </w:rPr>
        <w:t xml:space="preserve">the </w:t>
      </w:r>
      <w:r w:rsidR="00A01BF4">
        <w:rPr>
          <w:rFonts w:eastAsia="Times New Roman" w:cs="Arial"/>
          <w:iCs/>
          <w:lang w:eastAsia="en-AU"/>
        </w:rPr>
        <w:t xml:space="preserve">ensuing </w:t>
      </w:r>
      <w:r w:rsidR="00E701D8">
        <w:rPr>
          <w:rFonts w:eastAsia="Times New Roman" w:cs="Arial"/>
          <w:iCs/>
          <w:lang w:eastAsia="en-AU"/>
        </w:rPr>
        <w:t>restrictions</w:t>
      </w:r>
      <w:r>
        <w:rPr>
          <w:rFonts w:eastAsia="Times New Roman" w:cs="Arial"/>
          <w:iCs/>
          <w:lang w:eastAsia="en-AU"/>
        </w:rPr>
        <w:t xml:space="preserve"> swept the world less than three months after the operational provisions of Queensland’s new Human Rights Act </w:t>
      </w:r>
      <w:r w:rsidR="007F3216">
        <w:rPr>
          <w:rFonts w:eastAsia="Times New Roman" w:cs="Arial"/>
          <w:iCs/>
          <w:lang w:eastAsia="en-AU"/>
        </w:rPr>
        <w:t>(</w:t>
      </w:r>
      <w:r w:rsidR="007F3216" w:rsidRPr="0038555E">
        <w:rPr>
          <w:rFonts w:eastAsia="Times New Roman" w:cs="Arial"/>
          <w:b/>
          <w:bCs/>
          <w:iCs/>
          <w:lang w:eastAsia="en-AU"/>
        </w:rPr>
        <w:t>the Act</w:t>
      </w:r>
      <w:r w:rsidR="007F3216">
        <w:rPr>
          <w:rFonts w:eastAsia="Times New Roman" w:cs="Arial"/>
          <w:iCs/>
          <w:lang w:eastAsia="en-AU"/>
        </w:rPr>
        <w:t xml:space="preserve">) </w:t>
      </w:r>
      <w:r>
        <w:rPr>
          <w:rFonts w:eastAsia="Times New Roman" w:cs="Arial"/>
          <w:iCs/>
          <w:lang w:eastAsia="en-AU"/>
        </w:rPr>
        <w:t xml:space="preserve">had come into effect, and its impact on human rights culture and understanding, both at a community and political level, has been immense. </w:t>
      </w:r>
    </w:p>
    <w:p w14:paraId="557564B3" w14:textId="52B4EAD7" w:rsidR="00AF5414" w:rsidRDefault="00AF5414" w:rsidP="00075C64">
      <w:r>
        <w:t>Here at the Commission we saw dramatic increases in complaint and enquiry numbers</w:t>
      </w:r>
      <w:r w:rsidR="00E27546">
        <w:t xml:space="preserve"> throughout 2020-21</w:t>
      </w:r>
      <w:r>
        <w:t xml:space="preserve">, </w:t>
      </w:r>
      <w:r w:rsidR="002908DD">
        <w:t xml:space="preserve">as well as sharp </w:t>
      </w:r>
      <w:r>
        <w:t>surges in enquiries and complaints as a result of lockdowns and other pandemic response measures</w:t>
      </w:r>
      <w:r w:rsidR="002908DD">
        <w:t xml:space="preserve">. </w:t>
      </w:r>
    </w:p>
    <w:p w14:paraId="39850D8A" w14:textId="52110FB0" w:rsidR="002908DD" w:rsidRDefault="002908DD" w:rsidP="007C2964">
      <w:r>
        <w:t>Across the public sector, agencies have grapple</w:t>
      </w:r>
      <w:r w:rsidR="05E524C6">
        <w:t>d</w:t>
      </w:r>
      <w:r>
        <w:t xml:space="preserve"> with the human rights implications of wide-scale restrictions on </w:t>
      </w:r>
      <w:r w:rsidR="0053764D">
        <w:t xml:space="preserve">their service delivery and </w:t>
      </w:r>
      <w:r w:rsidR="001D73BC">
        <w:t>what that means for the communities they serve</w:t>
      </w:r>
      <w:r w:rsidR="000358F1">
        <w:t xml:space="preserve">, while </w:t>
      </w:r>
      <w:r w:rsidR="003A79F4">
        <w:t xml:space="preserve">Queenslanders both inside our borders and out </w:t>
      </w:r>
      <w:r w:rsidR="00044808">
        <w:t xml:space="preserve">– many of whom may never have considered the need for their own rights to be protected </w:t>
      </w:r>
      <w:r w:rsidR="00D753E0">
        <w:t>–</w:t>
      </w:r>
      <w:r w:rsidR="00044808">
        <w:t xml:space="preserve"> </w:t>
      </w:r>
      <w:r w:rsidR="00D753E0">
        <w:t xml:space="preserve">were faced with </w:t>
      </w:r>
      <w:r w:rsidR="001C42FB">
        <w:t xml:space="preserve">constantly changing and sometimes confusing </w:t>
      </w:r>
      <w:r w:rsidR="00D343A5">
        <w:t xml:space="preserve">public health </w:t>
      </w:r>
      <w:r w:rsidR="001C42FB">
        <w:t>directions</w:t>
      </w:r>
      <w:r w:rsidR="001D73BC">
        <w:t xml:space="preserve">. </w:t>
      </w:r>
    </w:p>
    <w:p w14:paraId="0A87040A" w14:textId="6A15A6A9" w:rsidR="00301515" w:rsidRDefault="0041682A" w:rsidP="007C2964">
      <w:r>
        <w:t>However, w</w:t>
      </w:r>
      <w:r w:rsidR="001B5744">
        <w:t xml:space="preserve">hile the challenges have been myriad, so too have the </w:t>
      </w:r>
      <w:r w:rsidR="00103484">
        <w:t>gains</w:t>
      </w:r>
      <w:r w:rsidR="0067707B">
        <w:t xml:space="preserve"> when it comes to </w:t>
      </w:r>
      <w:r w:rsidR="00E5785E">
        <w:t xml:space="preserve">Queensland’s developing human rights culture. </w:t>
      </w:r>
    </w:p>
    <w:p w14:paraId="5E19F013" w14:textId="67C62968" w:rsidR="00260233" w:rsidRDefault="00771B04" w:rsidP="007C2964">
      <w:r>
        <w:t>Hotel quarantine</w:t>
      </w:r>
      <w:r w:rsidR="00146BA6">
        <w:t xml:space="preserve">, mask requirements, </w:t>
      </w:r>
      <w:r w:rsidR="00022D05">
        <w:t>vaccines,</w:t>
      </w:r>
      <w:r w:rsidR="00146BA6">
        <w:t xml:space="preserve"> </w:t>
      </w:r>
      <w:r w:rsidR="00BD2E15">
        <w:t>lockdowns and border closures</w:t>
      </w:r>
      <w:r w:rsidR="00107EA7">
        <w:t xml:space="preserve"> have occupied </w:t>
      </w:r>
      <w:r w:rsidR="008B6846">
        <w:t xml:space="preserve">much space in media coverage and public discourse over the past year, and along with that has come an accelerated understanding of </w:t>
      </w:r>
      <w:r w:rsidR="00487790">
        <w:t>the need to balance</w:t>
      </w:r>
      <w:r w:rsidR="005750DC">
        <w:t xml:space="preserve"> people’s human rights against the rights of others, both individually and collectively. </w:t>
      </w:r>
    </w:p>
    <w:p w14:paraId="45E402BC" w14:textId="216DEEF8" w:rsidR="006F7D10" w:rsidRPr="006F7D10" w:rsidRDefault="00487D3F" w:rsidP="006F7D10">
      <w:r>
        <w:t>Public entities have largely shown themselves willing to engage</w:t>
      </w:r>
      <w:r w:rsidR="00857A2A">
        <w:t xml:space="preserve"> in human rights dialogue when issues were raised, and </w:t>
      </w:r>
      <w:r w:rsidR="00BA0177">
        <w:t>consider</w:t>
      </w:r>
      <w:r w:rsidR="00900CDA">
        <w:t xml:space="preserve"> less restrictive alternatives</w:t>
      </w:r>
      <w:r w:rsidR="008719E1">
        <w:t xml:space="preserve"> to </w:t>
      </w:r>
      <w:r w:rsidR="001C4BF7">
        <w:t>rights limitations</w:t>
      </w:r>
      <w:r w:rsidR="00B05926">
        <w:t xml:space="preserve">. Advocates have also reported positive outcomes by </w:t>
      </w:r>
      <w:r w:rsidR="00820CAA">
        <w:t xml:space="preserve">raising </w:t>
      </w:r>
      <w:r w:rsidR="00B05926">
        <w:t>human rights argument</w:t>
      </w:r>
      <w:r w:rsidR="00D23717">
        <w:t>s in their dealings with public entities</w:t>
      </w:r>
      <w:r w:rsidR="00153354">
        <w:t xml:space="preserve">. </w:t>
      </w:r>
    </w:p>
    <w:p w14:paraId="41D19AD3" w14:textId="60F0B1EB" w:rsidR="00130D16" w:rsidRDefault="00B10737" w:rsidP="000C7914">
      <w:r>
        <w:lastRenderedPageBreak/>
        <w:t>In a case in which the Commission intervened during the reporting period,</w:t>
      </w:r>
      <w:r w:rsidR="002B04C7">
        <w:t xml:space="preserve"> </w:t>
      </w:r>
      <w:r w:rsidR="00505710">
        <w:t xml:space="preserve">the </w:t>
      </w:r>
      <w:r w:rsidR="002B04C7">
        <w:t xml:space="preserve">Supreme Court </w:t>
      </w:r>
      <w:r>
        <w:t>has</w:t>
      </w:r>
      <w:r w:rsidR="002B04C7">
        <w:t xml:space="preserve"> </w:t>
      </w:r>
      <w:r w:rsidR="00505710">
        <w:t xml:space="preserve">since </w:t>
      </w:r>
      <w:r w:rsidR="00597714">
        <w:t>made a</w:t>
      </w:r>
      <w:r w:rsidR="00B656D3">
        <w:t>n instructive</w:t>
      </w:r>
      <w:r w:rsidR="00597714">
        <w:t xml:space="preserve"> decision </w:t>
      </w:r>
      <w:r w:rsidR="00B656D3">
        <w:t>about</w:t>
      </w:r>
      <w:r w:rsidR="00597714">
        <w:t xml:space="preserve"> how </w:t>
      </w:r>
      <w:r w:rsidR="00B656D3">
        <w:t>public entities</w:t>
      </w:r>
      <w:r w:rsidR="00597714">
        <w:t xml:space="preserve"> </w:t>
      </w:r>
      <w:r w:rsidR="00775643">
        <w:t>must apply the Act</w:t>
      </w:r>
      <w:r w:rsidR="00325B92">
        <w:t xml:space="preserve"> to ensure their actions and decisions are compatible with human rights</w:t>
      </w:r>
      <w:r w:rsidR="00597714">
        <w:t>.</w:t>
      </w:r>
      <w:r w:rsidR="00CB50DB">
        <w:rPr>
          <w:rStyle w:val="FootnoteReference"/>
        </w:rPr>
        <w:footnoteReference w:id="2"/>
      </w:r>
      <w:r w:rsidR="00597714">
        <w:t xml:space="preserve"> </w:t>
      </w:r>
    </w:p>
    <w:p w14:paraId="66C7B021" w14:textId="447E09E7" w:rsidR="001B73AF" w:rsidRPr="001B73AF" w:rsidRDefault="00C83E92" w:rsidP="001B73AF">
      <w:r>
        <w:t>However</w:t>
      </w:r>
      <w:r w:rsidR="00193413">
        <w:t xml:space="preserve">, there </w:t>
      </w:r>
      <w:r w:rsidR="00FB323E">
        <w:t xml:space="preserve">remain </w:t>
      </w:r>
      <w:r w:rsidR="00597714">
        <w:t xml:space="preserve">some areas </w:t>
      </w:r>
      <w:r>
        <w:t>where</w:t>
      </w:r>
      <w:r w:rsidR="004444E8">
        <w:t xml:space="preserve"> a human rights culture </w:t>
      </w:r>
      <w:r>
        <w:t xml:space="preserve">is </w:t>
      </w:r>
      <w:r w:rsidR="00BF5747">
        <w:t xml:space="preserve">still </w:t>
      </w:r>
      <w:r w:rsidR="0082068E">
        <w:t>emerging</w:t>
      </w:r>
      <w:r w:rsidR="007A32A2">
        <w:t xml:space="preserve">. Parliamentary </w:t>
      </w:r>
      <w:r w:rsidR="004D51C0">
        <w:t xml:space="preserve">utilisation of </w:t>
      </w:r>
      <w:r w:rsidR="008B41D0">
        <w:t xml:space="preserve">the Act </w:t>
      </w:r>
      <w:r w:rsidR="001030D5">
        <w:t>is arguably not as developed</w:t>
      </w:r>
      <w:r w:rsidR="0021540B">
        <w:t xml:space="preserve">, particularly when it comes to </w:t>
      </w:r>
      <w:r w:rsidR="007A32A2">
        <w:t>scrutiny of legislation through a human rights lens</w:t>
      </w:r>
      <w:r w:rsidR="0021540B">
        <w:t>.</w:t>
      </w:r>
      <w:r w:rsidR="00F370C9">
        <w:t xml:space="preserve"> </w:t>
      </w:r>
      <w:r w:rsidR="000C7914" w:rsidRPr="000C7914">
        <w:t xml:space="preserve">This year, the Commission has been invited to appear regularly before </w:t>
      </w:r>
      <w:r w:rsidR="00D4429D">
        <w:t xml:space="preserve">parliamentary </w:t>
      </w:r>
      <w:r w:rsidR="000C7914" w:rsidRPr="000C7914">
        <w:t xml:space="preserve">committees to offer expert guidance on the potential human rights impacts of legislation across multiple portfolios. </w:t>
      </w:r>
      <w:r w:rsidR="001F3CF5">
        <w:t xml:space="preserve">Parliamentary </w:t>
      </w:r>
      <w:r w:rsidR="00890E8E">
        <w:t>c</w:t>
      </w:r>
      <w:r w:rsidR="001F3CF5">
        <w:t>ommittees have expressed</w:t>
      </w:r>
      <w:r w:rsidR="00F64170">
        <w:t xml:space="preserve"> concerns </w:t>
      </w:r>
      <w:r w:rsidR="00890E8E">
        <w:t>about</w:t>
      </w:r>
      <w:r w:rsidR="00F64170">
        <w:t xml:space="preserve"> human rights </w:t>
      </w:r>
      <w:r w:rsidR="00E526F6">
        <w:t>compatibility</w:t>
      </w:r>
      <w:r w:rsidR="000C7914" w:rsidRPr="000C7914">
        <w:t xml:space="preserve">, particularly </w:t>
      </w:r>
      <w:r w:rsidR="00C87750">
        <w:t>laws</w:t>
      </w:r>
      <w:r w:rsidR="00C87750" w:rsidRPr="000C7914">
        <w:t xml:space="preserve"> </w:t>
      </w:r>
      <w:r w:rsidR="000C7914" w:rsidRPr="000C7914">
        <w:t xml:space="preserve">relating to emergency powers in the ongoing pandemic, and youth justice. </w:t>
      </w:r>
      <w:r w:rsidR="00727715">
        <w:t>However, this has not translated to meaningfu</w:t>
      </w:r>
      <w:r w:rsidR="00F14616">
        <w:t xml:space="preserve">l change through </w:t>
      </w:r>
      <w:r w:rsidR="00295956">
        <w:t>the legislative</w:t>
      </w:r>
      <w:r w:rsidR="006F3B34">
        <w:t xml:space="preserve"> process. </w:t>
      </w:r>
    </w:p>
    <w:p w14:paraId="781D73DD" w14:textId="62057953" w:rsidR="00D2101C" w:rsidRPr="000C7914" w:rsidRDefault="00D2101C" w:rsidP="00D2101C">
      <w:r>
        <w:t>Strong</w:t>
      </w:r>
      <w:r w:rsidR="00F6018A">
        <w:t xml:space="preserve"> </w:t>
      </w:r>
      <w:r w:rsidR="00193BEB">
        <w:t>and sustained</w:t>
      </w:r>
      <w:r>
        <w:t xml:space="preserve"> leadership which </w:t>
      </w:r>
      <w:r w:rsidR="008E340B">
        <w:t>keeps</w:t>
      </w:r>
      <w:r>
        <w:t xml:space="preserve"> human rights at the centre of decision-making</w:t>
      </w:r>
      <w:r w:rsidR="005923DF">
        <w:t xml:space="preserve"> will be </w:t>
      </w:r>
      <w:r w:rsidR="00BE4537">
        <w:t>essential</w:t>
      </w:r>
      <w:r w:rsidR="005923DF">
        <w:t xml:space="preserve"> for </w:t>
      </w:r>
      <w:r w:rsidR="3D4BB3D2">
        <w:t xml:space="preserve">a </w:t>
      </w:r>
      <w:r w:rsidR="005923DF">
        <w:t xml:space="preserve">human rights culture to continue to grow </w:t>
      </w:r>
      <w:r w:rsidR="00F6018A">
        <w:t xml:space="preserve">at every level - </w:t>
      </w:r>
      <w:r w:rsidR="005923DF">
        <w:t xml:space="preserve">in </w:t>
      </w:r>
      <w:r w:rsidR="0066060D">
        <w:t xml:space="preserve">public entities, </w:t>
      </w:r>
      <w:r w:rsidR="005923DF">
        <w:t xml:space="preserve">the </w:t>
      </w:r>
      <w:r w:rsidR="0066060D">
        <w:t xml:space="preserve">courts and </w:t>
      </w:r>
      <w:r w:rsidR="00727E19">
        <w:t>in</w:t>
      </w:r>
      <w:r w:rsidR="0066060D">
        <w:t xml:space="preserve"> the parliament.</w:t>
      </w:r>
    </w:p>
    <w:p w14:paraId="036B61FB" w14:textId="77777777" w:rsidR="00020145" w:rsidRDefault="00020145" w:rsidP="000C7914">
      <w:pPr>
        <w:rPr>
          <w:i/>
          <w:lang w:eastAsia="en-AU"/>
        </w:rPr>
      </w:pPr>
    </w:p>
    <w:p w14:paraId="53128261" w14:textId="77777777" w:rsidR="00075C64" w:rsidRPr="008A00EB" w:rsidRDefault="3C0EBDD6" w:rsidP="00075C64">
      <w:pPr>
        <w:rPr>
          <w:rFonts w:eastAsia="Times New Roman" w:cs="Arial"/>
          <w:i/>
          <w:lang w:eastAsia="en-AU"/>
        </w:rPr>
      </w:pPr>
      <w:r w:rsidRPr="008A00EB">
        <w:rPr>
          <w:noProof/>
          <w:color w:val="2B579A"/>
          <w:shd w:val="clear" w:color="auto" w:fill="E6E6E6"/>
          <w:lang w:eastAsia="en-AU"/>
        </w:rPr>
        <w:drawing>
          <wp:inline distT="0" distB="0" distL="0" distR="0" wp14:anchorId="68D56F02" wp14:editId="2096D06A">
            <wp:extent cx="1543050" cy="571500"/>
            <wp:effectExtent l="0" t="0" r="0" b="0"/>
            <wp:docPr id="4" name="Picture 4" descr="Signature of Scott McDougall, Queensland Human Rights Commissioner " title="Commissioner's signatu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rotWithShape="1">
                    <a:blip r:embed="rId24">
                      <a:extLst>
                        <a:ext uri="{28A0092B-C50C-407E-A947-70E740481C1C}">
                          <a14:useLocalDpi xmlns:a14="http://schemas.microsoft.com/office/drawing/2010/main" val="0"/>
                        </a:ext>
                      </a:extLst>
                    </a:blip>
                    <a:srcRect l="1731" t="2867" r="4829" b="11090"/>
                    <a:stretch/>
                  </pic:blipFill>
                  <pic:spPr bwMode="auto">
                    <a:xfrm>
                      <a:off x="0" y="0"/>
                      <a:ext cx="1543775" cy="571768"/>
                    </a:xfrm>
                    <a:prstGeom prst="rect">
                      <a:avLst/>
                    </a:prstGeom>
                    <a:ln>
                      <a:noFill/>
                    </a:ln>
                    <a:extLst>
                      <a:ext uri="{53640926-AAD7-44D8-BBD7-CCE9431645EC}">
                        <a14:shadowObscured xmlns:a14="http://schemas.microsoft.com/office/drawing/2010/main"/>
                      </a:ext>
                    </a:extLst>
                  </pic:spPr>
                </pic:pic>
              </a:graphicData>
            </a:graphic>
          </wp:inline>
        </w:drawing>
      </w:r>
    </w:p>
    <w:p w14:paraId="532A30B5" w14:textId="77777777" w:rsidR="00075C64" w:rsidRPr="008A00EB" w:rsidRDefault="00075C64" w:rsidP="00075C64">
      <w:pPr>
        <w:spacing w:after="0"/>
        <w:rPr>
          <w:rFonts w:eastAsia="Times New Roman" w:cs="Arial"/>
          <w:b/>
          <w:i/>
          <w:lang w:eastAsia="en-AU"/>
        </w:rPr>
      </w:pPr>
      <w:r w:rsidRPr="008A00EB">
        <w:rPr>
          <w:rFonts w:eastAsia="Times New Roman" w:cs="Arial"/>
          <w:b/>
          <w:lang w:eastAsia="en-AU"/>
        </w:rPr>
        <w:t>Scott McDougall</w:t>
      </w:r>
    </w:p>
    <w:p w14:paraId="6BFDE70C" w14:textId="77777777" w:rsidR="00075C64" w:rsidRPr="008A00EB" w:rsidRDefault="00075C64" w:rsidP="00075C64">
      <w:pPr>
        <w:spacing w:after="0"/>
        <w:rPr>
          <w:rFonts w:eastAsia="Times New Roman" w:cs="Arial"/>
          <w:b/>
          <w:lang w:eastAsia="en-AU"/>
        </w:rPr>
      </w:pPr>
      <w:r w:rsidRPr="008A00EB">
        <w:rPr>
          <w:rFonts w:eastAsia="Times New Roman" w:cs="Arial"/>
          <w:b/>
          <w:lang w:eastAsia="en-AU"/>
        </w:rPr>
        <w:t>Commissioner</w:t>
      </w:r>
    </w:p>
    <w:p w14:paraId="607FA365" w14:textId="77777777" w:rsidR="00075C64" w:rsidRPr="008A00EB" w:rsidRDefault="00075C64" w:rsidP="00075C64">
      <w:pPr>
        <w:spacing w:after="0"/>
        <w:rPr>
          <w:rFonts w:eastAsia="Times New Roman" w:cs="Arial"/>
          <w:b/>
          <w:i/>
          <w:lang w:eastAsia="en-AU"/>
        </w:rPr>
      </w:pPr>
      <w:r w:rsidRPr="008A00EB">
        <w:rPr>
          <w:rFonts w:eastAsia="Times New Roman" w:cs="Arial"/>
          <w:b/>
          <w:lang w:eastAsia="en-AU"/>
        </w:rPr>
        <w:t>Queensland Human Rights Commission</w:t>
      </w:r>
    </w:p>
    <w:p w14:paraId="62486C05" w14:textId="77777777" w:rsidR="006F5840" w:rsidRPr="008A00EB" w:rsidRDefault="006F5840">
      <w:pPr>
        <w:rPr>
          <w:rFonts w:eastAsia="Times New Roman" w:cs="Arial"/>
          <w:bCs/>
          <w:kern w:val="36"/>
          <w:sz w:val="36"/>
          <w:szCs w:val="48"/>
          <w:lang w:eastAsia="en-AU"/>
        </w:rPr>
      </w:pPr>
      <w:r w:rsidRPr="008A00EB">
        <w:rPr>
          <w:rFonts w:cs="Arial"/>
        </w:rPr>
        <w:br w:type="page"/>
      </w:r>
    </w:p>
    <w:p w14:paraId="31F27269" w14:textId="7B8ED1A6" w:rsidR="00BC5966" w:rsidRPr="00EF65A2" w:rsidRDefault="008D17E0" w:rsidP="00BC5966">
      <w:pPr>
        <w:pStyle w:val="Heading1"/>
        <w:rPr>
          <w:color w:val="383D41"/>
        </w:rPr>
      </w:pPr>
      <w:bookmarkStart w:id="63" w:name="_Toc84593826"/>
      <w:bookmarkStart w:id="64" w:name="_Toc85451699"/>
      <w:bookmarkStart w:id="65" w:name="_Toc85526621"/>
      <w:bookmarkStart w:id="66" w:name="_Toc85787036"/>
      <w:r w:rsidRPr="00EF65A2">
        <w:rPr>
          <w:color w:val="383D41"/>
        </w:rPr>
        <w:lastRenderedPageBreak/>
        <w:t>About the</w:t>
      </w:r>
      <w:r w:rsidR="756403B4" w:rsidRPr="00EF65A2">
        <w:rPr>
          <w:color w:val="383D41"/>
        </w:rPr>
        <w:t xml:space="preserve"> Commission</w:t>
      </w:r>
      <w:bookmarkEnd w:id="63"/>
      <w:bookmarkEnd w:id="64"/>
      <w:bookmarkEnd w:id="65"/>
      <w:bookmarkEnd w:id="66"/>
      <w:r w:rsidR="756403B4" w:rsidRPr="00EF65A2">
        <w:rPr>
          <w:color w:val="383D41"/>
        </w:rPr>
        <w:t xml:space="preserve"> </w:t>
      </w:r>
    </w:p>
    <w:p w14:paraId="5B6F37F3" w14:textId="4D99968E" w:rsidR="00C910B9" w:rsidRPr="008A00EB" w:rsidRDefault="006860E4" w:rsidP="00EF65A2">
      <w:pPr>
        <w:rPr>
          <w:rFonts w:eastAsia="Times New Roman"/>
          <w:lang w:eastAsia="en-AU"/>
        </w:rPr>
      </w:pPr>
      <w:r w:rsidRPr="008A00EB">
        <w:t xml:space="preserve">The </w:t>
      </w:r>
      <w:r w:rsidR="00894CC2" w:rsidRPr="008A00EB">
        <w:t>Queensland Human Rights Commission (</w:t>
      </w:r>
      <w:r w:rsidR="00C24AF5" w:rsidRPr="008A00EB">
        <w:rPr>
          <w:b/>
        </w:rPr>
        <w:t>the Commission</w:t>
      </w:r>
      <w:r w:rsidR="00894CC2" w:rsidRPr="008A00EB">
        <w:t xml:space="preserve">) is an independent statutory body established under the </w:t>
      </w:r>
      <w:r w:rsidR="00FC6699" w:rsidRPr="008A00EB">
        <w:rPr>
          <w:i/>
        </w:rPr>
        <w:t>Anti-Discrimination Act 1991</w:t>
      </w:r>
      <w:r w:rsidR="00442BE1" w:rsidRPr="008A00EB">
        <w:rPr>
          <w:i/>
        </w:rPr>
        <w:t>.</w:t>
      </w:r>
      <w:r w:rsidR="00C92CF8" w:rsidRPr="008A00EB">
        <w:rPr>
          <w:i/>
        </w:rPr>
        <w:t xml:space="preserve"> </w:t>
      </w:r>
      <w:r w:rsidR="00C92CF8" w:rsidRPr="008A00EB">
        <w:rPr>
          <w:shd w:val="clear" w:color="auto" w:fill="FFFFFF"/>
        </w:rPr>
        <w:t xml:space="preserve">The Commission was formerly the Anti-Discrimination Commission Queensland and </w:t>
      </w:r>
      <w:r w:rsidR="00C85C23" w:rsidRPr="008A00EB">
        <w:rPr>
          <w:shd w:val="clear" w:color="auto" w:fill="FFFFFF"/>
        </w:rPr>
        <w:t>was</w:t>
      </w:r>
      <w:r w:rsidR="00C92CF8" w:rsidRPr="008A00EB">
        <w:rPr>
          <w:shd w:val="clear" w:color="auto" w:fill="FFFFFF"/>
        </w:rPr>
        <w:t xml:space="preserve"> renamed the Queensland Human Rights Commission on 1 July 2019 following the passage of the </w:t>
      </w:r>
      <w:r w:rsidR="00C92CF8" w:rsidRPr="008A00EB">
        <w:rPr>
          <w:i/>
          <w:shd w:val="clear" w:color="auto" w:fill="FFFFFF"/>
        </w:rPr>
        <w:t>Human Rights Act 2019</w:t>
      </w:r>
      <w:r w:rsidR="00C92CF8" w:rsidRPr="008A00EB">
        <w:rPr>
          <w:shd w:val="clear" w:color="auto" w:fill="FFFFFF"/>
        </w:rPr>
        <w:t xml:space="preserve"> (</w:t>
      </w:r>
      <w:r w:rsidR="00C92CF8" w:rsidRPr="008A00EB">
        <w:rPr>
          <w:b/>
          <w:shd w:val="clear" w:color="auto" w:fill="FFFFFF"/>
        </w:rPr>
        <w:t>the Act</w:t>
      </w:r>
      <w:r w:rsidR="00C92CF8" w:rsidRPr="008A00EB">
        <w:rPr>
          <w:shd w:val="clear" w:color="auto" w:fill="FFFFFF"/>
        </w:rPr>
        <w:t xml:space="preserve">). </w:t>
      </w:r>
      <w:r w:rsidR="00C910B9" w:rsidRPr="008A00EB">
        <w:rPr>
          <w:rFonts w:eastAsia="Times New Roman"/>
          <w:lang w:eastAsia="en-AU"/>
        </w:rPr>
        <w:t xml:space="preserve">The functions </w:t>
      </w:r>
      <w:r w:rsidR="00FB1D6F" w:rsidRPr="008A00EB">
        <w:rPr>
          <w:rFonts w:eastAsia="Times New Roman"/>
          <w:lang w:eastAsia="en-AU"/>
        </w:rPr>
        <w:t xml:space="preserve">and powers of the Commission </w:t>
      </w:r>
      <w:r w:rsidR="00C910B9" w:rsidRPr="008A00EB">
        <w:rPr>
          <w:rFonts w:eastAsia="Times New Roman"/>
          <w:lang w:eastAsia="en-AU"/>
        </w:rPr>
        <w:t xml:space="preserve">under </w:t>
      </w:r>
      <w:r w:rsidR="00BD0A8B" w:rsidRPr="008A00EB">
        <w:rPr>
          <w:rFonts w:eastAsia="Times New Roman"/>
          <w:lang w:eastAsia="en-AU"/>
        </w:rPr>
        <w:t xml:space="preserve">section 61 of </w:t>
      </w:r>
      <w:r w:rsidR="00C910B9" w:rsidRPr="008A00EB">
        <w:rPr>
          <w:rFonts w:eastAsia="Times New Roman"/>
          <w:lang w:eastAsia="en-AU"/>
        </w:rPr>
        <w:t>the Act are:</w:t>
      </w:r>
    </w:p>
    <w:p w14:paraId="261AF523" w14:textId="22D3B3BF" w:rsidR="00C910B9" w:rsidRPr="00E57A70" w:rsidRDefault="00BD0A8B" w:rsidP="00626427">
      <w:pPr>
        <w:pStyle w:val="ListParagraph"/>
      </w:pPr>
      <w:r w:rsidRPr="00E57A70">
        <w:t xml:space="preserve">to </w:t>
      </w:r>
      <w:r w:rsidR="00C910B9" w:rsidRPr="00E57A70">
        <w:t>deal with human rights complaints</w:t>
      </w:r>
      <w:r w:rsidR="0091349A" w:rsidRPr="00E57A70">
        <w:t>;</w:t>
      </w:r>
    </w:p>
    <w:p w14:paraId="6603C3F9" w14:textId="4E570F05" w:rsidR="00C910B9" w:rsidRPr="00E57A70" w:rsidRDefault="00C910B9" w:rsidP="00626427">
      <w:pPr>
        <w:pStyle w:val="ListParagraph"/>
      </w:pPr>
      <w:r w:rsidRPr="00E57A70">
        <w:t xml:space="preserve">if asked by the Attorney-General, </w:t>
      </w:r>
      <w:r w:rsidR="00537B11" w:rsidRPr="00E57A70">
        <w:t xml:space="preserve">to </w:t>
      </w:r>
      <w:r w:rsidRPr="00E57A70">
        <w:t xml:space="preserve">review </w:t>
      </w:r>
      <w:r w:rsidR="00537B11" w:rsidRPr="00E57A70">
        <w:t xml:space="preserve">the </w:t>
      </w:r>
      <w:r w:rsidRPr="00E57A70">
        <w:t xml:space="preserve">effect of Acts, statutory instruments and the common law on human rights and </w:t>
      </w:r>
      <w:r w:rsidR="00537B11" w:rsidRPr="00E57A70">
        <w:t xml:space="preserve">give the Attorney-General a written </w:t>
      </w:r>
      <w:r w:rsidRPr="00E57A70">
        <w:t>report ab</w:t>
      </w:r>
      <w:r w:rsidR="00961568" w:rsidRPr="00E57A70">
        <w:t>out the outcome</w:t>
      </w:r>
      <w:r w:rsidR="00537B11" w:rsidRPr="00E57A70">
        <w:t xml:space="preserve"> of the review</w:t>
      </w:r>
      <w:r w:rsidR="0091349A" w:rsidRPr="00E57A70">
        <w:t>;</w:t>
      </w:r>
    </w:p>
    <w:p w14:paraId="45234CBE" w14:textId="7C20CB50" w:rsidR="00FB1D6F" w:rsidRPr="00E57A70" w:rsidRDefault="00537B11" w:rsidP="00626427">
      <w:pPr>
        <w:pStyle w:val="ListParagraph"/>
      </w:pPr>
      <w:r w:rsidRPr="00E57A70">
        <w:t xml:space="preserve">to </w:t>
      </w:r>
      <w:r w:rsidR="00FB1D6F" w:rsidRPr="00E57A70">
        <w:t>review public entities’ policies, programs, procedures, practices and services in relation to their compatibility with human rights</w:t>
      </w:r>
      <w:r w:rsidR="0091349A" w:rsidRPr="00E57A70">
        <w:t>;</w:t>
      </w:r>
    </w:p>
    <w:p w14:paraId="48DD9404" w14:textId="04047CCC" w:rsidR="00FB1D6F" w:rsidRPr="00E57A70" w:rsidRDefault="00537B11" w:rsidP="00626427">
      <w:pPr>
        <w:pStyle w:val="ListParagraph"/>
      </w:pPr>
      <w:r w:rsidRPr="00E57A70">
        <w:t xml:space="preserve">to </w:t>
      </w:r>
      <w:r w:rsidR="00FB1D6F" w:rsidRPr="00E57A70">
        <w:t>promote an understanding and acceptance</w:t>
      </w:r>
      <w:r w:rsidRPr="00E57A70">
        <w:t>,</w:t>
      </w:r>
      <w:r w:rsidR="00FB1D6F" w:rsidRPr="00E57A70">
        <w:t xml:space="preserve"> and </w:t>
      </w:r>
      <w:r w:rsidRPr="00E57A70">
        <w:t xml:space="preserve">the </w:t>
      </w:r>
      <w:r w:rsidR="00FB1D6F" w:rsidRPr="00E57A70">
        <w:t>public discussion</w:t>
      </w:r>
      <w:r w:rsidRPr="00E57A70">
        <w:t>, of human rights and this</w:t>
      </w:r>
      <w:r w:rsidR="00FB1D6F" w:rsidRPr="00E57A70">
        <w:t xml:space="preserve"> Act</w:t>
      </w:r>
      <w:r w:rsidRPr="00E57A70">
        <w:t xml:space="preserve"> in Queensland</w:t>
      </w:r>
      <w:r w:rsidR="0091349A" w:rsidRPr="00E57A70">
        <w:t>;</w:t>
      </w:r>
    </w:p>
    <w:p w14:paraId="477F6751" w14:textId="6BEA64DF" w:rsidR="00FB1D6F" w:rsidRPr="00E57A70" w:rsidRDefault="00537B11" w:rsidP="00626427">
      <w:pPr>
        <w:pStyle w:val="ListParagraph"/>
      </w:pPr>
      <w:r w:rsidRPr="00E57A70">
        <w:t xml:space="preserve">to </w:t>
      </w:r>
      <w:r w:rsidR="00FB1D6F" w:rsidRPr="00E57A70">
        <w:t>make information about human rights available to the community</w:t>
      </w:r>
      <w:r w:rsidR="0091349A" w:rsidRPr="00E57A70">
        <w:t>;</w:t>
      </w:r>
    </w:p>
    <w:p w14:paraId="52129891" w14:textId="1C91697C" w:rsidR="00FB1D6F" w:rsidRPr="00E57A70" w:rsidRDefault="00537B11" w:rsidP="00626427">
      <w:pPr>
        <w:pStyle w:val="ListParagraph"/>
      </w:pPr>
      <w:r w:rsidRPr="00E57A70">
        <w:t xml:space="preserve">to </w:t>
      </w:r>
      <w:r w:rsidR="00FB1D6F" w:rsidRPr="00E57A70">
        <w:t>provide education about human rights and th</w:t>
      </w:r>
      <w:r w:rsidRPr="00E57A70">
        <w:t>is</w:t>
      </w:r>
      <w:r w:rsidR="00FB1D6F" w:rsidRPr="00E57A70">
        <w:t xml:space="preserve"> Act</w:t>
      </w:r>
      <w:r w:rsidR="0091349A" w:rsidRPr="00E57A70">
        <w:t>;</w:t>
      </w:r>
    </w:p>
    <w:p w14:paraId="4F41F45C" w14:textId="778572A7" w:rsidR="00FB1D6F" w:rsidRPr="00E57A70" w:rsidRDefault="00537B11" w:rsidP="00626427">
      <w:pPr>
        <w:pStyle w:val="ListParagraph"/>
      </w:pPr>
      <w:r w:rsidRPr="00E57A70">
        <w:t xml:space="preserve">to </w:t>
      </w:r>
      <w:r w:rsidR="00FB1D6F" w:rsidRPr="00E57A70">
        <w:t>assist the Attorney-General in reviews of this Act</w:t>
      </w:r>
      <w:r w:rsidRPr="00E57A70">
        <w:t xml:space="preserve"> under sections 95 and 96</w:t>
      </w:r>
      <w:r w:rsidR="0091349A" w:rsidRPr="00E57A70">
        <w:t>;</w:t>
      </w:r>
    </w:p>
    <w:p w14:paraId="2981DB62" w14:textId="769ABBC9" w:rsidR="00FB1D6F" w:rsidRPr="00E57A70" w:rsidRDefault="00537B11" w:rsidP="00626427">
      <w:pPr>
        <w:pStyle w:val="ListParagraph"/>
      </w:pPr>
      <w:r w:rsidRPr="00E57A70">
        <w:t xml:space="preserve">to </w:t>
      </w:r>
      <w:r w:rsidR="00FB1D6F" w:rsidRPr="00E57A70">
        <w:t>advise the Attorney-General about matters relevant to the operation of th</w:t>
      </w:r>
      <w:r w:rsidRPr="00E57A70">
        <w:t>is</w:t>
      </w:r>
      <w:r w:rsidR="00FB1D6F" w:rsidRPr="00E57A70">
        <w:t xml:space="preserve"> Act</w:t>
      </w:r>
      <w:r w:rsidR="0091349A" w:rsidRPr="00E57A70">
        <w:t>; and</w:t>
      </w:r>
    </w:p>
    <w:p w14:paraId="3556F548" w14:textId="67BBA13B" w:rsidR="00626427" w:rsidRPr="00626427" w:rsidRDefault="00537B11" w:rsidP="00626427">
      <w:pPr>
        <w:pStyle w:val="ListParagraph"/>
      </w:pPr>
      <w:r w:rsidRPr="00E57A70">
        <w:t xml:space="preserve">another function conferred on the </w:t>
      </w:r>
      <w:r w:rsidR="394E19FB" w:rsidRPr="00E57A70">
        <w:t>C</w:t>
      </w:r>
      <w:r w:rsidR="44F7BFA4" w:rsidRPr="00E57A70">
        <w:t>ommission</w:t>
      </w:r>
      <w:r w:rsidRPr="00E57A70">
        <w:t xml:space="preserve"> under this Act or another Act.</w:t>
      </w:r>
    </w:p>
    <w:p w14:paraId="42983087" w14:textId="77777777" w:rsidR="00361482" w:rsidRDefault="00361482">
      <w:pPr>
        <w:spacing w:line="259" w:lineRule="auto"/>
        <w:ind w:right="0"/>
        <w:rPr>
          <w:rFonts w:eastAsia="Times New Roman" w:cs="Times New Roman"/>
          <w:bCs/>
          <w:color w:val="383D41"/>
          <w:kern w:val="36"/>
          <w:sz w:val="48"/>
          <w:szCs w:val="48"/>
          <w:lang w:eastAsia="en-AU"/>
        </w:rPr>
      </w:pPr>
      <w:bookmarkStart w:id="67" w:name="_Toc84593827"/>
      <w:bookmarkStart w:id="68" w:name="_Toc85451700"/>
      <w:bookmarkStart w:id="69" w:name="_Toc85526622"/>
      <w:bookmarkStart w:id="70" w:name="_Toc85787037"/>
      <w:r>
        <w:rPr>
          <w:color w:val="383D41"/>
        </w:rPr>
        <w:br w:type="page"/>
      </w:r>
    </w:p>
    <w:p w14:paraId="2A1F0979" w14:textId="187B05BF" w:rsidR="00E54FDD" w:rsidRPr="009E317C" w:rsidRDefault="00E54FDD" w:rsidP="009E317C">
      <w:pPr>
        <w:pStyle w:val="Heading1"/>
        <w:rPr>
          <w:color w:val="383D41"/>
        </w:rPr>
      </w:pPr>
      <w:r w:rsidRPr="009E317C">
        <w:rPr>
          <w:color w:val="383D41"/>
        </w:rPr>
        <w:lastRenderedPageBreak/>
        <w:t>About this report</w:t>
      </w:r>
      <w:bookmarkEnd w:id="67"/>
      <w:bookmarkEnd w:id="68"/>
      <w:bookmarkEnd w:id="69"/>
      <w:bookmarkEnd w:id="70"/>
    </w:p>
    <w:p w14:paraId="7985C604" w14:textId="67D3076B" w:rsidR="008D17E0" w:rsidRPr="008A00EB" w:rsidRDefault="008D17E0" w:rsidP="008D17E0">
      <w:r w:rsidRPr="008A00EB">
        <w:t>Section 91 of the Act requires that, as soon as practicable after the end of each financial year, the Commissioner must prepare an annual report about the operation of the Act during the year.</w:t>
      </w:r>
      <w:r w:rsidR="00837455">
        <w:t xml:space="preserve"> </w:t>
      </w:r>
      <w:r w:rsidRPr="008A00EB">
        <w:t xml:space="preserve">The purpose of this report is to provide a resource for government, </w:t>
      </w:r>
      <w:r w:rsidR="00F575CE">
        <w:t>p</w:t>
      </w:r>
      <w:r w:rsidR="006D538A">
        <w:t>arliament</w:t>
      </w:r>
      <w:r w:rsidRPr="008A00EB">
        <w:t>, and the community on the operationalisation of the Act and the degree to which it is achieving its objectives.</w:t>
      </w:r>
      <w:r w:rsidRPr="008A00EB">
        <w:rPr>
          <w:rStyle w:val="FootnoteReference"/>
        </w:rPr>
        <w:footnoteReference w:id="3"/>
      </w:r>
      <w:r w:rsidRPr="008A00EB">
        <w:t xml:space="preserve"> The Act will be reviewed in 2023</w:t>
      </w:r>
      <w:r w:rsidRPr="008A00EB">
        <w:rPr>
          <w:rStyle w:val="FootnoteReference"/>
        </w:rPr>
        <w:footnoteReference w:id="4"/>
      </w:r>
      <w:r w:rsidRPr="008A00EB">
        <w:t xml:space="preserve"> and 2027,</w:t>
      </w:r>
      <w:r w:rsidRPr="008A00EB">
        <w:rPr>
          <w:rStyle w:val="FootnoteReference"/>
        </w:rPr>
        <w:footnoteReference w:id="5"/>
      </w:r>
      <w:r w:rsidRPr="008A00EB">
        <w:t xml:space="preserve"> and the content of this report will provide e</w:t>
      </w:r>
      <w:r w:rsidR="00240828">
        <w:t>vidence of how the Act has operated in its early years</w:t>
      </w:r>
      <w:r w:rsidRPr="008A00EB">
        <w:t>.</w:t>
      </w:r>
    </w:p>
    <w:p w14:paraId="32606159" w14:textId="77777777" w:rsidR="0002175A" w:rsidRDefault="0002175A">
      <w:pPr>
        <w:spacing w:line="259" w:lineRule="auto"/>
        <w:ind w:right="0"/>
        <w:rPr>
          <w:rFonts w:eastAsia="Times New Roman" w:cs="Times New Roman"/>
          <w:bCs/>
          <w:color w:val="383D41"/>
          <w:kern w:val="36"/>
          <w:sz w:val="48"/>
          <w:szCs w:val="48"/>
          <w:lang w:eastAsia="en-AU"/>
        </w:rPr>
      </w:pPr>
      <w:bookmarkStart w:id="71" w:name="_Toc84593828"/>
      <w:bookmarkStart w:id="72" w:name="_Toc85451701"/>
      <w:bookmarkStart w:id="73" w:name="_Toc85526623"/>
      <w:bookmarkStart w:id="74" w:name="_Toc85787038"/>
      <w:r>
        <w:rPr>
          <w:color w:val="383D41"/>
        </w:rPr>
        <w:br w:type="page"/>
      </w:r>
    </w:p>
    <w:p w14:paraId="697DB71C" w14:textId="5D47B6E9" w:rsidR="006F2AE3" w:rsidRPr="00EF65A2" w:rsidRDefault="006F2AE3" w:rsidP="00DF7E5E">
      <w:pPr>
        <w:pStyle w:val="Heading1"/>
        <w:rPr>
          <w:color w:val="383D41"/>
        </w:rPr>
      </w:pPr>
      <w:r w:rsidRPr="00EF65A2">
        <w:rPr>
          <w:color w:val="383D41"/>
        </w:rPr>
        <w:lastRenderedPageBreak/>
        <w:t>Executive summary</w:t>
      </w:r>
      <w:bookmarkEnd w:id="71"/>
      <w:bookmarkEnd w:id="72"/>
      <w:bookmarkEnd w:id="73"/>
      <w:bookmarkEnd w:id="74"/>
    </w:p>
    <w:p w14:paraId="4B71291A" w14:textId="331BE733" w:rsidR="00E264E1" w:rsidRPr="00E264E1" w:rsidRDefault="00B440CA" w:rsidP="00E264E1">
      <w:pPr>
        <w:pStyle w:val="Heading2"/>
        <w:rPr>
          <w:color w:val="373D42"/>
        </w:rPr>
      </w:pPr>
      <w:bookmarkStart w:id="75" w:name="_Toc84593829"/>
      <w:bookmarkStart w:id="76" w:name="_Toc85451702"/>
      <w:bookmarkStart w:id="77" w:name="_Toc85526624"/>
      <w:bookmarkStart w:id="78" w:name="_Toc85787039"/>
      <w:r>
        <w:rPr>
          <w:color w:val="373D42"/>
        </w:rPr>
        <w:t>Balancing life and liberty</w:t>
      </w:r>
    </w:p>
    <w:bookmarkEnd w:id="75"/>
    <w:bookmarkEnd w:id="76"/>
    <w:bookmarkEnd w:id="77"/>
    <w:bookmarkEnd w:id="78"/>
    <w:p w14:paraId="778C472A" w14:textId="725897EB" w:rsidR="006B0A5B" w:rsidRPr="006B0A5B" w:rsidRDefault="006B0A5B" w:rsidP="006B0A5B">
      <w:pPr>
        <w:rPr>
          <w:lang w:eastAsia="en-AU"/>
        </w:rPr>
      </w:pPr>
      <w:r>
        <w:rPr>
          <w:lang w:eastAsia="en-AU"/>
        </w:rPr>
        <w:t>The right to life is a supreme right which recognises that human life is ‘precious for its own sake’.</w:t>
      </w:r>
      <w:r w:rsidR="00CB6ADE">
        <w:rPr>
          <w:rStyle w:val="FootnoteReference"/>
          <w:lang w:eastAsia="en-AU"/>
        </w:rPr>
        <w:footnoteReference w:id="6"/>
      </w:r>
      <w:r>
        <w:rPr>
          <w:lang w:eastAsia="en-AU"/>
        </w:rPr>
        <w:t xml:space="preserve"> COVID-19 has required us to give up some of our liberties to preserve the lives of others around us.</w:t>
      </w:r>
      <w:r w:rsidR="00A01D0E">
        <w:rPr>
          <w:lang w:eastAsia="en-AU"/>
        </w:rPr>
        <w:t xml:space="preserve"> Finding the right balance </w:t>
      </w:r>
      <w:r w:rsidR="00AC479B">
        <w:rPr>
          <w:lang w:eastAsia="en-AU"/>
        </w:rPr>
        <w:t>between</w:t>
      </w:r>
      <w:r w:rsidR="00DA7349">
        <w:rPr>
          <w:lang w:eastAsia="en-AU"/>
        </w:rPr>
        <w:t xml:space="preserve"> protecting</w:t>
      </w:r>
      <w:r w:rsidR="00AC479B">
        <w:rPr>
          <w:lang w:eastAsia="en-AU"/>
        </w:rPr>
        <w:t xml:space="preserve"> life</w:t>
      </w:r>
      <w:r w:rsidR="00DA7349">
        <w:rPr>
          <w:lang w:eastAsia="en-AU"/>
        </w:rPr>
        <w:t xml:space="preserve"> and </w:t>
      </w:r>
      <w:r w:rsidR="00542DF2">
        <w:rPr>
          <w:lang w:eastAsia="en-AU"/>
        </w:rPr>
        <w:t>preserving</w:t>
      </w:r>
      <w:r w:rsidR="00DA7349">
        <w:rPr>
          <w:lang w:eastAsia="en-AU"/>
        </w:rPr>
        <w:t xml:space="preserve"> liberty</w:t>
      </w:r>
      <w:r w:rsidR="00A01D0E">
        <w:rPr>
          <w:lang w:eastAsia="en-AU"/>
        </w:rPr>
        <w:t xml:space="preserve"> is an ongoing challenge for our society.</w:t>
      </w:r>
    </w:p>
    <w:p w14:paraId="3E76BC99" w14:textId="77777777" w:rsidR="006961EA" w:rsidRDefault="00647E16" w:rsidP="00C03DD4">
      <w:pPr>
        <w:rPr>
          <w:lang w:eastAsia="en-AU"/>
        </w:rPr>
      </w:pPr>
      <w:r>
        <w:rPr>
          <w:lang w:eastAsia="en-AU"/>
        </w:rPr>
        <w:t xml:space="preserve">Last year the Commission </w:t>
      </w:r>
      <w:r w:rsidR="67920B73" w:rsidRPr="7660484C">
        <w:rPr>
          <w:lang w:eastAsia="en-AU"/>
        </w:rPr>
        <w:t xml:space="preserve">reflected on how </w:t>
      </w:r>
      <w:r w:rsidR="5EDB7E38" w:rsidRPr="7660484C">
        <w:rPr>
          <w:lang w:eastAsia="en-AU"/>
        </w:rPr>
        <w:t>COVID-19 had presented a</w:t>
      </w:r>
      <w:r>
        <w:rPr>
          <w:lang w:eastAsia="en-AU"/>
        </w:rPr>
        <w:t xml:space="preserve"> significant and unforeseen test of the Act </w:t>
      </w:r>
      <w:r w:rsidR="65FD0148" w:rsidRPr="7660484C">
        <w:rPr>
          <w:lang w:eastAsia="en-AU"/>
        </w:rPr>
        <w:t>in its earliest stages</w:t>
      </w:r>
      <w:r w:rsidR="47C1F46C" w:rsidRPr="7660484C">
        <w:rPr>
          <w:lang w:eastAsia="en-AU"/>
        </w:rPr>
        <w:t>.</w:t>
      </w:r>
      <w:r w:rsidR="00513C44">
        <w:rPr>
          <w:lang w:eastAsia="en-AU"/>
        </w:rPr>
        <w:t xml:space="preserve"> COVID-19 was</w:t>
      </w:r>
      <w:r>
        <w:rPr>
          <w:lang w:eastAsia="en-AU"/>
        </w:rPr>
        <w:t xml:space="preserve"> declared a pandemic in the first months of the Act’s operation</w:t>
      </w:r>
      <w:r w:rsidR="00513C44">
        <w:rPr>
          <w:lang w:eastAsia="en-AU"/>
        </w:rPr>
        <w:t>, just as the complaints process had commenced</w:t>
      </w:r>
      <w:r>
        <w:rPr>
          <w:lang w:eastAsia="en-AU"/>
        </w:rPr>
        <w:t>.</w:t>
      </w:r>
      <w:r w:rsidR="00180003">
        <w:rPr>
          <w:lang w:eastAsia="en-AU"/>
        </w:rPr>
        <w:t xml:space="preserve"> The Commission </w:t>
      </w:r>
      <w:r w:rsidR="1A0C888D" w:rsidRPr="7660484C">
        <w:rPr>
          <w:lang w:eastAsia="en-AU"/>
        </w:rPr>
        <w:t>expressed</w:t>
      </w:r>
      <w:r w:rsidR="00180003">
        <w:rPr>
          <w:lang w:eastAsia="en-AU"/>
        </w:rPr>
        <w:t xml:space="preserve"> </w:t>
      </w:r>
      <w:r w:rsidR="00513C44">
        <w:rPr>
          <w:lang w:eastAsia="en-AU"/>
        </w:rPr>
        <w:t xml:space="preserve">last year </w:t>
      </w:r>
      <w:r w:rsidR="6C67164B" w:rsidRPr="7660484C">
        <w:rPr>
          <w:lang w:eastAsia="en-AU"/>
        </w:rPr>
        <w:t>that</w:t>
      </w:r>
      <w:r w:rsidR="00180003">
        <w:rPr>
          <w:lang w:eastAsia="en-AU"/>
        </w:rPr>
        <w:t xml:space="preserve"> the Act provides an important framework for assessing the impact on rights</w:t>
      </w:r>
      <w:r w:rsidR="0014761E">
        <w:rPr>
          <w:lang w:eastAsia="en-AU"/>
        </w:rPr>
        <w:t xml:space="preserve"> of the unprecedented measures taken to protect </w:t>
      </w:r>
      <w:r w:rsidR="0087454E">
        <w:rPr>
          <w:lang w:eastAsia="en-AU"/>
        </w:rPr>
        <w:t>life</w:t>
      </w:r>
      <w:r w:rsidR="0014761E">
        <w:rPr>
          <w:lang w:eastAsia="en-AU"/>
        </w:rPr>
        <w:t>.</w:t>
      </w:r>
      <w:r w:rsidR="4CC1CB92" w:rsidRPr="7660484C">
        <w:rPr>
          <w:lang w:eastAsia="en-AU"/>
        </w:rPr>
        <w:t xml:space="preserve"> </w:t>
      </w:r>
    </w:p>
    <w:p w14:paraId="3CE2F758" w14:textId="73965FB6" w:rsidR="00C03DD4" w:rsidRDefault="005730FF" w:rsidP="00C03DD4">
      <w:pPr>
        <w:rPr>
          <w:lang w:eastAsia="en-AU"/>
        </w:rPr>
      </w:pPr>
      <w:r>
        <w:rPr>
          <w:lang w:eastAsia="en-AU"/>
        </w:rPr>
        <w:t>C</w:t>
      </w:r>
      <w:r w:rsidR="4CC1CB92" w:rsidRPr="7660484C">
        <w:rPr>
          <w:lang w:eastAsia="en-AU"/>
        </w:rPr>
        <w:t>omplaints made internally to Queensland Health, and t</w:t>
      </w:r>
      <w:r>
        <w:rPr>
          <w:lang w:eastAsia="en-AU"/>
        </w:rPr>
        <w:t>hrough</w:t>
      </w:r>
      <w:r w:rsidR="4CC1CB92" w:rsidRPr="7660484C">
        <w:rPr>
          <w:lang w:eastAsia="en-AU"/>
        </w:rPr>
        <w:t xml:space="preserve"> the Commission’s complaint process, </w:t>
      </w:r>
      <w:r>
        <w:rPr>
          <w:lang w:eastAsia="en-AU"/>
        </w:rPr>
        <w:t xml:space="preserve">demonstrate the critical importance of </w:t>
      </w:r>
      <w:r w:rsidR="4CC1CB92" w:rsidRPr="7660484C">
        <w:rPr>
          <w:lang w:eastAsia="en-AU"/>
        </w:rPr>
        <w:t>t</w:t>
      </w:r>
      <w:r w:rsidR="46A3D113" w:rsidRPr="7660484C">
        <w:rPr>
          <w:lang w:eastAsia="en-AU"/>
        </w:rPr>
        <w:t xml:space="preserve">he </w:t>
      </w:r>
      <w:r w:rsidR="4CC1CB92" w:rsidRPr="7660484C">
        <w:rPr>
          <w:lang w:eastAsia="en-AU"/>
        </w:rPr>
        <w:t>framework</w:t>
      </w:r>
      <w:r w:rsidR="7E6C668C" w:rsidRPr="7660484C">
        <w:rPr>
          <w:lang w:eastAsia="en-AU"/>
        </w:rPr>
        <w:t xml:space="preserve"> of </w:t>
      </w:r>
      <w:r w:rsidR="3B799EF3" w:rsidRPr="7660484C">
        <w:rPr>
          <w:lang w:eastAsia="en-AU"/>
        </w:rPr>
        <w:t>assessing</w:t>
      </w:r>
      <w:r w:rsidR="7E6C668C" w:rsidRPr="7660484C">
        <w:rPr>
          <w:lang w:eastAsia="en-AU"/>
        </w:rPr>
        <w:t xml:space="preserve"> compatibility with human rights</w:t>
      </w:r>
      <w:r w:rsidR="00DA1BE8">
        <w:rPr>
          <w:lang w:eastAsia="en-AU"/>
        </w:rPr>
        <w:t xml:space="preserve"> in order to achieve </w:t>
      </w:r>
      <w:r w:rsidR="00613C79">
        <w:rPr>
          <w:lang w:eastAsia="en-AU"/>
        </w:rPr>
        <w:t>the right balance</w:t>
      </w:r>
      <w:r w:rsidR="4CC1CB92" w:rsidRPr="7660484C">
        <w:rPr>
          <w:lang w:eastAsia="en-AU"/>
        </w:rPr>
        <w:t>.</w:t>
      </w:r>
    </w:p>
    <w:p w14:paraId="6AEE38F4" w14:textId="599F842F" w:rsidR="003A554D" w:rsidRDefault="003A554D" w:rsidP="00E57A70">
      <w:r>
        <w:t xml:space="preserve">In the reporting period, lockdowns, border closures, and quarantine requirements imposed by the Queensland Government placed numerous limitations on human rights, especially the right to freedom of movement, in order to protect the community from COVID-19. </w:t>
      </w:r>
      <w:r w:rsidR="00143519">
        <w:t xml:space="preserve">Queensland </w:t>
      </w:r>
      <w:r w:rsidR="006D538A">
        <w:t>Parliament</w:t>
      </w:r>
      <w:r>
        <w:t xml:space="preserve"> passed legislation that </w:t>
      </w:r>
      <w:r w:rsidR="0073429B">
        <w:t>granted</w:t>
      </w:r>
      <w:r>
        <w:t xml:space="preserve"> the Chief Health Officer </w:t>
      </w:r>
      <w:r w:rsidR="0073429B">
        <w:t>substantial</w:t>
      </w:r>
      <w:r w:rsidR="002314C8">
        <w:t xml:space="preserve"> powers. </w:t>
      </w:r>
      <w:r w:rsidR="00143519">
        <w:t>Under the Act, the Parliament</w:t>
      </w:r>
      <w:r>
        <w:t xml:space="preserve"> </w:t>
      </w:r>
      <w:r w:rsidR="00691781">
        <w:t>was</w:t>
      </w:r>
      <w:r w:rsidR="003E3C9B">
        <w:t xml:space="preserve"> required to</w:t>
      </w:r>
      <w:r>
        <w:t xml:space="preserve"> </w:t>
      </w:r>
      <w:r w:rsidR="003E3C9B">
        <w:t>consider whether</w:t>
      </w:r>
      <w:r>
        <w:t xml:space="preserve"> the limitations on human rights were reasonable and justifiable in the current situation of a pandemic.</w:t>
      </w:r>
    </w:p>
    <w:p w14:paraId="447C710A" w14:textId="6BD13E3E" w:rsidR="003A554D" w:rsidRDefault="003A554D" w:rsidP="003A554D">
      <w:pPr>
        <w:rPr>
          <w:lang w:eastAsia="en-AU"/>
        </w:rPr>
      </w:pPr>
      <w:r>
        <w:rPr>
          <w:lang w:eastAsia="en-AU"/>
        </w:rPr>
        <w:t xml:space="preserve">COVID-19 was the subject matter of </w:t>
      </w:r>
      <w:r w:rsidR="005730FF">
        <w:rPr>
          <w:lang w:eastAsia="en-AU"/>
        </w:rPr>
        <w:t xml:space="preserve">1 in 4 human rights </w:t>
      </w:r>
      <w:r>
        <w:rPr>
          <w:lang w:eastAsia="en-AU"/>
        </w:rPr>
        <w:t xml:space="preserve">complaints and </w:t>
      </w:r>
      <w:r w:rsidR="005730FF">
        <w:rPr>
          <w:lang w:eastAsia="en-AU"/>
        </w:rPr>
        <w:t xml:space="preserve">1 in 6 </w:t>
      </w:r>
      <w:r>
        <w:rPr>
          <w:lang w:eastAsia="en-AU"/>
        </w:rPr>
        <w:t>enquiries</w:t>
      </w:r>
      <w:r w:rsidR="00FF592E">
        <w:rPr>
          <w:lang w:eastAsia="en-AU"/>
        </w:rPr>
        <w:t xml:space="preserve"> </w:t>
      </w:r>
      <w:r w:rsidR="005730FF">
        <w:rPr>
          <w:lang w:eastAsia="en-AU"/>
        </w:rPr>
        <w:t>to the Commission in 2020-21</w:t>
      </w:r>
      <w:r w:rsidR="2A0E3CBF" w:rsidRPr="7660484C">
        <w:rPr>
          <w:lang w:eastAsia="en-AU"/>
        </w:rPr>
        <w:t>.</w:t>
      </w:r>
      <w:r>
        <w:rPr>
          <w:lang w:eastAsia="en-AU"/>
        </w:rPr>
        <w:t xml:space="preserve"> </w:t>
      </w:r>
      <w:r w:rsidR="005730FF">
        <w:rPr>
          <w:lang w:eastAsia="en-AU"/>
        </w:rPr>
        <w:t>A</w:t>
      </w:r>
      <w:r w:rsidR="6E9036C2" w:rsidRPr="7660484C">
        <w:rPr>
          <w:lang w:eastAsia="en-AU"/>
        </w:rPr>
        <w:t>round</w:t>
      </w:r>
      <w:r w:rsidR="00A91796">
        <w:rPr>
          <w:lang w:eastAsia="en-AU"/>
        </w:rPr>
        <w:t xml:space="preserve"> 80% </w:t>
      </w:r>
      <w:r w:rsidR="005730FF">
        <w:rPr>
          <w:lang w:eastAsia="en-AU"/>
        </w:rPr>
        <w:t xml:space="preserve">of complaints about health services </w:t>
      </w:r>
      <w:r w:rsidR="00A91796">
        <w:rPr>
          <w:lang w:eastAsia="en-AU"/>
        </w:rPr>
        <w:t xml:space="preserve">were related to COVID-19. </w:t>
      </w:r>
      <w:r w:rsidR="005730FF">
        <w:rPr>
          <w:lang w:eastAsia="en-AU"/>
        </w:rPr>
        <w:t>This focus is reflected in t</w:t>
      </w:r>
      <w:r w:rsidR="2A0E3CBF" w:rsidRPr="7660484C">
        <w:rPr>
          <w:lang w:eastAsia="en-AU"/>
        </w:rPr>
        <w:t>he</w:t>
      </w:r>
      <w:r>
        <w:rPr>
          <w:lang w:eastAsia="en-AU"/>
        </w:rPr>
        <w:t xml:space="preserve"> rights most frequently identified in complaints finalised in the reporting period:</w:t>
      </w:r>
    </w:p>
    <w:p w14:paraId="0A57908D" w14:textId="6278E54D" w:rsidR="003A554D" w:rsidRPr="00E57A70" w:rsidRDefault="003A554D" w:rsidP="00E57A70">
      <w:pPr>
        <w:pStyle w:val="ListParagraph"/>
      </w:pPr>
      <w:r w:rsidRPr="00E57A70">
        <w:t>Recognition and equality before the law</w:t>
      </w:r>
    </w:p>
    <w:p w14:paraId="53019B54" w14:textId="3CCAF056" w:rsidR="003A554D" w:rsidRPr="00E57A70" w:rsidRDefault="003A554D" w:rsidP="00E57A70">
      <w:pPr>
        <w:pStyle w:val="ListParagraph"/>
      </w:pPr>
      <w:r w:rsidRPr="00E57A70">
        <w:t>Humane treatment when deprived of liberty</w:t>
      </w:r>
    </w:p>
    <w:p w14:paraId="5072D554" w14:textId="1211971A" w:rsidR="003A554D" w:rsidRPr="00E57A70" w:rsidRDefault="003A554D" w:rsidP="00E57A70">
      <w:pPr>
        <w:pStyle w:val="ListParagraph"/>
      </w:pPr>
      <w:r w:rsidRPr="00E57A70">
        <w:t>Freedom of movement</w:t>
      </w:r>
    </w:p>
    <w:p w14:paraId="47DE87C7" w14:textId="34DEB653" w:rsidR="002B0C1A" w:rsidRDefault="00746A78" w:rsidP="002B0C1A">
      <w:pPr>
        <w:rPr>
          <w:lang w:eastAsia="en-AU"/>
        </w:rPr>
      </w:pPr>
      <w:r>
        <w:rPr>
          <w:lang w:eastAsia="en-AU"/>
        </w:rPr>
        <w:lastRenderedPageBreak/>
        <w:t>W</w:t>
      </w:r>
      <w:r w:rsidR="002B0C1A">
        <w:rPr>
          <w:lang w:eastAsia="en-AU"/>
        </w:rPr>
        <w:t xml:space="preserve">ithout the passage of the </w:t>
      </w:r>
      <w:r w:rsidR="002B0C1A">
        <w:rPr>
          <w:i/>
          <w:lang w:eastAsia="en-AU"/>
        </w:rPr>
        <w:t>Human Rights Act 2019</w:t>
      </w:r>
      <w:r w:rsidR="75C1E8D7" w:rsidRPr="60C69374">
        <w:rPr>
          <w:i/>
          <w:iCs/>
          <w:lang w:eastAsia="en-AU"/>
        </w:rPr>
        <w:t xml:space="preserve">, </w:t>
      </w:r>
      <w:r w:rsidR="75C1E8D7" w:rsidRPr="60C69374">
        <w:rPr>
          <w:lang w:eastAsia="en-AU"/>
        </w:rPr>
        <w:t>hundreds of</w:t>
      </w:r>
      <w:r w:rsidR="002B0C1A">
        <w:rPr>
          <w:lang w:eastAsia="en-AU"/>
        </w:rPr>
        <w:t xml:space="preserve"> </w:t>
      </w:r>
      <w:r w:rsidR="00CC4B5D">
        <w:rPr>
          <w:lang w:eastAsia="en-AU"/>
        </w:rPr>
        <w:t>people</w:t>
      </w:r>
      <w:r w:rsidR="002B0C1A">
        <w:rPr>
          <w:lang w:eastAsia="en-AU"/>
        </w:rPr>
        <w:t xml:space="preserve"> </w:t>
      </w:r>
      <w:r w:rsidR="00CC4B5D">
        <w:rPr>
          <w:lang w:eastAsia="en-AU"/>
        </w:rPr>
        <w:t>would not have had the option of complaining to an</w:t>
      </w:r>
      <w:r w:rsidR="002B0C1A">
        <w:rPr>
          <w:lang w:eastAsia="en-AU"/>
        </w:rPr>
        <w:t xml:space="preserve"> external body </w:t>
      </w:r>
      <w:r w:rsidR="1B51B7B6" w:rsidRPr="60C69374">
        <w:rPr>
          <w:lang w:eastAsia="en-AU"/>
        </w:rPr>
        <w:t xml:space="preserve">equipped to deal with </w:t>
      </w:r>
      <w:r w:rsidR="00CC4B5D">
        <w:rPr>
          <w:lang w:eastAsia="en-AU"/>
        </w:rPr>
        <w:t xml:space="preserve">their </w:t>
      </w:r>
      <w:r w:rsidR="1B51B7B6" w:rsidRPr="60C69374">
        <w:rPr>
          <w:lang w:eastAsia="en-AU"/>
        </w:rPr>
        <w:t>complaint through</w:t>
      </w:r>
      <w:r w:rsidR="00061B5A">
        <w:rPr>
          <w:lang w:eastAsia="en-AU"/>
        </w:rPr>
        <w:t xml:space="preserve"> a human rights </w:t>
      </w:r>
      <w:r w:rsidR="1B51B7B6" w:rsidRPr="60C69374">
        <w:rPr>
          <w:lang w:eastAsia="en-AU"/>
        </w:rPr>
        <w:t>lens</w:t>
      </w:r>
      <w:r w:rsidR="3EB03801" w:rsidRPr="60C69374">
        <w:rPr>
          <w:lang w:eastAsia="en-AU"/>
        </w:rPr>
        <w:t>.</w:t>
      </w:r>
      <w:r w:rsidR="00061B5A">
        <w:rPr>
          <w:lang w:eastAsia="en-AU"/>
        </w:rPr>
        <w:t xml:space="preserve"> </w:t>
      </w:r>
      <w:r w:rsidR="00CF264E">
        <w:rPr>
          <w:lang w:eastAsia="en-AU"/>
        </w:rPr>
        <w:t xml:space="preserve">The complaints process ensured that people who were most disadvantaged </w:t>
      </w:r>
      <w:r w:rsidR="005730FF">
        <w:rPr>
          <w:lang w:eastAsia="en-AU"/>
        </w:rPr>
        <w:t xml:space="preserve">– </w:t>
      </w:r>
      <w:r w:rsidR="00CF264E">
        <w:rPr>
          <w:lang w:eastAsia="en-AU"/>
        </w:rPr>
        <w:t>such</w:t>
      </w:r>
      <w:r w:rsidR="005730FF">
        <w:rPr>
          <w:lang w:eastAsia="en-AU"/>
        </w:rPr>
        <w:t xml:space="preserve"> </w:t>
      </w:r>
      <w:r w:rsidR="00CF264E">
        <w:rPr>
          <w:lang w:eastAsia="en-AU"/>
        </w:rPr>
        <w:t xml:space="preserve">as children, families, </w:t>
      </w:r>
      <w:r w:rsidR="00CC4B5D">
        <w:rPr>
          <w:lang w:eastAsia="en-AU"/>
        </w:rPr>
        <w:t>and people</w:t>
      </w:r>
      <w:r w:rsidR="00CF264E">
        <w:rPr>
          <w:lang w:eastAsia="en-AU"/>
        </w:rPr>
        <w:t xml:space="preserve"> with </w:t>
      </w:r>
      <w:r w:rsidR="0AC1B806" w:rsidRPr="60C69374">
        <w:rPr>
          <w:lang w:eastAsia="en-AU"/>
        </w:rPr>
        <w:t>di</w:t>
      </w:r>
      <w:r w:rsidR="3A49324B" w:rsidRPr="60C69374">
        <w:rPr>
          <w:lang w:eastAsia="en-AU"/>
        </w:rPr>
        <w:t>sabilities</w:t>
      </w:r>
      <w:r w:rsidR="00CF264E">
        <w:rPr>
          <w:lang w:eastAsia="en-AU"/>
        </w:rPr>
        <w:t xml:space="preserve"> </w:t>
      </w:r>
      <w:r w:rsidR="005730FF">
        <w:rPr>
          <w:lang w:eastAsia="en-AU"/>
        </w:rPr>
        <w:t>–</w:t>
      </w:r>
      <w:r w:rsidR="00CF264E">
        <w:rPr>
          <w:lang w:eastAsia="en-AU"/>
        </w:rPr>
        <w:t xml:space="preserve"> were</w:t>
      </w:r>
      <w:r w:rsidR="005730FF">
        <w:rPr>
          <w:lang w:eastAsia="en-AU"/>
        </w:rPr>
        <w:t xml:space="preserve"> </w:t>
      </w:r>
      <w:r w:rsidR="00CF264E">
        <w:rPr>
          <w:lang w:eastAsia="en-AU"/>
        </w:rPr>
        <w:t>able to negotiate fair and reasonable outcomes in challenging circumstances</w:t>
      </w:r>
      <w:r w:rsidR="00CC4B5D">
        <w:rPr>
          <w:lang w:eastAsia="en-AU"/>
        </w:rPr>
        <w:t>. The flexible processes allowed by the Act made it possible for the swift resolution of issues to the benefit of individuals and public entities</w:t>
      </w:r>
      <w:r w:rsidR="493A2974" w:rsidRPr="60C69374">
        <w:rPr>
          <w:lang w:eastAsia="en-AU"/>
        </w:rPr>
        <w:t xml:space="preserve"> and led to service improvements at a systemic level</w:t>
      </w:r>
      <w:r w:rsidR="00CC4B5D">
        <w:rPr>
          <w:lang w:eastAsia="en-AU"/>
        </w:rPr>
        <w:t xml:space="preserve"> [</w:t>
      </w:r>
      <w:r w:rsidR="005730FF">
        <w:rPr>
          <w:lang w:eastAsia="en-AU"/>
        </w:rPr>
        <w:t>r</w:t>
      </w:r>
      <w:r w:rsidR="00CC4B5D">
        <w:rPr>
          <w:lang w:eastAsia="en-AU"/>
        </w:rPr>
        <w:t xml:space="preserve">efer to </w:t>
      </w:r>
      <w:r w:rsidR="00CC4B5D">
        <w:rPr>
          <w:i/>
          <w:lang w:eastAsia="en-AU"/>
        </w:rPr>
        <w:t>Human rights enquires and complaints – Resolved complaints case studies</w:t>
      </w:r>
      <w:r w:rsidR="00B37C79">
        <w:rPr>
          <w:i/>
          <w:lang w:eastAsia="en-AU"/>
        </w:rPr>
        <w:t xml:space="preserve"> </w:t>
      </w:r>
      <w:r w:rsidR="00B37C79">
        <w:rPr>
          <w:lang w:eastAsia="en-AU"/>
        </w:rPr>
        <w:t xml:space="preserve">on page </w:t>
      </w:r>
      <w:r w:rsidR="000B5792">
        <w:rPr>
          <w:lang w:eastAsia="en-AU"/>
        </w:rPr>
        <w:t>155</w:t>
      </w:r>
      <w:r w:rsidR="00CC4B5D">
        <w:rPr>
          <w:lang w:eastAsia="en-AU"/>
        </w:rPr>
        <w:t>]</w:t>
      </w:r>
      <w:r w:rsidR="00CF264E">
        <w:rPr>
          <w:lang w:eastAsia="en-AU"/>
        </w:rPr>
        <w:t>.</w:t>
      </w:r>
      <w:r w:rsidR="002B0C1A">
        <w:rPr>
          <w:lang w:eastAsia="en-AU"/>
        </w:rPr>
        <w:t xml:space="preserve"> </w:t>
      </w:r>
    </w:p>
    <w:p w14:paraId="7E93FE5F" w14:textId="4180FF2F" w:rsidR="00B37C79" w:rsidRDefault="00B37C79" w:rsidP="002B0C1A">
      <w:pPr>
        <w:rPr>
          <w:lang w:eastAsia="en-AU"/>
        </w:rPr>
      </w:pPr>
      <w:r>
        <w:rPr>
          <w:lang w:eastAsia="en-AU"/>
        </w:rPr>
        <w:t xml:space="preserve">One requirement under the Act is for </w:t>
      </w:r>
      <w:r w:rsidR="005730FF">
        <w:rPr>
          <w:lang w:eastAsia="en-AU"/>
        </w:rPr>
        <w:t>public entities</w:t>
      </w:r>
      <w:r>
        <w:rPr>
          <w:lang w:eastAsia="en-AU"/>
        </w:rPr>
        <w:t xml:space="preserve"> </w:t>
      </w:r>
      <w:r w:rsidR="0DC172E8" w:rsidRPr="60C69374">
        <w:rPr>
          <w:lang w:eastAsia="en-AU"/>
        </w:rPr>
        <w:t xml:space="preserve">to </w:t>
      </w:r>
      <w:r>
        <w:rPr>
          <w:lang w:eastAsia="en-AU"/>
        </w:rPr>
        <w:t xml:space="preserve">consider </w:t>
      </w:r>
      <w:r>
        <w:t xml:space="preserve">whether there are any less restrictive and reasonably available ways to achieve a legitimate purpose. </w:t>
      </w:r>
      <w:r>
        <w:rPr>
          <w:lang w:eastAsia="en-AU"/>
        </w:rPr>
        <w:t xml:space="preserve">Two reports issued with recommendations following </w:t>
      </w:r>
      <w:r w:rsidR="7B932AFB" w:rsidRPr="60C69374">
        <w:rPr>
          <w:lang w:eastAsia="en-AU"/>
        </w:rPr>
        <w:t xml:space="preserve">unresolved </w:t>
      </w:r>
      <w:r>
        <w:rPr>
          <w:lang w:eastAsia="en-AU"/>
        </w:rPr>
        <w:t xml:space="preserve">complaints </w:t>
      </w:r>
      <w:r w:rsidR="2B32A7A5" w:rsidRPr="60C69374">
        <w:rPr>
          <w:lang w:eastAsia="en-AU"/>
        </w:rPr>
        <w:t>about COVID-19</w:t>
      </w:r>
      <w:r w:rsidR="4A1DFC08" w:rsidRPr="60C69374">
        <w:rPr>
          <w:lang w:eastAsia="en-AU"/>
        </w:rPr>
        <w:t xml:space="preserve"> </w:t>
      </w:r>
      <w:r w:rsidR="196F772A" w:rsidRPr="60C69374">
        <w:rPr>
          <w:lang w:eastAsia="en-AU"/>
        </w:rPr>
        <w:t>suggested</w:t>
      </w:r>
      <w:r>
        <w:rPr>
          <w:lang w:eastAsia="en-AU"/>
        </w:rPr>
        <w:t xml:space="preserve"> alternative options </w:t>
      </w:r>
      <w:r w:rsidR="79500BCA" w:rsidRPr="60C69374">
        <w:rPr>
          <w:lang w:eastAsia="en-AU"/>
        </w:rPr>
        <w:t xml:space="preserve">that </w:t>
      </w:r>
      <w:r>
        <w:rPr>
          <w:lang w:eastAsia="en-AU"/>
        </w:rPr>
        <w:t>could have been considered while still meeting the legitimate purpose of protecting life [</w:t>
      </w:r>
      <w:r w:rsidR="005730FF">
        <w:rPr>
          <w:lang w:eastAsia="en-AU"/>
        </w:rPr>
        <w:t>r</w:t>
      </w:r>
      <w:r>
        <w:rPr>
          <w:lang w:eastAsia="en-AU"/>
        </w:rPr>
        <w:t xml:space="preserve">efer </w:t>
      </w:r>
      <w:r w:rsidRPr="006C3E63">
        <w:rPr>
          <w:lang w:eastAsia="en-AU"/>
        </w:rPr>
        <w:t>to</w:t>
      </w:r>
      <w:r w:rsidRPr="006C3E63">
        <w:rPr>
          <w:i/>
          <w:lang w:eastAsia="en-AU"/>
        </w:rPr>
        <w:t xml:space="preserve"> </w:t>
      </w:r>
      <w:r>
        <w:rPr>
          <w:i/>
          <w:lang w:eastAsia="en-AU"/>
        </w:rPr>
        <w:t xml:space="preserve">Human rights enquiries and complaints - </w:t>
      </w:r>
      <w:r w:rsidRPr="006C3E63">
        <w:rPr>
          <w:i/>
          <w:lang w:eastAsia="en-AU"/>
        </w:rPr>
        <w:t>Unresolved complaints with recommendations</w:t>
      </w:r>
      <w:r>
        <w:rPr>
          <w:i/>
          <w:lang w:eastAsia="en-AU"/>
        </w:rPr>
        <w:t xml:space="preserve"> </w:t>
      </w:r>
      <w:r>
        <w:rPr>
          <w:lang w:eastAsia="en-AU"/>
        </w:rPr>
        <w:t xml:space="preserve">on page </w:t>
      </w:r>
      <w:r w:rsidR="000C46F4">
        <w:rPr>
          <w:lang w:eastAsia="en-AU"/>
        </w:rPr>
        <w:t>152</w:t>
      </w:r>
      <w:r>
        <w:rPr>
          <w:lang w:eastAsia="en-AU"/>
        </w:rPr>
        <w:t>]</w:t>
      </w:r>
      <w:r w:rsidR="005730FF">
        <w:rPr>
          <w:lang w:eastAsia="en-AU"/>
        </w:rPr>
        <w:t>.</w:t>
      </w:r>
    </w:p>
    <w:p w14:paraId="27129E83" w14:textId="47D95E23" w:rsidR="003A554D" w:rsidRDefault="000D3411" w:rsidP="00C03DD4">
      <w:pPr>
        <w:rPr>
          <w:lang w:eastAsia="en-AU"/>
        </w:rPr>
      </w:pPr>
      <w:r>
        <w:rPr>
          <w:lang w:eastAsia="en-AU"/>
        </w:rPr>
        <w:t xml:space="preserve">To </w:t>
      </w:r>
      <w:r w:rsidR="00786BB8">
        <w:rPr>
          <w:lang w:eastAsia="en-AU"/>
        </w:rPr>
        <w:t>continue to</w:t>
      </w:r>
      <w:r>
        <w:rPr>
          <w:lang w:eastAsia="en-AU"/>
        </w:rPr>
        <w:t xml:space="preserve"> provide a legal basis for public health restrictions, Queensland </w:t>
      </w:r>
      <w:r w:rsidR="006D538A">
        <w:rPr>
          <w:lang w:eastAsia="en-AU"/>
        </w:rPr>
        <w:t>Parliament</w:t>
      </w:r>
      <w:r>
        <w:rPr>
          <w:lang w:eastAsia="en-AU"/>
        </w:rPr>
        <w:t xml:space="preserve"> passed further legislation in the reporting period</w:t>
      </w:r>
      <w:r w:rsidR="00443F3A">
        <w:rPr>
          <w:lang w:eastAsia="en-AU"/>
        </w:rPr>
        <w:t>. Unfortunately</w:t>
      </w:r>
      <w:r w:rsidR="4AE4BB96" w:rsidRPr="60C69374">
        <w:rPr>
          <w:lang w:eastAsia="en-AU"/>
        </w:rPr>
        <w:t>,</w:t>
      </w:r>
      <w:r w:rsidR="00443F3A">
        <w:rPr>
          <w:lang w:eastAsia="en-AU"/>
        </w:rPr>
        <w:t xml:space="preserve"> in some instances</w:t>
      </w:r>
      <w:r>
        <w:rPr>
          <w:lang w:eastAsia="en-AU"/>
        </w:rPr>
        <w:t xml:space="preserve"> </w:t>
      </w:r>
      <w:r w:rsidR="63ED87FC" w:rsidRPr="60C69374">
        <w:rPr>
          <w:lang w:eastAsia="en-AU"/>
        </w:rPr>
        <w:t xml:space="preserve">such laws </w:t>
      </w:r>
      <w:r w:rsidR="6CD33CA5" w:rsidRPr="60C69374">
        <w:rPr>
          <w:lang w:eastAsia="en-AU"/>
        </w:rPr>
        <w:t>w</w:t>
      </w:r>
      <w:r w:rsidR="2ED0E6C2" w:rsidRPr="60C69374">
        <w:rPr>
          <w:lang w:eastAsia="en-AU"/>
        </w:rPr>
        <w:t>ere</w:t>
      </w:r>
      <w:r w:rsidR="00443F3A">
        <w:rPr>
          <w:lang w:eastAsia="en-AU"/>
        </w:rPr>
        <w:t xml:space="preserve"> passed</w:t>
      </w:r>
      <w:r>
        <w:rPr>
          <w:lang w:eastAsia="en-AU"/>
        </w:rPr>
        <w:t xml:space="preserve"> </w:t>
      </w:r>
      <w:r w:rsidR="00A17275">
        <w:rPr>
          <w:lang w:eastAsia="en-AU"/>
        </w:rPr>
        <w:t xml:space="preserve">on </w:t>
      </w:r>
      <w:r w:rsidR="00443F3A">
        <w:rPr>
          <w:lang w:eastAsia="en-AU"/>
        </w:rPr>
        <w:t>an urgent basis</w:t>
      </w:r>
      <w:r w:rsidR="418D5A03" w:rsidRPr="60C69374">
        <w:rPr>
          <w:lang w:eastAsia="en-AU"/>
        </w:rPr>
        <w:t>,</w:t>
      </w:r>
      <w:r w:rsidR="00443F3A">
        <w:rPr>
          <w:lang w:eastAsia="en-AU"/>
        </w:rPr>
        <w:t xml:space="preserve"> which </w:t>
      </w:r>
      <w:r w:rsidR="6CD33CA5" w:rsidRPr="60C69374">
        <w:rPr>
          <w:lang w:eastAsia="en-AU"/>
        </w:rPr>
        <w:t>bypassed</w:t>
      </w:r>
      <w:r w:rsidR="50E8D8CC" w:rsidRPr="60C69374">
        <w:rPr>
          <w:lang w:eastAsia="en-AU"/>
        </w:rPr>
        <w:t xml:space="preserve"> </w:t>
      </w:r>
      <w:r w:rsidR="35CC22D6" w:rsidRPr="60C69374">
        <w:rPr>
          <w:lang w:eastAsia="en-AU"/>
        </w:rPr>
        <w:t xml:space="preserve">proper </w:t>
      </w:r>
      <w:r w:rsidR="005D3CD5">
        <w:rPr>
          <w:lang w:eastAsia="en-AU"/>
        </w:rPr>
        <w:t>p</w:t>
      </w:r>
      <w:r w:rsidR="006D538A">
        <w:rPr>
          <w:lang w:eastAsia="en-AU"/>
        </w:rPr>
        <w:t>arliament</w:t>
      </w:r>
      <w:r w:rsidR="35CC22D6" w:rsidRPr="60C69374">
        <w:rPr>
          <w:lang w:eastAsia="en-AU"/>
        </w:rPr>
        <w:t>ary scrutiny</w:t>
      </w:r>
      <w:r w:rsidR="00443F3A">
        <w:rPr>
          <w:lang w:eastAsia="en-AU"/>
        </w:rPr>
        <w:t xml:space="preserve"> with respect to human rights</w:t>
      </w:r>
      <w:r>
        <w:rPr>
          <w:lang w:eastAsia="en-AU"/>
        </w:rPr>
        <w:t xml:space="preserve"> [</w:t>
      </w:r>
      <w:r w:rsidR="005730FF">
        <w:rPr>
          <w:lang w:eastAsia="en-AU"/>
        </w:rPr>
        <w:t>r</w:t>
      </w:r>
      <w:r>
        <w:rPr>
          <w:lang w:eastAsia="en-AU"/>
        </w:rPr>
        <w:t xml:space="preserve">efer to </w:t>
      </w:r>
      <w:r w:rsidRPr="000D3411">
        <w:rPr>
          <w:i/>
          <w:lang w:eastAsia="en-AU"/>
        </w:rPr>
        <w:t xml:space="preserve">Human rights and the </w:t>
      </w:r>
      <w:r w:rsidR="006D538A">
        <w:rPr>
          <w:i/>
          <w:lang w:eastAsia="en-AU"/>
        </w:rPr>
        <w:t>Parliament</w:t>
      </w:r>
      <w:r w:rsidRPr="000D3411">
        <w:rPr>
          <w:i/>
          <w:lang w:eastAsia="en-AU"/>
        </w:rPr>
        <w:t xml:space="preserve"> – COVID-19 related legislation</w:t>
      </w:r>
      <w:r w:rsidR="006C3E63">
        <w:rPr>
          <w:i/>
          <w:lang w:eastAsia="en-AU"/>
        </w:rPr>
        <w:t xml:space="preserve"> </w:t>
      </w:r>
      <w:r w:rsidR="006C3E63">
        <w:rPr>
          <w:lang w:eastAsia="en-AU"/>
        </w:rPr>
        <w:t xml:space="preserve">on page </w:t>
      </w:r>
      <w:r w:rsidR="00033E28">
        <w:rPr>
          <w:lang w:eastAsia="en-AU"/>
        </w:rPr>
        <w:t>41</w:t>
      </w:r>
      <w:r>
        <w:rPr>
          <w:lang w:eastAsia="en-AU"/>
        </w:rPr>
        <w:t>]</w:t>
      </w:r>
      <w:r w:rsidR="005730FF">
        <w:rPr>
          <w:lang w:eastAsia="en-AU"/>
        </w:rPr>
        <w:t>.</w:t>
      </w:r>
    </w:p>
    <w:p w14:paraId="4086DF5A" w14:textId="1C1EEE41" w:rsidR="000D3411" w:rsidRPr="002B0C1A" w:rsidRDefault="006C3E63" w:rsidP="00C03DD4">
      <w:pPr>
        <w:rPr>
          <w:lang w:eastAsia="en-AU"/>
        </w:rPr>
      </w:pPr>
      <w:r>
        <w:rPr>
          <w:lang w:eastAsia="en-AU"/>
        </w:rPr>
        <w:t>Overall, c</w:t>
      </w:r>
      <w:r w:rsidR="000D3411">
        <w:rPr>
          <w:lang w:eastAsia="en-AU"/>
        </w:rPr>
        <w:t>ommunity attitudes reflect support for the actions of government with respect to the pandemic</w:t>
      </w:r>
      <w:r w:rsidR="00A17275">
        <w:rPr>
          <w:lang w:eastAsia="en-AU"/>
        </w:rPr>
        <w:t xml:space="preserve"> in protecting and promoting human rights</w:t>
      </w:r>
      <w:r>
        <w:rPr>
          <w:lang w:eastAsia="en-AU"/>
        </w:rPr>
        <w:t xml:space="preserve"> [</w:t>
      </w:r>
      <w:r w:rsidR="005730FF">
        <w:rPr>
          <w:lang w:eastAsia="en-AU"/>
        </w:rPr>
        <w:t>r</w:t>
      </w:r>
      <w:r w:rsidR="006A4590">
        <w:rPr>
          <w:lang w:eastAsia="en-AU"/>
        </w:rPr>
        <w:t xml:space="preserve">efer to </w:t>
      </w:r>
      <w:r w:rsidR="006A4590">
        <w:rPr>
          <w:i/>
          <w:lang w:eastAsia="en-AU"/>
        </w:rPr>
        <w:t xml:space="preserve">Human rights in the community – measuring human rights attitudes </w:t>
      </w:r>
      <w:r w:rsidR="002B0C1A">
        <w:rPr>
          <w:lang w:eastAsia="en-AU"/>
        </w:rPr>
        <w:t>on page</w:t>
      </w:r>
      <w:r w:rsidR="00033E28">
        <w:rPr>
          <w:lang w:eastAsia="en-AU"/>
        </w:rPr>
        <w:t xml:space="preserve"> 166</w:t>
      </w:r>
      <w:r w:rsidR="002B0C1A">
        <w:rPr>
          <w:lang w:eastAsia="en-AU"/>
        </w:rPr>
        <w:t>]</w:t>
      </w:r>
      <w:r w:rsidR="005730FF">
        <w:rPr>
          <w:lang w:eastAsia="en-AU"/>
        </w:rPr>
        <w:t>.</w:t>
      </w:r>
    </w:p>
    <w:p w14:paraId="08C261C7" w14:textId="4B73F721" w:rsidR="00C7746C" w:rsidRPr="00E57A70" w:rsidRDefault="00C7746C" w:rsidP="00C7746C">
      <w:pPr>
        <w:pStyle w:val="Heading2"/>
        <w:rPr>
          <w:rFonts w:eastAsia="Times New Roman"/>
          <w:color w:val="373D42"/>
        </w:rPr>
      </w:pPr>
      <w:bookmarkStart w:id="79" w:name="_Toc84593831"/>
      <w:bookmarkStart w:id="80" w:name="_Toc85451704"/>
      <w:bookmarkStart w:id="81" w:name="_Toc85526626"/>
      <w:bookmarkStart w:id="82" w:name="_Toc85787041"/>
      <w:r w:rsidRPr="00E57A70">
        <w:rPr>
          <w:rFonts w:eastAsia="Times New Roman"/>
          <w:color w:val="373D42"/>
        </w:rPr>
        <w:t>Human rights leadership in the public sector</w:t>
      </w:r>
      <w:bookmarkEnd w:id="79"/>
      <w:bookmarkEnd w:id="80"/>
      <w:bookmarkEnd w:id="81"/>
      <w:bookmarkEnd w:id="82"/>
    </w:p>
    <w:p w14:paraId="57BFB77C" w14:textId="77777777" w:rsidR="00B01B79" w:rsidRDefault="00B01B79" w:rsidP="00C7746C">
      <w:pPr>
        <w:rPr>
          <w:lang w:eastAsia="en-AU"/>
        </w:rPr>
      </w:pPr>
      <w:r>
        <w:rPr>
          <w:lang w:eastAsia="en-AU"/>
        </w:rPr>
        <w:t>In the first year of the Act, the Commission created indicators of a developing human rights culture and asked a number of state public entities and councils about progress made against the indicators towards building a culture where rights are protected and promoted.</w:t>
      </w:r>
    </w:p>
    <w:p w14:paraId="3ADC8A93" w14:textId="62B07545" w:rsidR="00C7746C" w:rsidRDefault="00B01B79" w:rsidP="00C7746C">
      <w:pPr>
        <w:rPr>
          <w:lang w:eastAsia="en-AU"/>
        </w:rPr>
      </w:pPr>
      <w:r>
        <w:rPr>
          <w:lang w:eastAsia="en-AU"/>
        </w:rPr>
        <w:t>Again this year the Commission has asked key government agencies and a small sample of councils to respond against these indicators. It is hoped that this exercise will identify strengths and areas for improvement on an ongoing basis.</w:t>
      </w:r>
    </w:p>
    <w:p w14:paraId="1FCCE25C" w14:textId="0EDB24A4" w:rsidR="00B01B79" w:rsidRDefault="58AF52BF" w:rsidP="60C69374">
      <w:pPr>
        <w:rPr>
          <w:lang w:eastAsia="en-AU"/>
        </w:rPr>
      </w:pPr>
      <w:r w:rsidRPr="60C69374">
        <w:rPr>
          <w:lang w:eastAsia="en-AU"/>
        </w:rPr>
        <w:lastRenderedPageBreak/>
        <w:t xml:space="preserve">The Commission observed that in the second year, teams </w:t>
      </w:r>
      <w:r w:rsidR="05CE0145" w:rsidRPr="60C69374">
        <w:rPr>
          <w:lang w:eastAsia="en-AU"/>
        </w:rPr>
        <w:t>tasked with implementing the Act</w:t>
      </w:r>
      <w:r w:rsidRPr="60C69374">
        <w:rPr>
          <w:lang w:eastAsia="en-AU"/>
        </w:rPr>
        <w:t xml:space="preserve"> had mostly completed their initial work of reviewing policies, procedures and legislation, and a high proportion of staff had already received training on the Act. </w:t>
      </w:r>
      <w:r w:rsidR="3A3AF931" w:rsidRPr="60C69374">
        <w:rPr>
          <w:lang w:eastAsia="en-AU"/>
        </w:rPr>
        <w:t xml:space="preserve">Practical </w:t>
      </w:r>
      <w:r w:rsidR="7FDD0951" w:rsidRPr="60C69374">
        <w:rPr>
          <w:lang w:eastAsia="en-AU"/>
        </w:rPr>
        <w:t xml:space="preserve">examples were provided of how </w:t>
      </w:r>
      <w:r w:rsidR="05CE0145" w:rsidRPr="60C69374">
        <w:rPr>
          <w:lang w:eastAsia="en-AU"/>
        </w:rPr>
        <w:t xml:space="preserve">positive </w:t>
      </w:r>
      <w:r w:rsidR="7FDD0951" w:rsidRPr="60C69374">
        <w:rPr>
          <w:lang w:eastAsia="en-AU"/>
        </w:rPr>
        <w:t xml:space="preserve">changes had been implemented either in response to a </w:t>
      </w:r>
      <w:r w:rsidR="181822AF" w:rsidRPr="27666F9B">
        <w:rPr>
          <w:lang w:eastAsia="en-AU"/>
        </w:rPr>
        <w:t>policy review</w:t>
      </w:r>
      <w:r w:rsidR="7FDD0951" w:rsidRPr="60C69374">
        <w:rPr>
          <w:lang w:eastAsia="en-AU"/>
        </w:rPr>
        <w:t>, or in response to a complaint or a series of complaints.</w:t>
      </w:r>
      <w:r w:rsidR="3E6152EE" w:rsidRPr="60C69374">
        <w:rPr>
          <w:lang w:eastAsia="en-AU"/>
        </w:rPr>
        <w:t xml:space="preserve"> </w:t>
      </w:r>
      <w:r w:rsidR="30091723" w:rsidRPr="60C69374">
        <w:rPr>
          <w:lang w:eastAsia="en-AU"/>
        </w:rPr>
        <w:t>This shows the value in the Act in achieving improved service delivery.</w:t>
      </w:r>
    </w:p>
    <w:p w14:paraId="268FD19A" w14:textId="23B44DF3" w:rsidR="00B01B79" w:rsidRDefault="0089165A" w:rsidP="00C7746C">
      <w:pPr>
        <w:rPr>
          <w:lang w:eastAsia="en-AU"/>
        </w:rPr>
      </w:pPr>
      <w:r>
        <w:rPr>
          <w:lang w:eastAsia="en-AU"/>
        </w:rPr>
        <w:t>While t</w:t>
      </w:r>
      <w:r w:rsidR="00B01B79">
        <w:rPr>
          <w:lang w:eastAsia="en-AU"/>
        </w:rPr>
        <w:t>he pandemic has created a particularly challenging e</w:t>
      </w:r>
      <w:r>
        <w:rPr>
          <w:lang w:eastAsia="en-AU"/>
        </w:rPr>
        <w:t xml:space="preserve">nvironment for cultural change, it is important that the public sector does not become complacent. The Commission will continue to monitor how the Act is operating in the hope that </w:t>
      </w:r>
      <w:r w:rsidR="00AC16CA">
        <w:rPr>
          <w:lang w:eastAsia="en-AU"/>
        </w:rPr>
        <w:t>this culture will continue to grow</w:t>
      </w:r>
      <w:r>
        <w:rPr>
          <w:lang w:eastAsia="en-AU"/>
        </w:rPr>
        <w:t>.</w:t>
      </w:r>
      <w:r w:rsidR="00D738E4">
        <w:rPr>
          <w:lang w:eastAsia="en-AU"/>
        </w:rPr>
        <w:t xml:space="preserve"> It will take sustained effort and </w:t>
      </w:r>
      <w:r w:rsidR="00BC2E45">
        <w:rPr>
          <w:lang w:eastAsia="en-AU"/>
        </w:rPr>
        <w:t xml:space="preserve">strong </w:t>
      </w:r>
      <w:r w:rsidR="00D738E4">
        <w:rPr>
          <w:lang w:eastAsia="en-AU"/>
        </w:rPr>
        <w:t>leadership for human rights to be embedded in every public entity in Queensland.</w:t>
      </w:r>
    </w:p>
    <w:p w14:paraId="50783B73" w14:textId="6ED0433D" w:rsidR="00D738E4" w:rsidRPr="00C7746C" w:rsidRDefault="00D738E4" w:rsidP="00C7746C">
      <w:pPr>
        <w:rPr>
          <w:lang w:eastAsia="en-AU"/>
        </w:rPr>
      </w:pPr>
      <w:r>
        <w:rPr>
          <w:lang w:eastAsia="en-AU"/>
        </w:rPr>
        <w:t>That’s why this year, the Commission has focussed on the question of human rights leadership and what role it has to play in ensuring sustained cultural change [</w:t>
      </w:r>
      <w:r w:rsidR="005730FF">
        <w:rPr>
          <w:lang w:eastAsia="en-AU"/>
        </w:rPr>
        <w:t>r</w:t>
      </w:r>
      <w:r>
        <w:rPr>
          <w:lang w:eastAsia="en-AU"/>
        </w:rPr>
        <w:t xml:space="preserve">efer to </w:t>
      </w:r>
      <w:r>
        <w:rPr>
          <w:i/>
          <w:lang w:eastAsia="en-AU"/>
        </w:rPr>
        <w:t xml:space="preserve">Human rights in the public sector – Developing a human rights culture </w:t>
      </w:r>
      <w:r>
        <w:rPr>
          <w:lang w:eastAsia="en-AU"/>
        </w:rPr>
        <w:t xml:space="preserve">on page </w:t>
      </w:r>
      <w:r w:rsidR="00522BFC">
        <w:rPr>
          <w:lang w:eastAsia="en-AU"/>
        </w:rPr>
        <w:t>74</w:t>
      </w:r>
      <w:r>
        <w:rPr>
          <w:lang w:eastAsia="en-AU"/>
        </w:rPr>
        <w:t>].</w:t>
      </w:r>
    </w:p>
    <w:p w14:paraId="71B1F62B" w14:textId="5FE79BD2" w:rsidR="009B0759" w:rsidRPr="00E57A70" w:rsidRDefault="009B0759" w:rsidP="009B0759">
      <w:pPr>
        <w:pStyle w:val="Heading2"/>
        <w:rPr>
          <w:color w:val="373D42"/>
        </w:rPr>
      </w:pPr>
      <w:bookmarkStart w:id="83" w:name="_Toc84593832"/>
      <w:bookmarkStart w:id="84" w:name="_Toc85451705"/>
      <w:bookmarkStart w:id="85" w:name="_Toc85526627"/>
      <w:bookmarkStart w:id="86" w:name="_Toc85787042"/>
      <w:r w:rsidRPr="00E57A70">
        <w:rPr>
          <w:color w:val="373D42"/>
        </w:rPr>
        <w:t>Cultural rights upheld</w:t>
      </w:r>
      <w:bookmarkEnd w:id="83"/>
      <w:bookmarkEnd w:id="84"/>
      <w:bookmarkEnd w:id="85"/>
      <w:bookmarkEnd w:id="86"/>
    </w:p>
    <w:p w14:paraId="51B97B71" w14:textId="0AA80C62" w:rsidR="009B0759" w:rsidRDefault="009B0759" w:rsidP="009B0759">
      <w:pPr>
        <w:rPr>
          <w:lang w:eastAsia="en-AU"/>
        </w:rPr>
      </w:pPr>
      <w:r>
        <w:rPr>
          <w:lang w:eastAsia="en-AU"/>
        </w:rPr>
        <w:t xml:space="preserve">2020-21 has been a significant year for Aboriginal and Torres Strait Islander </w:t>
      </w:r>
      <w:r w:rsidR="007E4010">
        <w:rPr>
          <w:lang w:eastAsia="en-AU"/>
        </w:rPr>
        <w:t xml:space="preserve">peoples’ </w:t>
      </w:r>
      <w:r>
        <w:rPr>
          <w:lang w:eastAsia="en-AU"/>
        </w:rPr>
        <w:t xml:space="preserve">cultural rights, </w:t>
      </w:r>
      <w:r w:rsidR="0090229C">
        <w:rPr>
          <w:lang w:eastAsia="en-AU"/>
        </w:rPr>
        <w:t xml:space="preserve">which are </w:t>
      </w:r>
      <w:r>
        <w:rPr>
          <w:lang w:eastAsia="en-AU"/>
        </w:rPr>
        <w:t>protected under section 28 of the Act.</w:t>
      </w:r>
      <w:r w:rsidR="00BA0114">
        <w:rPr>
          <w:lang w:eastAsia="en-AU"/>
        </w:rPr>
        <w:t xml:space="preserve"> Firstly, </w:t>
      </w:r>
      <w:r w:rsidR="003E395B">
        <w:rPr>
          <w:lang w:eastAsia="en-AU"/>
        </w:rPr>
        <w:t xml:space="preserve">2021 saw the </w:t>
      </w:r>
      <w:r w:rsidR="00BA0114">
        <w:rPr>
          <w:lang w:eastAsia="en-AU"/>
        </w:rPr>
        <w:t>passage of landmark legislation to legally recognise traditional Torres Strait Islander adoption practices.</w:t>
      </w:r>
      <w:r w:rsidR="00BA0114">
        <w:rPr>
          <w:rStyle w:val="FootnoteReference"/>
          <w:lang w:eastAsia="en-AU"/>
        </w:rPr>
        <w:footnoteReference w:id="7"/>
      </w:r>
    </w:p>
    <w:p w14:paraId="4729F79B" w14:textId="44068DE5" w:rsidR="004A235D" w:rsidRDefault="005F2760" w:rsidP="0F6617A5">
      <w:pPr>
        <w:rPr>
          <w:lang w:eastAsia="en-AU"/>
        </w:rPr>
      </w:pPr>
      <w:r>
        <w:rPr>
          <w:lang w:eastAsia="en-AU"/>
        </w:rPr>
        <w:t xml:space="preserve">Of </w:t>
      </w:r>
      <w:r w:rsidR="239BE957" w:rsidRPr="0C4E1D73">
        <w:rPr>
          <w:lang w:eastAsia="en-AU"/>
        </w:rPr>
        <w:t>the</w:t>
      </w:r>
      <w:r w:rsidR="0630238D" w:rsidDel="007C4629">
        <w:rPr>
          <w:lang w:eastAsia="en-AU"/>
        </w:rPr>
        <w:t xml:space="preserve"> </w:t>
      </w:r>
      <w:r w:rsidR="0630238D">
        <w:rPr>
          <w:lang w:eastAsia="en-AU"/>
        </w:rPr>
        <w:t xml:space="preserve">complaints </w:t>
      </w:r>
      <w:r w:rsidR="007C4629">
        <w:rPr>
          <w:lang w:eastAsia="en-AU"/>
        </w:rPr>
        <w:t xml:space="preserve">received </w:t>
      </w:r>
      <w:r w:rsidR="0630238D">
        <w:rPr>
          <w:lang w:eastAsia="en-AU"/>
        </w:rPr>
        <w:t>about human rights</w:t>
      </w:r>
      <w:r w:rsidR="007C4629">
        <w:rPr>
          <w:lang w:eastAsia="en-AU"/>
        </w:rPr>
        <w:t xml:space="preserve">, one in 10 </w:t>
      </w:r>
      <w:r w:rsidR="421ADD47">
        <w:rPr>
          <w:lang w:eastAsia="en-AU"/>
        </w:rPr>
        <w:t>were</w:t>
      </w:r>
      <w:r w:rsidR="007C4629">
        <w:rPr>
          <w:lang w:eastAsia="en-AU"/>
        </w:rPr>
        <w:t xml:space="preserve"> made by</w:t>
      </w:r>
      <w:r w:rsidR="00812CF5">
        <w:rPr>
          <w:lang w:eastAsia="en-AU"/>
        </w:rPr>
        <w:t xml:space="preserve"> Aboriginal or Torres Strait Islander</w:t>
      </w:r>
      <w:r w:rsidR="007C4629">
        <w:rPr>
          <w:lang w:eastAsia="en-AU"/>
        </w:rPr>
        <w:t xml:space="preserve"> people</w:t>
      </w:r>
      <w:r w:rsidR="00812CF5">
        <w:rPr>
          <w:lang w:eastAsia="en-AU"/>
        </w:rPr>
        <w:t xml:space="preserve">. </w:t>
      </w:r>
    </w:p>
    <w:p w14:paraId="4A7E5784" w14:textId="3DB1B514" w:rsidR="00876093" w:rsidRDefault="00876093" w:rsidP="00876093">
      <w:pPr>
        <w:rPr>
          <w:lang w:eastAsia="en-AU"/>
        </w:rPr>
      </w:pPr>
      <w:r>
        <w:rPr>
          <w:lang w:eastAsia="en-AU"/>
        </w:rPr>
        <w:t xml:space="preserve">Section 28 of the Act upholds the distinct cultural rights of Aboriginal and Torres Strait Islander people, ensuring that </w:t>
      </w:r>
      <w:r w:rsidR="00D930A7">
        <w:rPr>
          <w:lang w:eastAsia="en-AU"/>
        </w:rPr>
        <w:t>they</w:t>
      </w:r>
      <w:r>
        <w:rPr>
          <w:lang w:eastAsia="en-AU"/>
        </w:rPr>
        <w:t xml:space="preserve"> </w:t>
      </w:r>
      <w:r w:rsidR="007B25CA">
        <w:rPr>
          <w:lang w:eastAsia="en-AU"/>
        </w:rPr>
        <w:t xml:space="preserve">are </w:t>
      </w:r>
      <w:r>
        <w:rPr>
          <w:lang w:eastAsia="en-AU"/>
        </w:rPr>
        <w:t>free to practice their cultures. As demonstrated by a</w:t>
      </w:r>
      <w:r w:rsidR="00402391">
        <w:rPr>
          <w:lang w:eastAsia="en-AU"/>
        </w:rPr>
        <w:t xml:space="preserve"> complaint</w:t>
      </w:r>
      <w:r>
        <w:rPr>
          <w:lang w:eastAsia="en-AU"/>
        </w:rPr>
        <w:t xml:space="preserve"> resolved </w:t>
      </w:r>
      <w:r w:rsidR="00402391">
        <w:rPr>
          <w:lang w:eastAsia="en-AU"/>
        </w:rPr>
        <w:t>by the Commission</w:t>
      </w:r>
      <w:r>
        <w:rPr>
          <w:lang w:eastAsia="en-AU"/>
        </w:rPr>
        <w:t>, cultural rights may apply even when native title has been extinguished.</w:t>
      </w:r>
    </w:p>
    <w:p w14:paraId="236176BE" w14:textId="5A834924" w:rsidR="00402391" w:rsidRDefault="00402391" w:rsidP="0F6617A5">
      <w:pPr>
        <w:rPr>
          <w:lang w:eastAsia="en-AU"/>
        </w:rPr>
      </w:pPr>
      <w:r>
        <w:rPr>
          <w:lang w:eastAsia="en-AU"/>
        </w:rPr>
        <w:t>T</w:t>
      </w:r>
      <w:r w:rsidR="00BA0114">
        <w:rPr>
          <w:lang w:eastAsia="en-AU"/>
        </w:rPr>
        <w:t xml:space="preserve">raditional </w:t>
      </w:r>
      <w:r w:rsidR="00E47AFE">
        <w:rPr>
          <w:lang w:eastAsia="en-AU"/>
        </w:rPr>
        <w:t xml:space="preserve">Wangan and </w:t>
      </w:r>
      <w:proofErr w:type="spellStart"/>
      <w:r w:rsidR="00E47AFE">
        <w:rPr>
          <w:lang w:eastAsia="en-AU"/>
        </w:rPr>
        <w:t>Jagalingou</w:t>
      </w:r>
      <w:proofErr w:type="spellEnd"/>
      <w:r w:rsidR="00E47AFE">
        <w:rPr>
          <w:lang w:eastAsia="en-AU"/>
        </w:rPr>
        <w:t xml:space="preserve"> </w:t>
      </w:r>
      <w:r w:rsidR="00BA0114">
        <w:rPr>
          <w:lang w:eastAsia="en-AU"/>
        </w:rPr>
        <w:t xml:space="preserve">custodians </w:t>
      </w:r>
      <w:r w:rsidR="00B8233F">
        <w:rPr>
          <w:lang w:eastAsia="en-AU"/>
        </w:rPr>
        <w:t>relied on the Act to</w:t>
      </w:r>
      <w:r w:rsidR="00E47AFE">
        <w:rPr>
          <w:lang w:eastAsia="en-AU"/>
        </w:rPr>
        <w:t xml:space="preserve"> </w:t>
      </w:r>
      <w:r w:rsidR="00463403">
        <w:rPr>
          <w:lang w:eastAsia="en-AU"/>
        </w:rPr>
        <w:t>protect</w:t>
      </w:r>
      <w:r w:rsidR="00BA0114">
        <w:rPr>
          <w:lang w:eastAsia="en-AU"/>
        </w:rPr>
        <w:t xml:space="preserve"> their cultural rights</w:t>
      </w:r>
      <w:r w:rsidR="00CF0FB7">
        <w:rPr>
          <w:lang w:eastAsia="en-AU"/>
        </w:rPr>
        <w:t xml:space="preserve"> </w:t>
      </w:r>
      <w:r w:rsidR="000B3060">
        <w:rPr>
          <w:lang w:eastAsia="en-AU"/>
        </w:rPr>
        <w:t>to perform ceremonies on</w:t>
      </w:r>
      <w:r w:rsidR="00CF0FB7">
        <w:rPr>
          <w:lang w:eastAsia="en-AU"/>
        </w:rPr>
        <w:t xml:space="preserve"> </w:t>
      </w:r>
      <w:r w:rsidR="000B3060">
        <w:rPr>
          <w:lang w:eastAsia="en-AU"/>
        </w:rPr>
        <w:t>land granted to Adani’s Carmichael coal mine</w:t>
      </w:r>
      <w:r w:rsidR="21DF1275">
        <w:rPr>
          <w:lang w:eastAsia="en-AU"/>
        </w:rPr>
        <w:t>.</w:t>
      </w:r>
      <w:r w:rsidR="0AC82FCC">
        <w:rPr>
          <w:lang w:eastAsia="en-AU"/>
        </w:rPr>
        <w:t xml:space="preserve"> </w:t>
      </w:r>
      <w:r w:rsidR="00B62445">
        <w:rPr>
          <w:lang w:eastAsia="en-AU"/>
        </w:rPr>
        <w:t xml:space="preserve">Community leader Adrian </w:t>
      </w:r>
      <w:proofErr w:type="spellStart"/>
      <w:r w:rsidR="00B62445">
        <w:rPr>
          <w:lang w:eastAsia="en-AU"/>
        </w:rPr>
        <w:t>Burr</w:t>
      </w:r>
      <w:r w:rsidR="319C3F63">
        <w:rPr>
          <w:lang w:eastAsia="en-AU"/>
        </w:rPr>
        <w:t>a</w:t>
      </w:r>
      <w:r w:rsidR="00B62445">
        <w:rPr>
          <w:lang w:eastAsia="en-AU"/>
        </w:rPr>
        <w:t>gubba</w:t>
      </w:r>
      <w:proofErr w:type="spellEnd"/>
      <w:r w:rsidR="00B62445">
        <w:rPr>
          <w:lang w:eastAsia="en-AU"/>
        </w:rPr>
        <w:t xml:space="preserve"> brought a complaint to the Commission</w:t>
      </w:r>
      <w:r w:rsidR="00A25F35">
        <w:rPr>
          <w:rStyle w:val="FootnoteReference"/>
          <w:lang w:eastAsia="en-AU"/>
        </w:rPr>
        <w:footnoteReference w:id="8"/>
      </w:r>
      <w:r w:rsidR="00A25F35">
        <w:rPr>
          <w:lang w:eastAsia="en-AU"/>
        </w:rPr>
        <w:t xml:space="preserve"> </w:t>
      </w:r>
      <w:r w:rsidR="00B62445">
        <w:rPr>
          <w:lang w:eastAsia="en-AU"/>
        </w:rPr>
        <w:t xml:space="preserve"> </w:t>
      </w:r>
      <w:r w:rsidR="00EF7517">
        <w:rPr>
          <w:lang w:eastAsia="en-AU"/>
        </w:rPr>
        <w:t xml:space="preserve">after police asked a group of </w:t>
      </w:r>
      <w:r>
        <w:rPr>
          <w:lang w:eastAsia="en-AU"/>
        </w:rPr>
        <w:t xml:space="preserve">traditional </w:t>
      </w:r>
      <w:r w:rsidR="005B791F">
        <w:rPr>
          <w:lang w:eastAsia="en-AU"/>
        </w:rPr>
        <w:t xml:space="preserve">custodians </w:t>
      </w:r>
      <w:r w:rsidR="00EF7517">
        <w:rPr>
          <w:lang w:eastAsia="en-AU"/>
        </w:rPr>
        <w:t xml:space="preserve">to </w:t>
      </w:r>
      <w:r>
        <w:rPr>
          <w:lang w:eastAsia="en-AU"/>
        </w:rPr>
        <w:t>stop conducting ceremon</w:t>
      </w:r>
      <w:r w:rsidR="0026265B">
        <w:rPr>
          <w:lang w:eastAsia="en-AU"/>
        </w:rPr>
        <w:t>ies</w:t>
      </w:r>
      <w:r>
        <w:rPr>
          <w:lang w:eastAsia="en-AU"/>
        </w:rPr>
        <w:t xml:space="preserve"> and </w:t>
      </w:r>
      <w:r w:rsidR="00EF7517">
        <w:rPr>
          <w:lang w:eastAsia="en-AU"/>
        </w:rPr>
        <w:t>leave</w:t>
      </w:r>
      <w:r w:rsidR="005B791F">
        <w:rPr>
          <w:lang w:eastAsia="en-AU"/>
        </w:rPr>
        <w:t xml:space="preserve"> </w:t>
      </w:r>
      <w:r w:rsidR="5AAE6643">
        <w:rPr>
          <w:lang w:eastAsia="en-AU"/>
        </w:rPr>
        <w:t>the site</w:t>
      </w:r>
      <w:r w:rsidR="005B791F">
        <w:rPr>
          <w:lang w:eastAsia="en-AU"/>
        </w:rPr>
        <w:t xml:space="preserve">. </w:t>
      </w:r>
      <w:r w:rsidR="00E37E03">
        <w:rPr>
          <w:lang w:eastAsia="en-AU"/>
        </w:rPr>
        <w:t xml:space="preserve">The complaint was resolved through the conciliation process, and the Queensland Police Service issued a public apology. </w:t>
      </w:r>
    </w:p>
    <w:p w14:paraId="31EB908F" w14:textId="2798421E" w:rsidR="0F6617A5" w:rsidRDefault="4A53F56F" w:rsidP="0F6617A5">
      <w:pPr>
        <w:rPr>
          <w:lang w:eastAsia="en-AU"/>
        </w:rPr>
      </w:pPr>
      <w:r>
        <w:rPr>
          <w:lang w:eastAsia="en-AU"/>
        </w:rPr>
        <w:lastRenderedPageBreak/>
        <w:t>T</w:t>
      </w:r>
      <w:r w:rsidR="0AC82FCC">
        <w:rPr>
          <w:lang w:eastAsia="en-AU"/>
        </w:rPr>
        <w:t>he</w:t>
      </w:r>
      <w:r w:rsidR="00BA0114">
        <w:rPr>
          <w:lang w:eastAsia="en-AU"/>
        </w:rPr>
        <w:t xml:space="preserve"> outcome </w:t>
      </w:r>
      <w:r w:rsidR="00E37E03">
        <w:rPr>
          <w:lang w:eastAsia="en-AU"/>
        </w:rPr>
        <w:t>indicates</w:t>
      </w:r>
      <w:r w:rsidR="00BA0114">
        <w:rPr>
          <w:lang w:eastAsia="en-AU"/>
        </w:rPr>
        <w:t xml:space="preserve"> a strong commitment</w:t>
      </w:r>
      <w:r w:rsidR="009B0759">
        <w:rPr>
          <w:lang w:eastAsia="en-AU"/>
        </w:rPr>
        <w:t xml:space="preserve"> by </w:t>
      </w:r>
      <w:r w:rsidR="00CC4A2C">
        <w:rPr>
          <w:lang w:eastAsia="en-AU"/>
        </w:rPr>
        <w:t xml:space="preserve">the </w:t>
      </w:r>
      <w:r w:rsidR="009B0759">
        <w:rPr>
          <w:lang w:eastAsia="en-AU"/>
        </w:rPr>
        <w:t xml:space="preserve">Queensland Police Service to </w:t>
      </w:r>
      <w:r w:rsidR="0AC82FCC">
        <w:rPr>
          <w:lang w:eastAsia="en-AU"/>
        </w:rPr>
        <w:t>uphold</w:t>
      </w:r>
      <w:r w:rsidR="009B0759">
        <w:rPr>
          <w:lang w:eastAsia="en-AU"/>
        </w:rPr>
        <w:t xml:space="preserve"> the cultural rights</w:t>
      </w:r>
      <w:r w:rsidR="00BC17B8">
        <w:rPr>
          <w:lang w:eastAsia="en-AU"/>
        </w:rPr>
        <w:t xml:space="preserve"> of Aboriginal peoples and Torres Strait Islander peoples</w:t>
      </w:r>
      <w:r w:rsidR="00BA0114">
        <w:rPr>
          <w:lang w:eastAsia="en-AU"/>
        </w:rPr>
        <w:t xml:space="preserve"> </w:t>
      </w:r>
      <w:r w:rsidR="00C30D5F">
        <w:rPr>
          <w:lang w:eastAsia="en-AU"/>
        </w:rPr>
        <w:t>and</w:t>
      </w:r>
      <w:r w:rsidR="00BA0114">
        <w:rPr>
          <w:lang w:eastAsia="en-AU"/>
        </w:rPr>
        <w:t xml:space="preserve"> demonstrates the value of the Act for Queensland’s First Nations peoples.</w:t>
      </w:r>
    </w:p>
    <w:p w14:paraId="7071B326" w14:textId="5B9E5619" w:rsidR="00E57A70" w:rsidRDefault="00E57A70">
      <w:pPr>
        <w:spacing w:line="259" w:lineRule="auto"/>
        <w:ind w:right="0"/>
        <w:rPr>
          <w:rFonts w:eastAsia="Times New Roman" w:cs="Times New Roman"/>
          <w:bCs/>
          <w:color w:val="373D42"/>
          <w:kern w:val="36"/>
          <w:sz w:val="48"/>
          <w:szCs w:val="48"/>
          <w:lang w:eastAsia="en-AU"/>
        </w:rPr>
      </w:pPr>
      <w:bookmarkStart w:id="87" w:name="_Toc84593833"/>
      <w:bookmarkStart w:id="88" w:name="_Toc85451706"/>
    </w:p>
    <w:p w14:paraId="138BC6E7" w14:textId="097C5D4C" w:rsidR="007A57D6" w:rsidRPr="00E57A70" w:rsidRDefault="007A57D6" w:rsidP="007A57D6">
      <w:pPr>
        <w:pStyle w:val="Heading1"/>
        <w:rPr>
          <w:color w:val="373D42"/>
        </w:rPr>
      </w:pPr>
      <w:bookmarkStart w:id="89" w:name="_Toc85526628"/>
      <w:bookmarkStart w:id="90" w:name="_Toc85787043"/>
      <w:r w:rsidRPr="00E57A70">
        <w:rPr>
          <w:color w:val="373D42"/>
        </w:rPr>
        <w:t>Human Rights Act snapshot of 2020-21: A timeline</w:t>
      </w:r>
      <w:bookmarkEnd w:id="87"/>
      <w:bookmarkEnd w:id="88"/>
      <w:bookmarkEnd w:id="89"/>
      <w:bookmarkEnd w:id="90"/>
    </w:p>
    <w:p w14:paraId="745A4BAE" w14:textId="034B66DD" w:rsidR="007A57D6" w:rsidRDefault="007A57D6" w:rsidP="007A57D6">
      <w:r>
        <w:t xml:space="preserve">Below is a brief timeline of some of the key events relevant to the operation of the Act in its second year. </w:t>
      </w:r>
    </w:p>
    <w:p w14:paraId="7EB5E78D" w14:textId="715C2401" w:rsidR="00E57A70" w:rsidRDefault="00E57A70" w:rsidP="007A57D6"/>
    <w:p w14:paraId="18009D0F" w14:textId="70E0D760" w:rsidR="00E57A70" w:rsidRDefault="00E57A70" w:rsidP="007A57D6">
      <w:r>
        <w:rPr>
          <w:noProof/>
          <w:lang w:eastAsia="en-AU"/>
        </w:rPr>
        <w:drawing>
          <wp:inline distT="0" distB="0" distL="0" distR="0" wp14:anchorId="7CB365CC" wp14:editId="02642102">
            <wp:extent cx="2705100" cy="3717968"/>
            <wp:effectExtent l="0" t="0" r="0" b="0"/>
            <wp:docPr id="18" name="Picture 18" descr="This image shows the legend used for the human rights timeline shown on the following page. The timeline shows key events relevant to the operation of the Act in its second year, over 6 categories. Each category has an icon to denote its events on the timeline, as follows: &#10;&#10;First Nations peoples: a red circle with a white icon of the Aboriginal and Torres Strait Islander flags inside. &#10;&#10;Civil liberties: a brown circle with a white icon of a gavel inside. &#10;&#10;The fight for equality: an orange circle with a white equals sign inside. &#10;&#10;Children and families: a yellow circle with a white icon of an adult holding a child by the hand.&#10;&#10;Life and health: a blue circle with a white icon of a plant inside. &#10;&#10;Prisons and institutions: a navy circle with a white icon of handcuffs on the inside. " title="Legend for human rights timelin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timeline_legend.png"/>
                    <pic:cNvPicPr/>
                  </pic:nvPicPr>
                  <pic:blipFill rotWithShape="1">
                    <a:blip r:embed="rId25" cstate="print">
                      <a:extLst>
                        <a:ext uri="{28A0092B-C50C-407E-A947-70E740481C1C}">
                          <a14:useLocalDpi xmlns:a14="http://schemas.microsoft.com/office/drawing/2010/main" val="0"/>
                        </a:ext>
                      </a:extLst>
                    </a:blip>
                    <a:srcRect l="5691" t="5691" r="60624" b="48011"/>
                    <a:stretch/>
                  </pic:blipFill>
                  <pic:spPr bwMode="auto">
                    <a:xfrm>
                      <a:off x="0" y="0"/>
                      <a:ext cx="2708945" cy="3723253"/>
                    </a:xfrm>
                    <a:prstGeom prst="rect">
                      <a:avLst/>
                    </a:prstGeom>
                    <a:ln>
                      <a:noFill/>
                    </a:ln>
                    <a:extLst>
                      <a:ext uri="{53640926-AAD7-44D8-BBD7-CCE9431645EC}">
                        <a14:shadowObscured xmlns:a14="http://schemas.microsoft.com/office/drawing/2010/main"/>
                      </a:ext>
                    </a:extLst>
                  </pic:spPr>
                </pic:pic>
              </a:graphicData>
            </a:graphic>
          </wp:inline>
        </w:drawing>
      </w:r>
    </w:p>
    <w:p w14:paraId="682B4FB8" w14:textId="77777777" w:rsidR="00152303" w:rsidRDefault="00152303" w:rsidP="007A57D6"/>
    <w:p w14:paraId="2DADE8B0" w14:textId="21130ABD" w:rsidR="00152303" w:rsidRDefault="00152303" w:rsidP="007A57D6">
      <w:r>
        <w:rPr>
          <w:noProof/>
          <w:lang w:eastAsia="en-AU"/>
        </w:rPr>
        <w:lastRenderedPageBreak/>
        <w:drawing>
          <wp:inline distT="0" distB="0" distL="0" distR="0" wp14:anchorId="728FC26F" wp14:editId="2E70A695">
            <wp:extent cx="6408862" cy="8305800"/>
            <wp:effectExtent l="0" t="0" r="0" b="0"/>
            <wp:docPr id="19" name="Picture 19" descr="2020 &#10;&#10;8 August: The Commission intervened in a matter before the Supreme Court about an injunction to prevent a blockade of Brisbane's Story Bridge, and argued that the court must consider human rights protection for all people. See Attorney-General for the State of Queensland v Sri &amp; Ors [2020] QSC 246. &#10;&#10;4 September: The Land Court of Queensland, when hearing objections to an application for a mining lease under the Mineral Resources Act 1989 and environmental authority under the Environmental Protection Act 1994, accepted it was acting in an administrative capacity and is a public entity under the Human Rights Act 2019. See Waratah Coal Pty Ltd v Youth Verdict Ltd &amp; Ors [2020] QLC 33 &#10;&#10;15 October: The Commission published its first report and recommendations on an unresolved complaint about hotel quarantine conditions. &#10;&#10;17 November: The Queensland Industrial Relations Commission, when hearing an application for an exemption under the Anti-Discrimination Act 1991, found it was acting in an administrative capacity and must observe its obligations as a public entity under the Human Rights Act 2019. See Re Ipswich City Council [2020] QIRC 194. &#10;&#10;2021 &#10;&#10;25 February: Parliament passed the controversial Youth Justice and Other Legislation Amendment Bill 2021 that allows a court to grant bail to a child on condition that the child wears a GPS monitoring device. The Commission opposed the use of the monitoring devices and new requirements for children to 'show cause' to be granted bail. &#10;&#10;1 April: Commencement of some provisions of the Meriba Omasker Kaziw Kazipa (Torres Strait Traditional Child Rearing Practice) Act 2020, with remaining provisions commenced on 1 July 2021. &#10;&#10;21 April: Queensland Parliament’s Legislative Assembly agreed that the Legal Affairs and Safety Committee inquire into and report on the nature and extent of hate crimes and serious vilification in Queensland. &#10;&#10;3 May: The Premier announced a review of industrial relations laws, including protections for workers subjected to workplace sexual harassment. &#10;&#10;4 May: The Attorney-General announced a review by the Commission of the Anti-Discrimination Act 1991 to ‘consider whether any reforms are needed to update the laws to best protect and promote equality, non-discrimination and the realisation of human right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2020 &#10;&#10;8 August: The Commission intervened in a matter before the Supreme Court about an injunction to prevent a blockade of Brisbane's Story Bridge, and argued that the court must consider human rights protection for all people. See Attorney-General for the State of Queensland v Sri &amp; Ors [2020] QSC 246. &#10;&#10;4 September: The Land Court of Queensland, when hearing objections to an application for a mining lease under the Mineral Resources Act 1989 and environmental authority under the Environmental Protection Act 1994, accepted it was acting in an administrative capacity and is a public entity under the Human Rights Act 2019. See Waratah Coal Pty Ltd v Youth Verdict Ltd &amp; Ors [2020] QLC 33 &#10;&#10;15 October: The Commission published its first report and recommendations on an unresolved complaint about hotel quarantine conditions. &#10;&#10;17 November: The Queensland Industrial Relations Commission, when hearing an application for an exemption under the Anti-Discrimination Act 1991, found it was acting in an administrative capacity and must observe its obligations as a public entity under the Human Rights Act 2019. See Re Ipswich City Council [2020] QIRC 194. &#10;&#10;2021 &#10;&#10;25 February: Parliament passed the controversial Youth Justice and Other Legislation Amendment Bill 2021 that allows a court to grant bail to a child on condition that the child wears a GPS monitoring device. The Commission opposed the use of the monitoring devices and new requirements for children to 'show cause' to be granted bail. &#10;&#10;1 April: Commencement of some provisions of the Meriba Omasker Kaziw Kazipa (Torres Strait Traditional Child Rearing Practice) Act 2020, with remaining provisions commenced on 1 July 2021. &#10;&#10;21 April: Queensland Parliament’s Legislative Assembly agreed that the Legal Affairs and Safety Committee inquire into and report on the nature and extent of hate crimes and serious vilification in Queensland. &#10;&#10;3 May: The Premier announced a review of industrial relations laws, including protections for workers subjected to workplace sexual harassment. &#10;&#10;4 May: The Attorney-General announced a review by the Commission of the Anti-Discrimination Act 1991 to ‘consider whether any reforms are needed to update the laws to best protect and promote equality, non-discrimination and the realisation of human rights.’  "/>
                    <pic:cNvPicPr/>
                  </pic:nvPicPr>
                  <pic:blipFill rotWithShape="1">
                    <a:blip r:embed="rId26" cstate="print">
                      <a:extLst>
                        <a:ext uri="{28A0092B-C50C-407E-A947-70E740481C1C}">
                          <a14:useLocalDpi xmlns:a14="http://schemas.microsoft.com/office/drawing/2010/main" val="0"/>
                        </a:ext>
                      </a:extLst>
                    </a:blip>
                    <a:srcRect l="4269" t="12506" r="4554" b="3939"/>
                    <a:stretch/>
                  </pic:blipFill>
                  <pic:spPr bwMode="auto">
                    <a:xfrm>
                      <a:off x="0" y="0"/>
                      <a:ext cx="6414848" cy="8313558"/>
                    </a:xfrm>
                    <a:prstGeom prst="rect">
                      <a:avLst/>
                    </a:prstGeom>
                    <a:ln>
                      <a:noFill/>
                    </a:ln>
                    <a:extLst>
                      <a:ext uri="{53640926-AAD7-44D8-BBD7-CCE9431645EC}">
                        <a14:shadowObscured xmlns:a14="http://schemas.microsoft.com/office/drawing/2010/main"/>
                      </a:ext>
                    </a:extLst>
                  </pic:spPr>
                </pic:pic>
              </a:graphicData>
            </a:graphic>
          </wp:inline>
        </w:drawing>
      </w:r>
    </w:p>
    <w:p w14:paraId="1F7AD51B" w14:textId="7C550694" w:rsidR="1C1860BC" w:rsidRDefault="1C1860BC" w:rsidP="674E917E"/>
    <w:p w14:paraId="4A19C885" w14:textId="77777777" w:rsidR="00D23559" w:rsidRDefault="00D23559">
      <w:pPr>
        <w:keepLines w:val="0"/>
        <w:widowControl/>
        <w:spacing w:line="259" w:lineRule="auto"/>
        <w:ind w:right="0"/>
        <w:rPr>
          <w:rFonts w:eastAsia="Times New Roman" w:cs="Times New Roman"/>
          <w:bCs/>
          <w:color w:val="383D41"/>
          <w:kern w:val="36"/>
          <w:sz w:val="48"/>
          <w:szCs w:val="48"/>
          <w:lang w:eastAsia="en-AU"/>
        </w:rPr>
      </w:pPr>
      <w:bookmarkStart w:id="91" w:name="_Toc84593836"/>
      <w:bookmarkStart w:id="92" w:name="_Toc85451709"/>
      <w:bookmarkStart w:id="93" w:name="_Toc84593838"/>
      <w:bookmarkStart w:id="94" w:name="_Toc85526629"/>
      <w:bookmarkStart w:id="95" w:name="_Toc85787044"/>
      <w:bookmarkEnd w:id="91"/>
      <w:r>
        <w:rPr>
          <w:color w:val="383D41"/>
        </w:rPr>
        <w:br w:type="page"/>
      </w:r>
    </w:p>
    <w:p w14:paraId="459C59D1" w14:textId="473B5431" w:rsidR="00104D42" w:rsidRPr="00EF65A2" w:rsidRDefault="00104D42" w:rsidP="00104D42">
      <w:pPr>
        <w:pStyle w:val="Heading1"/>
        <w:rPr>
          <w:color w:val="383D41"/>
        </w:rPr>
      </w:pPr>
      <w:r w:rsidRPr="00EF65A2">
        <w:rPr>
          <w:color w:val="383D41"/>
        </w:rPr>
        <w:lastRenderedPageBreak/>
        <w:t>Report</w:t>
      </w:r>
      <w:r w:rsidR="00673124" w:rsidRPr="00EF65A2">
        <w:rPr>
          <w:color w:val="383D41"/>
        </w:rPr>
        <w:t xml:space="preserve"> </w:t>
      </w:r>
      <w:r w:rsidR="00C74C5A" w:rsidRPr="00EF65A2">
        <w:rPr>
          <w:color w:val="383D41"/>
        </w:rPr>
        <w:t>s</w:t>
      </w:r>
      <w:r w:rsidR="00673124" w:rsidRPr="00EF65A2">
        <w:rPr>
          <w:color w:val="383D41"/>
        </w:rPr>
        <w:t>ummary</w:t>
      </w:r>
      <w:bookmarkEnd w:id="92"/>
      <w:bookmarkEnd w:id="93"/>
      <w:bookmarkEnd w:id="94"/>
      <w:bookmarkEnd w:id="95"/>
    </w:p>
    <w:p w14:paraId="010E2BFD" w14:textId="04B43EB0" w:rsidR="009773E4" w:rsidRDefault="00277689" w:rsidP="00442BE1">
      <w:r w:rsidRPr="008A00EB">
        <w:t xml:space="preserve">The Act </w:t>
      </w:r>
      <w:r w:rsidR="00E16CF3" w:rsidRPr="008A00EB">
        <w:t xml:space="preserve">requires </w:t>
      </w:r>
      <w:r w:rsidR="008D17E0">
        <w:t xml:space="preserve">under s91 </w:t>
      </w:r>
      <w:r w:rsidR="00E16CF3" w:rsidRPr="008A00EB">
        <w:t xml:space="preserve">that this report contain particular information. This information has been summarised below, </w:t>
      </w:r>
      <w:r w:rsidR="00E03AB8">
        <w:t xml:space="preserve">along </w:t>
      </w:r>
      <w:r w:rsidR="00E16CF3" w:rsidRPr="008A00EB">
        <w:t>with the location of more detailed commentary in this report.</w:t>
      </w:r>
    </w:p>
    <w:p w14:paraId="698F664A" w14:textId="1EAA7E28" w:rsidR="00C910B9" w:rsidRPr="008A00EB" w:rsidRDefault="009773E4" w:rsidP="00837455">
      <w:pPr>
        <w:pStyle w:val="Caption"/>
      </w:pPr>
      <w:r>
        <w:t>Table 1: Required information for this report under s91 of the Human Rights Act 2019</w:t>
      </w:r>
      <w:r w:rsidR="00E16CF3" w:rsidRPr="008A00EB">
        <w:t xml:space="preserve"> </w:t>
      </w:r>
    </w:p>
    <w:tbl>
      <w:tblPr>
        <w:tblStyle w:val="TableGrid"/>
        <w:tblW w:w="0" w:type="auto"/>
        <w:tblBorders>
          <w:top w:val="single" w:sz="4" w:space="0" w:color="383D41"/>
          <w:left w:val="none" w:sz="0" w:space="0" w:color="auto"/>
          <w:bottom w:val="single" w:sz="4" w:space="0" w:color="383D41"/>
          <w:right w:val="none" w:sz="0" w:space="0" w:color="auto"/>
          <w:insideH w:val="single" w:sz="4" w:space="0" w:color="383D41"/>
          <w:insideV w:val="none" w:sz="0" w:space="0" w:color="auto"/>
        </w:tblBorders>
        <w:tblLook w:val="04A0" w:firstRow="1" w:lastRow="0" w:firstColumn="1" w:lastColumn="0" w:noHBand="0" w:noVBand="1"/>
      </w:tblPr>
      <w:tblGrid>
        <w:gridCol w:w="3351"/>
        <w:gridCol w:w="4162"/>
      </w:tblGrid>
      <w:tr w:rsidR="00EF65A2" w:rsidRPr="00EF65A2" w14:paraId="7A2D053B" w14:textId="77777777" w:rsidTr="00EF65A2">
        <w:trPr>
          <w:tblHeader/>
        </w:trPr>
        <w:tc>
          <w:tcPr>
            <w:tcW w:w="3351" w:type="dxa"/>
          </w:tcPr>
          <w:p w14:paraId="24815C52" w14:textId="69865A57" w:rsidR="00C910B9" w:rsidRPr="00EF65A2" w:rsidRDefault="00C910B9" w:rsidP="00626427">
            <w:pPr>
              <w:pStyle w:val="TableTextHeading"/>
              <w:rPr>
                <w:color w:val="383D41"/>
              </w:rPr>
            </w:pPr>
            <w:r w:rsidRPr="00EF65A2">
              <w:rPr>
                <w:color w:val="383D41"/>
              </w:rPr>
              <w:t>Section</w:t>
            </w:r>
          </w:p>
        </w:tc>
        <w:tc>
          <w:tcPr>
            <w:tcW w:w="4162" w:type="dxa"/>
          </w:tcPr>
          <w:p w14:paraId="11BF7D0D" w14:textId="6244A10E" w:rsidR="00C910B9" w:rsidRPr="00EF65A2" w:rsidRDefault="003E2EC1" w:rsidP="00626427">
            <w:pPr>
              <w:pStyle w:val="TableTextHeading"/>
              <w:rPr>
                <w:color w:val="383D41"/>
              </w:rPr>
            </w:pPr>
            <w:r w:rsidRPr="00EF65A2">
              <w:rPr>
                <w:color w:val="383D41"/>
              </w:rPr>
              <w:t xml:space="preserve">Required </w:t>
            </w:r>
            <w:r w:rsidR="00FD2B6E" w:rsidRPr="00EF65A2">
              <w:rPr>
                <w:color w:val="383D41"/>
              </w:rPr>
              <w:t>i</w:t>
            </w:r>
            <w:r w:rsidR="00C910B9" w:rsidRPr="00EF65A2">
              <w:rPr>
                <w:color w:val="383D41"/>
              </w:rPr>
              <w:t>nformation</w:t>
            </w:r>
          </w:p>
        </w:tc>
      </w:tr>
      <w:tr w:rsidR="00C910B9" w:rsidRPr="008A00EB" w14:paraId="0B39CFC4" w14:textId="77777777" w:rsidTr="00EF65A2">
        <w:tc>
          <w:tcPr>
            <w:tcW w:w="3351" w:type="dxa"/>
          </w:tcPr>
          <w:p w14:paraId="3EB023EE" w14:textId="59D0D13F" w:rsidR="00C910B9" w:rsidRPr="008A00EB" w:rsidRDefault="00FD2B6E" w:rsidP="00837455">
            <w:pPr>
              <w:pStyle w:val="TableText"/>
            </w:pPr>
            <w:r w:rsidRPr="008A00EB">
              <w:t>91(2)</w:t>
            </w:r>
            <w:r w:rsidR="00C910B9" w:rsidRPr="008A00EB">
              <w:t>(a)</w:t>
            </w:r>
          </w:p>
        </w:tc>
        <w:tc>
          <w:tcPr>
            <w:tcW w:w="4162" w:type="dxa"/>
          </w:tcPr>
          <w:p w14:paraId="5275026B" w14:textId="1EB32A70" w:rsidR="00C910B9" w:rsidRPr="008A00EB" w:rsidRDefault="00FD2B6E" w:rsidP="00837455">
            <w:pPr>
              <w:pStyle w:val="TableText"/>
              <w:rPr>
                <w:i/>
              </w:rPr>
            </w:pPr>
            <w:r w:rsidRPr="008A00EB">
              <w:rPr>
                <w:i/>
              </w:rPr>
              <w:t>d</w:t>
            </w:r>
            <w:r w:rsidR="00C910B9" w:rsidRPr="008A00EB">
              <w:rPr>
                <w:i/>
              </w:rPr>
              <w:t xml:space="preserve">etails of the examination of the interaction between this Act and other Acts, statutory instruments and the common law </w:t>
            </w:r>
          </w:p>
          <w:p w14:paraId="26D92E14" w14:textId="77777777" w:rsidR="00C910B9" w:rsidRPr="008A00EB" w:rsidRDefault="00C910B9" w:rsidP="00837455">
            <w:pPr>
              <w:pStyle w:val="TableText"/>
            </w:pPr>
          </w:p>
          <w:p w14:paraId="065F25CD" w14:textId="2B4A28F0" w:rsidR="00C910B9" w:rsidRPr="008A00EB" w:rsidRDefault="00C910B9" w:rsidP="00837455">
            <w:pPr>
              <w:pStyle w:val="TableText"/>
            </w:pPr>
            <w:r w:rsidRPr="008A00EB">
              <w:t xml:space="preserve">This provision refers to section 61(b) of the Act. The Commission has not been asked to perform this function in the </w:t>
            </w:r>
            <w:r w:rsidR="00584C8B">
              <w:t>2020-21</w:t>
            </w:r>
            <w:r w:rsidRPr="008A00EB">
              <w:t xml:space="preserve"> financial year.</w:t>
            </w:r>
          </w:p>
        </w:tc>
      </w:tr>
      <w:tr w:rsidR="00C910B9" w:rsidRPr="008A00EB" w14:paraId="4A3E8D33" w14:textId="77777777" w:rsidTr="00EF65A2">
        <w:tc>
          <w:tcPr>
            <w:tcW w:w="3351" w:type="dxa"/>
          </w:tcPr>
          <w:p w14:paraId="71FFFD61" w14:textId="393C3952" w:rsidR="00C910B9" w:rsidRPr="008A00EB" w:rsidRDefault="00FD2B6E" w:rsidP="00837455">
            <w:pPr>
              <w:pStyle w:val="TableText"/>
            </w:pPr>
            <w:r w:rsidRPr="008A00EB">
              <w:t>91(2)</w:t>
            </w:r>
            <w:r w:rsidR="00C910B9" w:rsidRPr="008A00EB">
              <w:t>(b)</w:t>
            </w:r>
          </w:p>
        </w:tc>
        <w:tc>
          <w:tcPr>
            <w:tcW w:w="4162" w:type="dxa"/>
          </w:tcPr>
          <w:p w14:paraId="10270A96" w14:textId="5A6FC641" w:rsidR="00C910B9" w:rsidRPr="008A00EB" w:rsidRDefault="00FD2B6E" w:rsidP="00837455">
            <w:pPr>
              <w:pStyle w:val="TableText"/>
              <w:rPr>
                <w:i/>
              </w:rPr>
            </w:pPr>
            <w:r w:rsidRPr="008A00EB">
              <w:rPr>
                <w:i/>
              </w:rPr>
              <w:t>d</w:t>
            </w:r>
            <w:r w:rsidR="002F264D" w:rsidRPr="008A00EB">
              <w:rPr>
                <w:i/>
              </w:rPr>
              <w:t>etails of all declarations of incompatibility made</w:t>
            </w:r>
          </w:p>
          <w:p w14:paraId="3DE11A2B" w14:textId="77777777" w:rsidR="002F264D" w:rsidRPr="008A00EB" w:rsidRDefault="002F264D" w:rsidP="00837455">
            <w:pPr>
              <w:pStyle w:val="TableText"/>
              <w:rPr>
                <w:i/>
              </w:rPr>
            </w:pPr>
          </w:p>
          <w:p w14:paraId="04A85E83" w14:textId="4B0DA734" w:rsidR="002F264D" w:rsidRPr="008A00EB" w:rsidRDefault="002F264D" w:rsidP="00837455">
            <w:pPr>
              <w:pStyle w:val="TableText"/>
            </w:pPr>
            <w:r w:rsidRPr="008A00EB">
              <w:t xml:space="preserve">No declarations of incompatibility were made in the </w:t>
            </w:r>
            <w:r w:rsidR="00584C8B">
              <w:t>2020-21</w:t>
            </w:r>
            <w:r w:rsidRPr="008A00EB">
              <w:t xml:space="preserve"> financial year.</w:t>
            </w:r>
          </w:p>
        </w:tc>
      </w:tr>
      <w:tr w:rsidR="003505BE" w:rsidRPr="008A00EB" w14:paraId="69706FBD" w14:textId="77777777" w:rsidTr="00EF65A2">
        <w:tc>
          <w:tcPr>
            <w:tcW w:w="3351" w:type="dxa"/>
          </w:tcPr>
          <w:p w14:paraId="02DF5745" w14:textId="662434D1" w:rsidR="003505BE" w:rsidRPr="008A00EB" w:rsidRDefault="003505BE" w:rsidP="00837455">
            <w:pPr>
              <w:pStyle w:val="TableText"/>
            </w:pPr>
            <w:r w:rsidRPr="008A00EB">
              <w:t>91(2)(c)</w:t>
            </w:r>
          </w:p>
        </w:tc>
        <w:tc>
          <w:tcPr>
            <w:tcW w:w="4162" w:type="dxa"/>
          </w:tcPr>
          <w:p w14:paraId="160B1EC1" w14:textId="77777777" w:rsidR="003505BE" w:rsidRPr="008A00EB" w:rsidRDefault="003505BE" w:rsidP="00837455">
            <w:pPr>
              <w:pStyle w:val="TableText"/>
              <w:rPr>
                <w:i/>
              </w:rPr>
            </w:pPr>
            <w:r w:rsidRPr="008A00EB">
              <w:rPr>
                <w:i/>
              </w:rPr>
              <w:t>details of all override declarations made</w:t>
            </w:r>
          </w:p>
          <w:p w14:paraId="43A78A03" w14:textId="77777777" w:rsidR="003505BE" w:rsidRPr="008A00EB" w:rsidRDefault="003505BE" w:rsidP="00837455">
            <w:pPr>
              <w:pStyle w:val="TableText"/>
              <w:rPr>
                <w:i/>
              </w:rPr>
            </w:pPr>
          </w:p>
          <w:p w14:paraId="4D23974E" w14:textId="254A0FF0" w:rsidR="003505BE" w:rsidRPr="008A00EB" w:rsidDel="00FD2B6E" w:rsidRDefault="003505BE" w:rsidP="00837455">
            <w:pPr>
              <w:pStyle w:val="TableText"/>
              <w:rPr>
                <w:i/>
              </w:rPr>
            </w:pPr>
            <w:r w:rsidRPr="008A00EB">
              <w:t xml:space="preserve">No </w:t>
            </w:r>
            <w:r w:rsidR="00CC6EB7">
              <w:t>O</w:t>
            </w:r>
            <w:r w:rsidRPr="008A00EB">
              <w:t xml:space="preserve">verride </w:t>
            </w:r>
            <w:r w:rsidR="00CC6EB7">
              <w:t>D</w:t>
            </w:r>
            <w:r w:rsidRPr="008A00EB">
              <w:t xml:space="preserve">eclarations were made in the </w:t>
            </w:r>
            <w:r w:rsidR="00584C8B">
              <w:t>2020-21</w:t>
            </w:r>
            <w:r w:rsidRPr="008A00EB">
              <w:t xml:space="preserve"> financial year.</w:t>
            </w:r>
          </w:p>
        </w:tc>
      </w:tr>
      <w:tr w:rsidR="003505BE" w:rsidRPr="008A00EB" w14:paraId="2AB7015B" w14:textId="77777777" w:rsidTr="00EF65A2">
        <w:tc>
          <w:tcPr>
            <w:tcW w:w="3351" w:type="dxa"/>
          </w:tcPr>
          <w:p w14:paraId="0484F25D" w14:textId="5253D816" w:rsidR="003505BE" w:rsidRPr="008A00EB" w:rsidRDefault="003505BE" w:rsidP="00837455">
            <w:pPr>
              <w:pStyle w:val="TableText"/>
            </w:pPr>
            <w:r w:rsidRPr="008A00EB">
              <w:t>91(2)(d)</w:t>
            </w:r>
          </w:p>
        </w:tc>
        <w:tc>
          <w:tcPr>
            <w:tcW w:w="4162" w:type="dxa"/>
          </w:tcPr>
          <w:p w14:paraId="02FE20D3" w14:textId="7A14BC4F" w:rsidR="00521E90" w:rsidRPr="00521E90" w:rsidRDefault="003505BE" w:rsidP="00521E90">
            <w:pPr>
              <w:pStyle w:val="TableText"/>
              <w:rPr>
                <w:i/>
              </w:rPr>
            </w:pPr>
            <w:r w:rsidRPr="008A00EB">
              <w:rPr>
                <w:i/>
              </w:rPr>
              <w:t>details of all interventions by the Attorney-General or the commission under section 50 or 51</w:t>
            </w:r>
          </w:p>
          <w:p w14:paraId="66A435E9" w14:textId="77777777" w:rsidR="00BE58E3" w:rsidRDefault="00BE58E3" w:rsidP="0C4E1D73">
            <w:pPr>
              <w:pStyle w:val="TableText"/>
            </w:pPr>
          </w:p>
          <w:p w14:paraId="3F63C109" w14:textId="343EC1F9" w:rsidR="0C4E1D73" w:rsidRDefault="004A0586" w:rsidP="0C4E1D73">
            <w:pPr>
              <w:pStyle w:val="TableText"/>
            </w:pPr>
            <w:r>
              <w:t>The Commission intervened in 3 matters before the Supreme Court and 2 matters before the Mental Health Court during 2020-21.</w:t>
            </w:r>
          </w:p>
          <w:p w14:paraId="7B5298A6" w14:textId="67BBC1FD" w:rsidR="003505BE" w:rsidRPr="008A00EB" w:rsidRDefault="003505BE" w:rsidP="00F559F6">
            <w:pPr>
              <w:pStyle w:val="TableText"/>
              <w:rPr>
                <w:i/>
              </w:rPr>
            </w:pPr>
            <w:r w:rsidRPr="008A00EB">
              <w:rPr>
                <w:rFonts w:cs="Arial"/>
              </w:rPr>
              <w:t xml:space="preserve">For more information, see </w:t>
            </w:r>
            <w:r w:rsidRPr="008A00EB">
              <w:rPr>
                <w:rFonts w:cs="Arial"/>
                <w:i/>
              </w:rPr>
              <w:t>Human rights in courts and tribunals – Interventions</w:t>
            </w:r>
            <w:r w:rsidR="003E52B7">
              <w:rPr>
                <w:rFonts w:cs="Arial"/>
                <w:i/>
              </w:rPr>
              <w:t xml:space="preserve"> </w:t>
            </w:r>
            <w:r w:rsidR="003E52B7">
              <w:rPr>
                <w:rFonts w:cs="Arial"/>
              </w:rPr>
              <w:t xml:space="preserve">from page </w:t>
            </w:r>
            <w:r w:rsidR="00A54D36">
              <w:rPr>
                <w:rFonts w:cs="Arial"/>
              </w:rPr>
              <w:t>68.</w:t>
            </w:r>
          </w:p>
        </w:tc>
      </w:tr>
      <w:tr w:rsidR="003505BE" w:rsidRPr="008A00EB" w14:paraId="2316F32C" w14:textId="77777777" w:rsidTr="00EF65A2">
        <w:tc>
          <w:tcPr>
            <w:tcW w:w="3351" w:type="dxa"/>
          </w:tcPr>
          <w:p w14:paraId="5B773D29" w14:textId="6B1ED161" w:rsidR="003505BE" w:rsidRPr="008A00EB" w:rsidRDefault="003505BE" w:rsidP="00837455">
            <w:pPr>
              <w:pStyle w:val="TableText"/>
            </w:pPr>
            <w:r w:rsidRPr="008A00EB">
              <w:lastRenderedPageBreak/>
              <w:t>91(2)(e)</w:t>
            </w:r>
          </w:p>
        </w:tc>
        <w:tc>
          <w:tcPr>
            <w:tcW w:w="4162" w:type="dxa"/>
          </w:tcPr>
          <w:p w14:paraId="532D733B" w14:textId="2B578B4A" w:rsidR="003505BE" w:rsidRPr="008A00EB" w:rsidRDefault="003505BE" w:rsidP="00837455">
            <w:pPr>
              <w:pStyle w:val="TableText"/>
              <w:rPr>
                <w:i/>
              </w:rPr>
            </w:pPr>
            <w:r w:rsidRPr="008A00EB">
              <w:rPr>
                <w:i/>
              </w:rPr>
              <w:t>the number of human rights complaints made or referred to the commissioner</w:t>
            </w:r>
          </w:p>
          <w:p w14:paraId="7357ACE9" w14:textId="77777777" w:rsidR="00BE58E3" w:rsidRDefault="00BE58E3" w:rsidP="00837455">
            <w:pPr>
              <w:pStyle w:val="TableText"/>
            </w:pPr>
          </w:p>
          <w:p w14:paraId="54A6BDA9" w14:textId="44B51E49" w:rsidR="003505BE" w:rsidRDefault="00F23B6B" w:rsidP="00837455">
            <w:pPr>
              <w:pStyle w:val="TableText"/>
            </w:pPr>
            <w:r>
              <w:t>In the reporting period, t</w:t>
            </w:r>
            <w:r w:rsidR="003505BE" w:rsidRPr="008A00EB">
              <w:t xml:space="preserve">he Commission received </w:t>
            </w:r>
            <w:r w:rsidR="00626E71">
              <w:t>369</w:t>
            </w:r>
            <w:r w:rsidR="00E827E4" w:rsidRPr="008A00EB">
              <w:t xml:space="preserve"> </w:t>
            </w:r>
            <w:r w:rsidR="003505BE" w:rsidRPr="008A00EB">
              <w:t xml:space="preserve">complaints </w:t>
            </w:r>
            <w:r w:rsidR="00261C05">
              <w:t xml:space="preserve">that have been </w:t>
            </w:r>
            <w:r w:rsidR="00BE3DA2">
              <w:t>identified</w:t>
            </w:r>
            <w:r w:rsidR="00261C05">
              <w:t xml:space="preserve"> as human rights complaints.</w:t>
            </w:r>
            <w:r w:rsidR="004E5BCB">
              <w:rPr>
                <w:rStyle w:val="FootnoteReference"/>
              </w:rPr>
              <w:footnoteReference w:id="9"/>
            </w:r>
            <w:r w:rsidR="00AD61E4">
              <w:t xml:space="preserve"> Of those complaints:</w:t>
            </w:r>
          </w:p>
          <w:p w14:paraId="21183F29" w14:textId="31ACDCBE" w:rsidR="00AD61E4" w:rsidRDefault="00626E71" w:rsidP="002D2599">
            <w:pPr>
              <w:pStyle w:val="TableText"/>
              <w:numPr>
                <w:ilvl w:val="0"/>
                <w:numId w:val="7"/>
              </w:numPr>
            </w:pPr>
            <w:r>
              <w:t>237</w:t>
            </w:r>
            <w:r w:rsidR="00AD61E4">
              <w:t xml:space="preserve"> were human rights only complaints</w:t>
            </w:r>
            <w:r w:rsidR="003E3C9B">
              <w:rPr>
                <w:rStyle w:val="FootnoteReference"/>
              </w:rPr>
              <w:footnoteReference w:id="10"/>
            </w:r>
          </w:p>
          <w:p w14:paraId="0F028AA7" w14:textId="51CBB809" w:rsidR="00AD61E4" w:rsidRPr="008A00EB" w:rsidRDefault="00626E71" w:rsidP="002D2599">
            <w:pPr>
              <w:pStyle w:val="TableText"/>
              <w:numPr>
                <w:ilvl w:val="0"/>
                <w:numId w:val="7"/>
              </w:numPr>
            </w:pPr>
            <w:r>
              <w:t>132</w:t>
            </w:r>
            <w:r w:rsidR="00AD61E4">
              <w:t xml:space="preserve"> were </w:t>
            </w:r>
            <w:r w:rsidR="003A2ECC">
              <w:t>piggy-back</w:t>
            </w:r>
            <w:r w:rsidR="00AD61E4">
              <w:t xml:space="preserve"> complaints</w:t>
            </w:r>
            <w:r w:rsidR="003E3C9B">
              <w:rPr>
                <w:rStyle w:val="FootnoteReference"/>
              </w:rPr>
              <w:footnoteReference w:id="11"/>
            </w:r>
          </w:p>
          <w:p w14:paraId="32DEEA24" w14:textId="77777777" w:rsidR="00BE58E3" w:rsidRDefault="00BE58E3" w:rsidP="00F559F6">
            <w:pPr>
              <w:pStyle w:val="TableText"/>
              <w:rPr>
                <w:rFonts w:cs="Arial"/>
              </w:rPr>
            </w:pPr>
          </w:p>
          <w:p w14:paraId="087246E8" w14:textId="258B6733" w:rsidR="003505BE" w:rsidRPr="008A00EB" w:rsidRDefault="003505BE" w:rsidP="00F559F6">
            <w:pPr>
              <w:pStyle w:val="TableText"/>
              <w:rPr>
                <w:i/>
              </w:rPr>
            </w:pPr>
            <w:r w:rsidRPr="008A00EB">
              <w:rPr>
                <w:rFonts w:cs="Arial"/>
              </w:rPr>
              <w:t xml:space="preserve">For more information, see </w:t>
            </w:r>
            <w:r w:rsidRPr="008A00EB">
              <w:rPr>
                <w:i/>
              </w:rPr>
              <w:t>Human rights enquiries and complaints</w:t>
            </w:r>
            <w:r w:rsidR="004D7E3B">
              <w:rPr>
                <w:i/>
              </w:rPr>
              <w:t xml:space="preserve"> – Human rights complaints snapshot</w:t>
            </w:r>
            <w:r w:rsidR="003E52B7">
              <w:t xml:space="preserve"> on page</w:t>
            </w:r>
            <w:r w:rsidR="00A54D36">
              <w:t xml:space="preserve"> </w:t>
            </w:r>
            <w:r w:rsidR="00D42363">
              <w:t>138.</w:t>
            </w:r>
            <w:r w:rsidR="00197317">
              <w:t xml:space="preserve"> </w:t>
            </w:r>
          </w:p>
        </w:tc>
      </w:tr>
      <w:tr w:rsidR="003505BE" w:rsidRPr="008A00EB" w14:paraId="0C2B7757" w14:textId="77777777" w:rsidTr="00EF65A2">
        <w:tc>
          <w:tcPr>
            <w:tcW w:w="3351" w:type="dxa"/>
          </w:tcPr>
          <w:p w14:paraId="22604229" w14:textId="54C3CE62" w:rsidR="003505BE" w:rsidRPr="008A00EB" w:rsidRDefault="003505BE" w:rsidP="00837455">
            <w:pPr>
              <w:pStyle w:val="TableText"/>
            </w:pPr>
            <w:r w:rsidRPr="008A00EB">
              <w:t>91(2)(f)</w:t>
            </w:r>
          </w:p>
        </w:tc>
        <w:tc>
          <w:tcPr>
            <w:tcW w:w="4162" w:type="dxa"/>
          </w:tcPr>
          <w:p w14:paraId="76D15F23" w14:textId="77777777" w:rsidR="003505BE" w:rsidRPr="008A00EB" w:rsidRDefault="003505BE" w:rsidP="00837455">
            <w:pPr>
              <w:pStyle w:val="TableText"/>
              <w:rPr>
                <w:i/>
              </w:rPr>
            </w:pPr>
            <w:r w:rsidRPr="008A00EB">
              <w:rPr>
                <w:i/>
              </w:rPr>
              <w:t>the outcome of human rights complaints accepted by the commissioner for resolution by the commission, including whether or not the complaints were resolved by conciliation or otherwise</w:t>
            </w:r>
          </w:p>
          <w:p w14:paraId="3B799AD6" w14:textId="77777777" w:rsidR="00BE58E3" w:rsidRDefault="00BE58E3" w:rsidP="00837455">
            <w:pPr>
              <w:pStyle w:val="TableText"/>
            </w:pPr>
          </w:p>
          <w:p w14:paraId="64E4422F" w14:textId="2CC92412" w:rsidR="003505BE" w:rsidRPr="008A00EB" w:rsidRDefault="003505BE" w:rsidP="00837455">
            <w:pPr>
              <w:pStyle w:val="TableText"/>
            </w:pPr>
            <w:r w:rsidRPr="008A00EB">
              <w:t xml:space="preserve">Of the </w:t>
            </w:r>
            <w:r w:rsidR="00760157">
              <w:t>151</w:t>
            </w:r>
            <w:r w:rsidR="00195866">
              <w:t xml:space="preserve"> </w:t>
            </w:r>
            <w:r w:rsidRPr="008A00EB">
              <w:t xml:space="preserve">accepted complaints </w:t>
            </w:r>
            <w:r w:rsidR="006C3BD7">
              <w:t>that were</w:t>
            </w:r>
            <w:r w:rsidRPr="008A00EB">
              <w:t xml:space="preserve"> finalised in the </w:t>
            </w:r>
            <w:r w:rsidR="00360564">
              <w:t>2020-21</w:t>
            </w:r>
            <w:r w:rsidRPr="008A00EB">
              <w:t xml:space="preserve"> financial year:</w:t>
            </w:r>
          </w:p>
          <w:p w14:paraId="23CBDFBD" w14:textId="362E95F3" w:rsidR="003505BE" w:rsidRPr="008A00EB" w:rsidRDefault="00C26C80" w:rsidP="002D2599">
            <w:pPr>
              <w:pStyle w:val="TableText"/>
              <w:numPr>
                <w:ilvl w:val="0"/>
                <w:numId w:val="5"/>
              </w:numPr>
            </w:pPr>
            <w:r>
              <w:t>47</w:t>
            </w:r>
            <w:r w:rsidR="003505BE" w:rsidRPr="008A00EB">
              <w:t xml:space="preserve"> complaints were </w:t>
            </w:r>
            <w:r w:rsidR="004B5343">
              <w:t>resolved</w:t>
            </w:r>
            <w:r w:rsidR="003505BE" w:rsidRPr="008A00EB">
              <w:t>.</w:t>
            </w:r>
          </w:p>
          <w:p w14:paraId="5F532741" w14:textId="26F9D1ED" w:rsidR="003505BE" w:rsidRPr="008A00EB" w:rsidRDefault="00827EC1" w:rsidP="002D2599">
            <w:pPr>
              <w:pStyle w:val="TableText"/>
              <w:numPr>
                <w:ilvl w:val="0"/>
                <w:numId w:val="5"/>
              </w:numPr>
            </w:pPr>
            <w:r>
              <w:t>14</w:t>
            </w:r>
            <w:r w:rsidR="00907A81">
              <w:t xml:space="preserve"> </w:t>
            </w:r>
            <w:r w:rsidR="003505BE" w:rsidRPr="008A00EB">
              <w:t>complaint</w:t>
            </w:r>
            <w:r w:rsidR="00195866">
              <w:t>s were</w:t>
            </w:r>
            <w:r w:rsidR="003505BE" w:rsidRPr="008A00EB">
              <w:t xml:space="preserve"> referred to Queensland Civil and Administrative Tribunal.</w:t>
            </w:r>
          </w:p>
          <w:p w14:paraId="2674D867" w14:textId="5022F29B" w:rsidR="003505BE" w:rsidRPr="008A00EB" w:rsidRDefault="00827EC1" w:rsidP="002D2599">
            <w:pPr>
              <w:pStyle w:val="TableText"/>
              <w:numPr>
                <w:ilvl w:val="0"/>
                <w:numId w:val="5"/>
              </w:numPr>
            </w:pPr>
            <w:r>
              <w:lastRenderedPageBreak/>
              <w:t>12</w:t>
            </w:r>
            <w:r w:rsidR="003505BE" w:rsidRPr="008A00EB">
              <w:t xml:space="preserve"> complaint</w:t>
            </w:r>
            <w:r w:rsidR="00195866">
              <w:t>s</w:t>
            </w:r>
            <w:r w:rsidR="003505BE" w:rsidRPr="008A00EB">
              <w:t xml:space="preserve"> </w:t>
            </w:r>
            <w:r w:rsidR="00195866">
              <w:t>were</w:t>
            </w:r>
            <w:r w:rsidR="003505BE" w:rsidRPr="008A00EB">
              <w:t xml:space="preserve"> referred to Queensland Industrial Relations Commission.</w:t>
            </w:r>
          </w:p>
          <w:p w14:paraId="07281983" w14:textId="77777777" w:rsidR="00A169EA" w:rsidRDefault="00A169EA" w:rsidP="00BE1863">
            <w:pPr>
              <w:pStyle w:val="TableText"/>
              <w:rPr>
                <w:rFonts w:cs="Arial"/>
              </w:rPr>
            </w:pPr>
          </w:p>
          <w:p w14:paraId="61D6E566" w14:textId="0EDC28F8" w:rsidR="003505BE" w:rsidRPr="008A00EB" w:rsidRDefault="003505BE" w:rsidP="00BE1863">
            <w:pPr>
              <w:pStyle w:val="TableText"/>
              <w:rPr>
                <w:i/>
              </w:rPr>
            </w:pPr>
            <w:r w:rsidRPr="008A00EB">
              <w:rPr>
                <w:rFonts w:cs="Arial"/>
              </w:rPr>
              <w:t xml:space="preserve">For more information, see </w:t>
            </w:r>
            <w:r w:rsidRPr="008A00EB">
              <w:rPr>
                <w:i/>
              </w:rPr>
              <w:t>Human rights enquirie</w:t>
            </w:r>
            <w:r w:rsidR="0082668C">
              <w:rPr>
                <w:i/>
              </w:rPr>
              <w:t>s and complaints – Outcomes of f</w:t>
            </w:r>
            <w:r w:rsidRPr="008A00EB">
              <w:rPr>
                <w:i/>
              </w:rPr>
              <w:t xml:space="preserve">inalised </w:t>
            </w:r>
            <w:r w:rsidR="0082668C">
              <w:rPr>
                <w:i/>
              </w:rPr>
              <w:t>c</w:t>
            </w:r>
            <w:r w:rsidRPr="008A00EB">
              <w:rPr>
                <w:i/>
              </w:rPr>
              <w:t xml:space="preserve">omplaints </w:t>
            </w:r>
            <w:r w:rsidR="00B572E1">
              <w:rPr>
                <w:iCs/>
              </w:rPr>
              <w:t xml:space="preserve">on page </w:t>
            </w:r>
            <w:r w:rsidR="00C31123">
              <w:rPr>
                <w:iCs/>
              </w:rPr>
              <w:t xml:space="preserve">140 </w:t>
            </w:r>
            <w:r w:rsidRPr="008A00EB">
              <w:t xml:space="preserve">and </w:t>
            </w:r>
            <w:r w:rsidR="0082668C">
              <w:rPr>
                <w:i/>
              </w:rPr>
              <w:t>Resolved complaint case</w:t>
            </w:r>
            <w:r w:rsidRPr="008A00EB">
              <w:rPr>
                <w:i/>
              </w:rPr>
              <w:t xml:space="preserve"> studies</w:t>
            </w:r>
            <w:r w:rsidR="003E52B7">
              <w:t xml:space="preserve">, from page </w:t>
            </w:r>
            <w:r w:rsidR="002F3600">
              <w:t>155.</w:t>
            </w:r>
          </w:p>
        </w:tc>
      </w:tr>
      <w:tr w:rsidR="003505BE" w:rsidRPr="008A00EB" w14:paraId="6549D413" w14:textId="77777777" w:rsidTr="00EF65A2">
        <w:tc>
          <w:tcPr>
            <w:tcW w:w="3351" w:type="dxa"/>
          </w:tcPr>
          <w:p w14:paraId="347E4AAE" w14:textId="3AA1AF28" w:rsidR="003505BE" w:rsidRPr="008A00EB" w:rsidRDefault="003505BE" w:rsidP="00837455">
            <w:pPr>
              <w:pStyle w:val="TableText"/>
            </w:pPr>
            <w:r w:rsidRPr="008A00EB">
              <w:lastRenderedPageBreak/>
              <w:t>91(2)(g)</w:t>
            </w:r>
          </w:p>
        </w:tc>
        <w:tc>
          <w:tcPr>
            <w:tcW w:w="4162" w:type="dxa"/>
          </w:tcPr>
          <w:p w14:paraId="757B2C8A" w14:textId="6427A99F" w:rsidR="003505BE" w:rsidRPr="008A00EB" w:rsidRDefault="003505BE" w:rsidP="00837455">
            <w:pPr>
              <w:pStyle w:val="TableText"/>
              <w:rPr>
                <w:i/>
              </w:rPr>
            </w:pPr>
            <w:r w:rsidRPr="008A00EB">
              <w:rPr>
                <w:i/>
              </w:rPr>
              <w:t>the number of human rights complaints resolved by the commission</w:t>
            </w:r>
          </w:p>
          <w:p w14:paraId="19B271DA" w14:textId="77777777" w:rsidR="00862DA4" w:rsidRPr="008A00EB" w:rsidRDefault="00862DA4" w:rsidP="00837455">
            <w:pPr>
              <w:pStyle w:val="TableText"/>
              <w:rPr>
                <w:i/>
              </w:rPr>
            </w:pPr>
          </w:p>
          <w:p w14:paraId="6122D311" w14:textId="69E6252F" w:rsidR="003505BE" w:rsidRPr="008A00EB" w:rsidRDefault="003505BE" w:rsidP="00837455">
            <w:pPr>
              <w:pStyle w:val="TableText"/>
            </w:pPr>
            <w:r w:rsidRPr="008A00EB">
              <w:t xml:space="preserve">In the </w:t>
            </w:r>
            <w:r w:rsidR="00025B98">
              <w:t>2020-21</w:t>
            </w:r>
            <w:r w:rsidRPr="008A00EB">
              <w:t xml:space="preserve"> financial year:</w:t>
            </w:r>
          </w:p>
          <w:p w14:paraId="11689296" w14:textId="353986B5" w:rsidR="003505BE" w:rsidRPr="008A00EB" w:rsidRDefault="00AE5E25" w:rsidP="00837455">
            <w:pPr>
              <w:pStyle w:val="TableText"/>
            </w:pPr>
            <w:r>
              <w:t>47</w:t>
            </w:r>
            <w:r w:rsidR="003505BE" w:rsidRPr="008A00EB">
              <w:t xml:space="preserve"> complaints were resolved and finalised</w:t>
            </w:r>
            <w:r w:rsidR="00170B61" w:rsidRPr="008A00EB">
              <w:t>, comprising:</w:t>
            </w:r>
          </w:p>
          <w:p w14:paraId="7DC268CC" w14:textId="61C7E6B0" w:rsidR="003505BE" w:rsidRPr="008A00EB" w:rsidRDefault="00CD526E" w:rsidP="002D2599">
            <w:pPr>
              <w:pStyle w:val="TableText"/>
              <w:numPr>
                <w:ilvl w:val="0"/>
                <w:numId w:val="6"/>
              </w:numPr>
            </w:pPr>
            <w:r>
              <w:t>19</w:t>
            </w:r>
            <w:r w:rsidR="003505BE" w:rsidRPr="008A00EB">
              <w:t xml:space="preserve"> human rights only complaints resolved and finalised by the Commission</w:t>
            </w:r>
            <w:r w:rsidR="00170B61" w:rsidRPr="008A00EB">
              <w:t>; and</w:t>
            </w:r>
          </w:p>
          <w:p w14:paraId="4A83A929" w14:textId="5B4521EF" w:rsidR="003505BE" w:rsidRPr="008A00EB" w:rsidRDefault="009015BD" w:rsidP="002D2599">
            <w:pPr>
              <w:pStyle w:val="TableText"/>
              <w:numPr>
                <w:ilvl w:val="0"/>
                <w:numId w:val="6"/>
              </w:numPr>
            </w:pPr>
            <w:r>
              <w:t>2</w:t>
            </w:r>
            <w:r w:rsidR="00CD526E">
              <w:t>8</w:t>
            </w:r>
            <w:r w:rsidR="00025B98">
              <w:t xml:space="preserve"> </w:t>
            </w:r>
            <w:r w:rsidR="00B70C22">
              <w:t>piggy-back complaint</w:t>
            </w:r>
            <w:r w:rsidR="003505BE" w:rsidRPr="008A00EB">
              <w:t xml:space="preserve">s resolved and finalised by the </w:t>
            </w:r>
            <w:r w:rsidR="00170B61" w:rsidRPr="008A00EB">
              <w:t>C</w:t>
            </w:r>
            <w:r w:rsidR="003505BE" w:rsidRPr="008A00EB">
              <w:t>ommission.</w:t>
            </w:r>
          </w:p>
          <w:p w14:paraId="235134DB" w14:textId="77777777" w:rsidR="00A169EA" w:rsidRDefault="00A169EA" w:rsidP="00025B98">
            <w:pPr>
              <w:pStyle w:val="TableText"/>
              <w:rPr>
                <w:rFonts w:cs="Arial"/>
              </w:rPr>
            </w:pPr>
          </w:p>
          <w:p w14:paraId="6C03B529" w14:textId="20564625" w:rsidR="003505BE" w:rsidRPr="008A00EB" w:rsidRDefault="003505BE" w:rsidP="00025B98">
            <w:pPr>
              <w:pStyle w:val="TableText"/>
              <w:rPr>
                <w:i/>
              </w:rPr>
            </w:pPr>
            <w:r w:rsidRPr="008A00EB">
              <w:rPr>
                <w:rFonts w:cs="Arial"/>
              </w:rPr>
              <w:t xml:space="preserve">For more information, see </w:t>
            </w:r>
            <w:r w:rsidRPr="008A00EB">
              <w:rPr>
                <w:i/>
              </w:rPr>
              <w:t>Human rights enquiries and complaints</w:t>
            </w:r>
            <w:r w:rsidR="000C39A1">
              <w:rPr>
                <w:i/>
              </w:rPr>
              <w:t xml:space="preserve"> – Human rights complaint</w:t>
            </w:r>
            <w:r w:rsidR="00222099">
              <w:rPr>
                <w:i/>
              </w:rPr>
              <w:t>s</w:t>
            </w:r>
            <w:r w:rsidR="000C39A1">
              <w:rPr>
                <w:i/>
              </w:rPr>
              <w:t xml:space="preserve"> snapshot</w:t>
            </w:r>
            <w:r w:rsidR="003E52B7">
              <w:rPr>
                <w:i/>
              </w:rPr>
              <w:t xml:space="preserve"> </w:t>
            </w:r>
            <w:r w:rsidR="003E52B7">
              <w:t>on page</w:t>
            </w:r>
            <w:r w:rsidR="002F3600">
              <w:t xml:space="preserve"> </w:t>
            </w:r>
            <w:r w:rsidR="00C70B5E">
              <w:t>13</w:t>
            </w:r>
            <w:r w:rsidR="00E92647">
              <w:t>7</w:t>
            </w:r>
            <w:r w:rsidR="00C70B5E">
              <w:t>.</w:t>
            </w:r>
          </w:p>
        </w:tc>
      </w:tr>
      <w:tr w:rsidR="003505BE" w:rsidRPr="008A00EB" w14:paraId="5931672B" w14:textId="77777777" w:rsidTr="00EF65A2">
        <w:tc>
          <w:tcPr>
            <w:tcW w:w="3351" w:type="dxa"/>
          </w:tcPr>
          <w:p w14:paraId="4E68932F" w14:textId="6430885A" w:rsidR="003505BE" w:rsidRPr="008A00EB" w:rsidRDefault="003505BE" w:rsidP="00837455">
            <w:pPr>
              <w:pStyle w:val="TableText"/>
            </w:pPr>
            <w:r w:rsidRPr="008A00EB">
              <w:t>91(2)(h)</w:t>
            </w:r>
          </w:p>
        </w:tc>
        <w:tc>
          <w:tcPr>
            <w:tcW w:w="4162" w:type="dxa"/>
          </w:tcPr>
          <w:p w14:paraId="5360DAC9" w14:textId="2269A3DB" w:rsidR="003505BE" w:rsidRDefault="003505BE" w:rsidP="00837455">
            <w:pPr>
              <w:pStyle w:val="TableText"/>
              <w:rPr>
                <w:i/>
              </w:rPr>
            </w:pPr>
            <w:r w:rsidRPr="008A00EB">
              <w:rPr>
                <w:i/>
              </w:rPr>
              <w:t>the number of conciliation confer</w:t>
            </w:r>
            <w:r w:rsidR="00C06C95">
              <w:rPr>
                <w:i/>
              </w:rPr>
              <w:t>ences conducted under this part</w:t>
            </w:r>
          </w:p>
          <w:p w14:paraId="49BFBECE" w14:textId="77777777" w:rsidR="006B1130" w:rsidRDefault="006B1130" w:rsidP="00837455">
            <w:pPr>
              <w:pStyle w:val="TableText"/>
              <w:rPr>
                <w:i/>
              </w:rPr>
            </w:pPr>
          </w:p>
          <w:p w14:paraId="041521D7" w14:textId="0155A638" w:rsidR="003505BE" w:rsidRPr="008A00EB" w:rsidRDefault="139E851A" w:rsidP="00837455">
            <w:pPr>
              <w:pStyle w:val="TableText"/>
            </w:pPr>
            <w:r w:rsidRPr="003E3C9B">
              <w:t>1</w:t>
            </w:r>
            <w:r w:rsidR="1A8C22EA">
              <w:t>2</w:t>
            </w:r>
            <w:r w:rsidR="71B3FA27">
              <w:t>0</w:t>
            </w:r>
            <w:r w:rsidR="00025B98">
              <w:t xml:space="preserve"> </w:t>
            </w:r>
            <w:r w:rsidR="0027021F">
              <w:t xml:space="preserve">conciliation conferences </w:t>
            </w:r>
            <w:r w:rsidR="00C80125">
              <w:t xml:space="preserve">relating to human rights </w:t>
            </w:r>
            <w:r w:rsidR="0027021F">
              <w:t xml:space="preserve">were conducted in the </w:t>
            </w:r>
            <w:r w:rsidR="00584C8B">
              <w:t>2020-21</w:t>
            </w:r>
            <w:r w:rsidR="0027021F">
              <w:t xml:space="preserve"> financial year.</w:t>
            </w:r>
            <w:r w:rsidR="00B938BA">
              <w:t xml:space="preserve"> </w:t>
            </w:r>
            <w:r w:rsidR="460414F4">
              <w:t>100</w:t>
            </w:r>
            <w:r w:rsidR="00B938BA">
              <w:t xml:space="preserve"> were </w:t>
            </w:r>
            <w:r w:rsidR="00B05226">
              <w:t xml:space="preserve">for </w:t>
            </w:r>
            <w:r w:rsidR="00B70C22">
              <w:t>piggy-back complaint</w:t>
            </w:r>
            <w:r w:rsidR="00B938BA">
              <w:t xml:space="preserve">s and </w:t>
            </w:r>
            <w:r w:rsidR="4DBED441">
              <w:t>2</w:t>
            </w:r>
            <w:r w:rsidR="3C979ABF">
              <w:t>0</w:t>
            </w:r>
            <w:r w:rsidR="00B938BA">
              <w:t xml:space="preserve"> </w:t>
            </w:r>
            <w:r w:rsidR="00254504">
              <w:t>were</w:t>
            </w:r>
            <w:r w:rsidR="002C61B5">
              <w:t xml:space="preserve"> for</w:t>
            </w:r>
            <w:r w:rsidR="00DF32BF">
              <w:t xml:space="preserve"> human rights only complaint</w:t>
            </w:r>
            <w:r w:rsidR="00254504">
              <w:t>s.</w:t>
            </w:r>
          </w:p>
          <w:p w14:paraId="3B69372B" w14:textId="77777777" w:rsidR="00A169EA" w:rsidRDefault="00A169EA" w:rsidP="00025B98">
            <w:pPr>
              <w:pStyle w:val="TableText"/>
              <w:rPr>
                <w:rFonts w:cs="Arial"/>
              </w:rPr>
            </w:pPr>
          </w:p>
          <w:p w14:paraId="1CE35B47" w14:textId="42FEFAA2" w:rsidR="003505BE" w:rsidRPr="008A00EB" w:rsidRDefault="003505BE" w:rsidP="00025B98">
            <w:pPr>
              <w:pStyle w:val="TableText"/>
              <w:rPr>
                <w:i/>
              </w:rPr>
            </w:pPr>
            <w:r w:rsidRPr="008A00EB">
              <w:rPr>
                <w:rFonts w:cs="Arial"/>
              </w:rPr>
              <w:lastRenderedPageBreak/>
              <w:t xml:space="preserve">For more information, see </w:t>
            </w:r>
            <w:r w:rsidRPr="008A00EB">
              <w:rPr>
                <w:i/>
              </w:rPr>
              <w:t>Human rights enquiries and complaints</w:t>
            </w:r>
            <w:r w:rsidR="00222099">
              <w:rPr>
                <w:i/>
              </w:rPr>
              <w:t xml:space="preserve"> – Dispute resolution process</w:t>
            </w:r>
            <w:r w:rsidR="003E52B7">
              <w:rPr>
                <w:i/>
              </w:rPr>
              <w:t>:</w:t>
            </w:r>
            <w:r w:rsidR="00222099">
              <w:rPr>
                <w:i/>
              </w:rPr>
              <w:t xml:space="preserve"> conciliation and early intervention</w:t>
            </w:r>
            <w:r w:rsidR="003E52B7">
              <w:rPr>
                <w:i/>
              </w:rPr>
              <w:t xml:space="preserve"> </w:t>
            </w:r>
            <w:r w:rsidR="003E52B7">
              <w:t>on page</w:t>
            </w:r>
            <w:r w:rsidR="00B544CB">
              <w:t xml:space="preserve"> </w:t>
            </w:r>
            <w:r w:rsidR="00AD2BB0">
              <w:t>152.</w:t>
            </w:r>
          </w:p>
        </w:tc>
      </w:tr>
      <w:tr w:rsidR="00316B3F" w:rsidRPr="008A00EB" w14:paraId="55689FE5" w14:textId="77777777" w:rsidTr="00EF65A2">
        <w:tc>
          <w:tcPr>
            <w:tcW w:w="3351" w:type="dxa"/>
          </w:tcPr>
          <w:p w14:paraId="4D94BD7B" w14:textId="6829FA04" w:rsidR="00316B3F" w:rsidRPr="001162F1" w:rsidRDefault="00316B3F" w:rsidP="00837455">
            <w:pPr>
              <w:pStyle w:val="TableText"/>
            </w:pPr>
            <w:r w:rsidRPr="001162F1">
              <w:lastRenderedPageBreak/>
              <w:t>91(2)(</w:t>
            </w:r>
            <w:proofErr w:type="spellStart"/>
            <w:r w:rsidRPr="001162F1">
              <w:t>i</w:t>
            </w:r>
            <w:proofErr w:type="spellEnd"/>
            <w:r w:rsidRPr="001162F1">
              <w:t>)</w:t>
            </w:r>
          </w:p>
        </w:tc>
        <w:tc>
          <w:tcPr>
            <w:tcW w:w="4162" w:type="dxa"/>
          </w:tcPr>
          <w:p w14:paraId="2D6959F9" w14:textId="388F47B0" w:rsidR="00316B3F" w:rsidRPr="001162F1" w:rsidRDefault="00316B3F" w:rsidP="00837455">
            <w:pPr>
              <w:pStyle w:val="TableText"/>
              <w:rPr>
                <w:i/>
              </w:rPr>
            </w:pPr>
            <w:r w:rsidRPr="001162F1">
              <w:rPr>
                <w:i/>
              </w:rPr>
              <w:t>the number of public entities that were asked or directed to take part in a conciliation conference, and the number that failed to comply with a direction to take par</w:t>
            </w:r>
            <w:r w:rsidR="00A904EF" w:rsidRPr="001162F1">
              <w:rPr>
                <w:i/>
              </w:rPr>
              <w:t>t</w:t>
            </w:r>
          </w:p>
          <w:p w14:paraId="1D9238B8" w14:textId="77777777" w:rsidR="0050380A" w:rsidRPr="001162F1" w:rsidRDefault="0050380A" w:rsidP="00837455">
            <w:pPr>
              <w:pStyle w:val="TableText"/>
              <w:rPr>
                <w:i/>
              </w:rPr>
            </w:pPr>
          </w:p>
          <w:p w14:paraId="2DBDE37D" w14:textId="1C3ADD13" w:rsidR="00045196" w:rsidRPr="003E3C9B" w:rsidRDefault="003E3C9B" w:rsidP="003E3C9B">
            <w:pPr>
              <w:pStyle w:val="FootnoteText"/>
              <w:rPr>
                <w:rFonts w:cs="Arial"/>
                <w:sz w:val="24"/>
                <w:szCs w:val="24"/>
              </w:rPr>
            </w:pPr>
            <w:r w:rsidRPr="003E3C9B">
              <w:rPr>
                <w:rFonts w:cs="Arial"/>
                <w:sz w:val="24"/>
                <w:szCs w:val="24"/>
              </w:rPr>
              <w:t xml:space="preserve">While 453 notifications were sent out for public entities to participate in dispute resolution, some public entities were required multiple times. Overall, 246 discrete public entities </w:t>
            </w:r>
            <w:r>
              <w:rPr>
                <w:rFonts w:cs="Arial"/>
                <w:sz w:val="24"/>
                <w:szCs w:val="24"/>
              </w:rPr>
              <w:t>participated</w:t>
            </w:r>
            <w:r w:rsidRPr="003E3C9B">
              <w:rPr>
                <w:rFonts w:cs="Arial"/>
                <w:sz w:val="24"/>
                <w:szCs w:val="24"/>
              </w:rPr>
              <w:t xml:space="preserve">. </w:t>
            </w:r>
          </w:p>
          <w:p w14:paraId="2CC9BFFF" w14:textId="77777777" w:rsidR="003E3C9B" w:rsidRPr="001162F1" w:rsidRDefault="003E3C9B" w:rsidP="003E3C9B">
            <w:pPr>
              <w:pStyle w:val="FootnoteText"/>
            </w:pPr>
          </w:p>
          <w:p w14:paraId="7853F925" w14:textId="3B91B7A2" w:rsidR="00025B98" w:rsidRPr="001162F1" w:rsidRDefault="00316B3F" w:rsidP="00837455">
            <w:pPr>
              <w:pStyle w:val="TableText"/>
            </w:pPr>
            <w:r w:rsidRPr="001162F1">
              <w:t>No public entities failed to comply with a direction</w:t>
            </w:r>
            <w:r w:rsidR="00C318C8" w:rsidRPr="001162F1">
              <w:t xml:space="preserve"> </w:t>
            </w:r>
            <w:r w:rsidR="00BA2B27" w:rsidRPr="001162F1">
              <w:t xml:space="preserve">to attend a conference </w:t>
            </w:r>
            <w:r w:rsidR="00C318C8" w:rsidRPr="001162F1">
              <w:t xml:space="preserve">in the </w:t>
            </w:r>
            <w:r w:rsidR="00025B98" w:rsidRPr="001162F1">
              <w:t>2020-21</w:t>
            </w:r>
            <w:r w:rsidR="00C318C8" w:rsidRPr="001162F1">
              <w:t xml:space="preserve"> financial year</w:t>
            </w:r>
            <w:r w:rsidRPr="001162F1">
              <w:t>.</w:t>
            </w:r>
          </w:p>
          <w:p w14:paraId="603E9C97" w14:textId="77777777" w:rsidR="003E3C9B" w:rsidRPr="001162F1" w:rsidRDefault="003E3C9B" w:rsidP="00837455">
            <w:pPr>
              <w:pStyle w:val="TableText"/>
            </w:pPr>
          </w:p>
          <w:p w14:paraId="5E35EA41" w14:textId="37920DC9" w:rsidR="00316B3F" w:rsidRPr="001162F1" w:rsidRDefault="00155E5D" w:rsidP="00025B98">
            <w:pPr>
              <w:pStyle w:val="TableText"/>
              <w:rPr>
                <w:i/>
              </w:rPr>
            </w:pPr>
            <w:r w:rsidRPr="001162F1">
              <w:t xml:space="preserve">For more information, see </w:t>
            </w:r>
            <w:r w:rsidRPr="001162F1">
              <w:rPr>
                <w:i/>
              </w:rPr>
              <w:t xml:space="preserve">Human rights enquiries and complaints – finalised complaints by </w:t>
            </w:r>
            <w:r w:rsidR="00AD2BB0">
              <w:rPr>
                <w:i/>
              </w:rPr>
              <w:t>sector</w:t>
            </w:r>
            <w:r w:rsidR="003E52B7" w:rsidRPr="001162F1">
              <w:rPr>
                <w:i/>
              </w:rPr>
              <w:t xml:space="preserve"> </w:t>
            </w:r>
            <w:r w:rsidR="003E52B7" w:rsidRPr="001162F1">
              <w:t>on page</w:t>
            </w:r>
            <w:r w:rsidR="00856EC8">
              <w:t xml:space="preserve"> 14</w:t>
            </w:r>
            <w:r w:rsidR="00DB6B21">
              <w:t>6</w:t>
            </w:r>
            <w:r w:rsidR="00856EC8">
              <w:t>.</w:t>
            </w:r>
          </w:p>
        </w:tc>
      </w:tr>
      <w:tr w:rsidR="00316B3F" w:rsidRPr="008A00EB" w14:paraId="68FFC572" w14:textId="77777777" w:rsidTr="00EF65A2">
        <w:tc>
          <w:tcPr>
            <w:tcW w:w="3351" w:type="dxa"/>
          </w:tcPr>
          <w:p w14:paraId="14677A07" w14:textId="76147DBD" w:rsidR="00316B3F" w:rsidRPr="008A00EB" w:rsidRDefault="00316B3F" w:rsidP="00837455">
            <w:pPr>
              <w:pStyle w:val="TableText"/>
            </w:pPr>
            <w:r w:rsidRPr="008A00EB">
              <w:t>91(2)(j)</w:t>
            </w:r>
          </w:p>
        </w:tc>
        <w:tc>
          <w:tcPr>
            <w:tcW w:w="4162" w:type="dxa"/>
          </w:tcPr>
          <w:p w14:paraId="0B28A889" w14:textId="29126900" w:rsidR="00316B3F" w:rsidRPr="008A00EB" w:rsidRDefault="00316B3F" w:rsidP="00837455">
            <w:pPr>
              <w:pStyle w:val="TableText"/>
              <w:rPr>
                <w:i/>
              </w:rPr>
            </w:pPr>
            <w:r w:rsidRPr="008A00EB">
              <w:rPr>
                <w:i/>
              </w:rPr>
              <w:t>the number of human rights complaints received by particular public entities decided by the commissioner</w:t>
            </w:r>
          </w:p>
          <w:p w14:paraId="31D64066" w14:textId="77777777" w:rsidR="00316B3F" w:rsidRPr="008A00EB" w:rsidRDefault="00316B3F" w:rsidP="00837455">
            <w:pPr>
              <w:pStyle w:val="TableText"/>
            </w:pPr>
          </w:p>
          <w:p w14:paraId="2F42247F" w14:textId="7F64FCEA" w:rsidR="00316B3F" w:rsidRPr="008A00EB" w:rsidRDefault="00316B3F" w:rsidP="00837455">
            <w:pPr>
              <w:pStyle w:val="TableText"/>
            </w:pPr>
            <w:r w:rsidRPr="008A00EB">
              <w:t xml:space="preserve">This information is too detailed to reproduce in the report summary. </w:t>
            </w:r>
          </w:p>
          <w:p w14:paraId="60C10C3F" w14:textId="24234E28" w:rsidR="00316B3F" w:rsidRPr="003E52B7" w:rsidRDefault="00170B61" w:rsidP="00025B98">
            <w:pPr>
              <w:pStyle w:val="TableText"/>
            </w:pPr>
            <w:r w:rsidRPr="008A00EB">
              <w:rPr>
                <w:rFonts w:cs="Arial"/>
              </w:rPr>
              <w:t>S</w:t>
            </w:r>
            <w:r w:rsidR="00316B3F" w:rsidRPr="008A00EB">
              <w:rPr>
                <w:rFonts w:cs="Arial"/>
              </w:rPr>
              <w:t xml:space="preserve">ee </w:t>
            </w:r>
            <w:r w:rsidR="00316B3F" w:rsidRPr="008A00EB">
              <w:rPr>
                <w:i/>
              </w:rPr>
              <w:t>Human rights enquiries and complaints - Internal com</w:t>
            </w:r>
            <w:r w:rsidR="003E52B7">
              <w:rPr>
                <w:i/>
              </w:rPr>
              <w:t xml:space="preserve">plaints made to public entities </w:t>
            </w:r>
            <w:r w:rsidR="003E52B7">
              <w:t>from page</w:t>
            </w:r>
            <w:r w:rsidR="00231561">
              <w:t xml:space="preserve"> </w:t>
            </w:r>
            <w:r w:rsidR="00BA259B">
              <w:t>12</w:t>
            </w:r>
            <w:r w:rsidR="00AC378C">
              <w:t>4</w:t>
            </w:r>
            <w:r w:rsidR="003E52B7">
              <w:t>.</w:t>
            </w:r>
          </w:p>
        </w:tc>
      </w:tr>
      <w:tr w:rsidR="00180520" w:rsidRPr="003E52B7" w14:paraId="37FB94F0" w14:textId="77777777" w:rsidTr="00195866">
        <w:tc>
          <w:tcPr>
            <w:tcW w:w="3351" w:type="dxa"/>
          </w:tcPr>
          <w:p w14:paraId="0D052469" w14:textId="581C6304" w:rsidR="00180520" w:rsidRPr="008A00EB" w:rsidRDefault="008672DE" w:rsidP="008672DE">
            <w:pPr>
              <w:pStyle w:val="TableText"/>
            </w:pPr>
            <w:r>
              <w:t xml:space="preserve">88(4) </w:t>
            </w:r>
          </w:p>
        </w:tc>
        <w:tc>
          <w:tcPr>
            <w:tcW w:w="4162" w:type="dxa"/>
          </w:tcPr>
          <w:p w14:paraId="367538BE" w14:textId="77777777" w:rsidR="00180520" w:rsidRDefault="00180520" w:rsidP="00195866">
            <w:pPr>
              <w:pStyle w:val="TableText"/>
              <w:rPr>
                <w:i/>
              </w:rPr>
            </w:pPr>
            <w:r>
              <w:rPr>
                <w:i/>
              </w:rPr>
              <w:t>The names of public entities and details of actions recommended by the Commissioner following an unresolved conciliation</w:t>
            </w:r>
          </w:p>
          <w:p w14:paraId="3ADDAC4C" w14:textId="77777777" w:rsidR="00311AAF" w:rsidRDefault="00311AAF" w:rsidP="00195866">
            <w:pPr>
              <w:pStyle w:val="TableText"/>
              <w:rPr>
                <w:i/>
              </w:rPr>
            </w:pPr>
          </w:p>
          <w:p w14:paraId="5EA4E127" w14:textId="4DC32DF7" w:rsidR="00311AAF" w:rsidRDefault="007E76D1" w:rsidP="00195866">
            <w:pPr>
              <w:pStyle w:val="TableText"/>
            </w:pPr>
            <w:r>
              <w:t xml:space="preserve">The Commissioner made recommendations in relation to two complaints, one about hotel quarantine and another about prisoner </w:t>
            </w:r>
            <w:r w:rsidR="00916952">
              <w:t>quarantine during COVID-19.</w:t>
            </w:r>
          </w:p>
          <w:p w14:paraId="062A1F4A" w14:textId="77777777" w:rsidR="003F4D3E" w:rsidRDefault="003F4D3E" w:rsidP="00311AAF">
            <w:pPr>
              <w:pStyle w:val="TableText"/>
            </w:pPr>
          </w:p>
          <w:p w14:paraId="7E164901" w14:textId="0303C835" w:rsidR="00311AAF" w:rsidRPr="00311AAF" w:rsidRDefault="00311AAF" w:rsidP="00311AAF">
            <w:pPr>
              <w:pStyle w:val="TableText"/>
              <w:rPr>
                <w:i/>
              </w:rPr>
            </w:pPr>
            <w:r>
              <w:t>See</w:t>
            </w:r>
            <w:r w:rsidR="00916952">
              <w:t xml:space="preserve"> further details under the heading</w:t>
            </w:r>
            <w:r>
              <w:t xml:space="preserve"> </w:t>
            </w:r>
            <w:r w:rsidRPr="008A00EB">
              <w:rPr>
                <w:i/>
              </w:rPr>
              <w:t xml:space="preserve">Human rights enquiries and complaints </w:t>
            </w:r>
            <w:r>
              <w:rPr>
                <w:i/>
              </w:rPr>
              <w:t>–</w:t>
            </w:r>
            <w:r w:rsidRPr="008A00EB">
              <w:rPr>
                <w:i/>
              </w:rPr>
              <w:t xml:space="preserve"> </w:t>
            </w:r>
            <w:r>
              <w:rPr>
                <w:i/>
              </w:rPr>
              <w:t xml:space="preserve">Recommendations made by Commissioner </w:t>
            </w:r>
            <w:r>
              <w:t>from page</w:t>
            </w:r>
            <w:r w:rsidR="00BA259B">
              <w:t xml:space="preserve"> </w:t>
            </w:r>
            <w:r w:rsidR="00FD027B">
              <w:t>15</w:t>
            </w:r>
            <w:r w:rsidR="00097DA9">
              <w:t>2</w:t>
            </w:r>
            <w:r w:rsidR="00FD027B">
              <w:t>.</w:t>
            </w:r>
          </w:p>
        </w:tc>
      </w:tr>
    </w:tbl>
    <w:p w14:paraId="46CC66CE" w14:textId="1FD91C82" w:rsidR="00722E56" w:rsidRDefault="00722E56" w:rsidP="00C92068">
      <w:pPr>
        <w:pStyle w:val="Chapterheading"/>
      </w:pPr>
    </w:p>
    <w:p w14:paraId="3DE9097F" w14:textId="4B129DF4" w:rsidR="00BA5AC4" w:rsidRDefault="00BA5AC4" w:rsidP="00C92068">
      <w:pPr>
        <w:pStyle w:val="Chapterheading"/>
      </w:pPr>
    </w:p>
    <w:p w14:paraId="71967E8E" w14:textId="31BF02E1" w:rsidR="00BA5AC4" w:rsidRDefault="00BA5AC4" w:rsidP="00C92068">
      <w:pPr>
        <w:pStyle w:val="Chapterheading"/>
      </w:pPr>
    </w:p>
    <w:p w14:paraId="32AA6C7E" w14:textId="6115416B" w:rsidR="00BA5AC4" w:rsidRDefault="00BA5AC4" w:rsidP="00C92068">
      <w:pPr>
        <w:pStyle w:val="Chapterheading"/>
      </w:pPr>
    </w:p>
    <w:p w14:paraId="49FD4C03" w14:textId="70BFABBD" w:rsidR="00DD4F3E" w:rsidRDefault="00A418CE" w:rsidP="00C92068">
      <w:pPr>
        <w:pStyle w:val="Chapterheading"/>
      </w:pPr>
      <w:bookmarkStart w:id="96" w:name="_Toc84593840"/>
      <w:bookmarkStart w:id="97" w:name="_Toc85451711"/>
      <w:bookmarkStart w:id="98" w:name="_Toc85526631"/>
      <w:bookmarkStart w:id="99" w:name="_Toc85787046"/>
      <w:r w:rsidRPr="00BA5AC4">
        <w:rPr>
          <w:noProof/>
        </w:rPr>
        <w:lastRenderedPageBreak/>
        <w:drawing>
          <wp:anchor distT="0" distB="0" distL="114300" distR="114300" simplePos="0" relativeHeight="251658256" behindDoc="1" locked="0" layoutInCell="1" allowOverlap="1" wp14:anchorId="469536F3" wp14:editId="5ECCF033">
            <wp:simplePos x="0" y="0"/>
            <wp:positionH relativeFrom="page">
              <wp:posOffset>7050296</wp:posOffset>
            </wp:positionH>
            <wp:positionV relativeFrom="paragraph">
              <wp:posOffset>-1101725</wp:posOffset>
            </wp:positionV>
            <wp:extent cx="541020" cy="10782300"/>
            <wp:effectExtent l="0" t="0" r="0" b="0"/>
            <wp:wrapNone/>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ur bar full 15m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1020" cy="10782300"/>
                    </a:xfrm>
                    <a:prstGeom prst="rect">
                      <a:avLst/>
                    </a:prstGeom>
                  </pic:spPr>
                </pic:pic>
              </a:graphicData>
            </a:graphic>
            <wp14:sizeRelH relativeFrom="page">
              <wp14:pctWidth>0</wp14:pctWidth>
            </wp14:sizeRelH>
            <wp14:sizeRelV relativeFrom="page">
              <wp14:pctHeight>0</wp14:pctHeight>
            </wp14:sizeRelV>
          </wp:anchor>
        </w:drawing>
      </w:r>
      <w:r w:rsidR="006731A4" w:rsidRPr="00374AB8">
        <w:rPr>
          <w:noProof/>
        </w:rPr>
        <mc:AlternateContent>
          <mc:Choice Requires="wps">
            <w:drawing>
              <wp:anchor distT="0" distB="0" distL="114300" distR="114300" simplePos="0" relativeHeight="251658255" behindDoc="1" locked="0" layoutInCell="1" allowOverlap="1" wp14:anchorId="72E081BC" wp14:editId="27B353E7">
                <wp:simplePos x="0" y="0"/>
                <wp:positionH relativeFrom="page">
                  <wp:posOffset>-173421</wp:posOffset>
                </wp:positionH>
                <wp:positionV relativeFrom="paragraph">
                  <wp:posOffset>-1117491</wp:posOffset>
                </wp:positionV>
                <wp:extent cx="7724775" cy="10983311"/>
                <wp:effectExtent l="0" t="0" r="9525" b="8890"/>
                <wp:wrapNone/>
                <wp:docPr id="37" name="Rectangle 37" descr="Rectangular blue block which covers the top quarter of the page. The chapter title sits inside the rectangle in white text. All headings in this chapter are blue. " title="Decorative colour block"/>
                <wp:cNvGraphicFramePr/>
                <a:graphic xmlns:a="http://schemas.openxmlformats.org/drawingml/2006/main">
                  <a:graphicData uri="http://schemas.microsoft.com/office/word/2010/wordprocessingShape">
                    <wps:wsp>
                      <wps:cNvSpPr/>
                      <wps:spPr>
                        <a:xfrm>
                          <a:off x="0" y="0"/>
                          <a:ext cx="7724775" cy="10983311"/>
                        </a:xfrm>
                        <a:prstGeom prst="rect">
                          <a:avLst/>
                        </a:prstGeom>
                        <a:solidFill>
                          <a:srgbClr val="39969F"/>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5891738C" id="Rectangle 37" o:spid="_x0000_s1026" alt="Title: Decorative colour block - Description: Rectangular blue block which covers the top quarter of the page. The chapter title sits inside the rectangle in white text. All headings in this chapter are blue. " style="position:absolute;margin-left:-13.65pt;margin-top:-88pt;width:608.25pt;height:864.85pt;z-index:-25165822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" fillcolor="#39969f" stroked="f" strokeweight="1pt">
                <w10:wrap anchorx="page"/>
              </v:rect>
            </w:pict>
          </mc:Fallback>
        </mc:AlternateContent>
      </w:r>
    </w:p>
    <w:p w14:paraId="373B0DC3" w14:textId="78D2D200" w:rsidR="00DD4F3E" w:rsidRDefault="00DD4F3E" w:rsidP="00C92068">
      <w:pPr>
        <w:pStyle w:val="Chapterheading"/>
      </w:pPr>
    </w:p>
    <w:p w14:paraId="0FF53A9E" w14:textId="77777777" w:rsidR="00A418CE" w:rsidRDefault="00A418CE" w:rsidP="00C92068">
      <w:pPr>
        <w:pStyle w:val="Chapterheading"/>
      </w:pPr>
    </w:p>
    <w:p w14:paraId="364F9511" w14:textId="77777777" w:rsidR="00A418CE" w:rsidRDefault="00A418CE" w:rsidP="00C92068">
      <w:pPr>
        <w:pStyle w:val="Chapterheading"/>
      </w:pPr>
    </w:p>
    <w:p w14:paraId="5206B318" w14:textId="4DD66E3A" w:rsidR="00FC649F" w:rsidRPr="008A00EB" w:rsidRDefault="00677A56" w:rsidP="00C92068">
      <w:pPr>
        <w:pStyle w:val="Chapterheading"/>
      </w:pPr>
      <w:r>
        <w:t>Ab</w:t>
      </w:r>
      <w:r w:rsidR="00DD4F3E">
        <w:t>o</w:t>
      </w:r>
      <w:r>
        <w:t>ut</w:t>
      </w:r>
      <w:r w:rsidR="3E3C8012" w:rsidRPr="008A00EB">
        <w:t xml:space="preserve"> the </w:t>
      </w:r>
      <w:r w:rsidR="3E3C8012" w:rsidRPr="008A00EB">
        <w:rPr>
          <w:i/>
        </w:rPr>
        <w:t>Human Rights Act</w:t>
      </w:r>
      <w:r w:rsidR="00EF3FB6" w:rsidRPr="008A00EB">
        <w:rPr>
          <w:i/>
        </w:rPr>
        <w:t xml:space="preserve"> 2019</w:t>
      </w:r>
      <w:bookmarkEnd w:id="96"/>
      <w:bookmarkEnd w:id="97"/>
      <w:bookmarkEnd w:id="98"/>
      <w:bookmarkEnd w:id="99"/>
    </w:p>
    <w:p w14:paraId="3DA9D4C8" w14:textId="42D4975D" w:rsidR="00BA5AC4" w:rsidRDefault="00BA5AC4">
      <w:pPr>
        <w:spacing w:line="259" w:lineRule="auto"/>
        <w:ind w:right="0"/>
        <w:rPr>
          <w:rFonts w:eastAsia="Times New Roman" w:cs="Times New Roman"/>
          <w:bCs/>
          <w:color w:val="39969F"/>
          <w:kern w:val="36"/>
          <w:sz w:val="48"/>
          <w:szCs w:val="48"/>
          <w:lang w:eastAsia="en-AU"/>
        </w:rPr>
      </w:pPr>
      <w:bookmarkStart w:id="100" w:name="_Toc84593841"/>
      <w:bookmarkStart w:id="101" w:name="_Toc85451712"/>
      <w:r>
        <w:rPr>
          <w:color w:val="39969F"/>
        </w:rPr>
        <w:br w:type="page"/>
      </w:r>
    </w:p>
    <w:p w14:paraId="669EF731" w14:textId="36AD9E97" w:rsidR="000F3DB6" w:rsidRPr="00A9550D" w:rsidRDefault="000F3DB6" w:rsidP="00A9550D">
      <w:pPr>
        <w:pStyle w:val="Heading1"/>
        <w:rPr>
          <w:color w:val="39969F"/>
        </w:rPr>
      </w:pPr>
      <w:bookmarkStart w:id="102" w:name="_Toc85526632"/>
      <w:bookmarkStart w:id="103" w:name="_Toc85787047"/>
      <w:r w:rsidRPr="00A9550D">
        <w:rPr>
          <w:color w:val="39969F"/>
        </w:rPr>
        <w:lastRenderedPageBreak/>
        <w:t>What are h</w:t>
      </w:r>
      <w:r w:rsidR="00AF306C" w:rsidRPr="00A9550D">
        <w:rPr>
          <w:color w:val="39969F"/>
        </w:rPr>
        <w:t>u</w:t>
      </w:r>
      <w:r w:rsidRPr="00A9550D">
        <w:rPr>
          <w:color w:val="39969F"/>
        </w:rPr>
        <w:t>man rights?</w:t>
      </w:r>
      <w:bookmarkEnd w:id="100"/>
      <w:bookmarkEnd w:id="101"/>
      <w:bookmarkEnd w:id="102"/>
      <w:bookmarkEnd w:id="103"/>
    </w:p>
    <w:p w14:paraId="771C6D58" w14:textId="3D1E2DDA" w:rsidR="00AC07F2" w:rsidRPr="008A00EB" w:rsidRDefault="00AC07F2" w:rsidP="00AF306C">
      <w:pPr>
        <w:rPr>
          <w:rFonts w:cs="Arial"/>
          <w:shd w:val="clear" w:color="auto" w:fill="FFFFFF"/>
        </w:rPr>
      </w:pPr>
      <w:r w:rsidRPr="008A00EB">
        <w:rPr>
          <w:rFonts w:cs="Arial"/>
          <w:shd w:val="clear" w:color="auto" w:fill="FFFFFF"/>
        </w:rPr>
        <w:t>Human rights are rights inherent to all human beings.</w:t>
      </w:r>
    </w:p>
    <w:p w14:paraId="780D9A57" w14:textId="65384762" w:rsidR="000F3DB6" w:rsidRPr="008A00EB" w:rsidRDefault="00337AD0" w:rsidP="00AF306C">
      <w:pPr>
        <w:rPr>
          <w:shd w:val="clear" w:color="auto" w:fill="FFFFFF"/>
        </w:rPr>
      </w:pPr>
      <w:r w:rsidRPr="008A00EB">
        <w:rPr>
          <w:shd w:val="clear" w:color="auto" w:fill="FFFFFF"/>
        </w:rPr>
        <w:t xml:space="preserve">By </w:t>
      </w:r>
      <w:r w:rsidR="000413C9" w:rsidRPr="008A00EB">
        <w:rPr>
          <w:shd w:val="clear" w:color="auto" w:fill="FFFFFF"/>
        </w:rPr>
        <w:t>promoting</w:t>
      </w:r>
      <w:r w:rsidRPr="008A00EB">
        <w:rPr>
          <w:shd w:val="clear" w:color="auto" w:fill="FFFFFF"/>
        </w:rPr>
        <w:t xml:space="preserve"> </w:t>
      </w:r>
      <w:r w:rsidR="001549D3" w:rsidRPr="008A00EB">
        <w:rPr>
          <w:shd w:val="clear" w:color="auto" w:fill="FFFFFF"/>
        </w:rPr>
        <w:t xml:space="preserve">respect for </w:t>
      </w:r>
      <w:r w:rsidR="00AF306C" w:rsidRPr="008A00EB">
        <w:rPr>
          <w:shd w:val="clear" w:color="auto" w:fill="FFFFFF"/>
        </w:rPr>
        <w:t>human rights</w:t>
      </w:r>
      <w:r w:rsidR="00543376" w:rsidRPr="008A00EB">
        <w:rPr>
          <w:shd w:val="clear" w:color="auto" w:fill="FFFFFF"/>
        </w:rPr>
        <w:t>,</w:t>
      </w:r>
      <w:r w:rsidR="00AF306C" w:rsidRPr="008A00EB">
        <w:rPr>
          <w:shd w:val="clear" w:color="auto" w:fill="FFFFFF"/>
        </w:rPr>
        <w:t xml:space="preserve"> </w:t>
      </w:r>
      <w:r w:rsidRPr="008A00EB">
        <w:rPr>
          <w:shd w:val="clear" w:color="auto" w:fill="FFFFFF"/>
        </w:rPr>
        <w:t xml:space="preserve">we </w:t>
      </w:r>
      <w:r w:rsidR="00AF306C" w:rsidRPr="008A00EB">
        <w:rPr>
          <w:shd w:val="clear" w:color="auto" w:fill="FFFFFF"/>
        </w:rPr>
        <w:t xml:space="preserve">recognise the dignity and worth of </w:t>
      </w:r>
      <w:r w:rsidR="00B36918" w:rsidRPr="008A00EB">
        <w:rPr>
          <w:shd w:val="clear" w:color="auto" w:fill="FFFFFF"/>
        </w:rPr>
        <w:t>all people.</w:t>
      </w:r>
    </w:p>
    <w:p w14:paraId="72A865A7" w14:textId="26DF50C7" w:rsidR="00AF306C" w:rsidRPr="008A00EB" w:rsidRDefault="00AF306C" w:rsidP="00AF306C">
      <w:pPr>
        <w:rPr>
          <w:shd w:val="clear" w:color="auto" w:fill="FFFFFF"/>
        </w:rPr>
      </w:pPr>
      <w:r w:rsidRPr="008A00EB">
        <w:rPr>
          <w:shd w:val="clear" w:color="auto" w:fill="FFFFFF"/>
        </w:rPr>
        <w:t>Human rights should only be limited in a way that can be justified in a free and democratic society based on human dignity, equality, freedom</w:t>
      </w:r>
      <w:r w:rsidR="00543376" w:rsidRPr="008A00EB">
        <w:rPr>
          <w:shd w:val="clear" w:color="auto" w:fill="FFFFFF"/>
        </w:rPr>
        <w:t>,</w:t>
      </w:r>
      <w:r w:rsidRPr="008A00EB">
        <w:rPr>
          <w:shd w:val="clear" w:color="auto" w:fill="FFFFFF"/>
        </w:rPr>
        <w:t xml:space="preserve"> and the rule of law.</w:t>
      </w:r>
    </w:p>
    <w:p w14:paraId="42FF0415" w14:textId="68F2F5E6" w:rsidR="00181511" w:rsidRPr="00A9550D" w:rsidRDefault="004209FD" w:rsidP="00A9550D">
      <w:pPr>
        <w:pStyle w:val="Heading1"/>
        <w:rPr>
          <w:color w:val="39969F"/>
        </w:rPr>
      </w:pPr>
      <w:bookmarkStart w:id="104" w:name="_Toc56451542"/>
      <w:bookmarkStart w:id="105" w:name="_Toc56452116"/>
      <w:bookmarkStart w:id="106" w:name="_Toc84593842"/>
      <w:bookmarkStart w:id="107" w:name="_Toc85451713"/>
      <w:bookmarkStart w:id="108" w:name="_Toc85526633"/>
      <w:bookmarkStart w:id="109" w:name="_Toc85787048"/>
      <w:r w:rsidRPr="00A9550D">
        <w:rPr>
          <w:color w:val="39969F"/>
        </w:rPr>
        <w:t>Modern human rights law</w:t>
      </w:r>
      <w:bookmarkEnd w:id="104"/>
      <w:bookmarkEnd w:id="105"/>
      <w:bookmarkEnd w:id="106"/>
      <w:bookmarkEnd w:id="107"/>
      <w:bookmarkEnd w:id="108"/>
      <w:bookmarkEnd w:id="109"/>
    </w:p>
    <w:p w14:paraId="19E65D0B" w14:textId="4B8421F3" w:rsidR="000F6F58" w:rsidRPr="00653171" w:rsidRDefault="002A6745" w:rsidP="00AF306C">
      <w:pPr>
        <w:rPr>
          <w:shd w:val="clear" w:color="auto" w:fill="FFFFFF"/>
        </w:rPr>
      </w:pPr>
      <w:r w:rsidRPr="008A00EB">
        <w:t xml:space="preserve">The modern idea of human rights </w:t>
      </w:r>
      <w:r w:rsidR="009A10CC" w:rsidRPr="008A00EB">
        <w:t>derives from</w:t>
      </w:r>
      <w:r w:rsidRPr="008A00EB">
        <w:t xml:space="preserve"> the </w:t>
      </w:r>
      <w:r w:rsidRPr="008A00EB">
        <w:rPr>
          <w:i/>
        </w:rPr>
        <w:t xml:space="preserve">Universal Declaration of Human Rights </w:t>
      </w:r>
      <w:r w:rsidRPr="008A00EB">
        <w:t xml:space="preserve">which was adopted by the United Nations General Assembly in 1948. </w:t>
      </w:r>
      <w:r w:rsidR="00B6044B" w:rsidRPr="008A00EB">
        <w:t>Australia has shown its commitment to</w:t>
      </w:r>
      <w:r w:rsidRPr="008A00EB">
        <w:t xml:space="preserve"> human rights </w:t>
      </w:r>
      <w:r w:rsidR="00B6044B" w:rsidRPr="008A00EB">
        <w:t xml:space="preserve">by ratifying </w:t>
      </w:r>
      <w:r w:rsidRPr="008A00EB">
        <w:t>treaties</w:t>
      </w:r>
      <w:r w:rsidR="00B6044B" w:rsidRPr="008A00EB">
        <w:t>,</w:t>
      </w:r>
      <w:r w:rsidRPr="008A00EB">
        <w:t xml:space="preserve"> including the </w:t>
      </w:r>
      <w:r w:rsidRPr="008A00EB">
        <w:rPr>
          <w:i/>
        </w:rPr>
        <w:t>International Covenant on Civil and political Rights</w:t>
      </w:r>
      <w:r w:rsidRPr="008A00EB">
        <w:t xml:space="preserve"> (ICCPR) and the </w:t>
      </w:r>
      <w:r w:rsidRPr="008A00EB">
        <w:rPr>
          <w:i/>
        </w:rPr>
        <w:t>International Covenant on Economic, Social and Cultural Rights</w:t>
      </w:r>
      <w:r w:rsidRPr="008A00EB">
        <w:t xml:space="preserve"> (ICESCR). However, a treaty only becomes a direct source of individual rights and obligations once it is incorporated into</w:t>
      </w:r>
      <w:r w:rsidR="001D4C38" w:rsidRPr="008A00EB">
        <w:t xml:space="preserve"> domestic</w:t>
      </w:r>
      <w:r w:rsidRPr="008A00EB">
        <w:t xml:space="preserve"> legislation.</w:t>
      </w:r>
    </w:p>
    <w:p w14:paraId="6A219EE6" w14:textId="5856ADBB" w:rsidR="000E43D9" w:rsidRPr="00283488" w:rsidRDefault="00837455" w:rsidP="00283488">
      <w:pPr>
        <w:pStyle w:val="Heading1"/>
        <w:rPr>
          <w:i/>
          <w:color w:val="39969F"/>
        </w:rPr>
      </w:pPr>
      <w:bookmarkStart w:id="110" w:name="_Toc84593843"/>
      <w:bookmarkStart w:id="111" w:name="_Toc85451714"/>
      <w:bookmarkStart w:id="112" w:name="_Toc85526634"/>
      <w:bookmarkStart w:id="113" w:name="_Toc85787049"/>
      <w:r w:rsidRPr="00283488">
        <w:rPr>
          <w:color w:val="39969F"/>
          <w:shd w:val="clear" w:color="auto" w:fill="FFFFFF"/>
        </w:rPr>
        <w:t>About t</w:t>
      </w:r>
      <w:r w:rsidR="00A20FC7" w:rsidRPr="00283488">
        <w:rPr>
          <w:color w:val="39969F"/>
          <w:shd w:val="clear" w:color="auto" w:fill="FFFFFF"/>
        </w:rPr>
        <w:t xml:space="preserve">he </w:t>
      </w:r>
      <w:r w:rsidR="00A20FC7" w:rsidRPr="00283488">
        <w:rPr>
          <w:i/>
          <w:color w:val="39969F"/>
          <w:shd w:val="clear" w:color="auto" w:fill="FFFFFF"/>
        </w:rPr>
        <w:t>Human Rights Act 2019</w:t>
      </w:r>
      <w:bookmarkEnd w:id="110"/>
      <w:bookmarkEnd w:id="111"/>
      <w:bookmarkEnd w:id="112"/>
      <w:bookmarkEnd w:id="113"/>
    </w:p>
    <w:p w14:paraId="2F43F264" w14:textId="2635699E" w:rsidR="00AF306C" w:rsidRPr="00677A56" w:rsidRDefault="00BA1C87" w:rsidP="00B04FF8">
      <w:pPr>
        <w:pStyle w:val="Heading2"/>
        <w:rPr>
          <w:color w:val="39969F"/>
        </w:rPr>
      </w:pPr>
      <w:bookmarkStart w:id="114" w:name="_Toc56451545"/>
      <w:bookmarkStart w:id="115" w:name="_Toc56452119"/>
      <w:bookmarkStart w:id="116" w:name="_Toc84593844"/>
      <w:bookmarkStart w:id="117" w:name="_Toc85451715"/>
      <w:bookmarkStart w:id="118" w:name="_Toc85526635"/>
      <w:bookmarkStart w:id="119" w:name="_Toc85787050"/>
      <w:r w:rsidRPr="00677A56">
        <w:rPr>
          <w:color w:val="39969F"/>
        </w:rPr>
        <w:t>Objects of the Act</w:t>
      </w:r>
      <w:bookmarkEnd w:id="114"/>
      <w:bookmarkEnd w:id="115"/>
      <w:bookmarkEnd w:id="116"/>
      <w:bookmarkEnd w:id="117"/>
      <w:bookmarkEnd w:id="118"/>
      <w:bookmarkEnd w:id="119"/>
    </w:p>
    <w:p w14:paraId="6F11D40D" w14:textId="7739B26E" w:rsidR="00E06ECE" w:rsidRPr="008A00EB" w:rsidRDefault="00E06ECE" w:rsidP="00E06ECE">
      <w:r w:rsidRPr="008A00EB">
        <w:t>The </w:t>
      </w:r>
      <w:r w:rsidR="005E130B" w:rsidRPr="008A00EB">
        <w:t xml:space="preserve">main objects of the </w:t>
      </w:r>
      <w:r w:rsidR="007B6280" w:rsidRPr="008A00EB">
        <w:rPr>
          <w:rStyle w:val="Emphasis"/>
          <w:rFonts w:ascii="Helvetica" w:hAnsi="Helvetica"/>
          <w:i w:val="0"/>
          <w:color w:val="212529"/>
        </w:rPr>
        <w:t>Act</w:t>
      </w:r>
      <w:r w:rsidR="007B6280" w:rsidRPr="008A00EB">
        <w:t xml:space="preserve"> are</w:t>
      </w:r>
      <w:r w:rsidR="005E130B" w:rsidRPr="008A00EB">
        <w:t>:</w:t>
      </w:r>
    </w:p>
    <w:p w14:paraId="1A00EFA9" w14:textId="60D48860" w:rsidR="00E06ECE" w:rsidRPr="008A00EB" w:rsidRDefault="00203433" w:rsidP="008A0673">
      <w:pPr>
        <w:pStyle w:val="ListParagraph"/>
      </w:pPr>
      <w:r w:rsidRPr="008A00EB">
        <w:t xml:space="preserve">to </w:t>
      </w:r>
      <w:r w:rsidR="00E06ECE" w:rsidRPr="008A00EB">
        <w:t>protect and promote human rights</w:t>
      </w:r>
      <w:r w:rsidRPr="008A00EB">
        <w:t>; and</w:t>
      </w:r>
    </w:p>
    <w:p w14:paraId="30F6E077" w14:textId="7072C52A" w:rsidR="00E06ECE" w:rsidRPr="008A00EB" w:rsidRDefault="00203433" w:rsidP="008A0673">
      <w:pPr>
        <w:pStyle w:val="ListParagraph"/>
      </w:pPr>
      <w:r w:rsidRPr="008A00EB">
        <w:t xml:space="preserve">to </w:t>
      </w:r>
      <w:r w:rsidR="00E06ECE" w:rsidRPr="008A00EB">
        <w:t>help build a culture in the Queensland public sector that respects and promotes human rights</w:t>
      </w:r>
      <w:r w:rsidR="00677A56">
        <w:t>;</w:t>
      </w:r>
      <w:r w:rsidRPr="008A00EB">
        <w:t xml:space="preserve"> and</w:t>
      </w:r>
    </w:p>
    <w:p w14:paraId="0A0E064E" w14:textId="16000410" w:rsidR="00E06ECE" w:rsidRPr="008A00EB" w:rsidRDefault="00203433" w:rsidP="008A0673">
      <w:pPr>
        <w:pStyle w:val="ListParagraph"/>
      </w:pPr>
      <w:r w:rsidRPr="008A00EB">
        <w:t xml:space="preserve">to </w:t>
      </w:r>
      <w:r w:rsidR="00E06ECE" w:rsidRPr="008A00EB">
        <w:t>help promote a dialogue about the nature, meaning and scope of human rights.</w:t>
      </w:r>
    </w:p>
    <w:p w14:paraId="027761C3" w14:textId="77777777" w:rsidR="00BA5AC4" w:rsidRDefault="00BA5AC4">
      <w:pPr>
        <w:spacing w:line="259" w:lineRule="auto"/>
        <w:ind w:right="0"/>
        <w:rPr>
          <w:rFonts w:eastAsiaTheme="majorEastAsia" w:cstheme="majorBidi"/>
          <w:bCs/>
          <w:color w:val="39969F"/>
          <w:kern w:val="36"/>
          <w:sz w:val="36"/>
          <w:szCs w:val="26"/>
          <w:lang w:eastAsia="en-AU"/>
        </w:rPr>
      </w:pPr>
      <w:bookmarkStart w:id="120" w:name="_Toc56451546"/>
      <w:bookmarkStart w:id="121" w:name="_Toc56452120"/>
      <w:bookmarkStart w:id="122" w:name="_Toc84593845"/>
      <w:bookmarkStart w:id="123" w:name="_Toc85451716"/>
      <w:r>
        <w:rPr>
          <w:color w:val="39969F"/>
        </w:rPr>
        <w:br w:type="page"/>
      </w:r>
    </w:p>
    <w:p w14:paraId="4C846C97" w14:textId="5C4C9EDD" w:rsidR="00E06ECE" w:rsidRPr="00677A56" w:rsidRDefault="00E06ECE" w:rsidP="00B04FF8">
      <w:pPr>
        <w:pStyle w:val="Heading2"/>
        <w:rPr>
          <w:color w:val="39969F"/>
        </w:rPr>
      </w:pPr>
      <w:bookmarkStart w:id="124" w:name="_Toc85526636"/>
      <w:bookmarkStart w:id="125" w:name="_Toc85787051"/>
      <w:r w:rsidRPr="00677A56">
        <w:rPr>
          <w:color w:val="39969F"/>
        </w:rPr>
        <w:lastRenderedPageBreak/>
        <w:t xml:space="preserve">Protected </w:t>
      </w:r>
      <w:r w:rsidR="00203433" w:rsidRPr="00677A56">
        <w:rPr>
          <w:color w:val="39969F"/>
        </w:rPr>
        <w:t>h</w:t>
      </w:r>
      <w:r w:rsidRPr="00677A56">
        <w:rPr>
          <w:color w:val="39969F"/>
        </w:rPr>
        <w:t xml:space="preserve">uman </w:t>
      </w:r>
      <w:r w:rsidR="00203433" w:rsidRPr="00677A56">
        <w:rPr>
          <w:color w:val="39969F"/>
        </w:rPr>
        <w:t>r</w:t>
      </w:r>
      <w:r w:rsidRPr="00677A56">
        <w:rPr>
          <w:color w:val="39969F"/>
        </w:rPr>
        <w:t>ights</w:t>
      </w:r>
      <w:bookmarkEnd w:id="120"/>
      <w:bookmarkEnd w:id="121"/>
      <w:bookmarkEnd w:id="122"/>
      <w:bookmarkEnd w:id="123"/>
      <w:bookmarkEnd w:id="124"/>
      <w:bookmarkEnd w:id="125"/>
    </w:p>
    <w:p w14:paraId="1555BB80" w14:textId="2A3CAE14" w:rsidR="00F60BD6" w:rsidRPr="008A00EB" w:rsidRDefault="00F60BD6" w:rsidP="001238E5">
      <w:r w:rsidRPr="008A00EB">
        <w:t>The Act consolidates and establishes statutory protections for certain rights recognised under international law, including those drawn from the ICCPR and the ICESCR.</w:t>
      </w:r>
    </w:p>
    <w:p w14:paraId="6390E5A8" w14:textId="7E4E1A59" w:rsidR="001238E5" w:rsidRPr="008A00EB" w:rsidRDefault="001238E5" w:rsidP="001238E5">
      <w:r w:rsidRPr="008A00EB">
        <w:t>The following human rig</w:t>
      </w:r>
      <w:r w:rsidR="002326EE" w:rsidRPr="008A00EB">
        <w:t>hts are protected under the Act:</w:t>
      </w:r>
    </w:p>
    <w:p w14:paraId="0F46AB89" w14:textId="587BF7C6" w:rsidR="00E06ECE" w:rsidRPr="008A00EB" w:rsidRDefault="002E59B2" w:rsidP="00837455">
      <w:pPr>
        <w:pStyle w:val="ListParagraph"/>
        <w:rPr>
          <w:rFonts w:cs="Arial"/>
        </w:rPr>
      </w:pPr>
      <w:hyperlink r:id="rId28">
        <w:r w:rsidR="00F60BD6" w:rsidRPr="0F6617A5">
          <w:rPr>
            <w:rStyle w:val="Hyperlink"/>
            <w:rFonts w:cs="Arial"/>
            <w:color w:val="auto"/>
            <w:u w:val="none"/>
          </w:rPr>
          <w:t>R</w:t>
        </w:r>
        <w:r w:rsidR="00E06ECE" w:rsidRPr="0F6617A5">
          <w:rPr>
            <w:rStyle w:val="Hyperlink"/>
            <w:rFonts w:cs="Arial"/>
            <w:color w:val="auto"/>
            <w:u w:val="none"/>
          </w:rPr>
          <w:t>ight to recognition and equality before the law (section 15)</w:t>
        </w:r>
      </w:hyperlink>
    </w:p>
    <w:p w14:paraId="230DC6ED" w14:textId="658299BD" w:rsidR="00E06ECE" w:rsidRPr="008A00EB" w:rsidRDefault="002E59B2" w:rsidP="00837455">
      <w:pPr>
        <w:pStyle w:val="ListParagraph"/>
        <w:rPr>
          <w:rFonts w:cs="Arial"/>
        </w:rPr>
      </w:pPr>
      <w:hyperlink r:id="rId29">
        <w:r w:rsidR="00F60BD6" w:rsidRPr="0F6617A5">
          <w:rPr>
            <w:rStyle w:val="Hyperlink"/>
            <w:rFonts w:cs="Arial"/>
            <w:color w:val="auto"/>
            <w:u w:val="none"/>
          </w:rPr>
          <w:t>R</w:t>
        </w:r>
        <w:r w:rsidR="00E06ECE" w:rsidRPr="0F6617A5">
          <w:rPr>
            <w:rStyle w:val="Hyperlink"/>
            <w:rFonts w:cs="Arial"/>
            <w:color w:val="auto"/>
            <w:u w:val="none"/>
          </w:rPr>
          <w:t>ight to life (section 16)</w:t>
        </w:r>
      </w:hyperlink>
    </w:p>
    <w:p w14:paraId="1033BA0B" w14:textId="7B8FDA85" w:rsidR="00E06ECE" w:rsidRPr="008A00EB" w:rsidRDefault="002E59B2" w:rsidP="00837455">
      <w:pPr>
        <w:pStyle w:val="ListParagraph"/>
        <w:rPr>
          <w:rFonts w:cs="Arial"/>
        </w:rPr>
      </w:pPr>
      <w:hyperlink r:id="rId30">
        <w:r w:rsidR="00F60BD6" w:rsidRPr="0F6617A5">
          <w:rPr>
            <w:rStyle w:val="Hyperlink"/>
            <w:rFonts w:cs="Arial"/>
            <w:color w:val="auto"/>
            <w:u w:val="none"/>
          </w:rPr>
          <w:t>R</w:t>
        </w:r>
        <w:r w:rsidR="00E06ECE" w:rsidRPr="0F6617A5">
          <w:rPr>
            <w:rStyle w:val="Hyperlink"/>
            <w:rFonts w:cs="Arial"/>
            <w:color w:val="auto"/>
            <w:u w:val="none"/>
          </w:rPr>
          <w:t>ight to protection from torture and cruel, inhuman or degrading treatment (section 17)</w:t>
        </w:r>
      </w:hyperlink>
    </w:p>
    <w:p w14:paraId="3D91A89D" w14:textId="5629D2C9" w:rsidR="00E06ECE" w:rsidRPr="008A00EB" w:rsidRDefault="002E59B2" w:rsidP="00837455">
      <w:pPr>
        <w:pStyle w:val="ListParagraph"/>
        <w:rPr>
          <w:rFonts w:cs="Arial"/>
        </w:rPr>
      </w:pPr>
      <w:hyperlink r:id="rId31">
        <w:r w:rsidR="00F60BD6" w:rsidRPr="0F6617A5">
          <w:rPr>
            <w:rStyle w:val="Hyperlink"/>
            <w:rFonts w:cs="Arial"/>
            <w:color w:val="auto"/>
            <w:u w:val="none"/>
          </w:rPr>
          <w:t>R</w:t>
        </w:r>
        <w:r w:rsidR="00E06ECE" w:rsidRPr="0F6617A5">
          <w:rPr>
            <w:rStyle w:val="Hyperlink"/>
            <w:rFonts w:cs="Arial"/>
            <w:color w:val="auto"/>
            <w:u w:val="none"/>
          </w:rPr>
          <w:t>ight to freedom from forced work (section 18)</w:t>
        </w:r>
      </w:hyperlink>
    </w:p>
    <w:p w14:paraId="177A1A7F" w14:textId="0CD7A6B0" w:rsidR="00E06ECE" w:rsidRPr="008A00EB" w:rsidRDefault="002E59B2" w:rsidP="00837455">
      <w:pPr>
        <w:pStyle w:val="ListParagraph"/>
        <w:rPr>
          <w:rFonts w:cs="Arial"/>
        </w:rPr>
      </w:pPr>
      <w:hyperlink r:id="rId32">
        <w:r w:rsidR="00F60BD6" w:rsidRPr="0F6617A5">
          <w:rPr>
            <w:rStyle w:val="Hyperlink"/>
            <w:rFonts w:cs="Arial"/>
            <w:color w:val="auto"/>
            <w:u w:val="none"/>
          </w:rPr>
          <w:t>Ri</w:t>
        </w:r>
        <w:r w:rsidR="00E06ECE" w:rsidRPr="0F6617A5">
          <w:rPr>
            <w:rStyle w:val="Hyperlink"/>
            <w:rFonts w:cs="Arial"/>
            <w:color w:val="auto"/>
            <w:u w:val="none"/>
          </w:rPr>
          <w:t>ght to freedom of movement (section 19)</w:t>
        </w:r>
      </w:hyperlink>
    </w:p>
    <w:p w14:paraId="26DC61EE" w14:textId="10B038D1" w:rsidR="00E06ECE" w:rsidRPr="008A00EB" w:rsidRDefault="002E59B2" w:rsidP="00837455">
      <w:pPr>
        <w:pStyle w:val="ListParagraph"/>
        <w:rPr>
          <w:rFonts w:cs="Arial"/>
        </w:rPr>
      </w:pPr>
      <w:hyperlink r:id="rId33">
        <w:r w:rsidR="00F60BD6" w:rsidRPr="0F6617A5">
          <w:rPr>
            <w:rStyle w:val="Hyperlink"/>
            <w:rFonts w:cs="Arial"/>
            <w:color w:val="auto"/>
            <w:u w:val="none"/>
          </w:rPr>
          <w:t>R</w:t>
        </w:r>
        <w:r w:rsidR="00E06ECE" w:rsidRPr="0F6617A5">
          <w:rPr>
            <w:rStyle w:val="Hyperlink"/>
            <w:rFonts w:cs="Arial"/>
            <w:color w:val="auto"/>
            <w:u w:val="none"/>
          </w:rPr>
          <w:t>ight to freedom of thought, conscience, religion and belief (section 20)</w:t>
        </w:r>
      </w:hyperlink>
    </w:p>
    <w:p w14:paraId="44490067" w14:textId="05BABE05" w:rsidR="00E06ECE" w:rsidRPr="008A00EB" w:rsidRDefault="002E59B2" w:rsidP="00837455">
      <w:pPr>
        <w:pStyle w:val="ListParagraph"/>
        <w:rPr>
          <w:rFonts w:cs="Arial"/>
        </w:rPr>
      </w:pPr>
      <w:hyperlink r:id="rId34">
        <w:r w:rsidR="00F60BD6" w:rsidRPr="0F6617A5">
          <w:rPr>
            <w:rStyle w:val="Hyperlink"/>
            <w:rFonts w:cs="Arial"/>
            <w:color w:val="auto"/>
            <w:u w:val="none"/>
          </w:rPr>
          <w:t>R</w:t>
        </w:r>
        <w:r w:rsidR="00E06ECE" w:rsidRPr="0F6617A5">
          <w:rPr>
            <w:rStyle w:val="Hyperlink"/>
            <w:rFonts w:cs="Arial"/>
            <w:color w:val="auto"/>
            <w:u w:val="none"/>
          </w:rPr>
          <w:t>ight to freedom of expression (section 21)</w:t>
        </w:r>
      </w:hyperlink>
    </w:p>
    <w:p w14:paraId="2C081DAE" w14:textId="1EE63C4E" w:rsidR="00E06ECE" w:rsidRPr="008A00EB" w:rsidRDefault="002E59B2" w:rsidP="00837455">
      <w:pPr>
        <w:pStyle w:val="ListParagraph"/>
        <w:rPr>
          <w:rFonts w:cs="Arial"/>
        </w:rPr>
      </w:pPr>
      <w:hyperlink r:id="rId35">
        <w:r w:rsidR="00F60BD6" w:rsidRPr="0F6617A5">
          <w:rPr>
            <w:rStyle w:val="Hyperlink"/>
            <w:rFonts w:cs="Arial"/>
            <w:color w:val="auto"/>
            <w:u w:val="none"/>
          </w:rPr>
          <w:t>R</w:t>
        </w:r>
        <w:r w:rsidR="00E06ECE" w:rsidRPr="0F6617A5">
          <w:rPr>
            <w:rStyle w:val="Hyperlink"/>
            <w:rFonts w:cs="Arial"/>
            <w:color w:val="auto"/>
            <w:u w:val="none"/>
          </w:rPr>
          <w:t>ight to peaceful assembly and freedom of association (section 22)</w:t>
        </w:r>
      </w:hyperlink>
    </w:p>
    <w:p w14:paraId="71BB674E" w14:textId="55C8EFA3" w:rsidR="00E06ECE" w:rsidRPr="008A00EB" w:rsidRDefault="002E59B2" w:rsidP="00837455">
      <w:pPr>
        <w:pStyle w:val="ListParagraph"/>
        <w:rPr>
          <w:rFonts w:cs="Arial"/>
        </w:rPr>
      </w:pPr>
      <w:hyperlink r:id="rId36">
        <w:r w:rsidR="00F60BD6" w:rsidRPr="0F6617A5">
          <w:rPr>
            <w:rStyle w:val="Hyperlink"/>
            <w:rFonts w:cs="Arial"/>
            <w:color w:val="auto"/>
            <w:u w:val="none"/>
          </w:rPr>
          <w:t>R</w:t>
        </w:r>
        <w:r w:rsidR="00E06ECE" w:rsidRPr="0F6617A5">
          <w:rPr>
            <w:rStyle w:val="Hyperlink"/>
            <w:rFonts w:cs="Arial"/>
            <w:color w:val="auto"/>
            <w:u w:val="none"/>
          </w:rPr>
          <w:t xml:space="preserve">ight to </w:t>
        </w:r>
        <w:r w:rsidR="00F60BD6" w:rsidRPr="0F6617A5">
          <w:rPr>
            <w:rStyle w:val="Hyperlink"/>
            <w:rFonts w:cs="Arial"/>
            <w:color w:val="auto"/>
            <w:u w:val="none"/>
          </w:rPr>
          <w:t>take</w:t>
        </w:r>
        <w:r w:rsidR="00E06ECE" w:rsidRPr="0F6617A5">
          <w:rPr>
            <w:rStyle w:val="Hyperlink"/>
            <w:rFonts w:cs="Arial"/>
            <w:color w:val="auto"/>
            <w:u w:val="none"/>
          </w:rPr>
          <w:t xml:space="preserve"> part in public life (section 23)</w:t>
        </w:r>
      </w:hyperlink>
    </w:p>
    <w:p w14:paraId="1DCFCA3A" w14:textId="77777777" w:rsidR="00E06ECE" w:rsidRPr="008A00EB" w:rsidRDefault="002E59B2" w:rsidP="00837455">
      <w:pPr>
        <w:pStyle w:val="ListParagraph"/>
        <w:rPr>
          <w:rFonts w:cs="Arial"/>
        </w:rPr>
      </w:pPr>
      <w:hyperlink r:id="rId37">
        <w:r w:rsidR="00E06ECE" w:rsidRPr="0F6617A5">
          <w:rPr>
            <w:rStyle w:val="Hyperlink"/>
            <w:rFonts w:cs="Arial"/>
            <w:color w:val="auto"/>
            <w:u w:val="none"/>
          </w:rPr>
          <w:t>Property rights (section 24)</w:t>
        </w:r>
      </w:hyperlink>
    </w:p>
    <w:p w14:paraId="26C4467D" w14:textId="5CC15ACB" w:rsidR="00E06ECE" w:rsidRPr="008A00EB" w:rsidRDefault="002E59B2" w:rsidP="00837455">
      <w:pPr>
        <w:pStyle w:val="ListParagraph"/>
        <w:rPr>
          <w:rFonts w:cs="Arial"/>
        </w:rPr>
      </w:pPr>
      <w:hyperlink r:id="rId38">
        <w:r w:rsidR="00F60BD6" w:rsidRPr="0F6617A5">
          <w:rPr>
            <w:rStyle w:val="Hyperlink"/>
            <w:rFonts w:cs="Arial"/>
            <w:color w:val="auto"/>
            <w:u w:val="none"/>
          </w:rPr>
          <w:t>R</w:t>
        </w:r>
        <w:r w:rsidR="00E06ECE" w:rsidRPr="0F6617A5">
          <w:rPr>
            <w:rStyle w:val="Hyperlink"/>
            <w:rFonts w:cs="Arial"/>
            <w:color w:val="auto"/>
            <w:u w:val="none"/>
          </w:rPr>
          <w:t>ight to privacy and reputation (section 25)</w:t>
        </w:r>
      </w:hyperlink>
    </w:p>
    <w:p w14:paraId="33A80BC4" w14:textId="6EF6501A" w:rsidR="00E06ECE" w:rsidRPr="008A00EB" w:rsidRDefault="002E59B2" w:rsidP="00837455">
      <w:pPr>
        <w:pStyle w:val="ListParagraph"/>
        <w:rPr>
          <w:rFonts w:cs="Arial"/>
        </w:rPr>
      </w:pPr>
      <w:hyperlink r:id="rId39">
        <w:r w:rsidR="00F60BD6" w:rsidRPr="0F6617A5">
          <w:rPr>
            <w:rStyle w:val="Hyperlink"/>
            <w:rFonts w:cs="Arial"/>
            <w:color w:val="auto"/>
            <w:u w:val="none"/>
          </w:rPr>
          <w:t>P</w:t>
        </w:r>
        <w:r w:rsidR="00E06ECE" w:rsidRPr="0F6617A5">
          <w:rPr>
            <w:rStyle w:val="Hyperlink"/>
            <w:rFonts w:cs="Arial"/>
            <w:color w:val="auto"/>
            <w:u w:val="none"/>
          </w:rPr>
          <w:t>rotection of families and children (section 26)</w:t>
        </w:r>
      </w:hyperlink>
    </w:p>
    <w:p w14:paraId="0E7E171E" w14:textId="77777777" w:rsidR="00E06ECE" w:rsidRPr="008A00EB" w:rsidRDefault="002E59B2" w:rsidP="00837455">
      <w:pPr>
        <w:pStyle w:val="ListParagraph"/>
        <w:rPr>
          <w:rFonts w:cs="Arial"/>
        </w:rPr>
      </w:pPr>
      <w:hyperlink r:id="rId40">
        <w:r w:rsidR="00E06ECE" w:rsidRPr="0F6617A5">
          <w:rPr>
            <w:rStyle w:val="Hyperlink"/>
            <w:rFonts w:cs="Arial"/>
            <w:color w:val="auto"/>
            <w:u w:val="none"/>
          </w:rPr>
          <w:t>Cultural rights – generally (section 27)</w:t>
        </w:r>
      </w:hyperlink>
    </w:p>
    <w:p w14:paraId="1D545DF9" w14:textId="77777777" w:rsidR="00E06ECE" w:rsidRPr="008A00EB" w:rsidRDefault="002E59B2" w:rsidP="00837455">
      <w:pPr>
        <w:pStyle w:val="ListParagraph"/>
        <w:rPr>
          <w:rFonts w:cs="Arial"/>
        </w:rPr>
      </w:pPr>
      <w:hyperlink r:id="rId41">
        <w:r w:rsidR="00E06ECE" w:rsidRPr="0F6617A5">
          <w:rPr>
            <w:rStyle w:val="Hyperlink"/>
            <w:rFonts w:cs="Arial"/>
            <w:color w:val="auto"/>
            <w:u w:val="none"/>
          </w:rPr>
          <w:t>Cultural rights – Aboriginal peoples and Torres Strait Islander peoples (section 28)</w:t>
        </w:r>
      </w:hyperlink>
    </w:p>
    <w:p w14:paraId="1F5434BA" w14:textId="65721EEF" w:rsidR="00E06ECE" w:rsidRPr="008A00EB" w:rsidRDefault="002E59B2" w:rsidP="00837455">
      <w:pPr>
        <w:pStyle w:val="ListParagraph"/>
        <w:rPr>
          <w:rFonts w:cs="Arial"/>
        </w:rPr>
      </w:pPr>
      <w:hyperlink r:id="rId42">
        <w:r w:rsidR="00F60BD6" w:rsidRPr="0F6617A5">
          <w:rPr>
            <w:rStyle w:val="Hyperlink"/>
            <w:rFonts w:cs="Arial"/>
            <w:color w:val="auto"/>
            <w:u w:val="none"/>
          </w:rPr>
          <w:t>R</w:t>
        </w:r>
        <w:r w:rsidR="00E06ECE" w:rsidRPr="0F6617A5">
          <w:rPr>
            <w:rStyle w:val="Hyperlink"/>
            <w:rFonts w:cs="Arial"/>
            <w:color w:val="auto"/>
            <w:u w:val="none"/>
          </w:rPr>
          <w:t>ight to liberty and security of person (section 29)</w:t>
        </w:r>
      </w:hyperlink>
    </w:p>
    <w:p w14:paraId="0FCB25C4" w14:textId="103D5C76" w:rsidR="00E06ECE" w:rsidRPr="008A00EB" w:rsidRDefault="002E59B2" w:rsidP="00837455">
      <w:pPr>
        <w:pStyle w:val="ListParagraph"/>
        <w:rPr>
          <w:rFonts w:cs="Arial"/>
        </w:rPr>
      </w:pPr>
      <w:hyperlink r:id="rId43">
        <w:r w:rsidR="00F60BD6" w:rsidRPr="0F6617A5">
          <w:rPr>
            <w:rStyle w:val="Hyperlink"/>
            <w:rFonts w:cs="Arial"/>
            <w:color w:val="auto"/>
            <w:u w:val="none"/>
          </w:rPr>
          <w:t>R</w:t>
        </w:r>
        <w:r w:rsidR="00E06ECE" w:rsidRPr="0F6617A5">
          <w:rPr>
            <w:rStyle w:val="Hyperlink"/>
            <w:rFonts w:cs="Arial"/>
            <w:color w:val="auto"/>
            <w:u w:val="none"/>
          </w:rPr>
          <w:t>ight to humane treatment when deprived of liberty (section 30)</w:t>
        </w:r>
      </w:hyperlink>
    </w:p>
    <w:p w14:paraId="4F9241D3" w14:textId="26A0E00C" w:rsidR="00E06ECE" w:rsidRPr="008A00EB" w:rsidRDefault="002E59B2" w:rsidP="00837455">
      <w:pPr>
        <w:pStyle w:val="ListParagraph"/>
        <w:rPr>
          <w:rFonts w:cs="Arial"/>
        </w:rPr>
      </w:pPr>
      <w:hyperlink r:id="rId44">
        <w:r w:rsidR="00F60BD6" w:rsidRPr="0F6617A5">
          <w:rPr>
            <w:rStyle w:val="Hyperlink"/>
            <w:rFonts w:cs="Arial"/>
            <w:color w:val="auto"/>
            <w:u w:val="none"/>
          </w:rPr>
          <w:t>R</w:t>
        </w:r>
        <w:r w:rsidR="00E06ECE" w:rsidRPr="0F6617A5">
          <w:rPr>
            <w:rStyle w:val="Hyperlink"/>
            <w:rFonts w:cs="Arial"/>
            <w:color w:val="auto"/>
            <w:u w:val="none"/>
          </w:rPr>
          <w:t>ight to a fair hearing (section 31)</w:t>
        </w:r>
      </w:hyperlink>
    </w:p>
    <w:p w14:paraId="7060FC1D" w14:textId="77777777" w:rsidR="00E06ECE" w:rsidRPr="008A00EB" w:rsidRDefault="002E59B2" w:rsidP="00837455">
      <w:pPr>
        <w:pStyle w:val="ListParagraph"/>
        <w:rPr>
          <w:rFonts w:cs="Arial"/>
        </w:rPr>
      </w:pPr>
      <w:hyperlink r:id="rId45">
        <w:r w:rsidR="00E06ECE" w:rsidRPr="0F6617A5">
          <w:rPr>
            <w:rStyle w:val="Hyperlink"/>
            <w:rFonts w:cs="Arial"/>
            <w:color w:val="auto"/>
            <w:u w:val="none"/>
          </w:rPr>
          <w:t>Rights in criminal proceedings (section 32)</w:t>
        </w:r>
      </w:hyperlink>
    </w:p>
    <w:p w14:paraId="5E982E51" w14:textId="77777777" w:rsidR="00E06ECE" w:rsidRPr="008A00EB" w:rsidRDefault="002E59B2" w:rsidP="00837455">
      <w:pPr>
        <w:pStyle w:val="ListParagraph"/>
        <w:rPr>
          <w:rFonts w:cs="Arial"/>
        </w:rPr>
      </w:pPr>
      <w:hyperlink r:id="rId46">
        <w:r w:rsidR="00E06ECE" w:rsidRPr="0F6617A5">
          <w:rPr>
            <w:rStyle w:val="Hyperlink"/>
            <w:rFonts w:cs="Arial"/>
            <w:color w:val="auto"/>
            <w:u w:val="none"/>
          </w:rPr>
          <w:t>Rights of children in the criminal process (section 33)</w:t>
        </w:r>
      </w:hyperlink>
    </w:p>
    <w:p w14:paraId="1EB73500" w14:textId="77777777" w:rsidR="00E06ECE" w:rsidRPr="008A00EB" w:rsidRDefault="002E59B2" w:rsidP="00837455">
      <w:pPr>
        <w:pStyle w:val="ListParagraph"/>
        <w:rPr>
          <w:rFonts w:cs="Arial"/>
        </w:rPr>
      </w:pPr>
      <w:hyperlink r:id="rId47">
        <w:r w:rsidR="00E06ECE" w:rsidRPr="0F6617A5">
          <w:rPr>
            <w:rStyle w:val="Hyperlink"/>
            <w:rFonts w:cs="Arial"/>
            <w:color w:val="auto"/>
            <w:u w:val="none"/>
          </w:rPr>
          <w:t>Right not to be tried or punished more than once (section 34)</w:t>
        </w:r>
      </w:hyperlink>
    </w:p>
    <w:p w14:paraId="3F0DBE0D" w14:textId="77777777" w:rsidR="00E06ECE" w:rsidRPr="008A00EB" w:rsidRDefault="002E59B2" w:rsidP="00837455">
      <w:pPr>
        <w:pStyle w:val="ListParagraph"/>
        <w:rPr>
          <w:rFonts w:cs="Arial"/>
        </w:rPr>
      </w:pPr>
      <w:hyperlink r:id="rId48">
        <w:r w:rsidR="00E06ECE" w:rsidRPr="0F6617A5">
          <w:rPr>
            <w:rStyle w:val="Hyperlink"/>
            <w:rFonts w:cs="Arial"/>
            <w:color w:val="auto"/>
            <w:u w:val="none"/>
          </w:rPr>
          <w:t>Retrospective criminal laws (section 35)</w:t>
        </w:r>
      </w:hyperlink>
    </w:p>
    <w:p w14:paraId="42273255" w14:textId="37498A01" w:rsidR="00E06ECE" w:rsidRPr="008A00EB" w:rsidRDefault="002E59B2" w:rsidP="00837455">
      <w:pPr>
        <w:pStyle w:val="ListParagraph"/>
        <w:rPr>
          <w:rFonts w:cs="Arial"/>
        </w:rPr>
      </w:pPr>
      <w:hyperlink r:id="rId49">
        <w:r w:rsidR="00E06ECE" w:rsidRPr="0F6617A5">
          <w:rPr>
            <w:rStyle w:val="Hyperlink"/>
            <w:rFonts w:cs="Arial"/>
            <w:color w:val="auto"/>
            <w:u w:val="none"/>
          </w:rPr>
          <w:t>Right to education (section 36)</w:t>
        </w:r>
      </w:hyperlink>
    </w:p>
    <w:p w14:paraId="74C2C00A" w14:textId="77777777" w:rsidR="00E06ECE" w:rsidRPr="008A00EB" w:rsidRDefault="002E59B2" w:rsidP="00837455">
      <w:pPr>
        <w:pStyle w:val="ListParagraph"/>
        <w:rPr>
          <w:rFonts w:cs="Arial"/>
        </w:rPr>
      </w:pPr>
      <w:hyperlink r:id="rId50">
        <w:r w:rsidR="00E06ECE" w:rsidRPr="0F6617A5">
          <w:rPr>
            <w:rStyle w:val="Hyperlink"/>
            <w:rFonts w:cs="Arial"/>
            <w:color w:val="auto"/>
            <w:u w:val="none"/>
          </w:rPr>
          <w:t>Right to health services (section 37)</w:t>
        </w:r>
      </w:hyperlink>
    </w:p>
    <w:p w14:paraId="47B40EB6" w14:textId="77777777" w:rsidR="00BA5AC4" w:rsidRDefault="00BA5AC4">
      <w:pPr>
        <w:spacing w:line="259" w:lineRule="auto"/>
        <w:ind w:right="0"/>
        <w:rPr>
          <w:rFonts w:eastAsiaTheme="majorEastAsia" w:cstheme="majorBidi"/>
          <w:bCs/>
          <w:color w:val="39969F"/>
          <w:kern w:val="36"/>
          <w:sz w:val="36"/>
          <w:szCs w:val="26"/>
          <w:lang w:eastAsia="en-AU"/>
        </w:rPr>
      </w:pPr>
      <w:bookmarkStart w:id="126" w:name="_Toc56451547"/>
      <w:bookmarkStart w:id="127" w:name="_Toc56452121"/>
      <w:bookmarkStart w:id="128" w:name="_Toc84593846"/>
      <w:bookmarkStart w:id="129" w:name="_Toc85451717"/>
      <w:r>
        <w:rPr>
          <w:color w:val="39969F"/>
        </w:rPr>
        <w:br w:type="page"/>
      </w:r>
    </w:p>
    <w:p w14:paraId="640B3D4D" w14:textId="13553A8E" w:rsidR="00DF51E5" w:rsidRPr="00677A56" w:rsidRDefault="00CF3CAF" w:rsidP="00B04FF8">
      <w:pPr>
        <w:pStyle w:val="Heading2"/>
        <w:rPr>
          <w:color w:val="39969F"/>
        </w:rPr>
      </w:pPr>
      <w:bookmarkStart w:id="130" w:name="_Toc85526637"/>
      <w:bookmarkStart w:id="131" w:name="_Toc85787052"/>
      <w:r w:rsidRPr="00677A56">
        <w:rPr>
          <w:color w:val="39969F"/>
        </w:rPr>
        <w:lastRenderedPageBreak/>
        <w:t>Government</w:t>
      </w:r>
      <w:r w:rsidR="001402D5" w:rsidRPr="00677A56">
        <w:rPr>
          <w:color w:val="39969F"/>
        </w:rPr>
        <w:t xml:space="preserve"> obligations</w:t>
      </w:r>
      <w:bookmarkEnd w:id="126"/>
      <w:bookmarkEnd w:id="127"/>
      <w:bookmarkEnd w:id="128"/>
      <w:bookmarkEnd w:id="129"/>
      <w:bookmarkEnd w:id="130"/>
      <w:bookmarkEnd w:id="131"/>
    </w:p>
    <w:p w14:paraId="791D6468" w14:textId="413D9213" w:rsidR="00DF51E5" w:rsidRPr="008A00EB" w:rsidRDefault="00DF51E5" w:rsidP="00DF51E5">
      <w:r w:rsidRPr="008A00EB">
        <w:t xml:space="preserve">The Act </w:t>
      </w:r>
      <w:r w:rsidR="002C66C5" w:rsidRPr="008A00EB">
        <w:t>places obligations on all three arms of government</w:t>
      </w:r>
      <w:r w:rsidR="00570006" w:rsidRPr="008A00EB">
        <w:t xml:space="preserve">, the legislature, the </w:t>
      </w:r>
      <w:r w:rsidR="00B36E1C" w:rsidRPr="008A00EB">
        <w:t>judiciary</w:t>
      </w:r>
      <w:r w:rsidR="00570006" w:rsidRPr="008A00EB">
        <w:t xml:space="preserve"> and the </w:t>
      </w:r>
      <w:r w:rsidR="00B36E1C" w:rsidRPr="008A00EB">
        <w:t>executive</w:t>
      </w:r>
      <w:r w:rsidRPr="008A00EB">
        <w:t>. This means that:</w:t>
      </w:r>
    </w:p>
    <w:p w14:paraId="77A1DA18" w14:textId="77C75110" w:rsidR="00DF51E5" w:rsidRPr="008A00EB" w:rsidRDefault="006D538A" w:rsidP="00B90D95">
      <w:pPr>
        <w:ind w:left="720"/>
      </w:pPr>
      <w:r>
        <w:rPr>
          <w:rStyle w:val="Strong"/>
          <w:rFonts w:cs="Arial"/>
        </w:rPr>
        <w:t>Parliament</w:t>
      </w:r>
      <w:r w:rsidR="00DF51E5" w:rsidRPr="008A00EB">
        <w:t> </w:t>
      </w:r>
      <w:r w:rsidR="00406AB5" w:rsidRPr="008A00EB">
        <w:t xml:space="preserve">(the legislature) </w:t>
      </w:r>
      <w:r w:rsidR="00DF51E5" w:rsidRPr="008A00EB">
        <w:t>must consider human rights when proposing and scrutinising new laws.</w:t>
      </w:r>
      <w:r w:rsidR="00197317">
        <w:t xml:space="preserve"> </w:t>
      </w:r>
    </w:p>
    <w:p w14:paraId="1738D5B7" w14:textId="0CD7DBA2" w:rsidR="00DF51E5" w:rsidRPr="008A00EB" w:rsidRDefault="00406AB5" w:rsidP="00B90D95">
      <w:pPr>
        <w:ind w:left="720"/>
      </w:pPr>
      <w:r w:rsidRPr="008A00EB">
        <w:rPr>
          <w:rStyle w:val="Strong"/>
          <w:rFonts w:cs="Arial"/>
        </w:rPr>
        <w:t>C</w:t>
      </w:r>
      <w:r w:rsidR="00DF51E5" w:rsidRPr="008A00EB">
        <w:rPr>
          <w:rStyle w:val="Strong"/>
          <w:rFonts w:cs="Arial"/>
        </w:rPr>
        <w:t>ourts and tribunals</w:t>
      </w:r>
      <w:r w:rsidRPr="008A00EB">
        <w:rPr>
          <w:rStyle w:val="Strong"/>
          <w:rFonts w:cs="Arial"/>
        </w:rPr>
        <w:t xml:space="preserve"> </w:t>
      </w:r>
      <w:r w:rsidRPr="008A00EB">
        <w:rPr>
          <w:rStyle w:val="Strong"/>
          <w:rFonts w:cs="Arial"/>
          <w:b w:val="0"/>
        </w:rPr>
        <w:t>(the judiciary)</w:t>
      </w:r>
      <w:r w:rsidR="00DF51E5" w:rsidRPr="008A00EB">
        <w:rPr>
          <w:b/>
        </w:rPr>
        <w:t> </w:t>
      </w:r>
      <w:r w:rsidR="00DF51E5" w:rsidRPr="008A00EB">
        <w:t>so far as is possible to do so, must interpret legislation in a way that is compatible with human rights. </w:t>
      </w:r>
    </w:p>
    <w:p w14:paraId="7A6B7EDB" w14:textId="57C7CCC9" w:rsidR="00DF51E5" w:rsidRPr="008A00EB" w:rsidRDefault="00406AB5" w:rsidP="00B90D95">
      <w:pPr>
        <w:ind w:left="720"/>
      </w:pPr>
      <w:r w:rsidRPr="008A00EB">
        <w:rPr>
          <w:rStyle w:val="Strong"/>
          <w:rFonts w:cs="Arial"/>
        </w:rPr>
        <w:t>P</w:t>
      </w:r>
      <w:r w:rsidR="00DF51E5" w:rsidRPr="008A00EB">
        <w:rPr>
          <w:rStyle w:val="Strong"/>
          <w:rFonts w:cs="Arial"/>
        </w:rPr>
        <w:t>ublic entities</w:t>
      </w:r>
      <w:r w:rsidR="00DF51E5" w:rsidRPr="008A00EB">
        <w:t> </w:t>
      </w:r>
      <w:r w:rsidRPr="008A00EB">
        <w:t xml:space="preserve">(the executive) </w:t>
      </w:r>
      <w:r w:rsidR="00DF51E5" w:rsidRPr="008A00EB">
        <w:t>– such as state government departments, local councils, state schools, the police and non-government organisations and businesses performing a public function must act compatibly with human rights.</w:t>
      </w:r>
      <w:r w:rsidR="00197317">
        <w:t xml:space="preserve"> </w:t>
      </w:r>
    </w:p>
    <w:p w14:paraId="08EE8C4D" w14:textId="328858E4" w:rsidR="00DF51E5" w:rsidRPr="008A00EB" w:rsidRDefault="00DF51E5" w:rsidP="00DF51E5">
      <w:r w:rsidRPr="008A00EB">
        <w:t>The Act makes it clear that rights can be limited, but only where it is reasonable and justifiable.</w:t>
      </w:r>
    </w:p>
    <w:p w14:paraId="1C7A8972" w14:textId="77777777" w:rsidR="00D87B0C" w:rsidRPr="008A00EB" w:rsidRDefault="00D87B0C" w:rsidP="00D87B0C">
      <w:r w:rsidRPr="008A00EB">
        <w:t>This report contains sections reflecting the progress gained by all three arms of government towards the goals of the Act.</w:t>
      </w:r>
    </w:p>
    <w:p w14:paraId="23F7A69E" w14:textId="4F9C5210" w:rsidR="00D87B0C" w:rsidRPr="00837455" w:rsidRDefault="00D87B0C" w:rsidP="00837455">
      <w:pPr>
        <w:pStyle w:val="ListParagraph"/>
      </w:pPr>
      <w:r w:rsidRPr="00837455">
        <w:t xml:space="preserve">For more information on </w:t>
      </w:r>
      <w:r w:rsidR="006D538A">
        <w:t>Parliament</w:t>
      </w:r>
      <w:r w:rsidRPr="00837455">
        <w:t xml:space="preserve"> see </w:t>
      </w:r>
      <w:r w:rsidRPr="00837455">
        <w:rPr>
          <w:i/>
        </w:rPr>
        <w:t xml:space="preserve">Human rights and the </w:t>
      </w:r>
      <w:r w:rsidR="006D538A">
        <w:rPr>
          <w:i/>
        </w:rPr>
        <w:t>Parliament</w:t>
      </w:r>
      <w:r w:rsidR="00677A56">
        <w:t xml:space="preserve"> </w:t>
      </w:r>
      <w:r w:rsidR="00B0747A">
        <w:t>from</w:t>
      </w:r>
      <w:r w:rsidR="00677A56">
        <w:t xml:space="preserve"> page </w:t>
      </w:r>
      <w:r w:rsidR="00B0747A">
        <w:t xml:space="preserve">25 </w:t>
      </w:r>
      <w:r w:rsidR="00677A56">
        <w:t>of this report.</w:t>
      </w:r>
    </w:p>
    <w:p w14:paraId="6EBFCAD2" w14:textId="13F5C9F0" w:rsidR="00D87B0C" w:rsidRPr="00837455" w:rsidRDefault="00D87B0C" w:rsidP="00837455">
      <w:pPr>
        <w:pStyle w:val="ListParagraph"/>
        <w:rPr>
          <w:i/>
        </w:rPr>
      </w:pPr>
      <w:r w:rsidRPr="00837455">
        <w:t xml:space="preserve">For more information on courts and tribunals see </w:t>
      </w:r>
      <w:r w:rsidRPr="00837455">
        <w:rPr>
          <w:i/>
        </w:rPr>
        <w:t>Human rights in courts and tribunals</w:t>
      </w:r>
      <w:r w:rsidR="00677A56">
        <w:rPr>
          <w:i/>
        </w:rPr>
        <w:t xml:space="preserve"> </w:t>
      </w:r>
      <w:r w:rsidR="00B0747A">
        <w:t>from</w:t>
      </w:r>
      <w:r w:rsidR="00677A56">
        <w:t xml:space="preserve"> page </w:t>
      </w:r>
      <w:r w:rsidR="00667766">
        <w:t xml:space="preserve">58 </w:t>
      </w:r>
      <w:r w:rsidR="00677A56">
        <w:t>of this report.</w:t>
      </w:r>
    </w:p>
    <w:p w14:paraId="33C702E3" w14:textId="6D22A9EB" w:rsidR="00D87B0C" w:rsidRPr="00837455" w:rsidRDefault="00D87B0C" w:rsidP="00837455">
      <w:pPr>
        <w:pStyle w:val="ListParagraph"/>
      </w:pPr>
      <w:r w:rsidRPr="00837455">
        <w:t xml:space="preserve">For more information on public entities see </w:t>
      </w:r>
      <w:r w:rsidRPr="00837455">
        <w:rPr>
          <w:i/>
        </w:rPr>
        <w:t>Human rights and the public sector</w:t>
      </w:r>
      <w:r w:rsidR="00677A56" w:rsidRPr="00677A56">
        <w:t xml:space="preserve"> </w:t>
      </w:r>
      <w:r w:rsidR="00D20445">
        <w:t>from</w:t>
      </w:r>
      <w:r w:rsidR="00677A56">
        <w:t xml:space="preserve"> page</w:t>
      </w:r>
      <w:r w:rsidR="00D20445">
        <w:t>73</w:t>
      </w:r>
      <w:r w:rsidR="00677A56">
        <w:t xml:space="preserve"> of this report.</w:t>
      </w:r>
    </w:p>
    <w:p w14:paraId="3B6CA722" w14:textId="77777777" w:rsidR="00677A56" w:rsidRDefault="00677A56">
      <w:pPr>
        <w:spacing w:line="259" w:lineRule="auto"/>
        <w:ind w:right="0"/>
        <w:rPr>
          <w:rFonts w:eastAsiaTheme="majorEastAsia" w:cstheme="majorBidi"/>
          <w:bCs/>
          <w:color w:val="337B9E"/>
          <w:kern w:val="36"/>
          <w:sz w:val="36"/>
          <w:szCs w:val="26"/>
          <w:lang w:eastAsia="en-AU"/>
        </w:rPr>
      </w:pPr>
      <w:bookmarkStart w:id="132" w:name="_Toc56451548"/>
      <w:bookmarkStart w:id="133" w:name="_Toc56452122"/>
      <w:bookmarkStart w:id="134" w:name="_Toc84593847"/>
      <w:bookmarkStart w:id="135" w:name="_Toc85451718"/>
      <w:r>
        <w:br w:type="page"/>
      </w:r>
    </w:p>
    <w:p w14:paraId="02D17AF4" w14:textId="5AB70CA3" w:rsidR="007F263A" w:rsidRPr="00677A56" w:rsidRDefault="007F263A" w:rsidP="00B04FF8">
      <w:pPr>
        <w:pStyle w:val="Heading2"/>
        <w:rPr>
          <w:color w:val="39969F"/>
        </w:rPr>
      </w:pPr>
      <w:bookmarkStart w:id="136" w:name="_Toc85526638"/>
      <w:bookmarkStart w:id="137" w:name="_Toc85787053"/>
      <w:r w:rsidRPr="00677A56">
        <w:rPr>
          <w:color w:val="39969F"/>
        </w:rPr>
        <w:lastRenderedPageBreak/>
        <w:t xml:space="preserve">The </w:t>
      </w:r>
      <w:r w:rsidR="00406AB5" w:rsidRPr="00677A56">
        <w:rPr>
          <w:color w:val="39969F"/>
        </w:rPr>
        <w:t>d</w:t>
      </w:r>
      <w:r w:rsidRPr="00677A56">
        <w:rPr>
          <w:color w:val="39969F"/>
        </w:rPr>
        <w:t xml:space="preserve">ialogue </w:t>
      </w:r>
      <w:r w:rsidR="00406AB5" w:rsidRPr="00677A56">
        <w:rPr>
          <w:color w:val="39969F"/>
        </w:rPr>
        <w:t>m</w:t>
      </w:r>
      <w:r w:rsidRPr="00677A56">
        <w:rPr>
          <w:color w:val="39969F"/>
        </w:rPr>
        <w:t>odel</w:t>
      </w:r>
      <w:bookmarkEnd w:id="132"/>
      <w:bookmarkEnd w:id="133"/>
      <w:bookmarkEnd w:id="134"/>
      <w:bookmarkEnd w:id="135"/>
      <w:bookmarkEnd w:id="136"/>
      <w:bookmarkEnd w:id="137"/>
    </w:p>
    <w:p w14:paraId="0A8D49AF" w14:textId="79A48FC2" w:rsidR="001A1418" w:rsidRPr="00C92068" w:rsidRDefault="001A1418" w:rsidP="009773E4">
      <w:pPr>
        <w:pStyle w:val="Caption"/>
      </w:pPr>
      <w:r w:rsidRPr="00C92068">
        <w:t>Figure 1: Diagram of the dialogue model</w:t>
      </w:r>
    </w:p>
    <w:p w14:paraId="2F350644" w14:textId="22ECE4CB" w:rsidR="00D53143" w:rsidRPr="008A00EB" w:rsidRDefault="68F9B5A4" w:rsidP="00DF51E5">
      <w:r>
        <w:rPr>
          <w:noProof/>
          <w:lang w:eastAsia="en-AU"/>
        </w:rPr>
        <w:drawing>
          <wp:inline distT="0" distB="0" distL="0" distR="0" wp14:anchorId="180203A8" wp14:editId="41B7D91D">
            <wp:extent cx="3769966" cy="3678559"/>
            <wp:effectExtent l="0" t="0" r="0" b="0"/>
            <wp:docPr id="638548268" name="Picture 638548268" descr="This image is a simple diagram of the dialogue model of human rights. It shows the parliament, courts and tribunals, and public entities, at equidistant points around a circle. Each has a brief description of their role: &#10;- Parliament makes and changes laws; &#10;- Courts and tribunals interpret and enforce the law; and &#10;- Public entities put laws into action. &#10;&#10;In the middle of the circle is a smaller gold circle with 'Queensland community' inside it. " title="Figure 1: Diagram of the dialogue mode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8548268"/>
                    <pic:cNvPicPr/>
                  </pic:nvPicPr>
                  <pic:blipFill>
                    <a:blip r:embed="rId51">
                      <a:extLst>
                        <a:ext uri="{28A0092B-C50C-407E-A947-70E740481C1C}">
                          <a14:useLocalDpi xmlns:a14="http://schemas.microsoft.com/office/drawing/2010/main" val="0"/>
                        </a:ext>
                      </a:extLst>
                    </a:blip>
                    <a:srcRect l="14120" t="10719" r="18544" b="42878"/>
                    <a:stretch>
                      <a:fillRect/>
                    </a:stretch>
                  </pic:blipFill>
                  <pic:spPr>
                    <a:xfrm>
                      <a:off x="0" y="0"/>
                      <a:ext cx="3769966" cy="3678559"/>
                    </a:xfrm>
                    <a:prstGeom prst="rect">
                      <a:avLst/>
                    </a:prstGeom>
                  </pic:spPr>
                </pic:pic>
              </a:graphicData>
            </a:graphic>
          </wp:inline>
        </w:drawing>
      </w:r>
    </w:p>
    <w:p w14:paraId="01C864F5" w14:textId="7E3A14E4" w:rsidR="00DC2A9E" w:rsidRPr="008C4345" w:rsidRDefault="00DC2A9E" w:rsidP="00DC2A9E">
      <w:pPr>
        <w:rPr>
          <w:lang w:val="en-US"/>
        </w:rPr>
      </w:pPr>
      <w:r w:rsidRPr="008C4345">
        <w:rPr>
          <w:lang w:val="en-US"/>
        </w:rPr>
        <w:t xml:space="preserve">A dialogue model is aimed at prevention rather than litigation, and retains the sovereignty of </w:t>
      </w:r>
      <w:r w:rsidR="006D538A">
        <w:rPr>
          <w:lang w:val="en-US"/>
        </w:rPr>
        <w:t>Parliament</w:t>
      </w:r>
      <w:r w:rsidRPr="008C4345">
        <w:rPr>
          <w:lang w:val="en-US"/>
        </w:rPr>
        <w:t>.</w:t>
      </w:r>
      <w:r w:rsidR="00197317">
        <w:rPr>
          <w:lang w:val="en-US"/>
        </w:rPr>
        <w:t xml:space="preserve"> </w:t>
      </w:r>
    </w:p>
    <w:p w14:paraId="4324E6F3" w14:textId="6C1A11BA" w:rsidR="00DC2A9E" w:rsidRPr="008C4345" w:rsidRDefault="00DC2A9E" w:rsidP="00DC2A9E">
      <w:pPr>
        <w:rPr>
          <w:lang w:val="en-US"/>
        </w:rPr>
      </w:pPr>
      <w:r w:rsidRPr="008C4345">
        <w:rPr>
          <w:lang w:val="en-US"/>
        </w:rPr>
        <w:t xml:space="preserve">It means that human rights are considered across the three arms of government – when the </w:t>
      </w:r>
      <w:r w:rsidR="006D538A">
        <w:rPr>
          <w:lang w:val="en-US"/>
        </w:rPr>
        <w:t>Parliament</w:t>
      </w:r>
      <w:r w:rsidRPr="008C4345">
        <w:rPr>
          <w:lang w:val="en-US"/>
        </w:rPr>
        <w:t xml:space="preserve"> makes laws, when government applies laws, and when courts and tribunals interpret laws.</w:t>
      </w:r>
    </w:p>
    <w:p w14:paraId="59E17112" w14:textId="77777777" w:rsidR="00DC2A9E" w:rsidRPr="008C4345" w:rsidRDefault="00DC2A9E" w:rsidP="00DC2A9E">
      <w:pPr>
        <w:rPr>
          <w:lang w:val="en-US"/>
        </w:rPr>
      </w:pPr>
      <w:r w:rsidRPr="008C4345">
        <w:rPr>
          <w:lang w:val="en-US"/>
        </w:rPr>
        <w:t xml:space="preserve">There is a mechanism for the court to inform the government if legislation is inconsistent with human rights, but it doesn’t affect the validity of the legislation and </w:t>
      </w:r>
      <w:r w:rsidR="006D538A">
        <w:rPr>
          <w:lang w:val="en-US"/>
        </w:rPr>
        <w:t>Parliament</w:t>
      </w:r>
      <w:r w:rsidRPr="008C4345">
        <w:rPr>
          <w:lang w:val="en-US"/>
        </w:rPr>
        <w:t xml:space="preserve"> has the final say.</w:t>
      </w:r>
    </w:p>
    <w:p w14:paraId="1D7388FD" w14:textId="40E03DB9" w:rsidR="00DC2A9E" w:rsidRPr="008C4345" w:rsidRDefault="00DC2A9E" w:rsidP="00DC2A9E">
      <w:pPr>
        <w:rPr>
          <w:lang w:val="en-US"/>
        </w:rPr>
      </w:pPr>
      <w:r w:rsidRPr="008C4345">
        <w:rPr>
          <w:lang w:val="en-US"/>
        </w:rPr>
        <w:t>It encourages people to talk to public entities if they feel their human rights have been unreasonably limited or not considered at all.</w:t>
      </w:r>
    </w:p>
    <w:p w14:paraId="779820C4" w14:textId="4094DBE9" w:rsidR="00132EAB" w:rsidRPr="008A00EB" w:rsidRDefault="00132EAB" w:rsidP="00677A56">
      <w:pPr>
        <w:rPr>
          <w:rFonts w:cs="Arial"/>
        </w:rPr>
      </w:pPr>
      <w:r w:rsidRPr="008C4345">
        <w:rPr>
          <w:rFonts w:cs="Arial"/>
        </w:rPr>
        <w:t>Under the Act, a complaint may be made to the Commission</w:t>
      </w:r>
      <w:r w:rsidR="008A19AC" w:rsidRPr="008C4345">
        <w:rPr>
          <w:rFonts w:cs="Arial"/>
        </w:rPr>
        <w:t xml:space="preserve"> about human rights</w:t>
      </w:r>
      <w:r w:rsidRPr="008C4345">
        <w:rPr>
          <w:rFonts w:cs="Arial"/>
        </w:rPr>
        <w:t>, provided a complaint has first been made to the public entity. The dispute resolution process is consistent with a dialogue model as it encourages resolution through discussion.</w:t>
      </w:r>
      <w:r w:rsidR="0088491B" w:rsidRPr="008C4345">
        <w:rPr>
          <w:rFonts w:cs="Arial"/>
        </w:rPr>
        <w:t xml:space="preserve"> </w:t>
      </w:r>
      <w:r w:rsidR="0089379F" w:rsidRPr="008C4345">
        <w:rPr>
          <w:rFonts w:cs="Arial"/>
        </w:rPr>
        <w:t xml:space="preserve">The dialogue model is strengthened by the Commission’s capacity to make recommendations for improvements to further human rights compatibility. </w:t>
      </w:r>
      <w:r w:rsidR="0088491B" w:rsidRPr="008C4345">
        <w:rPr>
          <w:rFonts w:cs="Arial"/>
        </w:rPr>
        <w:t>Section 88 of the Act allows the Commission</w:t>
      </w:r>
      <w:r w:rsidR="00F00240" w:rsidRPr="008C4345">
        <w:rPr>
          <w:rFonts w:cs="Arial"/>
        </w:rPr>
        <w:t xml:space="preserve"> to prepare a report about a human rights complaint which includes recommendations of actions to be taken by public entities to ensure its acts and decisions are compatible with human rights.</w:t>
      </w:r>
      <w:r w:rsidR="00F00240">
        <w:rPr>
          <w:rFonts w:cs="Arial"/>
        </w:rPr>
        <w:t xml:space="preserve"> </w:t>
      </w:r>
    </w:p>
    <w:p w14:paraId="7822701B" w14:textId="4BD9F2E8" w:rsidR="001A794D" w:rsidRPr="00677A56" w:rsidRDefault="001A794D" w:rsidP="00B04FF8">
      <w:pPr>
        <w:pStyle w:val="Heading2"/>
        <w:rPr>
          <w:color w:val="39969F"/>
        </w:rPr>
      </w:pPr>
      <w:bookmarkStart w:id="138" w:name="_Toc56451549"/>
      <w:bookmarkStart w:id="139" w:name="_Toc56452123"/>
      <w:bookmarkStart w:id="140" w:name="_Toc84593848"/>
      <w:bookmarkStart w:id="141" w:name="_Toc85451719"/>
      <w:bookmarkStart w:id="142" w:name="_Toc85526639"/>
      <w:bookmarkStart w:id="143" w:name="_Toc85787054"/>
      <w:r w:rsidRPr="00677A56">
        <w:rPr>
          <w:color w:val="39969F"/>
        </w:rPr>
        <w:lastRenderedPageBreak/>
        <w:t xml:space="preserve">Public </w:t>
      </w:r>
      <w:r w:rsidR="00406AB5" w:rsidRPr="00677A56">
        <w:rPr>
          <w:color w:val="39969F"/>
        </w:rPr>
        <w:t>e</w:t>
      </w:r>
      <w:r w:rsidRPr="00677A56">
        <w:rPr>
          <w:color w:val="39969F"/>
        </w:rPr>
        <w:t>ntities</w:t>
      </w:r>
      <w:bookmarkEnd w:id="138"/>
      <w:bookmarkEnd w:id="139"/>
      <w:bookmarkEnd w:id="140"/>
      <w:bookmarkEnd w:id="141"/>
      <w:bookmarkEnd w:id="142"/>
      <w:bookmarkEnd w:id="143"/>
    </w:p>
    <w:p w14:paraId="5C33BA23" w14:textId="138EDCED" w:rsidR="001A794D" w:rsidRPr="008A00EB" w:rsidRDefault="001A794D" w:rsidP="00C92068">
      <w:pPr>
        <w:rPr>
          <w:lang w:eastAsia="en-AU"/>
        </w:rPr>
      </w:pPr>
      <w:r w:rsidRPr="008A00EB">
        <w:rPr>
          <w:lang w:eastAsia="en-AU"/>
        </w:rPr>
        <w:t>Public entities have obligations to make decisions and act compatibly with human rights</w:t>
      </w:r>
      <w:r w:rsidR="00406AB5" w:rsidRPr="008A00EB">
        <w:rPr>
          <w:lang w:eastAsia="en-AU"/>
        </w:rPr>
        <w:t xml:space="preserve">, and </w:t>
      </w:r>
      <w:r w:rsidRPr="008A00EB">
        <w:rPr>
          <w:lang w:eastAsia="en-AU"/>
        </w:rPr>
        <w:t>to give proper consideration to human rights when making decisions.</w:t>
      </w:r>
    </w:p>
    <w:p w14:paraId="4778B425" w14:textId="77777777" w:rsidR="001A794D" w:rsidRPr="008A00EB" w:rsidRDefault="001A794D" w:rsidP="00C92068">
      <w:pPr>
        <w:rPr>
          <w:lang w:eastAsia="en-AU"/>
        </w:rPr>
      </w:pPr>
      <w:r w:rsidRPr="008A00EB">
        <w:rPr>
          <w:lang w:eastAsia="en-AU"/>
        </w:rPr>
        <w:t>A public entity is an organisation or body performing a public function in and for Queensland.</w:t>
      </w:r>
    </w:p>
    <w:p w14:paraId="7CA3CAB3" w14:textId="634391BF" w:rsidR="001A794D" w:rsidRPr="008A00EB" w:rsidRDefault="001A794D" w:rsidP="00C92068">
      <w:pPr>
        <w:rPr>
          <w:lang w:eastAsia="en-AU"/>
        </w:rPr>
      </w:pPr>
      <w:r w:rsidRPr="008A00EB">
        <w:rPr>
          <w:lang w:eastAsia="en-AU"/>
        </w:rPr>
        <w:t>There are two types of public entities</w:t>
      </w:r>
      <w:r w:rsidR="00193DB5" w:rsidRPr="008A00EB">
        <w:rPr>
          <w:lang w:eastAsia="en-AU"/>
        </w:rPr>
        <w:t>, although the following terms are not used in the Act</w:t>
      </w:r>
      <w:r w:rsidRPr="008A00EB">
        <w:rPr>
          <w:lang w:eastAsia="en-AU"/>
        </w:rPr>
        <w:t>:</w:t>
      </w:r>
    </w:p>
    <w:p w14:paraId="32A43E5F" w14:textId="77777777" w:rsidR="001A794D" w:rsidRPr="008A00EB" w:rsidRDefault="001A794D" w:rsidP="00570006">
      <w:pPr>
        <w:shd w:val="clear" w:color="auto" w:fill="FFFFFF"/>
        <w:spacing w:beforeAutospacing="1" w:after="0" w:afterAutospacing="1" w:line="240" w:lineRule="auto"/>
        <w:textAlignment w:val="baseline"/>
        <w:rPr>
          <w:rFonts w:eastAsia="Times New Roman" w:cs="Arial"/>
          <w:lang w:eastAsia="en-AU"/>
        </w:rPr>
      </w:pPr>
      <w:r w:rsidRPr="008A00EB">
        <w:rPr>
          <w:rFonts w:eastAsia="Times New Roman" w:cs="Arial"/>
          <w:bCs/>
          <w:i/>
          <w:lang w:eastAsia="en-AU"/>
        </w:rPr>
        <w:t>Core public entities</w:t>
      </w:r>
      <w:r w:rsidRPr="008A00EB">
        <w:rPr>
          <w:rFonts w:eastAsia="Times New Roman" w:cs="Arial"/>
          <w:lang w:eastAsia="en-AU"/>
        </w:rPr>
        <w:t> are government entities. This includes:</w:t>
      </w:r>
    </w:p>
    <w:p w14:paraId="61F99A67" w14:textId="6ABE1975" w:rsidR="001A794D" w:rsidRPr="00677A56" w:rsidRDefault="001A794D" w:rsidP="00C92068">
      <w:pPr>
        <w:pStyle w:val="ListParagraph"/>
      </w:pPr>
      <w:r w:rsidRPr="00677A56">
        <w:t>government agencies and departments</w:t>
      </w:r>
    </w:p>
    <w:p w14:paraId="3FA53DBB" w14:textId="105B1009" w:rsidR="001A794D" w:rsidRPr="00677A56" w:rsidRDefault="001A794D" w:rsidP="00C92068">
      <w:pPr>
        <w:pStyle w:val="ListParagraph"/>
      </w:pPr>
      <w:r w:rsidRPr="00677A56">
        <w:t>public service employees</w:t>
      </w:r>
    </w:p>
    <w:p w14:paraId="413E0062" w14:textId="1082EEF5" w:rsidR="001A794D" w:rsidRPr="00677A56" w:rsidRDefault="001A794D" w:rsidP="00C92068">
      <w:pPr>
        <w:pStyle w:val="ListParagraph"/>
      </w:pPr>
      <w:r w:rsidRPr="00677A56">
        <w:t>the Queensland Police Service and other emergency services</w:t>
      </w:r>
    </w:p>
    <w:p w14:paraId="02A17417" w14:textId="6C07CE4C" w:rsidR="001A794D" w:rsidRPr="00677A56" w:rsidRDefault="00406AB5" w:rsidP="00C92068">
      <w:pPr>
        <w:pStyle w:val="ListParagraph"/>
      </w:pPr>
      <w:r w:rsidRPr="00677A56">
        <w:t>s</w:t>
      </w:r>
      <w:r w:rsidR="001A794D" w:rsidRPr="00677A56">
        <w:t xml:space="preserve">tate </w:t>
      </w:r>
      <w:r w:rsidRPr="00677A56">
        <w:t>g</w:t>
      </w:r>
      <w:r w:rsidR="001A794D" w:rsidRPr="00677A56">
        <w:t xml:space="preserve">overnment </w:t>
      </w:r>
      <w:r w:rsidRPr="00677A56">
        <w:t>m</w:t>
      </w:r>
      <w:r w:rsidR="001A794D" w:rsidRPr="00677A56">
        <w:t>inisters</w:t>
      </w:r>
    </w:p>
    <w:p w14:paraId="06EF4A96" w14:textId="0282183F" w:rsidR="001A794D" w:rsidRPr="00677A56" w:rsidRDefault="001A794D" w:rsidP="00C92068">
      <w:pPr>
        <w:pStyle w:val="ListParagraph"/>
      </w:pPr>
      <w:r w:rsidRPr="00677A56">
        <w:t>public schools</w:t>
      </w:r>
    </w:p>
    <w:p w14:paraId="250D00C3" w14:textId="53E8EC3F" w:rsidR="001A794D" w:rsidRPr="00677A56" w:rsidRDefault="001A794D" w:rsidP="00C92068">
      <w:pPr>
        <w:pStyle w:val="ListParagraph"/>
      </w:pPr>
      <w:r w:rsidRPr="00677A56">
        <w:t>public health services, including hospitals</w:t>
      </w:r>
    </w:p>
    <w:p w14:paraId="7EE30002" w14:textId="445CA41C" w:rsidR="001A794D" w:rsidRPr="00677A56" w:rsidRDefault="001A794D" w:rsidP="00C92068">
      <w:pPr>
        <w:pStyle w:val="ListParagraph"/>
      </w:pPr>
      <w:r w:rsidRPr="00677A56">
        <w:t>local government, councillors</w:t>
      </w:r>
      <w:r w:rsidR="00406AB5" w:rsidRPr="00677A56">
        <w:t>,</w:t>
      </w:r>
      <w:r w:rsidRPr="00677A56">
        <w:t xml:space="preserve"> and council employees.</w:t>
      </w:r>
    </w:p>
    <w:p w14:paraId="1DBE47A5" w14:textId="37E7DBB0" w:rsidR="00457B85" w:rsidRDefault="001A794D" w:rsidP="00E80267">
      <w:pPr>
        <w:rPr>
          <w:lang w:eastAsia="en-AU"/>
        </w:rPr>
      </w:pPr>
      <w:r w:rsidRPr="008A00EB">
        <w:rPr>
          <w:bCs/>
          <w:i/>
          <w:lang w:eastAsia="en-AU"/>
        </w:rPr>
        <w:t>Functional public entities</w:t>
      </w:r>
      <w:r w:rsidRPr="008A00EB">
        <w:rPr>
          <w:lang w:eastAsia="en-AU"/>
        </w:rPr>
        <w:t> are only considered public entities when they are performing a function of a public nature on behalf of the state. Organisations funded by the government to provide public services would fall under this category. Functional public entities could be non-government organisations</w:t>
      </w:r>
      <w:r w:rsidR="006C7287" w:rsidRPr="008A00EB">
        <w:rPr>
          <w:lang w:eastAsia="en-AU"/>
        </w:rPr>
        <w:t xml:space="preserve"> (NGOs)</w:t>
      </w:r>
      <w:r w:rsidRPr="008A00EB">
        <w:rPr>
          <w:lang w:eastAsia="en-AU"/>
        </w:rPr>
        <w:t>, private companies</w:t>
      </w:r>
      <w:r w:rsidR="00406AB5" w:rsidRPr="008A00EB">
        <w:rPr>
          <w:lang w:eastAsia="en-AU"/>
        </w:rPr>
        <w:t>,</w:t>
      </w:r>
      <w:r w:rsidRPr="008A00EB">
        <w:rPr>
          <w:lang w:eastAsia="en-AU"/>
        </w:rPr>
        <w:t xml:space="preserve"> or government owned corporations. A private company funded to run a prison, or an NGO providing a public housing service, would be considered a functional public entity.</w:t>
      </w:r>
      <w:bookmarkStart w:id="144" w:name="_Toc55482281"/>
      <w:bookmarkStart w:id="145" w:name="_Toc84593849"/>
    </w:p>
    <w:p w14:paraId="54E3D0A5" w14:textId="77777777" w:rsidR="00677A56" w:rsidRDefault="00677A56">
      <w:pPr>
        <w:spacing w:line="259" w:lineRule="auto"/>
        <w:ind w:right="0"/>
        <w:rPr>
          <w:lang w:eastAsia="en-AU"/>
        </w:rPr>
      </w:pPr>
      <w:r>
        <w:rPr>
          <w:lang w:eastAsia="en-AU"/>
        </w:rPr>
        <w:br w:type="page"/>
      </w:r>
    </w:p>
    <w:p w14:paraId="08C0C8CA" w14:textId="35FE8FB9" w:rsidR="00677A56" w:rsidRDefault="00AB1BC4" w:rsidP="00677A56">
      <w:pPr>
        <w:pStyle w:val="Chapterheading"/>
      </w:pPr>
      <w:bookmarkStart w:id="146" w:name="_Toc85526640"/>
      <w:bookmarkStart w:id="147" w:name="_Toc85787055"/>
      <w:bookmarkStart w:id="148" w:name="_Toc85451720"/>
      <w:r w:rsidRPr="00677A56">
        <w:rPr>
          <w:noProof/>
        </w:rPr>
        <w:lastRenderedPageBreak/>
        <mc:AlternateContent>
          <mc:Choice Requires="wps">
            <w:drawing>
              <wp:anchor distT="0" distB="0" distL="114300" distR="114300" simplePos="0" relativeHeight="251658240" behindDoc="1" locked="0" layoutInCell="1" allowOverlap="1" wp14:anchorId="0C721E0D" wp14:editId="2538628D">
                <wp:simplePos x="0" y="0"/>
                <wp:positionH relativeFrom="margin">
                  <wp:posOffset>-788670</wp:posOffset>
                </wp:positionH>
                <wp:positionV relativeFrom="paragraph">
                  <wp:posOffset>-1086647</wp:posOffset>
                </wp:positionV>
                <wp:extent cx="7702550" cy="10668000"/>
                <wp:effectExtent l="0" t="0" r="0" b="0"/>
                <wp:wrapNone/>
                <wp:docPr id="47" name="Rectangle 47" descr="Rectangular blue block which covers the top quarter of the page. The chapter title sits inside the rectangle in white text. All headings in this chapter are blue. " title="Decorative colour block"/>
                <wp:cNvGraphicFramePr/>
                <a:graphic xmlns:a="http://schemas.openxmlformats.org/drawingml/2006/main">
                  <a:graphicData uri="http://schemas.microsoft.com/office/word/2010/wordprocessingShape">
                    <wps:wsp>
                      <wps:cNvSpPr/>
                      <wps:spPr>
                        <a:xfrm>
                          <a:off x="0" y="0"/>
                          <a:ext cx="7702550" cy="10668000"/>
                        </a:xfrm>
                        <a:prstGeom prst="rect">
                          <a:avLst/>
                        </a:prstGeom>
                        <a:solidFill>
                          <a:srgbClr val="337B9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089AD55" id="Rectangle 47" o:spid="_x0000_s1026" alt="Title: Decorative colour block - Description: Rectangular blue block which covers the top quarter of the page. The chapter title sits inside the rectangle in white text. All headings in this chapter are blue. " style="position:absolute;margin-left:-62.1pt;margin-top:-85.55pt;width:606.5pt;height:840pt;z-index:-25165824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" fillcolor="#337b9e" stroked="f" strokeweight="1pt">
                <w10:wrap anchorx="margin"/>
              </v:rect>
            </w:pict>
          </mc:Fallback>
        </mc:AlternateContent>
      </w:r>
      <w:r w:rsidR="001A2ED5">
        <w:rPr>
          <w:noProof/>
        </w:rPr>
        <w:drawing>
          <wp:anchor distT="0" distB="0" distL="114300" distR="114300" simplePos="0" relativeHeight="251658248" behindDoc="1" locked="0" layoutInCell="1" allowOverlap="1" wp14:anchorId="16CB74F3" wp14:editId="01DC7E55">
            <wp:simplePos x="0" y="0"/>
            <wp:positionH relativeFrom="page">
              <wp:posOffset>7061465</wp:posOffset>
            </wp:positionH>
            <wp:positionV relativeFrom="paragraph">
              <wp:posOffset>-1101791</wp:posOffset>
            </wp:positionV>
            <wp:extent cx="535305" cy="10782786"/>
            <wp:effectExtent l="0" t="0" r="0" b="0"/>
            <wp:wrapNone/>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ur bar full 15m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305" cy="10782786"/>
                    </a:xfrm>
                    <a:prstGeom prst="rect">
                      <a:avLst/>
                    </a:prstGeom>
                  </pic:spPr>
                </pic:pic>
              </a:graphicData>
            </a:graphic>
            <wp14:sizeRelH relativeFrom="page">
              <wp14:pctWidth>0</wp14:pctWidth>
            </wp14:sizeRelH>
            <wp14:sizeRelV relativeFrom="page">
              <wp14:pctHeight>0</wp14:pctHeight>
            </wp14:sizeRelV>
          </wp:anchor>
        </w:drawing>
      </w:r>
      <w:bookmarkEnd w:id="146"/>
      <w:bookmarkEnd w:id="147"/>
    </w:p>
    <w:p w14:paraId="438900DB" w14:textId="77777777" w:rsidR="00677A56" w:rsidRDefault="00677A56" w:rsidP="00677A56">
      <w:pPr>
        <w:pStyle w:val="Chapterheading"/>
      </w:pPr>
    </w:p>
    <w:p w14:paraId="09F52762" w14:textId="77777777" w:rsidR="00677A56" w:rsidRDefault="00677A56" w:rsidP="00677A56">
      <w:pPr>
        <w:pStyle w:val="Chapterheading"/>
      </w:pPr>
    </w:p>
    <w:p w14:paraId="204F0E8B" w14:textId="52AFEF7E" w:rsidR="00677A56" w:rsidRDefault="00677A56" w:rsidP="00677A56">
      <w:pPr>
        <w:pStyle w:val="Chapterheading"/>
      </w:pPr>
    </w:p>
    <w:p w14:paraId="4A1C0C88" w14:textId="356344C1" w:rsidR="00457B85" w:rsidRDefault="00457B85" w:rsidP="004D1B31">
      <w:pPr>
        <w:pStyle w:val="Chapterheading"/>
      </w:pPr>
      <w:bookmarkStart w:id="149" w:name="_Toc85526641"/>
      <w:bookmarkStart w:id="150" w:name="_Toc85787056"/>
      <w:r>
        <w:t xml:space="preserve">Human rights </w:t>
      </w:r>
      <w:r w:rsidR="001F08A8">
        <w:t>and the</w:t>
      </w:r>
      <w:r>
        <w:t xml:space="preserve"> </w:t>
      </w:r>
      <w:r w:rsidR="00C12035">
        <w:t>p</w:t>
      </w:r>
      <w:r w:rsidR="006D538A">
        <w:t>arliament</w:t>
      </w:r>
      <w:bookmarkEnd w:id="148"/>
      <w:bookmarkEnd w:id="149"/>
      <w:bookmarkEnd w:id="150"/>
      <w:r>
        <w:t xml:space="preserve"> </w:t>
      </w:r>
    </w:p>
    <w:p w14:paraId="0A1B6138" w14:textId="77777777" w:rsidR="00677A56" w:rsidRDefault="00677A56">
      <w:pPr>
        <w:spacing w:line="259" w:lineRule="auto"/>
        <w:ind w:right="0"/>
        <w:rPr>
          <w:rFonts w:eastAsia="Times New Roman" w:cs="Times New Roman"/>
          <w:bCs/>
          <w:color w:val="337B9E"/>
          <w:kern w:val="36"/>
          <w:sz w:val="48"/>
          <w:szCs w:val="48"/>
          <w:lang w:eastAsia="en-AU"/>
        </w:rPr>
      </w:pPr>
      <w:bookmarkStart w:id="151" w:name="_Toc85451721"/>
      <w:r>
        <w:rPr>
          <w:color w:val="337B9E"/>
        </w:rPr>
        <w:br w:type="page"/>
      </w:r>
    </w:p>
    <w:p w14:paraId="505E3967" w14:textId="48FF6D92" w:rsidR="009B4337" w:rsidRPr="00677A56" w:rsidRDefault="009B4337" w:rsidP="00283488">
      <w:pPr>
        <w:pStyle w:val="Heading1"/>
        <w:rPr>
          <w:color w:val="337B9E"/>
        </w:rPr>
      </w:pPr>
      <w:bookmarkStart w:id="152" w:name="_Toc85526642"/>
      <w:bookmarkStart w:id="153" w:name="_Toc85787057"/>
      <w:r w:rsidRPr="00677A56">
        <w:rPr>
          <w:color w:val="337B9E"/>
        </w:rPr>
        <w:lastRenderedPageBreak/>
        <w:t>The role of parliament</w:t>
      </w:r>
      <w:bookmarkEnd w:id="144"/>
      <w:bookmarkEnd w:id="145"/>
      <w:bookmarkEnd w:id="151"/>
      <w:bookmarkEnd w:id="152"/>
      <w:bookmarkEnd w:id="153"/>
    </w:p>
    <w:p w14:paraId="33239279" w14:textId="0739ECD1" w:rsidR="009B4337" w:rsidRDefault="009B4337" w:rsidP="15D97578">
      <w:pPr>
        <w:rPr>
          <w:lang w:val="en-US"/>
        </w:rPr>
      </w:pPr>
      <w:r w:rsidRPr="15D97578">
        <w:rPr>
          <w:lang w:val="en-US"/>
        </w:rPr>
        <w:t xml:space="preserve">The Act requires </w:t>
      </w:r>
      <w:r w:rsidR="00F24293">
        <w:rPr>
          <w:lang w:val="en-US"/>
        </w:rPr>
        <w:t>p</w:t>
      </w:r>
      <w:r w:rsidR="006D538A">
        <w:rPr>
          <w:lang w:val="en-US"/>
        </w:rPr>
        <w:t>arliament</w:t>
      </w:r>
      <w:r w:rsidRPr="15D97578">
        <w:rPr>
          <w:lang w:val="en-US"/>
        </w:rPr>
        <w:t xml:space="preserve">, the courts, and the executive to act compatibly with human rights. </w:t>
      </w:r>
      <w:r w:rsidR="006D538A">
        <w:rPr>
          <w:lang w:val="en-US"/>
        </w:rPr>
        <w:t>Parliament</w:t>
      </w:r>
      <w:r w:rsidRPr="15D97578">
        <w:rPr>
          <w:lang w:val="en-US"/>
        </w:rPr>
        <w:t xml:space="preserve"> is responsible for making and passing laws, and under the dialogue model courts cannot overrule legislation because it is not compatible with human rights. </w:t>
      </w:r>
      <w:r w:rsidR="006D538A">
        <w:rPr>
          <w:lang w:val="en-US"/>
        </w:rPr>
        <w:t>Parliament</w:t>
      </w:r>
      <w:r w:rsidRPr="15D97578">
        <w:rPr>
          <w:lang w:val="en-US"/>
        </w:rPr>
        <w:t xml:space="preserve"> therefore has a crucial role to ensure that legislation is compatible with human rights before it passes into law.</w:t>
      </w:r>
      <w:r w:rsidR="3ADDC1B6" w:rsidRPr="15D97578">
        <w:rPr>
          <w:rFonts w:eastAsia="Arial" w:cs="Arial"/>
          <w:lang w:val="en-US"/>
        </w:rPr>
        <w:t xml:space="preserve"> Once a law is passed, any future human rights compatibility assessment will generally only arise if raised in litigation.</w:t>
      </w:r>
    </w:p>
    <w:p w14:paraId="5A2BA5A9" w14:textId="3B4D0E9B" w:rsidR="009B4337" w:rsidRPr="008A00EB" w:rsidRDefault="006D538A" w:rsidP="00DD5474">
      <w:pPr>
        <w:rPr>
          <w:lang w:val="en-US"/>
        </w:rPr>
      </w:pPr>
      <w:r>
        <w:rPr>
          <w:lang w:val="en-US"/>
        </w:rPr>
        <w:t>Parliament</w:t>
      </w:r>
      <w:r w:rsidR="009B4337" w:rsidRPr="008A00EB">
        <w:rPr>
          <w:lang w:val="en-US"/>
        </w:rPr>
        <w:t xml:space="preserve">’s obligation is to consider whether limitations on human rights are justified. This occurs through the tabling of </w:t>
      </w:r>
      <w:r w:rsidR="008A0673">
        <w:rPr>
          <w:lang w:val="en-US"/>
        </w:rPr>
        <w:t>Statements</w:t>
      </w:r>
      <w:r w:rsidR="009B4337" w:rsidRPr="008A00EB">
        <w:rPr>
          <w:lang w:val="en-US"/>
        </w:rPr>
        <w:t xml:space="preserve"> of </w:t>
      </w:r>
      <w:r w:rsidR="008A0673">
        <w:rPr>
          <w:lang w:val="en-US"/>
        </w:rPr>
        <w:t>C</w:t>
      </w:r>
      <w:r w:rsidR="009B4337" w:rsidRPr="008A00EB">
        <w:rPr>
          <w:lang w:val="en-US"/>
        </w:rPr>
        <w:t xml:space="preserve">ompatibility and </w:t>
      </w:r>
      <w:r w:rsidR="00917048">
        <w:rPr>
          <w:lang w:val="en-US"/>
        </w:rPr>
        <w:t>Human Rights C</w:t>
      </w:r>
      <w:r w:rsidR="009B4337" w:rsidRPr="008A00EB">
        <w:rPr>
          <w:lang w:val="en-US"/>
        </w:rPr>
        <w:t xml:space="preserve">ertificates, the </w:t>
      </w:r>
      <w:r w:rsidR="002D41B9">
        <w:rPr>
          <w:lang w:val="en-US"/>
        </w:rPr>
        <w:t>Committee</w:t>
      </w:r>
      <w:r w:rsidR="009B4337" w:rsidRPr="008A00EB">
        <w:rPr>
          <w:lang w:val="en-US"/>
        </w:rPr>
        <w:t xml:space="preserve"> process, and </w:t>
      </w:r>
      <w:r>
        <w:rPr>
          <w:lang w:val="en-US"/>
        </w:rPr>
        <w:t>Parliament</w:t>
      </w:r>
      <w:r w:rsidR="009B4337" w:rsidRPr="008A00EB">
        <w:rPr>
          <w:lang w:val="en-US"/>
        </w:rPr>
        <w:t>ary debate.</w:t>
      </w:r>
    </w:p>
    <w:p w14:paraId="46E5055C" w14:textId="7A42AB01" w:rsidR="009B4337" w:rsidRPr="005C5B4A" w:rsidRDefault="009B4337" w:rsidP="00B04FF8">
      <w:pPr>
        <w:pStyle w:val="Heading2"/>
        <w:rPr>
          <w:lang w:val="en-US"/>
        </w:rPr>
      </w:pPr>
      <w:bookmarkStart w:id="154" w:name="_Toc55482282"/>
      <w:bookmarkStart w:id="155" w:name="_Toc56451554"/>
      <w:bookmarkStart w:id="156" w:name="_Toc56452128"/>
      <w:bookmarkStart w:id="157" w:name="_Toc84593850"/>
      <w:bookmarkStart w:id="158" w:name="_Toc85451722"/>
      <w:bookmarkStart w:id="159" w:name="_Toc85526643"/>
      <w:bookmarkStart w:id="160" w:name="_Toc85787058"/>
      <w:r w:rsidRPr="005C5B4A">
        <w:rPr>
          <w:lang w:val="en-US"/>
        </w:rPr>
        <w:t xml:space="preserve">Override </w:t>
      </w:r>
      <w:r w:rsidR="00CC6EB7">
        <w:rPr>
          <w:lang w:val="en-US"/>
        </w:rPr>
        <w:t>D</w:t>
      </w:r>
      <w:r w:rsidRPr="005C5B4A">
        <w:rPr>
          <w:lang w:val="en-US"/>
        </w:rPr>
        <w:t>eclarations</w:t>
      </w:r>
      <w:bookmarkEnd w:id="154"/>
      <w:bookmarkEnd w:id="155"/>
      <w:bookmarkEnd w:id="156"/>
      <w:bookmarkEnd w:id="157"/>
      <w:bookmarkEnd w:id="158"/>
      <w:bookmarkEnd w:id="159"/>
      <w:bookmarkEnd w:id="160"/>
    </w:p>
    <w:p w14:paraId="5B0B754F" w14:textId="05F604F3" w:rsidR="009B4337" w:rsidRPr="008A00EB" w:rsidRDefault="009B4337" w:rsidP="009B4337">
      <w:r w:rsidRPr="008A00EB">
        <w:t xml:space="preserve">The </w:t>
      </w:r>
      <w:r w:rsidR="00F24293">
        <w:t>p</w:t>
      </w:r>
      <w:r w:rsidR="006D538A">
        <w:t>arliament</w:t>
      </w:r>
      <w:r w:rsidRPr="008A00EB">
        <w:t xml:space="preserve"> may override the Act by declaring that new legislation has effect despite being incompatible with human rights. This provision is intended to be used only in exceptional circumstances including war, a state of emergency, or an exceptional crisis situation constituting a threat to public safety, health, or order.</w:t>
      </w:r>
    </w:p>
    <w:p w14:paraId="61A03E33" w14:textId="0F97DFDE" w:rsidR="009B4337" w:rsidRPr="008A00EB" w:rsidRDefault="00B03AF3" w:rsidP="009B4337">
      <w:r>
        <w:t xml:space="preserve">As with </w:t>
      </w:r>
      <w:r w:rsidR="0096757C">
        <w:t xml:space="preserve">the first year of </w:t>
      </w:r>
      <w:r w:rsidR="00AE2E16">
        <w:t xml:space="preserve">operation of </w:t>
      </w:r>
      <w:r w:rsidR="0096757C">
        <w:t xml:space="preserve">the Act, </w:t>
      </w:r>
      <w:r w:rsidR="00F24293">
        <w:t>p</w:t>
      </w:r>
      <w:r w:rsidR="006D538A">
        <w:t>arliament</w:t>
      </w:r>
      <w:r w:rsidR="0096757C">
        <w:t xml:space="preserve"> has not relied on </w:t>
      </w:r>
      <w:r w:rsidR="00CC6EB7">
        <w:t>O</w:t>
      </w:r>
      <w:r w:rsidR="0096757C">
        <w:t xml:space="preserve">verride </w:t>
      </w:r>
      <w:r w:rsidR="00CC6EB7">
        <w:t>D</w:t>
      </w:r>
      <w:r w:rsidR="0096757C">
        <w:t>eclarations when passing legislation</w:t>
      </w:r>
      <w:r w:rsidR="00E11A8D">
        <w:t xml:space="preserve"> in this reporting period</w:t>
      </w:r>
      <w:r w:rsidR="0096757C">
        <w:t>.</w:t>
      </w:r>
    </w:p>
    <w:p w14:paraId="5B7F16F2" w14:textId="6C7C65D6" w:rsidR="009B4337" w:rsidRPr="005C5B4A" w:rsidRDefault="009B4337" w:rsidP="00B04FF8">
      <w:pPr>
        <w:pStyle w:val="Heading2"/>
      </w:pPr>
      <w:bookmarkStart w:id="161" w:name="_Toc55482283"/>
      <w:bookmarkStart w:id="162" w:name="_Toc56451555"/>
      <w:bookmarkStart w:id="163" w:name="_Toc56452129"/>
      <w:bookmarkStart w:id="164" w:name="_Toc84593851"/>
      <w:bookmarkStart w:id="165" w:name="_Toc85451723"/>
      <w:bookmarkStart w:id="166" w:name="_Toc85526644"/>
      <w:bookmarkStart w:id="167" w:name="_Toc85787059"/>
      <w:r w:rsidRPr="005C5B4A">
        <w:t xml:space="preserve">Statements of </w:t>
      </w:r>
      <w:bookmarkEnd w:id="161"/>
      <w:bookmarkEnd w:id="162"/>
      <w:bookmarkEnd w:id="163"/>
      <w:r w:rsidR="00CB7539">
        <w:t>C</w:t>
      </w:r>
      <w:r w:rsidRPr="005C5B4A">
        <w:t>ompatibility</w:t>
      </w:r>
      <w:bookmarkEnd w:id="164"/>
      <w:bookmarkEnd w:id="165"/>
      <w:bookmarkEnd w:id="166"/>
      <w:bookmarkEnd w:id="167"/>
    </w:p>
    <w:p w14:paraId="35A03BC0" w14:textId="35D94429" w:rsidR="009B4337" w:rsidRPr="008A00EB" w:rsidRDefault="00EA79FF" w:rsidP="00DD5474">
      <w:pPr>
        <w:rPr>
          <w:lang w:val="en-US"/>
        </w:rPr>
      </w:pPr>
      <w:r>
        <w:rPr>
          <w:lang w:val="en-US"/>
        </w:rPr>
        <w:t xml:space="preserve">Queensland </w:t>
      </w:r>
      <w:r w:rsidR="006D538A">
        <w:rPr>
          <w:lang w:val="en-US"/>
        </w:rPr>
        <w:t>Parliament</w:t>
      </w:r>
      <w:r w:rsidR="009B4337" w:rsidRPr="008A00EB">
        <w:rPr>
          <w:lang w:val="en-US"/>
        </w:rPr>
        <w:t xml:space="preserve"> must </w:t>
      </w:r>
      <w:proofErr w:type="spellStart"/>
      <w:r w:rsidR="009B4337" w:rsidRPr="008A00EB">
        <w:rPr>
          <w:lang w:val="en-US"/>
        </w:rPr>
        <w:t>scrutinise</w:t>
      </w:r>
      <w:proofErr w:type="spellEnd"/>
      <w:r w:rsidR="009B4337" w:rsidRPr="008A00EB">
        <w:rPr>
          <w:lang w:val="en-US"/>
        </w:rPr>
        <w:t xml:space="preserve"> all proposed laws for compatibility with human rights. From 1 January 2020, a member who introduces a </w:t>
      </w:r>
      <w:r w:rsidR="005F5B1B">
        <w:rPr>
          <w:lang w:val="en-US"/>
        </w:rPr>
        <w:t>B</w:t>
      </w:r>
      <w:r w:rsidR="009B4337" w:rsidRPr="008A00EB">
        <w:rPr>
          <w:lang w:val="en-US"/>
        </w:rPr>
        <w:t xml:space="preserve">ill must table a </w:t>
      </w:r>
      <w:r w:rsidR="002D41B9">
        <w:rPr>
          <w:lang w:val="en-US"/>
        </w:rPr>
        <w:t>Statement of Compatibility</w:t>
      </w:r>
      <w:r w:rsidR="009B4337" w:rsidRPr="008A00EB">
        <w:rPr>
          <w:lang w:val="en-US"/>
        </w:rPr>
        <w:t xml:space="preserve"> when introducing the </w:t>
      </w:r>
      <w:r w:rsidR="009C1B12">
        <w:rPr>
          <w:lang w:val="en-US"/>
        </w:rPr>
        <w:t>B</w:t>
      </w:r>
      <w:r w:rsidR="009B4337" w:rsidRPr="008A00EB">
        <w:rPr>
          <w:lang w:val="en-US"/>
        </w:rPr>
        <w:t xml:space="preserve">ill, and the responsible portfolio </w:t>
      </w:r>
      <w:r w:rsidR="002D41B9">
        <w:rPr>
          <w:lang w:val="en-US"/>
        </w:rPr>
        <w:t>Committee</w:t>
      </w:r>
      <w:r w:rsidR="009B4337" w:rsidRPr="008A00EB">
        <w:rPr>
          <w:lang w:val="en-US"/>
        </w:rPr>
        <w:t xml:space="preserve">s must consider the </w:t>
      </w:r>
      <w:r w:rsidR="009C1B12">
        <w:rPr>
          <w:lang w:val="en-US"/>
        </w:rPr>
        <w:t>B</w:t>
      </w:r>
      <w:r w:rsidR="009B4337" w:rsidRPr="008A00EB">
        <w:rPr>
          <w:lang w:val="en-US"/>
        </w:rPr>
        <w:t>ill and report to the Legislative Assembly about any incompatibility with human rights.</w:t>
      </w:r>
    </w:p>
    <w:p w14:paraId="5F20F590" w14:textId="490606EE" w:rsidR="009B4337" w:rsidRPr="008A00EB" w:rsidRDefault="009B4337" w:rsidP="00DD5474">
      <w:r w:rsidRPr="00D25B9B">
        <w:lastRenderedPageBreak/>
        <w:t>There were</w:t>
      </w:r>
      <w:r w:rsidR="00EF7562" w:rsidRPr="00D25B9B">
        <w:t xml:space="preserve"> a total of</w:t>
      </w:r>
      <w:r w:rsidRPr="00D25B9B">
        <w:t xml:space="preserve"> </w:t>
      </w:r>
      <w:r w:rsidR="00E9786C" w:rsidRPr="00D25B9B">
        <w:t>38</w:t>
      </w:r>
      <w:r w:rsidRPr="00D25B9B">
        <w:t xml:space="preserve"> </w:t>
      </w:r>
      <w:r w:rsidR="00EA79FF" w:rsidRPr="00D25B9B">
        <w:t>b</w:t>
      </w:r>
      <w:r w:rsidRPr="00D25B9B">
        <w:t xml:space="preserve">ills introduced during the </w:t>
      </w:r>
      <w:r w:rsidR="00AF31E9" w:rsidRPr="00D25B9B">
        <w:t>2020–21</w:t>
      </w:r>
      <w:r w:rsidRPr="00D25B9B">
        <w:t xml:space="preserve"> financial </w:t>
      </w:r>
      <w:r w:rsidR="00AF31E9" w:rsidRPr="00D25B9B">
        <w:t xml:space="preserve">year </w:t>
      </w:r>
      <w:r w:rsidR="007477C2" w:rsidRPr="00D25B9B">
        <w:t>that were</w:t>
      </w:r>
      <w:r w:rsidRPr="00D25B9B">
        <w:t xml:space="preserve"> accompanied by </w:t>
      </w:r>
      <w:r w:rsidR="009C1B12">
        <w:t>S</w:t>
      </w:r>
      <w:r w:rsidRPr="00D25B9B">
        <w:t xml:space="preserve">tatements of </w:t>
      </w:r>
      <w:r w:rsidR="009C1B12">
        <w:t>C</w:t>
      </w:r>
      <w:r w:rsidRPr="00D25B9B">
        <w:t xml:space="preserve">ompatibility. </w:t>
      </w:r>
      <w:r w:rsidR="00313EFF" w:rsidRPr="00D25B9B">
        <w:t xml:space="preserve">Several of these lapsed due to the dissolution of </w:t>
      </w:r>
      <w:r w:rsidR="00F24293">
        <w:t>p</w:t>
      </w:r>
      <w:r w:rsidR="006D538A">
        <w:t>arliament</w:t>
      </w:r>
      <w:r w:rsidR="00D25B9B" w:rsidRPr="00D25B9B">
        <w:t xml:space="preserve"> following the end of a term of government</w:t>
      </w:r>
      <w:r w:rsidR="00313EFF" w:rsidRPr="00D25B9B">
        <w:t xml:space="preserve">. </w:t>
      </w:r>
      <w:r w:rsidR="008C37E3">
        <w:t>Twenty-four</w:t>
      </w:r>
      <w:r w:rsidR="000C6637">
        <w:t xml:space="preserve"> relevant</w:t>
      </w:r>
      <w:r w:rsidR="008C37E3">
        <w:t xml:space="preserve"> Bills were</w:t>
      </w:r>
      <w:r w:rsidR="000D16BA">
        <w:t xml:space="preserve"> passed during the reporting period. This excludes</w:t>
      </w:r>
      <w:r w:rsidR="000D16BA" w:rsidRPr="00D25B9B">
        <w:t xml:space="preserve"> </w:t>
      </w:r>
      <w:r w:rsidR="00FD5454" w:rsidRPr="00D25B9B">
        <w:rPr>
          <w:rFonts w:eastAsia="Times New Roman" w:cs="Arial"/>
        </w:rPr>
        <w:t xml:space="preserve">appropriation </w:t>
      </w:r>
      <w:r w:rsidR="005B3EF7">
        <w:rPr>
          <w:rFonts w:eastAsia="Times New Roman" w:cs="Arial"/>
          <w:bCs/>
        </w:rPr>
        <w:t>B</w:t>
      </w:r>
      <w:r w:rsidR="00FD5454" w:rsidRPr="00D25B9B">
        <w:rPr>
          <w:rFonts w:eastAsia="Times New Roman" w:cs="Arial"/>
          <w:bCs/>
        </w:rPr>
        <w:t>ills</w:t>
      </w:r>
      <w:r w:rsidR="00FD5454" w:rsidRPr="00D25B9B">
        <w:rPr>
          <w:rFonts w:eastAsia="Times New Roman" w:cs="Arial"/>
        </w:rPr>
        <w:t xml:space="preserve"> and </w:t>
      </w:r>
      <w:r w:rsidR="005B3EF7">
        <w:rPr>
          <w:rFonts w:eastAsia="Times New Roman" w:cs="Arial"/>
          <w:bCs/>
        </w:rPr>
        <w:t>B</w:t>
      </w:r>
      <w:r w:rsidR="00FD5454" w:rsidRPr="00D25B9B">
        <w:rPr>
          <w:rFonts w:eastAsia="Times New Roman" w:cs="Arial"/>
          <w:bCs/>
        </w:rPr>
        <w:t>ills</w:t>
      </w:r>
      <w:r w:rsidR="00FD5454" w:rsidRPr="00D25B9B">
        <w:rPr>
          <w:rFonts w:eastAsia="Times New Roman" w:cs="Arial"/>
        </w:rPr>
        <w:t xml:space="preserve"> introduced prior to the commencement of the </w:t>
      </w:r>
      <w:r w:rsidR="007477C2" w:rsidRPr="00D25B9B">
        <w:rPr>
          <w:rFonts w:eastAsia="Times New Roman" w:cs="Arial"/>
        </w:rPr>
        <w:t>Act</w:t>
      </w:r>
      <w:r w:rsidR="008C37E3">
        <w:rPr>
          <w:rFonts w:eastAsia="Times New Roman" w:cs="Arial"/>
        </w:rPr>
        <w:t xml:space="preserve"> (1 January 2020</w:t>
      </w:r>
      <w:r w:rsidR="000D16BA">
        <w:rPr>
          <w:rFonts w:eastAsia="Times New Roman" w:cs="Arial"/>
        </w:rPr>
        <w:t>)</w:t>
      </w:r>
      <w:r w:rsidR="00FD5454" w:rsidRPr="00D25B9B">
        <w:rPr>
          <w:rFonts w:eastAsia="Times New Roman" w:cs="Arial"/>
        </w:rPr>
        <w:t>.</w:t>
      </w:r>
      <w:r w:rsidR="00FD5454" w:rsidRPr="00D25B9B">
        <w:rPr>
          <w:rFonts w:eastAsia="Times New Roman" w:cs="Arial"/>
          <w:vertAlign w:val="superscript"/>
        </w:rPr>
        <w:footnoteReference w:id="12"/>
      </w:r>
      <w:r w:rsidR="00EF7562" w:rsidRPr="00D25B9B">
        <w:rPr>
          <w:rFonts w:eastAsia="Times New Roman" w:cs="Arial"/>
        </w:rPr>
        <w:t xml:space="preserve"> Portfolio </w:t>
      </w:r>
      <w:r w:rsidR="002D41B9">
        <w:rPr>
          <w:rFonts w:eastAsia="Times New Roman" w:cs="Arial"/>
        </w:rPr>
        <w:t>Committee</w:t>
      </w:r>
      <w:r w:rsidR="00EF7562" w:rsidRPr="00D25B9B">
        <w:rPr>
          <w:rFonts w:eastAsia="Times New Roman" w:cs="Arial"/>
        </w:rPr>
        <w:t xml:space="preserve">s completed 32 inquiries into </w:t>
      </w:r>
      <w:r w:rsidR="00411376">
        <w:rPr>
          <w:rFonts w:eastAsia="Times New Roman" w:cs="Arial"/>
          <w:bCs/>
        </w:rPr>
        <w:t>B</w:t>
      </w:r>
      <w:r w:rsidR="00EF7562" w:rsidRPr="00D25B9B">
        <w:rPr>
          <w:rFonts w:eastAsia="Times New Roman" w:cs="Arial"/>
          <w:bCs/>
        </w:rPr>
        <w:t>ills</w:t>
      </w:r>
      <w:r w:rsidR="00EF7562" w:rsidRPr="00D25B9B">
        <w:rPr>
          <w:rFonts w:eastAsia="Times New Roman" w:cs="Arial"/>
        </w:rPr>
        <w:t xml:space="preserve"> that were introduced in the </w:t>
      </w:r>
      <w:r w:rsidR="00F24293">
        <w:rPr>
          <w:rFonts w:eastAsia="Times New Roman" w:cs="Arial"/>
        </w:rPr>
        <w:t>p</w:t>
      </w:r>
      <w:r w:rsidR="006D538A">
        <w:rPr>
          <w:rFonts w:eastAsia="Times New Roman" w:cs="Arial"/>
        </w:rPr>
        <w:t>arliament</w:t>
      </w:r>
      <w:r w:rsidR="00EF7562" w:rsidRPr="00D25B9B">
        <w:rPr>
          <w:rFonts w:eastAsia="Times New Roman" w:cs="Arial"/>
        </w:rPr>
        <w:t xml:space="preserve"> and then referred to </w:t>
      </w:r>
      <w:r w:rsidR="002D41B9">
        <w:rPr>
          <w:rFonts w:eastAsia="Times New Roman" w:cs="Arial"/>
        </w:rPr>
        <w:t>Committee</w:t>
      </w:r>
      <w:r w:rsidR="00EF7562" w:rsidRPr="00D25B9B">
        <w:rPr>
          <w:rFonts w:eastAsia="Times New Roman" w:cs="Arial"/>
        </w:rPr>
        <w:t>s for examination.</w:t>
      </w:r>
      <w:r w:rsidR="00EF7562">
        <w:rPr>
          <w:rFonts w:eastAsia="Times New Roman" w:cs="Arial"/>
          <w:bCs/>
        </w:rPr>
        <w:t xml:space="preserve"> </w:t>
      </w:r>
    </w:p>
    <w:p w14:paraId="0E7973BA" w14:textId="31C63AC0" w:rsidR="009B4337" w:rsidRPr="008A00EB" w:rsidRDefault="009B4337" w:rsidP="00DD5474">
      <w:r w:rsidRPr="008A00EB">
        <w:t xml:space="preserve">Statements of </w:t>
      </w:r>
      <w:r w:rsidR="009D43F9">
        <w:t>C</w:t>
      </w:r>
      <w:r w:rsidRPr="008A00EB">
        <w:t xml:space="preserve">ompatibility must explain why any limitation of rights is demonstrably justifiable. </w:t>
      </w:r>
      <w:r w:rsidRPr="008159B7">
        <w:rPr>
          <w:i/>
          <w:iCs/>
        </w:rPr>
        <w:t>The Queensland Legislation Handbook</w:t>
      </w:r>
      <w:r w:rsidRPr="008C4067">
        <w:rPr>
          <w:rStyle w:val="FootnoteReference"/>
        </w:rPr>
        <w:footnoteReference w:id="13"/>
      </w:r>
      <w:r w:rsidRPr="008A00EB">
        <w:t xml:space="preserve"> provides guidance and a template for completion of the </w:t>
      </w:r>
      <w:r w:rsidR="002D41B9">
        <w:t>Statement of Compatibility</w:t>
      </w:r>
      <w:r w:rsidRPr="008A00EB">
        <w:t xml:space="preserve"> by the relevant department. The statements set out the human rights issues, including which human rights are engaged or are of relevance. The statements then explain how the legislation meets the proportionality test in section 13 of the Act, which allows for rights to be subject to reasonable limits that can be demonstrably justified in a free and democratic society based on human dignity, equality, and freedom.</w:t>
      </w:r>
      <w:r w:rsidR="0052586E">
        <w:t xml:space="preserve"> </w:t>
      </w:r>
    </w:p>
    <w:p w14:paraId="645954F3" w14:textId="3F2B714D" w:rsidR="009B4337" w:rsidRPr="005C5B4A" w:rsidRDefault="009B4337" w:rsidP="00B04FF8">
      <w:pPr>
        <w:pStyle w:val="Heading2"/>
      </w:pPr>
      <w:bookmarkStart w:id="168" w:name="_Toc55482284"/>
      <w:bookmarkStart w:id="169" w:name="_Toc56451556"/>
      <w:bookmarkStart w:id="170" w:name="_Toc56452130"/>
      <w:bookmarkStart w:id="171" w:name="_Toc84593852"/>
      <w:bookmarkStart w:id="172" w:name="_Toc85451724"/>
      <w:bookmarkStart w:id="173" w:name="_Toc85526645"/>
      <w:bookmarkStart w:id="174" w:name="_Toc85787060"/>
      <w:r w:rsidRPr="005C5B4A">
        <w:t xml:space="preserve">Human </w:t>
      </w:r>
      <w:r w:rsidR="00014274">
        <w:t>R</w:t>
      </w:r>
      <w:r w:rsidRPr="005C5B4A">
        <w:t xml:space="preserve">ights </w:t>
      </w:r>
      <w:r w:rsidR="00014274">
        <w:t>C</w:t>
      </w:r>
      <w:r w:rsidRPr="005C5B4A">
        <w:t>ertificates</w:t>
      </w:r>
      <w:bookmarkEnd w:id="168"/>
      <w:bookmarkEnd w:id="169"/>
      <w:bookmarkEnd w:id="170"/>
      <w:bookmarkEnd w:id="171"/>
      <w:bookmarkEnd w:id="172"/>
      <w:bookmarkEnd w:id="173"/>
      <w:bookmarkEnd w:id="174"/>
    </w:p>
    <w:p w14:paraId="521CD8D3" w14:textId="60E55AA0" w:rsidR="009B4337" w:rsidRPr="008A00EB" w:rsidRDefault="009B4337" w:rsidP="00DD5474">
      <w:r w:rsidRPr="008A00EB">
        <w:t xml:space="preserve">Human </w:t>
      </w:r>
      <w:r w:rsidR="00014274">
        <w:t>R</w:t>
      </w:r>
      <w:r w:rsidRPr="008A00EB">
        <w:t xml:space="preserve">ights </w:t>
      </w:r>
      <w:r w:rsidR="00014274">
        <w:t>C</w:t>
      </w:r>
      <w:r w:rsidRPr="008A00EB">
        <w:t xml:space="preserve">ertificates must accompany new subordinate legislation and are drafted by the </w:t>
      </w:r>
      <w:r w:rsidR="00357167">
        <w:t>M</w:t>
      </w:r>
      <w:r w:rsidRPr="008A00EB">
        <w:t xml:space="preserve">inister responsible for the subordinate legislation. There were </w:t>
      </w:r>
      <w:r w:rsidR="009C20EC" w:rsidRPr="00357167">
        <w:t>2</w:t>
      </w:r>
      <w:r w:rsidR="00471CBA" w:rsidRPr="00357167">
        <w:t>14</w:t>
      </w:r>
      <w:r w:rsidRPr="00357167">
        <w:t xml:space="preserve"> new pieces</w:t>
      </w:r>
      <w:r w:rsidRPr="008A00EB">
        <w:t xml:space="preserve"> of subordinate legislation tabled in the </w:t>
      </w:r>
      <w:r w:rsidR="00215C16">
        <w:t>2020-21</w:t>
      </w:r>
      <w:r w:rsidRPr="008A00EB">
        <w:t xml:space="preserve"> financial year</w:t>
      </w:r>
      <w:r w:rsidR="00AF31E9">
        <w:t xml:space="preserve"> </w:t>
      </w:r>
      <w:r w:rsidRPr="008A00EB">
        <w:t xml:space="preserve">accompanied by </w:t>
      </w:r>
      <w:r w:rsidR="002C78F9">
        <w:t>H</w:t>
      </w:r>
      <w:r w:rsidRPr="008A00EB">
        <w:t xml:space="preserve">uman </w:t>
      </w:r>
      <w:r w:rsidR="002C78F9">
        <w:t>R</w:t>
      </w:r>
      <w:r w:rsidRPr="008A00EB">
        <w:t xml:space="preserve">ights </w:t>
      </w:r>
      <w:r w:rsidR="002C78F9">
        <w:t>C</w:t>
      </w:r>
      <w:r w:rsidRPr="008A00EB">
        <w:t>ertificates.</w:t>
      </w:r>
      <w:r w:rsidR="00197317">
        <w:t xml:space="preserve"> </w:t>
      </w:r>
    </w:p>
    <w:p w14:paraId="2D56CDEB" w14:textId="790B2200" w:rsidR="009B4337" w:rsidRPr="008A00EB" w:rsidRDefault="009B4337" w:rsidP="00DD5474">
      <w:r w:rsidRPr="008A00EB">
        <w:t xml:space="preserve">The format and content of the </w:t>
      </w:r>
      <w:r w:rsidR="00F849F0">
        <w:t>H</w:t>
      </w:r>
      <w:r w:rsidRPr="008A00EB">
        <w:t xml:space="preserve">uman </w:t>
      </w:r>
      <w:r w:rsidR="00F849F0">
        <w:t>R</w:t>
      </w:r>
      <w:r w:rsidRPr="008A00EB">
        <w:t xml:space="preserve">ights </w:t>
      </w:r>
      <w:r w:rsidR="00F849F0">
        <w:t>C</w:t>
      </w:r>
      <w:r w:rsidRPr="008A00EB">
        <w:t xml:space="preserve">ertificates is similar to that of the </w:t>
      </w:r>
      <w:r w:rsidR="00F849F0">
        <w:t>S</w:t>
      </w:r>
      <w:r w:rsidRPr="008A00EB">
        <w:t xml:space="preserve">tatements of </w:t>
      </w:r>
      <w:r w:rsidR="00F849F0">
        <w:t>C</w:t>
      </w:r>
      <w:r w:rsidRPr="008A00EB">
        <w:t>ompatibility</w:t>
      </w:r>
      <w:r w:rsidR="00EA79FF">
        <w:t>,</w:t>
      </w:r>
      <w:r w:rsidRPr="008A00EB">
        <w:t xml:space="preserve"> described above.</w:t>
      </w:r>
    </w:p>
    <w:p w14:paraId="76267826" w14:textId="4A60CEB3" w:rsidR="009B4337" w:rsidRPr="005C5B4A" w:rsidRDefault="009B4337" w:rsidP="00B04FF8">
      <w:pPr>
        <w:pStyle w:val="Heading2"/>
      </w:pPr>
      <w:bookmarkStart w:id="175" w:name="_Toc55482285"/>
      <w:bookmarkStart w:id="176" w:name="_Toc56451557"/>
      <w:bookmarkStart w:id="177" w:name="_Toc56452131"/>
      <w:bookmarkStart w:id="178" w:name="_Toc84593853"/>
      <w:bookmarkStart w:id="179" w:name="_Toc85451725"/>
      <w:bookmarkStart w:id="180" w:name="_Toc85526646"/>
      <w:bookmarkStart w:id="181" w:name="_Toc85787061"/>
      <w:r w:rsidRPr="005C5B4A">
        <w:lastRenderedPageBreak/>
        <w:t xml:space="preserve">Portfolio </w:t>
      </w:r>
      <w:r w:rsidR="002D41B9">
        <w:t>Committee</w:t>
      </w:r>
      <w:r w:rsidRPr="005C5B4A">
        <w:t>s</w:t>
      </w:r>
      <w:bookmarkEnd w:id="175"/>
      <w:bookmarkEnd w:id="176"/>
      <w:bookmarkEnd w:id="177"/>
      <w:bookmarkEnd w:id="178"/>
      <w:bookmarkEnd w:id="179"/>
      <w:bookmarkEnd w:id="180"/>
      <w:bookmarkEnd w:id="181"/>
    </w:p>
    <w:p w14:paraId="2CABB755" w14:textId="70C1177B" w:rsidR="009B4337" w:rsidRPr="008A00EB" w:rsidRDefault="006D538A" w:rsidP="15D97578">
      <w:pPr>
        <w:rPr>
          <w:lang w:val="en-US"/>
        </w:rPr>
      </w:pPr>
      <w:r>
        <w:rPr>
          <w:lang w:val="en-US"/>
        </w:rPr>
        <w:t>Parliament</w:t>
      </w:r>
      <w:r w:rsidR="009B4337" w:rsidRPr="15D97578">
        <w:rPr>
          <w:lang w:val="en-US"/>
        </w:rPr>
        <w:t xml:space="preserve">ary </w:t>
      </w:r>
      <w:r w:rsidR="002D41B9">
        <w:rPr>
          <w:lang w:val="en-US"/>
        </w:rPr>
        <w:t>Committee</w:t>
      </w:r>
      <w:r w:rsidR="009B4337" w:rsidRPr="15D97578">
        <w:rPr>
          <w:lang w:val="en-US"/>
        </w:rPr>
        <w:t xml:space="preserve">s play an important role in Queensland’s </w:t>
      </w:r>
      <w:r>
        <w:rPr>
          <w:lang w:val="en-US"/>
        </w:rPr>
        <w:t>Parliament</w:t>
      </w:r>
      <w:r w:rsidR="009B4337" w:rsidRPr="15D97578">
        <w:rPr>
          <w:lang w:val="en-US"/>
        </w:rPr>
        <w:t xml:space="preserve"> by monitoring or investigating issues and </w:t>
      </w:r>
      <w:proofErr w:type="spellStart"/>
      <w:r w:rsidR="009B4337" w:rsidRPr="15D97578">
        <w:rPr>
          <w:lang w:val="en-US"/>
        </w:rPr>
        <w:t>scrutinising</w:t>
      </w:r>
      <w:proofErr w:type="spellEnd"/>
      <w:r w:rsidR="009B4337" w:rsidRPr="15D97578">
        <w:rPr>
          <w:lang w:val="en-US"/>
        </w:rPr>
        <w:t xml:space="preserve"> proposed laws. </w:t>
      </w:r>
      <w:r w:rsidR="25119261" w:rsidRPr="15D97578">
        <w:rPr>
          <w:rFonts w:eastAsia="Arial" w:cs="Arial"/>
          <w:lang w:val="en-US"/>
        </w:rPr>
        <w:t xml:space="preserve">Compared to other </w:t>
      </w:r>
      <w:r>
        <w:rPr>
          <w:rFonts w:eastAsia="Arial" w:cs="Arial"/>
          <w:lang w:val="en-US"/>
        </w:rPr>
        <w:t>Parliament</w:t>
      </w:r>
      <w:r w:rsidR="25119261" w:rsidRPr="15D97578">
        <w:rPr>
          <w:rFonts w:eastAsia="Arial" w:cs="Arial"/>
          <w:lang w:val="en-US"/>
        </w:rPr>
        <w:t xml:space="preserve">s with human rights scrutiny functions, the Queensland </w:t>
      </w:r>
      <w:r>
        <w:rPr>
          <w:rFonts w:eastAsia="Arial" w:cs="Arial"/>
          <w:lang w:val="en-US"/>
        </w:rPr>
        <w:t>Parliament</w:t>
      </w:r>
      <w:r w:rsidR="25119261" w:rsidRPr="15D97578">
        <w:rPr>
          <w:rFonts w:eastAsia="Arial" w:cs="Arial"/>
          <w:lang w:val="en-US"/>
        </w:rPr>
        <w:t xml:space="preserve"> does not have a dedicated</w:t>
      </w:r>
      <w:r w:rsidR="004D566F">
        <w:rPr>
          <w:rFonts w:eastAsia="Arial" w:cs="Arial"/>
          <w:lang w:val="en-US"/>
        </w:rPr>
        <w:t xml:space="preserve"> scrutiny </w:t>
      </w:r>
      <w:r w:rsidR="002D41B9">
        <w:rPr>
          <w:rFonts w:eastAsia="Arial" w:cs="Arial"/>
          <w:lang w:val="en-US"/>
        </w:rPr>
        <w:t>Committee</w:t>
      </w:r>
      <w:r w:rsidR="25119261" w:rsidRPr="15D97578">
        <w:rPr>
          <w:rFonts w:eastAsia="Arial" w:cs="Arial"/>
          <w:lang w:val="en-US"/>
        </w:rPr>
        <w:t>. For example, in the ACT, Victoria, Commonwealth</w:t>
      </w:r>
      <w:r w:rsidR="00BC3EC3">
        <w:rPr>
          <w:rFonts w:eastAsia="Arial" w:cs="Arial"/>
          <w:lang w:val="en-US"/>
        </w:rPr>
        <w:t>,</w:t>
      </w:r>
      <w:r w:rsidR="25119261" w:rsidRPr="15D97578">
        <w:rPr>
          <w:rFonts w:eastAsia="Arial" w:cs="Arial"/>
          <w:lang w:val="en-US"/>
        </w:rPr>
        <w:t xml:space="preserve"> and United Kingdom </w:t>
      </w:r>
      <w:r w:rsidR="00BA2E89">
        <w:rPr>
          <w:rFonts w:eastAsia="Arial" w:cs="Arial"/>
          <w:lang w:val="en-US"/>
        </w:rPr>
        <w:t>p</w:t>
      </w:r>
      <w:r>
        <w:rPr>
          <w:rFonts w:eastAsia="Arial" w:cs="Arial"/>
          <w:lang w:val="en-US"/>
        </w:rPr>
        <w:t>arliament</w:t>
      </w:r>
      <w:r w:rsidR="25119261" w:rsidRPr="15D97578">
        <w:rPr>
          <w:rFonts w:eastAsia="Arial" w:cs="Arial"/>
          <w:lang w:val="en-US"/>
        </w:rPr>
        <w:t>s</w:t>
      </w:r>
      <w:r w:rsidR="00221373">
        <w:rPr>
          <w:rFonts w:eastAsia="Arial" w:cs="Arial"/>
          <w:lang w:val="en-US"/>
        </w:rPr>
        <w:t>,</w:t>
      </w:r>
      <w:r w:rsidR="25119261" w:rsidRPr="15D97578">
        <w:rPr>
          <w:rFonts w:eastAsia="Arial" w:cs="Arial"/>
          <w:lang w:val="en-US"/>
        </w:rPr>
        <w:t xml:space="preserve"> a dedicated </w:t>
      </w:r>
      <w:r w:rsidR="002D41B9">
        <w:rPr>
          <w:rFonts w:eastAsia="Arial" w:cs="Arial"/>
          <w:lang w:val="en-US"/>
        </w:rPr>
        <w:t>Committee</w:t>
      </w:r>
      <w:r w:rsidR="25119261" w:rsidRPr="15D97578">
        <w:rPr>
          <w:rFonts w:eastAsia="Arial" w:cs="Arial"/>
          <w:lang w:val="en-US"/>
        </w:rPr>
        <w:t xml:space="preserve"> is responsible </w:t>
      </w:r>
      <w:r w:rsidR="006414CF">
        <w:rPr>
          <w:rFonts w:eastAsia="Arial" w:cs="Arial"/>
          <w:lang w:val="en-US"/>
        </w:rPr>
        <w:t xml:space="preserve">for </w:t>
      </w:r>
      <w:proofErr w:type="spellStart"/>
      <w:r w:rsidR="004D566F" w:rsidRPr="004D566F">
        <w:rPr>
          <w:rFonts w:eastAsia="Arial" w:cs="Arial"/>
          <w:lang w:val="en-US"/>
        </w:rPr>
        <w:t>scrutinising</w:t>
      </w:r>
      <w:proofErr w:type="spellEnd"/>
      <w:r w:rsidR="004D566F" w:rsidRPr="004D566F">
        <w:rPr>
          <w:rFonts w:eastAsia="Arial" w:cs="Arial"/>
          <w:lang w:val="en-US"/>
        </w:rPr>
        <w:t xml:space="preserve"> all legislation against </w:t>
      </w:r>
      <w:r w:rsidR="007E134B">
        <w:rPr>
          <w:rFonts w:eastAsia="Arial" w:cs="Arial"/>
          <w:lang w:val="en-US"/>
        </w:rPr>
        <w:t>specific</w:t>
      </w:r>
      <w:r w:rsidR="004D566F" w:rsidRPr="004D566F">
        <w:rPr>
          <w:rFonts w:eastAsia="Arial" w:cs="Arial"/>
          <w:lang w:val="en-US"/>
        </w:rPr>
        <w:t xml:space="preserve"> human rights</w:t>
      </w:r>
      <w:r w:rsidR="25119261" w:rsidRPr="15D97578">
        <w:rPr>
          <w:rFonts w:eastAsia="Arial" w:cs="Arial"/>
          <w:lang w:val="en-US"/>
        </w:rPr>
        <w:t>.</w:t>
      </w:r>
    </w:p>
    <w:p w14:paraId="6A213FB2" w14:textId="680FCF1E" w:rsidR="009B4337" w:rsidRPr="008A00EB" w:rsidRDefault="25119261" w:rsidP="15D97578">
      <w:pPr>
        <w:rPr>
          <w:lang w:val="en-US"/>
        </w:rPr>
      </w:pPr>
      <w:r w:rsidRPr="15D97578">
        <w:rPr>
          <w:rFonts w:eastAsia="Arial" w:cs="Arial"/>
          <w:lang w:val="en-US"/>
        </w:rPr>
        <w:t xml:space="preserve">Instead in Queensland, similar to the model used in the New Zealand </w:t>
      </w:r>
      <w:r w:rsidR="006D538A">
        <w:rPr>
          <w:rFonts w:eastAsia="Arial" w:cs="Arial"/>
          <w:lang w:val="en-US"/>
        </w:rPr>
        <w:t>Parliament</w:t>
      </w:r>
      <w:r w:rsidRPr="15D97578">
        <w:rPr>
          <w:rFonts w:eastAsia="Arial" w:cs="Arial"/>
          <w:lang w:val="en-US"/>
        </w:rPr>
        <w:t>,</w:t>
      </w:r>
      <w:r w:rsidRPr="15D97578">
        <w:rPr>
          <w:lang w:val="en-US"/>
        </w:rPr>
        <w:t xml:space="preserve"> t</w:t>
      </w:r>
      <w:r w:rsidR="009B4337" w:rsidRPr="15D97578">
        <w:rPr>
          <w:lang w:val="en-US"/>
        </w:rPr>
        <w:t xml:space="preserve">here are 7 portfolio </w:t>
      </w:r>
      <w:r w:rsidR="002D41B9">
        <w:rPr>
          <w:lang w:val="en-US"/>
        </w:rPr>
        <w:t>Committee</w:t>
      </w:r>
      <w:r w:rsidR="009B4337" w:rsidRPr="15D97578">
        <w:rPr>
          <w:lang w:val="en-US"/>
        </w:rPr>
        <w:t xml:space="preserve">s made up of members of </w:t>
      </w:r>
      <w:r w:rsidR="00BA2E89">
        <w:rPr>
          <w:lang w:val="en-US"/>
        </w:rPr>
        <w:t>p</w:t>
      </w:r>
      <w:r w:rsidR="006D538A">
        <w:rPr>
          <w:lang w:val="en-US"/>
        </w:rPr>
        <w:t>arliament</w:t>
      </w:r>
      <w:r w:rsidR="009B4337" w:rsidRPr="15D97578">
        <w:rPr>
          <w:lang w:val="en-US"/>
        </w:rPr>
        <w:t xml:space="preserve">, and it is their job to enquire into proposed laws before they are debated by </w:t>
      </w:r>
      <w:r w:rsidR="00BA2E89">
        <w:rPr>
          <w:lang w:val="en-US"/>
        </w:rPr>
        <w:t>p</w:t>
      </w:r>
      <w:r w:rsidR="006D538A">
        <w:rPr>
          <w:lang w:val="en-US"/>
        </w:rPr>
        <w:t>arliament</w:t>
      </w:r>
      <w:r w:rsidR="009B4337" w:rsidRPr="15D97578">
        <w:rPr>
          <w:lang w:val="en-US"/>
        </w:rPr>
        <w:t xml:space="preserve">. Under the Act, the portfolio </w:t>
      </w:r>
      <w:r w:rsidR="002D41B9">
        <w:rPr>
          <w:lang w:val="en-US"/>
        </w:rPr>
        <w:t>Committee</w:t>
      </w:r>
      <w:r w:rsidR="009B4337" w:rsidRPr="15D97578">
        <w:rPr>
          <w:lang w:val="en-US"/>
        </w:rPr>
        <w:t xml:space="preserve"> responsible for examining a </w:t>
      </w:r>
      <w:r w:rsidR="009C5661">
        <w:rPr>
          <w:lang w:val="en-US"/>
        </w:rPr>
        <w:t>B</w:t>
      </w:r>
      <w:r w:rsidR="009B4337" w:rsidRPr="15D97578">
        <w:rPr>
          <w:lang w:val="en-US"/>
        </w:rPr>
        <w:t xml:space="preserve">ill must consider and report to the </w:t>
      </w:r>
      <w:r w:rsidR="00BA2E89">
        <w:rPr>
          <w:lang w:val="en-US"/>
        </w:rPr>
        <w:t>p</w:t>
      </w:r>
      <w:r w:rsidR="006D538A">
        <w:rPr>
          <w:lang w:val="en-US"/>
        </w:rPr>
        <w:t>arliament</w:t>
      </w:r>
      <w:r w:rsidR="009B4337" w:rsidRPr="15D97578">
        <w:rPr>
          <w:lang w:val="en-US"/>
        </w:rPr>
        <w:t xml:space="preserve"> about whether</w:t>
      </w:r>
      <w:r w:rsidR="00DA1BA9">
        <w:rPr>
          <w:lang w:val="en-US"/>
        </w:rPr>
        <w:t xml:space="preserve"> or not</w:t>
      </w:r>
      <w:r w:rsidR="009B4337" w:rsidRPr="15D97578">
        <w:rPr>
          <w:lang w:val="en-US"/>
        </w:rPr>
        <w:t xml:space="preserve"> the </w:t>
      </w:r>
      <w:r w:rsidR="009C5661">
        <w:rPr>
          <w:lang w:val="en-US"/>
        </w:rPr>
        <w:t>B</w:t>
      </w:r>
      <w:r w:rsidR="009B4337" w:rsidRPr="15D97578">
        <w:rPr>
          <w:lang w:val="en-US"/>
        </w:rPr>
        <w:t>ill is compatible with human rights</w:t>
      </w:r>
      <w:r w:rsidR="007414C6">
        <w:rPr>
          <w:lang w:val="en-US"/>
        </w:rPr>
        <w:t xml:space="preserve">. Further, in an important feature of the Queensland system, </w:t>
      </w:r>
      <w:r w:rsidR="002D41B9">
        <w:rPr>
          <w:lang w:val="en-US"/>
        </w:rPr>
        <w:t>Committee</w:t>
      </w:r>
      <w:r w:rsidR="00F85BFA">
        <w:rPr>
          <w:lang w:val="en-US"/>
        </w:rPr>
        <w:t>s must also</w:t>
      </w:r>
      <w:r w:rsidR="009B4337" w:rsidRPr="15D97578">
        <w:rPr>
          <w:lang w:val="en-US"/>
        </w:rPr>
        <w:t xml:space="preserve"> consider and report to the </w:t>
      </w:r>
      <w:r w:rsidR="00BA2E89">
        <w:rPr>
          <w:lang w:val="en-US"/>
        </w:rPr>
        <w:t>p</w:t>
      </w:r>
      <w:r w:rsidR="006D538A">
        <w:rPr>
          <w:lang w:val="en-US"/>
        </w:rPr>
        <w:t>arliament</w:t>
      </w:r>
      <w:r w:rsidR="009B4337" w:rsidRPr="15D97578">
        <w:rPr>
          <w:lang w:val="en-US"/>
        </w:rPr>
        <w:t xml:space="preserve"> about the </w:t>
      </w:r>
      <w:r w:rsidR="002D41B9">
        <w:rPr>
          <w:lang w:val="en-US"/>
        </w:rPr>
        <w:t>Statement of Compatibility</w:t>
      </w:r>
      <w:r w:rsidR="009B4337" w:rsidRPr="15D97578">
        <w:rPr>
          <w:lang w:val="en-US"/>
        </w:rPr>
        <w:t xml:space="preserve"> tabled for the </w:t>
      </w:r>
      <w:r w:rsidR="00F50D92">
        <w:rPr>
          <w:lang w:val="en-US"/>
        </w:rPr>
        <w:t>B</w:t>
      </w:r>
      <w:r w:rsidR="009B4337" w:rsidRPr="15D97578">
        <w:rPr>
          <w:lang w:val="en-US"/>
        </w:rPr>
        <w:t xml:space="preserve">ill. </w:t>
      </w:r>
    </w:p>
    <w:p w14:paraId="18957DA9" w14:textId="4928B74F" w:rsidR="009B4337" w:rsidRPr="008A00EB" w:rsidRDefault="009B4337" w:rsidP="00DD5474">
      <w:pPr>
        <w:rPr>
          <w:lang w:val="en-US"/>
        </w:rPr>
      </w:pPr>
      <w:r w:rsidRPr="008A00EB">
        <w:rPr>
          <w:lang w:val="en-US"/>
        </w:rPr>
        <w:t xml:space="preserve">An advantage of the Queensland </w:t>
      </w:r>
      <w:r w:rsidR="006D538A">
        <w:rPr>
          <w:lang w:val="en-US"/>
        </w:rPr>
        <w:t>Parliament</w:t>
      </w:r>
      <w:r w:rsidRPr="008A00EB">
        <w:rPr>
          <w:lang w:val="en-US"/>
        </w:rPr>
        <w:t xml:space="preserve">ary </w:t>
      </w:r>
      <w:r w:rsidR="00BA2E89">
        <w:rPr>
          <w:lang w:val="en-US"/>
        </w:rPr>
        <w:t>c</w:t>
      </w:r>
      <w:r w:rsidR="002D41B9">
        <w:rPr>
          <w:lang w:val="en-US"/>
        </w:rPr>
        <w:t>ommittee</w:t>
      </w:r>
      <w:r w:rsidRPr="008A00EB">
        <w:rPr>
          <w:lang w:val="en-US"/>
        </w:rPr>
        <w:t xml:space="preserve"> system is that </w:t>
      </w:r>
      <w:r w:rsidR="00BA2E89">
        <w:rPr>
          <w:lang w:val="en-US"/>
        </w:rPr>
        <w:t>c</w:t>
      </w:r>
      <w:r w:rsidR="002D41B9">
        <w:rPr>
          <w:lang w:val="en-US"/>
        </w:rPr>
        <w:t>ommittee</w:t>
      </w:r>
      <w:r w:rsidRPr="008A00EB">
        <w:rPr>
          <w:lang w:val="en-US"/>
        </w:rPr>
        <w:t xml:space="preserve">s generally invite submissions to aid in their consideration of a </w:t>
      </w:r>
      <w:r w:rsidR="00F50D92">
        <w:rPr>
          <w:lang w:val="en-US"/>
        </w:rPr>
        <w:t>B</w:t>
      </w:r>
      <w:r w:rsidRPr="008A00EB">
        <w:rPr>
          <w:lang w:val="en-US"/>
        </w:rPr>
        <w:t>ill</w:t>
      </w:r>
      <w:r w:rsidR="00F50D92">
        <w:rPr>
          <w:lang w:val="en-US"/>
        </w:rPr>
        <w:t>,</w:t>
      </w:r>
      <w:r w:rsidRPr="008A00EB">
        <w:rPr>
          <w:lang w:val="en-US"/>
        </w:rPr>
        <w:t xml:space="preserve"> and hold public hearings where evidence is heard. The </w:t>
      </w:r>
      <w:r w:rsidR="002D41B9">
        <w:rPr>
          <w:lang w:val="en-US"/>
        </w:rPr>
        <w:t>Committee</w:t>
      </w:r>
      <w:r w:rsidRPr="008A00EB">
        <w:rPr>
          <w:lang w:val="en-US"/>
        </w:rPr>
        <w:t xml:space="preserve">s then report to </w:t>
      </w:r>
      <w:r w:rsidR="00BA2E89">
        <w:rPr>
          <w:lang w:val="en-US"/>
        </w:rPr>
        <w:t>p</w:t>
      </w:r>
      <w:r w:rsidR="006D538A">
        <w:rPr>
          <w:lang w:val="en-US"/>
        </w:rPr>
        <w:t>arliament</w:t>
      </w:r>
      <w:r w:rsidRPr="008A00EB">
        <w:rPr>
          <w:lang w:val="en-US"/>
        </w:rPr>
        <w:t xml:space="preserve"> about the </w:t>
      </w:r>
      <w:r w:rsidR="00F50D92">
        <w:rPr>
          <w:lang w:val="en-US"/>
        </w:rPr>
        <w:t>B</w:t>
      </w:r>
      <w:r w:rsidRPr="008A00EB">
        <w:rPr>
          <w:lang w:val="en-US"/>
        </w:rPr>
        <w:t xml:space="preserve">ill and may make comments about the </w:t>
      </w:r>
      <w:r w:rsidR="002D41B9">
        <w:rPr>
          <w:lang w:val="en-US"/>
        </w:rPr>
        <w:t>Statement of Compatibility</w:t>
      </w:r>
      <w:r w:rsidRPr="008A00EB">
        <w:rPr>
          <w:lang w:val="en-US"/>
        </w:rPr>
        <w:t xml:space="preserve">. </w:t>
      </w:r>
    </w:p>
    <w:p w14:paraId="3A0288BF" w14:textId="7E67F9F7" w:rsidR="009B4337" w:rsidRPr="008A00EB" w:rsidRDefault="009B4337" w:rsidP="00DD5474">
      <w:r w:rsidRPr="15D97578">
        <w:rPr>
          <w:lang w:val="en-US"/>
        </w:rPr>
        <w:t xml:space="preserve">These </w:t>
      </w:r>
      <w:r w:rsidR="002D41B9">
        <w:rPr>
          <w:lang w:val="en-US"/>
        </w:rPr>
        <w:t>Committee</w:t>
      </w:r>
      <w:r w:rsidRPr="15D97578">
        <w:rPr>
          <w:lang w:val="en-US"/>
        </w:rPr>
        <w:t>s also consider subordinate legislation, such as regulations, including reporting on</w:t>
      </w:r>
      <w:r>
        <w:t xml:space="preserve"> any issues identified by the </w:t>
      </w:r>
      <w:r w:rsidR="002D41B9">
        <w:t>Committee</w:t>
      </w:r>
      <w:r>
        <w:t xml:space="preserve"> in its consideration of the </w:t>
      </w:r>
      <w:r w:rsidR="00F50D92">
        <w:t>H</w:t>
      </w:r>
      <w:r>
        <w:t xml:space="preserve">uman </w:t>
      </w:r>
      <w:r w:rsidR="00F50D92">
        <w:t>R</w:t>
      </w:r>
      <w:r>
        <w:t xml:space="preserve">ights </w:t>
      </w:r>
      <w:r w:rsidR="00F50D92">
        <w:t>C</w:t>
      </w:r>
      <w:r>
        <w:t xml:space="preserve">ertificates tabled with the subordinate legislation. </w:t>
      </w:r>
    </w:p>
    <w:p w14:paraId="42A3FBF4" w14:textId="5365F58C" w:rsidR="5B16AD55" w:rsidRDefault="5B16AD55">
      <w:pPr>
        <w:rPr>
          <w:rFonts w:eastAsia="Arial" w:cs="Arial"/>
        </w:rPr>
      </w:pPr>
      <w:r w:rsidRPr="15D97578">
        <w:rPr>
          <w:rFonts w:eastAsia="Arial" w:cs="Arial"/>
        </w:rPr>
        <w:t xml:space="preserve">These portfolio </w:t>
      </w:r>
      <w:r w:rsidR="002D41B9">
        <w:rPr>
          <w:rFonts w:eastAsia="Arial" w:cs="Arial"/>
        </w:rPr>
        <w:t>Committee</w:t>
      </w:r>
      <w:r w:rsidRPr="15D97578">
        <w:rPr>
          <w:rFonts w:eastAsia="Arial" w:cs="Arial"/>
        </w:rPr>
        <w:t xml:space="preserve">s may also have a broader remit than traditional technical scrutiny </w:t>
      </w:r>
      <w:r w:rsidR="002D41B9">
        <w:rPr>
          <w:rFonts w:eastAsia="Arial" w:cs="Arial"/>
        </w:rPr>
        <w:t>Committee</w:t>
      </w:r>
      <w:r w:rsidRPr="15D97578">
        <w:rPr>
          <w:rFonts w:eastAsia="Arial" w:cs="Arial"/>
        </w:rPr>
        <w:t xml:space="preserve">s in other </w:t>
      </w:r>
      <w:r w:rsidR="00F24293">
        <w:rPr>
          <w:rFonts w:eastAsia="Arial" w:cs="Arial"/>
        </w:rPr>
        <w:t>p</w:t>
      </w:r>
      <w:r w:rsidR="006D538A">
        <w:rPr>
          <w:rFonts w:eastAsia="Arial" w:cs="Arial"/>
        </w:rPr>
        <w:t>arliament</w:t>
      </w:r>
      <w:r w:rsidRPr="15D97578">
        <w:rPr>
          <w:rFonts w:eastAsia="Arial" w:cs="Arial"/>
        </w:rPr>
        <w:t>s. Under s</w:t>
      </w:r>
      <w:r w:rsidR="00EA79FF">
        <w:rPr>
          <w:rFonts w:eastAsia="Arial" w:cs="Arial"/>
        </w:rPr>
        <w:t>ection</w:t>
      </w:r>
      <w:r w:rsidRPr="15D97578">
        <w:rPr>
          <w:rFonts w:eastAsia="Arial" w:cs="Arial"/>
        </w:rPr>
        <w:t xml:space="preserve"> 93 of the </w:t>
      </w:r>
      <w:r w:rsidR="006D538A">
        <w:rPr>
          <w:rFonts w:eastAsia="Arial" w:cs="Arial"/>
          <w:i/>
          <w:iCs/>
        </w:rPr>
        <w:t>Parliament</w:t>
      </w:r>
      <w:r w:rsidRPr="15D97578">
        <w:rPr>
          <w:rFonts w:eastAsia="Arial" w:cs="Arial"/>
          <w:i/>
          <w:iCs/>
        </w:rPr>
        <w:t xml:space="preserve"> of Queensland Act 2001</w:t>
      </w:r>
      <w:r w:rsidR="00BD0B17">
        <w:rPr>
          <w:rFonts w:eastAsia="Arial" w:cs="Arial"/>
          <w:i/>
          <w:iCs/>
        </w:rPr>
        <w:t>,</w:t>
      </w:r>
      <w:r w:rsidRPr="15D97578">
        <w:rPr>
          <w:rFonts w:eastAsia="Arial" w:cs="Arial"/>
        </w:rPr>
        <w:t xml:space="preserve"> these </w:t>
      </w:r>
      <w:r w:rsidR="002D41B9">
        <w:rPr>
          <w:rFonts w:eastAsia="Arial" w:cs="Arial"/>
        </w:rPr>
        <w:t>Committee</w:t>
      </w:r>
      <w:r w:rsidRPr="15D97578">
        <w:rPr>
          <w:rFonts w:eastAsia="Arial" w:cs="Arial"/>
        </w:rPr>
        <w:t>s can consider several matters including ‘the policy to be given effect by the legislation’.</w:t>
      </w:r>
      <w:r w:rsidR="00197317">
        <w:rPr>
          <w:rFonts w:eastAsia="Arial" w:cs="Arial"/>
        </w:rPr>
        <w:t xml:space="preserve"> </w:t>
      </w:r>
    </w:p>
    <w:p w14:paraId="363A11CD" w14:textId="77777777" w:rsidR="0088119F" w:rsidRDefault="0088119F" w:rsidP="0088119F">
      <w:pPr>
        <w:pStyle w:val="Heading2"/>
      </w:pPr>
      <w:bookmarkStart w:id="182" w:name="_Toc84593854"/>
      <w:bookmarkStart w:id="183" w:name="_Toc85451726"/>
      <w:bookmarkStart w:id="184" w:name="_Toc85526647"/>
      <w:bookmarkStart w:id="185" w:name="_Toc85787062"/>
      <w:r>
        <w:lastRenderedPageBreak/>
        <w:t>Consultation with the Commission</w:t>
      </w:r>
      <w:bookmarkEnd w:id="182"/>
      <w:bookmarkEnd w:id="183"/>
      <w:bookmarkEnd w:id="184"/>
      <w:bookmarkEnd w:id="185"/>
    </w:p>
    <w:p w14:paraId="7DD07EDF" w14:textId="50CC3905" w:rsidR="0088119F" w:rsidRDefault="0088119F" w:rsidP="0088119F">
      <w:r>
        <w:t xml:space="preserve">The Commission is encouraged by the fact that some agencies continue to consult with the Commission about the human rights implications of proposed </w:t>
      </w:r>
      <w:r w:rsidR="00BD0B17">
        <w:t>B</w:t>
      </w:r>
      <w:r>
        <w:t xml:space="preserve">ills and subordinate legislation during the drafting stage. This consultative approach has been prompted, in part, by the requirement for a </w:t>
      </w:r>
      <w:r w:rsidR="002D41B9">
        <w:t>Statement of Compatibility</w:t>
      </w:r>
      <w:r>
        <w:t xml:space="preserve"> or </w:t>
      </w:r>
      <w:r w:rsidR="00BD0B17">
        <w:t>H</w:t>
      </w:r>
      <w:r>
        <w:t xml:space="preserve">uman </w:t>
      </w:r>
      <w:r w:rsidR="00BD0B17">
        <w:t>R</w:t>
      </w:r>
      <w:r>
        <w:t xml:space="preserve">ights </w:t>
      </w:r>
      <w:r w:rsidR="00BD0B17">
        <w:t>C</w:t>
      </w:r>
      <w:r>
        <w:t>ertificate. The Commission is available to discuss human rights implications at an early stage to ensure compliance with the Act is achieved through collaborative engagement.</w:t>
      </w:r>
    </w:p>
    <w:p w14:paraId="02545972" w14:textId="77777777" w:rsidR="00240FE1" w:rsidRDefault="00240FE1">
      <w:pPr>
        <w:spacing w:line="259" w:lineRule="auto"/>
        <w:ind w:right="0"/>
        <w:rPr>
          <w:rFonts w:eastAsia="Times New Roman" w:cs="Times New Roman"/>
          <w:bCs/>
          <w:color w:val="337B9E"/>
          <w:kern w:val="36"/>
          <w:sz w:val="48"/>
          <w:szCs w:val="48"/>
          <w:lang w:eastAsia="en-AU"/>
        </w:rPr>
      </w:pPr>
      <w:bookmarkStart w:id="186" w:name="_Toc84593868"/>
      <w:bookmarkStart w:id="187" w:name="_Toc85451727"/>
      <w:bookmarkStart w:id="188" w:name="_Toc85526648"/>
      <w:bookmarkStart w:id="189" w:name="_Toc85787063"/>
      <w:r>
        <w:rPr>
          <w:color w:val="337B9E"/>
        </w:rPr>
        <w:br w:type="page"/>
      </w:r>
    </w:p>
    <w:p w14:paraId="11AD55EE" w14:textId="4C12A518" w:rsidR="5B16AD55" w:rsidRPr="00677A56" w:rsidRDefault="5B16AD55" w:rsidP="008F7487">
      <w:pPr>
        <w:pStyle w:val="Heading1"/>
        <w:rPr>
          <w:color w:val="337B9E"/>
        </w:rPr>
      </w:pPr>
      <w:r w:rsidRPr="00677A56">
        <w:rPr>
          <w:color w:val="337B9E"/>
        </w:rPr>
        <w:lastRenderedPageBreak/>
        <w:t xml:space="preserve">Assessing </w:t>
      </w:r>
      <w:r w:rsidR="00BA2E89">
        <w:rPr>
          <w:color w:val="337B9E"/>
        </w:rPr>
        <w:t>p</w:t>
      </w:r>
      <w:r w:rsidR="006D538A" w:rsidRPr="00677A56">
        <w:rPr>
          <w:color w:val="337B9E"/>
        </w:rPr>
        <w:t>arliament</w:t>
      </w:r>
      <w:r w:rsidRPr="00677A56">
        <w:rPr>
          <w:color w:val="337B9E"/>
        </w:rPr>
        <w:t>'s role in promoting a human rights culture</w:t>
      </w:r>
      <w:bookmarkEnd w:id="186"/>
      <w:bookmarkEnd w:id="187"/>
      <w:bookmarkEnd w:id="188"/>
      <w:bookmarkEnd w:id="189"/>
    </w:p>
    <w:p w14:paraId="2881B156" w14:textId="69133CED" w:rsidR="5B16AD55" w:rsidRDefault="5B16AD55">
      <w:r w:rsidRPr="15D97578">
        <w:rPr>
          <w:rFonts w:eastAsia="Arial" w:cs="Arial"/>
        </w:rPr>
        <w:t xml:space="preserve">As the Commission observed in </w:t>
      </w:r>
      <w:r w:rsidR="006645CC" w:rsidRPr="003E395B">
        <w:rPr>
          <w:rFonts w:eastAsia="Arial" w:cs="Arial"/>
        </w:rPr>
        <w:t xml:space="preserve">last year’s report on the </w:t>
      </w:r>
      <w:r w:rsidR="006645CC" w:rsidRPr="003E395B">
        <w:rPr>
          <w:rFonts w:eastAsia="Arial" w:cs="Arial"/>
          <w:i/>
        </w:rPr>
        <w:t>Human Rights Act 2019</w:t>
      </w:r>
      <w:r w:rsidRPr="15D97578">
        <w:rPr>
          <w:rFonts w:eastAsia="Arial" w:cs="Arial"/>
        </w:rPr>
        <w:t xml:space="preserve">, a ‘culture’ of human rights signifies more than mere compliance with the Act. </w:t>
      </w:r>
    </w:p>
    <w:p w14:paraId="0DD55676" w14:textId="4D038925" w:rsidR="5B16AD55" w:rsidRDefault="5B16AD55">
      <w:r w:rsidRPr="15D97578">
        <w:rPr>
          <w:rFonts w:eastAsia="Arial" w:cs="Arial"/>
        </w:rPr>
        <w:t xml:space="preserve">The dialogue model, which prioritises discussion, awareness-raising, and education over an enforcement and compliance model, supports this goal of building gradually towards a human rights culture. </w:t>
      </w:r>
      <w:r w:rsidR="006D538A">
        <w:rPr>
          <w:rFonts w:eastAsia="Arial" w:cs="Arial"/>
        </w:rPr>
        <w:t>Parliament</w:t>
      </w:r>
      <w:r w:rsidRPr="15D97578">
        <w:rPr>
          <w:rFonts w:eastAsia="Arial" w:cs="Arial"/>
        </w:rPr>
        <w:t xml:space="preserve"> has a key role to play in this process. </w:t>
      </w:r>
    </w:p>
    <w:p w14:paraId="0FA29E08" w14:textId="61A808FB" w:rsidR="5B16AD55" w:rsidRDefault="5B16AD55">
      <w:r w:rsidRPr="006B2929">
        <w:rPr>
          <w:rFonts w:eastAsia="Arial" w:cs="Arial"/>
        </w:rPr>
        <w:t xml:space="preserve">The Explanatory Notes to the </w:t>
      </w:r>
      <w:r w:rsidR="007534D7" w:rsidRPr="006B2929">
        <w:rPr>
          <w:rFonts w:eastAsia="Arial" w:cs="Arial"/>
        </w:rPr>
        <w:t>Human Rights</w:t>
      </w:r>
      <w:r w:rsidRPr="006B2929">
        <w:rPr>
          <w:rFonts w:eastAsia="Arial" w:cs="Arial"/>
        </w:rPr>
        <w:t xml:space="preserve"> Bill 2018 </w:t>
      </w:r>
      <w:r w:rsidR="00377A67">
        <w:rPr>
          <w:rFonts w:eastAsia="Arial" w:cs="Arial"/>
        </w:rPr>
        <w:t>state</w:t>
      </w:r>
      <w:r w:rsidR="00377A67" w:rsidRPr="15D97578">
        <w:rPr>
          <w:rFonts w:eastAsia="Arial" w:cs="Arial"/>
        </w:rPr>
        <w:t xml:space="preserve"> </w:t>
      </w:r>
      <w:r w:rsidRPr="15D97578">
        <w:rPr>
          <w:rFonts w:eastAsia="Arial" w:cs="Arial"/>
        </w:rPr>
        <w:t xml:space="preserve">that </w:t>
      </w:r>
      <w:r w:rsidR="006D538A">
        <w:rPr>
          <w:rFonts w:eastAsia="Arial" w:cs="Arial"/>
        </w:rPr>
        <w:t>Parliament</w:t>
      </w:r>
      <w:r w:rsidRPr="15D97578">
        <w:rPr>
          <w:rFonts w:eastAsia="Arial" w:cs="Arial"/>
        </w:rPr>
        <w:t xml:space="preserve"> and </w:t>
      </w:r>
      <w:r w:rsidR="006D538A">
        <w:rPr>
          <w:rFonts w:eastAsia="Arial" w:cs="Arial"/>
        </w:rPr>
        <w:t>Parliament</w:t>
      </w:r>
      <w:r w:rsidRPr="15D97578">
        <w:rPr>
          <w:rFonts w:eastAsia="Arial" w:cs="Arial"/>
        </w:rPr>
        <w:t xml:space="preserve">ary </w:t>
      </w:r>
      <w:r w:rsidR="002D41B9">
        <w:rPr>
          <w:rFonts w:eastAsia="Arial" w:cs="Arial"/>
        </w:rPr>
        <w:t>Committee</w:t>
      </w:r>
      <w:r w:rsidRPr="15D97578">
        <w:rPr>
          <w:rFonts w:eastAsia="Arial" w:cs="Arial"/>
        </w:rPr>
        <w:t xml:space="preserve">s </w:t>
      </w:r>
      <w:r w:rsidR="00603D53">
        <w:rPr>
          <w:rFonts w:eastAsia="Arial" w:cs="Arial"/>
        </w:rPr>
        <w:t>play an important role in</w:t>
      </w:r>
      <w:r w:rsidRPr="15D97578">
        <w:rPr>
          <w:rFonts w:eastAsia="Arial" w:cs="Arial"/>
        </w:rPr>
        <w:t xml:space="preserve"> to facilitat</w:t>
      </w:r>
      <w:r w:rsidR="00603D53">
        <w:rPr>
          <w:rFonts w:eastAsia="Arial" w:cs="Arial"/>
        </w:rPr>
        <w:t>ing</w:t>
      </w:r>
      <w:r w:rsidRPr="15D97578">
        <w:rPr>
          <w:rFonts w:eastAsia="Arial" w:cs="Arial"/>
        </w:rPr>
        <w:t xml:space="preserve"> broader public debate about proposed laws</w:t>
      </w:r>
      <w:r w:rsidR="0002564A">
        <w:rPr>
          <w:rFonts w:eastAsia="Arial" w:cs="Arial"/>
        </w:rPr>
        <w:t>,</w:t>
      </w:r>
      <w:r w:rsidRPr="15D97578">
        <w:rPr>
          <w:rFonts w:eastAsia="Arial" w:cs="Arial"/>
        </w:rPr>
        <w:t xml:space="preserve"> and</w:t>
      </w:r>
      <w:r w:rsidR="00197317">
        <w:rPr>
          <w:rFonts w:eastAsia="Arial" w:cs="Arial"/>
        </w:rPr>
        <w:t xml:space="preserve"> </w:t>
      </w:r>
      <w:r w:rsidR="001E2086">
        <w:rPr>
          <w:rFonts w:eastAsia="Arial" w:cs="Arial"/>
        </w:rPr>
        <w:t>that</w:t>
      </w:r>
      <w:r w:rsidRPr="15D97578">
        <w:rPr>
          <w:rFonts w:eastAsia="Arial" w:cs="Arial"/>
        </w:rPr>
        <w:t xml:space="preserve"> </w:t>
      </w:r>
      <w:r w:rsidR="002D41B9">
        <w:rPr>
          <w:rFonts w:eastAsia="Arial" w:cs="Arial"/>
        </w:rPr>
        <w:t>Committee</w:t>
      </w:r>
      <w:r w:rsidRPr="15D97578">
        <w:rPr>
          <w:rFonts w:eastAsia="Arial" w:cs="Arial"/>
        </w:rPr>
        <w:t>s</w:t>
      </w:r>
      <w:r w:rsidR="00197317">
        <w:rPr>
          <w:rFonts w:eastAsia="Arial" w:cs="Arial"/>
        </w:rPr>
        <w:t xml:space="preserve"> </w:t>
      </w:r>
      <w:r w:rsidR="002070F7">
        <w:rPr>
          <w:rFonts w:eastAsia="Arial" w:cs="Arial"/>
        </w:rPr>
        <w:t>can</w:t>
      </w:r>
      <w:r w:rsidRPr="15D97578">
        <w:rPr>
          <w:rFonts w:eastAsia="Arial" w:cs="Arial"/>
        </w:rPr>
        <w:t xml:space="preserve"> assist </w:t>
      </w:r>
      <w:r w:rsidR="00BA2E89">
        <w:rPr>
          <w:rFonts w:eastAsia="Arial" w:cs="Arial"/>
        </w:rPr>
        <w:t>p</w:t>
      </w:r>
      <w:r w:rsidR="006D538A">
        <w:rPr>
          <w:rFonts w:eastAsia="Arial" w:cs="Arial"/>
        </w:rPr>
        <w:t>arliament</w:t>
      </w:r>
      <w:r w:rsidRPr="15D97578">
        <w:rPr>
          <w:rFonts w:eastAsia="Arial" w:cs="Arial"/>
        </w:rPr>
        <w:t xml:space="preserve"> in assessing the human rights implications of new laws.</w:t>
      </w:r>
      <w:r w:rsidR="00D024BE">
        <w:rPr>
          <w:rStyle w:val="FootnoteReference"/>
          <w:rFonts w:eastAsia="Arial" w:cs="Arial"/>
        </w:rPr>
        <w:footnoteReference w:id="14"/>
      </w:r>
      <w:r w:rsidRPr="15D97578">
        <w:rPr>
          <w:rFonts w:eastAsia="Arial" w:cs="Arial"/>
        </w:rPr>
        <w:t xml:space="preserve"> This includes providing effective scrutiny independent from the government and </w:t>
      </w:r>
      <w:r w:rsidR="006645CC">
        <w:rPr>
          <w:rFonts w:eastAsia="Arial" w:cs="Arial"/>
        </w:rPr>
        <w:t xml:space="preserve">to </w:t>
      </w:r>
      <w:r w:rsidRPr="15D97578">
        <w:rPr>
          <w:rFonts w:eastAsia="Arial" w:cs="Arial"/>
        </w:rPr>
        <w:t xml:space="preserve">allow for public participation in human rights dialogue and debate. </w:t>
      </w:r>
    </w:p>
    <w:p w14:paraId="6B5BBB67" w14:textId="0A081EFE" w:rsidR="5B16AD55" w:rsidRDefault="006645CC">
      <w:r>
        <w:rPr>
          <w:rFonts w:eastAsia="Arial" w:cs="Arial"/>
        </w:rPr>
        <w:t>With respect to the progress of human rights culture in the public service, t</w:t>
      </w:r>
      <w:r w:rsidR="5B16AD55" w:rsidRPr="15D97578">
        <w:rPr>
          <w:rFonts w:eastAsia="Arial" w:cs="Arial"/>
        </w:rPr>
        <w:t xml:space="preserve">he Commission has adopted the cascading culture change model, where human rights culture starts with legislation and flows down through </w:t>
      </w:r>
      <w:r w:rsidR="5B16AD55" w:rsidRPr="001B0CC9">
        <w:rPr>
          <w:rFonts w:eastAsia="Arial" w:cs="Arial"/>
        </w:rPr>
        <w:t>regulations, policies, procedures and services through to the individual</w:t>
      </w:r>
      <w:r w:rsidRPr="001B0CC9">
        <w:rPr>
          <w:rFonts w:eastAsia="Arial" w:cs="Arial"/>
        </w:rPr>
        <w:t xml:space="preserve"> (see page </w:t>
      </w:r>
      <w:r w:rsidR="001B0CC9" w:rsidRPr="001B0CC9">
        <w:rPr>
          <w:rFonts w:eastAsia="Arial" w:cs="Arial"/>
        </w:rPr>
        <w:t>75</w:t>
      </w:r>
      <w:r w:rsidRPr="001B0CC9">
        <w:rPr>
          <w:rFonts w:eastAsia="Arial" w:cs="Arial"/>
        </w:rPr>
        <w:t>)</w:t>
      </w:r>
      <w:r w:rsidR="5B16AD55" w:rsidRPr="001B0CC9">
        <w:rPr>
          <w:rFonts w:eastAsia="Arial" w:cs="Arial"/>
        </w:rPr>
        <w:t>. This</w:t>
      </w:r>
      <w:r w:rsidR="5B16AD55" w:rsidRPr="15D97578">
        <w:rPr>
          <w:rFonts w:eastAsia="Arial" w:cs="Arial"/>
        </w:rPr>
        <w:t xml:space="preserve"> emphasises that unless the legislation and regulations are human rights compatible, there will be limited benefit in changing policies and procedures.</w:t>
      </w:r>
    </w:p>
    <w:p w14:paraId="7658E444" w14:textId="1BF7CF81" w:rsidR="5B16AD55" w:rsidRDefault="006E0D1C">
      <w:r>
        <w:t>With this in mind, t</w:t>
      </w:r>
      <w:r w:rsidR="5B16AD55" w:rsidRPr="15D97578">
        <w:t xml:space="preserve">he Commission has developed </w:t>
      </w:r>
      <w:r w:rsidR="006645CC">
        <w:t>a further set of</w:t>
      </w:r>
      <w:r w:rsidR="006645CC" w:rsidRPr="15D97578">
        <w:t xml:space="preserve"> </w:t>
      </w:r>
      <w:r w:rsidR="5B16AD55" w:rsidRPr="15D97578">
        <w:t xml:space="preserve">indicators to </w:t>
      </w:r>
      <w:r w:rsidR="00BC2FBD">
        <w:t>discuss</w:t>
      </w:r>
      <w:r w:rsidR="00BC2FBD" w:rsidRPr="15D97578">
        <w:t xml:space="preserve"> </w:t>
      </w:r>
      <w:r w:rsidR="5B16AD55" w:rsidRPr="15D97578">
        <w:t xml:space="preserve">how a human rights culture is developing within </w:t>
      </w:r>
      <w:r w:rsidR="00934073">
        <w:t xml:space="preserve">the </w:t>
      </w:r>
      <w:r w:rsidR="009810C7">
        <w:t>p</w:t>
      </w:r>
      <w:r w:rsidR="006D538A">
        <w:t>arliament</w:t>
      </w:r>
      <w:r w:rsidR="5B16AD55" w:rsidRPr="15D97578">
        <w:t xml:space="preserve">. These indicators are based on the experiences of other human rights jurisdictions and the specific role portfolio </w:t>
      </w:r>
      <w:r w:rsidR="002D41B9">
        <w:t>Committee</w:t>
      </w:r>
      <w:r w:rsidR="5B16AD55" w:rsidRPr="15D97578">
        <w:t xml:space="preserve">s play in Queensland’s unicameral </w:t>
      </w:r>
      <w:r w:rsidR="009810C7">
        <w:t>p</w:t>
      </w:r>
      <w:r w:rsidR="006D538A">
        <w:t>arliament</w:t>
      </w:r>
      <w:r w:rsidR="5B16AD55" w:rsidRPr="15D97578">
        <w:t xml:space="preserve">. </w:t>
      </w:r>
    </w:p>
    <w:p w14:paraId="3D0F14DC" w14:textId="5C396CC0" w:rsidR="5B16AD55" w:rsidRDefault="006C1AD6">
      <w:r>
        <w:rPr>
          <w:rFonts w:eastAsia="Arial" w:cs="Arial"/>
          <w:lang w:val="en-US"/>
        </w:rPr>
        <w:lastRenderedPageBreak/>
        <w:t xml:space="preserve">The </w:t>
      </w:r>
      <w:r w:rsidRPr="006C1AD6">
        <w:rPr>
          <w:rFonts w:eastAsia="Arial" w:cs="Arial"/>
          <w:lang w:val="en-US"/>
        </w:rPr>
        <w:t xml:space="preserve">Queensland </w:t>
      </w:r>
      <w:r w:rsidR="006D538A">
        <w:rPr>
          <w:rFonts w:eastAsia="Arial" w:cs="Arial"/>
          <w:lang w:val="en-US"/>
        </w:rPr>
        <w:t>Parliament</w:t>
      </w:r>
      <w:r w:rsidRPr="006C1AD6">
        <w:rPr>
          <w:rFonts w:eastAsia="Arial" w:cs="Arial"/>
          <w:lang w:val="en-US"/>
        </w:rPr>
        <w:t xml:space="preserve"> is uniquely placed </w:t>
      </w:r>
      <w:r w:rsidR="5B16AD55" w:rsidRPr="15D97578">
        <w:rPr>
          <w:rFonts w:eastAsia="Arial" w:cs="Arial"/>
          <w:lang w:val="en-US"/>
        </w:rPr>
        <w:t>to assess the human rights implications of proposed legislation.</w:t>
      </w:r>
      <w:r w:rsidR="5B16AD55" w:rsidRPr="004900E3">
        <w:rPr>
          <w:rFonts w:eastAsia="Arial" w:cs="Arial"/>
          <w:lang w:val="en-US"/>
        </w:rPr>
        <w:t xml:space="preserve"> </w:t>
      </w:r>
      <w:r w:rsidR="00BD5B8A">
        <w:rPr>
          <w:rFonts w:eastAsia="Arial" w:cs="Arial"/>
          <w:lang w:val="en-US"/>
        </w:rPr>
        <w:t>It is a</w:t>
      </w:r>
      <w:r w:rsidR="005C01A2">
        <w:rPr>
          <w:rFonts w:eastAsia="Arial" w:cs="Arial"/>
          <w:lang w:val="en-US"/>
        </w:rPr>
        <w:t xml:space="preserve"> </w:t>
      </w:r>
      <w:r w:rsidR="005C01A2" w:rsidRPr="005C01A2">
        <w:rPr>
          <w:rFonts w:eastAsia="Arial" w:cs="Arial"/>
          <w:lang w:val="en-US"/>
        </w:rPr>
        <w:t>democratic body</w:t>
      </w:r>
      <w:r w:rsidR="00BD5B8A">
        <w:rPr>
          <w:rFonts w:eastAsia="Arial" w:cs="Arial"/>
          <w:lang w:val="en-US"/>
        </w:rPr>
        <w:t>, representing</w:t>
      </w:r>
      <w:r w:rsidR="005C01A2">
        <w:rPr>
          <w:rFonts w:eastAsia="Arial" w:cs="Arial"/>
          <w:lang w:val="en-US"/>
        </w:rPr>
        <w:t xml:space="preserve"> the Queensland community,</w:t>
      </w:r>
      <w:r w:rsidR="005C01A2" w:rsidRPr="005C01A2">
        <w:rPr>
          <w:rFonts w:eastAsia="Arial" w:cs="Arial"/>
          <w:lang w:val="en-US"/>
        </w:rPr>
        <w:t xml:space="preserve"> with the power to call on expert evidence and advice</w:t>
      </w:r>
      <w:r w:rsidR="005C01A2">
        <w:rPr>
          <w:rFonts w:eastAsia="Arial" w:cs="Arial"/>
          <w:lang w:val="en-US"/>
        </w:rPr>
        <w:t>.</w:t>
      </w:r>
      <w:r w:rsidR="005C01A2" w:rsidRPr="005C01A2">
        <w:rPr>
          <w:rFonts w:eastAsia="Arial" w:cs="Arial"/>
          <w:lang w:val="en-US"/>
        </w:rPr>
        <w:t xml:space="preserve"> </w:t>
      </w:r>
      <w:r w:rsidR="5B16AD55" w:rsidRPr="004900E3">
        <w:rPr>
          <w:rFonts w:eastAsia="Arial" w:cs="Arial"/>
          <w:lang w:val="en-US"/>
        </w:rPr>
        <w:t xml:space="preserve">Nonetheless, </w:t>
      </w:r>
      <w:r w:rsidR="5B16AD55" w:rsidRPr="15D97578">
        <w:rPr>
          <w:rFonts w:eastAsia="Arial" w:cs="Arial"/>
          <w:lang w:val="en-US"/>
        </w:rPr>
        <w:t xml:space="preserve">assessing the efficacy of </w:t>
      </w:r>
      <w:r w:rsidR="00464190">
        <w:rPr>
          <w:rFonts w:eastAsia="Arial" w:cs="Arial"/>
          <w:lang w:val="en-US"/>
        </w:rPr>
        <w:t>p</w:t>
      </w:r>
      <w:r w:rsidR="006D538A">
        <w:rPr>
          <w:rFonts w:eastAsia="Arial" w:cs="Arial"/>
          <w:lang w:val="en-US"/>
        </w:rPr>
        <w:t>arliament</w:t>
      </w:r>
      <w:r w:rsidR="5B16AD55" w:rsidRPr="15D97578">
        <w:rPr>
          <w:rFonts w:eastAsia="Arial" w:cs="Arial"/>
          <w:lang w:val="en-US"/>
        </w:rPr>
        <w:t>ary human rights scrutiny is not necessarily a straightforward exercise.</w:t>
      </w:r>
      <w:r w:rsidR="5B16AD55" w:rsidRPr="15D97578">
        <w:rPr>
          <w:rFonts w:eastAsia="Arial" w:cs="Arial"/>
        </w:rPr>
        <w:t xml:space="preserve"> </w:t>
      </w:r>
      <w:r w:rsidR="5B16AD55" w:rsidRPr="15D97578">
        <w:rPr>
          <w:rFonts w:eastAsia="Arial" w:cs="Arial"/>
          <w:lang w:val="en-US"/>
        </w:rPr>
        <w:t xml:space="preserve">It involves complex weighing of different public interests and the impact on society of a proposed law. Perhaps reflecting this, unlike for </w:t>
      </w:r>
      <w:r w:rsidR="006645CC">
        <w:rPr>
          <w:rFonts w:eastAsia="Arial" w:cs="Arial"/>
          <w:lang w:val="en-US"/>
        </w:rPr>
        <w:t>public entities</w:t>
      </w:r>
      <w:r w:rsidR="5B16AD55" w:rsidRPr="15D97578">
        <w:rPr>
          <w:rFonts w:eastAsia="Arial" w:cs="Arial"/>
          <w:lang w:val="en-US"/>
        </w:rPr>
        <w:t xml:space="preserve"> involved in the dialogue model of human rights protection, there are no internationally agreed principles about </w:t>
      </w:r>
      <w:r w:rsidR="00464190">
        <w:rPr>
          <w:rFonts w:eastAsia="Arial" w:cs="Arial"/>
          <w:lang w:val="en-US"/>
        </w:rPr>
        <w:t>p</w:t>
      </w:r>
      <w:r w:rsidR="006D538A">
        <w:rPr>
          <w:rFonts w:eastAsia="Arial" w:cs="Arial"/>
          <w:lang w:val="en-US"/>
        </w:rPr>
        <w:t>arliament</w:t>
      </w:r>
      <w:r w:rsidR="5B16AD55" w:rsidRPr="15D97578">
        <w:rPr>
          <w:rFonts w:eastAsia="Arial" w:cs="Arial"/>
          <w:lang w:val="en-US"/>
        </w:rPr>
        <w:t>’s role.</w:t>
      </w:r>
      <w:r w:rsidR="00166865" w:rsidRPr="00166865">
        <w:rPr>
          <w:rFonts w:eastAsia="Arial" w:cs="Arial"/>
          <w:vertAlign w:val="superscript"/>
          <w:lang w:val="en-US"/>
        </w:rPr>
        <w:footnoteReference w:id="15"/>
      </w:r>
      <w:r w:rsidR="5B16AD55" w:rsidRPr="15D97578">
        <w:rPr>
          <w:rFonts w:eastAsia="Arial" w:cs="Arial"/>
          <w:lang w:val="en-US"/>
        </w:rPr>
        <w:t xml:space="preserve"> </w:t>
      </w:r>
    </w:p>
    <w:p w14:paraId="18255023" w14:textId="7A648160" w:rsidR="5B16AD55" w:rsidRDefault="00E47A63">
      <w:pPr>
        <w:rPr>
          <w:rFonts w:eastAsia="Arial" w:cs="Arial"/>
        </w:rPr>
      </w:pPr>
      <w:r>
        <w:rPr>
          <w:rFonts w:eastAsia="Arial" w:cs="Arial"/>
        </w:rPr>
        <w:t>S</w:t>
      </w:r>
      <w:r w:rsidR="5B16AD55" w:rsidRPr="15D97578" w:rsidDel="001E2A8B">
        <w:rPr>
          <w:rFonts w:eastAsia="Arial" w:cs="Arial"/>
        </w:rPr>
        <w:t xml:space="preserve">imilar </w:t>
      </w:r>
      <w:r>
        <w:rPr>
          <w:rFonts w:eastAsia="Arial" w:cs="Arial"/>
        </w:rPr>
        <w:t xml:space="preserve">examinations </w:t>
      </w:r>
      <w:r w:rsidR="5E985D8F">
        <w:rPr>
          <w:rFonts w:eastAsia="Arial" w:cs="Arial"/>
        </w:rPr>
        <w:t>ha</w:t>
      </w:r>
      <w:r>
        <w:rPr>
          <w:rFonts w:eastAsia="Arial" w:cs="Arial"/>
        </w:rPr>
        <w:t>ve</w:t>
      </w:r>
      <w:r w:rsidR="5E985D8F">
        <w:rPr>
          <w:rFonts w:eastAsia="Arial" w:cs="Arial"/>
        </w:rPr>
        <w:t xml:space="preserve"> taken place</w:t>
      </w:r>
      <w:r>
        <w:rPr>
          <w:rFonts w:eastAsia="Arial" w:cs="Arial"/>
        </w:rPr>
        <w:t xml:space="preserve"> in other</w:t>
      </w:r>
      <w:r w:rsidR="5B16AD55" w:rsidRPr="15D97578">
        <w:rPr>
          <w:rFonts w:eastAsia="Arial" w:cs="Arial"/>
        </w:rPr>
        <w:t xml:space="preserve"> jurisdictions, </w:t>
      </w:r>
      <w:r>
        <w:rPr>
          <w:rFonts w:eastAsia="Arial" w:cs="Arial"/>
        </w:rPr>
        <w:t>including</w:t>
      </w:r>
      <w:r w:rsidR="000A3206">
        <w:rPr>
          <w:rFonts w:eastAsia="Arial" w:cs="Arial"/>
        </w:rPr>
        <w:t xml:space="preserve"> </w:t>
      </w:r>
      <w:r w:rsidR="007227E2">
        <w:rPr>
          <w:rFonts w:eastAsia="Arial" w:cs="Arial"/>
        </w:rPr>
        <w:t>discussion of the role of</w:t>
      </w:r>
      <w:r w:rsidR="00487C3D">
        <w:rPr>
          <w:rFonts w:eastAsia="Arial" w:cs="Arial"/>
        </w:rPr>
        <w:t xml:space="preserve"> </w:t>
      </w:r>
      <w:r w:rsidR="00464190">
        <w:rPr>
          <w:rFonts w:eastAsia="Arial" w:cs="Arial"/>
        </w:rPr>
        <w:t>p</w:t>
      </w:r>
      <w:r w:rsidR="006D538A">
        <w:rPr>
          <w:rFonts w:eastAsia="Arial" w:cs="Arial"/>
        </w:rPr>
        <w:t>arliament</w:t>
      </w:r>
      <w:r w:rsidR="00487C3D">
        <w:rPr>
          <w:rFonts w:eastAsia="Arial" w:cs="Arial"/>
        </w:rPr>
        <w:t>ary scrutiny introduced by the</w:t>
      </w:r>
      <w:r w:rsidR="00DE493E">
        <w:rPr>
          <w:rFonts w:eastAsia="Arial" w:cs="Arial"/>
        </w:rPr>
        <w:t xml:space="preserve"> </w:t>
      </w:r>
      <w:r w:rsidR="00487C3D">
        <w:rPr>
          <w:rFonts w:eastAsia="Arial" w:cs="Arial"/>
          <w:i/>
          <w:iCs/>
        </w:rPr>
        <w:t xml:space="preserve">Human Rights Act 2004 </w:t>
      </w:r>
      <w:r w:rsidR="00487C3D">
        <w:rPr>
          <w:rFonts w:eastAsia="Arial" w:cs="Arial"/>
        </w:rPr>
        <w:t>(ACT)</w:t>
      </w:r>
      <w:r w:rsidR="00DE493E">
        <w:rPr>
          <w:rFonts w:eastAsia="Arial" w:cs="Arial"/>
        </w:rPr>
        <w:t>,</w:t>
      </w:r>
      <w:r w:rsidR="00D1174C">
        <w:rPr>
          <w:rStyle w:val="FootnoteReference"/>
          <w:rFonts w:eastAsia="Arial" w:cs="Arial"/>
        </w:rPr>
        <w:footnoteReference w:id="16"/>
      </w:r>
      <w:r w:rsidR="00487C3D">
        <w:rPr>
          <w:rFonts w:eastAsia="Arial" w:cs="Arial"/>
        </w:rPr>
        <w:t xml:space="preserve"> </w:t>
      </w:r>
      <w:r w:rsidR="008B36BC">
        <w:rPr>
          <w:rFonts w:eastAsia="Arial" w:cs="Arial"/>
          <w:i/>
          <w:iCs/>
        </w:rPr>
        <w:t>Charter</w:t>
      </w:r>
      <w:r w:rsidR="00487C3D">
        <w:rPr>
          <w:rFonts w:eastAsia="Arial" w:cs="Arial"/>
          <w:i/>
          <w:iCs/>
        </w:rPr>
        <w:t xml:space="preserve"> of Rights and Responsibilities </w:t>
      </w:r>
      <w:r w:rsidR="008B36BC">
        <w:rPr>
          <w:rFonts w:eastAsia="Arial" w:cs="Arial"/>
          <w:i/>
          <w:iCs/>
        </w:rPr>
        <w:t xml:space="preserve">Act 2006 </w:t>
      </w:r>
      <w:r w:rsidR="008B36BC">
        <w:rPr>
          <w:rFonts w:eastAsia="Arial" w:cs="Arial"/>
          <w:iCs/>
        </w:rPr>
        <w:t>(Vic)</w:t>
      </w:r>
      <w:r w:rsidR="00D1174C">
        <w:rPr>
          <w:rStyle w:val="FootnoteReference"/>
          <w:rFonts w:eastAsia="Arial" w:cs="Arial"/>
          <w:iCs/>
        </w:rPr>
        <w:footnoteReference w:id="17"/>
      </w:r>
      <w:r w:rsidR="00627B17">
        <w:rPr>
          <w:rFonts w:eastAsia="Arial" w:cs="Arial"/>
          <w:iCs/>
        </w:rPr>
        <w:t xml:space="preserve">, </w:t>
      </w:r>
      <w:r w:rsidR="00627B17">
        <w:rPr>
          <w:rFonts w:eastAsia="Arial" w:cs="Arial"/>
          <w:i/>
        </w:rPr>
        <w:t xml:space="preserve">Bill of Rights Act </w:t>
      </w:r>
      <w:r w:rsidR="00B174D9">
        <w:rPr>
          <w:rFonts w:eastAsia="Arial" w:cs="Arial"/>
          <w:i/>
        </w:rPr>
        <w:t xml:space="preserve">1990 </w:t>
      </w:r>
      <w:r w:rsidR="00B174D9">
        <w:rPr>
          <w:rFonts w:eastAsia="Arial" w:cs="Arial"/>
          <w:iCs/>
        </w:rPr>
        <w:t>(NZ),</w:t>
      </w:r>
      <w:r w:rsidR="003F3BD6">
        <w:rPr>
          <w:rStyle w:val="FootnoteReference"/>
          <w:rFonts w:eastAsia="Arial" w:cs="Arial"/>
          <w:iCs/>
        </w:rPr>
        <w:footnoteReference w:id="18"/>
      </w:r>
      <w:r w:rsidR="00A13802">
        <w:rPr>
          <w:rFonts w:eastAsia="Arial" w:cs="Arial"/>
          <w:iCs/>
        </w:rPr>
        <w:t xml:space="preserve"> </w:t>
      </w:r>
      <w:r w:rsidR="008B36BC">
        <w:rPr>
          <w:rFonts w:eastAsia="Arial" w:cs="Arial"/>
          <w:iCs/>
        </w:rPr>
        <w:t xml:space="preserve">and </w:t>
      </w:r>
      <w:r w:rsidR="00D1174C">
        <w:rPr>
          <w:rFonts w:eastAsia="Arial" w:cs="Arial"/>
          <w:i/>
        </w:rPr>
        <w:t xml:space="preserve">Human Rights Act 1998 </w:t>
      </w:r>
      <w:r w:rsidR="00D1174C">
        <w:rPr>
          <w:rFonts w:eastAsia="Arial" w:cs="Arial"/>
          <w:iCs/>
        </w:rPr>
        <w:t>(UK).</w:t>
      </w:r>
      <w:r w:rsidR="00BB65E1">
        <w:rPr>
          <w:rStyle w:val="FootnoteReference"/>
          <w:rFonts w:eastAsia="Arial" w:cs="Arial"/>
          <w:iCs/>
        </w:rPr>
        <w:footnoteReference w:id="19"/>
      </w:r>
      <w:r w:rsidR="00356282">
        <w:rPr>
          <w:rFonts w:eastAsia="Arial" w:cs="Arial"/>
          <w:iCs/>
        </w:rPr>
        <w:t xml:space="preserve"> </w:t>
      </w:r>
      <w:r w:rsidR="00BE2A17">
        <w:rPr>
          <w:rFonts w:eastAsia="Arial" w:cs="Arial"/>
        </w:rPr>
        <w:t>In analysing</w:t>
      </w:r>
      <w:r w:rsidR="5B16AD55" w:rsidRPr="15D97578">
        <w:rPr>
          <w:rFonts w:eastAsia="Arial" w:cs="Arial"/>
        </w:rPr>
        <w:t xml:space="preserve"> the work of the Commonwealth </w:t>
      </w:r>
      <w:r w:rsidR="006D538A">
        <w:rPr>
          <w:rFonts w:eastAsia="Arial" w:cs="Arial"/>
        </w:rPr>
        <w:t>Parliament</w:t>
      </w:r>
      <w:r w:rsidR="5B16AD55" w:rsidRPr="15D97578">
        <w:rPr>
          <w:rFonts w:eastAsia="Arial" w:cs="Arial"/>
        </w:rPr>
        <w:t xml:space="preserve">’s Joint </w:t>
      </w:r>
      <w:r w:rsidR="002D41B9">
        <w:rPr>
          <w:rFonts w:eastAsia="Arial" w:cs="Arial"/>
        </w:rPr>
        <w:t>Committee</w:t>
      </w:r>
      <w:r w:rsidR="5B16AD55" w:rsidRPr="15D97578">
        <w:rPr>
          <w:rFonts w:eastAsia="Arial" w:cs="Arial"/>
        </w:rPr>
        <w:t xml:space="preserve"> on Human Rights </w:t>
      </w:r>
      <w:r w:rsidR="00D024BE">
        <w:rPr>
          <w:rFonts w:eastAsia="Arial" w:cs="Arial"/>
        </w:rPr>
        <w:t>(PJ</w:t>
      </w:r>
      <w:r w:rsidR="00672BCA">
        <w:rPr>
          <w:rFonts w:eastAsia="Arial" w:cs="Arial"/>
        </w:rPr>
        <w:t>CHR)</w:t>
      </w:r>
      <w:r w:rsidR="00BE2A17">
        <w:rPr>
          <w:rFonts w:eastAsia="Arial" w:cs="Arial"/>
        </w:rPr>
        <w:t>, academics have</w:t>
      </w:r>
      <w:r w:rsidR="0039014F">
        <w:rPr>
          <w:rFonts w:eastAsia="Arial" w:cs="Arial"/>
        </w:rPr>
        <w:t xml:space="preserve"> </w:t>
      </w:r>
      <w:r w:rsidR="5B16AD55" w:rsidRPr="15D97578">
        <w:rPr>
          <w:rFonts w:eastAsia="Arial" w:cs="Arial"/>
        </w:rPr>
        <w:t xml:space="preserve">suggested </w:t>
      </w:r>
      <w:r w:rsidR="002F45FF">
        <w:rPr>
          <w:rFonts w:eastAsia="Arial" w:cs="Arial"/>
        </w:rPr>
        <w:t xml:space="preserve">that </w:t>
      </w:r>
      <w:r w:rsidR="004303EC">
        <w:rPr>
          <w:rFonts w:eastAsia="Arial" w:cs="Arial"/>
        </w:rPr>
        <w:t>several</w:t>
      </w:r>
      <w:r w:rsidR="5B16AD55" w:rsidRPr="15D97578">
        <w:rPr>
          <w:rFonts w:eastAsia="Arial" w:cs="Arial"/>
        </w:rPr>
        <w:t xml:space="preserve"> aspects of the ‘deliberative impact’ of the </w:t>
      </w:r>
      <w:r w:rsidR="00AB3C4B">
        <w:rPr>
          <w:rFonts w:eastAsia="Arial" w:cs="Arial"/>
        </w:rPr>
        <w:t>p</w:t>
      </w:r>
      <w:r w:rsidR="006D538A">
        <w:rPr>
          <w:rFonts w:eastAsia="Arial" w:cs="Arial"/>
        </w:rPr>
        <w:t>arliament</w:t>
      </w:r>
      <w:r w:rsidR="5B16AD55" w:rsidRPr="15D97578">
        <w:rPr>
          <w:rFonts w:eastAsia="Arial" w:cs="Arial"/>
        </w:rPr>
        <w:t>ary scrutiny regime are ascertainable:</w:t>
      </w:r>
      <w:r w:rsidR="00BE2A17">
        <w:rPr>
          <w:rFonts w:eastAsia="Arial" w:cs="Arial"/>
        </w:rPr>
        <w:t xml:space="preserve"> </w:t>
      </w:r>
    </w:p>
    <w:p w14:paraId="41A683FE" w14:textId="2DF5B2B7" w:rsidR="004303EC" w:rsidRDefault="00EE70A0" w:rsidP="00677A56">
      <w:pPr>
        <w:pStyle w:val="ListParagraph"/>
      </w:pPr>
      <w:r>
        <w:t xml:space="preserve">The </w:t>
      </w:r>
      <w:r w:rsidR="004303EC">
        <w:t xml:space="preserve">first is the </w:t>
      </w:r>
      <w:r>
        <w:t xml:space="preserve">extent to which the </w:t>
      </w:r>
      <w:r w:rsidR="004303EC">
        <w:t xml:space="preserve">human rights scrutiny regime has </w:t>
      </w:r>
      <w:r w:rsidR="5B16AD55" w:rsidRPr="15D97578">
        <w:t xml:space="preserve">caused proponents of legislation, typically </w:t>
      </w:r>
      <w:r w:rsidR="00A13802">
        <w:t>m</w:t>
      </w:r>
      <w:r w:rsidR="5B16AD55" w:rsidRPr="15D97578">
        <w:t>inisters, to more fully justify their policies and Bills from a human rights perspective</w:t>
      </w:r>
      <w:r w:rsidR="004166BC">
        <w:t>.</w:t>
      </w:r>
    </w:p>
    <w:p w14:paraId="3D883122" w14:textId="2EA96534" w:rsidR="004303EC" w:rsidRDefault="5B16AD55" w:rsidP="00677A56">
      <w:pPr>
        <w:pStyle w:val="ListParagraph"/>
      </w:pPr>
      <w:r w:rsidRPr="15D97578">
        <w:t xml:space="preserve">The second is the extent to which it has caused the broader cohort of </w:t>
      </w:r>
      <w:r w:rsidR="00AB3C4B">
        <w:t>p</w:t>
      </w:r>
      <w:r w:rsidR="006D538A">
        <w:t>arliament</w:t>
      </w:r>
      <w:r w:rsidRPr="15D97578">
        <w:t>arians to discuss and debate human rights issues on a more regular basis</w:t>
      </w:r>
      <w:r w:rsidR="00DD62A1">
        <w:t>.</w:t>
      </w:r>
      <w:r w:rsidRPr="15D97578">
        <w:t xml:space="preserve"> </w:t>
      </w:r>
    </w:p>
    <w:p w14:paraId="2AA16002" w14:textId="611A8598" w:rsidR="5B16AD55" w:rsidRDefault="5B16AD55" w:rsidP="00677A56">
      <w:pPr>
        <w:pStyle w:val="ListParagraph"/>
      </w:pPr>
      <w:r w:rsidRPr="15D97578">
        <w:lastRenderedPageBreak/>
        <w:t xml:space="preserve">Another — less visible — kind of deliberative impact within the executive can also be identified. This is the ‘feedback loop’ whereby, through correspondence concerning particular Bills and instruments, proponents of legislation and the </w:t>
      </w:r>
      <w:r w:rsidR="002D41B9">
        <w:t>Committee</w:t>
      </w:r>
      <w:r w:rsidRPr="15D97578">
        <w:t xml:space="preserve"> engage in a human rights dialogue that results in iterative </w:t>
      </w:r>
      <w:r w:rsidR="00356282">
        <w:t>i</w:t>
      </w:r>
      <w:r w:rsidRPr="15D97578">
        <w:t xml:space="preserve">mprovements in the quality of later </w:t>
      </w:r>
      <w:r w:rsidR="00DA1C4A">
        <w:t>S</w:t>
      </w:r>
      <w:r w:rsidR="005B34BA">
        <w:t>tatement</w:t>
      </w:r>
      <w:r w:rsidRPr="15D97578">
        <w:t>s</w:t>
      </w:r>
      <w:r w:rsidR="005B34BA">
        <w:t xml:space="preserve"> of </w:t>
      </w:r>
      <w:r w:rsidR="00DA1C4A">
        <w:t>C</w:t>
      </w:r>
      <w:r w:rsidR="008C7871">
        <w:t>ompatibility</w:t>
      </w:r>
      <w:r w:rsidRPr="15D97578">
        <w:t>.</w:t>
      </w:r>
      <w:r w:rsidR="0039014F">
        <w:rPr>
          <w:rStyle w:val="FootnoteReference"/>
        </w:rPr>
        <w:footnoteReference w:id="20"/>
      </w:r>
    </w:p>
    <w:p w14:paraId="1A32D272" w14:textId="0CBA7954" w:rsidR="000222CE" w:rsidRDefault="5B16AD55" w:rsidP="008A0697">
      <w:r w:rsidRPr="15D97578">
        <w:rPr>
          <w:lang w:val="en-US"/>
        </w:rPr>
        <w:t xml:space="preserve">Drawing </w:t>
      </w:r>
      <w:r w:rsidR="005B34BA">
        <w:rPr>
          <w:lang w:val="en-US"/>
        </w:rPr>
        <w:t xml:space="preserve">on the work of academics and that of </w:t>
      </w:r>
      <w:r w:rsidRPr="15D97578">
        <w:rPr>
          <w:lang w:val="en-US"/>
        </w:rPr>
        <w:t xml:space="preserve">the ACT and Victorian Human Rights Commissions, the Commission </w:t>
      </w:r>
      <w:r w:rsidR="001864A7">
        <w:rPr>
          <w:lang w:val="en-US"/>
        </w:rPr>
        <w:t>has developed</w:t>
      </w:r>
      <w:r w:rsidRPr="15D97578">
        <w:rPr>
          <w:lang w:val="en-US"/>
        </w:rPr>
        <w:t xml:space="preserve"> indicators to </w:t>
      </w:r>
      <w:r w:rsidR="00E47A63">
        <w:rPr>
          <w:lang w:val="en-US"/>
        </w:rPr>
        <w:t xml:space="preserve">help </w:t>
      </w:r>
      <w:proofErr w:type="spellStart"/>
      <w:r w:rsidR="00E47A63">
        <w:rPr>
          <w:lang w:val="en-US"/>
        </w:rPr>
        <w:t>analyse</w:t>
      </w:r>
      <w:proofErr w:type="spellEnd"/>
      <w:r w:rsidR="00EB1803" w:rsidRPr="15D97578">
        <w:rPr>
          <w:lang w:val="en-US"/>
        </w:rPr>
        <w:t xml:space="preserve"> </w:t>
      </w:r>
      <w:r w:rsidR="5CCF6FDD" w:rsidRPr="7DB5F492">
        <w:rPr>
          <w:lang w:val="en-US"/>
        </w:rPr>
        <w:t>the</w:t>
      </w:r>
      <w:r w:rsidRPr="15D97578">
        <w:rPr>
          <w:lang w:val="en-US"/>
        </w:rPr>
        <w:t xml:space="preserve"> extent</w:t>
      </w:r>
      <w:r w:rsidRPr="7DB5F492">
        <w:rPr>
          <w:lang w:val="en-US"/>
        </w:rPr>
        <w:t xml:space="preserve"> </w:t>
      </w:r>
      <w:r w:rsidR="48A5BA69" w:rsidRPr="7DB5F492">
        <w:rPr>
          <w:lang w:val="en-US"/>
        </w:rPr>
        <w:t>to which</w:t>
      </w:r>
      <w:r w:rsidRPr="15D97578">
        <w:rPr>
          <w:lang w:val="en-US"/>
        </w:rPr>
        <w:t xml:space="preserve"> </w:t>
      </w:r>
      <w:r w:rsidR="00AB3C4B">
        <w:rPr>
          <w:lang w:val="en-US"/>
        </w:rPr>
        <w:t>p</w:t>
      </w:r>
      <w:r w:rsidR="006D538A">
        <w:rPr>
          <w:lang w:val="en-US"/>
        </w:rPr>
        <w:t>arliament</w:t>
      </w:r>
      <w:r w:rsidRPr="15D97578">
        <w:rPr>
          <w:lang w:val="en-US"/>
        </w:rPr>
        <w:t xml:space="preserve"> is engaging in a robust debate about human rights</w:t>
      </w:r>
      <w:r w:rsidR="006936AD">
        <w:rPr>
          <w:lang w:val="en-US"/>
        </w:rPr>
        <w:t>, and to what extent human rights is having an impact on the development of legislation</w:t>
      </w:r>
      <w:r w:rsidR="00607233">
        <w:rPr>
          <w:lang w:val="en-US"/>
        </w:rPr>
        <w:t>.</w:t>
      </w:r>
      <w:r w:rsidRPr="15D97578">
        <w:t xml:space="preserve"> </w:t>
      </w:r>
    </w:p>
    <w:p w14:paraId="479491F4" w14:textId="5FDCA8F8" w:rsidR="005531F6" w:rsidRDefault="00C83A10" w:rsidP="008A0697">
      <w:r>
        <w:t xml:space="preserve">These indicators </w:t>
      </w:r>
      <w:r w:rsidR="00EB1803">
        <w:t>explore</w:t>
      </w:r>
      <w:r>
        <w:t xml:space="preserve"> the extent to which legislation is assessed </w:t>
      </w:r>
      <w:r w:rsidR="007D4FAF">
        <w:t>for human rights compatibility</w:t>
      </w:r>
      <w:r>
        <w:t xml:space="preserve">, </w:t>
      </w:r>
      <w:r w:rsidR="00440E90">
        <w:t>the adequacy of</w:t>
      </w:r>
      <w:r>
        <w:t xml:space="preserve"> </w:t>
      </w:r>
      <w:r w:rsidR="002E1BFB">
        <w:t>S</w:t>
      </w:r>
      <w:r>
        <w:t xml:space="preserve">tatements of </w:t>
      </w:r>
      <w:r w:rsidR="002E1BFB">
        <w:t>C</w:t>
      </w:r>
      <w:r w:rsidR="00D47778">
        <w:t>ompatibility</w:t>
      </w:r>
      <w:r w:rsidR="002E1BFB">
        <w:t>,</w:t>
      </w:r>
      <w:r>
        <w:t xml:space="preserve"> and how this is discussed </w:t>
      </w:r>
      <w:r w:rsidR="00D47778">
        <w:t xml:space="preserve">through the </w:t>
      </w:r>
      <w:r w:rsidR="00AB3C4B">
        <w:t>p</w:t>
      </w:r>
      <w:r w:rsidR="006D538A">
        <w:t>arliament</w:t>
      </w:r>
      <w:r w:rsidR="00D47778">
        <w:t xml:space="preserve">ary process. </w:t>
      </w:r>
      <w:r w:rsidR="000222CE">
        <w:t>Such indicators do not</w:t>
      </w:r>
      <w:r w:rsidR="00830091">
        <w:t xml:space="preserve"> </w:t>
      </w:r>
      <w:r w:rsidR="000222CE">
        <w:t xml:space="preserve">objectively judge if a </w:t>
      </w:r>
      <w:r w:rsidR="008B264D">
        <w:t>B</w:t>
      </w:r>
      <w:r w:rsidR="000222CE">
        <w:t>ill is compatible or otherwise</w:t>
      </w:r>
      <w:r w:rsidR="0047408F">
        <w:t>. Instead, they</w:t>
      </w:r>
      <w:r w:rsidR="0047408F" w:rsidDel="00A24D4D">
        <w:t xml:space="preserve"> </w:t>
      </w:r>
      <w:r w:rsidR="00A24D4D">
        <w:t xml:space="preserve">capture </w:t>
      </w:r>
      <w:r w:rsidR="0047408F">
        <w:t>how</w:t>
      </w:r>
      <w:r w:rsidR="007D4FAF">
        <w:t xml:space="preserve"> concerns are raised through the</w:t>
      </w:r>
      <w:r w:rsidR="000222CE">
        <w:t xml:space="preserve"> scrutiny process</w:t>
      </w:r>
      <w:r w:rsidR="00A00540">
        <w:t xml:space="preserve"> used in Queensland</w:t>
      </w:r>
      <w:r w:rsidR="000222CE">
        <w:t xml:space="preserve">, </w:t>
      </w:r>
      <w:r w:rsidR="0047408F">
        <w:t>and if such concerns</w:t>
      </w:r>
      <w:r w:rsidR="000222CE">
        <w:t xml:space="preserve"> </w:t>
      </w:r>
      <w:r w:rsidR="0047408F">
        <w:t xml:space="preserve">are robustly debated in the </w:t>
      </w:r>
      <w:r w:rsidR="00AB3C4B">
        <w:t>p</w:t>
      </w:r>
      <w:r w:rsidR="006D538A">
        <w:t>arliament</w:t>
      </w:r>
      <w:r w:rsidR="0047408F">
        <w:t xml:space="preserve">. </w:t>
      </w:r>
    </w:p>
    <w:p w14:paraId="2F4B0F4E" w14:textId="77777777" w:rsidR="005531F6" w:rsidRDefault="005531F6">
      <w:pPr>
        <w:spacing w:line="259" w:lineRule="auto"/>
        <w:ind w:right="0"/>
      </w:pPr>
      <w:r>
        <w:br w:type="page"/>
      </w:r>
    </w:p>
    <w:p w14:paraId="6D96FBAD" w14:textId="694DDDDC" w:rsidR="005531F6" w:rsidRDefault="00A95204" w:rsidP="005531F6">
      <w:pPr>
        <w:pStyle w:val="Caption"/>
        <w:rPr>
          <w:rFonts w:eastAsia="Arial" w:cs="Arial"/>
        </w:rPr>
      </w:pPr>
      <w:r>
        <w:rPr>
          <w:noProof/>
          <w:lang w:eastAsia="en-AU"/>
        </w:rPr>
        <w:lastRenderedPageBreak/>
        <w:drawing>
          <wp:anchor distT="0" distB="0" distL="114300" distR="114300" simplePos="0" relativeHeight="251658258" behindDoc="0" locked="0" layoutInCell="1" allowOverlap="1" wp14:anchorId="3718AC38" wp14:editId="1C5AFAA2">
            <wp:simplePos x="0" y="0"/>
            <wp:positionH relativeFrom="margin">
              <wp:align>left</wp:align>
            </wp:positionH>
            <wp:positionV relativeFrom="paragraph">
              <wp:posOffset>213973</wp:posOffset>
            </wp:positionV>
            <wp:extent cx="3825024" cy="8308428"/>
            <wp:effectExtent l="0" t="0" r="4445" b="0"/>
            <wp:wrapTopAndBottom/>
            <wp:docPr id="1875766938" name="Picture 1875766938" descr="This timeline shows the parliamentary indicators mapped against the usual processes a Bill follows, in the following order: &#10;- Bill introduced to Parliament&#10;- Indicator 1: Override Declarations &#10;- Indicator 2: Referrals to Committee &#10;- Referred to Committee &#10;- Indicator 3: Incompatibility acknowledged by introducing member &#10;- Indicator 4: Committee examination of incompatibility &#10;- Indicator 5: Critique of Statements of Compatibility&#10;- Indicator 6: Additional information received by Committee &#10;- Committee reports back to Parliament &#10;- Indicator 7: Committee recommendations about human rights &#10;- Indicator 8: Introducing member responded to report by providing further information &#10;- Indicator 9: Bill amended as a result of report &#10;- Bill finalised " title="Figure 2: Indicators of parliamentary human rights culture diagram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52" cstate="print">
                      <a:extLst>
                        <a:ext uri="{28A0092B-C50C-407E-A947-70E740481C1C}">
                          <a14:useLocalDpi xmlns:a14="http://schemas.microsoft.com/office/drawing/2010/main" val="0"/>
                        </a:ext>
                      </a:extLst>
                    </a:blip>
                    <a:stretch>
                      <a:fillRect/>
                    </a:stretch>
                  </pic:blipFill>
                  <pic:spPr>
                    <a:xfrm>
                      <a:off x="0" y="0"/>
                      <a:ext cx="3825024" cy="8308428"/>
                    </a:xfrm>
                    <a:prstGeom prst="rect">
                      <a:avLst/>
                    </a:prstGeom>
                  </pic:spPr>
                </pic:pic>
              </a:graphicData>
            </a:graphic>
            <wp14:sizeRelH relativeFrom="page">
              <wp14:pctWidth>0</wp14:pctWidth>
            </wp14:sizeRelH>
            <wp14:sizeRelV relativeFrom="page">
              <wp14:pctHeight>0</wp14:pctHeight>
            </wp14:sizeRelV>
          </wp:anchor>
        </w:drawing>
      </w:r>
      <w:r>
        <w:t>F</w:t>
      </w:r>
      <w:r w:rsidR="005531F6">
        <w:t xml:space="preserve">igure 2: Indicators of parliamentary human rights culture diagram </w:t>
      </w:r>
    </w:p>
    <w:p w14:paraId="7E9B2991" w14:textId="013C44A9" w:rsidR="008066A4" w:rsidRDefault="006936AD" w:rsidP="009B309C">
      <w:pPr>
        <w:pStyle w:val="Heading2"/>
      </w:pPr>
      <w:bookmarkStart w:id="190" w:name="_Toc85526649"/>
      <w:bookmarkStart w:id="191" w:name="_Toc85787064"/>
      <w:r w:rsidRPr="35FFCC53" w:rsidDel="006936AD">
        <w:lastRenderedPageBreak/>
        <w:t>Indicator 1</w:t>
      </w:r>
      <w:bookmarkStart w:id="192" w:name="_Toc55482287"/>
      <w:r w:rsidR="00CF1BF7" w:rsidRPr="35FFCC53">
        <w:t xml:space="preserve">: </w:t>
      </w:r>
      <w:r w:rsidR="0069530D" w:rsidRPr="35FFCC53">
        <w:t xml:space="preserve">Override </w:t>
      </w:r>
      <w:r w:rsidR="00B571EC" w:rsidRPr="35FFCC53">
        <w:t>D</w:t>
      </w:r>
      <w:r w:rsidR="0069530D" w:rsidRPr="35FFCC53">
        <w:t>eclarations</w:t>
      </w:r>
      <w:r w:rsidR="008066A4" w:rsidRPr="35FFCC53">
        <w:t xml:space="preserve"> </w:t>
      </w:r>
      <w:bookmarkEnd w:id="190"/>
      <w:bookmarkEnd w:id="191"/>
    </w:p>
    <w:p w14:paraId="1CE7762C" w14:textId="763A0533" w:rsidR="00BA5AC4" w:rsidRPr="00BA5AC4" w:rsidRDefault="00BA5AC4" w:rsidP="00DE1FB7">
      <w:pPr>
        <w:rPr>
          <w:i/>
        </w:rPr>
      </w:pPr>
      <w:r w:rsidRPr="00BA5AC4">
        <w:rPr>
          <w:i/>
        </w:rPr>
        <w:t>Parliament may, in exceptional circumstances, expressly declare an Act has effect despite being incompatible with human rights.</w:t>
      </w:r>
      <w:r w:rsidRPr="00BA5AC4">
        <w:rPr>
          <w:rStyle w:val="FootnoteReference"/>
          <w:i/>
        </w:rPr>
        <w:t xml:space="preserve"> </w:t>
      </w:r>
      <w:r w:rsidRPr="00BA5AC4">
        <w:rPr>
          <w:rStyle w:val="FootnoteReference"/>
          <w:i/>
        </w:rPr>
        <w:footnoteReference w:id="21"/>
      </w:r>
      <w:r w:rsidRPr="00BA5AC4">
        <w:rPr>
          <w:rStyle w:val="FootnoteReference"/>
          <w:i/>
        </w:rPr>
        <w:t xml:space="preserve"> </w:t>
      </w:r>
      <w:r w:rsidRPr="00BA5AC4">
        <w:rPr>
          <w:i/>
        </w:rPr>
        <w:t xml:space="preserve">This indicator considers whether Override Declarations were relied upon by </w:t>
      </w:r>
      <w:r w:rsidR="00AB3C4B">
        <w:rPr>
          <w:i/>
        </w:rPr>
        <w:t>p</w:t>
      </w:r>
      <w:r w:rsidRPr="00BA5AC4">
        <w:rPr>
          <w:i/>
        </w:rPr>
        <w:t xml:space="preserve">arliament in the 2020-21 financial year. </w:t>
      </w:r>
    </w:p>
    <w:p w14:paraId="21968D39" w14:textId="5781780D" w:rsidR="008066A4" w:rsidRDefault="008066A4" w:rsidP="00DE1FB7">
      <w:r w:rsidRPr="008066A4">
        <w:t xml:space="preserve">No Bills were introduced or passed with </w:t>
      </w:r>
      <w:r w:rsidR="00B571EC">
        <w:t>O</w:t>
      </w:r>
      <w:r w:rsidRPr="008066A4">
        <w:t xml:space="preserve">verride </w:t>
      </w:r>
      <w:r w:rsidR="00B571EC">
        <w:t>D</w:t>
      </w:r>
      <w:r w:rsidRPr="008066A4">
        <w:t>eclarations.</w:t>
      </w:r>
    </w:p>
    <w:p w14:paraId="7D0EFE0D" w14:textId="216CFAE2" w:rsidR="00AF6308" w:rsidRDefault="00AF6308" w:rsidP="00195DF4">
      <w:pPr>
        <w:pStyle w:val="Heading2"/>
      </w:pPr>
      <w:bookmarkStart w:id="193" w:name="_Toc85526650"/>
      <w:bookmarkStart w:id="194" w:name="_Toc85787065"/>
      <w:r w:rsidRPr="00A21056">
        <w:t>Indicator 2:</w:t>
      </w:r>
      <w:r w:rsidR="00197317">
        <w:t xml:space="preserve"> </w:t>
      </w:r>
      <w:bookmarkEnd w:id="193"/>
      <w:bookmarkEnd w:id="194"/>
      <w:r w:rsidR="00132F9C">
        <w:t>Referrals to Committee</w:t>
      </w:r>
    </w:p>
    <w:p w14:paraId="335B9A89" w14:textId="626B24DB" w:rsidR="0069530D" w:rsidRPr="00460496" w:rsidRDefault="0069530D" w:rsidP="00460496">
      <w:r>
        <w:rPr>
          <w:i/>
        </w:rPr>
        <w:t xml:space="preserve">This indicator considers whether </w:t>
      </w:r>
      <w:r w:rsidR="00C6134B">
        <w:rPr>
          <w:i/>
        </w:rPr>
        <w:t>b</w:t>
      </w:r>
      <w:r>
        <w:rPr>
          <w:i/>
        </w:rPr>
        <w:t xml:space="preserve">ills were passed on an urgent basis and therefore were not referred to </w:t>
      </w:r>
      <w:r w:rsidR="002D41B9">
        <w:rPr>
          <w:i/>
        </w:rPr>
        <w:t>Committee</w:t>
      </w:r>
      <w:r>
        <w:rPr>
          <w:i/>
        </w:rPr>
        <w:t xml:space="preserve"> and subject to the usual </w:t>
      </w:r>
      <w:r w:rsidR="00AB3C4B">
        <w:rPr>
          <w:i/>
        </w:rPr>
        <w:t>p</w:t>
      </w:r>
      <w:r w:rsidR="006D538A">
        <w:rPr>
          <w:i/>
        </w:rPr>
        <w:t>arliament</w:t>
      </w:r>
      <w:r>
        <w:rPr>
          <w:i/>
        </w:rPr>
        <w:t>ary scrutiny.</w:t>
      </w:r>
    </w:p>
    <w:p w14:paraId="7B9A8EBB" w14:textId="57E11C0A" w:rsidR="00AF6308" w:rsidRPr="008066A4" w:rsidRDefault="00E147B1" w:rsidP="00DE1FB7">
      <w:r>
        <w:t>Three</w:t>
      </w:r>
      <w:r w:rsidR="00AF6308">
        <w:t xml:space="preserve"> </w:t>
      </w:r>
      <w:r w:rsidR="00B571EC">
        <w:t>B</w:t>
      </w:r>
      <w:r w:rsidR="00AF6308">
        <w:t>ill</w:t>
      </w:r>
      <w:r>
        <w:t>s</w:t>
      </w:r>
      <w:r w:rsidR="00AF6308">
        <w:t xml:space="preserve"> during the reporting period</w:t>
      </w:r>
      <w:r w:rsidR="003F11E9">
        <w:t xml:space="preserve"> </w:t>
      </w:r>
      <w:r w:rsidR="00FC658B">
        <w:t>were</w:t>
      </w:r>
      <w:r w:rsidR="003F11E9">
        <w:t xml:space="preserve"> declared urgent</w:t>
      </w:r>
      <w:r w:rsidR="00AF6308">
        <w:t xml:space="preserve"> and therefore debated without </w:t>
      </w:r>
      <w:r w:rsidR="00A21056">
        <w:t xml:space="preserve">inquiry by the relevant portfolio </w:t>
      </w:r>
      <w:r w:rsidR="002D41B9">
        <w:t>Committee</w:t>
      </w:r>
      <w:r w:rsidR="00A21056">
        <w:t>.</w:t>
      </w:r>
      <w:r>
        <w:rPr>
          <w:rStyle w:val="FootnoteReference"/>
        </w:rPr>
        <w:footnoteReference w:id="22"/>
      </w:r>
    </w:p>
    <w:p w14:paraId="1ECB441B" w14:textId="302C8F96" w:rsidR="00CF1BF7" w:rsidRDefault="008066A4" w:rsidP="00195DF4">
      <w:pPr>
        <w:pStyle w:val="Heading2"/>
      </w:pPr>
      <w:bookmarkStart w:id="195" w:name="_Toc85526651"/>
      <w:bookmarkStart w:id="196" w:name="_Toc85787066"/>
      <w:r w:rsidRPr="00A30AD3">
        <w:t xml:space="preserve">Indicator </w:t>
      </w:r>
      <w:r w:rsidR="00A21056">
        <w:t>3</w:t>
      </w:r>
      <w:r w:rsidR="00CF1BF7" w:rsidRPr="00A30AD3">
        <w:t>:</w:t>
      </w:r>
      <w:r w:rsidRPr="00A30AD3">
        <w:t xml:space="preserve"> </w:t>
      </w:r>
      <w:r w:rsidR="00EE5D29">
        <w:t>Incompatibility</w:t>
      </w:r>
      <w:r w:rsidR="00EB28A8">
        <w:t xml:space="preserve"> </w:t>
      </w:r>
      <w:r w:rsidR="009265DF">
        <w:t>acknowledged</w:t>
      </w:r>
      <w:r w:rsidR="00E50B2B">
        <w:t xml:space="preserve"> </w:t>
      </w:r>
      <w:r w:rsidR="009265DF">
        <w:t>by introducing member</w:t>
      </w:r>
      <w:bookmarkEnd w:id="195"/>
      <w:bookmarkEnd w:id="196"/>
    </w:p>
    <w:p w14:paraId="7252C74D" w14:textId="3F35913F" w:rsidR="00767C59" w:rsidRPr="00767C59" w:rsidRDefault="00285BFA" w:rsidP="00285BFA">
      <w:pPr>
        <w:rPr>
          <w:i/>
        </w:rPr>
      </w:pPr>
      <w:r>
        <w:rPr>
          <w:i/>
        </w:rPr>
        <w:t xml:space="preserve">This indicator considers whether Bills had explanatory materials (including the </w:t>
      </w:r>
      <w:r w:rsidR="00B571EC">
        <w:rPr>
          <w:i/>
        </w:rPr>
        <w:t>E</w:t>
      </w:r>
      <w:r>
        <w:rPr>
          <w:i/>
        </w:rPr>
        <w:t xml:space="preserve">xplanatory </w:t>
      </w:r>
      <w:r w:rsidR="00B571EC">
        <w:rPr>
          <w:i/>
        </w:rPr>
        <w:t>N</w:t>
      </w:r>
      <w:r>
        <w:rPr>
          <w:i/>
        </w:rPr>
        <w:t xml:space="preserve">otes and </w:t>
      </w:r>
      <w:r w:rsidR="002D41B9">
        <w:rPr>
          <w:i/>
        </w:rPr>
        <w:t>Statement of Compatibility</w:t>
      </w:r>
      <w:r>
        <w:rPr>
          <w:i/>
        </w:rPr>
        <w:t xml:space="preserve">) </w:t>
      </w:r>
      <w:r w:rsidR="00BC0EFA">
        <w:rPr>
          <w:i/>
        </w:rPr>
        <w:t xml:space="preserve">in which </w:t>
      </w:r>
      <w:r w:rsidR="008C6A36">
        <w:rPr>
          <w:i/>
        </w:rPr>
        <w:t xml:space="preserve">the introducing member </w:t>
      </w:r>
      <w:r w:rsidR="00D36E71">
        <w:rPr>
          <w:i/>
        </w:rPr>
        <w:t>raised</w:t>
      </w:r>
      <w:r w:rsidR="00BC0EFA">
        <w:rPr>
          <w:i/>
        </w:rPr>
        <w:t xml:space="preserve"> potential incompatibility</w:t>
      </w:r>
      <w:r>
        <w:rPr>
          <w:i/>
        </w:rPr>
        <w:t>.</w:t>
      </w:r>
    </w:p>
    <w:p w14:paraId="52C073E1" w14:textId="31570E34" w:rsidR="00285BFA" w:rsidRPr="00460496" w:rsidRDefault="00322317" w:rsidP="00460496">
      <w:r w:rsidRPr="00322317">
        <w:t xml:space="preserve">Statements of </w:t>
      </w:r>
      <w:r w:rsidR="00B571EC">
        <w:t>C</w:t>
      </w:r>
      <w:r w:rsidRPr="00322317">
        <w:t xml:space="preserve">ompatibility for two </w:t>
      </w:r>
      <w:r w:rsidR="00B571EC">
        <w:t>B</w:t>
      </w:r>
      <w:r w:rsidRPr="00322317">
        <w:t>ills discussed potential incompatibility</w:t>
      </w:r>
      <w:r w:rsidR="000B56D3">
        <w:t>.</w:t>
      </w:r>
      <w:r w:rsidR="000B56D3">
        <w:rPr>
          <w:rStyle w:val="FootnoteReference"/>
        </w:rPr>
        <w:footnoteReference w:id="23"/>
      </w:r>
      <w:r w:rsidR="00F04D8A">
        <w:t xml:space="preserve"> </w:t>
      </w:r>
    </w:p>
    <w:p w14:paraId="27B48CC4" w14:textId="34318A0B" w:rsidR="008066A4" w:rsidRDefault="00CF1BF7" w:rsidP="00195DF4">
      <w:pPr>
        <w:pStyle w:val="Heading2"/>
      </w:pPr>
      <w:bookmarkStart w:id="197" w:name="_Toc85526652"/>
      <w:bookmarkStart w:id="198" w:name="_Toc85787067"/>
      <w:r w:rsidRPr="00A30AD3">
        <w:t xml:space="preserve">Indicator </w:t>
      </w:r>
      <w:r w:rsidR="00A21056">
        <w:t>4</w:t>
      </w:r>
      <w:r w:rsidRPr="00A30AD3">
        <w:t>:</w:t>
      </w:r>
      <w:r w:rsidR="00E5735A" w:rsidRPr="00A30AD3">
        <w:t xml:space="preserve"> </w:t>
      </w:r>
      <w:r w:rsidR="002D41B9">
        <w:t>Committee</w:t>
      </w:r>
      <w:r w:rsidR="008D116A">
        <w:t xml:space="preserve"> </w:t>
      </w:r>
      <w:r w:rsidR="00D41124">
        <w:t>examination of</w:t>
      </w:r>
      <w:r w:rsidR="00FD21AB">
        <w:t xml:space="preserve"> </w:t>
      </w:r>
      <w:r w:rsidR="00047E49">
        <w:t>incompatibility</w:t>
      </w:r>
      <w:bookmarkEnd w:id="197"/>
      <w:bookmarkEnd w:id="198"/>
      <w:r w:rsidR="00047E49">
        <w:t xml:space="preserve"> </w:t>
      </w:r>
    </w:p>
    <w:p w14:paraId="5BD43E83" w14:textId="77777777" w:rsidR="00291C75" w:rsidRPr="00291C75" w:rsidRDefault="00291C75" w:rsidP="00E84679">
      <w:pPr>
        <w:rPr>
          <w:i/>
          <w:iCs/>
        </w:rPr>
      </w:pPr>
      <w:r w:rsidRPr="00291C75">
        <w:rPr>
          <w:i/>
          <w:iCs/>
        </w:rPr>
        <w:t xml:space="preserve">This indicator considers whether portfolio Committees discussed statements of partial incompatibility or proposed Override Declarations after these were raised by the introducing member. </w:t>
      </w:r>
    </w:p>
    <w:p w14:paraId="778C6BB5" w14:textId="3AD6C1C4" w:rsidR="003F7375" w:rsidRDefault="008066A4" w:rsidP="00E84679">
      <w:r w:rsidRPr="008066A4">
        <w:t xml:space="preserve">In relation to the Youth Justice and Other Legislation Amendment </w:t>
      </w:r>
      <w:r w:rsidR="002C4200">
        <w:t xml:space="preserve">Bill </w:t>
      </w:r>
      <w:r w:rsidRPr="008066A4">
        <w:t>2021</w:t>
      </w:r>
      <w:r w:rsidR="0059724F">
        <w:t>, the potential incompatibility identified by the introducing minis</w:t>
      </w:r>
      <w:r w:rsidR="00333D9A">
        <w:t xml:space="preserve">ter </w:t>
      </w:r>
      <w:r w:rsidRPr="008066A4">
        <w:t xml:space="preserve">was also discussed by the Legal Affairs and Safety </w:t>
      </w:r>
      <w:r w:rsidR="002D41B9">
        <w:t>Committee</w:t>
      </w:r>
      <w:r w:rsidRPr="008066A4">
        <w:t>’s report.</w:t>
      </w:r>
      <w:r w:rsidR="00BC0EFA">
        <w:rPr>
          <w:rStyle w:val="FootnoteReference"/>
        </w:rPr>
        <w:footnoteReference w:id="24"/>
      </w:r>
      <w:r w:rsidRPr="008066A4">
        <w:t xml:space="preserve"> </w:t>
      </w:r>
    </w:p>
    <w:p w14:paraId="5488F280" w14:textId="0082666D" w:rsidR="008066A4" w:rsidRPr="008066A4" w:rsidRDefault="008066A4" w:rsidP="00E84679">
      <w:r w:rsidRPr="008066A4">
        <w:lastRenderedPageBreak/>
        <w:t xml:space="preserve">In contrast, in the </w:t>
      </w:r>
      <w:r w:rsidR="00761F12">
        <w:t>statement</w:t>
      </w:r>
      <w:r w:rsidRPr="008066A4">
        <w:t xml:space="preserve"> for the Defamation (Model Provisions) and Other Legislation Amendment </w:t>
      </w:r>
      <w:r w:rsidR="00925B01">
        <w:t>Bill</w:t>
      </w:r>
      <w:r w:rsidR="00925B01" w:rsidRPr="008066A4">
        <w:t xml:space="preserve"> </w:t>
      </w:r>
      <w:r w:rsidRPr="008066A4">
        <w:t>2021, the Attorney-General concluded that:</w:t>
      </w:r>
    </w:p>
    <w:p w14:paraId="24CBF44A" w14:textId="748E4417" w:rsidR="008066A4" w:rsidRPr="00E84679" w:rsidRDefault="008066A4" w:rsidP="00195DF4">
      <w:pPr>
        <w:pStyle w:val="Quote"/>
      </w:pPr>
      <w:r w:rsidRPr="63F480A7">
        <w:t>While I acknowledge the amendments in the Bill limit the right to privacy and reputation and in doing so may be open to conclude that the</w:t>
      </w:r>
      <w:r w:rsidRPr="63F480A7">
        <w:rPr>
          <w:i/>
          <w:szCs w:val="22"/>
        </w:rPr>
        <w:t xml:space="preserve"> </w:t>
      </w:r>
      <w:r w:rsidRPr="00616F02">
        <w:rPr>
          <w:szCs w:val="22"/>
        </w:rPr>
        <w:t>amendments are incompatible with human rights, it is my view that the limitation is reasonable and justified and appropriately balanced with the right to freedom of expression.</w:t>
      </w:r>
      <w:r w:rsidR="00BC0EFA" w:rsidRPr="63F480A7">
        <w:rPr>
          <w:rStyle w:val="FootnoteReference"/>
          <w:szCs w:val="22"/>
        </w:rPr>
        <w:footnoteReference w:id="25"/>
      </w:r>
    </w:p>
    <w:p w14:paraId="3F6781EA" w14:textId="67FC8FC6" w:rsidR="008066A4" w:rsidRPr="008066A4" w:rsidRDefault="008066A4" w:rsidP="00E84679">
      <w:r w:rsidRPr="008066A4">
        <w:t xml:space="preserve">The </w:t>
      </w:r>
      <w:r w:rsidR="002D41B9">
        <w:t>Committee</w:t>
      </w:r>
      <w:r w:rsidRPr="008066A4">
        <w:t xml:space="preserve"> considered the limitation of several rights in detail but did not </w:t>
      </w:r>
      <w:r w:rsidR="006C0D8C">
        <w:t xml:space="preserve">appear to </w:t>
      </w:r>
      <w:r w:rsidRPr="008066A4">
        <w:t xml:space="preserve">comment upon the Attorney-General’s statement. </w:t>
      </w:r>
    </w:p>
    <w:p w14:paraId="040C0853" w14:textId="019B4232" w:rsidR="008066A4" w:rsidRDefault="008066A4" w:rsidP="00195DF4">
      <w:pPr>
        <w:pStyle w:val="Heading2"/>
      </w:pPr>
      <w:bookmarkStart w:id="199" w:name="_Toc85526653"/>
      <w:bookmarkStart w:id="200" w:name="_Toc85787068"/>
      <w:r w:rsidRPr="00A30AD3">
        <w:t xml:space="preserve">Indicator </w:t>
      </w:r>
      <w:r w:rsidR="00A6711F">
        <w:t>5</w:t>
      </w:r>
      <w:r w:rsidR="005F0BFB" w:rsidRPr="00A30AD3">
        <w:t xml:space="preserve">: </w:t>
      </w:r>
      <w:r w:rsidR="009753DE">
        <w:t xml:space="preserve">Critique of </w:t>
      </w:r>
      <w:r w:rsidR="00AA10EE">
        <w:t>S</w:t>
      </w:r>
      <w:r w:rsidR="009753DE">
        <w:t xml:space="preserve">tatements of </w:t>
      </w:r>
      <w:r w:rsidR="00AA10EE">
        <w:t>C</w:t>
      </w:r>
      <w:r w:rsidR="009753DE">
        <w:t>ompatibility</w:t>
      </w:r>
      <w:bookmarkEnd w:id="199"/>
      <w:bookmarkEnd w:id="200"/>
    </w:p>
    <w:p w14:paraId="6E96F7CE" w14:textId="47F4B46D" w:rsidR="009753DE" w:rsidRPr="00460496" w:rsidRDefault="009753DE" w:rsidP="00460496">
      <w:r w:rsidRPr="00BB519F">
        <w:rPr>
          <w:i/>
        </w:rPr>
        <w:t xml:space="preserve">This indicator considers whether portfolio </w:t>
      </w:r>
      <w:r w:rsidR="002D41B9">
        <w:rPr>
          <w:i/>
        </w:rPr>
        <w:t>Committee</w:t>
      </w:r>
      <w:r w:rsidRPr="00BB519F">
        <w:rPr>
          <w:i/>
        </w:rPr>
        <w:t xml:space="preserve">s </w:t>
      </w:r>
      <w:r>
        <w:rPr>
          <w:i/>
        </w:rPr>
        <w:t xml:space="preserve">determined that </w:t>
      </w:r>
      <w:r w:rsidR="00AA10EE">
        <w:rPr>
          <w:i/>
        </w:rPr>
        <w:t>S</w:t>
      </w:r>
      <w:r>
        <w:rPr>
          <w:i/>
        </w:rPr>
        <w:t xml:space="preserve">tatements of </w:t>
      </w:r>
      <w:r w:rsidR="00AA10EE">
        <w:rPr>
          <w:i/>
        </w:rPr>
        <w:t>C</w:t>
      </w:r>
      <w:r>
        <w:rPr>
          <w:i/>
        </w:rPr>
        <w:t>ompatibility were</w:t>
      </w:r>
      <w:r>
        <w:rPr>
          <w:bCs/>
          <w:i/>
        </w:rPr>
        <w:t xml:space="preserve"> inadequate in reports to </w:t>
      </w:r>
      <w:r w:rsidR="00AB3C4B">
        <w:rPr>
          <w:bCs/>
          <w:i/>
        </w:rPr>
        <w:t>p</w:t>
      </w:r>
      <w:r w:rsidR="006D538A">
        <w:rPr>
          <w:bCs/>
          <w:i/>
        </w:rPr>
        <w:t>arliament</w:t>
      </w:r>
      <w:r>
        <w:rPr>
          <w:bCs/>
          <w:i/>
        </w:rPr>
        <w:t>.</w:t>
      </w:r>
    </w:p>
    <w:p w14:paraId="5CA80A9D" w14:textId="69B11AA3" w:rsidR="008066A4" w:rsidRPr="008066A4" w:rsidRDefault="002D41B9" w:rsidP="00E84679">
      <w:r>
        <w:t>Committee</w:t>
      </w:r>
      <w:r w:rsidR="008066A4" w:rsidRPr="008066A4">
        <w:t xml:space="preserve"> reports identified deficiencies in 10 </w:t>
      </w:r>
      <w:r w:rsidR="00AA10EE">
        <w:t>S</w:t>
      </w:r>
      <w:r w:rsidR="00FD5454">
        <w:t xml:space="preserve">tatements of </w:t>
      </w:r>
      <w:r w:rsidR="00AA10EE">
        <w:t>C</w:t>
      </w:r>
      <w:r w:rsidR="00FD5454">
        <w:t>ompatibility</w:t>
      </w:r>
      <w:r w:rsidR="008066A4" w:rsidRPr="008066A4">
        <w:t xml:space="preserve">, </w:t>
      </w:r>
      <w:r w:rsidR="003C2018">
        <w:t xml:space="preserve">meaning </w:t>
      </w:r>
      <w:r w:rsidR="00AA10EE">
        <w:t xml:space="preserve">that </w:t>
      </w:r>
      <w:r w:rsidR="003C2018">
        <w:t xml:space="preserve">of the </w:t>
      </w:r>
      <w:r w:rsidR="00AA10EE">
        <w:t>B</w:t>
      </w:r>
      <w:r w:rsidR="003C2018">
        <w:t xml:space="preserve">ills referred to </w:t>
      </w:r>
      <w:r>
        <w:t>Committee</w:t>
      </w:r>
      <w:r w:rsidR="003C2018">
        <w:t xml:space="preserve">, </w:t>
      </w:r>
      <w:r w:rsidR="004F6D7D">
        <w:t>approximately half</w:t>
      </w:r>
      <w:r w:rsidR="008066A4" w:rsidRPr="008066A4">
        <w:t xml:space="preserve"> were found to have adequate </w:t>
      </w:r>
      <w:r w:rsidR="00FD5454">
        <w:t>statements</w:t>
      </w:r>
      <w:r w:rsidR="008066A4" w:rsidRPr="008066A4">
        <w:t>.</w:t>
      </w:r>
      <w:r w:rsidR="006E1684">
        <w:rPr>
          <w:rStyle w:val="FootnoteReference"/>
        </w:rPr>
        <w:footnoteReference w:id="26"/>
      </w:r>
      <w:r w:rsidR="008066A4" w:rsidRPr="008066A4">
        <w:t xml:space="preserve"> Improvements </w:t>
      </w:r>
      <w:r w:rsidR="000819C4">
        <w:t xml:space="preserve">to statements </w:t>
      </w:r>
      <w:r w:rsidR="008066A4" w:rsidRPr="008066A4">
        <w:t xml:space="preserve">recommended by </w:t>
      </w:r>
      <w:r>
        <w:t>Committee</w:t>
      </w:r>
      <w:r w:rsidR="008066A4" w:rsidRPr="008066A4">
        <w:t>s</w:t>
      </w:r>
      <w:r w:rsidR="00197317">
        <w:t xml:space="preserve"> </w:t>
      </w:r>
      <w:r w:rsidR="008066A4" w:rsidRPr="008066A4">
        <w:t>included:</w:t>
      </w:r>
    </w:p>
    <w:p w14:paraId="60F03151" w14:textId="39EF9A0C" w:rsidR="002E5D13" w:rsidRPr="00195DF4" w:rsidRDefault="005F344C" w:rsidP="00195DF4">
      <w:pPr>
        <w:pStyle w:val="ListParagraph"/>
      </w:pPr>
      <w:r w:rsidRPr="00195DF4">
        <w:t>p</w:t>
      </w:r>
      <w:r w:rsidR="002E5D13" w:rsidRPr="00195DF4">
        <w:t>roviding sufficient evidence to enable a robust analysis of whether the proposed measures will be effective at achieving their stated aims and which less restrictive alternatives had been considered</w:t>
      </w:r>
    </w:p>
    <w:p w14:paraId="79A0D61A" w14:textId="30963E55" w:rsidR="002E5D13" w:rsidRPr="00195DF4" w:rsidRDefault="00B35BB2" w:rsidP="00195DF4">
      <w:pPr>
        <w:pStyle w:val="ListParagraph"/>
      </w:pPr>
      <w:r w:rsidRPr="00195DF4">
        <w:t>i</w:t>
      </w:r>
      <w:r w:rsidR="00F81456" w:rsidRPr="00195DF4">
        <w:t xml:space="preserve">ncluding </w:t>
      </w:r>
      <w:r w:rsidR="002E5D13" w:rsidRPr="00195DF4">
        <w:t xml:space="preserve">the views of stakeholders and </w:t>
      </w:r>
      <w:r w:rsidRPr="00195DF4">
        <w:t xml:space="preserve">their </w:t>
      </w:r>
      <w:r w:rsidR="002E5D13" w:rsidRPr="00195DF4">
        <w:t>suggestions about reasonably available alternatives</w:t>
      </w:r>
      <w:r w:rsidR="005F344C" w:rsidRPr="00195DF4">
        <w:t>, where targeted consultation was undertaken in developing the Bill</w:t>
      </w:r>
      <w:r w:rsidR="00D03AB2">
        <w:t xml:space="preserve"> </w:t>
      </w:r>
      <w:r w:rsidR="002E5D13" w:rsidRPr="002D54D7">
        <w:rPr>
          <w:vertAlign w:val="superscript"/>
        </w:rPr>
        <w:footnoteReference w:id="27"/>
      </w:r>
    </w:p>
    <w:p w14:paraId="2A428FF1" w14:textId="6C8D59A3" w:rsidR="002E5D13" w:rsidRPr="00195DF4" w:rsidRDefault="00B35BB2" w:rsidP="00195DF4">
      <w:pPr>
        <w:pStyle w:val="ListParagraph"/>
      </w:pPr>
      <w:r w:rsidRPr="00195DF4">
        <w:t>providing g</w:t>
      </w:r>
      <w:r w:rsidR="002E5D13" w:rsidRPr="00195DF4">
        <w:t xml:space="preserve">reater detail to assist the </w:t>
      </w:r>
      <w:r w:rsidR="002D41B9" w:rsidRPr="00195DF4">
        <w:t>Committee</w:t>
      </w:r>
      <w:r w:rsidR="002E5D13" w:rsidRPr="00195DF4">
        <w:t>’s consideration</w:t>
      </w:r>
      <w:r w:rsidR="002E5D13" w:rsidRPr="002D54D7">
        <w:rPr>
          <w:vertAlign w:val="superscript"/>
        </w:rPr>
        <w:footnoteReference w:id="28"/>
      </w:r>
    </w:p>
    <w:p w14:paraId="5698EAFD" w14:textId="1216D977" w:rsidR="002E5D13" w:rsidRPr="00195DF4" w:rsidRDefault="00B35BB2" w:rsidP="00195DF4">
      <w:pPr>
        <w:pStyle w:val="ListParagraph"/>
      </w:pPr>
      <w:r w:rsidRPr="00195DF4">
        <w:lastRenderedPageBreak/>
        <w:t>providing m</w:t>
      </w:r>
      <w:r w:rsidR="002E5D13" w:rsidRPr="00195DF4">
        <w:t>ore detailed descriptions of the positive rights impacts of the Bill, including more detailed reference to the relevant provisions of United Nations instruments</w:t>
      </w:r>
    </w:p>
    <w:p w14:paraId="437BCEF7" w14:textId="4AF5CD85" w:rsidR="002E5D13" w:rsidRPr="00195DF4" w:rsidRDefault="00035057" w:rsidP="00195DF4">
      <w:pPr>
        <w:pStyle w:val="ListParagraph"/>
      </w:pPr>
      <w:r w:rsidRPr="00195DF4">
        <w:t>e</w:t>
      </w:r>
      <w:r w:rsidR="00B35BB2" w:rsidRPr="00195DF4">
        <w:t xml:space="preserve">ngaging </w:t>
      </w:r>
      <w:r w:rsidRPr="00195DF4">
        <w:t>more directly with international law and comparative law sources</w:t>
      </w:r>
      <w:r w:rsidR="002E5D13" w:rsidRPr="00195DF4">
        <w:t xml:space="preserve"> </w:t>
      </w:r>
      <w:r w:rsidRPr="00195DF4">
        <w:t xml:space="preserve">by </w:t>
      </w:r>
      <w:r w:rsidR="002E5D13" w:rsidRPr="00195DF4">
        <w:t xml:space="preserve">drafters of </w:t>
      </w:r>
      <w:r w:rsidRPr="00195DF4">
        <w:t>S</w:t>
      </w:r>
      <w:r w:rsidR="002E5D13" w:rsidRPr="00195DF4">
        <w:t xml:space="preserve">tatements of </w:t>
      </w:r>
      <w:r w:rsidRPr="00195DF4">
        <w:t>C</w:t>
      </w:r>
      <w:r w:rsidR="002E5D13" w:rsidRPr="00195DF4">
        <w:t>ompatibility</w:t>
      </w:r>
      <w:r w:rsidR="007B06CA" w:rsidRPr="00195DF4">
        <w:t>,</w:t>
      </w:r>
      <w:r w:rsidR="002E5D13" w:rsidRPr="00195DF4">
        <w:t xml:space="preserve"> particularly when describing the nature of the rights protected under the </w:t>
      </w:r>
      <w:r w:rsidR="009753DE" w:rsidRPr="00195DF4">
        <w:t>Act</w:t>
      </w:r>
      <w:r w:rsidR="002E5D13" w:rsidRPr="002D54D7">
        <w:rPr>
          <w:vertAlign w:val="superscript"/>
        </w:rPr>
        <w:footnoteReference w:id="29"/>
      </w:r>
    </w:p>
    <w:p w14:paraId="7FBFB883" w14:textId="2351CBA9" w:rsidR="002E5D13" w:rsidRPr="00195DF4" w:rsidRDefault="00B63501" w:rsidP="00195DF4">
      <w:pPr>
        <w:pStyle w:val="ListParagraph"/>
      </w:pPr>
      <w:r w:rsidRPr="00195DF4">
        <w:t>i</w:t>
      </w:r>
      <w:r w:rsidR="003369DD" w:rsidRPr="00195DF4">
        <w:t>dentifying the particular clauses of a Bill being addressed by</w:t>
      </w:r>
      <w:r w:rsidR="000819C4" w:rsidRPr="00195DF4">
        <w:t xml:space="preserve"> </w:t>
      </w:r>
      <w:r w:rsidR="003369DD" w:rsidRPr="00195DF4">
        <w:t>S</w:t>
      </w:r>
      <w:r w:rsidR="009A473C" w:rsidRPr="00195DF4">
        <w:t>tatements</w:t>
      </w:r>
      <w:r w:rsidR="002E5D13" w:rsidRPr="00195DF4">
        <w:t xml:space="preserve"> </w:t>
      </w:r>
      <w:r w:rsidR="003369DD" w:rsidRPr="00195DF4">
        <w:t>of Compatibility</w:t>
      </w:r>
      <w:r w:rsidR="002E5D13" w:rsidRPr="00195DF4">
        <w:t xml:space="preserve"> and apply</w:t>
      </w:r>
      <w:r w:rsidR="000819C4" w:rsidRPr="00195DF4">
        <w:t>ing</w:t>
      </w:r>
      <w:r w:rsidR="002E5D13" w:rsidRPr="00195DF4">
        <w:t xml:space="preserve"> the limitations analysis to each human right being addressed.</w:t>
      </w:r>
      <w:r w:rsidR="002E5D13" w:rsidRPr="002D54D7">
        <w:rPr>
          <w:vertAlign w:val="superscript"/>
        </w:rPr>
        <w:footnoteReference w:id="30"/>
      </w:r>
    </w:p>
    <w:p w14:paraId="7C272E7B" w14:textId="0314AEBA" w:rsidR="008066A4" w:rsidRDefault="008066A4" w:rsidP="00195DF4">
      <w:pPr>
        <w:pStyle w:val="Heading2"/>
      </w:pPr>
      <w:bookmarkStart w:id="201" w:name="_Toc85526654"/>
      <w:bookmarkStart w:id="202" w:name="_Toc85787069"/>
      <w:r w:rsidRPr="00A30AD3">
        <w:t xml:space="preserve">Indicator </w:t>
      </w:r>
      <w:r w:rsidR="001E40A5">
        <w:t>6</w:t>
      </w:r>
      <w:r w:rsidR="009511F0" w:rsidRPr="00A30AD3">
        <w:t xml:space="preserve">: </w:t>
      </w:r>
      <w:r w:rsidR="00395E9C">
        <w:t>Additional information</w:t>
      </w:r>
      <w:r w:rsidR="00D02B04">
        <w:t xml:space="preserve"> </w:t>
      </w:r>
      <w:r w:rsidR="00FC1585">
        <w:t xml:space="preserve">received by </w:t>
      </w:r>
      <w:r w:rsidR="002D41B9">
        <w:t>Committee</w:t>
      </w:r>
      <w:bookmarkEnd w:id="201"/>
      <w:bookmarkEnd w:id="202"/>
      <w:r w:rsidR="00395E9C">
        <w:t xml:space="preserve"> </w:t>
      </w:r>
    </w:p>
    <w:p w14:paraId="2A23D74D" w14:textId="0133B8D2" w:rsidR="00395E9C" w:rsidRPr="00395E9C" w:rsidRDefault="00395E9C" w:rsidP="00460496">
      <w:pPr>
        <w:rPr>
          <w:b/>
          <w:bCs/>
        </w:rPr>
      </w:pPr>
      <w:r w:rsidRPr="00BB519F">
        <w:rPr>
          <w:i/>
        </w:rPr>
        <w:t xml:space="preserve">This indicator considers whether portfolio </w:t>
      </w:r>
      <w:r w:rsidR="002D41B9">
        <w:rPr>
          <w:i/>
        </w:rPr>
        <w:t>Committee</w:t>
      </w:r>
      <w:r w:rsidRPr="00BB519F">
        <w:rPr>
          <w:i/>
        </w:rPr>
        <w:t>s</w:t>
      </w:r>
      <w:r>
        <w:rPr>
          <w:i/>
        </w:rPr>
        <w:t xml:space="preserve"> </w:t>
      </w:r>
      <w:r w:rsidR="004F6D7D">
        <w:rPr>
          <w:i/>
        </w:rPr>
        <w:t>received</w:t>
      </w:r>
      <w:r>
        <w:rPr>
          <w:i/>
        </w:rPr>
        <w:t xml:space="preserve"> further information and whether this resolved concerns about lack of justification for human rights limitations.</w:t>
      </w:r>
    </w:p>
    <w:p w14:paraId="4248B99D" w14:textId="2D8AFAE2" w:rsidR="00A861A5" w:rsidRDefault="00A861A5" w:rsidP="00E84679">
      <w:r>
        <w:t>This indicator is</w:t>
      </w:r>
      <w:r w:rsidRPr="00A861A5">
        <w:t xml:space="preserve"> particularly relevant to the Queensland scrutiny process, as the ongoing dialogue between departments, the </w:t>
      </w:r>
      <w:r w:rsidR="002D41B9">
        <w:t>Committee</w:t>
      </w:r>
      <w:r w:rsidR="00061745">
        <w:t>s</w:t>
      </w:r>
      <w:r w:rsidRPr="00A861A5">
        <w:t xml:space="preserve"> and stakeholders through the inquiry process allows further justification information to be elicited from the government and published in the </w:t>
      </w:r>
      <w:r w:rsidR="002D41B9">
        <w:t>Committee</w:t>
      </w:r>
      <w:r w:rsidRPr="00A861A5">
        <w:t xml:space="preserve"> reports.</w:t>
      </w:r>
      <w:r w:rsidR="00197317">
        <w:t xml:space="preserve"> </w:t>
      </w:r>
    </w:p>
    <w:p w14:paraId="062F2856" w14:textId="6BEBD65E" w:rsidR="008066A4" w:rsidRPr="008066A4" w:rsidRDefault="008066A4" w:rsidP="00E84679">
      <w:r w:rsidRPr="008066A4">
        <w:t xml:space="preserve">Of those 10 </w:t>
      </w:r>
      <w:r w:rsidR="00F81F71">
        <w:t>S</w:t>
      </w:r>
      <w:r w:rsidR="002E5D13">
        <w:t xml:space="preserve">tatements of </w:t>
      </w:r>
      <w:r w:rsidR="00F81F71">
        <w:t>C</w:t>
      </w:r>
      <w:r w:rsidR="002E5D13">
        <w:t>ompatibility</w:t>
      </w:r>
      <w:r w:rsidRPr="008066A4">
        <w:t xml:space="preserve"> in which </w:t>
      </w:r>
      <w:r w:rsidR="002D41B9">
        <w:t>Committee</w:t>
      </w:r>
      <w:r w:rsidRPr="008066A4">
        <w:t xml:space="preserve">s identified deficiencies, on </w:t>
      </w:r>
      <w:r w:rsidR="00F81F71">
        <w:t xml:space="preserve">4 </w:t>
      </w:r>
      <w:r w:rsidR="00617843">
        <w:t>o</w:t>
      </w:r>
      <w:r w:rsidRPr="008066A4">
        <w:t xml:space="preserve">ccasions the </w:t>
      </w:r>
      <w:r w:rsidR="002D41B9">
        <w:t>Committee</w:t>
      </w:r>
      <w:r w:rsidRPr="008066A4">
        <w:t xml:space="preserve"> received further information through the inquiry process to address some or all issues.</w:t>
      </w:r>
      <w:r w:rsidR="00621818">
        <w:rPr>
          <w:rStyle w:val="FootnoteReference"/>
        </w:rPr>
        <w:footnoteReference w:id="31"/>
      </w:r>
      <w:r w:rsidRPr="008066A4">
        <w:t xml:space="preserve"> </w:t>
      </w:r>
    </w:p>
    <w:p w14:paraId="34D5E5BD" w14:textId="7F827317" w:rsidR="009511F0" w:rsidRDefault="008066A4" w:rsidP="00195DF4">
      <w:pPr>
        <w:pStyle w:val="Heading2"/>
      </w:pPr>
      <w:bookmarkStart w:id="203" w:name="_Toc85526655"/>
      <w:bookmarkStart w:id="204" w:name="_Toc85787070"/>
      <w:r w:rsidRPr="00A30AD3">
        <w:t xml:space="preserve">Indicator </w:t>
      </w:r>
      <w:r w:rsidR="00452FB9">
        <w:t>7</w:t>
      </w:r>
      <w:r w:rsidR="009511F0" w:rsidRPr="00A30AD3">
        <w:t xml:space="preserve">: </w:t>
      </w:r>
      <w:r w:rsidR="002D41B9">
        <w:t>Committee</w:t>
      </w:r>
      <w:r w:rsidR="007721F7">
        <w:t xml:space="preserve"> r</w:t>
      </w:r>
      <w:r w:rsidR="00061745">
        <w:t>ecommendations</w:t>
      </w:r>
      <w:r w:rsidR="00BC6590">
        <w:t xml:space="preserve"> </w:t>
      </w:r>
      <w:r w:rsidR="00061745">
        <w:t>about human rights</w:t>
      </w:r>
      <w:bookmarkEnd w:id="203"/>
      <w:bookmarkEnd w:id="204"/>
    </w:p>
    <w:p w14:paraId="19AD7B2E" w14:textId="3E551A3F" w:rsidR="00061745" w:rsidRDefault="00061745">
      <w:pPr>
        <w:rPr>
          <w:i/>
        </w:rPr>
      </w:pPr>
      <w:r w:rsidRPr="00BB519F">
        <w:rPr>
          <w:i/>
        </w:rPr>
        <w:t xml:space="preserve">This indicator considers whether portfolio </w:t>
      </w:r>
      <w:r w:rsidR="002D41B9">
        <w:rPr>
          <w:i/>
        </w:rPr>
        <w:t>Committee</w:t>
      </w:r>
      <w:r w:rsidRPr="00BB519F">
        <w:rPr>
          <w:i/>
        </w:rPr>
        <w:t>s</w:t>
      </w:r>
      <w:r>
        <w:rPr>
          <w:i/>
        </w:rPr>
        <w:t xml:space="preserve"> made recommendations about human rights compatibility in reports to </w:t>
      </w:r>
      <w:r w:rsidR="00AB3C4B">
        <w:rPr>
          <w:i/>
        </w:rPr>
        <w:t>p</w:t>
      </w:r>
      <w:r w:rsidR="006D538A">
        <w:rPr>
          <w:i/>
        </w:rPr>
        <w:t>arliament</w:t>
      </w:r>
      <w:r>
        <w:rPr>
          <w:i/>
        </w:rPr>
        <w:t>.</w:t>
      </w:r>
    </w:p>
    <w:p w14:paraId="62C59BFA" w14:textId="5FC21309" w:rsidR="005B6762" w:rsidRPr="00030693" w:rsidRDefault="005B6762" w:rsidP="005B6762">
      <w:r>
        <w:rPr>
          <w:iCs/>
        </w:rPr>
        <w:lastRenderedPageBreak/>
        <w:t>It appears no formal recommendations about human rights were made during the reporting period</w:t>
      </w:r>
      <w:r w:rsidR="00133962">
        <w:rPr>
          <w:iCs/>
        </w:rPr>
        <w:t xml:space="preserve">, however in relation to one Bill, the </w:t>
      </w:r>
      <w:r w:rsidR="002D41B9">
        <w:rPr>
          <w:iCs/>
        </w:rPr>
        <w:t>Committee</w:t>
      </w:r>
      <w:r w:rsidR="00133962">
        <w:rPr>
          <w:iCs/>
        </w:rPr>
        <w:t xml:space="preserve"> did </w:t>
      </w:r>
      <w:r w:rsidR="005B6C09">
        <w:rPr>
          <w:iCs/>
        </w:rPr>
        <w:t xml:space="preserve">make a </w:t>
      </w:r>
      <w:r w:rsidR="00D830C0">
        <w:rPr>
          <w:iCs/>
        </w:rPr>
        <w:t>specific comment encouraging</w:t>
      </w:r>
      <w:r w:rsidR="00133962">
        <w:rPr>
          <w:iCs/>
        </w:rPr>
        <w:t xml:space="preserve"> the </w:t>
      </w:r>
      <w:r w:rsidR="00F473BC">
        <w:rPr>
          <w:iCs/>
        </w:rPr>
        <w:t>m</w:t>
      </w:r>
      <w:r w:rsidR="00133962">
        <w:rPr>
          <w:iCs/>
        </w:rPr>
        <w:t>inister to respond to its concerns in her second reading speech.</w:t>
      </w:r>
      <w:r w:rsidR="008C7BF3">
        <w:rPr>
          <w:rStyle w:val="FootnoteReference"/>
          <w:iCs/>
        </w:rPr>
        <w:footnoteReference w:id="32"/>
      </w:r>
      <w:r w:rsidR="00197317">
        <w:rPr>
          <w:iCs/>
        </w:rPr>
        <w:t xml:space="preserve"> </w:t>
      </w:r>
    </w:p>
    <w:p w14:paraId="5A2B2443" w14:textId="00D73F84" w:rsidR="008066A4" w:rsidRDefault="009511F0" w:rsidP="00195DF4">
      <w:pPr>
        <w:pStyle w:val="Heading2"/>
      </w:pPr>
      <w:bookmarkStart w:id="205" w:name="_Toc85526656"/>
      <w:bookmarkStart w:id="206" w:name="_Toc85787071"/>
      <w:r w:rsidRPr="00A30AD3">
        <w:t xml:space="preserve">Indicator </w:t>
      </w:r>
      <w:r w:rsidR="0072041A">
        <w:t>8</w:t>
      </w:r>
      <w:r w:rsidR="003215BE" w:rsidRPr="00A30AD3">
        <w:t xml:space="preserve">: </w:t>
      </w:r>
      <w:r w:rsidR="007721F7">
        <w:t xml:space="preserve">Introducing member responded to report by providing further information </w:t>
      </w:r>
      <w:bookmarkEnd w:id="205"/>
      <w:bookmarkEnd w:id="206"/>
    </w:p>
    <w:p w14:paraId="262BA8D9" w14:textId="7F7513B1" w:rsidR="00061745" w:rsidRPr="00030693" w:rsidRDefault="00061745" w:rsidP="00030693">
      <w:r w:rsidRPr="00BB519F">
        <w:rPr>
          <w:i/>
        </w:rPr>
        <w:t xml:space="preserve">This indicator considers whether </w:t>
      </w:r>
      <w:r>
        <w:rPr>
          <w:i/>
        </w:rPr>
        <w:t xml:space="preserve">the </w:t>
      </w:r>
      <w:r w:rsidR="00AB3C4B">
        <w:rPr>
          <w:i/>
        </w:rPr>
        <w:t>m</w:t>
      </w:r>
      <w:r>
        <w:rPr>
          <w:i/>
        </w:rPr>
        <w:t xml:space="preserve">ember of </w:t>
      </w:r>
      <w:r w:rsidR="00AB3C4B">
        <w:rPr>
          <w:i/>
        </w:rPr>
        <w:t>p</w:t>
      </w:r>
      <w:r w:rsidR="006D538A">
        <w:rPr>
          <w:i/>
        </w:rPr>
        <w:t>arliament</w:t>
      </w:r>
      <w:r>
        <w:rPr>
          <w:i/>
        </w:rPr>
        <w:t xml:space="preserve"> introducing the Bill responded to </w:t>
      </w:r>
      <w:r w:rsidR="002D41B9">
        <w:rPr>
          <w:i/>
        </w:rPr>
        <w:t>Committee</w:t>
      </w:r>
      <w:r>
        <w:rPr>
          <w:i/>
        </w:rPr>
        <w:t xml:space="preserve"> recommendations and/or provided further justification for limitations on human rights.</w:t>
      </w:r>
    </w:p>
    <w:p w14:paraId="441B00F2" w14:textId="1EA56DF9" w:rsidR="008066A4" w:rsidRDefault="00B15222" w:rsidP="00E84679">
      <w:r>
        <w:t>This indicator is relevant to</w:t>
      </w:r>
      <w:r w:rsidR="00DA70D1">
        <w:t xml:space="preserve"> only one </w:t>
      </w:r>
      <w:r w:rsidR="00061745">
        <w:t>Bill in 2020-21</w:t>
      </w:r>
      <w:r w:rsidR="000F66E3">
        <w:t xml:space="preserve">, </w:t>
      </w:r>
      <w:r w:rsidR="008066A4" w:rsidRPr="008066A4">
        <w:t xml:space="preserve">the </w:t>
      </w:r>
      <w:r w:rsidR="008066A4" w:rsidRPr="00030693">
        <w:t xml:space="preserve">COVID-19 Emergency Response and Other Legislation Amendment </w:t>
      </w:r>
      <w:r w:rsidR="00C57A19" w:rsidRPr="00030693">
        <w:t xml:space="preserve">Bill </w:t>
      </w:r>
      <w:r w:rsidR="008066A4" w:rsidRPr="00030693">
        <w:t>2021</w:t>
      </w:r>
      <w:r w:rsidR="008066A4" w:rsidRPr="008066A4">
        <w:t xml:space="preserve">. </w:t>
      </w:r>
      <w:r>
        <w:t>In a comment, t</w:t>
      </w:r>
      <w:r w:rsidR="008066A4" w:rsidRPr="008066A4">
        <w:t xml:space="preserve">he Economics and Governance </w:t>
      </w:r>
      <w:r w:rsidR="002D41B9">
        <w:t>Committee</w:t>
      </w:r>
      <w:r w:rsidR="008066A4" w:rsidRPr="008066A4">
        <w:t xml:space="preserve"> encouraged the Attorney-General to make clear during her second reading speech the expectation on local councils as to how extended temporary meeting provisions would be used. While not explicitly cited, some of these concerns were relevant to human rights and the </w:t>
      </w:r>
      <w:r w:rsidR="002D41B9">
        <w:t>Committee</w:t>
      </w:r>
      <w:r w:rsidR="008066A4" w:rsidRPr="008066A4">
        <w:t xml:space="preserve"> noted it would have welcomed further detail in the </w:t>
      </w:r>
      <w:r w:rsidR="000F66E3">
        <w:t>statement</w:t>
      </w:r>
      <w:r w:rsidR="008066A4" w:rsidRPr="008066A4">
        <w:t>. The Attorney</w:t>
      </w:r>
      <w:r w:rsidR="00061745">
        <w:t>-General</w:t>
      </w:r>
      <w:r w:rsidR="008066A4" w:rsidRPr="008066A4">
        <w:t xml:space="preserve"> responded to the </w:t>
      </w:r>
      <w:r w:rsidR="002D41B9">
        <w:t>Committee</w:t>
      </w:r>
      <w:r w:rsidR="008066A4" w:rsidRPr="008066A4">
        <w:t xml:space="preserve">’s concerns about local council meetings in her speech, and also took the opportunity to address other issues identified in the </w:t>
      </w:r>
      <w:r w:rsidR="002D41B9">
        <w:t>Committee</w:t>
      </w:r>
      <w:r w:rsidR="008066A4" w:rsidRPr="008066A4">
        <w:t xml:space="preserve"> report.</w:t>
      </w:r>
      <w:r w:rsidR="00197317">
        <w:t xml:space="preserve"> </w:t>
      </w:r>
    </w:p>
    <w:p w14:paraId="06AC04E8" w14:textId="3914AAEB" w:rsidR="000F66E3" w:rsidRPr="008066A4" w:rsidRDefault="00B637B8" w:rsidP="00E84679">
      <w:r>
        <w:t xml:space="preserve">In </w:t>
      </w:r>
      <w:r w:rsidR="000F66E3">
        <w:t xml:space="preserve">relation to other legislation, while not formally required to do so, the minister did table further information to </w:t>
      </w:r>
      <w:r w:rsidR="00FC53D7">
        <w:t>justify limitations on rights.</w:t>
      </w:r>
      <w:r w:rsidR="00FC53D7">
        <w:rPr>
          <w:rStyle w:val="FootnoteReference"/>
          <w:bCs/>
        </w:rPr>
        <w:footnoteReference w:id="33"/>
      </w:r>
    </w:p>
    <w:p w14:paraId="5B001F40" w14:textId="0E86C04D" w:rsidR="008066A4" w:rsidRDefault="007E5E9E" w:rsidP="00195DF4">
      <w:pPr>
        <w:pStyle w:val="Heading2"/>
      </w:pPr>
      <w:bookmarkStart w:id="207" w:name="_Toc85526657"/>
      <w:bookmarkStart w:id="208" w:name="_Toc85787072"/>
      <w:r w:rsidRPr="00A30AD3">
        <w:t>Indicator</w:t>
      </w:r>
      <w:r w:rsidR="008066A4" w:rsidRPr="00A30AD3">
        <w:t xml:space="preserve"> </w:t>
      </w:r>
      <w:r w:rsidR="00944229">
        <w:t xml:space="preserve">9: </w:t>
      </w:r>
      <w:r w:rsidR="00AB2F0F">
        <w:t>Bill amended</w:t>
      </w:r>
      <w:r w:rsidR="003016F2">
        <w:t xml:space="preserve"> </w:t>
      </w:r>
      <w:r w:rsidR="00576132">
        <w:t>as a result of report</w:t>
      </w:r>
      <w:bookmarkEnd w:id="207"/>
      <w:bookmarkEnd w:id="208"/>
    </w:p>
    <w:p w14:paraId="0B18CFF6" w14:textId="06A8D04D" w:rsidR="00195DF4" w:rsidRPr="00195DF4" w:rsidRDefault="00195DF4" w:rsidP="00E84679">
      <w:pPr>
        <w:rPr>
          <w:i/>
        </w:rPr>
      </w:pPr>
      <w:r w:rsidRPr="00195DF4">
        <w:rPr>
          <w:i/>
        </w:rPr>
        <w:t xml:space="preserve">This indicator considers whether </w:t>
      </w:r>
      <w:r w:rsidR="00AB3C4B">
        <w:rPr>
          <w:i/>
        </w:rPr>
        <w:t>p</w:t>
      </w:r>
      <w:r w:rsidRPr="00195DF4">
        <w:rPr>
          <w:i/>
        </w:rPr>
        <w:t xml:space="preserve">arliament responded to human rights issues raised in the Committee process by amending the Bill. </w:t>
      </w:r>
    </w:p>
    <w:p w14:paraId="56D3A3AF" w14:textId="357CAD80" w:rsidR="008066A4" w:rsidRDefault="008066A4" w:rsidP="00D37C13">
      <w:pPr>
        <w:tabs>
          <w:tab w:val="left" w:pos="3510"/>
        </w:tabs>
      </w:pPr>
      <w:r w:rsidRPr="008066A4">
        <w:t xml:space="preserve">While not formally recommended by a </w:t>
      </w:r>
      <w:r w:rsidR="002D41B9">
        <w:t>Committee</w:t>
      </w:r>
      <w:r w:rsidRPr="008066A4">
        <w:t xml:space="preserve">, the government did move amendments to the Youth Justice and Other Legislation Amendment </w:t>
      </w:r>
      <w:r w:rsidR="005456E5">
        <w:t>Bill</w:t>
      </w:r>
      <w:r w:rsidRPr="008066A4">
        <w:t xml:space="preserve"> 2021 arising from concerns raised during the inquiry about the use of the term ‘tracker’ in the Bill. </w:t>
      </w:r>
      <w:r w:rsidR="00172A75">
        <w:t>The</w:t>
      </w:r>
      <w:r w:rsidR="00172A75" w:rsidDel="00061745">
        <w:t xml:space="preserve"> </w:t>
      </w:r>
      <w:r w:rsidR="00061745">
        <w:t xml:space="preserve">Bill </w:t>
      </w:r>
      <w:r w:rsidR="00172A75">
        <w:t>passed with these</w:t>
      </w:r>
      <w:r w:rsidRPr="008066A4">
        <w:t xml:space="preserve"> amendments. </w:t>
      </w:r>
    </w:p>
    <w:bookmarkEnd w:id="192"/>
    <w:p w14:paraId="06900F35" w14:textId="1BB5F076" w:rsidR="006936AD" w:rsidRPr="005C5B4A" w:rsidRDefault="005C5B4A" w:rsidP="63F480A7">
      <w:pPr>
        <w:pStyle w:val="Heading1"/>
        <w:rPr>
          <w:color w:val="337B9E"/>
        </w:rPr>
      </w:pPr>
      <w:r>
        <w:br w:type="page"/>
      </w:r>
      <w:bookmarkStart w:id="209" w:name="_Toc85451728"/>
      <w:bookmarkStart w:id="210" w:name="_Toc85526658"/>
      <w:bookmarkStart w:id="211" w:name="_Toc85787073"/>
      <w:r w:rsidR="2EFCBB9E" w:rsidRPr="63F480A7">
        <w:rPr>
          <w:color w:val="337B9E"/>
        </w:rPr>
        <w:lastRenderedPageBreak/>
        <w:t>Significant legislation 2020-21</w:t>
      </w:r>
      <w:bookmarkEnd w:id="209"/>
      <w:bookmarkEnd w:id="210"/>
      <w:bookmarkEnd w:id="211"/>
    </w:p>
    <w:p w14:paraId="7751117B" w14:textId="0C125B3F" w:rsidR="006936AD" w:rsidRPr="005C5B4A" w:rsidRDefault="2EFCBB9E" w:rsidP="63F480A7">
      <w:r>
        <w:t xml:space="preserve">A summary follows of legislation introduced in the 2020–21 financial year that raised significant human rights issues. In last year’s annual report, the Commission noted the discussion of cultural rights in the portfolio </w:t>
      </w:r>
      <w:r w:rsidR="002D41B9">
        <w:t>Committee</w:t>
      </w:r>
      <w:r>
        <w:t xml:space="preserve"> report regarding the Forest Wind Farm Development Bill 2020, which was introduced last reporting period and passed on 12 August 2020. </w:t>
      </w:r>
    </w:p>
    <w:p w14:paraId="2A6842AA" w14:textId="77777777" w:rsidR="006936AD" w:rsidRPr="00D4679F" w:rsidRDefault="2EFCBB9E" w:rsidP="63F480A7">
      <w:pPr>
        <w:pStyle w:val="Heading2"/>
        <w:rPr>
          <w:i/>
        </w:rPr>
      </w:pPr>
      <w:bookmarkStart w:id="212" w:name="_Toc85451729"/>
      <w:bookmarkStart w:id="213" w:name="_Toc85526659"/>
      <w:bookmarkStart w:id="214" w:name="_Toc85787074"/>
      <w:r w:rsidRPr="00D4679F">
        <w:rPr>
          <w:i/>
        </w:rPr>
        <w:t>Youth Justice and Other Legislation Amendment Act 2021</w:t>
      </w:r>
      <w:bookmarkEnd w:id="212"/>
      <w:bookmarkEnd w:id="213"/>
      <w:bookmarkEnd w:id="214"/>
      <w:r w:rsidRPr="00D4679F">
        <w:rPr>
          <w:i/>
        </w:rPr>
        <w:t xml:space="preserve"> </w:t>
      </w:r>
    </w:p>
    <w:p w14:paraId="0DE88C78" w14:textId="2B7D4146" w:rsidR="006936AD" w:rsidRPr="005C5B4A" w:rsidRDefault="2EFCBB9E" w:rsidP="63F480A7">
      <w:r>
        <w:t xml:space="preserve">The Youth Justice and Other Legislation Amendment Act contains significant limitations on human rights. While the scrutiny process demonstrates some positive developments in the implementation of a culture of human rights, it is concerning that it passed unamended despite the human rights limitations identified by many stakeholders and the </w:t>
      </w:r>
      <w:r w:rsidR="002D41B9">
        <w:t>Committee</w:t>
      </w:r>
      <w:r>
        <w:t xml:space="preserve">. </w:t>
      </w:r>
    </w:p>
    <w:p w14:paraId="0BBAB99E" w14:textId="77777777" w:rsidR="006936AD" w:rsidRPr="005C5B4A" w:rsidRDefault="2EFCBB9E" w:rsidP="63F480A7">
      <w:pPr>
        <w:rPr>
          <w:i/>
          <w:iCs/>
        </w:rPr>
      </w:pPr>
      <w:r>
        <w:t>The Act introduced changes to bail laws, including a trial of electronic monitoring of children on bail, and created a presumption against bail for children charged with certain offences. It also created a trial of increased police powers to stop a person and scan for knives and enhanced obligations on owners of vehicles in relation to hooning offences.</w:t>
      </w:r>
    </w:p>
    <w:p w14:paraId="5BECADE0" w14:textId="0397D1DC" w:rsidR="006936AD" w:rsidRPr="005C5B4A" w:rsidRDefault="2EFCBB9E" w:rsidP="63F480A7">
      <w:r>
        <w:t xml:space="preserve">The Commission made a submission to the Legal Affairs and Safety </w:t>
      </w:r>
      <w:r w:rsidR="002D41B9">
        <w:t>Committee</w:t>
      </w:r>
      <w:r>
        <w:t xml:space="preserve">’s inquiry, stating concerns that the measures significantly limit human rights, and may not achieve, or be proportionate to achieving, the stated purposes of enhancing community safety. The submission noted the lack of evidence to support the effectiveness of the measures, and that they will likely result in an increase to the number of children and young people in detention. </w:t>
      </w:r>
    </w:p>
    <w:p w14:paraId="55842C08" w14:textId="6FB2F144" w:rsidR="006936AD" w:rsidRPr="005C5B4A" w:rsidRDefault="2EFCBB9E" w:rsidP="63F480A7">
      <w:pPr>
        <w:rPr>
          <w:rFonts w:eastAsia="Times New Roman" w:cs="Arial"/>
        </w:rPr>
      </w:pPr>
      <w:r w:rsidRPr="63F480A7">
        <w:rPr>
          <w:rFonts w:eastAsia="Times New Roman" w:cs="Arial"/>
        </w:rPr>
        <w:t xml:space="preserve">In its report, the </w:t>
      </w:r>
      <w:r w:rsidR="002D41B9">
        <w:rPr>
          <w:rFonts w:eastAsia="Times New Roman" w:cs="Arial"/>
        </w:rPr>
        <w:t>Committee</w:t>
      </w:r>
      <w:r w:rsidRPr="63F480A7">
        <w:rPr>
          <w:rFonts w:eastAsia="Times New Roman" w:cs="Arial"/>
        </w:rPr>
        <w:t xml:space="preserve"> noted several significant human rights limitations but ultimately concluded adequate justification had been provided to demonstrate these limitations were reasonable.</w:t>
      </w:r>
      <w:r w:rsidR="00197317">
        <w:rPr>
          <w:rFonts w:eastAsia="Times New Roman" w:cs="Arial"/>
        </w:rPr>
        <w:t xml:space="preserve"> </w:t>
      </w:r>
    </w:p>
    <w:p w14:paraId="28BF15D6" w14:textId="0DACD2AF" w:rsidR="006936AD" w:rsidRPr="005C5B4A" w:rsidRDefault="2EFCBB9E" w:rsidP="63F480A7">
      <w:pPr>
        <w:rPr>
          <w:rFonts w:eastAsia="Times New Roman" w:cs="Arial"/>
        </w:rPr>
      </w:pPr>
      <w:r w:rsidRPr="63F480A7">
        <w:rPr>
          <w:rFonts w:eastAsia="Times New Roman" w:cs="Arial"/>
        </w:rPr>
        <w:lastRenderedPageBreak/>
        <w:t xml:space="preserve">For example, the </w:t>
      </w:r>
      <w:r w:rsidR="002D41B9">
        <w:rPr>
          <w:rFonts w:eastAsia="Times New Roman" w:cs="Arial"/>
        </w:rPr>
        <w:t>Committee</w:t>
      </w:r>
      <w:r w:rsidRPr="63F480A7">
        <w:rPr>
          <w:rFonts w:eastAsia="Times New Roman" w:cs="Arial"/>
        </w:rPr>
        <w:t xml:space="preserve"> noted ‘that the effectiveness of electronic monitoring at reducing the rate of reoffending on bail is far less clear than the position reflected in the </w:t>
      </w:r>
      <w:r w:rsidR="002D41B9">
        <w:rPr>
          <w:rFonts w:eastAsia="Times New Roman" w:cs="Arial"/>
        </w:rPr>
        <w:t>Statement of Compatibility</w:t>
      </w:r>
      <w:r w:rsidRPr="63F480A7">
        <w:rPr>
          <w:rFonts w:eastAsia="Times New Roman" w:cs="Arial"/>
        </w:rPr>
        <w:t>’.</w:t>
      </w:r>
      <w:r w:rsidR="005C5B4A" w:rsidRPr="63F480A7">
        <w:rPr>
          <w:rFonts w:eastAsia="Times New Roman" w:cs="Arial"/>
          <w:vertAlign w:val="superscript"/>
        </w:rPr>
        <w:footnoteReference w:id="34"/>
      </w:r>
      <w:r w:rsidRPr="63F480A7">
        <w:rPr>
          <w:rFonts w:eastAsia="Times New Roman" w:cs="Arial"/>
        </w:rPr>
        <w:t xml:space="preserve"> Nonetheless, the safeguards contained in the Bill, and the fact that the changes only applied in certain locations and were subject to evaluation, provided ‘some limitations on the rights-intrusive impacts of the proposed changes’.</w:t>
      </w:r>
      <w:r w:rsidR="005C5B4A" w:rsidRPr="63F480A7">
        <w:rPr>
          <w:rFonts w:eastAsia="Times New Roman" w:cs="Arial"/>
          <w:vertAlign w:val="superscript"/>
        </w:rPr>
        <w:footnoteReference w:id="35"/>
      </w:r>
      <w:r w:rsidRPr="63F480A7">
        <w:rPr>
          <w:rFonts w:eastAsia="Times New Roman" w:cs="Arial"/>
        </w:rPr>
        <w:t xml:space="preserve"> </w:t>
      </w:r>
    </w:p>
    <w:p w14:paraId="022CBDA1" w14:textId="10DB2C98" w:rsidR="006936AD" w:rsidRPr="005C5B4A" w:rsidRDefault="2EFCBB9E" w:rsidP="63F480A7">
      <w:r>
        <w:t xml:space="preserve">The </w:t>
      </w:r>
      <w:r w:rsidR="002D41B9">
        <w:t>Committee</w:t>
      </w:r>
      <w:r>
        <w:t xml:space="preserve"> was also concerned about the presumption against bail, noting the Commission’s concerns that the </w:t>
      </w:r>
      <w:r w:rsidR="002D41B9">
        <w:t>Statement of Compatibility</w:t>
      </w:r>
      <w:r>
        <w:t xml:space="preserve"> failed to justify why the reverse onus would apply to specific offences which pose varying risks to the community. The </w:t>
      </w:r>
      <w:r w:rsidR="002D41B9">
        <w:t>Committee</w:t>
      </w:r>
      <w:r>
        <w:t xml:space="preserve"> noted the previous Declaration of Incompatibility issued by the ACT Supreme Court under that jurisdiction’s human rights legislation, finding a presumption against bail for an adult could not be interpreted compatibility with human rights.</w:t>
      </w:r>
      <w:r w:rsidR="005C5B4A" w:rsidRPr="63F480A7">
        <w:rPr>
          <w:vertAlign w:val="superscript"/>
        </w:rPr>
        <w:footnoteReference w:id="36"/>
      </w:r>
      <w:r>
        <w:t xml:space="preserve"> The </w:t>
      </w:r>
      <w:r w:rsidR="002D41B9">
        <w:t>Committee</w:t>
      </w:r>
      <w:r>
        <w:t xml:space="preserve"> further noted that:</w:t>
      </w:r>
    </w:p>
    <w:p w14:paraId="2DB14F46" w14:textId="77777777" w:rsidR="006936AD" w:rsidRPr="005C5B4A" w:rsidRDefault="2EFCBB9E" w:rsidP="00195DF4">
      <w:pPr>
        <w:pStyle w:val="Quote"/>
        <w:rPr>
          <w:szCs w:val="22"/>
        </w:rPr>
      </w:pPr>
      <w:r w:rsidRPr="00195DF4">
        <w:t>…reversing the onus for bail means that more children will be likely to be detained regardless of whether they pre</w:t>
      </w:r>
      <w:r w:rsidRPr="63F480A7">
        <w:rPr>
          <w:szCs w:val="22"/>
        </w:rPr>
        <w:t>sent an unacceptable risk to the community, because the provisions burden the accused child with the task of ‘showing cause’ as to why they should not be detained on bail. This burden will be particularly difficult for certain children to discharge, including those from dysfunctional family backgrounds or children with a complex range of psychological, social and health-related needs. Aboriginal and Torres Strait Islander children, who are already disproportionately overrepresented in the youth justice system, may face particular barriers to discharging the burden imposed by clause 24, further increasing the likelihood that they will be refused release on bail. This constitutes a significant infringement on the child’s right to liberty, and to be presumed innocent and contravenes many of the standards set out in the United Nations Convention on the Rights of the Child. The prospect of pre-trial custodial detention also impacts the child’s rights in a range of other ways, including limiting their capacity to prepare a defence against the charge, and removing access to the child’s support networks or educational or health care service providers…</w:t>
      </w:r>
    </w:p>
    <w:p w14:paraId="46C3DE52" w14:textId="7D32E88A" w:rsidR="006936AD" w:rsidRPr="005C5B4A" w:rsidRDefault="2EFCBB9E" w:rsidP="00195DF4">
      <w:pPr>
        <w:pStyle w:val="Quote"/>
      </w:pPr>
      <w:r w:rsidRPr="00195DF4">
        <w:t xml:space="preserve">… While the </w:t>
      </w:r>
      <w:r w:rsidR="002D41B9">
        <w:rPr>
          <w:szCs w:val="22"/>
        </w:rPr>
        <w:t>Statement of Compatibility</w:t>
      </w:r>
      <w:r w:rsidRPr="63F480A7">
        <w:rPr>
          <w:szCs w:val="22"/>
        </w:rPr>
        <w:t xml:space="preserve"> claims that the increased prospect of pre-trial detention for recidivist child offenders will inevitably improve community safety, this assumption has been challenged in numerous studies and reports.</w:t>
      </w:r>
      <w:r w:rsidR="005C5B4A" w:rsidRPr="63F480A7">
        <w:rPr>
          <w:szCs w:val="22"/>
          <w:vertAlign w:val="superscript"/>
        </w:rPr>
        <w:footnoteReference w:id="37"/>
      </w:r>
    </w:p>
    <w:p w14:paraId="3637155B" w14:textId="0889894D" w:rsidR="006936AD" w:rsidRPr="005C5B4A" w:rsidRDefault="2EFCBB9E" w:rsidP="63F480A7">
      <w:r>
        <w:t xml:space="preserve">Nonetheless, the </w:t>
      </w:r>
      <w:r w:rsidR="002D41B9">
        <w:t>Committee</w:t>
      </w:r>
      <w:r>
        <w:t xml:space="preserve"> was satisfied that the provisions were reasonable and demonstrably justified in the circumstances. </w:t>
      </w:r>
    </w:p>
    <w:p w14:paraId="70F4A15F" w14:textId="0A205396" w:rsidR="006936AD" w:rsidRPr="005C5B4A" w:rsidRDefault="2EFCBB9E" w:rsidP="63F480A7">
      <w:r>
        <w:lastRenderedPageBreak/>
        <w:t xml:space="preserve">Similarly, the </w:t>
      </w:r>
      <w:r w:rsidR="002D41B9">
        <w:t>Committee</w:t>
      </w:r>
      <w:r>
        <w:t xml:space="preserve"> also discussed the potential compatibility issues with shifting the legal burden of proof on to the defendant in relation to ‘hooning offences’. Despite its conclusion that the limitations were reasonable, the </w:t>
      </w:r>
      <w:r w:rsidR="002D41B9">
        <w:t>Committee</w:t>
      </w:r>
      <w:r>
        <w:t xml:space="preserve"> encouraged:</w:t>
      </w:r>
    </w:p>
    <w:p w14:paraId="3FD25402" w14:textId="41C44E76" w:rsidR="006936AD" w:rsidRPr="005C5B4A" w:rsidRDefault="2EFCBB9E" w:rsidP="00195DF4">
      <w:pPr>
        <w:pStyle w:val="Quote"/>
      </w:pPr>
      <w:r w:rsidRPr="63F480A7">
        <w:t>continued reliance on the existing range of reasonably available alternatives (including the Queensland Government’s existing traffic camera monitoring sy</w:t>
      </w:r>
      <w:r w:rsidRPr="63F480A7">
        <w:rPr>
          <w:szCs w:val="22"/>
        </w:rPr>
        <w:t>stem) to improve the investigation and prosecution of ‘hooning offences’ that have far less rights-intrusive impacts and may be equally or more effective at deterring this type of activity, particularly among young offenders.</w:t>
      </w:r>
      <w:r w:rsidR="005C5B4A" w:rsidRPr="63F480A7">
        <w:rPr>
          <w:szCs w:val="22"/>
          <w:vertAlign w:val="superscript"/>
        </w:rPr>
        <w:footnoteReference w:id="38"/>
      </w:r>
    </w:p>
    <w:p w14:paraId="62FD3AAF" w14:textId="6B303835" w:rsidR="006936AD" w:rsidRPr="005C5B4A" w:rsidRDefault="2EFCBB9E" w:rsidP="63F480A7">
      <w:r>
        <w:t xml:space="preserve">The </w:t>
      </w:r>
      <w:r w:rsidR="002D41B9">
        <w:t>Committee</w:t>
      </w:r>
      <w:r>
        <w:t xml:space="preserve"> discussed several other aspects of the Bill’s compatibility with human rights in detail, including:</w:t>
      </w:r>
    </w:p>
    <w:p w14:paraId="683D9E4E" w14:textId="3D523804" w:rsidR="006936AD" w:rsidRPr="00195DF4" w:rsidRDefault="2EFCBB9E" w:rsidP="00195DF4">
      <w:pPr>
        <w:pStyle w:val="ListParagraph"/>
      </w:pPr>
      <w:r w:rsidRPr="00195DF4">
        <w:t>creating a new aggravating factor in sentencing that the child committed the offence while released into the custody of a parent or at large for another offence</w:t>
      </w:r>
    </w:p>
    <w:p w14:paraId="7F9153A3" w14:textId="0F490A0B" w:rsidR="006936AD" w:rsidRPr="00195DF4" w:rsidRDefault="2EFCBB9E" w:rsidP="00195DF4">
      <w:pPr>
        <w:pStyle w:val="ListParagraph"/>
      </w:pPr>
      <w:r w:rsidRPr="00195DF4">
        <w:t>amending the Charter of Youth Justice Principles</w:t>
      </w:r>
      <w:r w:rsidR="004C5590">
        <w:t>,</w:t>
      </w:r>
      <w:r w:rsidRPr="00195DF4">
        <w:t xml:space="preserve"> and</w:t>
      </w:r>
    </w:p>
    <w:p w14:paraId="367C8642" w14:textId="77777777" w:rsidR="006936AD" w:rsidRPr="00195DF4" w:rsidRDefault="2EFCBB9E" w:rsidP="00195DF4">
      <w:pPr>
        <w:pStyle w:val="ListParagraph"/>
      </w:pPr>
      <w:r w:rsidRPr="00195DF4">
        <w:t>providing powers for police to stop a person and use a handheld scanner to scan for knives.</w:t>
      </w:r>
    </w:p>
    <w:p w14:paraId="35E7A7F2" w14:textId="75585947" w:rsidR="006936AD" w:rsidRPr="005C5B4A" w:rsidRDefault="2EFCBB9E" w:rsidP="63F480A7">
      <w:r>
        <w:t xml:space="preserve">The </w:t>
      </w:r>
      <w:r w:rsidR="002D41B9">
        <w:t>Committee</w:t>
      </w:r>
      <w:r>
        <w:t xml:space="preserve"> noted how significant many of those limitations were, and in some cases questioned whether those provisions were potentially incompatible. In conclusion, the </w:t>
      </w:r>
      <w:r w:rsidR="002D41B9">
        <w:t>Committee</w:t>
      </w:r>
      <w:r>
        <w:t xml:space="preserve"> cautioned that:</w:t>
      </w:r>
    </w:p>
    <w:p w14:paraId="05681E74" w14:textId="6F0882D2" w:rsidR="006936AD" w:rsidRPr="005C5B4A" w:rsidRDefault="2EFCBB9E" w:rsidP="00195DF4">
      <w:pPr>
        <w:pStyle w:val="Quote"/>
      </w:pPr>
      <w:r w:rsidRPr="63F480A7">
        <w:t>…insufficient evidence was provided to enable a robust analysis of the extent to which the measures proposed in the Bill would be effective at achieving their stated aims, and the extent to which alternative (less rights restrictive) options had been fully</w:t>
      </w:r>
      <w:r w:rsidRPr="63F480A7">
        <w:rPr>
          <w:szCs w:val="22"/>
        </w:rPr>
        <w:t xml:space="preserve"> explored. The analysis above also details the areas where information in the </w:t>
      </w:r>
      <w:r w:rsidR="002D41B9">
        <w:rPr>
          <w:szCs w:val="22"/>
        </w:rPr>
        <w:t>Statement of Compatibility</w:t>
      </w:r>
      <w:r w:rsidRPr="63F480A7">
        <w:rPr>
          <w:szCs w:val="22"/>
        </w:rPr>
        <w:t xml:space="preserve"> was insufficient or absent. </w:t>
      </w:r>
      <w:r w:rsidR="005C5B4A" w:rsidRPr="63F480A7">
        <w:rPr>
          <w:szCs w:val="22"/>
          <w:vertAlign w:val="superscript"/>
        </w:rPr>
        <w:footnoteReference w:id="39"/>
      </w:r>
    </w:p>
    <w:p w14:paraId="117EED99" w14:textId="537CE0D4" w:rsidR="006936AD" w:rsidRPr="005C5B4A" w:rsidRDefault="2EFCBB9E" w:rsidP="63F480A7">
      <w:r>
        <w:t xml:space="preserve">The Commission remains concerned that the Bill passed with such significant limitations on human rights. </w:t>
      </w:r>
      <w:r w:rsidR="002779F0">
        <w:t xml:space="preserve">In particular it is apparent </w:t>
      </w:r>
      <w:r w:rsidR="00553C2C">
        <w:t>the changes have led to many more young people being detained in the youth justice system. T</w:t>
      </w:r>
      <w:r>
        <w:t xml:space="preserve">he pressure on detention centre capacity means there is significant risk of children (as young as 10) </w:t>
      </w:r>
      <w:r w:rsidR="00553C2C">
        <w:t>being held for unacceptably prolonged periods in police watch houses.</w:t>
      </w:r>
    </w:p>
    <w:p w14:paraId="643714E4" w14:textId="37CC0349" w:rsidR="006936AD" w:rsidRPr="005C5B4A" w:rsidRDefault="2EFCBB9E" w:rsidP="63F480A7">
      <w:r>
        <w:t xml:space="preserve">The government did not formally respond to the </w:t>
      </w:r>
      <w:r w:rsidR="002D41B9">
        <w:t>Committee</w:t>
      </w:r>
      <w:r>
        <w:t xml:space="preserve">’s concerns, however the Act is subject to an evaluation. </w:t>
      </w:r>
    </w:p>
    <w:p w14:paraId="784DC22B" w14:textId="31227412" w:rsidR="006936AD" w:rsidRPr="005C5B4A" w:rsidRDefault="2EFCBB9E" w:rsidP="004F5AAF">
      <w:r>
        <w:lastRenderedPageBreak/>
        <w:t xml:space="preserve">While the extensive human rights dialogue did not result in substantive change to the Bill, it did result in a change to wording. In submissions made to the </w:t>
      </w:r>
      <w:r w:rsidR="002D41B9">
        <w:t>Committee</w:t>
      </w:r>
      <w:r>
        <w:t xml:space="preserve">, stakeholders raised concerns with the term ‘tracking device’ and ‘tracker’ in the Bill. The government amended this term to be ‘monitoring device’, and noted that this change promoted </w:t>
      </w:r>
      <w:r w:rsidR="00CB5D4F">
        <w:t>s</w:t>
      </w:r>
      <w:r>
        <w:t>everal human rights including the right to equality and cultural rights in the Act.</w:t>
      </w:r>
      <w:r w:rsidR="005C5B4A" w:rsidRPr="63F480A7">
        <w:rPr>
          <w:vertAlign w:val="superscript"/>
        </w:rPr>
        <w:footnoteReference w:id="40"/>
      </w:r>
      <w:r>
        <w:t xml:space="preserve"> </w:t>
      </w:r>
    </w:p>
    <w:p w14:paraId="4BE87359" w14:textId="77777777" w:rsidR="006936AD" w:rsidRPr="005C5B4A" w:rsidRDefault="2EFCBB9E" w:rsidP="63F480A7">
      <w:pPr>
        <w:pStyle w:val="Heading2"/>
      </w:pPr>
      <w:bookmarkStart w:id="215" w:name="_Toc85451730"/>
      <w:bookmarkStart w:id="216" w:name="_Toc85526660"/>
      <w:bookmarkStart w:id="217" w:name="_Toc85787075"/>
      <w:r>
        <w:t>COVID-19 related legislation</w:t>
      </w:r>
      <w:bookmarkEnd w:id="215"/>
      <w:bookmarkEnd w:id="216"/>
      <w:bookmarkEnd w:id="217"/>
    </w:p>
    <w:p w14:paraId="3769A236" w14:textId="187656EB" w:rsidR="006936AD" w:rsidRPr="005C5B4A" w:rsidRDefault="2EFCBB9E" w:rsidP="63F480A7">
      <w:r>
        <w:t>On 29 January 2020, a public health emergency was declared under s</w:t>
      </w:r>
      <w:r w:rsidR="00D4679F">
        <w:t>ection</w:t>
      </w:r>
      <w:r>
        <w:t xml:space="preserve"> 319 of the </w:t>
      </w:r>
      <w:r w:rsidRPr="63F480A7">
        <w:rPr>
          <w:i/>
          <w:iCs/>
        </w:rPr>
        <w:t xml:space="preserve">Public Health Act 2005 </w:t>
      </w:r>
      <w:r>
        <w:t xml:space="preserve">due to the outbreak of COVID-19 in China. Early in the COVID-19 pandemic, restrictions introduced via legislation were declared urgent and passed through parliament with limited scrutiny. This trend continued into late 2020 with the </w:t>
      </w:r>
      <w:r w:rsidRPr="63F480A7">
        <w:rPr>
          <w:i/>
          <w:iCs/>
        </w:rPr>
        <w:t>COVID-19 Emergency Response and Other Legislation Amendment Act 2020</w:t>
      </w:r>
      <w:r>
        <w:t xml:space="preserve"> introduced on the 26 November 2020 and debated and passed without amendment on 2 December 2020. </w:t>
      </w:r>
    </w:p>
    <w:p w14:paraId="74C4D279" w14:textId="007ED22C" w:rsidR="006936AD" w:rsidRPr="005C5B4A" w:rsidRDefault="2EFCBB9E" w:rsidP="63F480A7">
      <w:r>
        <w:t xml:space="preserve">COVID-19 related amendments were also made during the debate stage of the Corrective Services and Other Legislation Amendment Bill 2020 and therefore not subject to </w:t>
      </w:r>
      <w:r w:rsidR="002D41B9">
        <w:t>Committee</w:t>
      </w:r>
      <w:r>
        <w:t xml:space="preserve"> scrutiny. Given the significant limitation on rights arising from the extraordinary measures introduced in response to COVID, it is imperative that they are subject to proper parliamentary scrutiny.</w:t>
      </w:r>
      <w:r w:rsidR="00197317">
        <w:t xml:space="preserve"> </w:t>
      </w:r>
    </w:p>
    <w:p w14:paraId="1CAA5492" w14:textId="77777777" w:rsidR="006936AD" w:rsidRPr="00195DF4" w:rsidRDefault="2EFCBB9E" w:rsidP="63F480A7">
      <w:pPr>
        <w:pStyle w:val="Heading3"/>
        <w:rPr>
          <w:i/>
          <w:color w:val="337B9E"/>
        </w:rPr>
      </w:pPr>
      <w:r w:rsidRPr="00195DF4">
        <w:rPr>
          <w:i/>
          <w:color w:val="337B9E"/>
        </w:rPr>
        <w:t>COVID-19 Emergency Response and Other Legislation Amendment Act 2020</w:t>
      </w:r>
    </w:p>
    <w:p w14:paraId="48B411B5" w14:textId="20A18E0C" w:rsidR="006936AD" w:rsidRPr="005C5B4A" w:rsidRDefault="00D4679F" w:rsidP="63F480A7">
      <w:r>
        <w:t xml:space="preserve">In </w:t>
      </w:r>
      <w:r w:rsidR="2EFCBB9E">
        <w:t>2020 new powers were created for the Chief Health Officer and others to respond to the pandemic</w:t>
      </w:r>
      <w:r>
        <w:t>. In addition,</w:t>
      </w:r>
      <w:r w:rsidR="2EFCBB9E">
        <w:t xml:space="preserve"> temporary and, in some cases, extraordinary legislative measures were introduced to allow for flexible and rapid responses to a range of things disrupted, caused or affected by the pandemic. The majority of these measures were initially to expire on 31 December 2020.</w:t>
      </w:r>
      <w:r w:rsidR="00197317">
        <w:t xml:space="preserve"> </w:t>
      </w:r>
    </w:p>
    <w:p w14:paraId="6BC21D91" w14:textId="77777777" w:rsidR="006936AD" w:rsidRPr="005C5B4A" w:rsidRDefault="2EFCBB9E" w:rsidP="63F480A7">
      <w:r>
        <w:t xml:space="preserve">This Act extended the operation of all COVID-19 related legislation deemed necessary to respond to the emergency until 30 April 2021 or an earlier date to be prescribed by regulation. New changes were also proposed, including the power to make regulations to facilitate transitional arrangements. </w:t>
      </w:r>
    </w:p>
    <w:p w14:paraId="377A4DB7" w14:textId="6C284DB8" w:rsidR="006936AD" w:rsidRPr="005C5B4A" w:rsidRDefault="2EFCBB9E" w:rsidP="63F480A7">
      <w:r>
        <w:lastRenderedPageBreak/>
        <w:t xml:space="preserve">Changes unrelated to COVID-19 were also proposed to amend the </w:t>
      </w:r>
      <w:r w:rsidRPr="63F480A7">
        <w:rPr>
          <w:i/>
          <w:iCs/>
        </w:rPr>
        <w:t xml:space="preserve">Local Government Act 2009 </w:t>
      </w:r>
      <w:r>
        <w:t xml:space="preserve">to retrospectively change the way mayoral and local councillor vacancies are filled. The </w:t>
      </w:r>
      <w:r w:rsidR="002D41B9">
        <w:t>Statement of Compatibility</w:t>
      </w:r>
      <w:r>
        <w:t xml:space="preserve"> acknowledged that these amendments limited the right to take part in public life (s 23</w:t>
      </w:r>
      <w:r w:rsidR="00293923">
        <w:t xml:space="preserve"> of the </w:t>
      </w:r>
      <w:r w:rsidR="00D4679F">
        <w:t>Human Rights Act</w:t>
      </w:r>
      <w:r>
        <w:t>), and that this limitation could be lessened if the amendments did not apply retrospectively. This would result in a runner-up being appointed to fill any vacancies prior to commencement. The statement stated that this measure was not adopted because this would not provide individuals in these local government areas with the same further opportunity to vote or be elected to fill the vacancy in the office of a mayor as other local governments. In relation to a vacancy in the office of a councillor, it would not enable the local government to balance the cost of holding a by-election with the availability of a runner-up, as would apply for other local governments. The minister therefore considered that this approach would not achieve the identified purpose as effectively as the amendments proposed in the Bill.</w:t>
      </w:r>
    </w:p>
    <w:p w14:paraId="58013107" w14:textId="7BB6ECA3" w:rsidR="006936AD" w:rsidRPr="005C5B4A" w:rsidRDefault="2EFCBB9E" w:rsidP="63F480A7">
      <w:r>
        <w:t xml:space="preserve">The Bill was declared urgent, not referred to </w:t>
      </w:r>
      <w:r w:rsidR="002D41B9">
        <w:t>Committee</w:t>
      </w:r>
      <w:r>
        <w:t xml:space="preserve"> and passed without amendment in December 2020. </w:t>
      </w:r>
    </w:p>
    <w:p w14:paraId="03AE61F8" w14:textId="45D3613E" w:rsidR="006936AD" w:rsidRPr="005C5B4A" w:rsidRDefault="2EFCBB9E" w:rsidP="63F480A7">
      <w:r>
        <w:t xml:space="preserve">Retrospectively changing how local government elections are determined is a significant limitation on rights, and coupled with the other COVID-19 related measures, it was unfortunate this Bill did not have the benefit of </w:t>
      </w:r>
      <w:r w:rsidR="002D41B9">
        <w:t>Committee</w:t>
      </w:r>
      <w:r>
        <w:t xml:space="preserve"> scrutiny.</w:t>
      </w:r>
    </w:p>
    <w:p w14:paraId="11852FFC" w14:textId="77777777" w:rsidR="006936AD" w:rsidRPr="00195DF4" w:rsidRDefault="2EFCBB9E" w:rsidP="63F480A7">
      <w:pPr>
        <w:pStyle w:val="Heading3"/>
        <w:rPr>
          <w:i/>
          <w:color w:val="337B9E"/>
        </w:rPr>
      </w:pPr>
      <w:r w:rsidRPr="00195DF4">
        <w:rPr>
          <w:i/>
          <w:color w:val="337B9E"/>
        </w:rPr>
        <w:t>Public Health and Other Legislation (Extension of Expiring Provisions) Amendment Act 2021</w:t>
      </w:r>
    </w:p>
    <w:p w14:paraId="6FCD17E0" w14:textId="6A41FD82" w:rsidR="006936AD" w:rsidRPr="005C5B4A" w:rsidRDefault="2EFCBB9E" w:rsidP="63F480A7">
      <w:r>
        <w:t xml:space="preserve">This Act extended the operation of amendments to the </w:t>
      </w:r>
      <w:r w:rsidRPr="63F480A7">
        <w:rPr>
          <w:i/>
          <w:iCs/>
        </w:rPr>
        <w:t xml:space="preserve">Public Health Act 2005 </w:t>
      </w:r>
      <w:r>
        <w:t>(Qld), to authorise the Chief Health Officer and emergency officers to restrict the movement of any person or group of persons to limit, or respond, to the spread of COVID</w:t>
      </w:r>
      <w:r w:rsidRPr="63F480A7">
        <w:rPr>
          <w:rFonts w:ascii="Cambria Math" w:hAnsi="Cambria Math" w:cs="Cambria Math"/>
        </w:rPr>
        <w:t>‐</w:t>
      </w:r>
      <w:r>
        <w:t xml:space="preserve">19 in Queensland including requiring people to quarantine in particular places. </w:t>
      </w:r>
    </w:p>
    <w:p w14:paraId="69C6E3D1" w14:textId="5478C4C2" w:rsidR="006936AD" w:rsidRPr="005C5B4A" w:rsidRDefault="2EFCBB9E" w:rsidP="63F480A7">
      <w:r>
        <w:t xml:space="preserve">In its report, the Health and Environment </w:t>
      </w:r>
      <w:r w:rsidR="002D41B9">
        <w:t>Committee</w:t>
      </w:r>
      <w:r>
        <w:t xml:space="preserve"> concluded that all human rights limitations in the bill were reasonable and justifiable. However, while the </w:t>
      </w:r>
      <w:r w:rsidR="002D41B9">
        <w:t>Committee</w:t>
      </w:r>
      <w:r>
        <w:t xml:space="preserve"> found that the </w:t>
      </w:r>
      <w:r w:rsidR="002D41B9">
        <w:t>Statement of Compatibility</w:t>
      </w:r>
      <w:r>
        <w:t xml:space="preserve"> provided a sufficient level of information to facilitate understanding of most aspects of the Bill, it was lacking in some areas.</w:t>
      </w:r>
      <w:r w:rsidR="005C5B4A" w:rsidRPr="63F480A7">
        <w:rPr>
          <w:rStyle w:val="FootnoteReference"/>
        </w:rPr>
        <w:footnoteReference w:id="41"/>
      </w:r>
      <w:r>
        <w:t xml:space="preserve"> </w:t>
      </w:r>
    </w:p>
    <w:p w14:paraId="7D9906C4" w14:textId="650BE1D1" w:rsidR="006936AD" w:rsidRPr="005C5B4A" w:rsidRDefault="2EFCBB9E" w:rsidP="63F480A7">
      <w:r>
        <w:lastRenderedPageBreak/>
        <w:t>For example, the report noted that the statement did not consider whether a person may be precluded from accessing regular health service</w:t>
      </w:r>
      <w:r w:rsidR="008D4F19">
        <w:t>s</w:t>
      </w:r>
      <w:r>
        <w:t xml:space="preserve"> during restrictions on their movement, limiting the right to equality and right to access health care without discrimination. Similarly, the statement did not discuss how people with disabilities may be disproportionality impacted by directions restricting movement and contact with others. There was also a potential impact on a patient’s mental health care treatment should the patient be moved from an authorised mental health service to another place for the purpose of complying with a detention order or direction</w:t>
      </w:r>
      <w:r w:rsidR="00B67D84">
        <w:t>.</w:t>
      </w:r>
    </w:p>
    <w:p w14:paraId="06E7904F" w14:textId="70101093" w:rsidR="006936AD" w:rsidRPr="005C5B4A" w:rsidRDefault="2EFCBB9E" w:rsidP="63F480A7">
      <w:r>
        <w:t>Further, the statement did not consider if a power granted to the Chief Health Officer and emergency officers to publish a notice or direction to business owners and operators to open, close and limit access to the facility, would impact on their right to property under section 24 of the</w:t>
      </w:r>
      <w:r w:rsidR="00F802AD">
        <w:t xml:space="preserve"> Human Rights</w:t>
      </w:r>
      <w:r>
        <w:t xml:space="preserve"> Act.</w:t>
      </w:r>
      <w:r w:rsidR="005C5B4A" w:rsidRPr="63F480A7">
        <w:rPr>
          <w:rStyle w:val="FootnoteReference"/>
        </w:rPr>
        <w:footnoteReference w:id="42"/>
      </w:r>
    </w:p>
    <w:p w14:paraId="548C9315" w14:textId="5E320D4C" w:rsidR="006936AD" w:rsidRPr="005C5B4A" w:rsidRDefault="2EFCBB9E" w:rsidP="63F480A7">
      <w:r>
        <w:t xml:space="preserve">The </w:t>
      </w:r>
      <w:r w:rsidR="002D41B9">
        <w:t>Committee</w:t>
      </w:r>
      <w:r>
        <w:t xml:space="preserve"> also found that the statement did not discuss the compatibility of the Chief Health Officer’s broad power to give 'any direction the Chief Health Officer considers necessary to protect public health'</w:t>
      </w:r>
      <w:r w:rsidR="00B67D84">
        <w:t>,</w:t>
      </w:r>
      <w:r>
        <w:t xml:space="preserve"> with rights protected in the Act. The </w:t>
      </w:r>
      <w:r w:rsidR="002D41B9">
        <w:t>Committee</w:t>
      </w:r>
      <w:r>
        <w:t xml:space="preserve"> noted that the Chief Health Officer is a public entity under the </w:t>
      </w:r>
      <w:r w:rsidR="00D4679F">
        <w:t xml:space="preserve">Human Rights </w:t>
      </w:r>
      <w:r>
        <w:t>Act, and so</w:t>
      </w:r>
      <w:r w:rsidR="00B67D84">
        <w:t>,</w:t>
      </w:r>
      <w:r>
        <w:t xml:space="preserve"> provided the power is exercised compatibly with the obligations imposed on public entities under the Act, the statutory power will not be incompatible with human rights.</w:t>
      </w:r>
    </w:p>
    <w:p w14:paraId="1C9201AF" w14:textId="4DF38A27" w:rsidR="006936AD" w:rsidRPr="005C5B4A" w:rsidRDefault="2EFCBB9E" w:rsidP="63F480A7">
      <w:r>
        <w:t>The Commission has been concerned about a lack of transparency which has made it difficult to ascertain whether those obligations are being met. With this issue in mind, the Commission has frequently suggested that in making decisions using these powers the Chief Health Officer and other relevant decision makers should provide a statement of reasons including how they have given proper consideration to human rights in making decisions and/or acted compatibly with human rights.</w:t>
      </w:r>
      <w:r w:rsidR="00197317">
        <w:t xml:space="preserve"> </w:t>
      </w:r>
      <w:r>
        <w:t xml:space="preserve"> </w:t>
      </w:r>
    </w:p>
    <w:p w14:paraId="2A91E956" w14:textId="77777777" w:rsidR="006936AD" w:rsidRPr="005C5B4A" w:rsidRDefault="2EFCBB9E" w:rsidP="63F480A7">
      <w:r>
        <w:t xml:space="preserve">The Bill passed on 24 February 2021. </w:t>
      </w:r>
    </w:p>
    <w:p w14:paraId="16E3DA83" w14:textId="77777777" w:rsidR="002657A3" w:rsidRDefault="002657A3">
      <w:pPr>
        <w:keepLines w:val="0"/>
        <w:widowControl/>
        <w:spacing w:line="259" w:lineRule="auto"/>
        <w:ind w:right="0"/>
        <w:rPr>
          <w:rFonts w:eastAsiaTheme="majorEastAsia" w:cstheme="majorBidi"/>
          <w:i/>
          <w:color w:val="337B9E"/>
          <w:sz w:val="28"/>
          <w:szCs w:val="32"/>
          <w:shd w:val="clear" w:color="auto" w:fill="FFFFFF"/>
        </w:rPr>
      </w:pPr>
      <w:r>
        <w:rPr>
          <w:i/>
          <w:color w:val="337B9E"/>
        </w:rPr>
        <w:br w:type="page"/>
      </w:r>
    </w:p>
    <w:p w14:paraId="0B75D8D3" w14:textId="56019CA9" w:rsidR="006936AD" w:rsidRPr="00195DF4" w:rsidRDefault="2EFCBB9E" w:rsidP="63F480A7">
      <w:pPr>
        <w:pStyle w:val="Heading3"/>
        <w:rPr>
          <w:i/>
          <w:color w:val="337B9E"/>
        </w:rPr>
      </w:pPr>
      <w:r w:rsidRPr="00195DF4">
        <w:rPr>
          <w:i/>
          <w:color w:val="337B9E"/>
        </w:rPr>
        <w:lastRenderedPageBreak/>
        <w:t>COVID-19 Emergency Response and Other Legislation Amendment Act 2021</w:t>
      </w:r>
    </w:p>
    <w:p w14:paraId="71389016" w14:textId="6E82EA92" w:rsidR="0008376D" w:rsidRDefault="2EFCBB9E" w:rsidP="0008376D">
      <w:r>
        <w:t>This Act extend</w:t>
      </w:r>
      <w:r w:rsidR="00CA7025">
        <w:t>s</w:t>
      </w:r>
      <w:r w:rsidR="006F0885">
        <w:t xml:space="preserve"> various</w:t>
      </w:r>
      <w:r>
        <w:t xml:space="preserve"> temporary powers enacted in 2020 to</w:t>
      </w:r>
      <w:r w:rsidR="00CA7025">
        <w:t xml:space="preserve"> respond to the COVI</w:t>
      </w:r>
      <w:r w:rsidR="00001B0C">
        <w:t>D</w:t>
      </w:r>
      <w:r w:rsidR="00CA7025">
        <w:t>-19 pandemic</w:t>
      </w:r>
      <w:r w:rsidR="0008376D">
        <w:t>,</w:t>
      </w:r>
      <w:r w:rsidR="00CA7025">
        <w:t xml:space="preserve"> including</w:t>
      </w:r>
      <w:r w:rsidR="001A7664">
        <w:t xml:space="preserve"> to allow</w:t>
      </w:r>
      <w:r w:rsidR="0008376D">
        <w:t xml:space="preserve"> the </w:t>
      </w:r>
      <w:r>
        <w:t>modif</w:t>
      </w:r>
      <w:r w:rsidR="001A7664">
        <w:t>ication of</w:t>
      </w:r>
      <w:r>
        <w:t xml:space="preserve"> legislative requirements by regulation or secondary instruments to</w:t>
      </w:r>
      <w:r w:rsidR="0008376D">
        <w:t>:</w:t>
      </w:r>
    </w:p>
    <w:p w14:paraId="3555C95C" w14:textId="059A754B" w:rsidR="00D4679F" w:rsidRDefault="2EFCBB9E" w:rsidP="00E076E6">
      <w:pPr>
        <w:pStyle w:val="ListParagraph"/>
      </w:pPr>
      <w:r w:rsidRPr="0008376D">
        <w:t>reduce phys</w:t>
      </w:r>
      <w:r>
        <w:t>ical contact between persons</w:t>
      </w:r>
    </w:p>
    <w:p w14:paraId="350E362A" w14:textId="52AF3D64" w:rsidR="00403476" w:rsidRDefault="00CC63CB" w:rsidP="00E076E6">
      <w:pPr>
        <w:pStyle w:val="ListParagraph"/>
      </w:pPr>
      <w:r>
        <w:t>change</w:t>
      </w:r>
      <w:r w:rsidR="2EFCBB9E">
        <w:t xml:space="preserve"> statutory time frames </w:t>
      </w:r>
    </w:p>
    <w:p w14:paraId="05FE8343" w14:textId="1E9CCAA0" w:rsidR="0032185C" w:rsidRPr="0032185C" w:rsidRDefault="2EFCBB9E" w:rsidP="0032185C">
      <w:pPr>
        <w:pStyle w:val="ListParagraph"/>
      </w:pPr>
      <w:r>
        <w:t>ensure the continuation of court and tribunal proceedings</w:t>
      </w:r>
      <w:r w:rsidR="0049516F">
        <w:t>.</w:t>
      </w:r>
    </w:p>
    <w:p w14:paraId="62774B99" w14:textId="139CD69E" w:rsidR="0049516F" w:rsidRDefault="0049516F" w:rsidP="0049516F">
      <w:r>
        <w:t xml:space="preserve">The Act also made amendments to local government </w:t>
      </w:r>
      <w:r w:rsidR="00B360DE">
        <w:t xml:space="preserve">arrangements </w:t>
      </w:r>
      <w:r w:rsidR="00BC306C">
        <w:t xml:space="preserve">including various measures to facilitate the holding of local government by-elections and fresh elections in a way that helps minimise serious risks to the health and safety of persons caused by COVID-19. </w:t>
      </w:r>
    </w:p>
    <w:p w14:paraId="222109ED" w14:textId="2BAE3A98" w:rsidR="006936AD" w:rsidRPr="005C5B4A" w:rsidRDefault="2EFCBB9E" w:rsidP="63F480A7">
      <w:r>
        <w:t xml:space="preserve">Extending such extraordinary powers engaged several human rights. Through its inquiry, the Economics and Governance </w:t>
      </w:r>
      <w:r w:rsidR="002D41B9">
        <w:t>Committee</w:t>
      </w:r>
      <w:r>
        <w:t xml:space="preserve"> identified several concerns, which were ultimately resolved through further dialogue. In its report, the </w:t>
      </w:r>
      <w:r w:rsidR="002D41B9">
        <w:t>Committee</w:t>
      </w:r>
      <w:r>
        <w:t xml:space="preserve"> identified deficiencies in the </w:t>
      </w:r>
      <w:r w:rsidR="002D41B9">
        <w:t>Statement of Compatibility</w:t>
      </w:r>
      <w:r>
        <w:t>, but resolved this by reference to additional information provided by Department of State Development, Infrastructure, Local Government and Planning (DSDILGP) and Local Government Association of Queensland (LGAQ):</w:t>
      </w:r>
    </w:p>
    <w:p w14:paraId="6A3381A9" w14:textId="0F2E471D" w:rsidR="006936AD" w:rsidRPr="005C5B4A" w:rsidRDefault="2EFCBB9E" w:rsidP="00195DF4">
      <w:pPr>
        <w:pStyle w:val="Quote"/>
        <w:rPr>
          <w:sz w:val="20"/>
          <w:szCs w:val="20"/>
        </w:rPr>
      </w:pPr>
      <w:r w:rsidRPr="63F480A7">
        <w:t xml:space="preserve">While the </w:t>
      </w:r>
      <w:r w:rsidR="002D41B9">
        <w:rPr>
          <w:szCs w:val="22"/>
        </w:rPr>
        <w:t>Committee</w:t>
      </w:r>
      <w:r w:rsidRPr="63F480A7">
        <w:rPr>
          <w:szCs w:val="22"/>
        </w:rPr>
        <w:t xml:space="preserve"> considers that the </w:t>
      </w:r>
      <w:r w:rsidR="002D41B9">
        <w:rPr>
          <w:szCs w:val="22"/>
        </w:rPr>
        <w:t>Statement of Compatibility</w:t>
      </w:r>
      <w:r w:rsidRPr="63F480A7">
        <w:rPr>
          <w:szCs w:val="22"/>
        </w:rPr>
        <w:t xml:space="preserve"> could have offered greater explanation to justify the provisions, the </w:t>
      </w:r>
      <w:r w:rsidR="002D41B9">
        <w:rPr>
          <w:szCs w:val="22"/>
        </w:rPr>
        <w:t>Committee</w:t>
      </w:r>
      <w:r w:rsidRPr="63F480A7">
        <w:rPr>
          <w:szCs w:val="22"/>
        </w:rPr>
        <w:t xml:space="preserve"> notes advice provided elsewhere by the DSDILGP and by the LGAQ, which explained the need for the proposed amendments to allow local governments to decide rates and charges for the 2021-22 financial year outside of the annual budget meeting.</w:t>
      </w:r>
      <w:r w:rsidR="005C5B4A" w:rsidRPr="63F480A7">
        <w:rPr>
          <w:sz w:val="20"/>
          <w:szCs w:val="20"/>
          <w:vertAlign w:val="superscript"/>
        </w:rPr>
        <w:footnoteReference w:id="43"/>
      </w:r>
    </w:p>
    <w:p w14:paraId="2500B39A" w14:textId="1B533C64" w:rsidR="006936AD" w:rsidRPr="005C5B4A" w:rsidRDefault="2EFCBB9E" w:rsidP="63F480A7">
      <w:r>
        <w:t xml:space="preserve">The </w:t>
      </w:r>
      <w:r w:rsidR="002D41B9">
        <w:t>Committee</w:t>
      </w:r>
      <w:r>
        <w:t xml:space="preserve"> also </w:t>
      </w:r>
      <w:hyperlink r:id="rId53">
        <w:r>
          <w:t>sought further information</w:t>
        </w:r>
      </w:hyperlink>
      <w:r>
        <w:t xml:space="preserve"> from the Attorney-General to support members in their consideration of concerns arising from temporary changes to local government elections and by-elections in response to COVID-19. The </w:t>
      </w:r>
      <w:r w:rsidR="002D41B9">
        <w:t>Committee</w:t>
      </w:r>
      <w:r>
        <w:t xml:space="preserve"> encouraged the Attorney-General to provide this information during her second reading debate. The Attorney-General did so and took the opportunity to provide further information in her speech on other matters raised in the </w:t>
      </w:r>
      <w:r w:rsidR="002D41B9">
        <w:t>Committee</w:t>
      </w:r>
      <w:r>
        <w:t xml:space="preserve"> process.</w:t>
      </w:r>
      <w:r w:rsidR="005C5B4A" w:rsidRPr="63F480A7">
        <w:rPr>
          <w:vertAlign w:val="superscript"/>
        </w:rPr>
        <w:footnoteReference w:id="44"/>
      </w:r>
      <w:r>
        <w:t xml:space="preserve"> The Commission notes this is an example of a growing human rights dialogue within the parliament. </w:t>
      </w:r>
    </w:p>
    <w:p w14:paraId="7311C4A6" w14:textId="77777777" w:rsidR="006936AD" w:rsidRPr="005C5B4A" w:rsidRDefault="2EFCBB9E" w:rsidP="63F480A7">
      <w:r>
        <w:t xml:space="preserve">The Bill passed on 20 April 2021. </w:t>
      </w:r>
    </w:p>
    <w:p w14:paraId="067CC43B" w14:textId="77777777" w:rsidR="006936AD" w:rsidRPr="00E076E6" w:rsidRDefault="2EFCBB9E" w:rsidP="63F480A7">
      <w:pPr>
        <w:pStyle w:val="Heading2"/>
        <w:rPr>
          <w:i/>
        </w:rPr>
      </w:pPr>
      <w:bookmarkStart w:id="218" w:name="_Toc85451731"/>
      <w:bookmarkStart w:id="219" w:name="_Toc85526661"/>
      <w:bookmarkStart w:id="220" w:name="_Toc85787076"/>
      <w:r w:rsidRPr="00E076E6">
        <w:rPr>
          <w:i/>
        </w:rPr>
        <w:lastRenderedPageBreak/>
        <w:t>Transport and Other Legislation (Road Safety, Technology and Other Matters) Amendment Act 2020</w:t>
      </w:r>
      <w:bookmarkEnd w:id="218"/>
      <w:bookmarkEnd w:id="219"/>
      <w:bookmarkEnd w:id="220"/>
    </w:p>
    <w:p w14:paraId="7A7E802C" w14:textId="3C94D1DE" w:rsidR="006936AD" w:rsidRPr="005C5B4A" w:rsidRDefault="2EFCBB9E" w:rsidP="63F480A7">
      <w:r>
        <w:t>Th</w:t>
      </w:r>
      <w:r w:rsidR="00D4679F">
        <w:t>is</w:t>
      </w:r>
      <w:r>
        <w:t xml:space="preserve"> Act introduced and supported the ongoing operation of a digital driver licence app, and included amendments for a trial using cameras to detect seatbelt offences and drivers using mobile phones. The technology initially uses machine-learning algorithms to review the images and identify patterns of behaviour. This is a growing area of regulation and human rights law, with the Australian Human Rights Commission earlier this year releasing its report of the human rights implications of governments using artificial intelligence to aid regulation.</w:t>
      </w:r>
      <w:r w:rsidR="005C5B4A" w:rsidRPr="63F480A7">
        <w:rPr>
          <w:vertAlign w:val="superscript"/>
        </w:rPr>
        <w:footnoteReference w:id="45"/>
      </w:r>
    </w:p>
    <w:p w14:paraId="61FD4CF9" w14:textId="77777777" w:rsidR="00F74C45" w:rsidRDefault="2EFCBB9E" w:rsidP="63F480A7">
      <w:r>
        <w:t xml:space="preserve">In its report into the Bill, the former Transport and Public Works </w:t>
      </w:r>
      <w:r w:rsidR="002D41B9">
        <w:t>Committee</w:t>
      </w:r>
      <w:r>
        <w:t xml:space="preserve"> noted stakeholder concerns with the limitations on the right to privacy arising from both the licence app and the use of cameras to detect offences.</w:t>
      </w:r>
      <w:r w:rsidR="005C5B4A" w:rsidRPr="63F480A7">
        <w:rPr>
          <w:rStyle w:val="FootnoteReference"/>
        </w:rPr>
        <w:footnoteReference w:id="46"/>
      </w:r>
      <w:r>
        <w:t xml:space="preserve"> Human rights were discussed throughout the report and the </w:t>
      </w:r>
      <w:r w:rsidR="002D41B9">
        <w:t>Committee</w:t>
      </w:r>
      <w:r>
        <w:t xml:space="preserve"> included a detailed assessment of compatibility with the Act, as well as a privacy impact assessment provided by the department. </w:t>
      </w:r>
    </w:p>
    <w:p w14:paraId="2A851519" w14:textId="2C7D67A1" w:rsidR="006936AD" w:rsidRPr="005C5B4A" w:rsidRDefault="2EFCBB9E" w:rsidP="63F480A7">
      <w:r>
        <w:t>The report also noted the submission of the Office of the Information Commission (OIC) about the potential</w:t>
      </w:r>
      <w:r w:rsidR="0023754F">
        <w:t xml:space="preserve"> for</w:t>
      </w:r>
      <w:r>
        <w:t xml:space="preserve"> inappropriate access to personal information from law enforcement and other authorised officers if a person handed over their device to display their digital licence. While being satisfied that the intent of the legislation was that a person was not required to hand over their phone, the </w:t>
      </w:r>
      <w:r w:rsidR="002D41B9">
        <w:t>Committee</w:t>
      </w:r>
      <w:r>
        <w:t xml:space="preserve"> supported the OIC’s suggestion that the wording of the legislative provision prohibiting law enforcement and other authorised officers from requiring an individual to hand over their device be reconsidered to ensure the intent is clear.</w:t>
      </w:r>
    </w:p>
    <w:p w14:paraId="54BC4D8B" w14:textId="74A80E2A" w:rsidR="006936AD" w:rsidRPr="005C5B4A" w:rsidRDefault="2EFCBB9E" w:rsidP="63F480A7">
      <w:r>
        <w:t xml:space="preserve">Rather than recommending a change to the Bill, the </w:t>
      </w:r>
      <w:r w:rsidR="002D41B9">
        <w:t>Committee</w:t>
      </w:r>
      <w:r>
        <w:t xml:space="preserve"> urged the department to continue to consult with key stakeholders, including the OIC, in relation to the privacy aspects of the project. The </w:t>
      </w:r>
      <w:r w:rsidR="002D41B9">
        <w:t>Committee</w:t>
      </w:r>
      <w:r>
        <w:t xml:space="preserve"> also agreed with OIC’s suggestion that the Privacy Impact Assessment be updated throughout the life cycle of the project. The </w:t>
      </w:r>
      <w:r w:rsidR="002D41B9">
        <w:t>Committee</w:t>
      </w:r>
      <w:r>
        <w:t xml:space="preserve"> formally recommended that:</w:t>
      </w:r>
    </w:p>
    <w:p w14:paraId="2735DB71" w14:textId="20D9D1DB" w:rsidR="006936AD" w:rsidRPr="005C5B4A" w:rsidRDefault="2EFCBB9E" w:rsidP="00195DF4">
      <w:pPr>
        <w:pStyle w:val="ListParagraph"/>
      </w:pPr>
      <w:r>
        <w:t>a thorough review be undertaken subsequent to the implementation of the Digital Licence App prior to the expansion of the project to include other authorities</w:t>
      </w:r>
      <w:r w:rsidR="00052F47">
        <w:t>, and</w:t>
      </w:r>
    </w:p>
    <w:p w14:paraId="094A1218" w14:textId="56DF2DF0" w:rsidR="006936AD" w:rsidRPr="005C5B4A" w:rsidRDefault="2EFCBB9E" w:rsidP="00195DF4">
      <w:pPr>
        <w:pStyle w:val="ListParagraph"/>
      </w:pPr>
      <w:r>
        <w:lastRenderedPageBreak/>
        <w:t>a review of the provisions relating to the legislative provision prohibiting law enforcement and other authorised officers from requiring an individual to hand over their device be undertaken to ensure the intent is clear.</w:t>
      </w:r>
      <w:r w:rsidR="005C5B4A" w:rsidRPr="00DF5359">
        <w:rPr>
          <w:rStyle w:val="FootnoteReference"/>
        </w:rPr>
        <w:footnoteReference w:id="47"/>
      </w:r>
    </w:p>
    <w:p w14:paraId="434653E9" w14:textId="49070768" w:rsidR="006936AD" w:rsidRPr="005C5B4A" w:rsidRDefault="2EFCBB9E" w:rsidP="63F480A7">
      <w:r>
        <w:t xml:space="preserve">In relation to the new camera detection provisions, the </w:t>
      </w:r>
      <w:r w:rsidR="002D41B9">
        <w:t>Committee</w:t>
      </w:r>
      <w:r>
        <w:t xml:space="preserve"> noted several stakeholder concerns about the priva</w:t>
      </w:r>
      <w:r w:rsidR="0023754F">
        <w:t>cy</w:t>
      </w:r>
      <w:r>
        <w:t xml:space="preserve"> implications arising from the collection of images from the inside of every vehicle that passes a camera and the use of artificial intelligence to analyse these images. These concerns were heightened by the lack of certainty about the destruction of images and the potential for them to be used for other offences. The proposed reversal of the onus of proof for drivers charged with relevant offences also limited rights to fair trial and to be presumed innocent (sections 31 and 32 of the </w:t>
      </w:r>
      <w:r w:rsidR="0023754F">
        <w:t xml:space="preserve">Human Rights </w:t>
      </w:r>
      <w:r>
        <w:t>Act). The</w:t>
      </w:r>
      <w:r w:rsidR="319E9221">
        <w:t xml:space="preserve"> report also discussed the</w:t>
      </w:r>
      <w:r>
        <w:t xml:space="preserve"> risk </w:t>
      </w:r>
      <w:r w:rsidR="2CCA4FD5">
        <w:t>of infringement notices being issued to people who are exempt</w:t>
      </w:r>
      <w:r>
        <w:t xml:space="preserve"> from wearing a seatbelt</w:t>
      </w:r>
      <w:r w:rsidR="24082E10">
        <w:t xml:space="preserve">, </w:t>
      </w:r>
      <w:r>
        <w:t xml:space="preserve">engaging the right to equality (s 15). </w:t>
      </w:r>
    </w:p>
    <w:p w14:paraId="1C3FFC3C" w14:textId="68A79FE9" w:rsidR="006936AD" w:rsidRPr="005C5B4A" w:rsidRDefault="2EFCBB9E" w:rsidP="63F480A7">
      <w:r>
        <w:t xml:space="preserve">The report included further information from the department responding to these concerns. The </w:t>
      </w:r>
      <w:r w:rsidR="002D41B9">
        <w:t>Committee</w:t>
      </w:r>
      <w:r>
        <w:t xml:space="preserve"> suggested that the department take the time to revisit the issues raised by stakeholders in order to consider if and where additional operational improvements can be made to fully address stakeholders’ concerns.</w:t>
      </w:r>
      <w:r w:rsidR="005C5B4A" w:rsidRPr="63F480A7">
        <w:rPr>
          <w:vertAlign w:val="superscript"/>
        </w:rPr>
        <w:footnoteReference w:id="48"/>
      </w:r>
      <w:r>
        <w:t xml:space="preserve"> </w:t>
      </w:r>
    </w:p>
    <w:p w14:paraId="04BAD3A2" w14:textId="6547F81B" w:rsidR="006936AD" w:rsidRPr="005C5B4A" w:rsidRDefault="2EFCBB9E" w:rsidP="63F480A7">
      <w:r>
        <w:t xml:space="preserve">Overall, the </w:t>
      </w:r>
      <w:r w:rsidR="002D41B9">
        <w:t>Committee</w:t>
      </w:r>
      <w:r>
        <w:t xml:space="preserve"> concluded that the limits on rights were reasonable and justifiable. However, the </w:t>
      </w:r>
      <w:r w:rsidR="002D41B9">
        <w:t>Committee</w:t>
      </w:r>
      <w:r>
        <w:t xml:space="preserve"> found it was necessary to seek additional information beyond the </w:t>
      </w:r>
      <w:r w:rsidR="002D41B9">
        <w:t>Statement of Compatibility</w:t>
      </w:r>
      <w:r>
        <w:t xml:space="preserve"> to reach this conclusion</w:t>
      </w:r>
      <w:r w:rsidR="0023754F">
        <w:t>,</w:t>
      </w:r>
      <w:r>
        <w:t xml:space="preserve"> and published that information in its report to facilitate understanding of the Bill and its compatibility. While ideally every </w:t>
      </w:r>
      <w:r w:rsidR="002D41B9">
        <w:t>Statement of Compatibility</w:t>
      </w:r>
      <w:r>
        <w:t xml:space="preserve"> would be sufficient, it is a positive aspect of the Queensland parliamentary scrutiny process that additional information can be elicited and published prior to a Bill being debated. </w:t>
      </w:r>
    </w:p>
    <w:p w14:paraId="41DD8279" w14:textId="77777777" w:rsidR="006936AD" w:rsidRPr="005C5B4A" w:rsidRDefault="2EFCBB9E" w:rsidP="63F480A7">
      <w:r>
        <w:t>The Government tabled a response to the recommendations during the debate stage, indicating its support and committing to an extensive education and training strategy to promote understanding of how the digital licence app will work.</w:t>
      </w:r>
      <w:r w:rsidR="005C5B4A" w:rsidRPr="63F480A7">
        <w:rPr>
          <w:vertAlign w:val="superscript"/>
        </w:rPr>
        <w:footnoteReference w:id="49"/>
      </w:r>
    </w:p>
    <w:p w14:paraId="2FF77E33" w14:textId="2CD0743F" w:rsidR="006936AD" w:rsidRPr="005C5B4A" w:rsidRDefault="2EFCBB9E" w:rsidP="63F480A7">
      <w:r>
        <w:t>The Bill passed on 14 July 2020.</w:t>
      </w:r>
      <w:r w:rsidR="00197317">
        <w:t xml:space="preserve"> </w:t>
      </w:r>
    </w:p>
    <w:p w14:paraId="68EF8B62" w14:textId="77777777" w:rsidR="006936AD" w:rsidRPr="00E076E6" w:rsidRDefault="2EFCBB9E" w:rsidP="63F480A7">
      <w:pPr>
        <w:pStyle w:val="Heading2"/>
        <w:rPr>
          <w:i/>
        </w:rPr>
      </w:pPr>
      <w:bookmarkStart w:id="221" w:name="_Toc85451732"/>
      <w:bookmarkStart w:id="222" w:name="_Toc85526662"/>
      <w:bookmarkStart w:id="223" w:name="_Toc85787077"/>
      <w:r w:rsidRPr="00E076E6">
        <w:rPr>
          <w:i/>
        </w:rPr>
        <w:lastRenderedPageBreak/>
        <w:t>Corrective Services and Other Legislation Amendment Act 2020</w:t>
      </w:r>
      <w:bookmarkEnd w:id="221"/>
      <w:bookmarkEnd w:id="222"/>
      <w:bookmarkEnd w:id="223"/>
    </w:p>
    <w:p w14:paraId="14527990" w14:textId="47A81B2B" w:rsidR="006936AD" w:rsidRPr="005C5B4A" w:rsidRDefault="2EFCBB9E" w:rsidP="63F480A7">
      <w:r>
        <w:t>Th</w:t>
      </w:r>
      <w:r w:rsidR="0023754F">
        <w:t>is</w:t>
      </w:r>
      <w:r>
        <w:t xml:space="preserve"> Act responded to risks identified in the Crime and Corruption Commission’s </w:t>
      </w:r>
      <w:r w:rsidRPr="63F480A7">
        <w:rPr>
          <w:i/>
          <w:iCs/>
        </w:rPr>
        <w:t xml:space="preserve">Taskforce </w:t>
      </w:r>
      <w:proofErr w:type="spellStart"/>
      <w:r w:rsidRPr="63F480A7">
        <w:rPr>
          <w:i/>
          <w:iCs/>
        </w:rPr>
        <w:t>Flaxton</w:t>
      </w:r>
      <w:proofErr w:type="spellEnd"/>
      <w:r w:rsidRPr="63F480A7">
        <w:rPr>
          <w:i/>
          <w:iCs/>
        </w:rPr>
        <w:t>: An examination of corruption risks and corruption in Queensland prisons</w:t>
      </w:r>
      <w:r>
        <w:t>,</w:t>
      </w:r>
      <w:r w:rsidR="005C5B4A" w:rsidRPr="63F480A7">
        <w:rPr>
          <w:rStyle w:val="FootnoteReference"/>
        </w:rPr>
        <w:footnoteReference w:id="50"/>
      </w:r>
      <w:r>
        <w:t xml:space="preserve"> and implements recommendations from the Queensland Parole System Review.</w:t>
      </w:r>
      <w:r w:rsidR="005C5B4A" w:rsidRPr="63F480A7">
        <w:rPr>
          <w:rStyle w:val="FootnoteReference"/>
        </w:rPr>
        <w:footnoteReference w:id="51"/>
      </w:r>
      <w:r>
        <w:t xml:space="preserve"> Amendments included alcohol and drug testing and searching of Corrective Services staff, prohibiting staff from having an intimate relationship with a prisoner, and prohibiting prisoners convicted of certain offences from being accommodated in low custody facilities.</w:t>
      </w:r>
    </w:p>
    <w:p w14:paraId="23256F2F" w14:textId="6178B3A8" w:rsidR="006936AD" w:rsidRPr="005C5B4A" w:rsidRDefault="2EFCBB9E" w:rsidP="63F480A7">
      <w:r>
        <w:t xml:space="preserve">In making a submission to the Legal Affairs and Safety </w:t>
      </w:r>
      <w:r w:rsidR="002D41B9">
        <w:t>Committee</w:t>
      </w:r>
      <w:r>
        <w:t xml:space="preserve">, the Commission recommended that in applying human rights principles, the blanket prohibition relating to low custody was inappropriate for some prisoners, and that the provisions relating to alcohol and drug testing of staff should be amended so that these measures are the least invasive. The </w:t>
      </w:r>
      <w:r w:rsidR="002D41B9">
        <w:t>Committee</w:t>
      </w:r>
      <w:r>
        <w:t xml:space="preserve"> concluded the Bill was generally compatible with human rights.</w:t>
      </w:r>
      <w:r w:rsidR="005C5B4A" w:rsidRPr="63F480A7">
        <w:rPr>
          <w:rStyle w:val="FootnoteReference"/>
        </w:rPr>
        <w:footnoteReference w:id="52"/>
      </w:r>
      <w:r w:rsidR="00197317">
        <w:t xml:space="preserve"> </w:t>
      </w:r>
    </w:p>
    <w:p w14:paraId="095B791B" w14:textId="19099AB8" w:rsidR="006936AD" w:rsidRPr="005C5B4A" w:rsidRDefault="2EFCBB9E" w:rsidP="63F480A7">
      <w:r>
        <w:t xml:space="preserve">However, further significant amendments were tabled by the government during the debate stage, some unrelated to the original purposes of the Bill. These included amendments to health legislation to support the government’s response to COVID-19, including increasing the maximum penalty of breaching public health orders. The </w:t>
      </w:r>
      <w:r w:rsidR="002D41B9">
        <w:t>Statement of Compatibility</w:t>
      </w:r>
      <w:r>
        <w:t xml:space="preserve"> acknowledged that the amendments limited several rights, however these were not subject to the usual scrutiny through the </w:t>
      </w:r>
      <w:r w:rsidR="002D41B9">
        <w:t>Committee</w:t>
      </w:r>
      <w:r>
        <w:t xml:space="preserve"> process.</w:t>
      </w:r>
      <w:r w:rsidR="005C5B4A" w:rsidRPr="63F480A7">
        <w:rPr>
          <w:vertAlign w:val="superscript"/>
        </w:rPr>
        <w:footnoteReference w:id="53"/>
      </w:r>
      <w:r>
        <w:t xml:space="preserve"> The urgency of these amendments was not clear. As the Commission discussed in last year’s report on the operation of the Act, as the Queensland dialogue model of human rights protection provides parliament with the final say on compatibility of laws, the scrutiny process is critical to human rights protection. </w:t>
      </w:r>
    </w:p>
    <w:p w14:paraId="5B533CFB" w14:textId="64CA154C" w:rsidR="006936AD" w:rsidRPr="005C5B4A" w:rsidRDefault="2EFCBB9E" w:rsidP="63F480A7">
      <w:r>
        <w:t xml:space="preserve">The Bill, as amended, passed on 16 July 2020. </w:t>
      </w:r>
    </w:p>
    <w:p w14:paraId="18E00919" w14:textId="7C495344" w:rsidR="35FFCC53" w:rsidRDefault="2EFCBB9E" w:rsidP="002421F2">
      <w:pPr>
        <w:pStyle w:val="Heading2"/>
      </w:pPr>
      <w:bookmarkStart w:id="224" w:name="_Toc85451733"/>
      <w:bookmarkStart w:id="225" w:name="_Toc85526663"/>
      <w:bookmarkStart w:id="226" w:name="_Toc85787078"/>
      <w:r w:rsidRPr="00890539">
        <w:rPr>
          <w:i/>
        </w:rPr>
        <w:lastRenderedPageBreak/>
        <w:t xml:space="preserve">Meriba Omasker Kaziw Kazipa (Torres Strait Islander </w:t>
      </w:r>
      <w:r w:rsidRPr="35FFCC53">
        <w:rPr>
          <w:i/>
          <w:iCs/>
        </w:rPr>
        <w:t>Tradition</w:t>
      </w:r>
      <w:r w:rsidR="514DC0E1" w:rsidRPr="35FFCC53">
        <w:rPr>
          <w:i/>
          <w:iCs/>
        </w:rPr>
        <w:t>al</w:t>
      </w:r>
      <w:r w:rsidRPr="00890539">
        <w:rPr>
          <w:i/>
        </w:rPr>
        <w:t xml:space="preserve"> Child Rearing Practice) </w:t>
      </w:r>
      <w:r w:rsidR="5598A5E7" w:rsidRPr="35FFCC53">
        <w:rPr>
          <w:i/>
          <w:iCs/>
        </w:rPr>
        <w:t>Act</w:t>
      </w:r>
      <w:r w:rsidRPr="00890539">
        <w:rPr>
          <w:i/>
        </w:rPr>
        <w:t xml:space="preserve"> 2020</w:t>
      </w:r>
      <w:bookmarkEnd w:id="224"/>
      <w:bookmarkEnd w:id="225"/>
      <w:bookmarkEnd w:id="226"/>
      <w:r w:rsidRPr="00890539">
        <w:rPr>
          <w:i/>
        </w:rPr>
        <w:t xml:space="preserve"> </w:t>
      </w:r>
    </w:p>
    <w:p w14:paraId="4B9E39D8" w14:textId="5FAE037C" w:rsidR="006936AD" w:rsidRPr="005C5B4A" w:rsidRDefault="2EFCBB9E" w:rsidP="63F480A7">
      <w:r>
        <w:t>This Act creates a new system to legally recognise cultural adoption practices of Torres Strait Islander peoples. Although the Bill restricted the rights of children and families, it is consistent with the cultural rights of Torres Strait Islander peoples, and was supported by</w:t>
      </w:r>
      <w:r w:rsidR="00BD6158">
        <w:t xml:space="preserve"> the Commission’s</w:t>
      </w:r>
      <w:r>
        <w:t xml:space="preserve"> submission to the Health, Communities, Disability Services and Domestic and Family Violence Prevention </w:t>
      </w:r>
      <w:r w:rsidR="002D41B9">
        <w:t>Committee</w:t>
      </w:r>
      <w:r>
        <w:t>.</w:t>
      </w:r>
    </w:p>
    <w:p w14:paraId="6201C0D7" w14:textId="5300C3C2" w:rsidR="006936AD" w:rsidRPr="005C5B4A" w:rsidRDefault="2EFCBB9E" w:rsidP="63F480A7">
      <w:pPr>
        <w:rPr>
          <w:sz w:val="20"/>
          <w:szCs w:val="20"/>
        </w:rPr>
      </w:pPr>
      <w:r>
        <w:t xml:space="preserve">While in general the </w:t>
      </w:r>
      <w:r w:rsidR="002D41B9">
        <w:t>Committee</w:t>
      </w:r>
      <w:r>
        <w:t xml:space="preserve"> found a sufficient level of information in the </w:t>
      </w:r>
      <w:r w:rsidR="002D41B9">
        <w:t>Statement of Compatibility</w:t>
      </w:r>
      <w:r>
        <w:t xml:space="preserve"> to facilitate understanding of the Bill, it also identified that further information would have enabled more robust consideration of rights compatibility. The </w:t>
      </w:r>
      <w:r w:rsidR="002D41B9">
        <w:t>Committee</w:t>
      </w:r>
      <w:r>
        <w:t xml:space="preserve"> noted</w:t>
      </w:r>
      <w:r w:rsidRPr="63F480A7">
        <w:rPr>
          <w:sz w:val="20"/>
          <w:szCs w:val="20"/>
        </w:rPr>
        <w:t xml:space="preserve"> </w:t>
      </w:r>
      <w:r>
        <w:t>that relevant sources of information were available to the proponents of the Bill that relate directly to the issues, including information obtained through the extensive consultations conducted with Torres Strait Islander people and contained in previous published reports</w:t>
      </w:r>
      <w:r w:rsidRPr="63F480A7">
        <w:rPr>
          <w:sz w:val="20"/>
          <w:szCs w:val="20"/>
        </w:rPr>
        <w:t>.</w:t>
      </w:r>
      <w:r w:rsidR="005C5B4A" w:rsidRPr="63F480A7">
        <w:rPr>
          <w:sz w:val="20"/>
          <w:szCs w:val="20"/>
          <w:vertAlign w:val="superscript"/>
        </w:rPr>
        <w:footnoteReference w:id="54"/>
      </w:r>
      <w:r w:rsidRPr="63F480A7">
        <w:rPr>
          <w:sz w:val="20"/>
          <w:szCs w:val="20"/>
        </w:rPr>
        <w:t xml:space="preserve"> </w:t>
      </w:r>
    </w:p>
    <w:p w14:paraId="678E96A5" w14:textId="3FC83C43" w:rsidR="006936AD" w:rsidRPr="005C5B4A" w:rsidRDefault="2EFCBB9E" w:rsidP="63F480A7">
      <w:r>
        <w:t xml:space="preserve">Rather than seeking more information from the minister, the </w:t>
      </w:r>
      <w:r w:rsidR="002D41B9">
        <w:t>Committee</w:t>
      </w:r>
      <w:r>
        <w:t xml:space="preserve"> suggested improvements to future statements:</w:t>
      </w:r>
    </w:p>
    <w:p w14:paraId="6E506E2B" w14:textId="0543E070" w:rsidR="006936AD" w:rsidRPr="005C5B4A" w:rsidRDefault="2EFCBB9E" w:rsidP="63F480A7">
      <w:pPr>
        <w:ind w:left="720"/>
      </w:pPr>
      <w:r w:rsidRPr="63F480A7">
        <w:rPr>
          <w:sz w:val="22"/>
          <w:szCs w:val="22"/>
        </w:rPr>
        <w:t xml:space="preserve">Given that one of the purposes of the HRA is to generate a dialogue on human rights within the Queensland Parliament and broader community, the </w:t>
      </w:r>
      <w:r w:rsidR="002D41B9">
        <w:rPr>
          <w:sz w:val="22"/>
          <w:szCs w:val="22"/>
        </w:rPr>
        <w:t>Committee</w:t>
      </w:r>
      <w:r w:rsidRPr="63F480A7">
        <w:rPr>
          <w:sz w:val="22"/>
          <w:szCs w:val="22"/>
        </w:rPr>
        <w:t xml:space="preserve"> also encourages drafters of statements of compatibility to engage more directly with international law and comparative law sources, particularly when describing the nature of the rights protected under the HRA</w:t>
      </w:r>
      <w:r>
        <w:t>.</w:t>
      </w:r>
      <w:r w:rsidR="005C5B4A" w:rsidRPr="63F480A7">
        <w:rPr>
          <w:rStyle w:val="FootnoteReference"/>
          <w:rFonts w:eastAsia="Times New Roman" w:cs="Arial"/>
        </w:rPr>
        <w:footnoteReference w:id="55"/>
      </w:r>
    </w:p>
    <w:p w14:paraId="51D7BECE" w14:textId="342105D4" w:rsidR="006936AD" w:rsidRPr="005C5B4A" w:rsidRDefault="2EFCBB9E" w:rsidP="63F480A7">
      <w:r>
        <w:t xml:space="preserve">An example of an area for improvement singled out by the </w:t>
      </w:r>
      <w:r w:rsidR="002D41B9">
        <w:t>Committee</w:t>
      </w:r>
      <w:r>
        <w:t xml:space="preserve"> was more detailed descriptions of the positive rights impacts of the Bill. In particular, including more detail of the UN </w:t>
      </w:r>
      <w:r w:rsidRPr="63F480A7">
        <w:rPr>
          <w:i/>
          <w:iCs/>
        </w:rPr>
        <w:t>Convention on the Rights of the Child</w:t>
      </w:r>
      <w:r>
        <w:t xml:space="preserve"> and </w:t>
      </w:r>
      <w:r w:rsidRPr="63F480A7">
        <w:rPr>
          <w:i/>
          <w:iCs/>
        </w:rPr>
        <w:t>United Nations Declaration on the Rights of Indigenous Peoples</w:t>
      </w:r>
      <w:r>
        <w:t xml:space="preserve">. </w:t>
      </w:r>
    </w:p>
    <w:p w14:paraId="6752B37A" w14:textId="77777777" w:rsidR="006936AD" w:rsidRPr="005C5B4A" w:rsidRDefault="2EFCBB9E" w:rsidP="63F480A7">
      <w:r>
        <w:t>The Bill was passed, and commenced on 1 July 2021.</w:t>
      </w:r>
    </w:p>
    <w:p w14:paraId="598C3618" w14:textId="77777777" w:rsidR="006936AD" w:rsidRPr="00E076E6" w:rsidRDefault="2EFCBB9E" w:rsidP="63F480A7">
      <w:pPr>
        <w:pStyle w:val="Heading2"/>
        <w:rPr>
          <w:i/>
        </w:rPr>
      </w:pPr>
      <w:bookmarkStart w:id="227" w:name="_Toc85451734"/>
      <w:bookmarkStart w:id="228" w:name="_Toc85526664"/>
      <w:bookmarkStart w:id="229" w:name="_Toc85787079"/>
      <w:r w:rsidRPr="00E076E6">
        <w:rPr>
          <w:i/>
        </w:rPr>
        <w:lastRenderedPageBreak/>
        <w:t>Public Service and Other Legislation Amendment Act 2020</w:t>
      </w:r>
      <w:bookmarkEnd w:id="227"/>
      <w:bookmarkEnd w:id="228"/>
      <w:bookmarkEnd w:id="229"/>
    </w:p>
    <w:p w14:paraId="63AFD438" w14:textId="77777777" w:rsidR="006936AD" w:rsidRPr="005C5B4A" w:rsidRDefault="2EFCBB9E" w:rsidP="63F480A7">
      <w:r>
        <w:t xml:space="preserve">This Act gave effect to stage one reforms arising from the recommendations of the independent review of the public sector employment laws. This included changes to emphasise the government’s commitment to employment security, providing for more transparency and consistency in public service appeals, establish positive performance management principles, and clarify thresholds and guidance for taking disciplinary action. </w:t>
      </w:r>
    </w:p>
    <w:p w14:paraId="6FB4EDA4" w14:textId="4F88A1C4" w:rsidR="006936AD" w:rsidRPr="005C5B4A" w:rsidRDefault="2EFCBB9E" w:rsidP="63F480A7">
      <w:r>
        <w:t xml:space="preserve">In its report, the Education, Employment and Small Business </w:t>
      </w:r>
      <w:r w:rsidR="002D41B9">
        <w:t>Committee</w:t>
      </w:r>
      <w:r>
        <w:t xml:space="preserve"> noted that a clause of the Bill was arguably incompatible with the rights to fair trial and equality under the Act. The provision may prevent a person being legally represented in public service appeals. The </w:t>
      </w:r>
      <w:r w:rsidR="002D41B9">
        <w:t>Committee</w:t>
      </w:r>
      <w:r>
        <w:t xml:space="preserve"> stated that the </w:t>
      </w:r>
      <w:r w:rsidR="002D41B9">
        <w:t>Statement of Compatibility</w:t>
      </w:r>
      <w:r>
        <w:t xml:space="preserve"> did not provide adequate justification for this limitation.</w:t>
      </w:r>
      <w:r w:rsidR="00197317">
        <w:t xml:space="preserve"> </w:t>
      </w:r>
      <w:r>
        <w:t xml:space="preserve"> </w:t>
      </w:r>
    </w:p>
    <w:p w14:paraId="1A6A52DA" w14:textId="2765D873" w:rsidR="006936AD" w:rsidRPr="005C5B4A" w:rsidRDefault="2EFCBB9E" w:rsidP="63F480A7">
      <w:r>
        <w:t xml:space="preserve">As this issue was raised in the inquiry process after the department had provided its consideration and formal response to issues raised in submissions to the inquiry, the </w:t>
      </w:r>
      <w:r w:rsidR="002D41B9">
        <w:t>Committee</w:t>
      </w:r>
      <w:r>
        <w:t xml:space="preserve"> suggested the department consider addressing the issue in of stage 2 </w:t>
      </w:r>
      <w:r w:rsidR="007F2CED">
        <w:t xml:space="preserve">of the </w:t>
      </w:r>
      <w:r>
        <w:t>public sector reforms.</w:t>
      </w:r>
      <w:r w:rsidR="005C5B4A" w:rsidRPr="63F480A7">
        <w:rPr>
          <w:vertAlign w:val="superscript"/>
        </w:rPr>
        <w:footnoteReference w:id="56"/>
      </w:r>
    </w:p>
    <w:p w14:paraId="019CE96F" w14:textId="00197C37" w:rsidR="006936AD" w:rsidRPr="005C5B4A" w:rsidRDefault="2EFCBB9E" w:rsidP="63F480A7">
      <w:r>
        <w:t xml:space="preserve">In response to formal recommendations made by the </w:t>
      </w:r>
      <w:r w:rsidR="002D41B9">
        <w:t>Committee</w:t>
      </w:r>
      <w:r>
        <w:t xml:space="preserve">, the government moved other amendments to the Bill, but not in relation to this issue. However, in its response to the </w:t>
      </w:r>
      <w:r w:rsidR="002D41B9">
        <w:t>Committee</w:t>
      </w:r>
      <w:r>
        <w:t xml:space="preserve"> report, the government only noted the </w:t>
      </w:r>
      <w:r w:rsidR="002D41B9">
        <w:t>Committee</w:t>
      </w:r>
      <w:r>
        <w:t xml:space="preserve">’s suggestion that it consult with the Queensland Law Society and relevant stakeholders about this issue. </w:t>
      </w:r>
      <w:r w:rsidR="005C5B4A" w:rsidRPr="63F480A7">
        <w:rPr>
          <w:vertAlign w:val="superscript"/>
        </w:rPr>
        <w:footnoteReference w:id="57"/>
      </w:r>
    </w:p>
    <w:p w14:paraId="70833116" w14:textId="3B839A9A" w:rsidR="006936AD" w:rsidRPr="005C5B4A" w:rsidRDefault="00B8678D" w:rsidP="63F480A7">
      <w:r w:rsidRPr="00B8678D">
        <w:t xml:space="preserve">The </w:t>
      </w:r>
      <w:r w:rsidR="2EFCBB9E">
        <w:t xml:space="preserve">Bill passed </w:t>
      </w:r>
      <w:r w:rsidR="001815AD">
        <w:t>on 3 September 2020</w:t>
      </w:r>
      <w:r w:rsidRPr="00B8678D">
        <w:t>. The Commission remains concerned a piece of legislation</w:t>
      </w:r>
      <w:r w:rsidR="001815AD">
        <w:t xml:space="preserve"> </w:t>
      </w:r>
      <w:r w:rsidR="2EFCBB9E">
        <w:t xml:space="preserve">with a potentially incompatible </w:t>
      </w:r>
      <w:r w:rsidRPr="00B8678D">
        <w:t>provision was passed by parliament</w:t>
      </w:r>
      <w:r w:rsidR="2EFCBB9E">
        <w:t xml:space="preserve">, particularly as it is unclear if the government intends to address this issue. </w:t>
      </w:r>
    </w:p>
    <w:p w14:paraId="4A383DCE" w14:textId="77777777" w:rsidR="006936AD" w:rsidRPr="00E076E6" w:rsidRDefault="2EFCBB9E" w:rsidP="63F480A7">
      <w:pPr>
        <w:pStyle w:val="Heading2"/>
        <w:rPr>
          <w:i/>
        </w:rPr>
      </w:pPr>
      <w:bookmarkStart w:id="230" w:name="_Toc85451735"/>
      <w:bookmarkStart w:id="231" w:name="_Toc85526665"/>
      <w:bookmarkStart w:id="232" w:name="_Toc85787080"/>
      <w:r w:rsidRPr="00E076E6">
        <w:rPr>
          <w:i/>
        </w:rPr>
        <w:lastRenderedPageBreak/>
        <w:t>Waste Reduction and Recycling (Plastic Items) Amendment Act 2021</w:t>
      </w:r>
      <w:bookmarkEnd w:id="230"/>
      <w:bookmarkEnd w:id="231"/>
      <w:bookmarkEnd w:id="232"/>
    </w:p>
    <w:p w14:paraId="55899D91" w14:textId="5FF99203" w:rsidR="006936AD" w:rsidRPr="005C5B4A" w:rsidRDefault="2EFCBB9E" w:rsidP="63F480A7">
      <w:r>
        <w:t xml:space="preserve">This Act introduced a ban on some of the most common single-use plastic items in our community. The Act recognises that continued access to a single-use plastic item such as a straw is important for some members of our community with a permanent or temporary disability to meet their healthcare needs. Exempt businesses, including pharmacies, hospitals, schools, and medical and dental clinics, will be able to continue purchasing and providing single-use plastic items to those who need them. The </w:t>
      </w:r>
      <w:r w:rsidR="002D41B9">
        <w:t>Statement of Compatibility</w:t>
      </w:r>
      <w:r>
        <w:t xml:space="preserve"> stated that no human rights were engaged or limited by the amendments because straws will remain available (such as by the person purchasing them separately at a pharmacy).</w:t>
      </w:r>
    </w:p>
    <w:p w14:paraId="55E8F192" w14:textId="65825031" w:rsidR="006936AD" w:rsidRPr="005C5B4A" w:rsidRDefault="2EFCBB9E" w:rsidP="63F480A7">
      <w:r>
        <w:t xml:space="preserve">In its report, the Natural Resources, Agricultural Industry Development and Environment </w:t>
      </w:r>
      <w:r w:rsidR="002D41B9">
        <w:t>Committee</w:t>
      </w:r>
      <w:r>
        <w:t xml:space="preserve"> found that the </w:t>
      </w:r>
      <w:r w:rsidR="002D41B9">
        <w:t>Statement of Compatibility</w:t>
      </w:r>
      <w:r>
        <w:t xml:space="preserve"> provided only limited examination of issues faced by people with who may need a plastic straw. The </w:t>
      </w:r>
      <w:r w:rsidR="002D41B9">
        <w:t>Committee</w:t>
      </w:r>
      <w:r>
        <w:t xml:space="preserve"> concluded that the </w:t>
      </w:r>
      <w:r w:rsidR="002D41B9">
        <w:t>Statement of Compatibility</w:t>
      </w:r>
      <w:r>
        <w:t xml:space="preserve"> did not contain sufficient information and did not identify substantial human rights issues. The </w:t>
      </w:r>
      <w:r w:rsidR="002D41B9">
        <w:t>Committee</w:t>
      </w:r>
      <w:r>
        <w:t xml:space="preserve"> noted that creating an additional exemption for a hospitality business who supplies a plastic straw to a person requiring one due to a disability or health condition</w:t>
      </w:r>
      <w:r w:rsidR="003E560C">
        <w:t>,</w:t>
      </w:r>
      <w:r>
        <w:t xml:space="preserve"> would be a reasonable way of further minimising the risk of humiliating or limiting experiences.</w:t>
      </w:r>
      <w:r w:rsidR="005C5B4A" w:rsidRPr="63F480A7">
        <w:rPr>
          <w:vertAlign w:val="superscript"/>
        </w:rPr>
        <w:footnoteReference w:id="58"/>
      </w:r>
    </w:p>
    <w:p w14:paraId="7D67E5CC" w14:textId="77777777" w:rsidR="006936AD" w:rsidRPr="005C5B4A" w:rsidRDefault="2EFCBB9E" w:rsidP="63F480A7">
      <w:r>
        <w:t>In response to this issue being raised by another member during debate, the minister committed to continuing to work with key stakeholders to clarify where and how people could still access single-use plastic items in their daily lives.</w:t>
      </w:r>
      <w:r w:rsidR="005C5B4A" w:rsidRPr="63F480A7">
        <w:rPr>
          <w:vertAlign w:val="superscript"/>
        </w:rPr>
        <w:footnoteReference w:id="59"/>
      </w:r>
    </w:p>
    <w:p w14:paraId="7C5F16A4" w14:textId="7E5014FE" w:rsidR="006936AD" w:rsidRPr="005C5B4A" w:rsidRDefault="2EFCBB9E" w:rsidP="63F480A7">
      <w:r>
        <w:t xml:space="preserve">The </w:t>
      </w:r>
      <w:r w:rsidR="001815AD">
        <w:t>Bill</w:t>
      </w:r>
      <w:r>
        <w:t xml:space="preserve"> passed on 10 March 2021. </w:t>
      </w:r>
    </w:p>
    <w:p w14:paraId="6D02868C" w14:textId="77777777" w:rsidR="006936AD" w:rsidRPr="00E076E6" w:rsidRDefault="2EFCBB9E" w:rsidP="63F480A7">
      <w:pPr>
        <w:pStyle w:val="Heading2"/>
        <w:rPr>
          <w:i/>
        </w:rPr>
      </w:pPr>
      <w:bookmarkStart w:id="233" w:name="_Toc85451736"/>
      <w:bookmarkStart w:id="234" w:name="_Toc85526666"/>
      <w:bookmarkStart w:id="235" w:name="_Toc85787081"/>
      <w:r w:rsidRPr="00E076E6">
        <w:rPr>
          <w:i/>
        </w:rPr>
        <w:t>Child Protection and Other Legislation Amendment Act 2021</w:t>
      </w:r>
      <w:bookmarkEnd w:id="233"/>
      <w:bookmarkEnd w:id="234"/>
      <w:bookmarkEnd w:id="235"/>
    </w:p>
    <w:p w14:paraId="6D435768" w14:textId="7F12150A" w:rsidR="006936AD" w:rsidRPr="005C5B4A" w:rsidRDefault="2EFCBB9E" w:rsidP="63F480A7">
      <w:r>
        <w:t>A purpose of th</w:t>
      </w:r>
      <w:r w:rsidR="00BD6158">
        <w:t>is</w:t>
      </w:r>
      <w:r>
        <w:t xml:space="preserve"> Act was to enhance the approach to permanency under the </w:t>
      </w:r>
      <w:r w:rsidRPr="63F480A7">
        <w:rPr>
          <w:i/>
          <w:iCs/>
        </w:rPr>
        <w:t>Child Protection Act 1999</w:t>
      </w:r>
      <w:r>
        <w:t xml:space="preserve">, and to clarify that adoption is an option for achieving permanency for children living in care. </w:t>
      </w:r>
    </w:p>
    <w:p w14:paraId="79973895" w14:textId="77777777" w:rsidR="006936AD" w:rsidRPr="005C5B4A" w:rsidRDefault="2EFCBB9E" w:rsidP="63F480A7">
      <w:r>
        <w:lastRenderedPageBreak/>
        <w:t>It provides that adoption is the third preference (after being cared for by family, and being cared for by another family member) – except for Aboriginal or Torres Strait Islander children, where the third preference is foster care, and the fourth preference is adoption.</w:t>
      </w:r>
    </w:p>
    <w:p w14:paraId="740DD3B9" w14:textId="4FB2DB0D" w:rsidR="006936AD" w:rsidRPr="005C5B4A" w:rsidRDefault="2EFCBB9E" w:rsidP="63F480A7">
      <w:r>
        <w:t xml:space="preserve">Our submission considered the changes did not sufficiently safeguard the rights of the child and their birth family, and were premature in light of the review of the </w:t>
      </w:r>
      <w:r w:rsidRPr="63F480A7">
        <w:rPr>
          <w:i/>
          <w:iCs/>
        </w:rPr>
        <w:t>Adoption Act 2009</w:t>
      </w:r>
      <w:r>
        <w:t xml:space="preserve"> in 2021. The Bill was initially considered by the Legal Affairs and Safety </w:t>
      </w:r>
      <w:r w:rsidR="002D41B9">
        <w:t>Committee</w:t>
      </w:r>
      <w:r>
        <w:t xml:space="preserve"> (LASC), but lapsed at the end of the last parliament. </w:t>
      </w:r>
    </w:p>
    <w:p w14:paraId="12853EB8" w14:textId="279F4133" w:rsidR="006936AD" w:rsidRPr="005C5B4A" w:rsidRDefault="2EFCBB9E" w:rsidP="63F480A7">
      <w:r>
        <w:t xml:space="preserve">When the Bill was reintroduced after the new parliament was formed, it was considered by the Community Support and Services </w:t>
      </w:r>
      <w:r w:rsidR="002D41B9">
        <w:t>Committee</w:t>
      </w:r>
      <w:r>
        <w:t xml:space="preserve"> (CSSC). The Commission joined with other bodies, including the Queensland Family and Child Commission, in a joint submission that recommended that the changes be accompanied by active efforts to implement the Aboriginal and Torres Strait Islander Child Placement Principle and that there is independent oversight of permanency decisions.</w:t>
      </w:r>
    </w:p>
    <w:p w14:paraId="29446D5D" w14:textId="308DF82F" w:rsidR="006936AD" w:rsidRPr="005C5B4A" w:rsidRDefault="2EFCBB9E" w:rsidP="63F480A7">
      <w:r>
        <w:t>The CSSC agreed with the human rights analysis undertaken previously by the LASC, which concluded the bill was compatible with human rights and any limitations were reasonable and demonstrably justified.</w:t>
      </w:r>
      <w:r w:rsidR="00197317">
        <w:t xml:space="preserve"> </w:t>
      </w:r>
    </w:p>
    <w:p w14:paraId="1D9E1AA8" w14:textId="37F3947B" w:rsidR="006936AD" w:rsidRPr="005C5B4A" w:rsidRDefault="2EFCBB9E" w:rsidP="63F480A7">
      <w:r>
        <w:t>The Commission’s joint submission was cited during debate of the Bill, which passed on 23 March 2021.</w:t>
      </w:r>
    </w:p>
    <w:p w14:paraId="2AE5131D" w14:textId="77777777" w:rsidR="006936AD" w:rsidRPr="00E076E6" w:rsidRDefault="2EFCBB9E" w:rsidP="63F480A7">
      <w:pPr>
        <w:pStyle w:val="Heading2"/>
        <w:rPr>
          <w:i/>
        </w:rPr>
      </w:pPr>
      <w:bookmarkStart w:id="236" w:name="_Toc85451737"/>
      <w:bookmarkStart w:id="237" w:name="_Toc85526667"/>
      <w:bookmarkStart w:id="238" w:name="_Toc85787082"/>
      <w:r w:rsidRPr="00E076E6">
        <w:rPr>
          <w:i/>
        </w:rPr>
        <w:t>Criminal Code (Consent and Mistake of Fact) and Other Legislation Amendment Act 2021</w:t>
      </w:r>
      <w:bookmarkEnd w:id="236"/>
      <w:bookmarkEnd w:id="237"/>
      <w:bookmarkEnd w:id="238"/>
    </w:p>
    <w:p w14:paraId="39A1C48E" w14:textId="17C2B752" w:rsidR="006936AD" w:rsidRPr="005C5B4A" w:rsidRDefault="2EFCBB9E" w:rsidP="63F480A7">
      <w:r>
        <w:t>Th</w:t>
      </w:r>
      <w:r w:rsidR="00BD6158">
        <w:t>is</w:t>
      </w:r>
      <w:r>
        <w:t xml:space="preserve"> Act implemented recommendations of the Queensland Law Reform Commission to clarify that consent to a sexual act is not given simply because the person doesn’t say anything, and that if an act is done or continues after consent is withdrawn, the act is done or continued without consent. For a defendant claiming mistaken belief about consent, regard must be had to what the defendant did to ascertain consent, and regard must not be had to the voluntary intoxication of the defendant.</w:t>
      </w:r>
    </w:p>
    <w:p w14:paraId="37BBE8BE" w14:textId="6E0873B3" w:rsidR="006936AD" w:rsidRPr="005C5B4A" w:rsidRDefault="00BD6158" w:rsidP="63F480A7">
      <w:r>
        <w:t xml:space="preserve">The Commission’s submission </w:t>
      </w:r>
      <w:r w:rsidR="2EFCBB9E">
        <w:t xml:space="preserve">supported these amendments to the </w:t>
      </w:r>
      <w:r w:rsidR="2EFCBB9E" w:rsidRPr="63F480A7">
        <w:rPr>
          <w:i/>
          <w:iCs/>
        </w:rPr>
        <w:t>Criminal Code</w:t>
      </w:r>
      <w:r w:rsidR="2EFCBB9E">
        <w:t>, and recommended that the government monitor this area of the law, particularly the impact on the rights of victims.</w:t>
      </w:r>
    </w:p>
    <w:p w14:paraId="71F17CB1" w14:textId="0D281A6D" w:rsidR="006936AD" w:rsidRPr="005C5B4A" w:rsidRDefault="2EFCBB9E" w:rsidP="63F480A7">
      <w:r>
        <w:lastRenderedPageBreak/>
        <w:t xml:space="preserve">In its report, the Legal Affairs and Safety </w:t>
      </w:r>
      <w:r w:rsidR="002D41B9">
        <w:t>Committee</w:t>
      </w:r>
      <w:r>
        <w:t xml:space="preserve"> noted that these aspects of the Bill engaged several rights of a defendant including to a fair hearing (s</w:t>
      </w:r>
      <w:r w:rsidR="00BD6158">
        <w:t>ection</w:t>
      </w:r>
      <w:r>
        <w:t xml:space="preserve"> 31</w:t>
      </w:r>
      <w:r w:rsidR="00BD6158">
        <w:t xml:space="preserve"> of the Human Rights Act</w:t>
      </w:r>
      <w:r>
        <w:t xml:space="preserve">) and the presumption of innocence (s 32). However, the </w:t>
      </w:r>
      <w:r w:rsidR="002D41B9">
        <w:t>Committee</w:t>
      </w:r>
      <w:r>
        <w:t xml:space="preserve"> concluded that they were not limited because an accused would still have the charge heard by an impartial court and the onus of proof beyond reasonable doubt remained on the prosecution for every element of the offence. </w:t>
      </w:r>
    </w:p>
    <w:p w14:paraId="1C0E966A" w14:textId="02EC5954" w:rsidR="006936AD" w:rsidRPr="005C5B4A" w:rsidRDefault="2EFCBB9E" w:rsidP="63F480A7">
      <w:r>
        <w:t xml:space="preserve">The </w:t>
      </w:r>
      <w:r w:rsidR="002D41B9">
        <w:t>Committee</w:t>
      </w:r>
      <w:r>
        <w:t xml:space="preserve"> recommended that in light of the comments of submitters, that relevant ministers undertake consultation with key stakeholders groups as a matter of urgency to address sexual violence in Queensland. The government supported this recommendation and on March 2021 announced a wide-ranging review into the experience of women across the criminal justice system to be undertaken by the Women’s Safety and Justice Taskforce, led by the Honourable Margaret McMurdo AC. </w:t>
      </w:r>
    </w:p>
    <w:p w14:paraId="20EC261D" w14:textId="0C16BF75" w:rsidR="006936AD" w:rsidRPr="005C5B4A" w:rsidRDefault="2EFCBB9E" w:rsidP="63F480A7">
      <w:r>
        <w:t xml:space="preserve">The Bill included additional amendments relevant to human rights including changes to the legal fidelity fund under the </w:t>
      </w:r>
      <w:r w:rsidRPr="63F480A7">
        <w:rPr>
          <w:i/>
          <w:iCs/>
        </w:rPr>
        <w:t xml:space="preserve">Legal Profession Act, </w:t>
      </w:r>
      <w:r>
        <w:t xml:space="preserve">which were found by the </w:t>
      </w:r>
      <w:r w:rsidR="002D41B9">
        <w:t>Committee</w:t>
      </w:r>
      <w:r>
        <w:t xml:space="preserve"> to be reasonable. The Bill also included</w:t>
      </w:r>
      <w:r w:rsidRPr="63F480A7">
        <w:rPr>
          <w:i/>
          <w:iCs/>
        </w:rPr>
        <w:t xml:space="preserve"> </w:t>
      </w:r>
      <w:r>
        <w:t xml:space="preserve">requirements for the Commissioner for Liquor and Gaming to publish information concerning particular decisions. The </w:t>
      </w:r>
      <w:r w:rsidR="002D41B9">
        <w:t>Committee</w:t>
      </w:r>
      <w:r>
        <w:t xml:space="preserve"> sought and published additional clarification it received from the department to facilitate understanding of why personal information was not excluded from information required to be published. The </w:t>
      </w:r>
      <w:r w:rsidR="002D41B9">
        <w:t>Committee</w:t>
      </w:r>
      <w:r>
        <w:t xml:space="preserve"> was satisfied with this explanation. </w:t>
      </w:r>
    </w:p>
    <w:p w14:paraId="4DCBED25" w14:textId="3DE85CAC" w:rsidR="006936AD" w:rsidRPr="005C5B4A" w:rsidRDefault="2EFCBB9E" w:rsidP="63F480A7">
      <w:r>
        <w:t xml:space="preserve">The Bill also proposed to extend the period of an initial police banning notice from 10 days to one month. A police banning notice prevents a person from entering or remaining on licenced premises or safe night precincts, or attending or remaining at a public event at which liquor will be sold. The notice may also prevent a person from entering or remaining in a ‘stated area’ designated by a reasonable distance or location from a particular premises or public event. The </w:t>
      </w:r>
      <w:r w:rsidR="002D41B9">
        <w:t>Committee</w:t>
      </w:r>
      <w:r>
        <w:t xml:space="preserve"> found the limitations on the rights to freedom of movement and freedom of assembly were proportionate. </w:t>
      </w:r>
    </w:p>
    <w:p w14:paraId="0B14E591" w14:textId="731B5707" w:rsidR="006936AD" w:rsidRPr="005C5B4A" w:rsidRDefault="2EFCBB9E" w:rsidP="63F480A7">
      <w:r>
        <w:t xml:space="preserve">The </w:t>
      </w:r>
      <w:r w:rsidR="002D41B9">
        <w:t>Committee</w:t>
      </w:r>
      <w:r>
        <w:t xml:space="preserve"> noted that the </w:t>
      </w:r>
      <w:r w:rsidR="002D41B9">
        <w:t>Statement of Compatibility</w:t>
      </w:r>
      <w:r>
        <w:t xml:space="preserve"> did not address whether provisions concerning new ID scanning requirements for regulated premises were compatible with the right to privacy. In considering the safety of patrons, staff and the community in and around licenced venues, the </w:t>
      </w:r>
      <w:r w:rsidR="002D41B9">
        <w:t>Committee</w:t>
      </w:r>
      <w:r>
        <w:t xml:space="preserve"> found the requirements were justified. </w:t>
      </w:r>
    </w:p>
    <w:p w14:paraId="4B1F777C" w14:textId="7BE3E879" w:rsidR="006936AD" w:rsidRPr="005C5B4A" w:rsidRDefault="2EFCBB9E" w:rsidP="63F480A7">
      <w:r>
        <w:t xml:space="preserve">As well as the failure to consider the right to privacy in this context, the </w:t>
      </w:r>
      <w:r w:rsidR="002D41B9">
        <w:t>Committee</w:t>
      </w:r>
      <w:r>
        <w:t xml:space="preserve"> raised several other issues with the </w:t>
      </w:r>
      <w:r w:rsidR="002D41B9">
        <w:t>Statement of Compatibility</w:t>
      </w:r>
      <w:r>
        <w:t>:</w:t>
      </w:r>
    </w:p>
    <w:p w14:paraId="104380FB" w14:textId="4AF918F3" w:rsidR="006936AD" w:rsidRPr="00195DF4" w:rsidRDefault="2EFCBB9E" w:rsidP="00195DF4">
      <w:pPr>
        <w:pStyle w:val="ListParagraph"/>
      </w:pPr>
      <w:r w:rsidRPr="00195DF4">
        <w:lastRenderedPageBreak/>
        <w:t>It was lengthy because it identified rights that were not limited.</w:t>
      </w:r>
    </w:p>
    <w:p w14:paraId="7BE3FD24" w14:textId="2F6F7F75" w:rsidR="006936AD" w:rsidRPr="00195DF4" w:rsidRDefault="2EFCBB9E" w:rsidP="00195DF4">
      <w:pPr>
        <w:pStyle w:val="ListParagraph"/>
      </w:pPr>
      <w:r w:rsidRPr="00195DF4">
        <w:t>It set out a proportionality analysis that was of ‘questionable utility’.</w:t>
      </w:r>
    </w:p>
    <w:p w14:paraId="7A93F484" w14:textId="19681A68" w:rsidR="006936AD" w:rsidRPr="00195DF4" w:rsidRDefault="2EFCBB9E" w:rsidP="00195DF4">
      <w:pPr>
        <w:pStyle w:val="ListParagraph"/>
      </w:pPr>
      <w:r w:rsidRPr="00195DF4">
        <w:t>It would have been improved by identifying the particular clause of the Bill being addressed and applying the limitations analysis to each human right being addressed.</w:t>
      </w:r>
      <w:r w:rsidR="005C5B4A" w:rsidRPr="00195DF4">
        <w:rPr>
          <w:vertAlign w:val="superscript"/>
        </w:rPr>
        <w:footnoteReference w:id="60"/>
      </w:r>
    </w:p>
    <w:p w14:paraId="6A590274" w14:textId="14A1D0DF" w:rsidR="006936AD" w:rsidRPr="005C5B4A" w:rsidRDefault="2EFCBB9E" w:rsidP="63F480A7">
      <w:r>
        <w:t xml:space="preserve">In a positive sign for Queensland’s growing human rights dialogue, while the Attorney-General was not formally asked or required to respond to these issues, she tabled additional material in response to the </w:t>
      </w:r>
      <w:r w:rsidR="002D41B9">
        <w:t>Committee</w:t>
      </w:r>
      <w:r>
        <w:t>’s concerns.</w:t>
      </w:r>
      <w:r w:rsidR="005C5B4A" w:rsidRPr="63F480A7">
        <w:rPr>
          <w:vertAlign w:val="superscript"/>
        </w:rPr>
        <w:footnoteReference w:id="61"/>
      </w:r>
      <w:r>
        <w:t xml:space="preserve"> </w:t>
      </w:r>
    </w:p>
    <w:p w14:paraId="23473D08" w14:textId="77777777" w:rsidR="006936AD" w:rsidRPr="005C5B4A" w:rsidRDefault="2EFCBB9E" w:rsidP="63F480A7">
      <w:r>
        <w:t xml:space="preserve">The Bill was passed, and the amendments to the </w:t>
      </w:r>
      <w:r w:rsidRPr="63F480A7">
        <w:rPr>
          <w:i/>
          <w:iCs/>
        </w:rPr>
        <w:t>Criminal Code</w:t>
      </w:r>
      <w:r>
        <w:t xml:space="preserve"> commenced on 7 April 2021.</w:t>
      </w:r>
    </w:p>
    <w:p w14:paraId="40C7308F" w14:textId="77777777" w:rsidR="006936AD" w:rsidRPr="00E076E6" w:rsidRDefault="2EFCBB9E" w:rsidP="63F480A7">
      <w:pPr>
        <w:pStyle w:val="Heading2"/>
        <w:rPr>
          <w:i/>
        </w:rPr>
      </w:pPr>
      <w:bookmarkStart w:id="239" w:name="_Toc85451738"/>
      <w:bookmarkStart w:id="240" w:name="_Toc85526668"/>
      <w:bookmarkStart w:id="241" w:name="_Toc85787083"/>
      <w:r w:rsidRPr="00E076E6">
        <w:rPr>
          <w:i/>
        </w:rPr>
        <w:t>Nature Conservation and Other Legislation (Indigenous Joint Management—Moreton Island) Amendment Act 2021</w:t>
      </w:r>
      <w:bookmarkEnd w:id="239"/>
      <w:bookmarkEnd w:id="240"/>
      <w:bookmarkEnd w:id="241"/>
    </w:p>
    <w:p w14:paraId="3184F818" w14:textId="0A32AE15" w:rsidR="006936AD" w:rsidRPr="005C5B4A" w:rsidRDefault="2EFCBB9E" w:rsidP="63F480A7">
      <w:r>
        <w:t>In November 2019, the Federal Court of Australia made a native title consent determination recognising the Quandamooka people's native title rights on Moreton Island. As part of the consent determination process, a number of settlement outcomes were negotiated between the State of Queensland and the Quandamooka people, including an agreement to work towards joint management of protected areas on Moreton Island, or Mulgumpin as it is known to the Quandamooka people. The primary objective of this Act is to provide the legal framework for the joint management of protected areas on Moreton Island by the State and Quandamooka Yoolooburrabee Aboriginal Corporation (QYAC).</w:t>
      </w:r>
    </w:p>
    <w:p w14:paraId="1DBD0A44" w14:textId="7D0C27DA" w:rsidR="006936AD" w:rsidRPr="005C5B4A" w:rsidRDefault="2EFCBB9E" w:rsidP="63F480A7">
      <w:r>
        <w:t xml:space="preserve">The </w:t>
      </w:r>
      <w:r w:rsidR="002D41B9">
        <w:t>Statement of Compatibility</w:t>
      </w:r>
      <w:r>
        <w:t xml:space="preserve"> noted that the Bill protected and promoted the right to property (s 24) and the cultural rights of Aboriginal peoples (s 28). This right was referred to by several members during the debate of the Bill.</w:t>
      </w:r>
      <w:r w:rsidR="00197317">
        <w:t xml:space="preserve">  </w:t>
      </w:r>
    </w:p>
    <w:p w14:paraId="56C4EAA5" w14:textId="77777777" w:rsidR="006936AD" w:rsidRPr="005C5B4A" w:rsidRDefault="2EFCBB9E" w:rsidP="63F480A7">
      <w:r>
        <w:t xml:space="preserve">The Bill passed on 13 May 2021. </w:t>
      </w:r>
    </w:p>
    <w:p w14:paraId="7C9F62AF" w14:textId="4FD4B83E" w:rsidR="006936AD" w:rsidRPr="00C71DB9" w:rsidRDefault="2EFCBB9E" w:rsidP="63F480A7">
      <w:pPr>
        <w:pStyle w:val="Heading2"/>
        <w:rPr>
          <w:i/>
          <w:iCs/>
        </w:rPr>
      </w:pPr>
      <w:bookmarkStart w:id="242" w:name="_Toc85451739"/>
      <w:bookmarkStart w:id="243" w:name="_Toc85526669"/>
      <w:bookmarkStart w:id="244" w:name="_Toc85787084"/>
      <w:r w:rsidRPr="001634F4">
        <w:rPr>
          <w:i/>
        </w:rPr>
        <w:lastRenderedPageBreak/>
        <w:t xml:space="preserve">Disability Services and Other Legislation (Worker Screening) Amendment </w:t>
      </w:r>
      <w:r w:rsidR="00C71DB9" w:rsidRPr="001634F4">
        <w:rPr>
          <w:i/>
        </w:rPr>
        <w:t xml:space="preserve">Act </w:t>
      </w:r>
      <w:r w:rsidRPr="001634F4">
        <w:rPr>
          <w:i/>
        </w:rPr>
        <w:t>2020</w:t>
      </w:r>
      <w:bookmarkEnd w:id="242"/>
      <w:bookmarkEnd w:id="243"/>
      <w:bookmarkEnd w:id="244"/>
      <w:r w:rsidRPr="001634F4">
        <w:rPr>
          <w:i/>
        </w:rPr>
        <w:t xml:space="preserve"> </w:t>
      </w:r>
    </w:p>
    <w:p w14:paraId="435662DA" w14:textId="2EACF7A5" w:rsidR="006936AD" w:rsidRPr="005C5B4A" w:rsidRDefault="2EFCBB9E" w:rsidP="63F480A7">
      <w:r>
        <w:t>Th</w:t>
      </w:r>
      <w:r w:rsidR="00C71DB9">
        <w:t>is</w:t>
      </w:r>
      <w:r>
        <w:t xml:space="preserve"> Act implements a nationally consistent framework to screen disability service providers, with the aim of protecting people with disability from violence, abuse, neglect, and exploitation.</w:t>
      </w:r>
    </w:p>
    <w:p w14:paraId="60DF1B45" w14:textId="5E5E370D" w:rsidR="00C71DB9" w:rsidRDefault="2EFCBB9E" w:rsidP="63F480A7">
      <w:r>
        <w:t xml:space="preserve">In our submission to the Health, Communities, Disability Services and Domestic and Family Violence Prevention </w:t>
      </w:r>
      <w:r w:rsidR="002D41B9">
        <w:t>Committee</w:t>
      </w:r>
      <w:r>
        <w:t xml:space="preserve">, the Commission recommended the government give further consideration of: </w:t>
      </w:r>
    </w:p>
    <w:p w14:paraId="0417A971" w14:textId="0DDBE444" w:rsidR="00C71DB9" w:rsidRDefault="2EFCBB9E" w:rsidP="001634F4">
      <w:pPr>
        <w:pStyle w:val="ListParagraph"/>
      </w:pPr>
      <w:r>
        <w:t>barriers experienced by Aboriginal and Torres Strait Islander applicants and the impact on Aboriginal and Torres Strait Islander people with disability</w:t>
      </w:r>
    </w:p>
    <w:p w14:paraId="3A37E879" w14:textId="47D0CF08" w:rsidR="00C71DB9" w:rsidRDefault="00F043D4" w:rsidP="001634F4">
      <w:pPr>
        <w:pStyle w:val="ListParagraph"/>
      </w:pPr>
      <w:r>
        <w:t>making B</w:t>
      </w:r>
      <w:r w:rsidR="2EFCBB9E">
        <w:t xml:space="preserve">lue </w:t>
      </w:r>
      <w:r>
        <w:t>C</w:t>
      </w:r>
      <w:r w:rsidR="2EFCBB9E">
        <w:t>ard (working with children) screening test</w:t>
      </w:r>
      <w:r w:rsidR="00C71DB9">
        <w:t>s</w:t>
      </w:r>
      <w:r w:rsidR="2EFCBB9E">
        <w:t xml:space="preserve"> consistent with disability worker screening</w:t>
      </w:r>
    </w:p>
    <w:p w14:paraId="15C91783" w14:textId="5E3B2CA1" w:rsidR="006936AD" w:rsidRPr="005C5B4A" w:rsidRDefault="2EFCBB9E" w:rsidP="001634F4">
      <w:pPr>
        <w:pStyle w:val="ListParagraph"/>
      </w:pPr>
      <w:r>
        <w:t>whether there are sufficient privacy protections for the collection, use, and sharing of information obtained for worker screening.</w:t>
      </w:r>
    </w:p>
    <w:p w14:paraId="0BADE310" w14:textId="17133939" w:rsidR="006936AD" w:rsidRPr="005C5B4A" w:rsidRDefault="2EFCBB9E" w:rsidP="63F480A7">
      <w:r>
        <w:t xml:space="preserve">In its report, the Health, Communities, Disability Services and Domestic and Family Violence Prevention </w:t>
      </w:r>
      <w:r w:rsidR="002D41B9">
        <w:t>Committee</w:t>
      </w:r>
      <w:r>
        <w:t xml:space="preserve"> discussed </w:t>
      </w:r>
      <w:r w:rsidR="00C71DB9">
        <w:t>these</w:t>
      </w:r>
      <w:r w:rsidDel="00C71DB9">
        <w:t xml:space="preserve"> </w:t>
      </w:r>
      <w:r>
        <w:t>and similar concerns expressed by other stakeholders.</w:t>
      </w:r>
      <w:r w:rsidR="005C5B4A" w:rsidRPr="63F480A7">
        <w:rPr>
          <w:rStyle w:val="FootnoteReference"/>
        </w:rPr>
        <w:footnoteReference w:id="62"/>
      </w:r>
      <w:r>
        <w:t xml:space="preserve"> The </w:t>
      </w:r>
      <w:r w:rsidR="002D41B9">
        <w:t>Committee</w:t>
      </w:r>
      <w:r>
        <w:t xml:space="preserve">’s report published further information from the department including about additional funding to build the capacity of Aboriginal and Torres Strait Islander organisations to provide services under the NDIS. The department also included information about efforts to improve the cultural capability </w:t>
      </w:r>
      <w:r w:rsidR="00357070">
        <w:t>of the Blue C</w:t>
      </w:r>
      <w:r>
        <w:t>ard system.</w:t>
      </w:r>
      <w:r w:rsidR="00FE6B48">
        <w:t xml:space="preserve"> </w:t>
      </w:r>
      <w:r>
        <w:t xml:space="preserve">The </w:t>
      </w:r>
      <w:r w:rsidR="002D41B9">
        <w:t>Committee</w:t>
      </w:r>
      <w:r>
        <w:t xml:space="preserve"> discussed the right to privacy in detail, citing information from the department responded to our concerns about protective measures for maintenance of individuals’ privacy. The </w:t>
      </w:r>
      <w:r w:rsidR="002D41B9">
        <w:t>Committee</w:t>
      </w:r>
      <w:r>
        <w:t xml:space="preserve"> also considered the limitation on rights arising from the reduced ability of people with a criminal record or some other factor from their past to successfully apply for any NDIS-funded disability work, or to have their status cancelled in the event of a charge or new incident. The </w:t>
      </w:r>
      <w:r w:rsidR="002D41B9">
        <w:t>Committee</w:t>
      </w:r>
      <w:r>
        <w:t xml:space="preserve"> determined this represented a limit on the right to employment after a spent conviction</w:t>
      </w:r>
      <w:r w:rsidR="00C71DB9">
        <w:t>,</w:t>
      </w:r>
      <w:r>
        <w:t xml:space="preserve"> and limits the potential to fully rehabilitate and integrate into society (arising under the right to equality and right to privacy and reputation). The </w:t>
      </w:r>
      <w:r w:rsidR="002D41B9">
        <w:t>Committee</w:t>
      </w:r>
      <w:r>
        <w:t xml:space="preserve"> noted case law from Victoria that provided support for the argument that consideration of a person’s irrelevant criminal record may constitute an arbitrary interference with that person’s right to privacy.</w:t>
      </w:r>
      <w:r w:rsidR="005C5B4A" w:rsidRPr="63F480A7">
        <w:rPr>
          <w:vertAlign w:val="superscript"/>
        </w:rPr>
        <w:footnoteReference w:id="63"/>
      </w:r>
      <w:r>
        <w:t xml:space="preserve"> </w:t>
      </w:r>
    </w:p>
    <w:p w14:paraId="726979F0" w14:textId="44C41555" w:rsidR="006936AD" w:rsidRPr="005C5B4A" w:rsidRDefault="2EFCBB9E" w:rsidP="63F480A7">
      <w:r>
        <w:lastRenderedPageBreak/>
        <w:t xml:space="preserve">The </w:t>
      </w:r>
      <w:r w:rsidR="002D41B9">
        <w:t>Committee</w:t>
      </w:r>
      <w:r>
        <w:t xml:space="preserve"> found the limitations on rights had been sufficient</w:t>
      </w:r>
      <w:r w:rsidR="00C71DB9">
        <w:t>ly</w:t>
      </w:r>
      <w:r>
        <w:t xml:space="preserve"> justified, particularly because of the purpose of protecting people living with disabilities. It also found the </w:t>
      </w:r>
      <w:r w:rsidR="002D41B9">
        <w:t>Statement of Compatibility</w:t>
      </w:r>
      <w:r>
        <w:t xml:space="preserve"> provided </w:t>
      </w:r>
      <w:r w:rsidR="00C71DB9">
        <w:t xml:space="preserve">a </w:t>
      </w:r>
      <w:r>
        <w:t xml:space="preserve">sufficient level of information to facilitate understanding of the Bill. </w:t>
      </w:r>
    </w:p>
    <w:p w14:paraId="65404C5D" w14:textId="043C83DB" w:rsidR="006936AD" w:rsidRPr="005C5B4A" w:rsidRDefault="2EFCBB9E" w:rsidP="63F480A7">
      <w:r>
        <w:t xml:space="preserve">A Statement of Reservation was made by two members of the </w:t>
      </w:r>
      <w:r w:rsidR="002D41B9">
        <w:t>Committee</w:t>
      </w:r>
      <w:r>
        <w:t xml:space="preserve">, citing </w:t>
      </w:r>
      <w:r w:rsidR="00382B6A">
        <w:t xml:space="preserve">the Commission’s </w:t>
      </w:r>
      <w:r>
        <w:t>concerns about the limitation on the right to privacy arising from the collection, use and sharing of information in the course of the workers screening application.</w:t>
      </w:r>
      <w:r w:rsidR="005C5B4A" w:rsidRPr="63F480A7">
        <w:rPr>
          <w:rStyle w:val="FootnoteReference"/>
        </w:rPr>
        <w:footnoteReference w:id="64"/>
      </w:r>
      <w:r w:rsidR="00197317">
        <w:t xml:space="preserve"> </w:t>
      </w:r>
    </w:p>
    <w:p w14:paraId="25F65E8F" w14:textId="796513A8" w:rsidR="006936AD" w:rsidRPr="005C5B4A" w:rsidRDefault="2EFCBB9E" w:rsidP="63F480A7">
      <w:r>
        <w:t xml:space="preserve">During the Bill’s debate, members of parliament mentioned the Commission’s concerns about the impact of the changes on Aboriginal and Torres Strait Islander persons in regional and remote communities. During debate, additional advice from the department as well as concerns expressed in the Statement of Reservation were also referenced. </w:t>
      </w:r>
    </w:p>
    <w:p w14:paraId="3C7CD693" w14:textId="77777777" w:rsidR="006936AD" w:rsidRPr="005C5B4A" w:rsidRDefault="2EFCBB9E" w:rsidP="63F480A7">
      <w:r>
        <w:t>The Bill was passed without amendment in December 2020.</w:t>
      </w:r>
    </w:p>
    <w:p w14:paraId="58C69B29" w14:textId="77777777" w:rsidR="00F7690A" w:rsidRDefault="00F7690A">
      <w:pPr>
        <w:spacing w:line="259" w:lineRule="auto"/>
        <w:ind w:right="0"/>
        <w:rPr>
          <w:rFonts w:eastAsia="Times New Roman" w:cs="Times New Roman"/>
          <w:bCs/>
          <w:color w:val="337B9E"/>
          <w:kern w:val="36"/>
          <w:sz w:val="48"/>
          <w:szCs w:val="48"/>
          <w:lang w:eastAsia="en-AU"/>
        </w:rPr>
      </w:pPr>
      <w:bookmarkStart w:id="245" w:name="_Toc55482294"/>
      <w:bookmarkStart w:id="246" w:name="_Toc84593869"/>
      <w:bookmarkStart w:id="247" w:name="_Toc85451741"/>
      <w:bookmarkStart w:id="248" w:name="_Toc85526671"/>
      <w:bookmarkStart w:id="249" w:name="_Toc85787086"/>
      <w:r>
        <w:rPr>
          <w:color w:val="337B9E"/>
        </w:rPr>
        <w:br w:type="page"/>
      </w:r>
    </w:p>
    <w:p w14:paraId="61859DD1" w14:textId="7482CB85" w:rsidR="006936AD" w:rsidRPr="005C5B4A" w:rsidRDefault="006936AD" w:rsidP="0081670E">
      <w:pPr>
        <w:pStyle w:val="Heading1"/>
        <w:rPr>
          <w:color w:val="337B9E"/>
        </w:rPr>
      </w:pPr>
      <w:r w:rsidRPr="005C5B4A">
        <w:rPr>
          <w:color w:val="337B9E"/>
        </w:rPr>
        <w:lastRenderedPageBreak/>
        <w:t xml:space="preserve">Summary of the role of </w:t>
      </w:r>
      <w:r w:rsidR="00AB3C4B">
        <w:rPr>
          <w:color w:val="337B9E"/>
        </w:rPr>
        <w:t>p</w:t>
      </w:r>
      <w:r w:rsidR="006D538A">
        <w:rPr>
          <w:color w:val="337B9E"/>
        </w:rPr>
        <w:t>arliament</w:t>
      </w:r>
      <w:r w:rsidRPr="005C5B4A">
        <w:rPr>
          <w:color w:val="337B9E"/>
        </w:rPr>
        <w:t xml:space="preserve"> in </w:t>
      </w:r>
      <w:r>
        <w:rPr>
          <w:color w:val="337B9E"/>
        </w:rPr>
        <w:t>2020</w:t>
      </w:r>
      <w:r w:rsidRPr="005C5B4A">
        <w:rPr>
          <w:color w:val="337B9E"/>
        </w:rPr>
        <w:t>-</w:t>
      </w:r>
      <w:bookmarkEnd w:id="245"/>
      <w:bookmarkEnd w:id="246"/>
      <w:bookmarkEnd w:id="247"/>
      <w:r w:rsidRPr="005C5B4A">
        <w:rPr>
          <w:color w:val="337B9E"/>
        </w:rPr>
        <w:t>2</w:t>
      </w:r>
      <w:r>
        <w:rPr>
          <w:color w:val="337B9E"/>
        </w:rPr>
        <w:t>1</w:t>
      </w:r>
      <w:bookmarkEnd w:id="248"/>
      <w:bookmarkEnd w:id="249"/>
    </w:p>
    <w:p w14:paraId="5E04526F" w14:textId="563105D6" w:rsidR="006936AD" w:rsidRDefault="006936AD" w:rsidP="006936AD">
      <w:r>
        <w:t xml:space="preserve">The Commission’s analysis focuses on the passage of primary legislation through the </w:t>
      </w:r>
      <w:r w:rsidR="006D538A">
        <w:t>Parliament</w:t>
      </w:r>
      <w:r>
        <w:t xml:space="preserve">, including the assessment of </w:t>
      </w:r>
      <w:r w:rsidR="00590DFA">
        <w:t>B</w:t>
      </w:r>
      <w:r w:rsidDel="004C094C">
        <w:t xml:space="preserve">ills </w:t>
      </w:r>
      <w:r>
        <w:t xml:space="preserve">and </w:t>
      </w:r>
      <w:r w:rsidR="00C82C92">
        <w:t>S</w:t>
      </w:r>
      <w:r>
        <w:t>tatement</w:t>
      </w:r>
      <w:r w:rsidR="00C82C92">
        <w:t>s</w:t>
      </w:r>
      <w:r>
        <w:t xml:space="preserve"> of </w:t>
      </w:r>
      <w:r w:rsidR="00C82C92">
        <w:t>C</w:t>
      </w:r>
      <w:r>
        <w:t xml:space="preserve">ompatibility by portfolio </w:t>
      </w:r>
      <w:r w:rsidR="002D41B9">
        <w:t>Committee</w:t>
      </w:r>
      <w:r>
        <w:t xml:space="preserve">s. The volume of </w:t>
      </w:r>
      <w:r w:rsidR="008C4067">
        <w:t>H</w:t>
      </w:r>
      <w:r>
        <w:t>um</w:t>
      </w:r>
      <w:r w:rsidR="008C4067">
        <w:t>an Rights C</w:t>
      </w:r>
      <w:r>
        <w:t xml:space="preserve">ertificates means the same detailed analysis cannot be undertaken for these. However, their publication and consideration by portfolio </w:t>
      </w:r>
      <w:r w:rsidR="002D41B9">
        <w:t>Committee</w:t>
      </w:r>
      <w:r>
        <w:t xml:space="preserve">s remain an important aspect of the human rights dialogue process. </w:t>
      </w:r>
    </w:p>
    <w:p w14:paraId="66DB61A9" w14:textId="63626EF1" w:rsidR="006936AD" w:rsidRDefault="006936AD" w:rsidP="006936AD">
      <w:r>
        <w:t xml:space="preserve">The application of these new indicators to legislation considered in the reporting period suggests that human rights compatibility is being addressed both through submissions to </w:t>
      </w:r>
      <w:r w:rsidR="002D41B9">
        <w:t>Committee</w:t>
      </w:r>
      <w:r>
        <w:t xml:space="preserve">s and in the human rights commentary in </w:t>
      </w:r>
      <w:r w:rsidR="002D41B9">
        <w:t>Committee</w:t>
      </w:r>
      <w:r>
        <w:t xml:space="preserve"> reports. These are promising signs early after the passing of the</w:t>
      </w:r>
      <w:r w:rsidR="00855179">
        <w:t xml:space="preserve"> Human Rights</w:t>
      </w:r>
      <w:r>
        <w:t xml:space="preserve"> Act. </w:t>
      </w:r>
      <w:r w:rsidR="009A37E1">
        <w:t xml:space="preserve">Less promising is that </w:t>
      </w:r>
      <w:r w:rsidR="00C6767F">
        <w:t xml:space="preserve">legislation </w:t>
      </w:r>
      <w:r w:rsidR="00997127">
        <w:t xml:space="preserve">introduced in </w:t>
      </w:r>
      <w:r w:rsidR="00B62EC5">
        <w:t>response to</w:t>
      </w:r>
      <w:r w:rsidR="00997127">
        <w:t xml:space="preserve"> the</w:t>
      </w:r>
      <w:r w:rsidR="00B62EC5">
        <w:t xml:space="preserve"> </w:t>
      </w:r>
      <w:r w:rsidR="004411E3">
        <w:t>COVID-19 pandemic</w:t>
      </w:r>
      <w:r w:rsidRPr="003F11E9" w:rsidDel="004C094C">
        <w:t xml:space="preserve"> </w:t>
      </w:r>
      <w:r w:rsidR="00997127">
        <w:t>continues to be</w:t>
      </w:r>
      <w:r w:rsidRPr="003F11E9">
        <w:t xml:space="preserve"> declared urgent and not subject to any </w:t>
      </w:r>
      <w:r w:rsidR="002D41B9">
        <w:t>Committee</w:t>
      </w:r>
      <w:r w:rsidRPr="003F11E9">
        <w:t xml:space="preserve"> scrutiny prior to debate.</w:t>
      </w:r>
      <w:r>
        <w:rPr>
          <w:rStyle w:val="FootnoteReference"/>
        </w:rPr>
        <w:footnoteReference w:id="65"/>
      </w:r>
    </w:p>
    <w:p w14:paraId="093E7B79" w14:textId="2EC1E015" w:rsidR="006936AD" w:rsidRDefault="006936AD" w:rsidP="006936AD">
      <w:r>
        <w:t xml:space="preserve">This analysis of the remaining </w:t>
      </w:r>
      <w:r w:rsidDel="004C094C">
        <w:t>b</w:t>
      </w:r>
      <w:r>
        <w:t xml:space="preserve">ills reveals it was rare for </w:t>
      </w:r>
      <w:r w:rsidR="002D41B9">
        <w:t>Committee</w:t>
      </w:r>
      <w:r>
        <w:t>s to formally make recommendations</w:t>
      </w:r>
      <w:r w:rsidR="00E50F3E">
        <w:t xml:space="preserve"> or comments</w:t>
      </w:r>
      <w:r>
        <w:t xml:space="preserve"> about human rights compatibility, such as seeking additional information, changes to </w:t>
      </w:r>
      <w:r w:rsidR="00CC6EB7">
        <w:t>S</w:t>
      </w:r>
      <w:r>
        <w:t xml:space="preserve">tatements of </w:t>
      </w:r>
      <w:r w:rsidR="00CC6EB7">
        <w:t>C</w:t>
      </w:r>
      <w:r>
        <w:t>ompatibility</w:t>
      </w:r>
      <w:r w:rsidR="00382B6A">
        <w:t>,</w:t>
      </w:r>
      <w:r>
        <w:t xml:space="preserve"> or amendments. Nonetheless, in some cases deficiencies in </w:t>
      </w:r>
      <w:r w:rsidR="00CC6EB7">
        <w:t>S</w:t>
      </w:r>
      <w:r>
        <w:t xml:space="preserve">tatements of </w:t>
      </w:r>
      <w:r w:rsidR="00CC6EB7">
        <w:t>C</w:t>
      </w:r>
      <w:r>
        <w:t xml:space="preserve">ompatibility are being resolved through more information being provided to the </w:t>
      </w:r>
      <w:r w:rsidR="00AB3C4B">
        <w:t>p</w:t>
      </w:r>
      <w:r w:rsidR="006D538A">
        <w:t>arliament</w:t>
      </w:r>
      <w:r>
        <w:t xml:space="preserve">. It is a positive feature of the Queensland </w:t>
      </w:r>
      <w:r w:rsidR="006D538A">
        <w:t>Parliament</w:t>
      </w:r>
      <w:r>
        <w:t xml:space="preserve">’s process that </w:t>
      </w:r>
      <w:r w:rsidR="002D41B9">
        <w:t>Committee</w:t>
      </w:r>
      <w:r>
        <w:t xml:space="preserve">s can collate this information through the inquiry process and then publish it for the benefit of the community. This approach ensures all human rights limitations can be considered and potentially resolved by the time of the </w:t>
      </w:r>
      <w:r w:rsidR="002D41B9">
        <w:t>Committee</w:t>
      </w:r>
      <w:r>
        <w:t xml:space="preserve">’s reports, prior to the </w:t>
      </w:r>
      <w:r w:rsidDel="004C094C">
        <w:t>b</w:t>
      </w:r>
      <w:r>
        <w:t xml:space="preserve">ill being debated. </w:t>
      </w:r>
    </w:p>
    <w:p w14:paraId="3D1373B9" w14:textId="551F6B1D" w:rsidR="006936AD" w:rsidRDefault="006936AD" w:rsidP="006936AD">
      <w:r>
        <w:lastRenderedPageBreak/>
        <w:t xml:space="preserve">However, in several cases </w:t>
      </w:r>
      <w:r w:rsidR="002D41B9">
        <w:t>Committee</w:t>
      </w:r>
      <w:r>
        <w:t xml:space="preserve">s discussed deficiencies in the </w:t>
      </w:r>
      <w:r w:rsidR="002D41B9">
        <w:t>Statement of Compatibility</w:t>
      </w:r>
      <w:r>
        <w:t xml:space="preserve"> or other concerns with human rights limitations without making a formal request for more information, or making a recommendation that a </w:t>
      </w:r>
      <w:r w:rsidR="00E66F37">
        <w:t>b</w:t>
      </w:r>
      <w:r>
        <w:t xml:space="preserve">ill be amended. This usually meant no further information was provided by the government to justify a limitation, nor were amendments to the </w:t>
      </w:r>
      <w:r w:rsidDel="004C094C">
        <w:t>b</w:t>
      </w:r>
      <w:r>
        <w:t xml:space="preserve">ill apparently considered. This is despite significant legislation being introduced to the </w:t>
      </w:r>
      <w:r w:rsidR="00AB3C4B">
        <w:t>p</w:t>
      </w:r>
      <w:r w:rsidR="006D538A">
        <w:t>arliament</w:t>
      </w:r>
      <w:r>
        <w:t xml:space="preserve"> this year including in response to the COVID-19 pandemic. Other notable legislation enacted in the period created a reverse onus for bail for young people charged with certain offences, and introduced the ability for courts to require young people to wear GPS ankle bracelets.</w:t>
      </w:r>
      <w:r w:rsidR="00CF104E">
        <w:rPr>
          <w:rStyle w:val="FootnoteReference"/>
        </w:rPr>
        <w:footnoteReference w:id="66"/>
      </w:r>
      <w:r>
        <w:t xml:space="preserve"> The </w:t>
      </w:r>
      <w:r w:rsidR="00C33382">
        <w:t>S</w:t>
      </w:r>
      <w:r>
        <w:t xml:space="preserve">tatement of </w:t>
      </w:r>
      <w:r w:rsidR="00C33382">
        <w:t>C</w:t>
      </w:r>
      <w:r>
        <w:t xml:space="preserve">ompatibility accompanying this </w:t>
      </w:r>
      <w:r w:rsidR="000C07BE">
        <w:t>B</w:t>
      </w:r>
      <w:r>
        <w:t>ill noted there may be arguably partial incompatibility but this did not lead to any consequence</w:t>
      </w:r>
      <w:r w:rsidR="003B19F7">
        <w:t xml:space="preserve"> through the scrutiny process</w:t>
      </w:r>
      <w:r>
        <w:t xml:space="preserve">. </w:t>
      </w:r>
    </w:p>
    <w:p w14:paraId="2E4B64D6" w14:textId="49CE0E44" w:rsidR="00061745" w:rsidRDefault="006936AD" w:rsidP="006936AD">
      <w:r>
        <w:t xml:space="preserve">Nonetheless, </w:t>
      </w:r>
      <w:r w:rsidR="000C1D6F">
        <w:t xml:space="preserve">in a positive development for human rights dialogue, </w:t>
      </w:r>
      <w:r>
        <w:t xml:space="preserve">on some occasions </w:t>
      </w:r>
      <w:r w:rsidR="00F473BC">
        <w:t>m</w:t>
      </w:r>
      <w:r>
        <w:t xml:space="preserve">inisters tabled additional information or tabled amendments addressing human rights issues raised through the scrutiny process, even if these were not formally requested or recommended. </w:t>
      </w:r>
    </w:p>
    <w:p w14:paraId="3D1E2176" w14:textId="2CF9A3FD" w:rsidR="00C8206C" w:rsidRDefault="00E66F37">
      <w:pPr>
        <w:spacing w:line="259" w:lineRule="auto"/>
        <w:ind w:right="0"/>
      </w:pPr>
      <w:r>
        <w:br w:type="page"/>
      </w:r>
    </w:p>
    <w:p w14:paraId="74E9446D" w14:textId="0014E373" w:rsidR="005C5B4A" w:rsidRDefault="00293B48">
      <w:pPr>
        <w:spacing w:line="259" w:lineRule="auto"/>
        <w:ind w:right="0"/>
        <w:rPr>
          <w:rFonts w:eastAsia="Times New Roman" w:cs="Times New Roman"/>
          <w:bCs/>
          <w:color w:val="000000" w:themeColor="text1"/>
          <w:kern w:val="36"/>
          <w:sz w:val="48"/>
          <w:szCs w:val="48"/>
          <w:lang w:eastAsia="en-AU"/>
        </w:rPr>
      </w:pPr>
      <w:r w:rsidRPr="00195DF4">
        <w:rPr>
          <w:noProof/>
          <w:lang w:eastAsia="en-AU"/>
        </w:rPr>
        <w:lastRenderedPageBreak/>
        <mc:AlternateContent>
          <mc:Choice Requires="wps">
            <w:drawing>
              <wp:anchor distT="0" distB="0" distL="114300" distR="114300" simplePos="0" relativeHeight="251658249" behindDoc="1" locked="0" layoutInCell="1" allowOverlap="1" wp14:anchorId="2A132917" wp14:editId="7595852A">
                <wp:simplePos x="0" y="0"/>
                <wp:positionH relativeFrom="page">
                  <wp:posOffset>-13444</wp:posOffset>
                </wp:positionH>
                <wp:positionV relativeFrom="paragraph">
                  <wp:posOffset>-1133475</wp:posOffset>
                </wp:positionV>
                <wp:extent cx="7610475" cy="10687050"/>
                <wp:effectExtent l="0" t="0" r="9525" b="0"/>
                <wp:wrapNone/>
                <wp:docPr id="24" name="Rectangle 24" descr="Rectangular blue block which covers the top quarter of the page. The chapter title sits inside the rectangle in white text. All headings in this chapter are blue. " title="Decorative colour block"/>
                <wp:cNvGraphicFramePr/>
                <a:graphic xmlns:a="http://schemas.openxmlformats.org/drawingml/2006/main">
                  <a:graphicData uri="http://schemas.microsoft.com/office/word/2010/wordprocessingShape">
                    <wps:wsp>
                      <wps:cNvSpPr/>
                      <wps:spPr>
                        <a:xfrm>
                          <a:off x="0" y="0"/>
                          <a:ext cx="7610475" cy="10687050"/>
                        </a:xfrm>
                        <a:prstGeom prst="rect">
                          <a:avLst/>
                        </a:prstGeom>
                        <a:solidFill>
                          <a:srgbClr val="124370"/>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2BE6C409" id="Rectangle 24" o:spid="_x0000_s1026" alt="Title: Decorative colour block - Description: Rectangular blue block which covers the top quarter of the page. The chapter title sits inside the rectangle in white text. All headings in this chapter are blue. " style="position:absolute;margin-left:-1.05pt;margin-top:-89.25pt;width:599.25pt;height:841.5pt;z-index:-251658231;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" fillcolor="#124370" stroked="f" strokeweight="1pt">
                <w10:wrap anchorx="page"/>
              </v:rect>
            </w:pict>
          </mc:Fallback>
        </mc:AlternateContent>
      </w:r>
      <w:r w:rsidR="008C7016" w:rsidRPr="00195DF4">
        <w:rPr>
          <w:noProof/>
          <w:lang w:eastAsia="en-AU"/>
        </w:rPr>
        <w:drawing>
          <wp:anchor distT="0" distB="0" distL="114300" distR="114300" simplePos="0" relativeHeight="251658251" behindDoc="1" locked="0" layoutInCell="1" allowOverlap="1" wp14:anchorId="1EF46FB8" wp14:editId="54651AC4">
            <wp:simplePos x="0" y="0"/>
            <wp:positionH relativeFrom="page">
              <wp:posOffset>7094220</wp:posOffset>
            </wp:positionH>
            <wp:positionV relativeFrom="paragraph">
              <wp:posOffset>-1151146</wp:posOffset>
            </wp:positionV>
            <wp:extent cx="535305" cy="10677525"/>
            <wp:effectExtent l="0" t="0" r="0" b="9525"/>
            <wp:wrapNone/>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ur bar full 15m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305" cy="10677525"/>
                    </a:xfrm>
                    <a:prstGeom prst="rect">
                      <a:avLst/>
                    </a:prstGeom>
                  </pic:spPr>
                </pic:pic>
              </a:graphicData>
            </a:graphic>
            <wp14:sizeRelH relativeFrom="page">
              <wp14:pctWidth>0</wp14:pctWidth>
            </wp14:sizeRelH>
            <wp14:sizeRelV relativeFrom="page">
              <wp14:pctHeight>0</wp14:pctHeight>
            </wp14:sizeRelV>
          </wp:anchor>
        </w:drawing>
      </w:r>
    </w:p>
    <w:p w14:paraId="670FCD8A" w14:textId="4DBAF893" w:rsidR="00F54D35" w:rsidRDefault="00F54D35" w:rsidP="00F54D35">
      <w:pPr>
        <w:pStyle w:val="Chapterheading"/>
      </w:pPr>
      <w:bookmarkStart w:id="250" w:name="_Toc56451567"/>
      <w:bookmarkStart w:id="251" w:name="_Toc56452141"/>
      <w:bookmarkEnd w:id="250"/>
      <w:bookmarkEnd w:id="251"/>
    </w:p>
    <w:p w14:paraId="6440914E" w14:textId="2B13034E" w:rsidR="00195DF4" w:rsidRDefault="00195DF4" w:rsidP="00F54D35">
      <w:pPr>
        <w:pStyle w:val="Chapterheading"/>
      </w:pPr>
      <w:bookmarkStart w:id="252" w:name="_Toc84593870"/>
      <w:bookmarkStart w:id="253" w:name="_Toc85451742"/>
    </w:p>
    <w:p w14:paraId="7AC2A183" w14:textId="77777777" w:rsidR="00195DF4" w:rsidRDefault="00195DF4" w:rsidP="00F54D35">
      <w:pPr>
        <w:pStyle w:val="Chapterheading"/>
      </w:pPr>
    </w:p>
    <w:p w14:paraId="60B6D561" w14:textId="1D597EE4" w:rsidR="003C7E76" w:rsidRPr="008A00EB" w:rsidRDefault="50D9F51F" w:rsidP="00F54D35">
      <w:pPr>
        <w:pStyle w:val="Chapterheading"/>
      </w:pPr>
      <w:bookmarkStart w:id="254" w:name="_Toc85526672"/>
      <w:bookmarkStart w:id="255" w:name="_Toc85787087"/>
      <w:r w:rsidRPr="008A00EB">
        <w:t>Human rights in courts and tribunals</w:t>
      </w:r>
      <w:bookmarkEnd w:id="252"/>
      <w:bookmarkEnd w:id="253"/>
      <w:bookmarkEnd w:id="254"/>
      <w:bookmarkEnd w:id="255"/>
    </w:p>
    <w:p w14:paraId="4D7C7231" w14:textId="3A4BC71D" w:rsidR="00195DF4" w:rsidRDefault="00195DF4">
      <w:pPr>
        <w:spacing w:line="259" w:lineRule="auto"/>
        <w:ind w:right="0"/>
        <w:rPr>
          <w:rFonts w:eastAsia="Times New Roman" w:cs="Times New Roman"/>
          <w:bCs/>
          <w:color w:val="124370"/>
          <w:kern w:val="36"/>
          <w:sz w:val="48"/>
          <w:szCs w:val="48"/>
          <w:lang w:eastAsia="en-AU"/>
        </w:rPr>
      </w:pPr>
      <w:bookmarkStart w:id="256" w:name="_Toc84593871"/>
      <w:bookmarkStart w:id="257" w:name="_Toc85451743"/>
      <w:r>
        <w:rPr>
          <w:color w:val="124370"/>
        </w:rPr>
        <w:br w:type="page"/>
      </w:r>
    </w:p>
    <w:p w14:paraId="371FB769" w14:textId="61993468" w:rsidR="00BF6D2E" w:rsidRPr="00283488" w:rsidRDefault="0072521D" w:rsidP="00AA601E">
      <w:pPr>
        <w:pStyle w:val="Heading1"/>
        <w:rPr>
          <w:color w:val="124370"/>
        </w:rPr>
      </w:pPr>
      <w:bookmarkStart w:id="258" w:name="_Toc85526673"/>
      <w:bookmarkStart w:id="259" w:name="_Toc85787088"/>
      <w:r>
        <w:rPr>
          <w:color w:val="124370"/>
        </w:rPr>
        <w:lastRenderedPageBreak/>
        <w:t>The role of courts and tribunals</w:t>
      </w:r>
      <w:bookmarkEnd w:id="256"/>
      <w:bookmarkEnd w:id="257"/>
      <w:bookmarkEnd w:id="258"/>
      <w:bookmarkEnd w:id="259"/>
    </w:p>
    <w:p w14:paraId="0A261B0E" w14:textId="41C7E94D" w:rsidR="001C164A" w:rsidRDefault="001C164A" w:rsidP="43FC7218">
      <w:pPr>
        <w:rPr>
          <w:lang w:val="en-US"/>
        </w:rPr>
      </w:pPr>
      <w:r w:rsidRPr="43FC7218">
        <w:rPr>
          <w:lang w:val="en-US"/>
        </w:rPr>
        <w:t xml:space="preserve">The separation of powers </w:t>
      </w:r>
      <w:r w:rsidR="003957DC" w:rsidRPr="43FC7218">
        <w:rPr>
          <w:lang w:val="en-US"/>
        </w:rPr>
        <w:t xml:space="preserve">as outlined in the </w:t>
      </w:r>
      <w:r w:rsidR="003957DC" w:rsidRPr="43FC7218">
        <w:rPr>
          <w:i/>
          <w:iCs/>
          <w:lang w:val="en-US"/>
        </w:rPr>
        <w:t xml:space="preserve">Constitution </w:t>
      </w:r>
      <w:r w:rsidR="00246FDE" w:rsidRPr="43FC7218">
        <w:rPr>
          <w:i/>
          <w:iCs/>
          <w:lang w:val="en-US"/>
        </w:rPr>
        <w:t xml:space="preserve">of Queensland </w:t>
      </w:r>
      <w:r w:rsidR="003957DC" w:rsidRPr="43FC7218">
        <w:rPr>
          <w:i/>
          <w:iCs/>
          <w:lang w:val="en-US"/>
        </w:rPr>
        <w:t>2001</w:t>
      </w:r>
      <w:r w:rsidR="003957DC" w:rsidRPr="43FC7218">
        <w:rPr>
          <w:lang w:val="en-US"/>
        </w:rPr>
        <w:t xml:space="preserve"> </w:t>
      </w:r>
      <w:r w:rsidRPr="43FC7218">
        <w:rPr>
          <w:lang w:val="en-US"/>
        </w:rPr>
        <w:t xml:space="preserve">requires the </w:t>
      </w:r>
      <w:r w:rsidR="003957DC" w:rsidRPr="43FC7218">
        <w:rPr>
          <w:lang w:val="en-US"/>
        </w:rPr>
        <w:t>separation of the legal and political processes.</w:t>
      </w:r>
      <w:r w:rsidR="001E7BB4" w:rsidRPr="43FC7218">
        <w:rPr>
          <w:lang w:val="en-US"/>
        </w:rPr>
        <w:t xml:space="preserve"> </w:t>
      </w:r>
      <w:r w:rsidR="003957DC" w:rsidRPr="43FC7218">
        <w:rPr>
          <w:lang w:val="en-US"/>
        </w:rPr>
        <w:t>However,</w:t>
      </w:r>
      <w:r w:rsidR="00BF6D2E" w:rsidRPr="43FC7218">
        <w:rPr>
          <w:lang w:val="en-US"/>
        </w:rPr>
        <w:t xml:space="preserve"> </w:t>
      </w:r>
      <w:r w:rsidR="55ADA78D" w:rsidRPr="43FC7218">
        <w:rPr>
          <w:lang w:val="en-US"/>
        </w:rPr>
        <w:t>c</w:t>
      </w:r>
      <w:r w:rsidR="55ADA78D" w:rsidRPr="43FC7218">
        <w:rPr>
          <w:rFonts w:eastAsia="Arial" w:cs="Arial"/>
          <w:lang w:val="en-US"/>
        </w:rPr>
        <w:t xml:space="preserve">ourts and tribunals are required to consider the </w:t>
      </w:r>
      <w:r w:rsidR="55ADA78D" w:rsidRPr="43FC7218">
        <w:rPr>
          <w:rFonts w:eastAsia="Arial" w:cs="Arial"/>
          <w:i/>
          <w:iCs/>
          <w:lang w:val="en-US"/>
        </w:rPr>
        <w:t>Human Rights Act 2019</w:t>
      </w:r>
      <w:r w:rsidR="55ADA78D" w:rsidRPr="43FC7218">
        <w:rPr>
          <w:rFonts w:eastAsia="Arial" w:cs="Arial"/>
          <w:lang w:val="en-US"/>
        </w:rPr>
        <w:t xml:space="preserve"> when:</w:t>
      </w:r>
    </w:p>
    <w:p w14:paraId="56322942" w14:textId="5AAB3CBF" w:rsidR="55ADA78D" w:rsidRDefault="55ADA78D" w:rsidP="43FC7218">
      <w:pPr>
        <w:pStyle w:val="ListParagraph"/>
      </w:pPr>
      <w:r w:rsidRPr="00BA5AC4">
        <w:t>interpreting legislation</w:t>
      </w:r>
    </w:p>
    <w:p w14:paraId="4C31B2DB" w14:textId="04332D35" w:rsidR="55ADA78D" w:rsidRDefault="55ADA78D" w:rsidP="43FC7218">
      <w:pPr>
        <w:pStyle w:val="ListParagraph"/>
      </w:pPr>
      <w:r w:rsidRPr="00BA5AC4">
        <w:t>acting in an administrative capacity</w:t>
      </w:r>
    </w:p>
    <w:p w14:paraId="2B31C1DC" w14:textId="29454229" w:rsidR="55ADA78D" w:rsidRDefault="55ADA78D" w:rsidP="43FC7218">
      <w:pPr>
        <w:pStyle w:val="ListParagraph"/>
      </w:pPr>
      <w:r w:rsidRPr="00BA5AC4">
        <w:t>human rights have ‘direct’ application to its functions</w:t>
      </w:r>
      <w:r w:rsidR="000569AC">
        <w:t>,</w:t>
      </w:r>
      <w:r>
        <w:t xml:space="preserve"> and</w:t>
      </w:r>
      <w:r w:rsidRPr="00BA5AC4">
        <w:t xml:space="preserve"> </w:t>
      </w:r>
    </w:p>
    <w:p w14:paraId="1269149E" w14:textId="05853EAA" w:rsidR="55ADA78D" w:rsidRDefault="55ADA78D" w:rsidP="43FC7218">
      <w:pPr>
        <w:pStyle w:val="ListParagraph"/>
      </w:pPr>
      <w:r w:rsidRPr="00BA5AC4">
        <w:t>human rights grounds have been ‘piggy</w:t>
      </w:r>
      <w:r w:rsidR="00362682" w:rsidRPr="00BA5AC4">
        <w:t>-</w:t>
      </w:r>
      <w:r w:rsidRPr="00BA5AC4">
        <w:t>backed’ on to the proceedings.</w:t>
      </w:r>
    </w:p>
    <w:p w14:paraId="173D9CF0" w14:textId="68E23936" w:rsidR="039E52F9" w:rsidRPr="00BA5AC4" w:rsidRDefault="039E52F9" w:rsidP="43FC7218">
      <w:pPr>
        <w:pStyle w:val="Heading2"/>
        <w:rPr>
          <w:color w:val="124370"/>
        </w:rPr>
      </w:pPr>
      <w:bookmarkStart w:id="260" w:name="_Toc84593872"/>
      <w:bookmarkStart w:id="261" w:name="_Toc85451744"/>
      <w:bookmarkStart w:id="262" w:name="_Toc85526674"/>
      <w:bookmarkStart w:id="263" w:name="_Toc85787089"/>
      <w:r w:rsidRPr="00BA5AC4">
        <w:rPr>
          <w:rFonts w:eastAsia="Arial" w:cs="Arial"/>
          <w:color w:val="124370"/>
          <w:szCs w:val="36"/>
        </w:rPr>
        <w:t>Interpreting legislation</w:t>
      </w:r>
      <w:bookmarkEnd w:id="260"/>
      <w:bookmarkEnd w:id="261"/>
      <w:bookmarkEnd w:id="262"/>
      <w:bookmarkEnd w:id="263"/>
      <w:r w:rsidRPr="00BA5AC4">
        <w:rPr>
          <w:rFonts w:eastAsia="Arial" w:cs="Arial"/>
          <w:color w:val="124370"/>
          <w:szCs w:val="36"/>
        </w:rPr>
        <w:t xml:space="preserve"> </w:t>
      </w:r>
    </w:p>
    <w:p w14:paraId="7C7519CA" w14:textId="3301EAE1" w:rsidR="039E52F9" w:rsidRDefault="039E52F9" w:rsidP="43FC7218">
      <w:pPr>
        <w:spacing w:line="257" w:lineRule="auto"/>
      </w:pPr>
      <w:r w:rsidRPr="43FC7218">
        <w:rPr>
          <w:rFonts w:eastAsia="Arial" w:cs="Arial"/>
        </w:rPr>
        <w:t xml:space="preserve">Section 48 of the Act requires that all legislation is interpreted in a way that is compatible with human rights, to the extent that is consistent with the purpose of the legislation. </w:t>
      </w:r>
    </w:p>
    <w:p w14:paraId="72CF7A40" w14:textId="1D26AFDC" w:rsidR="039E52F9" w:rsidRDefault="039E52F9" w:rsidP="43FC7218">
      <w:pPr>
        <w:spacing w:line="257" w:lineRule="auto"/>
      </w:pPr>
      <w:r w:rsidRPr="43FC7218">
        <w:rPr>
          <w:rFonts w:eastAsia="Arial" w:cs="Arial"/>
        </w:rPr>
        <w:t xml:space="preserve">If legislation cannot be interpreted in a way that is compatible with human rights, it is to be interpreted in a way that is most compatible with human rights, to the extent that is consistent with the purpose of the legislation. </w:t>
      </w:r>
    </w:p>
    <w:p w14:paraId="2D5FAF35" w14:textId="04547EC3" w:rsidR="039E52F9" w:rsidRDefault="039E52F9" w:rsidP="43FC7218">
      <w:pPr>
        <w:spacing w:line="257" w:lineRule="auto"/>
      </w:pPr>
      <w:r w:rsidRPr="43FC7218">
        <w:rPr>
          <w:rFonts w:eastAsia="Arial" w:cs="Arial"/>
        </w:rPr>
        <w:t xml:space="preserve">‘Compatible with human rights’ means the provision does not limit a human right, or limits a human right only to the extent that it is reasonable and demonstrably justifiable in a free and democratic society based on human dignity, equality, and freedom. The Act sets out factors that may be relevant in deciding whether a limit on a human right is reasonable and justifiable. </w:t>
      </w:r>
    </w:p>
    <w:p w14:paraId="5CAD6784" w14:textId="0147F649" w:rsidR="039E52F9" w:rsidRDefault="039E52F9" w:rsidP="43FC7218">
      <w:pPr>
        <w:jc w:val="both"/>
      </w:pPr>
      <w:r w:rsidRPr="43FC7218">
        <w:rPr>
          <w:rFonts w:eastAsia="Arial" w:cs="Arial"/>
        </w:rPr>
        <w:t xml:space="preserve">In </w:t>
      </w:r>
      <w:r w:rsidRPr="43FC7218">
        <w:rPr>
          <w:rFonts w:eastAsia="Arial" w:cs="Arial"/>
          <w:i/>
          <w:iCs/>
        </w:rPr>
        <w:t xml:space="preserve">SF v Department of Education </w:t>
      </w:r>
      <w:r w:rsidRPr="43FC7218">
        <w:rPr>
          <w:rFonts w:eastAsia="Arial" w:cs="Arial"/>
        </w:rPr>
        <w:t xml:space="preserve">[2021] QCAT 10, </w:t>
      </w:r>
      <w:r w:rsidR="005C14C6">
        <w:rPr>
          <w:rFonts w:eastAsia="Arial" w:cs="Arial"/>
        </w:rPr>
        <w:t>Queensland Civil and Administrative Tribunal (</w:t>
      </w:r>
      <w:r w:rsidRPr="43FC7218">
        <w:rPr>
          <w:rFonts w:eastAsia="Arial" w:cs="Arial"/>
        </w:rPr>
        <w:t>QCAT</w:t>
      </w:r>
      <w:r w:rsidR="005C14C6">
        <w:rPr>
          <w:rFonts w:eastAsia="Arial" w:cs="Arial"/>
        </w:rPr>
        <w:t>)</w:t>
      </w:r>
      <w:r w:rsidRPr="43FC7218">
        <w:rPr>
          <w:rFonts w:eastAsia="Arial" w:cs="Arial"/>
        </w:rPr>
        <w:t xml:space="preserve"> applied section 48 in interpreting the </w:t>
      </w:r>
      <w:r w:rsidRPr="43FC7218">
        <w:rPr>
          <w:rFonts w:eastAsia="Arial" w:cs="Arial"/>
          <w:i/>
          <w:iCs/>
        </w:rPr>
        <w:t>Education (General Provisions) Act 2006</w:t>
      </w:r>
      <w:r w:rsidR="006B5D66">
        <w:rPr>
          <w:rFonts w:eastAsia="Arial" w:cs="Arial"/>
          <w:i/>
          <w:iCs/>
        </w:rPr>
        <w:t xml:space="preserve">. </w:t>
      </w:r>
      <w:r w:rsidR="09594CC2" w:rsidRPr="0F8AAB6C">
        <w:rPr>
          <w:rFonts w:eastAsia="Arial" w:cs="Arial"/>
        </w:rPr>
        <w:t>The case concerned</w:t>
      </w:r>
      <w:r w:rsidR="00BA5AC4">
        <w:rPr>
          <w:rFonts w:eastAsia="Arial" w:cs="Arial"/>
        </w:rPr>
        <w:t xml:space="preserve"> </w:t>
      </w:r>
      <w:r w:rsidRPr="43FC7218">
        <w:rPr>
          <w:rFonts w:eastAsia="Arial" w:cs="Arial"/>
        </w:rPr>
        <w:t xml:space="preserve">whether a person applying to home school their child was required to provide a street address, in circumstances where the person feared for their safety </w:t>
      </w:r>
      <w:r w:rsidR="008A4362">
        <w:rPr>
          <w:rFonts w:eastAsia="Arial" w:cs="Arial"/>
        </w:rPr>
        <w:t>if</w:t>
      </w:r>
      <w:r w:rsidR="008A4362" w:rsidRPr="43FC7218">
        <w:rPr>
          <w:rFonts w:eastAsia="Arial" w:cs="Arial"/>
        </w:rPr>
        <w:t xml:space="preserve"> </w:t>
      </w:r>
      <w:r w:rsidRPr="43FC7218">
        <w:rPr>
          <w:rFonts w:eastAsia="Arial" w:cs="Arial"/>
        </w:rPr>
        <w:t xml:space="preserve">their location </w:t>
      </w:r>
      <w:r w:rsidR="008A4362">
        <w:rPr>
          <w:rFonts w:eastAsia="Arial" w:cs="Arial"/>
        </w:rPr>
        <w:t>became</w:t>
      </w:r>
      <w:r w:rsidR="008A4362" w:rsidRPr="43FC7218">
        <w:rPr>
          <w:rFonts w:eastAsia="Arial" w:cs="Arial"/>
        </w:rPr>
        <w:t xml:space="preserve"> </w:t>
      </w:r>
      <w:r w:rsidRPr="43FC7218">
        <w:rPr>
          <w:rFonts w:eastAsia="Arial" w:cs="Arial"/>
        </w:rPr>
        <w:t>known.</w:t>
      </w:r>
    </w:p>
    <w:p w14:paraId="688D6BC4" w14:textId="730EBF8D" w:rsidR="039E52F9" w:rsidRPr="00BA5AC4" w:rsidRDefault="039E52F9" w:rsidP="00E076E6">
      <w:pPr>
        <w:pStyle w:val="Heading2"/>
        <w:rPr>
          <w:color w:val="124370"/>
        </w:rPr>
      </w:pPr>
      <w:bookmarkStart w:id="264" w:name="_Toc85451745"/>
      <w:bookmarkStart w:id="265" w:name="_Toc85526675"/>
      <w:bookmarkStart w:id="266" w:name="_Toc85787090"/>
      <w:r w:rsidRPr="00BA5AC4">
        <w:rPr>
          <w:color w:val="124370"/>
        </w:rPr>
        <w:t>Declarations of incompatibility</w:t>
      </w:r>
      <w:bookmarkEnd w:id="264"/>
      <w:bookmarkEnd w:id="265"/>
      <w:bookmarkEnd w:id="266"/>
      <w:r w:rsidRPr="00BA5AC4">
        <w:rPr>
          <w:color w:val="124370"/>
        </w:rPr>
        <w:t xml:space="preserve"> </w:t>
      </w:r>
    </w:p>
    <w:p w14:paraId="4AE88899" w14:textId="32A24463" w:rsidR="039E52F9" w:rsidRDefault="039E52F9" w:rsidP="00BA5AC4">
      <w:r w:rsidRPr="43FC7218">
        <w:t>The Supreme Court or the Court of Appeal may make a declaration of incompatibility, if the court considers that legislation cannot be interpreted in a way that is compatible with human rights. The experience of other jurisdictions is that this power is used rarely. Queensland courts did not exercise this power in the 2020–21 financial year.</w:t>
      </w:r>
    </w:p>
    <w:p w14:paraId="15DF9E49" w14:textId="05923DD4" w:rsidR="4243382A" w:rsidRPr="00BA5AC4" w:rsidRDefault="4243382A" w:rsidP="43FC7218">
      <w:pPr>
        <w:pStyle w:val="Heading2"/>
        <w:rPr>
          <w:color w:val="124370"/>
        </w:rPr>
      </w:pPr>
      <w:bookmarkStart w:id="267" w:name="_Toc84593873"/>
      <w:bookmarkStart w:id="268" w:name="_Toc85451746"/>
      <w:bookmarkStart w:id="269" w:name="_Toc85526676"/>
      <w:bookmarkStart w:id="270" w:name="_Toc85787091"/>
      <w:r w:rsidRPr="00BA5AC4">
        <w:rPr>
          <w:rFonts w:eastAsia="Arial" w:cs="Arial"/>
          <w:color w:val="124370"/>
          <w:szCs w:val="36"/>
        </w:rPr>
        <w:lastRenderedPageBreak/>
        <w:t>Acting in an administrative capacity</w:t>
      </w:r>
      <w:bookmarkEnd w:id="267"/>
      <w:bookmarkEnd w:id="268"/>
      <w:bookmarkEnd w:id="269"/>
      <w:bookmarkEnd w:id="270"/>
      <w:r w:rsidRPr="00BA5AC4">
        <w:rPr>
          <w:rFonts w:eastAsia="Arial" w:cs="Arial"/>
          <w:color w:val="124370"/>
          <w:szCs w:val="36"/>
        </w:rPr>
        <w:t xml:space="preserve"> </w:t>
      </w:r>
    </w:p>
    <w:p w14:paraId="21072EF6" w14:textId="755DCE95" w:rsidR="4243382A" w:rsidRDefault="4243382A" w:rsidP="00BA5AC4">
      <w:r w:rsidRPr="43FC7218">
        <w:t>When courts and tribunals are actin</w:t>
      </w:r>
      <w:r w:rsidR="00B4753E">
        <w:t xml:space="preserve">g in an administrative capacity </w:t>
      </w:r>
      <w:r w:rsidRPr="43FC7218">
        <w:t xml:space="preserve">they are public entities under the Act and are required: </w:t>
      </w:r>
    </w:p>
    <w:p w14:paraId="7AA31FA1" w14:textId="033FAEF7" w:rsidR="4243382A" w:rsidRDefault="4243382A" w:rsidP="002D2599">
      <w:pPr>
        <w:pStyle w:val="ListParagraph"/>
        <w:numPr>
          <w:ilvl w:val="0"/>
          <w:numId w:val="30"/>
        </w:numPr>
      </w:pPr>
      <w:r w:rsidRPr="43FC7218">
        <w:t>to act and make decisions in a way that is compatible with human rights</w:t>
      </w:r>
      <w:r w:rsidR="000446CA">
        <w:t>,</w:t>
      </w:r>
      <w:r w:rsidRPr="43FC7218">
        <w:t xml:space="preserve"> and</w:t>
      </w:r>
    </w:p>
    <w:p w14:paraId="5C382DA6" w14:textId="0CCB13A2" w:rsidR="4243382A" w:rsidRDefault="4243382A" w:rsidP="002D2599">
      <w:pPr>
        <w:pStyle w:val="ListParagraph"/>
        <w:numPr>
          <w:ilvl w:val="0"/>
          <w:numId w:val="30"/>
        </w:numPr>
      </w:pPr>
      <w:r w:rsidRPr="43FC7218">
        <w:t xml:space="preserve">when making a decision, to give proper consideration to human rights relevant to the decision. </w:t>
      </w:r>
    </w:p>
    <w:p w14:paraId="401D7961" w14:textId="3904E486" w:rsidR="4243382A" w:rsidRDefault="4243382A" w:rsidP="00BA5AC4">
      <w:r w:rsidRPr="43FC7218">
        <w:t xml:space="preserve">The following Queensland tribunals have acknowledged they are acting in an administrative capacity and therefore a public entity with obligations under the </w:t>
      </w:r>
      <w:r w:rsidRPr="43FC7218">
        <w:rPr>
          <w:i/>
        </w:rPr>
        <w:t>Human Rights Act 2019</w:t>
      </w:r>
      <w:r w:rsidR="00CC6EB7">
        <w:t xml:space="preserve">. </w:t>
      </w:r>
    </w:p>
    <w:p w14:paraId="0BBFBE8D" w14:textId="71B1B581" w:rsidR="00CC6EB7" w:rsidRDefault="00CC6EB7" w:rsidP="00CC6EB7">
      <w:pPr>
        <w:pStyle w:val="Caption"/>
      </w:pPr>
      <w:r>
        <w:t>Table</w:t>
      </w:r>
      <w:r w:rsidR="00923B37">
        <w:t xml:space="preserve"> 2</w:t>
      </w:r>
      <w:r>
        <w:t xml:space="preserve">: </w:t>
      </w:r>
      <w:r w:rsidR="00781D2B">
        <w:t>Administrative decisions in Queensland tribunals 2020-21</w:t>
      </w:r>
    </w:p>
    <w:tbl>
      <w:tblPr>
        <w:tblStyle w:val="TableGrid"/>
        <w:tblW w:w="7513" w:type="dxa"/>
        <w:tblBorders>
          <w:top w:val="single" w:sz="4" w:space="0" w:color="124370"/>
          <w:left w:val="none" w:sz="0" w:space="0" w:color="auto"/>
          <w:bottom w:val="single" w:sz="4" w:space="0" w:color="124370"/>
          <w:right w:val="none" w:sz="0" w:space="0" w:color="auto"/>
          <w:insideH w:val="single" w:sz="4" w:space="0" w:color="124370"/>
          <w:insideV w:val="none" w:sz="0" w:space="0" w:color="auto"/>
        </w:tblBorders>
        <w:shd w:val="clear" w:color="auto" w:fill="FFFFFF" w:themeFill="background1"/>
        <w:tblLayout w:type="fixed"/>
        <w:tblLook w:val="0620" w:firstRow="1" w:lastRow="0" w:firstColumn="0" w:lastColumn="0" w:noHBand="1" w:noVBand="1"/>
      </w:tblPr>
      <w:tblGrid>
        <w:gridCol w:w="4395"/>
        <w:gridCol w:w="3118"/>
      </w:tblGrid>
      <w:tr w:rsidR="000E230A" w14:paraId="3EE1C126" w14:textId="77777777" w:rsidTr="00BA5AC4">
        <w:tc>
          <w:tcPr>
            <w:tcW w:w="4395" w:type="dxa"/>
            <w:shd w:val="clear" w:color="auto" w:fill="FFFFFF" w:themeFill="background1"/>
          </w:tcPr>
          <w:p w14:paraId="0CDF727D" w14:textId="77777777" w:rsidR="000E230A" w:rsidRPr="00BA5AC4" w:rsidRDefault="000E230A" w:rsidP="000E230A">
            <w:pPr>
              <w:pStyle w:val="TableTextHeading"/>
              <w:rPr>
                <w:color w:val="124370"/>
              </w:rPr>
            </w:pPr>
            <w:r w:rsidRPr="00BA5AC4">
              <w:rPr>
                <w:color w:val="124370"/>
              </w:rPr>
              <w:t>Subject matter</w:t>
            </w:r>
          </w:p>
        </w:tc>
        <w:tc>
          <w:tcPr>
            <w:tcW w:w="3118" w:type="dxa"/>
            <w:shd w:val="clear" w:color="auto" w:fill="FFFFFF" w:themeFill="background1"/>
          </w:tcPr>
          <w:p w14:paraId="7337CDDE" w14:textId="77777777" w:rsidR="000E230A" w:rsidRPr="00BA5AC4" w:rsidRDefault="000E230A" w:rsidP="000E230A">
            <w:pPr>
              <w:pStyle w:val="TableTextHeading"/>
              <w:rPr>
                <w:color w:val="124370"/>
              </w:rPr>
            </w:pPr>
            <w:r w:rsidRPr="00BA5AC4">
              <w:rPr>
                <w:color w:val="124370"/>
              </w:rPr>
              <w:t>Case</w:t>
            </w:r>
          </w:p>
        </w:tc>
      </w:tr>
      <w:tr w:rsidR="43FC7218" w14:paraId="38114245" w14:textId="77777777" w:rsidTr="00BA5AC4">
        <w:tc>
          <w:tcPr>
            <w:tcW w:w="4395" w:type="dxa"/>
            <w:shd w:val="clear" w:color="auto" w:fill="FFFFFF" w:themeFill="background1"/>
          </w:tcPr>
          <w:p w14:paraId="1450F02B" w14:textId="0E825258" w:rsidR="43FC7218" w:rsidRDefault="00B13461" w:rsidP="00B13461">
            <w:pPr>
              <w:ind w:right="90"/>
            </w:pPr>
            <w:r>
              <w:rPr>
                <w:rFonts w:eastAsia="Arial" w:cs="Arial"/>
              </w:rPr>
              <w:t>Queensland Industrial Relations Commission</w:t>
            </w:r>
            <w:r w:rsidR="43FC7218" w:rsidRPr="43FC7218">
              <w:rPr>
                <w:rFonts w:eastAsia="Arial" w:cs="Arial"/>
              </w:rPr>
              <w:t xml:space="preserve"> when deciding an exemption application under section 113 of the </w:t>
            </w:r>
            <w:r w:rsidR="43FC7218" w:rsidRPr="43FC7218">
              <w:rPr>
                <w:rFonts w:eastAsia="Arial" w:cs="Arial"/>
                <w:i/>
                <w:iCs/>
              </w:rPr>
              <w:t>Anti-Discrimination Act 1991</w:t>
            </w:r>
          </w:p>
        </w:tc>
        <w:tc>
          <w:tcPr>
            <w:tcW w:w="3118" w:type="dxa"/>
            <w:shd w:val="clear" w:color="auto" w:fill="FFFFFF" w:themeFill="background1"/>
          </w:tcPr>
          <w:p w14:paraId="5CB87D3F" w14:textId="786127FD" w:rsidR="43FC7218" w:rsidRDefault="43FC7218" w:rsidP="43FC7218">
            <w:pPr>
              <w:ind w:right="90"/>
            </w:pPr>
            <w:r w:rsidRPr="43FC7218">
              <w:rPr>
                <w:rFonts w:eastAsia="Arial" w:cs="Arial"/>
                <w:i/>
                <w:iCs/>
              </w:rPr>
              <w:t>Re: Ipswich City Council</w:t>
            </w:r>
            <w:r w:rsidRPr="43FC7218">
              <w:rPr>
                <w:rFonts w:eastAsia="Arial" w:cs="Arial"/>
              </w:rPr>
              <w:t xml:space="preserve"> [2020] QIRC 194</w:t>
            </w:r>
          </w:p>
        </w:tc>
      </w:tr>
      <w:tr w:rsidR="43FC7218" w14:paraId="188382FD" w14:textId="77777777" w:rsidTr="00BA5AC4">
        <w:tc>
          <w:tcPr>
            <w:tcW w:w="4395" w:type="dxa"/>
            <w:shd w:val="clear" w:color="auto" w:fill="FFFFFF" w:themeFill="background1"/>
          </w:tcPr>
          <w:p w14:paraId="0E6A39CE" w14:textId="0272227F" w:rsidR="43FC7218" w:rsidRDefault="43FC7218" w:rsidP="43FC7218">
            <w:pPr>
              <w:ind w:right="90"/>
            </w:pPr>
            <w:r w:rsidRPr="43FC7218">
              <w:rPr>
                <w:rFonts w:eastAsia="Arial" w:cs="Arial"/>
              </w:rPr>
              <w:t xml:space="preserve">QCAT when appointing a guardian or administrator under the </w:t>
            </w:r>
            <w:r w:rsidRPr="43FC7218">
              <w:rPr>
                <w:rFonts w:eastAsia="Arial" w:cs="Arial"/>
                <w:i/>
                <w:iCs/>
              </w:rPr>
              <w:t>Guardianship and Administration Act 2000</w:t>
            </w:r>
          </w:p>
        </w:tc>
        <w:tc>
          <w:tcPr>
            <w:tcW w:w="3118" w:type="dxa"/>
            <w:shd w:val="clear" w:color="auto" w:fill="FFFFFF" w:themeFill="background1"/>
          </w:tcPr>
          <w:p w14:paraId="78B808F5" w14:textId="6BE7175B" w:rsidR="43FC7218" w:rsidRPr="00B4753E" w:rsidRDefault="43FC7218" w:rsidP="43FC7218">
            <w:pPr>
              <w:pStyle w:val="Heading5"/>
              <w:ind w:right="90"/>
              <w:outlineLvl w:val="4"/>
              <w:rPr>
                <w:color w:val="auto"/>
              </w:rPr>
            </w:pPr>
            <w:r w:rsidRPr="00B4753E">
              <w:rPr>
                <w:rFonts w:ascii="Arial" w:eastAsia="Arial" w:hAnsi="Arial" w:cs="Arial"/>
                <w:i/>
                <w:color w:val="auto"/>
              </w:rPr>
              <w:t>JF</w:t>
            </w:r>
            <w:r w:rsidRPr="00B4753E">
              <w:rPr>
                <w:rFonts w:ascii="Arial" w:eastAsia="Arial" w:hAnsi="Arial" w:cs="Arial"/>
                <w:color w:val="auto"/>
              </w:rPr>
              <w:t xml:space="preserve"> </w:t>
            </w:r>
            <w:r w:rsidRPr="00636963">
              <w:rPr>
                <w:rFonts w:ascii="Arial" w:eastAsia="Arial" w:hAnsi="Arial" w:cs="Arial"/>
                <w:color w:val="auto"/>
              </w:rPr>
              <w:t>[2020] QCAT 419;</w:t>
            </w:r>
            <w:r w:rsidRPr="00B4753E">
              <w:rPr>
                <w:rFonts w:ascii="Arial" w:eastAsia="Arial" w:hAnsi="Arial" w:cs="Arial"/>
                <w:color w:val="auto"/>
              </w:rPr>
              <w:t xml:space="preserve"> </w:t>
            </w:r>
            <w:r w:rsidRPr="00B4753E">
              <w:rPr>
                <w:rFonts w:ascii="Arial" w:eastAsia="Arial" w:hAnsi="Arial" w:cs="Arial"/>
                <w:i/>
                <w:iCs/>
                <w:color w:val="auto"/>
              </w:rPr>
              <w:t>DLD</w:t>
            </w:r>
            <w:r w:rsidRPr="00B4753E">
              <w:rPr>
                <w:rFonts w:ascii="Arial" w:eastAsia="Arial" w:hAnsi="Arial" w:cs="Arial"/>
                <w:color w:val="auto"/>
              </w:rPr>
              <w:t xml:space="preserve"> [2020] QCAT 237</w:t>
            </w:r>
          </w:p>
          <w:p w14:paraId="745B0DA5" w14:textId="788629C6" w:rsidR="43FC7218" w:rsidRDefault="43FC7218" w:rsidP="43FC7218">
            <w:pPr>
              <w:ind w:right="90"/>
            </w:pPr>
            <w:r w:rsidRPr="00B4753E">
              <w:rPr>
                <w:rFonts w:eastAsia="Arial" w:cs="Arial"/>
              </w:rPr>
              <w:t xml:space="preserve"> </w:t>
            </w:r>
          </w:p>
        </w:tc>
      </w:tr>
      <w:tr w:rsidR="43FC7218" w14:paraId="08516552" w14:textId="77777777" w:rsidTr="00BA5AC4">
        <w:tc>
          <w:tcPr>
            <w:tcW w:w="4395" w:type="dxa"/>
            <w:shd w:val="clear" w:color="auto" w:fill="FFFFFF" w:themeFill="background1"/>
          </w:tcPr>
          <w:p w14:paraId="48C50762" w14:textId="50B51D34" w:rsidR="43FC7218" w:rsidRDefault="43FC7218" w:rsidP="43FC7218">
            <w:pPr>
              <w:ind w:right="90"/>
            </w:pPr>
            <w:r w:rsidRPr="43FC7218">
              <w:rPr>
                <w:rFonts w:eastAsia="Arial" w:cs="Arial"/>
              </w:rPr>
              <w:t xml:space="preserve">QCAT when reviewing a decision of the Department of Child Safety, Youth and Women </w:t>
            </w:r>
          </w:p>
        </w:tc>
        <w:tc>
          <w:tcPr>
            <w:tcW w:w="3118" w:type="dxa"/>
            <w:shd w:val="clear" w:color="auto" w:fill="FFFFFF" w:themeFill="background1"/>
          </w:tcPr>
          <w:p w14:paraId="4DB7B29D" w14:textId="08926221" w:rsidR="43FC7218" w:rsidRDefault="43FC7218" w:rsidP="43FC7218">
            <w:pPr>
              <w:ind w:right="90"/>
            </w:pPr>
            <w:r w:rsidRPr="43FC7218">
              <w:rPr>
                <w:rFonts w:eastAsia="Arial" w:cs="Arial"/>
                <w:i/>
                <w:iCs/>
              </w:rPr>
              <w:t xml:space="preserve">RE and RL v Department of Child Safety </w:t>
            </w:r>
            <w:r w:rsidRPr="43FC7218">
              <w:rPr>
                <w:rFonts w:eastAsia="Arial" w:cs="Arial"/>
              </w:rPr>
              <w:t>[2020] QCAT 151</w:t>
            </w:r>
          </w:p>
        </w:tc>
      </w:tr>
      <w:tr w:rsidR="43FC7218" w14:paraId="1D6B2A1C" w14:textId="77777777" w:rsidTr="00BA5AC4">
        <w:tc>
          <w:tcPr>
            <w:tcW w:w="4395" w:type="dxa"/>
            <w:shd w:val="clear" w:color="auto" w:fill="FFFFFF" w:themeFill="background1"/>
          </w:tcPr>
          <w:p w14:paraId="3C938E7B" w14:textId="498B3099" w:rsidR="43FC7218" w:rsidRDefault="43FC7218" w:rsidP="43FC7218">
            <w:pPr>
              <w:ind w:right="90"/>
            </w:pPr>
            <w:r w:rsidRPr="43FC7218">
              <w:rPr>
                <w:rFonts w:eastAsia="Arial" w:cs="Arial"/>
              </w:rPr>
              <w:t>QCAT when reviewing a decision of Blue Card Services.</w:t>
            </w:r>
          </w:p>
        </w:tc>
        <w:tc>
          <w:tcPr>
            <w:tcW w:w="3118" w:type="dxa"/>
            <w:shd w:val="clear" w:color="auto" w:fill="FFFFFF" w:themeFill="background1"/>
          </w:tcPr>
          <w:p w14:paraId="2F394994" w14:textId="69913B4A" w:rsidR="43FC7218" w:rsidRDefault="43FC7218" w:rsidP="43FC7218">
            <w:pPr>
              <w:ind w:right="90"/>
            </w:pPr>
            <w:r w:rsidRPr="43FC7218">
              <w:rPr>
                <w:rFonts w:eastAsia="Arial" w:cs="Arial"/>
                <w:i/>
                <w:iCs/>
              </w:rPr>
              <w:t xml:space="preserve">TRE v Director-General, Department of Justice and Attorney-General </w:t>
            </w:r>
            <w:r w:rsidRPr="43FC7218">
              <w:rPr>
                <w:rFonts w:eastAsia="Arial" w:cs="Arial"/>
              </w:rPr>
              <w:t>[2020] QCAT 306</w:t>
            </w:r>
          </w:p>
        </w:tc>
      </w:tr>
      <w:tr w:rsidR="43FC7218" w14:paraId="706764CA" w14:textId="77777777" w:rsidTr="00BA5AC4">
        <w:tc>
          <w:tcPr>
            <w:tcW w:w="4395" w:type="dxa"/>
            <w:shd w:val="clear" w:color="auto" w:fill="FFFFFF" w:themeFill="background1"/>
          </w:tcPr>
          <w:p w14:paraId="55B15576" w14:textId="3A9313E3" w:rsidR="43FC7218" w:rsidRDefault="43FC7218" w:rsidP="43FC7218">
            <w:pPr>
              <w:ind w:right="90"/>
            </w:pPr>
            <w:r w:rsidRPr="43FC7218">
              <w:rPr>
                <w:rFonts w:eastAsia="Arial" w:cs="Arial"/>
              </w:rPr>
              <w:t xml:space="preserve">Land Court when making recommendations under the </w:t>
            </w:r>
            <w:r w:rsidRPr="43FC7218">
              <w:rPr>
                <w:rFonts w:eastAsia="Arial" w:cs="Arial"/>
                <w:i/>
                <w:iCs/>
              </w:rPr>
              <w:t>Mineral Resources Act 1989</w:t>
            </w:r>
            <w:r w:rsidRPr="43FC7218">
              <w:rPr>
                <w:rFonts w:eastAsia="Arial" w:cs="Arial"/>
              </w:rPr>
              <w:t xml:space="preserve"> and making an objections decision under the </w:t>
            </w:r>
            <w:r w:rsidRPr="43FC7218">
              <w:rPr>
                <w:rFonts w:eastAsia="Arial" w:cs="Arial"/>
                <w:i/>
                <w:iCs/>
              </w:rPr>
              <w:t>Environmental Protection Act 1994</w:t>
            </w:r>
            <w:r w:rsidRPr="43FC7218">
              <w:rPr>
                <w:rFonts w:eastAsia="Arial" w:cs="Arial"/>
              </w:rPr>
              <w:t xml:space="preserve">. </w:t>
            </w:r>
          </w:p>
        </w:tc>
        <w:tc>
          <w:tcPr>
            <w:tcW w:w="3118" w:type="dxa"/>
            <w:shd w:val="clear" w:color="auto" w:fill="FFFFFF" w:themeFill="background1"/>
          </w:tcPr>
          <w:p w14:paraId="4B8DC76C" w14:textId="782E900E" w:rsidR="43FC7218" w:rsidRDefault="43FC7218" w:rsidP="43FC7218">
            <w:pPr>
              <w:ind w:right="90"/>
            </w:pPr>
            <w:r w:rsidRPr="43FC7218">
              <w:rPr>
                <w:rFonts w:eastAsia="Arial" w:cs="Arial"/>
                <w:i/>
                <w:iCs/>
              </w:rPr>
              <w:t>Waratah Coal Pty Ltd v Youth Verdict Ltd &amp; Ors</w:t>
            </w:r>
            <w:r w:rsidRPr="43FC7218">
              <w:rPr>
                <w:rFonts w:eastAsia="Arial" w:cs="Arial"/>
              </w:rPr>
              <w:t xml:space="preserve"> [2020] QLC 33</w:t>
            </w:r>
          </w:p>
        </w:tc>
      </w:tr>
      <w:tr w:rsidR="43FC7218" w14:paraId="1A5602EF" w14:textId="77777777" w:rsidTr="00BA5AC4">
        <w:tc>
          <w:tcPr>
            <w:tcW w:w="4395" w:type="dxa"/>
            <w:shd w:val="clear" w:color="auto" w:fill="FFFFFF" w:themeFill="background1"/>
          </w:tcPr>
          <w:p w14:paraId="4E780C18" w14:textId="0A1837D3" w:rsidR="43FC7218" w:rsidRDefault="43FC7218" w:rsidP="43FC7218">
            <w:pPr>
              <w:ind w:right="90"/>
            </w:pPr>
            <w:r w:rsidRPr="43FC7218">
              <w:rPr>
                <w:rFonts w:eastAsia="Arial" w:cs="Arial"/>
              </w:rPr>
              <w:t xml:space="preserve">Mental Health Review Tribunal </w:t>
            </w:r>
          </w:p>
        </w:tc>
        <w:tc>
          <w:tcPr>
            <w:tcW w:w="3118" w:type="dxa"/>
            <w:shd w:val="clear" w:color="auto" w:fill="FFFFFF" w:themeFill="background1"/>
          </w:tcPr>
          <w:p w14:paraId="1BC539D3" w14:textId="5354F7B1" w:rsidR="43FC7218" w:rsidRDefault="43FC7218" w:rsidP="43FC7218">
            <w:pPr>
              <w:ind w:right="90"/>
              <w:rPr>
                <w:rFonts w:eastAsia="Arial" w:cs="Arial"/>
                <w:vertAlign w:val="superscript"/>
              </w:rPr>
            </w:pPr>
            <w:r w:rsidRPr="43FC7218">
              <w:rPr>
                <w:rFonts w:eastAsia="Arial" w:cs="Arial"/>
              </w:rPr>
              <w:t>See published statements of reasons on the MHRT website.</w:t>
            </w:r>
            <w:r w:rsidRPr="43FC7218">
              <w:rPr>
                <w:rStyle w:val="FootnoteReference"/>
                <w:rFonts w:eastAsia="Arial" w:cs="Arial"/>
              </w:rPr>
              <w:footnoteReference w:id="67"/>
            </w:r>
          </w:p>
        </w:tc>
      </w:tr>
    </w:tbl>
    <w:p w14:paraId="52FCE731" w14:textId="71531FBB" w:rsidR="4243382A" w:rsidRDefault="4243382A" w:rsidP="43FC7218">
      <w:pPr>
        <w:spacing w:line="257" w:lineRule="auto"/>
      </w:pPr>
      <w:r w:rsidRPr="43FC7218">
        <w:rPr>
          <w:rFonts w:eastAsia="Arial" w:cs="Arial"/>
        </w:rPr>
        <w:t xml:space="preserve"> </w:t>
      </w:r>
    </w:p>
    <w:p w14:paraId="3EDBA6C0" w14:textId="77777777" w:rsidR="00642875" w:rsidRDefault="00642875">
      <w:pPr>
        <w:keepLines w:val="0"/>
        <w:widowControl/>
        <w:spacing w:line="259" w:lineRule="auto"/>
        <w:ind w:right="0"/>
        <w:rPr>
          <w:rFonts w:eastAsia="Arial" w:cs="Arial"/>
        </w:rPr>
      </w:pPr>
      <w:r>
        <w:rPr>
          <w:rFonts w:eastAsia="Arial" w:cs="Arial"/>
        </w:rPr>
        <w:br w:type="page"/>
      </w:r>
    </w:p>
    <w:p w14:paraId="1B697123" w14:textId="3E5430A9" w:rsidR="4243382A" w:rsidRDefault="4243382A" w:rsidP="43FC7218">
      <w:pPr>
        <w:spacing w:line="257" w:lineRule="auto"/>
        <w:ind w:right="2430"/>
      </w:pPr>
      <w:r w:rsidRPr="43FC7218">
        <w:rPr>
          <w:rFonts w:eastAsia="Arial" w:cs="Arial"/>
        </w:rPr>
        <w:lastRenderedPageBreak/>
        <w:t xml:space="preserve">In 2020-21, Queensland </w:t>
      </w:r>
      <w:r w:rsidR="00BA5AC4">
        <w:rPr>
          <w:rFonts w:eastAsia="Arial" w:cs="Arial"/>
        </w:rPr>
        <w:t>c</w:t>
      </w:r>
      <w:r w:rsidRPr="43FC7218">
        <w:rPr>
          <w:rFonts w:eastAsia="Arial" w:cs="Arial"/>
        </w:rPr>
        <w:t xml:space="preserve">ourts have </w:t>
      </w:r>
      <w:r w:rsidR="50B72D8F" w:rsidRPr="43FC7218">
        <w:rPr>
          <w:rFonts w:eastAsia="Arial" w:cs="Arial"/>
        </w:rPr>
        <w:t>st</w:t>
      </w:r>
      <w:r w:rsidRPr="43FC7218">
        <w:rPr>
          <w:rFonts w:eastAsia="Arial" w:cs="Arial"/>
        </w:rPr>
        <w:t>ated the following are judicial decisions</w:t>
      </w:r>
      <w:r w:rsidR="00CC6EB7">
        <w:rPr>
          <w:rFonts w:eastAsia="Arial" w:cs="Arial"/>
        </w:rPr>
        <w:t>.</w:t>
      </w:r>
    </w:p>
    <w:p w14:paraId="66793991" w14:textId="635FE2D0" w:rsidR="00CC6EB7" w:rsidRDefault="00CC6EB7" w:rsidP="00CC6EB7">
      <w:pPr>
        <w:pStyle w:val="Caption"/>
      </w:pPr>
      <w:r>
        <w:t>Table</w:t>
      </w:r>
      <w:r w:rsidR="00A52CD7">
        <w:t xml:space="preserve"> 3</w:t>
      </w:r>
      <w:r>
        <w:t xml:space="preserve">: </w:t>
      </w:r>
      <w:r w:rsidR="00781D2B">
        <w:t>Judicial decisions in Queensland courts 2020-21</w:t>
      </w:r>
    </w:p>
    <w:tbl>
      <w:tblPr>
        <w:tblStyle w:val="TableGrid"/>
        <w:tblW w:w="7513" w:type="dxa"/>
        <w:tblBorders>
          <w:top w:val="single" w:sz="4" w:space="0" w:color="124370"/>
          <w:left w:val="none" w:sz="0" w:space="0" w:color="auto"/>
          <w:bottom w:val="single" w:sz="4" w:space="0" w:color="124370"/>
          <w:right w:val="none" w:sz="0" w:space="0" w:color="auto"/>
          <w:insideH w:val="single" w:sz="4" w:space="0" w:color="124370"/>
          <w:insideV w:val="none" w:sz="0" w:space="0" w:color="auto"/>
        </w:tblBorders>
        <w:shd w:val="clear" w:color="auto" w:fill="FFFFFF" w:themeFill="background1"/>
        <w:tblLayout w:type="fixed"/>
        <w:tblLook w:val="0620" w:firstRow="1" w:lastRow="0" w:firstColumn="0" w:lastColumn="0" w:noHBand="1" w:noVBand="1"/>
      </w:tblPr>
      <w:tblGrid>
        <w:gridCol w:w="3282"/>
        <w:gridCol w:w="4231"/>
      </w:tblGrid>
      <w:tr w:rsidR="000E230A" w14:paraId="7FBF75CC" w14:textId="77777777" w:rsidTr="00BA5AC4">
        <w:tc>
          <w:tcPr>
            <w:tcW w:w="3282" w:type="dxa"/>
            <w:shd w:val="clear" w:color="auto" w:fill="FFFFFF" w:themeFill="background1"/>
          </w:tcPr>
          <w:p w14:paraId="3A9C1C6F" w14:textId="3102A822" w:rsidR="000E230A" w:rsidRPr="00BA5AC4" w:rsidRDefault="000E230A" w:rsidP="000E230A">
            <w:pPr>
              <w:pStyle w:val="TableTextHeading"/>
              <w:rPr>
                <w:color w:val="124370"/>
              </w:rPr>
            </w:pPr>
            <w:r w:rsidRPr="00BA5AC4">
              <w:rPr>
                <w:color w:val="124370"/>
              </w:rPr>
              <w:t>Subject matter</w:t>
            </w:r>
          </w:p>
        </w:tc>
        <w:tc>
          <w:tcPr>
            <w:tcW w:w="4231" w:type="dxa"/>
            <w:shd w:val="clear" w:color="auto" w:fill="FFFFFF" w:themeFill="background1"/>
          </w:tcPr>
          <w:p w14:paraId="11FBB0EF" w14:textId="13905381" w:rsidR="000E230A" w:rsidRPr="00BA5AC4" w:rsidRDefault="000E230A" w:rsidP="000E230A">
            <w:pPr>
              <w:pStyle w:val="TableTextHeading"/>
              <w:rPr>
                <w:color w:val="124370"/>
              </w:rPr>
            </w:pPr>
            <w:r w:rsidRPr="00BA5AC4">
              <w:rPr>
                <w:color w:val="124370"/>
              </w:rPr>
              <w:t>Case</w:t>
            </w:r>
          </w:p>
        </w:tc>
      </w:tr>
      <w:tr w:rsidR="43FC7218" w14:paraId="3F160975" w14:textId="77777777" w:rsidTr="00BA5AC4">
        <w:tc>
          <w:tcPr>
            <w:tcW w:w="3282" w:type="dxa"/>
            <w:shd w:val="clear" w:color="auto" w:fill="FFFFFF" w:themeFill="background1"/>
          </w:tcPr>
          <w:p w14:paraId="61B5C46F" w14:textId="4EA3B866" w:rsidR="43FC7218" w:rsidRDefault="43FC7218" w:rsidP="43FC7218">
            <w:pPr>
              <w:ind w:right="0"/>
            </w:pPr>
            <w:r w:rsidRPr="43FC7218">
              <w:rPr>
                <w:rFonts w:eastAsia="Arial" w:cs="Arial"/>
              </w:rPr>
              <w:t>Bail applications</w:t>
            </w:r>
          </w:p>
        </w:tc>
        <w:tc>
          <w:tcPr>
            <w:tcW w:w="4231" w:type="dxa"/>
            <w:shd w:val="clear" w:color="auto" w:fill="FFFFFF" w:themeFill="background1"/>
          </w:tcPr>
          <w:p w14:paraId="798C085B" w14:textId="4A29544C" w:rsidR="43FC7218" w:rsidRDefault="43FC7218" w:rsidP="43FC7218">
            <w:pPr>
              <w:ind w:right="0"/>
            </w:pPr>
            <w:proofErr w:type="spellStart"/>
            <w:r w:rsidRPr="0F8AAB6C">
              <w:rPr>
                <w:rFonts w:eastAsia="Arial" w:cs="Arial"/>
                <w:i/>
              </w:rPr>
              <w:t>Dunshea</w:t>
            </w:r>
            <w:proofErr w:type="spellEnd"/>
            <w:r w:rsidRPr="0F8AAB6C">
              <w:rPr>
                <w:rFonts w:eastAsia="Arial" w:cs="Arial"/>
                <w:i/>
              </w:rPr>
              <w:t xml:space="preserve"> v Director of Public Prosecutions (Qld</w:t>
            </w:r>
            <w:r w:rsidRPr="43FC7218">
              <w:rPr>
                <w:rFonts w:eastAsia="Arial" w:cs="Arial"/>
                <w:i/>
                <w:iCs/>
                <w:u w:val="single"/>
              </w:rPr>
              <w:t>)</w:t>
            </w:r>
            <w:r w:rsidRPr="43FC7218">
              <w:rPr>
                <w:rFonts w:eastAsia="Arial" w:cs="Arial"/>
                <w:i/>
                <w:iCs/>
              </w:rPr>
              <w:t xml:space="preserve"> </w:t>
            </w:r>
            <w:r w:rsidRPr="43FC7218">
              <w:rPr>
                <w:rFonts w:eastAsia="Arial" w:cs="Arial"/>
              </w:rPr>
              <w:t xml:space="preserve">[2021] QCA 102 </w:t>
            </w:r>
          </w:p>
          <w:p w14:paraId="6680374A" w14:textId="7F91195E" w:rsidR="43FC7218" w:rsidRDefault="43FC7218" w:rsidP="43FC7218">
            <w:pPr>
              <w:ind w:right="0"/>
            </w:pPr>
            <w:r w:rsidRPr="43FC7218">
              <w:rPr>
                <w:rFonts w:eastAsia="Arial" w:cs="Arial"/>
              </w:rPr>
              <w:t xml:space="preserve"> </w:t>
            </w:r>
          </w:p>
        </w:tc>
      </w:tr>
      <w:tr w:rsidR="43FC7218" w14:paraId="034DE697" w14:textId="77777777" w:rsidTr="00BA5AC4">
        <w:tc>
          <w:tcPr>
            <w:tcW w:w="3282" w:type="dxa"/>
            <w:shd w:val="clear" w:color="auto" w:fill="FFFFFF" w:themeFill="background1"/>
          </w:tcPr>
          <w:p w14:paraId="37CE9614" w14:textId="4BA967B7" w:rsidR="43FC7218" w:rsidRDefault="43FC7218" w:rsidP="43FC7218">
            <w:pPr>
              <w:ind w:right="0"/>
            </w:pPr>
            <w:r w:rsidRPr="43FC7218">
              <w:rPr>
                <w:rFonts w:eastAsia="Arial" w:cs="Arial"/>
              </w:rPr>
              <w:t>Court of Disputed Returns proceedings</w:t>
            </w:r>
          </w:p>
        </w:tc>
        <w:tc>
          <w:tcPr>
            <w:tcW w:w="4231" w:type="dxa"/>
            <w:shd w:val="clear" w:color="auto" w:fill="FFFFFF" w:themeFill="background1"/>
          </w:tcPr>
          <w:p w14:paraId="773C0034" w14:textId="5AE8B722" w:rsidR="43FC7218" w:rsidRDefault="43FC7218" w:rsidP="43FC7218">
            <w:pPr>
              <w:ind w:right="0"/>
            </w:pPr>
            <w:r w:rsidRPr="43FC7218">
              <w:rPr>
                <w:rFonts w:eastAsia="Arial" w:cs="Arial"/>
                <w:i/>
                <w:iCs/>
              </w:rPr>
              <w:t xml:space="preserve">Innes v Electoral Commission of Queensland &amp; Anor (No 2) </w:t>
            </w:r>
            <w:r w:rsidRPr="43FC7218">
              <w:rPr>
                <w:rFonts w:eastAsia="Arial" w:cs="Arial"/>
              </w:rPr>
              <w:t xml:space="preserve">[2020] QSC 293 </w:t>
            </w:r>
          </w:p>
          <w:p w14:paraId="6BBB5DA2" w14:textId="6A121A38" w:rsidR="43FC7218" w:rsidRDefault="43FC7218" w:rsidP="43FC7218">
            <w:pPr>
              <w:ind w:right="0"/>
            </w:pPr>
            <w:r w:rsidRPr="43FC7218">
              <w:rPr>
                <w:rFonts w:eastAsia="Arial" w:cs="Arial"/>
              </w:rPr>
              <w:t xml:space="preserve"> </w:t>
            </w:r>
          </w:p>
        </w:tc>
      </w:tr>
      <w:tr w:rsidR="43FC7218" w:rsidRPr="00244236" w14:paraId="6A002AAC" w14:textId="77777777" w:rsidTr="00BA5AC4">
        <w:tc>
          <w:tcPr>
            <w:tcW w:w="3282" w:type="dxa"/>
            <w:shd w:val="clear" w:color="auto" w:fill="FFFFFF" w:themeFill="background1"/>
          </w:tcPr>
          <w:p w14:paraId="081B795C" w14:textId="626B2303" w:rsidR="43FC7218" w:rsidRDefault="43FC7218" w:rsidP="43FC7218">
            <w:pPr>
              <w:ind w:right="0"/>
            </w:pPr>
            <w:r w:rsidRPr="43FC7218">
              <w:rPr>
                <w:rFonts w:eastAsia="Arial" w:cs="Arial"/>
              </w:rPr>
              <w:t>Application for trial without jury orders in criminal proceedings</w:t>
            </w:r>
          </w:p>
          <w:p w14:paraId="6856A8B6" w14:textId="244EF465" w:rsidR="43FC7218" w:rsidRDefault="43FC7218" w:rsidP="43FC7218">
            <w:pPr>
              <w:ind w:right="0"/>
            </w:pPr>
            <w:r w:rsidRPr="43FC7218">
              <w:rPr>
                <w:rFonts w:eastAsia="Arial" w:cs="Arial"/>
              </w:rPr>
              <w:t xml:space="preserve"> </w:t>
            </w:r>
          </w:p>
        </w:tc>
        <w:tc>
          <w:tcPr>
            <w:tcW w:w="4231" w:type="dxa"/>
            <w:shd w:val="clear" w:color="auto" w:fill="FFFFFF" w:themeFill="background1"/>
          </w:tcPr>
          <w:p w14:paraId="45515B70" w14:textId="110F16BB" w:rsidR="43FC7218" w:rsidRPr="00324B49" w:rsidRDefault="43FC7218" w:rsidP="43FC7218">
            <w:pPr>
              <w:ind w:right="0"/>
              <w:rPr>
                <w:lang w:val="pt-BR"/>
              </w:rPr>
            </w:pPr>
            <w:r w:rsidRPr="00324B49">
              <w:rPr>
                <w:rFonts w:eastAsia="Arial" w:cs="Arial"/>
                <w:i/>
                <w:lang w:val="pt-BR"/>
              </w:rPr>
              <w:t xml:space="preserve">R v NGK </w:t>
            </w:r>
            <w:r w:rsidRPr="00324B49">
              <w:rPr>
                <w:rFonts w:eastAsia="Arial" w:cs="Arial"/>
                <w:lang w:val="pt-BR"/>
              </w:rPr>
              <w:t xml:space="preserve">[2020] QDCPR 77 and </w:t>
            </w:r>
            <w:r w:rsidRPr="00324B49">
              <w:rPr>
                <w:rFonts w:eastAsia="Arial" w:cs="Arial"/>
                <w:i/>
                <w:lang w:val="pt-BR"/>
              </w:rPr>
              <w:t xml:space="preserve">R v Logan </w:t>
            </w:r>
            <w:r w:rsidRPr="00324B49">
              <w:rPr>
                <w:rFonts w:eastAsia="Arial" w:cs="Arial"/>
                <w:lang w:val="pt-BR"/>
              </w:rPr>
              <w:t>[2020] QDCPR 67</w:t>
            </w:r>
          </w:p>
          <w:p w14:paraId="4A8BCA38" w14:textId="3F4AE5EA" w:rsidR="43FC7218" w:rsidRPr="00324B49" w:rsidRDefault="43FC7218" w:rsidP="43FC7218">
            <w:pPr>
              <w:ind w:right="0"/>
              <w:rPr>
                <w:lang w:val="pt-BR"/>
              </w:rPr>
            </w:pPr>
            <w:r w:rsidRPr="00324B49">
              <w:rPr>
                <w:rFonts w:eastAsia="Arial" w:cs="Arial"/>
                <w:lang w:val="pt-BR"/>
              </w:rPr>
              <w:t xml:space="preserve"> </w:t>
            </w:r>
          </w:p>
        </w:tc>
      </w:tr>
    </w:tbl>
    <w:p w14:paraId="4F588601" w14:textId="3E976C02" w:rsidR="4243382A" w:rsidRPr="00BA5AC4" w:rsidRDefault="2C503419" w:rsidP="43FC7218">
      <w:pPr>
        <w:pStyle w:val="Heading2"/>
        <w:rPr>
          <w:color w:val="124370"/>
        </w:rPr>
      </w:pPr>
      <w:bookmarkStart w:id="271" w:name="_Toc84593874"/>
      <w:bookmarkStart w:id="272" w:name="_Toc85451747"/>
      <w:bookmarkStart w:id="273" w:name="_Toc85526677"/>
      <w:bookmarkStart w:id="274" w:name="_Toc85787092"/>
      <w:r w:rsidRPr="00BA5AC4">
        <w:rPr>
          <w:rFonts w:eastAsia="Arial" w:cs="Arial"/>
          <w:color w:val="124370"/>
          <w:szCs w:val="36"/>
        </w:rPr>
        <w:t>Direct application</w:t>
      </w:r>
      <w:bookmarkEnd w:id="271"/>
      <w:bookmarkEnd w:id="272"/>
      <w:bookmarkEnd w:id="273"/>
      <w:bookmarkEnd w:id="274"/>
      <w:r w:rsidRPr="00BA5AC4">
        <w:rPr>
          <w:rFonts w:eastAsia="Arial" w:cs="Arial"/>
          <w:color w:val="124370"/>
          <w:szCs w:val="36"/>
        </w:rPr>
        <w:t xml:space="preserve"> </w:t>
      </w:r>
    </w:p>
    <w:p w14:paraId="16BCEBFD" w14:textId="6F495F99" w:rsidR="2C503419" w:rsidRDefault="2C503419" w:rsidP="00BA5AC4">
      <w:r w:rsidRPr="43FC7218">
        <w:t xml:space="preserve">The Act imposes direct obligations on courts and tribunals to act compatibly with human rights to the extent that the court or tribunal has the function of applying or enforcing those rights. The obligation applies whether or not the court or tribunal is acting in a judicial or administrative capacity. </w:t>
      </w:r>
    </w:p>
    <w:p w14:paraId="558C55BB" w14:textId="316509D2" w:rsidR="2C503419" w:rsidRDefault="2C503419" w:rsidP="00BA5AC4">
      <w:r w:rsidRPr="43FC7218">
        <w:t>The rights engaged when performing judicial functions include:</w:t>
      </w:r>
    </w:p>
    <w:p w14:paraId="28C297CE" w14:textId="0CF6496A" w:rsidR="2C503419" w:rsidRDefault="2C503419" w:rsidP="00BA5AC4">
      <w:pPr>
        <w:pStyle w:val="ListParagraph"/>
      </w:pPr>
      <w:r w:rsidRPr="0F6617A5">
        <w:t>equality before the law</w:t>
      </w:r>
    </w:p>
    <w:p w14:paraId="3187D39E" w14:textId="5F6B31D6" w:rsidR="2C503419" w:rsidRDefault="2C503419" w:rsidP="00BA5AC4">
      <w:pPr>
        <w:pStyle w:val="ListParagraph"/>
      </w:pPr>
      <w:r w:rsidRPr="0F6617A5">
        <w:t>fair hearing</w:t>
      </w:r>
      <w:r w:rsidR="00356F04">
        <w:t>,</w:t>
      </w:r>
      <w:r w:rsidRPr="0F6617A5">
        <w:t xml:space="preserve"> and</w:t>
      </w:r>
    </w:p>
    <w:p w14:paraId="2033C355" w14:textId="524F13D4" w:rsidR="2C503419" w:rsidRDefault="2C503419" w:rsidP="00BA5AC4">
      <w:pPr>
        <w:pStyle w:val="ListParagraph"/>
      </w:pPr>
      <w:r w:rsidRPr="0F6617A5">
        <w:t xml:space="preserve">rights in criminal proceedings. </w:t>
      </w:r>
    </w:p>
    <w:p w14:paraId="0EE1106C" w14:textId="3F717DCE" w:rsidR="2C503419" w:rsidRDefault="2C503419" w:rsidP="00BA5AC4">
      <w:r w:rsidRPr="43FC7218">
        <w:t xml:space="preserve">Other rights have been found to apply directly to court functions. For example, in </w:t>
      </w:r>
      <w:r w:rsidRPr="43FC7218">
        <w:rPr>
          <w:i/>
        </w:rPr>
        <w:t>Innes v Electoral Commission of Queensland (No 2)</w:t>
      </w:r>
      <w:r w:rsidRPr="43FC7218">
        <w:t xml:space="preserve"> [2020] QSC 293, the Court of Disputed Returns held that its function, to hear disputes about the election of a person, included applying or enforcing the right to take part in public life as protected by section 23 of the </w:t>
      </w:r>
      <w:r w:rsidRPr="43FC7218">
        <w:rPr>
          <w:i/>
        </w:rPr>
        <w:t>Human Rights Act 2019</w:t>
      </w:r>
      <w:r w:rsidRPr="43FC7218">
        <w:t>.</w:t>
      </w:r>
    </w:p>
    <w:p w14:paraId="3250C9B0" w14:textId="7C4C4241" w:rsidR="3670368C" w:rsidRPr="00BA5AC4" w:rsidRDefault="3670368C" w:rsidP="43FC7218">
      <w:pPr>
        <w:pStyle w:val="Heading2"/>
        <w:rPr>
          <w:color w:val="124370"/>
        </w:rPr>
      </w:pPr>
      <w:bookmarkStart w:id="275" w:name="_Toc84593875"/>
      <w:bookmarkStart w:id="276" w:name="_Toc85451748"/>
      <w:bookmarkStart w:id="277" w:name="_Toc85526678"/>
      <w:bookmarkStart w:id="278" w:name="_Toc85787093"/>
      <w:r w:rsidRPr="00BA5AC4">
        <w:rPr>
          <w:rFonts w:eastAsia="Arial" w:cs="Arial"/>
          <w:color w:val="124370"/>
          <w:szCs w:val="36"/>
        </w:rPr>
        <w:lastRenderedPageBreak/>
        <w:t>Piggy</w:t>
      </w:r>
      <w:r w:rsidR="00362682" w:rsidRPr="00BA5AC4">
        <w:rPr>
          <w:rFonts w:eastAsia="Arial" w:cs="Arial"/>
          <w:color w:val="124370"/>
          <w:szCs w:val="36"/>
        </w:rPr>
        <w:t>-</w:t>
      </w:r>
      <w:r w:rsidRPr="00BA5AC4">
        <w:rPr>
          <w:rFonts w:eastAsia="Arial" w:cs="Arial"/>
          <w:color w:val="124370"/>
          <w:szCs w:val="36"/>
        </w:rPr>
        <w:t>back matters</w:t>
      </w:r>
      <w:bookmarkEnd w:id="275"/>
      <w:bookmarkEnd w:id="276"/>
      <w:bookmarkEnd w:id="277"/>
      <w:bookmarkEnd w:id="278"/>
    </w:p>
    <w:p w14:paraId="7CB00872" w14:textId="2D07DCD1" w:rsidR="3670368C" w:rsidRDefault="00930051" w:rsidP="00BA5AC4">
      <w:r>
        <w:t>There</w:t>
      </w:r>
      <w:r w:rsidRPr="43FC7218">
        <w:t xml:space="preserve"> is no standalone cause of action for a breach of human rights.</w:t>
      </w:r>
      <w:r>
        <w:t xml:space="preserve"> </w:t>
      </w:r>
      <w:r w:rsidR="3670368C" w:rsidRPr="43FC7218">
        <w:t>Human rights arguments can be ‘piggy</w:t>
      </w:r>
      <w:r w:rsidR="00362682">
        <w:t>-</w:t>
      </w:r>
      <w:r w:rsidR="3670368C" w:rsidRPr="43FC7218">
        <w:t xml:space="preserve">backed’ on legal proceedings against a public entity that, under a different law, allege an act or decision of the public entity was unlawful. For example, an application for judicial review of a decision made by a public entity can include a ground that the public entity breached its section 58 obligations under the </w:t>
      </w:r>
      <w:r w:rsidR="3670368C" w:rsidRPr="43FC7218">
        <w:rPr>
          <w:i/>
        </w:rPr>
        <w:t>Human Rights Act 2019</w:t>
      </w:r>
      <w:r w:rsidR="00781D2B">
        <w:t xml:space="preserve"> –</w:t>
      </w:r>
      <w:r w:rsidR="3670368C" w:rsidRPr="43FC7218">
        <w:t xml:space="preserve"> that</w:t>
      </w:r>
      <w:r w:rsidR="00781D2B">
        <w:t xml:space="preserve"> </w:t>
      </w:r>
      <w:r w:rsidR="3670368C" w:rsidRPr="43FC7218">
        <w:t xml:space="preserve">is, the decision is not compatible with human rights or proper consideration was not given to human rights. </w:t>
      </w:r>
    </w:p>
    <w:p w14:paraId="0E95A63B" w14:textId="7BD2C331" w:rsidR="3670368C" w:rsidRDefault="3670368C" w:rsidP="00BA5AC4">
      <w:r w:rsidRPr="43FC7218">
        <w:t>A person can still obtain (non-financial) relief if they successfully demonstrate a breach of section 58</w:t>
      </w:r>
      <w:r w:rsidR="5810BEBF" w:rsidRPr="43FC7218">
        <w:t xml:space="preserve"> of the </w:t>
      </w:r>
      <w:r w:rsidR="5810BEBF" w:rsidRPr="43FC7218">
        <w:rPr>
          <w:i/>
        </w:rPr>
        <w:t>Human Rights Act 2019</w:t>
      </w:r>
      <w:r w:rsidRPr="43FC7218">
        <w:t xml:space="preserve">, even if they are not successful in their primary grounds for relief. </w:t>
      </w:r>
    </w:p>
    <w:p w14:paraId="37541ED0" w14:textId="77777777" w:rsidR="00E46641" w:rsidRPr="00BA5AC4" w:rsidRDefault="74571ECB" w:rsidP="00B04FF8">
      <w:pPr>
        <w:pStyle w:val="Heading2"/>
        <w:rPr>
          <w:color w:val="124370"/>
          <w:lang w:val="en-US"/>
        </w:rPr>
      </w:pPr>
      <w:bookmarkStart w:id="279" w:name="_Toc56451574"/>
      <w:bookmarkStart w:id="280" w:name="_Toc56452148"/>
      <w:bookmarkStart w:id="281" w:name="_Toc84593876"/>
      <w:bookmarkStart w:id="282" w:name="_Toc85451749"/>
      <w:bookmarkStart w:id="283" w:name="_Toc85526679"/>
      <w:bookmarkStart w:id="284" w:name="_Toc85787094"/>
      <w:r w:rsidRPr="00BA5AC4">
        <w:rPr>
          <w:color w:val="124370"/>
          <w:lang w:val="en-US"/>
        </w:rPr>
        <w:t>Referrals to Supreme Court</w:t>
      </w:r>
      <w:bookmarkEnd w:id="279"/>
      <w:bookmarkEnd w:id="280"/>
      <w:bookmarkEnd w:id="281"/>
      <w:bookmarkEnd w:id="282"/>
      <w:bookmarkEnd w:id="283"/>
      <w:bookmarkEnd w:id="284"/>
    </w:p>
    <w:p w14:paraId="315613F0" w14:textId="2389ABF1" w:rsidR="002F4176" w:rsidRPr="008A00EB" w:rsidRDefault="002F4176" w:rsidP="00DD5474">
      <w:pPr>
        <w:rPr>
          <w:lang w:val="en-US"/>
        </w:rPr>
      </w:pPr>
      <w:r w:rsidRPr="43FC7218">
        <w:rPr>
          <w:lang w:val="en-US"/>
        </w:rPr>
        <w:t xml:space="preserve">If a question of law arises in a court or tribunal proceeding about the application of the </w:t>
      </w:r>
      <w:r w:rsidRPr="43FC7218">
        <w:rPr>
          <w:i/>
          <w:iCs/>
          <w:lang w:val="en-US"/>
        </w:rPr>
        <w:t>Human Rights Act</w:t>
      </w:r>
      <w:r w:rsidR="2D536A8B" w:rsidRPr="43FC7218">
        <w:rPr>
          <w:i/>
          <w:iCs/>
          <w:lang w:val="en-US"/>
        </w:rPr>
        <w:t xml:space="preserve"> 2019</w:t>
      </w:r>
      <w:r w:rsidRPr="43FC7218">
        <w:rPr>
          <w:lang w:val="en-US"/>
        </w:rPr>
        <w:t xml:space="preserve">, or statutory interpretation in accordance with the Act, it may be referred to the Supreme Court of Queensland. </w:t>
      </w:r>
    </w:p>
    <w:p w14:paraId="24C44204" w14:textId="57001B18" w:rsidR="00283488" w:rsidRPr="008A4362" w:rsidRDefault="00A56683" w:rsidP="43FC7218">
      <w:pPr>
        <w:rPr>
          <w:lang w:val="en-US"/>
        </w:rPr>
      </w:pPr>
      <w:r w:rsidRPr="008A4362">
        <w:rPr>
          <w:lang w:val="en-US"/>
        </w:rPr>
        <w:t xml:space="preserve">The Commission is not aware of any such referrals occurring in the financial year. </w:t>
      </w:r>
    </w:p>
    <w:p w14:paraId="040AD51A" w14:textId="77777777" w:rsidR="00642875" w:rsidRDefault="00642875">
      <w:pPr>
        <w:keepLines w:val="0"/>
        <w:widowControl/>
        <w:spacing w:line="259" w:lineRule="auto"/>
        <w:ind w:right="0"/>
        <w:rPr>
          <w:rFonts w:eastAsiaTheme="majorEastAsia" w:cstheme="majorBidi"/>
          <w:bCs/>
          <w:color w:val="124370"/>
          <w:kern w:val="36"/>
          <w:sz w:val="36"/>
          <w:szCs w:val="26"/>
          <w:lang w:eastAsia="en-AU"/>
        </w:rPr>
      </w:pPr>
      <w:bookmarkStart w:id="285" w:name="_Toc53639740"/>
      <w:bookmarkStart w:id="286" w:name="_Toc84593877"/>
      <w:bookmarkStart w:id="287" w:name="_Toc85451750"/>
      <w:bookmarkStart w:id="288" w:name="_Toc85526680"/>
      <w:bookmarkStart w:id="289" w:name="_Toc85787095"/>
      <w:r>
        <w:rPr>
          <w:color w:val="124370"/>
        </w:rPr>
        <w:br w:type="page"/>
      </w:r>
    </w:p>
    <w:p w14:paraId="4C761DEB" w14:textId="0B98E80C" w:rsidR="005B65DC" w:rsidRPr="00BA5AC4" w:rsidRDefault="005B65DC" w:rsidP="00642875">
      <w:pPr>
        <w:pStyle w:val="Heading2"/>
        <w:rPr>
          <w:color w:val="124370"/>
        </w:rPr>
      </w:pPr>
      <w:r w:rsidRPr="00BA5AC4">
        <w:rPr>
          <w:color w:val="124370"/>
        </w:rPr>
        <w:lastRenderedPageBreak/>
        <w:t>Queensland cases that have considered or mentioned the Act</w:t>
      </w:r>
      <w:bookmarkEnd w:id="285"/>
      <w:bookmarkEnd w:id="286"/>
      <w:bookmarkEnd w:id="287"/>
      <w:bookmarkEnd w:id="288"/>
      <w:bookmarkEnd w:id="289"/>
    </w:p>
    <w:p w14:paraId="1C84C3DD" w14:textId="0CA3C547" w:rsidR="005B65DC" w:rsidRDefault="005B65DC" w:rsidP="005B65DC">
      <w:r>
        <w:t xml:space="preserve">In the financial year </w:t>
      </w:r>
      <w:r w:rsidR="00D13745">
        <w:t>ending</w:t>
      </w:r>
      <w:r>
        <w:t xml:space="preserve"> 30 June 2021, Queensland courts and tribunals considered or mentioned the Act in </w:t>
      </w:r>
      <w:r w:rsidR="00D13745">
        <w:t>59</w:t>
      </w:r>
      <w:r>
        <w:t xml:space="preserve"> matters.</w:t>
      </w:r>
      <w:r w:rsidR="00766846">
        <w:t xml:space="preserve"> A detailed list of cases is available in </w:t>
      </w:r>
      <w:r w:rsidR="00766846" w:rsidRPr="00F26CC0">
        <w:rPr>
          <w:i/>
        </w:rPr>
        <w:t>Appendix A</w:t>
      </w:r>
      <w:r w:rsidR="00766846">
        <w:t>.</w:t>
      </w:r>
    </w:p>
    <w:p w14:paraId="4DEB410A" w14:textId="148FADBB" w:rsidR="00781D2B" w:rsidRDefault="00781D2B" w:rsidP="00781D2B">
      <w:pPr>
        <w:pStyle w:val="Caption"/>
      </w:pPr>
      <w:r>
        <w:t>Table</w:t>
      </w:r>
      <w:r w:rsidR="00AA1B3F">
        <w:t xml:space="preserve"> 4</w:t>
      </w:r>
      <w:r>
        <w:t>: Number of matters where Queensland courts and tribunals considered or mentioned the Human Rights Act</w:t>
      </w:r>
    </w:p>
    <w:tbl>
      <w:tblPr>
        <w:tblStyle w:val="TableGrid"/>
        <w:tblW w:w="0" w:type="auto"/>
        <w:tblBorders>
          <w:top w:val="single" w:sz="4" w:space="0" w:color="124370"/>
          <w:left w:val="none" w:sz="0" w:space="0" w:color="auto"/>
          <w:bottom w:val="single" w:sz="4" w:space="0" w:color="124370"/>
          <w:right w:val="none" w:sz="0" w:space="0" w:color="auto"/>
          <w:insideH w:val="single" w:sz="4" w:space="0" w:color="124370"/>
          <w:insideV w:val="none" w:sz="0" w:space="0" w:color="auto"/>
        </w:tblBorders>
        <w:tblLook w:val="04A0" w:firstRow="1" w:lastRow="0" w:firstColumn="1" w:lastColumn="0" w:noHBand="0" w:noVBand="1"/>
      </w:tblPr>
      <w:tblGrid>
        <w:gridCol w:w="6237"/>
        <w:gridCol w:w="1276"/>
      </w:tblGrid>
      <w:tr w:rsidR="005B65DC" w14:paraId="53E895FF" w14:textId="77777777" w:rsidTr="00BA5AC4">
        <w:trPr>
          <w:trHeight w:val="550"/>
        </w:trPr>
        <w:tc>
          <w:tcPr>
            <w:tcW w:w="6237" w:type="dxa"/>
          </w:tcPr>
          <w:p w14:paraId="2C5AB534" w14:textId="77777777" w:rsidR="005B65DC" w:rsidRPr="00BA5AC4" w:rsidRDefault="005B65DC" w:rsidP="00781D2B">
            <w:pPr>
              <w:pStyle w:val="TableTextHeading"/>
              <w:rPr>
                <w:rFonts w:cs="Arial"/>
                <w:b/>
                <w:color w:val="124370"/>
              </w:rPr>
            </w:pPr>
            <w:r w:rsidRPr="00BA5AC4">
              <w:rPr>
                <w:color w:val="124370"/>
              </w:rPr>
              <w:t>Court</w:t>
            </w:r>
          </w:p>
        </w:tc>
        <w:tc>
          <w:tcPr>
            <w:tcW w:w="1276" w:type="dxa"/>
          </w:tcPr>
          <w:p w14:paraId="2EE64B6E" w14:textId="77777777" w:rsidR="005B65DC" w:rsidRPr="00BA5AC4" w:rsidRDefault="005B65DC" w:rsidP="00781D2B">
            <w:pPr>
              <w:pStyle w:val="TableTextHeading"/>
              <w:rPr>
                <w:rFonts w:cs="Arial"/>
                <w:b/>
                <w:color w:val="124370"/>
              </w:rPr>
            </w:pPr>
            <w:r w:rsidRPr="00BA5AC4">
              <w:rPr>
                <w:color w:val="124370"/>
              </w:rPr>
              <w:t>Number</w:t>
            </w:r>
          </w:p>
        </w:tc>
      </w:tr>
      <w:tr w:rsidR="005B65DC" w14:paraId="23B44EDA" w14:textId="77777777" w:rsidTr="00BA5AC4">
        <w:tc>
          <w:tcPr>
            <w:tcW w:w="6237" w:type="dxa"/>
          </w:tcPr>
          <w:p w14:paraId="1CCF4C14" w14:textId="77777777" w:rsidR="005B65DC" w:rsidRPr="00705114" w:rsidRDefault="005B65DC" w:rsidP="00781D2B">
            <w:pPr>
              <w:pStyle w:val="TableText"/>
              <w:rPr>
                <w:rFonts w:cs="Arial"/>
                <w:shd w:val="clear" w:color="auto" w:fill="FFFFFF"/>
              </w:rPr>
            </w:pPr>
            <w:r>
              <w:rPr>
                <w:rFonts w:cs="Arial"/>
                <w:shd w:val="clear" w:color="auto" w:fill="FFFFFF"/>
              </w:rPr>
              <w:t>Court of Appeal Queensland</w:t>
            </w:r>
          </w:p>
        </w:tc>
        <w:tc>
          <w:tcPr>
            <w:tcW w:w="1276" w:type="dxa"/>
          </w:tcPr>
          <w:p w14:paraId="57A65915" w14:textId="77777777" w:rsidR="005B65DC" w:rsidRDefault="005B65DC" w:rsidP="00781D2B">
            <w:pPr>
              <w:pStyle w:val="TableText"/>
              <w:rPr>
                <w:rFonts w:cs="Arial"/>
                <w:color w:val="000000" w:themeColor="text1"/>
              </w:rPr>
            </w:pPr>
            <w:r>
              <w:rPr>
                <w:rFonts w:cs="Arial"/>
                <w:color w:val="000000" w:themeColor="text1"/>
              </w:rPr>
              <w:t>3</w:t>
            </w:r>
          </w:p>
        </w:tc>
      </w:tr>
      <w:tr w:rsidR="005B65DC" w14:paraId="323D22BD" w14:textId="77777777" w:rsidTr="00BA5AC4">
        <w:tc>
          <w:tcPr>
            <w:tcW w:w="6237" w:type="dxa"/>
          </w:tcPr>
          <w:p w14:paraId="5741BAF7" w14:textId="77777777" w:rsidR="005B65DC" w:rsidRDefault="005B65DC" w:rsidP="00781D2B">
            <w:pPr>
              <w:pStyle w:val="TableText"/>
              <w:rPr>
                <w:rFonts w:cs="Arial"/>
                <w:color w:val="000000" w:themeColor="text1"/>
              </w:rPr>
            </w:pPr>
            <w:r w:rsidRPr="00705114">
              <w:rPr>
                <w:rFonts w:cs="Arial"/>
                <w:shd w:val="clear" w:color="auto" w:fill="FFFFFF"/>
              </w:rPr>
              <w:t>Supreme Court of Queensland</w:t>
            </w:r>
          </w:p>
        </w:tc>
        <w:tc>
          <w:tcPr>
            <w:tcW w:w="1276" w:type="dxa"/>
          </w:tcPr>
          <w:p w14:paraId="0FAE714C" w14:textId="77777777" w:rsidR="005B65DC" w:rsidRDefault="005B65DC" w:rsidP="00781D2B">
            <w:pPr>
              <w:pStyle w:val="TableText"/>
              <w:rPr>
                <w:rFonts w:cs="Arial"/>
                <w:color w:val="000000" w:themeColor="text1"/>
              </w:rPr>
            </w:pPr>
            <w:r>
              <w:rPr>
                <w:rFonts w:cs="Arial"/>
                <w:color w:val="000000" w:themeColor="text1"/>
              </w:rPr>
              <w:t>13</w:t>
            </w:r>
          </w:p>
        </w:tc>
      </w:tr>
      <w:tr w:rsidR="005B65DC" w14:paraId="20547C75" w14:textId="77777777" w:rsidTr="00BA5AC4">
        <w:tc>
          <w:tcPr>
            <w:tcW w:w="6237" w:type="dxa"/>
          </w:tcPr>
          <w:p w14:paraId="6E6A73FD" w14:textId="77777777" w:rsidR="005B65DC" w:rsidRPr="00705114" w:rsidRDefault="005B65DC" w:rsidP="00781D2B">
            <w:pPr>
              <w:pStyle w:val="TableText"/>
              <w:rPr>
                <w:rFonts w:cs="Arial"/>
                <w:shd w:val="clear" w:color="auto" w:fill="FFFFFF"/>
              </w:rPr>
            </w:pPr>
            <w:r w:rsidRPr="00705114">
              <w:rPr>
                <w:rFonts w:cs="Arial"/>
                <w:shd w:val="clear" w:color="auto" w:fill="FFFFFF"/>
              </w:rPr>
              <w:t>District Court of Queensland</w:t>
            </w:r>
            <w:r>
              <w:rPr>
                <w:rFonts w:cs="Arial"/>
                <w:shd w:val="clear" w:color="auto" w:fill="FFFFFF"/>
              </w:rPr>
              <w:t xml:space="preserve"> &amp; pre-trial rulings</w:t>
            </w:r>
          </w:p>
        </w:tc>
        <w:tc>
          <w:tcPr>
            <w:tcW w:w="1276" w:type="dxa"/>
          </w:tcPr>
          <w:p w14:paraId="04F0AE1F" w14:textId="77777777" w:rsidR="005B65DC" w:rsidRPr="00705114" w:rsidRDefault="005B65DC" w:rsidP="00781D2B">
            <w:pPr>
              <w:pStyle w:val="TableText"/>
              <w:rPr>
                <w:rFonts w:cs="Arial"/>
                <w:shd w:val="clear" w:color="auto" w:fill="FFFFFF"/>
              </w:rPr>
            </w:pPr>
            <w:r>
              <w:rPr>
                <w:rFonts w:cs="Arial"/>
                <w:shd w:val="clear" w:color="auto" w:fill="FFFFFF"/>
              </w:rPr>
              <w:t>3</w:t>
            </w:r>
          </w:p>
        </w:tc>
      </w:tr>
      <w:tr w:rsidR="005B65DC" w14:paraId="64623BD1" w14:textId="77777777" w:rsidTr="00BA5AC4">
        <w:tc>
          <w:tcPr>
            <w:tcW w:w="6237" w:type="dxa"/>
          </w:tcPr>
          <w:p w14:paraId="643759E3" w14:textId="77777777" w:rsidR="005B65DC" w:rsidRPr="00705114" w:rsidRDefault="005B65DC" w:rsidP="00781D2B">
            <w:pPr>
              <w:pStyle w:val="TableText"/>
              <w:rPr>
                <w:rFonts w:cs="Arial"/>
                <w:shd w:val="clear" w:color="auto" w:fill="FFFFFF"/>
              </w:rPr>
            </w:pPr>
            <w:r>
              <w:rPr>
                <w:rFonts w:cs="Arial"/>
                <w:shd w:val="clear" w:color="auto" w:fill="FFFFFF"/>
              </w:rPr>
              <w:t xml:space="preserve">Land </w:t>
            </w:r>
            <w:r w:rsidRPr="00705114">
              <w:rPr>
                <w:rFonts w:cs="Arial"/>
                <w:shd w:val="clear" w:color="auto" w:fill="FFFFFF"/>
              </w:rPr>
              <w:t>Court of Queensland</w:t>
            </w:r>
          </w:p>
        </w:tc>
        <w:tc>
          <w:tcPr>
            <w:tcW w:w="1276" w:type="dxa"/>
          </w:tcPr>
          <w:p w14:paraId="3A803AF2" w14:textId="77777777" w:rsidR="005B65DC" w:rsidRPr="00705114" w:rsidRDefault="005B65DC" w:rsidP="00781D2B">
            <w:pPr>
              <w:pStyle w:val="TableText"/>
              <w:rPr>
                <w:rFonts w:cs="Arial"/>
                <w:shd w:val="clear" w:color="auto" w:fill="FFFFFF"/>
              </w:rPr>
            </w:pPr>
            <w:r>
              <w:rPr>
                <w:rFonts w:cs="Arial"/>
                <w:shd w:val="clear" w:color="auto" w:fill="FFFFFF"/>
              </w:rPr>
              <w:t>3</w:t>
            </w:r>
          </w:p>
        </w:tc>
      </w:tr>
      <w:tr w:rsidR="005B65DC" w14:paraId="7C786303" w14:textId="77777777" w:rsidTr="00BA5AC4">
        <w:tc>
          <w:tcPr>
            <w:tcW w:w="6237" w:type="dxa"/>
          </w:tcPr>
          <w:p w14:paraId="279D9BF7" w14:textId="77777777" w:rsidR="005B65DC" w:rsidRPr="00705114" w:rsidRDefault="005B65DC" w:rsidP="00781D2B">
            <w:pPr>
              <w:pStyle w:val="TableText"/>
              <w:rPr>
                <w:rFonts w:cs="Arial"/>
                <w:shd w:val="clear" w:color="auto" w:fill="FFFFFF"/>
              </w:rPr>
            </w:pPr>
            <w:r w:rsidRPr="00705114">
              <w:rPr>
                <w:rFonts w:cs="Arial"/>
                <w:shd w:val="clear" w:color="auto" w:fill="FFFFFF"/>
              </w:rPr>
              <w:t>Queensland Civil and Administrative Tribunal, Appeals</w:t>
            </w:r>
          </w:p>
        </w:tc>
        <w:tc>
          <w:tcPr>
            <w:tcW w:w="1276" w:type="dxa"/>
          </w:tcPr>
          <w:p w14:paraId="647520CE" w14:textId="77777777" w:rsidR="005B65DC" w:rsidRPr="00705114" w:rsidRDefault="005B65DC" w:rsidP="00781D2B">
            <w:pPr>
              <w:pStyle w:val="TableText"/>
              <w:rPr>
                <w:rFonts w:cs="Arial"/>
                <w:shd w:val="clear" w:color="auto" w:fill="FFFFFF"/>
              </w:rPr>
            </w:pPr>
            <w:r>
              <w:rPr>
                <w:rFonts w:cs="Arial"/>
                <w:shd w:val="clear" w:color="auto" w:fill="FFFFFF"/>
              </w:rPr>
              <w:t>1</w:t>
            </w:r>
          </w:p>
        </w:tc>
      </w:tr>
      <w:tr w:rsidR="005B65DC" w14:paraId="43885AF6" w14:textId="77777777" w:rsidTr="00BA5AC4">
        <w:tc>
          <w:tcPr>
            <w:tcW w:w="6237" w:type="dxa"/>
          </w:tcPr>
          <w:p w14:paraId="317B64AC" w14:textId="77777777" w:rsidR="005B65DC" w:rsidRPr="00705114" w:rsidRDefault="005B65DC" w:rsidP="00781D2B">
            <w:pPr>
              <w:pStyle w:val="TableText"/>
              <w:rPr>
                <w:rFonts w:cs="Arial"/>
                <w:shd w:val="clear" w:color="auto" w:fill="FFFFFF"/>
              </w:rPr>
            </w:pPr>
            <w:r w:rsidRPr="00705114">
              <w:rPr>
                <w:rFonts w:cs="Arial"/>
                <w:shd w:val="clear" w:color="auto" w:fill="FFFFFF"/>
              </w:rPr>
              <w:t>Queensland Civil and Administrative Tribunal</w:t>
            </w:r>
          </w:p>
        </w:tc>
        <w:tc>
          <w:tcPr>
            <w:tcW w:w="1276" w:type="dxa"/>
          </w:tcPr>
          <w:p w14:paraId="65D1FA9E" w14:textId="77777777" w:rsidR="005B65DC" w:rsidRPr="00705114" w:rsidRDefault="005B65DC" w:rsidP="00781D2B">
            <w:pPr>
              <w:pStyle w:val="TableText"/>
              <w:rPr>
                <w:rFonts w:cs="Arial"/>
                <w:shd w:val="clear" w:color="auto" w:fill="FFFFFF"/>
              </w:rPr>
            </w:pPr>
            <w:r>
              <w:rPr>
                <w:rFonts w:cs="Arial"/>
                <w:shd w:val="clear" w:color="auto" w:fill="FFFFFF"/>
              </w:rPr>
              <w:t>30</w:t>
            </w:r>
          </w:p>
        </w:tc>
      </w:tr>
      <w:tr w:rsidR="005B65DC" w14:paraId="62B0D674" w14:textId="77777777" w:rsidTr="00BA5AC4">
        <w:tc>
          <w:tcPr>
            <w:tcW w:w="6237" w:type="dxa"/>
          </w:tcPr>
          <w:p w14:paraId="611667DB" w14:textId="77777777" w:rsidR="005B65DC" w:rsidRPr="00705114" w:rsidRDefault="005B65DC" w:rsidP="00781D2B">
            <w:pPr>
              <w:pStyle w:val="TableText"/>
              <w:rPr>
                <w:rFonts w:cs="Arial"/>
                <w:shd w:val="clear" w:color="auto" w:fill="FFFFFF"/>
              </w:rPr>
            </w:pPr>
            <w:r w:rsidRPr="00705114">
              <w:rPr>
                <w:rFonts w:cs="Arial"/>
                <w:shd w:val="clear" w:color="auto" w:fill="FFFFFF"/>
              </w:rPr>
              <w:t xml:space="preserve">Queensland Industrial Relations Commission </w:t>
            </w:r>
          </w:p>
        </w:tc>
        <w:tc>
          <w:tcPr>
            <w:tcW w:w="1276" w:type="dxa"/>
          </w:tcPr>
          <w:p w14:paraId="339B2A41" w14:textId="77777777" w:rsidR="005B65DC" w:rsidRPr="00705114" w:rsidRDefault="005B65DC" w:rsidP="00781D2B">
            <w:pPr>
              <w:pStyle w:val="TableText"/>
              <w:rPr>
                <w:rFonts w:cs="Arial"/>
                <w:shd w:val="clear" w:color="auto" w:fill="FFFFFF"/>
              </w:rPr>
            </w:pPr>
            <w:r>
              <w:rPr>
                <w:rFonts w:cs="Arial"/>
                <w:shd w:val="clear" w:color="auto" w:fill="FFFFFF"/>
              </w:rPr>
              <w:t>6</w:t>
            </w:r>
          </w:p>
        </w:tc>
      </w:tr>
      <w:tr w:rsidR="005B65DC" w:rsidRPr="00781D2B" w14:paraId="143392C2" w14:textId="77777777" w:rsidTr="00BA5AC4">
        <w:tc>
          <w:tcPr>
            <w:tcW w:w="6237" w:type="dxa"/>
          </w:tcPr>
          <w:p w14:paraId="35200DFD" w14:textId="77777777" w:rsidR="005B65DC" w:rsidRPr="00781D2B" w:rsidRDefault="005B65DC" w:rsidP="00781D2B">
            <w:pPr>
              <w:pStyle w:val="TableText"/>
              <w:rPr>
                <w:b/>
                <w:shd w:val="clear" w:color="auto" w:fill="FFFFFF"/>
              </w:rPr>
            </w:pPr>
            <w:r w:rsidRPr="00781D2B">
              <w:rPr>
                <w:b/>
                <w:shd w:val="clear" w:color="auto" w:fill="FFFFFF"/>
              </w:rPr>
              <w:t>Total</w:t>
            </w:r>
          </w:p>
        </w:tc>
        <w:tc>
          <w:tcPr>
            <w:tcW w:w="1276" w:type="dxa"/>
          </w:tcPr>
          <w:p w14:paraId="29C56154" w14:textId="77777777" w:rsidR="005B65DC" w:rsidRPr="00781D2B" w:rsidRDefault="005B65DC" w:rsidP="00781D2B">
            <w:pPr>
              <w:pStyle w:val="TableText"/>
              <w:rPr>
                <w:b/>
                <w:shd w:val="clear" w:color="auto" w:fill="FFFFFF"/>
              </w:rPr>
            </w:pPr>
            <w:r w:rsidRPr="00781D2B">
              <w:rPr>
                <w:b/>
                <w:shd w:val="clear" w:color="auto" w:fill="FFFFFF"/>
              </w:rPr>
              <w:t>59</w:t>
            </w:r>
          </w:p>
        </w:tc>
      </w:tr>
    </w:tbl>
    <w:p w14:paraId="0BF18246" w14:textId="77777777" w:rsidR="00993181" w:rsidRDefault="00993181" w:rsidP="005B65DC">
      <w:pPr>
        <w:rPr>
          <w:color w:val="124370"/>
        </w:rPr>
      </w:pPr>
    </w:p>
    <w:p w14:paraId="58CD91DB" w14:textId="77777777" w:rsidR="00BA5AC4" w:rsidRDefault="00BA5AC4">
      <w:pPr>
        <w:spacing w:line="259" w:lineRule="auto"/>
        <w:ind w:right="0"/>
        <w:rPr>
          <w:rFonts w:eastAsia="Times New Roman" w:cs="Times New Roman"/>
          <w:bCs/>
          <w:color w:val="000000" w:themeColor="text1"/>
          <w:kern w:val="36"/>
          <w:sz w:val="48"/>
          <w:szCs w:val="48"/>
          <w:lang w:eastAsia="en-AU"/>
        </w:rPr>
      </w:pPr>
      <w:bookmarkStart w:id="290" w:name="_Toc84593878"/>
      <w:bookmarkStart w:id="291" w:name="_Toc85451751"/>
      <w:r>
        <w:br w:type="page"/>
      </w:r>
    </w:p>
    <w:p w14:paraId="5B87B424" w14:textId="7597BA28" w:rsidR="007E3D35" w:rsidRPr="00BA5AC4" w:rsidRDefault="116AF5D1" w:rsidP="00F75EDA">
      <w:pPr>
        <w:pStyle w:val="Heading1"/>
        <w:rPr>
          <w:color w:val="124370"/>
        </w:rPr>
      </w:pPr>
      <w:bookmarkStart w:id="292" w:name="_Toc85526681"/>
      <w:bookmarkStart w:id="293" w:name="_Toc85787096"/>
      <w:r w:rsidRPr="00BA5AC4">
        <w:rPr>
          <w:color w:val="124370"/>
        </w:rPr>
        <w:lastRenderedPageBreak/>
        <w:t xml:space="preserve">Key </w:t>
      </w:r>
      <w:r w:rsidR="00E80394" w:rsidRPr="00BA5AC4">
        <w:rPr>
          <w:color w:val="124370"/>
        </w:rPr>
        <w:t>c</w:t>
      </w:r>
      <w:r w:rsidRPr="00BA5AC4">
        <w:rPr>
          <w:color w:val="124370"/>
        </w:rPr>
        <w:t>ases</w:t>
      </w:r>
      <w:bookmarkEnd w:id="290"/>
      <w:bookmarkEnd w:id="291"/>
      <w:bookmarkEnd w:id="292"/>
      <w:bookmarkEnd w:id="293"/>
    </w:p>
    <w:p w14:paraId="4064BC0E" w14:textId="589FD967" w:rsidR="00257410" w:rsidRPr="008A00EB" w:rsidRDefault="00257410" w:rsidP="00BF6D2E">
      <w:r>
        <w:t xml:space="preserve">Cases across Queensland courts have considered the </w:t>
      </w:r>
      <w:r w:rsidRPr="43FC7218">
        <w:rPr>
          <w:i/>
          <w:iCs/>
        </w:rPr>
        <w:t>Human Rights Act</w:t>
      </w:r>
      <w:r>
        <w:t>.</w:t>
      </w:r>
      <w:r w:rsidR="005B65DC">
        <w:t xml:space="preserve"> A number of key cases from the reporting period are noted below.</w:t>
      </w:r>
    </w:p>
    <w:p w14:paraId="3F065D63" w14:textId="77777777" w:rsidR="00781D2B" w:rsidRPr="00BA5AC4" w:rsidRDefault="6B7C5D65" w:rsidP="00781D2B">
      <w:pPr>
        <w:pStyle w:val="Heading2"/>
        <w:rPr>
          <w:color w:val="124370"/>
        </w:rPr>
      </w:pPr>
      <w:bookmarkStart w:id="294" w:name="_Toc85451752"/>
      <w:bookmarkStart w:id="295" w:name="_Toc85526682"/>
      <w:bookmarkStart w:id="296" w:name="_Toc85787097"/>
      <w:r w:rsidRPr="00BA5AC4">
        <w:rPr>
          <w:color w:val="124370"/>
        </w:rPr>
        <w:t>Interpreting legislation</w:t>
      </w:r>
      <w:bookmarkEnd w:id="294"/>
      <w:bookmarkEnd w:id="295"/>
      <w:bookmarkEnd w:id="296"/>
    </w:p>
    <w:p w14:paraId="0F3C21A1" w14:textId="60BAD333" w:rsidR="6B7C5D65" w:rsidRDefault="6B7C5D65" w:rsidP="00781D2B">
      <w:r w:rsidRPr="43FC7218">
        <w:rPr>
          <w:i/>
        </w:rPr>
        <w:t xml:space="preserve">SF v Department of Education </w:t>
      </w:r>
      <w:r w:rsidRPr="43FC7218">
        <w:t>[2021] QCAT 10 involved an application of a mother</w:t>
      </w:r>
      <w:r w:rsidR="003E326B">
        <w:t>,</w:t>
      </w:r>
      <w:r w:rsidRPr="43FC7218">
        <w:t xml:space="preserve"> </w:t>
      </w:r>
      <w:r w:rsidR="003E326B">
        <w:t xml:space="preserve">who had experienced domestic violence, </w:t>
      </w:r>
      <w:r w:rsidRPr="43FC7218">
        <w:t>to home school her child</w:t>
      </w:r>
      <w:r w:rsidR="00781D2B">
        <w:t>. To</w:t>
      </w:r>
      <w:r w:rsidRPr="43FC7218">
        <w:t xml:space="preserve"> keep her family safe, she did not disclose her residential address which the Department considered was a mandatory requirement. QCAT first interpreted the relevant provisions of the </w:t>
      </w:r>
      <w:r w:rsidRPr="43FC7218">
        <w:rPr>
          <w:i/>
        </w:rPr>
        <w:t>Education (General Provisions) Act 2006</w:t>
      </w:r>
      <w:r w:rsidRPr="43FC7218">
        <w:t xml:space="preserve"> in accordance with ordinary rules of statutory interpretation. It then considered the </w:t>
      </w:r>
      <w:r w:rsidRPr="43FC7218">
        <w:rPr>
          <w:i/>
        </w:rPr>
        <w:t>Human Rights Act</w:t>
      </w:r>
      <w:r w:rsidR="7AF186B0" w:rsidRPr="43FC7218">
        <w:rPr>
          <w:i/>
        </w:rPr>
        <w:t xml:space="preserve"> 2019</w:t>
      </w:r>
      <w:r w:rsidRPr="43FC7218">
        <w:t>, concluding that an interpretation that allowed for alternative contact details, in circumstances where residential details would risk the health and safety of the family, was consistent with the overarching objects and guiding principles of the governing Act and compatible with human rights.</w:t>
      </w:r>
    </w:p>
    <w:p w14:paraId="370BABCA" w14:textId="2E6E88C5" w:rsidR="6B7C5D65" w:rsidRDefault="6B7C5D65" w:rsidP="00BA5AC4">
      <w:proofErr w:type="spellStart"/>
      <w:r w:rsidRPr="000965E2">
        <w:rPr>
          <w:i/>
        </w:rPr>
        <w:t>Taniela</w:t>
      </w:r>
      <w:proofErr w:type="spellEnd"/>
      <w:r w:rsidRPr="000965E2">
        <w:rPr>
          <w:i/>
        </w:rPr>
        <w:t xml:space="preserve"> v Australian Christian College Moreton Ltd </w:t>
      </w:r>
      <w:r w:rsidRPr="000965E2">
        <w:t>[2</w:t>
      </w:r>
      <w:r w:rsidRPr="43FC7218">
        <w:t>020] QCAT 249 concerned a complaint of discrimination on the basis of race or sex against a school wh</w:t>
      </w:r>
      <w:r w:rsidR="00F043D4">
        <w:t>ich</w:t>
      </w:r>
      <w:r w:rsidRPr="43FC7218">
        <w:t xml:space="preserve"> required a male student to cut </w:t>
      </w:r>
      <w:r w:rsidR="008A4362">
        <w:t>his</w:t>
      </w:r>
      <w:r w:rsidR="008A4362" w:rsidRPr="43FC7218">
        <w:t xml:space="preserve"> </w:t>
      </w:r>
      <w:r w:rsidRPr="43FC7218">
        <w:t xml:space="preserve">hair. In concluding that unlawful discrimination had occurred on a plain meaning of the </w:t>
      </w:r>
      <w:r w:rsidRPr="43FC7218">
        <w:rPr>
          <w:i/>
        </w:rPr>
        <w:t>Anti-Discrimination Act 1991</w:t>
      </w:r>
      <w:r w:rsidRPr="43FC7218">
        <w:t xml:space="preserve">, QCAT briefly noted that a human rights interpretation encouraged the same outcome. This matter is currently on appeal. </w:t>
      </w:r>
    </w:p>
    <w:p w14:paraId="0010E9AE" w14:textId="6181C202" w:rsidR="6B7C5D65" w:rsidRDefault="6B7C5D65" w:rsidP="00BA5AC4">
      <w:r w:rsidRPr="000965E2">
        <w:t xml:space="preserve">In </w:t>
      </w:r>
      <w:r w:rsidRPr="000965E2">
        <w:rPr>
          <w:i/>
        </w:rPr>
        <w:t xml:space="preserve">Coonan v Registrar of Births, Deaths and Marriages </w:t>
      </w:r>
      <w:r w:rsidRPr="000965E2">
        <w:t xml:space="preserve">[2020] QCAT </w:t>
      </w:r>
      <w:r w:rsidRPr="43FC7218">
        <w:t xml:space="preserve">434, QCAT considered an appeal from a decision of the Registrar of Births, Deaths and Marriages to record a </w:t>
      </w:r>
      <w:r w:rsidRPr="46408633">
        <w:t>p</w:t>
      </w:r>
      <w:r w:rsidR="1706FD88" w:rsidRPr="46408633">
        <w:t>arent</w:t>
      </w:r>
      <w:r w:rsidRPr="43FC7218">
        <w:t xml:space="preserve"> as ‘mother’ on a birth certificate, rather than as ‘father’, consistent with the </w:t>
      </w:r>
      <w:r w:rsidR="008A4362">
        <w:t>parent’s</w:t>
      </w:r>
      <w:r w:rsidR="008A4362" w:rsidRPr="43FC7218">
        <w:t xml:space="preserve"> </w:t>
      </w:r>
      <w:r w:rsidRPr="43FC7218">
        <w:t xml:space="preserve">gender identity. While the proceedings commenced before 1 January 2020 which meant the </w:t>
      </w:r>
      <w:r w:rsidRPr="43FC7218">
        <w:rPr>
          <w:i/>
        </w:rPr>
        <w:t>Human Rights Act 2019</w:t>
      </w:r>
      <w:r w:rsidRPr="43FC7218">
        <w:t xml:space="preserve"> did not apply, QCAT still noted a decision involving the application of the UK </w:t>
      </w:r>
      <w:r w:rsidRPr="43FC7218">
        <w:rPr>
          <w:i/>
        </w:rPr>
        <w:t>Human Rights Act 1998</w:t>
      </w:r>
      <w:r w:rsidRPr="43FC7218">
        <w:t xml:space="preserve"> and the rights of the child in its interpretation of the relevant law. </w:t>
      </w:r>
    </w:p>
    <w:p w14:paraId="624A4AB6" w14:textId="43C509DD" w:rsidR="6B7C5D65" w:rsidRPr="00E13A80" w:rsidRDefault="6B7C5D65" w:rsidP="00781D2B">
      <w:pPr>
        <w:pStyle w:val="Heading2"/>
        <w:rPr>
          <w:rFonts w:eastAsia="Arial"/>
          <w:color w:val="124370"/>
        </w:rPr>
      </w:pPr>
      <w:bookmarkStart w:id="297" w:name="_Toc85451753"/>
      <w:bookmarkStart w:id="298" w:name="_Toc85526683"/>
      <w:bookmarkStart w:id="299" w:name="_Toc85787098"/>
      <w:r w:rsidRPr="00E13A80">
        <w:rPr>
          <w:rFonts w:eastAsia="Arial"/>
          <w:color w:val="124370"/>
        </w:rPr>
        <w:lastRenderedPageBreak/>
        <w:t>Acting in an administrative capacity</w:t>
      </w:r>
      <w:bookmarkEnd w:id="297"/>
      <w:bookmarkEnd w:id="298"/>
      <w:bookmarkEnd w:id="299"/>
      <w:r w:rsidRPr="00E13A80">
        <w:rPr>
          <w:rFonts w:eastAsia="Arial"/>
          <w:color w:val="124370"/>
        </w:rPr>
        <w:t xml:space="preserve"> </w:t>
      </w:r>
    </w:p>
    <w:p w14:paraId="2A5AFE6B" w14:textId="78394654" w:rsidR="6B7C5D65" w:rsidRDefault="6B7C5D65" w:rsidP="00BA5AC4">
      <w:r w:rsidRPr="43FC7218">
        <w:t xml:space="preserve">The Land Court is currently considering objections to Waratah Coal Pty </w:t>
      </w:r>
      <w:proofErr w:type="spellStart"/>
      <w:r w:rsidRPr="43FC7218">
        <w:t>Ltd’s</w:t>
      </w:r>
      <w:proofErr w:type="spellEnd"/>
      <w:r w:rsidRPr="43FC7218">
        <w:t xml:space="preserve"> </w:t>
      </w:r>
      <w:r w:rsidR="0063BCC5" w:rsidRPr="43FC7218">
        <w:t xml:space="preserve">(Waratah) </w:t>
      </w:r>
      <w:r w:rsidRPr="43FC7218">
        <w:t xml:space="preserve">application for a mining lease and environmental authority to develop a coal mine. In </w:t>
      </w:r>
      <w:r w:rsidRPr="43FC7218">
        <w:rPr>
          <w:i/>
        </w:rPr>
        <w:t xml:space="preserve">Waratah Coal Pty Ltd v Youth Verdict Ltd &amp; Ors </w:t>
      </w:r>
      <w:r w:rsidRPr="43FC7218">
        <w:t xml:space="preserve">[2020] QLC 33, the Court considered Waratah’s application to strike out any objections that relied on the </w:t>
      </w:r>
      <w:r w:rsidRPr="00F043D4">
        <w:rPr>
          <w:i/>
        </w:rPr>
        <w:t>Human Rights Act 2019</w:t>
      </w:r>
      <w:r w:rsidRPr="43FC7218">
        <w:t xml:space="preserve"> due to the Court’s lack of jurisdiction to consider those objections. The parties agreed that the Land Court was a public entity acting in an administrative capacity when making recommendations under the </w:t>
      </w:r>
      <w:r w:rsidRPr="43FC7218">
        <w:rPr>
          <w:i/>
        </w:rPr>
        <w:t>Mineral Resources Act 1989</w:t>
      </w:r>
      <w:r w:rsidRPr="43FC7218">
        <w:t xml:space="preserve"> and when making an objections decision under the </w:t>
      </w:r>
      <w:r w:rsidRPr="43FC7218">
        <w:rPr>
          <w:i/>
        </w:rPr>
        <w:t>Environmental Protection Act 1994</w:t>
      </w:r>
      <w:r w:rsidRPr="43FC7218">
        <w:t>.</w:t>
      </w:r>
      <w:r w:rsidR="00197317">
        <w:t xml:space="preserve"> </w:t>
      </w:r>
      <w:r w:rsidRPr="43FC7218">
        <w:t>In accordance with the Court’s obligations as a public entity, the</w:t>
      </w:r>
      <w:r w:rsidR="261CEA27" w:rsidRPr="43FC7218">
        <w:t>ir</w:t>
      </w:r>
      <w:r w:rsidRPr="43FC7218">
        <w:t xml:space="preserve"> recommendations and objections had to be compatible with and give proper consideration to human rights. The Court dismissed the strike out application. </w:t>
      </w:r>
    </w:p>
    <w:p w14:paraId="292D44FF" w14:textId="4FFEB422" w:rsidR="6B7C5D65" w:rsidRDefault="6B7C5D65" w:rsidP="00BA5AC4">
      <w:pPr>
        <w:rPr>
          <w:i/>
        </w:rPr>
      </w:pPr>
      <w:r w:rsidRPr="43FC7218">
        <w:t>A second decision,</w:t>
      </w:r>
      <w:r w:rsidRPr="43FC7218">
        <w:rPr>
          <w:color w:val="484848"/>
          <w:sz w:val="36"/>
          <w:szCs w:val="36"/>
        </w:rPr>
        <w:t xml:space="preserve"> </w:t>
      </w:r>
      <w:r w:rsidRPr="000965E2">
        <w:rPr>
          <w:i/>
        </w:rPr>
        <w:t xml:space="preserve">Waratah Coal Pty Ltd v Youth Verdict Ltd &amp; Ors (No 2) </w:t>
      </w:r>
      <w:r w:rsidRPr="000965E2">
        <w:t>[2021] QLC 4,</w:t>
      </w:r>
      <w:r w:rsidRPr="000965E2">
        <w:rPr>
          <w:i/>
        </w:rPr>
        <w:t xml:space="preserve"> </w:t>
      </w:r>
      <w:r w:rsidRPr="000965E2">
        <w:t xml:space="preserve">related </w:t>
      </w:r>
      <w:r w:rsidRPr="43FC7218">
        <w:t xml:space="preserve">to Waratah’s 170 requests for further and better particulars from the objectors, which included objections on human rights grounds. The Department of Environment and Science, a statutory party to the proceeding, suggested there are </w:t>
      </w:r>
      <w:r w:rsidR="001D649C">
        <w:t>5</w:t>
      </w:r>
      <w:r w:rsidRPr="43FC7218">
        <w:t xml:space="preserve"> steps involved in applying human rights obligations placed on public entities under section 48: </w:t>
      </w:r>
    </w:p>
    <w:p w14:paraId="5CB886CF" w14:textId="25ED5FE2" w:rsidR="6B7C5D65" w:rsidRDefault="6B7C5D65" w:rsidP="002D2599">
      <w:pPr>
        <w:pStyle w:val="Quote"/>
        <w:numPr>
          <w:ilvl w:val="0"/>
          <w:numId w:val="31"/>
        </w:numPr>
      </w:pPr>
      <w:r w:rsidRPr="674E917E">
        <w:rPr>
          <w:b/>
        </w:rPr>
        <w:t xml:space="preserve">Section 58(1)(a) – </w:t>
      </w:r>
      <w:r w:rsidR="0CD63F51" w:rsidRPr="432F67AA">
        <w:rPr>
          <w:rFonts w:eastAsia="Arial" w:cs="Arial"/>
          <w:b/>
          <w:bCs/>
          <w:szCs w:val="22"/>
        </w:rPr>
        <w:t>‘</w:t>
      </w:r>
      <w:r w:rsidRPr="432F67AA">
        <w:rPr>
          <w:rFonts w:eastAsia="Arial" w:cs="Arial"/>
          <w:b/>
          <w:bCs/>
          <w:szCs w:val="22"/>
        </w:rPr>
        <w:t>Engagement</w:t>
      </w:r>
      <w:r w:rsidR="1B045433" w:rsidRPr="432F67AA">
        <w:rPr>
          <w:rFonts w:eastAsia="Arial" w:cs="Arial"/>
          <w:b/>
          <w:bCs/>
          <w:szCs w:val="22"/>
        </w:rPr>
        <w:t>’</w:t>
      </w:r>
      <w:r w:rsidRPr="432F67AA">
        <w:rPr>
          <w:rFonts w:eastAsia="Arial" w:cs="Arial"/>
          <w:b/>
          <w:bCs/>
          <w:szCs w:val="22"/>
        </w:rPr>
        <w:t xml:space="preserve">: </w:t>
      </w:r>
      <w:r w:rsidRPr="432F67AA">
        <w:rPr>
          <w:rFonts w:eastAsia="Arial" w:cs="Arial"/>
          <w:szCs w:val="22"/>
        </w:rPr>
        <w:t>whether the prospective decision is relevant to a human right (and which right)</w:t>
      </w:r>
      <w:r w:rsidR="69727C4C" w:rsidRPr="432F67AA">
        <w:rPr>
          <w:rFonts w:eastAsia="Arial" w:cs="Arial"/>
          <w:szCs w:val="22"/>
        </w:rPr>
        <w:t xml:space="preserve"> </w:t>
      </w:r>
      <w:r w:rsidR="2CFAF57A" w:rsidRPr="432F67AA">
        <w:rPr>
          <w:rFonts w:eastAsia="Arial" w:cs="Arial"/>
          <w:szCs w:val="22"/>
        </w:rPr>
        <w:t>….</w:t>
      </w:r>
    </w:p>
    <w:p w14:paraId="004055C4" w14:textId="4852C45E" w:rsidR="6B7C5D65" w:rsidRDefault="6B7C5D65" w:rsidP="002D2599">
      <w:pPr>
        <w:pStyle w:val="Quote"/>
        <w:numPr>
          <w:ilvl w:val="0"/>
          <w:numId w:val="31"/>
        </w:numPr>
        <w:rPr>
          <w:rFonts w:eastAsia="Arial" w:cs="Arial"/>
          <w:szCs w:val="22"/>
        </w:rPr>
      </w:pPr>
      <w:r w:rsidRPr="43FC7218">
        <w:rPr>
          <w:b/>
        </w:rPr>
        <w:t xml:space="preserve">Section 58(1)(a) – </w:t>
      </w:r>
      <w:r w:rsidR="5DA6836A" w:rsidRPr="43FC7218">
        <w:rPr>
          <w:rFonts w:eastAsia="Arial" w:cs="Arial"/>
          <w:b/>
          <w:bCs/>
          <w:szCs w:val="22"/>
        </w:rPr>
        <w:t>‘</w:t>
      </w:r>
      <w:r w:rsidRPr="43FC7218">
        <w:rPr>
          <w:rFonts w:eastAsia="Arial" w:cs="Arial"/>
          <w:b/>
          <w:bCs/>
          <w:szCs w:val="22"/>
        </w:rPr>
        <w:t>Limitation</w:t>
      </w:r>
      <w:r w:rsidR="2039688D" w:rsidRPr="43FC7218">
        <w:rPr>
          <w:rFonts w:eastAsia="Arial" w:cs="Arial"/>
          <w:b/>
          <w:bCs/>
          <w:szCs w:val="22"/>
        </w:rPr>
        <w:t>’</w:t>
      </w:r>
      <w:r w:rsidRPr="43FC7218">
        <w:rPr>
          <w:rFonts w:eastAsia="Arial" w:cs="Arial"/>
          <w:b/>
          <w:bCs/>
          <w:szCs w:val="22"/>
        </w:rPr>
        <w:t xml:space="preserve">: </w:t>
      </w:r>
      <w:r w:rsidRPr="43FC7218">
        <w:rPr>
          <w:rFonts w:eastAsia="Arial" w:cs="Arial"/>
          <w:szCs w:val="22"/>
        </w:rPr>
        <w:t>if a right is relevant, is that right limited by the decision.</w:t>
      </w:r>
      <w:r w:rsidR="5BCC936E" w:rsidRPr="43FC7218">
        <w:rPr>
          <w:rFonts w:eastAsia="Arial" w:cs="Arial"/>
          <w:szCs w:val="22"/>
        </w:rPr>
        <w:t>..</w:t>
      </w:r>
    </w:p>
    <w:p w14:paraId="6D706385" w14:textId="09301853" w:rsidR="6B7C5D65" w:rsidRDefault="6B7C5D65" w:rsidP="002D2599">
      <w:pPr>
        <w:pStyle w:val="Quote"/>
        <w:numPr>
          <w:ilvl w:val="0"/>
          <w:numId w:val="31"/>
        </w:numPr>
        <w:rPr>
          <w:rFonts w:eastAsia="Arial" w:cs="Arial"/>
          <w:szCs w:val="22"/>
        </w:rPr>
      </w:pPr>
      <w:r w:rsidRPr="43FC7218">
        <w:rPr>
          <w:b/>
        </w:rPr>
        <w:t xml:space="preserve">Section 13 – </w:t>
      </w:r>
      <w:r w:rsidR="7A1DEC9A" w:rsidRPr="43FC7218">
        <w:rPr>
          <w:rFonts w:eastAsia="Arial" w:cs="Arial"/>
          <w:b/>
          <w:bCs/>
          <w:szCs w:val="22"/>
        </w:rPr>
        <w:t>‘</w:t>
      </w:r>
      <w:r w:rsidRPr="43FC7218">
        <w:rPr>
          <w:rFonts w:eastAsia="Arial" w:cs="Arial"/>
          <w:b/>
          <w:bCs/>
          <w:szCs w:val="22"/>
        </w:rPr>
        <w:t>Justification</w:t>
      </w:r>
      <w:r w:rsidR="01741292" w:rsidRPr="43FC7218">
        <w:rPr>
          <w:rFonts w:eastAsia="Arial" w:cs="Arial"/>
          <w:b/>
          <w:bCs/>
          <w:szCs w:val="22"/>
        </w:rPr>
        <w:t>’</w:t>
      </w:r>
      <w:r w:rsidRPr="43FC7218">
        <w:rPr>
          <w:rFonts w:eastAsia="Arial" w:cs="Arial"/>
          <w:szCs w:val="22"/>
        </w:rPr>
        <w:t>: whether such limits as do exist are reasonable and can be demonstrably justified.</w:t>
      </w:r>
      <w:r w:rsidR="3ABFC22A" w:rsidRPr="43FC7218">
        <w:rPr>
          <w:rFonts w:eastAsia="Arial" w:cs="Arial"/>
          <w:szCs w:val="22"/>
        </w:rPr>
        <w:t>...</w:t>
      </w:r>
      <w:r w:rsidRPr="43FC7218">
        <w:rPr>
          <w:rFonts w:eastAsia="Arial" w:cs="Arial"/>
          <w:szCs w:val="22"/>
        </w:rPr>
        <w:t xml:space="preserve"> There are two overlapping requirements within this step’: (</w:t>
      </w:r>
      <w:proofErr w:type="spellStart"/>
      <w:r w:rsidRPr="43FC7218">
        <w:rPr>
          <w:rFonts w:eastAsia="Arial" w:cs="Arial"/>
          <w:szCs w:val="22"/>
        </w:rPr>
        <w:t>i</w:t>
      </w:r>
      <w:proofErr w:type="spellEnd"/>
      <w:r w:rsidRPr="43FC7218">
        <w:rPr>
          <w:rFonts w:eastAsia="Arial" w:cs="Arial"/>
          <w:szCs w:val="22"/>
        </w:rPr>
        <w:t xml:space="preserve">) </w:t>
      </w:r>
      <w:r w:rsidR="7B0414A9" w:rsidRPr="43FC7218">
        <w:rPr>
          <w:rFonts w:eastAsia="Arial" w:cs="Arial"/>
          <w:szCs w:val="22"/>
          <w:u w:val="single"/>
        </w:rPr>
        <w:t>L</w:t>
      </w:r>
      <w:r w:rsidRPr="43FC7218">
        <w:rPr>
          <w:rFonts w:eastAsia="Arial" w:cs="Arial"/>
          <w:szCs w:val="22"/>
          <w:u w:val="single"/>
        </w:rPr>
        <w:t>egality</w:t>
      </w:r>
      <w:r w:rsidR="598F3AB6" w:rsidRPr="43FC7218">
        <w:rPr>
          <w:rFonts w:eastAsia="Arial" w:cs="Arial"/>
          <w:szCs w:val="22"/>
        </w:rPr>
        <w:t>...</w:t>
      </w:r>
      <w:r w:rsidRPr="43FC7218">
        <w:rPr>
          <w:rFonts w:eastAsia="Arial" w:cs="Arial"/>
          <w:szCs w:val="22"/>
        </w:rPr>
        <w:t xml:space="preserve"> </w:t>
      </w:r>
      <w:r w:rsidR="4C3BC8BE" w:rsidRPr="43FC7218">
        <w:rPr>
          <w:rFonts w:eastAsia="Arial" w:cs="Arial"/>
          <w:szCs w:val="22"/>
        </w:rPr>
        <w:t>[</w:t>
      </w:r>
      <w:r w:rsidRPr="43FC7218">
        <w:rPr>
          <w:rFonts w:eastAsia="Arial" w:cs="Arial"/>
          <w:szCs w:val="22"/>
        </w:rPr>
        <w:t>and</w:t>
      </w:r>
      <w:r w:rsidR="16D887CA" w:rsidRPr="43FC7218">
        <w:rPr>
          <w:rFonts w:eastAsia="Arial" w:cs="Arial"/>
          <w:szCs w:val="22"/>
        </w:rPr>
        <w:t>]</w:t>
      </w:r>
      <w:r w:rsidRPr="43FC7218">
        <w:rPr>
          <w:rFonts w:eastAsia="Arial" w:cs="Arial"/>
          <w:szCs w:val="22"/>
        </w:rPr>
        <w:t xml:space="preserve"> (ii) </w:t>
      </w:r>
      <w:r w:rsidRPr="43FC7218">
        <w:rPr>
          <w:rFonts w:eastAsia="Arial" w:cs="Arial"/>
          <w:szCs w:val="22"/>
          <w:u w:val="single"/>
        </w:rPr>
        <w:t>proportionality</w:t>
      </w:r>
      <w:r w:rsidR="4E3DB363" w:rsidRPr="43FC7218">
        <w:rPr>
          <w:rFonts w:eastAsia="Arial" w:cs="Arial"/>
          <w:szCs w:val="22"/>
        </w:rPr>
        <w:t>...</w:t>
      </w:r>
    </w:p>
    <w:p w14:paraId="296153F7" w14:textId="5E3BE70F" w:rsidR="6B7C5D65" w:rsidRDefault="6B7C5D65" w:rsidP="002D2599">
      <w:pPr>
        <w:pStyle w:val="Quote"/>
        <w:numPr>
          <w:ilvl w:val="0"/>
          <w:numId w:val="31"/>
        </w:numPr>
        <w:rPr>
          <w:rFonts w:eastAsia="Arial" w:cs="Arial"/>
          <w:szCs w:val="22"/>
        </w:rPr>
      </w:pPr>
      <w:r w:rsidRPr="43FC7218">
        <w:rPr>
          <w:b/>
        </w:rPr>
        <w:t xml:space="preserve">Section 58(1)(b) – </w:t>
      </w:r>
      <w:r w:rsidR="1E849C75" w:rsidRPr="43FC7218">
        <w:rPr>
          <w:rFonts w:eastAsia="Arial" w:cs="Arial"/>
          <w:b/>
          <w:bCs/>
          <w:szCs w:val="22"/>
        </w:rPr>
        <w:t>‘</w:t>
      </w:r>
      <w:r w:rsidRPr="43FC7218">
        <w:rPr>
          <w:rFonts w:eastAsia="Arial" w:cs="Arial"/>
          <w:b/>
          <w:bCs/>
          <w:szCs w:val="22"/>
        </w:rPr>
        <w:t>Proper consideration</w:t>
      </w:r>
      <w:r w:rsidR="0CF75F5D" w:rsidRPr="43FC7218">
        <w:rPr>
          <w:rFonts w:eastAsia="Arial" w:cs="Arial"/>
          <w:b/>
          <w:bCs/>
          <w:szCs w:val="22"/>
        </w:rPr>
        <w:t>’</w:t>
      </w:r>
      <w:r w:rsidRPr="43FC7218">
        <w:rPr>
          <w:rFonts w:eastAsia="Arial" w:cs="Arial"/>
          <w:szCs w:val="22"/>
        </w:rPr>
        <w:t>: even if the limits be lawful and proportionate, the decision made must give proper consideration to the rights said to be engaged;</w:t>
      </w:r>
    </w:p>
    <w:p w14:paraId="271CED31" w14:textId="15BDF266" w:rsidR="6B7C5D65" w:rsidRDefault="6B7C5D65" w:rsidP="002D2599">
      <w:pPr>
        <w:pStyle w:val="Quote"/>
        <w:numPr>
          <w:ilvl w:val="0"/>
          <w:numId w:val="31"/>
        </w:numPr>
      </w:pPr>
      <w:r w:rsidRPr="43FC7218">
        <w:rPr>
          <w:b/>
        </w:rPr>
        <w:t xml:space="preserve">Section 58(2)- </w:t>
      </w:r>
      <w:r w:rsidR="7173DA73" w:rsidRPr="43FC7218">
        <w:rPr>
          <w:b/>
        </w:rPr>
        <w:t>‘</w:t>
      </w:r>
      <w:r w:rsidRPr="43FC7218">
        <w:rPr>
          <w:b/>
        </w:rPr>
        <w:t>Inevitable infringement</w:t>
      </w:r>
      <w:r w:rsidR="0A2009B4" w:rsidRPr="43FC7218">
        <w:rPr>
          <w:b/>
        </w:rPr>
        <w:t>’</w:t>
      </w:r>
      <w:r w:rsidRPr="43FC7218">
        <w:t>: this operates where the public entity could not reasonably act differently or make a different decision because of a statutory provision or under law.</w:t>
      </w:r>
      <w:r w:rsidRPr="43FC7218">
        <w:rPr>
          <w:rStyle w:val="FootnoteReference"/>
          <w:rFonts w:eastAsia="Arial" w:cs="Arial"/>
          <w:szCs w:val="22"/>
        </w:rPr>
        <w:footnoteReference w:id="68"/>
      </w:r>
    </w:p>
    <w:p w14:paraId="4831EA3B" w14:textId="4946244D" w:rsidR="00033E28" w:rsidRPr="00033E28" w:rsidRDefault="6B7C5D65" w:rsidP="00033E28">
      <w:r w:rsidRPr="43FC7218">
        <w:t>The Court found that the objectors only had to respond to one of Waratah’s request</w:t>
      </w:r>
      <w:r w:rsidR="008A4362">
        <w:t>s</w:t>
      </w:r>
      <w:r w:rsidRPr="43FC7218">
        <w:t xml:space="preserve">, and that otherwise sufficient detail had been provided for Waratah to choose and brief its expert witnesses. </w:t>
      </w:r>
    </w:p>
    <w:p w14:paraId="3BD526A3" w14:textId="25F82E9A" w:rsidR="3BA7EB62" w:rsidRDefault="5543B859" w:rsidP="00F7022D">
      <w:pPr>
        <w:spacing w:line="257" w:lineRule="auto"/>
        <w:rPr>
          <w:rFonts w:eastAsia="Arial" w:cs="Arial"/>
          <w:color w:val="000000" w:themeColor="text1"/>
          <w:lang w:val="en"/>
        </w:rPr>
      </w:pPr>
      <w:r w:rsidRPr="3BA7EB62">
        <w:rPr>
          <w:rFonts w:eastAsia="Arial" w:cs="Arial"/>
          <w:color w:val="333333"/>
        </w:rPr>
        <w:lastRenderedPageBreak/>
        <w:t xml:space="preserve">In </w:t>
      </w:r>
      <w:r w:rsidRPr="3BA7EB62">
        <w:rPr>
          <w:rFonts w:eastAsia="Arial" w:cs="Arial"/>
          <w:i/>
          <w:iCs/>
        </w:rPr>
        <w:t>Attorney-General for the State of Queensland v GLH</w:t>
      </w:r>
      <w:r w:rsidRPr="3BA7EB62">
        <w:rPr>
          <w:rFonts w:eastAsia="Arial" w:cs="Arial"/>
        </w:rPr>
        <w:t xml:space="preserve"> [2021] QMHC 4, the Mental Health Court found the regime established by the </w:t>
      </w:r>
      <w:r w:rsidRPr="3BA7EB62">
        <w:rPr>
          <w:rFonts w:eastAsia="Arial" w:cs="Arial"/>
          <w:i/>
          <w:iCs/>
        </w:rPr>
        <w:t>Mental Health Act 2016</w:t>
      </w:r>
      <w:r w:rsidRPr="3BA7EB62">
        <w:rPr>
          <w:rFonts w:eastAsia="Arial" w:cs="Arial"/>
        </w:rPr>
        <w:t xml:space="preserve"> to be compatible with the </w:t>
      </w:r>
      <w:r w:rsidRPr="3BA7EB62">
        <w:rPr>
          <w:rFonts w:eastAsia="Arial" w:cs="Arial"/>
          <w:i/>
          <w:iCs/>
        </w:rPr>
        <w:t>Human Rights Act 2019</w:t>
      </w:r>
      <w:r w:rsidRPr="3BA7EB62">
        <w:rPr>
          <w:rFonts w:eastAsia="Arial" w:cs="Arial"/>
        </w:rPr>
        <w:t xml:space="preserve">. Accordingly, any condition imposed on a forensic order must be </w:t>
      </w:r>
      <w:r w:rsidR="00F65A0A">
        <w:rPr>
          <w:rFonts w:eastAsia="Arial" w:cs="Arial"/>
        </w:rPr>
        <w:t xml:space="preserve">the </w:t>
      </w:r>
      <w:r w:rsidRPr="3BA7EB62">
        <w:rPr>
          <w:rFonts w:eastAsia="Arial" w:cs="Arial"/>
        </w:rPr>
        <w:t>least restrictive of rights, and only to the extent necessary to address an unacceptable risk to safety. The Court</w:t>
      </w:r>
      <w:r w:rsidR="4E5DCB50" w:rsidRPr="70E0FC8A">
        <w:rPr>
          <w:rFonts w:eastAsia="Arial" w:cs="Arial"/>
        </w:rPr>
        <w:t xml:space="preserve"> further</w:t>
      </w:r>
      <w:r w:rsidRPr="3BA7EB62">
        <w:rPr>
          <w:rFonts w:eastAsia="Arial" w:cs="Arial"/>
        </w:rPr>
        <w:t xml:space="preserve"> considered the interaction between human rights and the evaluation of unacceptable risk</w:t>
      </w:r>
      <w:r w:rsidR="524C5772" w:rsidRPr="7D811468">
        <w:rPr>
          <w:rFonts w:eastAsia="Arial" w:cs="Arial"/>
        </w:rPr>
        <w:t>.</w:t>
      </w:r>
      <w:r w:rsidRPr="3BA7EB62">
        <w:rPr>
          <w:rFonts w:eastAsia="Arial" w:cs="Arial"/>
        </w:rPr>
        <w:t xml:space="preserve"> </w:t>
      </w:r>
      <w:r w:rsidRPr="3BA7EB62">
        <w:rPr>
          <w:rFonts w:eastAsia="Arial" w:cs="Arial"/>
          <w:color w:val="000000" w:themeColor="text1"/>
          <w:lang w:val="en"/>
        </w:rPr>
        <w:t xml:space="preserve">The decision also records the </w:t>
      </w:r>
      <w:r w:rsidR="3949EF5E" w:rsidRPr="72E8CA94">
        <w:rPr>
          <w:rFonts w:eastAsia="Arial" w:cs="Arial"/>
          <w:color w:val="000000" w:themeColor="text1"/>
          <w:lang w:val="en"/>
        </w:rPr>
        <w:t>reasons</w:t>
      </w:r>
      <w:r w:rsidRPr="3BA7EB62">
        <w:rPr>
          <w:rFonts w:eastAsia="Arial" w:cs="Arial"/>
          <w:color w:val="000000" w:themeColor="text1"/>
          <w:lang w:val="en"/>
        </w:rPr>
        <w:t xml:space="preserve"> of the Mental Health Review Tribunal</w:t>
      </w:r>
      <w:r w:rsidR="2F4D14CA" w:rsidRPr="72E8CA94">
        <w:rPr>
          <w:rFonts w:eastAsia="Arial" w:cs="Arial"/>
          <w:color w:val="000000" w:themeColor="text1"/>
          <w:lang w:val="en"/>
        </w:rPr>
        <w:t xml:space="preserve"> below</w:t>
      </w:r>
      <w:r w:rsidRPr="3BA7EB62">
        <w:rPr>
          <w:rFonts w:eastAsia="Arial" w:cs="Arial"/>
          <w:color w:val="000000" w:themeColor="text1"/>
          <w:lang w:val="en"/>
        </w:rPr>
        <w:t>, and its deliberation of human rights, which was ultimately confirmed.</w:t>
      </w:r>
    </w:p>
    <w:p w14:paraId="3CC100A4" w14:textId="640EF199" w:rsidR="6B7C5D65" w:rsidRPr="00E13A80" w:rsidRDefault="6B7C5D65" w:rsidP="00781D2B">
      <w:pPr>
        <w:pStyle w:val="Heading2"/>
        <w:rPr>
          <w:color w:val="124370"/>
        </w:rPr>
      </w:pPr>
      <w:bookmarkStart w:id="300" w:name="_Toc85451754"/>
      <w:bookmarkStart w:id="301" w:name="_Toc85526684"/>
      <w:bookmarkStart w:id="302" w:name="_Toc85787099"/>
      <w:r w:rsidRPr="00E13A80">
        <w:rPr>
          <w:rFonts w:eastAsia="Arial"/>
          <w:color w:val="124370"/>
        </w:rPr>
        <w:t>Direct application</w:t>
      </w:r>
      <w:bookmarkEnd w:id="300"/>
      <w:bookmarkEnd w:id="301"/>
      <w:bookmarkEnd w:id="302"/>
    </w:p>
    <w:p w14:paraId="0FE3870A" w14:textId="581E98FB" w:rsidR="6B7C5D65" w:rsidRDefault="6B7C5D65" w:rsidP="00E13A80">
      <w:r w:rsidRPr="008A4362">
        <w:t xml:space="preserve">The Supreme Court in </w:t>
      </w:r>
      <w:r w:rsidRPr="008A4362">
        <w:rPr>
          <w:i/>
        </w:rPr>
        <w:t xml:space="preserve">Innes v Electoral Commission of Queensland &amp; Anor (No 2) </w:t>
      </w:r>
      <w:r w:rsidRPr="008A4362">
        <w:t xml:space="preserve">[2020] QSC 293 considered the direct application of the right to take </w:t>
      </w:r>
      <w:r w:rsidRPr="43FC7218">
        <w:t xml:space="preserve">part in public life to the Court of Disputed Returns, as well as the application of human rights to statutory interpretation where there is no ambiguity. However, the court did not consider the case was ‘an appropriate vehicle for reaching solid conclusions about the operation of the HR Act in Queensland’. </w:t>
      </w:r>
    </w:p>
    <w:p w14:paraId="3DE79932" w14:textId="22E706D7" w:rsidR="6B7C5D65" w:rsidRPr="00E13A80" w:rsidRDefault="6B7C5D65" w:rsidP="00781D2B">
      <w:pPr>
        <w:pStyle w:val="Heading2"/>
        <w:rPr>
          <w:color w:val="124370"/>
        </w:rPr>
      </w:pPr>
      <w:bookmarkStart w:id="303" w:name="_Toc85451755"/>
      <w:bookmarkStart w:id="304" w:name="_Toc85526685"/>
      <w:bookmarkStart w:id="305" w:name="_Toc85787100"/>
      <w:r w:rsidRPr="00E13A80">
        <w:rPr>
          <w:rFonts w:eastAsia="Arial"/>
          <w:color w:val="124370"/>
        </w:rPr>
        <w:t>Discussion of particular rights</w:t>
      </w:r>
      <w:bookmarkEnd w:id="303"/>
      <w:bookmarkEnd w:id="304"/>
      <w:bookmarkEnd w:id="305"/>
    </w:p>
    <w:p w14:paraId="15DCA32B" w14:textId="7892329A" w:rsidR="6B7C5D65" w:rsidRDefault="00D96D65" w:rsidP="00E13A80">
      <w:r>
        <w:t>I</w:t>
      </w:r>
      <w:r w:rsidRPr="43FC7218">
        <w:t xml:space="preserve">n </w:t>
      </w:r>
      <w:r w:rsidRPr="43FC7218">
        <w:rPr>
          <w:i/>
        </w:rPr>
        <w:t>Attorney-General for the State of Queensland v Sri &amp; Ors</w:t>
      </w:r>
      <w:r w:rsidRPr="43FC7218">
        <w:t xml:space="preserve"> [2020] QSC 246</w:t>
      </w:r>
      <w:r>
        <w:t>, t</w:t>
      </w:r>
      <w:r w:rsidR="6B7C5D65" w:rsidRPr="43FC7218">
        <w:t xml:space="preserve">he Supreme Court considered human rights in an application for a mandatory injunction to prevent a </w:t>
      </w:r>
      <w:r w:rsidR="005D6D6C">
        <w:t xml:space="preserve">planned </w:t>
      </w:r>
      <w:r w:rsidR="00A96A88">
        <w:t xml:space="preserve">protest which involved the </w:t>
      </w:r>
      <w:r w:rsidR="005D6D6C">
        <w:t>blockade of Brisbane’s Storey Bridge</w:t>
      </w:r>
      <w:r w:rsidR="6B7C5D65" w:rsidRPr="43FC7218">
        <w:t xml:space="preserve">. </w:t>
      </w:r>
      <w:r w:rsidR="00D95AE5" w:rsidRPr="43FC7218">
        <w:t xml:space="preserve">The Commission intervened in these </w:t>
      </w:r>
      <w:r w:rsidR="003E395B" w:rsidRPr="43FC7218">
        <w:t>proceedings. The</w:t>
      </w:r>
      <w:r w:rsidR="6B7C5D65" w:rsidRPr="43FC7218">
        <w:t xml:space="preserve"> court </w:t>
      </w:r>
      <w:r w:rsidR="00D95AE5">
        <w:t>decided</w:t>
      </w:r>
      <w:r w:rsidR="00D95AE5" w:rsidRPr="43FC7218">
        <w:t xml:space="preserve"> </w:t>
      </w:r>
      <w:r w:rsidR="6B7C5D65" w:rsidRPr="43FC7218">
        <w:t xml:space="preserve">that limiting the rights of freedom of movement of the broader community outweighed the rights of the protestors to peaceful assembly and freedom of expression, and it was therefore appropriate to make the injunction. </w:t>
      </w:r>
    </w:p>
    <w:p w14:paraId="69250EF8" w14:textId="31A5CEB4" w:rsidR="6B7C5D65" w:rsidRDefault="6B7C5D65" w:rsidP="00E13A80">
      <w:proofErr w:type="spellStart"/>
      <w:r w:rsidRPr="43FC7218">
        <w:rPr>
          <w:i/>
        </w:rPr>
        <w:t>Fernwood</w:t>
      </w:r>
      <w:proofErr w:type="spellEnd"/>
      <w:r w:rsidRPr="43FC7218">
        <w:rPr>
          <w:i/>
        </w:rPr>
        <w:t xml:space="preserve"> </w:t>
      </w:r>
      <w:proofErr w:type="spellStart"/>
      <w:r w:rsidRPr="43FC7218">
        <w:rPr>
          <w:i/>
        </w:rPr>
        <w:t>Womens</w:t>
      </w:r>
      <w:proofErr w:type="spellEnd"/>
      <w:r w:rsidRPr="43FC7218">
        <w:rPr>
          <w:i/>
        </w:rPr>
        <w:t xml:space="preserve"> Health Clubs (Australia) Pty Ltd </w:t>
      </w:r>
      <w:r w:rsidRPr="43FC7218">
        <w:t xml:space="preserve">[2021] QCAT 164 and </w:t>
      </w:r>
      <w:r w:rsidRPr="43FC7218">
        <w:rPr>
          <w:i/>
        </w:rPr>
        <w:t>Re Ipswich City Council</w:t>
      </w:r>
      <w:r w:rsidRPr="43FC7218">
        <w:t xml:space="preserve"> [2020] QIRC 194 concerned applications for exemptions under the </w:t>
      </w:r>
      <w:r w:rsidRPr="43FC7218">
        <w:rPr>
          <w:i/>
        </w:rPr>
        <w:t>Anti-Discrimination Act 1991</w:t>
      </w:r>
      <w:r w:rsidRPr="43FC7218">
        <w:t xml:space="preserve">. In both cases, QCAT held that it was acting in an administrative capacity and was therefore a public entity with obligations under the </w:t>
      </w:r>
      <w:r w:rsidRPr="43FC7218">
        <w:rPr>
          <w:i/>
        </w:rPr>
        <w:t xml:space="preserve">Human Rights Act </w:t>
      </w:r>
      <w:r w:rsidR="00F043D4">
        <w:rPr>
          <w:i/>
        </w:rPr>
        <w:t>2019.</w:t>
      </w:r>
      <w:r w:rsidRPr="43FC7218">
        <w:t xml:space="preserve"> In making </w:t>
      </w:r>
      <w:r w:rsidR="322D9F53" w:rsidRPr="43FC7218">
        <w:t>its</w:t>
      </w:r>
      <w:r w:rsidRPr="43FC7218">
        <w:t xml:space="preserve"> decisions, QCAT considered the right to equality, and in particular the provision that measures taken for the purpose of assisting or advancing a disadvantaged group does not constitute discrimination. </w:t>
      </w:r>
    </w:p>
    <w:p w14:paraId="034970FD" w14:textId="3935BE26" w:rsidR="6B7C5D65" w:rsidRDefault="6B7C5D65" w:rsidP="00E13A80">
      <w:r w:rsidRPr="43FC7218">
        <w:lastRenderedPageBreak/>
        <w:t xml:space="preserve">In </w:t>
      </w:r>
      <w:r w:rsidRPr="43FC7218">
        <w:rPr>
          <w:i/>
        </w:rPr>
        <w:t xml:space="preserve">TRE v Director-General, Department of Justice and Attorney-General </w:t>
      </w:r>
      <w:r w:rsidRPr="43FC7218">
        <w:t xml:space="preserve">[2020] QCAT 306, QCAT reiterated its obligations in reviewing </w:t>
      </w:r>
      <w:r w:rsidR="00441FCC">
        <w:t>B</w:t>
      </w:r>
      <w:r w:rsidRPr="43FC7218">
        <w:t xml:space="preserve">lue </w:t>
      </w:r>
      <w:r w:rsidR="00441FCC">
        <w:t>C</w:t>
      </w:r>
      <w:r w:rsidRPr="43FC7218">
        <w:t xml:space="preserve">ard decisions to both interpret legislation compatibly with human rights as well as comply with human rights obligations as a public entity. TRE alleged that refusing her a positive notice and </w:t>
      </w:r>
      <w:r w:rsidR="00376F23">
        <w:t>B</w:t>
      </w:r>
      <w:r w:rsidR="00376F23" w:rsidRPr="43FC7218">
        <w:t xml:space="preserve">lue </w:t>
      </w:r>
      <w:r w:rsidR="00376F23">
        <w:t>C</w:t>
      </w:r>
      <w:r w:rsidRPr="43FC7218">
        <w:t xml:space="preserve">ard would contravene her right not to be tried or punished more than once. QCAT noted that the purpose of the review was not to impose additional punishment on TRE, but rather to protect children. In both this case and an earlier case of </w:t>
      </w:r>
      <w:r w:rsidRPr="43FC7218">
        <w:rPr>
          <w:i/>
        </w:rPr>
        <w:t>HAP v Director-General, Department of Justice and Attorney-General</w:t>
      </w:r>
      <w:r w:rsidRPr="43FC7218">
        <w:t xml:space="preserve"> [2020] QCAT 273, QCAT </w:t>
      </w:r>
      <w:r w:rsidR="05371746" w:rsidRPr="43FC7218">
        <w:t xml:space="preserve">emphasised </w:t>
      </w:r>
      <w:r w:rsidRPr="43FC7218">
        <w:t xml:space="preserve">the rights of children to protection, and </w:t>
      </w:r>
      <w:r w:rsidR="17E6A850" w:rsidRPr="43FC7218">
        <w:t xml:space="preserve">noted </w:t>
      </w:r>
      <w:r w:rsidRPr="43FC7218">
        <w:t xml:space="preserve">that once issued, </w:t>
      </w:r>
      <w:r w:rsidR="0054473C">
        <w:t>B</w:t>
      </w:r>
      <w:r w:rsidR="0054473C" w:rsidRPr="43FC7218">
        <w:t xml:space="preserve">lue </w:t>
      </w:r>
      <w:r w:rsidR="0054473C">
        <w:t>C</w:t>
      </w:r>
      <w:r w:rsidR="0054473C" w:rsidRPr="43FC7218">
        <w:t xml:space="preserve">ards </w:t>
      </w:r>
      <w:r w:rsidRPr="43FC7218">
        <w:t xml:space="preserve">are unconditional and fully transferable across a range of employment and business. </w:t>
      </w:r>
    </w:p>
    <w:p w14:paraId="19981359" w14:textId="5B7B7A69" w:rsidR="6B7C5D65" w:rsidRDefault="6B7C5D65" w:rsidP="00E13A80">
      <w:r w:rsidRPr="43FC7218">
        <w:t xml:space="preserve">In </w:t>
      </w:r>
      <w:r w:rsidRPr="43FC7218">
        <w:rPr>
          <w:i/>
        </w:rPr>
        <w:t>Mohr-Edgar v State of Queensland (Legal Aid Queensland)</w:t>
      </w:r>
      <w:r w:rsidRPr="43FC7218">
        <w:t xml:space="preserve"> [2020] QIRC 136, Legal Aid Queensland applied to suppress </w:t>
      </w:r>
      <w:r w:rsidR="0EC9DC4F" w:rsidRPr="43FC7218">
        <w:t xml:space="preserve">the </w:t>
      </w:r>
      <w:r w:rsidRPr="43FC7218">
        <w:t>names</w:t>
      </w:r>
      <w:r w:rsidR="0721DAF4" w:rsidRPr="43FC7218">
        <w:t xml:space="preserve"> of employees wh</w:t>
      </w:r>
      <w:r w:rsidR="7A65498D" w:rsidRPr="43FC7218">
        <w:t xml:space="preserve">o had been identified </w:t>
      </w:r>
      <w:r w:rsidR="4125C6DA" w:rsidRPr="43FC7218">
        <w:t xml:space="preserve">by the complainant </w:t>
      </w:r>
      <w:r w:rsidR="0721DAF4" w:rsidRPr="43FC7218">
        <w:t xml:space="preserve">in allegations before the </w:t>
      </w:r>
      <w:r w:rsidR="0721DAF4" w:rsidRPr="46408633">
        <w:t>Q</w:t>
      </w:r>
      <w:r w:rsidR="1A332C2D" w:rsidRPr="46408633">
        <w:t xml:space="preserve">ueensland </w:t>
      </w:r>
      <w:r w:rsidR="0721DAF4" w:rsidRPr="46408633">
        <w:t>I</w:t>
      </w:r>
      <w:r w:rsidR="6824CE22" w:rsidRPr="46408633">
        <w:t xml:space="preserve">ndustrial </w:t>
      </w:r>
      <w:r w:rsidR="49E8A016" w:rsidRPr="2521C7A1">
        <w:t>Relations</w:t>
      </w:r>
      <w:r w:rsidR="47074446" w:rsidRPr="46408633">
        <w:t xml:space="preserve"> </w:t>
      </w:r>
      <w:r w:rsidR="0721DAF4" w:rsidRPr="46408633">
        <w:t>C</w:t>
      </w:r>
      <w:r w:rsidR="459C0BB5" w:rsidRPr="46408633">
        <w:t>ommission (</w:t>
      </w:r>
      <w:r w:rsidR="0721DAF4" w:rsidRPr="43FC7218">
        <w:t>QIRC</w:t>
      </w:r>
      <w:r w:rsidR="459C0BB5" w:rsidRPr="46408633">
        <w:t>)</w:t>
      </w:r>
      <w:r w:rsidR="0721DAF4" w:rsidRPr="46408633">
        <w:t>.</w:t>
      </w:r>
      <w:r w:rsidR="23AEA0E4" w:rsidRPr="43FC7218">
        <w:t xml:space="preserve"> Legal Aid Queensland’s grounds included </w:t>
      </w:r>
      <w:r w:rsidRPr="43FC7218">
        <w:t>that the</w:t>
      </w:r>
      <w:r w:rsidR="50943316" w:rsidRPr="43FC7218">
        <w:t xml:space="preserve"> publication of the names </w:t>
      </w:r>
      <w:r w:rsidRPr="43FC7218">
        <w:t>would limit the</w:t>
      </w:r>
      <w:r w:rsidR="3BC7198C" w:rsidRPr="43FC7218">
        <w:t xml:space="preserve"> employees’ </w:t>
      </w:r>
      <w:r w:rsidRPr="43FC7218">
        <w:t xml:space="preserve">right to privacy and reputation. The </w:t>
      </w:r>
      <w:r w:rsidR="00D94000">
        <w:t>QIRC</w:t>
      </w:r>
      <w:r w:rsidR="0054473C" w:rsidRPr="43FC7218">
        <w:t xml:space="preserve"> </w:t>
      </w:r>
      <w:r w:rsidRPr="43FC7218">
        <w:t xml:space="preserve">dismissed the application, noting </w:t>
      </w:r>
      <w:r w:rsidR="7B533683" w:rsidRPr="43FC7218">
        <w:t xml:space="preserve">that </w:t>
      </w:r>
      <w:r w:rsidRPr="43FC7218">
        <w:t xml:space="preserve">there was nothing unlawful or arbitrary about the complainant’s approach and therefore the right to privacy and reputation did not lead to a conclusion that the orders should be made. The </w:t>
      </w:r>
      <w:r w:rsidR="00D94000">
        <w:t>QIRC</w:t>
      </w:r>
      <w:r w:rsidR="00D94000" w:rsidRPr="43FC7218">
        <w:t xml:space="preserve"> </w:t>
      </w:r>
      <w:r w:rsidRPr="43FC7218">
        <w:t>also considered the fundamental principle of open justice</w:t>
      </w:r>
      <w:r w:rsidR="00D94000">
        <w:t xml:space="preserve"> in making the decision</w:t>
      </w:r>
      <w:r w:rsidRPr="43FC7218">
        <w:t>.</w:t>
      </w:r>
    </w:p>
    <w:p w14:paraId="7056A007" w14:textId="64BB9C01" w:rsidR="6B7C5D65" w:rsidRDefault="6B7C5D65" w:rsidP="00E13A80">
      <w:r w:rsidRPr="43FC7218">
        <w:t xml:space="preserve">In </w:t>
      </w:r>
      <w:r w:rsidRPr="43FC7218">
        <w:rPr>
          <w:i/>
        </w:rPr>
        <w:t>MJP</w:t>
      </w:r>
      <w:r w:rsidRPr="43FC7218">
        <w:t xml:space="preserve"> [2020] QCAT 253, QCAT considered rights to freedom of movement, to privacy, and to not be subjected to medical treatment without his free and informed consent relevant to its decision to appoint a MJP a guardian. In circumstances where MJP was found not to have capacity to make the relevant decisions, any limitation of rights was reasonable and justified, and consistent with MJP’s dignity that these fundamental and important life decisions be made.</w:t>
      </w:r>
    </w:p>
    <w:p w14:paraId="0C5CCFA6" w14:textId="4D0B4E5B" w:rsidR="00D94000" w:rsidRPr="00E13A80" w:rsidRDefault="00D94000" w:rsidP="00781D2B">
      <w:pPr>
        <w:pStyle w:val="Heading2"/>
        <w:rPr>
          <w:rFonts w:eastAsia="Arial"/>
          <w:color w:val="124370"/>
        </w:rPr>
      </w:pPr>
      <w:bookmarkStart w:id="306" w:name="_Toc85451756"/>
      <w:bookmarkStart w:id="307" w:name="_Toc85526686"/>
      <w:bookmarkStart w:id="308" w:name="_Toc85787101"/>
      <w:r w:rsidRPr="00E13A80">
        <w:rPr>
          <w:rFonts w:eastAsia="Arial"/>
          <w:color w:val="124370"/>
        </w:rPr>
        <w:t xml:space="preserve">Human </w:t>
      </w:r>
      <w:r w:rsidR="00D27254" w:rsidRPr="00E13A80">
        <w:rPr>
          <w:rFonts w:eastAsia="Arial"/>
          <w:color w:val="124370"/>
        </w:rPr>
        <w:t>R</w:t>
      </w:r>
      <w:r w:rsidRPr="00E13A80">
        <w:rPr>
          <w:rFonts w:eastAsia="Arial"/>
          <w:color w:val="124370"/>
        </w:rPr>
        <w:t xml:space="preserve">ights </w:t>
      </w:r>
      <w:r w:rsidR="00D27254" w:rsidRPr="00E13A80">
        <w:rPr>
          <w:rFonts w:eastAsia="Arial"/>
          <w:color w:val="124370"/>
        </w:rPr>
        <w:t>C</w:t>
      </w:r>
      <w:r w:rsidRPr="00E13A80">
        <w:rPr>
          <w:rFonts w:eastAsia="Arial"/>
          <w:color w:val="124370"/>
        </w:rPr>
        <w:t xml:space="preserve">ase </w:t>
      </w:r>
      <w:r w:rsidR="00D27254" w:rsidRPr="00E13A80">
        <w:rPr>
          <w:rFonts w:eastAsia="Arial"/>
          <w:color w:val="124370"/>
        </w:rPr>
        <w:t>L</w:t>
      </w:r>
      <w:r w:rsidRPr="00E13A80">
        <w:rPr>
          <w:rFonts w:eastAsia="Arial"/>
          <w:color w:val="124370"/>
        </w:rPr>
        <w:t xml:space="preserve">aw </w:t>
      </w:r>
      <w:r w:rsidR="00D27254" w:rsidRPr="00E13A80">
        <w:rPr>
          <w:rFonts w:eastAsia="Arial"/>
          <w:color w:val="124370"/>
        </w:rPr>
        <w:t>P</w:t>
      </w:r>
      <w:r w:rsidRPr="00E13A80">
        <w:rPr>
          <w:rFonts w:eastAsia="Arial"/>
          <w:color w:val="124370"/>
        </w:rPr>
        <w:t>roject</w:t>
      </w:r>
      <w:bookmarkEnd w:id="306"/>
      <w:bookmarkEnd w:id="307"/>
      <w:bookmarkEnd w:id="308"/>
    </w:p>
    <w:p w14:paraId="084FBC9C" w14:textId="72813DAF" w:rsidR="2D5FE124" w:rsidRPr="008A00EB" w:rsidRDefault="00BF6D2E" w:rsidP="00B306DA">
      <w:r w:rsidRPr="008A00EB">
        <w:t>The Commission acknowledges the work of the</w:t>
      </w:r>
      <w:r w:rsidR="003B1B20" w:rsidRPr="008A00EB">
        <w:t xml:space="preserve"> Univer</w:t>
      </w:r>
      <w:r w:rsidR="00641DEF" w:rsidRPr="008A00EB">
        <w:t>sity of Queensland’s</w:t>
      </w:r>
      <w:r w:rsidRPr="008A00EB">
        <w:t xml:space="preserve"> Human Rights Case Law Project</w:t>
      </w:r>
      <w:r w:rsidR="00984605">
        <w:t xml:space="preserve"> team</w:t>
      </w:r>
      <w:r w:rsidR="00A6625A">
        <w:t>,</w:t>
      </w:r>
      <w:r w:rsidR="00984605">
        <w:t xml:space="preserve"> </w:t>
      </w:r>
      <w:r w:rsidR="003B1B20" w:rsidRPr="008A00EB">
        <w:rPr>
          <w:rStyle w:val="FootnoteReference"/>
        </w:rPr>
        <w:footnoteReference w:id="69"/>
      </w:r>
      <w:r w:rsidR="00984605">
        <w:t xml:space="preserve"> overseen by </w:t>
      </w:r>
      <w:r w:rsidR="00A6625A">
        <w:t>Professor Tamara Walsh</w:t>
      </w:r>
      <w:r w:rsidRPr="008A00EB">
        <w:t xml:space="preserve"> </w:t>
      </w:r>
      <w:r w:rsidR="003B1B20" w:rsidRPr="008A00EB">
        <w:t>that</w:t>
      </w:r>
      <w:r w:rsidRPr="008A00EB">
        <w:t xml:space="preserve"> </w:t>
      </w:r>
      <w:r w:rsidR="003B1B20" w:rsidRPr="008A00EB">
        <w:t>has</w:t>
      </w:r>
      <w:r w:rsidR="00F33DC0">
        <w:t xml:space="preserve"> continued to compile</w:t>
      </w:r>
      <w:r w:rsidRPr="008A00EB">
        <w:t xml:space="preserve"> case notes of human rights cases in Queensland</w:t>
      </w:r>
      <w:r w:rsidR="003B1B20" w:rsidRPr="008A00EB">
        <w:t xml:space="preserve"> for the benefit of legal practitioners</w:t>
      </w:r>
      <w:r w:rsidR="0075353D">
        <w:t>, researchers,</w:t>
      </w:r>
      <w:r w:rsidR="003B1B20" w:rsidRPr="008A00EB">
        <w:t xml:space="preserve"> students</w:t>
      </w:r>
      <w:r w:rsidR="00DE019F">
        <w:t>,</w:t>
      </w:r>
      <w:r w:rsidR="0075353D">
        <w:t xml:space="preserve"> and the public</w:t>
      </w:r>
      <w:r w:rsidR="00C62439">
        <w:t>.</w:t>
      </w:r>
    </w:p>
    <w:p w14:paraId="71E1BA2D" w14:textId="77777777" w:rsidR="00957B30" w:rsidRDefault="00957B30">
      <w:pPr>
        <w:spacing w:line="259" w:lineRule="auto"/>
        <w:ind w:right="0"/>
        <w:rPr>
          <w:rFonts w:eastAsia="Times New Roman" w:cs="Times New Roman"/>
          <w:bCs/>
          <w:color w:val="124370"/>
          <w:kern w:val="36"/>
          <w:sz w:val="48"/>
          <w:szCs w:val="48"/>
          <w:lang w:eastAsia="en-AU"/>
        </w:rPr>
      </w:pPr>
      <w:bookmarkStart w:id="309" w:name="_Toc84593879"/>
      <w:bookmarkStart w:id="310" w:name="_Toc85451757"/>
      <w:bookmarkStart w:id="311" w:name="_Toc85526687"/>
      <w:bookmarkStart w:id="312" w:name="_Toc85787102"/>
      <w:r>
        <w:rPr>
          <w:color w:val="124370"/>
        </w:rPr>
        <w:br w:type="page"/>
      </w:r>
    </w:p>
    <w:p w14:paraId="6ADC6FBA" w14:textId="467782CD" w:rsidR="005D0E1A" w:rsidRPr="00283488" w:rsidRDefault="1F00F3CD" w:rsidP="00283488">
      <w:pPr>
        <w:pStyle w:val="Heading1"/>
        <w:rPr>
          <w:color w:val="124370"/>
        </w:rPr>
      </w:pPr>
      <w:r w:rsidRPr="43FC7218">
        <w:rPr>
          <w:color w:val="124370"/>
        </w:rPr>
        <w:lastRenderedPageBreak/>
        <w:t>Interventions</w:t>
      </w:r>
      <w:bookmarkEnd w:id="309"/>
      <w:bookmarkEnd w:id="310"/>
      <w:bookmarkEnd w:id="311"/>
      <w:bookmarkEnd w:id="312"/>
    </w:p>
    <w:p w14:paraId="0C683260" w14:textId="6F5A9720" w:rsidR="3327CA7D" w:rsidRDefault="3327CA7D" w:rsidP="00E13A80">
      <w:r w:rsidRPr="43FC7218">
        <w:rPr>
          <w:lang w:val="en-US"/>
        </w:rPr>
        <w:t xml:space="preserve">The Attorney-General and the Queensland Human Rights Commission have the right to intervene in proceedings before a court </w:t>
      </w:r>
      <w:r w:rsidR="00357070">
        <w:rPr>
          <w:lang w:val="en-US"/>
        </w:rPr>
        <w:t>or</w:t>
      </w:r>
      <w:r w:rsidRPr="43FC7218">
        <w:rPr>
          <w:lang w:val="en-US"/>
        </w:rPr>
        <w:t xml:space="preserve"> tribunal where there is a question of law about the application of the </w:t>
      </w:r>
      <w:r w:rsidR="00357070">
        <w:rPr>
          <w:lang w:val="en-US"/>
        </w:rPr>
        <w:t xml:space="preserve">Human Rights </w:t>
      </w:r>
      <w:r w:rsidRPr="43FC7218">
        <w:rPr>
          <w:lang w:val="en-US"/>
        </w:rPr>
        <w:t>Act, or a question about how legislation is to be interpreted in accordance with the Act.</w:t>
      </w:r>
    </w:p>
    <w:p w14:paraId="632140D7" w14:textId="3D33A27A" w:rsidR="3327CA7D" w:rsidRPr="00E13A80" w:rsidRDefault="3327CA7D" w:rsidP="43FC7218">
      <w:pPr>
        <w:pStyle w:val="Heading2"/>
        <w:rPr>
          <w:color w:val="124370"/>
        </w:rPr>
      </w:pPr>
      <w:bookmarkStart w:id="313" w:name="_Toc84593880"/>
      <w:bookmarkStart w:id="314" w:name="_Toc85451758"/>
      <w:bookmarkStart w:id="315" w:name="_Toc85526688"/>
      <w:bookmarkStart w:id="316" w:name="_Toc85787103"/>
      <w:r w:rsidRPr="00E13A80">
        <w:rPr>
          <w:rFonts w:eastAsia="Arial" w:cs="Arial"/>
          <w:color w:val="124370"/>
          <w:szCs w:val="36"/>
          <w:lang w:val="en"/>
        </w:rPr>
        <w:t>Commission notifications</w:t>
      </w:r>
      <w:bookmarkEnd w:id="313"/>
      <w:bookmarkEnd w:id="314"/>
      <w:bookmarkEnd w:id="315"/>
      <w:bookmarkEnd w:id="316"/>
      <w:r w:rsidRPr="00E13A80">
        <w:rPr>
          <w:rFonts w:eastAsia="Arial" w:cs="Arial"/>
          <w:color w:val="124370"/>
          <w:szCs w:val="36"/>
          <w:lang w:val="en"/>
        </w:rPr>
        <w:t xml:space="preserve"> </w:t>
      </w:r>
    </w:p>
    <w:p w14:paraId="4C125814" w14:textId="6451909F" w:rsidR="3327CA7D" w:rsidRDefault="3327CA7D" w:rsidP="00E13A80">
      <w:r w:rsidRPr="43FC7218">
        <w:rPr>
          <w:lang w:val="en"/>
        </w:rPr>
        <w:t xml:space="preserve">For proceedings before the Supreme Court or District Court in which there is a right of intervention, parties must give notice in the approved form under section 52 of the </w:t>
      </w:r>
      <w:r w:rsidRPr="43FC7218">
        <w:rPr>
          <w:i/>
          <w:lang w:val="en"/>
        </w:rPr>
        <w:t>Human Rights Act 2019</w:t>
      </w:r>
      <w:r w:rsidRPr="43FC7218">
        <w:rPr>
          <w:lang w:val="en"/>
        </w:rPr>
        <w:t xml:space="preserve"> to the Attorney-General and the Queensland Human Rights Commission. The Commission also receives notifications of proceedings outside the requirements of the Act. </w:t>
      </w:r>
    </w:p>
    <w:p w14:paraId="71EFF3AD" w14:textId="02D0D519" w:rsidR="3327CA7D" w:rsidRDefault="3327CA7D" w:rsidP="00E13A80">
      <w:r w:rsidRPr="43FC7218">
        <w:rPr>
          <w:lang w:val="en"/>
        </w:rPr>
        <w:t xml:space="preserve">In 2020-21, the Commission received 26 notifications or requests to intervene under the </w:t>
      </w:r>
      <w:r w:rsidRPr="43FC7218">
        <w:rPr>
          <w:i/>
          <w:lang w:val="en"/>
        </w:rPr>
        <w:t>Human Rights Act 2019</w:t>
      </w:r>
      <w:r w:rsidRPr="43FC7218">
        <w:rPr>
          <w:lang w:val="en"/>
        </w:rPr>
        <w:t>. Of those, 15 were notices under section 52 of the</w:t>
      </w:r>
      <w:r w:rsidR="004713B6">
        <w:rPr>
          <w:lang w:val="en"/>
        </w:rPr>
        <w:t xml:space="preserve"> Act. </w:t>
      </w:r>
      <w:r w:rsidRPr="43FC7218">
        <w:rPr>
          <w:lang w:val="en"/>
        </w:rPr>
        <w:t xml:space="preserve"> </w:t>
      </w:r>
    </w:p>
    <w:p w14:paraId="341C4FA5" w14:textId="05F422BC" w:rsidR="3327CA7D" w:rsidRPr="00E13A80" w:rsidRDefault="3327CA7D" w:rsidP="43FC7218">
      <w:pPr>
        <w:pStyle w:val="Heading2"/>
        <w:rPr>
          <w:color w:val="124370"/>
        </w:rPr>
      </w:pPr>
      <w:bookmarkStart w:id="317" w:name="_Toc84593881"/>
      <w:bookmarkStart w:id="318" w:name="_Toc85451759"/>
      <w:bookmarkStart w:id="319" w:name="_Toc85526689"/>
      <w:bookmarkStart w:id="320" w:name="_Toc85787104"/>
      <w:r w:rsidRPr="00E13A80">
        <w:rPr>
          <w:color w:val="124370"/>
          <w:lang w:val="en"/>
        </w:rPr>
        <w:t>Commission interventions</w:t>
      </w:r>
      <w:bookmarkEnd w:id="317"/>
      <w:bookmarkEnd w:id="318"/>
      <w:bookmarkEnd w:id="319"/>
      <w:bookmarkEnd w:id="320"/>
    </w:p>
    <w:p w14:paraId="56EB0351" w14:textId="399C87E6" w:rsidR="3327CA7D" w:rsidRDefault="3327CA7D">
      <w:r>
        <w:t xml:space="preserve">The Commission has published a </w:t>
      </w:r>
      <w:r w:rsidR="002B3131" w:rsidRPr="00460496">
        <w:t>guideline</w:t>
      </w:r>
      <w:r w:rsidRPr="43FC7218">
        <w:rPr>
          <w:rStyle w:val="FootnoteReference"/>
          <w:rFonts w:cs="Arial"/>
        </w:rPr>
        <w:footnoteReference w:id="70"/>
      </w:r>
      <w:r>
        <w:t xml:space="preserve"> about when the Commission might intervene in proceedings.</w:t>
      </w:r>
      <w:r w:rsidRPr="43FC7218">
        <w:rPr>
          <w:rFonts w:eastAsia="Arial" w:cs="Arial"/>
          <w:lang w:val="en"/>
        </w:rPr>
        <w:t xml:space="preserve"> Relevant factors include:</w:t>
      </w:r>
    </w:p>
    <w:p w14:paraId="5A2D64F5" w14:textId="15204B39" w:rsidR="3327CA7D" w:rsidRDefault="3327CA7D" w:rsidP="00E13A80">
      <w:pPr>
        <w:pStyle w:val="ListParagraph"/>
      </w:pPr>
      <w:r w:rsidRPr="00E13A80">
        <w:t xml:space="preserve">whether human rights form a significant, and not peripheral, issue to the proceedings </w:t>
      </w:r>
    </w:p>
    <w:p w14:paraId="01EA5036" w14:textId="4AB71046" w:rsidR="3327CA7D" w:rsidRDefault="3327CA7D" w:rsidP="00E13A80">
      <w:pPr>
        <w:pStyle w:val="ListParagraph"/>
      </w:pPr>
      <w:r w:rsidRPr="00E13A80">
        <w:t>whether the proceedings involve a new or unsettled area of law, or would clarify a disputed interpretation of the law</w:t>
      </w:r>
    </w:p>
    <w:p w14:paraId="7C3CFA61" w14:textId="05640403" w:rsidR="3327CA7D" w:rsidRDefault="3327CA7D" w:rsidP="00E13A80">
      <w:pPr>
        <w:pStyle w:val="ListParagraph"/>
      </w:pPr>
      <w:r w:rsidRPr="00E13A80">
        <w:t>whether the Commission can add value to the proceedings, having regard to the parties to the proceedings and whether they are represented</w:t>
      </w:r>
    </w:p>
    <w:p w14:paraId="3A2E7A14" w14:textId="68FA9865" w:rsidR="3327CA7D" w:rsidRDefault="3327CA7D" w:rsidP="00E13A80">
      <w:pPr>
        <w:pStyle w:val="ListParagraph"/>
      </w:pPr>
      <w:r w:rsidRPr="00E13A80">
        <w:t>the court or tribunal in which the proceedings are brought, and whether it is an intermediate or final hearing</w:t>
      </w:r>
    </w:p>
    <w:p w14:paraId="298B3DD6" w14:textId="49E94E50" w:rsidR="3327CA7D" w:rsidRDefault="3327CA7D" w:rsidP="00E13A80">
      <w:pPr>
        <w:pStyle w:val="ListParagraph"/>
      </w:pPr>
      <w:r w:rsidRPr="00E13A80">
        <w:t xml:space="preserve">resource constraints. </w:t>
      </w:r>
    </w:p>
    <w:p w14:paraId="0173632B" w14:textId="77777777" w:rsidR="00B54B85" w:rsidRDefault="00B54B85">
      <w:pPr>
        <w:keepLines w:val="0"/>
        <w:widowControl/>
        <w:spacing w:line="259" w:lineRule="auto"/>
        <w:ind w:right="0"/>
        <w:rPr>
          <w:lang w:val="en"/>
        </w:rPr>
      </w:pPr>
      <w:r>
        <w:rPr>
          <w:lang w:val="en"/>
        </w:rPr>
        <w:br w:type="page"/>
      </w:r>
    </w:p>
    <w:p w14:paraId="160680A3" w14:textId="7256A7E1" w:rsidR="3327CA7D" w:rsidRDefault="00D3695A" w:rsidP="00E13A80">
      <w:r>
        <w:rPr>
          <w:lang w:val="en"/>
        </w:rPr>
        <w:lastRenderedPageBreak/>
        <w:t>The Commission</w:t>
      </w:r>
      <w:r w:rsidR="3327CA7D" w:rsidRPr="43FC7218">
        <w:rPr>
          <w:lang w:val="en"/>
        </w:rPr>
        <w:t xml:space="preserve"> intervened in </w:t>
      </w:r>
      <w:r w:rsidR="00357070">
        <w:rPr>
          <w:lang w:val="en"/>
        </w:rPr>
        <w:t>3</w:t>
      </w:r>
      <w:r w:rsidR="3327CA7D" w:rsidRPr="43FC7218">
        <w:rPr>
          <w:lang w:val="en"/>
        </w:rPr>
        <w:t xml:space="preserve"> matters before the Supreme Court and </w:t>
      </w:r>
      <w:r w:rsidR="00357070">
        <w:rPr>
          <w:lang w:val="en"/>
        </w:rPr>
        <w:t>2</w:t>
      </w:r>
      <w:r w:rsidR="3327CA7D" w:rsidRPr="43FC7218">
        <w:rPr>
          <w:lang w:val="en"/>
        </w:rPr>
        <w:t xml:space="preserve"> matters before the Mental Health Court during 2020-21.</w:t>
      </w:r>
    </w:p>
    <w:p w14:paraId="0859EE9B" w14:textId="00B5A2E4" w:rsidR="3327CA7D" w:rsidRDefault="3327CA7D" w:rsidP="00E13A80">
      <w:r w:rsidRPr="43FC7218">
        <w:rPr>
          <w:lang w:val="en"/>
        </w:rPr>
        <w:t xml:space="preserve">The first of the Supreme Court matters was an application for an injunction relating to a proposed ‘sit in’ protest on the Story Bridge in Brisbane. </w:t>
      </w:r>
      <w:r w:rsidR="00357070">
        <w:rPr>
          <w:lang w:val="en"/>
        </w:rPr>
        <w:t>The Commission</w:t>
      </w:r>
      <w:r w:rsidRPr="43FC7218">
        <w:rPr>
          <w:lang w:val="en"/>
        </w:rPr>
        <w:t xml:space="preserve"> made submissions about the right to peaceful assembly, the relevance of the rights of others and of public health and safety, and the onus of establishing that a limitation of a right is reasonable and proportionate. The Supreme Court’s decision to grant the injunction has been published: </w:t>
      </w:r>
      <w:r w:rsidRPr="43FC7218">
        <w:rPr>
          <w:i/>
          <w:lang w:val="en"/>
        </w:rPr>
        <w:t>Attorney-General for the State of Queensland v Sri &amp; Ors</w:t>
      </w:r>
      <w:r w:rsidRPr="43FC7218">
        <w:rPr>
          <w:lang w:val="en"/>
        </w:rPr>
        <w:t xml:space="preserve"> [2020] QSC 246.</w:t>
      </w:r>
    </w:p>
    <w:p w14:paraId="7BB3AA62" w14:textId="19A18C7D" w:rsidR="00CC3C7D" w:rsidRDefault="00576257" w:rsidP="00576257">
      <w:pPr>
        <w:rPr>
          <w:lang w:val="en"/>
        </w:rPr>
      </w:pPr>
      <w:r>
        <w:rPr>
          <w:lang w:val="en"/>
        </w:rPr>
        <w:t xml:space="preserve">Shortly before </w:t>
      </w:r>
      <w:r w:rsidR="001E48AF">
        <w:rPr>
          <w:lang w:val="en"/>
        </w:rPr>
        <w:t xml:space="preserve">the </w:t>
      </w:r>
      <w:r>
        <w:rPr>
          <w:lang w:val="en"/>
        </w:rPr>
        <w:t>publication of this report</w:t>
      </w:r>
      <w:r w:rsidR="3327CA7D" w:rsidRPr="43FC7218">
        <w:rPr>
          <w:lang w:val="en"/>
        </w:rPr>
        <w:t xml:space="preserve">, </w:t>
      </w:r>
      <w:r w:rsidR="00CC3C7D">
        <w:rPr>
          <w:lang w:val="en"/>
        </w:rPr>
        <w:t xml:space="preserve">a decision was handed down in </w:t>
      </w:r>
      <w:r w:rsidR="00E21675" w:rsidRPr="00E21675">
        <w:rPr>
          <w:i/>
          <w:iCs/>
          <w:lang w:val="en"/>
        </w:rPr>
        <w:t>Owen-D'Arcy v Chief Executive</w:t>
      </w:r>
      <w:r w:rsidR="005874A9">
        <w:rPr>
          <w:i/>
          <w:iCs/>
          <w:lang w:val="en"/>
        </w:rPr>
        <w:t xml:space="preserve">, Queensland Corrective Services </w:t>
      </w:r>
      <w:r w:rsidR="00E21675" w:rsidRPr="00E21675">
        <w:rPr>
          <w:lang w:val="en"/>
        </w:rPr>
        <w:t>[2021] QSC 273</w:t>
      </w:r>
      <w:r w:rsidR="00E21675">
        <w:rPr>
          <w:lang w:val="en"/>
        </w:rPr>
        <w:t xml:space="preserve">. </w:t>
      </w:r>
      <w:r w:rsidR="007E505A" w:rsidRPr="00E21675">
        <w:rPr>
          <w:lang w:val="en"/>
        </w:rPr>
        <w:t>A</w:t>
      </w:r>
      <w:r w:rsidR="007E505A">
        <w:rPr>
          <w:lang w:val="en"/>
        </w:rPr>
        <w:t xml:space="preserve"> prisoner applied</w:t>
      </w:r>
      <w:r w:rsidR="00CC3C7D" w:rsidRPr="00CC3C7D">
        <w:rPr>
          <w:lang w:val="en"/>
        </w:rPr>
        <w:t xml:space="preserve"> for judicial review of </w:t>
      </w:r>
      <w:r w:rsidR="0091312A">
        <w:rPr>
          <w:lang w:val="en"/>
        </w:rPr>
        <w:t xml:space="preserve">two related </w:t>
      </w:r>
      <w:r w:rsidR="00CC3C7D" w:rsidRPr="00CC3C7D">
        <w:rPr>
          <w:lang w:val="en"/>
        </w:rPr>
        <w:t xml:space="preserve">decisions to continue </w:t>
      </w:r>
      <w:r w:rsidR="007E505A">
        <w:rPr>
          <w:lang w:val="en"/>
        </w:rPr>
        <w:t>his separation from others</w:t>
      </w:r>
      <w:r w:rsidR="00CC3C7D" w:rsidRPr="00CC3C7D">
        <w:rPr>
          <w:lang w:val="en"/>
        </w:rPr>
        <w:t xml:space="preserve">, </w:t>
      </w:r>
      <w:r w:rsidR="007E505A">
        <w:rPr>
          <w:lang w:val="en"/>
        </w:rPr>
        <w:t>after being</w:t>
      </w:r>
      <w:r w:rsidR="00CC3C7D" w:rsidRPr="00CC3C7D">
        <w:rPr>
          <w:lang w:val="en"/>
        </w:rPr>
        <w:t xml:space="preserve"> held in solitary confinement </w:t>
      </w:r>
      <w:r w:rsidR="001B0E91">
        <w:rPr>
          <w:lang w:val="en"/>
        </w:rPr>
        <w:t>since 2013</w:t>
      </w:r>
      <w:r w:rsidR="00CC3C7D" w:rsidRPr="00CC3C7D">
        <w:rPr>
          <w:lang w:val="en"/>
        </w:rPr>
        <w:t>. The Commission made submissions about the obligations on public entities, including to consider the rights of all relevant people, and on the meaning of relevant rights such as the right to humane treatment when deprived of liberty and the right to life.</w:t>
      </w:r>
      <w:r w:rsidR="00EF5B9E">
        <w:rPr>
          <w:lang w:val="en"/>
        </w:rPr>
        <w:t xml:space="preserve"> The court found </w:t>
      </w:r>
      <w:r w:rsidR="0091312A">
        <w:rPr>
          <w:lang w:val="en"/>
        </w:rPr>
        <w:t>the</w:t>
      </w:r>
      <w:r w:rsidR="00E27F5D">
        <w:rPr>
          <w:lang w:val="en"/>
        </w:rPr>
        <w:t xml:space="preserve"> right</w:t>
      </w:r>
      <w:r w:rsidR="0091312A">
        <w:rPr>
          <w:lang w:val="en"/>
        </w:rPr>
        <w:t xml:space="preserve"> to humane treatment was </w:t>
      </w:r>
      <w:r w:rsidRPr="00576257">
        <w:rPr>
          <w:lang w:val="en"/>
        </w:rPr>
        <w:t>limited</w:t>
      </w:r>
      <w:r>
        <w:rPr>
          <w:lang w:val="en"/>
        </w:rPr>
        <w:t xml:space="preserve"> by the decision</w:t>
      </w:r>
      <w:r w:rsidRPr="00576257">
        <w:rPr>
          <w:lang w:val="en"/>
        </w:rPr>
        <w:t xml:space="preserve"> and the respondents did not discharge the onus of demonstrating that limitation was reasonable. </w:t>
      </w:r>
      <w:r w:rsidR="008D4753" w:rsidRPr="008D4753">
        <w:rPr>
          <w:lang w:val="en"/>
        </w:rPr>
        <w:t xml:space="preserve">The decision also </w:t>
      </w:r>
      <w:r w:rsidR="006829C1">
        <w:rPr>
          <w:lang w:val="en"/>
        </w:rPr>
        <w:t>set out</w:t>
      </w:r>
      <w:r w:rsidR="008D4753" w:rsidRPr="008D4753">
        <w:rPr>
          <w:lang w:val="en"/>
        </w:rPr>
        <w:t xml:space="preserve"> </w:t>
      </w:r>
      <w:r w:rsidR="006829C1">
        <w:rPr>
          <w:lang w:val="en"/>
        </w:rPr>
        <w:t>the requirements</w:t>
      </w:r>
      <w:r w:rsidR="001A5C82">
        <w:rPr>
          <w:lang w:val="en"/>
        </w:rPr>
        <w:t xml:space="preserve"> for a public entity to </w:t>
      </w:r>
      <w:r w:rsidR="008D4753" w:rsidRPr="008D4753">
        <w:rPr>
          <w:lang w:val="en"/>
        </w:rPr>
        <w:t>give ‘proper consideration’ to human rights when making decisions</w:t>
      </w:r>
      <w:r w:rsidR="008D4753">
        <w:rPr>
          <w:lang w:val="en"/>
        </w:rPr>
        <w:t>.</w:t>
      </w:r>
      <w:r w:rsidR="008D4753" w:rsidRPr="008D4753">
        <w:rPr>
          <w:lang w:val="en"/>
        </w:rPr>
        <w:t xml:space="preserve"> </w:t>
      </w:r>
      <w:r w:rsidR="00486524">
        <w:rPr>
          <w:lang w:val="en"/>
        </w:rPr>
        <w:t>As the public entity contravened its obligations under the H</w:t>
      </w:r>
      <w:r w:rsidR="001E7A12">
        <w:rPr>
          <w:lang w:val="en"/>
        </w:rPr>
        <w:t xml:space="preserve">uman </w:t>
      </w:r>
      <w:r w:rsidR="00486524">
        <w:rPr>
          <w:lang w:val="en"/>
        </w:rPr>
        <w:t>R</w:t>
      </w:r>
      <w:r w:rsidR="001E7A12">
        <w:rPr>
          <w:lang w:val="en"/>
        </w:rPr>
        <w:t>ights</w:t>
      </w:r>
      <w:r w:rsidR="00486524">
        <w:rPr>
          <w:lang w:val="en"/>
        </w:rPr>
        <w:t xml:space="preserve"> Act, t</w:t>
      </w:r>
      <w:r w:rsidR="00E27F5D">
        <w:rPr>
          <w:lang w:val="en"/>
        </w:rPr>
        <w:t xml:space="preserve">he </w:t>
      </w:r>
      <w:r w:rsidR="00D35EB2">
        <w:rPr>
          <w:lang w:val="en"/>
        </w:rPr>
        <w:t xml:space="preserve">court concluded the decisions were </w:t>
      </w:r>
      <w:r w:rsidR="00486524">
        <w:rPr>
          <w:lang w:val="en"/>
        </w:rPr>
        <w:t xml:space="preserve">unlawful. </w:t>
      </w:r>
      <w:r w:rsidRPr="00576257">
        <w:rPr>
          <w:lang w:val="en"/>
        </w:rPr>
        <w:t xml:space="preserve">The court will hear the parties on </w:t>
      </w:r>
      <w:r w:rsidR="00365D72">
        <w:rPr>
          <w:lang w:val="en"/>
        </w:rPr>
        <w:t>a</w:t>
      </w:r>
      <w:r w:rsidRPr="00576257">
        <w:rPr>
          <w:lang w:val="en"/>
        </w:rPr>
        <w:t xml:space="preserve"> form of orders.  </w:t>
      </w:r>
    </w:p>
    <w:p w14:paraId="0785874D" w14:textId="1AC74761" w:rsidR="3327CA7D" w:rsidRDefault="00CC3C7D" w:rsidP="001A5C82">
      <w:r>
        <w:rPr>
          <w:lang w:val="en"/>
        </w:rPr>
        <w:t>T</w:t>
      </w:r>
      <w:r w:rsidR="00357070">
        <w:rPr>
          <w:lang w:val="en"/>
        </w:rPr>
        <w:t>he Commission is</w:t>
      </w:r>
      <w:r w:rsidR="3327CA7D" w:rsidRPr="43FC7218">
        <w:rPr>
          <w:lang w:val="en"/>
        </w:rPr>
        <w:t xml:space="preserve"> still awaiting the </w:t>
      </w:r>
      <w:r w:rsidR="00C14C55">
        <w:rPr>
          <w:lang w:val="en"/>
        </w:rPr>
        <w:t>Supreme C</w:t>
      </w:r>
      <w:r w:rsidR="3327CA7D" w:rsidRPr="43FC7218">
        <w:rPr>
          <w:lang w:val="en"/>
        </w:rPr>
        <w:t>ourt’s decision</w:t>
      </w:r>
      <w:r w:rsidR="001A5C82">
        <w:rPr>
          <w:lang w:val="en"/>
        </w:rPr>
        <w:t xml:space="preserve"> in another</w:t>
      </w:r>
      <w:r w:rsidR="3327CA7D">
        <w:rPr>
          <w:lang w:val="en"/>
        </w:rPr>
        <w:t xml:space="preserve"> </w:t>
      </w:r>
      <w:r w:rsidR="3327CA7D" w:rsidRPr="00E13A80">
        <w:t xml:space="preserve">proceeding that is subject to reporting and publication restrictions. </w:t>
      </w:r>
      <w:r w:rsidR="00357070" w:rsidRPr="00E13A80">
        <w:t>The Commission’s</w:t>
      </w:r>
      <w:r w:rsidR="3327CA7D" w:rsidRPr="00E13A80">
        <w:t xml:space="preserve"> submissions related to statutory interpretation and the obligations imposed on public entities under the </w:t>
      </w:r>
      <w:r w:rsidR="001A5C82">
        <w:t>HR Act</w:t>
      </w:r>
      <w:r w:rsidR="3327CA7D" w:rsidRPr="00E13A80">
        <w:t>.</w:t>
      </w:r>
      <w:r w:rsidR="00197317" w:rsidRPr="00E13A80">
        <w:t xml:space="preserve"> </w:t>
      </w:r>
    </w:p>
    <w:p w14:paraId="15D31683" w14:textId="33259011" w:rsidR="00522BFC" w:rsidRPr="00522BFC" w:rsidRDefault="3327CA7D" w:rsidP="00522BFC">
      <w:pPr>
        <w:rPr>
          <w:lang w:val="en"/>
        </w:rPr>
      </w:pPr>
      <w:r w:rsidRPr="43FC7218">
        <w:rPr>
          <w:lang w:val="en"/>
        </w:rPr>
        <w:t xml:space="preserve">Both Mental Health Court matters were appeals from decisions of the Mental Review Tribunal, and are not open to the public. In the first matter, due to the issues ultimately relied upon by the parties, </w:t>
      </w:r>
      <w:r w:rsidR="00197317">
        <w:rPr>
          <w:lang w:val="en"/>
        </w:rPr>
        <w:t xml:space="preserve">the Commission </w:t>
      </w:r>
      <w:r w:rsidRPr="43FC7218">
        <w:rPr>
          <w:lang w:val="en"/>
        </w:rPr>
        <w:t xml:space="preserve">withdrew from the proceedings. </w:t>
      </w:r>
    </w:p>
    <w:p w14:paraId="6B04BAB8" w14:textId="6E4A2B7B" w:rsidR="21DEBD5C" w:rsidRDefault="21DEBD5C" w:rsidP="00E84F5D">
      <w:pPr>
        <w:spacing w:line="257" w:lineRule="auto"/>
        <w:rPr>
          <w:rFonts w:eastAsia="Arial" w:cs="Arial"/>
          <w:lang w:val="en"/>
        </w:rPr>
      </w:pPr>
      <w:r w:rsidRPr="2E3A1DA7">
        <w:rPr>
          <w:rFonts w:eastAsia="Arial" w:cs="Arial"/>
          <w:color w:val="000000" w:themeColor="text1"/>
          <w:lang w:val="en"/>
        </w:rPr>
        <w:lastRenderedPageBreak/>
        <w:t xml:space="preserve">The second matter considered the impact of human rights on powers under the </w:t>
      </w:r>
      <w:r w:rsidRPr="2E3A1DA7">
        <w:rPr>
          <w:rFonts w:eastAsia="Arial" w:cs="Arial"/>
          <w:i/>
          <w:iCs/>
          <w:color w:val="000000" w:themeColor="text1"/>
          <w:u w:val="single"/>
          <w:lang w:val="en"/>
        </w:rPr>
        <w:t>Mental Health Act</w:t>
      </w:r>
      <w:r w:rsidRPr="2E3A1DA7">
        <w:rPr>
          <w:rFonts w:eastAsia="Arial" w:cs="Arial"/>
          <w:color w:val="000000" w:themeColor="text1"/>
          <w:lang w:val="en"/>
        </w:rPr>
        <w:t xml:space="preserve"> </w:t>
      </w:r>
      <w:r w:rsidRPr="2E3A1DA7">
        <w:rPr>
          <w:rFonts w:eastAsia="Arial" w:cs="Arial"/>
          <w:i/>
          <w:iCs/>
          <w:color w:val="000000" w:themeColor="text1"/>
          <w:lang w:val="en"/>
        </w:rPr>
        <w:t>2016</w:t>
      </w:r>
      <w:r w:rsidRPr="2E3A1DA7">
        <w:rPr>
          <w:rFonts w:eastAsia="Arial" w:cs="Arial"/>
          <w:color w:val="000000" w:themeColor="text1"/>
          <w:lang w:val="en"/>
        </w:rPr>
        <w:t xml:space="preserve"> to impose or remove conditions on a forensic order. We submitted that unless the condition is found to be necessary to mitigate an ‘unacceptable risk’ to safety, the Tribunal’s decision to remove the condition should be confirmed and is compatible with human rights. Our submissions also included human rights jurisprudence in different contexts in the assessment of ‘unacceptable risk’. The court dismissed the appeal: </w:t>
      </w:r>
      <w:r w:rsidRPr="2E3A1DA7">
        <w:rPr>
          <w:rFonts w:eastAsia="Arial" w:cs="Arial"/>
          <w:i/>
          <w:iCs/>
          <w:lang w:val="en"/>
        </w:rPr>
        <w:t>Attorney-General for the State of Queensland v GLH</w:t>
      </w:r>
      <w:r w:rsidRPr="2E3A1DA7">
        <w:rPr>
          <w:rFonts w:eastAsia="Arial" w:cs="Arial"/>
          <w:lang w:val="en"/>
        </w:rPr>
        <w:t xml:space="preserve"> [2021] QMHC 4.</w:t>
      </w:r>
    </w:p>
    <w:p w14:paraId="210B5F37" w14:textId="33FDF0A5" w:rsidR="00BF6D2E" w:rsidRPr="00E13A80" w:rsidRDefault="00BF6D2E" w:rsidP="00B04FF8">
      <w:pPr>
        <w:pStyle w:val="Heading2"/>
        <w:rPr>
          <w:color w:val="124370"/>
        </w:rPr>
      </w:pPr>
      <w:bookmarkStart w:id="321" w:name="_Toc56451580"/>
      <w:bookmarkStart w:id="322" w:name="_Toc56452154"/>
      <w:bookmarkStart w:id="323" w:name="_Toc84593882"/>
      <w:bookmarkStart w:id="324" w:name="_Toc85451760"/>
      <w:bookmarkStart w:id="325" w:name="_Toc85526690"/>
      <w:bookmarkStart w:id="326" w:name="_Toc85787105"/>
      <w:r w:rsidRPr="00E13A80">
        <w:rPr>
          <w:color w:val="124370"/>
        </w:rPr>
        <w:t>Attorney-General intervention</w:t>
      </w:r>
      <w:r w:rsidR="003F03FD" w:rsidRPr="00E13A80">
        <w:rPr>
          <w:color w:val="124370"/>
        </w:rPr>
        <w:t>s</w:t>
      </w:r>
      <w:bookmarkEnd w:id="321"/>
      <w:bookmarkEnd w:id="322"/>
      <w:bookmarkEnd w:id="323"/>
      <w:bookmarkEnd w:id="324"/>
      <w:bookmarkEnd w:id="325"/>
      <w:bookmarkEnd w:id="326"/>
    </w:p>
    <w:p w14:paraId="7BA81941" w14:textId="2A97877E" w:rsidR="069A44C6" w:rsidRDefault="069A44C6" w:rsidP="00D04527">
      <w:r w:rsidRPr="00D04527">
        <w:t>In 2020</w:t>
      </w:r>
      <w:r w:rsidR="1450C7EB" w:rsidRPr="46408633">
        <w:t>-</w:t>
      </w:r>
      <w:r w:rsidRPr="00D04527">
        <w:t xml:space="preserve">21, the Attorney-General intervened in </w:t>
      </w:r>
      <w:r w:rsidR="00197317">
        <w:t>9</w:t>
      </w:r>
      <w:r w:rsidRPr="00D04527">
        <w:t xml:space="preserve"> matters under the Act. Two related to proceedings in which the Commission also intervened and are discussed above. Three are ongoing and/or subject to publication restrictions. The remaining </w:t>
      </w:r>
      <w:r w:rsidR="00197317">
        <w:t>4</w:t>
      </w:r>
      <w:r w:rsidRPr="00D04527">
        <w:t xml:space="preserve"> matters concerned:</w:t>
      </w:r>
    </w:p>
    <w:p w14:paraId="36ECEEA0" w14:textId="592206D6" w:rsidR="069A44C6" w:rsidRPr="00867A30" w:rsidRDefault="069A44C6" w:rsidP="00E13A80">
      <w:pPr>
        <w:pStyle w:val="ListParagraph"/>
        <w:rPr>
          <w:color w:val="000000"/>
        </w:rPr>
      </w:pPr>
      <w:r w:rsidRPr="46408633">
        <w:t xml:space="preserve">A judicial review application of a decision by a public entity to cancel the applicant’s certificate of competency under coal mining safety legislation. The respondent sought to have the judicial review dismissed because there </w:t>
      </w:r>
      <w:r w:rsidR="3C57E682" w:rsidRPr="46408633">
        <w:t>were</w:t>
      </w:r>
      <w:r w:rsidRPr="46408633">
        <w:t xml:space="preserve"> concurrent civil appeal proceedings available before the Industrial Magistrates Court. The applicant argued the alternative proceedings required him to testify against himself, constituting an unreasonable limitation on his rights </w:t>
      </w:r>
      <w:r w:rsidR="36758240" w:rsidRPr="46408633">
        <w:t xml:space="preserve">in criminal proceedings </w:t>
      </w:r>
      <w:r w:rsidRPr="46408633">
        <w:t xml:space="preserve">under </w:t>
      </w:r>
      <w:r w:rsidRPr="6F6BA29F">
        <w:t>s</w:t>
      </w:r>
      <w:r w:rsidR="73533E55" w:rsidRPr="6F6BA29F">
        <w:t>ection</w:t>
      </w:r>
      <w:r w:rsidRPr="46408633">
        <w:t xml:space="preserve"> 32 of the </w:t>
      </w:r>
      <w:r w:rsidRPr="00736690">
        <w:rPr>
          <w:i/>
        </w:rPr>
        <w:t>Human Rights Act</w:t>
      </w:r>
      <w:r w:rsidRPr="46408633">
        <w:t>.</w:t>
      </w:r>
      <w:r w:rsidR="00197317">
        <w:t xml:space="preserve"> </w:t>
      </w:r>
      <w:r w:rsidRPr="46408633">
        <w:t xml:space="preserve">The Supreme Court found the </w:t>
      </w:r>
      <w:r w:rsidR="18ED1AC2" w:rsidRPr="6F6BA29F">
        <w:t xml:space="preserve">Industrial Magistrates Court </w:t>
      </w:r>
      <w:r w:rsidRPr="46408633">
        <w:t xml:space="preserve">proceedings were a ‘much more suitable avenue for resolution of the question of whether or not the applicant ought to have his certificate of competency cancelled’. The court agreed with the Attorney-General that </w:t>
      </w:r>
      <w:r w:rsidRPr="6F6BA29F">
        <w:t>s</w:t>
      </w:r>
      <w:r w:rsidR="6FF3F92F" w:rsidRPr="6F6BA29F">
        <w:t>ection</w:t>
      </w:r>
      <w:r w:rsidRPr="46408633">
        <w:t xml:space="preserve"> 48 of the Act was not engaged in interpreting the provisions (</w:t>
      </w:r>
      <w:proofErr w:type="spellStart"/>
      <w:r w:rsidRPr="46408633">
        <w:rPr>
          <w:i/>
        </w:rPr>
        <w:t>Whiteley</w:t>
      </w:r>
      <w:proofErr w:type="spellEnd"/>
      <w:r w:rsidRPr="46408633">
        <w:rPr>
          <w:i/>
        </w:rPr>
        <w:t xml:space="preserve"> v Stone</w:t>
      </w:r>
      <w:r w:rsidRPr="46408633">
        <w:t xml:space="preserve"> [2021] QSC 31)</w:t>
      </w:r>
      <w:r w:rsidR="00197317">
        <w:t>.</w:t>
      </w:r>
    </w:p>
    <w:p w14:paraId="222EC531" w14:textId="2056E0D5" w:rsidR="069A44C6" w:rsidRPr="00867A30" w:rsidRDefault="069A44C6" w:rsidP="00E13A80">
      <w:pPr>
        <w:pStyle w:val="ListParagraph"/>
        <w:rPr>
          <w:color w:val="000000"/>
        </w:rPr>
      </w:pPr>
      <w:r w:rsidRPr="0F6617A5">
        <w:t xml:space="preserve">An application to stay committal proceedings. This matter was discontinued. </w:t>
      </w:r>
    </w:p>
    <w:p w14:paraId="0A5A0B74" w14:textId="7BE30DB2" w:rsidR="069A44C6" w:rsidRDefault="069A44C6" w:rsidP="00E13A80">
      <w:pPr>
        <w:pStyle w:val="ListParagraph"/>
      </w:pPr>
      <w:r w:rsidRPr="6F6BA29F">
        <w:t xml:space="preserve">A matter involving whether the Electoral Commission of Queensland should take into account goods and services tax (GST) in assessing expenditure caps under the </w:t>
      </w:r>
      <w:r w:rsidRPr="6F6BA29F">
        <w:rPr>
          <w:rFonts w:eastAsia="Times New Roman" w:cs="Arial"/>
          <w:i/>
        </w:rPr>
        <w:t>Electoral Act 1991</w:t>
      </w:r>
      <w:r w:rsidRPr="6F6BA29F">
        <w:rPr>
          <w:rFonts w:eastAsia="Times New Roman" w:cs="Arial"/>
        </w:rPr>
        <w:t>. On a plain reading, the court found the expenditure caps include GST. In the alternative, if there w</w:t>
      </w:r>
      <w:r w:rsidR="5558CC1A" w:rsidRPr="6F6BA29F">
        <w:rPr>
          <w:rFonts w:eastAsia="Times New Roman" w:cs="Arial"/>
        </w:rPr>
        <w:t>as</w:t>
      </w:r>
      <w:r w:rsidRPr="6F6BA29F">
        <w:rPr>
          <w:rFonts w:eastAsia="Times New Roman" w:cs="Arial"/>
        </w:rPr>
        <w:t xml:space="preserve"> ambiguity, the court found that that interpretation was compatible with human rights (freedom of expression and right to take part in public life) and better achieved the statutory purpose. </w:t>
      </w:r>
    </w:p>
    <w:p w14:paraId="06955341" w14:textId="3A232509" w:rsidR="00E658BE" w:rsidRPr="00E658BE" w:rsidRDefault="069A44C6" w:rsidP="00E13A80">
      <w:pPr>
        <w:pStyle w:val="ListParagraph"/>
      </w:pPr>
      <w:r w:rsidRPr="0F6617A5">
        <w:lastRenderedPageBreak/>
        <w:t>Extradition proceedings in which a que</w:t>
      </w:r>
      <w:r w:rsidRPr="0F6617A5">
        <w:rPr>
          <w:rFonts w:eastAsia="Times New Roman" w:cs="Arial"/>
        </w:rPr>
        <w:t xml:space="preserve">stion arose as to whether </w:t>
      </w:r>
      <w:r w:rsidR="00E658BE" w:rsidRPr="00E658BE">
        <w:t xml:space="preserve">Magistrates acting under the </w:t>
      </w:r>
      <w:r w:rsidR="00E658BE" w:rsidRPr="00867A30">
        <w:rPr>
          <w:i/>
        </w:rPr>
        <w:t>Extradition Act 1988</w:t>
      </w:r>
      <w:r w:rsidR="00E658BE" w:rsidRPr="00E658BE">
        <w:t xml:space="preserve"> (</w:t>
      </w:r>
      <w:proofErr w:type="spellStart"/>
      <w:r w:rsidR="00E658BE" w:rsidRPr="00E658BE">
        <w:t>Cth</w:t>
      </w:r>
      <w:proofErr w:type="spellEnd"/>
      <w:r w:rsidR="00E658BE" w:rsidRPr="00E658BE">
        <w:t>) are required to act compatibly with human rights. It was held that Magistrates are not public entities under</w:t>
      </w:r>
      <w:r w:rsidRPr="1FF5E288">
        <w:rPr>
          <w:rFonts w:eastAsia="Arial"/>
        </w:rPr>
        <w:t xml:space="preserve"> the Act</w:t>
      </w:r>
      <w:r w:rsidR="00E658BE" w:rsidRPr="00E658BE">
        <w:t xml:space="preserve"> when acting under Commonwealth legislation</w:t>
      </w:r>
      <w:r w:rsidR="000128A1">
        <w:t>.</w:t>
      </w:r>
    </w:p>
    <w:p w14:paraId="12A8FDA0" w14:textId="708D66C6" w:rsidR="00CA012E" w:rsidRPr="004A656E" w:rsidRDefault="004A656E" w:rsidP="004A656E">
      <w:pPr>
        <w:pStyle w:val="Heading1"/>
        <w:rPr>
          <w:rFonts w:eastAsia="Arial"/>
          <w:color w:val="124370"/>
        </w:rPr>
      </w:pPr>
      <w:bookmarkStart w:id="327" w:name="_Toc84593883"/>
      <w:bookmarkStart w:id="328" w:name="_Toc85451761"/>
      <w:bookmarkStart w:id="329" w:name="_Toc85526691"/>
      <w:bookmarkStart w:id="330" w:name="_Toc85787106"/>
      <w:r w:rsidRPr="004A656E">
        <w:rPr>
          <w:rFonts w:eastAsia="Arial"/>
          <w:color w:val="124370"/>
        </w:rPr>
        <w:t>S</w:t>
      </w:r>
      <w:r w:rsidR="004453F9" w:rsidRPr="004A656E">
        <w:rPr>
          <w:rFonts w:eastAsia="Arial"/>
          <w:color w:val="124370"/>
        </w:rPr>
        <w:t xml:space="preserve">ummary of </w:t>
      </w:r>
      <w:r w:rsidR="00CA012E" w:rsidRPr="004A656E">
        <w:rPr>
          <w:rFonts w:eastAsia="Arial"/>
          <w:color w:val="124370"/>
        </w:rPr>
        <w:t xml:space="preserve">the role of courts </w:t>
      </w:r>
      <w:r w:rsidR="69BBC5E6" w:rsidRPr="004A656E">
        <w:rPr>
          <w:rFonts w:eastAsia="Arial"/>
          <w:color w:val="124370"/>
        </w:rPr>
        <w:t>and tribunals</w:t>
      </w:r>
      <w:r w:rsidR="00CA012E" w:rsidRPr="004A656E">
        <w:rPr>
          <w:rFonts w:eastAsia="Arial"/>
          <w:color w:val="124370"/>
        </w:rPr>
        <w:t xml:space="preserve"> in 2020-21</w:t>
      </w:r>
      <w:bookmarkEnd w:id="327"/>
      <w:bookmarkEnd w:id="328"/>
      <w:bookmarkEnd w:id="329"/>
      <w:bookmarkEnd w:id="330"/>
    </w:p>
    <w:p w14:paraId="77A49412" w14:textId="7E24E41A" w:rsidR="00781D2B" w:rsidRDefault="38D06B9D" w:rsidP="00E13A80">
      <w:pPr>
        <w:rPr>
          <w:rFonts w:cs="Arial"/>
        </w:rPr>
      </w:pPr>
      <w:r w:rsidRPr="54C11273">
        <w:t xml:space="preserve">Overall, the influence of the </w:t>
      </w:r>
      <w:r w:rsidRPr="54C11273">
        <w:rPr>
          <w:i/>
        </w:rPr>
        <w:t xml:space="preserve">Human Rights Act 2019 </w:t>
      </w:r>
      <w:r w:rsidR="24B3C539" w:rsidRPr="54C11273">
        <w:t xml:space="preserve">on courts and tribunals </w:t>
      </w:r>
      <w:r w:rsidR="1BE6FD4D" w:rsidRPr="1C7CCE49">
        <w:t>is developing</w:t>
      </w:r>
      <w:r w:rsidRPr="54C11273">
        <w:t>, although it is</w:t>
      </w:r>
      <w:r w:rsidR="006B4A22">
        <w:t xml:space="preserve"> has not been long since the Act commenced</w:t>
      </w:r>
      <w:r w:rsidRPr="54C11273">
        <w:t>.</w:t>
      </w:r>
      <w:r w:rsidR="62514740" w:rsidRPr="54C11273">
        <w:t xml:space="preserve"> </w:t>
      </w:r>
      <w:r w:rsidR="4EEE970E" w:rsidRPr="54C11273">
        <w:t xml:space="preserve">While there have been a number of mentions of </w:t>
      </w:r>
      <w:r w:rsidRPr="54C11273">
        <w:t xml:space="preserve">human rights in </w:t>
      </w:r>
      <w:r w:rsidR="43C80132" w:rsidRPr="54C11273">
        <w:t>decisions</w:t>
      </w:r>
      <w:r w:rsidRPr="54C11273">
        <w:t xml:space="preserve">, on most occasions the Act has not been a central focus. The Commission anticipates </w:t>
      </w:r>
      <w:r w:rsidR="006B4A22">
        <w:t>some</w:t>
      </w:r>
      <w:r w:rsidRPr="54C11273">
        <w:t xml:space="preserve"> key decisions of the Supreme Court (noted above in </w:t>
      </w:r>
      <w:r w:rsidRPr="54C11273">
        <w:rPr>
          <w:i/>
        </w:rPr>
        <w:t>Interventions</w:t>
      </w:r>
      <w:r w:rsidRPr="54C11273">
        <w:t xml:space="preserve">) that might </w:t>
      </w:r>
      <w:r w:rsidRPr="54C11273">
        <w:rPr>
          <w:rFonts w:cs="Arial"/>
        </w:rPr>
        <w:t>provide more insight in the next financial year.</w:t>
      </w:r>
    </w:p>
    <w:p w14:paraId="7B090BA3" w14:textId="77777777" w:rsidR="00781D2B" w:rsidRDefault="00781D2B">
      <w:pPr>
        <w:spacing w:line="259" w:lineRule="auto"/>
        <w:ind w:right="0"/>
        <w:rPr>
          <w:rFonts w:cs="Arial"/>
        </w:rPr>
      </w:pPr>
      <w:r>
        <w:rPr>
          <w:rFonts w:cs="Arial"/>
        </w:rPr>
        <w:br w:type="page"/>
      </w:r>
    </w:p>
    <w:p w14:paraId="38BE75BB" w14:textId="4212C556" w:rsidR="0022191B" w:rsidRDefault="00AC7EA3" w:rsidP="54C11273">
      <w:pPr>
        <w:spacing w:before="240"/>
        <w:rPr>
          <w:rFonts w:cs="Arial"/>
        </w:rPr>
      </w:pPr>
      <w:r w:rsidRPr="00195DF4">
        <w:rPr>
          <w:noProof/>
          <w:color w:val="8D361E"/>
          <w:lang w:eastAsia="en-AU"/>
        </w:rPr>
        <w:lastRenderedPageBreak/>
        <mc:AlternateContent>
          <mc:Choice Requires="wps">
            <w:drawing>
              <wp:anchor distT="0" distB="0" distL="114300" distR="114300" simplePos="0" relativeHeight="251658246" behindDoc="1" locked="0" layoutInCell="1" allowOverlap="1" wp14:anchorId="51BA401F" wp14:editId="5CA82A03">
                <wp:simplePos x="0" y="0"/>
                <wp:positionH relativeFrom="page">
                  <wp:posOffset>-2540</wp:posOffset>
                </wp:positionH>
                <wp:positionV relativeFrom="paragraph">
                  <wp:posOffset>-1137123</wp:posOffset>
                </wp:positionV>
                <wp:extent cx="7553325" cy="10668000"/>
                <wp:effectExtent l="0" t="0" r="9525" b="0"/>
                <wp:wrapNone/>
                <wp:docPr id="29" name="Rectangle 29" descr="Rectangular blue block which covers the top quarter of the page. The chapter title sits inside the rectangle in white text. All headings in this chapter are blue. " title="Decorative colour block"/>
                <wp:cNvGraphicFramePr/>
                <a:graphic xmlns:a="http://schemas.openxmlformats.org/drawingml/2006/main">
                  <a:graphicData uri="http://schemas.microsoft.com/office/word/2010/wordprocessingShape">
                    <wps:wsp>
                      <wps:cNvSpPr/>
                      <wps:spPr>
                        <a:xfrm>
                          <a:off x="0" y="0"/>
                          <a:ext cx="7553325" cy="10668000"/>
                        </a:xfrm>
                        <a:prstGeom prst="rect">
                          <a:avLst/>
                        </a:prstGeom>
                        <a:solidFill>
                          <a:srgbClr val="8D361E"/>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BFE9C7A" id="Rectangle 29" o:spid="_x0000_s1026" alt="Title: Decorative colour block - Description: Rectangular blue block which covers the top quarter of the page. The chapter title sits inside the rectangle in white text. All headings in this chapter are blue. " style="position:absolute;margin-left:-.2pt;margin-top:-89.55pt;width:594.75pt;height:840pt;z-index:-251658234;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" fillcolor="#8d361e" stroked="f" strokeweight="1pt">
                <w10:wrap anchorx="page"/>
              </v:rect>
            </w:pict>
          </mc:Fallback>
        </mc:AlternateContent>
      </w:r>
      <w:r w:rsidR="00B54B85" w:rsidRPr="00195DF4">
        <w:rPr>
          <w:noProof/>
          <w:color w:val="8D361E"/>
          <w:lang w:eastAsia="en-AU"/>
        </w:rPr>
        <w:drawing>
          <wp:anchor distT="0" distB="0" distL="114300" distR="114300" simplePos="0" relativeHeight="251658252" behindDoc="1" locked="0" layoutInCell="1" allowOverlap="1" wp14:anchorId="795430FD" wp14:editId="03F3C73A">
            <wp:simplePos x="0" y="0"/>
            <wp:positionH relativeFrom="page">
              <wp:posOffset>7051675</wp:posOffset>
            </wp:positionH>
            <wp:positionV relativeFrom="paragraph">
              <wp:posOffset>-1133366</wp:posOffset>
            </wp:positionV>
            <wp:extent cx="544830" cy="10857011"/>
            <wp:effectExtent l="0" t="0" r="7620" b="1905"/>
            <wp:wrapNone/>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ur bar full 15m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44830" cy="10857011"/>
                    </a:xfrm>
                    <a:prstGeom prst="rect">
                      <a:avLst/>
                    </a:prstGeom>
                  </pic:spPr>
                </pic:pic>
              </a:graphicData>
            </a:graphic>
            <wp14:sizeRelH relativeFrom="page">
              <wp14:pctWidth>0</wp14:pctWidth>
            </wp14:sizeRelH>
            <wp14:sizeRelV relativeFrom="page">
              <wp14:pctHeight>0</wp14:pctHeight>
            </wp14:sizeRelV>
          </wp:anchor>
        </w:drawing>
      </w:r>
    </w:p>
    <w:p w14:paraId="672E7E9D" w14:textId="6E1B4103" w:rsidR="005C7541" w:rsidRPr="005C7541" w:rsidRDefault="005C7541" w:rsidP="005C7541">
      <w:pPr>
        <w:rPr>
          <w:lang w:eastAsia="en-AU"/>
        </w:rPr>
      </w:pPr>
    </w:p>
    <w:p w14:paraId="0652353C" w14:textId="77777777" w:rsidR="00374AB8" w:rsidRDefault="00374AB8" w:rsidP="00F54D35">
      <w:pPr>
        <w:pStyle w:val="Chapterheading"/>
      </w:pPr>
      <w:bookmarkStart w:id="331" w:name="_Toc85451762"/>
    </w:p>
    <w:p w14:paraId="4C01F04A" w14:textId="77777777" w:rsidR="00374AB8" w:rsidRDefault="00374AB8" w:rsidP="00F54D35">
      <w:pPr>
        <w:pStyle w:val="Chapterheading"/>
      </w:pPr>
    </w:p>
    <w:p w14:paraId="62CABEA5" w14:textId="77777777" w:rsidR="00374AB8" w:rsidRDefault="00374AB8" w:rsidP="00F54D35">
      <w:pPr>
        <w:pStyle w:val="Chapterheading"/>
      </w:pPr>
    </w:p>
    <w:p w14:paraId="264A4407" w14:textId="4735C7EB" w:rsidR="0024786F" w:rsidRDefault="7278B151" w:rsidP="00F54D35">
      <w:pPr>
        <w:pStyle w:val="Chapterheading"/>
      </w:pPr>
      <w:bookmarkStart w:id="332" w:name="_Toc85526692"/>
      <w:bookmarkStart w:id="333" w:name="_Toc85787107"/>
      <w:r>
        <w:t>Human rights and the public sector</w:t>
      </w:r>
      <w:bookmarkEnd w:id="331"/>
      <w:bookmarkEnd w:id="332"/>
      <w:bookmarkEnd w:id="333"/>
    </w:p>
    <w:p w14:paraId="75436EDD" w14:textId="77777777" w:rsidR="0024786F" w:rsidRDefault="0024786F">
      <w:pPr>
        <w:spacing w:line="259" w:lineRule="auto"/>
        <w:ind w:right="0"/>
        <w:rPr>
          <w:rFonts w:eastAsia="Times New Roman" w:cs="Times New Roman"/>
          <w:bCs/>
          <w:color w:val="FFFFFF" w:themeColor="background1"/>
          <w:kern w:val="36"/>
          <w:sz w:val="72"/>
          <w:szCs w:val="48"/>
          <w:lang w:eastAsia="en-AU"/>
        </w:rPr>
      </w:pPr>
      <w:r>
        <w:br w:type="page"/>
      </w:r>
    </w:p>
    <w:p w14:paraId="59806226" w14:textId="36C6AD41" w:rsidR="001B24C0" w:rsidRPr="00407FA9" w:rsidRDefault="001B24C0" w:rsidP="00F54D35">
      <w:pPr>
        <w:pStyle w:val="Heading1"/>
        <w:rPr>
          <w:color w:val="8D361E"/>
        </w:rPr>
      </w:pPr>
      <w:bookmarkStart w:id="334" w:name="_Toc84593886"/>
      <w:bookmarkStart w:id="335" w:name="_Toc85451763"/>
      <w:bookmarkStart w:id="336" w:name="_Toc85526693"/>
      <w:bookmarkStart w:id="337" w:name="_Toc85787108"/>
      <w:r w:rsidRPr="00407FA9">
        <w:rPr>
          <w:color w:val="8D361E"/>
        </w:rPr>
        <w:lastRenderedPageBreak/>
        <w:t>Obligations on public entities</w:t>
      </w:r>
      <w:bookmarkEnd w:id="334"/>
      <w:bookmarkEnd w:id="335"/>
      <w:bookmarkEnd w:id="336"/>
      <w:bookmarkEnd w:id="337"/>
    </w:p>
    <w:p w14:paraId="1C90B64E" w14:textId="2F820E61" w:rsidR="0F3FE187" w:rsidRPr="008A00EB" w:rsidRDefault="003F03FD" w:rsidP="00B306DA">
      <w:r w:rsidRPr="008A00EB">
        <w:t>P</w:t>
      </w:r>
      <w:r w:rsidR="0F3FE187" w:rsidRPr="008A00EB">
        <w:t xml:space="preserve">ublic entities have obligations to act and make decisions in a way that is compatible with human rights. </w:t>
      </w:r>
      <w:r w:rsidR="00A952B9">
        <w:t xml:space="preserve">This section provides an update on </w:t>
      </w:r>
      <w:r w:rsidR="00DC1921">
        <w:t xml:space="preserve">how the </w:t>
      </w:r>
      <w:r w:rsidR="00A952B9">
        <w:t>Act</w:t>
      </w:r>
      <w:r w:rsidR="00DC1921">
        <w:t xml:space="preserve"> is making an impact on </w:t>
      </w:r>
      <w:r w:rsidR="00A952B9">
        <w:t>state public entities, councils, tertiary institutions and functional public entities.</w:t>
      </w:r>
    </w:p>
    <w:p w14:paraId="59649291" w14:textId="4C08D7AC" w:rsidR="001B24C0" w:rsidRPr="00407FA9" w:rsidRDefault="009A0A52" w:rsidP="00F54D35">
      <w:pPr>
        <w:pStyle w:val="Heading1"/>
        <w:rPr>
          <w:color w:val="8D361E"/>
        </w:rPr>
      </w:pPr>
      <w:bookmarkStart w:id="338" w:name="_Toc84593887"/>
      <w:bookmarkStart w:id="339" w:name="_Toc85451764"/>
      <w:bookmarkStart w:id="340" w:name="_Toc85526694"/>
      <w:bookmarkStart w:id="341" w:name="_Toc85787109"/>
      <w:r w:rsidRPr="00407FA9">
        <w:rPr>
          <w:color w:val="8D361E"/>
        </w:rPr>
        <w:t>P</w:t>
      </w:r>
      <w:r w:rsidR="001B24C0" w:rsidRPr="00407FA9">
        <w:rPr>
          <w:color w:val="8D361E"/>
        </w:rPr>
        <w:t xml:space="preserve">ublic sector </w:t>
      </w:r>
      <w:r w:rsidRPr="00407FA9">
        <w:rPr>
          <w:color w:val="8D361E"/>
        </w:rPr>
        <w:t>training</w:t>
      </w:r>
      <w:bookmarkEnd w:id="338"/>
      <w:bookmarkEnd w:id="339"/>
      <w:bookmarkEnd w:id="340"/>
      <w:bookmarkEnd w:id="341"/>
    </w:p>
    <w:p w14:paraId="11560E8A" w14:textId="23B6C45B" w:rsidR="11D40F4C" w:rsidRDefault="008639C5" w:rsidP="00027C6D">
      <w:r>
        <w:t xml:space="preserve">While there was less demand for human rights training when compared with the </w:t>
      </w:r>
      <w:r w:rsidR="00A41C8A">
        <w:t>extremely</w:t>
      </w:r>
      <w:r>
        <w:t xml:space="preserve"> high demand in 2019</w:t>
      </w:r>
      <w:r w:rsidR="00750952">
        <w:t>–</w:t>
      </w:r>
      <w:r>
        <w:t>20, i</w:t>
      </w:r>
      <w:r w:rsidR="003F03FD" w:rsidRPr="008A00EB">
        <w:t xml:space="preserve">n </w:t>
      </w:r>
      <w:r w:rsidR="00027C6D">
        <w:t>2020</w:t>
      </w:r>
      <w:r w:rsidR="003F03FD" w:rsidRPr="008A00EB">
        <w:t>–</w:t>
      </w:r>
      <w:r w:rsidR="00027C6D">
        <w:t>21</w:t>
      </w:r>
      <w:r>
        <w:t xml:space="preserve"> </w:t>
      </w:r>
      <w:r w:rsidR="00157590">
        <w:t xml:space="preserve">the Commission </w:t>
      </w:r>
      <w:r w:rsidR="00A41C8A">
        <w:t>again</w:t>
      </w:r>
      <w:r>
        <w:t xml:space="preserve"> </w:t>
      </w:r>
      <w:r w:rsidR="00157590">
        <w:t>provided</w:t>
      </w:r>
      <w:r>
        <w:t xml:space="preserve"> </w:t>
      </w:r>
      <w:r w:rsidR="00A41C8A">
        <w:t>substantial</w:t>
      </w:r>
      <w:r w:rsidR="00157590">
        <w:t xml:space="preserve"> training for public sector entities about human rights.</w:t>
      </w:r>
      <w:r>
        <w:t xml:space="preserve"> The number of sessions conducted is outlined below.</w:t>
      </w:r>
    </w:p>
    <w:p w14:paraId="092C740A" w14:textId="4AB2D3F1" w:rsidR="00F14640" w:rsidRDefault="00F14640" w:rsidP="00F14640">
      <w:pPr>
        <w:pStyle w:val="Caption"/>
      </w:pPr>
      <w:r>
        <w:t>Table</w:t>
      </w:r>
      <w:r w:rsidR="00E722E8">
        <w:t xml:space="preserve"> 5</w:t>
      </w:r>
      <w:r>
        <w:t>: Training sessions conducted by the Commission 2020-21</w:t>
      </w:r>
    </w:p>
    <w:tbl>
      <w:tblPr>
        <w:tblStyle w:val="TableGrid"/>
        <w:tblW w:w="0" w:type="auto"/>
        <w:tblBorders>
          <w:top w:val="single" w:sz="4" w:space="0" w:color="8D361E"/>
          <w:left w:val="none" w:sz="0" w:space="0" w:color="auto"/>
          <w:bottom w:val="single" w:sz="4" w:space="0" w:color="8D361E"/>
          <w:right w:val="none" w:sz="0" w:space="0" w:color="auto"/>
          <w:insideH w:val="single" w:sz="4" w:space="0" w:color="8D361E"/>
          <w:insideV w:val="none" w:sz="0" w:space="0" w:color="auto"/>
        </w:tblBorders>
        <w:tblLayout w:type="fixed"/>
        <w:tblLook w:val="04A0" w:firstRow="1" w:lastRow="0" w:firstColumn="1" w:lastColumn="0" w:noHBand="0" w:noVBand="1"/>
      </w:tblPr>
      <w:tblGrid>
        <w:gridCol w:w="6096"/>
        <w:gridCol w:w="1559"/>
      </w:tblGrid>
      <w:tr w:rsidR="00804885" w:rsidRPr="00F14640" w14:paraId="2454BEDE" w14:textId="77777777" w:rsidTr="00E13A80">
        <w:tc>
          <w:tcPr>
            <w:tcW w:w="6096" w:type="dxa"/>
          </w:tcPr>
          <w:p w14:paraId="0C07C829" w14:textId="273D5A57" w:rsidR="00804885" w:rsidRPr="00E13A80" w:rsidRDefault="00804885" w:rsidP="00F14640">
            <w:pPr>
              <w:pStyle w:val="TableTextHeading"/>
              <w:rPr>
                <w:color w:val="8D361E"/>
              </w:rPr>
            </w:pPr>
            <w:r w:rsidRPr="00E13A80">
              <w:rPr>
                <w:color w:val="8D361E"/>
              </w:rPr>
              <w:t>Training</w:t>
            </w:r>
            <w:r w:rsidR="00643131" w:rsidRPr="00E13A80">
              <w:rPr>
                <w:color w:val="8D361E"/>
              </w:rPr>
              <w:t xml:space="preserve"> </w:t>
            </w:r>
          </w:p>
        </w:tc>
        <w:tc>
          <w:tcPr>
            <w:tcW w:w="1559" w:type="dxa"/>
          </w:tcPr>
          <w:p w14:paraId="219676B5" w14:textId="241E8A7D" w:rsidR="00804885" w:rsidRPr="00E13A80" w:rsidRDefault="00804885" w:rsidP="00F14640">
            <w:pPr>
              <w:pStyle w:val="TableTextHeading"/>
              <w:rPr>
                <w:color w:val="8D361E"/>
              </w:rPr>
            </w:pPr>
            <w:r w:rsidRPr="00E13A80">
              <w:rPr>
                <w:color w:val="8D361E"/>
              </w:rPr>
              <w:t xml:space="preserve">Number </w:t>
            </w:r>
          </w:p>
        </w:tc>
      </w:tr>
      <w:tr w:rsidR="00804885" w:rsidRPr="00C276D9" w14:paraId="38C6A027" w14:textId="77777777" w:rsidTr="00E13A80">
        <w:tc>
          <w:tcPr>
            <w:tcW w:w="6096" w:type="dxa"/>
          </w:tcPr>
          <w:p w14:paraId="70E76A39" w14:textId="10A9D433" w:rsidR="00804885" w:rsidRPr="008639C5" w:rsidRDefault="00804885" w:rsidP="00F14640">
            <w:pPr>
              <w:pStyle w:val="TableText"/>
              <w:rPr>
                <w:rFonts w:cs="Arial"/>
              </w:rPr>
            </w:pPr>
            <w:r w:rsidRPr="00C276D9">
              <w:rPr>
                <w:rFonts w:cs="Arial"/>
              </w:rPr>
              <w:t>Introduction to the Human</w:t>
            </w:r>
            <w:r w:rsidR="00F14640">
              <w:t xml:space="preserve"> </w:t>
            </w:r>
            <w:r w:rsidR="008639C5">
              <w:rPr>
                <w:rFonts w:cs="Arial"/>
              </w:rPr>
              <w:t>Rights Act</w:t>
            </w:r>
          </w:p>
        </w:tc>
        <w:tc>
          <w:tcPr>
            <w:tcW w:w="1559" w:type="dxa"/>
          </w:tcPr>
          <w:p w14:paraId="78E30869" w14:textId="3269C850" w:rsidR="00804885" w:rsidRPr="00C276D9" w:rsidRDefault="00804885" w:rsidP="00F14640">
            <w:pPr>
              <w:pStyle w:val="TableText"/>
            </w:pPr>
            <w:r w:rsidRPr="00C276D9">
              <w:t>48</w:t>
            </w:r>
          </w:p>
        </w:tc>
      </w:tr>
      <w:tr w:rsidR="00804885" w:rsidRPr="00C276D9" w14:paraId="34493285" w14:textId="77777777" w:rsidTr="00E13A80">
        <w:tc>
          <w:tcPr>
            <w:tcW w:w="6096" w:type="dxa"/>
          </w:tcPr>
          <w:p w14:paraId="1D98EFDB" w14:textId="60A13828" w:rsidR="00804885" w:rsidRPr="00C276D9" w:rsidRDefault="00804885" w:rsidP="00F14640">
            <w:pPr>
              <w:pStyle w:val="TableText"/>
              <w:rPr>
                <w:rFonts w:cs="Arial"/>
              </w:rPr>
            </w:pPr>
            <w:r w:rsidRPr="00C276D9">
              <w:rPr>
                <w:rFonts w:cs="Arial"/>
              </w:rPr>
              <w:t>Introduction to the Human</w:t>
            </w:r>
            <w:r w:rsidR="00F14640">
              <w:t xml:space="preserve"> </w:t>
            </w:r>
            <w:r w:rsidRPr="00C276D9">
              <w:rPr>
                <w:rFonts w:cs="Arial"/>
              </w:rPr>
              <w:t xml:space="preserve">Rights Act </w:t>
            </w:r>
            <w:r w:rsidRPr="00C276D9">
              <w:rPr>
                <w:rFonts w:ascii="ArialMT" w:hAnsi="ArialMT" w:cs="ArialMT"/>
              </w:rPr>
              <w:t xml:space="preserve">– </w:t>
            </w:r>
            <w:r w:rsidRPr="00C276D9">
              <w:rPr>
                <w:rFonts w:cs="Arial"/>
              </w:rPr>
              <w:t>webinar</w:t>
            </w:r>
          </w:p>
        </w:tc>
        <w:tc>
          <w:tcPr>
            <w:tcW w:w="1559" w:type="dxa"/>
          </w:tcPr>
          <w:p w14:paraId="0F36618E" w14:textId="678B5454" w:rsidR="00804885" w:rsidRPr="00C276D9" w:rsidRDefault="00804885" w:rsidP="00F14640">
            <w:pPr>
              <w:pStyle w:val="TableText"/>
            </w:pPr>
            <w:r w:rsidRPr="00C276D9">
              <w:t>20</w:t>
            </w:r>
          </w:p>
        </w:tc>
      </w:tr>
      <w:tr w:rsidR="00804885" w:rsidRPr="00C276D9" w14:paraId="5B5B7B44" w14:textId="77777777" w:rsidTr="00E13A80">
        <w:tc>
          <w:tcPr>
            <w:tcW w:w="6096" w:type="dxa"/>
          </w:tcPr>
          <w:p w14:paraId="316B1743" w14:textId="6743D308" w:rsidR="00804885" w:rsidRPr="00C276D9" w:rsidRDefault="00804885" w:rsidP="00F14640">
            <w:pPr>
              <w:pStyle w:val="TableText"/>
              <w:rPr>
                <w:rFonts w:cs="Arial"/>
              </w:rPr>
            </w:pPr>
            <w:r w:rsidRPr="00C276D9">
              <w:rPr>
                <w:rFonts w:cs="Arial"/>
              </w:rPr>
              <w:t>Introduction to the Human</w:t>
            </w:r>
            <w:r w:rsidR="00F14640">
              <w:t xml:space="preserve"> </w:t>
            </w:r>
            <w:r w:rsidRPr="00C276D9">
              <w:rPr>
                <w:rFonts w:cs="Arial"/>
              </w:rPr>
              <w:t xml:space="preserve">Rights Act </w:t>
            </w:r>
            <w:r w:rsidRPr="00C276D9">
              <w:rPr>
                <w:rFonts w:ascii="ArialMT" w:hAnsi="ArialMT" w:cs="ArialMT"/>
              </w:rPr>
              <w:t xml:space="preserve">– </w:t>
            </w:r>
            <w:r w:rsidR="008639C5">
              <w:rPr>
                <w:rFonts w:cs="Arial"/>
              </w:rPr>
              <w:t>train-the-trainer</w:t>
            </w:r>
          </w:p>
        </w:tc>
        <w:tc>
          <w:tcPr>
            <w:tcW w:w="1559" w:type="dxa"/>
          </w:tcPr>
          <w:p w14:paraId="74682B8B" w14:textId="3ED154B1" w:rsidR="00804885" w:rsidRPr="00C276D9" w:rsidRDefault="00804885" w:rsidP="00F14640">
            <w:pPr>
              <w:pStyle w:val="TableText"/>
            </w:pPr>
            <w:r w:rsidRPr="00C276D9">
              <w:t>11</w:t>
            </w:r>
          </w:p>
        </w:tc>
      </w:tr>
      <w:tr w:rsidR="00804885" w:rsidRPr="00C276D9" w14:paraId="01D8AA35" w14:textId="77777777" w:rsidTr="00E13A80">
        <w:tc>
          <w:tcPr>
            <w:tcW w:w="6096" w:type="dxa"/>
          </w:tcPr>
          <w:p w14:paraId="1CBC1668" w14:textId="0D96FD9E" w:rsidR="00804885" w:rsidRPr="00C276D9" w:rsidRDefault="00804885" w:rsidP="00F14640">
            <w:pPr>
              <w:pStyle w:val="TableText"/>
              <w:rPr>
                <w:rFonts w:cs="Arial"/>
              </w:rPr>
            </w:pPr>
            <w:r w:rsidRPr="00C276D9">
              <w:rPr>
                <w:rFonts w:cs="Arial"/>
              </w:rPr>
              <w:t>Human rights in mental</w:t>
            </w:r>
            <w:r w:rsidR="00F14640">
              <w:t xml:space="preserve"> </w:t>
            </w:r>
            <w:r w:rsidRPr="00C276D9">
              <w:rPr>
                <w:rFonts w:cs="Arial"/>
              </w:rPr>
              <w:t>he</w:t>
            </w:r>
            <w:r w:rsidR="008639C5">
              <w:rPr>
                <w:rFonts w:cs="Arial"/>
              </w:rPr>
              <w:t xml:space="preserve">alth </w:t>
            </w:r>
            <w:r w:rsidR="00F72C97">
              <w:rPr>
                <w:rFonts w:cs="Arial"/>
              </w:rPr>
              <w:t>–</w:t>
            </w:r>
            <w:r w:rsidR="008639C5">
              <w:rPr>
                <w:rFonts w:cs="Arial"/>
              </w:rPr>
              <w:t xml:space="preserve"> webinar</w:t>
            </w:r>
            <w:r w:rsidR="00F72C97">
              <w:rPr>
                <w:rFonts w:cs="Arial"/>
              </w:rPr>
              <w:t xml:space="preserve"> </w:t>
            </w:r>
          </w:p>
        </w:tc>
        <w:tc>
          <w:tcPr>
            <w:tcW w:w="1559" w:type="dxa"/>
          </w:tcPr>
          <w:p w14:paraId="76B466CC" w14:textId="077FCD30" w:rsidR="00804885" w:rsidRPr="00C276D9" w:rsidRDefault="00804885" w:rsidP="00F14640">
            <w:pPr>
              <w:pStyle w:val="TableText"/>
            </w:pPr>
            <w:r w:rsidRPr="00C276D9">
              <w:t>15</w:t>
            </w:r>
          </w:p>
        </w:tc>
      </w:tr>
    </w:tbl>
    <w:p w14:paraId="22E7F66C" w14:textId="45A09FA8" w:rsidR="00C276D9" w:rsidRDefault="00C276D9" w:rsidP="00804885">
      <w:pPr>
        <w:rPr>
          <w:rFonts w:cs="Arial"/>
          <w:b/>
          <w:bCs/>
          <w:sz w:val="20"/>
          <w:szCs w:val="20"/>
        </w:rPr>
      </w:pPr>
    </w:p>
    <w:p w14:paraId="7AEA9633" w14:textId="07501C1D" w:rsidR="00C945D5" w:rsidRDefault="00A637BA" w:rsidP="00283488">
      <w:pPr>
        <w:pStyle w:val="Heading1"/>
        <w:rPr>
          <w:color w:val="8D361E"/>
        </w:rPr>
      </w:pPr>
      <w:bookmarkStart w:id="342" w:name="_Toc84593888"/>
      <w:bookmarkStart w:id="343" w:name="_Toc85451765"/>
      <w:bookmarkStart w:id="344" w:name="_Toc85526695"/>
      <w:bookmarkStart w:id="345" w:name="_Toc85787110"/>
      <w:r>
        <w:rPr>
          <w:color w:val="8D361E"/>
        </w:rPr>
        <w:t>Human Rights U</w:t>
      </w:r>
      <w:r w:rsidR="00F14640">
        <w:rPr>
          <w:color w:val="8D361E"/>
        </w:rPr>
        <w:t xml:space="preserve">nit </w:t>
      </w:r>
      <w:r>
        <w:rPr>
          <w:color w:val="8D361E"/>
        </w:rPr>
        <w:t>update</w:t>
      </w:r>
      <w:bookmarkEnd w:id="342"/>
      <w:bookmarkEnd w:id="343"/>
      <w:bookmarkEnd w:id="344"/>
      <w:bookmarkEnd w:id="345"/>
    </w:p>
    <w:p w14:paraId="3A8731C4" w14:textId="213671EB" w:rsidR="00C945D5" w:rsidRDefault="00C945D5" w:rsidP="005D1C0E">
      <w:r>
        <w:t xml:space="preserve">In the first year of the Act, the </w:t>
      </w:r>
      <w:r w:rsidR="53C829BF">
        <w:t xml:space="preserve">Department of Justice and Attorney-General's </w:t>
      </w:r>
      <w:r w:rsidR="00F14640">
        <w:t>Human Rights Unit (</w:t>
      </w:r>
      <w:r>
        <w:t>HRU</w:t>
      </w:r>
      <w:r w:rsidR="00F14640">
        <w:t>)</w:t>
      </w:r>
      <w:r>
        <w:t xml:space="preserve"> was critical in coordinating </w:t>
      </w:r>
      <w:r w:rsidR="00726C7D">
        <w:t>the implementation of the Act</w:t>
      </w:r>
      <w:r>
        <w:t xml:space="preserve"> approach across the state government. </w:t>
      </w:r>
    </w:p>
    <w:p w14:paraId="6AFE040D" w14:textId="68376054" w:rsidR="00C945D5" w:rsidRDefault="00C945D5" w:rsidP="005D1C0E">
      <w:r>
        <w:t>In 2020-21, the HRU has continued to:</w:t>
      </w:r>
    </w:p>
    <w:p w14:paraId="55E39C65" w14:textId="77777777" w:rsidR="00C945D5" w:rsidRPr="00D42CF5" w:rsidRDefault="00C945D5" w:rsidP="00D42CF5">
      <w:pPr>
        <w:pStyle w:val="Quote"/>
      </w:pPr>
      <w:r w:rsidRPr="00D42CF5">
        <w:t xml:space="preserve">…serve a central leadership, coordination and support role for Queensland Government departments as well as continuing the process of embedding human rights into business-as-usual operations. </w:t>
      </w:r>
    </w:p>
    <w:p w14:paraId="2A272848" w14:textId="77777777" w:rsidR="00C945D5" w:rsidRPr="00D42CF5" w:rsidRDefault="00C945D5" w:rsidP="00D42CF5">
      <w:pPr>
        <w:pStyle w:val="Quote"/>
      </w:pPr>
      <w:r w:rsidRPr="00D42CF5">
        <w:t xml:space="preserve">The HRU developed and distributed communication and awareness resources, factsheets, and guides, and delivered education and training to policy and legislation officers. It also supported departments in their reviews of legislation, policies and procedures for compatibility with human rights by providing resources, information and advice. </w:t>
      </w:r>
    </w:p>
    <w:p w14:paraId="00446F4F" w14:textId="0FA825BB" w:rsidR="00C945D5" w:rsidRPr="00D42CF5" w:rsidRDefault="00C945D5" w:rsidP="00D42CF5">
      <w:pPr>
        <w:pStyle w:val="Quote"/>
      </w:pPr>
      <w:r w:rsidRPr="00D42CF5">
        <w:lastRenderedPageBreak/>
        <w:t>After the initial period of preparing government departments for commencement of the Human Rights Act 2019, the HRU’s efforts have focused on supporting departments to embed human rights into their business as usual activities.</w:t>
      </w:r>
      <w:r w:rsidRPr="00D42CF5">
        <w:rPr>
          <w:rStyle w:val="FootnoteReference"/>
          <w:vertAlign w:val="baseline"/>
        </w:rPr>
        <w:footnoteReference w:id="71"/>
      </w:r>
    </w:p>
    <w:p w14:paraId="0720A18D" w14:textId="58A278BE" w:rsidR="009949CD" w:rsidRPr="00283488" w:rsidRDefault="00016E00" w:rsidP="00283488">
      <w:pPr>
        <w:pStyle w:val="Heading1"/>
        <w:rPr>
          <w:color w:val="8D361E"/>
        </w:rPr>
      </w:pPr>
      <w:bookmarkStart w:id="346" w:name="_Toc84593889"/>
      <w:bookmarkStart w:id="347" w:name="_Toc85451766"/>
      <w:bookmarkStart w:id="348" w:name="_Toc85526696"/>
      <w:bookmarkStart w:id="349" w:name="_Toc85787111"/>
      <w:r w:rsidRPr="00283488">
        <w:rPr>
          <w:color w:val="8D361E"/>
        </w:rPr>
        <w:t>D</w:t>
      </w:r>
      <w:r w:rsidR="566FF7BC" w:rsidRPr="00283488">
        <w:rPr>
          <w:color w:val="8D361E"/>
        </w:rPr>
        <w:t xml:space="preserve">eveloping </w:t>
      </w:r>
      <w:r w:rsidR="00383B5E" w:rsidRPr="00283488">
        <w:rPr>
          <w:color w:val="8D361E"/>
        </w:rPr>
        <w:t xml:space="preserve">a </w:t>
      </w:r>
      <w:r w:rsidR="566FF7BC" w:rsidRPr="00283488">
        <w:rPr>
          <w:color w:val="8D361E"/>
        </w:rPr>
        <w:t>human rights culture</w:t>
      </w:r>
      <w:bookmarkEnd w:id="346"/>
      <w:bookmarkEnd w:id="347"/>
      <w:bookmarkEnd w:id="348"/>
      <w:bookmarkEnd w:id="349"/>
    </w:p>
    <w:p w14:paraId="0DA5FB0F" w14:textId="45F413BD" w:rsidR="03812686" w:rsidRDefault="00B67E40" w:rsidP="00B306DA">
      <w:r>
        <w:t xml:space="preserve">The </w:t>
      </w:r>
      <w:r>
        <w:rPr>
          <w:i/>
        </w:rPr>
        <w:t>Human Rights Act 2019</w:t>
      </w:r>
      <w:r>
        <w:t xml:space="preserve"> contains a key object of developing a human rights culture in the Queensland public sector, where </w:t>
      </w:r>
      <w:r w:rsidR="003F7C16">
        <w:t xml:space="preserve">the human </w:t>
      </w:r>
      <w:r>
        <w:t>rights of individual people are respected and promoted.</w:t>
      </w:r>
    </w:p>
    <w:p w14:paraId="5ED91A16" w14:textId="4FE7357E" w:rsidR="002709CF" w:rsidRPr="00E13A80" w:rsidRDefault="008D6841" w:rsidP="00B04FF8">
      <w:pPr>
        <w:pStyle w:val="Heading2"/>
        <w:rPr>
          <w:color w:val="8D361E"/>
        </w:rPr>
      </w:pPr>
      <w:bookmarkStart w:id="350" w:name="_Toc56451588"/>
      <w:bookmarkStart w:id="351" w:name="_Toc56452162"/>
      <w:bookmarkStart w:id="352" w:name="_Toc84593890"/>
      <w:bookmarkStart w:id="353" w:name="_Toc85451767"/>
      <w:bookmarkStart w:id="354" w:name="_Toc85526697"/>
      <w:bookmarkStart w:id="355" w:name="_Toc85787112"/>
      <w:r w:rsidRPr="00E13A80">
        <w:rPr>
          <w:color w:val="8D361E"/>
        </w:rPr>
        <w:t>Cascading culture change m</w:t>
      </w:r>
      <w:r w:rsidR="002709CF" w:rsidRPr="00E13A80">
        <w:rPr>
          <w:color w:val="8D361E"/>
        </w:rPr>
        <w:t>odel</w:t>
      </w:r>
      <w:bookmarkEnd w:id="350"/>
      <w:bookmarkEnd w:id="351"/>
      <w:bookmarkEnd w:id="352"/>
      <w:bookmarkEnd w:id="353"/>
      <w:bookmarkEnd w:id="354"/>
      <w:bookmarkEnd w:id="355"/>
    </w:p>
    <w:p w14:paraId="17111F50" w14:textId="673542B4" w:rsidR="00042B37" w:rsidRDefault="00B67E40" w:rsidP="5DC2D8A9">
      <w:r>
        <w:t>In the previous financial year</w:t>
      </w:r>
      <w:r w:rsidR="00CB4C94">
        <w:t>,</w:t>
      </w:r>
      <w:r>
        <w:t xml:space="preserve"> t</w:t>
      </w:r>
      <w:r w:rsidR="002E297A">
        <w:t>he Commission adopted the c</w:t>
      </w:r>
      <w:r w:rsidR="00996403">
        <w:t xml:space="preserve">ascading </w:t>
      </w:r>
      <w:r w:rsidR="008D6841">
        <w:t>culture change model</w:t>
      </w:r>
      <w:r w:rsidR="00383B5E">
        <w:t xml:space="preserve"> </w:t>
      </w:r>
      <w:r w:rsidR="0054175E">
        <w:t xml:space="preserve">in which </w:t>
      </w:r>
      <w:r w:rsidR="00383B5E">
        <w:t xml:space="preserve">human rights culture </w:t>
      </w:r>
      <w:r w:rsidR="00016E00" w:rsidRPr="008A00EB">
        <w:t>starts with</w:t>
      </w:r>
      <w:r w:rsidR="0062549D" w:rsidRPr="008A00EB">
        <w:t xml:space="preserve"> legislation</w:t>
      </w:r>
      <w:r w:rsidR="049F2A07" w:rsidRPr="008A00EB">
        <w:t xml:space="preserve"> and flow</w:t>
      </w:r>
      <w:r w:rsidR="00016E00" w:rsidRPr="008A00EB">
        <w:t>s</w:t>
      </w:r>
      <w:r w:rsidR="049F2A07" w:rsidRPr="008A00EB">
        <w:t xml:space="preserve"> down</w:t>
      </w:r>
      <w:r w:rsidR="00D4549A">
        <w:t xml:space="preserve"> through </w:t>
      </w:r>
      <w:r w:rsidR="00D32F2D">
        <w:t>regulations</w:t>
      </w:r>
      <w:r w:rsidR="00D4549A">
        <w:t>, policies, procedures</w:t>
      </w:r>
      <w:r w:rsidR="00CB4C94">
        <w:t>,</w:t>
      </w:r>
      <w:r w:rsidR="00D4549A">
        <w:t xml:space="preserve"> and services</w:t>
      </w:r>
      <w:r w:rsidR="00087DA9">
        <w:t xml:space="preserve"> through to</w:t>
      </w:r>
      <w:r w:rsidR="049F2A07" w:rsidRPr="008A00EB">
        <w:t xml:space="preserve"> the </w:t>
      </w:r>
      <w:r w:rsidR="00493705" w:rsidRPr="008A00EB">
        <w:t>individual</w:t>
      </w:r>
      <w:r w:rsidR="00B522C0">
        <w:t>.</w:t>
      </w:r>
    </w:p>
    <w:p w14:paraId="0DC38300" w14:textId="07AC0550" w:rsidR="00616233" w:rsidRDefault="00B522C0" w:rsidP="00E3148E">
      <w:pPr>
        <w:pStyle w:val="Caption"/>
      </w:pPr>
      <w:r w:rsidRPr="00DB29EA">
        <w:t xml:space="preserve">Figure </w:t>
      </w:r>
      <w:r w:rsidR="008549E7" w:rsidRPr="00DB29EA">
        <w:t>3</w:t>
      </w:r>
      <w:r w:rsidRPr="00DB29EA">
        <w:t xml:space="preserve">: Cascading culture change model </w:t>
      </w:r>
    </w:p>
    <w:p w14:paraId="44FAE6D6" w14:textId="21771096" w:rsidR="00F44A1F" w:rsidRPr="00F44A1F" w:rsidRDefault="00F44A1F" w:rsidP="00F44A1F">
      <w:r>
        <w:rPr>
          <w:noProof/>
          <w:lang w:eastAsia="en-AU"/>
        </w:rPr>
        <w:drawing>
          <wp:inline distT="0" distB="0" distL="0" distR="0" wp14:anchorId="6FC40A2E" wp14:editId="62B3BF8E">
            <wp:extent cx="6247130" cy="2983865"/>
            <wp:effectExtent l="0" t="0" r="1270" b="6985"/>
            <wp:docPr id="21" name="Picture 21"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Figure 3: Cascading culture change model&#10;&#10;This diagram shows the cascading culture change model of human rights, where change flows from legislation through regulations, policies, procedures and service delivery to individual members of the community. &#10;&#10;The diagram shows a series of six rectangles stepping downward from the top left corner of the image to the bottom right. Each has an arrow curving down to the rectangle below it, to demonstrate the flow of change. From top to bottom these rectangles are labelled in white text: Legislation (navy rectangle), Regulations (blue), Policies (aqua), Procedures (gold), Service Delivery (orange), and a brown box at the bottom contains white people icons to represent the community. &#10;&#10;Down the left hand side of the image is a grey rectangle which says Leadership. Grey arrows extend from this to each of the top five boxes of the cascade, to demonstrate that leadership is needed at each level to champion human rights culture change. "/>
                    <pic:cNvPicPr/>
                  </pic:nvPicPr>
                  <pic:blipFill>
                    <a:blip r:embed="rId54" cstate="print">
                      <a:extLst>
                        <a:ext uri="{28A0092B-C50C-407E-A947-70E740481C1C}">
                          <a14:useLocalDpi xmlns:a14="http://schemas.microsoft.com/office/drawing/2010/main" val="0"/>
                        </a:ext>
                      </a:extLst>
                    </a:blip>
                    <a:stretch>
                      <a:fillRect/>
                    </a:stretch>
                  </pic:blipFill>
                  <pic:spPr>
                    <a:xfrm>
                      <a:off x="0" y="0"/>
                      <a:ext cx="6247130" cy="2983865"/>
                    </a:xfrm>
                    <a:prstGeom prst="rect">
                      <a:avLst/>
                    </a:prstGeom>
                  </pic:spPr>
                </pic:pic>
              </a:graphicData>
            </a:graphic>
          </wp:inline>
        </w:drawing>
      </w:r>
    </w:p>
    <w:p w14:paraId="1E9F0978" w14:textId="24C89AC1" w:rsidR="049F2A07" w:rsidRPr="008A00EB" w:rsidRDefault="049F2A07" w:rsidP="5DC2D8A9"/>
    <w:p w14:paraId="497C33D8" w14:textId="4FBC52C8" w:rsidR="00996403" w:rsidRDefault="00996403" w:rsidP="002E297A">
      <w:r>
        <w:lastRenderedPageBreak/>
        <w:t xml:space="preserve">The model recognises that unless legislation and regulations are human rights compatible, there will be </w:t>
      </w:r>
      <w:r w:rsidR="00555AFB">
        <w:t>limited</w:t>
      </w:r>
      <w:r>
        <w:t xml:space="preserve"> benefit in changing policies and procedures. Similarly, service delivery is unlikely to </w:t>
      </w:r>
      <w:r w:rsidR="008E0D29">
        <w:t>improve</w:t>
      </w:r>
      <w:r>
        <w:t xml:space="preserve"> if policies and procedures are not human rig</w:t>
      </w:r>
      <w:r w:rsidR="004952E2">
        <w:t xml:space="preserve">hts compliant. </w:t>
      </w:r>
      <w:r w:rsidR="004952E2" w:rsidRPr="00016078">
        <w:t xml:space="preserve">For a human rights culture to develop, strong leadership needs to be present at </w:t>
      </w:r>
      <w:r w:rsidR="002C7328" w:rsidRPr="00016078">
        <w:t>every stage:</w:t>
      </w:r>
      <w:r w:rsidR="004952E2" w:rsidRPr="00016078">
        <w:t xml:space="preserve"> at the strategic, operational levels and among individua</w:t>
      </w:r>
      <w:r w:rsidR="00016078" w:rsidRPr="00016078">
        <w:t xml:space="preserve">l public sector workers on the </w:t>
      </w:r>
      <w:r w:rsidR="004952E2" w:rsidRPr="00016078">
        <w:t>front line.</w:t>
      </w:r>
    </w:p>
    <w:p w14:paraId="0FFB971B" w14:textId="078A6D5F" w:rsidR="00042B37" w:rsidRPr="00E13A80" w:rsidRDefault="00042B37" w:rsidP="00042B37">
      <w:pPr>
        <w:pStyle w:val="Heading2"/>
        <w:rPr>
          <w:color w:val="8D361E"/>
        </w:rPr>
      </w:pPr>
      <w:bookmarkStart w:id="356" w:name="_Toc84593891"/>
      <w:bookmarkStart w:id="357" w:name="_Toc85451768"/>
      <w:bookmarkStart w:id="358" w:name="_Toc85526698"/>
      <w:bookmarkStart w:id="359" w:name="_Toc85787113"/>
      <w:r w:rsidRPr="00E13A80">
        <w:rPr>
          <w:color w:val="8D361E"/>
        </w:rPr>
        <w:t>Human rights leadership</w:t>
      </w:r>
      <w:bookmarkEnd w:id="356"/>
      <w:bookmarkEnd w:id="357"/>
      <w:bookmarkEnd w:id="358"/>
      <w:bookmarkEnd w:id="359"/>
    </w:p>
    <w:p w14:paraId="22FE8E6A" w14:textId="466BFC86" w:rsidR="00042B37" w:rsidRDefault="00042B37" w:rsidP="002E297A">
      <w:r>
        <w:t xml:space="preserve">For this financial year the Commission has focussed on the theme of leadership. How can leaders in the public service prioritise human rights to ensure that culture change steadily continues to grow in an organisation? During a global pandemic, the importance of human rights leadership is elevated as leaders are increasingly required to balance rights in extremely challenging and complex social and economic contexts. While managing crises </w:t>
      </w:r>
      <w:r w:rsidR="000128A1">
        <w:t>has</w:t>
      </w:r>
      <w:r>
        <w:t xml:space="preserve"> always been a feature of leadership in Queensland, a state impacted heavily by natural disasters, the sustained nature of the COVID-19 pandemic and need for ongoing responses to rapidly changing circumstances has increased the need for leadership</w:t>
      </w:r>
      <w:r w:rsidR="00111096">
        <w:t xml:space="preserve"> where human rights </w:t>
      </w:r>
      <w:r w:rsidR="000128A1">
        <w:t>are</w:t>
      </w:r>
      <w:r w:rsidR="00111096">
        <w:t xml:space="preserve"> front and centre in strategic decision-making</w:t>
      </w:r>
      <w:r>
        <w:t>.</w:t>
      </w:r>
    </w:p>
    <w:p w14:paraId="01BCA58E" w14:textId="77777777" w:rsidR="00C521AF" w:rsidRDefault="00C521AF">
      <w:pPr>
        <w:spacing w:line="259" w:lineRule="auto"/>
        <w:ind w:right="0"/>
        <w:rPr>
          <w:rFonts w:eastAsia="Times New Roman" w:cs="Times New Roman"/>
          <w:bCs/>
          <w:color w:val="8D361E"/>
          <w:kern w:val="36"/>
          <w:sz w:val="48"/>
          <w:szCs w:val="48"/>
          <w:lang w:eastAsia="en-AU"/>
        </w:rPr>
      </w:pPr>
      <w:bookmarkStart w:id="360" w:name="_Toc84593892"/>
      <w:bookmarkStart w:id="361" w:name="_Toc85451769"/>
      <w:bookmarkStart w:id="362" w:name="_Toc85526699"/>
      <w:bookmarkStart w:id="363" w:name="_Toc85787114"/>
      <w:r>
        <w:rPr>
          <w:color w:val="8D361E"/>
        </w:rPr>
        <w:br w:type="page"/>
      </w:r>
    </w:p>
    <w:p w14:paraId="61C4419B" w14:textId="718B22A2" w:rsidR="00F060C8" w:rsidRPr="00283488" w:rsidRDefault="00F060C8" w:rsidP="00283488">
      <w:pPr>
        <w:pStyle w:val="Heading1"/>
        <w:rPr>
          <w:color w:val="8D361E"/>
        </w:rPr>
      </w:pPr>
      <w:r w:rsidRPr="00283488">
        <w:rPr>
          <w:color w:val="8D361E"/>
        </w:rPr>
        <w:lastRenderedPageBreak/>
        <w:t xml:space="preserve">Indicators of </w:t>
      </w:r>
      <w:r w:rsidR="00855554" w:rsidRPr="00283488">
        <w:rPr>
          <w:color w:val="8D361E"/>
        </w:rPr>
        <w:t xml:space="preserve">a </w:t>
      </w:r>
      <w:r w:rsidRPr="00283488">
        <w:rPr>
          <w:color w:val="8D361E"/>
        </w:rPr>
        <w:t>human rights culture</w:t>
      </w:r>
      <w:bookmarkEnd w:id="360"/>
      <w:bookmarkEnd w:id="361"/>
      <w:bookmarkEnd w:id="362"/>
      <w:bookmarkEnd w:id="363"/>
    </w:p>
    <w:p w14:paraId="259290FD" w14:textId="7EBD18CE" w:rsidR="00F060C8" w:rsidRPr="008A00EB" w:rsidRDefault="00FE26B3" w:rsidP="00155D95">
      <w:r>
        <w:t>In the first year of the Act, t</w:t>
      </w:r>
      <w:r w:rsidR="00F060C8" w:rsidRPr="008A00EB">
        <w:t xml:space="preserve">he Commission developed a set of </w:t>
      </w:r>
      <w:r w:rsidR="001574C2" w:rsidRPr="008A00EB">
        <w:t xml:space="preserve">7 </w:t>
      </w:r>
      <w:r w:rsidR="00E2479B">
        <w:t>i</w:t>
      </w:r>
      <w:r w:rsidR="00F060C8" w:rsidRPr="008A00EB">
        <w:t>ndicators that identi</w:t>
      </w:r>
      <w:r w:rsidR="001574C2" w:rsidRPr="008A00EB">
        <w:t>fy</w:t>
      </w:r>
      <w:r w:rsidR="00F060C8" w:rsidRPr="008A00EB">
        <w:t xml:space="preserve"> actions that may further the development of a human rights culture</w:t>
      </w:r>
      <w:r w:rsidR="00767E07">
        <w:t xml:space="preserve">, reflecting </w:t>
      </w:r>
      <w:r w:rsidR="00E2479B">
        <w:t xml:space="preserve">the Cascading </w:t>
      </w:r>
      <w:r w:rsidR="00D40232">
        <w:t>culture change m</w:t>
      </w:r>
      <w:r w:rsidR="00E2479B">
        <w:t>odel</w:t>
      </w:r>
      <w:r w:rsidR="00542ADB">
        <w:t>:</w:t>
      </w:r>
    </w:p>
    <w:p w14:paraId="10F025EA" w14:textId="77777777" w:rsidR="009B7880" w:rsidRPr="008A00EB" w:rsidRDefault="009B7880" w:rsidP="001C2C5E">
      <w:pPr>
        <w:ind w:left="720"/>
        <w:rPr>
          <w:rFonts w:cs="Arial"/>
          <w:lang w:val="en-US"/>
        </w:rPr>
      </w:pPr>
      <w:r w:rsidRPr="00F54D35">
        <w:rPr>
          <w:rFonts w:cs="Arial"/>
          <w:b/>
          <w:color w:val="8D361E"/>
          <w:lang w:val="en-US"/>
        </w:rPr>
        <w:t>Indicator 1:</w:t>
      </w:r>
      <w:r w:rsidRPr="008A00EB">
        <w:rPr>
          <w:rFonts w:cs="Arial"/>
          <w:lang w:val="en-US"/>
        </w:rPr>
        <w:tab/>
        <w:t>Education and staff development</w:t>
      </w:r>
    </w:p>
    <w:p w14:paraId="223110ED" w14:textId="50FDBDCA" w:rsidR="009B7880" w:rsidRPr="008A00EB" w:rsidRDefault="009B7880" w:rsidP="00F54D35">
      <w:pPr>
        <w:ind w:left="2160" w:hanging="1440"/>
        <w:rPr>
          <w:rFonts w:cs="Arial"/>
          <w:lang w:val="en-US"/>
        </w:rPr>
      </w:pPr>
      <w:r w:rsidRPr="00F54D35">
        <w:rPr>
          <w:rFonts w:cs="Arial"/>
          <w:b/>
          <w:color w:val="8D361E"/>
          <w:lang w:val="en-US"/>
        </w:rPr>
        <w:t>Indicator 2:</w:t>
      </w:r>
      <w:r w:rsidRPr="008A00EB">
        <w:rPr>
          <w:rFonts w:cs="Arial"/>
          <w:lang w:val="en-US"/>
        </w:rPr>
        <w:tab/>
        <w:t>Community consultation and engagement about human rights</w:t>
      </w:r>
    </w:p>
    <w:p w14:paraId="4F6317D5" w14:textId="77777777" w:rsidR="009B7880" w:rsidRPr="008A00EB" w:rsidRDefault="009B7880" w:rsidP="008C6E31">
      <w:pPr>
        <w:ind w:left="2160" w:hanging="1440"/>
        <w:rPr>
          <w:rFonts w:cs="Arial"/>
          <w:lang w:val="en-US"/>
        </w:rPr>
      </w:pPr>
      <w:r w:rsidRPr="00F54D35">
        <w:rPr>
          <w:rFonts w:cs="Arial"/>
          <w:b/>
          <w:color w:val="8D361E"/>
          <w:lang w:val="en-US"/>
        </w:rPr>
        <w:t>Indicator 3:</w:t>
      </w:r>
      <w:r w:rsidRPr="008A00EB">
        <w:rPr>
          <w:rFonts w:cs="Arial"/>
          <w:lang w:val="en-US"/>
        </w:rPr>
        <w:tab/>
        <w:t>Awareness raising and support for related entities (including functional public entities engaged by the public entities i.e. contractors)</w:t>
      </w:r>
    </w:p>
    <w:p w14:paraId="6AB7A863" w14:textId="7A629F36" w:rsidR="009B7880" w:rsidRPr="008A00EB" w:rsidRDefault="009B7880" w:rsidP="008C6E31">
      <w:pPr>
        <w:ind w:left="2160" w:hanging="1440"/>
        <w:rPr>
          <w:rFonts w:cs="Arial"/>
          <w:lang w:val="en-US"/>
        </w:rPr>
      </w:pPr>
      <w:r w:rsidRPr="00F54D35">
        <w:rPr>
          <w:rFonts w:cs="Arial"/>
          <w:b/>
          <w:color w:val="8D361E"/>
          <w:lang w:val="en-US"/>
        </w:rPr>
        <w:t>Indicator 4:</w:t>
      </w:r>
      <w:r w:rsidRPr="008A00EB">
        <w:rPr>
          <w:rFonts w:cs="Arial"/>
          <w:lang w:val="en-US"/>
        </w:rPr>
        <w:tab/>
        <w:t>Reviews and development of legislation or subordinate legislation</w:t>
      </w:r>
      <w:r w:rsidR="008C6E31" w:rsidRPr="008A00EB">
        <w:rPr>
          <w:rFonts w:cs="Arial"/>
          <w:lang w:val="en-US"/>
        </w:rPr>
        <w:t xml:space="preserve"> / local laws</w:t>
      </w:r>
      <w:r w:rsidR="00F61B22" w:rsidRPr="008A00EB">
        <w:rPr>
          <w:rFonts w:cs="Arial"/>
          <w:lang w:val="en-US"/>
        </w:rPr>
        <w:t xml:space="preserve"> or subordinate local laws</w:t>
      </w:r>
    </w:p>
    <w:p w14:paraId="38B6A450" w14:textId="77777777" w:rsidR="009B7880" w:rsidRPr="008A00EB" w:rsidRDefault="009B7880" w:rsidP="001C2C5E">
      <w:pPr>
        <w:ind w:left="720"/>
        <w:rPr>
          <w:rFonts w:cs="Arial"/>
          <w:lang w:val="en-US"/>
        </w:rPr>
      </w:pPr>
      <w:r w:rsidRPr="00F54D35">
        <w:rPr>
          <w:rFonts w:cs="Arial"/>
          <w:b/>
          <w:color w:val="8D361E"/>
          <w:lang w:val="en-US"/>
        </w:rPr>
        <w:t>Indicator 5:</w:t>
      </w:r>
      <w:r w:rsidRPr="008A00EB">
        <w:rPr>
          <w:rFonts w:cs="Arial"/>
          <w:lang w:val="en-US"/>
        </w:rPr>
        <w:tab/>
        <w:t>Review of policies and procedures</w:t>
      </w:r>
    </w:p>
    <w:p w14:paraId="563B4215" w14:textId="77777777" w:rsidR="009B7880" w:rsidRPr="008A00EB" w:rsidRDefault="009B7880" w:rsidP="008C6E31">
      <w:pPr>
        <w:ind w:left="2160" w:hanging="1440"/>
        <w:rPr>
          <w:rFonts w:cs="Arial"/>
          <w:lang w:val="en-US"/>
        </w:rPr>
      </w:pPr>
      <w:r w:rsidRPr="00F54D35">
        <w:rPr>
          <w:rFonts w:cs="Arial"/>
          <w:b/>
          <w:color w:val="8D361E"/>
          <w:lang w:val="en-US"/>
        </w:rPr>
        <w:t>Indicator 6:</w:t>
      </w:r>
      <w:r w:rsidRPr="008A00EB">
        <w:rPr>
          <w:rFonts w:cs="Arial"/>
          <w:lang w:val="en-US"/>
        </w:rPr>
        <w:tab/>
        <w:t>Implementation of internal complaint management for human rights complaints</w:t>
      </w:r>
    </w:p>
    <w:p w14:paraId="28416EEA" w14:textId="3D7DCC40" w:rsidR="009B7880" w:rsidRDefault="009B7880" w:rsidP="001C2C5E">
      <w:pPr>
        <w:ind w:left="720"/>
        <w:rPr>
          <w:rFonts w:cs="Arial"/>
          <w:lang w:val="en-US"/>
        </w:rPr>
      </w:pPr>
      <w:r w:rsidRPr="00F54D35">
        <w:rPr>
          <w:rFonts w:cs="Arial"/>
          <w:b/>
          <w:color w:val="8D361E"/>
          <w:lang w:val="en-US"/>
        </w:rPr>
        <w:t>Indicator 7:</w:t>
      </w:r>
      <w:r w:rsidRPr="008A00EB">
        <w:rPr>
          <w:rFonts w:cs="Arial"/>
          <w:lang w:val="en-US"/>
        </w:rPr>
        <w:tab/>
        <w:t>Future plans to further the goals of the Act</w:t>
      </w:r>
    </w:p>
    <w:p w14:paraId="13A93640" w14:textId="75B008C2" w:rsidR="00FE26B3" w:rsidRPr="008A00EB" w:rsidRDefault="00FE26B3" w:rsidP="00FE26B3">
      <w:pPr>
        <w:rPr>
          <w:lang w:val="en-US"/>
        </w:rPr>
      </w:pPr>
      <w:r>
        <w:rPr>
          <w:lang w:val="en-US"/>
        </w:rPr>
        <w:t>While the same indicators were maintained this year</w:t>
      </w:r>
      <w:r w:rsidR="006E669C">
        <w:rPr>
          <w:lang w:val="en-US"/>
        </w:rPr>
        <w:t xml:space="preserve"> to ensure efficient measurement can happen over time</w:t>
      </w:r>
      <w:r>
        <w:rPr>
          <w:lang w:val="en-US"/>
        </w:rPr>
        <w:t xml:space="preserve">, the questions </w:t>
      </w:r>
      <w:r w:rsidR="006E669C">
        <w:rPr>
          <w:lang w:val="en-US"/>
        </w:rPr>
        <w:t>used to prompt responses from</w:t>
      </w:r>
      <w:r>
        <w:rPr>
          <w:lang w:val="en-US"/>
        </w:rPr>
        <w:t xml:space="preserve"> public entities changed – this was intended to reflect that most public entities had already to a large exte</w:t>
      </w:r>
      <w:r w:rsidR="00486A7D">
        <w:rPr>
          <w:lang w:val="en-US"/>
        </w:rPr>
        <w:t xml:space="preserve">nt implemented and </w:t>
      </w:r>
      <w:proofErr w:type="spellStart"/>
      <w:r w:rsidR="00486A7D">
        <w:rPr>
          <w:lang w:val="en-US"/>
        </w:rPr>
        <w:t>operationalis</w:t>
      </w:r>
      <w:r>
        <w:rPr>
          <w:lang w:val="en-US"/>
        </w:rPr>
        <w:t>ed</w:t>
      </w:r>
      <w:proofErr w:type="spellEnd"/>
      <w:r>
        <w:rPr>
          <w:lang w:val="en-US"/>
        </w:rPr>
        <w:t xml:space="preserve"> the Act. Therefore, the questions this year were focused on what might come next after the initial implementation of the Act.</w:t>
      </w:r>
    </w:p>
    <w:p w14:paraId="52CF69C8" w14:textId="5B64326E" w:rsidR="001574C2" w:rsidRPr="008A00EB" w:rsidRDefault="001574C2" w:rsidP="001574C2">
      <w:r w:rsidRPr="008A00EB">
        <w:t xml:space="preserve">See </w:t>
      </w:r>
      <w:r w:rsidRPr="002473E9">
        <w:rPr>
          <w:i/>
        </w:rPr>
        <w:t xml:space="preserve">Appendix </w:t>
      </w:r>
      <w:r w:rsidR="00F146AF">
        <w:rPr>
          <w:i/>
        </w:rPr>
        <w:t xml:space="preserve">B </w:t>
      </w:r>
      <w:r w:rsidR="00F146AF" w:rsidRPr="001135CD">
        <w:t xml:space="preserve">from page </w:t>
      </w:r>
      <w:r w:rsidR="008D2686">
        <w:t>172</w:t>
      </w:r>
      <w:r w:rsidR="00F146AF">
        <w:t xml:space="preserve"> of this report</w:t>
      </w:r>
      <w:r w:rsidRPr="008A00EB">
        <w:t xml:space="preserve"> for the full </w:t>
      </w:r>
      <w:r w:rsidRPr="008A00EB">
        <w:rPr>
          <w:i/>
        </w:rPr>
        <w:t>Indicators of a Developing Human Rights Culture</w:t>
      </w:r>
      <w:r w:rsidR="00FE26B3">
        <w:rPr>
          <w:i/>
        </w:rPr>
        <w:t xml:space="preserve"> </w:t>
      </w:r>
      <w:r w:rsidR="00FE26B3">
        <w:t>including the specific questions asked of public entities</w:t>
      </w:r>
      <w:r w:rsidRPr="008A00EB">
        <w:t>.</w:t>
      </w:r>
    </w:p>
    <w:p w14:paraId="6AAA3CA9" w14:textId="212115BF" w:rsidR="001574C2" w:rsidRPr="008A00EB" w:rsidRDefault="001574C2" w:rsidP="00A37587">
      <w:r w:rsidRPr="008A00EB">
        <w:t xml:space="preserve">We </w:t>
      </w:r>
      <w:r w:rsidR="0056468F" w:rsidRPr="008A00EB">
        <w:t>used</w:t>
      </w:r>
      <w:r w:rsidRPr="008A00EB">
        <w:t xml:space="preserve"> the Indicators </w:t>
      </w:r>
      <w:r w:rsidR="0056468F" w:rsidRPr="008A00EB">
        <w:t>to survey</w:t>
      </w:r>
      <w:r w:rsidRPr="008A00EB">
        <w:t xml:space="preserve"> </w:t>
      </w:r>
      <w:r w:rsidR="00736690">
        <w:t>8</w:t>
      </w:r>
      <w:r w:rsidRPr="008A00EB">
        <w:t xml:space="preserve"> state government public entities</w:t>
      </w:r>
      <w:r w:rsidR="00736690">
        <w:t>,</w:t>
      </w:r>
      <w:r w:rsidRPr="008A00EB">
        <w:t xml:space="preserve"> </w:t>
      </w:r>
      <w:r w:rsidRPr="005E2662">
        <w:t>selected</w:t>
      </w:r>
      <w:r w:rsidRPr="008A00EB">
        <w:t xml:space="preserve"> </w:t>
      </w:r>
      <w:r w:rsidR="0056468F" w:rsidRPr="008A00EB">
        <w:t>because of</w:t>
      </w:r>
      <w:r w:rsidRPr="008A00EB">
        <w:t xml:space="preserve"> the relevance of their work to the human rights of people in Queensland. These agencies provided responses to questions about the Indicators:</w:t>
      </w:r>
    </w:p>
    <w:p w14:paraId="6DF06334" w14:textId="77777777" w:rsidR="006B0A91" w:rsidRPr="00E13A80" w:rsidRDefault="006B0A91" w:rsidP="00E13A80">
      <w:pPr>
        <w:pStyle w:val="ListParagraph"/>
      </w:pPr>
      <w:r w:rsidRPr="00E13A80">
        <w:t>Department of Children, Youth Justice and Multicultural Affairs</w:t>
      </w:r>
    </w:p>
    <w:p w14:paraId="3A1AB714" w14:textId="5FC7E7D0" w:rsidR="006B0A91" w:rsidRPr="00E13A80" w:rsidRDefault="006B0A91" w:rsidP="00E13A80">
      <w:pPr>
        <w:pStyle w:val="ListParagraph"/>
      </w:pPr>
      <w:r w:rsidRPr="00E13A80">
        <w:t>Department of Communities, Housing and Digital Economy</w:t>
      </w:r>
    </w:p>
    <w:p w14:paraId="2DEE5767" w14:textId="77777777" w:rsidR="006B0A91" w:rsidRPr="00E13A80" w:rsidRDefault="006B0A91" w:rsidP="00E13A80">
      <w:pPr>
        <w:pStyle w:val="ListParagraph"/>
      </w:pPr>
      <w:r w:rsidRPr="00E13A80">
        <w:t>Department of Education</w:t>
      </w:r>
    </w:p>
    <w:p w14:paraId="2B9BDBCB" w14:textId="77777777" w:rsidR="006B0A91" w:rsidRPr="00E13A80" w:rsidRDefault="006B0A91" w:rsidP="00E13A80">
      <w:pPr>
        <w:pStyle w:val="ListParagraph"/>
      </w:pPr>
      <w:r w:rsidRPr="00E13A80">
        <w:t>Department of Seniors, Disability Services and Aboriginal and Torres Strait Islander Partnerships</w:t>
      </w:r>
    </w:p>
    <w:p w14:paraId="154BB844" w14:textId="77777777" w:rsidR="006B0A91" w:rsidRPr="00E13A80" w:rsidRDefault="006B0A91" w:rsidP="00E13A80">
      <w:pPr>
        <w:pStyle w:val="ListParagraph"/>
      </w:pPr>
      <w:r w:rsidRPr="00E13A80">
        <w:t>Queensland Civil and Administrative Tribunal</w:t>
      </w:r>
    </w:p>
    <w:p w14:paraId="14E8C10D" w14:textId="77777777" w:rsidR="006B0A91" w:rsidRPr="00E13A80" w:rsidRDefault="006B0A91" w:rsidP="00E13A80">
      <w:pPr>
        <w:pStyle w:val="ListParagraph"/>
      </w:pPr>
      <w:r w:rsidRPr="00E13A80">
        <w:lastRenderedPageBreak/>
        <w:t>Queensland Corrective Services</w:t>
      </w:r>
    </w:p>
    <w:p w14:paraId="4042D9FA" w14:textId="0A73520E" w:rsidR="006B0A91" w:rsidRPr="00E13A80" w:rsidRDefault="006B0A91" w:rsidP="00E13A80">
      <w:pPr>
        <w:pStyle w:val="ListParagraph"/>
      </w:pPr>
      <w:r w:rsidRPr="00E13A80">
        <w:t>Queensland Health</w:t>
      </w:r>
    </w:p>
    <w:p w14:paraId="5FB125E2" w14:textId="1B58F54E" w:rsidR="006B0A91" w:rsidRPr="00E13A80" w:rsidRDefault="006B0A91" w:rsidP="00E13A80">
      <w:pPr>
        <w:pStyle w:val="ListParagraph"/>
      </w:pPr>
      <w:r w:rsidRPr="00E13A80">
        <w:t>Queensland Police Service</w:t>
      </w:r>
      <w:r w:rsidR="00BF6EE5">
        <w:t>.</w:t>
      </w:r>
    </w:p>
    <w:p w14:paraId="41D2952C" w14:textId="7DB76B25" w:rsidR="0056468F" w:rsidRPr="00A37587" w:rsidRDefault="0056468F" w:rsidP="00A37587">
      <w:r w:rsidRPr="008A00EB">
        <w:t xml:space="preserve">To broaden the survey, we sought responses from a small cross-section of metropolitan, regional, and remote local governments. Responses to questions about the Indicators were provided by the </w:t>
      </w:r>
      <w:r w:rsidRPr="00A37587">
        <w:t xml:space="preserve">following </w:t>
      </w:r>
      <w:r w:rsidR="00736690">
        <w:t xml:space="preserve">6 </w:t>
      </w:r>
      <w:r w:rsidRPr="00A37587">
        <w:t xml:space="preserve">councils: </w:t>
      </w:r>
    </w:p>
    <w:p w14:paraId="21DAFC6E" w14:textId="1A2580F9" w:rsidR="00912D7D" w:rsidRDefault="006B0A91" w:rsidP="00A37587">
      <w:pPr>
        <w:pStyle w:val="ListParagraph"/>
      </w:pPr>
      <w:r>
        <w:t>Brisbane City Council</w:t>
      </w:r>
    </w:p>
    <w:p w14:paraId="2BD1A102" w14:textId="71A82C31" w:rsidR="006B0A91" w:rsidRDefault="006B0A91" w:rsidP="00A37587">
      <w:pPr>
        <w:pStyle w:val="ListParagraph"/>
      </w:pPr>
      <w:r>
        <w:t>Ipswich City Council</w:t>
      </w:r>
    </w:p>
    <w:p w14:paraId="5BB43A00" w14:textId="16F4AF1D" w:rsidR="006B0A91" w:rsidRDefault="006B0A91" w:rsidP="00A37587">
      <w:pPr>
        <w:pStyle w:val="ListParagraph"/>
      </w:pPr>
      <w:r>
        <w:t>Mackay Regional council</w:t>
      </w:r>
    </w:p>
    <w:p w14:paraId="019F8D00" w14:textId="77777777" w:rsidR="00094805" w:rsidRPr="002A1B03" w:rsidRDefault="00094805" w:rsidP="00094805">
      <w:pPr>
        <w:pStyle w:val="ListParagraph"/>
      </w:pPr>
      <w:r w:rsidRPr="002A1B03">
        <w:t>Gold Coast City Council</w:t>
      </w:r>
    </w:p>
    <w:p w14:paraId="1722852F" w14:textId="77777777" w:rsidR="00094805" w:rsidRPr="00A41C8A" w:rsidRDefault="00094805" w:rsidP="00094805">
      <w:pPr>
        <w:pStyle w:val="ListParagraph"/>
      </w:pPr>
      <w:r w:rsidRPr="00A41C8A">
        <w:t>Logan City Council</w:t>
      </w:r>
    </w:p>
    <w:p w14:paraId="42A7B08E" w14:textId="3EC77C31" w:rsidR="00094805" w:rsidRPr="00E06FD8" w:rsidRDefault="00094805" w:rsidP="00094805">
      <w:pPr>
        <w:pStyle w:val="ListParagraph"/>
      </w:pPr>
      <w:r w:rsidRPr="00E06FD8">
        <w:t>Sunshine Coast Council</w:t>
      </w:r>
      <w:r w:rsidR="00BF6EE5">
        <w:t>.</w:t>
      </w:r>
    </w:p>
    <w:p w14:paraId="72EE1A62" w14:textId="0CA0A6B4" w:rsidR="00912D7D" w:rsidRPr="008A00EB" w:rsidRDefault="00570BD0" w:rsidP="00A37587">
      <w:pPr>
        <w:rPr>
          <w:rFonts w:eastAsiaTheme="minorEastAsia"/>
          <w:iCs/>
          <w:color w:val="000000" w:themeColor="text1"/>
          <w:szCs w:val="20"/>
        </w:rPr>
      </w:pPr>
      <w:r w:rsidRPr="008A00EB">
        <w:t xml:space="preserve">The full responses from the public entities are not provided below, but rather </w:t>
      </w:r>
      <w:r w:rsidR="008C7C86">
        <w:t xml:space="preserve">this section contains </w:t>
      </w:r>
      <w:r w:rsidRPr="008A00EB">
        <w:t xml:space="preserve">a </w:t>
      </w:r>
      <w:r w:rsidR="00886E3B" w:rsidRPr="008A00EB">
        <w:t xml:space="preserve">general </w:t>
      </w:r>
      <w:r w:rsidRPr="008A00EB">
        <w:t>summary and highlights from the informa</w:t>
      </w:r>
      <w:r w:rsidR="008C7C86">
        <w:t>tion provided to the Commission, furnished with examples.</w:t>
      </w:r>
    </w:p>
    <w:p w14:paraId="3DCC082E" w14:textId="77777777" w:rsidR="00C521AF" w:rsidRDefault="00C521AF">
      <w:pPr>
        <w:spacing w:line="259" w:lineRule="auto"/>
        <w:ind w:right="0"/>
        <w:rPr>
          <w:rFonts w:eastAsia="Times New Roman" w:cs="Times New Roman"/>
          <w:bCs/>
          <w:color w:val="8D361E"/>
          <w:kern w:val="36"/>
          <w:sz w:val="48"/>
          <w:szCs w:val="48"/>
          <w:lang w:eastAsia="en-AU"/>
        </w:rPr>
      </w:pPr>
      <w:bookmarkStart w:id="364" w:name="_Toc84593893"/>
      <w:bookmarkStart w:id="365" w:name="_Toc85451770"/>
      <w:bookmarkStart w:id="366" w:name="_Toc85526700"/>
      <w:bookmarkStart w:id="367" w:name="_Toc85787115"/>
      <w:r>
        <w:rPr>
          <w:color w:val="8D361E"/>
        </w:rPr>
        <w:br w:type="page"/>
      </w:r>
    </w:p>
    <w:p w14:paraId="76036F07" w14:textId="3D27E013" w:rsidR="004667A3" w:rsidRPr="00283488" w:rsidRDefault="004667A3" w:rsidP="00283488">
      <w:pPr>
        <w:pStyle w:val="Heading1"/>
        <w:rPr>
          <w:color w:val="8D361E"/>
        </w:rPr>
      </w:pPr>
      <w:r w:rsidRPr="00283488">
        <w:rPr>
          <w:color w:val="8D361E"/>
        </w:rPr>
        <w:lastRenderedPageBreak/>
        <w:t>State public entities</w:t>
      </w:r>
      <w:bookmarkEnd w:id="364"/>
      <w:bookmarkEnd w:id="365"/>
      <w:bookmarkEnd w:id="366"/>
      <w:bookmarkEnd w:id="367"/>
    </w:p>
    <w:p w14:paraId="6BAF77F1" w14:textId="33EF9B59" w:rsidR="5DC2D8A9" w:rsidRPr="003B343D" w:rsidRDefault="5F20DB18" w:rsidP="00B04FF8">
      <w:pPr>
        <w:pStyle w:val="Heading2"/>
        <w:rPr>
          <w:color w:val="8D361E"/>
        </w:rPr>
      </w:pPr>
      <w:bookmarkStart w:id="368" w:name="_Toc56451591"/>
      <w:bookmarkStart w:id="369" w:name="_Toc56452165"/>
      <w:bookmarkStart w:id="370" w:name="_Toc84593894"/>
      <w:bookmarkStart w:id="371" w:name="_Toc85451771"/>
      <w:bookmarkStart w:id="372" w:name="_Toc85526701"/>
      <w:bookmarkStart w:id="373" w:name="_Toc85787116"/>
      <w:r w:rsidRPr="003B343D">
        <w:rPr>
          <w:color w:val="8D361E"/>
        </w:rPr>
        <w:t>Indicator 1: Education and staff development</w:t>
      </w:r>
      <w:bookmarkEnd w:id="368"/>
      <w:bookmarkEnd w:id="369"/>
      <w:bookmarkEnd w:id="370"/>
      <w:bookmarkEnd w:id="371"/>
      <w:bookmarkEnd w:id="372"/>
      <w:bookmarkEnd w:id="373"/>
    </w:p>
    <w:p w14:paraId="767B3A89" w14:textId="0EA64301" w:rsidR="0097702C" w:rsidRDefault="0097702C" w:rsidP="006B0A91">
      <w:pPr>
        <w:rPr>
          <w:lang w:eastAsia="en-AU"/>
        </w:rPr>
      </w:pPr>
      <w:r>
        <w:rPr>
          <w:lang w:eastAsia="en-AU"/>
        </w:rPr>
        <w:t>The Commission asked the public entities about staff education, general awareness raising, whether tailored examples were incorporated, the number of staff who had received training and by which delivery method, feedback sought about training and whether training was deli</w:t>
      </w:r>
      <w:r w:rsidR="00B86A03">
        <w:rPr>
          <w:lang w:eastAsia="en-AU"/>
        </w:rPr>
        <w:t>vere</w:t>
      </w:r>
      <w:r>
        <w:rPr>
          <w:lang w:eastAsia="en-AU"/>
        </w:rPr>
        <w:t>d for new staff.</w:t>
      </w:r>
    </w:p>
    <w:p w14:paraId="5B2F2577" w14:textId="30778780" w:rsidR="00596CB4" w:rsidRDefault="006B0A91" w:rsidP="006B0A91">
      <w:pPr>
        <w:rPr>
          <w:lang w:eastAsia="en-AU"/>
        </w:rPr>
      </w:pPr>
      <w:r>
        <w:rPr>
          <w:lang w:eastAsia="en-AU"/>
        </w:rPr>
        <w:t>During the first year, the Commission noted a high uptake of training across the state public entities surveyed</w:t>
      </w:r>
      <w:r w:rsidR="00A23EB5">
        <w:rPr>
          <w:lang w:eastAsia="en-AU"/>
        </w:rPr>
        <w:t xml:space="preserve"> and this trend has </w:t>
      </w:r>
      <w:r w:rsidR="00560720">
        <w:rPr>
          <w:lang w:eastAsia="en-AU"/>
        </w:rPr>
        <w:t>continued</w:t>
      </w:r>
      <w:r w:rsidR="0094399B">
        <w:rPr>
          <w:lang w:eastAsia="en-AU"/>
        </w:rPr>
        <w:t xml:space="preserve"> in most organisations with the majority of surveyed public entities reporting that three quarters of their workforce (or more) have received at least one training module on the Act.</w:t>
      </w:r>
    </w:p>
    <w:p w14:paraId="175E243C" w14:textId="77777777" w:rsidR="00A23EB5" w:rsidRDefault="00A23EB5" w:rsidP="00A23EB5">
      <w:pPr>
        <w:pStyle w:val="Heading3"/>
        <w:rPr>
          <w:color w:val="8D361E"/>
        </w:rPr>
      </w:pPr>
      <w:r w:rsidRPr="00283488">
        <w:rPr>
          <w:color w:val="8D361E"/>
        </w:rPr>
        <w:t>Education and staff development summary</w:t>
      </w:r>
    </w:p>
    <w:p w14:paraId="1D873251" w14:textId="30D9DF8B" w:rsidR="00486A7D" w:rsidRPr="00486A7D" w:rsidRDefault="00486A7D" w:rsidP="00486A7D">
      <w:pPr>
        <w:pStyle w:val="Caption"/>
      </w:pPr>
      <w:r>
        <w:t>Table</w:t>
      </w:r>
      <w:r w:rsidR="005A0209">
        <w:t xml:space="preserve"> 6</w:t>
      </w:r>
      <w:r>
        <w:t>: Training provided by surveyed state government public entities to their employees 2020-21</w:t>
      </w:r>
    </w:p>
    <w:tbl>
      <w:tblPr>
        <w:tblStyle w:val="TableGrid"/>
        <w:tblW w:w="0" w:type="auto"/>
        <w:tblBorders>
          <w:top w:val="single" w:sz="4" w:space="0" w:color="8D361E"/>
          <w:left w:val="none" w:sz="0" w:space="0" w:color="auto"/>
          <w:bottom w:val="single" w:sz="4" w:space="0" w:color="8D361E"/>
          <w:right w:val="none" w:sz="0" w:space="0" w:color="auto"/>
          <w:insideH w:val="single" w:sz="4" w:space="0" w:color="8D361E"/>
          <w:insideV w:val="none" w:sz="0" w:space="0" w:color="auto"/>
        </w:tblBorders>
        <w:tblLook w:val="04A0" w:firstRow="1" w:lastRow="0" w:firstColumn="1" w:lastColumn="0" w:noHBand="0" w:noVBand="1"/>
      </w:tblPr>
      <w:tblGrid>
        <w:gridCol w:w="4230"/>
        <w:gridCol w:w="5512"/>
      </w:tblGrid>
      <w:tr w:rsidR="003B343D" w:rsidRPr="003B343D" w14:paraId="5DA4F988" w14:textId="77777777" w:rsidTr="00451C25">
        <w:tc>
          <w:tcPr>
            <w:tcW w:w="4230" w:type="dxa"/>
          </w:tcPr>
          <w:p w14:paraId="11A0D95B" w14:textId="77777777" w:rsidR="00A23EB5" w:rsidRPr="003B343D" w:rsidRDefault="00A23EB5" w:rsidP="003B343D">
            <w:pPr>
              <w:pStyle w:val="TableTextHeading"/>
              <w:rPr>
                <w:color w:val="8D361E"/>
              </w:rPr>
            </w:pPr>
            <w:r w:rsidRPr="003B343D">
              <w:rPr>
                <w:color w:val="8D361E"/>
              </w:rPr>
              <w:t>State government entity</w:t>
            </w:r>
          </w:p>
        </w:tc>
        <w:tc>
          <w:tcPr>
            <w:tcW w:w="5512" w:type="dxa"/>
          </w:tcPr>
          <w:p w14:paraId="62BF3D71" w14:textId="77777777" w:rsidR="00A23EB5" w:rsidRPr="003B343D" w:rsidRDefault="00A23EB5" w:rsidP="003B343D">
            <w:pPr>
              <w:pStyle w:val="TableTextHeading"/>
              <w:rPr>
                <w:color w:val="8D361E"/>
              </w:rPr>
            </w:pPr>
            <w:r w:rsidRPr="003B343D">
              <w:rPr>
                <w:color w:val="8D361E"/>
              </w:rPr>
              <w:t>Training received during reporting period</w:t>
            </w:r>
          </w:p>
        </w:tc>
      </w:tr>
      <w:tr w:rsidR="00A23EB5" w14:paraId="566A0B2D" w14:textId="77777777" w:rsidTr="00451C25">
        <w:tc>
          <w:tcPr>
            <w:tcW w:w="4230" w:type="dxa"/>
          </w:tcPr>
          <w:p w14:paraId="1D05BC50" w14:textId="77777777" w:rsidR="00A23EB5" w:rsidRDefault="00A23EB5" w:rsidP="003B343D">
            <w:pPr>
              <w:pStyle w:val="TableText"/>
            </w:pPr>
            <w:r>
              <w:t>Queensland Police Service (QPS)</w:t>
            </w:r>
          </w:p>
        </w:tc>
        <w:tc>
          <w:tcPr>
            <w:tcW w:w="5512" w:type="dxa"/>
          </w:tcPr>
          <w:p w14:paraId="0015FDBE" w14:textId="77777777" w:rsidR="00A23EB5" w:rsidRDefault="00A23EB5" w:rsidP="003B343D">
            <w:pPr>
              <w:pStyle w:val="TableText"/>
              <w:rPr>
                <w:bCs/>
              </w:rPr>
            </w:pPr>
            <w:r>
              <w:rPr>
                <w:bCs/>
              </w:rPr>
              <w:t>498 new enrolments</w:t>
            </w:r>
          </w:p>
          <w:p w14:paraId="66B409BC" w14:textId="77777777" w:rsidR="00A23EB5" w:rsidRDefault="00A23EB5" w:rsidP="003B343D">
            <w:pPr>
              <w:pStyle w:val="TableText"/>
              <w:rPr>
                <w:bCs/>
              </w:rPr>
            </w:pPr>
          </w:p>
          <w:p w14:paraId="23E6557B" w14:textId="77777777" w:rsidR="00A23EB5" w:rsidRDefault="00A23EB5" w:rsidP="003B343D">
            <w:pPr>
              <w:pStyle w:val="TableText"/>
            </w:pPr>
            <w:r>
              <w:rPr>
                <w:bCs/>
              </w:rPr>
              <w:t xml:space="preserve">Total of </w:t>
            </w:r>
            <w:r w:rsidRPr="00A979C3">
              <w:rPr>
                <w:bCs/>
              </w:rPr>
              <w:t>15,311 members have now completed the training</w:t>
            </w:r>
            <w:r>
              <w:rPr>
                <w:bCs/>
              </w:rPr>
              <w:t xml:space="preserve"> (approx. 93.9 per cent of sworn and unsworn members)</w:t>
            </w:r>
          </w:p>
        </w:tc>
      </w:tr>
      <w:tr w:rsidR="00A23EB5" w14:paraId="4067D919" w14:textId="77777777" w:rsidTr="00451C25">
        <w:tc>
          <w:tcPr>
            <w:tcW w:w="4230" w:type="dxa"/>
          </w:tcPr>
          <w:p w14:paraId="3D3B9FBB" w14:textId="77777777" w:rsidR="00A23EB5" w:rsidRDefault="00A23EB5" w:rsidP="003B343D">
            <w:pPr>
              <w:pStyle w:val="TableText"/>
            </w:pPr>
            <w:r>
              <w:t>Queensland Civil and Administrative Tribunal (QCAT)</w:t>
            </w:r>
          </w:p>
        </w:tc>
        <w:tc>
          <w:tcPr>
            <w:tcW w:w="5512" w:type="dxa"/>
          </w:tcPr>
          <w:p w14:paraId="336B8F5E" w14:textId="77777777" w:rsidR="00A23EB5" w:rsidRDefault="00A23EB5" w:rsidP="003B343D">
            <w:pPr>
              <w:pStyle w:val="TableText"/>
              <w:rPr>
                <w:bCs/>
              </w:rPr>
            </w:pPr>
            <w:r>
              <w:rPr>
                <w:bCs/>
              </w:rPr>
              <w:t>24 staff received training through learning management system</w:t>
            </w:r>
          </w:p>
        </w:tc>
      </w:tr>
      <w:tr w:rsidR="00A23EB5" w14:paraId="74700A44" w14:textId="77777777" w:rsidTr="00451C25">
        <w:tc>
          <w:tcPr>
            <w:tcW w:w="4230" w:type="dxa"/>
          </w:tcPr>
          <w:p w14:paraId="6B0066A7" w14:textId="77777777" w:rsidR="00A23EB5" w:rsidRDefault="00A23EB5" w:rsidP="003B343D">
            <w:pPr>
              <w:pStyle w:val="TableText"/>
            </w:pPr>
            <w:r>
              <w:t>Department of Children, Youth Justice and Multicultural Affairs (CYJMA)</w:t>
            </w:r>
          </w:p>
        </w:tc>
        <w:tc>
          <w:tcPr>
            <w:tcW w:w="5512" w:type="dxa"/>
          </w:tcPr>
          <w:p w14:paraId="096EF4F4" w14:textId="77777777" w:rsidR="00A23EB5" w:rsidRDefault="00A23EB5" w:rsidP="003B343D">
            <w:pPr>
              <w:pStyle w:val="TableText"/>
              <w:rPr>
                <w:bCs/>
              </w:rPr>
            </w:pPr>
            <w:r>
              <w:rPr>
                <w:bCs/>
              </w:rPr>
              <w:t>858 staff completed mandatory e-learning module on the Act (75% staff overall have completed)</w:t>
            </w:r>
          </w:p>
          <w:p w14:paraId="00B7F7DB" w14:textId="77777777" w:rsidR="00A23EB5" w:rsidRDefault="00A23EB5" w:rsidP="003B343D">
            <w:pPr>
              <w:pStyle w:val="TableText"/>
              <w:rPr>
                <w:bCs/>
              </w:rPr>
            </w:pPr>
          </w:p>
          <w:p w14:paraId="2CAC3D6A" w14:textId="77777777" w:rsidR="00A23EB5" w:rsidRDefault="00A23EB5" w:rsidP="003B343D">
            <w:pPr>
              <w:pStyle w:val="TableText"/>
              <w:rPr>
                <w:bCs/>
              </w:rPr>
            </w:pPr>
            <w:r>
              <w:rPr>
                <w:bCs/>
              </w:rPr>
              <w:t>2633 completed training on a new mandatory online complaints management course which incorporates human rights (65% staff overall have completed)</w:t>
            </w:r>
          </w:p>
          <w:p w14:paraId="66BCCF78" w14:textId="77777777" w:rsidR="00A23EB5" w:rsidRDefault="00A23EB5" w:rsidP="003B343D">
            <w:pPr>
              <w:pStyle w:val="TableText"/>
              <w:rPr>
                <w:bCs/>
              </w:rPr>
            </w:pPr>
          </w:p>
        </w:tc>
      </w:tr>
      <w:tr w:rsidR="00A23EB5" w14:paraId="514E4EE8" w14:textId="77777777" w:rsidTr="00451C25">
        <w:tc>
          <w:tcPr>
            <w:tcW w:w="4230" w:type="dxa"/>
          </w:tcPr>
          <w:p w14:paraId="0946C8CB" w14:textId="77777777" w:rsidR="00A23EB5" w:rsidRDefault="00A23EB5" w:rsidP="003B343D">
            <w:pPr>
              <w:pStyle w:val="TableText"/>
            </w:pPr>
            <w:r>
              <w:rPr>
                <w:rFonts w:cs="Arial"/>
              </w:rPr>
              <w:lastRenderedPageBreak/>
              <w:t xml:space="preserve">Department of Seniors, Disability Services and Aboriginal and Torres Strait Islander Partnerships </w:t>
            </w:r>
            <w:r w:rsidRPr="64FA39BD">
              <w:rPr>
                <w:rFonts w:cs="Arial"/>
              </w:rPr>
              <w:t>(SDSATSIP)</w:t>
            </w:r>
          </w:p>
        </w:tc>
        <w:tc>
          <w:tcPr>
            <w:tcW w:w="5512" w:type="dxa"/>
          </w:tcPr>
          <w:p w14:paraId="7B91D169" w14:textId="2D13AC23" w:rsidR="00A23EB5" w:rsidRDefault="00A23EB5" w:rsidP="003B343D">
            <w:pPr>
              <w:pStyle w:val="TableText"/>
              <w:rPr>
                <w:rFonts w:cs="Arial"/>
              </w:rPr>
            </w:pPr>
            <w:r w:rsidRPr="00292684">
              <w:rPr>
                <w:rFonts w:cs="Arial"/>
              </w:rPr>
              <w:t xml:space="preserve">83.65% of current employees have completed the </w:t>
            </w:r>
            <w:r w:rsidRPr="00292684">
              <w:rPr>
                <w:rFonts w:cs="Arial"/>
                <w:i/>
                <w:iCs/>
              </w:rPr>
              <w:t>Human Rights Act 2019</w:t>
            </w:r>
            <w:r w:rsidRPr="00292684">
              <w:rPr>
                <w:rFonts w:cs="Arial"/>
              </w:rPr>
              <w:t xml:space="preserve"> mandatory awareness training, with a further 958 staff completing the Human Rights role-specific training, and 14 staff completing other role-specific Human Rights training.</w:t>
            </w:r>
            <w:r w:rsidR="00197317">
              <w:rPr>
                <w:rFonts w:cs="Arial"/>
              </w:rPr>
              <w:t xml:space="preserve"> </w:t>
            </w:r>
          </w:p>
          <w:p w14:paraId="241B95CB" w14:textId="77777777" w:rsidR="00A23EB5" w:rsidRDefault="00A23EB5" w:rsidP="003B343D">
            <w:pPr>
              <w:pStyle w:val="TableText"/>
              <w:rPr>
                <w:bCs/>
              </w:rPr>
            </w:pPr>
          </w:p>
        </w:tc>
      </w:tr>
      <w:tr w:rsidR="00A23EB5" w14:paraId="60AD6E02" w14:textId="77777777" w:rsidTr="00451C25">
        <w:tc>
          <w:tcPr>
            <w:tcW w:w="4230" w:type="dxa"/>
          </w:tcPr>
          <w:p w14:paraId="44360308" w14:textId="77777777" w:rsidR="00A23EB5" w:rsidRDefault="00A23EB5" w:rsidP="003B343D">
            <w:pPr>
              <w:pStyle w:val="TableText"/>
              <w:rPr>
                <w:rFonts w:cs="Arial"/>
              </w:rPr>
            </w:pPr>
            <w:r>
              <w:rPr>
                <w:rFonts w:cs="Arial"/>
              </w:rPr>
              <w:t>Department of Education</w:t>
            </w:r>
          </w:p>
        </w:tc>
        <w:tc>
          <w:tcPr>
            <w:tcW w:w="5512" w:type="dxa"/>
          </w:tcPr>
          <w:p w14:paraId="671F2132" w14:textId="77777777" w:rsidR="00A23EB5" w:rsidRPr="00F94659" w:rsidRDefault="00A23EB5" w:rsidP="003B343D">
            <w:pPr>
              <w:pStyle w:val="TableText"/>
              <w:rPr>
                <w:rFonts w:cs="Arial"/>
              </w:rPr>
            </w:pPr>
            <w:r w:rsidRPr="00F94659">
              <w:rPr>
                <w:rFonts w:cs="Arial"/>
              </w:rPr>
              <w:t>Delivered targeted sessions to over 1100 school-based leaders, regional support officers and central office staff</w:t>
            </w:r>
          </w:p>
          <w:p w14:paraId="30496C75" w14:textId="77777777" w:rsidR="00A23EB5" w:rsidRPr="00F94659" w:rsidRDefault="00A23EB5" w:rsidP="003B343D">
            <w:pPr>
              <w:pStyle w:val="TableText"/>
              <w:rPr>
                <w:rFonts w:cs="Arial"/>
              </w:rPr>
            </w:pPr>
          </w:p>
          <w:p w14:paraId="0BD2908F" w14:textId="77777777" w:rsidR="00A23EB5" w:rsidRDefault="00A23EB5" w:rsidP="003B343D">
            <w:pPr>
              <w:pStyle w:val="TableText"/>
              <w:rPr>
                <w:rFonts w:cs="Arial"/>
              </w:rPr>
            </w:pPr>
            <w:r w:rsidRPr="00F94659">
              <w:rPr>
                <w:rFonts w:cs="Arial"/>
              </w:rPr>
              <w:t>Partnered with the Queensland Human Rights Commission (QHRC) to deliver tailored train-the-trainer sessions to over 200 regional and central office staff, between February and September 2021</w:t>
            </w:r>
          </w:p>
          <w:p w14:paraId="28007F70" w14:textId="77777777" w:rsidR="00A23EB5" w:rsidRDefault="00A23EB5" w:rsidP="003B343D">
            <w:pPr>
              <w:pStyle w:val="TableText"/>
              <w:rPr>
                <w:rFonts w:cs="Arial"/>
              </w:rPr>
            </w:pPr>
          </w:p>
          <w:p w14:paraId="3625BC16" w14:textId="77777777" w:rsidR="00A23EB5" w:rsidRPr="00292684" w:rsidRDefault="00A23EB5" w:rsidP="003B343D">
            <w:pPr>
              <w:pStyle w:val="TableText"/>
              <w:rPr>
                <w:rFonts w:cs="Arial"/>
              </w:rPr>
            </w:pPr>
            <w:r>
              <w:rPr>
                <w:rFonts w:cs="Arial"/>
              </w:rPr>
              <w:t>94,000 staff had completed training as of 30 June 2021, in addition to targeted training in certain areas e.g. customer complaints</w:t>
            </w:r>
          </w:p>
        </w:tc>
      </w:tr>
      <w:tr w:rsidR="00A23EB5" w14:paraId="60D9E291" w14:textId="77777777" w:rsidTr="00451C25">
        <w:tc>
          <w:tcPr>
            <w:tcW w:w="4230" w:type="dxa"/>
          </w:tcPr>
          <w:p w14:paraId="786230A5" w14:textId="2190B7AF" w:rsidR="00A23EB5" w:rsidRDefault="00A23EB5" w:rsidP="003B343D">
            <w:pPr>
              <w:pStyle w:val="TableText"/>
              <w:rPr>
                <w:rFonts w:cs="Arial"/>
              </w:rPr>
            </w:pPr>
            <w:r>
              <w:rPr>
                <w:rFonts w:cs="Arial"/>
              </w:rPr>
              <w:t>Queensland Health</w:t>
            </w:r>
            <w:r w:rsidR="00224BD2">
              <w:rPr>
                <w:rFonts w:cs="Arial"/>
              </w:rPr>
              <w:t xml:space="preserve"> (QH)</w:t>
            </w:r>
          </w:p>
        </w:tc>
        <w:tc>
          <w:tcPr>
            <w:tcW w:w="5512" w:type="dxa"/>
          </w:tcPr>
          <w:p w14:paraId="04FA756F" w14:textId="77777777" w:rsidR="00224BD2" w:rsidRDefault="00224BD2" w:rsidP="003B343D">
            <w:pPr>
              <w:pStyle w:val="TableText"/>
              <w:rPr>
                <w:rFonts w:cs="Arial"/>
              </w:rPr>
            </w:pPr>
            <w:r>
              <w:rPr>
                <w:rFonts w:cs="Arial"/>
              </w:rPr>
              <w:t>Training intensity depends on level of impact of work activities on human rights – e.g. mental health units</w:t>
            </w:r>
          </w:p>
          <w:p w14:paraId="64B1238A" w14:textId="77777777" w:rsidR="00224BD2" w:rsidRDefault="00224BD2" w:rsidP="003B343D">
            <w:pPr>
              <w:pStyle w:val="TableText"/>
              <w:rPr>
                <w:rFonts w:cs="Arial"/>
              </w:rPr>
            </w:pPr>
          </w:p>
          <w:p w14:paraId="2CBA2055" w14:textId="77777777" w:rsidR="00224BD2" w:rsidRDefault="00224BD2" w:rsidP="003B343D">
            <w:pPr>
              <w:pStyle w:val="TableText"/>
              <w:rPr>
                <w:rFonts w:cs="Arial"/>
              </w:rPr>
            </w:pPr>
            <w:r>
              <w:rPr>
                <w:rFonts w:cs="Arial"/>
              </w:rPr>
              <w:t>Approx. 1.5% of staff have completed official online training</w:t>
            </w:r>
          </w:p>
          <w:p w14:paraId="307FE568" w14:textId="77777777" w:rsidR="00224BD2" w:rsidRDefault="00224BD2" w:rsidP="003B343D">
            <w:pPr>
              <w:pStyle w:val="TableText"/>
              <w:rPr>
                <w:rFonts w:cs="Arial"/>
              </w:rPr>
            </w:pPr>
          </w:p>
          <w:p w14:paraId="69F115B0" w14:textId="5217D802" w:rsidR="00A23EB5" w:rsidRPr="00292684" w:rsidRDefault="00224BD2" w:rsidP="003B343D">
            <w:pPr>
              <w:pStyle w:val="TableText"/>
              <w:rPr>
                <w:rFonts w:cs="Arial"/>
              </w:rPr>
            </w:pPr>
            <w:r>
              <w:rPr>
                <w:rFonts w:cs="Arial"/>
              </w:rPr>
              <w:t>Difficult to identify overall completion rate as many staff have completed Commission training, Crown law training and/or work unit specific training.</w:t>
            </w:r>
          </w:p>
        </w:tc>
      </w:tr>
      <w:tr w:rsidR="00A23EB5" w14:paraId="6A5F8E93" w14:textId="77777777" w:rsidTr="00451C25">
        <w:tc>
          <w:tcPr>
            <w:tcW w:w="4230" w:type="dxa"/>
          </w:tcPr>
          <w:p w14:paraId="21D5C884" w14:textId="2FC8912D" w:rsidR="00A23EB5" w:rsidRDefault="00A23EB5" w:rsidP="003B343D">
            <w:pPr>
              <w:pStyle w:val="TableText"/>
              <w:rPr>
                <w:rFonts w:cs="Arial"/>
              </w:rPr>
            </w:pPr>
            <w:r>
              <w:rPr>
                <w:rFonts w:cs="Arial"/>
              </w:rPr>
              <w:t>Queensland Corrective Services</w:t>
            </w:r>
            <w:r w:rsidR="00224BD2">
              <w:rPr>
                <w:rFonts w:cs="Arial"/>
              </w:rPr>
              <w:t xml:space="preserve"> (QCS)</w:t>
            </w:r>
          </w:p>
        </w:tc>
        <w:tc>
          <w:tcPr>
            <w:tcW w:w="5512" w:type="dxa"/>
          </w:tcPr>
          <w:p w14:paraId="15D2BDAF" w14:textId="77777777" w:rsidR="002A1B03" w:rsidRDefault="002A1B03" w:rsidP="003B343D">
            <w:pPr>
              <w:pStyle w:val="TableText"/>
              <w:rPr>
                <w:rFonts w:cs="Arial"/>
              </w:rPr>
            </w:pPr>
            <w:r>
              <w:rPr>
                <w:rFonts w:cs="Arial"/>
              </w:rPr>
              <w:t>7094 staff have completed online training across custodial, community corrections and corporate areas.</w:t>
            </w:r>
          </w:p>
          <w:p w14:paraId="74800D57" w14:textId="77777777" w:rsidR="002A1B03" w:rsidRDefault="002A1B03" w:rsidP="003B343D">
            <w:pPr>
              <w:pStyle w:val="TableText"/>
              <w:rPr>
                <w:rFonts w:cs="Arial"/>
              </w:rPr>
            </w:pPr>
          </w:p>
          <w:p w14:paraId="217A42C0" w14:textId="4C264DB6" w:rsidR="00A23EB5" w:rsidRPr="00292684" w:rsidRDefault="002A1B03" w:rsidP="003B343D">
            <w:pPr>
              <w:pStyle w:val="TableText"/>
              <w:rPr>
                <w:rFonts w:cs="Arial"/>
              </w:rPr>
            </w:pPr>
            <w:r>
              <w:rPr>
                <w:rFonts w:cs="Arial"/>
              </w:rPr>
              <w:t>700 are enrolled in mandatory training.</w:t>
            </w:r>
          </w:p>
        </w:tc>
      </w:tr>
      <w:tr w:rsidR="00A23EB5" w14:paraId="60AC25E4" w14:textId="77777777" w:rsidTr="00451C25">
        <w:tc>
          <w:tcPr>
            <w:tcW w:w="4230" w:type="dxa"/>
          </w:tcPr>
          <w:p w14:paraId="6EED7A89" w14:textId="2BD59F2E" w:rsidR="00A23EB5" w:rsidRPr="00981331" w:rsidRDefault="00A23EB5" w:rsidP="003B343D">
            <w:pPr>
              <w:pStyle w:val="TableText"/>
              <w:rPr>
                <w:rFonts w:cs="Arial"/>
                <w:shd w:val="clear" w:color="auto" w:fill="FFFFFF"/>
              </w:rPr>
            </w:pPr>
            <w:r w:rsidRPr="00981331">
              <w:rPr>
                <w:rFonts w:cs="Arial"/>
                <w:shd w:val="clear" w:color="auto" w:fill="FFFFFF"/>
              </w:rPr>
              <w:lastRenderedPageBreak/>
              <w:t>Department of Communities, Housing and Digital Economy</w:t>
            </w:r>
            <w:r w:rsidR="00224BD2">
              <w:rPr>
                <w:rFonts w:cs="Arial"/>
                <w:shd w:val="clear" w:color="auto" w:fill="FFFFFF"/>
              </w:rPr>
              <w:t xml:space="preserve"> (CHDE)</w:t>
            </w:r>
          </w:p>
        </w:tc>
        <w:tc>
          <w:tcPr>
            <w:tcW w:w="5512" w:type="dxa"/>
          </w:tcPr>
          <w:p w14:paraId="2782D182" w14:textId="2DC4C9EE" w:rsidR="00A23EB5" w:rsidRPr="00292684" w:rsidRDefault="008B1765" w:rsidP="003B343D">
            <w:pPr>
              <w:pStyle w:val="TableText"/>
              <w:rPr>
                <w:rFonts w:cs="Arial"/>
              </w:rPr>
            </w:pPr>
            <w:r>
              <w:rPr>
                <w:rFonts w:cs="Arial"/>
              </w:rPr>
              <w:t>Delivered to staff through online learning platforms, with tailored training for particular business areas in 2020-21 including Housing and Homelessness Services, Community Services, local community service centre staff, community centre auditors, Smart Service Queensland leadership.</w:t>
            </w:r>
          </w:p>
        </w:tc>
      </w:tr>
    </w:tbl>
    <w:p w14:paraId="53151FA8" w14:textId="77777777" w:rsidR="00D553F9" w:rsidRDefault="00D553F9" w:rsidP="00596CB4">
      <w:pPr>
        <w:pStyle w:val="Heading3"/>
        <w:rPr>
          <w:color w:val="8D361E"/>
          <w:lang w:eastAsia="en-AU"/>
        </w:rPr>
      </w:pPr>
    </w:p>
    <w:p w14:paraId="77F01919" w14:textId="46234B86" w:rsidR="00596CB4" w:rsidRPr="003B343D" w:rsidRDefault="00596CB4" w:rsidP="00596CB4">
      <w:pPr>
        <w:pStyle w:val="Heading3"/>
        <w:rPr>
          <w:color w:val="8D361E"/>
          <w:lang w:eastAsia="en-AU"/>
        </w:rPr>
      </w:pPr>
      <w:r w:rsidRPr="003B343D">
        <w:rPr>
          <w:color w:val="8D361E"/>
          <w:lang w:eastAsia="en-AU"/>
        </w:rPr>
        <w:t>Tailored training</w:t>
      </w:r>
    </w:p>
    <w:p w14:paraId="77F33D31" w14:textId="2D5D71A6" w:rsidR="00D63AE5" w:rsidRDefault="00660C86" w:rsidP="006B0A91">
      <w:r>
        <w:rPr>
          <w:lang w:eastAsia="en-AU"/>
        </w:rPr>
        <w:t xml:space="preserve">In the first year, </w:t>
      </w:r>
      <w:r w:rsidR="00A41C8A">
        <w:rPr>
          <w:lang w:eastAsia="en-AU"/>
        </w:rPr>
        <w:t>several</w:t>
      </w:r>
      <w:r w:rsidR="006B0A91">
        <w:rPr>
          <w:lang w:eastAsia="en-AU"/>
        </w:rPr>
        <w:t xml:space="preserve"> </w:t>
      </w:r>
      <w:r w:rsidR="00A41C8A">
        <w:rPr>
          <w:lang w:eastAsia="en-AU"/>
        </w:rPr>
        <w:t>state public</w:t>
      </w:r>
      <w:r w:rsidR="006B0A91">
        <w:rPr>
          <w:lang w:eastAsia="en-AU"/>
        </w:rPr>
        <w:t xml:space="preserve"> </w:t>
      </w:r>
      <w:r>
        <w:rPr>
          <w:lang w:eastAsia="en-AU"/>
        </w:rPr>
        <w:t>entities</w:t>
      </w:r>
      <w:r w:rsidR="006B0A91">
        <w:rPr>
          <w:lang w:eastAsia="en-AU"/>
        </w:rPr>
        <w:t xml:space="preserve"> noted that specific training, tailored to the organisation or work group and containing real-world examples from the participants</w:t>
      </w:r>
      <w:r w:rsidR="00D63AE5">
        <w:rPr>
          <w:lang w:eastAsia="en-AU"/>
        </w:rPr>
        <w:t>’</w:t>
      </w:r>
      <w:r w:rsidR="006B0A91">
        <w:rPr>
          <w:lang w:eastAsia="en-AU"/>
        </w:rPr>
        <w:t xml:space="preserve"> everyday work</w:t>
      </w:r>
      <w:r w:rsidR="003B343D">
        <w:rPr>
          <w:lang w:eastAsia="en-AU"/>
        </w:rPr>
        <w:t>,</w:t>
      </w:r>
      <w:r w:rsidR="006B0A91">
        <w:rPr>
          <w:lang w:eastAsia="en-AU"/>
        </w:rPr>
        <w:t xml:space="preserve"> was </w:t>
      </w:r>
      <w:r w:rsidR="00D63AE5">
        <w:rPr>
          <w:lang w:eastAsia="en-AU"/>
        </w:rPr>
        <w:t>needed</w:t>
      </w:r>
      <w:r w:rsidR="006B0A91">
        <w:rPr>
          <w:lang w:eastAsia="en-AU"/>
        </w:rPr>
        <w:t xml:space="preserve"> to understand and embed knowledge</w:t>
      </w:r>
      <w:r w:rsidR="006A4147">
        <w:rPr>
          <w:lang w:eastAsia="en-AU"/>
        </w:rPr>
        <w:t xml:space="preserve"> and understanding of human rights</w:t>
      </w:r>
      <w:r w:rsidR="006B0A91">
        <w:rPr>
          <w:lang w:eastAsia="en-AU"/>
        </w:rPr>
        <w:t>.</w:t>
      </w:r>
      <w:r w:rsidR="006B0A91">
        <w:t xml:space="preserve"> </w:t>
      </w:r>
      <w:r w:rsidR="008B1765">
        <w:t>Many had committed to this in the next financial year, and it is pleasing to see that this did happen in many Departments.</w:t>
      </w:r>
    </w:p>
    <w:p w14:paraId="16B7C0F9" w14:textId="0DCE3394" w:rsidR="00660C86" w:rsidRDefault="00660C86" w:rsidP="006B0A91">
      <w:pPr>
        <w:rPr>
          <w:bCs/>
        </w:rPr>
      </w:pPr>
      <w:r>
        <w:t>The QPS’</w:t>
      </w:r>
      <w:r w:rsidR="00E75835">
        <w:t>s</w:t>
      </w:r>
      <w:r w:rsidR="00E22469">
        <w:t xml:space="preserve"> human rights</w:t>
      </w:r>
      <w:r w:rsidR="00E75835">
        <w:t xml:space="preserve"> Community of P</w:t>
      </w:r>
      <w:r>
        <w:t xml:space="preserve">ractice has built on </w:t>
      </w:r>
      <w:r w:rsidR="00D63AE5">
        <w:t>the importance of workshopping rights in real-world scenarios,</w:t>
      </w:r>
      <w:r>
        <w:t xml:space="preserve"> and </w:t>
      </w:r>
      <w:r w:rsidR="00E22469">
        <w:t>meets</w:t>
      </w:r>
      <w:r>
        <w:t xml:space="preserve"> regularly to discuss human rights and share practical learnings across the service.</w:t>
      </w:r>
      <w:r w:rsidR="00E75835">
        <w:rPr>
          <w:bCs/>
        </w:rPr>
        <w:t xml:space="preserve"> </w:t>
      </w:r>
      <w:r w:rsidR="00E920D6">
        <w:rPr>
          <w:bCs/>
        </w:rPr>
        <w:t>QPS</w:t>
      </w:r>
      <w:r w:rsidR="00E75835">
        <w:rPr>
          <w:bCs/>
        </w:rPr>
        <w:t xml:space="preserve"> training provides clear examples of situations general duties officers would regularly find themselves in and requires members to assess how human rights intersect with police powers and responsibilities in those situations. </w:t>
      </w:r>
    </w:p>
    <w:p w14:paraId="3A9D7B33" w14:textId="3639532B" w:rsidR="006E0BF4" w:rsidRPr="00415614" w:rsidRDefault="006E0BF4" w:rsidP="006B0A91">
      <w:pPr>
        <w:rPr>
          <w:i/>
          <w:szCs w:val="22"/>
        </w:rPr>
      </w:pPr>
      <w:r w:rsidRPr="00415614">
        <w:rPr>
          <w:szCs w:val="22"/>
        </w:rPr>
        <w:t xml:space="preserve">QCS continues to use the RAPID </w:t>
      </w:r>
      <w:r w:rsidRPr="00415614">
        <w:t>test</w:t>
      </w:r>
      <w:r w:rsidR="00415614" w:rsidRPr="00415614">
        <w:t xml:space="preserve"> (Relevant rights; Authorisation; Proportionality and purpose; Individual and impartial, and Document)</w:t>
      </w:r>
      <w:r w:rsidRPr="00415614">
        <w:t xml:space="preserve">, </w:t>
      </w:r>
      <w:r w:rsidR="00415614">
        <w:t>formulated</w:t>
      </w:r>
      <w:r w:rsidRPr="00415614">
        <w:t xml:space="preserve"> during the implementation of the Act in the first year. The test has now been promoted through a short video. Information includes case</w:t>
      </w:r>
      <w:r w:rsidRPr="00415614">
        <w:rPr>
          <w:szCs w:val="22"/>
        </w:rPr>
        <w:t xml:space="preserve"> studies for how the RAPID test can be applied to provide further guidance to staff.</w:t>
      </w:r>
      <w:r w:rsidR="000C3FC5">
        <w:rPr>
          <w:szCs w:val="22"/>
        </w:rPr>
        <w:t xml:space="preserve"> Feedback received from staff indicates that the RAPID test is working well and staff are using it to apply in their work.</w:t>
      </w:r>
    </w:p>
    <w:p w14:paraId="7564A1AB" w14:textId="5D87EAB5" w:rsidR="00596CB4" w:rsidRDefault="00C3095F" w:rsidP="40C58DF1">
      <w:pPr>
        <w:rPr>
          <w:rFonts w:eastAsia="Arial" w:cs="Arial"/>
          <w:color w:val="000000"/>
        </w:rPr>
      </w:pPr>
      <w:r w:rsidRPr="40C58DF1">
        <w:rPr>
          <w:rFonts w:eastAsia="Arial" w:cs="Arial"/>
        </w:rPr>
        <w:t>At</w:t>
      </w:r>
      <w:r w:rsidR="00596CB4" w:rsidRPr="40C58DF1">
        <w:rPr>
          <w:rFonts w:eastAsia="Arial" w:cs="Arial"/>
        </w:rPr>
        <w:t xml:space="preserve"> CYJMA</w:t>
      </w:r>
      <w:r w:rsidR="006722C7" w:rsidRPr="40C58DF1">
        <w:rPr>
          <w:rFonts w:eastAsia="Arial" w:cs="Arial"/>
        </w:rPr>
        <w:t>,</w:t>
      </w:r>
      <w:r w:rsidR="00596CB4" w:rsidRPr="40C58DF1">
        <w:rPr>
          <w:rFonts w:eastAsia="Arial" w:cs="Arial"/>
        </w:rPr>
        <w:t xml:space="preserve"> </w:t>
      </w:r>
      <w:r w:rsidR="00596CB4" w:rsidRPr="40C58DF1">
        <w:rPr>
          <w:rFonts w:eastAsia="Arial" w:cs="Arial"/>
          <w:color w:val="000000" w:themeColor="text1"/>
        </w:rPr>
        <w:t>advice is provided to new child safety officers (CSOs) in their mandatory training pertaining to the Act, what the Act means in child protection practice, and how to act compatibly with the Act in their roles.</w:t>
      </w:r>
      <w:r w:rsidR="00197317">
        <w:rPr>
          <w:rFonts w:eastAsia="Arial" w:cs="Arial"/>
          <w:color w:val="000000" w:themeColor="text1"/>
        </w:rPr>
        <w:t xml:space="preserve"> </w:t>
      </w:r>
      <w:r w:rsidR="00596CB4" w:rsidRPr="40C58DF1">
        <w:rPr>
          <w:rFonts w:eastAsia="Arial" w:cs="Arial"/>
          <w:color w:val="000000" w:themeColor="text1"/>
        </w:rPr>
        <w:t>CSOs undertake relevant scenarios in their training to assist to embed their knowledge. This is supplemented by the ongoing use of the Child Safety Practice Manual which provides advice about obligations under the Act.</w:t>
      </w:r>
    </w:p>
    <w:p w14:paraId="7F6B0ACF" w14:textId="3509E1AD" w:rsidR="00BF631C" w:rsidRDefault="00C3095F" w:rsidP="006B0A91">
      <w:r>
        <w:lastRenderedPageBreak/>
        <w:t>Similarly, t</w:t>
      </w:r>
      <w:r w:rsidR="00BF631C" w:rsidRPr="00292684">
        <w:t>he training developed for the Disability Accommodation,</w:t>
      </w:r>
      <w:r w:rsidR="00A23EB5">
        <w:t xml:space="preserve"> Respite and Forensic Services </w:t>
      </w:r>
      <w:r w:rsidR="00BF631C" w:rsidRPr="00292684">
        <w:t>division</w:t>
      </w:r>
      <w:r w:rsidR="00BF631C">
        <w:t xml:space="preserve"> within the Department of Seniors, Disability Services and Aboriginal and Torres Strait Islander Partnerships</w:t>
      </w:r>
      <w:r w:rsidR="006722C7">
        <w:t xml:space="preserve"> (SDSATSIP)</w:t>
      </w:r>
      <w:r w:rsidR="00BF631C" w:rsidRPr="00292684">
        <w:t>, included specific service delivery</w:t>
      </w:r>
      <w:r w:rsidR="00EF60AE">
        <w:t xml:space="preserve"> examples</w:t>
      </w:r>
      <w:r w:rsidR="00BF631C" w:rsidRPr="00292684">
        <w:t>, to illustrate how to manage and address risk with regards to human rights in practice.</w:t>
      </w:r>
    </w:p>
    <w:p w14:paraId="0DAF8BCA" w14:textId="36091F24" w:rsidR="008B1765" w:rsidRDefault="008B1765" w:rsidP="006B0A91">
      <w:pPr>
        <w:rPr>
          <w:bCs/>
        </w:rPr>
      </w:pPr>
      <w:r>
        <w:rPr>
          <w:bCs/>
        </w:rPr>
        <w:t>The DCHDE described ten workshop sessions delivered to business areas in Housing and Homelessness Services and Smart Service Queensland:</w:t>
      </w:r>
    </w:p>
    <w:p w14:paraId="16FC7EFF" w14:textId="53D27EEB" w:rsidR="008B1765" w:rsidRDefault="008B1765" w:rsidP="003B343D">
      <w:pPr>
        <w:pStyle w:val="Quote"/>
      </w:pPr>
      <w:r w:rsidRPr="008B1765">
        <w:t>Participants were sent resources and an activity pack, ahead of interactive scenario-based sessions on how to properly consider human rights. Very positive feedback gathered on these sessions highlighted the value of tailored, scenario-based training.</w:t>
      </w:r>
    </w:p>
    <w:p w14:paraId="4D5BE5F8" w14:textId="77777777" w:rsidR="008B1765" w:rsidRPr="008B1765" w:rsidRDefault="008B1765" w:rsidP="008B1765">
      <w:pPr>
        <w:pStyle w:val="ListParagraph"/>
        <w:numPr>
          <w:ilvl w:val="0"/>
          <w:numId w:val="0"/>
        </w:numPr>
        <w:spacing w:after="60" w:line="240" w:lineRule="auto"/>
        <w:ind w:left="720" w:right="0"/>
        <w:contextualSpacing w:val="0"/>
        <w:rPr>
          <w:i/>
          <w:sz w:val="22"/>
        </w:rPr>
      </w:pPr>
    </w:p>
    <w:p w14:paraId="7CE035AB" w14:textId="2E21840E" w:rsidR="00660C86" w:rsidRPr="003B343D" w:rsidRDefault="00660C86" w:rsidP="00596CB4">
      <w:pPr>
        <w:pStyle w:val="Heading3"/>
        <w:rPr>
          <w:color w:val="8D361E"/>
        </w:rPr>
      </w:pPr>
      <w:r w:rsidRPr="003B343D">
        <w:rPr>
          <w:color w:val="8D361E"/>
        </w:rPr>
        <w:t>Awareness raising activities</w:t>
      </w:r>
    </w:p>
    <w:p w14:paraId="7E527811" w14:textId="5D2833FA" w:rsidR="00872917" w:rsidRPr="003B343D" w:rsidRDefault="00872917" w:rsidP="003B343D">
      <w:r w:rsidRPr="007C5976">
        <w:t>QH provided a number of examples of awareness raising activities across different HHSs and the Department, including:</w:t>
      </w:r>
    </w:p>
    <w:p w14:paraId="3CD50F8C" w14:textId="77777777" w:rsidR="00872917" w:rsidRPr="007C5976" w:rsidRDefault="00872917" w:rsidP="002D2599">
      <w:pPr>
        <w:pStyle w:val="Quote"/>
        <w:numPr>
          <w:ilvl w:val="0"/>
          <w:numId w:val="18"/>
        </w:numPr>
      </w:pPr>
      <w:r w:rsidRPr="007C5976">
        <w:t>QH commits to developing a culturally capable workforce and actively applies section 28 of the HR Act. The Aboriginal and Torres Strait Islander Health Division includes commitments and strategies for how staff will increase their understanding of section 28 and cultural capability in staff Career Success Plans.</w:t>
      </w:r>
    </w:p>
    <w:p w14:paraId="54C252F0" w14:textId="77777777" w:rsidR="00872917" w:rsidRPr="007C5976" w:rsidRDefault="00872917" w:rsidP="002D2599">
      <w:pPr>
        <w:pStyle w:val="Quote"/>
        <w:numPr>
          <w:ilvl w:val="0"/>
          <w:numId w:val="18"/>
        </w:numPr>
      </w:pPr>
      <w:r w:rsidRPr="007C5976">
        <w:rPr>
          <w:lang w:val="en-GB"/>
        </w:rPr>
        <w:t xml:space="preserve">The Office of Prisoner Health and Wellbeing (OPHW) has </w:t>
      </w:r>
      <w:r w:rsidRPr="007C5976">
        <w:t>engaged Health Consumers Queensland, Queensland’s peak health consumer body, to provide education sessions for Prison Health Service’s staff and custodial staff in correctional facilities regarding the health rights of prisoners.</w:t>
      </w:r>
    </w:p>
    <w:p w14:paraId="3DF49C4D" w14:textId="77777777" w:rsidR="00872917" w:rsidRPr="007C5976" w:rsidRDefault="00872917" w:rsidP="002D2599">
      <w:pPr>
        <w:pStyle w:val="Quote"/>
        <w:numPr>
          <w:ilvl w:val="0"/>
          <w:numId w:val="18"/>
        </w:numPr>
      </w:pPr>
      <w:r w:rsidRPr="007C5976">
        <w:t>The Health Directions Exemption Service worked in partnership with Legal Services and Crown Law to develop a human rights assessment template and guide to assess and record human rights considerations specifically for exemption requests. A training program was developed for Health Directions Exemption Service staff and has been delivered since early 2021.</w:t>
      </w:r>
    </w:p>
    <w:p w14:paraId="6C1D0B04" w14:textId="0A06B2A0" w:rsidR="00872917" w:rsidRPr="007C5976" w:rsidRDefault="00872917" w:rsidP="002D2599">
      <w:pPr>
        <w:pStyle w:val="Quote"/>
        <w:numPr>
          <w:ilvl w:val="0"/>
          <w:numId w:val="18"/>
        </w:numPr>
        <w:rPr>
          <w:rFonts w:cs="Arial"/>
          <w:color w:val="000000"/>
        </w:rPr>
      </w:pPr>
      <w:r w:rsidRPr="007C5976">
        <w:t xml:space="preserve">HHS </w:t>
      </w:r>
      <w:r w:rsidRPr="50D262C4">
        <w:rPr>
          <w:rFonts w:cs="Arial"/>
          <w:color w:val="000000" w:themeColor="text1"/>
        </w:rPr>
        <w:t>senior leadership groups such as Medical Leaders and Forensic Child and Youth Mental Health Officers received specific human rights training provided face-to-face by the HHS’s Legal Services based on human rights implications specifically for their work activities. One HHS also provided education about specific human rights impacts in certain paediatric services.</w:t>
      </w:r>
    </w:p>
    <w:p w14:paraId="313C7883" w14:textId="77777777" w:rsidR="00872917" w:rsidRPr="00637154" w:rsidRDefault="00872917" w:rsidP="00872917">
      <w:pPr>
        <w:autoSpaceDE w:val="0"/>
        <w:autoSpaceDN w:val="0"/>
        <w:adjustRightInd w:val="0"/>
        <w:spacing w:after="0" w:line="240" w:lineRule="auto"/>
        <w:ind w:right="0"/>
        <w:rPr>
          <w:rFonts w:cs="Arial"/>
          <w:i/>
          <w:color w:val="000000"/>
          <w:sz w:val="22"/>
          <w:szCs w:val="22"/>
        </w:rPr>
      </w:pPr>
    </w:p>
    <w:p w14:paraId="77459246" w14:textId="48881953" w:rsidR="00872917" w:rsidRDefault="00872917" w:rsidP="003B343D">
      <w:pPr>
        <w:rPr>
          <w:szCs w:val="22"/>
        </w:rPr>
      </w:pPr>
      <w:r w:rsidRPr="00DB704B">
        <w:rPr>
          <w:szCs w:val="22"/>
        </w:rPr>
        <w:lastRenderedPageBreak/>
        <w:t xml:space="preserve">QCS’ Champions Network is made up of 110 members with knowledge of human rights and the interface with the correctional environment. The network has been an effective tool in providing two-way communication with the field, including information to inform QCS specific frequently asked questions. </w:t>
      </w:r>
    </w:p>
    <w:p w14:paraId="3760AB8A" w14:textId="6BD67ACC" w:rsidR="00660C86" w:rsidRDefault="00660C86" w:rsidP="003B343D">
      <w:r>
        <w:t xml:space="preserve">Human Rights Day continued to be a focus for awareness raising for organisations including </w:t>
      </w:r>
      <w:r w:rsidR="00224BD2">
        <w:t xml:space="preserve">QH, </w:t>
      </w:r>
      <w:r w:rsidR="00111FC9">
        <w:t>CHDE,</w:t>
      </w:r>
      <w:r>
        <w:t xml:space="preserve"> QPS</w:t>
      </w:r>
      <w:r w:rsidR="00637154">
        <w:t xml:space="preserve"> and QCS. For example, QCS noted that:</w:t>
      </w:r>
    </w:p>
    <w:p w14:paraId="05C7E36E" w14:textId="29310A02" w:rsidR="00637154" w:rsidRPr="003B343D" w:rsidRDefault="00637154" w:rsidP="003B343D">
      <w:pPr>
        <w:pStyle w:val="Quote"/>
      </w:pPr>
      <w:r w:rsidRPr="003B343D">
        <w:t xml:space="preserve">On 10 </w:t>
      </w:r>
      <w:r w:rsidRPr="003B343D">
        <w:rPr>
          <w:rStyle w:val="QuoteChar"/>
          <w:iCs/>
        </w:rPr>
        <w:t>December 2020, the Deputy Commissioner, Organisational Capability issued a broadcast to QCS staff promoting Human Rights Day. The broadcast acknowledged the significant achievements</w:t>
      </w:r>
      <w:r w:rsidRPr="003B343D">
        <w:t xml:space="preserve"> across QCS to support the commencement of the HRA and acknowledged QCS’ ongoing commitment to human rights. </w:t>
      </w:r>
    </w:p>
    <w:p w14:paraId="5D8A62B1" w14:textId="3C5B3C54" w:rsidR="00EB2593" w:rsidRDefault="00111FC9" w:rsidP="003B343D">
      <w:r w:rsidRPr="00111FC9">
        <w:rPr>
          <w:rFonts w:cs="Arial"/>
          <w:color w:val="000000"/>
        </w:rPr>
        <w:t xml:space="preserve">CHDE released a short video on </w:t>
      </w:r>
      <w:r w:rsidRPr="00111FC9">
        <w:t>Inte</w:t>
      </w:r>
      <w:r w:rsidR="00EB2593">
        <w:t>rnational Human Rights Day 2020</w:t>
      </w:r>
      <w:r w:rsidR="00050963">
        <w:t xml:space="preserve"> which demonstrated to staff how human rights </w:t>
      </w:r>
      <w:r w:rsidR="00F11C21">
        <w:t>applies to</w:t>
      </w:r>
      <w:r w:rsidR="00050963">
        <w:t xml:space="preserve"> their everyday work, particularly those in housing</w:t>
      </w:r>
      <w:r w:rsidR="00EB2593">
        <w:t>:</w:t>
      </w:r>
    </w:p>
    <w:p w14:paraId="56EADE66" w14:textId="7626297C" w:rsidR="00111FC9" w:rsidRDefault="00111FC9" w:rsidP="003B343D">
      <w:pPr>
        <w:pStyle w:val="Quote"/>
      </w:pPr>
      <w:r w:rsidRPr="00EB2593">
        <w:t xml:space="preserve">The video was introduced by Mr Mick </w:t>
      </w:r>
      <w:proofErr w:type="spellStart"/>
      <w:r w:rsidRPr="00EB2593">
        <w:t>Gooda</w:t>
      </w:r>
      <w:proofErr w:type="spellEnd"/>
      <w:r w:rsidRPr="00EB2593">
        <w:t xml:space="preserve">, First Nations Advisor, and featured two staff members talking about what human rights mean in their work. </w:t>
      </w:r>
    </w:p>
    <w:p w14:paraId="3354AD61" w14:textId="77777777" w:rsidR="00EB2593" w:rsidRPr="00EB2593" w:rsidRDefault="00EB2593" w:rsidP="002D2599">
      <w:pPr>
        <w:pStyle w:val="Quote"/>
        <w:numPr>
          <w:ilvl w:val="0"/>
          <w:numId w:val="19"/>
        </w:numPr>
      </w:pPr>
      <w:r w:rsidRPr="00EB2593">
        <w:t xml:space="preserve">The first staff member, from Human Resources’ Workforce Diversity team, spoke to the interface between human rights, diversity and cultural awareness with a specific focus on staff empowerment and cultural capability. </w:t>
      </w:r>
    </w:p>
    <w:p w14:paraId="528C2FF0" w14:textId="60243BC2" w:rsidR="00EB2593" w:rsidRPr="00EB2593" w:rsidRDefault="00EB2593" w:rsidP="002D2599">
      <w:pPr>
        <w:pStyle w:val="Quote"/>
        <w:numPr>
          <w:ilvl w:val="0"/>
          <w:numId w:val="19"/>
        </w:numPr>
      </w:pPr>
      <w:r w:rsidRPr="00EB2593">
        <w:t>The second staff member, from the Specialist Response Team in Housing and Homelessness Services explained “it’s not simply about the person’s housing needs—from a human rights perspective it’s about how does the housing actually help the person meet other interdependent goals, such as their economic outcomes, their social outcomes, their cultural outcomes, their access to healthcare, and their health and wellbeing”. She gave an example of how the department applied this perspective to promote a client’s right to access healthcare: “We were looking for housing for a person in a particular location in Brisbane and, you know, the stock was really tough, but in negotiating with the customer</w:t>
      </w:r>
      <w:r w:rsidR="003B343D">
        <w:t>,</w:t>
      </w:r>
      <w:r w:rsidRPr="00EB2593">
        <w:t xml:space="preserve"> their family</w:t>
      </w:r>
      <w:r w:rsidR="003B343D">
        <w:t>,</w:t>
      </w:r>
      <w:r w:rsidRPr="00EB2593">
        <w:t xml:space="preserve"> and the </w:t>
      </w:r>
      <w:r w:rsidR="003B343D">
        <w:t>hospital,</w:t>
      </w:r>
      <w:r w:rsidRPr="00EB2593">
        <w:t xml:space="preserve"> we were able to identify that that health need that they had could be delivered from another hospital in a different location and they were happy to consider that location. Guess what? We found them a property.”</w:t>
      </w:r>
      <w:r w:rsidR="00197317">
        <w:t xml:space="preserve"> </w:t>
      </w:r>
      <w:r w:rsidRPr="00EB2593">
        <w:t xml:space="preserve"> </w:t>
      </w:r>
    </w:p>
    <w:p w14:paraId="2A0FEC25" w14:textId="3B8374C7" w:rsidR="00637154" w:rsidRDefault="00637154" w:rsidP="00050963">
      <w:pPr>
        <w:autoSpaceDE w:val="0"/>
        <w:autoSpaceDN w:val="0"/>
        <w:adjustRightInd w:val="0"/>
        <w:spacing w:after="0" w:line="240" w:lineRule="auto"/>
        <w:ind w:right="0"/>
        <w:rPr>
          <w:rFonts w:cs="Arial"/>
          <w:i/>
          <w:color w:val="000000"/>
          <w:sz w:val="22"/>
          <w:szCs w:val="22"/>
        </w:rPr>
      </w:pPr>
    </w:p>
    <w:p w14:paraId="3D23BAAA" w14:textId="684D7C58" w:rsidR="00224BD2" w:rsidRDefault="003B343D" w:rsidP="003B343D">
      <w:r>
        <w:lastRenderedPageBreak/>
        <w:t xml:space="preserve">The </w:t>
      </w:r>
      <w:r w:rsidR="00224BD2" w:rsidRPr="009804DE">
        <w:t>Social Policy and Legislation Branch</w:t>
      </w:r>
      <w:r w:rsidR="00224BD2">
        <w:t xml:space="preserve"> in QH</w:t>
      </w:r>
      <w:r w:rsidR="00224BD2" w:rsidRPr="009804DE">
        <w:t xml:space="preserve"> </w:t>
      </w:r>
      <w:r w:rsidR="007C5976">
        <w:t xml:space="preserve">also </w:t>
      </w:r>
      <w:r w:rsidR="00224BD2" w:rsidRPr="009804DE">
        <w:t>celebrated Human Rights Month with a staff education session on the conventions for briefing the former Attorney-General and incoming Minister for Health and Ambulance services on human rights. The session focused on the obligations on public entities and incorporating compatibility into briefing materials. It included examples of how to identify limitations, compatibilities and impact statements, including all steps in a section 13(2) analysis.</w:t>
      </w:r>
    </w:p>
    <w:p w14:paraId="6556F25A" w14:textId="4E9AA47A" w:rsidR="007C5976" w:rsidRDefault="007C5976" w:rsidP="003B343D">
      <w:r w:rsidRPr="007F4A2A">
        <w:t xml:space="preserve">To celebrate a culture of human rights, </w:t>
      </w:r>
      <w:r>
        <w:t>a</w:t>
      </w:r>
      <w:r w:rsidRPr="007F4A2A">
        <w:t xml:space="preserve"> </w:t>
      </w:r>
      <w:r>
        <w:t>Hospital and Health Service (HHS)</w:t>
      </w:r>
      <w:r w:rsidRPr="007F4A2A">
        <w:t xml:space="preserve"> has produced a </w:t>
      </w:r>
      <w:r w:rsidRPr="006B4A22">
        <w:t>video</w:t>
      </w:r>
      <w:r w:rsidR="006B4A22" w:rsidRPr="006B4A22">
        <w:rPr>
          <w:rStyle w:val="FootnoteReference"/>
        </w:rPr>
        <w:footnoteReference w:id="72"/>
      </w:r>
      <w:r w:rsidRPr="006B4A22">
        <w:t xml:space="preserve"> on the </w:t>
      </w:r>
      <w:r w:rsidRPr="007F4A2A">
        <w:t>meaning of human rights in the HHS and the importance of protecting human rights when delivering health services to the public.</w:t>
      </w:r>
      <w:r>
        <w:t xml:space="preserve"> </w:t>
      </w:r>
      <w:r w:rsidRPr="0EBF35C0">
        <w:rPr>
          <w:rFonts w:cs="Arial"/>
        </w:rPr>
        <w:t>The video was broadcasted by former Chief Operating Officer now Acting Chief Executive, Adjunct Professor Jackie Hanson, to all staff on 10 December 2020 to reflect the significance of International Human Rights Day in our organisation.</w:t>
      </w:r>
    </w:p>
    <w:p w14:paraId="76E868E3" w14:textId="1544BECE" w:rsidR="004C3941" w:rsidRPr="003B343D" w:rsidRDefault="00BA4953" w:rsidP="004C3941">
      <w:pPr>
        <w:pStyle w:val="Heading3"/>
        <w:rPr>
          <w:color w:val="8D361E"/>
        </w:rPr>
      </w:pPr>
      <w:r w:rsidRPr="003B343D">
        <w:rPr>
          <w:color w:val="8D361E"/>
        </w:rPr>
        <w:t>Future focus</w:t>
      </w:r>
    </w:p>
    <w:p w14:paraId="7787E772" w14:textId="08410C3A" w:rsidR="004C3941" w:rsidRDefault="0094399B" w:rsidP="00660C86">
      <w:r w:rsidRPr="00186DD1">
        <w:t>Almost all of the</w:t>
      </w:r>
      <w:r w:rsidR="004C3941" w:rsidRPr="00186DD1">
        <w:t xml:space="preserve"> state public entities noted that training </w:t>
      </w:r>
      <w:r w:rsidR="007D2B98" w:rsidRPr="00186DD1">
        <w:t xml:space="preserve">is mandatory and </w:t>
      </w:r>
      <w:r w:rsidR="004C3941" w:rsidRPr="00186DD1">
        <w:t xml:space="preserve">has been incorporated into induction for </w:t>
      </w:r>
      <w:r w:rsidRPr="00186DD1">
        <w:t>new</w:t>
      </w:r>
      <w:r w:rsidR="004C3941" w:rsidRPr="00186DD1">
        <w:t xml:space="preserve"> staff</w:t>
      </w:r>
      <w:r w:rsidRPr="00186DD1">
        <w:t xml:space="preserve">, which </w:t>
      </w:r>
      <w:r w:rsidR="00B511C6" w:rsidRPr="00186DD1">
        <w:t>will be essential</w:t>
      </w:r>
      <w:r w:rsidRPr="00186DD1">
        <w:t xml:space="preserve"> to ensure that </w:t>
      </w:r>
      <w:r w:rsidR="00A41C8A" w:rsidRPr="00186DD1">
        <w:t>knowledge</w:t>
      </w:r>
      <w:r w:rsidRPr="00186DD1">
        <w:t xml:space="preserve"> is not lost over time</w:t>
      </w:r>
      <w:r w:rsidR="00BE4331" w:rsidRPr="00186DD1">
        <w:t xml:space="preserve"> </w:t>
      </w:r>
      <w:r w:rsidR="003B343D">
        <w:t>as a result of staff turnover</w:t>
      </w:r>
      <w:r w:rsidR="004C3941" w:rsidRPr="00186DD1">
        <w:t>.</w:t>
      </w:r>
      <w:r w:rsidR="00B511C6">
        <w:t xml:space="preserve"> </w:t>
      </w:r>
    </w:p>
    <w:p w14:paraId="10FB70E5" w14:textId="746EF632" w:rsidR="00660C86" w:rsidRDefault="00660C86" w:rsidP="00660C86">
      <w:pPr>
        <w:rPr>
          <w:bCs/>
        </w:rPr>
      </w:pPr>
      <w:r>
        <w:t xml:space="preserve">At the QPS, training was </w:t>
      </w:r>
      <w:r>
        <w:rPr>
          <w:bCs/>
        </w:rPr>
        <w:t>compulsory for all members up to the level of Chief Superintendent and Executive Director in the last reporting period</w:t>
      </w:r>
      <w:r w:rsidR="003B343D">
        <w:rPr>
          <w:bCs/>
        </w:rPr>
        <w:t>,</w:t>
      </w:r>
      <w:r>
        <w:rPr>
          <w:bCs/>
        </w:rPr>
        <w:t xml:space="preserve"> and now forms part of induction training for all new members</w:t>
      </w:r>
      <w:r w:rsidR="006F6CAA">
        <w:rPr>
          <w:bCs/>
        </w:rPr>
        <w:t>.</w:t>
      </w:r>
    </w:p>
    <w:p w14:paraId="35C87180" w14:textId="77777777" w:rsidR="00DD1D3C" w:rsidRDefault="007D2B98" w:rsidP="00381AB2">
      <w:r>
        <w:t>As well as formal training, r</w:t>
      </w:r>
      <w:r w:rsidR="00B511C6">
        <w:t>esources are generally available to staff on an ongoing basis through intranet</w:t>
      </w:r>
      <w:r>
        <w:t>s</w:t>
      </w:r>
      <w:r w:rsidR="00B511C6">
        <w:t>.</w:t>
      </w:r>
      <w:r w:rsidR="00381AB2">
        <w:t xml:space="preserve"> </w:t>
      </w:r>
    </w:p>
    <w:p w14:paraId="6F053A8A" w14:textId="7B986432" w:rsidR="00B511C6" w:rsidRDefault="00381AB2" w:rsidP="00660C86">
      <w:pPr>
        <w:rPr>
          <w:rFonts w:cs="Arial"/>
          <w:color w:val="000000"/>
        </w:rPr>
      </w:pPr>
      <w:r>
        <w:t xml:space="preserve">For example, a </w:t>
      </w:r>
      <w:r w:rsidR="00B511C6" w:rsidRPr="00B511C6">
        <w:rPr>
          <w:rFonts w:cs="Arial"/>
          <w:color w:val="000000"/>
        </w:rPr>
        <w:t>human rights microsite on the QCS intranet provides relevant resources and information to assist staff understand their obligations under t</w:t>
      </w:r>
      <w:r>
        <w:rPr>
          <w:rFonts w:cs="Arial"/>
          <w:color w:val="000000"/>
        </w:rPr>
        <w:t>he H</w:t>
      </w:r>
      <w:r w:rsidR="003B343D">
        <w:rPr>
          <w:rFonts w:cs="Arial"/>
          <w:color w:val="000000"/>
        </w:rPr>
        <w:t xml:space="preserve">uman </w:t>
      </w:r>
      <w:r>
        <w:rPr>
          <w:rFonts w:cs="Arial"/>
          <w:color w:val="000000"/>
        </w:rPr>
        <w:t>R</w:t>
      </w:r>
      <w:r w:rsidR="003B343D">
        <w:rPr>
          <w:rFonts w:cs="Arial"/>
          <w:color w:val="000000"/>
        </w:rPr>
        <w:t xml:space="preserve">ight </w:t>
      </w:r>
      <w:r>
        <w:rPr>
          <w:rFonts w:cs="Arial"/>
          <w:color w:val="000000"/>
        </w:rPr>
        <w:t>A</w:t>
      </w:r>
      <w:r w:rsidR="003B343D">
        <w:rPr>
          <w:rFonts w:cs="Arial"/>
          <w:color w:val="000000"/>
        </w:rPr>
        <w:t>ct</w:t>
      </w:r>
      <w:r>
        <w:rPr>
          <w:rFonts w:cs="Arial"/>
          <w:color w:val="000000"/>
        </w:rPr>
        <w:t>. It includes Queensland G</w:t>
      </w:r>
      <w:r w:rsidR="00B511C6" w:rsidRPr="00B511C6">
        <w:rPr>
          <w:rFonts w:cs="Arial"/>
          <w:color w:val="000000"/>
        </w:rPr>
        <w:t xml:space="preserve">overnment factsheets, guidelines, posters, presentations and videos. The microsite also includes a summary of updates to QCS policies and procedures and Commissioner and Deputy Commissioner broadcast announcements. </w:t>
      </w:r>
    </w:p>
    <w:p w14:paraId="6284AD9F" w14:textId="5C8EE232" w:rsidR="006F6CAA" w:rsidRPr="003B343D" w:rsidRDefault="006F6CAA" w:rsidP="006F6CAA">
      <w:pPr>
        <w:pStyle w:val="Heading3"/>
        <w:rPr>
          <w:color w:val="8D361E"/>
        </w:rPr>
      </w:pPr>
      <w:r w:rsidRPr="003B343D">
        <w:rPr>
          <w:color w:val="8D361E"/>
        </w:rPr>
        <w:t>Impact of COVID-19</w:t>
      </w:r>
    </w:p>
    <w:p w14:paraId="7088893A" w14:textId="5F82825E" w:rsidR="006F6CAA" w:rsidRPr="00660C86" w:rsidRDefault="006F6CAA" w:rsidP="00660C86">
      <w:pPr>
        <w:rPr>
          <w:lang w:eastAsia="en-AU"/>
        </w:rPr>
      </w:pPr>
      <w:r>
        <w:rPr>
          <w:lang w:eastAsia="en-AU"/>
        </w:rPr>
        <w:t xml:space="preserve">While in the first year of the Act, COVID-19 was seen as a barrier to </w:t>
      </w:r>
      <w:r w:rsidR="00CF49AD">
        <w:rPr>
          <w:lang w:eastAsia="en-AU"/>
        </w:rPr>
        <w:t>achieving</w:t>
      </w:r>
      <w:r>
        <w:rPr>
          <w:lang w:eastAsia="en-AU"/>
        </w:rPr>
        <w:t xml:space="preserve"> </w:t>
      </w:r>
      <w:r w:rsidR="00F542B0">
        <w:rPr>
          <w:lang w:eastAsia="en-AU"/>
        </w:rPr>
        <w:t>the training goals set by organisations</w:t>
      </w:r>
      <w:r>
        <w:rPr>
          <w:lang w:eastAsia="en-AU"/>
        </w:rPr>
        <w:t xml:space="preserve">, a move to online training including webinars and video-conferencing has meant that no </w:t>
      </w:r>
      <w:r w:rsidR="00DC34CD">
        <w:rPr>
          <w:lang w:eastAsia="en-AU"/>
        </w:rPr>
        <w:t>state public entities</w:t>
      </w:r>
      <w:r>
        <w:rPr>
          <w:lang w:eastAsia="en-AU"/>
        </w:rPr>
        <w:t xml:space="preserve"> were reporting similar issues in the second year. </w:t>
      </w:r>
    </w:p>
    <w:p w14:paraId="180F86E9" w14:textId="5A114190" w:rsidR="001F11B6" w:rsidRPr="003B343D" w:rsidRDefault="7FD31C2C" w:rsidP="00B04FF8">
      <w:pPr>
        <w:pStyle w:val="Heading2"/>
        <w:rPr>
          <w:color w:val="8D361E"/>
        </w:rPr>
      </w:pPr>
      <w:bookmarkStart w:id="374" w:name="_Toc56451592"/>
      <w:bookmarkStart w:id="375" w:name="_Toc56452166"/>
      <w:bookmarkStart w:id="376" w:name="_Toc84593895"/>
      <w:bookmarkStart w:id="377" w:name="_Toc85451772"/>
      <w:bookmarkStart w:id="378" w:name="_Toc85526702"/>
      <w:bookmarkStart w:id="379" w:name="_Toc85787117"/>
      <w:r w:rsidRPr="003B343D">
        <w:rPr>
          <w:color w:val="8D361E"/>
        </w:rPr>
        <w:lastRenderedPageBreak/>
        <w:t>Indicator 2</w:t>
      </w:r>
      <w:r w:rsidR="7C63191A" w:rsidRPr="003B343D">
        <w:rPr>
          <w:color w:val="8D361E"/>
        </w:rPr>
        <w:t>:</w:t>
      </w:r>
      <w:r w:rsidRPr="003B343D">
        <w:rPr>
          <w:color w:val="8D361E"/>
        </w:rPr>
        <w:t xml:space="preserve"> Community consultation and engagement</w:t>
      </w:r>
      <w:bookmarkEnd w:id="374"/>
      <w:bookmarkEnd w:id="375"/>
      <w:bookmarkEnd w:id="376"/>
      <w:bookmarkEnd w:id="377"/>
      <w:bookmarkEnd w:id="378"/>
      <w:bookmarkEnd w:id="379"/>
      <w:r w:rsidRPr="003B343D">
        <w:rPr>
          <w:color w:val="8D361E"/>
        </w:rPr>
        <w:t xml:space="preserve"> </w:t>
      </w:r>
    </w:p>
    <w:p w14:paraId="5E6AF8F2" w14:textId="11D4A0DF" w:rsidR="2D5FE124" w:rsidRPr="008A00EB" w:rsidRDefault="006B2A62" w:rsidP="000618AE">
      <w:r w:rsidRPr="008A00EB">
        <w:t xml:space="preserve">The Commission </w:t>
      </w:r>
      <w:r w:rsidR="0C60382E" w:rsidRPr="008A00EB">
        <w:t xml:space="preserve">asked </w:t>
      </w:r>
      <w:r w:rsidR="001721E0" w:rsidRPr="008A00EB">
        <w:t xml:space="preserve">state public </w:t>
      </w:r>
      <w:r w:rsidR="001F11B6" w:rsidRPr="008A00EB">
        <w:t>entities</w:t>
      </w:r>
      <w:r w:rsidR="0C60382E" w:rsidRPr="008A00EB">
        <w:t xml:space="preserve"> about the extent to which they have provided information to t</w:t>
      </w:r>
      <w:r w:rsidR="00192786" w:rsidRPr="008A00EB">
        <w:t>he community about human rights and</w:t>
      </w:r>
      <w:r w:rsidR="0C60382E" w:rsidRPr="008A00EB">
        <w:t xml:space="preserve"> consulted relevant sectors of the community when developing legislation and policies.</w:t>
      </w:r>
      <w:r w:rsidR="004E7B7D" w:rsidRPr="008A00EB">
        <w:t xml:space="preserve"> </w:t>
      </w:r>
    </w:p>
    <w:p w14:paraId="32E6C382" w14:textId="1D030E76" w:rsidR="00C63D71" w:rsidRDefault="00C63D71" w:rsidP="00407FA9">
      <w:pPr>
        <w:pStyle w:val="Heading3"/>
        <w:rPr>
          <w:color w:val="8D361E"/>
        </w:rPr>
      </w:pPr>
      <w:r w:rsidRPr="00407FA9">
        <w:rPr>
          <w:color w:val="8D361E"/>
        </w:rPr>
        <w:t xml:space="preserve">Community </w:t>
      </w:r>
      <w:r w:rsidR="00E44386" w:rsidRPr="00407FA9">
        <w:rPr>
          <w:color w:val="8D361E"/>
        </w:rPr>
        <w:t>e</w:t>
      </w:r>
      <w:r w:rsidRPr="00407FA9">
        <w:rPr>
          <w:color w:val="8D361E"/>
        </w:rPr>
        <w:t>ngagement</w:t>
      </w:r>
    </w:p>
    <w:p w14:paraId="2995E736" w14:textId="0E7C4310" w:rsidR="007C5976" w:rsidRPr="006F5A1A" w:rsidRDefault="007C5976" w:rsidP="007C5976">
      <w:r w:rsidRPr="006F5A1A">
        <w:t xml:space="preserve">Department of Education delivered </w:t>
      </w:r>
      <w:r w:rsidR="008B1816">
        <w:t>internal and external</w:t>
      </w:r>
      <w:r w:rsidRPr="006F5A1A">
        <w:t xml:space="preserve"> communication </w:t>
      </w:r>
      <w:r w:rsidR="008B1816">
        <w:t>campaigns</w:t>
      </w:r>
      <w:r w:rsidRPr="006F5A1A">
        <w:rPr>
          <w:rFonts w:cs="Arial"/>
        </w:rPr>
        <w:t xml:space="preserve">, and </w:t>
      </w:r>
      <w:r>
        <w:t xml:space="preserve">has </w:t>
      </w:r>
      <w:r w:rsidRPr="006F5A1A">
        <w:t>invested in</w:t>
      </w:r>
      <w:r>
        <w:t xml:space="preserve"> targeted</w:t>
      </w:r>
      <w:r w:rsidRPr="006F5A1A">
        <w:t xml:space="preserve"> learning resources including animation:</w:t>
      </w:r>
    </w:p>
    <w:p w14:paraId="5171AC49" w14:textId="715B640F" w:rsidR="006E2937" w:rsidRPr="008B1816" w:rsidRDefault="007C5976" w:rsidP="00E13A80">
      <w:pPr>
        <w:pStyle w:val="Quote"/>
        <w:rPr>
          <w:iCs w:val="0"/>
          <w:szCs w:val="22"/>
        </w:rPr>
      </w:pPr>
      <w:r w:rsidRPr="008B1816">
        <w:t xml:space="preserve">Over 20 targeted resources have been developed to raise awareness and knowledge amongst staff to assist them in meeting </w:t>
      </w:r>
      <w:r w:rsidRPr="008B1816">
        <w:rPr>
          <w:iCs w:val="0"/>
          <w:szCs w:val="22"/>
        </w:rPr>
        <w:t>obligations under the Act. Within this suite of resources, two public-facing animations have been published to further build awareness and understanding of human rights within both schools and the broader Queensland community. The animations contextualise human rights considerations by using an example of student dress code.</w:t>
      </w:r>
    </w:p>
    <w:p w14:paraId="454665C7" w14:textId="43F54127" w:rsidR="00224BD2" w:rsidRDefault="00224BD2" w:rsidP="008B08A5">
      <w:r>
        <w:t>T</w:t>
      </w:r>
      <w:r w:rsidRPr="006564C5">
        <w:t xml:space="preserve">he Queensland Health </w:t>
      </w:r>
      <w:r w:rsidRPr="006564C5">
        <w:rPr>
          <w:i/>
        </w:rPr>
        <w:t>Mental Health Act 2016</w:t>
      </w:r>
      <w:r w:rsidRPr="006564C5">
        <w:t xml:space="preserve"> website now includes a statement acknowledging the </w:t>
      </w:r>
      <w:r>
        <w:t>H</w:t>
      </w:r>
      <w:r w:rsidR="00E117FD">
        <w:t xml:space="preserve">uman </w:t>
      </w:r>
      <w:r>
        <w:t>R</w:t>
      </w:r>
      <w:r w:rsidR="00E117FD">
        <w:t>ights</w:t>
      </w:r>
      <w:r>
        <w:t xml:space="preserve"> Act </w:t>
      </w:r>
      <w:r w:rsidRPr="006564C5">
        <w:t>and direct</w:t>
      </w:r>
      <w:r>
        <w:t>s</w:t>
      </w:r>
      <w:r w:rsidRPr="006564C5">
        <w:t xml:space="preserve"> members of the public to the </w:t>
      </w:r>
      <w:r w:rsidR="00E117FD">
        <w:t>Commission’s</w:t>
      </w:r>
      <w:r w:rsidRPr="006564C5">
        <w:t xml:space="preserve"> website and resources for further information. The statement </w:t>
      </w:r>
      <w:r w:rsidRPr="008B08A5">
        <w:rPr>
          <w:rStyle w:val="meta"/>
        </w:rPr>
        <w:t>acknowledges</w:t>
      </w:r>
      <w:r w:rsidRPr="006564C5">
        <w:t xml:space="preserve"> the obligations of all </w:t>
      </w:r>
      <w:r>
        <w:t>Queensland Health</w:t>
      </w:r>
      <w:r w:rsidRPr="006564C5">
        <w:t xml:space="preserve"> staff, including in HHSs</w:t>
      </w:r>
      <w:r w:rsidR="00E117FD">
        <w:t>,</w:t>
      </w:r>
      <w:r w:rsidRPr="006564C5">
        <w:t xml:space="preserve"> to comply with the H</w:t>
      </w:r>
      <w:r w:rsidR="00E117FD">
        <w:t xml:space="preserve">uman </w:t>
      </w:r>
      <w:r w:rsidRPr="006564C5">
        <w:t>R</w:t>
      </w:r>
      <w:r w:rsidR="00E117FD">
        <w:t>ights</w:t>
      </w:r>
      <w:r>
        <w:t xml:space="preserve"> </w:t>
      </w:r>
      <w:r w:rsidRPr="006564C5">
        <w:t>A</w:t>
      </w:r>
      <w:r>
        <w:t>ct</w:t>
      </w:r>
      <w:r w:rsidRPr="006564C5">
        <w:t xml:space="preserve"> and consider human rights in making decisions or performing a function under the M</w:t>
      </w:r>
      <w:r w:rsidR="00E117FD">
        <w:t xml:space="preserve">ental </w:t>
      </w:r>
      <w:r w:rsidRPr="006564C5">
        <w:t>H</w:t>
      </w:r>
      <w:r w:rsidR="00E117FD">
        <w:t>ealth</w:t>
      </w:r>
      <w:r>
        <w:t xml:space="preserve"> </w:t>
      </w:r>
      <w:r w:rsidRPr="006564C5">
        <w:t>A</w:t>
      </w:r>
      <w:r>
        <w:t>ct</w:t>
      </w:r>
      <w:r w:rsidR="007C5976">
        <w:t>.</w:t>
      </w:r>
    </w:p>
    <w:p w14:paraId="3B43A946" w14:textId="4AC99632" w:rsidR="00263F4E" w:rsidRPr="00F46B5B" w:rsidRDefault="00263F4E" w:rsidP="00F46B5B">
      <w:r w:rsidRPr="00F46B5B">
        <w:t>Over 2020/21, DCYJMA developed and implemented a communication strategy for human rights.</w:t>
      </w:r>
      <w:r w:rsidR="00197317" w:rsidRPr="00F46B5B">
        <w:t xml:space="preserve"> </w:t>
      </w:r>
      <w:r w:rsidRPr="00F46B5B">
        <w:t>It includes social media promotion (across Twitter and LinkedIn accounts), which are predominantly sector focussed. Outcomes include:</w:t>
      </w:r>
    </w:p>
    <w:p w14:paraId="2DC1B8AC" w14:textId="77777777" w:rsidR="00263F4E" w:rsidRPr="00F46B5B" w:rsidRDefault="00263F4E" w:rsidP="002D2599">
      <w:pPr>
        <w:pStyle w:val="Quote"/>
        <w:numPr>
          <w:ilvl w:val="0"/>
          <w:numId w:val="20"/>
        </w:numPr>
      </w:pPr>
      <w:r w:rsidRPr="00F46B5B">
        <w:t xml:space="preserve">DG message to foster carers providing a link to information </w:t>
      </w:r>
    </w:p>
    <w:p w14:paraId="7BD67AF1" w14:textId="77777777" w:rsidR="00263F4E" w:rsidRPr="00F46B5B" w:rsidRDefault="00263F4E" w:rsidP="002D2599">
      <w:pPr>
        <w:pStyle w:val="Quote"/>
        <w:numPr>
          <w:ilvl w:val="0"/>
          <w:numId w:val="20"/>
        </w:numPr>
      </w:pPr>
      <w:r w:rsidRPr="00F46B5B">
        <w:t>DG message to parents providing a link to information</w:t>
      </w:r>
    </w:p>
    <w:p w14:paraId="6E37754C" w14:textId="77777777" w:rsidR="00263F4E" w:rsidRPr="00F46B5B" w:rsidRDefault="00263F4E" w:rsidP="002D2599">
      <w:pPr>
        <w:pStyle w:val="Quote"/>
        <w:numPr>
          <w:ilvl w:val="0"/>
          <w:numId w:val="20"/>
        </w:numPr>
      </w:pPr>
      <w:r w:rsidRPr="00F46B5B">
        <w:t>DG message to the sector with a link to information</w:t>
      </w:r>
    </w:p>
    <w:p w14:paraId="609BC74A" w14:textId="77777777" w:rsidR="00263F4E" w:rsidRPr="00F46B5B" w:rsidRDefault="00263F4E" w:rsidP="002D2599">
      <w:pPr>
        <w:pStyle w:val="Quote"/>
        <w:numPr>
          <w:ilvl w:val="0"/>
          <w:numId w:val="20"/>
        </w:numPr>
      </w:pPr>
      <w:r w:rsidRPr="00F46B5B">
        <w:t xml:space="preserve">A brochure has been developed outlining the process to make a complaint about human rights targeted at general clients and young people in residential care </w:t>
      </w:r>
    </w:p>
    <w:p w14:paraId="53394443" w14:textId="77777777" w:rsidR="00263F4E" w:rsidRPr="00F46B5B" w:rsidRDefault="00263F4E" w:rsidP="002D2599">
      <w:pPr>
        <w:pStyle w:val="Quote"/>
        <w:numPr>
          <w:ilvl w:val="0"/>
          <w:numId w:val="20"/>
        </w:numPr>
      </w:pPr>
      <w:r w:rsidRPr="00F46B5B">
        <w:t xml:space="preserve">Developed a new poster for display in child safety service centres on making a complaint about human rights </w:t>
      </w:r>
    </w:p>
    <w:p w14:paraId="56FCAB22" w14:textId="77777777" w:rsidR="00263F4E" w:rsidRPr="00F46B5B" w:rsidRDefault="00263F4E" w:rsidP="002D2599">
      <w:pPr>
        <w:pStyle w:val="Quote"/>
        <w:numPr>
          <w:ilvl w:val="0"/>
          <w:numId w:val="20"/>
        </w:numPr>
      </w:pPr>
      <w:r w:rsidRPr="00F46B5B">
        <w:t>The poster for young people has been posted to the DCYJMA website</w:t>
      </w:r>
    </w:p>
    <w:p w14:paraId="363E2DAA" w14:textId="77777777" w:rsidR="00263F4E" w:rsidRPr="00F46B5B" w:rsidRDefault="00263F4E" w:rsidP="002D2599">
      <w:pPr>
        <w:pStyle w:val="Quote"/>
        <w:numPr>
          <w:ilvl w:val="0"/>
          <w:numId w:val="20"/>
        </w:numPr>
      </w:pPr>
      <w:r w:rsidRPr="00F46B5B">
        <w:lastRenderedPageBreak/>
        <w:t xml:space="preserve">We reviewed the departmental brochure on making a complaint to include the process for making a human rights complaint </w:t>
      </w:r>
    </w:p>
    <w:p w14:paraId="0A6AA555" w14:textId="77777777" w:rsidR="00263F4E" w:rsidRPr="00F46B5B" w:rsidRDefault="00263F4E" w:rsidP="002D2599">
      <w:pPr>
        <w:pStyle w:val="Quote"/>
        <w:numPr>
          <w:ilvl w:val="0"/>
          <w:numId w:val="20"/>
        </w:numPr>
      </w:pPr>
      <w:r w:rsidRPr="00F46B5B">
        <w:t>This brochure has been posted to the DCYJMA website</w:t>
      </w:r>
    </w:p>
    <w:p w14:paraId="385567CD" w14:textId="77777777" w:rsidR="00263F4E" w:rsidRPr="00F46B5B" w:rsidRDefault="00263F4E" w:rsidP="002D2599">
      <w:pPr>
        <w:pStyle w:val="Quote"/>
        <w:numPr>
          <w:ilvl w:val="0"/>
          <w:numId w:val="20"/>
        </w:numPr>
      </w:pPr>
      <w:r w:rsidRPr="00F46B5B">
        <w:t>We added new content to the departmental complaints’ webpage on human rights with a direct link to the QHRC</w:t>
      </w:r>
    </w:p>
    <w:p w14:paraId="3F7BE69C" w14:textId="77777777" w:rsidR="00263F4E" w:rsidRPr="00F46B5B" w:rsidRDefault="00263F4E" w:rsidP="002D2599">
      <w:pPr>
        <w:pStyle w:val="Quote"/>
        <w:numPr>
          <w:ilvl w:val="0"/>
          <w:numId w:val="20"/>
        </w:numPr>
      </w:pPr>
      <w:r w:rsidRPr="00F46B5B">
        <w:t xml:space="preserve">We published a message on </w:t>
      </w:r>
      <w:proofErr w:type="spellStart"/>
      <w:r w:rsidRPr="00F46B5B">
        <w:t>Kicbox</w:t>
      </w:r>
      <w:proofErr w:type="spellEnd"/>
      <w:r w:rsidRPr="00F46B5B">
        <w:t xml:space="preserve">, an app for children and young people in out of home care to access information </w:t>
      </w:r>
    </w:p>
    <w:p w14:paraId="0F4ABEEC" w14:textId="77777777" w:rsidR="00263F4E" w:rsidRPr="00F46B5B" w:rsidRDefault="00263F4E" w:rsidP="002D2599">
      <w:pPr>
        <w:pStyle w:val="Quote"/>
        <w:numPr>
          <w:ilvl w:val="0"/>
          <w:numId w:val="20"/>
        </w:numPr>
      </w:pPr>
      <w:r w:rsidRPr="00F46B5B">
        <w:t>We have posted human rights content on the DCYJMA Twitter account</w:t>
      </w:r>
    </w:p>
    <w:p w14:paraId="418B2BD1" w14:textId="77777777" w:rsidR="00263F4E" w:rsidRPr="00F46B5B" w:rsidRDefault="00263F4E" w:rsidP="002D2599">
      <w:pPr>
        <w:pStyle w:val="Quote"/>
        <w:numPr>
          <w:ilvl w:val="0"/>
          <w:numId w:val="20"/>
        </w:numPr>
      </w:pPr>
      <w:r w:rsidRPr="00F46B5B">
        <w:t>Features are posted on the intranet, the DCYJMA home page, the Queensland Government community support franchise page and SFCF homepages</w:t>
      </w:r>
    </w:p>
    <w:p w14:paraId="131CC0BA" w14:textId="77777777" w:rsidR="00263F4E" w:rsidRPr="00F46B5B" w:rsidRDefault="00263F4E" w:rsidP="002D2599">
      <w:pPr>
        <w:pStyle w:val="Quote"/>
        <w:numPr>
          <w:ilvl w:val="0"/>
          <w:numId w:val="20"/>
        </w:numPr>
      </w:pPr>
      <w:r w:rsidRPr="00F46B5B">
        <w:t xml:space="preserve">We have published features on the departmental external website </w:t>
      </w:r>
    </w:p>
    <w:p w14:paraId="53321CD6" w14:textId="5CFBCA73" w:rsidR="00B62E65" w:rsidRDefault="00B62E65" w:rsidP="00B62E65">
      <w:pPr>
        <w:spacing w:after="0" w:line="240" w:lineRule="auto"/>
        <w:rPr>
          <w:rFonts w:cs="Arial"/>
        </w:rPr>
      </w:pPr>
      <w:r w:rsidRPr="00B62E65">
        <w:rPr>
          <w:rFonts w:cs="Arial"/>
        </w:rPr>
        <w:t xml:space="preserve">The SDSATSIP </w:t>
      </w:r>
      <w:r>
        <w:rPr>
          <w:rFonts w:cs="Arial"/>
        </w:rPr>
        <w:t>reported on a number of human rights related community engagement activities such as:</w:t>
      </w:r>
    </w:p>
    <w:p w14:paraId="26DF2F4B" w14:textId="6BB6ACD8" w:rsidR="00B62E65" w:rsidRPr="00F46B5B" w:rsidRDefault="00B62E65" w:rsidP="00F46B5B">
      <w:pPr>
        <w:pStyle w:val="Quote"/>
      </w:pPr>
      <w:r w:rsidRPr="00F46B5B">
        <w:t>….through its regular ‘</w:t>
      </w:r>
      <w:proofErr w:type="spellStart"/>
      <w:r w:rsidRPr="00F46B5B">
        <w:t>eblast</w:t>
      </w:r>
      <w:proofErr w:type="spellEnd"/>
      <w:r w:rsidRPr="00F46B5B">
        <w:t xml:space="preserve">’ Newsletter by promoting consultation opportunities for all jurisdictions, especially where input from people with lived experience of disability is encouraged. The </w:t>
      </w:r>
      <w:proofErr w:type="spellStart"/>
      <w:r w:rsidRPr="00F46B5B">
        <w:t>eblasts</w:t>
      </w:r>
      <w:proofErr w:type="spellEnd"/>
      <w:r w:rsidRPr="00F46B5B">
        <w:t xml:space="preserve"> also enable key information and updates from the Disability Royal Commission into Violence, Abuse, Neglect and Exploitation of People with Disability to be shared amongst a broad subscriber base of people with lived experience, their families, carers, and those working within the disability sector. A human rights approach informed heavily by the United Nations Convention on the Rights of Persons with Disabilities has been a key theoretical approach taken by the Disability Royal Commission in informing their Inquiry. </w:t>
      </w:r>
    </w:p>
    <w:p w14:paraId="21151E5E" w14:textId="080C2F29" w:rsidR="00B62E65" w:rsidRDefault="00BA4953" w:rsidP="00B62E65">
      <w:pPr>
        <w:spacing w:after="0" w:line="240" w:lineRule="auto"/>
        <w:rPr>
          <w:rFonts w:cs="Arial"/>
        </w:rPr>
      </w:pPr>
      <w:r>
        <w:rPr>
          <w:rFonts w:cs="Arial"/>
        </w:rPr>
        <w:t>And:</w:t>
      </w:r>
    </w:p>
    <w:p w14:paraId="69FF3D22" w14:textId="3573A894" w:rsidR="00263F4E" w:rsidRPr="00F46B5B" w:rsidRDefault="00B62E65" w:rsidP="00F46B5B">
      <w:pPr>
        <w:pStyle w:val="Quote"/>
      </w:pPr>
      <w:r w:rsidRPr="00F46B5B">
        <w:t xml:space="preserve">The annual Elder Abuse Awareness Campaign was again delivered in 2020–21 to safeguard the right of older people to live free from abuse. The theme of the campaign was “Together we can stop elder abuse”, and encouraged older people, their friends and family who have concerns about an </w:t>
      </w:r>
      <w:r w:rsidRPr="00E13A80">
        <w:t>individual</w:t>
      </w:r>
      <w:r w:rsidRPr="00F46B5B">
        <w:t xml:space="preserve"> at risk of, or experiencing elder abuse, to act by contacting relevant services and supports.</w:t>
      </w:r>
    </w:p>
    <w:p w14:paraId="408CC740" w14:textId="13BBF447" w:rsidR="00BF0599" w:rsidRPr="00BF0599" w:rsidRDefault="00BF0599" w:rsidP="00BF0599">
      <w:r>
        <w:t xml:space="preserve">The Department of Education </w:t>
      </w:r>
      <w:r w:rsidR="00BF5177">
        <w:t>has been</w:t>
      </w:r>
      <w:r>
        <w:t xml:space="preserve"> looking for opportunities to embed human rights in the classroom</w:t>
      </w:r>
      <w:r w:rsidR="00BF5177">
        <w:t xml:space="preserve"> to improve human rights literacy for children</w:t>
      </w:r>
      <w:r>
        <w:t>:</w:t>
      </w:r>
    </w:p>
    <w:p w14:paraId="43D1BC96" w14:textId="59B52667" w:rsidR="00BF0599" w:rsidRPr="00F46B5B" w:rsidRDefault="00BF0599" w:rsidP="00F46B5B">
      <w:pPr>
        <w:pStyle w:val="Quote"/>
      </w:pPr>
      <w:r w:rsidRPr="00F46B5B">
        <w:t>The Department of Education supports a whole school approach to talking about and teaching human rights. Mapping of the Curriculum into the Classroom (C2C) units, using the learning area of Humanities and Social Sciences (HASS), was conducted to highlight potential opportunities for embedding human rights education across the P-10 curriculum. This has informed the design of an overarching introduction to human rights for teachers and learning resources for Prep, Year 4 and Year 8. These resources will be available to teachers in 2021-22.</w:t>
      </w:r>
    </w:p>
    <w:p w14:paraId="3635E581" w14:textId="31E5C9B3" w:rsidR="00AA1CE5" w:rsidRPr="00AA1CE5" w:rsidRDefault="00FA7307" w:rsidP="009E632B">
      <w:pPr>
        <w:rPr>
          <w:rFonts w:cs="Arial"/>
        </w:rPr>
      </w:pPr>
      <w:r>
        <w:rPr>
          <w:rFonts w:cs="Arial"/>
        </w:rPr>
        <w:lastRenderedPageBreak/>
        <w:t>Also</w:t>
      </w:r>
      <w:r w:rsidR="00AA1CE5" w:rsidRPr="00AA1CE5">
        <w:rPr>
          <w:rFonts w:cs="Arial"/>
        </w:rPr>
        <w:t xml:space="preserve">, information for parents and families was </w:t>
      </w:r>
      <w:r w:rsidR="00BA4953">
        <w:rPr>
          <w:rFonts w:cs="Arial"/>
        </w:rPr>
        <w:t>updated</w:t>
      </w:r>
      <w:r w:rsidR="009E632B">
        <w:t xml:space="preserve"> in the reporting period</w:t>
      </w:r>
      <w:r w:rsidR="00AA1CE5" w:rsidRPr="00AA1CE5">
        <w:rPr>
          <w:rFonts w:cs="Arial"/>
        </w:rPr>
        <w:t>:</w:t>
      </w:r>
    </w:p>
    <w:p w14:paraId="142FB1A0" w14:textId="6EF882D8" w:rsidR="001F0AD4" w:rsidRPr="00F46B5B" w:rsidRDefault="00AA1CE5" w:rsidP="00F46B5B">
      <w:pPr>
        <w:pStyle w:val="Quote"/>
      </w:pPr>
      <w:r w:rsidRPr="00F46B5B">
        <w:t xml:space="preserve">The Department [of Education] promoted the revised </w:t>
      </w:r>
      <w:r w:rsidRPr="00644344">
        <w:rPr>
          <w:i/>
        </w:rPr>
        <w:t>Legal requirements to make reasonable adjustments for students with disability</w:t>
      </w:r>
      <w:r w:rsidRPr="00F46B5B">
        <w:t xml:space="preserve"> factsheet across all Queensland state schools and updated the external students with disability website providing information for parents and families about Disability Standards for Education requirements</w:t>
      </w:r>
      <w:r w:rsidR="001F0AD4" w:rsidRPr="00F46B5B">
        <w:t>.</w:t>
      </w:r>
    </w:p>
    <w:p w14:paraId="30B73B19" w14:textId="1249076E" w:rsidR="001F0AD4" w:rsidRPr="00776284" w:rsidRDefault="001F0AD4" w:rsidP="009E632B">
      <w:r w:rsidRPr="001F0AD4">
        <w:t>QCAT has undertaken a Guardianship Reform Project to better inform parties and the public about guardianship and administration application and hearing processes. This project commenced in March 2021 and included website redesign, reviews of relevant forms and the production of three videos (two animated and one live-action) to help individuals understand what to expect before, during and</w:t>
      </w:r>
      <w:r w:rsidR="00776284">
        <w:t xml:space="preserve"> after a guardianship hearing. </w:t>
      </w:r>
    </w:p>
    <w:p w14:paraId="4480CEFE" w14:textId="38538860" w:rsidR="00C63D71" w:rsidRDefault="00C63D71" w:rsidP="00407FA9">
      <w:pPr>
        <w:pStyle w:val="Heading3"/>
        <w:rPr>
          <w:color w:val="8D361E"/>
        </w:rPr>
      </w:pPr>
      <w:r w:rsidRPr="00407FA9">
        <w:rPr>
          <w:color w:val="8D361E"/>
        </w:rPr>
        <w:t xml:space="preserve">Community </w:t>
      </w:r>
      <w:r w:rsidR="00E44386" w:rsidRPr="00407FA9">
        <w:rPr>
          <w:color w:val="8D361E"/>
        </w:rPr>
        <w:t>c</w:t>
      </w:r>
      <w:r w:rsidRPr="00407FA9">
        <w:rPr>
          <w:color w:val="8D361E"/>
        </w:rPr>
        <w:t>onsultation</w:t>
      </w:r>
    </w:p>
    <w:p w14:paraId="455D445E" w14:textId="77777777" w:rsidR="00DE69DF" w:rsidRDefault="00776284" w:rsidP="001D1BC5">
      <w:r>
        <w:t>QPS engaged with the Queensland Government’s LGBTI Roundtable and community groups to make policy changes regarding transgender, gender diverse and intersex people in the watch house. Further details of the policy changes achieved are noted under Indicator</w:t>
      </w:r>
      <w:r w:rsidR="00D446BC">
        <w:t xml:space="preserve"> 5</w:t>
      </w:r>
      <w:r>
        <w:t>.</w:t>
      </w:r>
      <w:r w:rsidR="001D1BC5">
        <w:t xml:space="preserve"> </w:t>
      </w:r>
    </w:p>
    <w:p w14:paraId="61CF7565" w14:textId="05DA7558" w:rsidR="00253989" w:rsidRDefault="00253989" w:rsidP="001D1BC5">
      <w:r>
        <w:t xml:space="preserve">QH referred to </w:t>
      </w:r>
      <w:r w:rsidR="00E117FD">
        <w:t>2</w:t>
      </w:r>
      <w:r>
        <w:t xml:space="preserve"> community engagement and consultation groups that aim to protect human rights of marginalised groups during COVID-19:</w:t>
      </w:r>
    </w:p>
    <w:p w14:paraId="2A724D85" w14:textId="595DB906" w:rsidR="00253989" w:rsidRPr="00E13A80" w:rsidRDefault="001D1BC5" w:rsidP="00070B75">
      <w:pPr>
        <w:pStyle w:val="ListParagraph"/>
      </w:pPr>
      <w:r w:rsidRPr="00E13A80">
        <w:t>COVID-19 Pandemic Response Culturally and Linguistically Diverse Engagement Team</w:t>
      </w:r>
      <w:r w:rsidR="00253989" w:rsidRPr="00E13A80">
        <w:t>; and</w:t>
      </w:r>
    </w:p>
    <w:p w14:paraId="20B29031" w14:textId="376BD811" w:rsidR="00DE69DF" w:rsidRPr="00E13A80" w:rsidRDefault="00253989" w:rsidP="00E13A80">
      <w:pPr>
        <w:pStyle w:val="ListParagraph"/>
      </w:pPr>
      <w:r w:rsidRPr="00E13A80">
        <w:t>COVID-19 Working Group – Disability support in the Queensland community</w:t>
      </w:r>
    </w:p>
    <w:p w14:paraId="4536F184" w14:textId="7AA87C29" w:rsidR="001D1BC5" w:rsidRPr="001D1BC5" w:rsidRDefault="00BF3FC7" w:rsidP="00F46B5B">
      <w:r w:rsidRPr="0091587B">
        <w:t>Aboriginal and Torres Strait islander Health Division</w:t>
      </w:r>
      <w:r>
        <w:t xml:space="preserve"> at QH</w:t>
      </w:r>
      <w:r w:rsidRPr="0091587B">
        <w:t xml:space="preserve"> is working in partnership with the Queensland Aboriginal and Islander Health Council (QAIHC) the Aboriginal and Torres Strait Islander community</w:t>
      </w:r>
      <w:r w:rsidRPr="0091587B">
        <w:noBreakHyphen/>
        <w:t>controlled health peak body, First Nations health consumers and community members to progress the First Nations health equity reform agenda.</w:t>
      </w:r>
      <w:r>
        <w:t xml:space="preserve"> The co-design process so far has included the release of a Health Equity Discussion Paper and 17 state-wide consultation sessions across the HHSs, with 450 participants including non-government organisations and community.</w:t>
      </w:r>
    </w:p>
    <w:p w14:paraId="71574D43" w14:textId="77777777" w:rsidR="005E67C8" w:rsidRDefault="005E67C8" w:rsidP="005E67C8">
      <w:r>
        <w:t xml:space="preserve">At DCHDE, the Housing and Homelessness Services area </w:t>
      </w:r>
      <w:r w:rsidRPr="00A571FB">
        <w:t xml:space="preserve">hosted a co-designed workshop with the </w:t>
      </w:r>
      <w:r w:rsidRPr="00D72DCE">
        <w:t>Queenslanders with Disability Network,</w:t>
      </w:r>
      <w:r w:rsidRPr="00A571FB">
        <w:t xml:space="preserve"> which</w:t>
      </w:r>
      <w:r>
        <w:t>:</w:t>
      </w:r>
    </w:p>
    <w:p w14:paraId="56F30B7C" w14:textId="5836F02A" w:rsidR="005E67C8" w:rsidRPr="00C617BD" w:rsidRDefault="005E67C8" w:rsidP="00C617BD">
      <w:pPr>
        <w:pStyle w:val="Quote"/>
      </w:pPr>
      <w:r w:rsidRPr="00C617BD">
        <w:lastRenderedPageBreak/>
        <w:t>…brought together people with lived experience of disability and HHS staff, including departmental Occupational Therapists, and staff from Housing Partnerships, and Property Operations and Support. The workshop built awareness and knowledge about best practice in the delivery of services for people with disability.</w:t>
      </w:r>
    </w:p>
    <w:p w14:paraId="450C8989" w14:textId="77777777" w:rsidR="005E67C8" w:rsidRPr="00C617BD" w:rsidRDefault="005E67C8" w:rsidP="002D2599">
      <w:pPr>
        <w:pStyle w:val="Quote"/>
        <w:numPr>
          <w:ilvl w:val="0"/>
          <w:numId w:val="21"/>
        </w:numPr>
      </w:pPr>
      <w:r w:rsidRPr="00C617BD">
        <w:t>Mr Scott McDougall, Queensland Human Rights Commissioner, opened the workshop reminding participants about the intent and requirements of the Human Rights Act 2019 and the need for accountability and transparency in decision making.</w:t>
      </w:r>
    </w:p>
    <w:p w14:paraId="0D051F6B" w14:textId="77777777" w:rsidR="005E67C8" w:rsidRPr="00C617BD" w:rsidRDefault="005E67C8" w:rsidP="002D2599">
      <w:pPr>
        <w:pStyle w:val="Quote"/>
        <w:numPr>
          <w:ilvl w:val="0"/>
          <w:numId w:val="21"/>
        </w:numPr>
      </w:pPr>
      <w:r w:rsidRPr="00C617BD">
        <w:t>Real case scenarios were used to explore practice and impact of housing response based on human rights, inclusion and person-centred approaches.</w:t>
      </w:r>
    </w:p>
    <w:p w14:paraId="2D461079" w14:textId="543A1B53" w:rsidR="005E67C8" w:rsidRPr="00C617BD" w:rsidRDefault="005E67C8" w:rsidP="002D2599">
      <w:pPr>
        <w:pStyle w:val="Quote"/>
        <w:numPr>
          <w:ilvl w:val="0"/>
          <w:numId w:val="21"/>
        </w:numPr>
      </w:pPr>
      <w:r w:rsidRPr="00C617BD">
        <w:t>Key insights from the workshop will be shared more broadly across Housing and Homelessness Services as part of the ongoing awareness of service responses for people living with disability.</w:t>
      </w:r>
    </w:p>
    <w:p w14:paraId="543733D1" w14:textId="79257718" w:rsidR="006E2937" w:rsidRPr="00FA25E7" w:rsidRDefault="006E2937" w:rsidP="00C617BD">
      <w:pPr>
        <w:rPr>
          <w:rFonts w:cs="Arial"/>
          <w:szCs w:val="22"/>
        </w:rPr>
      </w:pPr>
      <w:r w:rsidRPr="006564C5">
        <w:rPr>
          <w:rFonts w:cs="Arial"/>
          <w:szCs w:val="22"/>
        </w:rPr>
        <w:t xml:space="preserve">An example </w:t>
      </w:r>
      <w:r w:rsidR="00FA25E7">
        <w:rPr>
          <w:rFonts w:cs="Arial"/>
          <w:szCs w:val="22"/>
        </w:rPr>
        <w:t>provided by QH</w:t>
      </w:r>
      <w:r w:rsidRPr="006564C5">
        <w:rPr>
          <w:rFonts w:cs="Arial"/>
          <w:szCs w:val="22"/>
        </w:rPr>
        <w:t xml:space="preserve"> of where community consultation resulted in a positive human rights changes </w:t>
      </w:r>
      <w:r w:rsidR="00D5024A">
        <w:rPr>
          <w:rFonts w:cs="Arial"/>
          <w:szCs w:val="22"/>
        </w:rPr>
        <w:t>occurred during the</w:t>
      </w:r>
      <w:r w:rsidRPr="006564C5">
        <w:rPr>
          <w:rFonts w:cs="Arial"/>
          <w:szCs w:val="22"/>
        </w:rPr>
        <w:t xml:space="preserve"> review of </w:t>
      </w:r>
      <w:r w:rsidR="00E117FD">
        <w:t>a</w:t>
      </w:r>
      <w:r w:rsidR="00AE4E94">
        <w:rPr>
          <w:rFonts w:cs="Arial"/>
          <w:szCs w:val="22"/>
        </w:rPr>
        <w:t xml:space="preserve"> </w:t>
      </w:r>
      <w:r w:rsidR="00C617BD">
        <w:t>Hospital and Health Service’s</w:t>
      </w:r>
      <w:r w:rsidRPr="006564C5">
        <w:rPr>
          <w:rFonts w:cs="Arial"/>
          <w:szCs w:val="22"/>
        </w:rPr>
        <w:t xml:space="preserve"> eligibility criteria for their midwifery services. Feedback from the community consultation and engagement identified the need to develop and improve these services in areas that will promote and protect various human rights, particularly the right to the protection of families and children.</w:t>
      </w:r>
    </w:p>
    <w:p w14:paraId="045EDDF3" w14:textId="77777777" w:rsidR="00D6128C" w:rsidRPr="00C617BD" w:rsidRDefault="1B44146C" w:rsidP="00B04FF8">
      <w:pPr>
        <w:pStyle w:val="Heading2"/>
        <w:rPr>
          <w:color w:val="8D361E"/>
        </w:rPr>
      </w:pPr>
      <w:bookmarkStart w:id="380" w:name="_Toc56451593"/>
      <w:bookmarkStart w:id="381" w:name="_Toc56452167"/>
      <w:bookmarkStart w:id="382" w:name="_Toc84593896"/>
      <w:bookmarkStart w:id="383" w:name="_Toc85451773"/>
      <w:bookmarkStart w:id="384" w:name="_Toc85526703"/>
      <w:bookmarkStart w:id="385" w:name="_Toc85787118"/>
      <w:r w:rsidRPr="00C617BD">
        <w:rPr>
          <w:color w:val="8D361E"/>
        </w:rPr>
        <w:t>Indicator 3: Awareness</w:t>
      </w:r>
      <w:r w:rsidR="00E44386" w:rsidRPr="00C617BD">
        <w:rPr>
          <w:color w:val="8D361E"/>
        </w:rPr>
        <w:t>-</w:t>
      </w:r>
      <w:r w:rsidRPr="00C617BD">
        <w:rPr>
          <w:color w:val="8D361E"/>
        </w:rPr>
        <w:t>raising and support for related entities</w:t>
      </w:r>
      <w:bookmarkEnd w:id="380"/>
      <w:bookmarkEnd w:id="381"/>
      <w:bookmarkEnd w:id="382"/>
      <w:bookmarkEnd w:id="383"/>
      <w:bookmarkEnd w:id="384"/>
      <w:bookmarkEnd w:id="385"/>
    </w:p>
    <w:p w14:paraId="6DB2D889" w14:textId="04FAC0A8" w:rsidR="00A32ECE" w:rsidRDefault="00111C95" w:rsidP="00241C5E">
      <w:r w:rsidRPr="008A00EB">
        <w:t xml:space="preserve">The Commission </w:t>
      </w:r>
      <w:r w:rsidR="00D6480E" w:rsidRPr="008A00EB">
        <w:t xml:space="preserve">asked </w:t>
      </w:r>
      <w:r w:rsidR="001721E0" w:rsidRPr="008A00EB">
        <w:t>state</w:t>
      </w:r>
      <w:r w:rsidR="00222A4C" w:rsidRPr="008A00EB">
        <w:t xml:space="preserve"> government</w:t>
      </w:r>
      <w:r w:rsidR="00D6480E" w:rsidRPr="008A00EB">
        <w:t xml:space="preserve"> entities what </w:t>
      </w:r>
      <w:r w:rsidR="000B2D5E" w:rsidRPr="008A00EB">
        <w:t>awareness raising they</w:t>
      </w:r>
      <w:r w:rsidR="00D6480E" w:rsidRPr="008A00EB">
        <w:t xml:space="preserve"> ha</w:t>
      </w:r>
      <w:r w:rsidR="00DC2EAD" w:rsidRPr="008A00EB">
        <w:t>d</w:t>
      </w:r>
      <w:r w:rsidR="00D6480E" w:rsidRPr="008A00EB">
        <w:t xml:space="preserve"> done to ensure that contract</w:t>
      </w:r>
      <w:r w:rsidR="00B3759F" w:rsidRPr="008A00EB">
        <w:t>ors or providers engaged by them</w:t>
      </w:r>
      <w:r w:rsidR="00D6480E" w:rsidRPr="008A00EB">
        <w:t xml:space="preserve"> a</w:t>
      </w:r>
      <w:r w:rsidR="00A32ECE">
        <w:t>ct compatibly with human rights, and whether human rights has been embedded into formal contracts.</w:t>
      </w:r>
    </w:p>
    <w:p w14:paraId="4F7C773B" w14:textId="7643CFC6" w:rsidR="00185B2C" w:rsidRPr="00C617BD" w:rsidRDefault="00185B2C" w:rsidP="00185B2C">
      <w:pPr>
        <w:pStyle w:val="Heading3"/>
        <w:rPr>
          <w:color w:val="8D361E"/>
        </w:rPr>
      </w:pPr>
      <w:r w:rsidRPr="00C617BD">
        <w:rPr>
          <w:color w:val="8D361E"/>
        </w:rPr>
        <w:t>Information for related entities</w:t>
      </w:r>
    </w:p>
    <w:p w14:paraId="2F677BD0" w14:textId="6D20EF0D" w:rsidR="00C614C9" w:rsidRPr="00C617BD" w:rsidRDefault="00C614C9" w:rsidP="003445E2">
      <w:r w:rsidRPr="00C617BD">
        <w:t>Over 2020/21, CYJMA worked to update its training for foster carers through their Triple R program (roles, rights and responsibilities) to incorporate human rights.</w:t>
      </w:r>
      <w:r w:rsidR="00197317" w:rsidRPr="00C617BD">
        <w:t xml:space="preserve"> </w:t>
      </w:r>
      <w:r w:rsidRPr="00C617BD">
        <w:t>Carer training is a joint responsibility of the department and funded Foster and Kinship Care agencies. DCYJMA have updated content for pre-service training which includes updating content on the Human Rights Act and its application to carers.</w:t>
      </w:r>
      <w:r w:rsidR="006575AA" w:rsidRPr="00C617BD">
        <w:t xml:space="preserve"> The Statement of Commitment between CYJMA and the foster and kinship carers of Queensland has also recently been updated.</w:t>
      </w:r>
    </w:p>
    <w:p w14:paraId="7881EFCF" w14:textId="28AA9279" w:rsidR="00C77EE5" w:rsidRPr="00C77EE5" w:rsidRDefault="00C77EE5" w:rsidP="00C77EE5">
      <w:pPr>
        <w:rPr>
          <w:rFonts w:cs="Arial"/>
        </w:rPr>
      </w:pPr>
      <w:r w:rsidRPr="00C77EE5">
        <w:lastRenderedPageBreak/>
        <w:t xml:space="preserve">The Department of Education reported working closely with </w:t>
      </w:r>
      <w:r w:rsidR="00E117FD">
        <w:t>the</w:t>
      </w:r>
      <w:r w:rsidRPr="00C77EE5">
        <w:t xml:space="preserve"> Parents and Citizens Association (P&amp;C) Queensland, including through </w:t>
      </w:r>
      <w:r w:rsidRPr="00C77EE5">
        <w:rPr>
          <w:rFonts w:cs="Arial"/>
        </w:rPr>
        <w:t xml:space="preserve">the development of a </w:t>
      </w:r>
      <w:r w:rsidRPr="00C77EE5">
        <w:rPr>
          <w:rFonts w:cs="Arial"/>
          <w:i/>
        </w:rPr>
        <w:t>Human Rights Act 2019</w:t>
      </w:r>
      <w:r w:rsidRPr="00C77EE5">
        <w:rPr>
          <w:rFonts w:cs="Arial"/>
        </w:rPr>
        <w:t xml:space="preserve"> fact sheet and consultation on the department’s human rights awareness resources, which include</w:t>
      </w:r>
      <w:r>
        <w:rPr>
          <w:rFonts w:cs="Arial"/>
        </w:rPr>
        <w:t>s</w:t>
      </w:r>
      <w:r w:rsidRPr="00C77EE5">
        <w:rPr>
          <w:rFonts w:cs="Arial"/>
        </w:rPr>
        <w:t xml:space="preserve"> material to assist department staff in communicating with P&amp;Cs on human rights obligations, and a link to the external P&amp;C </w:t>
      </w:r>
      <w:r w:rsidRPr="00C77EE5">
        <w:t>Q</w:t>
      </w:r>
      <w:r w:rsidR="00063527">
        <w:t>ueensland</w:t>
      </w:r>
      <w:r w:rsidRPr="00C77EE5">
        <w:rPr>
          <w:rFonts w:cs="Arial"/>
        </w:rPr>
        <w:t xml:space="preserve"> Human Rights fact sheet.</w:t>
      </w:r>
    </w:p>
    <w:p w14:paraId="3D4465FF" w14:textId="4685B18B" w:rsidR="00FA7307" w:rsidRPr="00C617BD" w:rsidRDefault="00FA7307" w:rsidP="00C617BD">
      <w:r w:rsidRPr="00C617BD">
        <w:t xml:space="preserve">In 2020-21 financial year, QCS also provided information on the </w:t>
      </w:r>
      <w:r w:rsidR="004A5A95" w:rsidRPr="00C617BD">
        <w:t>Act</w:t>
      </w:r>
      <w:r w:rsidRPr="00C617BD">
        <w:t xml:space="preserve"> to education service providers engaged by the agency. </w:t>
      </w:r>
    </w:p>
    <w:p w14:paraId="633C25F1" w14:textId="497034EF" w:rsidR="005E67C8" w:rsidRPr="00C617BD" w:rsidRDefault="005E67C8" w:rsidP="00C617BD">
      <w:r w:rsidRPr="00C617BD">
        <w:t>CHDE noted the</w:t>
      </w:r>
      <w:r w:rsidR="00122416" w:rsidRPr="00C617BD">
        <w:t>ir</w:t>
      </w:r>
      <w:r w:rsidRPr="00C617BD">
        <w:t xml:space="preserve"> collaboration with </w:t>
      </w:r>
      <w:r w:rsidRPr="00427AEA">
        <w:t>Queensland Council of Social Service</w:t>
      </w:r>
      <w:r>
        <w:t xml:space="preserve"> (QCOSS)</w:t>
      </w:r>
      <w:r w:rsidRPr="00427AEA">
        <w:t>, aiming to improve human rights literacy across the housing and homelessness sector</w:t>
      </w:r>
      <w:r w:rsidR="00412092">
        <w:t>, which is made up of a number of non-government organisations working with the Department</w:t>
      </w:r>
      <w:r>
        <w:t xml:space="preserve">. </w:t>
      </w:r>
      <w:r w:rsidRPr="00C617BD">
        <w:t xml:space="preserve">This project is featured under the heading </w:t>
      </w:r>
      <w:r w:rsidRPr="00C617BD">
        <w:rPr>
          <w:i/>
        </w:rPr>
        <w:t>Functional public entities – A human rights approach to housing and homelessness services</w:t>
      </w:r>
      <w:r w:rsidRPr="00C617BD">
        <w:t xml:space="preserve"> on page </w:t>
      </w:r>
      <w:r w:rsidR="00E36884">
        <w:t>117</w:t>
      </w:r>
      <w:r w:rsidRPr="00C617BD">
        <w:t>.</w:t>
      </w:r>
    </w:p>
    <w:p w14:paraId="7842554A" w14:textId="73DEA868" w:rsidR="00185B2C" w:rsidRPr="00C617BD" w:rsidRDefault="00185B2C" w:rsidP="00185B2C">
      <w:pPr>
        <w:pStyle w:val="Heading3"/>
        <w:rPr>
          <w:color w:val="8D361E"/>
        </w:rPr>
      </w:pPr>
      <w:r w:rsidRPr="00C617BD">
        <w:rPr>
          <w:color w:val="8D361E"/>
        </w:rPr>
        <w:t>Human Services Quality Framework</w:t>
      </w:r>
    </w:p>
    <w:p w14:paraId="1797B161" w14:textId="32F76099" w:rsidR="00185B2C" w:rsidRDefault="00661EEA" w:rsidP="00661EEA">
      <w:pPr>
        <w:spacing w:after="0" w:line="240" w:lineRule="auto"/>
        <w:rPr>
          <w:rFonts w:cs="Arial"/>
        </w:rPr>
      </w:pPr>
      <w:r>
        <w:rPr>
          <w:rFonts w:ascii="Arial Nova" w:hAnsi="Arial Nova"/>
        </w:rPr>
        <w:t xml:space="preserve">As </w:t>
      </w:r>
      <w:r w:rsidR="00D0482F">
        <w:rPr>
          <w:rFonts w:ascii="Arial Nova" w:hAnsi="Arial Nova"/>
        </w:rPr>
        <w:t xml:space="preserve">explained </w:t>
      </w:r>
      <w:r w:rsidR="00063527">
        <w:rPr>
          <w:rFonts w:ascii="Arial Nova" w:hAnsi="Arial Nova"/>
        </w:rPr>
        <w:t xml:space="preserve">in </w:t>
      </w:r>
      <w:r w:rsidR="00D0482F">
        <w:rPr>
          <w:rFonts w:ascii="Arial Nova" w:hAnsi="Arial Nova"/>
        </w:rPr>
        <w:t>last</w:t>
      </w:r>
      <w:r>
        <w:rPr>
          <w:rFonts w:ascii="Arial Nova" w:hAnsi="Arial Nova"/>
        </w:rPr>
        <w:t xml:space="preserve"> year</w:t>
      </w:r>
      <w:r w:rsidR="00063527">
        <w:rPr>
          <w:rFonts w:ascii="Arial Nova" w:hAnsi="Arial Nova"/>
        </w:rPr>
        <w:t>’s report</w:t>
      </w:r>
      <w:r>
        <w:rPr>
          <w:rFonts w:ascii="Arial Nova" w:hAnsi="Arial Nova"/>
        </w:rPr>
        <w:t xml:space="preserve">, the </w:t>
      </w:r>
      <w:r w:rsidRPr="00292684">
        <w:rPr>
          <w:rFonts w:cs="Arial"/>
        </w:rPr>
        <w:t xml:space="preserve">Queensland Government’s Human Services Quality Framework (HSQF) was updated to include specific </w:t>
      </w:r>
      <w:r>
        <w:rPr>
          <w:rFonts w:cs="Arial"/>
        </w:rPr>
        <w:t xml:space="preserve">Act requirements, taking effect from 1 January 2020. </w:t>
      </w:r>
    </w:p>
    <w:p w14:paraId="4907FC19" w14:textId="77777777" w:rsidR="00185B2C" w:rsidRDefault="00185B2C" w:rsidP="00661EEA">
      <w:pPr>
        <w:spacing w:after="0" w:line="240" w:lineRule="auto"/>
        <w:rPr>
          <w:rFonts w:cs="Arial"/>
        </w:rPr>
      </w:pPr>
    </w:p>
    <w:p w14:paraId="1D1FAFDE" w14:textId="1E8A06BB" w:rsidR="00185B2C" w:rsidRDefault="00185B2C" w:rsidP="00661EEA">
      <w:pPr>
        <w:spacing w:after="0" w:line="240" w:lineRule="auto"/>
        <w:rPr>
          <w:rFonts w:cs="Arial"/>
        </w:rPr>
      </w:pPr>
      <w:r>
        <w:rPr>
          <w:rFonts w:cs="Arial"/>
        </w:rPr>
        <w:t>The SDSATSIP reported the following progress in relation to the framework:</w:t>
      </w:r>
    </w:p>
    <w:p w14:paraId="2C99A470" w14:textId="77777777" w:rsidR="00185B2C" w:rsidRDefault="00185B2C" w:rsidP="00185B2C">
      <w:pPr>
        <w:spacing w:after="0" w:line="240" w:lineRule="auto"/>
        <w:ind w:left="720"/>
        <w:rPr>
          <w:rFonts w:cs="Arial"/>
          <w:sz w:val="22"/>
          <w:szCs w:val="22"/>
        </w:rPr>
      </w:pPr>
    </w:p>
    <w:p w14:paraId="70C38243" w14:textId="43D9F899" w:rsidR="00185B2C" w:rsidRPr="00E076E6" w:rsidRDefault="00185B2C" w:rsidP="00524F70">
      <w:pPr>
        <w:pStyle w:val="Quote"/>
      </w:pPr>
      <w:r w:rsidRPr="00E57A70">
        <w:t>D</w:t>
      </w:r>
      <w:r w:rsidR="00661EEA" w:rsidRPr="00E57A70">
        <w:t xml:space="preserve">uring 2020–2021, 135 HSQF independent audits that included HR Act requirements were completed for non-Government human services. In eight of these audits, issues were identified with organisations’ conformance with </w:t>
      </w:r>
      <w:bookmarkStart w:id="386" w:name="_Hlk76737800"/>
      <w:r w:rsidR="00661EEA" w:rsidRPr="00E57A70">
        <w:t xml:space="preserve">HR Act </w:t>
      </w:r>
      <w:bookmarkEnd w:id="386"/>
      <w:r w:rsidR="00661EEA" w:rsidRPr="00E57A70">
        <w:t>requirements. However, the continuous improvement framework within HSQF has ensured that all these issues have either been addressed or are scheduled to be addressed by the organisations, in line with HSQF Scheme timeframes.</w:t>
      </w:r>
    </w:p>
    <w:p w14:paraId="0FE60751" w14:textId="77777777" w:rsidR="00185B2C" w:rsidRPr="00185B2C" w:rsidRDefault="00185B2C" w:rsidP="00524F70">
      <w:pPr>
        <w:pStyle w:val="Quote"/>
        <w:rPr>
          <w:rFonts w:cs="Arial"/>
          <w:szCs w:val="22"/>
        </w:rPr>
      </w:pPr>
      <w:r w:rsidRPr="00E076E6">
        <w:t xml:space="preserve">HSQF audits have also allowed for independent HSQF auditors to make observations to improve organisations’ human rights-related practices and to identify achievements and good practice. </w:t>
      </w:r>
    </w:p>
    <w:p w14:paraId="2AE50AE9" w14:textId="77777777" w:rsidR="00185B2C" w:rsidRPr="00185B2C" w:rsidRDefault="00185B2C" w:rsidP="005A26FF">
      <w:pPr>
        <w:pStyle w:val="Quote"/>
        <w:rPr>
          <w:rFonts w:cs="Arial"/>
          <w:szCs w:val="22"/>
        </w:rPr>
      </w:pPr>
      <w:bookmarkStart w:id="387" w:name="_Hlk77071137"/>
      <w:r w:rsidRPr="00E076E6">
        <w:t>To ensure that independent HSQF certification bodies and auditors understand the HR Act, comprehensive information has been provided to them about relevant training and resources available, including through the Queensland Human Rights Commission.</w:t>
      </w:r>
    </w:p>
    <w:bookmarkEnd w:id="387"/>
    <w:p w14:paraId="4C6FAFBF" w14:textId="77777777" w:rsidR="00185B2C" w:rsidRPr="00292684" w:rsidRDefault="00185B2C" w:rsidP="005A26FF">
      <w:pPr>
        <w:pStyle w:val="Quote"/>
        <w:rPr>
          <w:rFonts w:cs="Arial"/>
        </w:rPr>
      </w:pPr>
      <w:r w:rsidRPr="00E076E6">
        <w:lastRenderedPageBreak/>
        <w:t>The Queensland Council of Social Service (QCOSS) partners with HSQF to provide support to assist non-Government organisations to implement and meet HSQF requirements. QCOSS updated its downloadable HSQF-aligned policy/procedure templates for non-Government organisations to include a Human Rights Policy and Procedure. QCOSS has also conducted a range of webinars and information sessions on the HR Act for the non-Government human services sector.</w:t>
      </w:r>
      <w:r w:rsidRPr="00292684">
        <w:rPr>
          <w:rFonts w:cs="Arial"/>
        </w:rPr>
        <w:t xml:space="preserve"> </w:t>
      </w:r>
    </w:p>
    <w:p w14:paraId="380E2399" w14:textId="49B1327B" w:rsidR="00185B2C" w:rsidRPr="005A26FF" w:rsidRDefault="00C77EE5" w:rsidP="00185B2C">
      <w:pPr>
        <w:pStyle w:val="Heading3"/>
        <w:rPr>
          <w:color w:val="8D361E"/>
        </w:rPr>
      </w:pPr>
      <w:r w:rsidRPr="005A26FF">
        <w:rPr>
          <w:color w:val="8D361E"/>
        </w:rPr>
        <w:t>Formal</w:t>
      </w:r>
      <w:r w:rsidR="00185B2C" w:rsidRPr="005A26FF">
        <w:rPr>
          <w:color w:val="8D361E"/>
        </w:rPr>
        <w:t xml:space="preserve"> agreement requirements</w:t>
      </w:r>
    </w:p>
    <w:p w14:paraId="3DBF2F28" w14:textId="3910C09D" w:rsidR="00530D27" w:rsidRDefault="00185B2C" w:rsidP="00122416">
      <w:pPr>
        <w:rPr>
          <w:rFonts w:cs="Arial"/>
        </w:rPr>
      </w:pPr>
      <w:r w:rsidRPr="00292684">
        <w:rPr>
          <w:rFonts w:cs="Arial"/>
        </w:rPr>
        <w:t>As part of their 2020</w:t>
      </w:r>
      <w:r>
        <w:rPr>
          <w:rFonts w:cs="Arial"/>
        </w:rPr>
        <w:t>–</w:t>
      </w:r>
      <w:r w:rsidRPr="00292684">
        <w:rPr>
          <w:rFonts w:cs="Arial"/>
        </w:rPr>
        <w:t xml:space="preserve">21 service agreements with the </w:t>
      </w:r>
      <w:r>
        <w:rPr>
          <w:rFonts w:cs="Arial"/>
        </w:rPr>
        <w:t>SDSATSIP</w:t>
      </w:r>
      <w:r w:rsidRPr="00292684">
        <w:rPr>
          <w:rFonts w:cs="Arial"/>
        </w:rPr>
        <w:t>, organisations that receive disability advocacy funding must comply with guidelines which</w:t>
      </w:r>
      <w:r w:rsidR="005A26FF">
        <w:rPr>
          <w:rFonts w:cs="Arial"/>
        </w:rPr>
        <w:t xml:space="preserve"> cite the need to </w:t>
      </w:r>
      <w:r w:rsidRPr="00292684">
        <w:rPr>
          <w:rFonts w:cs="Arial"/>
        </w:rPr>
        <w:t xml:space="preserve">support people with a disability on an individual basis to uphold their rights and interests, and to increase the control they have over their lives through representation and building the person’s capacity for self-advocacy. </w:t>
      </w:r>
    </w:p>
    <w:p w14:paraId="2BFEAD0A" w14:textId="3E5F7262" w:rsidR="00C77EE5" w:rsidRPr="00122416" w:rsidRDefault="00AC4592" w:rsidP="00122416">
      <w:r>
        <w:t xml:space="preserve">The QPS has </w:t>
      </w:r>
      <w:r w:rsidR="00530D27">
        <w:t xml:space="preserve">also </w:t>
      </w:r>
      <w:r>
        <w:t>embedded human rights obligations into its formal contracts with related entities. As a matter of course the QPS includes clauses in its contracts requiring related entities to comply with their obligations under Australian law, including specifically under the Act where it applies to that related entity.</w:t>
      </w:r>
    </w:p>
    <w:p w14:paraId="74BDC783" w14:textId="730E12FE" w:rsidR="05238703" w:rsidRPr="003445E2" w:rsidRDefault="05238703" w:rsidP="00B04FF8">
      <w:pPr>
        <w:pStyle w:val="Heading2"/>
        <w:rPr>
          <w:color w:val="8D361E"/>
        </w:rPr>
      </w:pPr>
      <w:bookmarkStart w:id="388" w:name="_Toc56451594"/>
      <w:bookmarkStart w:id="389" w:name="_Toc56452168"/>
      <w:bookmarkStart w:id="390" w:name="_Toc84593897"/>
      <w:bookmarkStart w:id="391" w:name="_Toc85451774"/>
      <w:bookmarkStart w:id="392" w:name="_Toc85526704"/>
      <w:bookmarkStart w:id="393" w:name="_Toc85787119"/>
      <w:r w:rsidRPr="003445E2">
        <w:rPr>
          <w:color w:val="8D361E"/>
        </w:rPr>
        <w:t>Indicator 4: Review and development of legislation</w:t>
      </w:r>
      <w:bookmarkEnd w:id="388"/>
      <w:bookmarkEnd w:id="389"/>
      <w:bookmarkEnd w:id="390"/>
      <w:bookmarkEnd w:id="391"/>
      <w:bookmarkEnd w:id="392"/>
      <w:bookmarkEnd w:id="393"/>
      <w:r w:rsidRPr="003445E2">
        <w:rPr>
          <w:color w:val="8D361E"/>
        </w:rPr>
        <w:t xml:space="preserve"> </w:t>
      </w:r>
    </w:p>
    <w:p w14:paraId="65240040" w14:textId="47EC19EC" w:rsidR="007C79BF" w:rsidRDefault="00B13AE0" w:rsidP="000618AE">
      <w:r w:rsidRPr="008A00EB">
        <w:t xml:space="preserve">The Commission </w:t>
      </w:r>
      <w:r w:rsidR="007C79BF" w:rsidRPr="008A00EB">
        <w:t xml:space="preserve">asked </w:t>
      </w:r>
      <w:r w:rsidR="001721E0" w:rsidRPr="008A00EB">
        <w:t xml:space="preserve">state </w:t>
      </w:r>
      <w:r w:rsidR="007C79BF" w:rsidRPr="008A00EB">
        <w:t>public entities what processes they have put in place to review human rights compatibility in legislation or subordinate legislation</w:t>
      </w:r>
      <w:r w:rsidR="003D57B8" w:rsidRPr="008A00EB">
        <w:t xml:space="preserve"> they administer</w:t>
      </w:r>
      <w:r w:rsidR="00063527">
        <w:t>. Public entities were also asked</w:t>
      </w:r>
      <w:r w:rsidR="007C79BF" w:rsidRPr="008A00EB">
        <w:t xml:space="preserve"> to </w:t>
      </w:r>
      <w:r w:rsidR="00D6554D" w:rsidRPr="008A00EB">
        <w:t>give</w:t>
      </w:r>
      <w:r w:rsidR="007C79BF" w:rsidRPr="008A00EB">
        <w:t xml:space="preserve"> an example</w:t>
      </w:r>
      <w:r w:rsidR="00063527">
        <w:t>, if possible,</w:t>
      </w:r>
      <w:r w:rsidR="007C79BF" w:rsidRPr="008A00EB">
        <w:t xml:space="preserve"> of legislation introduced that works to respect, protect</w:t>
      </w:r>
      <w:r w:rsidR="00D6554D" w:rsidRPr="008A00EB">
        <w:t>,</w:t>
      </w:r>
      <w:r w:rsidR="007C79BF" w:rsidRPr="008A00EB">
        <w:t xml:space="preserve"> or promote rights</w:t>
      </w:r>
      <w:r w:rsidR="00185B2C" w:rsidRPr="00185B2C">
        <w:t>, along with any examples of good practice in ensuring proper consideration of human rights in legislation development</w:t>
      </w:r>
      <w:r w:rsidR="007C79BF" w:rsidRPr="008A00EB">
        <w:t>.</w:t>
      </w:r>
    </w:p>
    <w:p w14:paraId="3CAC760D" w14:textId="56A872B6" w:rsidR="00CF6AAD" w:rsidRPr="00407FA9" w:rsidRDefault="00CF6AAD" w:rsidP="00CF6AAD">
      <w:pPr>
        <w:pStyle w:val="Heading3"/>
        <w:rPr>
          <w:rFonts w:eastAsia="Times New Roman"/>
          <w:color w:val="8D361E"/>
        </w:rPr>
      </w:pPr>
      <w:r w:rsidRPr="00407FA9">
        <w:rPr>
          <w:rFonts w:eastAsia="Times New Roman"/>
          <w:color w:val="8D361E"/>
        </w:rPr>
        <w:t>Laws that promote human rights</w:t>
      </w:r>
    </w:p>
    <w:p w14:paraId="17DD4E2E" w14:textId="1DE8DBE9" w:rsidR="00776284" w:rsidRPr="008A00EB" w:rsidRDefault="00C123C5" w:rsidP="000618AE">
      <w:r>
        <w:t>SDSATSIP noted the passage of two significant pieces of legislation:</w:t>
      </w:r>
    </w:p>
    <w:p w14:paraId="56743777" w14:textId="0F6F2F6D" w:rsidR="00C123C5" w:rsidRDefault="00C123C5" w:rsidP="00530D27">
      <w:pPr>
        <w:pStyle w:val="ListParagraph"/>
        <w:rPr>
          <w:rFonts w:cs="Arial"/>
        </w:rPr>
      </w:pPr>
      <w:r w:rsidRPr="000759B8">
        <w:rPr>
          <w:rFonts w:cs="Arial"/>
          <w:i/>
        </w:rPr>
        <w:t>Disability Services and Other Legislation (Worker Screening) Amendment Regulation 2021</w:t>
      </w:r>
      <w:r w:rsidR="00E048AF">
        <w:rPr>
          <w:rFonts w:cs="Arial"/>
        </w:rPr>
        <w:t xml:space="preserve"> – while rights were limited this was ultimately found to be sufficiently justified.</w:t>
      </w:r>
    </w:p>
    <w:p w14:paraId="0B56BE5C" w14:textId="2C922A39" w:rsidR="00C123C5" w:rsidRPr="00C123C5" w:rsidRDefault="00C123C5" w:rsidP="00530D27">
      <w:pPr>
        <w:pStyle w:val="ListParagraph"/>
        <w:rPr>
          <w:rFonts w:cs="Arial"/>
        </w:rPr>
      </w:pPr>
      <w:r w:rsidRPr="000759B8">
        <w:rPr>
          <w:rFonts w:cs="Arial"/>
          <w:i/>
        </w:rPr>
        <w:t>Meriba Omasker Kaziw Kazipa (Torres Strait Islander Traditional Child Rearing Practice) Act</w:t>
      </w:r>
      <w:r w:rsidR="00CF6AAD" w:rsidRPr="000759B8">
        <w:rPr>
          <w:rFonts w:cs="Arial"/>
          <w:i/>
        </w:rPr>
        <w:t xml:space="preserve"> 2020</w:t>
      </w:r>
      <w:r w:rsidR="00CF6AAD">
        <w:rPr>
          <w:rFonts w:cs="Arial"/>
        </w:rPr>
        <w:t xml:space="preserve"> – significant as it promotes cultural rights protected under the Act.</w:t>
      </w:r>
    </w:p>
    <w:p w14:paraId="7DB998E1" w14:textId="13E6BBD4" w:rsidR="00623431" w:rsidRDefault="00C123C5" w:rsidP="00530D27">
      <w:pPr>
        <w:rPr>
          <w:rFonts w:cs="Arial"/>
        </w:rPr>
      </w:pPr>
      <w:r>
        <w:rPr>
          <w:rFonts w:cs="Arial"/>
        </w:rPr>
        <w:lastRenderedPageBreak/>
        <w:t xml:space="preserve">Both are described in further detail in the </w:t>
      </w:r>
      <w:r>
        <w:rPr>
          <w:rFonts w:cs="Arial"/>
          <w:i/>
        </w:rPr>
        <w:t xml:space="preserve">Human rights and the </w:t>
      </w:r>
      <w:r w:rsidR="006D538A">
        <w:rPr>
          <w:rFonts w:cs="Arial"/>
          <w:i/>
        </w:rPr>
        <w:t>Parliament</w:t>
      </w:r>
      <w:r>
        <w:rPr>
          <w:rFonts w:cs="Arial"/>
          <w:i/>
        </w:rPr>
        <w:t xml:space="preserve"> – significant legislation in 2020-21 </w:t>
      </w:r>
      <w:r w:rsidR="00063527">
        <w:t xml:space="preserve">section of this report </w:t>
      </w:r>
      <w:r>
        <w:rPr>
          <w:rFonts w:cs="Arial"/>
        </w:rPr>
        <w:t xml:space="preserve">(page </w:t>
      </w:r>
      <w:r w:rsidR="00DA36FA">
        <w:rPr>
          <w:rFonts w:cs="Arial"/>
        </w:rPr>
        <w:t>38)</w:t>
      </w:r>
      <w:r w:rsidR="00623431">
        <w:rPr>
          <w:rFonts w:cs="Arial"/>
        </w:rPr>
        <w:t xml:space="preserve">. </w:t>
      </w:r>
    </w:p>
    <w:p w14:paraId="6F8C34D6" w14:textId="4DD8AFE5" w:rsidR="000208A9" w:rsidRPr="000208A9" w:rsidRDefault="000208A9" w:rsidP="00530D27">
      <w:pPr>
        <w:rPr>
          <w:rFonts w:cs="Arial"/>
          <w:color w:val="000000"/>
        </w:rPr>
      </w:pPr>
      <w:r w:rsidRPr="000208A9">
        <w:t xml:space="preserve">The QCS highlighted the passage of </w:t>
      </w:r>
      <w:r w:rsidRPr="000208A9">
        <w:rPr>
          <w:i/>
        </w:rPr>
        <w:t xml:space="preserve">Community Based Sentences Act 2020 </w:t>
      </w:r>
      <w:r w:rsidRPr="000208A9">
        <w:t>and the associated regulation</w:t>
      </w:r>
      <w:r w:rsidR="00063527">
        <w:t>. These</w:t>
      </w:r>
      <w:r w:rsidRPr="000208A9">
        <w:t xml:space="preserve"> promote freedom of movement and the protection </w:t>
      </w:r>
      <w:r w:rsidRPr="000208A9">
        <w:rPr>
          <w:rFonts w:cs="Arial"/>
          <w:color w:val="000000"/>
        </w:rPr>
        <w:t xml:space="preserve">of families and children by providing the ability for an offender to request to have their sentence transferred by registration and enforced in Queensland or interstate under the CBS Act, despite serving a </w:t>
      </w:r>
      <w:r w:rsidR="00530D27" w:rsidRPr="000208A9">
        <w:rPr>
          <w:rFonts w:cs="Arial"/>
          <w:color w:val="000000"/>
        </w:rPr>
        <w:t>community-based</w:t>
      </w:r>
      <w:r w:rsidRPr="000208A9">
        <w:rPr>
          <w:rFonts w:cs="Arial"/>
          <w:color w:val="000000"/>
        </w:rPr>
        <w:t xml:space="preserve"> sentence that would otherwise limit movement to Queensland or the State in which it was imposed. This can support an offender’s connection with family and children, effective rehabilitation, reintegration, and supervision. In turn, this can support an offender’s rehabilitation and right to education, health services and family, depending on the reasons for the transfer. </w:t>
      </w:r>
    </w:p>
    <w:p w14:paraId="705CB146" w14:textId="61342AEC" w:rsidR="00122416" w:rsidRDefault="00122416" w:rsidP="00122416">
      <w:r w:rsidRPr="00C16E39">
        <w:rPr>
          <w:rFonts w:cs="Arial"/>
        </w:rPr>
        <w:t xml:space="preserve">CHDE noted the introduction in the reporting period of the </w:t>
      </w:r>
      <w:r w:rsidRPr="005970E5">
        <w:t>Housing Legislation Amendment Bill 2021</w:t>
      </w:r>
      <w:r>
        <w:t xml:space="preserve">, and </w:t>
      </w:r>
      <w:r w:rsidR="00C16E39">
        <w:t>in particular</w:t>
      </w:r>
      <w:r>
        <w:t xml:space="preserve"> how it:</w:t>
      </w:r>
    </w:p>
    <w:p w14:paraId="61EF01EE" w14:textId="5301F40D" w:rsidR="00122416" w:rsidRPr="00530D27" w:rsidRDefault="00122416" w:rsidP="00530D27">
      <w:pPr>
        <w:pStyle w:val="Quote"/>
      </w:pPr>
      <w:r w:rsidRPr="00530D27">
        <w:t>…amends residential tenancy law creating a statutory framework for ending a tenancy or rooming accommodation agreement in cases of domestic violence. The amendment helps to achieve the purpose of supporting and protecting individuals from domestic and family violence by enabling them to take steps to protect themselves and escape the violence, thereby protecting and promoting the right to protection of families and children.</w:t>
      </w:r>
    </w:p>
    <w:p w14:paraId="2876FDCF" w14:textId="61855163" w:rsidR="00281EF5" w:rsidRPr="006564C5" w:rsidRDefault="00281EF5" w:rsidP="00530D27">
      <w:pPr>
        <w:rPr>
          <w:szCs w:val="22"/>
          <w:lang w:val="en-GB"/>
        </w:rPr>
      </w:pPr>
      <w:r w:rsidRPr="00281EF5">
        <w:rPr>
          <w:rFonts w:cs="Arial"/>
          <w:szCs w:val="22"/>
        </w:rPr>
        <w:t>QH noted that in</w:t>
      </w:r>
      <w:r w:rsidRPr="00281EF5">
        <w:rPr>
          <w:szCs w:val="22"/>
        </w:rPr>
        <w:t xml:space="preserve"> </w:t>
      </w:r>
      <w:r w:rsidRPr="006564C5">
        <w:rPr>
          <w:szCs w:val="22"/>
          <w:lang w:val="en-GB"/>
        </w:rPr>
        <w:t xml:space="preserve">August 2020, the </w:t>
      </w:r>
      <w:r w:rsidRPr="006564C5">
        <w:rPr>
          <w:i/>
          <w:iCs/>
          <w:szCs w:val="22"/>
          <w:lang w:val="en-GB"/>
        </w:rPr>
        <w:t>Health Legislation Amendment Act 2020</w:t>
      </w:r>
      <w:r w:rsidRPr="006564C5">
        <w:rPr>
          <w:szCs w:val="22"/>
          <w:lang w:val="en-GB"/>
        </w:rPr>
        <w:t xml:space="preserve"> amended the </w:t>
      </w:r>
      <w:r w:rsidRPr="006564C5">
        <w:rPr>
          <w:i/>
          <w:iCs/>
          <w:szCs w:val="22"/>
          <w:lang w:val="en-GB"/>
        </w:rPr>
        <w:t>Hospital and Health Boards Act 2011</w:t>
      </w:r>
      <w:r w:rsidRPr="006564C5">
        <w:rPr>
          <w:szCs w:val="22"/>
          <w:lang w:val="en-GB"/>
        </w:rPr>
        <w:t xml:space="preserve"> to:</w:t>
      </w:r>
    </w:p>
    <w:p w14:paraId="77F3B72D" w14:textId="77777777" w:rsidR="00281EF5" w:rsidRPr="006564C5" w:rsidRDefault="00281EF5" w:rsidP="00530D27">
      <w:pPr>
        <w:pStyle w:val="ListParagraph"/>
      </w:pPr>
      <w:r>
        <w:t xml:space="preserve">include a requirement that each Hospital and Health Board have at least one member who is an Aboriginal person or Torres Strait Islander person; and </w:t>
      </w:r>
    </w:p>
    <w:p w14:paraId="5BC73667" w14:textId="30A8E217" w:rsidR="00281EF5" w:rsidRDefault="00281EF5" w:rsidP="00530D27">
      <w:pPr>
        <w:pStyle w:val="ListParagraph"/>
      </w:pPr>
      <w:r>
        <w:t xml:space="preserve">require each HHS to develop and implement an Aboriginal and Torres Strait Islander Health Equity Strategy. </w:t>
      </w:r>
    </w:p>
    <w:p w14:paraId="4D1CC62D" w14:textId="77777777" w:rsidR="00084164" w:rsidRDefault="0058078F" w:rsidP="00530D27">
      <w:pPr>
        <w:rPr>
          <w:szCs w:val="22"/>
          <w:lang w:val="en-GB"/>
        </w:rPr>
      </w:pPr>
      <w:r w:rsidRPr="006564C5">
        <w:rPr>
          <w:szCs w:val="22"/>
          <w:lang w:val="en-GB"/>
        </w:rPr>
        <w:t xml:space="preserve">The Health Equity Strategies Regulation provides a framework to guide each </w:t>
      </w:r>
      <w:r>
        <w:rPr>
          <w:szCs w:val="22"/>
          <w:lang w:val="en-GB"/>
        </w:rPr>
        <w:t>HHS</w:t>
      </w:r>
      <w:r w:rsidRPr="006564C5">
        <w:rPr>
          <w:szCs w:val="22"/>
          <w:lang w:val="en-GB"/>
        </w:rPr>
        <w:t xml:space="preserve"> to achieve a greater impact on health equity and support greater engagement and collaboration in the design, delivery and monitoring of healthcare services. </w:t>
      </w:r>
    </w:p>
    <w:p w14:paraId="5355D76D" w14:textId="77777777" w:rsidR="00084164" w:rsidRDefault="00084164" w:rsidP="00530D27">
      <w:pPr>
        <w:rPr>
          <w:szCs w:val="22"/>
          <w:lang w:val="en-GB"/>
        </w:rPr>
      </w:pPr>
      <w:r>
        <w:rPr>
          <w:szCs w:val="22"/>
          <w:lang w:val="en-GB"/>
        </w:rPr>
        <w:t>QH notes that these changes:</w:t>
      </w:r>
    </w:p>
    <w:p w14:paraId="0CFC80F9" w14:textId="740058CD" w:rsidR="00281EF5" w:rsidRPr="00530D27" w:rsidRDefault="00084164" w:rsidP="00530D27">
      <w:pPr>
        <w:pStyle w:val="Quote"/>
        <w:rPr>
          <w:lang w:val="en-GB"/>
        </w:rPr>
      </w:pPr>
      <w:r w:rsidRPr="00530D27">
        <w:rPr>
          <w:lang w:val="en-GB"/>
        </w:rPr>
        <w:t>…support the cultural rights of Aboriginal peoples and Torres Strait Islander peoples and promotes better health and wellbeing outcomes through genuine co</w:t>
      </w:r>
      <w:r w:rsidRPr="00530D27">
        <w:rPr>
          <w:lang w:val="en-GB"/>
        </w:rPr>
        <w:noBreakHyphen/>
        <w:t>design, co-ownership and co-implementation. The right to health services is also supported by requiring HHSs to state various key performance measures and other actions to actively eliminate racial discrimination and institutional racism.</w:t>
      </w:r>
    </w:p>
    <w:p w14:paraId="6BCAB5CD" w14:textId="1EEC908E" w:rsidR="00EA06D6" w:rsidRPr="00530D27" w:rsidRDefault="05238703" w:rsidP="00B04FF8">
      <w:pPr>
        <w:pStyle w:val="Heading2"/>
        <w:rPr>
          <w:color w:val="8D361E"/>
        </w:rPr>
      </w:pPr>
      <w:bookmarkStart w:id="394" w:name="_Toc56451595"/>
      <w:bookmarkStart w:id="395" w:name="_Toc56452169"/>
      <w:bookmarkStart w:id="396" w:name="_Toc84593898"/>
      <w:bookmarkStart w:id="397" w:name="_Toc85451775"/>
      <w:bookmarkStart w:id="398" w:name="_Toc85526705"/>
      <w:bookmarkStart w:id="399" w:name="_Toc85787120"/>
      <w:r w:rsidRPr="00530D27">
        <w:rPr>
          <w:color w:val="8D361E"/>
        </w:rPr>
        <w:lastRenderedPageBreak/>
        <w:t>Indicator 5: Review of policies and procedures</w:t>
      </w:r>
      <w:bookmarkEnd w:id="394"/>
      <w:bookmarkEnd w:id="395"/>
      <w:bookmarkEnd w:id="396"/>
      <w:bookmarkEnd w:id="397"/>
      <w:bookmarkEnd w:id="398"/>
      <w:bookmarkEnd w:id="399"/>
    </w:p>
    <w:p w14:paraId="60991767" w14:textId="2223B808" w:rsidR="00821E06" w:rsidRPr="00EA06D6" w:rsidRDefault="004E2298" w:rsidP="000618AE">
      <w:r w:rsidRPr="00EA06D6">
        <w:t xml:space="preserve">The Commission </w:t>
      </w:r>
      <w:r w:rsidR="007C79BF" w:rsidRPr="00EA06D6">
        <w:t xml:space="preserve">asked </w:t>
      </w:r>
      <w:r w:rsidR="001721E0" w:rsidRPr="00EA06D6">
        <w:t xml:space="preserve">state </w:t>
      </w:r>
      <w:r w:rsidR="007C79BF" w:rsidRPr="00EA06D6">
        <w:t>public entities about reviews of policies and procedures</w:t>
      </w:r>
      <w:r w:rsidR="00063527">
        <w:t>,</w:t>
      </w:r>
      <w:r w:rsidR="007C79BF" w:rsidRPr="00EA06D6">
        <w:t xml:space="preserve"> </w:t>
      </w:r>
      <w:r w:rsidR="00CF4BD5" w:rsidRPr="00EA06D6">
        <w:t>and</w:t>
      </w:r>
      <w:r w:rsidR="007C79BF" w:rsidRPr="00EA06D6">
        <w:t xml:space="preserve"> development of guides or tools to support decision-making, as well as any changes to service delivery.</w:t>
      </w:r>
      <w:r w:rsidR="0005179A" w:rsidRPr="00EA06D6">
        <w:t xml:space="preserve"> </w:t>
      </w:r>
    </w:p>
    <w:p w14:paraId="27210B69" w14:textId="55CEE38C" w:rsidR="00D63773" w:rsidRPr="00407FA9" w:rsidRDefault="00D63773" w:rsidP="00407FA9">
      <w:pPr>
        <w:pStyle w:val="Heading3"/>
        <w:rPr>
          <w:rFonts w:eastAsia="Arial"/>
          <w:color w:val="8D361E"/>
        </w:rPr>
      </w:pPr>
      <w:r w:rsidRPr="00407FA9">
        <w:rPr>
          <w:rFonts w:eastAsia="Arial"/>
          <w:color w:val="8D361E"/>
        </w:rPr>
        <w:t>Progress of policy and procedure review</w:t>
      </w:r>
    </w:p>
    <w:p w14:paraId="7CFC4AB9" w14:textId="62C2FDE9" w:rsidR="003137BE" w:rsidRPr="003137BE" w:rsidRDefault="00063527" w:rsidP="003137BE">
      <w:r>
        <w:t>S</w:t>
      </w:r>
      <w:r w:rsidR="003137BE" w:rsidRPr="00BA0298">
        <w:t xml:space="preserve">tate public entities </w:t>
      </w:r>
      <w:r w:rsidR="00BA0298" w:rsidRPr="00BA0298">
        <w:t>mostly</w:t>
      </w:r>
      <w:r w:rsidR="003137BE" w:rsidRPr="00BA0298">
        <w:t xml:space="preserve"> reported that general reviews for compatibility had concluded, </w:t>
      </w:r>
      <w:r w:rsidR="00BA0298" w:rsidRPr="00BA0298">
        <w:t>and</w:t>
      </w:r>
      <w:r w:rsidR="003137BE" w:rsidRPr="00BA0298">
        <w:t xml:space="preserve"> some reported ongoing </w:t>
      </w:r>
      <w:r w:rsidR="00C8015A" w:rsidRPr="00BA0298">
        <w:t>human rights assessments</w:t>
      </w:r>
      <w:r w:rsidR="003137BE" w:rsidRPr="00BA0298">
        <w:t xml:space="preserve"> as </w:t>
      </w:r>
      <w:r w:rsidR="00C8015A" w:rsidRPr="00BA0298">
        <w:t>and when</w:t>
      </w:r>
      <w:r w:rsidR="005668D4" w:rsidRPr="00BA0298">
        <w:t xml:space="preserve"> policies are </w:t>
      </w:r>
      <w:r w:rsidR="00C8015A" w:rsidRPr="00BA0298">
        <w:t>introduced or amended</w:t>
      </w:r>
      <w:r w:rsidR="003137BE" w:rsidRPr="00BA0298">
        <w:t>.</w:t>
      </w:r>
      <w:r w:rsidR="005668D4" w:rsidRPr="00BA0298">
        <w:t xml:space="preserve"> </w:t>
      </w:r>
    </w:p>
    <w:p w14:paraId="0EDB1A61" w14:textId="35A18E13" w:rsidR="00C77EE5" w:rsidRPr="00C77EE5" w:rsidRDefault="00C77EE5" w:rsidP="00C77EE5">
      <w:r w:rsidRPr="00C77EE5">
        <w:t xml:space="preserve">At the Department of Education </w:t>
      </w:r>
      <w:r w:rsidR="00063527">
        <w:t xml:space="preserve">a Human Rights Impact Assessment must now be completed for </w:t>
      </w:r>
      <w:r w:rsidRPr="00C77EE5">
        <w:t xml:space="preserve">all new and reviewed departmental policies. </w:t>
      </w:r>
      <w:r w:rsidR="00C461B4">
        <w:t>The human rights impacts of o</w:t>
      </w:r>
      <w:r w:rsidRPr="00C77EE5">
        <w:t>ver 20 policies, frameworks and projects ha</w:t>
      </w:r>
      <w:r w:rsidR="00C461B4">
        <w:t>ve been</w:t>
      </w:r>
      <w:r w:rsidRPr="00C77EE5">
        <w:t xml:space="preserve"> considered over the reporting period to ensure compatibility with the Act.</w:t>
      </w:r>
      <w:r w:rsidR="00197317">
        <w:t xml:space="preserve"> </w:t>
      </w:r>
      <w:r w:rsidRPr="00C77EE5">
        <w:t xml:space="preserve">In particular cases, policies and procedures were updated to explicitly reference the Act (e.g. the School Performance Policy and Procedure, released in February 2021, which guides school leaders to continuously improve and evaluate school actions that contribute to all students’ learning and wellbeing). </w:t>
      </w:r>
    </w:p>
    <w:p w14:paraId="026495E3" w14:textId="72EA9942" w:rsidR="00C77EE5" w:rsidRDefault="00C77EE5" w:rsidP="00C77EE5">
      <w:r w:rsidRPr="00C77EE5">
        <w:t xml:space="preserve">The </w:t>
      </w:r>
      <w:r w:rsidR="008E774E">
        <w:t>Department of Education’s i</w:t>
      </w:r>
      <w:r w:rsidRPr="00C77EE5">
        <w:t xml:space="preserve">ndividual employee grievances policy and procedure was </w:t>
      </w:r>
      <w:r w:rsidR="008E774E">
        <w:t xml:space="preserve">also </w:t>
      </w:r>
      <w:r w:rsidRPr="00C77EE5">
        <w:t>reviewed and amend</w:t>
      </w:r>
      <w:r w:rsidR="00C461B4">
        <w:t>ed</w:t>
      </w:r>
      <w:r w:rsidRPr="00C77EE5">
        <w:t xml:space="preserve"> to embed the consideration of human rights in managing grievances, and advi</w:t>
      </w:r>
      <w:r w:rsidR="00C461B4">
        <w:t>ce</w:t>
      </w:r>
      <w:r w:rsidRPr="00C77EE5">
        <w:t xml:space="preserve"> of avenues for external review including through the Queensland Human Rights Commission.</w:t>
      </w:r>
    </w:p>
    <w:p w14:paraId="126460B0" w14:textId="4BC6DCD4" w:rsidR="003137BE" w:rsidRDefault="003137BE" w:rsidP="00530D27">
      <w:pPr>
        <w:rPr>
          <w:rFonts w:cs="Arial"/>
        </w:rPr>
      </w:pPr>
      <w:r w:rsidRPr="003137BE">
        <w:rPr>
          <w:rFonts w:cs="Arial"/>
        </w:rPr>
        <w:t xml:space="preserve">QCAT also continues to review and adapt its procedures on an ongoing basis and as required to ensure that it is best placed to assist people to resolve disputes through the access to tribunal services during the COVID-19 public health emergency. For example, during greater </w:t>
      </w:r>
      <w:r w:rsidRPr="003137BE">
        <w:t>Brisbane</w:t>
      </w:r>
      <w:r w:rsidR="00C461B4">
        <w:t>’s</w:t>
      </w:r>
      <w:r w:rsidRPr="003137BE">
        <w:rPr>
          <w:rFonts w:cs="Arial"/>
        </w:rPr>
        <w:t xml:space="preserve"> ‘snap’ lockdowns</w:t>
      </w:r>
      <w:r w:rsidR="00C461B4">
        <w:t>,</w:t>
      </w:r>
      <w:r w:rsidRPr="003137BE">
        <w:rPr>
          <w:rFonts w:cs="Arial"/>
        </w:rPr>
        <w:t xml:space="preserve"> arrangements are made for hearings to proceed by phone at QCAT and across southeast Queensland or by video conference. This </w:t>
      </w:r>
      <w:r w:rsidRPr="003137BE">
        <w:t>ensure</w:t>
      </w:r>
      <w:r w:rsidR="00C461B4">
        <w:t>s</w:t>
      </w:r>
      <w:r w:rsidRPr="003137BE">
        <w:rPr>
          <w:rFonts w:cs="Arial"/>
        </w:rPr>
        <w:t xml:space="preserve"> the rights of individuals to a fair hearing </w:t>
      </w:r>
      <w:r w:rsidR="00C461B4">
        <w:t>are</w:t>
      </w:r>
      <w:r w:rsidR="00C461B4" w:rsidRPr="003137BE">
        <w:t xml:space="preserve"> </w:t>
      </w:r>
      <w:r w:rsidRPr="003137BE">
        <w:rPr>
          <w:rFonts w:cs="Arial"/>
        </w:rPr>
        <w:t>protected during the period of the snap lockdown.</w:t>
      </w:r>
    </w:p>
    <w:p w14:paraId="7DD8249E" w14:textId="271295DF" w:rsidR="00AD2B04" w:rsidRPr="006564C5" w:rsidRDefault="00AD2B04" w:rsidP="00530D27">
      <w:pPr>
        <w:rPr>
          <w:szCs w:val="22"/>
          <w:lang w:val="en-GB"/>
        </w:rPr>
      </w:pPr>
      <w:r>
        <w:rPr>
          <w:rFonts w:cs="Arial"/>
        </w:rPr>
        <w:t>Q</w:t>
      </w:r>
      <w:r w:rsidR="00C461B4">
        <w:rPr>
          <w:rFonts w:cs="Arial"/>
        </w:rPr>
        <w:t xml:space="preserve">ueensland </w:t>
      </w:r>
      <w:r>
        <w:rPr>
          <w:rFonts w:cs="Arial"/>
        </w:rPr>
        <w:t>H</w:t>
      </w:r>
      <w:r w:rsidR="00C461B4">
        <w:rPr>
          <w:rFonts w:cs="Arial"/>
        </w:rPr>
        <w:t>ealth</w:t>
      </w:r>
      <w:r>
        <w:rPr>
          <w:rFonts w:cs="Arial"/>
        </w:rPr>
        <w:t xml:space="preserve"> </w:t>
      </w:r>
      <w:r w:rsidRPr="006564C5">
        <w:rPr>
          <w:szCs w:val="22"/>
          <w:lang w:val="en-GB"/>
        </w:rPr>
        <w:t>is continuing to progress with its review of all policies and procedures for compatibility with human rights. As previously reported, the review is finding that most if not all</w:t>
      </w:r>
      <w:r>
        <w:rPr>
          <w:szCs w:val="22"/>
          <w:lang w:val="en-GB"/>
        </w:rPr>
        <w:t>,</w:t>
      </w:r>
      <w:r w:rsidRPr="006564C5">
        <w:rPr>
          <w:szCs w:val="22"/>
          <w:lang w:val="en-GB"/>
        </w:rPr>
        <w:t xml:space="preserve"> are compatible with human rights. Overall, the reviews have resulted in some minor changes to the wording to: </w:t>
      </w:r>
    </w:p>
    <w:p w14:paraId="6801B5D6" w14:textId="5A5C3B1E" w:rsidR="00AD2B04" w:rsidRPr="006564C5" w:rsidRDefault="00AD2B04" w:rsidP="00530D27">
      <w:pPr>
        <w:pStyle w:val="ListParagraph"/>
        <w:rPr>
          <w:rFonts w:cs="Arial"/>
          <w:color w:val="000000"/>
        </w:rPr>
      </w:pPr>
      <w:r w:rsidRPr="00E076E6">
        <w:t>include statements about human rights obligations for awareness purposes</w:t>
      </w:r>
    </w:p>
    <w:p w14:paraId="24A9B713" w14:textId="161D05B1" w:rsidR="00AD2B04" w:rsidRPr="006564C5" w:rsidRDefault="00AD2B04" w:rsidP="00530D27">
      <w:pPr>
        <w:pStyle w:val="ListParagraph"/>
        <w:rPr>
          <w:rFonts w:cs="Arial"/>
          <w:color w:val="000000"/>
        </w:rPr>
      </w:pPr>
      <w:r w:rsidRPr="00E076E6">
        <w:t>specifically identify human rights relevant to the particular policy or procedures</w:t>
      </w:r>
    </w:p>
    <w:p w14:paraId="73B26B1E" w14:textId="51A4AB95" w:rsidR="00AD2B04" w:rsidRDefault="00AD2B04" w:rsidP="00530D27">
      <w:pPr>
        <w:pStyle w:val="ListParagraph"/>
        <w:rPr>
          <w:rFonts w:cs="Arial"/>
          <w:color w:val="000000"/>
        </w:rPr>
      </w:pPr>
      <w:r w:rsidRPr="00E076E6">
        <w:lastRenderedPageBreak/>
        <w:t xml:space="preserve">make minor wording changes to ensure clarity and provide examples about the limited situations or circumstances that may </w:t>
      </w:r>
      <w:r w:rsidRPr="50D262C4">
        <w:t>justif</w:t>
      </w:r>
      <w:r w:rsidR="00C461B4">
        <w:t>y</w:t>
      </w:r>
      <w:r w:rsidRPr="00E076E6">
        <w:t xml:space="preserve"> limiting a person’s rights</w:t>
      </w:r>
      <w:r w:rsidR="002D0E8C">
        <w:t>,</w:t>
      </w:r>
      <w:r w:rsidRPr="00E076E6">
        <w:t xml:space="preserve"> </w:t>
      </w:r>
      <w:r w:rsidR="00C461B4">
        <w:t>and</w:t>
      </w:r>
      <w:r w:rsidR="00C461B4" w:rsidRPr="50D262C4">
        <w:t xml:space="preserve"> </w:t>
      </w:r>
    </w:p>
    <w:p w14:paraId="5DDBCD8C" w14:textId="0FF4F823" w:rsidR="00AD2B04" w:rsidRDefault="00AD2B04" w:rsidP="00530D27">
      <w:pPr>
        <w:pStyle w:val="ListParagraph"/>
        <w:rPr>
          <w:rFonts w:cs="Arial"/>
          <w:color w:val="000000"/>
        </w:rPr>
      </w:pPr>
      <w:r w:rsidRPr="00E076E6">
        <w:t>to ensure that the appropriate recordkeeping practices are built into decision-making processes</w:t>
      </w:r>
      <w:r w:rsidR="00C461B4">
        <w:t>.</w:t>
      </w:r>
    </w:p>
    <w:p w14:paraId="29A19604" w14:textId="79F2A37C" w:rsidR="00FD0EF2" w:rsidRDefault="00FD0EF2" w:rsidP="0073722C">
      <w:pPr>
        <w:rPr>
          <w:rFonts w:cs="Arial"/>
          <w:color w:val="000000"/>
          <w:szCs w:val="22"/>
        </w:rPr>
      </w:pPr>
      <w:r>
        <w:rPr>
          <w:rFonts w:cs="Arial"/>
          <w:color w:val="000000"/>
          <w:szCs w:val="22"/>
        </w:rPr>
        <w:t>Queensland Ambulance Service</w:t>
      </w:r>
      <w:r w:rsidRPr="006564C5">
        <w:rPr>
          <w:rFonts w:cs="Arial"/>
          <w:color w:val="000000"/>
          <w:szCs w:val="22"/>
        </w:rPr>
        <w:t xml:space="preserve"> have developed a specific Human Rights Policy and have identified areas where the protection of human rights can be strengthened. For example, a new operational procedure to support the policy is under development relating to the transport of assistance animals with patients.</w:t>
      </w:r>
    </w:p>
    <w:p w14:paraId="793C07FF" w14:textId="63EC621A" w:rsidR="00530611" w:rsidRPr="0073722C" w:rsidRDefault="00530611" w:rsidP="00530611">
      <w:pPr>
        <w:pStyle w:val="Heading3"/>
        <w:rPr>
          <w:color w:val="8D361E"/>
        </w:rPr>
      </w:pPr>
      <w:r w:rsidRPr="0073722C">
        <w:rPr>
          <w:color w:val="8D361E"/>
        </w:rPr>
        <w:t xml:space="preserve">Practice </w:t>
      </w:r>
      <w:r w:rsidR="00363B67" w:rsidRPr="0073722C">
        <w:rPr>
          <w:color w:val="8D361E"/>
        </w:rPr>
        <w:t>changes</w:t>
      </w:r>
    </w:p>
    <w:p w14:paraId="11A0D78D" w14:textId="57F629C5" w:rsidR="00530611" w:rsidRDefault="00530611" w:rsidP="0073722C">
      <w:pPr>
        <w:rPr>
          <w:rFonts w:cs="Arial"/>
        </w:rPr>
      </w:pPr>
      <w:r w:rsidRPr="00292684">
        <w:rPr>
          <w:rFonts w:cs="Arial"/>
        </w:rPr>
        <w:t>Disability Accommodation, Respite and Forensic Services</w:t>
      </w:r>
      <w:r>
        <w:rPr>
          <w:rFonts w:cs="Arial"/>
        </w:rPr>
        <w:t xml:space="preserve"> (DARFS)</w:t>
      </w:r>
      <w:r w:rsidRPr="00292684">
        <w:rPr>
          <w:rFonts w:cs="Arial"/>
        </w:rPr>
        <w:t xml:space="preserve"> reviewed its practices in line with the </w:t>
      </w:r>
      <w:r w:rsidR="00C461B4">
        <w:t>i</w:t>
      </w:r>
      <w:r w:rsidRPr="00292684">
        <w:t>mplementation</w:t>
      </w:r>
      <w:r w:rsidRPr="00292684">
        <w:rPr>
          <w:rFonts w:cs="Arial"/>
        </w:rPr>
        <w:t xml:space="preserve"> of </w:t>
      </w:r>
      <w:r>
        <w:rPr>
          <w:rFonts w:cs="Arial"/>
        </w:rPr>
        <w:t xml:space="preserve">the Act </w:t>
      </w:r>
      <w:r w:rsidRPr="00292684">
        <w:rPr>
          <w:rFonts w:cs="Arial"/>
        </w:rPr>
        <w:t>to ensure compatibility with human rights.</w:t>
      </w:r>
      <w:r>
        <w:rPr>
          <w:rFonts w:cs="Arial"/>
        </w:rPr>
        <w:t xml:space="preserve"> </w:t>
      </w:r>
      <w:r w:rsidRPr="00292684">
        <w:rPr>
          <w:rFonts w:cs="Arial"/>
        </w:rPr>
        <w:t xml:space="preserve">A statement was developed to assist DARFS staff to consider, understand and recognise a person’s human rights in every decision they make relating to clients when providing direct care and support to clients. There has not been a substantiated claim of breaching human rights against DARFS since the implementation of the Act </w:t>
      </w:r>
      <w:r>
        <w:rPr>
          <w:rFonts w:cs="Arial"/>
        </w:rPr>
        <w:t>S</w:t>
      </w:r>
      <w:r w:rsidRPr="00292684">
        <w:rPr>
          <w:rFonts w:cs="Arial"/>
        </w:rPr>
        <w:t xml:space="preserve">tatement and awareness training. </w:t>
      </w:r>
    </w:p>
    <w:p w14:paraId="7BF991B9" w14:textId="10A88631" w:rsidR="00363B67" w:rsidRPr="006564C5" w:rsidRDefault="00C16E39" w:rsidP="0073722C">
      <w:pPr>
        <w:rPr>
          <w:rFonts w:cs="Arial"/>
          <w:color w:val="000000"/>
          <w:szCs w:val="22"/>
        </w:rPr>
      </w:pPr>
      <w:r>
        <w:rPr>
          <w:rFonts w:cs="Arial"/>
          <w:color w:val="000000"/>
          <w:szCs w:val="22"/>
        </w:rPr>
        <w:t xml:space="preserve">An interesting example of </w:t>
      </w:r>
      <w:r w:rsidR="00363B67" w:rsidRPr="006564C5">
        <w:rPr>
          <w:rFonts w:cs="Arial"/>
          <w:color w:val="000000"/>
          <w:szCs w:val="22"/>
        </w:rPr>
        <w:t xml:space="preserve">how </w:t>
      </w:r>
      <w:r>
        <w:rPr>
          <w:rFonts w:cs="Arial"/>
          <w:color w:val="000000"/>
          <w:szCs w:val="22"/>
        </w:rPr>
        <w:t>a</w:t>
      </w:r>
      <w:r w:rsidR="00363B67" w:rsidRPr="006564C5">
        <w:rPr>
          <w:rFonts w:cs="Arial"/>
          <w:color w:val="000000"/>
          <w:szCs w:val="22"/>
        </w:rPr>
        <w:t xml:space="preserve"> human rights assessment process can work happened during a review of dental services at one HHS. A human rights issue was identified in that there could be a limitation on the access to culturally appropriate healthcare for the provision of dental (gum) products. Before the human rights assessment the process had been to offer a range of ‘most common’ gum colour options. After the assessment, a more inclusive and diverse range of colour matches for dental (gum) products has been made available.</w:t>
      </w:r>
    </w:p>
    <w:p w14:paraId="2916F8BE" w14:textId="4A3941DF" w:rsidR="0035236F" w:rsidRPr="00407FA9" w:rsidRDefault="007C4B51" w:rsidP="00407FA9">
      <w:pPr>
        <w:pStyle w:val="Heading3"/>
        <w:rPr>
          <w:color w:val="8D361E"/>
        </w:rPr>
      </w:pPr>
      <w:r w:rsidRPr="00407FA9">
        <w:rPr>
          <w:color w:val="8D361E"/>
        </w:rPr>
        <w:t xml:space="preserve">Tools and </w:t>
      </w:r>
      <w:r w:rsidR="007E3650" w:rsidRPr="00407FA9">
        <w:rPr>
          <w:color w:val="8D361E"/>
        </w:rPr>
        <w:t>r</w:t>
      </w:r>
      <w:r w:rsidRPr="00407FA9">
        <w:rPr>
          <w:color w:val="8D361E"/>
        </w:rPr>
        <w:t>esources</w:t>
      </w:r>
    </w:p>
    <w:p w14:paraId="53A31855" w14:textId="689D010F" w:rsidR="00C06EC6" w:rsidRDefault="00275B16" w:rsidP="00C06EC6">
      <w:r>
        <w:t>The</w:t>
      </w:r>
      <w:r w:rsidR="00C06EC6">
        <w:t xml:space="preserve"> CHDE noted </w:t>
      </w:r>
      <w:r>
        <w:t xml:space="preserve">the following resources developed to improve </w:t>
      </w:r>
      <w:r w:rsidR="00D0482F">
        <w:t xml:space="preserve">staff </w:t>
      </w:r>
      <w:r>
        <w:t>capability to act compatibly with rights</w:t>
      </w:r>
      <w:r w:rsidR="00C06EC6">
        <w:t>:</w:t>
      </w:r>
    </w:p>
    <w:p w14:paraId="44970A6A" w14:textId="77777777" w:rsidR="00C06EC6" w:rsidRPr="0073722C" w:rsidRDefault="00C06EC6" w:rsidP="002D2599">
      <w:pPr>
        <w:pStyle w:val="Quote"/>
        <w:numPr>
          <w:ilvl w:val="0"/>
          <w:numId w:val="22"/>
        </w:numPr>
      </w:pPr>
      <w:r w:rsidRPr="0073722C">
        <w:t>A human rights advice service was added to the support provided by the Service Delivery Help Desk to frontline Housing staff. The service assists staff with general human rights queries as well as the proper consideration process.</w:t>
      </w:r>
    </w:p>
    <w:p w14:paraId="71774B63" w14:textId="77777777" w:rsidR="00C06EC6" w:rsidRPr="0073722C" w:rsidRDefault="00C06EC6" w:rsidP="002D2599">
      <w:pPr>
        <w:pStyle w:val="Quote"/>
        <w:numPr>
          <w:ilvl w:val="0"/>
          <w:numId w:val="22"/>
        </w:numPr>
      </w:pPr>
      <w:r w:rsidRPr="0073722C">
        <w:t>A large internal business system for social housing tenancy management, was updated with expanded content on human rights. The new material assists Housing staff with information, scenario-based examples and guidance on properly considering human rights.</w:t>
      </w:r>
    </w:p>
    <w:p w14:paraId="08940EBA" w14:textId="77777777" w:rsidR="00C06EC6" w:rsidRPr="0073722C" w:rsidRDefault="00C06EC6" w:rsidP="002D2599">
      <w:pPr>
        <w:pStyle w:val="Quote"/>
        <w:numPr>
          <w:ilvl w:val="0"/>
          <w:numId w:val="22"/>
        </w:numPr>
      </w:pPr>
      <w:r w:rsidRPr="0073722C">
        <w:lastRenderedPageBreak/>
        <w:t>A ‘Human Rights Compatibility Consideration Guide’ was developed to assist staff in the proper consideration of human rights in decision-making and to support good-practice recordkeeping. The guide incorporates a flowchart that links to a suite of five compatibility findings.</w:t>
      </w:r>
    </w:p>
    <w:p w14:paraId="0BFB9CCF" w14:textId="3F5A3031" w:rsidR="00C06EC6" w:rsidRPr="0073722C" w:rsidRDefault="00C06EC6" w:rsidP="002D2599">
      <w:pPr>
        <w:pStyle w:val="Quote"/>
        <w:numPr>
          <w:ilvl w:val="0"/>
          <w:numId w:val="22"/>
        </w:numPr>
      </w:pPr>
      <w:r w:rsidRPr="0073722C">
        <w:t>A ‘Human Rights Compatibility Report’ template was developed to assist staff document proper considerations made in relation to Ministerial and Director-General briefing notes.</w:t>
      </w:r>
    </w:p>
    <w:p w14:paraId="21A8AFC9" w14:textId="257B8308" w:rsidR="0091778E" w:rsidRDefault="0091778E" w:rsidP="00407FA9">
      <w:pPr>
        <w:pStyle w:val="Heading3"/>
        <w:rPr>
          <w:color w:val="8D361E"/>
        </w:rPr>
      </w:pPr>
      <w:r w:rsidRPr="00407FA9">
        <w:rPr>
          <w:color w:val="8D361E"/>
        </w:rPr>
        <w:t xml:space="preserve">Impacts on </w:t>
      </w:r>
      <w:r w:rsidR="00F578FE" w:rsidRPr="00407FA9">
        <w:rPr>
          <w:color w:val="8D361E"/>
        </w:rPr>
        <w:t>s</w:t>
      </w:r>
      <w:r w:rsidRPr="00407FA9">
        <w:rPr>
          <w:color w:val="8D361E"/>
        </w:rPr>
        <w:t xml:space="preserve">ervice </w:t>
      </w:r>
      <w:r w:rsidR="00F578FE" w:rsidRPr="00407FA9">
        <w:rPr>
          <w:color w:val="8D361E"/>
        </w:rPr>
        <w:t>d</w:t>
      </w:r>
      <w:r w:rsidRPr="00407FA9">
        <w:rPr>
          <w:color w:val="8D361E"/>
        </w:rPr>
        <w:t>elivery</w:t>
      </w:r>
    </w:p>
    <w:p w14:paraId="2BB9A169" w14:textId="6BD7C309" w:rsidR="00CE4F71" w:rsidRPr="00CE4F71" w:rsidRDefault="00CE4F71" w:rsidP="00CE4F71">
      <w:r>
        <w:t>The survey responses indicate that the Act has led to meaningful</w:t>
      </w:r>
      <w:r w:rsidR="009856FD">
        <w:t xml:space="preserve"> dialogue and some</w:t>
      </w:r>
      <w:r>
        <w:t xml:space="preserve"> policy changes, a few of which are highlighted below.</w:t>
      </w:r>
    </w:p>
    <w:p w14:paraId="0E5E8EC5" w14:textId="1234B8CA" w:rsidR="00C06EC6" w:rsidRPr="000322B9" w:rsidRDefault="00C06EC6" w:rsidP="000322B9">
      <w:pPr>
        <w:pStyle w:val="Heading4"/>
        <w:rPr>
          <w:color w:val="8D361E"/>
        </w:rPr>
      </w:pPr>
      <w:r w:rsidRPr="000322B9">
        <w:rPr>
          <w:color w:val="8D361E"/>
        </w:rPr>
        <w:t>Human rights of trans and gender diverse people promoted in changes to Operational Procedural Manual</w:t>
      </w:r>
    </w:p>
    <w:p w14:paraId="55341848" w14:textId="366A5412" w:rsidR="00C06EC6" w:rsidRDefault="00C06EC6" w:rsidP="00C06EC6">
      <w:pPr>
        <w:rPr>
          <w:bCs/>
        </w:rPr>
      </w:pPr>
      <w:r>
        <w:rPr>
          <w:bCs/>
        </w:rPr>
        <w:t>During the reporting period, the Q</w:t>
      </w:r>
      <w:r w:rsidR="00C461B4">
        <w:rPr>
          <w:bCs/>
        </w:rPr>
        <w:t xml:space="preserve">ueensland </w:t>
      </w:r>
      <w:r>
        <w:rPr>
          <w:bCs/>
        </w:rPr>
        <w:t>P</w:t>
      </w:r>
      <w:r w:rsidR="00C461B4">
        <w:rPr>
          <w:bCs/>
        </w:rPr>
        <w:t xml:space="preserve">olice </w:t>
      </w:r>
      <w:r>
        <w:rPr>
          <w:bCs/>
        </w:rPr>
        <w:t>S</w:t>
      </w:r>
      <w:r w:rsidR="00C461B4">
        <w:rPr>
          <w:bCs/>
        </w:rPr>
        <w:t>ervice</w:t>
      </w:r>
      <w:r>
        <w:rPr>
          <w:bCs/>
        </w:rPr>
        <w:t>:</w:t>
      </w:r>
    </w:p>
    <w:p w14:paraId="4A945447" w14:textId="41D5A730" w:rsidR="00C06EC6" w:rsidRDefault="00C06EC6" w:rsidP="004F1568">
      <w:pPr>
        <w:pStyle w:val="Quote"/>
        <w:numPr>
          <w:ilvl w:val="0"/>
          <w:numId w:val="32"/>
        </w:numPr>
      </w:pPr>
      <w:r w:rsidRPr="006217E7">
        <w:t>amended its Operational Procedures Manual (OPM) to modernise operational policies about searching trans, intersex and gender diverse people and policies about prisoner segregation</w:t>
      </w:r>
    </w:p>
    <w:p w14:paraId="377204A1" w14:textId="77777777" w:rsidR="00C06EC6" w:rsidRPr="0046390A" w:rsidRDefault="00C06EC6" w:rsidP="004F1568">
      <w:pPr>
        <w:pStyle w:val="Quote"/>
        <w:numPr>
          <w:ilvl w:val="0"/>
          <w:numId w:val="32"/>
        </w:numPr>
      </w:pPr>
      <w:bookmarkStart w:id="400" w:name="_Hlk77328204"/>
      <w:r>
        <w:t>approved an internal gender affirmation HR policy to support our people to bring their authentic and best self to work, and to solidify our commitment to creating a safe and inclusive workplace</w:t>
      </w:r>
      <w:r w:rsidRPr="0046390A">
        <w:t>.</w:t>
      </w:r>
    </w:p>
    <w:bookmarkEnd w:id="400"/>
    <w:p w14:paraId="0F6150E5" w14:textId="07A80E48" w:rsidR="00C06EC6" w:rsidRPr="00C06EC6" w:rsidRDefault="00C06EC6" w:rsidP="00C06EC6">
      <w:pPr>
        <w:rPr>
          <w:bCs/>
        </w:rPr>
      </w:pPr>
      <w:r>
        <w:rPr>
          <w:bCs/>
        </w:rPr>
        <w:t xml:space="preserve">These policy changes were made following consultation with </w:t>
      </w:r>
      <w:r w:rsidRPr="006217E7">
        <w:rPr>
          <w:bCs/>
        </w:rPr>
        <w:t>stakeholders including the Queensland Human Rights Commission, the Queensland Government LGBTI Roundtable and community groups. These direct consultations with experts ensured the policies were robust and inclusive, while respecting and promoting human rights.</w:t>
      </w:r>
    </w:p>
    <w:p w14:paraId="7B04C1B0" w14:textId="77777777" w:rsidR="00397D90" w:rsidRPr="0073722C" w:rsidRDefault="00397D90" w:rsidP="000322B9">
      <w:pPr>
        <w:pStyle w:val="Heading4"/>
        <w:rPr>
          <w:color w:val="8D361E"/>
        </w:rPr>
      </w:pPr>
      <w:r w:rsidRPr="0073722C">
        <w:rPr>
          <w:color w:val="8D361E"/>
        </w:rPr>
        <w:t>Human rights dialogue around fresh air in hotel quarantine</w:t>
      </w:r>
    </w:p>
    <w:p w14:paraId="212EE2AB" w14:textId="6CFD360F" w:rsidR="005D4B93" w:rsidRDefault="005D4B93" w:rsidP="005D4B93">
      <w:r>
        <w:t>The Commission, QPS and Q</w:t>
      </w:r>
      <w:r w:rsidR="00C461B4">
        <w:t xml:space="preserve">ueensland </w:t>
      </w:r>
      <w:r>
        <w:t>H</w:t>
      </w:r>
      <w:r w:rsidR="00C461B4">
        <w:t>ealth</w:t>
      </w:r>
      <w:r>
        <w:t xml:space="preserve"> had a number of meetings during the reporting period, working towards a hotel quarantine environment which is the least restrictive on human rights possible, while still responding proportionately to the health crisis during COVID-19. These conversations reflect one of the goals of the Act</w:t>
      </w:r>
      <w:r w:rsidR="00C461B4">
        <w:t>:</w:t>
      </w:r>
      <w:r>
        <w:t xml:space="preserve"> to create dialogue around the meaning and purpose of human rights.</w:t>
      </w:r>
    </w:p>
    <w:p w14:paraId="1EBA71CC" w14:textId="4374A217" w:rsidR="005D4B93" w:rsidRPr="005D4B93" w:rsidRDefault="005D4B93" w:rsidP="005D4B93">
      <w:r>
        <w:lastRenderedPageBreak/>
        <w:t xml:space="preserve">For a period, this dialogue resulted in QPS and QH maintaining a focus </w:t>
      </w:r>
      <w:r w:rsidRPr="005D4B93">
        <w:t>on human rights by ensuring people had access to fresh air, including through sourcing appropriate accommodation</w:t>
      </w:r>
      <w:r w:rsidR="00C461B4">
        <w:t>,</w:t>
      </w:r>
      <w:r w:rsidRPr="005D4B93">
        <w:t xml:space="preserve"> fresh air walks, and other supports the person might need. Unfortunately, because of the introduction of more contagious variants of COVID-19, and a lack of available hotels with balconies or opening windows, access to fresh air was not sustained in the longer term. On the other hand, purpose-built quarantine facilities are currently under construction which will hopefully improve conditions in future.</w:t>
      </w:r>
    </w:p>
    <w:p w14:paraId="6EF6E2B3" w14:textId="309CA9BC" w:rsidR="00140C0C" w:rsidRPr="0073722C" w:rsidRDefault="00BA0298" w:rsidP="000322B9">
      <w:pPr>
        <w:pStyle w:val="Heading4"/>
        <w:rPr>
          <w:color w:val="8D361E"/>
        </w:rPr>
      </w:pPr>
      <w:r w:rsidRPr="0073722C">
        <w:rPr>
          <w:color w:val="8D361E"/>
        </w:rPr>
        <w:t>Virtual visits, court appearances and prisoner health</w:t>
      </w:r>
    </w:p>
    <w:p w14:paraId="55A262B4" w14:textId="39EDCF4C" w:rsidR="00EB3C7A" w:rsidRDefault="00140C0C" w:rsidP="00776284">
      <w:r>
        <w:t xml:space="preserve">Last year, the Commission highlighted the introduction by QCS of the virtual prisoner visits with family, which promoted the rights to freedom of expression and </w:t>
      </w:r>
      <w:r w:rsidR="00FE5206">
        <w:t>protection</w:t>
      </w:r>
      <w:r>
        <w:t xml:space="preserve"> of families and children.</w:t>
      </w:r>
      <w:r w:rsidR="00EB3C7A">
        <w:t xml:space="preserve"> All 11 high security correctional centres, Helena Jones</w:t>
      </w:r>
      <w:r w:rsidR="001B21E3">
        <w:t>,</w:t>
      </w:r>
      <w:r w:rsidR="00EB3C7A">
        <w:t xml:space="preserve"> and Capricornia Low Security Centre have this capability, which can be utilised when lockdowns are required to prevent COVID-19 entering the prison environments.</w:t>
      </w:r>
    </w:p>
    <w:p w14:paraId="67B739A3" w14:textId="1049C20E" w:rsidR="00140C0C" w:rsidRDefault="009856FD" w:rsidP="00776284">
      <w:r>
        <w:t>C</w:t>
      </w:r>
      <w:r w:rsidR="00EB3C7A">
        <w:t>ourt video-conferencing has also been expanded which may promote fair hearing and rights in criminal proceedings by reducing delays when a prisoner cannot attend court in person.</w:t>
      </w:r>
    </w:p>
    <w:p w14:paraId="191D55F1" w14:textId="4C71C876" w:rsidR="00BA0298" w:rsidRDefault="00BA0298" w:rsidP="00776284">
      <w:r>
        <w:t>During the reporting period, a state-wide Memorandum of Understanding between QH and QCS for the delivery of health services to prisoners was updated to align with human rights – this replaces 8 separate MOUs to improve consistency of service</w:t>
      </w:r>
      <w:r w:rsidR="00526EB3">
        <w:t xml:space="preserve">, and is accompanied by a new strategy </w:t>
      </w:r>
      <w:r w:rsidR="00526EB3" w:rsidRPr="003B2A3F">
        <w:rPr>
          <w:rFonts w:cs="Arial"/>
          <w:i/>
          <w:iCs/>
          <w:color w:val="000000"/>
          <w:szCs w:val="22"/>
        </w:rPr>
        <w:t>Reducing the barriers to health and wellbeing: The Queensland Prisoner Health and Wellbeing Strategy 2020-2025</w:t>
      </w:r>
      <w:r>
        <w:t>.</w:t>
      </w:r>
    </w:p>
    <w:p w14:paraId="4E985137" w14:textId="610EBE71" w:rsidR="00AD2B04" w:rsidRPr="0073722C" w:rsidRDefault="00652E9A" w:rsidP="000322B9">
      <w:pPr>
        <w:pStyle w:val="Heading4"/>
        <w:rPr>
          <w:color w:val="8D361E"/>
        </w:rPr>
      </w:pPr>
      <w:r w:rsidRPr="0073722C">
        <w:rPr>
          <w:color w:val="8D361E"/>
        </w:rPr>
        <w:t xml:space="preserve">Locked wards and seclusion under the </w:t>
      </w:r>
      <w:r w:rsidR="00AD2B04" w:rsidRPr="0073722C">
        <w:rPr>
          <w:color w:val="8D361E"/>
        </w:rPr>
        <w:t xml:space="preserve">Mental Health Act </w:t>
      </w:r>
    </w:p>
    <w:p w14:paraId="6508E9EA" w14:textId="2D3FD036" w:rsidR="00AD2B04" w:rsidRDefault="00AD2B04" w:rsidP="00AD2B04">
      <w:r>
        <w:t xml:space="preserve">QH noted a number of examples of strengthened protection and promotion of human rights as a </w:t>
      </w:r>
      <w:r w:rsidR="00652E9A">
        <w:t xml:space="preserve">direct </w:t>
      </w:r>
      <w:r>
        <w:t xml:space="preserve">result of the review of policies and procedures, and in particular in the mental health </w:t>
      </w:r>
      <w:r w:rsidR="00652E9A">
        <w:t>area. These developments include:</w:t>
      </w:r>
    </w:p>
    <w:p w14:paraId="05D3D5FF" w14:textId="77777777" w:rsidR="00AD2B04" w:rsidRPr="0036290B" w:rsidRDefault="00AD2B04" w:rsidP="002D2599">
      <w:pPr>
        <w:pStyle w:val="Quote"/>
        <w:numPr>
          <w:ilvl w:val="0"/>
          <w:numId w:val="23"/>
        </w:numPr>
        <w:rPr>
          <w:color w:val="000000"/>
        </w:rPr>
      </w:pPr>
      <w:r w:rsidRPr="0073722C">
        <w:t>A review of the MH Act Statement of Rights in 2021 resulted in the inclusion of an acknowledgement of staff obligations under the HR Act, including that a doctor or authorised health practitioner must if requested explain to or refer a patient to the HR Act.</w:t>
      </w:r>
    </w:p>
    <w:p w14:paraId="4E4C7EFD" w14:textId="6BDEF459" w:rsidR="00AD2B04" w:rsidRPr="0036290B" w:rsidRDefault="00AD2B04" w:rsidP="002D2599">
      <w:pPr>
        <w:pStyle w:val="Quote"/>
        <w:numPr>
          <w:ilvl w:val="0"/>
          <w:numId w:val="23"/>
        </w:numPr>
      </w:pPr>
      <w:r w:rsidRPr="0036290B">
        <w:t>Requiring clinicians performing functions or exercising powers under the MH Act to ensure unique age-related, cultural and spiritual, gender-related, religious and communication needs are recognised, respected and followed to the greatest extent practicable. The policies also highlight consideration of timely involvement of a person’s local supports.</w:t>
      </w:r>
    </w:p>
    <w:p w14:paraId="6350E4E1" w14:textId="40C0B8AB" w:rsidR="00AD2B04" w:rsidRPr="0036290B" w:rsidRDefault="00AD2B04" w:rsidP="002D2599">
      <w:pPr>
        <w:pStyle w:val="Quote"/>
        <w:numPr>
          <w:ilvl w:val="0"/>
          <w:numId w:val="23"/>
        </w:numPr>
      </w:pPr>
      <w:r w:rsidRPr="0036290B">
        <w:lastRenderedPageBreak/>
        <w:t>Human rights assessment of the Locked Ward Policy and Directive issued 2013, which identified that there may be less restrictive ways to achieve the objectives of the current policy and directive, prompting a review of the policy to be commenced in 2021</w:t>
      </w:r>
      <w:r w:rsidR="00652E9A" w:rsidRPr="0036290B">
        <w:t xml:space="preserve"> which may lead to discretion in locking wards</w:t>
      </w:r>
      <w:r w:rsidRPr="0036290B">
        <w:t>.</w:t>
      </w:r>
    </w:p>
    <w:p w14:paraId="481C2B56" w14:textId="77777777" w:rsidR="00CE3B6C" w:rsidRPr="0036290B" w:rsidRDefault="00652E9A" w:rsidP="002D2599">
      <w:pPr>
        <w:pStyle w:val="Quote"/>
        <w:numPr>
          <w:ilvl w:val="0"/>
          <w:numId w:val="23"/>
        </w:numPr>
      </w:pPr>
      <w:r w:rsidRPr="0036290B">
        <w:t>Support for a trial of discretionary locking at a Mental Health Service in South East Queensland for a period of six months, the evaluation of which will form the review project.</w:t>
      </w:r>
    </w:p>
    <w:p w14:paraId="052ECD4E" w14:textId="5EADAEEA" w:rsidR="00652E9A" w:rsidRPr="0036290B" w:rsidRDefault="00652E9A" w:rsidP="002D2599">
      <w:pPr>
        <w:pStyle w:val="Quote"/>
        <w:numPr>
          <w:ilvl w:val="0"/>
          <w:numId w:val="23"/>
        </w:numPr>
      </w:pPr>
      <w:r w:rsidRPr="0036290B">
        <w:t>Amendments to the Chief Psychiatrist’s Seclusion Policy provide a greater level of guidance on seclusion management under other legal frameworks and encourages services to seek local advice and refer to local HHS policy. Services are directed to also consider whether patients meet the criteria for treatment and care under the MH Act. Services are now also required to escalate matters in which any seclusion management occurs under legal frameworks other than the MH Act as a significant event and/or as a potential non-compliance event to the Chief Psychiatrist. In addition the policy also clarifies expectations regarding appropriate use of emergency authorisation of seclusion in relation to limiting consecutive authorisations.</w:t>
      </w:r>
    </w:p>
    <w:p w14:paraId="7E7FF008" w14:textId="30D68E65" w:rsidR="00CE3B6C" w:rsidRPr="0036290B" w:rsidRDefault="00FE5206" w:rsidP="0036290B">
      <w:r w:rsidRPr="0036290B">
        <w:t>QH also committed to future:</w:t>
      </w:r>
    </w:p>
    <w:p w14:paraId="24CB98E3" w14:textId="69CB412E" w:rsidR="00CE3B6C" w:rsidRPr="0036290B" w:rsidRDefault="00FE5206" w:rsidP="0036290B">
      <w:pPr>
        <w:pStyle w:val="Quote"/>
        <w:rPr>
          <w:color w:val="000000"/>
        </w:rPr>
      </w:pPr>
      <w:r w:rsidRPr="0036290B">
        <w:rPr>
          <w:color w:val="000000"/>
        </w:rPr>
        <w:t>…d</w:t>
      </w:r>
      <w:r w:rsidR="00CE3B6C" w:rsidRPr="0036290B">
        <w:t>evelopment of a system and checklist for documenting human rights considerations as part of decision making under the MH Act in relation to Chief Psychiatrist public interest decisions (for directing psychiatrist reports and making references to Mental Health Court) to ensure adequate documentation of the decision-making process. This will be supported by internal training on incorporating human rights consideration into this decision-making process.</w:t>
      </w:r>
    </w:p>
    <w:p w14:paraId="0DEE99D2" w14:textId="795B0D24" w:rsidR="00BE7C3E" w:rsidRPr="0036290B" w:rsidRDefault="05238703" w:rsidP="00B04FF8">
      <w:pPr>
        <w:pStyle w:val="Heading2"/>
        <w:rPr>
          <w:color w:val="8D361E"/>
        </w:rPr>
      </w:pPr>
      <w:bookmarkStart w:id="401" w:name="_Toc56451596"/>
      <w:bookmarkStart w:id="402" w:name="_Toc56452170"/>
      <w:bookmarkStart w:id="403" w:name="_Toc84593899"/>
      <w:bookmarkStart w:id="404" w:name="_Toc85451776"/>
      <w:bookmarkStart w:id="405" w:name="_Toc85526706"/>
      <w:bookmarkStart w:id="406" w:name="_Toc85787121"/>
      <w:r w:rsidRPr="0036290B">
        <w:rPr>
          <w:color w:val="8D361E"/>
        </w:rPr>
        <w:t xml:space="preserve">Indicator 6: </w:t>
      </w:r>
      <w:r w:rsidR="00E44386" w:rsidRPr="0036290B">
        <w:rPr>
          <w:color w:val="8D361E"/>
        </w:rPr>
        <w:t>I</w:t>
      </w:r>
      <w:r w:rsidRPr="0036290B">
        <w:rPr>
          <w:color w:val="8D361E"/>
        </w:rPr>
        <w:t>nternal complaint</w:t>
      </w:r>
      <w:r w:rsidR="003F48B0" w:rsidRPr="0036290B">
        <w:rPr>
          <w:color w:val="8D361E"/>
        </w:rPr>
        <w:t>s</w:t>
      </w:r>
      <w:bookmarkEnd w:id="401"/>
      <w:bookmarkEnd w:id="402"/>
      <w:bookmarkEnd w:id="403"/>
      <w:bookmarkEnd w:id="404"/>
      <w:bookmarkEnd w:id="405"/>
      <w:bookmarkEnd w:id="406"/>
    </w:p>
    <w:p w14:paraId="69AE0379" w14:textId="31243A1A" w:rsidR="00241C5E" w:rsidRDefault="00DD7B8F" w:rsidP="006A4BDA">
      <w:r w:rsidRPr="008A00EB">
        <w:t xml:space="preserve">The Commission </w:t>
      </w:r>
      <w:r w:rsidR="00380AC0" w:rsidRPr="008A00EB">
        <w:t xml:space="preserve">asked </w:t>
      </w:r>
      <w:r w:rsidR="001721E0" w:rsidRPr="008A00EB">
        <w:t xml:space="preserve">state </w:t>
      </w:r>
      <w:r w:rsidR="00EC7D98" w:rsidRPr="008A00EB">
        <w:t>government</w:t>
      </w:r>
      <w:r w:rsidR="00380AC0" w:rsidRPr="008A00EB">
        <w:t xml:space="preserve"> entities how they have incorporated human rights into complaint handling processes</w:t>
      </w:r>
      <w:r w:rsidR="00241C5E">
        <w:t xml:space="preserve"> and whether barriers have been identified to identifying, considering and responding to complaints</w:t>
      </w:r>
      <w:r w:rsidR="00380AC0" w:rsidRPr="008A00EB">
        <w:t>.</w:t>
      </w:r>
      <w:r w:rsidRPr="5C183293">
        <w:rPr>
          <w:rStyle w:val="FootnoteReference"/>
          <w:sz w:val="22"/>
          <w:szCs w:val="22"/>
        </w:rPr>
        <w:footnoteReference w:id="73"/>
      </w:r>
      <w:r w:rsidR="00174609" w:rsidRPr="008A00EB">
        <w:t xml:space="preserve"> </w:t>
      </w:r>
    </w:p>
    <w:p w14:paraId="4B21F981" w14:textId="3319B670" w:rsidR="00DA52A8" w:rsidRDefault="00DA52A8" w:rsidP="006A4BDA">
      <w:r>
        <w:t>The results were promising, with some agencies indicating service improvements in direct response to issues raised under the Act.</w:t>
      </w:r>
    </w:p>
    <w:p w14:paraId="0B60B718" w14:textId="0D25AD8C" w:rsidR="00241C5E" w:rsidRDefault="00241C5E" w:rsidP="00241C5E">
      <w:pPr>
        <w:spacing w:line="240" w:lineRule="auto"/>
        <w:rPr>
          <w:rFonts w:eastAsia="Arial" w:cs="Arial"/>
        </w:rPr>
      </w:pPr>
      <w:r w:rsidRPr="5C183293">
        <w:rPr>
          <w:rFonts w:eastAsia="Arial" w:cs="Arial"/>
        </w:rPr>
        <w:t>In 2020/21 CYJMA</w:t>
      </w:r>
      <w:r w:rsidR="00C122CE" w:rsidRPr="5C183293">
        <w:rPr>
          <w:rFonts w:eastAsia="Arial" w:cs="Arial"/>
        </w:rPr>
        <w:t xml:space="preserve"> took the following actions regarding internal complaints</w:t>
      </w:r>
      <w:r w:rsidRPr="5C183293">
        <w:rPr>
          <w:rFonts w:eastAsia="Arial" w:cs="Arial"/>
        </w:rPr>
        <w:t>:</w:t>
      </w:r>
    </w:p>
    <w:p w14:paraId="5348DF2E" w14:textId="2AE856EC" w:rsidR="00241C5E" w:rsidRDefault="00241C5E" w:rsidP="0036290B">
      <w:pPr>
        <w:pStyle w:val="ListParagraph"/>
        <w:rPr>
          <w:rFonts w:eastAsia="Arial" w:cs="Arial"/>
        </w:rPr>
      </w:pPr>
      <w:r w:rsidRPr="5C183293">
        <w:rPr>
          <w:rFonts w:eastAsia="Arial" w:cs="Arial"/>
        </w:rPr>
        <w:lastRenderedPageBreak/>
        <w:t>worked with the Queensland Ombudsman to deliver complaint management training to more than 210 staff in the department both centrally and regionally and also key staff from each CSSC.</w:t>
      </w:r>
      <w:r w:rsidR="00197317">
        <w:rPr>
          <w:rFonts w:eastAsia="Arial" w:cs="Arial"/>
        </w:rPr>
        <w:t xml:space="preserve"> </w:t>
      </w:r>
      <w:r w:rsidRPr="5C183293">
        <w:rPr>
          <w:rFonts w:eastAsia="Arial" w:cs="Arial"/>
        </w:rPr>
        <w:t>The training included how to manage and report on human rights complaints.</w:t>
      </w:r>
    </w:p>
    <w:p w14:paraId="6ED5E3CE" w14:textId="77777777" w:rsidR="00241C5E" w:rsidRDefault="00241C5E" w:rsidP="0036290B">
      <w:pPr>
        <w:pStyle w:val="ListParagraph"/>
        <w:rPr>
          <w:rFonts w:eastAsia="Arial" w:cs="Arial"/>
        </w:rPr>
      </w:pPr>
      <w:r w:rsidRPr="5C183293">
        <w:rPr>
          <w:rFonts w:eastAsia="Arial" w:cs="Arial"/>
        </w:rPr>
        <w:t>strengthened the human rights reporting both for complaints and Professional Standards areas of the department.</w:t>
      </w:r>
    </w:p>
    <w:p w14:paraId="29798864" w14:textId="3D67DEF4" w:rsidR="00A32ECE" w:rsidRPr="00344A06" w:rsidRDefault="00A32ECE" w:rsidP="0036290B">
      <w:pPr>
        <w:pStyle w:val="ListParagraph"/>
        <w:rPr>
          <w:rFonts w:eastAsia="Arial" w:cs="Arial"/>
        </w:rPr>
      </w:pPr>
      <w:r w:rsidRPr="5C183293">
        <w:rPr>
          <w:rFonts w:eastAsia="Arial" w:cs="Arial"/>
        </w:rPr>
        <w:t>released and implemented a ‘First Attempt at Resolution Practice Guide,’ a resource for front-line service centre staff to support them in managing early resolution o</w:t>
      </w:r>
      <w:r w:rsidR="0052535C" w:rsidRPr="5C183293">
        <w:rPr>
          <w:rFonts w:eastAsia="Arial" w:cs="Arial"/>
        </w:rPr>
        <w:t xml:space="preserve">f complaints. </w:t>
      </w:r>
      <w:r w:rsidRPr="5C183293">
        <w:rPr>
          <w:rFonts w:eastAsia="Arial" w:cs="Arial"/>
        </w:rPr>
        <w:t>This includes content on considering human rights in decision making.</w:t>
      </w:r>
    </w:p>
    <w:p w14:paraId="6A0BD535" w14:textId="240734DB" w:rsidR="006E18E3" w:rsidRPr="006E18E3" w:rsidRDefault="006E18E3" w:rsidP="0036290B">
      <w:pPr>
        <w:rPr>
          <w:rFonts w:ascii="Arial Nova" w:hAnsi="Arial Nova" w:cs="Arial"/>
        </w:rPr>
      </w:pPr>
      <w:r>
        <w:t>The CYJMA noted that the decision-making framework designed in 2020 to assist decision-making is compatible with human rights considerations regarding family contact and other relevant service provision is still being utilised by frontline staff.</w:t>
      </w:r>
      <w:r>
        <w:rPr>
          <w:rStyle w:val="FootnoteReference"/>
        </w:rPr>
        <w:footnoteReference w:id="74"/>
      </w:r>
    </w:p>
    <w:p w14:paraId="5D8961B3" w14:textId="44BF5EAD" w:rsidR="009854B5" w:rsidRDefault="009854B5" w:rsidP="0036290B">
      <w:r>
        <w:t>SDSATSIP noted that its</w:t>
      </w:r>
      <w:r w:rsidR="00C122CE">
        <w:t xml:space="preserve"> publicly available</w:t>
      </w:r>
      <w:r>
        <w:t xml:space="preserve"> Complaints Management Policy embeds the application of human rights in the assessment of all complaints and that:</w:t>
      </w:r>
    </w:p>
    <w:p w14:paraId="25195923" w14:textId="6107FA8B" w:rsidR="003137BE" w:rsidRPr="0036290B" w:rsidRDefault="009854B5" w:rsidP="0036290B">
      <w:pPr>
        <w:pStyle w:val="Quote"/>
      </w:pPr>
      <w:r w:rsidRPr="0036290B">
        <w:t>The inclusion of human rights into the policy has changed the way complaints are assessed as human rights issues are actively sought now, and if identified, referred to the relevant service area for assessment, or advice provided to contact the Human Rights Commission.</w:t>
      </w:r>
    </w:p>
    <w:p w14:paraId="2684D9EC" w14:textId="6A99082E" w:rsidR="003137BE" w:rsidRDefault="003137BE" w:rsidP="00800C88">
      <w:pPr>
        <w:rPr>
          <w:sz w:val="20"/>
          <w:szCs w:val="20"/>
        </w:rPr>
      </w:pPr>
      <w:r w:rsidRPr="003137BE">
        <w:t>In responding to complaints, QCAT has engaged directly with clients about human rights issues for the purpose of responding to issues raised, gaining an understanding of the issue direct from the client and at the same time identifying any need for process improvement, as well as QCAT staff training.</w:t>
      </w:r>
      <w:r>
        <w:t xml:space="preserve"> </w:t>
      </w:r>
    </w:p>
    <w:p w14:paraId="6373277B" w14:textId="20C0EFF5" w:rsidR="006659A0" w:rsidRDefault="00F74DE0" w:rsidP="0036290B">
      <w:pPr>
        <w:rPr>
          <w:rFonts w:cs="Arial"/>
        </w:rPr>
      </w:pPr>
      <w:r w:rsidRPr="00F74DE0">
        <w:rPr>
          <w:rFonts w:cs="Arial"/>
        </w:rPr>
        <w:t>QH had already incorporated human rights into existing complaints processes but is continuing to improve and refine the process across the system</w:t>
      </w:r>
      <w:r>
        <w:rPr>
          <w:rFonts w:cs="Arial"/>
        </w:rPr>
        <w:t xml:space="preserve"> as it has been identified as an area that needs further work</w:t>
      </w:r>
      <w:r w:rsidRPr="00F74DE0">
        <w:rPr>
          <w:rFonts w:cs="Arial"/>
        </w:rPr>
        <w:t>.</w:t>
      </w:r>
      <w:r>
        <w:rPr>
          <w:rFonts w:cs="Arial"/>
        </w:rPr>
        <w:t xml:space="preserve"> QH did however report some success in resolving complaints internally, for example:</w:t>
      </w:r>
    </w:p>
    <w:p w14:paraId="24C25635" w14:textId="254484A1" w:rsidR="00F74DE0" w:rsidRPr="0036290B" w:rsidRDefault="00F74DE0" w:rsidP="0036290B">
      <w:pPr>
        <w:pStyle w:val="Quote"/>
        <w:rPr>
          <w:iCs w:val="0"/>
        </w:rPr>
      </w:pPr>
      <w:r w:rsidRPr="0036290B">
        <w:t>Complaints alleging breaches of the right to privacy in relation to patient records are a common theme arising for human rights complaints. Of substantiated complaints, most of these have been resolved internally by providing the complainant with an apology and the requiring the subject employee to undertake further privacy training.</w:t>
      </w:r>
    </w:p>
    <w:p w14:paraId="5F99CA65" w14:textId="6BC8E132" w:rsidR="00F74DE0" w:rsidRPr="0036290B" w:rsidRDefault="00F74DE0" w:rsidP="00F74DE0">
      <w:pPr>
        <w:pStyle w:val="Heading3"/>
        <w:rPr>
          <w:i/>
          <w:color w:val="8D361E"/>
        </w:rPr>
      </w:pPr>
      <w:r w:rsidRPr="0036290B">
        <w:rPr>
          <w:color w:val="8D361E"/>
        </w:rPr>
        <w:lastRenderedPageBreak/>
        <w:t>Learning from complaints</w:t>
      </w:r>
    </w:p>
    <w:p w14:paraId="43449D56" w14:textId="77777777" w:rsidR="00910CC6" w:rsidRDefault="00910CC6" w:rsidP="00910CC6">
      <w:r w:rsidRPr="003137BE">
        <w:t xml:space="preserve">QCAT </w:t>
      </w:r>
      <w:r>
        <w:t>expressed that it has:</w:t>
      </w:r>
    </w:p>
    <w:p w14:paraId="49E947B3" w14:textId="7A687E3E" w:rsidR="00910CC6" w:rsidRPr="0036290B" w:rsidRDefault="00910CC6" w:rsidP="0036290B">
      <w:pPr>
        <w:pStyle w:val="Quote"/>
        <w:rPr>
          <w:sz w:val="20"/>
        </w:rPr>
      </w:pPr>
      <w:r w:rsidRPr="0036290B">
        <w:t>processes in place to manage human rights complaints and ensure dialogue in terms of learnings in response to those complaints. An example of this is that QCAT’s Management Team (Registry) ensures that any factors which are raised in a complaint requiring registry consideration and change are discussed as a team. This is to make sure that lessons learned, and registry changes are cascaded to all team members. In practical terms this promotes a dialogue about the nature, meaning and scope of human rights.</w:t>
      </w:r>
      <w:r w:rsidRPr="0036290B">
        <w:rPr>
          <w:sz w:val="18"/>
        </w:rPr>
        <w:t xml:space="preserve"> </w:t>
      </w:r>
    </w:p>
    <w:p w14:paraId="667F1C21" w14:textId="5F127388" w:rsidR="00F74DE0" w:rsidRPr="0036290B" w:rsidRDefault="005D4064" w:rsidP="0036290B">
      <w:pPr>
        <w:pStyle w:val="Quote"/>
      </w:pPr>
      <w:r w:rsidRPr="005D4064">
        <w:rPr>
          <w:rFonts w:cs="Arial"/>
        </w:rPr>
        <w:t xml:space="preserve">The CHDE also indicated a </w:t>
      </w:r>
      <w:r>
        <w:rPr>
          <w:rFonts w:cs="Arial"/>
        </w:rPr>
        <w:t>genuine</w:t>
      </w:r>
      <w:r w:rsidRPr="005D4064">
        <w:rPr>
          <w:rFonts w:cs="Arial"/>
        </w:rPr>
        <w:t xml:space="preserve"> intention to learn from complaints by building </w:t>
      </w:r>
      <w:r w:rsidRPr="005D4064">
        <w:t xml:space="preserve">‘human rights profiles’ at departmental and divisional levels: </w:t>
      </w:r>
      <w:r w:rsidRPr="0036290B">
        <w:t>The rights most commonly exercised by complainants in the reporting period were: the right to equality; freedoms of expression and movement; privacy and reputation; and the right to property. The human rights profiles will be used to inform the design of training, resources and engagement campaigns, tailored with a focus on the rights most often engaged throughout the department’s portfolio areas.</w:t>
      </w:r>
    </w:p>
    <w:p w14:paraId="006E2B0B" w14:textId="01B31701" w:rsidR="00F74DE0" w:rsidRPr="00F74DE0" w:rsidRDefault="00F74DE0" w:rsidP="0036290B">
      <w:r>
        <w:t xml:space="preserve">QH reported that </w:t>
      </w:r>
      <w:r w:rsidR="26E202AE">
        <w:t>Hospitals and Health Services (</w:t>
      </w:r>
      <w:r>
        <w:t>HHSs</w:t>
      </w:r>
      <w:r w:rsidR="26E202AE">
        <w:t>)</w:t>
      </w:r>
      <w:r>
        <w:t xml:space="preserve"> are using complaints as training and awareness opportunities and examples about service delivery and access to services to make improvement, for example:</w:t>
      </w:r>
    </w:p>
    <w:p w14:paraId="7355F9CF" w14:textId="33A6E103" w:rsidR="00F74DE0" w:rsidRPr="0036290B" w:rsidRDefault="00F74DE0" w:rsidP="0036290B">
      <w:pPr>
        <w:pStyle w:val="Quote"/>
      </w:pPr>
      <w:r w:rsidRPr="0036290B">
        <w:rPr>
          <w:sz w:val="20"/>
        </w:rPr>
        <w:t>O</w:t>
      </w:r>
      <w:r w:rsidRPr="0036290B">
        <w:t xml:space="preserve">ne HHS has implemented a process to analyse trends and themes that are forming from human rights complaints. This information will be used to inform improvements for the provision of health services for patients and their families. </w:t>
      </w:r>
    </w:p>
    <w:p w14:paraId="316266EF" w14:textId="436FD219" w:rsidR="005D4064" w:rsidRDefault="00D25512" w:rsidP="0036290B">
      <w:pPr>
        <w:rPr>
          <w:szCs w:val="22"/>
        </w:rPr>
      </w:pPr>
      <w:r w:rsidRPr="006564C5">
        <w:rPr>
          <w:szCs w:val="22"/>
        </w:rPr>
        <w:t xml:space="preserve">Some HHSs report human rights complaint data every month to their Quality and Safety </w:t>
      </w:r>
      <w:r w:rsidR="002D41B9">
        <w:rPr>
          <w:szCs w:val="22"/>
        </w:rPr>
        <w:t>Committee</w:t>
      </w:r>
      <w:r w:rsidRPr="006564C5">
        <w:rPr>
          <w:szCs w:val="22"/>
        </w:rPr>
        <w:t>, Executive Leadership Teams and the HHS Boards to ensure senior leadership is aware of the concerns that are being raised by patients and their families in relation to human rights.</w:t>
      </w:r>
    </w:p>
    <w:p w14:paraId="47339E72" w14:textId="77777777" w:rsidR="00F74DE0" w:rsidRPr="0036290B" w:rsidRDefault="00F74DE0" w:rsidP="00F74DE0">
      <w:pPr>
        <w:pStyle w:val="Heading3"/>
        <w:rPr>
          <w:color w:val="8D361E"/>
        </w:rPr>
      </w:pPr>
      <w:r w:rsidRPr="0036290B">
        <w:rPr>
          <w:color w:val="8D361E"/>
        </w:rPr>
        <w:t>Changes implemented following complaints</w:t>
      </w:r>
    </w:p>
    <w:p w14:paraId="22526211" w14:textId="77777777" w:rsidR="00F74DE0" w:rsidRPr="003137BE" w:rsidRDefault="00F74DE0" w:rsidP="0036290B">
      <w:pPr>
        <w:rPr>
          <w:rFonts w:cs="Arial"/>
        </w:rPr>
      </w:pPr>
      <w:r w:rsidRPr="003137BE">
        <w:rPr>
          <w:rFonts w:cs="Arial"/>
        </w:rPr>
        <w:t xml:space="preserve">Some state public sector entities had noted service improvements as a </w:t>
      </w:r>
      <w:r>
        <w:rPr>
          <w:rFonts w:cs="Arial"/>
        </w:rPr>
        <w:t>response to issues arising from</w:t>
      </w:r>
      <w:r w:rsidRPr="003137BE">
        <w:rPr>
          <w:rFonts w:cs="Arial"/>
        </w:rPr>
        <w:t xml:space="preserve"> complaints.</w:t>
      </w:r>
    </w:p>
    <w:p w14:paraId="4D88FA2B" w14:textId="68EEE4FB" w:rsidR="00F74DE0" w:rsidRPr="00F74DE0" w:rsidRDefault="00F74DE0" w:rsidP="00F74DE0">
      <w:pPr>
        <w:rPr>
          <w:rFonts w:cs="Arial"/>
        </w:rPr>
      </w:pPr>
      <w:r w:rsidRPr="00F74DE0">
        <w:rPr>
          <w:rFonts w:cs="Arial"/>
        </w:rPr>
        <w:t>The Department of Education provided the following case study to illustrate this:</w:t>
      </w:r>
    </w:p>
    <w:p w14:paraId="028D1009" w14:textId="77777777" w:rsidR="00F74DE0" w:rsidRPr="0036290B" w:rsidRDefault="00F74DE0" w:rsidP="00E13A80">
      <w:pPr>
        <w:pStyle w:val="Quote"/>
      </w:pPr>
      <w:r w:rsidRPr="0036290B">
        <w:t>The department remains committed to embedding human rights into complaints processes to prompt further policy change. A specific example of this commitment can be observed through the management of a human rights complaint utilising the department’s customer complaints management framework.</w:t>
      </w:r>
    </w:p>
    <w:p w14:paraId="1AF23537" w14:textId="41314A51" w:rsidR="00F74DE0" w:rsidRPr="0036290B" w:rsidRDefault="00F74DE0" w:rsidP="00E13A80">
      <w:pPr>
        <w:pStyle w:val="Quote"/>
      </w:pPr>
      <w:r w:rsidRPr="0036290B">
        <w:lastRenderedPageBreak/>
        <w:t>A complaint was received by the region, following a procedural error that resulted in a breach of the student’s privacy and reputation. As an outcome of the complaint, a review of the department’s Managing student absences and enforcing enrolment and attendance at State Schools procedure was undertaken, resulting in additional processes being put in place.</w:t>
      </w:r>
    </w:p>
    <w:p w14:paraId="58F0408B" w14:textId="77777777" w:rsidR="00F74DE0" w:rsidRDefault="00F74DE0" w:rsidP="00F74DE0">
      <w:r>
        <w:t>Following a complaint, the CHDE determined its first ‘non-compatible’ finding during the reporting period took steps in response:</w:t>
      </w:r>
    </w:p>
    <w:p w14:paraId="13E8EBDE" w14:textId="77777777" w:rsidR="00F74DE0" w:rsidRPr="0036290B" w:rsidRDefault="00F74DE0" w:rsidP="0036290B">
      <w:pPr>
        <w:pStyle w:val="Quote"/>
      </w:pPr>
      <w:r w:rsidRPr="0036290B">
        <w:t xml:space="preserve">A divisional feedback loop was established to ensure proper governance in relation to such findings. The dialogue-based approach used has successfully ensured that relevant staff have the information needed to continue to refine processes and support capability with a human rights lens. </w:t>
      </w:r>
    </w:p>
    <w:p w14:paraId="3B8195A2" w14:textId="71A16CBF" w:rsidR="00F74DE0" w:rsidRDefault="00F74DE0" w:rsidP="0036290B">
      <w:pPr>
        <w:rPr>
          <w:rFonts w:cs="Arial"/>
        </w:rPr>
      </w:pPr>
      <w:r w:rsidRPr="00F74DE0">
        <w:rPr>
          <w:rFonts w:cs="Arial"/>
        </w:rPr>
        <w:t>QH provided a number of examples of how</w:t>
      </w:r>
      <w:r w:rsidR="00B96FEF">
        <w:rPr>
          <w:rFonts w:cs="Arial"/>
        </w:rPr>
        <w:t xml:space="preserve"> early</w:t>
      </w:r>
      <w:r w:rsidRPr="00F74DE0">
        <w:rPr>
          <w:rFonts w:cs="Arial"/>
        </w:rPr>
        <w:t xml:space="preserve"> complaints had been </w:t>
      </w:r>
      <w:r w:rsidR="00B96FEF">
        <w:rPr>
          <w:rFonts w:cs="Arial"/>
        </w:rPr>
        <w:t>the trigger to improve</w:t>
      </w:r>
      <w:r w:rsidR="00CC0240">
        <w:rPr>
          <w:rFonts w:cs="Arial"/>
        </w:rPr>
        <w:t xml:space="preserve"> human rights </w:t>
      </w:r>
      <w:r w:rsidR="00B96FEF">
        <w:rPr>
          <w:rFonts w:cs="Arial"/>
        </w:rPr>
        <w:t xml:space="preserve">compatible decision-making </w:t>
      </w:r>
      <w:r w:rsidR="00CC0240">
        <w:rPr>
          <w:rFonts w:cs="Arial"/>
        </w:rPr>
        <w:t>in relation to mask-wearing</w:t>
      </w:r>
      <w:r>
        <w:rPr>
          <w:rFonts w:cs="Arial"/>
        </w:rPr>
        <w:t>:</w:t>
      </w:r>
    </w:p>
    <w:p w14:paraId="07A1C64E" w14:textId="77777777" w:rsidR="00F74DE0" w:rsidRPr="0036290B" w:rsidRDefault="00F74DE0" w:rsidP="0036290B">
      <w:pPr>
        <w:pStyle w:val="Quote"/>
      </w:pPr>
      <w:r w:rsidRPr="0036290B">
        <w:t xml:space="preserve">HHSs are reporting that the application and communication of mandatory mask requirements for visitors has improved with patients attending outpatient appointments as a result of concerns raised earlier about human rights. </w:t>
      </w:r>
    </w:p>
    <w:p w14:paraId="3B1FD0E3" w14:textId="77777777" w:rsidR="00F74DE0" w:rsidRPr="0036290B" w:rsidRDefault="00F74DE0" w:rsidP="0036290B">
      <w:pPr>
        <w:pStyle w:val="Quote"/>
      </w:pPr>
      <w:r w:rsidRPr="0036290B">
        <w:t>For example one HHS identified an opportunity to ensure staff were aware of the requirements and an escalation path to follow where a visitor has identified that they have an exception for the mandatory mask requirements. Staff were provided with information and education about how to consider and balance human rights if informed that someone has an exemption reason for not wearing a mask.</w:t>
      </w:r>
    </w:p>
    <w:p w14:paraId="01BEE069" w14:textId="1E69D6EB" w:rsidR="00753FD9" w:rsidRPr="0036290B" w:rsidRDefault="00753FD9" w:rsidP="008C2381">
      <w:pPr>
        <w:pStyle w:val="Heading3"/>
        <w:rPr>
          <w:color w:val="8D361E"/>
        </w:rPr>
      </w:pPr>
      <w:r w:rsidRPr="0036290B">
        <w:rPr>
          <w:color w:val="8D361E"/>
        </w:rPr>
        <w:t>Challenges or barriers to dealing with complaints</w:t>
      </w:r>
    </w:p>
    <w:p w14:paraId="62710E43" w14:textId="23C28E46" w:rsidR="00A71130" w:rsidRDefault="00A71130" w:rsidP="00753FD9">
      <w:r>
        <w:t>No agencies identified COVID-19 restrictions as a particular barrier to dealing with complaints. However, QPS noted that an extra layer of complexity in that:</w:t>
      </w:r>
    </w:p>
    <w:p w14:paraId="7DC4DCBA" w14:textId="76A87FFD" w:rsidR="00753FD9" w:rsidRPr="0036290B" w:rsidRDefault="00753FD9" w:rsidP="0036290B">
      <w:pPr>
        <w:pStyle w:val="Quote"/>
      </w:pPr>
      <w:r w:rsidRPr="0036290B">
        <w:t>QPS regularly enforce directions made by the Chief Health Officer under her statutory powers. Because complaints about this type of enforcement also relate to the exercise of the Chief Health Officer’s power to make those directions, they involve both the QPS and Queensland Health. These complaints are referred to Crown Law to act on behalf of the State.</w:t>
      </w:r>
    </w:p>
    <w:p w14:paraId="54461FEA" w14:textId="091FCB3D" w:rsidR="002E7D25" w:rsidRPr="008702CA" w:rsidRDefault="002E7D25" w:rsidP="002E7D25">
      <w:pPr>
        <w:rPr>
          <w:i/>
        </w:rPr>
      </w:pPr>
      <w:r>
        <w:t xml:space="preserve">One challenge noted by CHDE was the changes in portfolios after the commencement of the new Queensland </w:t>
      </w:r>
      <w:r w:rsidR="006D538A">
        <w:t>Parliament</w:t>
      </w:r>
      <w:r w:rsidR="006D6DD6">
        <w:t xml:space="preserve"> following the 2020 </w:t>
      </w:r>
      <w:r w:rsidR="00AD0CBF">
        <w:t>s</w:t>
      </w:r>
      <w:r w:rsidR="006D6DD6">
        <w:t xml:space="preserve">tate </w:t>
      </w:r>
      <w:r w:rsidR="00AD0CBF">
        <w:t>e</w:t>
      </w:r>
      <w:r w:rsidR="006D6DD6">
        <w:t>lection</w:t>
      </w:r>
      <w:r>
        <w:t xml:space="preserve">, which has meant realigning approaches to human rights </w:t>
      </w:r>
      <w:r w:rsidR="006D6DD6">
        <w:t>implementation</w:t>
      </w:r>
      <w:r>
        <w:t>.</w:t>
      </w:r>
    </w:p>
    <w:p w14:paraId="1B9C1111" w14:textId="337BA003" w:rsidR="002C49F4" w:rsidRPr="0036290B" w:rsidRDefault="05238703" w:rsidP="00B04FF8">
      <w:pPr>
        <w:pStyle w:val="Heading2"/>
        <w:rPr>
          <w:color w:val="8D361E"/>
        </w:rPr>
      </w:pPr>
      <w:bookmarkStart w:id="407" w:name="_Toc56451597"/>
      <w:bookmarkStart w:id="408" w:name="_Toc56452171"/>
      <w:bookmarkStart w:id="409" w:name="_Toc84593900"/>
      <w:bookmarkStart w:id="410" w:name="_Toc85451777"/>
      <w:bookmarkStart w:id="411" w:name="_Toc85526707"/>
      <w:bookmarkStart w:id="412" w:name="_Toc85787122"/>
      <w:r w:rsidRPr="0036290B">
        <w:rPr>
          <w:color w:val="8D361E"/>
        </w:rPr>
        <w:lastRenderedPageBreak/>
        <w:t>Indicator 7: Future plans</w:t>
      </w:r>
      <w:bookmarkEnd w:id="407"/>
      <w:bookmarkEnd w:id="408"/>
      <w:bookmarkEnd w:id="409"/>
      <w:bookmarkEnd w:id="410"/>
      <w:bookmarkEnd w:id="411"/>
      <w:bookmarkEnd w:id="412"/>
      <w:r w:rsidR="00504F43" w:rsidRPr="0036290B">
        <w:rPr>
          <w:color w:val="8D361E"/>
        </w:rPr>
        <w:t xml:space="preserve"> </w:t>
      </w:r>
    </w:p>
    <w:p w14:paraId="04BE210C" w14:textId="2C0C9AEA" w:rsidR="7CAF311F" w:rsidRPr="008A00EB" w:rsidRDefault="00CE3F32" w:rsidP="003D7FB5">
      <w:pPr>
        <w:rPr>
          <w:rFonts w:eastAsia="Arial" w:cs="Arial"/>
        </w:rPr>
      </w:pPr>
      <w:r w:rsidRPr="008A00EB">
        <w:t xml:space="preserve">The Commission </w:t>
      </w:r>
      <w:r w:rsidR="00F812D3" w:rsidRPr="008A00EB">
        <w:t xml:space="preserve">asked </w:t>
      </w:r>
      <w:r w:rsidR="00F55541" w:rsidRPr="008A00EB">
        <w:t xml:space="preserve">state </w:t>
      </w:r>
      <w:r w:rsidR="001721E0" w:rsidRPr="008A00EB">
        <w:t xml:space="preserve">public </w:t>
      </w:r>
      <w:r w:rsidR="00F812D3" w:rsidRPr="008A00EB">
        <w:t>entities w</w:t>
      </w:r>
      <w:r w:rsidR="7CAF311F" w:rsidRPr="008A00EB">
        <w:t xml:space="preserve">hat future plans </w:t>
      </w:r>
      <w:r w:rsidR="00F812D3" w:rsidRPr="008A00EB">
        <w:t>they had</w:t>
      </w:r>
      <w:r w:rsidR="7CAF311F" w:rsidRPr="008A00EB">
        <w:t xml:space="preserve"> to achieve the objects of the Act</w:t>
      </w:r>
      <w:r w:rsidR="00E345A7" w:rsidRPr="008A00EB">
        <w:t>, which are</w:t>
      </w:r>
      <w:r w:rsidR="7CAF311F" w:rsidRPr="008A00EB">
        <w:t>:</w:t>
      </w:r>
    </w:p>
    <w:p w14:paraId="7F4CAC71" w14:textId="10CBAB4D" w:rsidR="7CAF311F" w:rsidRPr="003D7FB5" w:rsidRDefault="00E345A7" w:rsidP="003D7FB5">
      <w:pPr>
        <w:pStyle w:val="ListParagraph"/>
        <w:rPr>
          <w:rFonts w:eastAsia="Arial" w:cs="Arial"/>
        </w:rPr>
      </w:pPr>
      <w:r w:rsidRPr="003D7FB5">
        <w:t xml:space="preserve">to </w:t>
      </w:r>
      <w:r w:rsidR="7CAF311F" w:rsidRPr="003D7FB5">
        <w:t>protect and promot</w:t>
      </w:r>
      <w:r w:rsidRPr="003D7FB5">
        <w:t>e</w:t>
      </w:r>
      <w:r w:rsidR="00AE374D" w:rsidRPr="003D7FB5">
        <w:t xml:space="preserve"> human rights</w:t>
      </w:r>
    </w:p>
    <w:p w14:paraId="6CCF6BD1" w14:textId="17FB4FAD" w:rsidR="7CAF311F" w:rsidRPr="003D7FB5" w:rsidRDefault="00E345A7" w:rsidP="003D7FB5">
      <w:pPr>
        <w:pStyle w:val="ListParagraph"/>
        <w:rPr>
          <w:rFonts w:eastAsia="Arial" w:cs="Arial"/>
        </w:rPr>
      </w:pPr>
      <w:r w:rsidRPr="003D7FB5">
        <w:t xml:space="preserve">to help </w:t>
      </w:r>
      <w:r w:rsidR="7CAF311F" w:rsidRPr="003D7FB5">
        <w:t>build a culture in the Queensland public sector that respects a</w:t>
      </w:r>
      <w:r w:rsidR="00AE374D" w:rsidRPr="003D7FB5">
        <w:t>nd promotes human rights</w:t>
      </w:r>
    </w:p>
    <w:p w14:paraId="056F7EDC" w14:textId="4DF330F0" w:rsidR="7CAF311F" w:rsidRPr="00CE6BDE" w:rsidRDefault="00E345A7" w:rsidP="003D7FB5">
      <w:pPr>
        <w:pStyle w:val="ListParagraph"/>
        <w:rPr>
          <w:rFonts w:eastAsia="Arial" w:cs="Arial"/>
        </w:rPr>
      </w:pPr>
      <w:r w:rsidRPr="003D7FB5">
        <w:t xml:space="preserve">to </w:t>
      </w:r>
      <w:r w:rsidR="7CAF311F" w:rsidRPr="003D7FB5">
        <w:t>help promote a dialogue about the nature, meaning and scope of human rights.</w:t>
      </w:r>
    </w:p>
    <w:p w14:paraId="05A93FFB" w14:textId="1C18915B" w:rsidR="00CE6BDE" w:rsidRPr="00CE6BDE" w:rsidRDefault="00CE6BDE" w:rsidP="00CE6BDE">
      <w:pPr>
        <w:rPr>
          <w:rFonts w:eastAsia="Arial" w:cs="Arial"/>
        </w:rPr>
      </w:pPr>
      <w:r>
        <w:t>Most of the entities had plans prepared for the next year and beyond to continue to embed human rights.</w:t>
      </w:r>
    </w:p>
    <w:p w14:paraId="0CC732FB" w14:textId="692FC32D" w:rsidR="00644344" w:rsidRDefault="00644344" w:rsidP="00644344">
      <w:r>
        <w:t>The future plans for CYJMA include:</w:t>
      </w:r>
    </w:p>
    <w:p w14:paraId="0A9FEA04" w14:textId="77777777" w:rsidR="00644344" w:rsidRPr="0036290B" w:rsidRDefault="00644344" w:rsidP="002D2599">
      <w:pPr>
        <w:pStyle w:val="Quote"/>
        <w:numPr>
          <w:ilvl w:val="0"/>
          <w:numId w:val="24"/>
        </w:numPr>
      </w:pPr>
      <w:r w:rsidRPr="0036290B">
        <w:t>Working across the organisational units to continually improve and streamline the process for human rights complaints, including recording and reporting mechanisms to promote transparency and accessibility for complainants</w:t>
      </w:r>
    </w:p>
    <w:p w14:paraId="33E157D9" w14:textId="77777777" w:rsidR="00644344" w:rsidRPr="0036290B" w:rsidRDefault="00644344" w:rsidP="002D2599">
      <w:pPr>
        <w:pStyle w:val="Quote"/>
        <w:numPr>
          <w:ilvl w:val="0"/>
          <w:numId w:val="24"/>
        </w:numPr>
      </w:pPr>
      <w:r w:rsidRPr="0036290B">
        <w:t>Commencing monthly auditing of human rights complaint allegations to ensure human rights allegations are being accurately recorded and managed by complaint investigators</w:t>
      </w:r>
    </w:p>
    <w:p w14:paraId="66F3E2BE" w14:textId="77777777" w:rsidR="00644344" w:rsidRPr="0036290B" w:rsidRDefault="00644344" w:rsidP="002D2599">
      <w:pPr>
        <w:pStyle w:val="Quote"/>
        <w:numPr>
          <w:ilvl w:val="0"/>
          <w:numId w:val="24"/>
        </w:numPr>
      </w:pPr>
      <w:r w:rsidRPr="0036290B">
        <w:t>Mandatory training for new Child Safety staff in complaints management which includes human rights considerations</w:t>
      </w:r>
    </w:p>
    <w:p w14:paraId="354E74BB" w14:textId="77777777" w:rsidR="00644344" w:rsidRPr="0036290B" w:rsidRDefault="00644344" w:rsidP="002D2599">
      <w:pPr>
        <w:pStyle w:val="Quote"/>
        <w:numPr>
          <w:ilvl w:val="0"/>
          <w:numId w:val="24"/>
        </w:numPr>
      </w:pPr>
      <w:r w:rsidRPr="0036290B">
        <w:t>Continual communiques to staff and NGOs to ensure human rights considerations are always at the fore in relation to our work across the department</w:t>
      </w:r>
    </w:p>
    <w:p w14:paraId="1DE0FE61" w14:textId="77777777" w:rsidR="00644344" w:rsidRPr="0036290B" w:rsidRDefault="00644344" w:rsidP="002D2599">
      <w:pPr>
        <w:pStyle w:val="Quote"/>
        <w:numPr>
          <w:ilvl w:val="0"/>
          <w:numId w:val="24"/>
        </w:numPr>
      </w:pPr>
      <w:r w:rsidRPr="0036290B">
        <w:t>Continual updates to our key peaks and stakeholders of our progress towards embedding human rights and provide opportunities for collaboration to ensure the strengthening of compatibility with human rights</w:t>
      </w:r>
    </w:p>
    <w:p w14:paraId="5B8B9DE9" w14:textId="77777777" w:rsidR="00644344" w:rsidRPr="0036290B" w:rsidRDefault="00644344" w:rsidP="002D2599">
      <w:pPr>
        <w:pStyle w:val="Quote"/>
        <w:numPr>
          <w:ilvl w:val="0"/>
          <w:numId w:val="24"/>
        </w:numPr>
      </w:pPr>
      <w:r w:rsidRPr="0036290B">
        <w:t xml:space="preserve">Continuing to consider human rights compatibility as part of the scheduled review of departmental policies and procedures </w:t>
      </w:r>
    </w:p>
    <w:p w14:paraId="1635E936" w14:textId="77777777" w:rsidR="00644344" w:rsidRPr="0036290B" w:rsidRDefault="00644344" w:rsidP="002D2599">
      <w:pPr>
        <w:pStyle w:val="Quote"/>
        <w:numPr>
          <w:ilvl w:val="0"/>
          <w:numId w:val="24"/>
        </w:numPr>
      </w:pPr>
      <w:r w:rsidRPr="0036290B">
        <w:t>Development of a communications plan for young people in detention</w:t>
      </w:r>
    </w:p>
    <w:p w14:paraId="2D406FDF" w14:textId="77777777" w:rsidR="00644344" w:rsidRPr="0036290B" w:rsidRDefault="00644344" w:rsidP="002D2599">
      <w:pPr>
        <w:pStyle w:val="Quote"/>
        <w:numPr>
          <w:ilvl w:val="0"/>
          <w:numId w:val="24"/>
        </w:numPr>
      </w:pPr>
      <w:r w:rsidRPr="0036290B">
        <w:t>Development of a feedback mechanism for internal CYJMA staff in relation to existing training and future skill and knowledge development</w:t>
      </w:r>
    </w:p>
    <w:p w14:paraId="685F8B82" w14:textId="232FABA4" w:rsidR="00644344" w:rsidRDefault="00D75C27" w:rsidP="00644344">
      <w:pPr>
        <w:rPr>
          <w:rFonts w:eastAsia="Arial" w:cs="Arial"/>
        </w:rPr>
      </w:pPr>
      <w:r>
        <w:rPr>
          <w:rFonts w:eastAsia="Arial" w:cs="Arial"/>
        </w:rPr>
        <w:t>The SDSATSIP noted future plans including:</w:t>
      </w:r>
    </w:p>
    <w:p w14:paraId="76D88A77" w14:textId="2B20E830" w:rsidR="00D75C27" w:rsidRPr="00D75C27" w:rsidRDefault="00D75C27" w:rsidP="002D2599">
      <w:pPr>
        <w:pStyle w:val="ListParagraph"/>
        <w:numPr>
          <w:ilvl w:val="0"/>
          <w:numId w:val="15"/>
        </w:numPr>
        <w:rPr>
          <w:rFonts w:eastAsia="Arial" w:cs="Arial"/>
        </w:rPr>
      </w:pPr>
      <w:r>
        <w:rPr>
          <w:rFonts w:eastAsia="Arial" w:cs="Arial"/>
        </w:rPr>
        <w:t xml:space="preserve">Working towards </w:t>
      </w:r>
      <w:r w:rsidRPr="00292684">
        <w:rPr>
          <w:rFonts w:cs="Arial"/>
        </w:rPr>
        <w:t>nationally consistent authorisation processes for the use of restrictive practices as part of specialist disability services</w:t>
      </w:r>
      <w:r w:rsidR="00C77EE5">
        <w:rPr>
          <w:rFonts w:cs="Arial"/>
        </w:rPr>
        <w:t xml:space="preserve"> – all policies and procedures </w:t>
      </w:r>
      <w:r w:rsidR="00C77EE5" w:rsidRPr="00292684">
        <w:rPr>
          <w:rFonts w:cs="Arial"/>
        </w:rPr>
        <w:t>relating to restrictive practices are currently under review</w:t>
      </w:r>
    </w:p>
    <w:p w14:paraId="468DD409" w14:textId="797C2ED0" w:rsidR="00D75C27" w:rsidRPr="00D75C27" w:rsidRDefault="00D75C27" w:rsidP="002D2599">
      <w:pPr>
        <w:pStyle w:val="ListParagraph"/>
        <w:numPr>
          <w:ilvl w:val="0"/>
          <w:numId w:val="15"/>
        </w:numPr>
        <w:rPr>
          <w:rFonts w:eastAsia="Arial" w:cs="Arial"/>
        </w:rPr>
      </w:pPr>
      <w:r>
        <w:rPr>
          <w:rFonts w:eastAsia="Arial" w:cs="Arial"/>
        </w:rPr>
        <w:lastRenderedPageBreak/>
        <w:t xml:space="preserve">Continued active focus on </w:t>
      </w:r>
      <w:r w:rsidRPr="00292684">
        <w:rPr>
          <w:rFonts w:cs="Arial"/>
        </w:rPr>
        <w:t>maximising opportunities for Queenslanders with disability to access specialist disability services</w:t>
      </w:r>
    </w:p>
    <w:p w14:paraId="2C1CE2D1" w14:textId="66F14D18" w:rsidR="00D75C27" w:rsidRPr="00C77EE5" w:rsidRDefault="00D75C27" w:rsidP="002D2599">
      <w:pPr>
        <w:pStyle w:val="ListParagraph"/>
        <w:numPr>
          <w:ilvl w:val="0"/>
          <w:numId w:val="15"/>
        </w:numPr>
        <w:rPr>
          <w:rFonts w:eastAsia="Arial" w:cs="Arial"/>
        </w:rPr>
      </w:pPr>
      <w:r>
        <w:rPr>
          <w:rFonts w:cs="Arial"/>
        </w:rPr>
        <w:t xml:space="preserve">Supporting the human rights </w:t>
      </w:r>
      <w:r w:rsidRPr="00292684">
        <w:rPr>
          <w:rFonts w:cs="Arial"/>
        </w:rPr>
        <w:t>approach of the Royal Commission into Violence, Abuse, Neglect and Exploitation of People with Disability</w:t>
      </w:r>
    </w:p>
    <w:p w14:paraId="52278CD3" w14:textId="38F6ADD7" w:rsidR="00C77EE5" w:rsidRPr="001D55E1" w:rsidRDefault="00C77EE5" w:rsidP="002D2599">
      <w:pPr>
        <w:pStyle w:val="ListParagraph"/>
        <w:numPr>
          <w:ilvl w:val="0"/>
          <w:numId w:val="15"/>
        </w:numPr>
        <w:rPr>
          <w:rFonts w:eastAsia="Arial" w:cs="Arial"/>
        </w:rPr>
      </w:pPr>
      <w:r>
        <w:rPr>
          <w:rFonts w:eastAsia="Arial" w:cs="Arial"/>
        </w:rPr>
        <w:t xml:space="preserve">Review of legislative incompatibilities in the </w:t>
      </w:r>
      <w:r w:rsidRPr="00292684">
        <w:rPr>
          <w:rFonts w:cs="Arial"/>
        </w:rPr>
        <w:t>Aboriginal and Torres Strait Islander Partnerships business area</w:t>
      </w:r>
      <w:r w:rsidR="00D34110">
        <w:rPr>
          <w:rFonts w:cs="Arial"/>
        </w:rPr>
        <w:t>.</w:t>
      </w:r>
    </w:p>
    <w:p w14:paraId="73350DB5" w14:textId="01172F7D" w:rsidR="001D55E1" w:rsidRDefault="001D55E1" w:rsidP="001D55E1">
      <w:r w:rsidRPr="001D55E1">
        <w:t>The Department of Education will continue to embed its approach to strengthening and ensuring sustainability of implementation measures across its business areas.</w:t>
      </w:r>
      <w:r w:rsidR="00197317">
        <w:t xml:space="preserve"> </w:t>
      </w:r>
      <w:r w:rsidRPr="001D55E1">
        <w:t xml:space="preserve">The department has embedded responsibility in each line area for ongoing implementation and support in capability development to meet obligations under the Act. Capability and development will be advanced further by the release and communication of human rights in education curriculum resources. </w:t>
      </w:r>
    </w:p>
    <w:p w14:paraId="3B78FDB4" w14:textId="7DEBF7C1" w:rsidR="003137BE" w:rsidRPr="003137BE" w:rsidRDefault="003137BE" w:rsidP="003137BE">
      <w:r w:rsidRPr="003137BE">
        <w:t xml:space="preserve">QCAT </w:t>
      </w:r>
      <w:r w:rsidR="00865946">
        <w:t>expressed a commitment to</w:t>
      </w:r>
      <w:r w:rsidRPr="003137BE">
        <w:t xml:space="preserve"> continuing to promote human rights training to staff, including training modules available through DJAG Human Rights Unit and the Queensland Human Rights Commission. QCAT is also committed to on-the-job human rights training and using practical everyday examples and situations to: </w:t>
      </w:r>
    </w:p>
    <w:p w14:paraId="2BA9A946" w14:textId="77777777" w:rsidR="003137BE" w:rsidRPr="003137BE" w:rsidRDefault="003137BE" w:rsidP="002D2599">
      <w:pPr>
        <w:pStyle w:val="ListParagraph"/>
        <w:numPr>
          <w:ilvl w:val="0"/>
          <w:numId w:val="16"/>
        </w:numPr>
      </w:pPr>
      <w:r w:rsidRPr="003137BE">
        <w:t>help staff deal with human rights matters/issues as they arise;</w:t>
      </w:r>
    </w:p>
    <w:p w14:paraId="26CFB5D4" w14:textId="77777777" w:rsidR="003137BE" w:rsidRPr="003137BE" w:rsidRDefault="003137BE" w:rsidP="002D2599">
      <w:pPr>
        <w:pStyle w:val="ListParagraph"/>
        <w:numPr>
          <w:ilvl w:val="0"/>
          <w:numId w:val="16"/>
        </w:numPr>
      </w:pPr>
      <w:r w:rsidRPr="003137BE">
        <w:t xml:space="preserve">ensure an ongoing dialogue about human rights considerations; and </w:t>
      </w:r>
    </w:p>
    <w:p w14:paraId="097F3FDD" w14:textId="14F64EBF" w:rsidR="003137BE" w:rsidRPr="003137BE" w:rsidRDefault="003137BE" w:rsidP="002D2599">
      <w:pPr>
        <w:pStyle w:val="ListParagraph"/>
        <w:numPr>
          <w:ilvl w:val="0"/>
          <w:numId w:val="16"/>
        </w:numPr>
        <w:rPr>
          <w:b/>
          <w:bCs/>
        </w:rPr>
      </w:pPr>
      <w:r w:rsidRPr="003137BE">
        <w:t>enhance the capability of staff in anticipating, identifying and responding to human rights issues.</w:t>
      </w:r>
    </w:p>
    <w:p w14:paraId="77DE438B" w14:textId="2553EBE1" w:rsidR="003137BE" w:rsidRPr="001D55E1" w:rsidRDefault="00A24932" w:rsidP="004837AE">
      <w:r w:rsidRPr="00A24932">
        <w:t xml:space="preserve">To support the objects of the Act, QCS will continue to implement cultural change across the agency (including complaints management, training and communications, RAPID framework and Champions Network), and ensure the ongoing consideration of human rights in policy and legislative development. </w:t>
      </w:r>
    </w:p>
    <w:p w14:paraId="08C0948D" w14:textId="4AABDBE1" w:rsidR="001D55E1" w:rsidRDefault="00CC335D" w:rsidP="001D55E1">
      <w:r>
        <w:t>CHDE will continue to work with QCOSS on Stage 2 of the project with Housing and Homelessness Services.</w:t>
      </w:r>
    </w:p>
    <w:p w14:paraId="33ACA31E" w14:textId="77777777" w:rsidR="00865946" w:rsidRDefault="00B96FEF" w:rsidP="004837AE">
      <w:pPr>
        <w:rPr>
          <w:szCs w:val="22"/>
        </w:rPr>
      </w:pPr>
      <w:r>
        <w:rPr>
          <w:szCs w:val="22"/>
        </w:rPr>
        <w:t>QH</w:t>
      </w:r>
      <w:r w:rsidRPr="006564C5">
        <w:rPr>
          <w:szCs w:val="22"/>
        </w:rPr>
        <w:t xml:space="preserve"> is committed to continuing to embed a culture of human rights into the organisation. The Queensland Health Human Rights Working Group will continue to meet as long as representatives feel the need and to ensure momentum is maintained</w:t>
      </w:r>
      <w:r>
        <w:rPr>
          <w:szCs w:val="22"/>
        </w:rPr>
        <w:t xml:space="preserve"> across the system</w:t>
      </w:r>
      <w:r w:rsidRPr="006564C5">
        <w:rPr>
          <w:szCs w:val="22"/>
        </w:rPr>
        <w:t>.</w:t>
      </w:r>
      <w:r>
        <w:rPr>
          <w:szCs w:val="22"/>
        </w:rPr>
        <w:t xml:space="preserve"> </w:t>
      </w:r>
    </w:p>
    <w:p w14:paraId="10F198F3" w14:textId="67AA5F74" w:rsidR="00B96FEF" w:rsidRDefault="00865946" w:rsidP="004837AE">
      <w:pPr>
        <w:rPr>
          <w:szCs w:val="22"/>
        </w:rPr>
      </w:pPr>
      <w:r>
        <w:rPr>
          <w:szCs w:val="22"/>
        </w:rPr>
        <w:t>QH noted an ambitious list of future plans across HHSs and the Department and some highlights include</w:t>
      </w:r>
      <w:r w:rsidR="00B96FEF">
        <w:rPr>
          <w:szCs w:val="22"/>
        </w:rPr>
        <w:t>:</w:t>
      </w:r>
    </w:p>
    <w:p w14:paraId="1A6718BD" w14:textId="77777777" w:rsidR="00865946" w:rsidRPr="004837AE" w:rsidRDefault="00B96FEF" w:rsidP="002D2599">
      <w:pPr>
        <w:pStyle w:val="Quote"/>
        <w:numPr>
          <w:ilvl w:val="0"/>
          <w:numId w:val="25"/>
        </w:numPr>
      </w:pPr>
      <w:r w:rsidRPr="004837AE">
        <w:lastRenderedPageBreak/>
        <w:t>As human rights continue to be embedded across the system Queensland Health plans more efficient approaches to collecting complaints data, considering lessons learnt and identifying key themes. This will inform the development of further Queensland Health scenario-based exercises that will be built into existing resources and training. As the complaints process is being finessed and more complaints are forthcoming, Queensland Health will look to analyse increasingly substantive complaint data.</w:t>
      </w:r>
    </w:p>
    <w:p w14:paraId="26BDAFDF" w14:textId="7FA93BC6" w:rsidR="00B96FEF" w:rsidRPr="004837AE" w:rsidRDefault="00B96FEF" w:rsidP="002D2599">
      <w:pPr>
        <w:pStyle w:val="Quote"/>
        <w:numPr>
          <w:ilvl w:val="0"/>
          <w:numId w:val="25"/>
        </w:numPr>
      </w:pPr>
      <w:r w:rsidRPr="004837AE">
        <w:t xml:space="preserve">The Independent Patient Rights Adviser Network is in final phase of beta testing the </w:t>
      </w:r>
      <w:proofErr w:type="spellStart"/>
      <w:r w:rsidRPr="004837AE">
        <w:t>MyRights</w:t>
      </w:r>
      <w:proofErr w:type="spellEnd"/>
      <w:r w:rsidRPr="004837AE">
        <w:t xml:space="preserve"> Application (App), which can be downloaded onto mobile phones and tablets. The App provides information about consumer and carer rights under the MH Act via interactive tutorial videos.</w:t>
      </w:r>
    </w:p>
    <w:p w14:paraId="67EB2567" w14:textId="77777777" w:rsidR="00865946" w:rsidRPr="004837AE" w:rsidRDefault="00865946" w:rsidP="002D2599">
      <w:pPr>
        <w:pStyle w:val="Quote"/>
        <w:numPr>
          <w:ilvl w:val="0"/>
          <w:numId w:val="25"/>
        </w:numPr>
      </w:pPr>
      <w:r w:rsidRPr="004837AE">
        <w:t>One HHS is establishing a Human Rights Review Panel that will meet regularly and has capacity to provide guidance to staff regarding the application of human rights within the HHS.</w:t>
      </w:r>
    </w:p>
    <w:p w14:paraId="4306D77B" w14:textId="77777777" w:rsidR="00865946" w:rsidRPr="004837AE" w:rsidRDefault="00865946" w:rsidP="002D2599">
      <w:pPr>
        <w:pStyle w:val="Quote"/>
        <w:numPr>
          <w:ilvl w:val="0"/>
          <w:numId w:val="25"/>
        </w:numPr>
      </w:pPr>
      <w:r w:rsidRPr="004837AE">
        <w:t xml:space="preserve">Other HHSs are in the process of </w:t>
      </w:r>
      <w:proofErr w:type="spellStart"/>
      <w:r w:rsidRPr="004837AE">
        <w:t>onboarding</w:t>
      </w:r>
      <w:proofErr w:type="spellEnd"/>
      <w:r w:rsidRPr="004837AE">
        <w:t xml:space="preserve"> and training human rights champions or ambassadors within their HHSs to provide support and coaching for other staff.</w:t>
      </w:r>
    </w:p>
    <w:p w14:paraId="5C5CEB4B" w14:textId="0B32EEE9" w:rsidR="00B96FEF" w:rsidRPr="004837AE" w:rsidRDefault="00865946" w:rsidP="002D2599">
      <w:pPr>
        <w:pStyle w:val="Quote"/>
        <w:numPr>
          <w:ilvl w:val="0"/>
          <w:numId w:val="25"/>
        </w:numPr>
      </w:pPr>
      <w:r w:rsidRPr="004837AE">
        <w:t>As a state-wide paediatric health service, Children’s Health Queensland is developing an age appropriate children’s guide to human rights to assist patients and families in promoting and understanding their human rights. Comprehensive consumer engagement with children, young people and families who attend the facilities and engage with the service is planned.</w:t>
      </w:r>
    </w:p>
    <w:p w14:paraId="3E1F2A3E" w14:textId="77777777" w:rsidR="00B96FEF" w:rsidRPr="001D55E1" w:rsidRDefault="00B96FEF" w:rsidP="001D55E1">
      <w:pPr>
        <w:rPr>
          <w:rFonts w:eastAsia="Arial" w:cs="Arial"/>
        </w:rPr>
      </w:pPr>
    </w:p>
    <w:p w14:paraId="3158851D" w14:textId="77777777" w:rsidR="00FC4414" w:rsidRDefault="00FC4414">
      <w:pPr>
        <w:spacing w:line="259" w:lineRule="auto"/>
        <w:ind w:right="0"/>
        <w:rPr>
          <w:rFonts w:eastAsia="Times New Roman" w:cs="Times New Roman"/>
          <w:bCs/>
          <w:color w:val="8D361E"/>
          <w:kern w:val="36"/>
          <w:sz w:val="48"/>
          <w:szCs w:val="48"/>
          <w:lang w:eastAsia="en-AU"/>
        </w:rPr>
      </w:pPr>
      <w:bookmarkStart w:id="413" w:name="_Toc84593901"/>
      <w:bookmarkStart w:id="414" w:name="_Toc85451778"/>
      <w:bookmarkStart w:id="415" w:name="_Toc85526708"/>
      <w:bookmarkStart w:id="416" w:name="_Toc85787123"/>
      <w:r>
        <w:rPr>
          <w:color w:val="8D361E"/>
        </w:rPr>
        <w:br w:type="page"/>
      </w:r>
    </w:p>
    <w:p w14:paraId="084A404B" w14:textId="639DA1E4" w:rsidR="004837AE" w:rsidRDefault="4D62F483" w:rsidP="0FBD60E1">
      <w:pPr>
        <w:pStyle w:val="Heading1"/>
        <w:rPr>
          <w:color w:val="8D361E"/>
        </w:rPr>
      </w:pPr>
      <w:r w:rsidRPr="00283488">
        <w:rPr>
          <w:color w:val="8D361E"/>
        </w:rPr>
        <w:lastRenderedPageBreak/>
        <w:t xml:space="preserve">Local government </w:t>
      </w:r>
      <w:r w:rsidR="00C33427" w:rsidRPr="00283488">
        <w:rPr>
          <w:color w:val="8D361E"/>
        </w:rPr>
        <w:t xml:space="preserve">public </w:t>
      </w:r>
      <w:r w:rsidRPr="00283488">
        <w:rPr>
          <w:color w:val="8D361E"/>
        </w:rPr>
        <w:t>entities</w:t>
      </w:r>
      <w:bookmarkStart w:id="417" w:name="_Toc56451599"/>
      <w:bookmarkStart w:id="418" w:name="_Toc56452173"/>
      <w:bookmarkStart w:id="419" w:name="_Toc84593902"/>
      <w:bookmarkStart w:id="420" w:name="_Toc85451779"/>
      <w:bookmarkEnd w:id="413"/>
      <w:bookmarkEnd w:id="414"/>
      <w:bookmarkEnd w:id="415"/>
      <w:bookmarkEnd w:id="416"/>
    </w:p>
    <w:p w14:paraId="2E9BA397" w14:textId="468570EE" w:rsidR="63A249A1" w:rsidRPr="004837AE" w:rsidRDefault="17A6B620" w:rsidP="00382258">
      <w:pPr>
        <w:pStyle w:val="Heading2"/>
        <w:rPr>
          <w:color w:val="8D361E"/>
        </w:rPr>
      </w:pPr>
      <w:bookmarkStart w:id="421" w:name="_Toc85526709"/>
      <w:bookmarkStart w:id="422" w:name="_Toc85787124"/>
      <w:r w:rsidRPr="004837AE">
        <w:rPr>
          <w:color w:val="8D361E"/>
        </w:rPr>
        <w:t>Indicator 1: Education and staff development</w:t>
      </w:r>
      <w:bookmarkEnd w:id="417"/>
      <w:bookmarkEnd w:id="418"/>
      <w:bookmarkEnd w:id="419"/>
      <w:bookmarkEnd w:id="420"/>
      <w:bookmarkEnd w:id="421"/>
      <w:bookmarkEnd w:id="422"/>
    </w:p>
    <w:p w14:paraId="566A0015" w14:textId="3AAB4F7D" w:rsidR="00313032" w:rsidRDefault="003F48B0" w:rsidP="00346E50">
      <w:r w:rsidRPr="008A00EB">
        <w:t>The Commission</w:t>
      </w:r>
      <w:r w:rsidR="00313032" w:rsidRPr="008A00EB">
        <w:t xml:space="preserve"> asked councils about the education and training provided to staff</w:t>
      </w:r>
      <w:r w:rsidRPr="008A00EB">
        <w:t>,</w:t>
      </w:r>
      <w:r w:rsidR="00313032" w:rsidRPr="008A00EB">
        <w:t xml:space="preserve"> including the number </w:t>
      </w:r>
      <w:r w:rsidRPr="008A00EB">
        <w:t xml:space="preserve">of people </w:t>
      </w:r>
      <w:r w:rsidR="00313032" w:rsidRPr="008A00EB">
        <w:t>trained, mode of training</w:t>
      </w:r>
      <w:r w:rsidRPr="008A00EB">
        <w:t>,</w:t>
      </w:r>
      <w:r w:rsidR="00313032" w:rsidRPr="008A00EB">
        <w:t xml:space="preserve"> and how the training will be </w:t>
      </w:r>
      <w:r w:rsidRPr="008A00EB">
        <w:t xml:space="preserve">incorporated </w:t>
      </w:r>
      <w:r w:rsidR="00313032" w:rsidRPr="008A00EB">
        <w:t xml:space="preserve">in induction of new staff and ongoing professional development. </w:t>
      </w:r>
      <w:r w:rsidRPr="008A00EB">
        <w:t xml:space="preserve">Here is a </w:t>
      </w:r>
      <w:r w:rsidR="00313032" w:rsidRPr="008A00EB">
        <w:t>summary of the responses.</w:t>
      </w:r>
    </w:p>
    <w:p w14:paraId="3F41B364" w14:textId="67ADE3BB" w:rsidR="00B075BA" w:rsidRPr="004837AE" w:rsidRDefault="00B075BA" w:rsidP="004837AE">
      <w:pPr>
        <w:pStyle w:val="Caption"/>
      </w:pPr>
      <w:r w:rsidRPr="00FC4414">
        <w:t>Table</w:t>
      </w:r>
      <w:r w:rsidR="008A6B4F">
        <w:t xml:space="preserve"> 7</w:t>
      </w:r>
      <w:r w:rsidRPr="004837AE">
        <w:t>: Staff training completed by key local government entities, 2020-21</w:t>
      </w:r>
    </w:p>
    <w:tbl>
      <w:tblPr>
        <w:tblW w:w="9214" w:type="dxa"/>
        <w:tblBorders>
          <w:top w:val="single" w:sz="4" w:space="0" w:color="8D361E"/>
          <w:bottom w:val="single" w:sz="4" w:space="0" w:color="8D361E"/>
          <w:insideH w:val="single" w:sz="4" w:space="0" w:color="8D361E"/>
        </w:tblBorders>
        <w:tblCellMar>
          <w:left w:w="0" w:type="dxa"/>
          <w:right w:w="0" w:type="dxa"/>
        </w:tblCellMar>
        <w:tblLook w:val="0620" w:firstRow="1" w:lastRow="0" w:firstColumn="0" w:lastColumn="0" w:noHBand="1" w:noVBand="1"/>
      </w:tblPr>
      <w:tblGrid>
        <w:gridCol w:w="2835"/>
        <w:gridCol w:w="6379"/>
      </w:tblGrid>
      <w:tr w:rsidR="00B075BA" w:rsidRPr="009B58F7" w14:paraId="0BDC94D6" w14:textId="77777777" w:rsidTr="00E13A80">
        <w:tc>
          <w:tcPr>
            <w:tcW w:w="2835" w:type="dxa"/>
            <w:shd w:val="clear" w:color="auto" w:fill="auto"/>
            <w:hideMark/>
          </w:tcPr>
          <w:p w14:paraId="2766F585" w14:textId="77777777" w:rsidR="00B075BA" w:rsidRPr="00E13A80" w:rsidRDefault="00B075BA" w:rsidP="004837AE">
            <w:pPr>
              <w:pStyle w:val="TableTextHeading"/>
              <w:rPr>
                <w:rFonts w:ascii="Segoe UI" w:eastAsia="Times New Roman" w:hAnsi="Segoe UI" w:cs="Segoe UI"/>
                <w:color w:val="8D361E"/>
                <w:sz w:val="18"/>
                <w:lang w:eastAsia="en-AU"/>
              </w:rPr>
            </w:pPr>
            <w:r w:rsidRPr="00E13A80">
              <w:rPr>
                <w:color w:val="8D361E"/>
              </w:rPr>
              <w:t>Local councils</w:t>
            </w:r>
            <w:r w:rsidRPr="00E13A80">
              <w:rPr>
                <w:rFonts w:eastAsia="Times New Roman" w:cs="Arial"/>
                <w:color w:val="8D361E"/>
                <w:lang w:eastAsia="en-AU"/>
              </w:rPr>
              <w:t> </w:t>
            </w:r>
          </w:p>
        </w:tc>
        <w:tc>
          <w:tcPr>
            <w:tcW w:w="6379" w:type="dxa"/>
            <w:shd w:val="clear" w:color="auto" w:fill="auto"/>
            <w:hideMark/>
          </w:tcPr>
          <w:p w14:paraId="33E5A44B" w14:textId="77777777" w:rsidR="00B075BA" w:rsidRPr="00E13A80" w:rsidRDefault="00B075BA" w:rsidP="004837AE">
            <w:pPr>
              <w:pStyle w:val="TableTextHeading"/>
              <w:rPr>
                <w:rFonts w:ascii="Segoe UI" w:eastAsia="Times New Roman" w:hAnsi="Segoe UI" w:cs="Segoe UI"/>
                <w:color w:val="8D361E"/>
                <w:sz w:val="18"/>
                <w:lang w:eastAsia="en-AU"/>
              </w:rPr>
            </w:pPr>
            <w:r w:rsidRPr="00E13A80">
              <w:rPr>
                <w:color w:val="8D361E"/>
              </w:rPr>
              <w:t>Training received during reporting period</w:t>
            </w:r>
            <w:r w:rsidRPr="00E13A80">
              <w:rPr>
                <w:rFonts w:eastAsia="Times New Roman" w:cs="Arial"/>
                <w:color w:val="8D361E"/>
                <w:lang w:eastAsia="en-AU"/>
              </w:rPr>
              <w:t> </w:t>
            </w:r>
          </w:p>
        </w:tc>
      </w:tr>
      <w:tr w:rsidR="00B075BA" w:rsidRPr="009B58F7" w14:paraId="67A6620C" w14:textId="77777777" w:rsidTr="00E13A80">
        <w:trPr>
          <w:trHeight w:val="74"/>
        </w:trPr>
        <w:tc>
          <w:tcPr>
            <w:tcW w:w="2835" w:type="dxa"/>
            <w:shd w:val="clear" w:color="auto" w:fill="auto"/>
            <w:hideMark/>
          </w:tcPr>
          <w:p w14:paraId="28468313" w14:textId="0356F815" w:rsidR="00B075BA" w:rsidRPr="00160AEB" w:rsidRDefault="00B075BA" w:rsidP="004837AE">
            <w:pPr>
              <w:pStyle w:val="TableText"/>
            </w:pPr>
            <w:r w:rsidRPr="00160AEB">
              <w:t xml:space="preserve">Ipswich </w:t>
            </w:r>
            <w:r w:rsidR="3F549AEA">
              <w:t>City</w:t>
            </w:r>
            <w:r w:rsidR="3EED0067">
              <w:t xml:space="preserve"> </w:t>
            </w:r>
            <w:r w:rsidRPr="00160AEB">
              <w:t>Council </w:t>
            </w:r>
          </w:p>
        </w:tc>
        <w:tc>
          <w:tcPr>
            <w:tcW w:w="6379" w:type="dxa"/>
            <w:shd w:val="clear" w:color="auto" w:fill="auto"/>
            <w:hideMark/>
          </w:tcPr>
          <w:p w14:paraId="341F459F" w14:textId="145C39CF" w:rsidR="00B075BA" w:rsidRPr="00160AEB" w:rsidRDefault="00B075BA" w:rsidP="004837AE">
            <w:pPr>
              <w:pStyle w:val="TableText"/>
            </w:pPr>
            <w:r>
              <w:t>Council’s legal services delivered a series of tailored human rights workshops targeting senior management and human rights champions</w:t>
            </w:r>
            <w:r w:rsidR="2A42B07F">
              <w:t>.</w:t>
            </w:r>
          </w:p>
          <w:p w14:paraId="2EBEB6CF" w14:textId="77777777" w:rsidR="00B075BA" w:rsidRPr="00160AEB" w:rsidRDefault="00B075BA" w:rsidP="004837AE">
            <w:pPr>
              <w:pStyle w:val="TableText"/>
            </w:pPr>
          </w:p>
          <w:p w14:paraId="6577F911" w14:textId="6923A0BC" w:rsidR="00B075BA" w:rsidRPr="00160AEB" w:rsidRDefault="00B075BA" w:rsidP="004837AE">
            <w:pPr>
              <w:pStyle w:val="TableText"/>
            </w:pPr>
            <w:r w:rsidRPr="00160AEB">
              <w:t>Council’s legal services developed online human rights training in September 2021</w:t>
            </w:r>
            <w:r w:rsidR="009D2D1E">
              <w:t>.</w:t>
            </w:r>
          </w:p>
          <w:p w14:paraId="469AE129" w14:textId="77777777" w:rsidR="00B075BA" w:rsidRPr="00160AEB" w:rsidRDefault="00B075BA" w:rsidP="004837AE">
            <w:pPr>
              <w:pStyle w:val="TableText"/>
            </w:pPr>
          </w:p>
          <w:p w14:paraId="3EBCAF85" w14:textId="2BDCFBBB" w:rsidR="00B075BA" w:rsidRPr="00160AEB" w:rsidRDefault="4CBC5AF4" w:rsidP="004837AE">
            <w:pPr>
              <w:pStyle w:val="TableText"/>
            </w:pPr>
            <w:r>
              <w:t xml:space="preserve">Incoming </w:t>
            </w:r>
            <w:r w:rsidR="00B075BA">
              <w:t xml:space="preserve">staff receive human rights online training from </w:t>
            </w:r>
            <w:r w:rsidR="62768143">
              <w:t>the</w:t>
            </w:r>
            <w:r w:rsidR="3EED0067">
              <w:t xml:space="preserve"> </w:t>
            </w:r>
            <w:r w:rsidR="27F083A2">
              <w:t>Commission's</w:t>
            </w:r>
            <w:r w:rsidR="00B075BA">
              <w:t xml:space="preserve"> ‘public entities online training module’ with 724 staff completing the training module.</w:t>
            </w:r>
            <w:r w:rsidR="00197317">
              <w:t xml:space="preserve"> </w:t>
            </w:r>
          </w:p>
        </w:tc>
      </w:tr>
      <w:tr w:rsidR="00B075BA" w:rsidRPr="009B58F7" w14:paraId="0D890E31" w14:textId="77777777" w:rsidTr="00E13A80">
        <w:trPr>
          <w:trHeight w:val="2960"/>
        </w:trPr>
        <w:tc>
          <w:tcPr>
            <w:tcW w:w="2835" w:type="dxa"/>
            <w:shd w:val="clear" w:color="auto" w:fill="auto"/>
            <w:hideMark/>
          </w:tcPr>
          <w:p w14:paraId="750C534D" w14:textId="77777777" w:rsidR="00B075BA" w:rsidRPr="00160AEB" w:rsidRDefault="00B075BA" w:rsidP="004837AE">
            <w:pPr>
              <w:pStyle w:val="TableText"/>
            </w:pPr>
            <w:r w:rsidRPr="00160AEB">
              <w:t>Logan City Council </w:t>
            </w:r>
          </w:p>
        </w:tc>
        <w:tc>
          <w:tcPr>
            <w:tcW w:w="6379" w:type="dxa"/>
            <w:shd w:val="clear" w:color="auto" w:fill="auto"/>
            <w:hideMark/>
          </w:tcPr>
          <w:p w14:paraId="74E4B538" w14:textId="77777777" w:rsidR="00B075BA" w:rsidRPr="00160AEB" w:rsidRDefault="00B075BA" w:rsidP="004837AE">
            <w:pPr>
              <w:pStyle w:val="TableText"/>
            </w:pPr>
            <w:r w:rsidRPr="00160AEB">
              <w:t>Council has developed mandatory online training for councillors, staff and incoming staff. </w:t>
            </w:r>
          </w:p>
          <w:p w14:paraId="0509161D" w14:textId="77777777" w:rsidR="00B075BA" w:rsidRPr="00160AEB" w:rsidRDefault="00B075BA" w:rsidP="004837AE">
            <w:pPr>
              <w:pStyle w:val="TableText"/>
            </w:pPr>
            <w:r w:rsidRPr="00160AEB">
              <w:t> </w:t>
            </w:r>
          </w:p>
          <w:p w14:paraId="48A2183F" w14:textId="0D17DFB3" w:rsidR="00B075BA" w:rsidRPr="00160AEB" w:rsidRDefault="00B075BA" w:rsidP="004837AE">
            <w:pPr>
              <w:pStyle w:val="TableText"/>
            </w:pPr>
            <w:r>
              <w:t xml:space="preserve">Council has developed a bespoke induction program with </w:t>
            </w:r>
            <w:r w:rsidR="009D2D1E">
              <w:t xml:space="preserve">focused </w:t>
            </w:r>
            <w:r>
              <w:t>Human Rights Act modules.</w:t>
            </w:r>
          </w:p>
        </w:tc>
      </w:tr>
      <w:tr w:rsidR="00B075BA" w:rsidRPr="009B58F7" w14:paraId="257E653D" w14:textId="77777777" w:rsidTr="00E13A80">
        <w:tc>
          <w:tcPr>
            <w:tcW w:w="2835" w:type="dxa"/>
            <w:shd w:val="clear" w:color="auto" w:fill="auto"/>
            <w:hideMark/>
          </w:tcPr>
          <w:p w14:paraId="5DF23774" w14:textId="77777777" w:rsidR="00B075BA" w:rsidRPr="00160AEB" w:rsidRDefault="00B075BA" w:rsidP="004837AE">
            <w:pPr>
              <w:pStyle w:val="TableText"/>
            </w:pPr>
            <w:r w:rsidRPr="00160AEB">
              <w:t>Sunshine Coast Council </w:t>
            </w:r>
          </w:p>
        </w:tc>
        <w:tc>
          <w:tcPr>
            <w:tcW w:w="6379" w:type="dxa"/>
            <w:shd w:val="clear" w:color="auto" w:fill="auto"/>
            <w:hideMark/>
          </w:tcPr>
          <w:p w14:paraId="576C79B1" w14:textId="48DD5FEF" w:rsidR="00B075BA" w:rsidRPr="00160AEB" w:rsidRDefault="00B075BA" w:rsidP="004837AE">
            <w:pPr>
              <w:pStyle w:val="TableText"/>
            </w:pPr>
            <w:r w:rsidRPr="00160AEB">
              <w:t>Council has developed ‘Human Rights Act Awareness training’ with a face-to-face learning module</w:t>
            </w:r>
            <w:r w:rsidR="009D2D1E">
              <w:t xml:space="preserve"> and</w:t>
            </w:r>
            <w:r w:rsidRPr="00160AEB">
              <w:t xml:space="preserve"> online training modules that require decision making compatible with human rights tailored to Council.</w:t>
            </w:r>
          </w:p>
          <w:p w14:paraId="5CBE0FE2" w14:textId="77777777" w:rsidR="00B075BA" w:rsidRPr="00160AEB" w:rsidRDefault="00B075BA" w:rsidP="004837AE">
            <w:pPr>
              <w:pStyle w:val="TableText"/>
            </w:pPr>
            <w:r w:rsidRPr="00160AEB">
              <w:t> </w:t>
            </w:r>
          </w:p>
          <w:p w14:paraId="0274440C" w14:textId="6FB634EE" w:rsidR="00B075BA" w:rsidRPr="00160AEB" w:rsidRDefault="00B075BA" w:rsidP="004837AE">
            <w:pPr>
              <w:pStyle w:val="TableText"/>
            </w:pPr>
            <w:r w:rsidRPr="00160AEB">
              <w:t xml:space="preserve">12% of staff have completed the training, this is due to the impact of </w:t>
            </w:r>
            <w:r w:rsidR="009D2D1E">
              <w:t>COVID</w:t>
            </w:r>
            <w:r w:rsidRPr="00160AEB">
              <w:t xml:space="preserve">-19 </w:t>
            </w:r>
            <w:r w:rsidR="009D2D1E">
              <w:t xml:space="preserve">on </w:t>
            </w:r>
            <w:r w:rsidRPr="00160AEB">
              <w:t>the face</w:t>
            </w:r>
            <w:r w:rsidR="4F8635DE">
              <w:t>-to-face</w:t>
            </w:r>
            <w:r w:rsidRPr="00160AEB">
              <w:t> training.</w:t>
            </w:r>
          </w:p>
          <w:p w14:paraId="416325E6" w14:textId="77777777" w:rsidR="00B075BA" w:rsidRPr="00160AEB" w:rsidRDefault="00B075BA" w:rsidP="004837AE">
            <w:pPr>
              <w:pStyle w:val="TableText"/>
            </w:pPr>
          </w:p>
          <w:p w14:paraId="13B1C279" w14:textId="26D2BE2B" w:rsidR="00B075BA" w:rsidRPr="00160AEB" w:rsidRDefault="00B075BA" w:rsidP="004837AE">
            <w:pPr>
              <w:pStyle w:val="TableText"/>
            </w:pPr>
            <w:r>
              <w:lastRenderedPageBreak/>
              <w:t xml:space="preserve">All </w:t>
            </w:r>
            <w:r w:rsidR="7857407C">
              <w:t>incoming</w:t>
            </w:r>
            <w:r>
              <w:t xml:space="preserve"> staff receive an online Code of Conduct training which specifically incorporates </w:t>
            </w:r>
            <w:r w:rsidR="009D2D1E">
              <w:t>human</w:t>
            </w:r>
            <w:r w:rsidR="00382258">
              <w:t xml:space="preserve"> </w:t>
            </w:r>
            <w:r w:rsidR="009D2D1E">
              <w:t>rights</w:t>
            </w:r>
            <w:r>
              <w:t xml:space="preserve"> obligations.</w:t>
            </w:r>
          </w:p>
        </w:tc>
      </w:tr>
      <w:tr w:rsidR="00B075BA" w:rsidRPr="009B58F7" w14:paraId="39218323" w14:textId="77777777" w:rsidTr="00E13A80">
        <w:tc>
          <w:tcPr>
            <w:tcW w:w="2835" w:type="dxa"/>
            <w:shd w:val="clear" w:color="auto" w:fill="auto"/>
            <w:hideMark/>
          </w:tcPr>
          <w:p w14:paraId="7CFEA15C" w14:textId="5B9F2917" w:rsidR="00B075BA" w:rsidRPr="00160AEB" w:rsidRDefault="00B075BA" w:rsidP="004837AE">
            <w:pPr>
              <w:pStyle w:val="TableText"/>
            </w:pPr>
            <w:r w:rsidRPr="00160AEB">
              <w:lastRenderedPageBreak/>
              <w:t>Gold Coast City Council </w:t>
            </w:r>
          </w:p>
        </w:tc>
        <w:tc>
          <w:tcPr>
            <w:tcW w:w="6379" w:type="dxa"/>
            <w:shd w:val="clear" w:color="auto" w:fill="auto"/>
            <w:hideMark/>
          </w:tcPr>
          <w:p w14:paraId="4F813C35" w14:textId="74874432" w:rsidR="00B075BA" w:rsidRPr="00160AEB" w:rsidRDefault="00B075BA" w:rsidP="004837AE">
            <w:pPr>
              <w:pStyle w:val="TableText"/>
            </w:pPr>
            <w:r w:rsidRPr="00160AEB">
              <w:t>Customer</w:t>
            </w:r>
            <w:r w:rsidR="29681389">
              <w:t>-</w:t>
            </w:r>
            <w:r w:rsidRPr="00160AEB">
              <w:t xml:space="preserve">facing teams have received online training. </w:t>
            </w:r>
          </w:p>
          <w:p w14:paraId="2BEFABC6" w14:textId="77777777" w:rsidR="00B075BA" w:rsidRPr="00160AEB" w:rsidRDefault="00B075BA" w:rsidP="004837AE">
            <w:pPr>
              <w:pStyle w:val="TableText"/>
            </w:pPr>
          </w:p>
          <w:p w14:paraId="249DA1B3" w14:textId="768B96C0" w:rsidR="00B075BA" w:rsidRPr="00160AEB" w:rsidRDefault="00B075BA" w:rsidP="004837AE">
            <w:pPr>
              <w:pStyle w:val="TableText"/>
            </w:pPr>
            <w:r w:rsidRPr="00160AEB">
              <w:t xml:space="preserve">Council’s </w:t>
            </w:r>
            <w:r w:rsidR="009D2D1E">
              <w:t>L</w:t>
            </w:r>
            <w:r w:rsidRPr="00160AEB">
              <w:t xml:space="preserve">egal </w:t>
            </w:r>
            <w:r w:rsidR="009D2D1E">
              <w:t>S</w:t>
            </w:r>
            <w:r w:rsidRPr="00160AEB">
              <w:t xml:space="preserve">ervices branch has met with various areas across </w:t>
            </w:r>
            <w:r w:rsidR="009D2D1E">
              <w:t>C</w:t>
            </w:r>
            <w:r w:rsidR="009D2D1E" w:rsidRPr="00160AEB">
              <w:t xml:space="preserve">ouncil </w:t>
            </w:r>
            <w:r w:rsidRPr="00160AEB">
              <w:t>to discuss the Act.</w:t>
            </w:r>
          </w:p>
          <w:p w14:paraId="4E51108A" w14:textId="77777777" w:rsidR="00B075BA" w:rsidRPr="00160AEB" w:rsidRDefault="00B075BA" w:rsidP="004837AE">
            <w:pPr>
              <w:pStyle w:val="TableText"/>
            </w:pPr>
          </w:p>
          <w:p w14:paraId="16F46709" w14:textId="640D5DB0" w:rsidR="00B075BA" w:rsidRPr="00160AEB" w:rsidRDefault="00B075BA" w:rsidP="004837AE">
            <w:pPr>
              <w:pStyle w:val="TableText"/>
            </w:pPr>
            <w:r w:rsidRPr="00160AEB">
              <w:t xml:space="preserve">Council has provided online training through </w:t>
            </w:r>
            <w:r w:rsidR="009D2D1E">
              <w:t xml:space="preserve">the </w:t>
            </w:r>
            <w:r w:rsidR="7A25771D">
              <w:t xml:space="preserve">Commission’s </w:t>
            </w:r>
            <w:r w:rsidRPr="00160AEB">
              <w:t>website.</w:t>
            </w:r>
            <w:r w:rsidR="00197317">
              <w:t xml:space="preserve"> </w:t>
            </w:r>
            <w:r w:rsidRPr="00160AEB">
              <w:t> </w:t>
            </w:r>
          </w:p>
        </w:tc>
      </w:tr>
      <w:tr w:rsidR="00B075BA" w:rsidRPr="009B58F7" w14:paraId="351E6927" w14:textId="77777777" w:rsidTr="00E13A80">
        <w:tc>
          <w:tcPr>
            <w:tcW w:w="2835" w:type="dxa"/>
            <w:shd w:val="clear" w:color="auto" w:fill="auto"/>
            <w:hideMark/>
          </w:tcPr>
          <w:p w14:paraId="55B09866" w14:textId="77777777" w:rsidR="00B075BA" w:rsidRPr="00160AEB" w:rsidRDefault="00B075BA" w:rsidP="004837AE">
            <w:pPr>
              <w:pStyle w:val="TableText"/>
            </w:pPr>
            <w:r w:rsidRPr="00160AEB">
              <w:t>Mackay Regional Council </w:t>
            </w:r>
          </w:p>
        </w:tc>
        <w:tc>
          <w:tcPr>
            <w:tcW w:w="6379" w:type="dxa"/>
            <w:shd w:val="clear" w:color="auto" w:fill="auto"/>
            <w:hideMark/>
          </w:tcPr>
          <w:p w14:paraId="72D37437" w14:textId="1C23C5A7" w:rsidR="00B075BA" w:rsidRPr="00160AEB" w:rsidRDefault="00B075BA" w:rsidP="004837AE">
            <w:pPr>
              <w:pStyle w:val="TableText"/>
            </w:pPr>
            <w:r w:rsidRPr="00160AEB">
              <w:t>No training implemented in relevant period</w:t>
            </w:r>
            <w:r w:rsidR="009D2D1E">
              <w:t>.</w:t>
            </w:r>
            <w:r w:rsidR="00197317">
              <w:t xml:space="preserve"> </w:t>
            </w:r>
          </w:p>
        </w:tc>
      </w:tr>
      <w:tr w:rsidR="00B075BA" w:rsidRPr="009B58F7" w14:paraId="2BC36A70" w14:textId="77777777" w:rsidTr="00E13A80">
        <w:tc>
          <w:tcPr>
            <w:tcW w:w="2835" w:type="dxa"/>
            <w:shd w:val="clear" w:color="auto" w:fill="auto"/>
            <w:hideMark/>
          </w:tcPr>
          <w:p w14:paraId="6AB4CAB7" w14:textId="77777777" w:rsidR="00B075BA" w:rsidRPr="00160AEB" w:rsidRDefault="00B075BA" w:rsidP="004837AE">
            <w:pPr>
              <w:pStyle w:val="TableText"/>
            </w:pPr>
            <w:r w:rsidRPr="00160AEB">
              <w:t>Brisbane City Council </w:t>
            </w:r>
          </w:p>
        </w:tc>
        <w:tc>
          <w:tcPr>
            <w:tcW w:w="6379" w:type="dxa"/>
            <w:shd w:val="clear" w:color="auto" w:fill="auto"/>
            <w:hideMark/>
          </w:tcPr>
          <w:p w14:paraId="5795E01C" w14:textId="117E675A" w:rsidR="00B075BA" w:rsidRPr="00160AEB" w:rsidRDefault="00B075BA" w:rsidP="004837AE">
            <w:pPr>
              <w:pStyle w:val="TableText"/>
            </w:pPr>
            <w:r w:rsidRPr="00160AEB">
              <w:t xml:space="preserve">Training has taken various forms, dependent on the needs of specific work areas, </w:t>
            </w:r>
            <w:r w:rsidR="00F57C2F">
              <w:t>and has included workshops for s</w:t>
            </w:r>
            <w:r w:rsidRPr="00160AEB">
              <w:t>taff to identify the ways in which human rights may arise in their roles, formal training on the justification of limitations process under s 13 of the Human Rights Act 2019 and an informal “lunch and learn” session which sought to raise awareness and create discussions around embedding a human rights culture in Council.</w:t>
            </w:r>
            <w:r w:rsidR="00197317">
              <w:t xml:space="preserve"> </w:t>
            </w:r>
          </w:p>
        </w:tc>
      </w:tr>
    </w:tbl>
    <w:p w14:paraId="26C80374" w14:textId="77777777" w:rsidR="00B075BA" w:rsidRDefault="00B075BA" w:rsidP="6E5F357A"/>
    <w:p w14:paraId="7CA6F4A0" w14:textId="4A730E18" w:rsidR="6A5AB713" w:rsidRDefault="6F6B842F" w:rsidP="6E5F357A">
      <w:r>
        <w:t>Most of the councils were able to provide human rights training for their staff</w:t>
      </w:r>
      <w:r w:rsidR="00321F74">
        <w:t>;</w:t>
      </w:r>
      <w:r>
        <w:t xml:space="preserve"> however, many of them were impacted by the </w:t>
      </w:r>
      <w:r w:rsidR="003A1735">
        <w:t>COVID</w:t>
      </w:r>
      <w:r>
        <w:t>-19 pan</w:t>
      </w:r>
      <w:r w:rsidR="454553E5">
        <w:t xml:space="preserve">demic. Many councils </w:t>
      </w:r>
      <w:r w:rsidR="00B075BA">
        <w:t>took the initiative to develop their own training for staff in human rights.</w:t>
      </w:r>
      <w:r w:rsidR="408F86E9">
        <w:t xml:space="preserve"> </w:t>
      </w:r>
      <w:r w:rsidR="00B075BA">
        <w:t>Councils such as Brisbane City Council</w:t>
      </w:r>
      <w:r w:rsidR="6143A80E">
        <w:t xml:space="preserve"> are in the process of developing </w:t>
      </w:r>
      <w:r w:rsidR="454553E5">
        <w:t xml:space="preserve">human rights </w:t>
      </w:r>
      <w:r w:rsidR="495B541B">
        <w:t>online</w:t>
      </w:r>
      <w:r w:rsidR="454553E5">
        <w:t xml:space="preserve"> training modules </w:t>
      </w:r>
      <w:r w:rsidR="00B075BA">
        <w:t>to reach</w:t>
      </w:r>
      <w:r w:rsidR="454553E5">
        <w:t xml:space="preserve"> </w:t>
      </w:r>
      <w:r w:rsidR="005B41FA">
        <w:t>broader staff</w:t>
      </w:r>
      <w:r w:rsidR="73067B7E">
        <w:t xml:space="preserve">. </w:t>
      </w:r>
      <w:r w:rsidR="00B075BA">
        <w:t>Gold Coast City Council</w:t>
      </w:r>
      <w:r w:rsidR="730DABDC">
        <w:t xml:space="preserve"> have organised their in</w:t>
      </w:r>
      <w:r w:rsidR="4435A2A9">
        <w:t>-</w:t>
      </w:r>
      <w:r w:rsidR="730DABDC">
        <w:t xml:space="preserve">house </w:t>
      </w:r>
      <w:r w:rsidR="00BD7CD9">
        <w:t>C</w:t>
      </w:r>
      <w:r w:rsidR="00FA743C">
        <w:t>ounsel</w:t>
      </w:r>
      <w:r w:rsidR="730DABDC">
        <w:t xml:space="preserve"> to advise </w:t>
      </w:r>
      <w:r w:rsidR="521660F4">
        <w:t>teams of h</w:t>
      </w:r>
      <w:r w:rsidR="730DABDC">
        <w:t xml:space="preserve">uman </w:t>
      </w:r>
      <w:r w:rsidR="57AFCF80">
        <w:t>r</w:t>
      </w:r>
      <w:r w:rsidR="730DABDC">
        <w:t xml:space="preserve">ights </w:t>
      </w:r>
      <w:r w:rsidR="00B075BA">
        <w:t>obligations</w:t>
      </w:r>
      <w:r w:rsidR="730DABDC">
        <w:t>.</w:t>
      </w:r>
      <w:r w:rsidR="73067B7E">
        <w:t xml:space="preserve"> </w:t>
      </w:r>
    </w:p>
    <w:p w14:paraId="461A1978" w14:textId="71F15E0D" w:rsidR="6A5AB713" w:rsidRDefault="6A5AB713" w:rsidP="6E5F357A">
      <w:r>
        <w:t xml:space="preserve">Ipswich City Council provided tailored human rights training </w:t>
      </w:r>
      <w:r w:rsidR="5DC39E13">
        <w:t xml:space="preserve">to </w:t>
      </w:r>
      <w:r>
        <w:t>20% of</w:t>
      </w:r>
      <w:r w:rsidR="79392D15">
        <w:t xml:space="preserve"> ongoing</w:t>
      </w:r>
      <w:r>
        <w:t xml:space="preserve"> staff</w:t>
      </w:r>
      <w:r w:rsidR="19832800">
        <w:t>,</w:t>
      </w:r>
      <w:r>
        <w:t xml:space="preserve"> </w:t>
      </w:r>
      <w:r w:rsidR="0CF8D852">
        <w:t>and</w:t>
      </w:r>
      <w:r>
        <w:t xml:space="preserve"> </w:t>
      </w:r>
      <w:r w:rsidR="7ECCE657">
        <w:t xml:space="preserve">724 </w:t>
      </w:r>
      <w:r w:rsidR="61AD1073">
        <w:t>incoming</w:t>
      </w:r>
      <w:r w:rsidR="7ECCE657">
        <w:t xml:space="preserve"> staff </w:t>
      </w:r>
      <w:r w:rsidR="3989C839">
        <w:t>complet</w:t>
      </w:r>
      <w:r w:rsidR="4D0BAB8E">
        <w:t>ed the</w:t>
      </w:r>
      <w:r w:rsidR="7ECCE657">
        <w:t xml:space="preserve"> </w:t>
      </w:r>
      <w:r w:rsidR="651B10DF">
        <w:t xml:space="preserve">online </w:t>
      </w:r>
      <w:r w:rsidR="7ECCE657">
        <w:t>training module</w:t>
      </w:r>
      <w:r w:rsidR="0E59C79C">
        <w:t xml:space="preserve">. </w:t>
      </w:r>
      <w:r w:rsidR="13CC4712">
        <w:t xml:space="preserve">Where training had occurred, the roll out was still in the early stages. </w:t>
      </w:r>
      <w:r w:rsidR="0E59C79C">
        <w:t>Sunshine Coast Council were able to provide 12</w:t>
      </w:r>
      <w:r w:rsidR="6E81DA04">
        <w:t>% of staff with human rights training</w:t>
      </w:r>
      <w:r w:rsidR="1A9CB292">
        <w:t>.</w:t>
      </w:r>
      <w:r w:rsidR="6E81DA04">
        <w:t xml:space="preserve"> </w:t>
      </w:r>
    </w:p>
    <w:p w14:paraId="5C479EB6" w14:textId="430FCB05" w:rsidR="486456CC" w:rsidRDefault="1A9CB292" w:rsidP="486456CC">
      <w:r>
        <w:t xml:space="preserve">Brisbane City Council </w:t>
      </w:r>
      <w:r w:rsidR="40D557AD">
        <w:t>h</w:t>
      </w:r>
      <w:r w:rsidR="3934E77F">
        <w:t>ire</w:t>
      </w:r>
      <w:r w:rsidR="30AB5C32">
        <w:t>d</w:t>
      </w:r>
      <w:r>
        <w:t xml:space="preserve"> a </w:t>
      </w:r>
      <w:r w:rsidR="4A80ED70">
        <w:t>S</w:t>
      </w:r>
      <w:r w:rsidR="3934E77F">
        <w:t xml:space="preserve">enior </w:t>
      </w:r>
      <w:r w:rsidR="30A7FB4B">
        <w:t>H</w:t>
      </w:r>
      <w:r w:rsidR="3934E77F">
        <w:t xml:space="preserve">uman </w:t>
      </w:r>
      <w:r w:rsidR="51BF51C3">
        <w:t>R</w:t>
      </w:r>
      <w:r w:rsidR="3934E77F">
        <w:t>ights</w:t>
      </w:r>
      <w:r>
        <w:t xml:space="preserve"> </w:t>
      </w:r>
      <w:r w:rsidR="0036076B">
        <w:t>O</w:t>
      </w:r>
      <w:r>
        <w:t>fficer to be the point of contact for all human rights</w:t>
      </w:r>
      <w:r w:rsidR="0036076B">
        <w:t>-</w:t>
      </w:r>
      <w:r>
        <w:t>related matters.</w:t>
      </w:r>
      <w:r w:rsidR="6BD6D573">
        <w:t xml:space="preserve"> Ipswich City Council </w:t>
      </w:r>
      <w:r w:rsidR="6BDE05D1">
        <w:t xml:space="preserve">and Sunshine Coast Council </w:t>
      </w:r>
      <w:r w:rsidR="5B2CF187">
        <w:t>encouraged</w:t>
      </w:r>
      <w:r w:rsidR="6BD6D573">
        <w:t xml:space="preserve"> the discussion of human rights by publishing information </w:t>
      </w:r>
      <w:r w:rsidR="4120B19D">
        <w:t>through internal and external material such as</w:t>
      </w:r>
      <w:r w:rsidR="6BD6D573">
        <w:t xml:space="preserve"> quart</w:t>
      </w:r>
      <w:r w:rsidR="478017A3">
        <w:t>er</w:t>
      </w:r>
      <w:r w:rsidR="6BD6D573">
        <w:t>ly newsl</w:t>
      </w:r>
      <w:r w:rsidR="5A62F082">
        <w:t>etter</w:t>
      </w:r>
      <w:r w:rsidR="218CEE87">
        <w:t>.</w:t>
      </w:r>
    </w:p>
    <w:p w14:paraId="52732DA4" w14:textId="7DB7BD0F" w:rsidR="00B075BA" w:rsidRDefault="004952FA" w:rsidP="00B075BA">
      <w:r>
        <w:t xml:space="preserve">Sunshine Coast Council </w:t>
      </w:r>
      <w:r w:rsidR="5C469DCC">
        <w:t xml:space="preserve">explained </w:t>
      </w:r>
      <w:r w:rsidR="00B075BA">
        <w:t>that:</w:t>
      </w:r>
    </w:p>
    <w:p w14:paraId="778C9C58" w14:textId="1D96B39A" w:rsidR="00283488" w:rsidRPr="005B41FA" w:rsidRDefault="0CB5AD3D" w:rsidP="00AD1A22">
      <w:pPr>
        <w:pStyle w:val="Quote"/>
      </w:pPr>
      <w:r w:rsidRPr="005B41FA">
        <w:lastRenderedPageBreak/>
        <w:t>Both</w:t>
      </w:r>
      <w:r w:rsidR="2CF38F3F" w:rsidRPr="005B41FA">
        <w:t xml:space="preserve"> the online and face to face Human Rights Act Awareness training modules encourage discussion and feedback during the session or through a post session survey. The training is regularly updated and improved based on this feedback. We also regularly check the forgov.qld.gov.au/humanrights website for any new training materials and </w:t>
      </w:r>
      <w:r w:rsidR="00B075BA" w:rsidRPr="005B41FA">
        <w:t>update our records accordingly.</w:t>
      </w:r>
    </w:p>
    <w:p w14:paraId="0E9BD170" w14:textId="38F70FAB" w:rsidR="6EDA7272" w:rsidRPr="005B41FA" w:rsidRDefault="17A6B620" w:rsidP="00B04FF8">
      <w:pPr>
        <w:pStyle w:val="Heading2"/>
        <w:rPr>
          <w:color w:val="8D361E"/>
        </w:rPr>
      </w:pPr>
      <w:bookmarkStart w:id="423" w:name="_Toc56451600"/>
      <w:bookmarkStart w:id="424" w:name="_Toc56452174"/>
      <w:bookmarkStart w:id="425" w:name="_Toc84593903"/>
      <w:bookmarkStart w:id="426" w:name="_Toc85451780"/>
      <w:bookmarkStart w:id="427" w:name="_Toc85526710"/>
      <w:bookmarkStart w:id="428" w:name="_Toc85787125"/>
      <w:r w:rsidRPr="005B41FA">
        <w:rPr>
          <w:color w:val="8D361E"/>
        </w:rPr>
        <w:t xml:space="preserve">Indicator 2: Community consultation and </w:t>
      </w:r>
      <w:r w:rsidR="006C6B83" w:rsidRPr="005B41FA">
        <w:rPr>
          <w:color w:val="8D361E"/>
        </w:rPr>
        <w:t>engagement</w:t>
      </w:r>
      <w:bookmarkEnd w:id="423"/>
      <w:bookmarkEnd w:id="424"/>
      <w:bookmarkEnd w:id="425"/>
      <w:bookmarkEnd w:id="426"/>
      <w:bookmarkEnd w:id="427"/>
      <w:bookmarkEnd w:id="428"/>
    </w:p>
    <w:p w14:paraId="52975579" w14:textId="08760D8D" w:rsidR="52D1343A" w:rsidRDefault="003F48B0" w:rsidP="52D1343A">
      <w:r w:rsidRPr="00160AEB">
        <w:t xml:space="preserve">The Commission </w:t>
      </w:r>
      <w:r w:rsidR="000118B1" w:rsidRPr="00160AEB">
        <w:t xml:space="preserve">asked councils about </w:t>
      </w:r>
      <w:r w:rsidR="006642BA" w:rsidRPr="008A00EB">
        <w:t>the extent to which they have provided information to the community about human rights and consulted with relevant sectors of the community.</w:t>
      </w:r>
    </w:p>
    <w:p w14:paraId="5618B9E2" w14:textId="22B67C41" w:rsidR="00407FA9" w:rsidRPr="00407FA9" w:rsidRDefault="00407FA9" w:rsidP="00407FA9">
      <w:pPr>
        <w:pStyle w:val="Heading3"/>
        <w:rPr>
          <w:color w:val="8D361E"/>
        </w:rPr>
      </w:pPr>
      <w:r w:rsidRPr="00407FA9">
        <w:rPr>
          <w:color w:val="8D361E"/>
        </w:rPr>
        <w:t>Community engagement and information</w:t>
      </w:r>
      <w:r w:rsidR="00B75092">
        <w:rPr>
          <w:color w:val="8D361E"/>
        </w:rPr>
        <w:t>, and</w:t>
      </w:r>
      <w:r w:rsidR="008F68EF">
        <w:rPr>
          <w:color w:val="8D361E"/>
        </w:rPr>
        <w:t xml:space="preserve"> </w:t>
      </w:r>
      <w:r w:rsidR="00321F74">
        <w:rPr>
          <w:color w:val="8D361E"/>
        </w:rPr>
        <w:t>c</w:t>
      </w:r>
      <w:r w:rsidRPr="00407FA9">
        <w:rPr>
          <w:color w:val="8D361E"/>
        </w:rPr>
        <w:t>ommunity consultation</w:t>
      </w:r>
    </w:p>
    <w:p w14:paraId="3C14E276" w14:textId="6A387709" w:rsidR="00B075BA" w:rsidRDefault="4BB5FBB9" w:rsidP="48E26F3E">
      <w:r>
        <w:t xml:space="preserve">A number of councils have made concerted efforts to ensure that their constituents know about the Act, understand they have human rights, and </w:t>
      </w:r>
      <w:r w:rsidR="00321F74">
        <w:t>are</w:t>
      </w:r>
      <w:r>
        <w:t xml:space="preserve"> inform</w:t>
      </w:r>
      <w:r w:rsidR="00321F74">
        <w:t>ed</w:t>
      </w:r>
      <w:r>
        <w:t xml:space="preserve"> about the option of complaining about council services. Some councils have conducted engagements that are framed around human rights, but community engagement has been difficult due to COVID-19 restrictions on holding public meetings.</w:t>
      </w:r>
    </w:p>
    <w:p w14:paraId="07532E2B" w14:textId="08721F87" w:rsidR="00B075BA" w:rsidRDefault="00B075BA" w:rsidP="48E26F3E">
      <w:r>
        <w:t>Many councils have provided information on human rights to the co</w:t>
      </w:r>
      <w:r w:rsidR="00040CA7">
        <w:t xml:space="preserve">mmunity through their websites. </w:t>
      </w:r>
      <w:r>
        <w:t xml:space="preserve">Brisbane City Council has </w:t>
      </w:r>
      <w:r w:rsidR="00040CA7">
        <w:t xml:space="preserve">updated its website and </w:t>
      </w:r>
      <w:r>
        <w:t>made their Senior Human Rights Officer available to meet with community inclusion work areas.</w:t>
      </w:r>
    </w:p>
    <w:p w14:paraId="0F9D31FD" w14:textId="60027049" w:rsidR="00040CA7" w:rsidRDefault="00040CA7" w:rsidP="16DFA6D2">
      <w:r>
        <w:t>Gold Coast City C</w:t>
      </w:r>
      <w:r w:rsidR="00133E0D">
        <w:t>ouncil update</w:t>
      </w:r>
      <w:r>
        <w:t>d</w:t>
      </w:r>
      <w:r w:rsidR="00133E0D">
        <w:t xml:space="preserve"> th</w:t>
      </w:r>
      <w:r w:rsidR="002D5703">
        <w:t>eir engagement polices</w:t>
      </w:r>
      <w:r w:rsidR="20D9D2C6">
        <w:t xml:space="preserve"> and</w:t>
      </w:r>
      <w:r w:rsidR="002D5703">
        <w:t xml:space="preserve"> utilise</w:t>
      </w:r>
      <w:r w:rsidR="5BB3E8BE">
        <w:t xml:space="preserve"> their</w:t>
      </w:r>
      <w:r w:rsidR="002D5703">
        <w:t xml:space="preserve"> current methods of community engagement, such as complaints, to refine their human rights policies. </w:t>
      </w:r>
    </w:p>
    <w:p w14:paraId="4C6B48B3" w14:textId="4C327445" w:rsidR="00B75092" w:rsidRDefault="00040CA7" w:rsidP="00B75092">
      <w:r>
        <w:t xml:space="preserve">Ipswich City Council </w:t>
      </w:r>
      <w:r w:rsidR="637683BC">
        <w:t>continues to dedicate a whole webpage to human rights and is engaging through</w:t>
      </w:r>
      <w:r>
        <w:t xml:space="preserve"> their </w:t>
      </w:r>
      <w:r w:rsidR="637683BC">
        <w:t>Community Reference Group.</w:t>
      </w:r>
      <w:r w:rsidR="00385B42">
        <w:t xml:space="preserve"> The Council states that the methods of consultation were diverse and included:</w:t>
      </w:r>
    </w:p>
    <w:p w14:paraId="4AD0E74C" w14:textId="0F187E5E" w:rsidR="00B75092" w:rsidRPr="00160AEB" w:rsidRDefault="00385B42" w:rsidP="002D2599">
      <w:pPr>
        <w:pStyle w:val="Quote"/>
        <w:numPr>
          <w:ilvl w:val="0"/>
          <w:numId w:val="26"/>
        </w:numPr>
        <w:rPr>
          <w:szCs w:val="22"/>
        </w:rPr>
      </w:pPr>
      <w:r w:rsidRPr="005B41FA">
        <w:t xml:space="preserve">digital engagement on Shape Your Ipswich – survey and open comment tools </w:t>
      </w:r>
    </w:p>
    <w:p w14:paraId="4B463A81" w14:textId="77777777" w:rsidR="00B75092" w:rsidRPr="00160AEB" w:rsidRDefault="00385B42" w:rsidP="002D2599">
      <w:pPr>
        <w:pStyle w:val="Quote"/>
        <w:numPr>
          <w:ilvl w:val="0"/>
          <w:numId w:val="26"/>
        </w:numPr>
        <w:rPr>
          <w:szCs w:val="22"/>
        </w:rPr>
      </w:pPr>
      <w:r w:rsidRPr="005B41FA">
        <w:t>three ZOOM webinars – two for the whole-of-community and one targeted at young people</w:t>
      </w:r>
    </w:p>
    <w:p w14:paraId="603F5648" w14:textId="77777777" w:rsidR="00B75092" w:rsidRPr="00160AEB" w:rsidRDefault="00385B42" w:rsidP="002D2599">
      <w:pPr>
        <w:pStyle w:val="Quote"/>
        <w:numPr>
          <w:ilvl w:val="0"/>
          <w:numId w:val="26"/>
        </w:numPr>
        <w:rPr>
          <w:szCs w:val="22"/>
        </w:rPr>
      </w:pPr>
      <w:r w:rsidRPr="005B41FA">
        <w:t xml:space="preserve">market research (semi-structured tele-interviews) </w:t>
      </w:r>
    </w:p>
    <w:p w14:paraId="78DDE5D0" w14:textId="77777777" w:rsidR="00B75092" w:rsidRPr="00160AEB" w:rsidRDefault="00385B42" w:rsidP="002D2599">
      <w:pPr>
        <w:pStyle w:val="Quote"/>
        <w:numPr>
          <w:ilvl w:val="0"/>
          <w:numId w:val="26"/>
        </w:numPr>
        <w:rPr>
          <w:szCs w:val="22"/>
        </w:rPr>
      </w:pPr>
      <w:r w:rsidRPr="005B41FA">
        <w:t xml:space="preserve">face-to-face workshop and yarning circle with the Murri Interagency </w:t>
      </w:r>
    </w:p>
    <w:p w14:paraId="73C65EB6" w14:textId="77777777" w:rsidR="00B75092" w:rsidRPr="00160AEB" w:rsidRDefault="00385B42" w:rsidP="002D2599">
      <w:pPr>
        <w:pStyle w:val="Quote"/>
        <w:numPr>
          <w:ilvl w:val="0"/>
          <w:numId w:val="26"/>
        </w:numPr>
        <w:rPr>
          <w:szCs w:val="22"/>
        </w:rPr>
      </w:pPr>
      <w:r w:rsidRPr="005B41FA">
        <w:t>artistic visioning competition and an Instagram competition</w:t>
      </w:r>
    </w:p>
    <w:p w14:paraId="1C2C5997" w14:textId="77777777" w:rsidR="00B75092" w:rsidRPr="00160AEB" w:rsidRDefault="00385B42" w:rsidP="002D2599">
      <w:pPr>
        <w:pStyle w:val="Quote"/>
        <w:numPr>
          <w:ilvl w:val="0"/>
          <w:numId w:val="26"/>
        </w:numPr>
        <w:rPr>
          <w:szCs w:val="22"/>
        </w:rPr>
      </w:pPr>
      <w:r w:rsidRPr="005B41FA">
        <w:t xml:space="preserve">school-based surveys </w:t>
      </w:r>
    </w:p>
    <w:p w14:paraId="6C75B7DD" w14:textId="3ED3547F" w:rsidR="00B75092" w:rsidRPr="00160AEB" w:rsidRDefault="00385B42" w:rsidP="002D2599">
      <w:pPr>
        <w:pStyle w:val="Quote"/>
        <w:numPr>
          <w:ilvl w:val="0"/>
          <w:numId w:val="26"/>
        </w:numPr>
        <w:rPr>
          <w:szCs w:val="22"/>
        </w:rPr>
      </w:pPr>
      <w:proofErr w:type="spellStart"/>
      <w:r w:rsidRPr="005B41FA">
        <w:lastRenderedPageBreak/>
        <w:t>iFuture</w:t>
      </w:r>
      <w:proofErr w:type="spellEnd"/>
      <w:r w:rsidRPr="005B41FA">
        <w:t xml:space="preserve"> displays [(corporate plan)] and paper-based surveys at all community centres</w:t>
      </w:r>
    </w:p>
    <w:p w14:paraId="7B1B9A75" w14:textId="77777777" w:rsidR="00B75092" w:rsidRPr="00160AEB" w:rsidRDefault="00385B42" w:rsidP="002D2599">
      <w:pPr>
        <w:pStyle w:val="Quote"/>
        <w:numPr>
          <w:ilvl w:val="0"/>
          <w:numId w:val="26"/>
        </w:numPr>
        <w:rPr>
          <w:szCs w:val="22"/>
        </w:rPr>
      </w:pPr>
      <w:r w:rsidRPr="005B41FA">
        <w:t>study circles, supported by a DIY Community Conversation Guide</w:t>
      </w:r>
    </w:p>
    <w:p w14:paraId="353EB630" w14:textId="39B4856F" w:rsidR="52D1343A" w:rsidRPr="00160AEB" w:rsidRDefault="00385B42" w:rsidP="002D2599">
      <w:pPr>
        <w:pStyle w:val="Quote"/>
        <w:numPr>
          <w:ilvl w:val="0"/>
          <w:numId w:val="26"/>
        </w:numPr>
        <w:rPr>
          <w:szCs w:val="22"/>
        </w:rPr>
      </w:pPr>
      <w:r w:rsidRPr="005B41FA">
        <w:t>three face-to-face drop-in sessions at the Central, Rosewood and Springfield libraries (with interpreters).</w:t>
      </w:r>
    </w:p>
    <w:p w14:paraId="5AF04CEA" w14:textId="6737B516" w:rsidR="00A73E61" w:rsidRPr="005B41FA" w:rsidRDefault="17A6B620" w:rsidP="00B04FF8">
      <w:pPr>
        <w:pStyle w:val="Heading2"/>
        <w:rPr>
          <w:color w:val="8D361E"/>
        </w:rPr>
      </w:pPr>
      <w:bookmarkStart w:id="429" w:name="_Toc56451601"/>
      <w:bookmarkStart w:id="430" w:name="_Toc56452175"/>
      <w:bookmarkStart w:id="431" w:name="_Toc84593904"/>
      <w:bookmarkStart w:id="432" w:name="_Toc85451781"/>
      <w:bookmarkStart w:id="433" w:name="_Toc85526711"/>
      <w:bookmarkStart w:id="434" w:name="_Toc85787126"/>
      <w:r w:rsidRPr="005B41FA">
        <w:rPr>
          <w:color w:val="8D361E"/>
        </w:rPr>
        <w:t>Indicator 3: Awareness</w:t>
      </w:r>
      <w:r w:rsidR="00DF2D46" w:rsidRPr="005B41FA">
        <w:rPr>
          <w:color w:val="8D361E"/>
        </w:rPr>
        <w:t>-</w:t>
      </w:r>
      <w:r w:rsidRPr="005B41FA">
        <w:rPr>
          <w:color w:val="8D361E"/>
        </w:rPr>
        <w:t>raising and support for related entities</w:t>
      </w:r>
      <w:bookmarkEnd w:id="429"/>
      <w:bookmarkEnd w:id="430"/>
      <w:bookmarkEnd w:id="431"/>
      <w:bookmarkEnd w:id="432"/>
      <w:bookmarkEnd w:id="433"/>
      <w:bookmarkEnd w:id="434"/>
      <w:r w:rsidRPr="005B41FA">
        <w:rPr>
          <w:color w:val="8D361E"/>
        </w:rPr>
        <w:t xml:space="preserve"> </w:t>
      </w:r>
    </w:p>
    <w:p w14:paraId="2053B75C" w14:textId="2C031DFA" w:rsidR="6EDA7272" w:rsidRPr="008A00EB" w:rsidRDefault="003F48B0" w:rsidP="007356B8">
      <w:r w:rsidRPr="008A00EB">
        <w:t xml:space="preserve">The Commission </w:t>
      </w:r>
      <w:r w:rsidR="00B1344B" w:rsidRPr="008A00EB">
        <w:t xml:space="preserve">asked councils about what steps </w:t>
      </w:r>
      <w:r w:rsidR="00DF2D46" w:rsidRPr="008A00EB">
        <w:t xml:space="preserve">they </w:t>
      </w:r>
      <w:r w:rsidR="00B1344B" w:rsidRPr="008A00EB">
        <w:t>have taken to raise awareness of the Act with contractors or service providers engaged by the</w:t>
      </w:r>
      <w:r w:rsidR="0009024C" w:rsidRPr="008A00EB">
        <w:t>m</w:t>
      </w:r>
      <w:r w:rsidR="00B1344B" w:rsidRPr="008A00EB">
        <w:t xml:space="preserve">. </w:t>
      </w:r>
    </w:p>
    <w:p w14:paraId="7666759F" w14:textId="77777777" w:rsidR="00B75092" w:rsidRPr="00B75092" w:rsidRDefault="00B75092" w:rsidP="007356B8">
      <w:pPr>
        <w:rPr>
          <w:rFonts w:eastAsiaTheme="majorEastAsia" w:cstheme="majorBidi"/>
          <w:color w:val="8D361E"/>
          <w:sz w:val="28"/>
          <w:szCs w:val="32"/>
          <w:shd w:val="clear" w:color="auto" w:fill="FFFFFF"/>
        </w:rPr>
      </w:pPr>
      <w:r w:rsidRPr="00B75092">
        <w:rPr>
          <w:rFonts w:eastAsiaTheme="majorEastAsia" w:cstheme="majorBidi"/>
          <w:color w:val="8D361E"/>
          <w:sz w:val="28"/>
          <w:szCs w:val="32"/>
          <w:shd w:val="clear" w:color="auto" w:fill="FFFFFF"/>
        </w:rPr>
        <w:t xml:space="preserve">Awareness-raising </w:t>
      </w:r>
    </w:p>
    <w:p w14:paraId="462EAB80" w14:textId="2828715D" w:rsidR="00B75092" w:rsidRPr="008A00EB" w:rsidRDefault="016DBAC2" w:rsidP="007356B8">
      <w:r>
        <w:t>P</w:t>
      </w:r>
      <w:r w:rsidR="19FE5F89">
        <w:t>rogress</w:t>
      </w:r>
      <w:r w:rsidR="00B75092">
        <w:t xml:space="preserve"> has been made by councils in advising related entities about their duties under the Act. </w:t>
      </w:r>
      <w:r w:rsidR="00383BFC">
        <w:t xml:space="preserve">Most councils have updated, or </w:t>
      </w:r>
      <w:r w:rsidR="00321F74">
        <w:t>are</w:t>
      </w:r>
      <w:r w:rsidR="00383BFC">
        <w:t xml:space="preserve"> in the process of updating</w:t>
      </w:r>
      <w:r w:rsidR="00321F74">
        <w:t>,</w:t>
      </w:r>
      <w:r w:rsidR="00383BFC">
        <w:t xml:space="preserve"> their policies </w:t>
      </w:r>
      <w:r w:rsidR="4189C02B">
        <w:t>to</w:t>
      </w:r>
      <w:r w:rsidR="00382258">
        <w:t xml:space="preserve"> </w:t>
      </w:r>
      <w:r w:rsidR="791363E2">
        <w:t>ensure</w:t>
      </w:r>
      <w:r w:rsidR="7B12279F">
        <w:t xml:space="preserve"> that</w:t>
      </w:r>
      <w:r w:rsidR="00383BFC">
        <w:t xml:space="preserve"> third parties</w:t>
      </w:r>
      <w:r w:rsidR="5597B380">
        <w:t xml:space="preserve"> understand their obligations</w:t>
      </w:r>
      <w:r w:rsidR="543A9C41">
        <w:t>.</w:t>
      </w:r>
      <w:r w:rsidR="00383BFC">
        <w:t xml:space="preserve"> </w:t>
      </w:r>
      <w:r w:rsidR="00B75092">
        <w:t>Some councils have</w:t>
      </w:r>
      <w:r w:rsidR="00383BFC">
        <w:t xml:space="preserve"> also</w:t>
      </w:r>
      <w:r w:rsidR="00B75092">
        <w:t xml:space="preserve"> created specific fact</w:t>
      </w:r>
      <w:r w:rsidR="00321F74">
        <w:t xml:space="preserve"> </w:t>
      </w:r>
      <w:r w:rsidR="00B75092">
        <w:t>sheets or changed contracts to reflect the Act’s requirements.</w:t>
      </w:r>
    </w:p>
    <w:p w14:paraId="1C6A9D02" w14:textId="75987B09" w:rsidR="00383BFC" w:rsidRPr="00160AEB" w:rsidRDefault="00383BFC" w:rsidP="00383BFC">
      <w:pPr>
        <w:ind w:hanging="11"/>
      </w:pPr>
      <w:r>
        <w:t xml:space="preserve">Sunshine Coast Council </w:t>
      </w:r>
      <w:r w:rsidRPr="00160AEB">
        <w:t>has a comprehensive framework for its procurement and contracting activities</w:t>
      </w:r>
      <w:r w:rsidR="00321F74">
        <w:t>,</w:t>
      </w:r>
      <w:r w:rsidRPr="00160AEB">
        <w:t xml:space="preserve"> underpinned by legislative requirements. At present, their contracts require </w:t>
      </w:r>
      <w:r w:rsidR="4ECE8021">
        <w:t>c</w:t>
      </w:r>
      <w:r w:rsidR="543A9C41">
        <w:t>ontractors</w:t>
      </w:r>
      <w:r w:rsidRPr="00160AEB">
        <w:t xml:space="preserve"> to comply with any and all legislation relevant to, or in any way applicable to, the </w:t>
      </w:r>
      <w:r w:rsidR="46D3A7A1">
        <w:t>c</w:t>
      </w:r>
      <w:r w:rsidR="543A9C41">
        <w:t>ontractor</w:t>
      </w:r>
      <w:r w:rsidRPr="00160AEB">
        <w:t xml:space="preserve"> performing its obligations under the </w:t>
      </w:r>
      <w:r w:rsidR="7C833FD5">
        <w:t>c</w:t>
      </w:r>
      <w:r w:rsidR="543A9C41">
        <w:t>ontract.</w:t>
      </w:r>
      <w:r w:rsidRPr="00160AEB">
        <w:t xml:space="preserve"> They support their contractors by incorporating consultation on their legislative obligations during this procurement process. </w:t>
      </w:r>
    </w:p>
    <w:p w14:paraId="087AA94F" w14:textId="6BAFE73F" w:rsidR="00ED235B" w:rsidRPr="00160AEB" w:rsidRDefault="00383BFC" w:rsidP="00ED235B">
      <w:pPr>
        <w:ind w:hanging="11"/>
      </w:pPr>
      <w:r w:rsidRPr="00160AEB">
        <w:t>Ipswich City Council supports its contractors by sending letters to all its suppliers advising</w:t>
      </w:r>
      <w:r w:rsidR="00ED235B" w:rsidRPr="00160AEB">
        <w:t>:</w:t>
      </w:r>
    </w:p>
    <w:p w14:paraId="2450A72A" w14:textId="77777777" w:rsidR="00ED235B" w:rsidRPr="005B41FA" w:rsidRDefault="00ED235B" w:rsidP="005B41FA">
      <w:pPr>
        <w:pStyle w:val="ListParagraph"/>
      </w:pPr>
      <w:r w:rsidRPr="005B41FA">
        <w:t>the commencement of the Act</w:t>
      </w:r>
    </w:p>
    <w:p w14:paraId="1195B408" w14:textId="77777777" w:rsidR="00ED235B" w:rsidRPr="005B41FA" w:rsidRDefault="00ED235B" w:rsidP="005B41FA">
      <w:pPr>
        <w:pStyle w:val="ListParagraph"/>
      </w:pPr>
      <w:r w:rsidRPr="005B41FA">
        <w:t>the requirement for ‘functional public entities’ to comply with the Act</w:t>
      </w:r>
    </w:p>
    <w:p w14:paraId="73C80777" w14:textId="77777777" w:rsidR="00ED235B" w:rsidRPr="005B41FA" w:rsidRDefault="00ED235B" w:rsidP="005B41FA">
      <w:pPr>
        <w:pStyle w:val="ListParagraph"/>
      </w:pPr>
      <w:r w:rsidRPr="005B41FA">
        <w:t>enclosing the fact sheet (Contractors and Grant Recipients of Council – Obligations under the Human Rights Act’) council developed during the last reporting period</w:t>
      </w:r>
    </w:p>
    <w:p w14:paraId="0D596472" w14:textId="6CAE3B8E" w:rsidR="00ED235B" w:rsidRPr="005B41FA" w:rsidRDefault="00ED235B" w:rsidP="005B41FA">
      <w:pPr>
        <w:pStyle w:val="ListParagraph"/>
      </w:pPr>
      <w:r w:rsidRPr="005B41FA">
        <w:t xml:space="preserve">directing them to the </w:t>
      </w:r>
      <w:r w:rsidR="2437B593" w:rsidRPr="005B41FA">
        <w:t xml:space="preserve">Commission </w:t>
      </w:r>
      <w:r w:rsidRPr="005B41FA">
        <w:t>website for more information and resources.</w:t>
      </w:r>
    </w:p>
    <w:p w14:paraId="3CD670CD" w14:textId="1D3819BC" w:rsidR="00F77369" w:rsidRPr="005B41FA" w:rsidRDefault="17A6B620" w:rsidP="00B04FF8">
      <w:pPr>
        <w:pStyle w:val="Heading2"/>
        <w:rPr>
          <w:color w:val="8D361E"/>
        </w:rPr>
      </w:pPr>
      <w:bookmarkStart w:id="435" w:name="_Toc56451602"/>
      <w:bookmarkStart w:id="436" w:name="_Toc56452176"/>
      <w:bookmarkStart w:id="437" w:name="_Toc84593905"/>
      <w:bookmarkStart w:id="438" w:name="_Toc85451782"/>
      <w:bookmarkStart w:id="439" w:name="_Toc85526712"/>
      <w:bookmarkStart w:id="440" w:name="_Toc85787127"/>
      <w:r w:rsidRPr="005B41FA">
        <w:rPr>
          <w:color w:val="8D361E"/>
        </w:rPr>
        <w:lastRenderedPageBreak/>
        <w:t>Indicator 4: Reviews and development of laws</w:t>
      </w:r>
      <w:bookmarkEnd w:id="435"/>
      <w:bookmarkEnd w:id="436"/>
      <w:bookmarkEnd w:id="437"/>
      <w:bookmarkEnd w:id="438"/>
      <w:bookmarkEnd w:id="439"/>
      <w:bookmarkEnd w:id="440"/>
      <w:r w:rsidRPr="005B41FA">
        <w:rPr>
          <w:color w:val="8D361E"/>
        </w:rPr>
        <w:t xml:space="preserve"> </w:t>
      </w:r>
    </w:p>
    <w:p w14:paraId="769C7523" w14:textId="00A0FDCF" w:rsidR="00951F66" w:rsidRDefault="00951F66" w:rsidP="00461908">
      <w:bookmarkStart w:id="441" w:name="_Toc56451603"/>
      <w:bookmarkStart w:id="442" w:name="_Toc56452177"/>
      <w:r>
        <w:rPr>
          <w:lang w:eastAsia="en-AU"/>
        </w:rPr>
        <w:t xml:space="preserve">The Commission asked councils to </w:t>
      </w:r>
      <w:r>
        <w:t xml:space="preserve">point to a local law or subordinate local law that has been introduced in the financial year 2020-21 that is significant in terms of human </w:t>
      </w:r>
      <w:r w:rsidR="005B41FA">
        <w:t>rights and</w:t>
      </w:r>
      <w:r>
        <w:t xml:space="preserve"> provide any examples of good practice in ensuring the proper consideration of human rights is part of local law development.</w:t>
      </w:r>
    </w:p>
    <w:p w14:paraId="681B608A" w14:textId="07084C87" w:rsidR="004952FA" w:rsidRDefault="00D678C6" w:rsidP="00461908">
      <w:r>
        <w:t xml:space="preserve">Although no new laws or amendments were adopted in the 2020-21 financial year, it is positive that councils are </w:t>
      </w:r>
      <w:r>
        <w:rPr>
          <w:rFonts w:cs="Arial"/>
        </w:rPr>
        <w:t>reviewing current processes in the</w:t>
      </w:r>
      <w:r>
        <w:t xml:space="preserve"> </w:t>
      </w:r>
      <w:r>
        <w:rPr>
          <w:rFonts w:cs="Arial"/>
        </w:rPr>
        <w:t xml:space="preserve">development of local laws and subordinate local laws to ensure that they are consistent with Council’s objectives of creating a culture of human rights </w:t>
      </w:r>
      <w:r w:rsidR="009E2285">
        <w:rPr>
          <w:rFonts w:cs="Arial"/>
        </w:rPr>
        <w:t>within their relevant regions</w:t>
      </w:r>
      <w:r>
        <w:rPr>
          <w:rFonts w:cs="Arial"/>
        </w:rPr>
        <w:t>.</w:t>
      </w:r>
    </w:p>
    <w:p w14:paraId="4451CDCC" w14:textId="0819D7C3" w:rsidR="6EDA7272" w:rsidRPr="005B41FA" w:rsidRDefault="17A6B620" w:rsidP="00B04FF8">
      <w:pPr>
        <w:pStyle w:val="Heading2"/>
        <w:rPr>
          <w:color w:val="8D361E"/>
        </w:rPr>
      </w:pPr>
      <w:bookmarkStart w:id="443" w:name="_Toc84593906"/>
      <w:bookmarkStart w:id="444" w:name="_Toc85451783"/>
      <w:bookmarkStart w:id="445" w:name="_Toc85526713"/>
      <w:bookmarkStart w:id="446" w:name="_Toc85787128"/>
      <w:r w:rsidRPr="005B41FA">
        <w:rPr>
          <w:color w:val="8D361E"/>
        </w:rPr>
        <w:t>Indicator 5: Review of policies and procedures</w:t>
      </w:r>
      <w:bookmarkEnd w:id="441"/>
      <w:bookmarkEnd w:id="442"/>
      <w:bookmarkEnd w:id="443"/>
      <w:bookmarkEnd w:id="444"/>
      <w:bookmarkEnd w:id="445"/>
      <w:bookmarkEnd w:id="446"/>
    </w:p>
    <w:p w14:paraId="4B5E146F" w14:textId="37AE6174" w:rsidR="008C1E3D" w:rsidRDefault="008C1E3D" w:rsidP="008C1E3D">
      <w:pPr>
        <w:rPr>
          <w:lang w:eastAsia="en-AU"/>
        </w:rPr>
      </w:pPr>
      <w:r>
        <w:rPr>
          <w:lang w:eastAsia="en-AU"/>
        </w:rPr>
        <w:t>The Commission asked councils to report on reviews of policies and procedures for compatibility for human rights including examples of changes to policies, procedures or service delivery, if any.</w:t>
      </w:r>
    </w:p>
    <w:p w14:paraId="32763FA9" w14:textId="2FC4FA62" w:rsidR="00D87A3D" w:rsidRPr="00407FA9" w:rsidRDefault="00D87A3D" w:rsidP="00407FA9">
      <w:pPr>
        <w:pStyle w:val="Heading3"/>
        <w:rPr>
          <w:rFonts w:eastAsiaTheme="majorBidi"/>
          <w:color w:val="8D361E"/>
        </w:rPr>
      </w:pPr>
      <w:r w:rsidRPr="00407FA9">
        <w:rPr>
          <w:rFonts w:eastAsiaTheme="majorBidi"/>
          <w:color w:val="8D361E"/>
        </w:rPr>
        <w:t xml:space="preserve">Review of </w:t>
      </w:r>
      <w:r w:rsidR="007413F0" w:rsidRPr="00407FA9">
        <w:rPr>
          <w:rFonts w:eastAsiaTheme="majorBidi"/>
          <w:color w:val="8D361E"/>
        </w:rPr>
        <w:t>p</w:t>
      </w:r>
      <w:r w:rsidRPr="00407FA9">
        <w:rPr>
          <w:rFonts w:eastAsiaTheme="majorBidi"/>
          <w:color w:val="8D361E"/>
        </w:rPr>
        <w:t xml:space="preserve">olicies and </w:t>
      </w:r>
      <w:r w:rsidR="007413F0" w:rsidRPr="00407FA9">
        <w:rPr>
          <w:rFonts w:eastAsiaTheme="majorBidi"/>
          <w:color w:val="8D361E"/>
        </w:rPr>
        <w:t>p</w:t>
      </w:r>
      <w:r w:rsidRPr="00407FA9">
        <w:rPr>
          <w:rFonts w:eastAsiaTheme="majorBidi"/>
          <w:color w:val="8D361E"/>
        </w:rPr>
        <w:t>rocedures</w:t>
      </w:r>
    </w:p>
    <w:p w14:paraId="4F3F845D" w14:textId="6223E41B" w:rsidR="00D40262" w:rsidRPr="00160AEB" w:rsidRDefault="00097E66" w:rsidP="00097E66">
      <w:pPr>
        <w:rPr>
          <w:lang w:eastAsia="en-AU"/>
        </w:rPr>
      </w:pPr>
      <w:r>
        <w:rPr>
          <w:lang w:eastAsia="en-AU"/>
        </w:rPr>
        <w:t>All</w:t>
      </w:r>
      <w:r w:rsidRPr="63A249A1">
        <w:rPr>
          <w:lang w:eastAsia="en-AU"/>
        </w:rPr>
        <w:t xml:space="preserve"> </w:t>
      </w:r>
      <w:r w:rsidR="1902699B" w:rsidRPr="63A249A1">
        <w:rPr>
          <w:lang w:eastAsia="en-AU"/>
        </w:rPr>
        <w:t>surveyed</w:t>
      </w:r>
      <w:r>
        <w:rPr>
          <w:lang w:eastAsia="en-AU"/>
        </w:rPr>
        <w:t xml:space="preserve"> local councils have endeavoured to review and amend laws, policies, templates and administrative directions to ensure they are consistent with the </w:t>
      </w:r>
      <w:r w:rsidRPr="00160AEB">
        <w:rPr>
          <w:lang w:eastAsia="en-AU"/>
        </w:rPr>
        <w:t>Act.</w:t>
      </w:r>
    </w:p>
    <w:p w14:paraId="497FC5F8" w14:textId="7E1C6FDE" w:rsidR="00097E66" w:rsidRPr="00160AEB" w:rsidRDefault="00D40262" w:rsidP="00097E66">
      <w:pPr>
        <w:rPr>
          <w:lang w:eastAsia="en-AU"/>
        </w:rPr>
      </w:pPr>
      <w:r w:rsidRPr="00D40262">
        <w:rPr>
          <w:lang w:eastAsia="en-AU"/>
        </w:rPr>
        <w:t xml:space="preserve">Logan City Council sought assistance from an external provider to review and assess compatibility with the </w:t>
      </w:r>
      <w:r w:rsidRPr="00160AEB">
        <w:rPr>
          <w:lang w:eastAsia="en-AU"/>
        </w:rPr>
        <w:t>Act.</w:t>
      </w:r>
    </w:p>
    <w:p w14:paraId="1B339B06" w14:textId="6128B54C" w:rsidR="00D40262" w:rsidRPr="00160AEB" w:rsidRDefault="00D40262" w:rsidP="63A249A1">
      <w:pPr>
        <w:rPr>
          <w:lang w:eastAsia="en-AU"/>
        </w:rPr>
      </w:pPr>
      <w:r>
        <w:rPr>
          <w:lang w:eastAsia="en-AU"/>
        </w:rPr>
        <w:t xml:space="preserve">Sunshine Coast Council have reviewed their </w:t>
      </w:r>
      <w:r w:rsidRPr="00160AEB">
        <w:rPr>
          <w:lang w:eastAsia="en-AU"/>
        </w:rPr>
        <w:t>policies and p</w:t>
      </w:r>
      <w:r w:rsidR="00CF720F" w:rsidRPr="00160AEB">
        <w:rPr>
          <w:lang w:eastAsia="en-AU"/>
        </w:rPr>
        <w:t>rocedures</w:t>
      </w:r>
      <w:r w:rsidR="5D432A6C" w:rsidRPr="63A249A1">
        <w:rPr>
          <w:lang w:eastAsia="en-AU"/>
        </w:rPr>
        <w:t>:</w:t>
      </w:r>
    </w:p>
    <w:p w14:paraId="0020F8D4" w14:textId="2AB6AAD3" w:rsidR="00D40262" w:rsidRPr="005B41FA" w:rsidRDefault="764AF6E3" w:rsidP="005B41FA">
      <w:pPr>
        <w:pStyle w:val="Quote"/>
      </w:pPr>
      <w:r w:rsidRPr="005B41FA">
        <w:t xml:space="preserve"> </w:t>
      </w:r>
      <w:r w:rsidR="4055FE51" w:rsidRPr="005B41FA">
        <w:t>…</w:t>
      </w:r>
      <w:r w:rsidR="00D40262" w:rsidRPr="005B41FA">
        <w:t>by qualified and skilled professionals within the council who are adept at this task, ensuring policies and procedures align to and incorporate re</w:t>
      </w:r>
      <w:r w:rsidR="00CF720F" w:rsidRPr="005B41FA">
        <w:t xml:space="preserve">levant legislative obligations. </w:t>
      </w:r>
    </w:p>
    <w:p w14:paraId="341F6748" w14:textId="7F396AF6" w:rsidR="00D40262" w:rsidRPr="005B41FA" w:rsidRDefault="00D40262" w:rsidP="005B41FA">
      <w:pPr>
        <w:pStyle w:val="Quote"/>
      </w:pPr>
      <w:r w:rsidRPr="005B41FA">
        <w:t xml:space="preserve">It is Sunshine Coast Council’s position that policies and procedures are compatible with relevant </w:t>
      </w:r>
      <w:r w:rsidR="5ECE1E54" w:rsidRPr="005B41FA">
        <w:t>right</w:t>
      </w:r>
      <w:r w:rsidRPr="005B41FA">
        <w:t xml:space="preserve"> protected in the Human Rights Act 2019, and do not limit a human right. Those procedures that have been identified as potentially limiting a person’s rights, contain actions/directions as a result of risk assessments, however the relevant legislation justifies the action/direction deeming them compatible.</w:t>
      </w:r>
    </w:p>
    <w:p w14:paraId="4915798A" w14:textId="292833E3" w:rsidR="0075483B" w:rsidRPr="00160AEB" w:rsidRDefault="0075483B" w:rsidP="005B41FA">
      <w:pPr>
        <w:rPr>
          <w:lang w:eastAsia="en-AU"/>
        </w:rPr>
      </w:pPr>
      <w:r w:rsidRPr="00160AEB">
        <w:rPr>
          <w:lang w:eastAsia="en-AU"/>
        </w:rPr>
        <w:t xml:space="preserve">Sunshine Coast Council states a positive change that has resulted </w:t>
      </w:r>
      <w:r w:rsidR="73C1271A" w:rsidRPr="63A249A1">
        <w:rPr>
          <w:lang w:eastAsia="en-AU"/>
        </w:rPr>
        <w:t xml:space="preserve">from </w:t>
      </w:r>
      <w:r w:rsidRPr="00160AEB">
        <w:rPr>
          <w:lang w:eastAsia="en-AU"/>
        </w:rPr>
        <w:t>this review</w:t>
      </w:r>
      <w:r w:rsidR="4742FF28" w:rsidRPr="63A249A1">
        <w:rPr>
          <w:lang w:eastAsia="en-AU"/>
        </w:rPr>
        <w:t>:</w:t>
      </w:r>
      <w:r w:rsidRPr="00160AEB">
        <w:rPr>
          <w:lang w:eastAsia="en-AU"/>
        </w:rPr>
        <w:t xml:space="preserve"> </w:t>
      </w:r>
    </w:p>
    <w:p w14:paraId="2DB6DBAE" w14:textId="1E52A881" w:rsidR="0075483B" w:rsidRPr="005B41FA" w:rsidRDefault="0075483B" w:rsidP="005B41FA">
      <w:pPr>
        <w:pStyle w:val="Quote"/>
      </w:pPr>
      <w:r w:rsidRPr="005B41FA">
        <w:t>First Nations Aboriginal and Torres Strait Islander Employment Guideline has been developed in response to Council’s initiative towards more inclusive recruitment and our obligations under Council’s Reconciliation Action Plan.</w:t>
      </w:r>
    </w:p>
    <w:p w14:paraId="5B16EC39" w14:textId="1EF1368F" w:rsidR="00CF720F" w:rsidRDefault="00CF720F" w:rsidP="00CF720F">
      <w:pPr>
        <w:rPr>
          <w:lang w:eastAsia="en-AU"/>
        </w:rPr>
      </w:pPr>
      <w:r w:rsidRPr="00160AEB">
        <w:rPr>
          <w:lang w:eastAsia="en-AU"/>
        </w:rPr>
        <w:lastRenderedPageBreak/>
        <w:t xml:space="preserve">Ipswich City Council has </w:t>
      </w:r>
      <w:r>
        <w:rPr>
          <w:lang w:eastAsia="en-AU"/>
        </w:rPr>
        <w:t xml:space="preserve">commenced the review of its policies, procedures and administrative directives </w:t>
      </w:r>
      <w:r w:rsidRPr="00120135">
        <w:rPr>
          <w:lang w:eastAsia="en-AU"/>
        </w:rPr>
        <w:t xml:space="preserve">but extended the </w:t>
      </w:r>
      <w:r w:rsidR="57FEA982" w:rsidRPr="63A249A1">
        <w:rPr>
          <w:lang w:eastAsia="en-AU"/>
        </w:rPr>
        <w:t xml:space="preserve">deadline for completion </w:t>
      </w:r>
      <w:r w:rsidRPr="00120135">
        <w:rPr>
          <w:lang w:eastAsia="en-AU"/>
        </w:rPr>
        <w:t xml:space="preserve">due to the volume of documents. </w:t>
      </w:r>
      <w:r w:rsidR="00120135" w:rsidRPr="00120135">
        <w:rPr>
          <w:lang w:eastAsia="en-AU"/>
        </w:rPr>
        <w:t>They have also decided to implement a cross-departmental policy review working group to</w:t>
      </w:r>
      <w:r w:rsidR="00120135">
        <w:rPr>
          <w:lang w:eastAsia="en-AU"/>
        </w:rPr>
        <w:t xml:space="preserve"> assist in completing the review. The working group will consist of policy officers from each department who will meet on a regular basis to review the outstanding policy documents. </w:t>
      </w:r>
    </w:p>
    <w:p w14:paraId="43BBB003" w14:textId="1EE53214" w:rsidR="00D16F3F" w:rsidRDefault="00120135" w:rsidP="00CF720F">
      <w:pPr>
        <w:rPr>
          <w:lang w:eastAsia="en-AU"/>
        </w:rPr>
      </w:pPr>
      <w:r>
        <w:rPr>
          <w:lang w:eastAsia="en-AU"/>
        </w:rPr>
        <w:t xml:space="preserve">Brisbane City Council </w:t>
      </w:r>
      <w:r w:rsidR="1EC2DF26" w:rsidRPr="63A249A1">
        <w:rPr>
          <w:lang w:eastAsia="en-AU"/>
        </w:rPr>
        <w:t xml:space="preserve">has reviewed approximately </w:t>
      </w:r>
      <w:r w:rsidRPr="0050677E">
        <w:rPr>
          <w:lang w:eastAsia="en-AU"/>
        </w:rPr>
        <w:t>370 polic</w:t>
      </w:r>
      <w:r w:rsidR="00D16F3F" w:rsidRPr="004B5081">
        <w:rPr>
          <w:lang w:eastAsia="en-AU"/>
        </w:rPr>
        <w:t>i</w:t>
      </w:r>
      <w:r>
        <w:rPr>
          <w:lang w:eastAsia="en-AU"/>
        </w:rPr>
        <w:t>es, procedures and guidelines. Each of these have been reviewed for their compatibility with human rights</w:t>
      </w:r>
      <w:r w:rsidR="44501AD5">
        <w:rPr>
          <w:lang w:eastAsia="en-AU"/>
        </w:rPr>
        <w:t xml:space="preserve"> </w:t>
      </w:r>
      <w:r w:rsidR="44501AD5" w:rsidRPr="00382258">
        <w:rPr>
          <w:lang w:eastAsia="en-AU"/>
        </w:rPr>
        <w:t>and only</w:t>
      </w:r>
      <w:r w:rsidRPr="000B0984">
        <w:rPr>
          <w:lang w:eastAsia="en-AU"/>
        </w:rPr>
        <w:t xml:space="preserve"> a nominal number of documents were identified as requiring minor amendments to ensure</w:t>
      </w:r>
      <w:r w:rsidR="00D16F3F">
        <w:rPr>
          <w:lang w:eastAsia="en-AU"/>
        </w:rPr>
        <w:t xml:space="preserve"> human rights compatibility</w:t>
      </w:r>
      <w:r w:rsidR="40CA5197" w:rsidRPr="63A249A1">
        <w:rPr>
          <w:lang w:eastAsia="en-AU"/>
        </w:rPr>
        <w:t>.</w:t>
      </w:r>
    </w:p>
    <w:p w14:paraId="21CE8277" w14:textId="75201E74" w:rsidR="00D16F3F" w:rsidRDefault="00D16F3F" w:rsidP="00D16F3F">
      <w:pPr>
        <w:rPr>
          <w:lang w:eastAsia="en-AU"/>
        </w:rPr>
      </w:pPr>
      <w:r>
        <w:rPr>
          <w:lang w:eastAsia="en-AU"/>
        </w:rPr>
        <w:t xml:space="preserve">Brisbane Council has identified policies </w:t>
      </w:r>
      <w:r w:rsidR="4D1B8ABE" w:rsidRPr="63A249A1">
        <w:rPr>
          <w:lang w:eastAsia="en-AU"/>
        </w:rPr>
        <w:t>which they understand</w:t>
      </w:r>
      <w:r>
        <w:rPr>
          <w:lang w:eastAsia="en-AU"/>
        </w:rPr>
        <w:t xml:space="preserve"> positively </w:t>
      </w:r>
      <w:r w:rsidR="7A8C1964" w:rsidRPr="63A249A1">
        <w:rPr>
          <w:lang w:eastAsia="en-AU"/>
        </w:rPr>
        <w:t>engage</w:t>
      </w:r>
      <w:r>
        <w:rPr>
          <w:lang w:eastAsia="en-AU"/>
        </w:rPr>
        <w:t xml:space="preserve"> human rights</w:t>
      </w:r>
      <w:r w:rsidR="5E995DA0" w:rsidRPr="63A249A1">
        <w:rPr>
          <w:lang w:eastAsia="en-AU"/>
        </w:rPr>
        <w:t>:</w:t>
      </w:r>
      <w:r>
        <w:rPr>
          <w:lang w:eastAsia="en-AU"/>
        </w:rPr>
        <w:t xml:space="preserve"> </w:t>
      </w:r>
    </w:p>
    <w:p w14:paraId="175DE3F1" w14:textId="066EE553" w:rsidR="00D16F3F" w:rsidRPr="00BE0A2C" w:rsidRDefault="00D16F3F" w:rsidP="005B41FA">
      <w:pPr>
        <w:pStyle w:val="Quote"/>
        <w:rPr>
          <w:szCs w:val="22"/>
          <w:lang w:eastAsia="en-AU"/>
        </w:rPr>
      </w:pPr>
      <w:r w:rsidRPr="005B41FA">
        <w:t>In particular, Council’s suite of ‘Zero Harm’ policies which seek to ensure staff safety positively engage the right to life. Similarly, Council’s Aboriginal Cultural Heritage procedure positively engages the cultural rights of Aboriginal and Torres Strait Islander Persons under s 28 of the Human Rights Act 2019.</w:t>
      </w:r>
    </w:p>
    <w:p w14:paraId="7DE65CE6" w14:textId="30CC9E66" w:rsidR="00C44CDE" w:rsidRPr="00407FA9" w:rsidRDefault="00D16F3F" w:rsidP="57B7BB62">
      <w:pPr>
        <w:rPr>
          <w:color w:val="8D361E"/>
        </w:rPr>
      </w:pPr>
      <w:r w:rsidRPr="57B7BB62">
        <w:rPr>
          <w:lang w:eastAsia="en-AU"/>
        </w:rPr>
        <w:t>Mackay Regional Council has reviewed it</w:t>
      </w:r>
      <w:r w:rsidR="00007A22">
        <w:rPr>
          <w:lang w:eastAsia="en-AU"/>
        </w:rPr>
        <w:t>s</w:t>
      </w:r>
      <w:r w:rsidRPr="57B7BB62">
        <w:rPr>
          <w:lang w:eastAsia="en-AU"/>
        </w:rPr>
        <w:t xml:space="preserve"> policies</w:t>
      </w:r>
      <w:r w:rsidR="7817BF0E" w:rsidRPr="57B7BB62">
        <w:rPr>
          <w:lang w:eastAsia="en-AU"/>
        </w:rPr>
        <w:t xml:space="preserve">, and the normal process is where policies have a human rights component, a definition and statement will be included in the policy. </w:t>
      </w:r>
    </w:p>
    <w:p w14:paraId="3F1A1389" w14:textId="3F808E15" w:rsidR="00C44CDE" w:rsidRPr="00407FA9" w:rsidRDefault="00C44CDE" w:rsidP="005B41FA">
      <w:pPr>
        <w:pStyle w:val="Heading4"/>
        <w:rPr>
          <w:color w:val="8D361E"/>
        </w:rPr>
      </w:pPr>
      <w:r w:rsidRPr="00407FA9">
        <w:rPr>
          <w:color w:val="8D361E"/>
        </w:rPr>
        <w:t>Tools and guidance</w:t>
      </w:r>
    </w:p>
    <w:p w14:paraId="165600D7" w14:textId="3813F37F" w:rsidR="00097E66" w:rsidRDefault="00097E66" w:rsidP="00097E66">
      <w:pPr>
        <w:rPr>
          <w:lang w:eastAsia="en-AU"/>
        </w:rPr>
      </w:pPr>
      <w:r>
        <w:rPr>
          <w:lang w:eastAsia="en-AU"/>
        </w:rPr>
        <w:t xml:space="preserve">In addition, some local councils including Brisbane City Council, Ipswich City Council and Gold Coast City Council have created or amended checklists and cover pages to provide guidance to </w:t>
      </w:r>
      <w:r w:rsidR="005108C8">
        <w:rPr>
          <w:lang w:eastAsia="en-AU"/>
        </w:rPr>
        <w:t>ensure staff make human rights compatible decisions</w:t>
      </w:r>
      <w:r>
        <w:rPr>
          <w:lang w:eastAsia="en-AU"/>
        </w:rPr>
        <w:t>.</w:t>
      </w:r>
    </w:p>
    <w:p w14:paraId="1DBF13CC" w14:textId="6F864FD6" w:rsidR="008F68EF" w:rsidRPr="008F68EF" w:rsidRDefault="00097E66" w:rsidP="008F68EF">
      <w:pPr>
        <w:rPr>
          <w:lang w:eastAsia="en-AU"/>
        </w:rPr>
      </w:pPr>
      <w:r>
        <w:rPr>
          <w:lang w:eastAsia="en-AU"/>
        </w:rPr>
        <w:t xml:space="preserve">Ipswich City Council </w:t>
      </w:r>
      <w:r w:rsidR="00693323">
        <w:rPr>
          <w:lang w:eastAsia="en-AU"/>
        </w:rPr>
        <w:t>has</w:t>
      </w:r>
      <w:r>
        <w:rPr>
          <w:lang w:eastAsia="en-AU"/>
        </w:rPr>
        <w:t xml:space="preserve"> amended</w:t>
      </w:r>
      <w:r w:rsidR="00206890">
        <w:rPr>
          <w:lang w:eastAsia="en-AU"/>
        </w:rPr>
        <w:t xml:space="preserve"> its</w:t>
      </w:r>
      <w:r>
        <w:rPr>
          <w:lang w:eastAsia="en-AU"/>
        </w:rPr>
        <w:t xml:space="preserve"> policy, procedure and administrative directive templates to include a mandatory human rights section</w:t>
      </w:r>
      <w:r w:rsidR="008A6CE3">
        <w:rPr>
          <w:lang w:eastAsia="en-AU"/>
        </w:rPr>
        <w:t xml:space="preserve">. </w:t>
      </w:r>
      <w:r w:rsidR="008A6CE3" w:rsidRPr="008A6CE3">
        <w:rPr>
          <w:lang w:eastAsia="en-AU"/>
        </w:rPr>
        <w:t xml:space="preserve">Prior to </w:t>
      </w:r>
      <w:r>
        <w:rPr>
          <w:lang w:eastAsia="en-AU"/>
        </w:rPr>
        <w:t>adopting a new policy document</w:t>
      </w:r>
      <w:r w:rsidR="008A6CE3" w:rsidRPr="008A6CE3">
        <w:rPr>
          <w:lang w:eastAsia="en-AU"/>
        </w:rPr>
        <w:t>, or amending an existing policy document, a human rights impact assessment must be undertaken using the human rights impact assessment checklist.</w:t>
      </w:r>
    </w:p>
    <w:p w14:paraId="447B4FCF" w14:textId="67712C90" w:rsidR="6EDA7272" w:rsidRPr="005B41FA" w:rsidRDefault="17A6B620" w:rsidP="00B04FF8">
      <w:pPr>
        <w:pStyle w:val="Heading2"/>
        <w:rPr>
          <w:color w:val="8D361E"/>
        </w:rPr>
      </w:pPr>
      <w:bookmarkStart w:id="447" w:name="_Toc56451604"/>
      <w:bookmarkStart w:id="448" w:name="_Toc56452178"/>
      <w:bookmarkStart w:id="449" w:name="_Toc84593907"/>
      <w:bookmarkStart w:id="450" w:name="_Toc85451784"/>
      <w:bookmarkStart w:id="451" w:name="_Toc85526714"/>
      <w:bookmarkStart w:id="452" w:name="_Toc85787129"/>
      <w:r w:rsidRPr="005B41FA">
        <w:rPr>
          <w:color w:val="8D361E"/>
        </w:rPr>
        <w:t xml:space="preserve">Indicator 6: </w:t>
      </w:r>
      <w:r w:rsidR="003F48B0" w:rsidRPr="005B41FA">
        <w:rPr>
          <w:color w:val="8D361E"/>
        </w:rPr>
        <w:t>I</w:t>
      </w:r>
      <w:r w:rsidRPr="005B41FA">
        <w:rPr>
          <w:color w:val="8D361E"/>
        </w:rPr>
        <w:t>nternal complaint</w:t>
      </w:r>
      <w:r w:rsidR="003F48B0" w:rsidRPr="005B41FA">
        <w:rPr>
          <w:color w:val="8D361E"/>
        </w:rPr>
        <w:t>s</w:t>
      </w:r>
      <w:bookmarkEnd w:id="447"/>
      <w:bookmarkEnd w:id="448"/>
      <w:bookmarkEnd w:id="449"/>
      <w:bookmarkEnd w:id="450"/>
      <w:bookmarkEnd w:id="451"/>
      <w:bookmarkEnd w:id="452"/>
      <w:r w:rsidRPr="005B41FA">
        <w:rPr>
          <w:color w:val="8D361E"/>
        </w:rPr>
        <w:t xml:space="preserve"> </w:t>
      </w:r>
    </w:p>
    <w:p w14:paraId="27D37257" w14:textId="243991D0" w:rsidR="000800D5" w:rsidRDefault="000800D5" w:rsidP="000800D5">
      <w:r w:rsidRPr="008A00EB">
        <w:t xml:space="preserve">The Commission asked </w:t>
      </w:r>
      <w:r>
        <w:t>councils about</w:t>
      </w:r>
      <w:r w:rsidRPr="008A00EB">
        <w:t xml:space="preserve"> how they have incorporated human rights into complaint handling processes</w:t>
      </w:r>
      <w:r>
        <w:t xml:space="preserve"> and whether barriers to identifying, considering</w:t>
      </w:r>
      <w:r w:rsidR="004D4E6C">
        <w:t>,</w:t>
      </w:r>
      <w:r>
        <w:t xml:space="preserve"> and responding to complaints</w:t>
      </w:r>
      <w:r w:rsidR="00007A22">
        <w:t xml:space="preserve"> have been found during this process</w:t>
      </w:r>
      <w:r w:rsidRPr="008A00EB">
        <w:t>.</w:t>
      </w:r>
    </w:p>
    <w:p w14:paraId="4F1FC9C3" w14:textId="7908B136" w:rsidR="000800D5" w:rsidRPr="005D45D8" w:rsidRDefault="00BC30DF" w:rsidP="005D45D8">
      <w:r>
        <w:lastRenderedPageBreak/>
        <w:t>Sunshine Coast</w:t>
      </w:r>
      <w:r w:rsidR="004925EB">
        <w:t xml:space="preserve"> and </w:t>
      </w:r>
      <w:r w:rsidR="00502E9D">
        <w:t>Gold Coast</w:t>
      </w:r>
      <w:r w:rsidR="004925EB">
        <w:t xml:space="preserve"> </w:t>
      </w:r>
      <w:r w:rsidR="00382258">
        <w:t>C</w:t>
      </w:r>
      <w:r w:rsidR="004925EB">
        <w:t xml:space="preserve">ity </w:t>
      </w:r>
      <w:r w:rsidR="00A7532F">
        <w:t>councils</w:t>
      </w:r>
      <w:r w:rsidR="00F0227D">
        <w:t xml:space="preserve"> </w:t>
      </w:r>
      <w:r w:rsidR="00A0470F">
        <w:t>are</w:t>
      </w:r>
      <w:r w:rsidR="00F0227D">
        <w:t xml:space="preserve"> utilising </w:t>
      </w:r>
      <w:r w:rsidR="00A7532F">
        <w:t xml:space="preserve">tools such as </w:t>
      </w:r>
      <w:r w:rsidR="00F0227D">
        <w:t>case file coversheet</w:t>
      </w:r>
      <w:r w:rsidR="00A0470F">
        <w:t>s</w:t>
      </w:r>
      <w:r w:rsidR="008F1E55">
        <w:t xml:space="preserve"> </w:t>
      </w:r>
      <w:r w:rsidR="00A7532F">
        <w:t>or</w:t>
      </w:r>
      <w:r w:rsidR="0067319A">
        <w:t xml:space="preserve"> checklist</w:t>
      </w:r>
      <w:r w:rsidR="627A4C46">
        <w:t>s</w:t>
      </w:r>
      <w:r w:rsidR="00F0227D">
        <w:t xml:space="preserve"> to ensure that human rights </w:t>
      </w:r>
      <w:r w:rsidR="00A7532F">
        <w:t xml:space="preserve">are </w:t>
      </w:r>
      <w:r w:rsidR="00F0227D">
        <w:t>con</w:t>
      </w:r>
      <w:r w:rsidR="0067319A">
        <w:t xml:space="preserve">sidered </w:t>
      </w:r>
      <w:r w:rsidR="00A7532F">
        <w:t xml:space="preserve">in </w:t>
      </w:r>
      <w:r w:rsidR="0067319A">
        <w:t xml:space="preserve">every case. </w:t>
      </w:r>
      <w:r w:rsidR="00A7532F">
        <w:t>However, the responses indicated that very few complaints were identified across the surveyed councils.</w:t>
      </w:r>
    </w:p>
    <w:p w14:paraId="37F0F0FF" w14:textId="77777777" w:rsidR="00A0470F" w:rsidRDefault="00A0470F" w:rsidP="00A0470F">
      <w:pPr>
        <w:spacing w:after="0" w:line="240" w:lineRule="auto"/>
        <w:rPr>
          <w:i/>
        </w:rPr>
      </w:pPr>
    </w:p>
    <w:p w14:paraId="1A4F54F1" w14:textId="520C69DC" w:rsidR="006330BD" w:rsidRDefault="00A0470F" w:rsidP="005B41FA">
      <w:pPr>
        <w:rPr>
          <w:i/>
        </w:rPr>
      </w:pPr>
      <w:r>
        <w:t xml:space="preserve">Mackay Regional Council has integrated </w:t>
      </w:r>
      <w:r w:rsidR="00A7532F">
        <w:t>human rights complaints in their policy and procedure but has not observed any change to complaints generally, and did not receive any human rights complaints in the reporting period.</w:t>
      </w:r>
      <w:r w:rsidR="00A7532F" w:rsidDel="00A7532F">
        <w:t xml:space="preserve"> </w:t>
      </w:r>
    </w:p>
    <w:p w14:paraId="68FDBFD9" w14:textId="6108C9A2" w:rsidR="00A7532F" w:rsidRDefault="00A0470F" w:rsidP="005B41FA">
      <w:r>
        <w:t xml:space="preserve">Brisbane City Council </w:t>
      </w:r>
      <w:r w:rsidR="00A7532F">
        <w:t>explained the process by which complaints are dealt with:</w:t>
      </w:r>
    </w:p>
    <w:p w14:paraId="3CCB89CF" w14:textId="5528091C" w:rsidR="006330BD" w:rsidRPr="00A0470F" w:rsidRDefault="00A7532F" w:rsidP="005B41FA">
      <w:pPr>
        <w:pStyle w:val="Quote"/>
      </w:pPr>
      <w:r w:rsidRPr="005B41FA">
        <w:t>C</w:t>
      </w:r>
      <w:r w:rsidR="65BD408C" w:rsidRPr="005B41FA">
        <w:t>omplaints which contain a human rights component are handled by or in consultation with Council’s Senior Human Rights Officer. All complaints are handled sensitively and expediently, with a comprehensive human rights impact assessment conducted to ensure an appropriate response and identify any areas for improvement within Council. Council has received a low volume of human rights complaints in the 2020/21 period. The performance of the complaints process will continue to be monitored in order to identify and implement improvements where appropriate.</w:t>
      </w:r>
    </w:p>
    <w:p w14:paraId="1CA68428" w14:textId="14812BB1" w:rsidR="008F15CF" w:rsidRPr="005B41FA" w:rsidRDefault="17A6B620" w:rsidP="00B04FF8">
      <w:pPr>
        <w:pStyle w:val="Heading2"/>
        <w:rPr>
          <w:color w:val="8D361E"/>
        </w:rPr>
      </w:pPr>
      <w:bookmarkStart w:id="453" w:name="_Toc56451605"/>
      <w:bookmarkStart w:id="454" w:name="_Toc56452179"/>
      <w:bookmarkStart w:id="455" w:name="_Toc84593908"/>
      <w:bookmarkStart w:id="456" w:name="_Toc85451785"/>
      <w:bookmarkStart w:id="457" w:name="_Toc85526715"/>
      <w:bookmarkStart w:id="458" w:name="_Toc85787130"/>
      <w:r w:rsidRPr="005B41FA">
        <w:rPr>
          <w:color w:val="8D361E"/>
        </w:rPr>
        <w:t>Indicator 7: Future plans</w:t>
      </w:r>
      <w:bookmarkEnd w:id="453"/>
      <w:bookmarkEnd w:id="454"/>
      <w:bookmarkEnd w:id="455"/>
      <w:bookmarkEnd w:id="456"/>
      <w:bookmarkEnd w:id="457"/>
      <w:bookmarkEnd w:id="458"/>
      <w:r w:rsidR="00975DC5" w:rsidRPr="005B41FA">
        <w:rPr>
          <w:color w:val="8D361E"/>
        </w:rPr>
        <w:t xml:space="preserve"> </w:t>
      </w:r>
    </w:p>
    <w:p w14:paraId="6015869E" w14:textId="64D66E75" w:rsidR="16DFA6D2" w:rsidRDefault="003F48B0" w:rsidP="16DFA6D2">
      <w:r w:rsidRPr="008A00EB">
        <w:t>The Commission</w:t>
      </w:r>
      <w:r w:rsidR="00067136" w:rsidRPr="008A00EB">
        <w:t xml:space="preserve"> asked councils about their </w:t>
      </w:r>
      <w:r w:rsidR="17A6B620" w:rsidRPr="008A00EB">
        <w:t xml:space="preserve">future plans </w:t>
      </w:r>
      <w:r w:rsidR="00067136" w:rsidRPr="008A00EB">
        <w:t>to</w:t>
      </w:r>
      <w:r w:rsidR="17A6B620" w:rsidRPr="008A00EB">
        <w:t xml:space="preserve"> achieve the objects of the Act</w:t>
      </w:r>
      <w:r w:rsidR="008F15CF" w:rsidRPr="008A00EB">
        <w:t>. The responses indicated a strong commitment to finalising planned activities to embed the Act into council business.</w:t>
      </w:r>
    </w:p>
    <w:p w14:paraId="39CEB11D" w14:textId="261FC91A" w:rsidR="00D93889" w:rsidRDefault="0067319A" w:rsidP="0067319A">
      <w:r>
        <w:t xml:space="preserve">All councils </w:t>
      </w:r>
      <w:r w:rsidR="00A7532F">
        <w:t>intend</w:t>
      </w:r>
      <w:r>
        <w:t xml:space="preserve"> to provide further training for staff and</w:t>
      </w:r>
      <w:r w:rsidR="00D93889">
        <w:t xml:space="preserve"> information for</w:t>
      </w:r>
      <w:r>
        <w:t xml:space="preserve"> contractor</w:t>
      </w:r>
      <w:r w:rsidR="00D93889">
        <w:t>s</w:t>
      </w:r>
      <w:r w:rsidR="00007A22">
        <w:t>,</w:t>
      </w:r>
      <w:r w:rsidR="00D93889">
        <w:t xml:space="preserve"> and continue to review policies </w:t>
      </w:r>
      <w:r w:rsidR="00A7532F">
        <w:t>and procedures</w:t>
      </w:r>
      <w:r w:rsidR="00D93889">
        <w:t xml:space="preserve"> to ensure they are compatible with human rights.</w:t>
      </w:r>
      <w:r>
        <w:t xml:space="preserve"> </w:t>
      </w:r>
    </w:p>
    <w:p w14:paraId="1151E9BE" w14:textId="0AD1121B" w:rsidR="0067319A" w:rsidRDefault="00D93889" w:rsidP="0067319A">
      <w:r>
        <w:t>Ipswich City Council</w:t>
      </w:r>
      <w:r w:rsidR="0067319A">
        <w:t xml:space="preserve"> </w:t>
      </w:r>
      <w:r>
        <w:t>would also like to develop fact</w:t>
      </w:r>
      <w:r w:rsidR="00007A22">
        <w:t xml:space="preserve"> </w:t>
      </w:r>
      <w:r w:rsidR="0067319A">
        <w:t>sheets on specific human rights issues and develop community engagement by publishing information in the quarterly newsletter.</w:t>
      </w:r>
    </w:p>
    <w:p w14:paraId="28F615D8" w14:textId="58EEE3BD" w:rsidR="16DFA6D2" w:rsidRDefault="00D93889" w:rsidP="16DFA6D2">
      <w:r>
        <w:t xml:space="preserve">Mackay City Council </w:t>
      </w:r>
      <w:r w:rsidRPr="00F46F61">
        <w:t>endeavours to implement human rights into leadership and induction packages, add human rights into community groups and plan</w:t>
      </w:r>
      <w:r w:rsidR="00007A22">
        <w:t>s</w:t>
      </w:r>
      <w:r w:rsidRPr="00F46F61">
        <w:t xml:space="preserve"> for future community engagement and consultation surveys</w:t>
      </w:r>
      <w:r w:rsidR="00097E66" w:rsidRPr="00F46F61">
        <w:t>. They will add human rights</w:t>
      </w:r>
      <w:r w:rsidRPr="00F46F61">
        <w:t xml:space="preserve"> to commercial and contractual considerations and documents</w:t>
      </w:r>
      <w:r w:rsidR="00097E66" w:rsidRPr="00F46F61">
        <w:t xml:space="preserve"> and align human rights </w:t>
      </w:r>
      <w:r w:rsidRPr="00F46F61">
        <w:t>with other similar conditions such as workplace health and safety</w:t>
      </w:r>
      <w:r w:rsidR="00097E66" w:rsidRPr="00F46F61">
        <w:t>.</w:t>
      </w:r>
    </w:p>
    <w:p w14:paraId="5D4F416B" w14:textId="77777777" w:rsidR="00104AEF" w:rsidRDefault="00104AEF" w:rsidP="16DFA6D2"/>
    <w:p w14:paraId="068856D7" w14:textId="77777777" w:rsidR="00104AEF" w:rsidRDefault="00104AEF" w:rsidP="16DFA6D2"/>
    <w:p w14:paraId="38057F66" w14:textId="448D948A" w:rsidR="00A7532F" w:rsidRDefault="006330BD" w:rsidP="16DFA6D2">
      <w:r>
        <w:lastRenderedPageBreak/>
        <w:t xml:space="preserve">Sunshine Coast Council is continuing their commitment to human rights by not only continuing the training </w:t>
      </w:r>
      <w:r w:rsidR="00CC4009">
        <w:t>but also by keeping</w:t>
      </w:r>
      <w:r w:rsidR="00A7532F">
        <w:t>:</w:t>
      </w:r>
    </w:p>
    <w:p w14:paraId="5667598A" w14:textId="53B88753" w:rsidR="006330BD" w:rsidRPr="005B41FA" w:rsidRDefault="00CC4009" w:rsidP="005B41FA">
      <w:pPr>
        <w:pStyle w:val="Quote"/>
      </w:pPr>
      <w:r w:rsidRPr="005B41FA">
        <w:t xml:space="preserve"> </w:t>
      </w:r>
      <w:r w:rsidR="00A7532F" w:rsidRPr="005B41FA">
        <w:t>…</w:t>
      </w:r>
      <w:r w:rsidRPr="005B41FA">
        <w:t>human rights obligations at the front of mind for all employees when decision-making is required across the business.</w:t>
      </w:r>
    </w:p>
    <w:p w14:paraId="03529322" w14:textId="77777777" w:rsidR="00CC4009" w:rsidRDefault="00CC4009" w:rsidP="00CC4009">
      <w:r>
        <w:t>Some of the high priorities for Logan City Council include:</w:t>
      </w:r>
    </w:p>
    <w:p w14:paraId="282EC55A" w14:textId="65B8381E" w:rsidR="00CC4009" w:rsidRPr="00E076E6" w:rsidRDefault="00CC4009" w:rsidP="002D2599">
      <w:pPr>
        <w:pStyle w:val="Quote"/>
        <w:numPr>
          <w:ilvl w:val="0"/>
          <w:numId w:val="27"/>
        </w:numPr>
      </w:pPr>
      <w:r w:rsidRPr="005B41FA">
        <w:t>Provision of targeted face to face training for Council employee’s that are more likely to deal with human rights issues or receive and deal with human rights complaints;</w:t>
      </w:r>
    </w:p>
    <w:p w14:paraId="1E274150" w14:textId="77777777" w:rsidR="00CC4009" w:rsidRPr="00E076E6" w:rsidRDefault="00CC4009" w:rsidP="002D2599">
      <w:pPr>
        <w:pStyle w:val="Quote"/>
        <w:numPr>
          <w:ilvl w:val="0"/>
          <w:numId w:val="27"/>
        </w:numPr>
      </w:pPr>
      <w:r w:rsidRPr="005B41FA">
        <w:t>Consideration of the implementation of human rights questions and concepts into the recruitment processes of Council and into annual staff performance reviews;</w:t>
      </w:r>
    </w:p>
    <w:p w14:paraId="78BFFC5E" w14:textId="367F371E" w:rsidR="00CC4009" w:rsidRPr="00E076E6" w:rsidRDefault="00CC4009" w:rsidP="002D2599">
      <w:pPr>
        <w:pStyle w:val="Quote"/>
        <w:numPr>
          <w:ilvl w:val="0"/>
          <w:numId w:val="27"/>
        </w:numPr>
      </w:pPr>
      <w:r w:rsidRPr="005B41FA">
        <w:t>Offer training session to contractors on the Human Rights Act and obligations imposed on functional ‘public entities’</w:t>
      </w:r>
      <w:r w:rsidR="00A7532F" w:rsidRPr="005B41FA">
        <w:t>.</w:t>
      </w:r>
    </w:p>
    <w:p w14:paraId="66048325" w14:textId="77777777" w:rsidR="00BC1425" w:rsidRDefault="00BC1425">
      <w:pPr>
        <w:spacing w:line="259" w:lineRule="auto"/>
        <w:ind w:right="0"/>
        <w:rPr>
          <w:rFonts w:eastAsia="Times New Roman" w:cs="Times New Roman"/>
          <w:bCs/>
          <w:color w:val="8D361E"/>
          <w:kern w:val="36"/>
          <w:sz w:val="48"/>
          <w:szCs w:val="48"/>
          <w:lang w:eastAsia="en-AU"/>
        </w:rPr>
      </w:pPr>
      <w:bookmarkStart w:id="459" w:name="_Toc84593909"/>
      <w:bookmarkStart w:id="460" w:name="_Toc85451786"/>
      <w:bookmarkStart w:id="461" w:name="_Toc85526716"/>
      <w:bookmarkStart w:id="462" w:name="_Toc85787131"/>
      <w:r>
        <w:rPr>
          <w:color w:val="8D361E"/>
        </w:rPr>
        <w:br w:type="page"/>
      </w:r>
    </w:p>
    <w:p w14:paraId="0A4550E6" w14:textId="72028711" w:rsidR="2D5FE124" w:rsidRPr="00283488" w:rsidRDefault="00A17C93" w:rsidP="00283488">
      <w:pPr>
        <w:pStyle w:val="Heading1"/>
        <w:rPr>
          <w:color w:val="8D361E"/>
        </w:rPr>
      </w:pPr>
      <w:r w:rsidRPr="00283488">
        <w:rPr>
          <w:color w:val="8D361E"/>
        </w:rPr>
        <w:lastRenderedPageBreak/>
        <w:t>P</w:t>
      </w:r>
      <w:r w:rsidR="07B0F1D7" w:rsidRPr="00283488">
        <w:rPr>
          <w:color w:val="8D361E"/>
        </w:rPr>
        <w:t xml:space="preserve">rogress towards a </w:t>
      </w:r>
      <w:r w:rsidR="000647C6" w:rsidRPr="00283488">
        <w:rPr>
          <w:color w:val="8D361E"/>
        </w:rPr>
        <w:t>human rights culture</w:t>
      </w:r>
      <w:r w:rsidR="07B0F1D7" w:rsidRPr="00283488">
        <w:rPr>
          <w:color w:val="8D361E"/>
        </w:rPr>
        <w:t xml:space="preserve"> </w:t>
      </w:r>
      <w:r w:rsidR="006A4F4C">
        <w:rPr>
          <w:color w:val="8D361E"/>
        </w:rPr>
        <w:t>in government and councils</w:t>
      </w:r>
      <w:bookmarkEnd w:id="459"/>
      <w:bookmarkEnd w:id="460"/>
      <w:bookmarkEnd w:id="461"/>
      <w:bookmarkEnd w:id="462"/>
    </w:p>
    <w:p w14:paraId="53657956" w14:textId="1D8481A5" w:rsidR="009D2D1E" w:rsidRDefault="00841AD7" w:rsidP="009D2D1E">
      <w:pPr>
        <w:rPr>
          <w:lang w:eastAsia="en-AU"/>
        </w:rPr>
      </w:pPr>
      <w:r>
        <w:rPr>
          <w:lang w:eastAsia="en-AU"/>
        </w:rPr>
        <w:t>The Queensland Government employs a large and decentralised workforce which requires advice, education</w:t>
      </w:r>
      <w:r w:rsidR="0099559D">
        <w:rPr>
          <w:lang w:eastAsia="en-AU"/>
        </w:rPr>
        <w:t>,</w:t>
      </w:r>
      <w:r>
        <w:rPr>
          <w:lang w:eastAsia="en-AU"/>
        </w:rPr>
        <w:t xml:space="preserve"> and awareness about human rights obligations on an ongoing basis.</w:t>
      </w:r>
      <w:r w:rsidR="001C76A7">
        <w:rPr>
          <w:lang w:eastAsia="en-AU"/>
        </w:rPr>
        <w:t xml:space="preserve"> </w:t>
      </w:r>
      <w:r>
        <w:rPr>
          <w:lang w:eastAsia="en-AU"/>
        </w:rPr>
        <w:t>In 2020</w:t>
      </w:r>
      <w:r w:rsidR="00D9757D">
        <w:rPr>
          <w:lang w:eastAsia="en-AU"/>
        </w:rPr>
        <w:t>–</w:t>
      </w:r>
      <w:r>
        <w:rPr>
          <w:lang w:eastAsia="en-AU"/>
        </w:rPr>
        <w:t>21, state public entities employed around 235,447 staff.</w:t>
      </w:r>
      <w:r>
        <w:rPr>
          <w:rStyle w:val="FootnoteReference"/>
          <w:lang w:eastAsia="en-AU"/>
        </w:rPr>
        <w:footnoteReference w:id="75"/>
      </w:r>
      <w:r>
        <w:rPr>
          <w:lang w:eastAsia="en-AU"/>
        </w:rPr>
        <w:t xml:space="preserve"> </w:t>
      </w:r>
      <w:r w:rsidR="008F5EA4">
        <w:rPr>
          <w:lang w:eastAsia="en-AU"/>
        </w:rPr>
        <w:t xml:space="preserve">Of these, </w:t>
      </w:r>
      <w:r>
        <w:rPr>
          <w:lang w:eastAsia="en-AU"/>
        </w:rPr>
        <w:t xml:space="preserve">34% worked in education and 40% in health. </w:t>
      </w:r>
      <w:r w:rsidR="008F5EA4">
        <w:rPr>
          <w:lang w:eastAsia="en-AU"/>
        </w:rPr>
        <w:t>Nine</w:t>
      </w:r>
      <w:r>
        <w:rPr>
          <w:lang w:eastAsia="en-AU"/>
        </w:rPr>
        <w:t xml:space="preserve"> out of 10 employees worked in frontline roles, and most (64%) worked in regional areas. </w:t>
      </w:r>
    </w:p>
    <w:p w14:paraId="10D6B495" w14:textId="4831D9A0" w:rsidR="00841AD7" w:rsidRDefault="001C76A7" w:rsidP="00841AD7">
      <w:pPr>
        <w:rPr>
          <w:lang w:eastAsia="en-AU"/>
        </w:rPr>
      </w:pPr>
      <w:r>
        <w:rPr>
          <w:lang w:eastAsia="en-AU"/>
        </w:rPr>
        <w:t xml:space="preserve">In a geographically large and diverse state, </w:t>
      </w:r>
      <w:r w:rsidR="008F5EA4">
        <w:rPr>
          <w:lang w:eastAsia="en-AU"/>
        </w:rPr>
        <w:t>there are</w:t>
      </w:r>
      <w:r w:rsidR="00841AD7">
        <w:rPr>
          <w:lang w:eastAsia="en-AU"/>
        </w:rPr>
        <w:t xml:space="preserve"> additional challenges in training the</w:t>
      </w:r>
      <w:r w:rsidR="008C62A1">
        <w:rPr>
          <w:lang w:eastAsia="en-AU"/>
        </w:rPr>
        <w:t xml:space="preserve"> whole of the</w:t>
      </w:r>
      <w:r w:rsidR="00841AD7">
        <w:rPr>
          <w:lang w:eastAsia="en-AU"/>
        </w:rPr>
        <w:t xml:space="preserve"> public sector workforce and </w:t>
      </w:r>
      <w:r w:rsidR="008C62A1">
        <w:rPr>
          <w:lang w:eastAsia="en-AU"/>
        </w:rPr>
        <w:t xml:space="preserve">in </w:t>
      </w:r>
      <w:r w:rsidR="00841AD7">
        <w:rPr>
          <w:lang w:eastAsia="en-AU"/>
        </w:rPr>
        <w:t xml:space="preserve">reaching </w:t>
      </w:r>
      <w:r>
        <w:rPr>
          <w:lang w:eastAsia="en-AU"/>
        </w:rPr>
        <w:t>regional and remote</w:t>
      </w:r>
      <w:r w:rsidR="00841AD7">
        <w:rPr>
          <w:lang w:eastAsia="en-AU"/>
        </w:rPr>
        <w:t xml:space="preserve"> communities to educate </w:t>
      </w:r>
      <w:r w:rsidR="008C62A1">
        <w:rPr>
          <w:lang w:eastAsia="en-AU"/>
        </w:rPr>
        <w:t xml:space="preserve">and consult </w:t>
      </w:r>
      <w:r w:rsidR="00841AD7">
        <w:rPr>
          <w:lang w:eastAsia="en-AU"/>
        </w:rPr>
        <w:t xml:space="preserve">about their rights. </w:t>
      </w:r>
      <w:r w:rsidR="004843E9">
        <w:rPr>
          <w:lang w:eastAsia="en-AU"/>
        </w:rPr>
        <w:t xml:space="preserve">In this context, the numbers of public servants who have already received training is impressive. </w:t>
      </w:r>
    </w:p>
    <w:p w14:paraId="158B1E90" w14:textId="6DCB3452" w:rsidR="004843E9" w:rsidRDefault="004843E9" w:rsidP="00841AD7">
      <w:pPr>
        <w:rPr>
          <w:lang w:eastAsia="en-AU"/>
        </w:rPr>
      </w:pPr>
      <w:r>
        <w:rPr>
          <w:lang w:eastAsia="en-AU"/>
        </w:rPr>
        <w:t xml:space="preserve">The Commission is encouraged that both policy reviews and complaints are uncovering issues that are then being addressed at an early stage </w:t>
      </w:r>
      <w:r w:rsidR="004D7462">
        <w:rPr>
          <w:lang w:eastAsia="en-AU"/>
        </w:rPr>
        <w:t xml:space="preserve">by some public sector entities. One such example is the review of a mental health policy for locked wards which will eventuate in a trial of discretionary locking of doors depending on individual circumstances. The fact that several public sector entities commented about an intention to learn from human rights complaints, rather than adopting a defensive position, is also encouraging as it will hopefully result in </w:t>
      </w:r>
      <w:r w:rsidR="00CC7423">
        <w:rPr>
          <w:lang w:eastAsia="en-AU"/>
        </w:rPr>
        <w:t>continuous</w:t>
      </w:r>
      <w:r w:rsidR="004D7462">
        <w:rPr>
          <w:lang w:eastAsia="en-AU"/>
        </w:rPr>
        <w:t xml:space="preserve"> improvement.</w:t>
      </w:r>
    </w:p>
    <w:p w14:paraId="0A08C28A" w14:textId="66827CE8" w:rsidR="00505C0D" w:rsidRDefault="008E7677" w:rsidP="00841AD7">
      <w:pPr>
        <w:rPr>
          <w:szCs w:val="22"/>
        </w:rPr>
      </w:pPr>
      <w:r>
        <w:rPr>
          <w:lang w:eastAsia="en-AU"/>
        </w:rPr>
        <w:t xml:space="preserve">In Queensland there are 77 local government areas, each tasked with </w:t>
      </w:r>
      <w:r w:rsidR="001C76A7">
        <w:rPr>
          <w:lang w:eastAsia="en-AU"/>
        </w:rPr>
        <w:t xml:space="preserve">individually </w:t>
      </w:r>
      <w:r>
        <w:rPr>
          <w:lang w:eastAsia="en-AU"/>
        </w:rPr>
        <w:t>implementing the Act.</w:t>
      </w:r>
      <w:r w:rsidR="001C76A7">
        <w:rPr>
          <w:lang w:eastAsia="en-AU"/>
        </w:rPr>
        <w:t xml:space="preserve"> Without coordination of this process, it is likely that </w:t>
      </w:r>
      <w:r w:rsidR="00505C0D">
        <w:rPr>
          <w:lang w:eastAsia="en-AU"/>
        </w:rPr>
        <w:t>this rollout</w:t>
      </w:r>
      <w:r w:rsidR="001C76A7">
        <w:rPr>
          <w:lang w:eastAsia="en-AU"/>
        </w:rPr>
        <w:t xml:space="preserve"> will be patchy. </w:t>
      </w:r>
      <w:r w:rsidR="00505C0D" w:rsidRPr="001668EC">
        <w:rPr>
          <w:szCs w:val="22"/>
        </w:rPr>
        <w:t>Councils overall appear to be at a</w:t>
      </w:r>
      <w:r w:rsidR="00505C0D">
        <w:rPr>
          <w:szCs w:val="22"/>
        </w:rPr>
        <w:t>n</w:t>
      </w:r>
      <w:r w:rsidR="00505C0D" w:rsidRPr="001668EC">
        <w:rPr>
          <w:szCs w:val="22"/>
        </w:rPr>
        <w:t xml:space="preserve"> </w:t>
      </w:r>
      <w:r w:rsidR="00505C0D">
        <w:rPr>
          <w:szCs w:val="22"/>
        </w:rPr>
        <w:t>earlier stage</w:t>
      </w:r>
      <w:r w:rsidR="00FC29A3">
        <w:rPr>
          <w:szCs w:val="22"/>
        </w:rPr>
        <w:t xml:space="preserve"> compared with the state government </w:t>
      </w:r>
      <w:r w:rsidR="00524F70">
        <w:rPr>
          <w:szCs w:val="22"/>
        </w:rPr>
        <w:t>entities</w:t>
      </w:r>
      <w:r w:rsidR="00505C0D">
        <w:rPr>
          <w:szCs w:val="22"/>
        </w:rPr>
        <w:t xml:space="preserve"> in embedding the Act, with fewer staff having been trained, and </w:t>
      </w:r>
      <w:r w:rsidR="002E76F1">
        <w:rPr>
          <w:szCs w:val="22"/>
        </w:rPr>
        <w:t xml:space="preserve">very </w:t>
      </w:r>
      <w:r w:rsidR="00505C0D">
        <w:rPr>
          <w:szCs w:val="22"/>
        </w:rPr>
        <w:t>few human complaints being made (or identified). The Commission expects that this has been a combination of COVID-19 diverting resources, minimal to no resourcing for dedicated implementation team</w:t>
      </w:r>
      <w:r w:rsidR="002E76F1">
        <w:rPr>
          <w:szCs w:val="22"/>
        </w:rPr>
        <w:t>s</w:t>
      </w:r>
      <w:r w:rsidR="00505C0D">
        <w:rPr>
          <w:szCs w:val="22"/>
        </w:rPr>
        <w:t xml:space="preserve">, and also </w:t>
      </w:r>
      <w:r w:rsidR="008F5EA4">
        <w:rPr>
          <w:szCs w:val="22"/>
        </w:rPr>
        <w:t>the</w:t>
      </w:r>
      <w:r w:rsidR="00505C0D">
        <w:rPr>
          <w:szCs w:val="22"/>
        </w:rPr>
        <w:t xml:space="preserve"> lack of an overall coordinated approach. In contrast, the Queensland public sector entities have had the benefit of the ongoing support of the Department of Justice’s Human Rights Unit. </w:t>
      </w:r>
    </w:p>
    <w:p w14:paraId="2D576ECB" w14:textId="05A444D1" w:rsidR="00841AD7" w:rsidRDefault="00505C0D" w:rsidP="00841AD7">
      <w:pPr>
        <w:rPr>
          <w:szCs w:val="22"/>
        </w:rPr>
      </w:pPr>
      <w:r>
        <w:rPr>
          <w:szCs w:val="22"/>
        </w:rPr>
        <w:lastRenderedPageBreak/>
        <w:t xml:space="preserve">On the other hand, some of the larger and more </w:t>
      </w:r>
      <w:r w:rsidR="008F5EA4">
        <w:t>well</w:t>
      </w:r>
      <w:r w:rsidR="00992998">
        <w:t>-</w:t>
      </w:r>
      <w:r>
        <w:rPr>
          <w:szCs w:val="22"/>
        </w:rPr>
        <w:t>resourced councils in the South-East Queensland region have made some promising progress, dedicating staff to the task of implementing the Act and communicating to the public about their rights.</w:t>
      </w:r>
    </w:p>
    <w:p w14:paraId="7AB7F794" w14:textId="7C0F9D7A" w:rsidR="002E76F1" w:rsidRPr="00EE37D9" w:rsidRDefault="002E76F1" w:rsidP="002E76F1">
      <w:pPr>
        <w:pStyle w:val="Heading2"/>
        <w:rPr>
          <w:color w:val="8D361E"/>
        </w:rPr>
      </w:pPr>
      <w:bookmarkStart w:id="463" w:name="_Toc84593910"/>
      <w:bookmarkStart w:id="464" w:name="_Toc85451787"/>
      <w:bookmarkStart w:id="465" w:name="_Toc85526717"/>
      <w:bookmarkStart w:id="466" w:name="_Toc85787132"/>
      <w:r w:rsidRPr="00EE37D9">
        <w:rPr>
          <w:color w:val="8D361E"/>
        </w:rPr>
        <w:t>Human rights leadership</w:t>
      </w:r>
      <w:bookmarkEnd w:id="463"/>
      <w:bookmarkEnd w:id="464"/>
      <w:bookmarkEnd w:id="465"/>
      <w:bookmarkEnd w:id="466"/>
    </w:p>
    <w:p w14:paraId="7EA1D4BC" w14:textId="0A50B6E3" w:rsidR="002E76F1" w:rsidRPr="00DE669D" w:rsidRDefault="002E76F1" w:rsidP="00EE37D9">
      <w:pPr>
        <w:rPr>
          <w:rFonts w:cs="Arial"/>
        </w:rPr>
      </w:pPr>
      <w:r w:rsidRPr="00DE669D">
        <w:rPr>
          <w:rFonts w:cs="Arial"/>
        </w:rPr>
        <w:t xml:space="preserve">In a public service environment that is increasingly complex </w:t>
      </w:r>
      <w:r>
        <w:rPr>
          <w:rFonts w:cs="Arial"/>
        </w:rPr>
        <w:t>and resource-poor</w:t>
      </w:r>
      <w:r w:rsidRPr="00DE669D">
        <w:rPr>
          <w:rFonts w:cs="Arial"/>
        </w:rPr>
        <w:t>, it might be tempting for</w:t>
      </w:r>
      <w:r>
        <w:rPr>
          <w:rFonts w:cs="Arial"/>
        </w:rPr>
        <w:t xml:space="preserve"> public sector</w:t>
      </w:r>
      <w:r w:rsidRPr="00DE669D">
        <w:rPr>
          <w:rFonts w:cs="Arial"/>
        </w:rPr>
        <w:t xml:space="preserve"> leadership to</w:t>
      </w:r>
      <w:r>
        <w:rPr>
          <w:rFonts w:cs="Arial"/>
        </w:rPr>
        <w:t xml:space="preserve"> complete formal implementation activities and treat human rights as a box now ticked. This is of course the antithesis of what is expected under the Act.</w:t>
      </w:r>
    </w:p>
    <w:p w14:paraId="216B26C3" w14:textId="77777777" w:rsidR="002E76F1" w:rsidRPr="00DE669D" w:rsidRDefault="002E76F1" w:rsidP="00EE37D9">
      <w:pPr>
        <w:rPr>
          <w:rFonts w:cs="Arial"/>
        </w:rPr>
      </w:pPr>
      <w:r>
        <w:rPr>
          <w:rFonts w:cs="Arial"/>
        </w:rPr>
        <w:t>Reassuringly, some of the government departments and councils</w:t>
      </w:r>
      <w:r w:rsidRPr="00DE669D">
        <w:rPr>
          <w:rFonts w:cs="Arial"/>
        </w:rPr>
        <w:t xml:space="preserve"> </w:t>
      </w:r>
      <w:r w:rsidR="008F5EA4">
        <w:t xml:space="preserve">surveyed for this report </w:t>
      </w:r>
      <w:r>
        <w:rPr>
          <w:rFonts w:cs="Arial"/>
        </w:rPr>
        <w:t>recognised</w:t>
      </w:r>
      <w:r w:rsidRPr="00DE669D">
        <w:rPr>
          <w:rFonts w:cs="Arial"/>
        </w:rPr>
        <w:t xml:space="preserve"> culture building as a long-term leadership goal. While reflecting the importance of aligning the organisation’s core values with the promotion and respect of rights, CYJMA expressed that senior leaders have:</w:t>
      </w:r>
    </w:p>
    <w:p w14:paraId="26BAC110" w14:textId="77777777" w:rsidR="002E76F1" w:rsidRPr="00EE37D9" w:rsidRDefault="002E76F1" w:rsidP="00EE37D9">
      <w:pPr>
        <w:pStyle w:val="Quote"/>
      </w:pPr>
      <w:r w:rsidRPr="00EE37D9">
        <w:t>…a long-term commitment to continually building on the capacity of the department relating to the promotion of human rights, both internally and externally, providing opportunities for capacity building through skill and knowledge development for all staff and building a positive culture that is value driven.</w:t>
      </w:r>
    </w:p>
    <w:p w14:paraId="658D3B75" w14:textId="77777777" w:rsidR="002E76F1" w:rsidRDefault="002E76F1" w:rsidP="002E76F1">
      <w:r w:rsidRPr="009A0B7E">
        <w:rPr>
          <w:rFonts w:cs="Arial"/>
        </w:rPr>
        <w:t xml:space="preserve">Brisbane City Council has also demonstrated a commitment to the long-term, </w:t>
      </w:r>
      <w:r w:rsidRPr="009A0B7E">
        <w:t>by hiring a dedicated Senior Human Rights Officer to carry on the Council’s work of implementing the Act and developing a human rights culture.</w:t>
      </w:r>
    </w:p>
    <w:p w14:paraId="762EDDA1" w14:textId="775EA06D" w:rsidR="002E76F1" w:rsidRDefault="002E76F1" w:rsidP="002E76F1">
      <w:r>
        <w:t>The need to respond to the Commission’s human rights Indicators has in itself encouraged shared vision and responsibility at the executive level for human rights culture. For example:</w:t>
      </w:r>
    </w:p>
    <w:p w14:paraId="7EF9596D" w14:textId="12F6E7EE" w:rsidR="002E76F1" w:rsidRPr="00EE37D9" w:rsidRDefault="002E76F1" w:rsidP="00EE37D9">
      <w:r w:rsidRPr="00EE37D9">
        <w:t xml:space="preserve">One HHSs has assigned responsibility for each indicator to an Executive to champion and to be responsible for tracking and responding to questions in relation to indicators 1 – 6. All indicators have been supported by executive leaders through their planning activities and engagement with staff and consumers, using Executive Leadership </w:t>
      </w:r>
      <w:r w:rsidR="002D41B9" w:rsidRPr="00EE37D9">
        <w:t>Committee</w:t>
      </w:r>
      <w:r w:rsidRPr="00EE37D9">
        <w:t xml:space="preserve"> as a formal mechanism to maintain awareness and obtain endorsement of relevant initiatives.</w:t>
      </w:r>
    </w:p>
    <w:p w14:paraId="01153365" w14:textId="77777777" w:rsidR="002E76F1" w:rsidRPr="00EE37D9" w:rsidRDefault="002E76F1" w:rsidP="002E76F1">
      <w:pPr>
        <w:pStyle w:val="Heading3"/>
        <w:rPr>
          <w:color w:val="8D361E"/>
        </w:rPr>
      </w:pPr>
      <w:r w:rsidRPr="00EE37D9">
        <w:rPr>
          <w:color w:val="8D361E"/>
        </w:rPr>
        <w:t>Education as a first priority</w:t>
      </w:r>
    </w:p>
    <w:p w14:paraId="25614BB6" w14:textId="77777777" w:rsidR="002E76F1" w:rsidRPr="00EE37D9" w:rsidRDefault="002E76F1" w:rsidP="002E76F1">
      <w:r w:rsidRPr="00EE37D9">
        <w:t xml:space="preserve">The importance of leading meaningful and ongoing education was expressed by a number of public sector entities, including QPS, QCS and QCAT along with Brisbane, Logan, Ipswich and Sunshine Coast councils. </w:t>
      </w:r>
    </w:p>
    <w:p w14:paraId="20A24A6E" w14:textId="77777777" w:rsidR="002E76F1" w:rsidRPr="00EE37D9" w:rsidRDefault="002E76F1" w:rsidP="002E76F1">
      <w:r w:rsidRPr="00EE37D9">
        <w:lastRenderedPageBreak/>
        <w:t>An example follows of a leadership team prioritising the ongoing training of senior staff:</w:t>
      </w:r>
    </w:p>
    <w:p w14:paraId="0D0E1D9E" w14:textId="3EEC6E0D" w:rsidR="002E76F1" w:rsidRPr="00EE37D9" w:rsidRDefault="002E76F1" w:rsidP="00EE37D9">
      <w:pPr>
        <w:pStyle w:val="Quote"/>
      </w:pPr>
      <w:r w:rsidRPr="00EE37D9">
        <w:t>QCAT’s senior leadership team ensures that training is coordinated for both the Tribunal and the Registry staff.</w:t>
      </w:r>
      <w:r w:rsidR="00197317" w:rsidRPr="00EE37D9">
        <w:t xml:space="preserve"> </w:t>
      </w:r>
      <w:r w:rsidRPr="00EE37D9">
        <w:t>The Tribunal’s training includes a ‘First Friday’ training session, facilitated by one of QCAT’s Senior Members. This training provides a forum for the members and adjudicators to discuss issues, including those relating to human rights.</w:t>
      </w:r>
    </w:p>
    <w:p w14:paraId="7192E257" w14:textId="32D09D60" w:rsidR="002E76F1" w:rsidRPr="00EE37D9" w:rsidRDefault="002E76F1" w:rsidP="00EE37D9">
      <w:r w:rsidRPr="00EE37D9">
        <w:t xml:space="preserve">This is particularly significant </w:t>
      </w:r>
      <w:r w:rsidR="008F5EA4">
        <w:t>as</w:t>
      </w:r>
      <w:r w:rsidRPr="00EE37D9">
        <w:t xml:space="preserve"> QCAT has made the majority of human rights decisions compared with other courts or tribunals. </w:t>
      </w:r>
    </w:p>
    <w:p w14:paraId="2B02250C" w14:textId="77777777" w:rsidR="002E76F1" w:rsidRPr="00FF5902" w:rsidRDefault="002E76F1" w:rsidP="00EE37D9">
      <w:r>
        <w:t>Members of the QPS Senior Executive Leadership Team regularly discuss human rights considerations in their business as usual activities, where relevant to a topic. To assist them in this work, they receive briefings and advice from the QPS Legal Division on the operation and implementation of the Act.</w:t>
      </w:r>
    </w:p>
    <w:p w14:paraId="0C53FBC7" w14:textId="77777777" w:rsidR="002E76F1" w:rsidRPr="001668EC" w:rsidRDefault="002E76F1" w:rsidP="00EE37D9">
      <w:pPr>
        <w:rPr>
          <w:rFonts w:cs="Arial"/>
          <w:szCs w:val="22"/>
        </w:rPr>
      </w:pPr>
      <w:r w:rsidRPr="001668EC">
        <w:rPr>
          <w:rFonts w:cs="Arial"/>
          <w:szCs w:val="22"/>
        </w:rPr>
        <w:t>Brisbane City Council has identified strong enthusiasm and commitment across leadership when it comes to understanding and implementing obligations under the Act, recognising that in the early phases the focus must be on education.</w:t>
      </w:r>
      <w:r>
        <w:rPr>
          <w:rFonts w:cs="Arial"/>
          <w:szCs w:val="22"/>
        </w:rPr>
        <w:t xml:space="preserve"> </w:t>
      </w:r>
    </w:p>
    <w:p w14:paraId="0CEEC089" w14:textId="77777777" w:rsidR="002E76F1" w:rsidRDefault="002E76F1" w:rsidP="00EE37D9">
      <w:pPr>
        <w:rPr>
          <w:szCs w:val="22"/>
        </w:rPr>
      </w:pPr>
      <w:r>
        <w:rPr>
          <w:szCs w:val="22"/>
        </w:rPr>
        <w:t>Logan City Council has similarly expressed that senior leadership has been “diligent” in their support of embedding human rights across the business with an implementation timeline now approved.</w:t>
      </w:r>
    </w:p>
    <w:p w14:paraId="3E5D06EF" w14:textId="77777777" w:rsidR="002E76F1" w:rsidRDefault="002E76F1" w:rsidP="002E76F1">
      <w:r w:rsidRPr="00443F3A">
        <w:t>Senior management in Ipswich City Council has demonstrated a commitment to embedding human rights by employing an officer dedicated to the role of coordinating the implementation of the Act, and supporting and participating in this ongoing work.</w:t>
      </w:r>
      <w:r>
        <w:t xml:space="preserve"> </w:t>
      </w:r>
    </w:p>
    <w:p w14:paraId="11DFDD63" w14:textId="77777777" w:rsidR="002E76F1" w:rsidRPr="004C04C3" w:rsidRDefault="002E76F1" w:rsidP="002E76F1">
      <w:pPr>
        <w:pStyle w:val="Heading3"/>
        <w:rPr>
          <w:color w:val="8D361E"/>
        </w:rPr>
      </w:pPr>
      <w:r w:rsidRPr="004C04C3">
        <w:rPr>
          <w:color w:val="8D361E"/>
        </w:rPr>
        <w:t>Human rights as a strategic goal</w:t>
      </w:r>
    </w:p>
    <w:p w14:paraId="543CDB48" w14:textId="77777777" w:rsidR="002E76F1" w:rsidRPr="004C04C3" w:rsidRDefault="002E76F1" w:rsidP="004C04C3">
      <w:r w:rsidRPr="004C04C3">
        <w:t xml:space="preserve">Including the need to respect, protect and promote human rights as a strategic goal in planning documents will hopefully ensure that public sector leaders will keep human rights front in decision-making. </w:t>
      </w:r>
    </w:p>
    <w:p w14:paraId="3DB53B76" w14:textId="77777777" w:rsidR="002E76F1" w:rsidRPr="004C04C3" w:rsidRDefault="002E76F1" w:rsidP="004C04C3">
      <w:r w:rsidRPr="004C04C3">
        <w:t>For example, CYJMA expressed an intention to continue to make progress towards embedding human rights in everyday business through including human rights in their strategic plan.</w:t>
      </w:r>
    </w:p>
    <w:p w14:paraId="6CB703B1" w14:textId="77777777" w:rsidR="002E76F1" w:rsidRPr="00745EA2" w:rsidRDefault="002E76F1" w:rsidP="002E76F1">
      <w:pPr>
        <w:rPr>
          <w:i/>
          <w:sz w:val="22"/>
          <w:szCs w:val="22"/>
        </w:rPr>
      </w:pPr>
      <w:r w:rsidRPr="004C04C3">
        <w:t>Also, the CHDE’s 2021-25 strategic plan features the Department’s commitment to human rights as follows:</w:t>
      </w:r>
      <w:r w:rsidRPr="46408633">
        <w:rPr>
          <w:i/>
          <w:sz w:val="22"/>
          <w:szCs w:val="22"/>
        </w:rPr>
        <w:t xml:space="preserve"> </w:t>
      </w:r>
    </w:p>
    <w:p w14:paraId="441597BC" w14:textId="77777777" w:rsidR="002E76F1" w:rsidRPr="004C04C3" w:rsidRDefault="002E76F1" w:rsidP="004C04C3">
      <w:pPr>
        <w:pStyle w:val="Quote"/>
        <w:rPr>
          <w:iCs w:val="0"/>
        </w:rPr>
      </w:pPr>
      <w:r w:rsidRPr="004C04C3">
        <w:t>Respecting, protecting and promoting human rights as the cornerstone of a fair and inclusive society.</w:t>
      </w:r>
    </w:p>
    <w:p w14:paraId="0B6AD9A6" w14:textId="77777777" w:rsidR="002E76F1" w:rsidRPr="00FF5902" w:rsidRDefault="002E76F1" w:rsidP="002E76F1">
      <w:pPr>
        <w:rPr>
          <w:i/>
          <w:iCs/>
        </w:rPr>
      </w:pPr>
      <w:r w:rsidRPr="00FF5902">
        <w:rPr>
          <w:rFonts w:ascii="Arial Nova" w:hAnsi="Arial Nova"/>
        </w:rPr>
        <w:t xml:space="preserve">QPS’ </w:t>
      </w:r>
      <w:r w:rsidRPr="00FF5902">
        <w:rPr>
          <w:bCs/>
        </w:rPr>
        <w:t xml:space="preserve">Strategic Plan 2021-2025 also includes a commitment to respect, protect and promote human rights in decision-making and actions. </w:t>
      </w:r>
    </w:p>
    <w:p w14:paraId="1D2C5A52" w14:textId="77777777" w:rsidR="002E76F1" w:rsidRPr="00FF5902" w:rsidRDefault="002E76F1" w:rsidP="004C04C3">
      <w:r>
        <w:lastRenderedPageBreak/>
        <w:t xml:space="preserve">Similarly the commitment to human rights at the senior leadership level is evident through </w:t>
      </w:r>
      <w:r w:rsidRPr="00FF5902">
        <w:t>Department of Education Strategic Plan 2021-24 and Department of Education Human Rights Framework.</w:t>
      </w:r>
    </w:p>
    <w:p w14:paraId="4991CB4A" w14:textId="77777777" w:rsidR="002E76F1" w:rsidRPr="00FF5902" w:rsidRDefault="002E76F1" w:rsidP="004C04C3">
      <w:r>
        <w:t>Further to this commitment,</w:t>
      </w:r>
      <w:r w:rsidRPr="00FF5902">
        <w:t xml:space="preserve"> senior leaders within the Department of Education have conducted consultation with specialist units to enhance the presence of human rights within Cultural Leadership Capability.</w:t>
      </w:r>
    </w:p>
    <w:p w14:paraId="7930A501" w14:textId="77777777" w:rsidR="002E76F1" w:rsidRPr="00FF5902" w:rsidRDefault="002E76F1" w:rsidP="00282948">
      <w:r w:rsidRPr="00FF5902">
        <w:t>Another strategy to keep human rights on the agenda is reflected in DSATSIP’s approach:</w:t>
      </w:r>
    </w:p>
    <w:p w14:paraId="5A37105F" w14:textId="77777777" w:rsidR="002E76F1" w:rsidRPr="004C04C3" w:rsidRDefault="002E76F1" w:rsidP="004C04C3">
      <w:pPr>
        <w:pStyle w:val="Quote"/>
      </w:pPr>
      <w:r w:rsidRPr="004C04C3">
        <w:t>The HR Act implementation is also an item for quarterly consideration at the department’s Board of Management meetings, which includes a written update on implementation progress.</w:t>
      </w:r>
    </w:p>
    <w:p w14:paraId="67464516" w14:textId="77777777" w:rsidR="002E76F1" w:rsidRPr="00FF5902" w:rsidRDefault="002E76F1" w:rsidP="002E76F1">
      <w:pPr>
        <w:rPr>
          <w:rFonts w:cs="Arial"/>
        </w:rPr>
      </w:pPr>
      <w:r>
        <w:t>Sunshine Coast Regional Council’s Senior Leadership also consider the application of human rights in the preparation of all reports and recommendations for consideration by Council at its Statutory Meetings.</w:t>
      </w:r>
    </w:p>
    <w:p w14:paraId="0DD54FDC" w14:textId="77777777" w:rsidR="002E76F1" w:rsidRPr="00FF5902" w:rsidRDefault="002E76F1" w:rsidP="002E76F1">
      <w:pPr>
        <w:rPr>
          <w:rFonts w:cs="Arial"/>
        </w:rPr>
      </w:pPr>
      <w:r w:rsidRPr="004C04C3">
        <w:rPr>
          <w:rStyle w:val="meta"/>
        </w:rPr>
        <w:t>Embedding</w:t>
      </w:r>
      <w:r>
        <w:rPr>
          <w:rFonts w:cs="Arial"/>
        </w:rPr>
        <w:t xml:space="preserve"> human rights in strategic direction and then keeping it on the agenda at the highest levels are important strategies to maintain focus in the long-term.</w:t>
      </w:r>
    </w:p>
    <w:p w14:paraId="4B656FDB" w14:textId="77777777" w:rsidR="002E76F1" w:rsidRPr="004C04C3" w:rsidRDefault="002E76F1" w:rsidP="002E76F1">
      <w:pPr>
        <w:pStyle w:val="Heading3"/>
        <w:rPr>
          <w:color w:val="8D361E"/>
        </w:rPr>
      </w:pPr>
      <w:r w:rsidRPr="004C04C3">
        <w:rPr>
          <w:color w:val="8D361E"/>
        </w:rPr>
        <w:t>Human rights focussed leadership during COVID-19</w:t>
      </w:r>
    </w:p>
    <w:p w14:paraId="294D597C" w14:textId="02A4C2ED" w:rsidR="002E76F1" w:rsidRDefault="002E76F1" w:rsidP="002E76F1">
      <w:pPr>
        <w:autoSpaceDE w:val="0"/>
        <w:autoSpaceDN w:val="0"/>
        <w:adjustRightInd w:val="0"/>
        <w:spacing w:after="0" w:line="240" w:lineRule="auto"/>
        <w:ind w:right="0"/>
        <w:rPr>
          <w:rFonts w:eastAsia="Arial" w:cs="Arial"/>
        </w:rPr>
      </w:pPr>
      <w:r w:rsidRPr="58F88B3E">
        <w:rPr>
          <w:rFonts w:eastAsia="Arial" w:cs="Arial"/>
        </w:rPr>
        <w:t>QH noted that, despite the challenges presented by COVID-19:</w:t>
      </w:r>
    </w:p>
    <w:p w14:paraId="176EC2D7" w14:textId="77777777" w:rsidR="002E76F1" w:rsidRPr="004C04C3" w:rsidRDefault="002E76F1" w:rsidP="004C04C3">
      <w:pPr>
        <w:pStyle w:val="Quote"/>
      </w:pPr>
      <w:r w:rsidRPr="004C04C3">
        <w:t>There has also been a system wide change management process to keep human rights at the forefront of everything we do. The culture of properly considering human rights in all actions and decisions is being embedded in policies and procedures system wide.</w:t>
      </w:r>
    </w:p>
    <w:p w14:paraId="5CFC26AD" w14:textId="566093DC" w:rsidR="002E76F1" w:rsidRDefault="002E76F1" w:rsidP="00841AD7">
      <w:pPr>
        <w:rPr>
          <w:rFonts w:eastAsia="Arial" w:cs="Arial"/>
        </w:rPr>
      </w:pPr>
      <w:r w:rsidRPr="58F88B3E">
        <w:rPr>
          <w:rFonts w:eastAsia="Arial" w:cs="Arial"/>
        </w:rPr>
        <w:t xml:space="preserve">In fact, many of the examples provided of positive developments have derived from issues arising because of COVID-19. While it is now difficult to imagine a response to COVID-19 without a </w:t>
      </w:r>
      <w:r w:rsidRPr="58F88B3E">
        <w:rPr>
          <w:rFonts w:eastAsia="Arial" w:cs="Arial"/>
          <w:i/>
        </w:rPr>
        <w:t>Human Rights Act 2019</w:t>
      </w:r>
      <w:r w:rsidRPr="58F88B3E">
        <w:rPr>
          <w:rFonts w:eastAsia="Arial" w:cs="Arial"/>
        </w:rPr>
        <w:t>, there are certainly signs that leadership during a time of crisis has been positively influenced by the framework provided by the Act.</w:t>
      </w:r>
    </w:p>
    <w:p w14:paraId="154DE0C5" w14:textId="77777777" w:rsidR="00282948" w:rsidRDefault="00282948">
      <w:pPr>
        <w:spacing w:line="259" w:lineRule="auto"/>
        <w:ind w:right="0"/>
        <w:rPr>
          <w:rFonts w:eastAsia="Times New Roman" w:cs="Times New Roman"/>
          <w:bCs/>
          <w:color w:val="8D361E"/>
          <w:kern w:val="36"/>
          <w:sz w:val="48"/>
          <w:szCs w:val="48"/>
          <w:lang w:eastAsia="en-AU"/>
        </w:rPr>
      </w:pPr>
      <w:bookmarkStart w:id="467" w:name="_Toc84593911"/>
      <w:bookmarkStart w:id="468" w:name="_Toc85451788"/>
      <w:bookmarkStart w:id="469" w:name="_Toc85526718"/>
      <w:bookmarkStart w:id="470" w:name="_Toc85787133"/>
      <w:r>
        <w:rPr>
          <w:color w:val="8D361E"/>
        </w:rPr>
        <w:br w:type="page"/>
      </w:r>
    </w:p>
    <w:p w14:paraId="1003A942" w14:textId="05D69CE6" w:rsidR="002E2720" w:rsidRDefault="002E2720" w:rsidP="00283488">
      <w:pPr>
        <w:pStyle w:val="Heading1"/>
        <w:rPr>
          <w:color w:val="8D361E"/>
        </w:rPr>
      </w:pPr>
      <w:r>
        <w:rPr>
          <w:color w:val="8D361E"/>
        </w:rPr>
        <w:lastRenderedPageBreak/>
        <w:t xml:space="preserve">Human rights in </w:t>
      </w:r>
      <w:r w:rsidR="00983D66">
        <w:rPr>
          <w:color w:val="8D361E"/>
        </w:rPr>
        <w:t>vocational and tertiary</w:t>
      </w:r>
      <w:r>
        <w:rPr>
          <w:color w:val="8D361E"/>
        </w:rPr>
        <w:t xml:space="preserve"> institutions</w:t>
      </w:r>
      <w:bookmarkEnd w:id="467"/>
      <w:bookmarkEnd w:id="468"/>
      <w:bookmarkEnd w:id="469"/>
      <w:bookmarkEnd w:id="470"/>
    </w:p>
    <w:p w14:paraId="5795FD6A" w14:textId="25719DD9" w:rsidR="005C6AFF" w:rsidRDefault="00E52DBA" w:rsidP="004C04C3">
      <w:r>
        <w:t>Further education bodies including p</w:t>
      </w:r>
      <w:r w:rsidR="005C6AFF">
        <w:t>ublic universities</w:t>
      </w:r>
      <w:r>
        <w:t xml:space="preserve"> and vocational education</w:t>
      </w:r>
      <w:r w:rsidR="005C6AFF">
        <w:t xml:space="preserve"> </w:t>
      </w:r>
      <w:r>
        <w:t>bodies</w:t>
      </w:r>
      <w:r w:rsidR="005C6AFF">
        <w:t xml:space="preserve"> in Queensland are bound by the </w:t>
      </w:r>
      <w:r w:rsidR="005C6AFF">
        <w:rPr>
          <w:i/>
        </w:rPr>
        <w:t xml:space="preserve">Human Rights Act 2019 </w:t>
      </w:r>
      <w:r w:rsidR="005C6AFF">
        <w:t>and are required to report about complaints and other activities under section 97 of the Act.</w:t>
      </w:r>
    </w:p>
    <w:p w14:paraId="4666BAB4" w14:textId="316A1F80" w:rsidR="002E2720" w:rsidRDefault="005C6AFF" w:rsidP="004C04C3">
      <w:r>
        <w:t xml:space="preserve">The annual reporting periods for universities are by calendar rather than financial year, but the Commission has </w:t>
      </w:r>
      <w:r w:rsidR="00E52DBA">
        <w:t>drawn on</w:t>
      </w:r>
      <w:r>
        <w:t xml:space="preserve"> the content from the 2020 reports in compiling this summary. </w:t>
      </w:r>
    </w:p>
    <w:p w14:paraId="0EA5C91B" w14:textId="585D21BF" w:rsidR="007E4CB7" w:rsidRDefault="006A4F4C" w:rsidP="004C04C3">
      <w:r>
        <w:t xml:space="preserve">Some actions had been taken towards building a culture of human rights, but approaches were fairly inconsistent. </w:t>
      </w:r>
      <w:r w:rsidR="007E4CB7">
        <w:t xml:space="preserve">Most institutions had commenced or completed a policy review, but few reported on any particular changes that had been made as a result. </w:t>
      </w:r>
      <w:r w:rsidR="00F16F3A">
        <w:t xml:space="preserve">Some had commenced training but none indicated that training was mandatory. </w:t>
      </w:r>
      <w:r w:rsidR="007E4CB7">
        <w:t>Only a handful of complaints were identified as being about human right</w:t>
      </w:r>
      <w:r w:rsidR="00CD20A8">
        <w:t>s</w:t>
      </w:r>
      <w:r w:rsidR="008F5EA4">
        <w:t>;</w:t>
      </w:r>
      <w:r w:rsidR="00F16F3A">
        <w:t xml:space="preserve"> it is unclear whether the further education bodies were requiring a complainant to refer to ‘human rights’ specifically </w:t>
      </w:r>
      <w:r w:rsidR="004C6610">
        <w:t>for it to be categorised as such</w:t>
      </w:r>
      <w:r w:rsidR="00910CC6">
        <w:t>.</w:t>
      </w:r>
    </w:p>
    <w:p w14:paraId="63CAF586" w14:textId="174A332A" w:rsidR="008835EE" w:rsidRPr="004C04C3" w:rsidRDefault="008835EE" w:rsidP="008835EE">
      <w:pPr>
        <w:pStyle w:val="Heading2"/>
        <w:rPr>
          <w:color w:val="8D361E"/>
        </w:rPr>
      </w:pPr>
      <w:bookmarkStart w:id="471" w:name="_Toc84593912"/>
      <w:bookmarkStart w:id="472" w:name="_Toc85451789"/>
      <w:bookmarkStart w:id="473" w:name="_Toc85526719"/>
      <w:bookmarkStart w:id="474" w:name="_Toc85787134"/>
      <w:r w:rsidRPr="004C04C3">
        <w:rPr>
          <w:color w:val="8D361E"/>
        </w:rPr>
        <w:t>Policy review</w:t>
      </w:r>
      <w:bookmarkEnd w:id="471"/>
      <w:bookmarkEnd w:id="472"/>
      <w:bookmarkEnd w:id="473"/>
      <w:bookmarkEnd w:id="474"/>
    </w:p>
    <w:p w14:paraId="59F9EB04" w14:textId="57AC67EE" w:rsidR="00E52DBA" w:rsidRDefault="00E52DBA" w:rsidP="004C04C3">
      <w:r>
        <w:t>TAFE Queensland noted that:</w:t>
      </w:r>
    </w:p>
    <w:p w14:paraId="271253C7" w14:textId="0FA518F9" w:rsidR="00E52DBA" w:rsidRPr="004C04C3" w:rsidRDefault="00E52DBA" w:rsidP="004C04C3">
      <w:pPr>
        <w:pStyle w:val="Quote"/>
      </w:pPr>
      <w:r w:rsidRPr="004C04C3">
        <w:t xml:space="preserve">In 2020-21, TAFE Queensland has taken a proactive approach to further the objectives of the </w:t>
      </w:r>
      <w:r w:rsidRPr="00290B6A">
        <w:rPr>
          <w:i/>
          <w:iCs w:val="0"/>
        </w:rPr>
        <w:t>Human Rights Act 2019</w:t>
      </w:r>
      <w:r w:rsidRPr="004C04C3">
        <w:t>. TAFE Queensland is in the process of reviewing and undertaking amendments to policies and procedures, and the business practices underpinning these, to address the organisation’s human rights responsibilities.</w:t>
      </w:r>
      <w:r>
        <w:rPr>
          <w:rStyle w:val="FootnoteReference"/>
          <w:i/>
        </w:rPr>
        <w:footnoteReference w:id="76"/>
      </w:r>
    </w:p>
    <w:p w14:paraId="63155F61" w14:textId="6355F9C9" w:rsidR="007D5FB8" w:rsidRPr="00493511" w:rsidRDefault="008835EE" w:rsidP="004C04C3">
      <w:r w:rsidRPr="00493511">
        <w:t xml:space="preserve">Griffith University’s </w:t>
      </w:r>
      <w:r w:rsidR="00252588">
        <w:t xml:space="preserve">(Griffith) </w:t>
      </w:r>
      <w:r w:rsidRPr="00493511">
        <w:t>report highlighted an initiative to review and strengthen policies on academic freedom and freedom of speech to ensure that policies reflect diverse viewpoints. Griffith further noted that student and academic policies are under view to ensure alignment with the Act.</w:t>
      </w:r>
      <w:r w:rsidRPr="00493511">
        <w:rPr>
          <w:rStyle w:val="FootnoteReference"/>
        </w:rPr>
        <w:footnoteReference w:id="77"/>
      </w:r>
    </w:p>
    <w:p w14:paraId="62145F29" w14:textId="76AD4280" w:rsidR="00493511" w:rsidRDefault="00252588" w:rsidP="007E4CB7">
      <w:pPr>
        <w:autoSpaceDE w:val="0"/>
        <w:autoSpaceDN w:val="0"/>
        <w:adjustRightInd w:val="0"/>
        <w:spacing w:after="0" w:line="240" w:lineRule="auto"/>
        <w:ind w:right="0"/>
      </w:pPr>
      <w:r>
        <w:t>Queensland University of Technology (</w:t>
      </w:r>
      <w:r w:rsidR="005533D8" w:rsidRPr="005533D8">
        <w:t>QUT</w:t>
      </w:r>
      <w:r>
        <w:t>)</w:t>
      </w:r>
      <w:r w:rsidR="005533D8" w:rsidRPr="005533D8">
        <w:t xml:space="preserve"> </w:t>
      </w:r>
      <w:r w:rsidR="00493511">
        <w:t>reported that it has been:</w:t>
      </w:r>
    </w:p>
    <w:p w14:paraId="6FDD1C09" w14:textId="77777777" w:rsidR="007E4CB7" w:rsidRDefault="007E4CB7" w:rsidP="007E4CB7">
      <w:pPr>
        <w:autoSpaceDE w:val="0"/>
        <w:autoSpaceDN w:val="0"/>
        <w:adjustRightInd w:val="0"/>
        <w:spacing w:after="0" w:line="240" w:lineRule="auto"/>
        <w:ind w:right="0"/>
      </w:pPr>
    </w:p>
    <w:p w14:paraId="0113439B" w14:textId="651B9070" w:rsidR="00493511" w:rsidRPr="00855B87" w:rsidRDefault="00D9224F" w:rsidP="00855B87">
      <w:pPr>
        <w:pStyle w:val="Quote"/>
      </w:pPr>
      <w:r w:rsidRPr="00855B87">
        <w:lastRenderedPageBreak/>
        <w:t>…</w:t>
      </w:r>
      <w:r w:rsidR="00493511" w:rsidRPr="00855B87">
        <w:t>integrating human rights considerations into policy and procedure including the QUT</w:t>
      </w:r>
      <w:r w:rsidR="005533D8" w:rsidRPr="00855B87">
        <w:t xml:space="preserve"> Staff Code of Conduct</w:t>
      </w:r>
      <w:r w:rsidR="00493511" w:rsidRPr="00855B87">
        <w:t>, QUT Student Code of Conduct, Management of student misconduct policy, and various</w:t>
      </w:r>
      <w:r w:rsidR="005533D8" w:rsidRPr="00855B87">
        <w:t xml:space="preserve"> policies </w:t>
      </w:r>
      <w:r w:rsidR="00493511" w:rsidRPr="00855B87">
        <w:t xml:space="preserve">relating </w:t>
      </w:r>
      <w:r w:rsidR="005533D8" w:rsidRPr="00855B87">
        <w:t xml:space="preserve">to </w:t>
      </w:r>
      <w:r w:rsidR="00493511" w:rsidRPr="00855B87">
        <w:t>the hiring and accessing of university spaces.</w:t>
      </w:r>
      <w:r w:rsidR="003106BB">
        <w:rPr>
          <w:rStyle w:val="FootnoteReference"/>
          <w:i/>
          <w:szCs w:val="22"/>
        </w:rPr>
        <w:footnoteReference w:id="78"/>
      </w:r>
      <w:r w:rsidR="005966BA" w:rsidRPr="00855B87">
        <w:t xml:space="preserve"> </w:t>
      </w:r>
    </w:p>
    <w:p w14:paraId="1845C6A0" w14:textId="205F2281" w:rsidR="005533D8" w:rsidRPr="005533D8" w:rsidRDefault="005533D8" w:rsidP="00855B87">
      <w:pPr>
        <w:rPr>
          <w:rFonts w:ascii="HelveticaNeueLTPro-Lt" w:hAnsi="HelveticaNeueLTPro-Lt" w:cs="HelveticaNeueLTPro-Lt"/>
          <w:color w:val="101010"/>
        </w:rPr>
      </w:pPr>
      <w:r w:rsidRPr="005533D8">
        <w:t xml:space="preserve">QUT </w:t>
      </w:r>
      <w:r w:rsidR="00493511">
        <w:t>also noted that the particular issues considered in reviewing the</w:t>
      </w:r>
      <w:r w:rsidRPr="005533D8">
        <w:t xml:space="preserve"> Staff Code of Conduct </w:t>
      </w:r>
      <w:r w:rsidR="00252588">
        <w:t>included</w:t>
      </w:r>
      <w:r w:rsidRPr="005533D8">
        <w:rPr>
          <w:rFonts w:ascii="HelveticaNeueLTPro-Lt" w:hAnsi="HelveticaNeueLTPro-Lt" w:cs="HelveticaNeueLTPro-Lt"/>
          <w:color w:val="101010"/>
        </w:rPr>
        <w:t xml:space="preserve"> academic and intellectual freedom and initiatives on sexual assault and sexual harassment.</w:t>
      </w:r>
      <w:r>
        <w:rPr>
          <w:rStyle w:val="FootnoteReference"/>
          <w:rFonts w:ascii="HelveticaNeueLTPro-Lt" w:hAnsi="HelveticaNeueLTPro-Lt" w:cs="HelveticaNeueLTPro-Lt"/>
          <w:color w:val="101010"/>
        </w:rPr>
        <w:footnoteReference w:id="79"/>
      </w:r>
    </w:p>
    <w:p w14:paraId="127CE4DD" w14:textId="77777777" w:rsidR="00E95C45" w:rsidRDefault="00252588" w:rsidP="00252588">
      <w:r w:rsidRPr="00252588">
        <w:t xml:space="preserve">James Cook University (JCU) noted it had updated policies, processes and procedures with respect to human rights compatibility. </w:t>
      </w:r>
    </w:p>
    <w:p w14:paraId="24DE4718" w14:textId="569421CD" w:rsidR="00252588" w:rsidRDefault="00252588" w:rsidP="00252588">
      <w:r w:rsidRPr="00252588">
        <w:t>University of Queensland (UQ) had implemented processes to ensure new policies and procedures and amendments to existing policies and procedures have adequate regard to the principles for the protection of freedom of speech and academic freedom, and are compatible with human rights.</w:t>
      </w:r>
      <w:r w:rsidR="00E95C45">
        <w:rPr>
          <w:rStyle w:val="FootnoteReference"/>
        </w:rPr>
        <w:footnoteReference w:id="80"/>
      </w:r>
    </w:p>
    <w:p w14:paraId="759F4086" w14:textId="1D831D28" w:rsidR="003C1A44" w:rsidRDefault="003C1A44" w:rsidP="00252588">
      <w:r>
        <w:t>University of Sunshine Coast (USC) had updated existing policies and legislation, and created a decision-making tool to support human rights compatible decision-making. A human rights certificat</w:t>
      </w:r>
      <w:r w:rsidR="00AB6B14">
        <w:t>ion</w:t>
      </w:r>
      <w:r>
        <w:t xml:space="preserve"> is included </w:t>
      </w:r>
      <w:r w:rsidR="00AB6B14">
        <w:t>i</w:t>
      </w:r>
      <w:r>
        <w:t>n papers presented to the University Executive and approval requests to the Vice-Chancellor and President.</w:t>
      </w:r>
      <w:r w:rsidR="0091207E">
        <w:rPr>
          <w:rStyle w:val="FootnoteReference"/>
        </w:rPr>
        <w:footnoteReference w:id="81"/>
      </w:r>
    </w:p>
    <w:p w14:paraId="3CEF0AA6" w14:textId="3DD8868C" w:rsidR="007E4CB7" w:rsidRDefault="007E4CB7" w:rsidP="00252588">
      <w:r>
        <w:t>University of Southern Queensland (USQ) reviewed complaint policies and procedures to include guidance for staff, students and the public about human rights complaints processes. 14 human resource policies were revised, executive management were briefed on human rights principles and the implications of the Act and processes were established to embed human rights principles into future policy development.</w:t>
      </w:r>
      <w:r>
        <w:rPr>
          <w:rStyle w:val="FootnoteReference"/>
        </w:rPr>
        <w:footnoteReference w:id="82"/>
      </w:r>
    </w:p>
    <w:p w14:paraId="768E044D" w14:textId="43F273FC" w:rsidR="007D5FB8" w:rsidRPr="00855B87" w:rsidRDefault="00252588" w:rsidP="00E95C45">
      <w:pPr>
        <w:pStyle w:val="Heading2"/>
        <w:rPr>
          <w:color w:val="8D361E"/>
        </w:rPr>
      </w:pPr>
      <w:bookmarkStart w:id="475" w:name="_Toc84593913"/>
      <w:bookmarkStart w:id="476" w:name="_Toc85451790"/>
      <w:bookmarkStart w:id="477" w:name="_Toc85526720"/>
      <w:bookmarkStart w:id="478" w:name="_Toc85787135"/>
      <w:r w:rsidRPr="00855B87">
        <w:rPr>
          <w:color w:val="8D361E"/>
        </w:rPr>
        <w:t>Complaints</w:t>
      </w:r>
      <w:bookmarkEnd w:id="475"/>
      <w:bookmarkEnd w:id="476"/>
      <w:bookmarkEnd w:id="477"/>
      <w:bookmarkEnd w:id="478"/>
    </w:p>
    <w:p w14:paraId="07B687A5" w14:textId="6568F1A7" w:rsidR="007D5FB8" w:rsidRPr="009714BC" w:rsidRDefault="007D5FB8" w:rsidP="00855B87">
      <w:r w:rsidRPr="009714BC">
        <w:t xml:space="preserve">Central Queensland University, </w:t>
      </w:r>
      <w:r w:rsidR="003106BB" w:rsidRPr="009714BC">
        <w:t>QUT</w:t>
      </w:r>
      <w:r w:rsidR="007E4CB7">
        <w:t>, USQ</w:t>
      </w:r>
      <w:r w:rsidR="003C1A44">
        <w:t xml:space="preserve"> and USC</w:t>
      </w:r>
      <w:r w:rsidRPr="009714BC">
        <w:t xml:space="preserve"> reported that they had not received any human rights complaints in 2020.</w:t>
      </w:r>
      <w:r w:rsidR="003106BB" w:rsidRPr="009714BC">
        <w:t xml:space="preserve"> TAFE also reported that they not received human rights complaints in the 2020-21 period.</w:t>
      </w:r>
      <w:r w:rsidR="001B46A8" w:rsidRPr="009714BC">
        <w:rPr>
          <w:rStyle w:val="FootnoteReference"/>
        </w:rPr>
        <w:footnoteReference w:id="83"/>
      </w:r>
    </w:p>
    <w:p w14:paraId="6137E810" w14:textId="0CB23516" w:rsidR="00252588" w:rsidRDefault="00252588" w:rsidP="00855B87">
      <w:r>
        <w:lastRenderedPageBreak/>
        <w:t xml:space="preserve">JCU reported </w:t>
      </w:r>
      <w:r w:rsidR="007E4CB7">
        <w:t>the details of</w:t>
      </w:r>
      <w:r>
        <w:t xml:space="preserve"> </w:t>
      </w:r>
      <w:r w:rsidR="008F5EA4">
        <w:t>3</w:t>
      </w:r>
      <w:r>
        <w:t xml:space="preserve"> human rights complaints – </w:t>
      </w:r>
      <w:r w:rsidR="008F5EA4">
        <w:t>2</w:t>
      </w:r>
      <w:r>
        <w:t xml:space="preserve"> of which had been resolved through the Commission’s conciliation process, and </w:t>
      </w:r>
      <w:r w:rsidR="008F5EA4">
        <w:t>1</w:t>
      </w:r>
      <w:r>
        <w:t xml:space="preserve"> that was before QCAT.</w:t>
      </w:r>
      <w:r w:rsidR="007E4CB7">
        <w:rPr>
          <w:rStyle w:val="FootnoteReference"/>
        </w:rPr>
        <w:footnoteReference w:id="84"/>
      </w:r>
      <w:r w:rsidR="007E4CB7">
        <w:t xml:space="preserve"> Two of the </w:t>
      </w:r>
      <w:r w:rsidR="008F5EA4">
        <w:t>3</w:t>
      </w:r>
      <w:r w:rsidR="007E4CB7">
        <w:t xml:space="preserve"> were about reasonable adjustments for a disability and another was about exclusion from a program where a student was deemed not suitable to continue.</w:t>
      </w:r>
    </w:p>
    <w:p w14:paraId="3AD1090D" w14:textId="60C58603" w:rsidR="008835EE" w:rsidRPr="003315BD" w:rsidRDefault="008835EE" w:rsidP="00855B87">
      <w:pPr>
        <w:rPr>
          <w:rFonts w:cs="Arial"/>
        </w:rPr>
      </w:pPr>
      <w:r w:rsidRPr="003315BD">
        <w:rPr>
          <w:rFonts w:cs="Arial"/>
        </w:rPr>
        <w:t xml:space="preserve">Griffith University received </w:t>
      </w:r>
      <w:r w:rsidR="00CC7A5C">
        <w:rPr>
          <w:rFonts w:cs="Arial"/>
        </w:rPr>
        <w:t>5</w:t>
      </w:r>
      <w:r w:rsidRPr="003315BD">
        <w:rPr>
          <w:rFonts w:cs="Arial"/>
        </w:rPr>
        <w:t xml:space="preserve"> human rights complaints in 2020, </w:t>
      </w:r>
      <w:r w:rsidR="00CC7A5C">
        <w:rPr>
          <w:rFonts w:cs="Arial"/>
        </w:rPr>
        <w:t>4</w:t>
      </w:r>
      <w:r w:rsidRPr="003315BD">
        <w:rPr>
          <w:rFonts w:cs="Arial"/>
        </w:rPr>
        <w:t xml:space="preserve"> of which were unsubstantiated, and </w:t>
      </w:r>
      <w:r w:rsidR="00CC7A5C">
        <w:rPr>
          <w:rFonts w:cs="Arial"/>
        </w:rPr>
        <w:t>1</w:t>
      </w:r>
      <w:r w:rsidRPr="003315BD">
        <w:rPr>
          <w:rFonts w:cs="Arial"/>
        </w:rPr>
        <w:t xml:space="preserve"> which was currently under investigation at the time of writing.</w:t>
      </w:r>
      <w:r w:rsidRPr="003315BD">
        <w:rPr>
          <w:rStyle w:val="FootnoteReference"/>
          <w:rFonts w:cs="Arial"/>
        </w:rPr>
        <w:footnoteReference w:id="85"/>
      </w:r>
    </w:p>
    <w:p w14:paraId="3AAD7DED" w14:textId="130D60E2" w:rsidR="003106BB" w:rsidRPr="003315BD" w:rsidRDefault="00252588" w:rsidP="00855B87">
      <w:pPr>
        <w:rPr>
          <w:rFonts w:cs="Arial"/>
        </w:rPr>
      </w:pPr>
      <w:r w:rsidRPr="003315BD">
        <w:rPr>
          <w:rFonts w:cs="Arial"/>
        </w:rPr>
        <w:t>UQ received 2 complaints during 2020 that raised human rights concerns and those were under consideration at the time of writing.</w:t>
      </w:r>
      <w:r w:rsidRPr="003315BD">
        <w:rPr>
          <w:rStyle w:val="FootnoteReference"/>
          <w:rFonts w:cs="Arial"/>
        </w:rPr>
        <w:footnoteReference w:id="86"/>
      </w:r>
    </w:p>
    <w:p w14:paraId="4D0E41A8" w14:textId="7B406D30" w:rsidR="003106BB" w:rsidRPr="00855B87" w:rsidRDefault="003106BB" w:rsidP="003106BB">
      <w:pPr>
        <w:pStyle w:val="Heading2"/>
        <w:rPr>
          <w:color w:val="8D361E"/>
        </w:rPr>
      </w:pPr>
      <w:bookmarkStart w:id="479" w:name="_Toc84593914"/>
      <w:bookmarkStart w:id="480" w:name="_Toc85451791"/>
      <w:bookmarkStart w:id="481" w:name="_Toc85526721"/>
      <w:bookmarkStart w:id="482" w:name="_Toc85787136"/>
      <w:r w:rsidRPr="00855B87">
        <w:rPr>
          <w:color w:val="8D361E"/>
        </w:rPr>
        <w:t>Training</w:t>
      </w:r>
      <w:bookmarkEnd w:id="479"/>
      <w:bookmarkEnd w:id="480"/>
      <w:bookmarkEnd w:id="481"/>
      <w:bookmarkEnd w:id="482"/>
    </w:p>
    <w:p w14:paraId="71A9D294" w14:textId="084698C0" w:rsidR="003106BB" w:rsidRDefault="003106BB" w:rsidP="00855B87">
      <w:r>
        <w:t>QUT had commenced training key staff about the requirements of the Act and developed internal guidelines to assist decision-makers in giving proper consideration to human rights.</w:t>
      </w:r>
      <w:r w:rsidR="00F16F3A">
        <w:rPr>
          <w:rStyle w:val="FootnoteReference"/>
        </w:rPr>
        <w:footnoteReference w:id="87"/>
      </w:r>
    </w:p>
    <w:p w14:paraId="1B810399" w14:textId="7B6CAD80" w:rsidR="009714BC" w:rsidRPr="009714BC" w:rsidRDefault="009714BC" w:rsidP="00855B87">
      <w:pPr>
        <w:rPr>
          <w:rFonts w:cs="Arial"/>
        </w:rPr>
      </w:pPr>
      <w:r w:rsidRPr="009714BC">
        <w:rPr>
          <w:rFonts w:cs="Arial"/>
        </w:rPr>
        <w:t>A human rights awareness training package was made available to all Griffith staff in 2020.</w:t>
      </w:r>
      <w:r w:rsidR="00F16F3A">
        <w:rPr>
          <w:rStyle w:val="FootnoteReference"/>
          <w:rFonts w:cs="Arial"/>
        </w:rPr>
        <w:footnoteReference w:id="88"/>
      </w:r>
    </w:p>
    <w:p w14:paraId="5A6EBF8D" w14:textId="3836A72D" w:rsidR="00510621" w:rsidRDefault="00510621" w:rsidP="00855B87">
      <w:pPr>
        <w:rPr>
          <w:rFonts w:cs="Arial"/>
        </w:rPr>
      </w:pPr>
      <w:r>
        <w:rPr>
          <w:rFonts w:cs="Arial"/>
        </w:rPr>
        <w:t>USC had rolled out staff training and awareness activities, and resources regarding human rights on the intranet.</w:t>
      </w:r>
      <w:r>
        <w:rPr>
          <w:rStyle w:val="FootnoteReference"/>
          <w:rFonts w:cs="Arial"/>
        </w:rPr>
        <w:footnoteReference w:id="89"/>
      </w:r>
      <w:r>
        <w:rPr>
          <w:rFonts w:cs="Arial"/>
        </w:rPr>
        <w:t xml:space="preserve"> </w:t>
      </w:r>
    </w:p>
    <w:p w14:paraId="43C5F869" w14:textId="77777777" w:rsidR="00EE0FC4" w:rsidRDefault="00EE0FC4">
      <w:pPr>
        <w:spacing w:line="259" w:lineRule="auto"/>
        <w:ind w:right="0"/>
        <w:rPr>
          <w:rFonts w:eastAsia="Times New Roman" w:cs="Times New Roman"/>
          <w:bCs/>
          <w:color w:val="8D361E"/>
          <w:kern w:val="36"/>
          <w:sz w:val="48"/>
          <w:szCs w:val="48"/>
          <w:lang w:eastAsia="en-AU"/>
        </w:rPr>
      </w:pPr>
      <w:bookmarkStart w:id="483" w:name="_Toc84593915"/>
      <w:bookmarkStart w:id="484" w:name="_Toc85451792"/>
      <w:bookmarkStart w:id="485" w:name="_Toc85526722"/>
      <w:bookmarkStart w:id="486" w:name="_Toc85787137"/>
      <w:r>
        <w:rPr>
          <w:color w:val="8D361E"/>
        </w:rPr>
        <w:br w:type="page"/>
      </w:r>
    </w:p>
    <w:p w14:paraId="1E58B859" w14:textId="012000A9" w:rsidR="00337161" w:rsidRDefault="00CB056F" w:rsidP="00283488">
      <w:pPr>
        <w:pStyle w:val="Heading1"/>
        <w:rPr>
          <w:color w:val="8D361E"/>
        </w:rPr>
      </w:pPr>
      <w:r w:rsidRPr="00283488">
        <w:rPr>
          <w:color w:val="8D361E"/>
        </w:rPr>
        <w:lastRenderedPageBreak/>
        <w:t xml:space="preserve">Functional </w:t>
      </w:r>
      <w:r w:rsidR="00054DF7" w:rsidRPr="00283488">
        <w:rPr>
          <w:color w:val="8D361E"/>
        </w:rPr>
        <w:t>p</w:t>
      </w:r>
      <w:r w:rsidRPr="00283488">
        <w:rPr>
          <w:color w:val="8D361E"/>
        </w:rPr>
        <w:t xml:space="preserve">ublic </w:t>
      </w:r>
      <w:r w:rsidR="00054DF7" w:rsidRPr="00283488">
        <w:rPr>
          <w:color w:val="8D361E"/>
        </w:rPr>
        <w:t>e</w:t>
      </w:r>
      <w:r w:rsidRPr="00283488">
        <w:rPr>
          <w:color w:val="8D361E"/>
        </w:rPr>
        <w:t>ntities</w:t>
      </w:r>
      <w:bookmarkEnd w:id="483"/>
      <w:bookmarkEnd w:id="484"/>
      <w:bookmarkEnd w:id="485"/>
      <w:bookmarkEnd w:id="486"/>
    </w:p>
    <w:p w14:paraId="04476002" w14:textId="51CE76DD" w:rsidR="004F2DED" w:rsidRDefault="001F4D10" w:rsidP="001F4D10">
      <w:pPr>
        <w:rPr>
          <w:shd w:val="clear" w:color="auto" w:fill="FFFFFF"/>
        </w:rPr>
      </w:pPr>
      <w:r>
        <w:rPr>
          <w:shd w:val="clear" w:color="auto" w:fill="FFFFFF"/>
        </w:rPr>
        <w:t>Functional public entities are those which are only public entities when they are performing certain functions. Including these under the Act reflects the modern operation of the government, where non-government entities are engaged in various ways to deliver services to the public, on behalf of the government or another public entity. A private company managing a prison would fall under this category: they would be a functional public entity when delivering their prison management services, but not for other work they may carry out as a private company not on behalf of the state.</w:t>
      </w:r>
    </w:p>
    <w:p w14:paraId="78B2DCB7" w14:textId="4E4B28AC" w:rsidR="001F4D10" w:rsidRDefault="001F4D10" w:rsidP="001F4D10">
      <w:pPr>
        <w:rPr>
          <w:shd w:val="clear" w:color="auto" w:fill="FFFFFF"/>
        </w:rPr>
      </w:pPr>
      <w:r>
        <w:rPr>
          <w:shd w:val="clear" w:color="auto" w:fill="FFFFFF"/>
        </w:rPr>
        <w:t xml:space="preserve">Functional public entities have </w:t>
      </w:r>
      <w:r w:rsidR="007C1C34">
        <w:rPr>
          <w:shd w:val="clear" w:color="auto" w:fill="FFFFFF"/>
        </w:rPr>
        <w:t>a vital</w:t>
      </w:r>
      <w:r>
        <w:rPr>
          <w:shd w:val="clear" w:color="auto" w:fill="FFFFFF"/>
        </w:rPr>
        <w:t xml:space="preserve"> role to play in </w:t>
      </w:r>
      <w:r w:rsidR="007C1C34">
        <w:rPr>
          <w:shd w:val="clear" w:color="auto" w:fill="FFFFFF"/>
        </w:rPr>
        <w:t>building</w:t>
      </w:r>
      <w:r>
        <w:rPr>
          <w:shd w:val="clear" w:color="auto" w:fill="FFFFFF"/>
        </w:rPr>
        <w:t xml:space="preserve"> a human rights culture in Queensland, as many have a direct role in the delivery of essential services including disability services, aged care and housing.</w:t>
      </w:r>
    </w:p>
    <w:p w14:paraId="6EDC7847" w14:textId="10B2D7C8" w:rsidR="001F4D10" w:rsidRDefault="001F4D10" w:rsidP="001F4D10">
      <w:pPr>
        <w:rPr>
          <w:color w:val="8D361E"/>
        </w:rPr>
      </w:pPr>
      <w:r>
        <w:rPr>
          <w:shd w:val="clear" w:color="auto" w:fill="FFFFFF"/>
        </w:rPr>
        <w:t xml:space="preserve">An example of a </w:t>
      </w:r>
      <w:r w:rsidR="009B705B">
        <w:rPr>
          <w:shd w:val="clear" w:color="auto" w:fill="FFFFFF"/>
        </w:rPr>
        <w:t>positive,</w:t>
      </w:r>
      <w:r w:rsidR="007C1C34">
        <w:rPr>
          <w:shd w:val="clear" w:color="auto" w:fill="FFFFFF"/>
        </w:rPr>
        <w:t xml:space="preserve"> </w:t>
      </w:r>
      <w:r>
        <w:rPr>
          <w:shd w:val="clear" w:color="auto" w:fill="FFFFFF"/>
        </w:rPr>
        <w:t>collaborative</w:t>
      </w:r>
      <w:r w:rsidR="007C1C34">
        <w:rPr>
          <w:shd w:val="clear" w:color="auto" w:fill="FFFFFF"/>
        </w:rPr>
        <w:t xml:space="preserve"> approach</w:t>
      </w:r>
      <w:r>
        <w:rPr>
          <w:shd w:val="clear" w:color="auto" w:fill="FFFFFF"/>
        </w:rPr>
        <w:t xml:space="preserve"> towards building a human rights culture</w:t>
      </w:r>
      <w:r w:rsidR="008F3067">
        <w:rPr>
          <w:shd w:val="clear" w:color="auto" w:fill="FFFFFF"/>
        </w:rPr>
        <w:t xml:space="preserve"> led by </w:t>
      </w:r>
      <w:r w:rsidR="003315BD">
        <w:rPr>
          <w:shd w:val="clear" w:color="auto" w:fill="FFFFFF"/>
        </w:rPr>
        <w:t>and involving</w:t>
      </w:r>
      <w:r w:rsidR="008F3067">
        <w:rPr>
          <w:shd w:val="clear" w:color="auto" w:fill="FFFFFF"/>
        </w:rPr>
        <w:t xml:space="preserve"> non-government </w:t>
      </w:r>
      <w:r w:rsidR="003315BD">
        <w:rPr>
          <w:shd w:val="clear" w:color="auto" w:fill="FFFFFF"/>
        </w:rPr>
        <w:t>organisations</w:t>
      </w:r>
      <w:r>
        <w:rPr>
          <w:shd w:val="clear" w:color="auto" w:fill="FFFFFF"/>
        </w:rPr>
        <w:t xml:space="preserve"> is </w:t>
      </w:r>
      <w:r w:rsidR="003315BD">
        <w:rPr>
          <w:shd w:val="clear" w:color="auto" w:fill="FFFFFF"/>
        </w:rPr>
        <w:t>described</w:t>
      </w:r>
      <w:r>
        <w:rPr>
          <w:shd w:val="clear" w:color="auto" w:fill="FFFFFF"/>
        </w:rPr>
        <w:t xml:space="preserve"> below.</w:t>
      </w:r>
    </w:p>
    <w:p w14:paraId="710510CA" w14:textId="77777777" w:rsidR="009479D4" w:rsidRPr="00855B87" w:rsidRDefault="009479D4" w:rsidP="009479D4">
      <w:pPr>
        <w:pStyle w:val="Heading2"/>
        <w:rPr>
          <w:color w:val="8D361E"/>
        </w:rPr>
      </w:pPr>
      <w:bookmarkStart w:id="487" w:name="_Toc84593916"/>
      <w:bookmarkStart w:id="488" w:name="_Toc85451793"/>
      <w:bookmarkStart w:id="489" w:name="_Toc85526723"/>
      <w:bookmarkStart w:id="490" w:name="_Toc85787138"/>
      <w:r w:rsidRPr="00855B87">
        <w:rPr>
          <w:color w:val="8D361E"/>
        </w:rPr>
        <w:t>A human rights approach to housing and homelessness services</w:t>
      </w:r>
      <w:bookmarkEnd w:id="487"/>
      <w:bookmarkEnd w:id="488"/>
      <w:bookmarkEnd w:id="489"/>
      <w:bookmarkEnd w:id="490"/>
    </w:p>
    <w:p w14:paraId="3242733B" w14:textId="287D79FE" w:rsidR="00AE2E61" w:rsidRPr="00B23AF6" w:rsidRDefault="00C54B3D" w:rsidP="007C7642">
      <w:pPr>
        <w:rPr>
          <w:rFonts w:cs="Arial"/>
        </w:rPr>
      </w:pPr>
      <w:r w:rsidRPr="00C54B3D">
        <w:rPr>
          <w:shd w:val="clear" w:color="auto" w:fill="FFFFFF"/>
        </w:rPr>
        <w:t xml:space="preserve">Queensland Council of Social Service (QCOSS) </w:t>
      </w:r>
      <w:r w:rsidR="00AE2E61" w:rsidRPr="00B23AF6">
        <w:rPr>
          <w:rFonts w:cs="Arial"/>
        </w:rPr>
        <w:t>and the</w:t>
      </w:r>
      <w:r w:rsidRPr="00B23AF6">
        <w:rPr>
          <w:rFonts w:cs="Arial"/>
        </w:rPr>
        <w:t xml:space="preserve"> Department of Communities, Housing and Digital Economy</w:t>
      </w:r>
      <w:r w:rsidR="00AE2E61" w:rsidRPr="00B23AF6">
        <w:rPr>
          <w:rFonts w:cs="Arial"/>
        </w:rPr>
        <w:t xml:space="preserve"> </w:t>
      </w:r>
      <w:r w:rsidR="0089301F">
        <w:rPr>
          <w:rFonts w:cs="Arial"/>
        </w:rPr>
        <w:t xml:space="preserve">(DCHDE) </w:t>
      </w:r>
      <w:r w:rsidR="00AE2E61" w:rsidRPr="00B23AF6">
        <w:rPr>
          <w:rFonts w:cs="Arial"/>
        </w:rPr>
        <w:t>are working in partnership to develop human</w:t>
      </w:r>
      <w:r w:rsidR="007C7642" w:rsidRPr="00B23AF6">
        <w:rPr>
          <w:rFonts w:cs="Arial"/>
        </w:rPr>
        <w:t xml:space="preserve"> rights literacy and strengthen </w:t>
      </w:r>
      <w:r w:rsidR="00AE2E61" w:rsidRPr="00B23AF6">
        <w:rPr>
          <w:rFonts w:cs="Arial"/>
        </w:rPr>
        <w:t xml:space="preserve">the capacity of the housing and homelessness sectors to act compatibly with the </w:t>
      </w:r>
      <w:r w:rsidR="007C1C34" w:rsidRPr="00B23AF6">
        <w:rPr>
          <w:rFonts w:cs="Arial"/>
        </w:rPr>
        <w:t>Act</w:t>
      </w:r>
      <w:r w:rsidR="00AE2E61" w:rsidRPr="00B23AF6">
        <w:rPr>
          <w:rFonts w:cs="Arial"/>
        </w:rPr>
        <w:t>.</w:t>
      </w:r>
    </w:p>
    <w:p w14:paraId="09B2C0DC" w14:textId="7F869DE1" w:rsidR="00AE2E61" w:rsidRPr="00B23AF6" w:rsidRDefault="00AE2E61" w:rsidP="007C7642">
      <w:pPr>
        <w:rPr>
          <w:rFonts w:cs="Arial"/>
        </w:rPr>
      </w:pPr>
      <w:r w:rsidRPr="00B23AF6">
        <w:rPr>
          <w:rFonts w:cs="Arial"/>
        </w:rPr>
        <w:t>This year, QCOSS has delivered activities and created resou</w:t>
      </w:r>
      <w:r w:rsidR="007C7642" w:rsidRPr="00B23AF6">
        <w:rPr>
          <w:rFonts w:cs="Arial"/>
        </w:rPr>
        <w:t xml:space="preserve">rces to support the housing and </w:t>
      </w:r>
      <w:r w:rsidRPr="00B23AF6">
        <w:rPr>
          <w:rFonts w:cs="Arial"/>
        </w:rPr>
        <w:t xml:space="preserve">homelessness sectors’ understanding of the </w:t>
      </w:r>
      <w:r w:rsidR="007C1C34" w:rsidRPr="00B23AF6">
        <w:rPr>
          <w:rFonts w:cs="Arial"/>
        </w:rPr>
        <w:t>Act</w:t>
      </w:r>
      <w:r w:rsidRPr="00B23AF6">
        <w:rPr>
          <w:rFonts w:cs="Arial"/>
        </w:rPr>
        <w:t>, covering key topi</w:t>
      </w:r>
      <w:r w:rsidR="007C7642" w:rsidRPr="00B23AF6">
        <w:rPr>
          <w:rFonts w:cs="Arial"/>
        </w:rPr>
        <w:t xml:space="preserve">cs including the role of public </w:t>
      </w:r>
      <w:r w:rsidRPr="00B23AF6">
        <w:rPr>
          <w:rFonts w:cs="Arial"/>
        </w:rPr>
        <w:t>entities, the nature and scope of protected human rights, compla</w:t>
      </w:r>
      <w:r w:rsidR="007C7642" w:rsidRPr="00B23AF6">
        <w:rPr>
          <w:rFonts w:cs="Arial"/>
        </w:rPr>
        <w:t xml:space="preserve">ints handling and giving proper </w:t>
      </w:r>
      <w:r w:rsidRPr="00B23AF6">
        <w:rPr>
          <w:rFonts w:cs="Arial"/>
        </w:rPr>
        <w:t>consideration when making decisions.</w:t>
      </w:r>
    </w:p>
    <w:p w14:paraId="18788ADB" w14:textId="4D6AD4F2" w:rsidR="00AE2E61" w:rsidRPr="00B23AF6" w:rsidRDefault="00AE2E61" w:rsidP="007C7642">
      <w:pPr>
        <w:rPr>
          <w:rFonts w:cs="Arial"/>
        </w:rPr>
      </w:pPr>
      <w:r w:rsidRPr="00B23AF6">
        <w:rPr>
          <w:rFonts w:cs="Arial"/>
        </w:rPr>
        <w:t>From March to June 2021, QCOSS has supported 1177 interactions ranging from bespoke face-to</w:t>
      </w:r>
      <w:r w:rsidR="007C7642" w:rsidRPr="00B23AF6">
        <w:rPr>
          <w:rFonts w:cs="Arial"/>
        </w:rPr>
        <w:t xml:space="preserve">-face </w:t>
      </w:r>
      <w:r w:rsidRPr="00B23AF6">
        <w:rPr>
          <w:rFonts w:cs="Arial"/>
        </w:rPr>
        <w:t>training workshops to online webinars and access to a broad range of project resources.</w:t>
      </w:r>
    </w:p>
    <w:p w14:paraId="05C9ADDE" w14:textId="77777777" w:rsidR="00B825AA" w:rsidRDefault="00B825AA">
      <w:pPr>
        <w:spacing w:line="259" w:lineRule="auto"/>
        <w:ind w:right="0"/>
        <w:rPr>
          <w:rFonts w:eastAsiaTheme="minorEastAsia"/>
          <w:b/>
          <w:bCs/>
          <w:i/>
          <w:iCs/>
          <w:color w:val="383D41"/>
          <w:sz w:val="20"/>
          <w:szCs w:val="18"/>
        </w:rPr>
      </w:pPr>
      <w:r>
        <w:br w:type="page"/>
      </w:r>
    </w:p>
    <w:p w14:paraId="76E7EB55" w14:textId="2B9ECA75" w:rsidR="00CC7A5C" w:rsidRPr="0089301F" w:rsidRDefault="00CC7A5C" w:rsidP="00CC7A5C">
      <w:pPr>
        <w:pStyle w:val="Caption"/>
        <w:rPr>
          <w:i w:val="0"/>
        </w:rPr>
      </w:pPr>
      <w:r>
        <w:lastRenderedPageBreak/>
        <w:t>Table</w:t>
      </w:r>
      <w:r w:rsidR="007E2D5E">
        <w:t xml:space="preserve"> 8</w:t>
      </w:r>
      <w:r>
        <w:t xml:space="preserve">: </w:t>
      </w:r>
      <w:r w:rsidR="002727A3">
        <w:t>Engagements in the QCOSS and D</w:t>
      </w:r>
      <w:r w:rsidR="0089301F">
        <w:t>CHDE</w:t>
      </w:r>
      <w:r w:rsidR="002D7D08">
        <w:t xml:space="preserve"> human rights</w:t>
      </w:r>
      <w:r w:rsidR="0089301F">
        <w:t xml:space="preserve"> partnership</w:t>
      </w:r>
    </w:p>
    <w:tbl>
      <w:tblPr>
        <w:tblStyle w:val="TableGrid"/>
        <w:tblW w:w="0" w:type="auto"/>
        <w:tblBorders>
          <w:top w:val="single" w:sz="4" w:space="0" w:color="8D361E"/>
          <w:left w:val="none" w:sz="0" w:space="0" w:color="auto"/>
          <w:bottom w:val="single" w:sz="4" w:space="0" w:color="8D361E"/>
          <w:right w:val="none" w:sz="0" w:space="0" w:color="auto"/>
          <w:insideH w:val="single" w:sz="4" w:space="0" w:color="8D361E"/>
          <w:insideV w:val="none" w:sz="0" w:space="0" w:color="auto"/>
        </w:tblBorders>
        <w:tblLook w:val="0620" w:firstRow="1" w:lastRow="0" w:firstColumn="0" w:lastColumn="0" w:noHBand="1" w:noVBand="1"/>
      </w:tblPr>
      <w:tblGrid>
        <w:gridCol w:w="4962"/>
        <w:gridCol w:w="2910"/>
      </w:tblGrid>
      <w:tr w:rsidR="007C1C34" w:rsidRPr="007C1C34" w14:paraId="152871C5" w14:textId="77777777" w:rsidTr="00F044E4">
        <w:tc>
          <w:tcPr>
            <w:tcW w:w="4962" w:type="dxa"/>
          </w:tcPr>
          <w:p w14:paraId="6F0B6F4F" w14:textId="1DA1E0A3" w:rsidR="007C1C34" w:rsidRPr="00F044E4" w:rsidRDefault="007C1C34" w:rsidP="00E258D8">
            <w:pPr>
              <w:pStyle w:val="TableTextHeading"/>
              <w:rPr>
                <w:color w:val="8D361E"/>
              </w:rPr>
            </w:pPr>
            <w:r w:rsidRPr="00F044E4">
              <w:rPr>
                <w:color w:val="8D361E"/>
              </w:rPr>
              <w:t>Engagement type</w:t>
            </w:r>
          </w:p>
        </w:tc>
        <w:tc>
          <w:tcPr>
            <w:tcW w:w="2409" w:type="dxa"/>
          </w:tcPr>
          <w:p w14:paraId="24BA2BA0" w14:textId="0D241241" w:rsidR="007C1C34" w:rsidRPr="00F044E4" w:rsidRDefault="007C1C34" w:rsidP="00E258D8">
            <w:pPr>
              <w:pStyle w:val="TableTextHeading"/>
              <w:rPr>
                <w:color w:val="8D361E"/>
              </w:rPr>
            </w:pPr>
            <w:r w:rsidRPr="00F044E4">
              <w:rPr>
                <w:color w:val="8D361E"/>
              </w:rPr>
              <w:t>March to June 2021</w:t>
            </w:r>
          </w:p>
        </w:tc>
      </w:tr>
      <w:tr w:rsidR="007C1C34" w:rsidRPr="007C1C34" w14:paraId="3E7DB48A" w14:textId="77777777" w:rsidTr="00F044E4">
        <w:tc>
          <w:tcPr>
            <w:tcW w:w="4962" w:type="dxa"/>
          </w:tcPr>
          <w:p w14:paraId="67009CD0" w14:textId="46933FBA" w:rsidR="007C1C34" w:rsidRPr="007C1C34" w:rsidRDefault="007C1C34" w:rsidP="00F044E4">
            <w:pPr>
              <w:pStyle w:val="TableText"/>
            </w:pPr>
            <w:r w:rsidRPr="00B23AF6">
              <w:rPr>
                <w:rFonts w:cs="Arial"/>
              </w:rPr>
              <w:t xml:space="preserve">Website views </w:t>
            </w:r>
          </w:p>
        </w:tc>
        <w:tc>
          <w:tcPr>
            <w:tcW w:w="2409" w:type="dxa"/>
          </w:tcPr>
          <w:p w14:paraId="1D8CD2BF" w14:textId="639C7722" w:rsidR="007C1C34" w:rsidRPr="007C1C34" w:rsidRDefault="007C1C34" w:rsidP="00F044E4">
            <w:pPr>
              <w:pStyle w:val="TableText"/>
            </w:pPr>
            <w:r w:rsidRPr="00B23AF6">
              <w:rPr>
                <w:rFonts w:cs="Arial"/>
              </w:rPr>
              <w:t>384</w:t>
            </w:r>
          </w:p>
        </w:tc>
      </w:tr>
      <w:tr w:rsidR="007C1C34" w:rsidRPr="007C1C34" w14:paraId="3097C0EE" w14:textId="77777777" w:rsidTr="00F044E4">
        <w:tc>
          <w:tcPr>
            <w:tcW w:w="4962" w:type="dxa"/>
          </w:tcPr>
          <w:p w14:paraId="688F8E0E" w14:textId="5CBC2604" w:rsidR="007C1C34" w:rsidRPr="00B23AF6" w:rsidRDefault="007C1C34" w:rsidP="00E258D8">
            <w:pPr>
              <w:pStyle w:val="TableText"/>
              <w:rPr>
                <w:rFonts w:cs="Arial"/>
              </w:rPr>
            </w:pPr>
            <w:r w:rsidRPr="00B23AF6">
              <w:rPr>
                <w:rFonts w:cs="Arial"/>
              </w:rPr>
              <w:t>Newsletter reads</w:t>
            </w:r>
          </w:p>
        </w:tc>
        <w:tc>
          <w:tcPr>
            <w:tcW w:w="2409" w:type="dxa"/>
          </w:tcPr>
          <w:p w14:paraId="664999A2" w14:textId="17C09850" w:rsidR="007C1C34" w:rsidRPr="00B23AF6" w:rsidRDefault="007C1C34" w:rsidP="00F044E4">
            <w:pPr>
              <w:pStyle w:val="TableText"/>
              <w:rPr>
                <w:rFonts w:cs="Arial"/>
              </w:rPr>
            </w:pPr>
            <w:r w:rsidRPr="00B23AF6">
              <w:rPr>
                <w:rFonts w:cs="Arial"/>
              </w:rPr>
              <w:t>293</w:t>
            </w:r>
          </w:p>
        </w:tc>
      </w:tr>
      <w:tr w:rsidR="007C1C34" w:rsidRPr="007C1C34" w14:paraId="5C0F10BA" w14:textId="77777777" w:rsidTr="00F044E4">
        <w:tc>
          <w:tcPr>
            <w:tcW w:w="4962" w:type="dxa"/>
          </w:tcPr>
          <w:p w14:paraId="1F91EAAF" w14:textId="5845B783" w:rsidR="007C1C34" w:rsidRPr="00B23AF6" w:rsidRDefault="007C1C34" w:rsidP="00E258D8">
            <w:pPr>
              <w:pStyle w:val="TableText"/>
              <w:rPr>
                <w:rFonts w:cs="Arial"/>
              </w:rPr>
            </w:pPr>
            <w:r w:rsidRPr="00B23AF6">
              <w:rPr>
                <w:rFonts w:cs="Arial"/>
              </w:rPr>
              <w:t>Resources accessed – video and written resources</w:t>
            </w:r>
          </w:p>
        </w:tc>
        <w:tc>
          <w:tcPr>
            <w:tcW w:w="2409" w:type="dxa"/>
          </w:tcPr>
          <w:p w14:paraId="596A2B0F" w14:textId="77777777" w:rsidR="007C1C34" w:rsidRPr="00B23AF6" w:rsidRDefault="007C1C34" w:rsidP="00E258D8">
            <w:pPr>
              <w:pStyle w:val="TableText"/>
              <w:rPr>
                <w:rFonts w:cs="Arial"/>
              </w:rPr>
            </w:pPr>
            <w:r w:rsidRPr="00B23AF6">
              <w:rPr>
                <w:rFonts w:cs="Arial"/>
              </w:rPr>
              <w:t>220</w:t>
            </w:r>
          </w:p>
          <w:p w14:paraId="3BE50574" w14:textId="77777777" w:rsidR="007C1C34" w:rsidRPr="00B23AF6" w:rsidRDefault="007C1C34" w:rsidP="00E258D8">
            <w:pPr>
              <w:pStyle w:val="TableText"/>
              <w:rPr>
                <w:rFonts w:cs="Arial"/>
              </w:rPr>
            </w:pPr>
          </w:p>
        </w:tc>
      </w:tr>
      <w:tr w:rsidR="007C1C34" w:rsidRPr="007C1C34" w14:paraId="1922EE60" w14:textId="77777777" w:rsidTr="00F044E4">
        <w:tc>
          <w:tcPr>
            <w:tcW w:w="4962" w:type="dxa"/>
          </w:tcPr>
          <w:p w14:paraId="217D18A5" w14:textId="7EE89234" w:rsidR="007C1C34" w:rsidRPr="00B23AF6" w:rsidRDefault="007C1C34" w:rsidP="00E258D8">
            <w:pPr>
              <w:pStyle w:val="TableText"/>
              <w:rPr>
                <w:rFonts w:cs="Arial"/>
              </w:rPr>
            </w:pPr>
            <w:r w:rsidRPr="00B23AF6">
              <w:rPr>
                <w:rFonts w:cs="Arial"/>
              </w:rPr>
              <w:t>Community of Practice Forum views</w:t>
            </w:r>
          </w:p>
        </w:tc>
        <w:tc>
          <w:tcPr>
            <w:tcW w:w="2409" w:type="dxa"/>
          </w:tcPr>
          <w:p w14:paraId="572748DB" w14:textId="6A3CE6C3" w:rsidR="007C1C34" w:rsidRPr="00B23AF6" w:rsidRDefault="007C1C34" w:rsidP="00F044E4">
            <w:pPr>
              <w:pStyle w:val="TableText"/>
              <w:rPr>
                <w:rFonts w:cs="Arial"/>
              </w:rPr>
            </w:pPr>
            <w:r w:rsidRPr="00B23AF6">
              <w:rPr>
                <w:rFonts w:cs="Arial"/>
              </w:rPr>
              <w:t>93</w:t>
            </w:r>
          </w:p>
        </w:tc>
      </w:tr>
      <w:tr w:rsidR="007C1C34" w:rsidRPr="007C1C34" w14:paraId="77C3525D" w14:textId="77777777" w:rsidTr="00F044E4">
        <w:tc>
          <w:tcPr>
            <w:tcW w:w="4962" w:type="dxa"/>
          </w:tcPr>
          <w:p w14:paraId="2837B075" w14:textId="45A289D3" w:rsidR="007C1C34" w:rsidRPr="00B23AF6" w:rsidRDefault="007C1C34" w:rsidP="00E258D8">
            <w:pPr>
              <w:pStyle w:val="TableText"/>
              <w:rPr>
                <w:rFonts w:cs="Arial"/>
              </w:rPr>
            </w:pPr>
            <w:r w:rsidRPr="00B23AF6">
              <w:rPr>
                <w:rFonts w:cs="Arial"/>
              </w:rPr>
              <w:t>One-on-one supports</w:t>
            </w:r>
          </w:p>
        </w:tc>
        <w:tc>
          <w:tcPr>
            <w:tcW w:w="2409" w:type="dxa"/>
          </w:tcPr>
          <w:p w14:paraId="7B794E71" w14:textId="49A57E05" w:rsidR="007C1C34" w:rsidRPr="00B23AF6" w:rsidRDefault="007C1C34" w:rsidP="00F044E4">
            <w:pPr>
              <w:pStyle w:val="TableText"/>
              <w:rPr>
                <w:rFonts w:cs="Arial"/>
              </w:rPr>
            </w:pPr>
            <w:r w:rsidRPr="00B23AF6">
              <w:rPr>
                <w:rFonts w:cs="Arial"/>
              </w:rPr>
              <w:t>4</w:t>
            </w:r>
          </w:p>
        </w:tc>
      </w:tr>
      <w:tr w:rsidR="007C1C34" w:rsidRPr="007C1C34" w14:paraId="5936B4DC" w14:textId="77777777" w:rsidTr="00F044E4">
        <w:tc>
          <w:tcPr>
            <w:tcW w:w="4962" w:type="dxa"/>
          </w:tcPr>
          <w:p w14:paraId="6174CDA9" w14:textId="3D684171" w:rsidR="007C1C34" w:rsidRPr="00B23AF6" w:rsidRDefault="007C1C34" w:rsidP="00E258D8">
            <w:pPr>
              <w:pStyle w:val="TableText"/>
              <w:rPr>
                <w:rFonts w:cs="Arial"/>
              </w:rPr>
            </w:pPr>
            <w:r w:rsidRPr="00B23AF6">
              <w:rPr>
                <w:rFonts w:cs="Arial"/>
              </w:rPr>
              <w:t>QCOSS-hosted online events – participants (2 events)</w:t>
            </w:r>
          </w:p>
        </w:tc>
        <w:tc>
          <w:tcPr>
            <w:tcW w:w="2409" w:type="dxa"/>
          </w:tcPr>
          <w:p w14:paraId="06A24377" w14:textId="77777777" w:rsidR="007C1C34" w:rsidRPr="00B23AF6" w:rsidRDefault="007C1C34" w:rsidP="00E258D8">
            <w:pPr>
              <w:pStyle w:val="TableText"/>
              <w:rPr>
                <w:rFonts w:cs="Arial"/>
              </w:rPr>
            </w:pPr>
            <w:r w:rsidRPr="00B23AF6">
              <w:rPr>
                <w:rFonts w:cs="Arial"/>
              </w:rPr>
              <w:t>104</w:t>
            </w:r>
          </w:p>
          <w:p w14:paraId="5902BDC3" w14:textId="77777777" w:rsidR="007C1C34" w:rsidRPr="00B23AF6" w:rsidRDefault="007C1C34" w:rsidP="00E258D8">
            <w:pPr>
              <w:pStyle w:val="TableText"/>
              <w:rPr>
                <w:rFonts w:cs="Arial"/>
              </w:rPr>
            </w:pPr>
          </w:p>
        </w:tc>
      </w:tr>
      <w:tr w:rsidR="007C1C34" w:rsidRPr="007C1C34" w14:paraId="763FBF2E" w14:textId="77777777" w:rsidTr="00F044E4">
        <w:tc>
          <w:tcPr>
            <w:tcW w:w="4962" w:type="dxa"/>
          </w:tcPr>
          <w:p w14:paraId="1911202A" w14:textId="2F1C8D65" w:rsidR="007C1C34" w:rsidRPr="00B23AF6" w:rsidRDefault="007C1C34" w:rsidP="00E258D8">
            <w:pPr>
              <w:pStyle w:val="TableText"/>
              <w:rPr>
                <w:rFonts w:cs="Arial"/>
              </w:rPr>
            </w:pPr>
            <w:r w:rsidRPr="00B23AF6">
              <w:rPr>
                <w:rFonts w:cs="Arial"/>
              </w:rPr>
              <w:t>Stakeholder hosted events – participants (5 events)</w:t>
            </w:r>
          </w:p>
        </w:tc>
        <w:tc>
          <w:tcPr>
            <w:tcW w:w="2409" w:type="dxa"/>
          </w:tcPr>
          <w:p w14:paraId="2D31D05C" w14:textId="77777777" w:rsidR="007C1C34" w:rsidRPr="00B23AF6" w:rsidRDefault="007C1C34" w:rsidP="00E258D8">
            <w:pPr>
              <w:pStyle w:val="TableText"/>
              <w:rPr>
                <w:rFonts w:cs="Arial"/>
              </w:rPr>
            </w:pPr>
            <w:r w:rsidRPr="00B23AF6">
              <w:rPr>
                <w:rFonts w:cs="Arial"/>
              </w:rPr>
              <w:t>79</w:t>
            </w:r>
          </w:p>
          <w:p w14:paraId="410BA182" w14:textId="77777777" w:rsidR="007C1C34" w:rsidRPr="00B23AF6" w:rsidRDefault="007C1C34" w:rsidP="00E258D8">
            <w:pPr>
              <w:pStyle w:val="TableText"/>
              <w:rPr>
                <w:rFonts w:cs="Arial"/>
              </w:rPr>
            </w:pPr>
          </w:p>
        </w:tc>
      </w:tr>
      <w:tr w:rsidR="007C1C34" w:rsidRPr="007C1C34" w14:paraId="05FCD2DB" w14:textId="77777777" w:rsidTr="00F044E4">
        <w:tc>
          <w:tcPr>
            <w:tcW w:w="4962" w:type="dxa"/>
          </w:tcPr>
          <w:p w14:paraId="44444562" w14:textId="2511FC6A" w:rsidR="007C1C34" w:rsidRPr="00B23AF6" w:rsidRDefault="007C1C34" w:rsidP="00E258D8">
            <w:pPr>
              <w:pStyle w:val="TableTextBold"/>
              <w:rPr>
                <w:rFonts w:cs="Arial"/>
              </w:rPr>
            </w:pPr>
            <w:r w:rsidRPr="00B23AF6">
              <w:rPr>
                <w:rFonts w:cs="Arial"/>
              </w:rPr>
              <w:t>Total</w:t>
            </w:r>
          </w:p>
        </w:tc>
        <w:tc>
          <w:tcPr>
            <w:tcW w:w="2409" w:type="dxa"/>
          </w:tcPr>
          <w:p w14:paraId="0A269A5F" w14:textId="0893B534" w:rsidR="007C1C34" w:rsidRPr="00B23AF6" w:rsidRDefault="007C1C34" w:rsidP="00E258D8">
            <w:pPr>
              <w:pStyle w:val="TableTextBold"/>
              <w:rPr>
                <w:rFonts w:cs="Arial"/>
              </w:rPr>
            </w:pPr>
            <w:r w:rsidRPr="00B23AF6">
              <w:rPr>
                <w:rFonts w:cs="Arial"/>
              </w:rPr>
              <w:t>1177</w:t>
            </w:r>
          </w:p>
        </w:tc>
      </w:tr>
    </w:tbl>
    <w:p w14:paraId="0541DC8C" w14:textId="77777777" w:rsidR="007C1C34" w:rsidRPr="00B23AF6" w:rsidRDefault="007C1C34" w:rsidP="007C7642">
      <w:pPr>
        <w:rPr>
          <w:rFonts w:cs="Arial"/>
        </w:rPr>
      </w:pPr>
    </w:p>
    <w:p w14:paraId="43AF65A5" w14:textId="522EF2DE" w:rsidR="00AE2E61" w:rsidRPr="00B23AF6" w:rsidRDefault="00AE2E61" w:rsidP="007C7642">
      <w:pPr>
        <w:rPr>
          <w:rFonts w:cs="Arial"/>
        </w:rPr>
      </w:pPr>
      <w:r w:rsidRPr="00B23AF6">
        <w:rPr>
          <w:rFonts w:cs="Arial"/>
        </w:rPr>
        <w:t>The project continues until March 2022, with more events and activities scheduled.</w:t>
      </w:r>
    </w:p>
    <w:p w14:paraId="0D88F270" w14:textId="57C80A76" w:rsidR="00AE2E61" w:rsidRPr="00B23AF6" w:rsidRDefault="00AE2E61" w:rsidP="007C7642">
      <w:pPr>
        <w:rPr>
          <w:rFonts w:cs="Arial"/>
        </w:rPr>
      </w:pPr>
      <w:r w:rsidRPr="00B23AF6">
        <w:rPr>
          <w:rFonts w:cs="Arial"/>
        </w:rPr>
        <w:t>Project engagement has attracted interest from sectors beyond</w:t>
      </w:r>
      <w:r w:rsidR="009479D4" w:rsidRPr="00B23AF6">
        <w:rPr>
          <w:rFonts w:cs="Arial"/>
        </w:rPr>
        <w:t xml:space="preserve"> housing and homelessness, with </w:t>
      </w:r>
      <w:r w:rsidRPr="00B23AF6">
        <w:rPr>
          <w:rFonts w:cs="Arial"/>
        </w:rPr>
        <w:t>22 per cent of engagement with the project coming from public health, community health, education,</w:t>
      </w:r>
      <w:r w:rsidR="009479D4" w:rsidRPr="00B23AF6">
        <w:rPr>
          <w:rFonts w:cs="Arial"/>
        </w:rPr>
        <w:t xml:space="preserve"> </w:t>
      </w:r>
      <w:r w:rsidRPr="00B23AF6">
        <w:rPr>
          <w:rFonts w:cs="Arial"/>
        </w:rPr>
        <w:t>neighbourhood centres, family support services and local government.</w:t>
      </w:r>
    </w:p>
    <w:p w14:paraId="59C963B0" w14:textId="69CE2DC6" w:rsidR="00AE2E61" w:rsidRPr="00B23AF6" w:rsidRDefault="00AE2E61" w:rsidP="007C7642">
      <w:pPr>
        <w:rPr>
          <w:rFonts w:cs="Arial"/>
        </w:rPr>
      </w:pPr>
      <w:r w:rsidRPr="00B23AF6">
        <w:rPr>
          <w:rFonts w:cs="Arial"/>
        </w:rPr>
        <w:t>Insights from those who are engaging with the project include</w:t>
      </w:r>
      <w:r w:rsidR="009479D4" w:rsidRPr="00B23AF6">
        <w:rPr>
          <w:rFonts w:cs="Arial"/>
        </w:rPr>
        <w:t>:</w:t>
      </w:r>
    </w:p>
    <w:p w14:paraId="59A51F75" w14:textId="33558FE5" w:rsidR="00AE2E61" w:rsidRPr="00E258D8" w:rsidRDefault="00AE2E61" w:rsidP="00E258D8">
      <w:pPr>
        <w:pStyle w:val="Quote"/>
      </w:pPr>
      <w:r w:rsidRPr="00E258D8">
        <w:t xml:space="preserve">‘I would like participants to understand their human rights, </w:t>
      </w:r>
      <w:r w:rsidR="009479D4" w:rsidRPr="00E258D8">
        <w:t xml:space="preserve">so they have some power to keep </w:t>
      </w:r>
      <w:r w:rsidRPr="00E258D8">
        <w:t>us accountable for our actions’</w:t>
      </w:r>
      <w:r w:rsidR="00DC7718">
        <w:t xml:space="preserve"> -</w:t>
      </w:r>
      <w:r w:rsidRPr="00E258D8">
        <w:t xml:space="preserve"> Tina, Anglicare Central Queensland (ACQ).</w:t>
      </w:r>
    </w:p>
    <w:p w14:paraId="655FD9CF" w14:textId="7717253D" w:rsidR="00AE2E61" w:rsidRPr="00E258D8" w:rsidRDefault="00AE2E61" w:rsidP="00E258D8">
      <w:pPr>
        <w:pStyle w:val="Quote"/>
      </w:pPr>
      <w:r w:rsidRPr="00E258D8">
        <w:t>‘My takeaway was the importance of designing processe</w:t>
      </w:r>
      <w:r w:rsidR="009479D4" w:rsidRPr="00E258D8">
        <w:t xml:space="preserve">s that alleviate pressures from </w:t>
      </w:r>
      <w:r w:rsidRPr="00E258D8">
        <w:t>service users’</w:t>
      </w:r>
      <w:r w:rsidR="00DC7718">
        <w:t xml:space="preserve"> -</w:t>
      </w:r>
      <w:r w:rsidRPr="00E258D8">
        <w:t xml:space="preserve"> Rikki.</w:t>
      </w:r>
    </w:p>
    <w:p w14:paraId="2933C1FA" w14:textId="1DD899EE" w:rsidR="00AE2E61" w:rsidRPr="00E258D8" w:rsidRDefault="00AE2E61" w:rsidP="00E258D8">
      <w:pPr>
        <w:pStyle w:val="Quote"/>
      </w:pPr>
      <w:r w:rsidRPr="00E258D8">
        <w:t>‘I would like to see a human right around housing’</w:t>
      </w:r>
      <w:r w:rsidR="00DC7718">
        <w:t xml:space="preserve"> -</w:t>
      </w:r>
      <w:r w:rsidRPr="00E258D8">
        <w:t xml:space="preserve"> Anonymous survey response.</w:t>
      </w:r>
    </w:p>
    <w:p w14:paraId="7FF73A63" w14:textId="7662198F" w:rsidR="00AE2E61" w:rsidRPr="00B23AF6" w:rsidRDefault="00AE2E61" w:rsidP="00E258D8">
      <w:pPr>
        <w:pStyle w:val="Quote"/>
        <w:rPr>
          <w:rFonts w:cs="Arial"/>
        </w:rPr>
      </w:pPr>
      <w:r>
        <w:t>‘It's been empowering to us to know we can draw from legi</w:t>
      </w:r>
      <w:r w:rsidR="009479D4">
        <w:t xml:space="preserve">slation to enhance our advocacy </w:t>
      </w:r>
      <w:r>
        <w:t>skills’</w:t>
      </w:r>
      <w:r w:rsidR="00DC7718">
        <w:t xml:space="preserve"> -</w:t>
      </w:r>
      <w:r>
        <w:t xml:space="preserve"> Kia, Micah Projects</w:t>
      </w:r>
      <w:r w:rsidR="6DFAE7FE">
        <w:t>.</w:t>
      </w:r>
    </w:p>
    <w:p w14:paraId="09F98D90" w14:textId="16EAC06C" w:rsidR="00AE2E61" w:rsidRPr="00B23AF6" w:rsidRDefault="00AE2E61" w:rsidP="007C7642">
      <w:r w:rsidRPr="00B23AF6">
        <w:lastRenderedPageBreak/>
        <w:t>The Queensland Human Rights Commission is engaged as a project stakeholder along w</w:t>
      </w:r>
      <w:r w:rsidR="009479D4" w:rsidRPr="00B23AF6">
        <w:t xml:space="preserve">ith </w:t>
      </w:r>
      <w:r w:rsidRPr="00B23AF6">
        <w:t>Q-Shelter, Queensland Youth Housing Coalition, Tenants Queensland, Queenslanders with Disability</w:t>
      </w:r>
      <w:r w:rsidR="009479D4" w:rsidRPr="00B23AF6">
        <w:t xml:space="preserve"> </w:t>
      </w:r>
      <w:r w:rsidRPr="00B23AF6">
        <w:t>Network, Aboriginal and Torres Strait Islander Housing Queensland and the Council to Homeless</w:t>
      </w:r>
      <w:r w:rsidR="009479D4" w:rsidRPr="00B23AF6">
        <w:t xml:space="preserve"> </w:t>
      </w:r>
      <w:r w:rsidRPr="00B23AF6">
        <w:t>Persons (Queensland). The important contribution of project partners has supported sector</w:t>
      </w:r>
      <w:r w:rsidR="009479D4" w:rsidRPr="00B23AF6">
        <w:t xml:space="preserve"> </w:t>
      </w:r>
      <w:r w:rsidRPr="00B23AF6">
        <w:t>participation and provided expert advice on emerging issues and service trends. Common issues in</w:t>
      </w:r>
      <w:r w:rsidR="009479D4" w:rsidRPr="00B23AF6">
        <w:t xml:space="preserve"> </w:t>
      </w:r>
      <w:r w:rsidRPr="00B23AF6">
        <w:t>the sector include property allocations, property transfers, arrears management, breach notices and</w:t>
      </w:r>
      <w:r w:rsidR="009479D4" w:rsidRPr="00B23AF6">
        <w:t xml:space="preserve"> </w:t>
      </w:r>
      <w:r w:rsidRPr="00B23AF6">
        <w:t>evictions, neighbour disputes and situations involving domestic and family violence.</w:t>
      </w:r>
    </w:p>
    <w:p w14:paraId="45B8867C" w14:textId="77777777" w:rsidR="00AE2E61" w:rsidRPr="00E258D8" w:rsidRDefault="00AE2E61" w:rsidP="009479D4">
      <w:pPr>
        <w:pStyle w:val="Heading3"/>
        <w:rPr>
          <w:color w:val="8D361E"/>
        </w:rPr>
      </w:pPr>
      <w:r w:rsidRPr="00E258D8">
        <w:rPr>
          <w:color w:val="8D361E"/>
        </w:rPr>
        <w:t>Human rights champions</w:t>
      </w:r>
    </w:p>
    <w:p w14:paraId="4E99A795" w14:textId="649F2F0A" w:rsidR="00AE2E61" w:rsidRPr="00B23AF6" w:rsidRDefault="00AE2E61" w:rsidP="007C7642">
      <w:pPr>
        <w:rPr>
          <w:rFonts w:cs="Arial"/>
        </w:rPr>
      </w:pPr>
      <w:r w:rsidRPr="00B23AF6">
        <w:rPr>
          <w:rFonts w:cs="Arial"/>
        </w:rPr>
        <w:t>QCOSS is working intensively with five community service provider</w:t>
      </w:r>
      <w:r w:rsidR="009479D4" w:rsidRPr="00B23AF6">
        <w:rPr>
          <w:rFonts w:cs="Arial"/>
        </w:rPr>
        <w:t xml:space="preserve">s and 15 department staff (from </w:t>
      </w:r>
      <w:r w:rsidRPr="00B23AF6">
        <w:rPr>
          <w:rFonts w:cs="Arial"/>
        </w:rPr>
        <w:t>across the state) as Human Rights Champions. Through training, policy development and the</w:t>
      </w:r>
      <w:r w:rsidR="009479D4" w:rsidRPr="00B23AF6">
        <w:rPr>
          <w:rFonts w:cs="Arial"/>
        </w:rPr>
        <w:t xml:space="preserve"> </w:t>
      </w:r>
      <w:r w:rsidRPr="00B23AF6">
        <w:rPr>
          <w:rFonts w:cs="Arial"/>
        </w:rPr>
        <w:t>co-design of learning resources, project champions are building their confidence to develop new</w:t>
      </w:r>
      <w:r w:rsidR="009479D4" w:rsidRPr="00B23AF6">
        <w:rPr>
          <w:rFonts w:cs="Arial"/>
        </w:rPr>
        <w:t xml:space="preserve"> </w:t>
      </w:r>
      <w:r w:rsidRPr="00B23AF6">
        <w:rPr>
          <w:rFonts w:cs="Arial"/>
        </w:rPr>
        <w:t>practices, and share their insights across the sector to encourage other providers to understand the</w:t>
      </w:r>
      <w:r w:rsidR="009479D4" w:rsidRPr="00B23AF6">
        <w:rPr>
          <w:rFonts w:cs="Arial"/>
        </w:rPr>
        <w:t xml:space="preserve"> </w:t>
      </w:r>
      <w:r w:rsidRPr="00B23AF6">
        <w:rPr>
          <w:rFonts w:cs="Arial"/>
        </w:rPr>
        <w:t>benefits of a human rights approach. Practical, real-life scenarios are being used to train staff and the</w:t>
      </w:r>
      <w:r w:rsidR="009479D4" w:rsidRPr="00B23AF6">
        <w:rPr>
          <w:rFonts w:cs="Arial"/>
        </w:rPr>
        <w:t xml:space="preserve"> </w:t>
      </w:r>
      <w:r w:rsidRPr="00B23AF6">
        <w:rPr>
          <w:rFonts w:cs="Arial"/>
        </w:rPr>
        <w:t>sector about how to give proper consideration.</w:t>
      </w:r>
    </w:p>
    <w:p w14:paraId="77BED405" w14:textId="11E515D9" w:rsidR="00AE2E61" w:rsidRPr="00B23AF6" w:rsidRDefault="00AE2E61" w:rsidP="007C7642">
      <w:pPr>
        <w:rPr>
          <w:rFonts w:cs="Arial"/>
        </w:rPr>
      </w:pPr>
      <w:r w:rsidRPr="00B23AF6">
        <w:rPr>
          <w:rFonts w:cs="Arial"/>
        </w:rPr>
        <w:t>Insights and hopes from some of our Huma</w:t>
      </w:r>
      <w:r w:rsidR="009479D4" w:rsidRPr="00B23AF6">
        <w:rPr>
          <w:rFonts w:cs="Arial"/>
        </w:rPr>
        <w:t>n Rights Champion organisations:</w:t>
      </w:r>
    </w:p>
    <w:p w14:paraId="0BBCB2D0" w14:textId="565B92AD" w:rsidR="00AE2E61" w:rsidRPr="00E258D8" w:rsidRDefault="00AE2E61" w:rsidP="00E258D8">
      <w:pPr>
        <w:pStyle w:val="Quote"/>
      </w:pPr>
      <w:r w:rsidRPr="00E258D8">
        <w:t>‘The HR Act may seem daunting at first however can be easily put into practice with plain</w:t>
      </w:r>
      <w:r w:rsidR="007C1C34" w:rsidRPr="00E258D8">
        <w:t xml:space="preserve"> </w:t>
      </w:r>
      <w:r w:rsidRPr="00E258D8">
        <w:t xml:space="preserve">English and step by step decision making processes.’ </w:t>
      </w:r>
      <w:r w:rsidR="00B850EC">
        <w:t xml:space="preserve">- </w:t>
      </w:r>
      <w:r w:rsidRPr="00E258D8">
        <w:t>Robyn, Anglicare CQ</w:t>
      </w:r>
      <w:r w:rsidR="003324D8">
        <w:t>.</w:t>
      </w:r>
    </w:p>
    <w:p w14:paraId="14DA1CAB" w14:textId="1216CED1" w:rsidR="00AE2E61" w:rsidRPr="00E258D8" w:rsidRDefault="00AE2E61" w:rsidP="00E258D8">
      <w:pPr>
        <w:pStyle w:val="Quote"/>
      </w:pPr>
      <w:r w:rsidRPr="00E258D8">
        <w:t>‘Empowerment of our team to implement the Act and have confidence in decision-making</w:t>
      </w:r>
      <w:r w:rsidR="00B850EC">
        <w:t>. A</w:t>
      </w:r>
      <w:r w:rsidRPr="00E258D8">
        <w:t>lso, for our tenants to feel that they are being treated with their human rights and d</w:t>
      </w:r>
      <w:r w:rsidR="009479D4" w:rsidRPr="00E258D8">
        <w:t xml:space="preserve">ignity </w:t>
      </w:r>
      <w:r w:rsidRPr="00E258D8">
        <w:t>intact.’</w:t>
      </w:r>
      <w:r w:rsidR="00B850EC">
        <w:t xml:space="preserve"> -</w:t>
      </w:r>
      <w:r w:rsidRPr="00E258D8">
        <w:t xml:space="preserve"> Scott, Jacaranda Housing</w:t>
      </w:r>
      <w:r w:rsidR="003324D8">
        <w:t>.</w:t>
      </w:r>
    </w:p>
    <w:p w14:paraId="7222C431" w14:textId="1008E4D9" w:rsidR="00AE2E61" w:rsidRPr="00E258D8" w:rsidRDefault="003324D8" w:rsidP="00E258D8">
      <w:pPr>
        <w:pStyle w:val="Quote"/>
      </w:pPr>
      <w:r>
        <w:t>‘</w:t>
      </w:r>
      <w:r w:rsidR="00AE2E61" w:rsidRPr="00E258D8">
        <w:t xml:space="preserve">There is more to work with since this Act has come into our </w:t>
      </w:r>
      <w:r w:rsidR="009479D4" w:rsidRPr="00E258D8">
        <w:t xml:space="preserve">jurisdiction, more than before, </w:t>
      </w:r>
      <w:r w:rsidR="00AE2E61" w:rsidRPr="00E258D8">
        <w:t>much more to work with’</w:t>
      </w:r>
      <w:r>
        <w:t xml:space="preserve"> -</w:t>
      </w:r>
      <w:r w:rsidR="00AE2E61" w:rsidRPr="00E258D8">
        <w:t xml:space="preserve"> Sally, SHAC</w:t>
      </w:r>
      <w:r>
        <w:t>.</w:t>
      </w:r>
    </w:p>
    <w:p w14:paraId="6CF62AD0" w14:textId="703A8C8B" w:rsidR="00AE2E61" w:rsidRPr="00E258D8" w:rsidRDefault="00AE2E61" w:rsidP="00E258D8">
      <w:pPr>
        <w:pStyle w:val="Quote"/>
      </w:pPr>
      <w:r w:rsidRPr="00E258D8">
        <w:t>‘The organisation saw a fantastic opportunity to ensure that we understand and are app</w:t>
      </w:r>
      <w:r w:rsidR="009479D4" w:rsidRPr="00E258D8">
        <w:t xml:space="preserve">lying </w:t>
      </w:r>
      <w:r w:rsidRPr="00E258D8">
        <w:t>the Human Rights Act in our policies and procedures and the work we do, and to help us</w:t>
      </w:r>
      <w:r w:rsidR="009479D4" w:rsidRPr="00E258D8">
        <w:t xml:space="preserve"> </w:t>
      </w:r>
      <w:r w:rsidRPr="00E258D8">
        <w:t>advocate for our families.’</w:t>
      </w:r>
      <w:r w:rsidR="003324D8">
        <w:t xml:space="preserve"> -</w:t>
      </w:r>
      <w:r w:rsidRPr="00E258D8">
        <w:t xml:space="preserve"> Kim, AIDRWA</w:t>
      </w:r>
      <w:r w:rsidR="003324D8">
        <w:t>.</w:t>
      </w:r>
    </w:p>
    <w:p w14:paraId="6A3934C9" w14:textId="112EB293" w:rsidR="00AE2E61" w:rsidRPr="00B23AF6" w:rsidRDefault="00AE2E61" w:rsidP="00E258D8">
      <w:pPr>
        <w:pStyle w:val="Quote"/>
        <w:rPr>
          <w:rFonts w:cs="Arial"/>
        </w:rPr>
      </w:pPr>
      <w:r w:rsidRPr="00E258D8">
        <w:t>‘I met with a government agency yesterday and asked th</w:t>
      </w:r>
      <w:r w:rsidR="009479D4" w:rsidRPr="00E258D8">
        <w:t xml:space="preserve">em to consider human rights for </w:t>
      </w:r>
      <w:r w:rsidRPr="00E258D8">
        <w:t>one of my clients and named the ones I thought they needed to further consider when making</w:t>
      </w:r>
      <w:r w:rsidR="009479D4" w:rsidRPr="00E258D8">
        <w:t xml:space="preserve"> </w:t>
      </w:r>
      <w:r w:rsidRPr="00E258D8">
        <w:t>decisions about our client</w:t>
      </w:r>
      <w:r w:rsidR="009479D4" w:rsidRPr="00E258D8">
        <w:t>s</w:t>
      </w:r>
      <w:r w:rsidRPr="00E258D8">
        <w:t>, it worked they got on board with a different line of thinking</w:t>
      </w:r>
      <w:r w:rsidR="009479D4" w:rsidRPr="00E258D8">
        <w:t xml:space="preserve"> </w:t>
      </w:r>
      <w:r w:rsidRPr="00E258D8">
        <w:t>straight away</w:t>
      </w:r>
      <w:r w:rsidR="009479D4" w:rsidRPr="00E258D8">
        <w:t xml:space="preserve"> -</w:t>
      </w:r>
      <w:r w:rsidRPr="00E258D8">
        <w:t xml:space="preserve"> WINNING !!’ </w:t>
      </w:r>
      <w:r w:rsidR="003324D8">
        <w:t xml:space="preserve">- </w:t>
      </w:r>
      <w:r w:rsidRPr="00E258D8">
        <w:t>Julie, Anglicare CQ</w:t>
      </w:r>
      <w:r w:rsidR="003324D8">
        <w:t>.</w:t>
      </w:r>
    </w:p>
    <w:p w14:paraId="4D9A7A13" w14:textId="5291BCC6" w:rsidR="00AE2E61" w:rsidRPr="00B23AF6" w:rsidRDefault="00AE2E61" w:rsidP="007C7642">
      <w:pPr>
        <w:rPr>
          <w:rFonts w:cs="Arial"/>
        </w:rPr>
      </w:pPr>
      <w:r w:rsidRPr="00B23AF6">
        <w:rPr>
          <w:rFonts w:cs="Arial"/>
        </w:rPr>
        <w:lastRenderedPageBreak/>
        <w:t>In this early phase of the work, discussions focused on the responsibilities of public entities,</w:t>
      </w:r>
      <w:r w:rsidR="009479D4" w:rsidRPr="00B23AF6">
        <w:rPr>
          <w:rFonts w:cs="Arial"/>
        </w:rPr>
        <w:t xml:space="preserve"> </w:t>
      </w:r>
      <w:r w:rsidRPr="00B23AF6">
        <w:rPr>
          <w:rFonts w:cs="Arial"/>
        </w:rPr>
        <w:t>particularly the incorporation of the human rights complaint mechanism and the work involved in</w:t>
      </w:r>
      <w:r w:rsidR="009479D4" w:rsidRPr="00B23AF6">
        <w:rPr>
          <w:rFonts w:cs="Arial"/>
        </w:rPr>
        <w:t xml:space="preserve"> </w:t>
      </w:r>
      <w:r w:rsidRPr="00B23AF6">
        <w:rPr>
          <w:rFonts w:cs="Arial"/>
        </w:rPr>
        <w:t>giving proper consideration when making decisions. This foundational knowledge was important for all</w:t>
      </w:r>
      <w:r w:rsidR="009479D4" w:rsidRPr="00B23AF6">
        <w:rPr>
          <w:rFonts w:cs="Arial"/>
        </w:rPr>
        <w:t xml:space="preserve"> </w:t>
      </w:r>
      <w:r w:rsidRPr="00B23AF6">
        <w:rPr>
          <w:rFonts w:cs="Arial"/>
        </w:rPr>
        <w:t>staff. Particularly among frontline staff who need to apply consideration and respond to complaints. It</w:t>
      </w:r>
      <w:r w:rsidR="009479D4" w:rsidRPr="00B23AF6">
        <w:rPr>
          <w:rFonts w:cs="Arial"/>
        </w:rPr>
        <w:t xml:space="preserve"> </w:t>
      </w:r>
      <w:r w:rsidRPr="00B23AF6">
        <w:rPr>
          <w:rFonts w:cs="Arial"/>
        </w:rPr>
        <w:t>was important for these activities to be embedded in policies and procedures using human rights</w:t>
      </w:r>
      <w:r w:rsidR="009479D4" w:rsidRPr="00B23AF6">
        <w:rPr>
          <w:rFonts w:cs="Arial"/>
        </w:rPr>
        <w:t xml:space="preserve"> </w:t>
      </w:r>
      <w:r w:rsidRPr="00B23AF6">
        <w:rPr>
          <w:rFonts w:cs="Arial"/>
        </w:rPr>
        <w:t>language. Work is underway to develop tools and resources to support policy development as well as</w:t>
      </w:r>
      <w:r w:rsidR="009479D4" w:rsidRPr="00B23AF6">
        <w:rPr>
          <w:rFonts w:cs="Arial"/>
        </w:rPr>
        <w:t xml:space="preserve"> </w:t>
      </w:r>
      <w:r w:rsidRPr="00B23AF6">
        <w:rPr>
          <w:rFonts w:cs="Arial"/>
        </w:rPr>
        <w:t>work to co-design operational tools that incorporate human rights consideration into significant</w:t>
      </w:r>
      <w:r w:rsidR="009479D4" w:rsidRPr="00B23AF6">
        <w:rPr>
          <w:rFonts w:cs="Arial"/>
        </w:rPr>
        <w:t xml:space="preserve"> </w:t>
      </w:r>
      <w:r w:rsidRPr="00B23AF6">
        <w:rPr>
          <w:rFonts w:cs="Arial"/>
        </w:rPr>
        <w:t>decision-making moments, like evictions and service allocations.</w:t>
      </w:r>
    </w:p>
    <w:p w14:paraId="0A98E158" w14:textId="28C23C8B" w:rsidR="00AE2E61" w:rsidRPr="00B23AF6" w:rsidRDefault="00AE2E61" w:rsidP="007C7642">
      <w:r w:rsidRPr="674E917E">
        <w:t>Staff engaged with the project are learning and embracing human righ</w:t>
      </w:r>
      <w:r w:rsidR="009479D4" w:rsidRPr="674E917E">
        <w:t xml:space="preserve">ts in their everyday work. In a </w:t>
      </w:r>
      <w:r w:rsidRPr="674E917E">
        <w:t xml:space="preserve">recent learning series, confidence in staff knowledge of the </w:t>
      </w:r>
      <w:r w:rsidR="00CC7A5C">
        <w:t>Human Rights Act</w:t>
      </w:r>
      <w:r w:rsidRPr="674E917E">
        <w:t xml:space="preserve"> went from 39</w:t>
      </w:r>
      <w:r w:rsidR="00CC7A5C">
        <w:t>%</w:t>
      </w:r>
      <w:r w:rsidRPr="674E917E">
        <w:t xml:space="preserve"> before the</w:t>
      </w:r>
      <w:r w:rsidR="009479D4" w:rsidRPr="674E917E">
        <w:t xml:space="preserve"> </w:t>
      </w:r>
      <w:r w:rsidRPr="674E917E">
        <w:t>sessions to 73</w:t>
      </w:r>
      <w:r w:rsidR="00CC7A5C">
        <w:t>%</w:t>
      </w:r>
      <w:r w:rsidRPr="674E917E">
        <w:t xml:space="preserve"> after</w:t>
      </w:r>
      <w:r w:rsidR="075A990C" w:rsidRPr="674E917E">
        <w:t>wards</w:t>
      </w:r>
      <w:r w:rsidRPr="674E917E">
        <w:t>. The QCOSS project team is witnessing the importance of leadership</w:t>
      </w:r>
      <w:r w:rsidR="009479D4" w:rsidRPr="674E917E">
        <w:t xml:space="preserve"> </w:t>
      </w:r>
      <w:r w:rsidRPr="674E917E">
        <w:t>and organisational culture in improving human rights literacy amongst community service providers.</w:t>
      </w:r>
    </w:p>
    <w:p w14:paraId="27784D6A" w14:textId="592F472B" w:rsidR="002C777A" w:rsidRPr="00B23AF6" w:rsidRDefault="00AE2E61" w:rsidP="007C7642">
      <w:pPr>
        <w:rPr>
          <w:rFonts w:cs="Arial"/>
        </w:rPr>
      </w:pPr>
      <w:r w:rsidRPr="00B23AF6">
        <w:rPr>
          <w:rFonts w:cs="Arial"/>
        </w:rPr>
        <w:t>The next phase of the project will focus on how services ca</w:t>
      </w:r>
      <w:r w:rsidR="009479D4" w:rsidRPr="00B23AF6">
        <w:rPr>
          <w:rFonts w:cs="Arial"/>
        </w:rPr>
        <w:t xml:space="preserve">n empower participants and work </w:t>
      </w:r>
      <w:r w:rsidRPr="00B23AF6">
        <w:rPr>
          <w:rFonts w:cs="Arial"/>
        </w:rPr>
        <w:t>alongside them to advocate for clients and improve service collaboration. The project will also</w:t>
      </w:r>
      <w:r w:rsidR="009479D4" w:rsidRPr="00B23AF6">
        <w:rPr>
          <w:rFonts w:cs="Arial"/>
        </w:rPr>
        <w:t xml:space="preserve"> </w:t>
      </w:r>
      <w:r w:rsidRPr="00B23AF6">
        <w:rPr>
          <w:rFonts w:cs="Arial"/>
        </w:rPr>
        <w:t>co-design tools and resources with human rights champions to further develop their human rights</w:t>
      </w:r>
      <w:r w:rsidR="009479D4" w:rsidRPr="00B23AF6">
        <w:rPr>
          <w:rFonts w:cs="Arial"/>
        </w:rPr>
        <w:t xml:space="preserve"> </w:t>
      </w:r>
      <w:r w:rsidRPr="00B23AF6">
        <w:rPr>
          <w:rFonts w:cs="Arial"/>
        </w:rPr>
        <w:t>culture and operational practices.</w:t>
      </w:r>
    </w:p>
    <w:p w14:paraId="2D385F7D" w14:textId="77777777" w:rsidR="007A1690" w:rsidRDefault="007A1690">
      <w:pPr>
        <w:spacing w:line="259" w:lineRule="auto"/>
        <w:ind w:right="0"/>
        <w:rPr>
          <w:rFonts w:eastAsia="Times New Roman" w:cs="Times New Roman"/>
          <w:bCs/>
          <w:color w:val="8D361E"/>
          <w:kern w:val="36"/>
          <w:sz w:val="48"/>
          <w:szCs w:val="48"/>
          <w:lang w:eastAsia="en-AU"/>
        </w:rPr>
      </w:pPr>
      <w:r>
        <w:rPr>
          <w:rFonts w:eastAsia="Times New Roman" w:cs="Times New Roman"/>
          <w:bCs/>
          <w:color w:val="8D361E"/>
          <w:kern w:val="36"/>
          <w:sz w:val="48"/>
          <w:szCs w:val="48"/>
          <w:lang w:eastAsia="en-AU"/>
        </w:rPr>
        <w:br w:type="page"/>
      </w:r>
    </w:p>
    <w:p w14:paraId="09A8D108" w14:textId="0D6077D6" w:rsidR="002C777A" w:rsidRDefault="002C777A" w:rsidP="007C7642">
      <w:pPr>
        <w:rPr>
          <w:rFonts w:eastAsia="Times New Roman" w:cs="Times New Roman"/>
          <w:bCs/>
          <w:color w:val="8D361E"/>
          <w:kern w:val="36"/>
          <w:sz w:val="48"/>
          <w:szCs w:val="48"/>
          <w:lang w:eastAsia="en-AU"/>
        </w:rPr>
      </w:pPr>
      <w:r w:rsidRPr="002C777A">
        <w:rPr>
          <w:rFonts w:eastAsia="Times New Roman" w:cs="Times New Roman"/>
          <w:bCs/>
          <w:color w:val="8D361E"/>
          <w:kern w:val="36"/>
          <w:sz w:val="48"/>
          <w:szCs w:val="48"/>
          <w:lang w:eastAsia="en-AU"/>
        </w:rPr>
        <w:lastRenderedPageBreak/>
        <w:t>Optional public entities</w:t>
      </w:r>
    </w:p>
    <w:p w14:paraId="6BB3204F" w14:textId="6463CF97" w:rsidR="002C777A" w:rsidRDefault="002C777A" w:rsidP="002C777A">
      <w:r>
        <w:t xml:space="preserve">Organisations can choose to be declared a public entity by regulation under the </w:t>
      </w:r>
      <w:r w:rsidR="00CC7A5C">
        <w:t xml:space="preserve">Human Rights </w:t>
      </w:r>
      <w:r>
        <w:t xml:space="preserve">Act. The Department of Justice and Attorney-General’s </w:t>
      </w:r>
      <w:r w:rsidR="00CC7A5C">
        <w:t>f</w:t>
      </w:r>
      <w:r>
        <w:t xml:space="preserve">act </w:t>
      </w:r>
      <w:r w:rsidR="00CC7A5C">
        <w:t>s</w:t>
      </w:r>
      <w:r>
        <w:t xml:space="preserve">heet </w:t>
      </w:r>
      <w:r w:rsidRPr="002C777A">
        <w:rPr>
          <w:i/>
        </w:rPr>
        <w:t>Opt-in to the Human Rights Act 2019</w:t>
      </w:r>
      <w:r>
        <w:t xml:space="preserve"> provides details on how a public entity can choose to ‘opt-in’. </w:t>
      </w:r>
    </w:p>
    <w:p w14:paraId="0CAF7899" w14:textId="2828D7DB" w:rsidR="002C777A" w:rsidRDefault="002C777A" w:rsidP="002C777A">
      <w:r>
        <w:t xml:space="preserve">Queensland Advocacy Incorporated became the first to opt-in </w:t>
      </w:r>
      <w:r w:rsidR="0055759C">
        <w:t xml:space="preserve">organisation </w:t>
      </w:r>
      <w:r>
        <w:t xml:space="preserve">to be bound by the Act in October 2020. The QAI Director commented on why this step was taken by </w:t>
      </w:r>
      <w:r w:rsidR="002E2720">
        <w:t>their organisation:</w:t>
      </w:r>
    </w:p>
    <w:p w14:paraId="57FD11B1" w14:textId="0EA221AF" w:rsidR="002C777A" w:rsidRPr="00906B18" w:rsidRDefault="002C777A" w:rsidP="00F044E4">
      <w:pPr>
        <w:pStyle w:val="Quote"/>
      </w:pPr>
      <w:r w:rsidRPr="00906B18">
        <w:t>“Human rights belong to everyone and are fundamental to an inclusive society,” QAI Director Michelle O’Flynn said today. “QAI has always operated within a human rights framework and endeavours to protect and defend the human rights of the most vulnerable Queenslanders, in particular Queenslanders with disability.</w:t>
      </w:r>
    </w:p>
    <w:p w14:paraId="229CA39F" w14:textId="7B7D68E5" w:rsidR="002C777A" w:rsidRPr="00906B18" w:rsidRDefault="002C777A" w:rsidP="00F044E4">
      <w:pPr>
        <w:pStyle w:val="Quote"/>
      </w:pPr>
      <w:r w:rsidRPr="00906B18">
        <w:t>“In becoming the first organisation to voluntarily opt-in to be bound by the HRA, QAI seeks to honour our commitment to the UN Convention on the Rights of Persons with Disabilities and hopes to contribute to a broader human rights culture within our community,” Ms O’Flynn continued.</w:t>
      </w:r>
      <w:r w:rsidRPr="002E2720">
        <w:rPr>
          <w:rStyle w:val="Strong"/>
          <w:rFonts w:eastAsiaTheme="majorEastAsia" w:cs="Arial"/>
          <w:i/>
          <w:szCs w:val="22"/>
          <w:bdr w:val="none" w:sz="0" w:space="0" w:color="auto" w:frame="1"/>
        </w:rPr>
        <w:t> </w:t>
      </w:r>
      <w:r w:rsidR="002E2720">
        <w:rPr>
          <w:rStyle w:val="FootnoteReference"/>
          <w:rFonts w:eastAsiaTheme="majorEastAsia" w:cs="Arial"/>
          <w:b/>
          <w:bCs/>
          <w:i/>
          <w:szCs w:val="22"/>
          <w:bdr w:val="none" w:sz="0" w:space="0" w:color="auto" w:frame="1"/>
        </w:rPr>
        <w:footnoteReference w:id="90"/>
      </w:r>
    </w:p>
    <w:p w14:paraId="1BE999F1" w14:textId="77777777" w:rsidR="003315BD" w:rsidRDefault="003315BD">
      <w:pPr>
        <w:spacing w:line="259" w:lineRule="auto"/>
        <w:ind w:right="0"/>
        <w:rPr>
          <w:rFonts w:eastAsia="Times New Roman" w:cs="Times New Roman"/>
          <w:bCs/>
          <w:color w:val="FFFFFF" w:themeColor="background1"/>
          <w:kern w:val="36"/>
          <w:sz w:val="72"/>
          <w:szCs w:val="48"/>
          <w:lang w:eastAsia="en-AU"/>
        </w:rPr>
      </w:pPr>
      <w:r>
        <w:br w:type="page"/>
      </w:r>
    </w:p>
    <w:p w14:paraId="2314F0BE" w14:textId="06B1CEB6" w:rsidR="009255E7" w:rsidRDefault="00AE5006" w:rsidP="009255E7">
      <w:pPr>
        <w:pStyle w:val="Chapterheading"/>
      </w:pPr>
      <w:bookmarkStart w:id="491" w:name="_Toc85526724"/>
      <w:bookmarkStart w:id="492" w:name="_Toc85787139"/>
      <w:r w:rsidRPr="00374AB8">
        <w:rPr>
          <w:noProof/>
        </w:rPr>
        <w:lastRenderedPageBreak/>
        <w:drawing>
          <wp:anchor distT="0" distB="0" distL="114300" distR="114300" simplePos="0" relativeHeight="251658254" behindDoc="1" locked="0" layoutInCell="1" allowOverlap="1" wp14:anchorId="0042CB91" wp14:editId="5F7BC59A">
            <wp:simplePos x="0" y="0"/>
            <wp:positionH relativeFrom="page">
              <wp:posOffset>7070651</wp:posOffset>
            </wp:positionH>
            <wp:positionV relativeFrom="paragraph">
              <wp:posOffset>-1159983</wp:posOffset>
            </wp:positionV>
            <wp:extent cx="534670" cy="10683696"/>
            <wp:effectExtent l="0" t="0" r="0" b="3810"/>
            <wp:wrapNone/>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ur bar full 15m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372" cy="10697721"/>
                    </a:xfrm>
                    <a:prstGeom prst="rect">
                      <a:avLst/>
                    </a:prstGeom>
                  </pic:spPr>
                </pic:pic>
              </a:graphicData>
            </a:graphic>
            <wp14:sizeRelH relativeFrom="page">
              <wp14:pctWidth>0</wp14:pctWidth>
            </wp14:sizeRelH>
            <wp14:sizeRelV relativeFrom="page">
              <wp14:pctHeight>0</wp14:pctHeight>
            </wp14:sizeRelV>
          </wp:anchor>
        </w:drawing>
      </w:r>
      <w:r w:rsidRPr="00374AB8">
        <w:rPr>
          <w:noProof/>
        </w:rPr>
        <mc:AlternateContent>
          <mc:Choice Requires="wps">
            <w:drawing>
              <wp:anchor distT="0" distB="0" distL="114300" distR="114300" simplePos="0" relativeHeight="251658250" behindDoc="1" locked="0" layoutInCell="1" allowOverlap="1" wp14:anchorId="71F117F6" wp14:editId="730D765F">
                <wp:simplePos x="0" y="0"/>
                <wp:positionH relativeFrom="page">
                  <wp:posOffset>15766</wp:posOffset>
                </wp:positionH>
                <wp:positionV relativeFrom="paragraph">
                  <wp:posOffset>-1134745</wp:posOffset>
                </wp:positionV>
                <wp:extent cx="7562850" cy="10687050"/>
                <wp:effectExtent l="0" t="0" r="0" b="0"/>
                <wp:wrapNone/>
                <wp:docPr id="33" name="Rectangle 33" descr="Rectangular blue block which covers the top quarter of the page. The chapter title sits inside the rectangle in white text. All headings in this chapter are blue. " title="Decorative colour block"/>
                <wp:cNvGraphicFramePr/>
                <a:graphic xmlns:a="http://schemas.openxmlformats.org/drawingml/2006/main">
                  <a:graphicData uri="http://schemas.microsoft.com/office/word/2010/wordprocessingShape">
                    <wps:wsp>
                      <wps:cNvSpPr/>
                      <wps:spPr>
                        <a:xfrm>
                          <a:off x="0" y="0"/>
                          <a:ext cx="7562850" cy="10687050"/>
                        </a:xfrm>
                        <a:prstGeom prst="rect">
                          <a:avLst/>
                        </a:prstGeom>
                        <a:solidFill>
                          <a:srgbClr val="D46228"/>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45AD289" id="Rectangle 33" o:spid="_x0000_s1026" alt="Title: Decorative colour block - Description: Rectangular blue block which covers the top quarter of the page. The chapter title sits inside the rectangle in white text. All headings in this chapter are blue. " style="position:absolute;margin-left:1.25pt;margin-top:-89.35pt;width:595.5pt;height:841.5pt;z-index:-25165823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" fillcolor="#d46228" stroked="f" strokeweight="1pt">
                <w10:wrap anchorx="page"/>
              </v:rect>
            </w:pict>
          </mc:Fallback>
        </mc:AlternateContent>
      </w:r>
      <w:bookmarkEnd w:id="491"/>
      <w:bookmarkEnd w:id="492"/>
    </w:p>
    <w:p w14:paraId="6BB5BAB0" w14:textId="0F4C7A35" w:rsidR="00CC7A5C" w:rsidRDefault="00CC7A5C" w:rsidP="009255E7">
      <w:pPr>
        <w:pStyle w:val="Chapterheading"/>
      </w:pPr>
      <w:bookmarkStart w:id="493" w:name="_Toc84593918"/>
      <w:bookmarkStart w:id="494" w:name="_Toc85451795"/>
    </w:p>
    <w:p w14:paraId="614386DA" w14:textId="6FC599E8" w:rsidR="00374AB8" w:rsidRDefault="00374AB8" w:rsidP="009255E7">
      <w:pPr>
        <w:pStyle w:val="Chapterheading"/>
      </w:pPr>
    </w:p>
    <w:p w14:paraId="72124B4F" w14:textId="77777777" w:rsidR="00374AB8" w:rsidRDefault="00374AB8" w:rsidP="009255E7">
      <w:pPr>
        <w:pStyle w:val="Chapterheading"/>
      </w:pPr>
    </w:p>
    <w:p w14:paraId="28AD436A" w14:textId="4BCD5CAB" w:rsidR="00CD5A6F" w:rsidRPr="008A00EB" w:rsidRDefault="00C1246B" w:rsidP="009255E7">
      <w:pPr>
        <w:pStyle w:val="Chapterheading"/>
      </w:pPr>
      <w:bookmarkStart w:id="495" w:name="_Toc85526725"/>
      <w:bookmarkStart w:id="496" w:name="_Toc85787140"/>
      <w:r w:rsidRPr="008A00EB">
        <w:t xml:space="preserve">Human </w:t>
      </w:r>
      <w:r w:rsidR="0033470D" w:rsidRPr="008A00EB">
        <w:t>rights enquiries and complaints</w:t>
      </w:r>
      <w:bookmarkEnd w:id="493"/>
      <w:bookmarkEnd w:id="494"/>
      <w:bookmarkEnd w:id="495"/>
      <w:bookmarkEnd w:id="496"/>
    </w:p>
    <w:p w14:paraId="1D5F4B5A" w14:textId="7545219B" w:rsidR="00374AB8" w:rsidRDefault="00374AB8">
      <w:pPr>
        <w:spacing w:line="259" w:lineRule="auto"/>
        <w:ind w:right="0"/>
        <w:rPr>
          <w:rFonts w:eastAsia="Times New Roman" w:cs="Times New Roman"/>
          <w:bCs/>
          <w:color w:val="D46228"/>
          <w:kern w:val="36"/>
          <w:sz w:val="48"/>
          <w:szCs w:val="48"/>
          <w:lang w:eastAsia="en-AU"/>
        </w:rPr>
      </w:pPr>
      <w:bookmarkStart w:id="497" w:name="_Toc84593919"/>
      <w:bookmarkStart w:id="498" w:name="_Toc85451796"/>
      <w:r>
        <w:rPr>
          <w:color w:val="D46228"/>
        </w:rPr>
        <w:br w:type="page"/>
      </w:r>
    </w:p>
    <w:p w14:paraId="41ED23AB" w14:textId="6FAEBB96" w:rsidR="00434B02" w:rsidRDefault="00097118" w:rsidP="00283488">
      <w:pPr>
        <w:pStyle w:val="Heading1"/>
        <w:rPr>
          <w:color w:val="D46228"/>
        </w:rPr>
      </w:pPr>
      <w:bookmarkStart w:id="499" w:name="_Toc85526726"/>
      <w:bookmarkStart w:id="500" w:name="_Toc85787141"/>
      <w:r w:rsidRPr="00283488">
        <w:rPr>
          <w:color w:val="D46228"/>
        </w:rPr>
        <w:lastRenderedPageBreak/>
        <w:t xml:space="preserve">Introduction to </w:t>
      </w:r>
      <w:r w:rsidR="00F30E52" w:rsidRPr="00283488">
        <w:rPr>
          <w:color w:val="D46228"/>
        </w:rPr>
        <w:t>h</w:t>
      </w:r>
      <w:r w:rsidR="007264B1" w:rsidRPr="00283488">
        <w:rPr>
          <w:color w:val="D46228"/>
        </w:rPr>
        <w:t xml:space="preserve">uman </w:t>
      </w:r>
      <w:r w:rsidR="00F30E52" w:rsidRPr="00283488">
        <w:rPr>
          <w:color w:val="D46228"/>
        </w:rPr>
        <w:t>r</w:t>
      </w:r>
      <w:r w:rsidR="007264B1" w:rsidRPr="00283488">
        <w:rPr>
          <w:color w:val="D46228"/>
        </w:rPr>
        <w:t xml:space="preserve">ights </w:t>
      </w:r>
      <w:r w:rsidR="00F30E52" w:rsidRPr="00283488">
        <w:rPr>
          <w:color w:val="D46228"/>
        </w:rPr>
        <w:t>c</w:t>
      </w:r>
      <w:r w:rsidR="007264B1" w:rsidRPr="00283488">
        <w:rPr>
          <w:color w:val="D46228"/>
        </w:rPr>
        <w:t>omplaints</w:t>
      </w:r>
      <w:bookmarkEnd w:id="497"/>
      <w:bookmarkEnd w:id="498"/>
      <w:bookmarkEnd w:id="499"/>
      <w:bookmarkEnd w:id="500"/>
    </w:p>
    <w:p w14:paraId="2E30ABB1" w14:textId="46F27D06" w:rsidR="00444109" w:rsidRDefault="00444109" w:rsidP="00444109">
      <w:r>
        <w:t xml:space="preserve">The Commission receives complaints about human rights where a person believes that a public entity has </w:t>
      </w:r>
      <w:r w:rsidR="006014E5">
        <w:t>not given proper consideration to human rights or acted compatibly with human rights.</w:t>
      </w:r>
    </w:p>
    <w:p w14:paraId="711C0642" w14:textId="77777777" w:rsidR="000F7EEB" w:rsidRPr="000F7EEB" w:rsidRDefault="000F7EEB" w:rsidP="00E250AD">
      <w:pPr>
        <w:rPr>
          <w:rFonts w:eastAsia="Times New Roman" w:cs="Arial"/>
          <w:szCs w:val="22"/>
          <w:lang w:eastAsia="en-AU"/>
        </w:rPr>
      </w:pPr>
      <w:r w:rsidRPr="000F7EEB">
        <w:rPr>
          <w:rFonts w:eastAsia="Times New Roman" w:cs="Arial"/>
          <w:szCs w:val="22"/>
          <w:lang w:eastAsia="en-AU"/>
        </w:rPr>
        <w:t>The Commission is impartial and will not take sides. Our role is not to decide who is right or wrong but to help people resolve complaints.</w:t>
      </w:r>
    </w:p>
    <w:p w14:paraId="5B28FCC0" w14:textId="77777777" w:rsidR="000F7EEB" w:rsidRPr="000F7EEB" w:rsidRDefault="000F7EEB" w:rsidP="000F7EEB">
      <w:pPr>
        <w:shd w:val="clear" w:color="auto" w:fill="FFFFFF"/>
        <w:spacing w:before="100" w:beforeAutospacing="1" w:after="100" w:afterAutospacing="1" w:line="240" w:lineRule="auto"/>
        <w:ind w:right="0"/>
        <w:textAlignment w:val="baseline"/>
        <w:rPr>
          <w:rFonts w:eastAsia="Times New Roman" w:cs="Arial"/>
          <w:szCs w:val="22"/>
          <w:lang w:eastAsia="en-AU"/>
        </w:rPr>
      </w:pPr>
      <w:r w:rsidRPr="000F7EEB">
        <w:rPr>
          <w:rFonts w:eastAsia="Times New Roman" w:cs="Arial"/>
          <w:szCs w:val="22"/>
          <w:lang w:eastAsia="en-AU"/>
        </w:rPr>
        <w:t>The Commission’s role is to:</w:t>
      </w:r>
    </w:p>
    <w:p w14:paraId="4E752572" w14:textId="6EF8C918" w:rsidR="000F7EEB" w:rsidRPr="00374AB8" w:rsidRDefault="000F7EEB" w:rsidP="00E250AD">
      <w:pPr>
        <w:pStyle w:val="ListParagraph"/>
      </w:pPr>
      <w:r w:rsidRPr="00374AB8">
        <w:t>work to ensure that everyone puts forward their point of view, is listened to, and feels safe</w:t>
      </w:r>
    </w:p>
    <w:p w14:paraId="7F2A5C21" w14:textId="28E1ADAC" w:rsidR="000F7EEB" w:rsidRPr="00374AB8" w:rsidRDefault="000F7EEB" w:rsidP="00E250AD">
      <w:pPr>
        <w:pStyle w:val="ListParagraph"/>
      </w:pPr>
      <w:r w:rsidRPr="00374AB8">
        <w:t>assist everyone reach agreement about how to resolve the complaint</w:t>
      </w:r>
      <w:r w:rsidR="00B501DF">
        <w:t>,</w:t>
      </w:r>
      <w:r w:rsidR="00CC7A5C" w:rsidRPr="00374AB8">
        <w:t xml:space="preserve"> and</w:t>
      </w:r>
    </w:p>
    <w:p w14:paraId="5FB32A84" w14:textId="579EA01B" w:rsidR="000F7EEB" w:rsidRPr="00374AB8" w:rsidRDefault="000F7EEB" w:rsidP="00E250AD">
      <w:pPr>
        <w:pStyle w:val="ListParagraph"/>
      </w:pPr>
      <w:r w:rsidRPr="00374AB8">
        <w:t>ensure the process is fair</w:t>
      </w:r>
      <w:r w:rsidR="00CC7A5C" w:rsidRPr="00374AB8">
        <w:t>.</w:t>
      </w:r>
    </w:p>
    <w:p w14:paraId="4A747B70" w14:textId="2476769C" w:rsidR="00444109" w:rsidRDefault="00444109" w:rsidP="00444109">
      <w:r>
        <w:t>The Commission received a large volume of complaints</w:t>
      </w:r>
      <w:r w:rsidR="00CC7A5C">
        <w:t xml:space="preserve"> in 2020-21</w:t>
      </w:r>
      <w:r>
        <w:t>, partly due to COVID-19</w:t>
      </w:r>
      <w:r w:rsidR="00716499">
        <w:t>,</w:t>
      </w:r>
      <w:r>
        <w:t xml:space="preserve"> and has a backlog</w:t>
      </w:r>
      <w:r w:rsidR="008567F0">
        <w:t xml:space="preserve"> resulting in a </w:t>
      </w:r>
      <w:r>
        <w:t xml:space="preserve">current </w:t>
      </w:r>
      <w:r w:rsidR="008567F0">
        <w:t>delay between lodgement and assessment</w:t>
      </w:r>
      <w:r>
        <w:t xml:space="preserve"> of around 6 months.</w:t>
      </w:r>
      <w:r w:rsidR="006014E5">
        <w:t xml:space="preserve"> </w:t>
      </w:r>
    </w:p>
    <w:p w14:paraId="09BF4D28" w14:textId="3A81BFD3" w:rsidR="00696EDD" w:rsidRPr="00444109" w:rsidRDefault="00696EDD" w:rsidP="00444109">
      <w:r>
        <w:t xml:space="preserve">This section contains </w:t>
      </w:r>
      <w:r w:rsidR="009731D5">
        <w:t>several</w:t>
      </w:r>
      <w:r>
        <w:t xml:space="preserve"> </w:t>
      </w:r>
      <w:r w:rsidR="00B501DF">
        <w:t>graphs</w:t>
      </w:r>
      <w:r w:rsidR="009E2416">
        <w:t xml:space="preserve"> to </w:t>
      </w:r>
      <w:r w:rsidR="00A13052">
        <w:t>visually represent</w:t>
      </w:r>
      <w:r w:rsidR="009E2416">
        <w:t xml:space="preserve"> the </w:t>
      </w:r>
      <w:r w:rsidR="00C65E6A">
        <w:t>enquiries and complaints data</w:t>
      </w:r>
      <w:r w:rsidR="00A13052">
        <w:t xml:space="preserve"> held by the Commission</w:t>
      </w:r>
      <w:r w:rsidR="00DB0A70">
        <w:t xml:space="preserve">. </w:t>
      </w:r>
      <w:r w:rsidR="001C5314">
        <w:t xml:space="preserve">The same information is </w:t>
      </w:r>
      <w:r w:rsidR="008A3187">
        <w:t>provided</w:t>
      </w:r>
      <w:r w:rsidR="001C5314">
        <w:t xml:space="preserve"> in data</w:t>
      </w:r>
      <w:r w:rsidR="00DB0A70">
        <w:t xml:space="preserve"> t</w:t>
      </w:r>
      <w:r w:rsidR="00A13052">
        <w:t>ables in Appendix C.</w:t>
      </w:r>
    </w:p>
    <w:p w14:paraId="063BD27D" w14:textId="77777777" w:rsidR="00B501DF" w:rsidRDefault="00B501DF">
      <w:pPr>
        <w:spacing w:line="259" w:lineRule="auto"/>
        <w:ind w:right="0"/>
        <w:rPr>
          <w:rFonts w:eastAsia="Times New Roman" w:cs="Times New Roman"/>
          <w:bCs/>
          <w:color w:val="D46228"/>
          <w:kern w:val="36"/>
          <w:sz w:val="48"/>
          <w:szCs w:val="48"/>
          <w:lang w:eastAsia="en-AU"/>
        </w:rPr>
      </w:pPr>
      <w:bookmarkStart w:id="501" w:name="_Toc84593920"/>
      <w:bookmarkStart w:id="502" w:name="_Toc85451797"/>
      <w:bookmarkStart w:id="503" w:name="_Toc85526727"/>
      <w:bookmarkStart w:id="504" w:name="_Toc85787142"/>
      <w:r>
        <w:rPr>
          <w:color w:val="D46228"/>
        </w:rPr>
        <w:br w:type="page"/>
      </w:r>
    </w:p>
    <w:p w14:paraId="2C54730A" w14:textId="4BB1FCCB" w:rsidR="00DB3ED6" w:rsidRPr="00283488" w:rsidRDefault="00DB3ED6" w:rsidP="00283488">
      <w:pPr>
        <w:pStyle w:val="Heading1"/>
        <w:rPr>
          <w:color w:val="D46228"/>
        </w:rPr>
      </w:pPr>
      <w:r w:rsidRPr="00283488">
        <w:rPr>
          <w:color w:val="D46228"/>
        </w:rPr>
        <w:lastRenderedPageBreak/>
        <w:t>Internal complaints made to public entities</w:t>
      </w:r>
      <w:bookmarkEnd w:id="501"/>
      <w:bookmarkEnd w:id="502"/>
      <w:bookmarkEnd w:id="503"/>
      <w:bookmarkEnd w:id="504"/>
    </w:p>
    <w:p w14:paraId="3ECE1E39" w14:textId="77777777" w:rsidR="00DB3ED6" w:rsidRPr="008A00EB" w:rsidRDefault="00DB3ED6" w:rsidP="006A72DA">
      <w:r w:rsidRPr="008A00EB">
        <w:t xml:space="preserve">The Act allows a person to make a human rights complaint </w:t>
      </w:r>
      <w:r w:rsidR="00CC7A5C">
        <w:t>to the Commission</w:t>
      </w:r>
      <w:r w:rsidRPr="008A00EB">
        <w:t xml:space="preserve"> only after 45 business days have elapsed since the person has made an internal complaint to the relevant public entity. This process encourages direct resolution of complaints at the earliest possible stage.</w:t>
      </w:r>
    </w:p>
    <w:p w14:paraId="7EABF828" w14:textId="4323D462" w:rsidR="00DB3ED6" w:rsidRDefault="00DB3ED6" w:rsidP="006A72DA">
      <w:r w:rsidRPr="008A00EB">
        <w:t>Public entities must ensure an appropriate complaint handling procedure is in place for early resolution of complaints.</w:t>
      </w:r>
      <w:r w:rsidRPr="008A00EB">
        <w:rPr>
          <w:rStyle w:val="FootnoteReference"/>
        </w:rPr>
        <w:footnoteReference w:id="91"/>
      </w:r>
    </w:p>
    <w:p w14:paraId="50978858" w14:textId="4208A6AB" w:rsidR="005E2662" w:rsidRPr="008A00EB" w:rsidRDefault="005E2662" w:rsidP="006A72DA">
      <w:r>
        <w:t xml:space="preserve">Section 91(j) </w:t>
      </w:r>
      <w:r w:rsidR="008B5842">
        <w:t xml:space="preserve">of the Act </w:t>
      </w:r>
      <w:r>
        <w:t xml:space="preserve">requires the commissioner to report on human rights complaints made to particular entities, and allows the commissioner discretion to decide which public entities’ complaints </w:t>
      </w:r>
      <w:r w:rsidR="00015012">
        <w:t>to</w:t>
      </w:r>
      <w:r>
        <w:t xml:space="preserve"> report on</w:t>
      </w:r>
      <w:r w:rsidR="00015012">
        <w:t xml:space="preserve"> here</w:t>
      </w:r>
      <w:r>
        <w:t>.</w:t>
      </w:r>
    </w:p>
    <w:p w14:paraId="265BFFE2" w14:textId="7419343E" w:rsidR="00B81C8D" w:rsidRPr="00B81C8D" w:rsidRDefault="00D435D1" w:rsidP="00B81C8D">
      <w:r>
        <w:t xml:space="preserve">The Commission </w:t>
      </w:r>
      <w:r w:rsidR="003F54CC">
        <w:t xml:space="preserve">has </w:t>
      </w:r>
      <w:r>
        <w:t xml:space="preserve">selected the same public entities who responded to the Indicators in the previous section. </w:t>
      </w:r>
      <w:r w:rsidR="00DB3ED6" w:rsidRPr="008A00EB">
        <w:t xml:space="preserve">The annual reports of state government public entities and information provided to the Commission </w:t>
      </w:r>
      <w:r w:rsidR="00FE77FB">
        <w:t xml:space="preserve">under section 98 of the Act </w:t>
      </w:r>
      <w:r w:rsidR="00DB3ED6" w:rsidRPr="008A00EB">
        <w:t xml:space="preserve">have been used to compile the following information about complaint </w:t>
      </w:r>
      <w:r w:rsidR="008D4DFC">
        <w:t xml:space="preserve">numbers and </w:t>
      </w:r>
      <w:r w:rsidR="00F462A6">
        <w:t>outcomes</w:t>
      </w:r>
      <w:r w:rsidR="00256B16">
        <w:t>.</w:t>
      </w:r>
    </w:p>
    <w:p w14:paraId="0C259145" w14:textId="5C76632F" w:rsidR="00C305F0" w:rsidRDefault="00C305F0" w:rsidP="006A72DA">
      <w:r>
        <w:t xml:space="preserve">The Commission notes that </w:t>
      </w:r>
      <w:r w:rsidR="008D43F2">
        <w:t xml:space="preserve">there </w:t>
      </w:r>
      <w:r w:rsidR="001B29B4">
        <w:t>are</w:t>
      </w:r>
      <w:r w:rsidR="008D43F2">
        <w:t xml:space="preserve"> significant variations in how the human rights </w:t>
      </w:r>
      <w:r w:rsidR="00C9723E">
        <w:t xml:space="preserve">complaints </w:t>
      </w:r>
      <w:r w:rsidR="008D43F2">
        <w:t>are reported on between different state public entities</w:t>
      </w:r>
      <w:r w:rsidR="00DE3481">
        <w:t xml:space="preserve"> which makes it difficult to </w:t>
      </w:r>
      <w:r w:rsidR="00501537">
        <w:t>interpret</w:t>
      </w:r>
      <w:r w:rsidR="00575E82">
        <w:t xml:space="preserve"> </w:t>
      </w:r>
      <w:r w:rsidR="00F60AE2">
        <w:t>complaint outcomes</w:t>
      </w:r>
      <w:r w:rsidR="00090440">
        <w:t>,</w:t>
      </w:r>
      <w:r w:rsidR="00F60AE2">
        <w:t xml:space="preserve"> and </w:t>
      </w:r>
      <w:r w:rsidR="00C2130B">
        <w:t xml:space="preserve">to discern </w:t>
      </w:r>
      <w:r w:rsidR="00F60AE2">
        <w:t xml:space="preserve">the overall </w:t>
      </w:r>
      <w:r w:rsidR="00090440">
        <w:t>effectiveness</w:t>
      </w:r>
      <w:r w:rsidR="00F60AE2">
        <w:t xml:space="preserve"> of the internal human rights complaints </w:t>
      </w:r>
      <w:r w:rsidR="00C2130B">
        <w:t>process</w:t>
      </w:r>
      <w:r w:rsidR="00F60AE2">
        <w:t>.</w:t>
      </w:r>
    </w:p>
    <w:p w14:paraId="4A6A7061" w14:textId="77777777" w:rsidR="005F3A46" w:rsidRDefault="005F3A46">
      <w:pPr>
        <w:spacing w:line="259" w:lineRule="auto"/>
        <w:ind w:right="0"/>
        <w:rPr>
          <w:rFonts w:eastAsiaTheme="minorEastAsia"/>
          <w:b/>
          <w:bCs/>
          <w:i/>
          <w:iCs/>
          <w:color w:val="383D41"/>
          <w:sz w:val="20"/>
          <w:szCs w:val="18"/>
        </w:rPr>
      </w:pPr>
      <w:r>
        <w:br w:type="page"/>
      </w:r>
    </w:p>
    <w:p w14:paraId="7E11747F" w14:textId="05668E36" w:rsidR="008549E7" w:rsidRPr="008A00EB" w:rsidRDefault="008549E7" w:rsidP="00E3148E">
      <w:pPr>
        <w:pStyle w:val="Caption"/>
      </w:pPr>
      <w:r>
        <w:lastRenderedPageBreak/>
        <w:t>Table</w:t>
      </w:r>
      <w:r w:rsidR="005F3A46">
        <w:t xml:space="preserve"> 9</w:t>
      </w:r>
      <w:r>
        <w:t xml:space="preserve">: Internal human rights complaints made to public entities, </w:t>
      </w:r>
      <w:r w:rsidR="00584C8B">
        <w:t>2020-21</w:t>
      </w:r>
    </w:p>
    <w:tbl>
      <w:tblPr>
        <w:tblStyle w:val="TableGrid"/>
        <w:tblW w:w="9956" w:type="dxa"/>
        <w:tblBorders>
          <w:top w:val="single" w:sz="4" w:space="0" w:color="D46228"/>
          <w:left w:val="none" w:sz="0" w:space="0" w:color="auto"/>
          <w:bottom w:val="single" w:sz="4" w:space="0" w:color="D46228"/>
          <w:right w:val="none" w:sz="0" w:space="0" w:color="auto"/>
          <w:insideH w:val="single" w:sz="4" w:space="0" w:color="D46228"/>
          <w:insideV w:val="none" w:sz="0" w:space="0" w:color="auto"/>
        </w:tblBorders>
        <w:tblLook w:val="04A0" w:firstRow="1" w:lastRow="0" w:firstColumn="1" w:lastColumn="0" w:noHBand="0" w:noVBand="1"/>
      </w:tblPr>
      <w:tblGrid>
        <w:gridCol w:w="2127"/>
        <w:gridCol w:w="1701"/>
        <w:gridCol w:w="6128"/>
      </w:tblGrid>
      <w:tr w:rsidR="007521E3" w:rsidRPr="007521E3" w14:paraId="7C830953" w14:textId="77777777" w:rsidTr="7DB5F492">
        <w:trPr>
          <w:tblHeader/>
        </w:trPr>
        <w:tc>
          <w:tcPr>
            <w:tcW w:w="2127" w:type="dxa"/>
          </w:tcPr>
          <w:p w14:paraId="3150C993" w14:textId="2A983876" w:rsidR="00DB3ED6" w:rsidRPr="007521E3" w:rsidRDefault="008549E7" w:rsidP="00571790">
            <w:pPr>
              <w:pStyle w:val="TableTextHeading"/>
              <w:rPr>
                <w:color w:val="D46228"/>
              </w:rPr>
            </w:pPr>
            <w:r w:rsidRPr="007521E3">
              <w:rPr>
                <w:color w:val="D46228"/>
              </w:rPr>
              <w:t>Public e</w:t>
            </w:r>
            <w:r w:rsidR="00DB3ED6" w:rsidRPr="007521E3">
              <w:rPr>
                <w:color w:val="D46228"/>
              </w:rPr>
              <w:t>ntity</w:t>
            </w:r>
          </w:p>
        </w:tc>
        <w:tc>
          <w:tcPr>
            <w:tcW w:w="1701" w:type="dxa"/>
          </w:tcPr>
          <w:p w14:paraId="0351D337" w14:textId="6CA1D93B" w:rsidR="00DB3ED6" w:rsidRPr="007521E3" w:rsidRDefault="008549E7" w:rsidP="00571790">
            <w:pPr>
              <w:pStyle w:val="TableTextHeading"/>
              <w:rPr>
                <w:color w:val="D46228"/>
              </w:rPr>
            </w:pPr>
            <w:r w:rsidRPr="007521E3">
              <w:rPr>
                <w:color w:val="D46228"/>
              </w:rPr>
              <w:t>Number of c</w:t>
            </w:r>
            <w:r w:rsidR="00DB3ED6" w:rsidRPr="007521E3">
              <w:rPr>
                <w:color w:val="D46228"/>
              </w:rPr>
              <w:t>omplaints</w:t>
            </w:r>
          </w:p>
        </w:tc>
        <w:tc>
          <w:tcPr>
            <w:tcW w:w="6128" w:type="dxa"/>
          </w:tcPr>
          <w:p w14:paraId="75208B0B" w14:textId="77777777" w:rsidR="00DB3ED6" w:rsidRPr="007521E3" w:rsidRDefault="00DB3ED6" w:rsidP="00571790">
            <w:pPr>
              <w:pStyle w:val="TableTextHeading"/>
              <w:rPr>
                <w:color w:val="D46228"/>
              </w:rPr>
            </w:pPr>
            <w:r w:rsidRPr="007521E3">
              <w:rPr>
                <w:color w:val="D46228"/>
              </w:rPr>
              <w:t>Outcomes</w:t>
            </w:r>
          </w:p>
        </w:tc>
      </w:tr>
      <w:tr w:rsidR="00DB3ED6" w:rsidRPr="008A00EB" w14:paraId="5975F46A" w14:textId="77777777" w:rsidTr="7DB5F492">
        <w:tc>
          <w:tcPr>
            <w:tcW w:w="2127" w:type="dxa"/>
          </w:tcPr>
          <w:p w14:paraId="4A09AE50" w14:textId="055749CE" w:rsidR="00DB3ED6" w:rsidRPr="008A00EB" w:rsidRDefault="00DB3ED6" w:rsidP="006A72DA">
            <w:pPr>
              <w:pStyle w:val="TableText"/>
              <w:rPr>
                <w:b/>
              </w:rPr>
            </w:pPr>
            <w:r w:rsidRPr="008A00EB">
              <w:t>Department of Education</w:t>
            </w:r>
            <w:r w:rsidRPr="1A9ECB92">
              <w:rPr>
                <w:rStyle w:val="FootnoteReference"/>
              </w:rPr>
              <w:footnoteReference w:id="92"/>
            </w:r>
          </w:p>
        </w:tc>
        <w:tc>
          <w:tcPr>
            <w:tcW w:w="1701" w:type="dxa"/>
          </w:tcPr>
          <w:p w14:paraId="3A651E79" w14:textId="7A5AA183" w:rsidR="00DB3ED6" w:rsidRPr="008A00EB" w:rsidRDefault="19E73A1E" w:rsidP="006A72DA">
            <w:pPr>
              <w:pStyle w:val="TableText"/>
            </w:pPr>
            <w:r>
              <w:t>15 complaints</w:t>
            </w:r>
          </w:p>
        </w:tc>
        <w:tc>
          <w:tcPr>
            <w:tcW w:w="6128" w:type="dxa"/>
          </w:tcPr>
          <w:p w14:paraId="603E33B7" w14:textId="14315A2A" w:rsidR="00DB3ED6" w:rsidRPr="008A00EB" w:rsidRDefault="1377E635" w:rsidP="006A72DA">
            <w:pPr>
              <w:pStyle w:val="TableText"/>
            </w:pPr>
            <w:r>
              <w:t>These complaints were m</w:t>
            </w:r>
            <w:r w:rsidR="729494B5">
              <w:t>anaged</w:t>
            </w:r>
            <w:r w:rsidR="19E73A1E">
              <w:t xml:space="preserve"> according to the </w:t>
            </w:r>
            <w:r w:rsidR="0D9581F3">
              <w:t>D</w:t>
            </w:r>
            <w:r w:rsidR="729494B5">
              <w:t>epartment’s</w:t>
            </w:r>
            <w:r w:rsidR="19E73A1E">
              <w:t xml:space="preserve"> customer complaint management framework. </w:t>
            </w:r>
          </w:p>
          <w:p w14:paraId="098EEA41" w14:textId="44707EF3" w:rsidR="00DB3ED6" w:rsidRPr="008A00EB" w:rsidRDefault="00DB3ED6" w:rsidP="006A72DA">
            <w:pPr>
              <w:pStyle w:val="TableText"/>
            </w:pPr>
          </w:p>
          <w:p w14:paraId="6F563681" w14:textId="67B98B8B" w:rsidR="00DB3ED6" w:rsidRPr="008A00EB" w:rsidRDefault="19E73A1E" w:rsidP="006A72DA">
            <w:pPr>
              <w:pStyle w:val="TableText"/>
            </w:pPr>
            <w:r>
              <w:t>Action taken for substantiated complaints may include the department overturning a decision, giving an apology, changing a practice or process, providing a service not previously provided or addressing or referring the issue for system improvement.</w:t>
            </w:r>
          </w:p>
        </w:tc>
      </w:tr>
      <w:tr w:rsidR="00DB3ED6" w:rsidRPr="008A00EB" w14:paraId="64066A94" w14:textId="77777777" w:rsidTr="7DB5F492">
        <w:tc>
          <w:tcPr>
            <w:tcW w:w="2127" w:type="dxa"/>
          </w:tcPr>
          <w:p w14:paraId="1D2E6299" w14:textId="0469B5D6" w:rsidR="00DB3ED6" w:rsidRPr="008A00EB" w:rsidRDefault="00951544" w:rsidP="006A72DA">
            <w:pPr>
              <w:pStyle w:val="TableText"/>
            </w:pPr>
            <w:r>
              <w:t>Department of Communities, Housing and Digital Economy</w:t>
            </w:r>
            <w:r w:rsidRPr="6301ADE9">
              <w:rPr>
                <w:rStyle w:val="FootnoteReference"/>
              </w:rPr>
              <w:footnoteReference w:id="93"/>
            </w:r>
          </w:p>
        </w:tc>
        <w:tc>
          <w:tcPr>
            <w:tcW w:w="1701" w:type="dxa"/>
          </w:tcPr>
          <w:p w14:paraId="0807507A" w14:textId="486748C8" w:rsidR="00DB3ED6" w:rsidRPr="008A00EB" w:rsidRDefault="3A3634B9" w:rsidP="00CD0C3F">
            <w:pPr>
              <w:pStyle w:val="TableText"/>
            </w:pPr>
            <w:r>
              <w:t>30 complaints</w:t>
            </w:r>
          </w:p>
        </w:tc>
        <w:tc>
          <w:tcPr>
            <w:tcW w:w="6128" w:type="dxa"/>
          </w:tcPr>
          <w:p w14:paraId="3C434739" w14:textId="3E820B8B" w:rsidR="196EDED9" w:rsidRDefault="00582210" w:rsidP="494896AF">
            <w:pPr>
              <w:pStyle w:val="TableText"/>
            </w:pPr>
            <w:r>
              <w:t>30 complaints</w:t>
            </w:r>
            <w:r w:rsidR="0099399B">
              <w:t xml:space="preserve">, with 29 originating from clients and </w:t>
            </w:r>
            <w:r w:rsidR="196EDED9">
              <w:t>1 internal complaint</w:t>
            </w:r>
          </w:p>
          <w:p w14:paraId="001E4ABC" w14:textId="6FD4EE93" w:rsidR="757F2E81" w:rsidRDefault="757F2E81" w:rsidP="494896AF">
            <w:pPr>
              <w:pStyle w:val="TableText"/>
            </w:pPr>
            <w:r>
              <w:t xml:space="preserve">25 </w:t>
            </w:r>
            <w:r w:rsidR="00F6301E">
              <w:t xml:space="preserve">actions or decisions that led to </w:t>
            </w:r>
            <w:r>
              <w:t>complaints were</w:t>
            </w:r>
            <w:r w:rsidR="0099399B">
              <w:t xml:space="preserve"> </w:t>
            </w:r>
            <w:r w:rsidR="00F6301E">
              <w:t xml:space="preserve">found to be </w:t>
            </w:r>
            <w:r>
              <w:t>compatible with human rights</w:t>
            </w:r>
          </w:p>
          <w:p w14:paraId="0591DDA8" w14:textId="74384EBF" w:rsidR="0099399B" w:rsidRDefault="0099399B" w:rsidP="494896AF">
            <w:pPr>
              <w:pStyle w:val="TableText"/>
            </w:pPr>
            <w:r>
              <w:t xml:space="preserve">3 </w:t>
            </w:r>
            <w:r w:rsidR="00F6301E">
              <w:t xml:space="preserve">actions or </w:t>
            </w:r>
            <w:r w:rsidR="00522918">
              <w:t xml:space="preserve">decisions </w:t>
            </w:r>
            <w:r w:rsidR="00F6301E">
              <w:t xml:space="preserve">that led to complaints </w:t>
            </w:r>
            <w:r w:rsidR="00074570">
              <w:t xml:space="preserve">were </w:t>
            </w:r>
            <w:r w:rsidR="00522918">
              <w:t>found to be</w:t>
            </w:r>
            <w:r>
              <w:t xml:space="preserve"> incompatible with human rights</w:t>
            </w:r>
          </w:p>
          <w:p w14:paraId="51F4D8EC" w14:textId="7C14F997" w:rsidR="00DB3ED6" w:rsidRPr="008A00EB" w:rsidRDefault="16177B4C" w:rsidP="18B1F46A">
            <w:pPr>
              <w:pStyle w:val="TableText"/>
            </w:pPr>
            <w:r>
              <w:t xml:space="preserve">1 </w:t>
            </w:r>
            <w:r w:rsidR="46E99908">
              <w:t xml:space="preserve">outcome is </w:t>
            </w:r>
            <w:r>
              <w:t>pending</w:t>
            </w:r>
          </w:p>
          <w:p w14:paraId="0A546DD6" w14:textId="1E97AEC7" w:rsidR="00DB3ED6" w:rsidRPr="008A00EB" w:rsidRDefault="3A3634B9" w:rsidP="006A72DA">
            <w:pPr>
              <w:pStyle w:val="TableText"/>
            </w:pPr>
            <w:r>
              <w:t>1 referred to Q</w:t>
            </w:r>
            <w:r w:rsidR="08F40783">
              <w:t xml:space="preserve">ueensland </w:t>
            </w:r>
            <w:r>
              <w:t>H</w:t>
            </w:r>
            <w:r w:rsidR="1270FBB1">
              <w:t xml:space="preserve">uman </w:t>
            </w:r>
            <w:r>
              <w:t>R</w:t>
            </w:r>
            <w:r w:rsidR="112F87DE">
              <w:t xml:space="preserve">ights </w:t>
            </w:r>
            <w:r>
              <w:t>C</w:t>
            </w:r>
            <w:r w:rsidR="3B5A4911">
              <w:t>ommission</w:t>
            </w:r>
          </w:p>
        </w:tc>
      </w:tr>
      <w:tr w:rsidR="00DB3ED6" w:rsidRPr="008A00EB" w14:paraId="72E36248" w14:textId="77777777" w:rsidTr="7DB5F492">
        <w:tc>
          <w:tcPr>
            <w:tcW w:w="2127" w:type="dxa"/>
          </w:tcPr>
          <w:p w14:paraId="6533A6AD" w14:textId="3671D65B" w:rsidR="00DB3ED6" w:rsidRPr="008A00EB" w:rsidRDefault="00DB3ED6" w:rsidP="006A72DA">
            <w:pPr>
              <w:pStyle w:val="TableText"/>
            </w:pPr>
            <w:r w:rsidRPr="008A00EB">
              <w:t>Queensland Police Service</w:t>
            </w:r>
            <w:r w:rsidRPr="494896AF">
              <w:rPr>
                <w:rStyle w:val="FootnoteReference"/>
              </w:rPr>
              <w:footnoteReference w:id="94"/>
            </w:r>
          </w:p>
        </w:tc>
        <w:tc>
          <w:tcPr>
            <w:tcW w:w="1701" w:type="dxa"/>
          </w:tcPr>
          <w:p w14:paraId="098E1ECE" w14:textId="59562D2A" w:rsidR="00DB3ED6" w:rsidRPr="008A00EB" w:rsidRDefault="5986EF5F" w:rsidP="006A72DA">
            <w:pPr>
              <w:pStyle w:val="TableText"/>
            </w:pPr>
            <w:r>
              <w:t xml:space="preserve">893 complaints </w:t>
            </w:r>
          </w:p>
        </w:tc>
        <w:tc>
          <w:tcPr>
            <w:tcW w:w="6128" w:type="dxa"/>
          </w:tcPr>
          <w:p w14:paraId="7077B753" w14:textId="4AA299CE" w:rsidR="00DB3ED6" w:rsidRPr="008A00EB" w:rsidRDefault="5986EF5F" w:rsidP="494896AF">
            <w:pPr>
              <w:pStyle w:val="TableText"/>
            </w:pPr>
            <w:r>
              <w:t>893 complaints where it was identified that one or more human right</w:t>
            </w:r>
            <w:r w:rsidR="61FB9017">
              <w:t>s</w:t>
            </w:r>
            <w:r>
              <w:t xml:space="preserve"> may have been unreasonably limited.</w:t>
            </w:r>
          </w:p>
          <w:p w14:paraId="3A87368A" w14:textId="113173C4" w:rsidR="00DB3ED6" w:rsidRPr="008A00EB" w:rsidRDefault="65B613E6" w:rsidP="494896AF">
            <w:pPr>
              <w:pStyle w:val="TableText"/>
            </w:pPr>
            <w:r>
              <w:t>521 (of the 893) complaints were finalised as at 30 June 2021.</w:t>
            </w:r>
          </w:p>
          <w:p w14:paraId="732FB3B7" w14:textId="29AB5417" w:rsidR="00DB3ED6" w:rsidRPr="008A00EB" w:rsidRDefault="47FAD9FB" w:rsidP="494896AF">
            <w:pPr>
              <w:pStyle w:val="TableText"/>
            </w:pPr>
            <w:r>
              <w:t>32 instances where human rights were unreasonably limited resulting in the officers receiving managerial resolution and/or fine taken from the officer’s salary.</w:t>
            </w:r>
            <w:r w:rsidR="00197317">
              <w:t xml:space="preserve"> </w:t>
            </w:r>
            <w:r>
              <w:t>However, in most cases, there was no further action taken as no human rights limitations were detected, or an explanation was provided to the complainant as the officers’ actions were identified as being lawful and reasonable.</w:t>
            </w:r>
          </w:p>
          <w:p w14:paraId="5CD3D04A" w14:textId="79945D88" w:rsidR="00DB3ED6" w:rsidRPr="008A00EB" w:rsidRDefault="00DB3ED6" w:rsidP="494896AF">
            <w:pPr>
              <w:pStyle w:val="TableText"/>
            </w:pPr>
          </w:p>
          <w:p w14:paraId="7AA3A44F" w14:textId="437B1CCF" w:rsidR="00DB3ED6" w:rsidRPr="008A00EB" w:rsidRDefault="5986EF5F" w:rsidP="494896AF">
            <w:pPr>
              <w:pStyle w:val="TableText"/>
            </w:pPr>
            <w:r>
              <w:lastRenderedPageBreak/>
              <w:t>In 2020-21, the QPS refined the process and</w:t>
            </w:r>
            <w:r w:rsidR="40E1D1B7">
              <w:t xml:space="preserve"> </w:t>
            </w:r>
            <w:r>
              <w:t>methodology for identifying and recording complaints</w:t>
            </w:r>
            <w:r w:rsidR="00195A65">
              <w:t xml:space="preserve"> </w:t>
            </w:r>
            <w:r>
              <w:t>that may involve a human rights component. Each time the QPS received a complaint, human rights</w:t>
            </w:r>
            <w:r w:rsidR="7946BAA2">
              <w:t xml:space="preserve"> </w:t>
            </w:r>
            <w:r>
              <w:t>limitations were assessed to determine if any rights were</w:t>
            </w:r>
            <w:r w:rsidR="024ED7C1">
              <w:t xml:space="preserve"> </w:t>
            </w:r>
            <w:r>
              <w:t>unreasonably limited. The human rights</w:t>
            </w:r>
            <w:r w:rsidR="59E76E9A">
              <w:t xml:space="preserve"> </w:t>
            </w:r>
            <w:r>
              <w:t>aspect of each complaint was investigated along with the allegation/s, which assisted in determining</w:t>
            </w:r>
            <w:r w:rsidR="5D1A4704">
              <w:t xml:space="preserve"> </w:t>
            </w:r>
            <w:r>
              <w:t>the appropriate</w:t>
            </w:r>
            <w:r w:rsidR="15B72A61">
              <w:t xml:space="preserve"> </w:t>
            </w:r>
            <w:r>
              <w:t>resolution.</w:t>
            </w:r>
          </w:p>
        </w:tc>
      </w:tr>
      <w:tr w:rsidR="00DB3ED6" w:rsidRPr="008A00EB" w14:paraId="70DA328B" w14:textId="77777777" w:rsidTr="7DB5F492">
        <w:tc>
          <w:tcPr>
            <w:tcW w:w="2127" w:type="dxa"/>
          </w:tcPr>
          <w:p w14:paraId="183E6077" w14:textId="3377BCBE" w:rsidR="00DB3ED6" w:rsidRPr="008A00EB" w:rsidRDefault="00DB3ED6" w:rsidP="00CD0C3F">
            <w:pPr>
              <w:pStyle w:val="TableText"/>
            </w:pPr>
            <w:r w:rsidRPr="008A00EB">
              <w:lastRenderedPageBreak/>
              <w:t xml:space="preserve">Department of </w:t>
            </w:r>
            <w:r w:rsidR="00CD0C3F">
              <w:t>Children, Youth Justice and Multicultural Affairs</w:t>
            </w:r>
            <w:r w:rsidRPr="4DDC3D88">
              <w:rPr>
                <w:rStyle w:val="FootnoteReference"/>
              </w:rPr>
              <w:footnoteReference w:id="95"/>
            </w:r>
          </w:p>
        </w:tc>
        <w:tc>
          <w:tcPr>
            <w:tcW w:w="1701" w:type="dxa"/>
          </w:tcPr>
          <w:p w14:paraId="3542A2AA" w14:textId="2D9F8901" w:rsidR="00DB3ED6" w:rsidRPr="008A00EB" w:rsidRDefault="003B5A0E" w:rsidP="006A72DA">
            <w:pPr>
              <w:pStyle w:val="TableText"/>
            </w:pPr>
            <w:r>
              <w:t>124 allegations</w:t>
            </w:r>
          </w:p>
        </w:tc>
        <w:tc>
          <w:tcPr>
            <w:tcW w:w="6128" w:type="dxa"/>
          </w:tcPr>
          <w:p w14:paraId="4808657E" w14:textId="3B8EE494" w:rsidR="003B5A0E" w:rsidRPr="000872B1" w:rsidRDefault="003B5A0E" w:rsidP="003B5A0E">
            <w:pPr>
              <w:autoSpaceDE w:val="0"/>
              <w:autoSpaceDN w:val="0"/>
              <w:adjustRightInd w:val="0"/>
              <w:spacing w:line="240" w:lineRule="auto"/>
              <w:ind w:right="0"/>
              <w:rPr>
                <w:rFonts w:cs="Arial"/>
              </w:rPr>
            </w:pPr>
            <w:r w:rsidRPr="77300253">
              <w:rPr>
                <w:rFonts w:cs="Arial"/>
              </w:rPr>
              <w:t>99 of the 124 allegations have been closed</w:t>
            </w:r>
            <w:r w:rsidR="22C5860C" w:rsidRPr="7DB5F492">
              <w:rPr>
                <w:rFonts w:cs="Arial"/>
              </w:rPr>
              <w:t xml:space="preserve"> </w:t>
            </w:r>
            <w:r w:rsidR="22C5860C" w:rsidRPr="503226AF">
              <w:rPr>
                <w:rFonts w:cs="Arial"/>
              </w:rPr>
              <w:t>and</w:t>
            </w:r>
            <w:r w:rsidR="00015012">
              <w:rPr>
                <w:rFonts w:cs="Arial"/>
              </w:rPr>
              <w:t xml:space="preserve"> </w:t>
            </w:r>
            <w:r w:rsidRPr="503226AF">
              <w:rPr>
                <w:rFonts w:cs="Arial"/>
              </w:rPr>
              <w:t>25</w:t>
            </w:r>
            <w:r w:rsidRPr="326A0CE4">
              <w:rPr>
                <w:rFonts w:cs="Arial"/>
              </w:rPr>
              <w:t xml:space="preserve"> are still active.</w:t>
            </w:r>
          </w:p>
          <w:p w14:paraId="4040F485" w14:textId="603942E4" w:rsidR="326A0CE4" w:rsidRDefault="326A0CE4" w:rsidP="326A0CE4">
            <w:pPr>
              <w:spacing w:line="240" w:lineRule="auto"/>
              <w:ind w:right="0"/>
              <w:rPr>
                <w:rFonts w:cs="Arial"/>
              </w:rPr>
            </w:pPr>
          </w:p>
          <w:p w14:paraId="052A61FA" w14:textId="77777777" w:rsidR="003B5A0E" w:rsidRPr="000872B1" w:rsidRDefault="003B5A0E" w:rsidP="003B5A0E">
            <w:pPr>
              <w:autoSpaceDE w:val="0"/>
              <w:autoSpaceDN w:val="0"/>
              <w:adjustRightInd w:val="0"/>
              <w:spacing w:line="240" w:lineRule="auto"/>
              <w:ind w:right="0"/>
              <w:rPr>
                <w:rFonts w:cs="Arial"/>
                <w:szCs w:val="22"/>
              </w:rPr>
            </w:pPr>
            <w:r w:rsidRPr="000872B1">
              <w:rPr>
                <w:rFonts w:cs="Arial"/>
                <w:szCs w:val="22"/>
              </w:rPr>
              <w:t>Of the closed allegations:</w:t>
            </w:r>
          </w:p>
          <w:p w14:paraId="45FD6712" w14:textId="3A94D8CD" w:rsidR="003B5A0E" w:rsidRPr="000872B1" w:rsidRDefault="003B5A0E" w:rsidP="002D2599">
            <w:pPr>
              <w:pStyle w:val="ListParagraph"/>
              <w:numPr>
                <w:ilvl w:val="0"/>
                <w:numId w:val="17"/>
              </w:numPr>
              <w:autoSpaceDE w:val="0"/>
              <w:autoSpaceDN w:val="0"/>
              <w:adjustRightInd w:val="0"/>
              <w:spacing w:line="240" w:lineRule="auto"/>
              <w:ind w:right="0"/>
              <w:rPr>
                <w:rFonts w:eastAsia="Arial" w:cs="Arial"/>
              </w:rPr>
            </w:pPr>
            <w:r w:rsidRPr="326A0CE4">
              <w:rPr>
                <w:rFonts w:cs="Arial"/>
              </w:rPr>
              <w:t>38 did not involve a limitation of rights</w:t>
            </w:r>
          </w:p>
          <w:p w14:paraId="256800AC" w14:textId="55DB9D02" w:rsidR="003B5A0E" w:rsidRPr="000872B1" w:rsidRDefault="003B5A0E" w:rsidP="002D2599">
            <w:pPr>
              <w:pStyle w:val="ListParagraph"/>
              <w:numPr>
                <w:ilvl w:val="0"/>
                <w:numId w:val="17"/>
              </w:numPr>
              <w:autoSpaceDE w:val="0"/>
              <w:autoSpaceDN w:val="0"/>
              <w:adjustRightInd w:val="0"/>
              <w:spacing w:line="240" w:lineRule="auto"/>
              <w:ind w:right="0"/>
              <w:rPr>
                <w:rFonts w:eastAsia="Arial" w:cs="Arial"/>
              </w:rPr>
            </w:pPr>
            <w:r w:rsidRPr="326A0CE4">
              <w:rPr>
                <w:rFonts w:cs="Arial"/>
              </w:rPr>
              <w:t>41 involved limitations that were considered to be justifiable and reasonable</w:t>
            </w:r>
          </w:p>
          <w:p w14:paraId="071B5B7E" w14:textId="1F586CB3" w:rsidR="003B5A0E" w:rsidRDefault="003B5A0E" w:rsidP="002D2599">
            <w:pPr>
              <w:pStyle w:val="ListParagraph"/>
              <w:numPr>
                <w:ilvl w:val="0"/>
                <w:numId w:val="17"/>
              </w:numPr>
              <w:spacing w:line="240" w:lineRule="auto"/>
              <w:ind w:right="0"/>
              <w:rPr>
                <w:rFonts w:cs="Arial"/>
              </w:rPr>
            </w:pPr>
            <w:r w:rsidRPr="326A0CE4">
              <w:rPr>
                <w:rFonts w:cs="Arial"/>
              </w:rPr>
              <w:t>9 were substantiated and appropriate action has been taken</w:t>
            </w:r>
          </w:p>
          <w:p w14:paraId="322281CC" w14:textId="28CC5410" w:rsidR="00DB3ED6" w:rsidRPr="008A00EB" w:rsidRDefault="72C76480" w:rsidP="3453ED97">
            <w:pPr>
              <w:spacing w:line="240" w:lineRule="auto"/>
              <w:ind w:right="0"/>
              <w:rPr>
                <w:rFonts w:cs="Arial"/>
              </w:rPr>
            </w:pPr>
            <w:r w:rsidRPr="503226AF">
              <w:rPr>
                <w:rFonts w:cs="Arial"/>
              </w:rPr>
              <w:t>T</w:t>
            </w:r>
            <w:r w:rsidR="01D0B96F" w:rsidRPr="503226AF">
              <w:rPr>
                <w:rFonts w:cs="Arial"/>
              </w:rPr>
              <w:t>he</w:t>
            </w:r>
            <w:r w:rsidR="003B5A0E" w:rsidRPr="326A0CE4">
              <w:rPr>
                <w:rFonts w:cs="Arial"/>
              </w:rPr>
              <w:t xml:space="preserve"> remaining were withdrawn (3), referred (3), unable to determine (3) and out of scope (2).</w:t>
            </w:r>
            <w:r w:rsidR="25256706" w:rsidRPr="3453ED97">
              <w:rPr>
                <w:rFonts w:cs="Arial"/>
              </w:rPr>
              <w:t xml:space="preserve"> </w:t>
            </w:r>
          </w:p>
        </w:tc>
      </w:tr>
      <w:tr w:rsidR="00DB3ED6" w:rsidRPr="008A00EB" w14:paraId="7957DCCD" w14:textId="77777777" w:rsidTr="7DB5F492">
        <w:tc>
          <w:tcPr>
            <w:tcW w:w="2127" w:type="dxa"/>
          </w:tcPr>
          <w:p w14:paraId="7DD1EA9D" w14:textId="02C80473" w:rsidR="00DB3ED6" w:rsidRPr="008A00EB" w:rsidRDefault="00DB3ED6" w:rsidP="006A72DA">
            <w:pPr>
              <w:pStyle w:val="TableText"/>
            </w:pPr>
            <w:r w:rsidRPr="008A00EB">
              <w:t>Queensland Corrective Services</w:t>
            </w:r>
            <w:r w:rsidRPr="494896AF">
              <w:rPr>
                <w:rStyle w:val="FootnoteReference"/>
              </w:rPr>
              <w:footnoteReference w:id="96"/>
            </w:r>
          </w:p>
        </w:tc>
        <w:tc>
          <w:tcPr>
            <w:tcW w:w="1701" w:type="dxa"/>
          </w:tcPr>
          <w:p w14:paraId="15F2F57A" w14:textId="321FDACF" w:rsidR="00DB3ED6" w:rsidRPr="008A00EB" w:rsidRDefault="22C9DBA5" w:rsidP="006A72DA">
            <w:pPr>
              <w:pStyle w:val="TableText"/>
            </w:pPr>
            <w:r>
              <w:t xml:space="preserve">615 </w:t>
            </w:r>
          </w:p>
          <w:p w14:paraId="79228D6E" w14:textId="409EDF85" w:rsidR="00DB3ED6" w:rsidRPr="008A00EB" w:rsidRDefault="54F8F671" w:rsidP="006A72DA">
            <w:pPr>
              <w:pStyle w:val="TableText"/>
            </w:pPr>
            <w:r>
              <w:t>complaints</w:t>
            </w:r>
          </w:p>
        </w:tc>
        <w:tc>
          <w:tcPr>
            <w:tcW w:w="6128" w:type="dxa"/>
          </w:tcPr>
          <w:p w14:paraId="4288F43E" w14:textId="66E864D7" w:rsidR="00DB3ED6" w:rsidRPr="008A00EB" w:rsidRDefault="1D1AFAAF" w:rsidP="0089534D">
            <w:pPr>
              <w:pStyle w:val="TableText"/>
              <w:rPr>
                <w:rFonts w:cs="Arial"/>
              </w:rPr>
            </w:pPr>
            <w:r w:rsidRPr="3453ED97">
              <w:rPr>
                <w:rFonts w:cs="Arial"/>
              </w:rPr>
              <w:t xml:space="preserve">QCS received 615 complaints, including 77 complaints which raised a human rights issue. </w:t>
            </w:r>
          </w:p>
          <w:p w14:paraId="1423F25D" w14:textId="577E5B30" w:rsidR="00DB3ED6" w:rsidRPr="008A00EB" w:rsidRDefault="00DB3ED6" w:rsidP="00850B6B">
            <w:pPr>
              <w:pStyle w:val="TableText"/>
              <w:rPr>
                <w:rFonts w:cs="Arial"/>
              </w:rPr>
            </w:pPr>
          </w:p>
          <w:p w14:paraId="15AB3DCD" w14:textId="49E50C2C" w:rsidR="00DB3ED6" w:rsidRPr="008A00EB" w:rsidRDefault="1D1AFAAF" w:rsidP="00850B6B">
            <w:pPr>
              <w:pStyle w:val="TableText"/>
              <w:rPr>
                <w:rFonts w:cs="Arial"/>
              </w:rPr>
            </w:pPr>
            <w:r w:rsidRPr="3453ED97">
              <w:rPr>
                <w:rFonts w:cs="Arial"/>
              </w:rPr>
              <w:t>Issues raised for this reporting period predominantly fell within the following categories:</w:t>
            </w:r>
          </w:p>
          <w:p w14:paraId="6ACA589F" w14:textId="7D796A97" w:rsidR="00DB3ED6" w:rsidRPr="008A00EB" w:rsidRDefault="1D1AFAAF" w:rsidP="002D2599">
            <w:pPr>
              <w:pStyle w:val="TableText"/>
              <w:numPr>
                <w:ilvl w:val="0"/>
                <w:numId w:val="28"/>
              </w:numPr>
              <w:rPr>
                <w:rFonts w:eastAsia="Arial" w:cs="Arial"/>
                <w:szCs w:val="24"/>
              </w:rPr>
            </w:pPr>
            <w:r w:rsidRPr="3453ED97">
              <w:rPr>
                <w:rFonts w:cs="Arial"/>
              </w:rPr>
              <w:t>Offender Management (accommodation, communication, safety concerns), and</w:t>
            </w:r>
          </w:p>
          <w:p w14:paraId="2D2FAB2B" w14:textId="069B2CA2" w:rsidR="00DB3ED6" w:rsidRPr="008A00EB" w:rsidRDefault="1D1AFAAF" w:rsidP="002D2599">
            <w:pPr>
              <w:pStyle w:val="TableText"/>
              <w:numPr>
                <w:ilvl w:val="0"/>
                <w:numId w:val="28"/>
              </w:numPr>
              <w:rPr>
                <w:rFonts w:eastAsia="Arial" w:cs="Arial"/>
                <w:szCs w:val="24"/>
              </w:rPr>
            </w:pPr>
            <w:r w:rsidRPr="3453ED97">
              <w:rPr>
                <w:rFonts w:cs="Arial"/>
              </w:rPr>
              <w:t>Other (visitors/family).</w:t>
            </w:r>
          </w:p>
          <w:p w14:paraId="25829D3A" w14:textId="77777777" w:rsidR="00F044E4" w:rsidRDefault="00F044E4" w:rsidP="00850B6B">
            <w:pPr>
              <w:pStyle w:val="TableText"/>
              <w:rPr>
                <w:rFonts w:cs="Arial"/>
              </w:rPr>
            </w:pPr>
          </w:p>
          <w:p w14:paraId="51D12444" w14:textId="2B52E0B0" w:rsidR="00DB3ED6" w:rsidRPr="008A00EB" w:rsidRDefault="1D1AFAAF" w:rsidP="00850B6B">
            <w:pPr>
              <w:pStyle w:val="TableText"/>
              <w:rPr>
                <w:rFonts w:cs="Arial"/>
              </w:rPr>
            </w:pPr>
            <w:r w:rsidRPr="3453ED97">
              <w:rPr>
                <w:rFonts w:cs="Arial"/>
              </w:rPr>
              <w:t>Of the 77 human rights complaints received during this reporting period:</w:t>
            </w:r>
          </w:p>
          <w:p w14:paraId="0AC936E5" w14:textId="6985820D" w:rsidR="00DB3ED6" w:rsidRPr="008A00EB" w:rsidRDefault="1D1AFAAF" w:rsidP="002D2599">
            <w:pPr>
              <w:pStyle w:val="TableText"/>
              <w:numPr>
                <w:ilvl w:val="0"/>
                <w:numId w:val="29"/>
              </w:numPr>
              <w:rPr>
                <w:rFonts w:eastAsia="Arial" w:cs="Arial"/>
              </w:rPr>
            </w:pPr>
            <w:r w:rsidRPr="3453ED97">
              <w:rPr>
                <w:rFonts w:cs="Arial"/>
              </w:rPr>
              <w:t>Nine remain open and 68 have been closed.</w:t>
            </w:r>
          </w:p>
          <w:p w14:paraId="669C8F81" w14:textId="77777777" w:rsidR="00F044E4" w:rsidRDefault="00F044E4" w:rsidP="00850B6B">
            <w:pPr>
              <w:pStyle w:val="TableText"/>
              <w:rPr>
                <w:rFonts w:cs="Arial"/>
              </w:rPr>
            </w:pPr>
          </w:p>
          <w:p w14:paraId="71722CF9" w14:textId="773C7D37" w:rsidR="00DB3ED6" w:rsidRPr="008A00EB" w:rsidRDefault="1D1AFAAF" w:rsidP="00850B6B">
            <w:pPr>
              <w:pStyle w:val="TableText"/>
              <w:rPr>
                <w:rFonts w:cs="Arial"/>
              </w:rPr>
            </w:pPr>
            <w:r w:rsidRPr="3453ED97">
              <w:rPr>
                <w:rFonts w:cs="Arial"/>
              </w:rPr>
              <w:t>Of the 68 closed complaints:</w:t>
            </w:r>
          </w:p>
          <w:p w14:paraId="322345BD" w14:textId="10C1B357" w:rsidR="00DB3ED6" w:rsidRPr="008A00EB" w:rsidRDefault="1D1AFAAF" w:rsidP="002D2599">
            <w:pPr>
              <w:pStyle w:val="TableText"/>
              <w:numPr>
                <w:ilvl w:val="0"/>
                <w:numId w:val="29"/>
              </w:numPr>
              <w:rPr>
                <w:rFonts w:eastAsia="Arial" w:cs="Arial"/>
              </w:rPr>
            </w:pPr>
            <w:r w:rsidRPr="3453ED97">
              <w:rPr>
                <w:rFonts w:cs="Arial"/>
              </w:rPr>
              <w:t>55 were not substantiated,</w:t>
            </w:r>
          </w:p>
          <w:p w14:paraId="068C3E05" w14:textId="5D2FD6BD" w:rsidR="00DB3ED6" w:rsidRPr="008A00EB" w:rsidRDefault="00256B16" w:rsidP="002D2599">
            <w:pPr>
              <w:pStyle w:val="TableText"/>
              <w:numPr>
                <w:ilvl w:val="0"/>
                <w:numId w:val="29"/>
              </w:numPr>
              <w:rPr>
                <w:rFonts w:eastAsia="Arial" w:cs="Arial"/>
              </w:rPr>
            </w:pPr>
            <w:r>
              <w:t>1</w:t>
            </w:r>
            <w:r w:rsidR="1D1AFAAF" w:rsidRPr="3453ED97">
              <w:rPr>
                <w:rFonts w:cs="Arial"/>
              </w:rPr>
              <w:t xml:space="preserve"> was substantiated,</w:t>
            </w:r>
          </w:p>
          <w:p w14:paraId="4C2AF19B" w14:textId="0F4DF332" w:rsidR="00DB3ED6" w:rsidRPr="008A00EB" w:rsidRDefault="00256B16" w:rsidP="002D2599">
            <w:pPr>
              <w:pStyle w:val="TableText"/>
              <w:numPr>
                <w:ilvl w:val="0"/>
                <w:numId w:val="29"/>
              </w:numPr>
              <w:rPr>
                <w:rFonts w:eastAsia="Arial" w:cs="Arial"/>
              </w:rPr>
            </w:pPr>
            <w:r>
              <w:t>3</w:t>
            </w:r>
            <w:r w:rsidR="1D1AFAAF" w:rsidRPr="3453ED97">
              <w:rPr>
                <w:rFonts w:cs="Arial"/>
              </w:rPr>
              <w:t xml:space="preserve"> were partially substantiated, and</w:t>
            </w:r>
          </w:p>
          <w:p w14:paraId="743A3D8A" w14:textId="3C77732C" w:rsidR="00DB3ED6" w:rsidRPr="008A00EB" w:rsidRDefault="00256B16" w:rsidP="002D2599">
            <w:pPr>
              <w:pStyle w:val="TableText"/>
              <w:numPr>
                <w:ilvl w:val="0"/>
                <w:numId w:val="29"/>
              </w:numPr>
              <w:rPr>
                <w:rFonts w:eastAsia="Arial" w:cs="Arial"/>
              </w:rPr>
            </w:pPr>
            <w:r>
              <w:lastRenderedPageBreak/>
              <w:t>9</w:t>
            </w:r>
            <w:r w:rsidR="1D1AFAAF" w:rsidRPr="3453ED97">
              <w:rPr>
                <w:rFonts w:cs="Arial"/>
              </w:rPr>
              <w:t xml:space="preserve"> had other outcomes (including referred or made to another agency).</w:t>
            </w:r>
          </w:p>
        </w:tc>
      </w:tr>
      <w:tr w:rsidR="00DB3ED6" w:rsidRPr="008A00EB" w14:paraId="0F87D26E" w14:textId="77777777" w:rsidTr="7DB5F492">
        <w:tc>
          <w:tcPr>
            <w:tcW w:w="2127" w:type="dxa"/>
          </w:tcPr>
          <w:p w14:paraId="3ABEA679" w14:textId="6182B8B9" w:rsidR="00DB3ED6" w:rsidRPr="008A00EB" w:rsidRDefault="00951544" w:rsidP="006A72DA">
            <w:pPr>
              <w:pStyle w:val="TableText"/>
            </w:pPr>
            <w:r>
              <w:lastRenderedPageBreak/>
              <w:t>Department of Seniors, Disability Services and Aboriginal and Torres Strait Islander Partnerships</w:t>
            </w:r>
            <w:r w:rsidRPr="61539BFA">
              <w:rPr>
                <w:rStyle w:val="FootnoteReference"/>
              </w:rPr>
              <w:footnoteReference w:id="97"/>
            </w:r>
          </w:p>
        </w:tc>
        <w:tc>
          <w:tcPr>
            <w:tcW w:w="1701" w:type="dxa"/>
          </w:tcPr>
          <w:p w14:paraId="3F054F7E" w14:textId="7802582F" w:rsidR="00DB3ED6" w:rsidRPr="008A00EB" w:rsidRDefault="4FF67EED" w:rsidP="006A72DA">
            <w:pPr>
              <w:pStyle w:val="TableText"/>
            </w:pPr>
            <w:r>
              <w:t>7 complaints</w:t>
            </w:r>
          </w:p>
        </w:tc>
        <w:tc>
          <w:tcPr>
            <w:tcW w:w="6128" w:type="dxa"/>
          </w:tcPr>
          <w:p w14:paraId="3B3C5649" w14:textId="7F224E47" w:rsidR="00DB3ED6" w:rsidRPr="008A00EB" w:rsidRDefault="4FF67EED" w:rsidP="006A72DA">
            <w:pPr>
              <w:pStyle w:val="TableText"/>
            </w:pPr>
            <w:r>
              <w:t xml:space="preserve">6 matters found no substantiated breach </w:t>
            </w:r>
          </w:p>
          <w:p w14:paraId="21067373" w14:textId="0F83ECD5" w:rsidR="00DB3ED6" w:rsidRPr="008A00EB" w:rsidRDefault="4FF67EED" w:rsidP="006A72DA">
            <w:pPr>
              <w:pStyle w:val="TableText"/>
            </w:pPr>
            <w:r>
              <w:t xml:space="preserve">1 matter went to conciliation at </w:t>
            </w:r>
            <w:r w:rsidR="4A20BB8B">
              <w:t>C</w:t>
            </w:r>
            <w:r w:rsidR="4B99B615">
              <w:t>ommission</w:t>
            </w:r>
          </w:p>
        </w:tc>
      </w:tr>
      <w:tr w:rsidR="00DB3ED6" w:rsidRPr="008A00EB" w14:paraId="59DA5D0A" w14:textId="77777777" w:rsidTr="7DB5F492">
        <w:tc>
          <w:tcPr>
            <w:tcW w:w="2127" w:type="dxa"/>
          </w:tcPr>
          <w:p w14:paraId="3835BF4A" w14:textId="77777777" w:rsidR="00DB3ED6" w:rsidRPr="008A00EB" w:rsidRDefault="00DB3ED6" w:rsidP="006A72DA">
            <w:pPr>
              <w:pStyle w:val="TableText"/>
            </w:pPr>
            <w:r w:rsidRPr="008A00EB">
              <w:t>Queensland Civil and Administrative Tribunal</w:t>
            </w:r>
          </w:p>
        </w:tc>
        <w:tc>
          <w:tcPr>
            <w:tcW w:w="1701" w:type="dxa"/>
          </w:tcPr>
          <w:p w14:paraId="00F83D2C" w14:textId="32B34F90" w:rsidR="00DB3ED6" w:rsidRPr="008A00EB" w:rsidRDefault="00DB3ED6" w:rsidP="006A72DA">
            <w:pPr>
              <w:pStyle w:val="TableText"/>
            </w:pPr>
          </w:p>
        </w:tc>
        <w:tc>
          <w:tcPr>
            <w:tcW w:w="6128" w:type="dxa"/>
          </w:tcPr>
          <w:p w14:paraId="4E4F78CE" w14:textId="01517F63" w:rsidR="00DB3ED6" w:rsidRPr="008A00EB" w:rsidRDefault="11D367DF" w:rsidP="006A72DA">
            <w:pPr>
              <w:pStyle w:val="TableText"/>
              <w:rPr>
                <w:rFonts w:cs="Arial"/>
                <w:highlight w:val="yellow"/>
              </w:rPr>
            </w:pPr>
            <w:r w:rsidRPr="6ED110F8">
              <w:rPr>
                <w:rFonts w:cs="Arial"/>
              </w:rPr>
              <w:t>Annual Report unavailable</w:t>
            </w:r>
            <w:r w:rsidR="56E71EF9" w:rsidRPr="11D32826">
              <w:rPr>
                <w:rFonts w:cs="Arial"/>
              </w:rPr>
              <w:t xml:space="preserve"> at time of publication</w:t>
            </w:r>
            <w:r w:rsidRPr="6ED110F8">
              <w:rPr>
                <w:rFonts w:cs="Arial"/>
              </w:rPr>
              <w:t>.</w:t>
            </w:r>
          </w:p>
        </w:tc>
      </w:tr>
      <w:tr w:rsidR="00DB3ED6" w:rsidRPr="008A00EB" w14:paraId="346C85D8" w14:textId="77777777" w:rsidTr="7DB5F492">
        <w:tc>
          <w:tcPr>
            <w:tcW w:w="2127" w:type="dxa"/>
          </w:tcPr>
          <w:p w14:paraId="293024A5" w14:textId="4A5FF292" w:rsidR="00DB3ED6" w:rsidRPr="008A00EB" w:rsidRDefault="2C03A309" w:rsidP="006A72DA">
            <w:pPr>
              <w:pStyle w:val="TableText"/>
            </w:pPr>
            <w:r>
              <w:t>Department of Health</w:t>
            </w:r>
            <w:r w:rsidRPr="3BA6CB80">
              <w:rPr>
                <w:rStyle w:val="FootnoteReference"/>
              </w:rPr>
              <w:footnoteReference w:id="98"/>
            </w:r>
            <w:r w:rsidR="4D7DD52A">
              <w:br/>
            </w:r>
          </w:p>
        </w:tc>
        <w:tc>
          <w:tcPr>
            <w:tcW w:w="1701" w:type="dxa"/>
          </w:tcPr>
          <w:p w14:paraId="36FAA9E1" w14:textId="3FBBF242" w:rsidR="00DB3ED6" w:rsidRPr="008A00EB" w:rsidRDefault="24C8C56C" w:rsidP="006A72DA">
            <w:pPr>
              <w:pStyle w:val="TableText"/>
            </w:pPr>
            <w:r>
              <w:t>206 complaints</w:t>
            </w:r>
          </w:p>
        </w:tc>
        <w:tc>
          <w:tcPr>
            <w:tcW w:w="6128" w:type="dxa"/>
          </w:tcPr>
          <w:p w14:paraId="177FC3DE" w14:textId="49F2BF13" w:rsidR="00DB3ED6" w:rsidRPr="008A00EB" w:rsidRDefault="6F2DC974" w:rsidP="006A72DA">
            <w:pPr>
              <w:pStyle w:val="TableText"/>
            </w:pPr>
            <w:r>
              <w:t xml:space="preserve">169 complaints resolved by the </w:t>
            </w:r>
            <w:r w:rsidR="3F7FE5AE">
              <w:t>D</w:t>
            </w:r>
            <w:r>
              <w:t>epartment</w:t>
            </w:r>
          </w:p>
          <w:p w14:paraId="6464607C" w14:textId="7A957B94" w:rsidR="00DB3ED6" w:rsidRPr="008A00EB" w:rsidRDefault="24C8C56C" w:rsidP="006A72DA">
            <w:pPr>
              <w:pStyle w:val="TableText"/>
            </w:pPr>
            <w:r>
              <w:t>12 complaints remain ongoing/open</w:t>
            </w:r>
          </w:p>
          <w:p w14:paraId="3494D898" w14:textId="3EA7ABA8" w:rsidR="00DB3ED6" w:rsidRPr="008A00EB" w:rsidRDefault="24C8C56C" w:rsidP="006A72DA">
            <w:pPr>
              <w:pStyle w:val="TableText"/>
            </w:pPr>
            <w:r>
              <w:t>4 complaints were withdrawn</w:t>
            </w:r>
          </w:p>
          <w:p w14:paraId="690DD19F" w14:textId="2907923C" w:rsidR="00DB3ED6" w:rsidRPr="008A00EB" w:rsidRDefault="24C8C56C" w:rsidP="006A72DA">
            <w:pPr>
              <w:pStyle w:val="TableText"/>
            </w:pPr>
            <w:r>
              <w:t>2 complaints were referred to the QIRC for conciliation</w:t>
            </w:r>
          </w:p>
          <w:p w14:paraId="4953F1B5" w14:textId="5610206F" w:rsidR="00DB3ED6" w:rsidRPr="008A00EB" w:rsidRDefault="24C8C56C" w:rsidP="006A72DA">
            <w:pPr>
              <w:pStyle w:val="TableText"/>
            </w:pPr>
            <w:r>
              <w:t xml:space="preserve">19 complaints were unresolved (including closed or lapsed complaints by the QHRC). </w:t>
            </w:r>
          </w:p>
        </w:tc>
      </w:tr>
    </w:tbl>
    <w:p w14:paraId="4257882F" w14:textId="1D9A3D86" w:rsidR="004607A4" w:rsidRDefault="004607A4" w:rsidP="0089534D"/>
    <w:p w14:paraId="160DE26A" w14:textId="77777777" w:rsidR="005F3A46" w:rsidRDefault="005F3A46">
      <w:pPr>
        <w:spacing w:line="259" w:lineRule="auto"/>
        <w:ind w:right="0"/>
        <w:rPr>
          <w:rFonts w:eastAsia="Times New Roman" w:cs="Times New Roman"/>
          <w:bCs/>
          <w:color w:val="D46228"/>
          <w:kern w:val="36"/>
          <w:sz w:val="48"/>
          <w:szCs w:val="48"/>
          <w:lang w:eastAsia="en-AU"/>
        </w:rPr>
      </w:pPr>
      <w:bookmarkStart w:id="505" w:name="_Toc84593921"/>
      <w:bookmarkStart w:id="506" w:name="_Toc85451798"/>
      <w:bookmarkStart w:id="507" w:name="_Toc85526728"/>
      <w:bookmarkStart w:id="508" w:name="_Toc85787143"/>
      <w:r>
        <w:rPr>
          <w:color w:val="D46228"/>
        </w:rPr>
        <w:br w:type="page"/>
      </w:r>
    </w:p>
    <w:p w14:paraId="09F96FF9" w14:textId="70660D01" w:rsidR="00F647E3" w:rsidRDefault="00F647E3" w:rsidP="00283488">
      <w:pPr>
        <w:pStyle w:val="Heading1"/>
        <w:rPr>
          <w:color w:val="D46228"/>
        </w:rPr>
      </w:pPr>
      <w:r>
        <w:rPr>
          <w:color w:val="D46228"/>
        </w:rPr>
        <w:lastRenderedPageBreak/>
        <w:t>Early complaint resolution</w:t>
      </w:r>
      <w:bookmarkEnd w:id="505"/>
      <w:bookmarkEnd w:id="506"/>
      <w:bookmarkEnd w:id="507"/>
      <w:bookmarkEnd w:id="508"/>
    </w:p>
    <w:p w14:paraId="0782375C" w14:textId="02A75F1E" w:rsidR="00D411DB" w:rsidRDefault="00F647E3" w:rsidP="007E4C95">
      <w:r>
        <w:t xml:space="preserve">Last year, the Commission received </w:t>
      </w:r>
      <w:r w:rsidR="00736869">
        <w:t xml:space="preserve">positive </w:t>
      </w:r>
      <w:r>
        <w:t xml:space="preserve">reports from some advocates that complaints were being resolved prior to a complaint being lodged with the Commission. </w:t>
      </w:r>
    </w:p>
    <w:p w14:paraId="3BD12E15" w14:textId="7E0F0861" w:rsidR="007E4C95" w:rsidRPr="007E4C95" w:rsidRDefault="007E4C95" w:rsidP="007E4C95">
      <w:r>
        <w:t>Queensland Advocacy Incorporated (QAI)</w:t>
      </w:r>
      <w:r w:rsidR="00F647E3">
        <w:t xml:space="preserve"> provided </w:t>
      </w:r>
      <w:r>
        <w:t>a case study</w:t>
      </w:r>
      <w:r w:rsidR="00F647E3">
        <w:t xml:space="preserve"> from th</w:t>
      </w:r>
      <w:r w:rsidR="00256B16">
        <w:t>is</w:t>
      </w:r>
      <w:r w:rsidR="00F647E3">
        <w:t xml:space="preserve"> reporting period of one such situation:</w:t>
      </w:r>
    </w:p>
    <w:p w14:paraId="2A7CB4A1" w14:textId="4BDDA365" w:rsidR="007E4C95" w:rsidRPr="00F044E4" w:rsidRDefault="007E4C95" w:rsidP="432F67AA">
      <w:pPr>
        <w:pStyle w:val="Quote"/>
      </w:pPr>
      <w:r>
        <w:t xml:space="preserve">Amber* is a </w:t>
      </w:r>
      <w:r w:rsidR="00073AC8">
        <w:t>38-year-old</w:t>
      </w:r>
      <w:r>
        <w:t xml:space="preserve"> women with significant disability, who requires a wheelchair for access at all times, has small stature and shortened limbs. Due to health issues associated with her disability, Amber is required to frequently access a Brisbane-based public hospital for specialist treatment. </w:t>
      </w:r>
    </w:p>
    <w:p w14:paraId="01BB75E5" w14:textId="191FF695" w:rsidR="007E4C95" w:rsidRPr="00850B6B" w:rsidRDefault="007E4C95" w:rsidP="00850B6B">
      <w:pPr>
        <w:pStyle w:val="Quote"/>
      </w:pPr>
      <w:r w:rsidRPr="00F044E4">
        <w:t xml:space="preserve">Amber’s small stature and shortened limbs makes accessing automated ticket machines in commercial car parking facilities impossible. Amber lives independently with minimal support, and drives herself in a modified vehicle to all healthcare appointments. While an NDIS participant, her funding does not extend to cover travel to medical appointments by taxi. </w:t>
      </w:r>
    </w:p>
    <w:p w14:paraId="08C4F982" w14:textId="1BC0BB9B" w:rsidR="007E4C95" w:rsidRPr="00850B6B" w:rsidRDefault="007E4C95" w:rsidP="00850B6B">
      <w:pPr>
        <w:pStyle w:val="Quote"/>
      </w:pPr>
      <w:r w:rsidRPr="00F044E4">
        <w:t xml:space="preserve">Amber had been utilising designated disabled parking bays in the basement of the Hospital for a number of years, in order to attend her specialist appointments. This arrangement was facilitated by her specialist. Access to the basement parking is regulated by security guards. </w:t>
      </w:r>
    </w:p>
    <w:p w14:paraId="444D4A14" w14:textId="7458D3CD" w:rsidR="007E4C95" w:rsidRPr="00850B6B" w:rsidRDefault="007E4C95" w:rsidP="00850B6B">
      <w:pPr>
        <w:pStyle w:val="Quote"/>
      </w:pPr>
      <w:r w:rsidRPr="00F044E4">
        <w:t xml:space="preserve">In recent months, Amber was denied access to this parking by a security guard on each occasion she sought entry, notwithstanding that there were multiple available spaces visible at the time of each refusal. There was no reasonable explanation provided for this denial, only a direction that Amber instead use a disabled carpark adjacent to the hospital. As this carpark only featured a single car park and is situated on an uphill incline, it was not accessible for Amber. This inability to park in an accessible carpark was restricting her ability to access the health services that are essential for her to maintain her health, and to live. </w:t>
      </w:r>
    </w:p>
    <w:p w14:paraId="22C83BAF" w14:textId="675D0813" w:rsidR="007E4C95" w:rsidRPr="00850B6B" w:rsidRDefault="007E4C95" w:rsidP="00850B6B">
      <w:pPr>
        <w:pStyle w:val="Quote"/>
      </w:pPr>
      <w:r w:rsidRPr="00F044E4">
        <w:t xml:space="preserve">Amber sought QAI's assistance when her attempts to resolve this matter directly with the liaison officer through the Hospital’s complaints process was unsuccessful. QAI wrote to the Complaints Coordinator of the Hospital, reminding the Hospital of their obligations under the Human Rights Act 2019 (Qld) and expressing concern that the Hospital had not given proper consideration to Amber’s human rights in making the decision to deny her ongoing access to appropriate parking. We sought reinstatement of her access, along with the introduction of protocols to ensure these access rights were respected by all relevant staff. </w:t>
      </w:r>
    </w:p>
    <w:p w14:paraId="464B6366" w14:textId="6B522C4D" w:rsidR="007E4C95" w:rsidRPr="00850B6B" w:rsidRDefault="007E4C95" w:rsidP="00850B6B">
      <w:pPr>
        <w:pStyle w:val="Quote"/>
      </w:pPr>
      <w:r>
        <w:lastRenderedPageBreak/>
        <w:t xml:space="preserve">QAI's letter prompted an immediate response and, within 10 days, our client received a telephone call from the Hospital Director who offered a sincere apology for Amber’s treatment and an assurance that the matter had been addressed and appropriate training introduced to ensure staff were aware of their obligations. Amber was also provided with details of a direct contact person within the Hospital to contact in the event of any problems. Amber has not experienced any further barriers to accessing this parking. </w:t>
      </w:r>
    </w:p>
    <w:p w14:paraId="4185F7E6" w14:textId="37AF08E0" w:rsidR="00F647E3" w:rsidRPr="002C4882" w:rsidRDefault="007E4C95" w:rsidP="008F2C35">
      <w:pPr>
        <w:pStyle w:val="Quote"/>
        <w:rPr>
          <w:iCs w:val="0"/>
        </w:rPr>
      </w:pPr>
      <w:r w:rsidRPr="008F2C35">
        <w:t>* Name has been changed</w:t>
      </w:r>
    </w:p>
    <w:p w14:paraId="50F446A0" w14:textId="03C9D779" w:rsidR="00186EBA" w:rsidRPr="00056FD8" w:rsidRDefault="00056FD8" w:rsidP="00186EBA">
      <w:r>
        <w:t>A housing service provider</w:t>
      </w:r>
      <w:r w:rsidR="00186EBA">
        <w:t xml:space="preserve"> has provided the following case study of how the Act </w:t>
      </w:r>
      <w:r w:rsidR="00D411DB">
        <w:t>is</w:t>
      </w:r>
      <w:r w:rsidR="00186EBA">
        <w:t xml:space="preserve"> a difference </w:t>
      </w:r>
      <w:r w:rsidR="5A56F91D">
        <w:t xml:space="preserve">in </w:t>
      </w:r>
      <w:r w:rsidR="00D411DB">
        <w:t>everyday decisions</w:t>
      </w:r>
      <w:r w:rsidR="00186EBA">
        <w:t xml:space="preserve"> in the </w:t>
      </w:r>
      <w:r w:rsidR="002E1CDB">
        <w:t xml:space="preserve">public </w:t>
      </w:r>
      <w:r w:rsidR="00186EBA">
        <w:t>housing sector:</w:t>
      </w:r>
    </w:p>
    <w:p w14:paraId="1C5A7D23" w14:textId="1E0C7292" w:rsidR="00DF1550" w:rsidRDefault="00DF1550" w:rsidP="00A56D81">
      <w:pPr>
        <w:pStyle w:val="Quote"/>
      </w:pPr>
      <w:r>
        <w:t>A young Aboriginal woman was living in a multi-dwelling complex with her sibling over whom she had formal custody under a child safety order. Repeated disruptive incidents over a two year period had left the neighbours feeling fatigued and impacted by this tenant’s behaviour. Following a recent incident at the property involving police, she was issued a Notice to Leave.</w:t>
      </w:r>
    </w:p>
    <w:p w14:paraId="567F5FD6" w14:textId="77777777" w:rsidR="00DF1550" w:rsidRDefault="00DF1550" w:rsidP="00A56D81">
      <w:pPr>
        <w:pStyle w:val="Quote"/>
      </w:pPr>
      <w:r>
        <w:t xml:space="preserve">The housing provider needed to carefully balance the rights of the neighbours to live in peace, comfort and privacy with the cultural rights of the tenant and the child living at the property. </w:t>
      </w:r>
    </w:p>
    <w:p w14:paraId="6F8C7074" w14:textId="77777777" w:rsidR="00DF1550" w:rsidRDefault="00DF1550" w:rsidP="00A56D81">
      <w:pPr>
        <w:pStyle w:val="Quote"/>
      </w:pPr>
      <w:r>
        <w:t xml:space="preserve">After making enquiries the housing officer identified that the woman had significant mental health issues and was experiencing serious domestic violence for which she was not receiving support. The housing officer linked the siblings to culturally appropriate supports and decided not to proceed to enforce the Notice to Leave, instead facilitating a transfer to an Indigenous Housing property. </w:t>
      </w:r>
    </w:p>
    <w:p w14:paraId="79C2F890" w14:textId="77777777" w:rsidR="00DF1550" w:rsidRDefault="00DF1550" w:rsidP="00A56D81">
      <w:pPr>
        <w:pStyle w:val="Quote"/>
      </w:pPr>
      <w:r>
        <w:t>The outcome has been a fresh start for the siblings in a lower density housing complex, with new neighbours who have not complained about disruption or challenging behaviours. The new residence is more suitable for the long-term, including when the younger sibling turns 18.</w:t>
      </w:r>
    </w:p>
    <w:p w14:paraId="341472DA" w14:textId="77777777" w:rsidR="00DF1550" w:rsidRPr="00DF1550" w:rsidRDefault="00DF1550" w:rsidP="00DF1550"/>
    <w:p w14:paraId="656CBA6F" w14:textId="77777777" w:rsidR="005F3A46" w:rsidRDefault="005F3A46">
      <w:pPr>
        <w:spacing w:line="259" w:lineRule="auto"/>
        <w:ind w:right="0"/>
        <w:rPr>
          <w:rFonts w:eastAsia="Times New Roman" w:cs="Times New Roman"/>
          <w:bCs/>
          <w:color w:val="D46228"/>
          <w:kern w:val="36"/>
          <w:sz w:val="48"/>
          <w:szCs w:val="48"/>
          <w:lang w:eastAsia="en-AU"/>
        </w:rPr>
      </w:pPr>
      <w:bookmarkStart w:id="509" w:name="_Toc84593922"/>
      <w:bookmarkStart w:id="510" w:name="_Toc85451799"/>
      <w:bookmarkStart w:id="511" w:name="_Toc85526729"/>
      <w:bookmarkStart w:id="512" w:name="_Toc85787144"/>
      <w:r>
        <w:rPr>
          <w:color w:val="D46228"/>
        </w:rPr>
        <w:br w:type="page"/>
      </w:r>
    </w:p>
    <w:p w14:paraId="2C7F91A9" w14:textId="2DB3CA82" w:rsidR="009D7F54" w:rsidRPr="00283488" w:rsidRDefault="009D7F54" w:rsidP="00283488">
      <w:pPr>
        <w:pStyle w:val="Heading1"/>
        <w:rPr>
          <w:color w:val="D46228"/>
        </w:rPr>
      </w:pPr>
      <w:r w:rsidRPr="00283488">
        <w:rPr>
          <w:color w:val="D46228"/>
        </w:rPr>
        <w:lastRenderedPageBreak/>
        <w:t>Enquiries to the Commission</w:t>
      </w:r>
      <w:bookmarkEnd w:id="509"/>
      <w:bookmarkEnd w:id="510"/>
      <w:bookmarkEnd w:id="511"/>
      <w:bookmarkEnd w:id="512"/>
    </w:p>
    <w:p w14:paraId="69764279" w14:textId="55DC18EF" w:rsidR="004B5868" w:rsidRDefault="004B5868" w:rsidP="004B5868">
      <w:r>
        <w:t>The Commission does not collect demographic data for every enquiry, but those where this information is collected provide some insight. People can enquire with us by phone, email or in person.</w:t>
      </w:r>
      <w:r w:rsidR="002C4882">
        <w:t xml:space="preserve"> </w:t>
      </w:r>
      <w:r>
        <w:t>Those enquiring about human rights may be potential complainants, lawyers or advocates, support persons, or employees from public sector entities.</w:t>
      </w:r>
    </w:p>
    <w:p w14:paraId="0CD091F7" w14:textId="049E07EB" w:rsidR="000C73EE" w:rsidRDefault="009D7F54" w:rsidP="006A72DA">
      <w:r w:rsidRPr="008A00EB">
        <w:t xml:space="preserve">The Commission received </w:t>
      </w:r>
      <w:r w:rsidR="0073481A">
        <w:t>1</w:t>
      </w:r>
      <w:r w:rsidR="006B1C1C">
        <w:t>,</w:t>
      </w:r>
      <w:r w:rsidR="0073481A">
        <w:t>084</w:t>
      </w:r>
      <w:r w:rsidRPr="008A00EB">
        <w:t xml:space="preserve"> enquiries that were identified as being about human rights</w:t>
      </w:r>
      <w:r w:rsidR="00B96D8A">
        <w:t xml:space="preserve">, up </w:t>
      </w:r>
      <w:r w:rsidR="0073481A">
        <w:t>65</w:t>
      </w:r>
      <w:r w:rsidR="00AD4D3C">
        <w:t xml:space="preserve">% </w:t>
      </w:r>
      <w:r w:rsidR="00B96D8A">
        <w:t>from the previous year</w:t>
      </w:r>
      <w:r w:rsidR="0073481A">
        <w:t xml:space="preserve"> (655 enquiries were taken last year)</w:t>
      </w:r>
      <w:r w:rsidRPr="008A00EB">
        <w:t>.</w:t>
      </w:r>
      <w:r w:rsidR="008D613E">
        <w:rPr>
          <w:rStyle w:val="FootnoteReference"/>
        </w:rPr>
        <w:footnoteReference w:id="99"/>
      </w:r>
      <w:r w:rsidRPr="008A00EB">
        <w:t xml:space="preserve"> This </w:t>
      </w:r>
      <w:r w:rsidR="00716499">
        <w:t>represents</w:t>
      </w:r>
      <w:r w:rsidR="00573BF6">
        <w:t xml:space="preserve"> approximately</w:t>
      </w:r>
      <w:r w:rsidRPr="008A00EB">
        <w:t xml:space="preserve"> </w:t>
      </w:r>
      <w:r w:rsidR="0073481A">
        <w:t>26.1</w:t>
      </w:r>
      <w:r w:rsidR="00D27073">
        <w:t>%</w:t>
      </w:r>
      <w:r w:rsidRPr="008A00EB">
        <w:t xml:space="preserve"> of enquiries received by the Commission for the financial year</w:t>
      </w:r>
      <w:r w:rsidR="00BA291D">
        <w:t>, where the topic of the enquiry was collected</w:t>
      </w:r>
      <w:r w:rsidR="007D1859">
        <w:t>.</w:t>
      </w:r>
      <w:r w:rsidRPr="008A00EB">
        <w:t xml:space="preserve"> </w:t>
      </w:r>
      <w:r w:rsidR="007D1859">
        <w:t>E</w:t>
      </w:r>
      <w:r w:rsidRPr="008A00EB">
        <w:t xml:space="preserve">nquiries about discrimination </w:t>
      </w:r>
      <w:r w:rsidR="00D27073">
        <w:t xml:space="preserve">still </w:t>
      </w:r>
      <w:r w:rsidRPr="008A00EB">
        <w:t>predominated (</w:t>
      </w:r>
      <w:r w:rsidR="0073481A">
        <w:t>35.1</w:t>
      </w:r>
      <w:r w:rsidR="007D1859">
        <w:t xml:space="preserve">%) but </w:t>
      </w:r>
      <w:r w:rsidR="00DB2CFF">
        <w:t>the</w:t>
      </w:r>
      <w:r w:rsidR="007D1859">
        <w:t xml:space="preserve"> gap appears to be narrowing.</w:t>
      </w:r>
      <w:r w:rsidR="000C73EE">
        <w:t xml:space="preserve"> </w:t>
      </w:r>
    </w:p>
    <w:p w14:paraId="3503CAE0" w14:textId="6B522C4D" w:rsidR="009D7F54" w:rsidRDefault="000C73EE" w:rsidP="006A72DA">
      <w:r>
        <w:t>157 of the 96</w:t>
      </w:r>
      <w:r w:rsidR="008D613E">
        <w:t>9</w:t>
      </w:r>
      <w:r>
        <w:t xml:space="preserve"> human rights enquiries </w:t>
      </w:r>
      <w:r w:rsidR="00FF592E">
        <w:t xml:space="preserve">(16%) </w:t>
      </w:r>
      <w:r>
        <w:t>were about COVID-19</w:t>
      </w:r>
      <w:r w:rsidR="004B5868">
        <w:t>,</w:t>
      </w:r>
      <w:r>
        <w:t xml:space="preserve"> regarding issues such as hotel quarantine, border closures and exemptions</w:t>
      </w:r>
      <w:r w:rsidR="008567F0">
        <w:t>,</w:t>
      </w:r>
      <w:r>
        <w:t xml:space="preserve"> and mask-wearing requirements.</w:t>
      </w:r>
    </w:p>
    <w:p w14:paraId="2951F5CF" w14:textId="2F14E544" w:rsidR="004378D1" w:rsidRDefault="004B5868" w:rsidP="006A72DA">
      <w:r>
        <w:t>Human rights e</w:t>
      </w:r>
      <w:r w:rsidR="00573BF6">
        <w:t xml:space="preserve">nquiries came </w:t>
      </w:r>
      <w:r w:rsidR="00212D07">
        <w:t xml:space="preserve">mostly from </w:t>
      </w:r>
      <w:r w:rsidR="00573BF6">
        <w:t>within Queensland</w:t>
      </w:r>
      <w:r w:rsidR="00212D07">
        <w:t xml:space="preserve">, predominantly from the </w:t>
      </w:r>
      <w:r>
        <w:t>southeast</w:t>
      </w:r>
      <w:r w:rsidR="00573BF6">
        <w:t xml:space="preserve"> region</w:t>
      </w:r>
      <w:r w:rsidR="00212D07">
        <w:t xml:space="preserve"> but also other regional areas</w:t>
      </w:r>
      <w:r w:rsidR="00991760">
        <w:t xml:space="preserve"> on the coast</w:t>
      </w:r>
      <w:r w:rsidR="00573BF6">
        <w:t xml:space="preserve">, with a </w:t>
      </w:r>
      <w:r w:rsidR="0001180F">
        <w:t>number also</w:t>
      </w:r>
      <w:r w:rsidR="00573BF6">
        <w:t xml:space="preserve"> coming from interstate. </w:t>
      </w:r>
      <w:r w:rsidR="0001180F">
        <w:t>This may be</w:t>
      </w:r>
      <w:r w:rsidR="00DA1324">
        <w:t xml:space="preserve"> partly</w:t>
      </w:r>
      <w:r w:rsidR="0001180F">
        <w:t xml:space="preserve"> explained by enquiries relating to COVID-19 from people located interstate who were</w:t>
      </w:r>
      <w:r w:rsidR="00BF7A59">
        <w:t xml:space="preserve"> either residents currently outside the state, or non-residents intending to come to Queensland.</w:t>
      </w:r>
    </w:p>
    <w:p w14:paraId="05581463" w14:textId="77777777" w:rsidR="005D3D9F" w:rsidRDefault="005D3D9F">
      <w:pPr>
        <w:spacing w:line="259" w:lineRule="auto"/>
        <w:ind w:right="0"/>
        <w:rPr>
          <w:rFonts w:eastAsiaTheme="minorEastAsia"/>
          <w:b/>
          <w:bCs/>
          <w:i/>
          <w:iCs/>
          <w:color w:val="383D41"/>
          <w:sz w:val="20"/>
          <w:szCs w:val="18"/>
        </w:rPr>
      </w:pPr>
      <w:r>
        <w:br w:type="page"/>
      </w:r>
    </w:p>
    <w:p w14:paraId="41BA9249" w14:textId="4E5A9D79" w:rsidR="003B38ED" w:rsidRDefault="003B38ED" w:rsidP="003B38ED">
      <w:pPr>
        <w:pStyle w:val="Caption"/>
      </w:pPr>
      <w:r>
        <w:lastRenderedPageBreak/>
        <w:t>Figure</w:t>
      </w:r>
      <w:r w:rsidR="00E457D3">
        <w:t xml:space="preserve"> </w:t>
      </w:r>
      <w:r w:rsidR="005F3A46">
        <w:t>4</w:t>
      </w:r>
      <w:r>
        <w:t>: Enquiries to the Commission by enquirer location in Australia, 2020-21</w:t>
      </w:r>
    </w:p>
    <w:p w14:paraId="6A81AF31" w14:textId="63B21D5C" w:rsidR="004378D1" w:rsidRDefault="003B38ED" w:rsidP="006A72DA">
      <w:r>
        <w:rPr>
          <w:rFonts w:eastAsia="Times New Roman" w:cs="Times New Roman"/>
          <w:noProof/>
          <w:sz w:val="16"/>
          <w:szCs w:val="16"/>
          <w:lang w:eastAsia="en-AU"/>
        </w:rPr>
        <w:drawing>
          <wp:inline distT="0" distB="0" distL="0" distR="0" wp14:anchorId="431D4178" wp14:editId="02600626">
            <wp:extent cx="4762500" cy="4171907"/>
            <wp:effectExtent l="0" t="0" r="0" b="0"/>
            <wp:docPr id="11" name="Picture 11" descr="Figure 4: Enquiries to the Commission by enquirer location in Australia, 2020-21&#10;&#10;This image is a stylised map of Australia. Land is shown as gold, the ocean has no colour. On the map are navy dots to denote the numbers of enquiries made from that location. The largest number of dots are in the southeast corner of Queensland, where many dots overlap. Others are scattered up the Queensland coastline, with five in western and northwest Queensland. There are four in New South Wales, three in Victoria, and one in the Northern Territory.  The map isn't labelled with location n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Figure 4: Enquiries to the Commission by enquirer location in Australia, 2020-21&#10;&#10;This image is a stylised map of Australia. Land is shown as gold, the ocean has no colour. On the map are navy dots to denote the numbers of enquiries made from that location. The largest number of dots are in the southeast corner of Queensland, where many dots overlap. Others are scattered up the Queensland coastline, with five in western and northwest Queensland. There are four in New South Wales, three in Victoria, and one in the Northern Territory.  The map isn't labelled with location names. "/>
                    <pic:cNvPicPr/>
                  </pic:nvPicPr>
                  <pic:blipFill>
                    <a:blip r:embed="rId55" cstate="print">
                      <a:extLst>
                        <a:ext uri="{28A0092B-C50C-407E-A947-70E740481C1C}">
                          <a14:useLocalDpi xmlns:a14="http://schemas.microsoft.com/office/drawing/2010/main" val="0"/>
                        </a:ext>
                      </a:extLst>
                    </a:blip>
                    <a:stretch>
                      <a:fillRect/>
                    </a:stretch>
                  </pic:blipFill>
                  <pic:spPr>
                    <a:xfrm>
                      <a:off x="0" y="0"/>
                      <a:ext cx="4772942" cy="4181054"/>
                    </a:xfrm>
                    <a:prstGeom prst="rect">
                      <a:avLst/>
                    </a:prstGeom>
                  </pic:spPr>
                </pic:pic>
              </a:graphicData>
            </a:graphic>
          </wp:inline>
        </w:drawing>
      </w:r>
    </w:p>
    <w:p w14:paraId="5FFF1805" w14:textId="4D087366" w:rsidR="00AC2A4F" w:rsidRDefault="009D7F54" w:rsidP="006A72DA">
      <w:r w:rsidRPr="008A00EB">
        <w:t xml:space="preserve">While </w:t>
      </w:r>
      <w:r w:rsidR="00573BF6">
        <w:t>the vast majority of</w:t>
      </w:r>
      <w:r w:rsidRPr="008A00EB">
        <w:t xml:space="preserve"> enquirers were born in Australia, </w:t>
      </w:r>
      <w:r w:rsidR="004B5868">
        <w:t>the Commission</w:t>
      </w:r>
      <w:r w:rsidR="004B5868" w:rsidRPr="008A00EB">
        <w:t xml:space="preserve"> </w:t>
      </w:r>
      <w:r w:rsidR="00573BF6">
        <w:t>continued to receive</w:t>
      </w:r>
      <w:r w:rsidRPr="008A00EB">
        <w:t xml:space="preserve"> contact </w:t>
      </w:r>
      <w:r w:rsidR="00991760">
        <w:t>from people with diverse backgrounds</w:t>
      </w:r>
      <w:r w:rsidR="00573BF6">
        <w:t>, but mostly from people born in New Zealand or the United Kingdom</w:t>
      </w:r>
      <w:r w:rsidRPr="008A00EB">
        <w:t>.</w:t>
      </w:r>
      <w:r w:rsidR="006001C0">
        <w:t xml:space="preserve"> Around </w:t>
      </w:r>
      <w:r w:rsidR="00573BF6">
        <w:t>16</w:t>
      </w:r>
      <w:r w:rsidR="006001C0">
        <w:t xml:space="preserve">% of enquirers </w:t>
      </w:r>
      <w:r w:rsidR="00573BF6">
        <w:t xml:space="preserve">overall </w:t>
      </w:r>
      <w:r w:rsidR="006001C0">
        <w:t>were born outside of Australia.</w:t>
      </w:r>
    </w:p>
    <w:p w14:paraId="694BEF2C" w14:textId="77777777" w:rsidR="005D3D9F" w:rsidRDefault="005D3D9F">
      <w:pPr>
        <w:spacing w:line="259" w:lineRule="auto"/>
        <w:ind w:right="0"/>
        <w:rPr>
          <w:rFonts w:eastAsiaTheme="minorEastAsia"/>
          <w:b/>
          <w:bCs/>
          <w:i/>
          <w:iCs/>
          <w:color w:val="383D41"/>
          <w:sz w:val="20"/>
          <w:szCs w:val="18"/>
        </w:rPr>
      </w:pPr>
      <w:r>
        <w:br w:type="page"/>
      </w:r>
    </w:p>
    <w:p w14:paraId="6B9D018C" w14:textId="38D89EAC" w:rsidR="0004050B" w:rsidRDefault="0004050B" w:rsidP="00E3148E">
      <w:pPr>
        <w:pStyle w:val="Caption"/>
      </w:pPr>
      <w:r>
        <w:lastRenderedPageBreak/>
        <w:t xml:space="preserve">Figure </w:t>
      </w:r>
      <w:r w:rsidR="00DD7157">
        <w:t>5</w:t>
      </w:r>
      <w:r>
        <w:t>: Country of birth of enquirers born outside of Australia</w:t>
      </w:r>
      <w:r w:rsidR="00DD7157">
        <w:t xml:space="preserve">, </w:t>
      </w:r>
      <w:r w:rsidR="00951544">
        <w:t>2020-21</w:t>
      </w:r>
    </w:p>
    <w:p w14:paraId="0052376B" w14:textId="5866A278" w:rsidR="0004050B" w:rsidRDefault="009B0034" w:rsidP="009D7F54">
      <w:r>
        <w:rPr>
          <w:rFonts w:eastAsia="Times New Roman" w:cs="Times New Roman"/>
          <w:noProof/>
          <w:sz w:val="16"/>
          <w:szCs w:val="16"/>
          <w:lang w:eastAsia="en-AU"/>
        </w:rPr>
        <w:drawing>
          <wp:inline distT="0" distB="0" distL="0" distR="0" wp14:anchorId="08A49130" wp14:editId="67970564">
            <wp:extent cx="6208789" cy="2938278"/>
            <wp:effectExtent l="0" t="0" r="1905" b="0"/>
            <wp:docPr id="12" name="Picture 12" descr="Figure 5: Country of birth of enquirers born outside of Australia, 2020-21&#10;&#10;This image is a stylised map of the world. Land is shown as gold, the ocean has no colour. On the map are different sized navy dots to denote the numbers of enquiries from people born in that country. There are four different sized dots, representing 1 enquiry, 2-3 enquiries, 4-10 enquiries, and 10-20 enquiries. The largest dots are in New Zealand and the United Kingdom. The map isn't labelled with country n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descr="Figure 5: Country of birth of enquirers born outside of Australia, 2020-21&#10;&#10;This image is a stylised map of the world. Land is shown as gold, the ocean has no colour. On the map are different sized navy dots to denote the numbers of enquiries from people born in that country. There are four different sized dots, representing 1 enquiry, 2-3 enquiries, 4-10 enquiries, and 10-20 enquiries. The largest dots are in New Zealand and the United Kingdom. The map isn't labelled with country names. "/>
                    <pic:cNvPicPr/>
                  </pic:nvPicPr>
                  <pic:blipFill>
                    <a:blip r:embed="rId56" cstate="print">
                      <a:extLst>
                        <a:ext uri="{28A0092B-C50C-407E-A947-70E740481C1C}">
                          <a14:useLocalDpi xmlns:a14="http://schemas.microsoft.com/office/drawing/2010/main" val="0"/>
                        </a:ext>
                      </a:extLst>
                    </a:blip>
                    <a:stretch>
                      <a:fillRect/>
                    </a:stretch>
                  </pic:blipFill>
                  <pic:spPr>
                    <a:xfrm>
                      <a:off x="0" y="0"/>
                      <a:ext cx="6208789" cy="2938278"/>
                    </a:xfrm>
                    <a:prstGeom prst="rect">
                      <a:avLst/>
                    </a:prstGeom>
                  </pic:spPr>
                </pic:pic>
              </a:graphicData>
            </a:graphic>
          </wp:inline>
        </w:drawing>
      </w:r>
    </w:p>
    <w:tbl>
      <w:tblPr>
        <w:tblW w:w="0" w:type="dxa"/>
        <w:tblCellMar>
          <w:top w:w="15" w:type="dxa"/>
          <w:left w:w="15" w:type="dxa"/>
          <w:bottom w:w="15" w:type="dxa"/>
          <w:right w:w="15" w:type="dxa"/>
        </w:tblCellMar>
        <w:tblLook w:val="04A0" w:firstRow="1" w:lastRow="0" w:firstColumn="1" w:lastColumn="0" w:noHBand="0" w:noVBand="1"/>
      </w:tblPr>
      <w:tblGrid>
        <w:gridCol w:w="6"/>
      </w:tblGrid>
      <w:tr w:rsidR="00F3791B" w14:paraId="4AF5B042" w14:textId="77777777" w:rsidTr="00F3791B">
        <w:tc>
          <w:tcPr>
            <w:tcW w:w="0" w:type="auto"/>
            <w:shd w:val="clear" w:color="auto" w:fill="auto"/>
            <w:tcMar>
              <w:top w:w="0" w:type="dxa"/>
              <w:left w:w="0" w:type="dxa"/>
              <w:bottom w:w="0" w:type="dxa"/>
              <w:right w:w="0" w:type="dxa"/>
            </w:tcMar>
            <w:vAlign w:val="center"/>
            <w:hideMark/>
          </w:tcPr>
          <w:p w14:paraId="1D2C6399" w14:textId="73F5F326" w:rsidR="00F3791B" w:rsidRDefault="00F3791B">
            <w:pPr>
              <w:spacing w:line="240" w:lineRule="auto"/>
              <w:ind w:right="0"/>
              <w:rPr>
                <w:rFonts w:ascii="Segoe UI" w:hAnsi="Segoe UI" w:cs="Segoe UI"/>
                <w:color w:val="605E5C"/>
                <w:sz w:val="18"/>
                <w:szCs w:val="18"/>
              </w:rPr>
            </w:pPr>
          </w:p>
        </w:tc>
      </w:tr>
      <w:tr w:rsidR="00F3791B" w14:paraId="71533820" w14:textId="77777777" w:rsidTr="00F3791B">
        <w:tc>
          <w:tcPr>
            <w:tcW w:w="0" w:type="auto"/>
            <w:shd w:val="clear" w:color="auto" w:fill="auto"/>
            <w:tcMar>
              <w:top w:w="0" w:type="dxa"/>
              <w:left w:w="0" w:type="dxa"/>
              <w:bottom w:w="0" w:type="dxa"/>
              <w:right w:w="0" w:type="dxa"/>
            </w:tcMar>
            <w:vAlign w:val="center"/>
            <w:hideMark/>
          </w:tcPr>
          <w:p w14:paraId="5D6B1D63" w14:textId="343D9DD2" w:rsidR="00F3791B" w:rsidRDefault="00F3791B">
            <w:pPr>
              <w:rPr>
                <w:rFonts w:ascii="Segoe UI" w:hAnsi="Segoe UI" w:cs="Segoe UI"/>
                <w:color w:val="605E5C"/>
                <w:sz w:val="18"/>
                <w:szCs w:val="18"/>
              </w:rPr>
            </w:pPr>
          </w:p>
        </w:tc>
      </w:tr>
    </w:tbl>
    <w:p w14:paraId="1AB168A7" w14:textId="77777777" w:rsidR="00FB3CDF" w:rsidRDefault="00FB3CDF" w:rsidP="009D7F54"/>
    <w:p w14:paraId="3D293F27" w14:textId="641F6230" w:rsidR="009D7F54" w:rsidRDefault="00EA6C44" w:rsidP="009D7F54">
      <w:r>
        <w:t xml:space="preserve">Mirroring the complaints </w:t>
      </w:r>
      <w:r w:rsidR="007A1E96">
        <w:t>made about human rights</w:t>
      </w:r>
      <w:r>
        <w:t>, m</w:t>
      </w:r>
      <w:r w:rsidR="009D7F54" w:rsidRPr="008A00EB">
        <w:t xml:space="preserve">ost of the people who enquired about human rights were in the age brackets of </w:t>
      </w:r>
      <w:r>
        <w:t>35</w:t>
      </w:r>
      <w:r w:rsidR="0071477F">
        <w:t>–</w:t>
      </w:r>
      <w:r>
        <w:t>44 or 45</w:t>
      </w:r>
      <w:r w:rsidR="0071477F">
        <w:t>–</w:t>
      </w:r>
      <w:r>
        <w:t>54.</w:t>
      </w:r>
    </w:p>
    <w:p w14:paraId="42AEE853" w14:textId="17CFF3AB" w:rsidR="00FB21D4" w:rsidRDefault="0045639B" w:rsidP="00E3148E">
      <w:pPr>
        <w:pStyle w:val="Caption"/>
      </w:pPr>
      <w:r>
        <w:t>Figure</w:t>
      </w:r>
      <w:r w:rsidR="00FB21D4">
        <w:t xml:space="preserve"> </w:t>
      </w:r>
      <w:r w:rsidR="00DD7157">
        <w:t>6</w:t>
      </w:r>
      <w:r w:rsidR="00FB21D4">
        <w:t>: Human rights enquiries to the Commission by age bracket</w:t>
      </w:r>
      <w:r w:rsidR="006D799D">
        <w:t>, 2020-21</w:t>
      </w:r>
    </w:p>
    <w:tbl>
      <w:tblPr>
        <w:tblW w:w="9838" w:type="dxa"/>
        <w:tblCellMar>
          <w:top w:w="15" w:type="dxa"/>
          <w:left w:w="15" w:type="dxa"/>
          <w:bottom w:w="15" w:type="dxa"/>
          <w:right w:w="15" w:type="dxa"/>
        </w:tblCellMar>
        <w:tblLook w:val="04A0" w:firstRow="1" w:lastRow="0" w:firstColumn="1" w:lastColumn="0" w:noHBand="0" w:noVBand="1"/>
      </w:tblPr>
      <w:tblGrid>
        <w:gridCol w:w="9838"/>
      </w:tblGrid>
      <w:tr w:rsidR="00970B9A" w14:paraId="06BDE17E" w14:textId="77777777" w:rsidTr="00725E7D">
        <w:tc>
          <w:tcPr>
            <w:tcW w:w="0" w:type="auto"/>
            <w:shd w:val="clear" w:color="auto" w:fill="auto"/>
            <w:tcMar>
              <w:top w:w="0" w:type="dxa"/>
              <w:left w:w="0" w:type="dxa"/>
              <w:bottom w:w="0" w:type="dxa"/>
              <w:right w:w="0" w:type="dxa"/>
            </w:tcMar>
            <w:vAlign w:val="center"/>
            <w:hideMark/>
          </w:tcPr>
          <w:p w14:paraId="52A10807" w14:textId="7C142E2E" w:rsidR="00970B9A" w:rsidRDefault="00725E7D">
            <w:pPr>
              <w:spacing w:line="240" w:lineRule="auto"/>
              <w:ind w:right="0"/>
              <w:rPr>
                <w:rFonts w:ascii="Segoe UI" w:hAnsi="Segoe UI" w:cs="Segoe UI"/>
                <w:color w:val="605E5C"/>
                <w:sz w:val="18"/>
                <w:szCs w:val="18"/>
              </w:rPr>
            </w:pPr>
            <w:r>
              <w:rPr>
                <w:rFonts w:ascii="Segoe UI" w:hAnsi="Segoe UI" w:cs="Segoe UI"/>
                <w:noProof/>
                <w:color w:val="605E5C"/>
                <w:sz w:val="18"/>
                <w:szCs w:val="18"/>
                <w:lang w:eastAsia="en-AU"/>
              </w:rPr>
              <w:drawing>
                <wp:inline distT="0" distB="0" distL="0" distR="0" wp14:anchorId="2D6A122B" wp14:editId="6644BFA8">
                  <wp:extent cx="4626873" cy="2151892"/>
                  <wp:effectExtent l="0" t="0" r="2540" b="1270"/>
                  <wp:docPr id="13" name="Picture 13" descr="Figure 6: Human rights enquiries to the Commission by age bracket, 2020-21&#10;&#10;This bar graph shows the number of enquiries to the Commission broken down by age bracket, for those enquiries where this information was collected, as follows: &#10;- Under 15 years: 19&#10;- 15 to 19: 9&#10;- 20 to 24: 6&#10;- 25 to 34: 50&#10;- 35 to 44: 83&#10;- 45 to 54: 84&#10;- 55 to 64: 65&#10;- Over 65: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Figure 6: Human rights enquiries to the Commission by age bracket, 2020-21&#10;&#10;This bar graph shows the number of enquiries to the Commission broken down by age bracket, for those enquiries where this information was collected, as follows: &#10;- Under 15 years: 19&#10;- 15 to 19: 9&#10;- 20 to 24: 6&#10;- 25 to 34: 50&#10;- 35 to 44: 83&#10;- 45 to 54: 84&#10;- 55 to 64: 65&#10;- Over 65: 55"/>
                          <pic:cNvPicPr/>
                        </pic:nvPicPr>
                        <pic:blipFill>
                          <a:blip r:embed="rId57" cstate="print">
                            <a:extLst>
                              <a:ext uri="{28A0092B-C50C-407E-A947-70E740481C1C}">
                                <a14:useLocalDpi xmlns:a14="http://schemas.microsoft.com/office/drawing/2010/main" val="0"/>
                              </a:ext>
                            </a:extLst>
                          </a:blip>
                          <a:stretch>
                            <a:fillRect/>
                          </a:stretch>
                        </pic:blipFill>
                        <pic:spPr>
                          <a:xfrm>
                            <a:off x="0" y="0"/>
                            <a:ext cx="4626873" cy="2151892"/>
                          </a:xfrm>
                          <a:prstGeom prst="rect">
                            <a:avLst/>
                          </a:prstGeom>
                        </pic:spPr>
                      </pic:pic>
                    </a:graphicData>
                  </a:graphic>
                </wp:inline>
              </w:drawing>
            </w:r>
          </w:p>
        </w:tc>
      </w:tr>
      <w:tr w:rsidR="00624466" w14:paraId="696875D5" w14:textId="77777777" w:rsidTr="00725E7D">
        <w:tc>
          <w:tcPr>
            <w:tcW w:w="0" w:type="auto"/>
            <w:shd w:val="clear" w:color="auto" w:fill="auto"/>
            <w:tcMar>
              <w:top w:w="0" w:type="dxa"/>
              <w:left w:w="0" w:type="dxa"/>
              <w:bottom w:w="0" w:type="dxa"/>
              <w:right w:w="0" w:type="dxa"/>
            </w:tcMar>
            <w:vAlign w:val="center"/>
            <w:hideMark/>
          </w:tcPr>
          <w:p w14:paraId="7905AA70" w14:textId="03A2E9A6" w:rsidR="00624466" w:rsidRDefault="00624466">
            <w:pPr>
              <w:spacing w:line="240" w:lineRule="auto"/>
              <w:ind w:right="0"/>
              <w:rPr>
                <w:rFonts w:ascii="Segoe UI" w:hAnsi="Segoe UI" w:cs="Segoe UI"/>
                <w:color w:val="605E5C"/>
                <w:sz w:val="18"/>
                <w:szCs w:val="18"/>
              </w:rPr>
            </w:pPr>
          </w:p>
        </w:tc>
      </w:tr>
    </w:tbl>
    <w:p w14:paraId="3C1FF890" w14:textId="77777777" w:rsidR="00970B9A" w:rsidRDefault="00970B9A" w:rsidP="009D7F54"/>
    <w:p w14:paraId="1D04A29C" w14:textId="77777777" w:rsidR="00FB3CDF" w:rsidRDefault="00FB3CDF">
      <w:pPr>
        <w:keepLines w:val="0"/>
        <w:widowControl/>
        <w:spacing w:line="259" w:lineRule="auto"/>
        <w:ind w:right="0"/>
      </w:pPr>
      <w:r>
        <w:br w:type="page"/>
      </w:r>
    </w:p>
    <w:p w14:paraId="6D172534" w14:textId="5283D7A7" w:rsidR="009D7F54" w:rsidRDefault="007A4741" w:rsidP="009D7F54">
      <w:r>
        <w:lastRenderedPageBreak/>
        <w:t>Slightly more</w:t>
      </w:r>
      <w:r w:rsidR="009D7F54" w:rsidRPr="008A00EB">
        <w:t xml:space="preserve"> women (</w:t>
      </w:r>
      <w:r>
        <w:t>50.57</w:t>
      </w:r>
      <w:r w:rsidR="009D7F54" w:rsidRPr="008A00EB">
        <w:t>%) than men (</w:t>
      </w:r>
      <w:r>
        <w:t>49.2</w:t>
      </w:r>
      <w:r w:rsidR="009D7F54" w:rsidRPr="008A00EB">
        <w:t>%) enquired at the Commission about human rights</w:t>
      </w:r>
      <w:r w:rsidR="002B6394">
        <w:t>, and</w:t>
      </w:r>
      <w:r>
        <w:t xml:space="preserve"> 0.23% of enquirers identif</w:t>
      </w:r>
      <w:r w:rsidR="003738CC">
        <w:t>ied</w:t>
      </w:r>
      <w:r>
        <w:t xml:space="preserve"> as neither male nor female</w:t>
      </w:r>
      <w:r w:rsidR="009D7F54" w:rsidRPr="008A00EB">
        <w:t>.</w:t>
      </w:r>
      <w:r>
        <w:t xml:space="preserve"> This is in contrast with complaints, where men were more likely </w:t>
      </w:r>
      <w:r w:rsidR="00253F8D">
        <w:t xml:space="preserve">than women </w:t>
      </w:r>
      <w:r>
        <w:t>to make human rights complaints</w:t>
      </w:r>
      <w:r w:rsidR="003934D3">
        <w:t xml:space="preserve"> in the reporting period.</w:t>
      </w:r>
    </w:p>
    <w:p w14:paraId="1D9E8B8B" w14:textId="7ED9278E" w:rsidR="0045639B" w:rsidRDefault="0045639B" w:rsidP="00E3148E">
      <w:pPr>
        <w:pStyle w:val="Caption"/>
      </w:pPr>
      <w:r>
        <w:t xml:space="preserve">Figure </w:t>
      </w:r>
      <w:r w:rsidR="00DD7157">
        <w:t>7</w:t>
      </w:r>
      <w:r>
        <w:t>: Human rights enquiries to the Commission by gender</w:t>
      </w:r>
      <w:r w:rsidR="007B0754">
        <w:t xml:space="preserve">, </w:t>
      </w:r>
      <w:r w:rsidR="00584C8B">
        <w:t>2020-21</w:t>
      </w:r>
    </w:p>
    <w:tbl>
      <w:tblPr>
        <w:tblW w:w="9838" w:type="dxa"/>
        <w:tblCellMar>
          <w:top w:w="15" w:type="dxa"/>
          <w:left w:w="15" w:type="dxa"/>
          <w:bottom w:w="15" w:type="dxa"/>
          <w:right w:w="15" w:type="dxa"/>
        </w:tblCellMar>
        <w:tblLook w:val="04A0" w:firstRow="1" w:lastRow="0" w:firstColumn="1" w:lastColumn="0" w:noHBand="0" w:noVBand="1"/>
      </w:tblPr>
      <w:tblGrid>
        <w:gridCol w:w="9838"/>
      </w:tblGrid>
      <w:tr w:rsidR="00624466" w14:paraId="307A0327" w14:textId="77777777" w:rsidTr="00725E7D">
        <w:tc>
          <w:tcPr>
            <w:tcW w:w="0" w:type="auto"/>
            <w:shd w:val="clear" w:color="auto" w:fill="auto"/>
            <w:tcMar>
              <w:top w:w="0" w:type="dxa"/>
              <w:left w:w="0" w:type="dxa"/>
              <w:bottom w:w="0" w:type="dxa"/>
              <w:right w:w="0" w:type="dxa"/>
            </w:tcMar>
            <w:vAlign w:val="center"/>
            <w:hideMark/>
          </w:tcPr>
          <w:p w14:paraId="1805C597" w14:textId="18105CA7" w:rsidR="00624466" w:rsidRDefault="00911CCC">
            <w:pPr>
              <w:spacing w:line="240" w:lineRule="auto"/>
              <w:ind w:right="0"/>
              <w:rPr>
                <w:rFonts w:ascii="Segoe UI" w:hAnsi="Segoe UI" w:cs="Segoe UI"/>
                <w:color w:val="605E5C"/>
                <w:sz w:val="18"/>
                <w:szCs w:val="18"/>
              </w:rPr>
            </w:pPr>
            <w:r>
              <w:rPr>
                <w:rFonts w:eastAsia="Times New Roman" w:cs="Times New Roman"/>
                <w:noProof/>
                <w:sz w:val="16"/>
                <w:szCs w:val="16"/>
                <w:lang w:eastAsia="en-AU"/>
              </w:rPr>
              <w:drawing>
                <wp:inline distT="0" distB="0" distL="0" distR="0" wp14:anchorId="46BF2B17" wp14:editId="10A7579F">
                  <wp:extent cx="4450089" cy="2164084"/>
                  <wp:effectExtent l="0" t="0" r="7620" b="7620"/>
                  <wp:docPr id="16" name="Picture 16" descr="Figure 7: Human rights enquiries to the Commission by gender, 2020-21&#10;&#10;This donut chart shows enquiries to the Commission broken down by gender, for those enquiries where this information was collected, as follows: &#10; - Male: 49.2%&#10;- Female: 50.57%&#10;- Other: 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Figure 7: Human rights enquiries to the Commission by gender, 2020-21&#10;&#10;This donut chart shows enquiries to the Commission broken down by gender, for those enquiries where this information was collected, as follows: &#10; - Male: 49.2%&#10;- Female: 50.57%&#10;- Other: 0.23%"/>
                          <pic:cNvPicPr/>
                        </pic:nvPicPr>
                        <pic:blipFill>
                          <a:blip r:embed="rId58" cstate="print">
                            <a:extLst>
                              <a:ext uri="{28A0092B-C50C-407E-A947-70E740481C1C}">
                                <a14:useLocalDpi xmlns:a14="http://schemas.microsoft.com/office/drawing/2010/main" val="0"/>
                              </a:ext>
                            </a:extLst>
                          </a:blip>
                          <a:stretch>
                            <a:fillRect/>
                          </a:stretch>
                        </pic:blipFill>
                        <pic:spPr>
                          <a:xfrm>
                            <a:off x="0" y="0"/>
                            <a:ext cx="4450089" cy="2164084"/>
                          </a:xfrm>
                          <a:prstGeom prst="rect">
                            <a:avLst/>
                          </a:prstGeom>
                        </pic:spPr>
                      </pic:pic>
                    </a:graphicData>
                  </a:graphic>
                </wp:inline>
              </w:drawing>
            </w:r>
          </w:p>
        </w:tc>
      </w:tr>
      <w:tr w:rsidR="00624466" w14:paraId="5A4C90F4" w14:textId="77777777" w:rsidTr="00725E7D">
        <w:tc>
          <w:tcPr>
            <w:tcW w:w="0" w:type="auto"/>
            <w:shd w:val="clear" w:color="auto" w:fill="auto"/>
            <w:tcMar>
              <w:top w:w="0" w:type="dxa"/>
              <w:left w:w="0" w:type="dxa"/>
              <w:bottom w:w="0" w:type="dxa"/>
              <w:right w:w="0" w:type="dxa"/>
            </w:tcMar>
            <w:vAlign w:val="center"/>
            <w:hideMark/>
          </w:tcPr>
          <w:p w14:paraId="256CCEF7" w14:textId="1DA0CB42" w:rsidR="00624466" w:rsidRDefault="00624466">
            <w:pPr>
              <w:rPr>
                <w:rFonts w:ascii="Segoe UI" w:hAnsi="Segoe UI" w:cs="Segoe UI"/>
                <w:color w:val="605E5C"/>
                <w:sz w:val="18"/>
                <w:szCs w:val="18"/>
              </w:rPr>
            </w:pPr>
          </w:p>
        </w:tc>
      </w:tr>
    </w:tbl>
    <w:p w14:paraId="52082EB2" w14:textId="6B522C4D" w:rsidR="0045639B" w:rsidRDefault="0045639B" w:rsidP="009D7F54"/>
    <w:p w14:paraId="6DC58AB3" w14:textId="0D9994D9" w:rsidR="00B47DB2" w:rsidRPr="002C4882" w:rsidRDefault="00640BB7" w:rsidP="002C4882">
      <w:r>
        <w:t>The Commission received 99 enquiries from Aboriginal or Torres Strait</w:t>
      </w:r>
      <w:r w:rsidR="00113F34">
        <w:t xml:space="preserve"> I</w:t>
      </w:r>
      <w:r>
        <w:t xml:space="preserve">slander </w:t>
      </w:r>
      <w:r w:rsidR="00253F8D">
        <w:t>people</w:t>
      </w:r>
      <w:r>
        <w:t xml:space="preserve">. </w:t>
      </w:r>
      <w:r w:rsidR="009D7F54">
        <w:t>As well as contacting the Commission’s</w:t>
      </w:r>
      <w:r>
        <w:t xml:space="preserve"> general phone or email, </w:t>
      </w:r>
      <w:r w:rsidR="2AB320A5">
        <w:t>First Nations people</w:t>
      </w:r>
      <w:r>
        <w:t xml:space="preserve"> can phone or email </w:t>
      </w:r>
      <w:r w:rsidR="009D7F54">
        <w:t>a staff member from the Commission’s Aboriginal and Torres Strait Islander Unit</w:t>
      </w:r>
      <w:r w:rsidR="0ED13FA8">
        <w:t xml:space="preserve"> to discuss their enquiry</w:t>
      </w:r>
      <w:r w:rsidR="009D7F54">
        <w:t>.</w:t>
      </w:r>
      <w:r w:rsidR="007A4741">
        <w:t xml:space="preserve"> This </w:t>
      </w:r>
      <w:r w:rsidR="00725E7D">
        <w:t>year’s figure</w:t>
      </w:r>
      <w:r w:rsidR="007A4741">
        <w:t xml:space="preserve"> was a significant increase from the 43 enquiries in the previous year.</w:t>
      </w:r>
      <w:r w:rsidR="00E3196F">
        <w:t xml:space="preserve"> Of the 99 enquirers, 86 were Aboriginal, 4 were Aboriginal and Torres Strait Islander and 4 were Torres Strait Islander.</w:t>
      </w:r>
      <w:bookmarkStart w:id="513" w:name="_Toc84593923"/>
    </w:p>
    <w:p w14:paraId="7EADA67B" w14:textId="77777777" w:rsidR="00423C90" w:rsidRDefault="00423C90">
      <w:pPr>
        <w:spacing w:line="259" w:lineRule="auto"/>
        <w:ind w:right="0"/>
        <w:rPr>
          <w:rFonts w:eastAsia="Times New Roman" w:cs="Times New Roman"/>
          <w:bCs/>
          <w:color w:val="D46228"/>
          <w:kern w:val="36"/>
          <w:sz w:val="48"/>
          <w:szCs w:val="48"/>
          <w:lang w:val="en-US" w:eastAsia="en-AU"/>
        </w:rPr>
      </w:pPr>
      <w:bookmarkStart w:id="514" w:name="_Toc85451800"/>
      <w:bookmarkStart w:id="515" w:name="_Toc85526730"/>
      <w:bookmarkStart w:id="516" w:name="_Toc85787145"/>
      <w:r>
        <w:rPr>
          <w:color w:val="D46228"/>
          <w:lang w:val="en-US"/>
        </w:rPr>
        <w:br w:type="page"/>
      </w:r>
    </w:p>
    <w:p w14:paraId="0F0BB30E" w14:textId="2FF90125" w:rsidR="002B055F" w:rsidRPr="0072521D" w:rsidRDefault="002B055F" w:rsidP="0072521D">
      <w:pPr>
        <w:pStyle w:val="Heading1"/>
        <w:rPr>
          <w:color w:val="D46228"/>
          <w:lang w:val="en-US"/>
        </w:rPr>
      </w:pPr>
      <w:r w:rsidRPr="0072521D">
        <w:rPr>
          <w:color w:val="D46228"/>
          <w:lang w:val="en-US"/>
        </w:rPr>
        <w:lastRenderedPageBreak/>
        <w:t>Complaints to the Commission</w:t>
      </w:r>
      <w:bookmarkEnd w:id="513"/>
      <w:bookmarkEnd w:id="514"/>
      <w:bookmarkEnd w:id="515"/>
      <w:bookmarkEnd w:id="516"/>
    </w:p>
    <w:p w14:paraId="7D479102" w14:textId="10CAD998" w:rsidR="003D42EB" w:rsidRDefault="003D42EB" w:rsidP="006A72DA">
      <w:pPr>
        <w:rPr>
          <w:lang w:val="en-US"/>
        </w:rPr>
      </w:pPr>
      <w:r w:rsidRPr="008A00EB">
        <w:rPr>
          <w:lang w:val="en-US"/>
        </w:rPr>
        <w:t xml:space="preserve">The following section will provide information about complaints about human rights made to the Commission in the </w:t>
      </w:r>
      <w:r w:rsidR="00690E5B">
        <w:rPr>
          <w:lang w:val="en-US"/>
        </w:rPr>
        <w:t>2020-21</w:t>
      </w:r>
      <w:r w:rsidRPr="008A00EB">
        <w:rPr>
          <w:lang w:val="en-US"/>
        </w:rPr>
        <w:t xml:space="preserve"> period.</w:t>
      </w:r>
    </w:p>
    <w:p w14:paraId="510A4774" w14:textId="1FFAADA3" w:rsidR="000F7EEB" w:rsidRPr="008A00EB" w:rsidRDefault="00741C76" w:rsidP="006A72DA">
      <w:pPr>
        <w:rPr>
          <w:lang w:val="en-US"/>
        </w:rPr>
      </w:pPr>
      <w:r>
        <w:rPr>
          <w:lang w:val="en-US"/>
        </w:rPr>
        <w:t xml:space="preserve">As noted above, there is currently around a 6 month wait for a complaint to be dealt with. The consequence of a backlog in assessing complaints </w:t>
      </w:r>
      <w:r w:rsidR="00641135">
        <w:rPr>
          <w:lang w:val="en-US"/>
        </w:rPr>
        <w:t>is</w:t>
      </w:r>
      <w:r>
        <w:rPr>
          <w:lang w:val="en-US"/>
        </w:rPr>
        <w:t xml:space="preserve"> </w:t>
      </w:r>
      <w:r w:rsidR="000F7EEB">
        <w:rPr>
          <w:lang w:val="en-US"/>
        </w:rPr>
        <w:t>that not every complaint that was received in 2020-21 has been assessed</w:t>
      </w:r>
      <w:r w:rsidR="001D04E3">
        <w:rPr>
          <w:lang w:val="en-US"/>
        </w:rPr>
        <w:t xml:space="preserve"> at the date of publication</w:t>
      </w:r>
      <w:r w:rsidR="000F7EEB">
        <w:rPr>
          <w:lang w:val="en-US"/>
        </w:rPr>
        <w:t>, and therefore not every complaint that has been made about human rights will be reflected in the data below.</w:t>
      </w:r>
      <w:r w:rsidR="009619C9">
        <w:rPr>
          <w:lang w:val="en-US"/>
        </w:rPr>
        <w:t xml:space="preserve"> Nonetheless, there is </w:t>
      </w:r>
      <w:r w:rsidR="009C255D">
        <w:rPr>
          <w:lang w:val="en-US"/>
        </w:rPr>
        <w:t>enough</w:t>
      </w:r>
      <w:r w:rsidR="009619C9">
        <w:rPr>
          <w:lang w:val="en-US"/>
        </w:rPr>
        <w:t xml:space="preserve"> data to be able to identify emerging trends in many areas.</w:t>
      </w:r>
    </w:p>
    <w:p w14:paraId="57A14569" w14:textId="7CFE6993" w:rsidR="00AC0D96" w:rsidRPr="008A00EB" w:rsidRDefault="001D04E3" w:rsidP="006A72DA">
      <w:r>
        <w:t>Consistent with last year</w:t>
      </w:r>
      <w:r w:rsidR="007A1E96">
        <w:t xml:space="preserve"> a</w:t>
      </w:r>
      <w:r w:rsidR="00AC0D96" w:rsidRPr="008A00EB">
        <w:t xml:space="preserve"> </w:t>
      </w:r>
      <w:r w:rsidR="007A1E96">
        <w:t>large</w:t>
      </w:r>
      <w:r w:rsidR="00AC0D96" w:rsidRPr="008A00EB">
        <w:t xml:space="preserve"> number of complaints (</w:t>
      </w:r>
      <w:r w:rsidR="007949CB">
        <w:t>21</w:t>
      </w:r>
      <w:r w:rsidR="00AC0D96" w:rsidRPr="008A00EB">
        <w:t xml:space="preserve">%) </w:t>
      </w:r>
      <w:r w:rsidR="007949CB">
        <w:t>finalised</w:t>
      </w:r>
      <w:r w:rsidR="00AC0D96" w:rsidRPr="008A00EB">
        <w:t xml:space="preserve"> in the </w:t>
      </w:r>
      <w:r w:rsidR="00824CC9">
        <w:t>2020–21</w:t>
      </w:r>
      <w:r w:rsidR="00AC0D96" w:rsidRPr="008A00EB">
        <w:t xml:space="preserve"> financial year </w:t>
      </w:r>
      <w:r w:rsidR="7A5F8339" w:rsidRPr="008A00EB">
        <w:t xml:space="preserve">could not be </w:t>
      </w:r>
      <w:r w:rsidR="00AC0D96" w:rsidRPr="008A00EB">
        <w:t>accepted because the complainant had not first complained to the public entity and waited 45 business days before lodging with the Commission – a requirement under the Act.</w:t>
      </w:r>
      <w:r w:rsidR="00AC0D96" w:rsidRPr="008A00EB">
        <w:rPr>
          <w:rStyle w:val="FootnoteReference"/>
        </w:rPr>
        <w:footnoteReference w:id="100"/>
      </w:r>
      <w:r w:rsidR="00AC0D96" w:rsidRPr="008A00EB">
        <w:t xml:space="preserve"> </w:t>
      </w:r>
      <w:r w:rsidR="007A1E96">
        <w:t xml:space="preserve">This has improved since </w:t>
      </w:r>
      <w:r>
        <w:t>the previous year</w:t>
      </w:r>
      <w:r w:rsidR="008567F0">
        <w:t>, when</w:t>
      </w:r>
      <w:r w:rsidR="007A1E96">
        <w:t xml:space="preserve"> 27% of complaints could not be accepted </w:t>
      </w:r>
      <w:r w:rsidR="008567F0">
        <w:t>because</w:t>
      </w:r>
      <w:r w:rsidR="007A1E96">
        <w:t xml:space="preserve"> these requirements had not been </w:t>
      </w:r>
      <w:r w:rsidR="388BFA72">
        <w:t>met</w:t>
      </w:r>
      <w:r w:rsidR="007A1E96">
        <w:t xml:space="preserve">. </w:t>
      </w:r>
      <w:r w:rsidR="0E814A28">
        <w:t>C</w:t>
      </w:r>
      <w:r w:rsidR="007A1E96">
        <w:t xml:space="preserve">omplaints information on the Commission’s website </w:t>
      </w:r>
      <w:r w:rsidR="3ACFE307">
        <w:t xml:space="preserve">has been updated </w:t>
      </w:r>
      <w:r w:rsidR="007A1E96">
        <w:t>to make this requirement as clear as possible to potential complainants</w:t>
      </w:r>
      <w:r w:rsidR="003443EB">
        <w:t xml:space="preserve"> and hopefully this number will decrease further in time</w:t>
      </w:r>
      <w:r w:rsidR="007A1E96">
        <w:t>.</w:t>
      </w:r>
    </w:p>
    <w:p w14:paraId="511E3522" w14:textId="1073E799" w:rsidR="00A67D3C" w:rsidRPr="007521E3" w:rsidRDefault="0FFDDEB1" w:rsidP="674E917E">
      <w:pPr>
        <w:pStyle w:val="Heading2"/>
        <w:rPr>
          <w:rFonts w:eastAsia="Yu Gothic Light" w:cs="Times New Roman"/>
          <w:color w:val="D46228"/>
          <w:szCs w:val="36"/>
        </w:rPr>
      </w:pPr>
      <w:bookmarkStart w:id="517" w:name="_Toc85526731"/>
      <w:bookmarkStart w:id="518" w:name="_Toc85787146"/>
      <w:r w:rsidRPr="674E917E">
        <w:rPr>
          <w:color w:val="D46228"/>
        </w:rPr>
        <w:t>Complaints processes and terminology</w:t>
      </w:r>
      <w:bookmarkEnd w:id="517"/>
      <w:bookmarkEnd w:id="518"/>
      <w:r w:rsidRPr="674E917E">
        <w:rPr>
          <w:color w:val="D46228"/>
        </w:rPr>
        <w:t xml:space="preserve"> </w:t>
      </w:r>
    </w:p>
    <w:p w14:paraId="21380E53" w14:textId="0D32FCC6" w:rsidR="00A67D3C" w:rsidRPr="007521E3" w:rsidRDefault="00A67D3C" w:rsidP="006A72DA">
      <w:pPr>
        <w:pStyle w:val="Heading3"/>
        <w:rPr>
          <w:rFonts w:eastAsia="Yu Gothic Light" w:cs="Times New Roman"/>
          <w:color w:val="D46228"/>
          <w:szCs w:val="28"/>
        </w:rPr>
      </w:pPr>
      <w:r w:rsidRPr="007521E3">
        <w:rPr>
          <w:color w:val="D46228"/>
        </w:rPr>
        <w:t xml:space="preserve">What is a </w:t>
      </w:r>
      <w:r w:rsidR="00C41152">
        <w:rPr>
          <w:color w:val="D46228"/>
        </w:rPr>
        <w:t>piggy-back complaint</w:t>
      </w:r>
      <w:r w:rsidRPr="007521E3">
        <w:rPr>
          <w:color w:val="D46228"/>
        </w:rPr>
        <w:t>? And what is a human rights only complaint?</w:t>
      </w:r>
    </w:p>
    <w:p w14:paraId="79673446" w14:textId="44F283E8" w:rsidR="00F30E52" w:rsidRPr="008A00EB" w:rsidRDefault="00AE600D" w:rsidP="006A72DA">
      <w:r>
        <w:t xml:space="preserve">Complaints can be accepted under both the </w:t>
      </w:r>
      <w:r w:rsidRPr="00B70C22">
        <w:rPr>
          <w:i/>
        </w:rPr>
        <w:t xml:space="preserve">Anti-Discrimination Act </w:t>
      </w:r>
      <w:r w:rsidR="00B70C22" w:rsidRPr="00B70C22">
        <w:rPr>
          <w:i/>
        </w:rPr>
        <w:t xml:space="preserve">1991 </w:t>
      </w:r>
      <w:r>
        <w:t xml:space="preserve">and the </w:t>
      </w:r>
      <w:r w:rsidRPr="00B70C22">
        <w:rPr>
          <w:i/>
        </w:rPr>
        <w:t>Human Rights Act</w:t>
      </w:r>
      <w:r w:rsidR="00B70C22" w:rsidRPr="00B70C22">
        <w:rPr>
          <w:i/>
        </w:rPr>
        <w:t xml:space="preserve"> 2019</w:t>
      </w:r>
      <w:r w:rsidR="00B70C22">
        <w:t xml:space="preserve"> and these </w:t>
      </w:r>
      <w:r>
        <w:t xml:space="preserve">are referred to as ‘piggy-back’ complaints. </w:t>
      </w:r>
      <w:r w:rsidR="00824CC9">
        <w:t xml:space="preserve">A </w:t>
      </w:r>
      <w:r>
        <w:t>piggy-back</w:t>
      </w:r>
      <w:r w:rsidR="00824CC9">
        <w:t xml:space="preserve"> </w:t>
      </w:r>
      <w:r>
        <w:t>complaint</w:t>
      </w:r>
      <w:r w:rsidR="00824CC9">
        <w:t xml:space="preserve"> is sometimes also referred to as a </w:t>
      </w:r>
      <w:r w:rsidR="003A2ECC">
        <w:t>piggy-back</w:t>
      </w:r>
      <w:r>
        <w:t xml:space="preserve"> claim</w:t>
      </w:r>
      <w:r w:rsidR="00B70C22">
        <w:t xml:space="preserve"> (noting last year’s report almost exclusively referred to this, but the Commission’s terminology has since been updated)</w:t>
      </w:r>
      <w:r w:rsidR="00824CC9">
        <w:t>.</w:t>
      </w:r>
    </w:p>
    <w:p w14:paraId="4E2249AC" w14:textId="196CB310" w:rsidR="78C8816E" w:rsidRPr="008A00EB" w:rsidRDefault="78C8816E" w:rsidP="006A72DA">
      <w:r w:rsidRPr="008A00EB">
        <w:lastRenderedPageBreak/>
        <w:t xml:space="preserve">A </w:t>
      </w:r>
      <w:r w:rsidR="008F63D9" w:rsidRPr="008A00EB">
        <w:t>‘</w:t>
      </w:r>
      <w:r w:rsidR="00AE600D">
        <w:t>piggy-back’ complaint</w:t>
      </w:r>
      <w:r w:rsidR="3B92869B" w:rsidRPr="008A00EB">
        <w:t xml:space="preserve"> </w:t>
      </w:r>
      <w:r w:rsidRPr="008A00EB">
        <w:t xml:space="preserve">is where the complainant has a complaint </w:t>
      </w:r>
      <w:r w:rsidR="00A67D3C" w:rsidRPr="008A00EB">
        <w:t xml:space="preserve">that falls </w:t>
      </w:r>
      <w:r w:rsidRPr="008A00EB">
        <w:t xml:space="preserve">under the </w:t>
      </w:r>
      <w:r w:rsidRPr="008A00EB">
        <w:rPr>
          <w:i/>
          <w:iCs/>
        </w:rPr>
        <w:t>Anti-Discrimination Act 1991</w:t>
      </w:r>
      <w:r w:rsidRPr="008A00EB">
        <w:t xml:space="preserve"> </w:t>
      </w:r>
      <w:r w:rsidR="009E77B5" w:rsidRPr="008A00EB">
        <w:t>(</w:t>
      </w:r>
      <w:r w:rsidRPr="008A00EB">
        <w:t>such as for discrimination</w:t>
      </w:r>
      <w:r w:rsidR="009E77B5" w:rsidRPr="008A00EB">
        <w:t>)</w:t>
      </w:r>
      <w:r w:rsidRPr="008A00EB">
        <w:t xml:space="preserve"> </w:t>
      </w:r>
      <w:r w:rsidR="00EA6C32" w:rsidRPr="008A00EB">
        <w:t xml:space="preserve">but the complaint also raises human rights issues </w:t>
      </w:r>
      <w:r w:rsidR="008567F0">
        <w:t xml:space="preserve">under </w:t>
      </w:r>
      <w:r w:rsidR="00EA6C32" w:rsidRPr="008A00EB">
        <w:t xml:space="preserve">the </w:t>
      </w:r>
      <w:r w:rsidR="000472B4" w:rsidRPr="008A00EB">
        <w:rPr>
          <w:i/>
        </w:rPr>
        <w:t>Human Rights Act</w:t>
      </w:r>
      <w:r w:rsidR="0047535F" w:rsidRPr="008A00EB">
        <w:rPr>
          <w:i/>
        </w:rPr>
        <w:t xml:space="preserve"> 2019</w:t>
      </w:r>
      <w:r w:rsidRPr="008A00EB">
        <w:t xml:space="preserve">. </w:t>
      </w:r>
      <w:r w:rsidR="00E644DA" w:rsidRPr="008A00EB">
        <w:t xml:space="preserve">Under section 75 of the </w:t>
      </w:r>
      <w:r w:rsidR="0047535F" w:rsidRPr="008A00EB">
        <w:rPr>
          <w:i/>
        </w:rPr>
        <w:t>Human Rights Act 2019</w:t>
      </w:r>
      <w:r w:rsidR="00E644DA" w:rsidRPr="008A00EB">
        <w:t xml:space="preserve">, the Commission can deal with such a complaint under the </w:t>
      </w:r>
      <w:r w:rsidR="00E644DA" w:rsidRPr="008A00EB">
        <w:rPr>
          <w:i/>
        </w:rPr>
        <w:t>Anti-Discrimination Act 1991</w:t>
      </w:r>
      <w:r w:rsidR="0047535F" w:rsidRPr="008A00EB">
        <w:rPr>
          <w:i/>
        </w:rPr>
        <w:t xml:space="preserve"> </w:t>
      </w:r>
      <w:r w:rsidR="0047535F" w:rsidRPr="008A00EB">
        <w:t xml:space="preserve">as if it were a contravention of the </w:t>
      </w:r>
      <w:r w:rsidR="0047535F" w:rsidRPr="008A00EB">
        <w:rPr>
          <w:i/>
        </w:rPr>
        <w:t>Anti-Discrimination Act 1991</w:t>
      </w:r>
      <w:r w:rsidR="00E644DA" w:rsidRPr="008A00EB">
        <w:rPr>
          <w:i/>
        </w:rPr>
        <w:t xml:space="preserve">. </w:t>
      </w:r>
      <w:r w:rsidR="65F4F405" w:rsidRPr="008A00EB">
        <w:t>This can occur where</w:t>
      </w:r>
      <w:r w:rsidR="13044672" w:rsidRPr="008A00EB">
        <w:t xml:space="preserve"> a</w:t>
      </w:r>
      <w:r w:rsidR="41F9C33F" w:rsidRPr="008A00EB">
        <w:t xml:space="preserve"> primary</w:t>
      </w:r>
      <w:r w:rsidR="13044672" w:rsidRPr="008A00EB">
        <w:t xml:space="preserve"> claim of discrimination</w:t>
      </w:r>
      <w:r w:rsidR="009E77B5" w:rsidRPr="008A00EB">
        <w:t xml:space="preserve"> exists</w:t>
      </w:r>
      <w:r w:rsidR="13044672" w:rsidRPr="008A00EB">
        <w:t xml:space="preserve">, but the respondent is also a public entity. </w:t>
      </w:r>
      <w:r w:rsidRPr="008A00EB">
        <w:t>The c</w:t>
      </w:r>
      <w:r w:rsidR="5804EFAB" w:rsidRPr="008A00EB">
        <w:t xml:space="preserve">omplaint parties </w:t>
      </w:r>
      <w:r w:rsidRPr="008A00EB">
        <w:t xml:space="preserve">proceed through conciliation for </w:t>
      </w:r>
      <w:r w:rsidR="52ED3648" w:rsidRPr="008A00EB">
        <w:t xml:space="preserve">these matters and </w:t>
      </w:r>
      <w:r w:rsidR="00E644DA" w:rsidRPr="008A00EB">
        <w:t>the complainant has</w:t>
      </w:r>
      <w:r w:rsidR="52ED3648" w:rsidRPr="008A00EB">
        <w:t xml:space="preserve"> the option of referring their complaint to the </w:t>
      </w:r>
      <w:r w:rsidR="007C663B">
        <w:t>relevant T</w:t>
      </w:r>
      <w:r w:rsidR="52ED3648" w:rsidRPr="008A00EB">
        <w:t>ribunal</w:t>
      </w:r>
      <w:r w:rsidR="009E77B5" w:rsidRPr="008A00EB">
        <w:t>,</w:t>
      </w:r>
      <w:r w:rsidR="52ED3648" w:rsidRPr="008A00EB">
        <w:t xml:space="preserve"> should it </w:t>
      </w:r>
      <w:r w:rsidR="00841066" w:rsidRPr="008A00EB">
        <w:t>not resolve. If a complaint is human rights only complaint</w:t>
      </w:r>
      <w:r w:rsidR="52ED3648" w:rsidRPr="008A00EB">
        <w:t>, there is no right of referral</w:t>
      </w:r>
      <w:r w:rsidR="73156414" w:rsidRPr="008A00EB">
        <w:t xml:space="preserve"> and</w:t>
      </w:r>
      <w:r w:rsidR="00751012">
        <w:t xml:space="preserve"> </w:t>
      </w:r>
      <w:r w:rsidR="73156414" w:rsidRPr="008A00EB">
        <w:t>no</w:t>
      </w:r>
      <w:r w:rsidR="00751012">
        <w:t xml:space="preserve"> right to</w:t>
      </w:r>
      <w:r w:rsidR="73156414" w:rsidRPr="008A00EB">
        <w:t xml:space="preserve"> compensation</w:t>
      </w:r>
      <w:r w:rsidR="00751012">
        <w:t>.</w:t>
      </w:r>
      <w:r w:rsidR="008B640D" w:rsidRPr="008A00EB">
        <w:t xml:space="preserve"> </w:t>
      </w:r>
    </w:p>
    <w:p w14:paraId="6C549CAF" w14:textId="49400E0C" w:rsidR="493A30E5" w:rsidRPr="008A00EB" w:rsidRDefault="493A30E5" w:rsidP="006A72DA">
      <w:r w:rsidRPr="008A00EB">
        <w:t>Conciliation conferences</w:t>
      </w:r>
      <w:r w:rsidR="009E77B5" w:rsidRPr="008A00EB">
        <w:t>,</w:t>
      </w:r>
      <w:r w:rsidRPr="008A00EB">
        <w:t xml:space="preserve"> in which an impartial conciliator assists the parties to resolve the complaint</w:t>
      </w:r>
      <w:r w:rsidR="009E77B5" w:rsidRPr="008A00EB">
        <w:t xml:space="preserve">, are held for </w:t>
      </w:r>
      <w:r w:rsidR="00B70C22">
        <w:t>piggy-back complaint</w:t>
      </w:r>
      <w:r w:rsidR="009E77B5" w:rsidRPr="008A00EB">
        <w:t>s</w:t>
      </w:r>
      <w:r w:rsidRPr="008A00EB">
        <w:t>.</w:t>
      </w:r>
    </w:p>
    <w:p w14:paraId="276335EC" w14:textId="2B4FC76C" w:rsidR="1F9AB891" w:rsidRPr="008A00EB" w:rsidRDefault="00574C59" w:rsidP="006A72DA">
      <w:r>
        <w:t>The complaints process for</w:t>
      </w:r>
      <w:r w:rsidR="0055733A" w:rsidRPr="008A00EB">
        <w:t xml:space="preserve"> </w:t>
      </w:r>
      <w:r w:rsidR="6F35990B" w:rsidRPr="008A00EB">
        <w:t xml:space="preserve">human rights </w:t>
      </w:r>
      <w:r w:rsidR="0055733A" w:rsidRPr="008A00EB">
        <w:t xml:space="preserve">only </w:t>
      </w:r>
      <w:r w:rsidR="134B66BD" w:rsidRPr="008A00EB">
        <w:t>complaints can occur</w:t>
      </w:r>
      <w:r w:rsidR="73188106" w:rsidRPr="008A00EB">
        <w:t xml:space="preserve"> either</w:t>
      </w:r>
      <w:r w:rsidR="134B66BD" w:rsidRPr="008A00EB">
        <w:t xml:space="preserve"> through a conciliation conference or by early intervention, which is where the matter is resolved by the conciliator</w:t>
      </w:r>
      <w:r w:rsidR="5E0EDDBF" w:rsidRPr="008A00EB">
        <w:t xml:space="preserve"> who speaks</w:t>
      </w:r>
      <w:r w:rsidR="134B66BD" w:rsidRPr="008A00EB">
        <w:t xml:space="preserve"> with the parties separately through a shuttle negotiation process.</w:t>
      </w:r>
      <w:r w:rsidR="0009788E" w:rsidRPr="008A00EB">
        <w:t xml:space="preserve"> </w:t>
      </w:r>
    </w:p>
    <w:p w14:paraId="6B503284" w14:textId="4301F23A" w:rsidR="000B544A" w:rsidRPr="007521E3" w:rsidRDefault="000B544A" w:rsidP="006A72DA">
      <w:pPr>
        <w:pStyle w:val="Heading3"/>
        <w:rPr>
          <w:rFonts w:eastAsia="Yu Gothic Light" w:cs="Times New Roman"/>
          <w:color w:val="D46228"/>
          <w:szCs w:val="28"/>
        </w:rPr>
      </w:pPr>
      <w:r w:rsidRPr="007521E3">
        <w:rPr>
          <w:color w:val="D46228"/>
        </w:rPr>
        <w:t>Who can make a complaint?</w:t>
      </w:r>
    </w:p>
    <w:p w14:paraId="3CB6743C" w14:textId="225F346C" w:rsidR="00072950" w:rsidRDefault="00072950" w:rsidP="006A72DA">
      <w:r w:rsidRPr="008A00EB">
        <w:t xml:space="preserve">A complaint can be made by </w:t>
      </w:r>
      <w:r w:rsidR="00314E83" w:rsidRPr="008A00EB">
        <w:t>an individual who is the subject of a human rights breach. That is</w:t>
      </w:r>
      <w:r w:rsidR="001E67B7" w:rsidRPr="008A00EB">
        <w:t>,</w:t>
      </w:r>
      <w:r w:rsidR="00314E83" w:rsidRPr="008A00EB">
        <w:t xml:space="preserve"> where the individual alleges that a public entity has acted or made a decision in a way that is not compatible with</w:t>
      </w:r>
      <w:r w:rsidR="001E67B7" w:rsidRPr="008A00EB">
        <w:t xml:space="preserve"> their</w:t>
      </w:r>
      <w:r w:rsidR="00314E83" w:rsidRPr="008A00EB">
        <w:t xml:space="preserve"> human rights</w:t>
      </w:r>
      <w:r w:rsidR="397DE5D1" w:rsidRPr="008A00EB">
        <w:t>,</w:t>
      </w:r>
      <w:r w:rsidR="00314E83" w:rsidRPr="008A00EB">
        <w:t xml:space="preserve"> or has failed to give proper consideration to a human right relevant to </w:t>
      </w:r>
      <w:r w:rsidR="001E67B7" w:rsidRPr="008A00EB">
        <w:t>a</w:t>
      </w:r>
      <w:r w:rsidR="00314E83" w:rsidRPr="008A00EB">
        <w:t xml:space="preserve"> decision</w:t>
      </w:r>
      <w:r w:rsidR="001E67B7" w:rsidRPr="008A00EB">
        <w:t xml:space="preserve"> that impacts on them</w:t>
      </w:r>
      <w:r w:rsidR="00314E83" w:rsidRPr="008A00EB">
        <w:t>.</w:t>
      </w:r>
      <w:r w:rsidR="00397EC0" w:rsidRPr="008A00EB">
        <w:t xml:space="preserve"> The individual can appoint an agent, or the Commission can authorise another person to make a complaint for the individual.</w:t>
      </w:r>
      <w:r w:rsidR="000877F5" w:rsidRPr="008A00EB">
        <w:t xml:space="preserve"> Two or more persons can make a joint complaint.</w:t>
      </w:r>
      <w:r w:rsidR="004A1B53" w:rsidRPr="008A00EB">
        <w:rPr>
          <w:rStyle w:val="FootnoteReference"/>
        </w:rPr>
        <w:footnoteReference w:id="101"/>
      </w:r>
    </w:p>
    <w:p w14:paraId="4DBF6B7A" w14:textId="4B4EA662" w:rsidR="000B544A" w:rsidRPr="007521E3" w:rsidRDefault="000B544A" w:rsidP="006A72DA">
      <w:pPr>
        <w:pStyle w:val="Heading3"/>
        <w:rPr>
          <w:rFonts w:eastAsia="Yu Gothic Light" w:cs="Times New Roman"/>
          <w:color w:val="D46228"/>
          <w:szCs w:val="28"/>
        </w:rPr>
      </w:pPr>
      <w:r w:rsidRPr="007521E3">
        <w:rPr>
          <w:color w:val="D46228"/>
        </w:rPr>
        <w:t>What is an accepted complaint?</w:t>
      </w:r>
    </w:p>
    <w:p w14:paraId="2351D040" w14:textId="0EA7E6CF" w:rsidR="0073753E" w:rsidRPr="008A00EB" w:rsidRDefault="0073753E" w:rsidP="0073753E">
      <w:r w:rsidRPr="008A00EB">
        <w:t xml:space="preserve">The Commission assesses each complaint received, and records which human rights are relevant based on the allegations raised by the complaint as well as which type of public entity is involved (e.g. state government, </w:t>
      </w:r>
      <w:r w:rsidR="003A4D39">
        <w:t>local government</w:t>
      </w:r>
      <w:r w:rsidRPr="008A00EB">
        <w:t xml:space="preserve">, or functional entity) and in which sector (e.g. health, education, court services etc.). </w:t>
      </w:r>
    </w:p>
    <w:p w14:paraId="3C346B18" w14:textId="545EC18D" w:rsidR="00F705DB" w:rsidRPr="008A00EB" w:rsidRDefault="00254CBC" w:rsidP="00254CBC">
      <w:pPr>
        <w:rPr>
          <w:rFonts w:cs="Arial"/>
          <w:lang w:val="en-US"/>
        </w:rPr>
      </w:pPr>
      <w:r w:rsidRPr="008A00EB">
        <w:rPr>
          <w:rFonts w:cs="Arial"/>
          <w:lang w:val="en-US"/>
        </w:rPr>
        <w:t xml:space="preserve">An ‘accepted complaint’ means that the Commission has </w:t>
      </w:r>
      <w:r w:rsidR="0073753E" w:rsidRPr="008A00EB">
        <w:rPr>
          <w:rFonts w:cs="Arial"/>
          <w:lang w:val="en-US"/>
        </w:rPr>
        <w:t xml:space="preserve">assessed the complaint and </w:t>
      </w:r>
      <w:r w:rsidRPr="008A00EB">
        <w:rPr>
          <w:rFonts w:cs="Arial"/>
          <w:lang w:val="en-US"/>
        </w:rPr>
        <w:t xml:space="preserve">decided that </w:t>
      </w:r>
      <w:r w:rsidR="003F6D20" w:rsidRPr="008A00EB">
        <w:rPr>
          <w:rFonts w:cs="Arial"/>
          <w:lang w:val="en-US"/>
        </w:rPr>
        <w:t>the matter</w:t>
      </w:r>
      <w:r w:rsidRPr="008A00EB">
        <w:rPr>
          <w:rFonts w:cs="Arial"/>
          <w:lang w:val="en-US"/>
        </w:rPr>
        <w:t xml:space="preserve"> should proceed to a dispute resolution process (conciliation or early intervention) to try to resolve </w:t>
      </w:r>
      <w:r w:rsidR="00A21B8F" w:rsidRPr="008A00EB">
        <w:rPr>
          <w:rFonts w:cs="Arial"/>
          <w:lang w:val="en-US"/>
        </w:rPr>
        <w:t>the issues</w:t>
      </w:r>
      <w:r w:rsidRPr="008A00EB">
        <w:rPr>
          <w:rFonts w:cs="Arial"/>
          <w:lang w:val="en-US"/>
        </w:rPr>
        <w:t xml:space="preserve">. </w:t>
      </w:r>
    </w:p>
    <w:p w14:paraId="4D6DAA23" w14:textId="2D3B1D4C" w:rsidR="00F705DB" w:rsidRPr="008A00EB" w:rsidRDefault="00F705DB" w:rsidP="00254CBC">
      <w:pPr>
        <w:rPr>
          <w:rFonts w:cs="Arial"/>
        </w:rPr>
      </w:pPr>
      <w:r w:rsidRPr="008A00EB">
        <w:rPr>
          <w:rFonts w:cs="Arial"/>
          <w:lang w:val="en-US"/>
        </w:rPr>
        <w:lastRenderedPageBreak/>
        <w:t xml:space="preserve">A complaint can only be accepted if it is made in writing and includes enough details to indicate the alleged contravention to which the complaint relates – see Section 67 </w:t>
      </w:r>
      <w:r w:rsidRPr="008A00EB">
        <w:rPr>
          <w:rFonts w:cs="Arial"/>
          <w:i/>
          <w:lang w:val="en-US"/>
        </w:rPr>
        <w:t xml:space="preserve">Human Rights Act 2019. </w:t>
      </w:r>
      <w:r w:rsidRPr="008A00EB">
        <w:rPr>
          <w:rFonts w:cs="Arial"/>
          <w:lang w:val="en-US"/>
        </w:rPr>
        <w:t xml:space="preserve">When deciding whether to accept a complaint, the complaint handler will consider if there has been an </w:t>
      </w:r>
      <w:r w:rsidRPr="008A00EB">
        <w:rPr>
          <w:rFonts w:cs="Arial"/>
        </w:rPr>
        <w:t>unreasonable limitation of human rights.</w:t>
      </w:r>
    </w:p>
    <w:p w14:paraId="178408E3" w14:textId="54BAA88B" w:rsidR="00453124" w:rsidRPr="008A00EB" w:rsidRDefault="00F705DB" w:rsidP="00453124">
      <w:r w:rsidRPr="008A00EB">
        <w:rPr>
          <w:rFonts w:cs="Arial"/>
        </w:rPr>
        <w:t xml:space="preserve">By accepting a complaint the Commission has not decided that there has been a breach of human rights. </w:t>
      </w:r>
    </w:p>
    <w:p w14:paraId="2161CE89" w14:textId="2CCFF440" w:rsidR="000B544A" w:rsidRPr="007521E3" w:rsidRDefault="000B544A" w:rsidP="006A72DA">
      <w:pPr>
        <w:pStyle w:val="Heading3"/>
        <w:rPr>
          <w:rFonts w:eastAsia="Yu Gothic Light" w:cs="Times New Roman"/>
          <w:color w:val="D46228"/>
          <w:szCs w:val="28"/>
        </w:rPr>
      </w:pPr>
      <w:r w:rsidRPr="007521E3">
        <w:rPr>
          <w:color w:val="D46228"/>
        </w:rPr>
        <w:t>What is a finalised complaint?</w:t>
      </w:r>
    </w:p>
    <w:p w14:paraId="3276DE48" w14:textId="5663BB44" w:rsidR="00F705DB" w:rsidRPr="008A00EB" w:rsidRDefault="00F705DB" w:rsidP="00F705DB">
      <w:pPr>
        <w:rPr>
          <w:i/>
        </w:rPr>
      </w:pPr>
      <w:r w:rsidRPr="008A00EB">
        <w:rPr>
          <w:lang w:val="en-US"/>
        </w:rPr>
        <w:t xml:space="preserve">A complaint may have been </w:t>
      </w:r>
      <w:proofErr w:type="spellStart"/>
      <w:r w:rsidRPr="008A00EB">
        <w:rPr>
          <w:lang w:val="en-US"/>
        </w:rPr>
        <w:t>finalised</w:t>
      </w:r>
      <w:proofErr w:type="spellEnd"/>
      <w:r w:rsidRPr="008A00EB">
        <w:rPr>
          <w:lang w:val="en-US"/>
        </w:rPr>
        <w:t xml:space="preserve"> for a number of reasons. It may have been rejected, accepted and resolved, accepted and not resolved, or withdrawn. For more detailed information see the section </w:t>
      </w:r>
      <w:r w:rsidRPr="008A00EB">
        <w:rPr>
          <w:i/>
        </w:rPr>
        <w:t>Outcomes of finalised complaints.</w:t>
      </w:r>
    </w:p>
    <w:p w14:paraId="2309B542" w14:textId="3F720B03" w:rsidR="00F705DB" w:rsidRPr="007521E3" w:rsidRDefault="00F705DB" w:rsidP="006A72DA">
      <w:pPr>
        <w:pStyle w:val="Heading3"/>
        <w:rPr>
          <w:rFonts w:eastAsia="Yu Gothic Light" w:cs="Times New Roman"/>
          <w:color w:val="D46228"/>
          <w:szCs w:val="28"/>
        </w:rPr>
      </w:pPr>
      <w:r w:rsidRPr="007521E3">
        <w:rPr>
          <w:color w:val="D46228"/>
        </w:rPr>
        <w:t>What is an accepted and finalised complaint?</w:t>
      </w:r>
    </w:p>
    <w:p w14:paraId="12197429" w14:textId="754184D0" w:rsidR="00F705DB" w:rsidRPr="008A00EB" w:rsidRDefault="00F705DB" w:rsidP="00F705DB">
      <w:r w:rsidRPr="008A00EB">
        <w:t>This means a complaint that</w:t>
      </w:r>
      <w:r w:rsidR="00DD2149" w:rsidRPr="008A00EB">
        <w:t xml:space="preserve"> </w:t>
      </w:r>
      <w:r w:rsidRPr="008A00EB">
        <w:t>has been accepted</w:t>
      </w:r>
      <w:r w:rsidR="008F72AB">
        <w:t xml:space="preserve"> (in any period)</w:t>
      </w:r>
      <w:r w:rsidRPr="008A00EB">
        <w:t xml:space="preserve"> by the Commission, and has been finalised in the period </w:t>
      </w:r>
      <w:r w:rsidR="00584C8B">
        <w:t>2020-21</w:t>
      </w:r>
      <w:r w:rsidRPr="008A00EB">
        <w:t>.</w:t>
      </w:r>
    </w:p>
    <w:p w14:paraId="2DEAA25A" w14:textId="67C658C6" w:rsidR="00F705DB" w:rsidRPr="007521E3" w:rsidRDefault="00F705DB" w:rsidP="006A72DA">
      <w:pPr>
        <w:pStyle w:val="Heading3"/>
        <w:rPr>
          <w:rFonts w:eastAsia="Yu Gothic Light" w:cs="Times New Roman"/>
          <w:color w:val="D46228"/>
          <w:szCs w:val="28"/>
        </w:rPr>
      </w:pPr>
      <w:r w:rsidRPr="007521E3">
        <w:rPr>
          <w:color w:val="D46228"/>
        </w:rPr>
        <w:t>What is a resolved complaint?</w:t>
      </w:r>
    </w:p>
    <w:p w14:paraId="56946D3D" w14:textId="31DBC3EA" w:rsidR="00F705DB" w:rsidRPr="008A00EB" w:rsidRDefault="00F705DB" w:rsidP="00F705DB">
      <w:pPr>
        <w:rPr>
          <w:rFonts w:cs="Arial"/>
          <w:lang w:val="en-US"/>
        </w:rPr>
      </w:pPr>
      <w:r w:rsidRPr="008A00EB">
        <w:rPr>
          <w:rFonts w:cs="Arial"/>
        </w:rPr>
        <w:t>‘</w:t>
      </w:r>
      <w:r w:rsidRPr="008A00EB">
        <w:rPr>
          <w:rFonts w:cs="Arial"/>
          <w:lang w:val="en-US"/>
        </w:rPr>
        <w:t xml:space="preserve">Resolved’ means that it has been through a </w:t>
      </w:r>
      <w:r w:rsidR="00E56530">
        <w:rPr>
          <w:rFonts w:cs="Arial"/>
          <w:lang w:val="en-US"/>
        </w:rPr>
        <w:t>complaints</w:t>
      </w:r>
      <w:r w:rsidRPr="008A00EB">
        <w:rPr>
          <w:rFonts w:cs="Arial"/>
          <w:lang w:val="en-US"/>
        </w:rPr>
        <w:t xml:space="preserve"> process (conciliation or early intervention) and </w:t>
      </w:r>
      <w:r w:rsidR="000D6A32">
        <w:rPr>
          <w:rFonts w:cs="Arial"/>
          <w:lang w:val="en-US"/>
        </w:rPr>
        <w:t xml:space="preserve">the </w:t>
      </w:r>
      <w:r w:rsidRPr="008A00EB">
        <w:rPr>
          <w:rFonts w:cs="Arial"/>
          <w:lang w:val="en-US"/>
        </w:rPr>
        <w:t xml:space="preserve">matter </w:t>
      </w:r>
      <w:r w:rsidR="000D6A32">
        <w:rPr>
          <w:rFonts w:cs="Arial"/>
          <w:lang w:val="en-US"/>
        </w:rPr>
        <w:t>has been</w:t>
      </w:r>
      <w:r w:rsidRPr="008A00EB">
        <w:rPr>
          <w:rFonts w:cs="Arial"/>
          <w:lang w:val="en-US"/>
        </w:rPr>
        <w:t xml:space="preserve"> </w:t>
      </w:r>
      <w:r w:rsidR="00E56530">
        <w:rPr>
          <w:rFonts w:cs="Arial"/>
          <w:lang w:val="en-US"/>
        </w:rPr>
        <w:t>resolved to complainant’s satisfaction</w:t>
      </w:r>
      <w:r w:rsidRPr="008A00EB">
        <w:rPr>
          <w:rFonts w:cs="Arial"/>
          <w:lang w:val="en-US"/>
        </w:rPr>
        <w:t>.</w:t>
      </w:r>
    </w:p>
    <w:p w14:paraId="10FDC97E" w14:textId="77777777" w:rsidR="002F30CE" w:rsidRDefault="002F30CE">
      <w:pPr>
        <w:keepLines w:val="0"/>
        <w:widowControl/>
        <w:spacing w:line="259" w:lineRule="auto"/>
        <w:ind w:right="0"/>
        <w:rPr>
          <w:rFonts w:eastAsiaTheme="majorEastAsia" w:cstheme="majorBidi"/>
          <w:bCs/>
          <w:color w:val="D46228"/>
          <w:kern w:val="36"/>
          <w:sz w:val="36"/>
          <w:szCs w:val="26"/>
          <w:lang w:eastAsia="en-AU"/>
        </w:rPr>
      </w:pPr>
      <w:bookmarkStart w:id="519" w:name="_Toc56452191"/>
      <w:bookmarkStart w:id="520" w:name="_Toc84593924"/>
      <w:bookmarkStart w:id="521" w:name="_Toc85451801"/>
      <w:bookmarkStart w:id="522" w:name="_Toc85526732"/>
      <w:bookmarkStart w:id="523" w:name="_Toc85787147"/>
      <w:r>
        <w:rPr>
          <w:color w:val="D46228"/>
        </w:rPr>
        <w:br w:type="page"/>
      </w:r>
    </w:p>
    <w:p w14:paraId="43D145C5" w14:textId="1314689B" w:rsidR="00D62B8F" w:rsidRPr="007521E3" w:rsidRDefault="0055360B" w:rsidP="00B04FF8">
      <w:pPr>
        <w:pStyle w:val="Heading2"/>
        <w:rPr>
          <w:rFonts w:eastAsia="Yu Gothic Light" w:cs="Times New Roman"/>
          <w:color w:val="D46228"/>
          <w:szCs w:val="36"/>
        </w:rPr>
      </w:pPr>
      <w:r w:rsidRPr="674E917E">
        <w:rPr>
          <w:color w:val="D46228"/>
        </w:rPr>
        <w:lastRenderedPageBreak/>
        <w:t>Human rights complaints s</w:t>
      </w:r>
      <w:r w:rsidR="00AD39B5" w:rsidRPr="674E917E">
        <w:rPr>
          <w:color w:val="D46228"/>
        </w:rPr>
        <w:t>napshot</w:t>
      </w:r>
      <w:bookmarkEnd w:id="519"/>
      <w:bookmarkEnd w:id="520"/>
      <w:bookmarkEnd w:id="521"/>
      <w:bookmarkEnd w:id="522"/>
      <w:bookmarkEnd w:id="523"/>
    </w:p>
    <w:p w14:paraId="4E4F3B43" w14:textId="04C0D581" w:rsidR="00777AB0" w:rsidRPr="008A00EB" w:rsidRDefault="00F441BF" w:rsidP="006A72DA">
      <w:r w:rsidRPr="008A00EB">
        <w:t>T</w:t>
      </w:r>
      <w:r w:rsidR="00D62B8F" w:rsidRPr="008A00EB">
        <w:t xml:space="preserve">he Commission has identified </w:t>
      </w:r>
      <w:r w:rsidR="007949CB">
        <w:rPr>
          <w:b/>
        </w:rPr>
        <w:t>369</w:t>
      </w:r>
      <w:r w:rsidR="00D62B8F" w:rsidRPr="008A00EB">
        <w:t xml:space="preserve"> complaints received in the </w:t>
      </w:r>
      <w:r w:rsidR="00542DFB">
        <w:t>2020</w:t>
      </w:r>
      <w:r w:rsidR="5D764F82">
        <w:t>–</w:t>
      </w:r>
      <w:r w:rsidR="00542DFB">
        <w:t>21</w:t>
      </w:r>
      <w:r w:rsidR="00D62B8F" w:rsidRPr="008A00EB">
        <w:t xml:space="preserve"> peri</w:t>
      </w:r>
      <w:r w:rsidR="003415DC" w:rsidRPr="008A00EB">
        <w:t xml:space="preserve">od as being about human rights. </w:t>
      </w:r>
    </w:p>
    <w:p w14:paraId="4E6E7B0B" w14:textId="301BEAFB" w:rsidR="007B3821" w:rsidRDefault="00777AB0" w:rsidP="006A72DA">
      <w:r w:rsidRPr="008A00EB">
        <w:t>O</w:t>
      </w:r>
      <w:r w:rsidR="00D62B8F" w:rsidRPr="008A00EB">
        <w:t>f these complaints</w:t>
      </w:r>
      <w:r w:rsidRPr="008A00EB">
        <w:t xml:space="preserve">, </w:t>
      </w:r>
      <w:r w:rsidR="007949CB">
        <w:rPr>
          <w:b/>
        </w:rPr>
        <w:t>132</w:t>
      </w:r>
      <w:r w:rsidRPr="008A00EB">
        <w:t xml:space="preserve"> </w:t>
      </w:r>
      <w:r w:rsidR="00D62B8F" w:rsidRPr="008A00EB">
        <w:t xml:space="preserve">were </w:t>
      </w:r>
      <w:r w:rsidR="00B70C22">
        <w:t>piggy-back complaint</w:t>
      </w:r>
      <w:r w:rsidR="00D62B8F" w:rsidRPr="008A00EB">
        <w:t>s</w:t>
      </w:r>
      <w:r w:rsidRPr="008A00EB">
        <w:t>,</w:t>
      </w:r>
      <w:r w:rsidR="00D62B8F" w:rsidRPr="008A00EB">
        <w:t xml:space="preserve"> and </w:t>
      </w:r>
      <w:r w:rsidR="007949CB">
        <w:rPr>
          <w:b/>
        </w:rPr>
        <w:t>237</w:t>
      </w:r>
      <w:r w:rsidR="00D62B8F" w:rsidRPr="008A00EB">
        <w:t xml:space="preserve"> were </w:t>
      </w:r>
      <w:r w:rsidR="002B648F" w:rsidRPr="008A00EB">
        <w:t>human rights only</w:t>
      </w:r>
      <w:r w:rsidR="00D62B8F" w:rsidRPr="008A00EB">
        <w:t xml:space="preserve"> complaints. </w:t>
      </w:r>
    </w:p>
    <w:p w14:paraId="09004350" w14:textId="25E4A274" w:rsidR="00F936EF" w:rsidRDefault="0BA42938" w:rsidP="002E26B2">
      <w:pPr>
        <w:pStyle w:val="Caption"/>
      </w:pPr>
      <w:r>
        <w:t>Figure 8: Complaints to the Commission shown as piggy-back complaints or human rights only complaints, 2020-21</w:t>
      </w:r>
    </w:p>
    <w:tbl>
      <w:tblPr>
        <w:tblW w:w="0" w:type="dxa"/>
        <w:tblCellMar>
          <w:top w:w="15" w:type="dxa"/>
          <w:left w:w="15" w:type="dxa"/>
          <w:bottom w:w="15" w:type="dxa"/>
          <w:right w:w="15" w:type="dxa"/>
        </w:tblCellMar>
        <w:tblLook w:val="04A0" w:firstRow="1" w:lastRow="0" w:firstColumn="1" w:lastColumn="0" w:noHBand="0" w:noVBand="1"/>
      </w:tblPr>
      <w:tblGrid>
        <w:gridCol w:w="7243"/>
      </w:tblGrid>
      <w:tr w:rsidR="00F936EF" w14:paraId="5C3FB2B7" w14:textId="77777777" w:rsidTr="00F936EF">
        <w:tc>
          <w:tcPr>
            <w:tcW w:w="0" w:type="auto"/>
            <w:shd w:val="clear" w:color="auto" w:fill="auto"/>
            <w:tcMar>
              <w:top w:w="0" w:type="dxa"/>
              <w:left w:w="0" w:type="dxa"/>
              <w:bottom w:w="0" w:type="dxa"/>
              <w:right w:w="0" w:type="dxa"/>
            </w:tcMar>
            <w:vAlign w:val="center"/>
            <w:hideMark/>
          </w:tcPr>
          <w:p w14:paraId="5A6127C6" w14:textId="388F1A57" w:rsidR="00F936EF" w:rsidRDefault="00E13A56">
            <w:pPr>
              <w:spacing w:line="240" w:lineRule="auto"/>
              <w:ind w:right="0"/>
              <w:rPr>
                <w:rFonts w:ascii="Segoe UI" w:hAnsi="Segoe UI" w:cs="Segoe UI"/>
                <w:color w:val="605E5C"/>
                <w:sz w:val="18"/>
                <w:szCs w:val="18"/>
              </w:rPr>
            </w:pPr>
            <w:r>
              <w:rPr>
                <w:rFonts w:ascii="Segoe UI" w:hAnsi="Segoe UI" w:cs="Segoe UI"/>
                <w:noProof/>
                <w:color w:val="605E5C"/>
                <w:sz w:val="18"/>
                <w:szCs w:val="18"/>
                <w:lang w:eastAsia="en-AU"/>
              </w:rPr>
              <w:drawing>
                <wp:inline distT="0" distB="0" distL="0" distR="0" wp14:anchorId="0DC78934" wp14:editId="09D3FDC0">
                  <wp:extent cx="4599441" cy="2261621"/>
                  <wp:effectExtent l="0" t="0" r="0" b="5715"/>
                  <wp:docPr id="14" name="Picture 14" descr="Figure 8: Complaints to the Commission shown as piggy-back complaints or human rights only complaints, 2020-21&#10;&#10;This donut chart shows complaints to the Commission by classification. 237  or 64.2% were human rights only complaints, with 132 or 35.8% being combined claim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Figure 8: Complaints to the Commission shown as piggy-back complaints or human rights only complaints, 2020-21&#10;&#10;This donut chart shows complaints to the Commission by classification. 237  or 64.2% were human rights only complaints, with 132 or 35.8% being combined claims."/>
                          <pic:cNvPicPr/>
                        </pic:nvPicPr>
                        <pic:blipFill>
                          <a:blip r:embed="rId59" cstate="print">
                            <a:extLst>
                              <a:ext uri="{28A0092B-C50C-407E-A947-70E740481C1C}">
                                <a14:useLocalDpi xmlns:a14="http://schemas.microsoft.com/office/drawing/2010/main" val="0"/>
                              </a:ext>
                            </a:extLst>
                          </a:blip>
                          <a:stretch>
                            <a:fillRect/>
                          </a:stretch>
                        </pic:blipFill>
                        <pic:spPr>
                          <a:xfrm>
                            <a:off x="0" y="0"/>
                            <a:ext cx="4599441" cy="2261621"/>
                          </a:xfrm>
                          <a:prstGeom prst="rect">
                            <a:avLst/>
                          </a:prstGeom>
                        </pic:spPr>
                      </pic:pic>
                    </a:graphicData>
                  </a:graphic>
                </wp:inline>
              </w:drawing>
            </w:r>
          </w:p>
        </w:tc>
      </w:tr>
      <w:tr w:rsidR="00F936EF" w14:paraId="2FE8C220" w14:textId="77777777" w:rsidTr="00F936EF">
        <w:tc>
          <w:tcPr>
            <w:tcW w:w="0" w:type="auto"/>
            <w:shd w:val="clear" w:color="auto" w:fill="auto"/>
            <w:tcMar>
              <w:top w:w="0" w:type="dxa"/>
              <w:left w:w="0" w:type="dxa"/>
              <w:bottom w:w="0" w:type="dxa"/>
              <w:right w:w="0" w:type="dxa"/>
            </w:tcMar>
            <w:vAlign w:val="center"/>
            <w:hideMark/>
          </w:tcPr>
          <w:p w14:paraId="29A4BCB9" w14:textId="1F4CCFE7" w:rsidR="00F936EF" w:rsidRDefault="00F936EF">
            <w:pPr>
              <w:rPr>
                <w:rFonts w:ascii="Segoe UI" w:hAnsi="Segoe UI" w:cs="Segoe UI"/>
                <w:color w:val="605E5C"/>
                <w:sz w:val="18"/>
                <w:szCs w:val="18"/>
              </w:rPr>
            </w:pPr>
          </w:p>
        </w:tc>
      </w:tr>
    </w:tbl>
    <w:p w14:paraId="36A10EC0" w14:textId="21039720" w:rsidR="002771F8" w:rsidRPr="008A00EB" w:rsidRDefault="002771F8" w:rsidP="002771F8">
      <w:r w:rsidRPr="008A00EB">
        <w:t xml:space="preserve">By the end of the </w:t>
      </w:r>
      <w:r w:rsidR="00B62D8B">
        <w:t>2020–21</w:t>
      </w:r>
      <w:r w:rsidRPr="008A00EB">
        <w:t xml:space="preserve"> financial year:</w:t>
      </w:r>
    </w:p>
    <w:p w14:paraId="5BBFAEEB" w14:textId="611391DC" w:rsidR="002771F8" w:rsidRDefault="00411EE4" w:rsidP="002771F8">
      <w:pPr>
        <w:ind w:left="720"/>
      </w:pPr>
      <w:r w:rsidRPr="00FF3A46">
        <w:rPr>
          <w:b/>
        </w:rPr>
        <w:t>344</w:t>
      </w:r>
      <w:r w:rsidR="00C30AAA">
        <w:rPr>
          <w:b/>
        </w:rPr>
        <w:t xml:space="preserve"> </w:t>
      </w:r>
      <w:r w:rsidR="00C30AAA">
        <w:t>human</w:t>
      </w:r>
      <w:r w:rsidR="002771F8" w:rsidRPr="008A00EB">
        <w:t xml:space="preserve"> complaints had been finalised</w:t>
      </w:r>
      <w:r w:rsidR="00FE73C0">
        <w:t xml:space="preserve"> in that year</w:t>
      </w:r>
      <w:r w:rsidR="002771F8" w:rsidRPr="008A00EB">
        <w:t xml:space="preserve">. </w:t>
      </w:r>
      <w:r w:rsidR="00046A4E">
        <w:t>23</w:t>
      </w:r>
      <w:r w:rsidR="00C37140">
        <w:t>5</w:t>
      </w:r>
      <w:r w:rsidR="002771F8" w:rsidRPr="008A00EB">
        <w:t xml:space="preserve"> were human rights only complaints and </w:t>
      </w:r>
      <w:r w:rsidR="00C30AAA">
        <w:t>109</w:t>
      </w:r>
      <w:r w:rsidR="002771F8" w:rsidRPr="008A00EB">
        <w:t xml:space="preserve"> were </w:t>
      </w:r>
      <w:r w:rsidR="00B70C22">
        <w:t>piggy-back complaint</w:t>
      </w:r>
      <w:r w:rsidR="002771F8" w:rsidRPr="008A00EB">
        <w:t>s.</w:t>
      </w:r>
    </w:p>
    <w:p w14:paraId="63A65F09" w14:textId="4A32BA86" w:rsidR="002771F8" w:rsidRPr="008A00EB" w:rsidRDefault="00046A4E" w:rsidP="002771F8">
      <w:pPr>
        <w:ind w:left="720"/>
      </w:pPr>
      <w:r>
        <w:rPr>
          <w:b/>
        </w:rPr>
        <w:t>151</w:t>
      </w:r>
      <w:r w:rsidR="002771F8" w:rsidRPr="008A00EB">
        <w:rPr>
          <w:b/>
        </w:rPr>
        <w:t xml:space="preserve"> </w:t>
      </w:r>
      <w:r w:rsidR="002771F8" w:rsidRPr="008A00EB">
        <w:t>of these</w:t>
      </w:r>
      <w:r w:rsidR="00D0486C">
        <w:t xml:space="preserve"> finalised</w:t>
      </w:r>
      <w:r w:rsidR="002771F8" w:rsidRPr="008A00EB">
        <w:t xml:space="preserve"> complaints had been </w:t>
      </w:r>
      <w:r w:rsidR="00D0486C">
        <w:t>accepted</w:t>
      </w:r>
      <w:r w:rsidR="002771F8" w:rsidRPr="008A00EB">
        <w:t xml:space="preserve">. </w:t>
      </w:r>
      <w:r>
        <w:t>56</w:t>
      </w:r>
      <w:r w:rsidR="002771F8" w:rsidRPr="008A00EB">
        <w:t xml:space="preserve"> of these were</w:t>
      </w:r>
      <w:r w:rsidR="002771F8" w:rsidRPr="008A00EB">
        <w:rPr>
          <w:rStyle w:val="CommentReference"/>
          <w:rFonts w:eastAsia="Times New Roman" w:cs="Times New Roman"/>
          <w:lang w:eastAsia="en-AU"/>
        </w:rPr>
        <w:t xml:space="preserve"> </w:t>
      </w:r>
      <w:r w:rsidR="002771F8" w:rsidRPr="008A00EB">
        <w:t xml:space="preserve">human rights only complaints and </w:t>
      </w:r>
      <w:r w:rsidR="00D24CF2">
        <w:t>95</w:t>
      </w:r>
      <w:r w:rsidR="002771F8" w:rsidRPr="008A00EB">
        <w:t xml:space="preserve"> were </w:t>
      </w:r>
      <w:r w:rsidR="00B70C22">
        <w:t>piggyback complaint</w:t>
      </w:r>
      <w:r w:rsidR="002771F8" w:rsidRPr="008A00EB">
        <w:t>s.</w:t>
      </w:r>
    </w:p>
    <w:p w14:paraId="0098CB2B" w14:textId="08325B83" w:rsidR="002771F8" w:rsidRPr="008A00EB" w:rsidRDefault="0051004A" w:rsidP="002771F8">
      <w:pPr>
        <w:ind w:left="720"/>
      </w:pPr>
      <w:r>
        <w:rPr>
          <w:b/>
        </w:rPr>
        <w:t>47</w:t>
      </w:r>
      <w:r w:rsidR="002771F8" w:rsidRPr="008A00EB">
        <w:t xml:space="preserve"> complaints</w:t>
      </w:r>
      <w:r w:rsidR="00FE73C0">
        <w:t xml:space="preserve"> were</w:t>
      </w:r>
      <w:r w:rsidR="002771F8" w:rsidRPr="008A00EB">
        <w:t xml:space="preserve"> resolved</w:t>
      </w:r>
      <w:r w:rsidR="00FE73C0">
        <w:t xml:space="preserve"> in the 2020-21 financial year</w:t>
      </w:r>
      <w:r w:rsidR="002771F8" w:rsidRPr="008A00EB">
        <w:t xml:space="preserve">. </w:t>
      </w:r>
      <w:r w:rsidR="002D7E1B">
        <w:t>19</w:t>
      </w:r>
      <w:r w:rsidR="002771F8" w:rsidRPr="008A00EB">
        <w:t xml:space="preserve"> of the resolved complaints were human rights only complaints and </w:t>
      </w:r>
      <w:r w:rsidR="002D7E1B">
        <w:t>28</w:t>
      </w:r>
      <w:r w:rsidR="002771F8" w:rsidRPr="008A00EB">
        <w:t xml:space="preserve"> were </w:t>
      </w:r>
      <w:r w:rsidR="00B70C22">
        <w:t>piggyback complaint</w:t>
      </w:r>
      <w:r w:rsidR="002771F8" w:rsidRPr="008A00EB">
        <w:t xml:space="preserve">s. </w:t>
      </w:r>
    </w:p>
    <w:p w14:paraId="00B6DD82" w14:textId="53898891" w:rsidR="002771F8" w:rsidRDefault="00D1595E" w:rsidP="002771F8">
      <w:pPr>
        <w:ind w:left="720"/>
      </w:pPr>
      <w:r w:rsidRPr="43FC7218">
        <w:rPr>
          <w:b/>
          <w:bCs/>
        </w:rPr>
        <w:t>26</w:t>
      </w:r>
      <w:r w:rsidR="002771F8" w:rsidRPr="43FC7218">
        <w:rPr>
          <w:b/>
          <w:bCs/>
        </w:rPr>
        <w:t xml:space="preserve"> </w:t>
      </w:r>
      <w:r w:rsidR="002771F8" w:rsidRPr="008A00EB">
        <w:t>complaints</w:t>
      </w:r>
      <w:r w:rsidR="002771F8" w:rsidRPr="43FC7218">
        <w:rPr>
          <w:b/>
          <w:bCs/>
        </w:rPr>
        <w:t xml:space="preserve"> </w:t>
      </w:r>
      <w:r w:rsidR="002771F8" w:rsidRPr="008A00EB">
        <w:t>(</w:t>
      </w:r>
      <w:r w:rsidR="00B62D8B">
        <w:t>all</w:t>
      </w:r>
      <w:r w:rsidR="002771F8" w:rsidRPr="008A00EB">
        <w:t xml:space="preserve"> </w:t>
      </w:r>
      <w:r w:rsidR="00B70C22">
        <w:t>piggy-back complaint</w:t>
      </w:r>
      <w:r w:rsidR="002771F8" w:rsidRPr="008A00EB">
        <w:t>s) were ref</w:t>
      </w:r>
      <w:r w:rsidR="00B62D8B">
        <w:t>erred to tribunals (</w:t>
      </w:r>
      <w:r>
        <w:t>1</w:t>
      </w:r>
      <w:r w:rsidR="00725DB8">
        <w:t>4</w:t>
      </w:r>
      <w:r w:rsidR="002771F8" w:rsidRPr="008A00EB">
        <w:t xml:space="preserve"> to the QCAT</w:t>
      </w:r>
      <w:r w:rsidR="002771F8" w:rsidRPr="008A00EB">
        <w:rPr>
          <w:rStyle w:val="FootnoteReference"/>
        </w:rPr>
        <w:footnoteReference w:id="102"/>
      </w:r>
      <w:r w:rsidR="00B62D8B">
        <w:t xml:space="preserve"> and </w:t>
      </w:r>
      <w:r w:rsidR="00725DB8">
        <w:t>12</w:t>
      </w:r>
      <w:r w:rsidR="002771F8" w:rsidRPr="008A00EB">
        <w:t xml:space="preserve"> to the QIRC</w:t>
      </w:r>
      <w:r w:rsidR="002771F8" w:rsidRPr="008A00EB">
        <w:rPr>
          <w:rStyle w:val="FootnoteReference"/>
        </w:rPr>
        <w:footnoteReference w:id="103"/>
      </w:r>
      <w:r w:rsidR="002771F8" w:rsidRPr="008A00EB">
        <w:t>).</w:t>
      </w:r>
    </w:p>
    <w:p w14:paraId="4239B2DD" w14:textId="08CD3296" w:rsidR="00A72C01" w:rsidRDefault="6DE66BAB" w:rsidP="00A72C01">
      <w:pPr>
        <w:ind w:left="720"/>
      </w:pPr>
      <w:r w:rsidRPr="43074CF7">
        <w:rPr>
          <w:b/>
          <w:bCs/>
        </w:rPr>
        <w:t>2</w:t>
      </w:r>
      <w:r>
        <w:t xml:space="preserve"> reports were made about unresolved human rights complaints that contained recommendations for the respondents to take to ensure their actions and decisions are compatible with human rights.</w:t>
      </w:r>
    </w:p>
    <w:p w14:paraId="5684BCE2" w14:textId="59319156" w:rsidR="002771F8" w:rsidRDefault="002771F8" w:rsidP="002771F8">
      <w:r w:rsidRPr="008A00EB">
        <w:lastRenderedPageBreak/>
        <w:t xml:space="preserve">Of the </w:t>
      </w:r>
      <w:r w:rsidR="00D51BBA" w:rsidRPr="00FF3A46">
        <w:rPr>
          <w:b/>
        </w:rPr>
        <w:t>34</w:t>
      </w:r>
      <w:r w:rsidR="00411EE4" w:rsidRPr="00FF3A46">
        <w:rPr>
          <w:b/>
        </w:rPr>
        <w:t>4</w:t>
      </w:r>
      <w:r w:rsidRPr="008A00EB">
        <w:t xml:space="preserve"> complaints finalised in the </w:t>
      </w:r>
      <w:r w:rsidR="006C766E">
        <w:t>2020-21</w:t>
      </w:r>
      <w:r w:rsidRPr="008A00EB">
        <w:t xml:space="preserve"> financial year, </w:t>
      </w:r>
      <w:r w:rsidR="002517AE">
        <w:rPr>
          <w:b/>
        </w:rPr>
        <w:t xml:space="preserve">89 </w:t>
      </w:r>
      <w:r w:rsidRPr="008A00EB">
        <w:t>complaints were about COVID-19, including issues arising in hotel quarantine</w:t>
      </w:r>
      <w:r w:rsidR="000231F0">
        <w:t xml:space="preserve"> and border restrictions</w:t>
      </w:r>
      <w:r w:rsidRPr="008A00EB">
        <w:t>.</w:t>
      </w:r>
      <w:r w:rsidR="00D0486C">
        <w:t xml:space="preserve"> </w:t>
      </w:r>
      <w:r w:rsidR="00712BD7">
        <w:t>In other words</w:t>
      </w:r>
      <w:r w:rsidR="000231F0">
        <w:t>, COVID-19-</w:t>
      </w:r>
      <w:r w:rsidR="00D0486C">
        <w:t xml:space="preserve">related complaints made up just over a quarter of </w:t>
      </w:r>
      <w:r w:rsidR="00AF7E24">
        <w:t>finalised</w:t>
      </w:r>
      <w:r w:rsidR="00D0486C">
        <w:t xml:space="preserve"> human rights complaints.</w:t>
      </w:r>
    </w:p>
    <w:p w14:paraId="2A86B350" w14:textId="79E3B431" w:rsidR="00B63FFF" w:rsidRDefault="002771F8" w:rsidP="002F30CE">
      <w:pPr>
        <w:rPr>
          <w:rFonts w:eastAsiaTheme="minorEastAsia"/>
          <w:b/>
          <w:bCs/>
          <w:i/>
          <w:iCs/>
          <w:color w:val="383D41"/>
          <w:sz w:val="20"/>
          <w:szCs w:val="18"/>
        </w:rPr>
      </w:pPr>
      <w:r w:rsidRPr="00E64775">
        <w:rPr>
          <w:i/>
        </w:rPr>
        <w:t>Appendix C</w:t>
      </w:r>
      <w:r>
        <w:t xml:space="preserve"> </w:t>
      </w:r>
      <w:r w:rsidR="00F146AF">
        <w:t>from page</w:t>
      </w:r>
      <w:r w:rsidR="009D1C11">
        <w:t xml:space="preserve"> 187</w:t>
      </w:r>
      <w:r w:rsidR="00F146AF">
        <w:t xml:space="preserve"> of</w:t>
      </w:r>
      <w:r>
        <w:t xml:space="preserve"> this report contains detailed statistical data presented in data tables.</w:t>
      </w:r>
      <w:r w:rsidR="002F30CE">
        <w:t xml:space="preserve"> </w:t>
      </w:r>
    </w:p>
    <w:p w14:paraId="7F566B1F" w14:textId="26912D61" w:rsidR="00B60AE1" w:rsidRPr="008A00EB" w:rsidRDefault="00FC69C9" w:rsidP="00E3148E">
      <w:pPr>
        <w:pStyle w:val="Caption"/>
      </w:pPr>
      <w:r>
        <w:t xml:space="preserve">Figure </w:t>
      </w:r>
      <w:r w:rsidR="007B0754">
        <w:t>9</w:t>
      </w:r>
      <w:r>
        <w:t>: Human rights complaint</w:t>
      </w:r>
      <w:r w:rsidR="007B0754">
        <w:t>s</w:t>
      </w:r>
      <w:r>
        <w:t xml:space="preserve"> snapshot</w:t>
      </w:r>
      <w:r w:rsidR="007B0754">
        <w:t xml:space="preserve">, </w:t>
      </w:r>
      <w:r w:rsidR="00E34177">
        <w:t>2020-21</w:t>
      </w:r>
    </w:p>
    <w:p w14:paraId="6D5BB41F" w14:textId="1BDCD87D" w:rsidR="002771F8" w:rsidRDefault="00867876">
      <w:pPr>
        <w:spacing w:line="259" w:lineRule="auto"/>
        <w:ind w:right="0"/>
        <w:rPr>
          <w:rFonts w:eastAsiaTheme="majorEastAsia" w:cstheme="majorBidi"/>
          <w:bCs/>
          <w:color w:val="D46228"/>
          <w:kern w:val="36"/>
          <w:sz w:val="36"/>
          <w:szCs w:val="26"/>
          <w:lang w:eastAsia="en-AU"/>
        </w:rPr>
      </w:pPr>
      <w:r>
        <w:rPr>
          <w:rFonts w:eastAsia="Times New Roman" w:cs="Times New Roman"/>
          <w:noProof/>
          <w:sz w:val="16"/>
          <w:szCs w:val="16"/>
          <w:lang w:eastAsia="en-AU"/>
        </w:rPr>
        <w:drawing>
          <wp:inline distT="0" distB="0" distL="0" distR="0" wp14:anchorId="28A5C9BE" wp14:editId="0300B4EF">
            <wp:extent cx="5400040" cy="6889531"/>
            <wp:effectExtent l="0" t="0" r="0" b="6985"/>
            <wp:docPr id="23" name="Picture 23" descr="Figure 9: Human rights complaints snapshot, 2020-21&#10;&#10;This diagram shows overall statistics for human rights complaints to the Commission in 2020-21. 369 human rights complaints were received in total. 344 were finalised. &#10;&#10;Of those 344, 151 were accepted: &#10;- 47 were resolved (33 by conciliation and 14 by early intervention)&#10;- 70 were unresolved after the complaints process (of these, 12 were referred to QIRC and 14 QCAT, 42 had no referral, and 2 had reports published)&#10;- 34 were withdrawn or the complainant lost contact.  &#10;&#10;The remaining 193 finalised complaints were not accepted for the following reasons: &#10;- insuffient detail to indicate a contravention of the Act (98)&#10;- no prior internal complaint to the public entity (72) &#10;- withdrawn or lost contact by the complainant (2)&#10;- rejected (21). Of the rejected complaints, 5 were lacking in substance and 16 were dealt with elsewher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Figure 9: Human rights complaints snapshot, 2020-21&#10;&#10;This diagram shows overall statistics for human rights complaints to the Commission in 2020-21. 369 human rights complaints were received in total. 344 were finalised. &#10;&#10;Of those 344, 151 were accepted: &#10;- 47 were resolved (33 by conciliation and 14 by early intervention)&#10;- 70 were unresolved after the complaints process (of these, 12 were referred to QIRC and 14 QCAT, 42 had no referral, and 2 had reports published)&#10;- 34 were withdrawn or the complainant lost contact.  &#10;&#10;The remaining 193 finalised complaints were not accepted for the following reasons: &#10;- insuffient detail to indicate a contravention of the Act (98)&#10;- no prior internal complaint to the public entity (72) &#10;- withdrawn or lost contact by the complainant (2)&#10;- rejected (21). Of the rejected complaints, 5 were lacking in substance and 16 were dealt with elsewhere."/>
                    <pic:cNvPicPr/>
                  </pic:nvPicPr>
                  <pic:blipFill rotWithShape="1">
                    <a:blip r:embed="rId60" cstate="print">
                      <a:extLst>
                        <a:ext uri="{28A0092B-C50C-407E-A947-70E740481C1C}">
                          <a14:useLocalDpi xmlns:a14="http://schemas.microsoft.com/office/drawing/2010/main" val="0"/>
                        </a:ext>
                      </a:extLst>
                    </a:blip>
                    <a:srcRect t="1533" b="2753"/>
                    <a:stretch/>
                  </pic:blipFill>
                  <pic:spPr bwMode="auto">
                    <a:xfrm>
                      <a:off x="0" y="0"/>
                      <a:ext cx="5401067" cy="6890841"/>
                    </a:xfrm>
                    <a:prstGeom prst="rect">
                      <a:avLst/>
                    </a:prstGeom>
                    <a:ln>
                      <a:noFill/>
                    </a:ln>
                    <a:extLst>
                      <a:ext uri="{53640926-AAD7-44D8-BBD7-CCE9431645EC}">
                        <a14:shadowObscured xmlns:a14="http://schemas.microsoft.com/office/drawing/2010/main"/>
                      </a:ext>
                    </a:extLst>
                  </pic:spPr>
                </pic:pic>
              </a:graphicData>
            </a:graphic>
          </wp:inline>
        </w:drawing>
      </w:r>
      <w:r w:rsidR="002771F8">
        <w:rPr>
          <w:color w:val="D46228"/>
        </w:rPr>
        <w:br w:type="page"/>
      </w:r>
    </w:p>
    <w:p w14:paraId="612C3CF7" w14:textId="4C6F855A" w:rsidR="00F4787C" w:rsidRPr="007521E3" w:rsidRDefault="00F4787C" w:rsidP="00B04FF8">
      <w:pPr>
        <w:pStyle w:val="Heading2"/>
        <w:rPr>
          <w:color w:val="D46228"/>
        </w:rPr>
      </w:pPr>
      <w:bookmarkStart w:id="524" w:name="_Toc56452192"/>
      <w:bookmarkStart w:id="525" w:name="_Toc84593925"/>
      <w:bookmarkStart w:id="526" w:name="_Toc85451802"/>
      <w:bookmarkStart w:id="527" w:name="_Toc85526733"/>
      <w:bookmarkStart w:id="528" w:name="_Toc85787148"/>
      <w:r w:rsidRPr="674E917E">
        <w:rPr>
          <w:color w:val="D46228"/>
        </w:rPr>
        <w:lastRenderedPageBreak/>
        <w:t>Outcomes of finalised complaints</w:t>
      </w:r>
      <w:bookmarkEnd w:id="524"/>
      <w:bookmarkEnd w:id="525"/>
      <w:bookmarkEnd w:id="526"/>
      <w:bookmarkEnd w:id="527"/>
      <w:bookmarkEnd w:id="528"/>
    </w:p>
    <w:p w14:paraId="3EE2C432" w14:textId="77A12F84" w:rsidR="0098630F" w:rsidRDefault="0098630F" w:rsidP="0098630F">
      <w:r>
        <w:t>Around 55% of complaints finalised in the 2020</w:t>
      </w:r>
      <w:r w:rsidR="00612651">
        <w:t>–</w:t>
      </w:r>
      <w:r>
        <w:t xml:space="preserve">21 financial year were not accepted by the Commission. </w:t>
      </w:r>
      <w:r w:rsidR="00A72C01">
        <w:t>Aside from those complaints</w:t>
      </w:r>
      <w:r>
        <w:t xml:space="preserve"> not </w:t>
      </w:r>
      <w:r w:rsidR="00A72C01">
        <w:t>indicating an unreasonable limitation on a human right,</w:t>
      </w:r>
      <w:r>
        <w:t xml:space="preserve"> </w:t>
      </w:r>
      <w:r w:rsidR="00A72C01">
        <w:t>some complaints could not be</w:t>
      </w:r>
      <w:r>
        <w:t xml:space="preserve"> accepted </w:t>
      </w:r>
      <w:r w:rsidR="00A72C01">
        <w:t>where they</w:t>
      </w:r>
      <w:r>
        <w:t xml:space="preserve"> described events occurring prior to the commencement of the Act on 1 January 2020.</w:t>
      </w:r>
    </w:p>
    <w:p w14:paraId="1C8D9034" w14:textId="299B51D9" w:rsidR="0098630F" w:rsidRPr="009C6E53" w:rsidRDefault="0098630F" w:rsidP="0098630F">
      <w:r>
        <w:t xml:space="preserve">Of the complaints that were accepted, 47 complaints were </w:t>
      </w:r>
      <w:r w:rsidR="007C720C">
        <w:t>resolved</w:t>
      </w:r>
      <w:r>
        <w:t xml:space="preserve"> in the 2020</w:t>
      </w:r>
      <w:r w:rsidR="00981AC2">
        <w:t>–</w:t>
      </w:r>
      <w:r>
        <w:t>21 financial year. 26 complaints, some of which had been received in the previous financial year, were referred to Tribunals (QCAT or QIRC).</w:t>
      </w:r>
    </w:p>
    <w:p w14:paraId="27497206" w14:textId="5A3201E0" w:rsidR="006E4676" w:rsidRDefault="006E4676" w:rsidP="006E4676">
      <w:pPr>
        <w:pStyle w:val="Caption"/>
      </w:pPr>
      <w:r>
        <w:t>Figure 10: Outcomes of all</w:t>
      </w:r>
      <w:r w:rsidRPr="008A00EB">
        <w:t xml:space="preserve"> </w:t>
      </w:r>
      <w:r w:rsidRPr="007B0754">
        <w:t>c</w:t>
      </w:r>
      <w:r w:rsidRPr="008A00EB">
        <w:t xml:space="preserve">omplaints finalised in </w:t>
      </w:r>
      <w:r>
        <w:t>2020-21</w:t>
      </w:r>
      <w:r w:rsidRPr="008A00EB">
        <w:t xml:space="preserve"> </w:t>
      </w:r>
    </w:p>
    <w:p w14:paraId="44955AA9" w14:textId="339509AC" w:rsidR="0098630F" w:rsidRPr="0098630F" w:rsidRDefault="006E4676" w:rsidP="0098630F">
      <w:r>
        <w:rPr>
          <w:noProof/>
          <w:lang w:eastAsia="en-AU"/>
        </w:rPr>
        <w:drawing>
          <wp:inline distT="0" distB="0" distL="0" distR="0" wp14:anchorId="2B85A22A" wp14:editId="56BDC76D">
            <wp:extent cx="5171089" cy="2719161"/>
            <wp:effectExtent l="0" t="0" r="0" b="5080"/>
            <wp:docPr id="25" name="Picture 25" descr="Figure 10: Outcomes of all complaints finalised in 2020-21 &#10;&#10;This donut chart shows the outcomes of all complaints finalised in 2020-21: &#10;- 47 were resolved&#10;- 26 were unconciliable piggy-back complaints referred to Tribunal; a further 21 of these complaints were not referred &#10;- 21 were unconciliable human rights only complaints which were not referred; a further 2 of these complaints had a report with recommendations published &#10;- 36 complaints were withdrawn or the complainant lost contact &#10;- 2 were referred to the Health Ombudsman&#10;- 98 had insufficient detail to indicate a breach of the Act &#10;- 72 had no prior internal complaint made to the public entity first &#10;- 14 complaints either had been or could be better dealt with elsewhere &#10;- 5 complaints were rejected because they lacked subst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descr="Figure 10: Outcomes of all complaints finalised in 2020-21 &#10;&#10;This donut chart shows the outcomes of all complaints finalised in 2020-21: &#10;- 47 were resolved&#10;- 26 were unconciliable piggy-back complaints referred to Tribunal; a further 21 of these complaints were not referred &#10;- 21 were unconciliable human rights only complaints which were not referred; a further 2 of these complaints had a report with recommendations published &#10;- 36 complaints were withdrawn or the complainant lost contact &#10;- 2 were referred to the Health Ombudsman&#10;- 98 had insufficient detail to indicate a breach of the Act &#10;- 72 had no prior internal complaint made to the public entity first &#10;- 14 complaints either had been or could be better dealt with elsewhere &#10;- 5 complaints were rejected because they lacked substance "/>
                    <pic:cNvPicPr/>
                  </pic:nvPicPr>
                  <pic:blipFill>
                    <a:blip r:embed="rId61" cstate="print">
                      <a:extLst>
                        <a:ext uri="{28A0092B-C50C-407E-A947-70E740481C1C}">
                          <a14:useLocalDpi xmlns:a14="http://schemas.microsoft.com/office/drawing/2010/main" val="0"/>
                        </a:ext>
                      </a:extLst>
                    </a:blip>
                    <a:stretch>
                      <a:fillRect/>
                    </a:stretch>
                  </pic:blipFill>
                  <pic:spPr>
                    <a:xfrm>
                      <a:off x="0" y="0"/>
                      <a:ext cx="5175880" cy="2721680"/>
                    </a:xfrm>
                    <a:prstGeom prst="rect">
                      <a:avLst/>
                    </a:prstGeom>
                  </pic:spPr>
                </pic:pic>
              </a:graphicData>
            </a:graphic>
          </wp:inline>
        </w:drawing>
      </w:r>
    </w:p>
    <w:p w14:paraId="52E4FC16" w14:textId="740A0D6A" w:rsidR="00275EB7" w:rsidRDefault="00275EB7" w:rsidP="002577F7">
      <w:pPr>
        <w:pStyle w:val="Caption"/>
      </w:pPr>
      <w:r>
        <w:t xml:space="preserve">Table </w:t>
      </w:r>
      <w:r w:rsidR="002577F7">
        <w:t>10: Specific outcomes achieved through the Commission’s complaints process 2020-21</w:t>
      </w:r>
    </w:p>
    <w:tbl>
      <w:tblPr>
        <w:tblStyle w:val="TableGrid"/>
        <w:tblW w:w="0" w:type="auto"/>
        <w:tblBorders>
          <w:top w:val="single" w:sz="4" w:space="0" w:color="D46228"/>
          <w:left w:val="none" w:sz="0" w:space="0" w:color="auto"/>
          <w:bottom w:val="single" w:sz="4" w:space="0" w:color="D46228"/>
          <w:right w:val="none" w:sz="0" w:space="0" w:color="auto"/>
          <w:insideH w:val="single" w:sz="4" w:space="0" w:color="D46228"/>
          <w:insideV w:val="none" w:sz="0" w:space="0" w:color="auto"/>
        </w:tblBorders>
        <w:tblLook w:val="0620" w:firstRow="1" w:lastRow="0" w:firstColumn="0" w:lastColumn="0" w:noHBand="1" w:noVBand="1"/>
      </w:tblPr>
      <w:tblGrid>
        <w:gridCol w:w="4770"/>
        <w:gridCol w:w="2700"/>
      </w:tblGrid>
      <w:tr w:rsidR="003E4CC2" w:rsidRPr="003E4CC2" w14:paraId="59287DC3" w14:textId="77777777" w:rsidTr="003E4CC2">
        <w:tc>
          <w:tcPr>
            <w:tcW w:w="4770" w:type="dxa"/>
          </w:tcPr>
          <w:p w14:paraId="30AF6F2A" w14:textId="722BF427" w:rsidR="00F454A0" w:rsidRPr="003E4CC2" w:rsidRDefault="00BF5188" w:rsidP="003E4CC2">
            <w:pPr>
              <w:pStyle w:val="TableTextHeading"/>
              <w:rPr>
                <w:color w:val="D46228"/>
              </w:rPr>
            </w:pPr>
            <w:r w:rsidRPr="003E4CC2">
              <w:rPr>
                <w:color w:val="D46228"/>
              </w:rPr>
              <w:t xml:space="preserve">Outcome </w:t>
            </w:r>
          </w:p>
        </w:tc>
        <w:tc>
          <w:tcPr>
            <w:tcW w:w="2700" w:type="dxa"/>
          </w:tcPr>
          <w:p w14:paraId="55487E77" w14:textId="61B2D0D5" w:rsidR="00F454A0" w:rsidRPr="003E4CC2" w:rsidRDefault="00BF5188" w:rsidP="003E4CC2">
            <w:pPr>
              <w:pStyle w:val="TableTextHeading"/>
              <w:rPr>
                <w:color w:val="D46228"/>
              </w:rPr>
            </w:pPr>
            <w:r w:rsidRPr="003E4CC2">
              <w:rPr>
                <w:color w:val="D46228"/>
              </w:rPr>
              <w:t xml:space="preserve">Number </w:t>
            </w:r>
          </w:p>
        </w:tc>
      </w:tr>
      <w:tr w:rsidR="00BF5188" w14:paraId="417A6051" w14:textId="77777777" w:rsidTr="003E4CC2">
        <w:tc>
          <w:tcPr>
            <w:tcW w:w="4770" w:type="dxa"/>
          </w:tcPr>
          <w:p w14:paraId="4846DED2" w14:textId="68767771" w:rsidR="00BF5188" w:rsidRDefault="00BF5188" w:rsidP="003E4CC2">
            <w:pPr>
              <w:pStyle w:val="TableText"/>
            </w:pPr>
            <w:r>
              <w:t>Apology</w:t>
            </w:r>
          </w:p>
        </w:tc>
        <w:tc>
          <w:tcPr>
            <w:tcW w:w="2700" w:type="dxa"/>
          </w:tcPr>
          <w:p w14:paraId="61DEF56E" w14:textId="7AC0248A" w:rsidR="00BF5188" w:rsidRDefault="003E4CC2" w:rsidP="003E4CC2">
            <w:pPr>
              <w:pStyle w:val="TableText"/>
            </w:pPr>
            <w:r>
              <w:t>6</w:t>
            </w:r>
          </w:p>
        </w:tc>
      </w:tr>
      <w:tr w:rsidR="003E4CC2" w14:paraId="79BF4288" w14:textId="77777777" w:rsidTr="003E4CC2">
        <w:tc>
          <w:tcPr>
            <w:tcW w:w="4770" w:type="dxa"/>
          </w:tcPr>
          <w:p w14:paraId="2A3CD34A" w14:textId="044589B2" w:rsidR="003E4CC2" w:rsidRDefault="003E4CC2" w:rsidP="003E4CC2">
            <w:pPr>
              <w:pStyle w:val="TableText"/>
            </w:pPr>
            <w:r>
              <w:t>Agreement to train individuals/workforce</w:t>
            </w:r>
          </w:p>
        </w:tc>
        <w:tc>
          <w:tcPr>
            <w:tcW w:w="2700" w:type="dxa"/>
          </w:tcPr>
          <w:p w14:paraId="7A827494" w14:textId="3846A8C9" w:rsidR="003E4CC2" w:rsidRDefault="003E4CC2" w:rsidP="003E4CC2">
            <w:pPr>
              <w:pStyle w:val="TableText"/>
            </w:pPr>
            <w:r>
              <w:t>4</w:t>
            </w:r>
          </w:p>
        </w:tc>
      </w:tr>
      <w:tr w:rsidR="00F454A0" w14:paraId="03D7EC7A" w14:textId="77777777" w:rsidTr="003E4CC2">
        <w:tc>
          <w:tcPr>
            <w:tcW w:w="4770" w:type="dxa"/>
          </w:tcPr>
          <w:p w14:paraId="016D7637" w14:textId="5E28E1C6" w:rsidR="00F454A0" w:rsidRDefault="00267E51" w:rsidP="003E4CC2">
            <w:pPr>
              <w:pStyle w:val="TableText"/>
            </w:pPr>
            <w:r>
              <w:t xml:space="preserve">Agreement for compensation </w:t>
            </w:r>
          </w:p>
        </w:tc>
        <w:tc>
          <w:tcPr>
            <w:tcW w:w="2700" w:type="dxa"/>
          </w:tcPr>
          <w:p w14:paraId="5F5CBD52" w14:textId="09C5FB2B" w:rsidR="00F454A0" w:rsidRDefault="003E4CC2" w:rsidP="003E4CC2">
            <w:pPr>
              <w:pStyle w:val="TableText"/>
            </w:pPr>
            <w:r>
              <w:t>4</w:t>
            </w:r>
          </w:p>
        </w:tc>
      </w:tr>
      <w:tr w:rsidR="00F454A0" w14:paraId="17BB7232" w14:textId="77777777" w:rsidTr="003E4CC2">
        <w:tc>
          <w:tcPr>
            <w:tcW w:w="4770" w:type="dxa"/>
          </w:tcPr>
          <w:p w14:paraId="0D97C2AA" w14:textId="4609C9FD" w:rsidR="00F454A0" w:rsidRDefault="00267E51" w:rsidP="003E4CC2">
            <w:pPr>
              <w:pStyle w:val="TableText"/>
            </w:pPr>
            <w:r>
              <w:t>Policy change/review</w:t>
            </w:r>
          </w:p>
        </w:tc>
        <w:tc>
          <w:tcPr>
            <w:tcW w:w="2700" w:type="dxa"/>
          </w:tcPr>
          <w:p w14:paraId="1213AC08" w14:textId="0B41536D" w:rsidR="00F454A0" w:rsidRDefault="003E4CC2" w:rsidP="003E4CC2">
            <w:pPr>
              <w:pStyle w:val="TableText"/>
            </w:pPr>
            <w:r>
              <w:t>3</w:t>
            </w:r>
          </w:p>
        </w:tc>
      </w:tr>
      <w:tr w:rsidR="00F454A0" w14:paraId="185ED24D" w14:textId="77777777" w:rsidTr="003E4CC2">
        <w:tc>
          <w:tcPr>
            <w:tcW w:w="4770" w:type="dxa"/>
          </w:tcPr>
          <w:p w14:paraId="0D189FFD" w14:textId="3CD2FB6A" w:rsidR="00F454A0" w:rsidRDefault="00267E51" w:rsidP="003E4CC2">
            <w:pPr>
              <w:pStyle w:val="TableText"/>
            </w:pPr>
            <w:r>
              <w:t xml:space="preserve">Agreement to change the original decision </w:t>
            </w:r>
            <w:r w:rsidR="003E4CC2">
              <w:t>made by the public entity</w:t>
            </w:r>
          </w:p>
        </w:tc>
        <w:tc>
          <w:tcPr>
            <w:tcW w:w="2700" w:type="dxa"/>
          </w:tcPr>
          <w:p w14:paraId="04BE6CC1" w14:textId="642A35EA" w:rsidR="00F454A0" w:rsidRDefault="003E4CC2" w:rsidP="003E4CC2">
            <w:pPr>
              <w:pStyle w:val="TableText"/>
            </w:pPr>
            <w:r>
              <w:t>1</w:t>
            </w:r>
          </w:p>
        </w:tc>
      </w:tr>
      <w:tr w:rsidR="00F454A0" w14:paraId="6413A468" w14:textId="77777777" w:rsidTr="003E4CC2">
        <w:tc>
          <w:tcPr>
            <w:tcW w:w="4770" w:type="dxa"/>
          </w:tcPr>
          <w:p w14:paraId="08B69191" w14:textId="0AADFFF5" w:rsidR="00F454A0" w:rsidRDefault="003E4CC2" w:rsidP="003E4CC2">
            <w:pPr>
              <w:pStyle w:val="TableText"/>
            </w:pPr>
            <w:r>
              <w:t>Policy development/implementation</w:t>
            </w:r>
          </w:p>
        </w:tc>
        <w:tc>
          <w:tcPr>
            <w:tcW w:w="2700" w:type="dxa"/>
          </w:tcPr>
          <w:p w14:paraId="5EFB26FD" w14:textId="4263507D" w:rsidR="00F454A0" w:rsidRDefault="003E4CC2" w:rsidP="003E4CC2">
            <w:pPr>
              <w:pStyle w:val="TableText"/>
            </w:pPr>
            <w:r>
              <w:t>1</w:t>
            </w:r>
          </w:p>
        </w:tc>
      </w:tr>
      <w:tr w:rsidR="00F454A0" w14:paraId="6AE716D6" w14:textId="77777777" w:rsidTr="003E4CC2">
        <w:tc>
          <w:tcPr>
            <w:tcW w:w="4770" w:type="dxa"/>
          </w:tcPr>
          <w:p w14:paraId="60970438" w14:textId="7646BF6E" w:rsidR="00F454A0" w:rsidRDefault="003E4CC2" w:rsidP="003E4CC2">
            <w:pPr>
              <w:pStyle w:val="TableText"/>
            </w:pPr>
            <w:r>
              <w:t xml:space="preserve">Service improvement </w:t>
            </w:r>
          </w:p>
        </w:tc>
        <w:tc>
          <w:tcPr>
            <w:tcW w:w="2700" w:type="dxa"/>
          </w:tcPr>
          <w:p w14:paraId="1C89BB67" w14:textId="77139643" w:rsidR="00F454A0" w:rsidRDefault="003E4CC2" w:rsidP="003E4CC2">
            <w:pPr>
              <w:pStyle w:val="TableText"/>
            </w:pPr>
            <w:r>
              <w:t>1</w:t>
            </w:r>
          </w:p>
        </w:tc>
      </w:tr>
      <w:tr w:rsidR="00F454A0" w14:paraId="48172A75" w14:textId="77777777" w:rsidTr="003E4CC2">
        <w:tc>
          <w:tcPr>
            <w:tcW w:w="4770" w:type="dxa"/>
          </w:tcPr>
          <w:p w14:paraId="3E640754" w14:textId="49ED1F6D" w:rsidR="00F454A0" w:rsidRDefault="003E4CC2" w:rsidP="003E4CC2">
            <w:pPr>
              <w:pStyle w:val="TableText"/>
            </w:pPr>
            <w:r>
              <w:t xml:space="preserve">Free goods/services </w:t>
            </w:r>
          </w:p>
        </w:tc>
        <w:tc>
          <w:tcPr>
            <w:tcW w:w="2700" w:type="dxa"/>
          </w:tcPr>
          <w:p w14:paraId="1E79F776" w14:textId="457873C9" w:rsidR="00F454A0" w:rsidRDefault="003E4CC2" w:rsidP="003E4CC2">
            <w:pPr>
              <w:pStyle w:val="TableText"/>
            </w:pPr>
            <w:r>
              <w:t>1</w:t>
            </w:r>
          </w:p>
        </w:tc>
      </w:tr>
    </w:tbl>
    <w:p w14:paraId="32D8B825" w14:textId="77777777" w:rsidR="002577F7" w:rsidRPr="002577F7" w:rsidRDefault="002577F7" w:rsidP="002577F7"/>
    <w:p w14:paraId="260915D0" w14:textId="74FBA273" w:rsidR="00AB1BF8" w:rsidRPr="007521E3" w:rsidRDefault="00102548" w:rsidP="00AB1BF8">
      <w:pPr>
        <w:pStyle w:val="Heading2"/>
        <w:rPr>
          <w:color w:val="D46228"/>
        </w:rPr>
      </w:pPr>
      <w:bookmarkStart w:id="529" w:name="_Toc85451803"/>
      <w:bookmarkStart w:id="530" w:name="_Toc85526734"/>
      <w:bookmarkStart w:id="531" w:name="_Toc85787149"/>
      <w:bookmarkStart w:id="532" w:name="_Toc84593927"/>
      <w:r w:rsidRPr="674E917E">
        <w:rPr>
          <w:color w:val="D46228"/>
        </w:rPr>
        <w:lastRenderedPageBreak/>
        <w:t>Resolution</w:t>
      </w:r>
      <w:r w:rsidR="00AB1BF8" w:rsidRPr="674E917E">
        <w:rPr>
          <w:color w:val="D46228"/>
        </w:rPr>
        <w:t xml:space="preserve"> rate for human rights complaints</w:t>
      </w:r>
      <w:bookmarkEnd w:id="529"/>
      <w:bookmarkEnd w:id="530"/>
      <w:bookmarkEnd w:id="531"/>
    </w:p>
    <w:bookmarkEnd w:id="532"/>
    <w:p w14:paraId="6F455549" w14:textId="63071155" w:rsidR="00292AAB" w:rsidRDefault="00885F3B" w:rsidP="00CC7100">
      <w:r>
        <w:t xml:space="preserve">Compared with complaints made under the </w:t>
      </w:r>
      <w:r w:rsidRPr="006E415A">
        <w:rPr>
          <w:i/>
        </w:rPr>
        <w:t>Anti-Discrimination Act 1991</w:t>
      </w:r>
      <w:r w:rsidR="6D46488E" w:rsidRPr="674E917E">
        <w:rPr>
          <w:i/>
          <w:iCs/>
        </w:rPr>
        <w:t>,</w:t>
      </w:r>
      <w:r w:rsidR="00004CC3">
        <w:t xml:space="preserve"> </w:t>
      </w:r>
      <w:r w:rsidR="00102548">
        <w:t xml:space="preserve">the resolution rate appears to be significantly lower for human rights and </w:t>
      </w:r>
      <w:r w:rsidR="003A2ECC">
        <w:t>piggy-back</w:t>
      </w:r>
      <w:r w:rsidR="00102548">
        <w:t xml:space="preserve"> complaints. </w:t>
      </w:r>
    </w:p>
    <w:p w14:paraId="60B69370" w14:textId="30B0E7B2" w:rsidR="00292AAB" w:rsidRDefault="00292AAB" w:rsidP="00292AAB">
      <w:pPr>
        <w:pStyle w:val="Caption"/>
      </w:pPr>
      <w:r>
        <w:t>Figure</w:t>
      </w:r>
      <w:r w:rsidR="0007199E">
        <w:t xml:space="preserve"> 11</w:t>
      </w:r>
      <w:r>
        <w:t xml:space="preserve">: </w:t>
      </w:r>
      <w:r w:rsidR="40461B32">
        <w:t>Resolution rates by complaint type 2020-21</w:t>
      </w:r>
    </w:p>
    <w:p w14:paraId="1C2266F6" w14:textId="27A157F3" w:rsidR="00292AAB" w:rsidRDefault="00292AAB" w:rsidP="00CC7100">
      <w:r>
        <w:rPr>
          <w:noProof/>
          <w:lang w:eastAsia="en-AU"/>
        </w:rPr>
        <w:drawing>
          <wp:inline distT="0" distB="0" distL="0" distR="0" wp14:anchorId="73B7C111" wp14:editId="72BB2BD5">
            <wp:extent cx="3118110" cy="3118110"/>
            <wp:effectExtent l="0" t="0" r="6350" b="6350"/>
            <wp:docPr id="28" name="Picture 28" descr="Figure 11: Resolution rates by complaint type 2020-21&#10;&#10;This progress ring chart shows the comparative resolution rate for complaints accepted under the Anti-Discrimination Act (50.3%), piggy-back complaints (30.5%) and human rights only complaints (29.1%).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Figure 11: Resolution rates by complaint type 2020-21&#10;&#10;This progress ring chart shows the comparative resolution rate for complaints accepted under the Anti-Discrimination Act (50.3%), piggy-back complaints (30.5%) and human rights only complaints (29.1%). "/>
                    <pic:cNvPicPr/>
                  </pic:nvPicPr>
                  <pic:blipFill>
                    <a:blip r:embed="rId62" cstate="print">
                      <a:extLst>
                        <a:ext uri="{28A0092B-C50C-407E-A947-70E740481C1C}">
                          <a14:useLocalDpi xmlns:a14="http://schemas.microsoft.com/office/drawing/2010/main" val="0"/>
                        </a:ext>
                      </a:extLst>
                    </a:blip>
                    <a:stretch>
                      <a:fillRect/>
                    </a:stretch>
                  </pic:blipFill>
                  <pic:spPr>
                    <a:xfrm>
                      <a:off x="0" y="0"/>
                      <a:ext cx="3118110" cy="3118110"/>
                    </a:xfrm>
                    <a:prstGeom prst="rect">
                      <a:avLst/>
                    </a:prstGeom>
                  </pic:spPr>
                </pic:pic>
              </a:graphicData>
            </a:graphic>
          </wp:inline>
        </w:drawing>
      </w:r>
    </w:p>
    <w:p w14:paraId="529FFF8A" w14:textId="24694943" w:rsidR="0052348D" w:rsidRDefault="00102548" w:rsidP="00CC7100">
      <w:r>
        <w:t xml:space="preserve">In the reporting period, </w:t>
      </w:r>
      <w:r w:rsidR="004B62E6">
        <w:t>50.3</w:t>
      </w:r>
      <w:r>
        <w:t xml:space="preserve">% of anti-discrimination </w:t>
      </w:r>
      <w:r w:rsidR="3DEF5ACE">
        <w:t xml:space="preserve">complaints </w:t>
      </w:r>
      <w:r w:rsidR="00004CC3">
        <w:t>(</w:t>
      </w:r>
      <w:r w:rsidR="00172BCC">
        <w:t>not</w:t>
      </w:r>
      <w:r>
        <w:t xml:space="preserve"> </w:t>
      </w:r>
      <w:r w:rsidR="00172BCC">
        <w:t>involving</w:t>
      </w:r>
      <w:r>
        <w:t xml:space="preserve"> </w:t>
      </w:r>
      <w:r w:rsidR="00756D7B">
        <w:t>a public entity</w:t>
      </w:r>
      <w:r w:rsidR="00004CC3">
        <w:t>)</w:t>
      </w:r>
      <w:r>
        <w:t xml:space="preserve"> were resolved through conciliation. </w:t>
      </w:r>
      <w:r w:rsidR="00004CC3">
        <w:t xml:space="preserve">This is consistent with previous years </w:t>
      </w:r>
      <w:r w:rsidR="00630E1E">
        <w:t>in which</w:t>
      </w:r>
      <w:r w:rsidR="00004CC3">
        <w:t xml:space="preserve"> resolution rates </w:t>
      </w:r>
      <w:r w:rsidR="00630E1E">
        <w:t>were</w:t>
      </w:r>
      <w:r w:rsidR="00004CC3">
        <w:t xml:space="preserve"> somewhere between 50</w:t>
      </w:r>
      <w:r w:rsidR="006A572E">
        <w:t xml:space="preserve"> to </w:t>
      </w:r>
      <w:r w:rsidR="00004CC3">
        <w:t>55%.</w:t>
      </w:r>
    </w:p>
    <w:p w14:paraId="7A5EEC89" w14:textId="484C9979" w:rsidR="00756D7B" w:rsidRDefault="00102548" w:rsidP="00CC7100">
      <w:r>
        <w:t>In contrast</w:t>
      </w:r>
      <w:r w:rsidR="00630E1E">
        <w:t>,</w:t>
      </w:r>
      <w:r>
        <w:t xml:space="preserve"> only </w:t>
      </w:r>
      <w:r w:rsidR="004D1AB9">
        <w:t>29.1</w:t>
      </w:r>
      <w:r>
        <w:t>% of human rights only complaints were resolved through conciliation</w:t>
      </w:r>
      <w:r w:rsidR="00B6766C">
        <w:t xml:space="preserve"> and the piggy-back complaints resolved at a similar rate</w:t>
      </w:r>
      <w:r>
        <w:t xml:space="preserve">. </w:t>
      </w:r>
      <w:r w:rsidR="00756D7B">
        <w:t>While it is too early to detect any clear trends, the</w:t>
      </w:r>
      <w:r w:rsidR="006E415A">
        <w:t xml:space="preserve"> possible</w:t>
      </w:r>
      <w:r w:rsidR="00756D7B">
        <w:t xml:space="preserve"> reasons for this may </w:t>
      </w:r>
      <w:r w:rsidR="0295403A">
        <w:t>include</w:t>
      </w:r>
      <w:r w:rsidR="00756D7B">
        <w:t>:</w:t>
      </w:r>
    </w:p>
    <w:p w14:paraId="29934930" w14:textId="52FB0401" w:rsidR="00756D7B" w:rsidRDefault="00756D7B" w:rsidP="00880482">
      <w:pPr>
        <w:pStyle w:val="ListParagraph"/>
      </w:pPr>
      <w:r>
        <w:t xml:space="preserve">Without </w:t>
      </w:r>
      <w:r w:rsidR="007F249F">
        <w:t>the</w:t>
      </w:r>
      <w:r>
        <w:t xml:space="preserve"> risk of </w:t>
      </w:r>
      <w:r w:rsidR="007F249F">
        <w:t xml:space="preserve">a potential determination by the </w:t>
      </w:r>
      <w:r w:rsidR="00630E1E">
        <w:t>t</w:t>
      </w:r>
      <w:r w:rsidR="007F249F">
        <w:t xml:space="preserve">ribunal, </w:t>
      </w:r>
      <w:r>
        <w:t xml:space="preserve">respondents are less </w:t>
      </w:r>
      <w:r w:rsidR="007F249F">
        <w:t>inclined</w:t>
      </w:r>
      <w:r>
        <w:t xml:space="preserve"> to settle a complaint</w:t>
      </w:r>
      <w:r w:rsidR="00630E1E">
        <w:t>.</w:t>
      </w:r>
    </w:p>
    <w:p w14:paraId="0C7D5F71" w14:textId="5358EF3B" w:rsidR="00756D7B" w:rsidRDefault="00756D7B" w:rsidP="00880482">
      <w:pPr>
        <w:pStyle w:val="ListParagraph"/>
      </w:pPr>
      <w:r>
        <w:t>There is less i</w:t>
      </w:r>
      <w:r w:rsidR="4039C462">
        <w:t xml:space="preserve">ncentive </w:t>
      </w:r>
      <w:r>
        <w:t>for the parties</w:t>
      </w:r>
      <w:r w:rsidR="00004CC3">
        <w:t xml:space="preserve"> (including the complainant)</w:t>
      </w:r>
      <w:r>
        <w:t xml:space="preserve"> to sign a formal conciliation agreement to settle the matter, or confirm that the matter is resolved</w:t>
      </w:r>
      <w:r w:rsidR="00EA49E5">
        <w:t>,</w:t>
      </w:r>
      <w:r>
        <w:t xml:space="preserve"> </w:t>
      </w:r>
      <w:r w:rsidR="00EA49E5">
        <w:t xml:space="preserve">if </w:t>
      </w:r>
      <w:r>
        <w:t>there is no chance of it progressing further to a tribunal</w:t>
      </w:r>
      <w:r w:rsidR="00E051DC">
        <w:t>.</w:t>
      </w:r>
    </w:p>
    <w:p w14:paraId="02351A4C" w14:textId="17EF32CB" w:rsidR="00A2391E" w:rsidRDefault="00A2391E" w:rsidP="00880482">
      <w:pPr>
        <w:pStyle w:val="ListParagraph"/>
      </w:pPr>
      <w:r>
        <w:lastRenderedPageBreak/>
        <w:t xml:space="preserve">Complaints made </w:t>
      </w:r>
      <w:r w:rsidR="00947B7F">
        <w:t xml:space="preserve">about </w:t>
      </w:r>
      <w:r>
        <w:t xml:space="preserve">public entities </w:t>
      </w:r>
      <w:r w:rsidR="00947B7F">
        <w:t>in the administration of</w:t>
      </w:r>
      <w:r w:rsidR="00C703ED">
        <w:t xml:space="preserve"> state laws and programs</w:t>
      </w:r>
      <w:r>
        <w:t xml:space="preserve"> are generally less likely to resolve</w:t>
      </w:r>
      <w:r w:rsidR="008A6CC1">
        <w:t>,</w:t>
      </w:r>
      <w:r w:rsidRPr="00513E11">
        <w:rPr>
          <w:rStyle w:val="FootnoteReference"/>
        </w:rPr>
        <w:footnoteReference w:id="104"/>
      </w:r>
      <w:r w:rsidR="00004CC3" w:rsidRPr="00513E11">
        <w:rPr>
          <w:vertAlign w:val="superscript"/>
        </w:rPr>
        <w:t xml:space="preserve"> </w:t>
      </w:r>
      <w:r w:rsidR="00004CC3">
        <w:t>regardless of the complaint type.</w:t>
      </w:r>
    </w:p>
    <w:p w14:paraId="19B6B8EC" w14:textId="27C7615E" w:rsidR="00CC7100" w:rsidRPr="008A00EB" w:rsidRDefault="007F249F" w:rsidP="00880482">
      <w:pPr>
        <w:pStyle w:val="ListParagraph"/>
      </w:pPr>
      <w:r>
        <w:t xml:space="preserve">Significant numbers of complainants </w:t>
      </w:r>
      <w:r w:rsidR="00A04291">
        <w:t xml:space="preserve">who had human rights only complaints </w:t>
      </w:r>
      <w:r>
        <w:t>(13) lost contact or withdrew their complaints, which may be related to the backlog of complaints.</w:t>
      </w:r>
      <w:r w:rsidR="00B6766C">
        <w:t xml:space="preserve"> At times a person may have withdrawn because they were satisfied with the outcome, but these situations were not recorded as ‘resolved’.</w:t>
      </w:r>
      <w:bookmarkStart w:id="533" w:name="_Toc84593928"/>
    </w:p>
    <w:p w14:paraId="4E646019" w14:textId="77777777" w:rsidR="00B33935" w:rsidRDefault="00B33935" w:rsidP="00B04FF8">
      <w:pPr>
        <w:pStyle w:val="Heading2"/>
        <w:rPr>
          <w:color w:val="D46228"/>
        </w:rPr>
      </w:pPr>
      <w:bookmarkStart w:id="534" w:name="_Toc56452193"/>
      <w:bookmarkStart w:id="535" w:name="_Toc84593929"/>
      <w:bookmarkStart w:id="536" w:name="_Toc85451804"/>
      <w:bookmarkStart w:id="537" w:name="_Toc85526735"/>
      <w:bookmarkStart w:id="538" w:name="_Toc85787150"/>
      <w:bookmarkEnd w:id="533"/>
    </w:p>
    <w:p w14:paraId="0A696E1F" w14:textId="5284DECE" w:rsidR="00EE4AA8" w:rsidRPr="007521E3" w:rsidRDefault="44BB73C3" w:rsidP="00B04FF8">
      <w:pPr>
        <w:pStyle w:val="Heading2"/>
        <w:rPr>
          <w:color w:val="D46228"/>
        </w:rPr>
      </w:pPr>
      <w:r w:rsidRPr="674E917E">
        <w:rPr>
          <w:color w:val="D46228"/>
        </w:rPr>
        <w:t xml:space="preserve">Human rights identified in </w:t>
      </w:r>
      <w:r w:rsidR="008F5320" w:rsidRPr="674E917E">
        <w:rPr>
          <w:color w:val="D46228"/>
        </w:rPr>
        <w:t xml:space="preserve">all </w:t>
      </w:r>
      <w:r w:rsidR="006E79BA" w:rsidRPr="674E917E">
        <w:rPr>
          <w:color w:val="D46228"/>
        </w:rPr>
        <w:t xml:space="preserve">human rights </w:t>
      </w:r>
      <w:r w:rsidR="003320D1" w:rsidRPr="674E917E">
        <w:rPr>
          <w:color w:val="D46228"/>
        </w:rPr>
        <w:t>complaint</w:t>
      </w:r>
      <w:r w:rsidR="00401B6A" w:rsidRPr="674E917E">
        <w:rPr>
          <w:color w:val="D46228"/>
        </w:rPr>
        <w:t>s</w:t>
      </w:r>
      <w:bookmarkEnd w:id="534"/>
      <w:bookmarkEnd w:id="535"/>
      <w:bookmarkEnd w:id="536"/>
      <w:bookmarkEnd w:id="537"/>
      <w:bookmarkEnd w:id="538"/>
    </w:p>
    <w:p w14:paraId="36E871A4" w14:textId="2F61C751" w:rsidR="00F52F09" w:rsidRPr="008A00EB" w:rsidRDefault="00F52F09" w:rsidP="006A72DA">
      <w:r w:rsidRPr="008A00EB">
        <w:t>This</w:t>
      </w:r>
      <w:r w:rsidR="37A23E89" w:rsidRPr="008A00EB">
        <w:t xml:space="preserve"> </w:t>
      </w:r>
      <w:r w:rsidR="38EE46EA" w:rsidRPr="008A00EB">
        <w:t xml:space="preserve">section </w:t>
      </w:r>
      <w:r w:rsidR="00B47DB2">
        <w:t>looks at</w:t>
      </w:r>
      <w:r w:rsidR="00BE2C0D" w:rsidRPr="008A00EB">
        <w:t xml:space="preserve"> the human rights relevant to the allegations raised in the complaint</w:t>
      </w:r>
      <w:r w:rsidR="006D5CDE" w:rsidRPr="008A00EB">
        <w:t xml:space="preserve">s finalised in </w:t>
      </w:r>
      <w:r w:rsidR="00584C8B">
        <w:t>2020</w:t>
      </w:r>
      <w:r w:rsidR="00310204">
        <w:t>–</w:t>
      </w:r>
      <w:r w:rsidR="00584C8B">
        <w:t>21</w:t>
      </w:r>
      <w:r w:rsidRPr="008A00EB">
        <w:t>.</w:t>
      </w:r>
      <w:r w:rsidR="00C17AA5" w:rsidRPr="008A00EB">
        <w:t xml:space="preserve"> </w:t>
      </w:r>
      <w:r w:rsidR="007521E3">
        <w:t xml:space="preserve">The </w:t>
      </w:r>
      <w:r w:rsidR="00494C71">
        <w:t xml:space="preserve">information </w:t>
      </w:r>
      <w:r w:rsidR="002C15C1">
        <w:t xml:space="preserve">in this section </w:t>
      </w:r>
      <w:r w:rsidR="00494C71">
        <w:t>inclu</w:t>
      </w:r>
      <w:r w:rsidR="002C15C1">
        <w:t>des</w:t>
      </w:r>
      <w:r w:rsidR="00494C71">
        <w:t xml:space="preserve"> all complaints – </w:t>
      </w:r>
      <w:r w:rsidR="00B70C22">
        <w:t>piggy-back complaint</w:t>
      </w:r>
      <w:r w:rsidR="00494C71">
        <w:t>s and human rights only complaints.</w:t>
      </w:r>
    </w:p>
    <w:p w14:paraId="235B4ADA" w14:textId="6C3559FC" w:rsidR="00A46D5C" w:rsidRPr="008A00EB" w:rsidRDefault="00A46D5C" w:rsidP="006A72DA">
      <w:r w:rsidRPr="008A00EB">
        <w:t xml:space="preserve">The Commission may identify </w:t>
      </w:r>
      <w:r w:rsidR="00495B3D">
        <w:t>the relevant</w:t>
      </w:r>
      <w:r w:rsidRPr="008A00EB">
        <w:t xml:space="preserve"> human right from the information provided in the complaint, or the complainant may indicate that they believe </w:t>
      </w:r>
      <w:r w:rsidR="00350F05" w:rsidRPr="008A00EB">
        <w:t>the</w:t>
      </w:r>
      <w:r w:rsidRPr="008A00EB">
        <w:t xml:space="preserve"> right has been </w:t>
      </w:r>
      <w:r w:rsidR="00352A5A">
        <w:t>limited</w:t>
      </w:r>
      <w:r w:rsidRPr="008A00EB">
        <w:t>.</w:t>
      </w:r>
    </w:p>
    <w:p w14:paraId="0053604C" w14:textId="77777777" w:rsidR="00A46D5C" w:rsidRPr="008A00EB" w:rsidRDefault="00A46D5C" w:rsidP="006A72DA">
      <w:r w:rsidRPr="008A00EB">
        <w:t xml:space="preserve">Most complaints contain several allegations, and engage more than one human right. </w:t>
      </w:r>
    </w:p>
    <w:p w14:paraId="19A1E195" w14:textId="56D4589E" w:rsidR="00A46D5C" w:rsidRPr="008A00EB" w:rsidRDefault="00A46D5C" w:rsidP="006A72DA">
      <w:pPr>
        <w:rPr>
          <w:rFonts w:cs="Arial"/>
          <w:color w:val="004270"/>
        </w:rPr>
      </w:pPr>
      <w:r w:rsidRPr="008A00EB">
        <w:t xml:space="preserve">Not all allegations of </w:t>
      </w:r>
      <w:r w:rsidR="00B47DB2">
        <w:t xml:space="preserve">unreasonable limitations of </w:t>
      </w:r>
      <w:r w:rsidRPr="008A00EB">
        <w:t xml:space="preserve">human rights are accepted. An allegation (that a </w:t>
      </w:r>
      <w:r w:rsidR="00B47DB2">
        <w:t>contravention</w:t>
      </w:r>
      <w:r w:rsidRPr="008A00EB">
        <w:t xml:space="preserve"> has occurred) </w:t>
      </w:r>
      <w:r w:rsidR="4B337353">
        <w:t xml:space="preserve">alone </w:t>
      </w:r>
      <w:r w:rsidRPr="008A00EB">
        <w:t>is not enough</w:t>
      </w:r>
      <w:r w:rsidR="582E3165">
        <w:t>;</w:t>
      </w:r>
      <w:r w:rsidRPr="008A00EB">
        <w:t xml:space="preserve"> the complainant must provide sufficient detail about an act or decision that indicates a breach of human rights has occurred</w:t>
      </w:r>
      <w:r w:rsidR="00A92853">
        <w:t xml:space="preserve"> in order to have the complaint </w:t>
      </w:r>
      <w:r w:rsidR="0075738E">
        <w:t>accepted</w:t>
      </w:r>
      <w:r w:rsidRPr="008A00EB">
        <w:t>.</w:t>
      </w:r>
    </w:p>
    <w:p w14:paraId="28381E73" w14:textId="7D89BC7F" w:rsidR="00F52F09" w:rsidRPr="008A00EB" w:rsidRDefault="00FF0347" w:rsidP="006A72DA">
      <w:r>
        <w:t>Some</w:t>
      </w:r>
      <w:r w:rsidR="00B3080C" w:rsidRPr="008A00EB">
        <w:t xml:space="preserve"> complaints that were received in </w:t>
      </w:r>
      <w:r>
        <w:t>2020</w:t>
      </w:r>
      <w:r w:rsidR="00AA7790">
        <w:t>–</w:t>
      </w:r>
      <w:r w:rsidR="00B3080C" w:rsidRPr="008A00EB">
        <w:t>2</w:t>
      </w:r>
      <w:r>
        <w:t>1</w:t>
      </w:r>
      <w:r w:rsidR="00B3080C" w:rsidRPr="008A00EB">
        <w:t xml:space="preserve"> </w:t>
      </w:r>
      <w:r w:rsidR="62556C0F">
        <w:t>have been</w:t>
      </w:r>
      <w:r w:rsidR="00B3080C" w:rsidRPr="008A00EB">
        <w:t xml:space="preserve"> assessed and accepted in the </w:t>
      </w:r>
      <w:r>
        <w:t>2021</w:t>
      </w:r>
      <w:r w:rsidR="00AA7790">
        <w:t>–</w:t>
      </w:r>
      <w:r>
        <w:t>22</w:t>
      </w:r>
      <w:r w:rsidR="00B3080C" w:rsidRPr="008A00EB">
        <w:t xml:space="preserve"> financial year</w:t>
      </w:r>
      <w:r w:rsidR="00BF2D80">
        <w:t xml:space="preserve"> (or are in the queue for assessment)</w:t>
      </w:r>
      <w:r w:rsidR="00B3080C" w:rsidRPr="008A00EB">
        <w:t xml:space="preserve">, and </w:t>
      </w:r>
      <w:r>
        <w:t xml:space="preserve">are </w:t>
      </w:r>
      <w:r w:rsidR="2199AA8D">
        <w:t xml:space="preserve">therefore </w:t>
      </w:r>
      <w:r w:rsidR="00F52F09" w:rsidRPr="008A00EB">
        <w:t xml:space="preserve">not </w:t>
      </w:r>
      <w:r w:rsidR="008A3B87">
        <w:t xml:space="preserve">included </w:t>
      </w:r>
      <w:r w:rsidR="00F52F09" w:rsidRPr="008A00EB">
        <w:t>here.</w:t>
      </w:r>
      <w:r w:rsidR="006D061D" w:rsidRPr="008A00EB">
        <w:t xml:space="preserve"> </w:t>
      </w:r>
    </w:p>
    <w:p w14:paraId="71ADB09B" w14:textId="77777777" w:rsidR="002771F8" w:rsidRDefault="002771F8">
      <w:pPr>
        <w:spacing w:line="259" w:lineRule="auto"/>
        <w:ind w:right="0"/>
        <w:rPr>
          <w:rFonts w:eastAsiaTheme="minorEastAsia"/>
          <w:b/>
          <w:bCs/>
          <w:i/>
          <w:iCs/>
          <w:color w:val="383D41"/>
          <w:sz w:val="20"/>
          <w:szCs w:val="18"/>
        </w:rPr>
      </w:pPr>
      <w:r>
        <w:br w:type="page"/>
      </w:r>
    </w:p>
    <w:p w14:paraId="70EBD4CD" w14:textId="3F30F4E8" w:rsidR="00587DED" w:rsidRPr="00587DED" w:rsidRDefault="00B66092" w:rsidP="00587DED">
      <w:pPr>
        <w:pStyle w:val="Caption"/>
      </w:pPr>
      <w:r w:rsidRPr="00B66092">
        <w:lastRenderedPageBreak/>
        <w:t>Figure</w:t>
      </w:r>
      <w:r w:rsidR="007B0754">
        <w:t xml:space="preserve"> 12</w:t>
      </w:r>
      <w:r w:rsidRPr="00B66092">
        <w:t>: Human rights identified in all complaints</w:t>
      </w:r>
      <w:r w:rsidR="007B0754">
        <w:t>,</w:t>
      </w:r>
      <w:r w:rsidRPr="00B66092">
        <w:t xml:space="preserve"> </w:t>
      </w:r>
      <w:r w:rsidR="00D67638">
        <w:t>2020-21</w:t>
      </w:r>
    </w:p>
    <w:p w14:paraId="343FE55F" w14:textId="6A1953C0" w:rsidR="00B66092" w:rsidRPr="00423D1E" w:rsidRDefault="00423D1E" w:rsidP="3B7B27C6">
      <w:r>
        <w:rPr>
          <w:noProof/>
          <w:lang w:eastAsia="en-AU"/>
        </w:rPr>
        <w:drawing>
          <wp:inline distT="0" distB="0" distL="0" distR="0" wp14:anchorId="68AEDD4A" wp14:editId="31919CC7">
            <wp:extent cx="7089140" cy="6172200"/>
            <wp:effectExtent l="0" t="0" r="0" b="0"/>
            <wp:docPr id="8" name="Chart 8" descr="Figure 12: Human rights identified in all complaints, 2020-21&#10;&#10;This bar graph shows the number of allegations raised in finalised complaints, and in accepted and finalised complaints, listed by human right, as follows:&#10;&#10;- Recognition and equality before the law: 298 allegations in finalised complaints, 103 in accepted and finalised complaints.&#10;- Humane treatment when deprived of liberty: 140 allegations in finalised complaints, 44 in accepted and finalised complaints.&#10;- Freedom of movement: 127 allegations in finalised complaints, 54 in accepted and finalised complaints.&#10;- Privacy and reputation: 117 allegations in finalised complaints, 32 in accepted and finalised complaints.&#10;- Protection of families and children: 80 allegations in finalised complaints, 29 in accepted and finalised complaints.&#10;- Torture &amp; cruel, inhuman, degrading treatment: 77 allegations in finalised complaints, 14 in accepted and finalised complaints.&#10;- Right to health services: 67 allegations in finalised complaints, 13 in accepted and finalised complaints.&#10;- Fair hearing: 64 allegations in finalised complaints, 2 in accepted and finalised complaints.&#10;- Freedom of expression: 59 allegations in finalised complaints, 10 in accepted and finalised complaints.&#10;- Right to liberty and security of person: 56 allegations in finalised complaints, 10 in accepted and finalised complaints.&#10;- Right to life: 45 allegations in finalised complaints, 6 in accepted and finalised complaints.&#10;- Right to education: 39 allegations in finalised complaints, 17 in accepted and finalised complaints.&#10;- Property rights: 36 allegations in finalised complaints, 3 in accepted and finalised complaints.&#10;- Taking part in public life: 35 allegations in  finalised complaints, finalised complaints, 4 in accepted and finalised complaints.&#10;- Cultural rights—generally: 26 allegations in finalised complaints, 3 in accepted and finalised complaints.&#10;- Cultural rights—First Nations peoples: 24 allegations in finalised complaints, 5 in accepted and finalised complaints.&#10;- Freedom of thought, conscience, religion and belief : 24 allegations in finalised complaints, 0 in accepted and finalised complaints. &#10;- Rights in criminal proceedings: 23 allegations in finalised complaints, 1 in accepted and finalised complaints.&#10;- Peaceful assembly and freedom of association: 16 allegations in finalised complaints, 2 in accepted and finalised complaints.&#10;- Protection of children in the criminal process: 12 allegations in finalised complaints, 1 in accepted and finalised complaints.&#10;- Protection from retrospective criminal laws: 10 allegations in finalised complaints, 0 in accepted and finalised complaints.  &#10;- Right not to be tried or punished more than once: 8 allegations in finalised complaints, 0 in accepted and finalised complaints. &#10;- Freedom from forced work: 6 allegations in finalised complaints, 0 in accepted and finalised complaints.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17046043" w14:textId="672ACD12" w:rsidR="000776AC" w:rsidRPr="008A00EB" w:rsidRDefault="6B3FB8EB" w:rsidP="006A72DA">
      <w:r w:rsidRPr="008A00EB">
        <w:t xml:space="preserve">The most </w:t>
      </w:r>
      <w:r w:rsidR="33AE3C5B" w:rsidRPr="008A00EB">
        <w:t>frequent</w:t>
      </w:r>
      <w:r w:rsidRPr="008A00EB">
        <w:t xml:space="preserve">ly identified human right </w:t>
      </w:r>
      <w:r w:rsidR="00B03D6C">
        <w:t xml:space="preserve">in </w:t>
      </w:r>
      <w:r w:rsidRPr="008A00EB">
        <w:t xml:space="preserve">complaints </w:t>
      </w:r>
      <w:r w:rsidR="00B03D6C">
        <w:t>as a whole</w:t>
      </w:r>
      <w:r w:rsidR="000776AC" w:rsidRPr="008A00EB">
        <w:t xml:space="preserve"> </w:t>
      </w:r>
      <w:r w:rsidR="00AA750C">
        <w:t>was</w:t>
      </w:r>
      <w:r w:rsidRPr="008A00EB">
        <w:t xml:space="preserve"> the right to recognition and equality before the law, </w:t>
      </w:r>
      <w:r w:rsidR="00AB6498" w:rsidRPr="008A00EB">
        <w:t>identified</w:t>
      </w:r>
      <w:r w:rsidR="00213A8A" w:rsidRPr="008A00EB">
        <w:t xml:space="preserve"> in</w:t>
      </w:r>
      <w:r w:rsidR="006641C5" w:rsidRPr="008A00EB">
        <w:t xml:space="preserve"> </w:t>
      </w:r>
      <w:r w:rsidR="00E31852">
        <w:t>over half</w:t>
      </w:r>
      <w:r w:rsidR="6AF0AB36" w:rsidRPr="008A00EB">
        <w:t xml:space="preserve"> of </w:t>
      </w:r>
      <w:r w:rsidR="00290CB6" w:rsidRPr="008A00EB">
        <w:t xml:space="preserve">the </w:t>
      </w:r>
      <w:r w:rsidR="00754BE8">
        <w:t>human rights complaints</w:t>
      </w:r>
      <w:r w:rsidR="00290CB6" w:rsidRPr="008A00EB">
        <w:t xml:space="preserve"> made</w:t>
      </w:r>
      <w:r w:rsidR="00E31852">
        <w:t xml:space="preserve"> to the Commission</w:t>
      </w:r>
      <w:r w:rsidR="6AF0AB36" w:rsidRPr="008A00EB">
        <w:t>.</w:t>
      </w:r>
      <w:r w:rsidR="059D3025" w:rsidRPr="008A00EB">
        <w:t xml:space="preserve"> </w:t>
      </w:r>
      <w:r w:rsidR="00E31852">
        <w:t>As noted last year</w:t>
      </w:r>
      <w:r w:rsidR="00875606">
        <w:t>,</w:t>
      </w:r>
      <w:r w:rsidR="50A37616" w:rsidRPr="008A00EB">
        <w:t xml:space="preserve"> this </w:t>
      </w:r>
      <w:r w:rsidR="00875606">
        <w:t>is</w:t>
      </w:r>
      <w:r w:rsidR="00E31852">
        <w:t xml:space="preserve"> because</w:t>
      </w:r>
      <w:r w:rsidR="50A37616" w:rsidRPr="008A00EB">
        <w:t xml:space="preserve"> the majority of </w:t>
      </w:r>
      <w:r w:rsidR="059D3025" w:rsidRPr="008A00EB">
        <w:t>complaints</w:t>
      </w:r>
      <w:r w:rsidR="36C6FF93" w:rsidRPr="008A00EB">
        <w:t xml:space="preserve"> to the Commission </w:t>
      </w:r>
      <w:r w:rsidR="5952D397" w:rsidRPr="008A00EB">
        <w:t xml:space="preserve">are </w:t>
      </w:r>
      <w:r w:rsidR="36C6FF93" w:rsidRPr="008A00EB">
        <w:t>about</w:t>
      </w:r>
      <w:r w:rsidR="059D3025" w:rsidRPr="008A00EB">
        <w:t xml:space="preserve"> discrimination</w:t>
      </w:r>
      <w:r w:rsidR="00213A8A" w:rsidRPr="008A00EB">
        <w:t xml:space="preserve"> under the </w:t>
      </w:r>
      <w:r w:rsidR="00213A8A" w:rsidRPr="008A00EB">
        <w:rPr>
          <w:i/>
        </w:rPr>
        <w:t>Anti-Discrimination Act 1991</w:t>
      </w:r>
      <w:r w:rsidR="00F82BAC" w:rsidRPr="008A00EB">
        <w:t xml:space="preserve"> which overlaps with this protected right</w:t>
      </w:r>
      <w:r w:rsidR="48A0557B" w:rsidRPr="008A00EB">
        <w:t xml:space="preserve">. The right to recognition and equality before the law will </w:t>
      </w:r>
      <w:r w:rsidR="00690D35">
        <w:t>likely</w:t>
      </w:r>
      <w:r w:rsidR="00BF3569">
        <w:t xml:space="preserve"> </w:t>
      </w:r>
      <w:r w:rsidR="48A0557B" w:rsidRPr="008A00EB">
        <w:t xml:space="preserve">be </w:t>
      </w:r>
      <w:r w:rsidR="059D3025" w:rsidRPr="008A00EB">
        <w:t>e</w:t>
      </w:r>
      <w:r w:rsidR="5AE57103" w:rsidRPr="008A00EB">
        <w:t>ngaged in all cases where a</w:t>
      </w:r>
      <w:r w:rsidR="3D79EEF2" w:rsidRPr="008A00EB">
        <w:t xml:space="preserve"> complainant is complaining about discrimination and the</w:t>
      </w:r>
      <w:r w:rsidR="059D3025" w:rsidRPr="008A00EB">
        <w:t xml:space="preserve"> respondent is a public entity.</w:t>
      </w:r>
      <w:r w:rsidR="45CE71E3" w:rsidRPr="008A00EB">
        <w:t xml:space="preserve"> </w:t>
      </w:r>
    </w:p>
    <w:p w14:paraId="5DD8E5CB" w14:textId="77777777" w:rsidR="00F45954" w:rsidRDefault="00F45954" w:rsidP="006A72DA"/>
    <w:p w14:paraId="4FF9FCD1" w14:textId="37BCB783" w:rsidR="000776AC" w:rsidRPr="008A00EB" w:rsidRDefault="45CE71E3" w:rsidP="006A72DA">
      <w:r w:rsidRPr="008A00EB">
        <w:lastRenderedPageBreak/>
        <w:t xml:space="preserve">The second most common </w:t>
      </w:r>
      <w:r w:rsidR="004948DE">
        <w:t>protected</w:t>
      </w:r>
      <w:r w:rsidR="004948DE" w:rsidRPr="008A00EB">
        <w:t xml:space="preserve"> </w:t>
      </w:r>
      <w:r w:rsidRPr="008A00EB">
        <w:t xml:space="preserve">right </w:t>
      </w:r>
      <w:r w:rsidR="00754BE8">
        <w:t xml:space="preserve">in complaints finalised in the reporting period was </w:t>
      </w:r>
      <w:r w:rsidR="00E31852">
        <w:t>the right to humane treatment when deprived of liberty</w:t>
      </w:r>
      <w:r w:rsidR="00761FCD">
        <w:t>.</w:t>
      </w:r>
      <w:r w:rsidR="00E31852">
        <w:t xml:space="preserve"> </w:t>
      </w:r>
      <w:r w:rsidR="00761FCD">
        <w:t xml:space="preserve">While </w:t>
      </w:r>
      <w:r w:rsidR="00F02841">
        <w:t>these complaints may relate to</w:t>
      </w:r>
      <w:r w:rsidR="00E31852">
        <w:t xml:space="preserve"> </w:t>
      </w:r>
      <w:r w:rsidR="00CD69DF">
        <w:t>prisons</w:t>
      </w:r>
      <w:r w:rsidR="00E31852">
        <w:t xml:space="preserve"> and </w:t>
      </w:r>
      <w:r w:rsidR="00CD69DF">
        <w:t>other closed</w:t>
      </w:r>
      <w:r w:rsidR="00E31852">
        <w:t xml:space="preserve"> </w:t>
      </w:r>
      <w:r w:rsidR="00B03D6C">
        <w:t>environments</w:t>
      </w:r>
      <w:r w:rsidR="00E31852">
        <w:t xml:space="preserve">, </w:t>
      </w:r>
      <w:r w:rsidR="003462B5">
        <w:t xml:space="preserve">the impact of COVID-19 </w:t>
      </w:r>
      <w:r w:rsidR="002C3E8E">
        <w:t xml:space="preserve">has resulted in a </w:t>
      </w:r>
      <w:r w:rsidR="003462B5">
        <w:t>significant number of complaints made by people in hotel quarantine</w:t>
      </w:r>
      <w:r w:rsidR="002C3E8E">
        <w:t>.</w:t>
      </w:r>
      <w:r w:rsidR="00E31852">
        <w:t xml:space="preserve"> </w:t>
      </w:r>
    </w:p>
    <w:p w14:paraId="6756BA69" w14:textId="0363E5DF" w:rsidR="001D1A4F" w:rsidRPr="008A00EB" w:rsidRDefault="5D190517" w:rsidP="006A72DA">
      <w:r w:rsidRPr="008A00EB">
        <w:t xml:space="preserve">The third most common </w:t>
      </w:r>
      <w:r w:rsidR="00716D84">
        <w:t>protected</w:t>
      </w:r>
      <w:r w:rsidR="00716D84" w:rsidRPr="008A00EB">
        <w:t xml:space="preserve"> </w:t>
      </w:r>
      <w:r w:rsidRPr="008A00EB">
        <w:t xml:space="preserve">right </w:t>
      </w:r>
      <w:r w:rsidR="00754BE8">
        <w:t xml:space="preserve">in complaints </w:t>
      </w:r>
      <w:r w:rsidRPr="008A00EB">
        <w:t xml:space="preserve">was </w:t>
      </w:r>
      <w:r w:rsidR="001D1A4F">
        <w:t xml:space="preserve">the right to freedom of movement. Similar to humane treatment when deprived of liberty, </w:t>
      </w:r>
      <w:r w:rsidR="003E0A55">
        <w:t xml:space="preserve">complaints about limitation of </w:t>
      </w:r>
      <w:r w:rsidR="001D1A4F">
        <w:t xml:space="preserve">this right </w:t>
      </w:r>
      <w:r w:rsidR="003573B9">
        <w:t>are high</w:t>
      </w:r>
      <w:r w:rsidR="00437C60">
        <w:t xml:space="preserve"> in number</w:t>
      </w:r>
      <w:r w:rsidR="00A236F5">
        <w:t xml:space="preserve"> because of the impact of </w:t>
      </w:r>
      <w:r w:rsidR="001D1A4F">
        <w:t xml:space="preserve">COVID-19 </w:t>
      </w:r>
      <w:r w:rsidR="00A236F5">
        <w:t>and the restrictions</w:t>
      </w:r>
      <w:r w:rsidR="006E17F5">
        <w:t xml:space="preserve"> placed on free</w:t>
      </w:r>
      <w:r w:rsidR="001D1A4F">
        <w:t xml:space="preserve"> movement of </w:t>
      </w:r>
      <w:r w:rsidR="006E17F5">
        <w:t xml:space="preserve">people in </w:t>
      </w:r>
      <w:r w:rsidR="001D1A4F">
        <w:t>Queensland.</w:t>
      </w:r>
    </w:p>
    <w:p w14:paraId="14E73D98" w14:textId="77777777" w:rsidR="00023027" w:rsidRDefault="00023027">
      <w:pPr>
        <w:spacing w:line="259" w:lineRule="auto"/>
        <w:ind w:right="0"/>
        <w:rPr>
          <w:rFonts w:eastAsiaTheme="majorEastAsia" w:cstheme="majorBidi"/>
          <w:bCs/>
          <w:color w:val="D46228"/>
          <w:kern w:val="36"/>
          <w:sz w:val="36"/>
          <w:szCs w:val="26"/>
          <w:lang w:eastAsia="en-AU"/>
        </w:rPr>
      </w:pPr>
      <w:bookmarkStart w:id="539" w:name="_Toc56452194"/>
      <w:bookmarkStart w:id="540" w:name="_Toc84593930"/>
      <w:bookmarkStart w:id="541" w:name="_Toc85451805"/>
      <w:bookmarkStart w:id="542" w:name="_Toc85526736"/>
      <w:bookmarkStart w:id="543" w:name="_Toc85787151"/>
      <w:r>
        <w:rPr>
          <w:color w:val="D46228"/>
        </w:rPr>
        <w:br w:type="page"/>
      </w:r>
    </w:p>
    <w:p w14:paraId="7EA2B26E" w14:textId="0A5C604E" w:rsidR="008D7099" w:rsidRPr="007521E3" w:rsidRDefault="008F5320" w:rsidP="00B04FF8">
      <w:pPr>
        <w:pStyle w:val="Heading2"/>
        <w:rPr>
          <w:color w:val="D46228"/>
        </w:rPr>
      </w:pPr>
      <w:r w:rsidRPr="674E917E">
        <w:rPr>
          <w:color w:val="D46228"/>
        </w:rPr>
        <w:lastRenderedPageBreak/>
        <w:t>Human rights identified in human rights only complaints</w:t>
      </w:r>
      <w:bookmarkEnd w:id="539"/>
      <w:bookmarkEnd w:id="540"/>
      <w:bookmarkEnd w:id="541"/>
      <w:bookmarkEnd w:id="542"/>
      <w:bookmarkEnd w:id="543"/>
    </w:p>
    <w:p w14:paraId="53FE7909" w14:textId="18E091D0" w:rsidR="000A5F3D" w:rsidRDefault="000A5F3D" w:rsidP="006A72DA">
      <w:r w:rsidRPr="008A00EB">
        <w:t xml:space="preserve">The information </w:t>
      </w:r>
      <w:r w:rsidR="00E57AD1">
        <w:t xml:space="preserve">in this section </w:t>
      </w:r>
      <w:r w:rsidRPr="008A00EB">
        <w:t xml:space="preserve">is about human rights only complaints (i.e. where it is not a </w:t>
      </w:r>
      <w:r w:rsidR="00B70C22">
        <w:t>piggy-back complaint</w:t>
      </w:r>
      <w:r w:rsidRPr="008A00EB">
        <w:t>).</w:t>
      </w:r>
    </w:p>
    <w:p w14:paraId="2AEDCB4B" w14:textId="64F48857" w:rsidR="00B66092" w:rsidRDefault="00B66092" w:rsidP="00E3148E">
      <w:pPr>
        <w:pStyle w:val="Caption"/>
      </w:pPr>
      <w:r>
        <w:t>Figure</w:t>
      </w:r>
      <w:r w:rsidR="007B0754">
        <w:t xml:space="preserve"> 13</w:t>
      </w:r>
      <w:r>
        <w:t>: Human rights identified in human rights only complaints</w:t>
      </w:r>
      <w:r w:rsidR="007B0754">
        <w:t>,</w:t>
      </w:r>
      <w:r>
        <w:t xml:space="preserve"> </w:t>
      </w:r>
      <w:r w:rsidR="00D67638">
        <w:t>2020-21</w:t>
      </w:r>
      <w:r w:rsidR="003812D8">
        <w:rPr>
          <w:rStyle w:val="FootnoteReference"/>
        </w:rPr>
        <w:footnoteReference w:id="105"/>
      </w:r>
    </w:p>
    <w:p w14:paraId="7AF08C05" w14:textId="75E8C6AD" w:rsidR="005160E3" w:rsidRDefault="00DE172B" w:rsidP="000A5F3D">
      <w:r>
        <w:rPr>
          <w:noProof/>
          <w:lang w:eastAsia="en-AU"/>
        </w:rPr>
        <w:drawing>
          <wp:inline distT="0" distB="0" distL="0" distR="0" wp14:anchorId="7E1AD5BA" wp14:editId="39ECA2CF">
            <wp:extent cx="6247130" cy="5762625"/>
            <wp:effectExtent l="0" t="0" r="1270" b="0"/>
            <wp:docPr id="1" name="Chart 1" descr="Figure 13: Human rights identified in human rights only complaints, 2020-21&#10;&#10;This bar graph shows the number of allegations raised in finalised human rights only complaints, and in accepted and finalised human rights only complaints, listed by human right, as follows:&#10;&#10;- Humane treatment when deprived of liberty: 84 allegations of limitations in finalised complaints, 30 in accepted and finalised complaints.&#10;&#10;- Recognition and equality before the law: 77 allegations of limitations in finalised complaints, 18 in accepted and finalised complaints.&#10;&#10;- Freedom of movement: 65 allegations of limitations in finalised complaints, 26 in accepted and finalised complaints.&#10;&#10;- Privacy and reputation: 49 allegations of limitations in finalised complaints, 12 in accepted and finalised complaints.&#10;&#10;- Protection of families and children: 44 allegations of limitations in finalised complaints, 12 in accepted and finalised complaints.&#10;&#10;- Torture &amp; cruel, inhuman, degrading: 37 allegations of limitations in finalised complaints, 7 in accepted and finalised complaints.&#10;&#10;- Fair hearing: 34 allegations of limitations in finalised complaints, 0 in accepted and finalised complaints.&#10;&#10;- Right to liberty and security of person: 29 allegations of limitations in finalised complaints, 7 in accepted and finalised complaints.&#10;&#10;- Right to health services: 27 allegations of limitations in finalised complaints, 9 in accepted and finalised complaints.&#10;&#10;- Freedom of expression: 25 allegations of limitations in finalised complaints, 3 in accepted and finalised complaints.&#10;&#10;- Right to life: 21 allegations of limitations in finalised complaints, 3 in accepted and finalised complaints.&#10;&#10;- Property rights: 20 allegations of limitations in finalised complaints, 2 in accepted and finalised complaints.&#10;&#10;- Freedom of thought, conscience, religion: 17 allegations of limitations in finalised complaints, 0 in accepted and finalised complaints.&#10;&#10;- Right to education: 17 allegations of limitations in finalised complaints, 5 in accepted and finalised complaints.&#10;&#10;- Rights in criminal proceedings: 14 allegations of limitations in finalised complaints, 1 in accepted and finalised complaints.&#10;&#10;- Taking part in public life: 14 allegations of limitations in finalised complaints, 0 in accepted and finalised complaints.&#10;&#10;- Cultural rights—generally: 12 allegations of limitations in finalised complaints, 1 in accepted and finalised complaints.&#10;&#10;- Cultural rights—First Nationsl peoples: 10 allegations of limitations in finalised complaints, 2 in accepted and finalised complaints.&#10;&#10;- Protection of children in the criminal process: 7 allegations of limitations in finalised complaints, 0 in accepted and finalised complaints.&#10;&#10;- Peaceful assembly: 6 allegations of limitations in finalised complaints, 0 in accepted and finalised complaints.&#10;&#10;- Protection from retrospective criminal laws: 5 allegations of limitations in finalised complaints, 0 in accepted and finalised complaints.&#10;&#10;- Freedom from forced work: 4 allegations of limitations in finalised complaints, 0 in accepted and finalised complaints.&#10;&#10;- Not tried or punished more than once: 3 allegations of limitations in finalised complaints, 0  in accepted and finalised complaints.&#10;&#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67547F1D" w14:textId="667580D3" w:rsidR="00EC13B7" w:rsidRDefault="00EC13B7" w:rsidP="0010354B">
      <w:r>
        <w:t>Human rights only complaints featured the same key rights</w:t>
      </w:r>
      <w:r w:rsidR="00344A2E">
        <w:t xml:space="preserve"> as piggy-back complaints</w:t>
      </w:r>
      <w:r>
        <w:t xml:space="preserve">, but humane treatment when deprived of liberty predominated (in around 37% of complaints). </w:t>
      </w:r>
    </w:p>
    <w:p w14:paraId="51DA2DE7" w14:textId="462EAEFF" w:rsidR="00086F2F" w:rsidRPr="007521E3" w:rsidRDefault="00086F2F" w:rsidP="00B04FF8">
      <w:pPr>
        <w:pStyle w:val="Heading2"/>
        <w:rPr>
          <w:color w:val="D46228"/>
        </w:rPr>
      </w:pPr>
      <w:bookmarkStart w:id="544" w:name="_Toc56452195"/>
      <w:bookmarkStart w:id="545" w:name="_Toc84593931"/>
      <w:bookmarkStart w:id="546" w:name="_Toc85451806"/>
      <w:bookmarkStart w:id="547" w:name="_Toc85526737"/>
      <w:bookmarkStart w:id="548" w:name="_Toc85787152"/>
      <w:r w:rsidRPr="674E917E">
        <w:rPr>
          <w:color w:val="D46228"/>
        </w:rPr>
        <w:lastRenderedPageBreak/>
        <w:t>Human rights identified in resolved complaints</w:t>
      </w:r>
      <w:bookmarkEnd w:id="544"/>
      <w:bookmarkEnd w:id="545"/>
      <w:bookmarkEnd w:id="546"/>
      <w:bookmarkEnd w:id="547"/>
      <w:bookmarkEnd w:id="548"/>
    </w:p>
    <w:p w14:paraId="319FE773" w14:textId="0778511E" w:rsidR="00086F2F" w:rsidRDefault="00EB576B" w:rsidP="00086F2F">
      <w:r>
        <w:t>This</w:t>
      </w:r>
      <w:r w:rsidR="00086F2F" w:rsidRPr="008C4345">
        <w:t xml:space="preserve"> </w:t>
      </w:r>
      <w:r>
        <w:t>section</w:t>
      </w:r>
      <w:r w:rsidRPr="008C4345">
        <w:t xml:space="preserve"> </w:t>
      </w:r>
      <w:r>
        <w:t>looks at</w:t>
      </w:r>
      <w:r w:rsidRPr="008C4345">
        <w:t xml:space="preserve"> </w:t>
      </w:r>
      <w:r>
        <w:t>protected</w:t>
      </w:r>
      <w:r w:rsidR="00086F2F" w:rsidRPr="008C4345">
        <w:t xml:space="preserve"> rights identified in complaints that were resolved in </w:t>
      </w:r>
      <w:r w:rsidR="00584C8B">
        <w:t>2020</w:t>
      </w:r>
      <w:r w:rsidR="00FA1F35">
        <w:t>–</w:t>
      </w:r>
      <w:r w:rsidR="00584C8B">
        <w:t>21</w:t>
      </w:r>
      <w:r w:rsidR="00086F2F" w:rsidRPr="008C4345">
        <w:t>.</w:t>
      </w:r>
      <w:r w:rsidR="00340DC3">
        <w:t xml:space="preserve"> The information inclu</w:t>
      </w:r>
      <w:r>
        <w:t>des</w:t>
      </w:r>
      <w:r w:rsidR="00340DC3">
        <w:t xml:space="preserve"> all complaints – </w:t>
      </w:r>
      <w:r w:rsidR="00B70C22">
        <w:t>piggy-back complaint</w:t>
      </w:r>
      <w:r w:rsidR="00340DC3">
        <w:t>s and human rights only complaints</w:t>
      </w:r>
      <w:r w:rsidR="369E4FF0">
        <w:t xml:space="preserve"> –</w:t>
      </w:r>
      <w:r w:rsidR="00E04CA6">
        <w:t xml:space="preserve"> and</w:t>
      </w:r>
      <w:r w:rsidR="007D3560">
        <w:t xml:space="preserve"> </w:t>
      </w:r>
      <w:r w:rsidR="003960BF">
        <w:t>again the same</w:t>
      </w:r>
      <w:r w:rsidR="00B92A8F">
        <w:t xml:space="preserve"> three</w:t>
      </w:r>
      <w:r w:rsidR="003960BF">
        <w:t xml:space="preserve"> rights featured most </w:t>
      </w:r>
      <w:r w:rsidR="52E663B5">
        <w:t>often</w:t>
      </w:r>
      <w:r w:rsidR="003960BF">
        <w:t xml:space="preserve">. </w:t>
      </w:r>
    </w:p>
    <w:p w14:paraId="12A871CD" w14:textId="41E310C3" w:rsidR="008C4345" w:rsidRDefault="008C4345" w:rsidP="008C4345">
      <w:pPr>
        <w:pStyle w:val="Caption"/>
        <w:rPr>
          <w:noProof/>
          <w:lang w:eastAsia="en-AU"/>
        </w:rPr>
      </w:pPr>
      <w:r>
        <w:rPr>
          <w:noProof/>
          <w:lang w:eastAsia="en-AU"/>
        </w:rPr>
        <w:t xml:space="preserve">Figure 14: Human rights identified in resolved complaints, </w:t>
      </w:r>
      <w:r w:rsidR="00584C8B">
        <w:rPr>
          <w:noProof/>
          <w:lang w:eastAsia="en-AU"/>
        </w:rPr>
        <w:t>2020-21</w:t>
      </w:r>
    </w:p>
    <w:tbl>
      <w:tblPr>
        <w:tblW w:w="9838" w:type="dxa"/>
        <w:tblCellMar>
          <w:top w:w="15" w:type="dxa"/>
          <w:left w:w="15" w:type="dxa"/>
          <w:bottom w:w="15" w:type="dxa"/>
          <w:right w:w="15" w:type="dxa"/>
        </w:tblCellMar>
        <w:tblLook w:val="04A0" w:firstRow="1" w:lastRow="0" w:firstColumn="1" w:lastColumn="0" w:noHBand="0" w:noVBand="1"/>
      </w:tblPr>
      <w:tblGrid>
        <w:gridCol w:w="10050"/>
      </w:tblGrid>
      <w:tr w:rsidR="00314521" w14:paraId="3C657160" w14:textId="77777777" w:rsidTr="009A7306">
        <w:tc>
          <w:tcPr>
            <w:tcW w:w="0" w:type="auto"/>
            <w:shd w:val="clear" w:color="auto" w:fill="auto"/>
            <w:tcMar>
              <w:top w:w="0" w:type="dxa"/>
              <w:left w:w="0" w:type="dxa"/>
              <w:bottom w:w="0" w:type="dxa"/>
              <w:right w:w="0" w:type="dxa"/>
            </w:tcMar>
            <w:vAlign w:val="center"/>
            <w:hideMark/>
          </w:tcPr>
          <w:p w14:paraId="197F1C18" w14:textId="715A7E76" w:rsidR="00314521" w:rsidRDefault="006E4676">
            <w:pPr>
              <w:rPr>
                <w:rFonts w:ascii="Segoe UI" w:hAnsi="Segoe UI" w:cs="Segoe UI"/>
                <w:color w:val="605E5C"/>
                <w:sz w:val="18"/>
                <w:szCs w:val="18"/>
              </w:rPr>
            </w:pPr>
            <w:r>
              <w:rPr>
                <w:rFonts w:ascii="Segoe UI" w:hAnsi="Segoe UI" w:cs="Segoe UI"/>
                <w:noProof/>
                <w:color w:val="605E5C"/>
                <w:sz w:val="18"/>
                <w:szCs w:val="18"/>
                <w:lang w:eastAsia="en-AU"/>
              </w:rPr>
              <w:drawing>
                <wp:inline distT="0" distB="0" distL="0" distR="0" wp14:anchorId="37B26C88" wp14:editId="18C0A429">
                  <wp:extent cx="5004826" cy="3252223"/>
                  <wp:effectExtent l="0" t="0" r="5715" b="5715"/>
                  <wp:docPr id="26" name="Picture 26" descr="Figure 14: Human rights identified in resolved complaints, 2020-21&#10;&#10;This bar chart shows the human rights identified in all human rights complaints which were resolved in 2020-21, as follows: &#10;- s15, Recognition and equality before the law: 35&#10;- s19, Freedom of movement: 17&#10;- s30, Humane treatment when deprived of liberty: 11&#10;- s26, Protection of families and children: 10&#10;- s25, Privacy and reputation: 8&#10;- s36, Right to education: 6&#10;- s17, Protection from torture &amp; cruel, inhuman or degrading treatment: 5&#10;- s37, Right to health services: 3&#10;- s29, Right to liberty and security of person: 3&#10;- s28, Cultural rights—Aboriginal peoples and Torres Strait: 2&#10;- s27, Cultural rights—generally: 2&#10;- s21, Freedom of expression: 2&#10;- s24, Property rights: 2&#10;- s23, Taking part in public life: 2&#10;- s31, Fair hearing: 1&#10;- s16, Right to lif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descr="Figure 14: Human rights identified in resolved complaints, 2020-21&#10;&#10;This bar chart shows the human rights identified in all human rights complaints which were resolved in 2020-21, as follows: &#10;- s15, Recognition and equality before the law: 35&#10;- s19, Freedom of movement: 17&#10;- s30, Humane treatment when deprived of liberty: 11&#10;- s26, Protection of families and children: 10&#10;- s25, Privacy and reputation: 8&#10;- s36, Right to education: 6&#10;- s17, Protection from torture &amp; cruel, inhuman or degrading treatment: 5&#10;- s37, Right to health services: 3&#10;- s29, Right to liberty and security of person: 3&#10;- s28, Cultural rights—Aboriginal peoples and Torres Strait: 2&#10;- s27, Cultural rights—generally: 2&#10;- s21, Freedom of expression: 2&#10;- s24, Property rights: 2&#10;- s23, Taking part in public life: 2&#10;- s31, Fair hearing: 1&#10;- s16, Right to life: 1"/>
                          <pic:cNvPicPr/>
                        </pic:nvPicPr>
                        <pic:blipFill>
                          <a:blip r:embed="rId65" cstate="print">
                            <a:extLst>
                              <a:ext uri="{28A0092B-C50C-407E-A947-70E740481C1C}">
                                <a14:useLocalDpi xmlns:a14="http://schemas.microsoft.com/office/drawing/2010/main" val="0"/>
                              </a:ext>
                            </a:extLst>
                          </a:blip>
                          <a:stretch>
                            <a:fillRect/>
                          </a:stretch>
                        </pic:blipFill>
                        <pic:spPr>
                          <a:xfrm>
                            <a:off x="0" y="0"/>
                            <a:ext cx="5004826" cy="3252223"/>
                          </a:xfrm>
                          <a:prstGeom prst="rect">
                            <a:avLst/>
                          </a:prstGeom>
                        </pic:spPr>
                      </pic:pic>
                    </a:graphicData>
                  </a:graphic>
                </wp:inline>
              </w:drawing>
            </w:r>
          </w:p>
        </w:tc>
      </w:tr>
    </w:tbl>
    <w:p w14:paraId="6EB55976" w14:textId="77777777" w:rsidR="00911915" w:rsidRDefault="00911915" w:rsidP="00B04FF8">
      <w:pPr>
        <w:pStyle w:val="Heading2"/>
        <w:rPr>
          <w:color w:val="D46228"/>
        </w:rPr>
      </w:pPr>
      <w:bookmarkStart w:id="549" w:name="_Toc56452197"/>
      <w:bookmarkStart w:id="550" w:name="_Toc84593932"/>
      <w:bookmarkStart w:id="551" w:name="_Toc85451807"/>
      <w:bookmarkStart w:id="552" w:name="_Toc85526738"/>
      <w:bookmarkStart w:id="553" w:name="_Toc85787153"/>
    </w:p>
    <w:p w14:paraId="34D1E2A2" w14:textId="77777777" w:rsidR="00911915" w:rsidRDefault="00911915">
      <w:pPr>
        <w:spacing w:line="259" w:lineRule="auto"/>
        <w:ind w:right="0"/>
        <w:rPr>
          <w:rFonts w:eastAsiaTheme="majorEastAsia" w:cstheme="majorBidi"/>
          <w:bCs/>
          <w:color w:val="D46228"/>
          <w:kern w:val="36"/>
          <w:sz w:val="36"/>
          <w:szCs w:val="26"/>
          <w:lang w:eastAsia="en-AU"/>
        </w:rPr>
      </w:pPr>
      <w:r>
        <w:rPr>
          <w:color w:val="D46228"/>
        </w:rPr>
        <w:br w:type="page"/>
      </w:r>
    </w:p>
    <w:p w14:paraId="056A204B" w14:textId="3E35E653" w:rsidR="001202F8" w:rsidRPr="007521E3" w:rsidRDefault="001202F8" w:rsidP="00B04FF8">
      <w:pPr>
        <w:pStyle w:val="Heading2"/>
        <w:rPr>
          <w:color w:val="D46228"/>
        </w:rPr>
      </w:pPr>
      <w:r w:rsidRPr="674E917E">
        <w:rPr>
          <w:color w:val="D46228"/>
        </w:rPr>
        <w:lastRenderedPageBreak/>
        <w:t xml:space="preserve">Finalised </w:t>
      </w:r>
      <w:r w:rsidR="006E1F93" w:rsidRPr="674E917E">
        <w:rPr>
          <w:color w:val="D46228"/>
        </w:rPr>
        <w:t>c</w:t>
      </w:r>
      <w:r w:rsidRPr="674E917E">
        <w:rPr>
          <w:color w:val="D46228"/>
        </w:rPr>
        <w:t xml:space="preserve">omplaints by </w:t>
      </w:r>
      <w:r w:rsidR="006E1F93" w:rsidRPr="674E917E">
        <w:rPr>
          <w:color w:val="D46228"/>
        </w:rPr>
        <w:t>s</w:t>
      </w:r>
      <w:r w:rsidR="00884E5C" w:rsidRPr="674E917E">
        <w:rPr>
          <w:color w:val="D46228"/>
        </w:rPr>
        <w:t>ector</w:t>
      </w:r>
      <w:bookmarkEnd w:id="549"/>
      <w:bookmarkEnd w:id="550"/>
      <w:bookmarkEnd w:id="551"/>
      <w:bookmarkEnd w:id="552"/>
      <w:bookmarkEnd w:id="553"/>
    </w:p>
    <w:p w14:paraId="70A55FC0" w14:textId="43D307B0" w:rsidR="001202F8" w:rsidRDefault="006E1F93" w:rsidP="008A4051">
      <w:r w:rsidRPr="008A00EB">
        <w:t xml:space="preserve">The information in this section </w:t>
      </w:r>
      <w:r w:rsidR="0067585C">
        <w:t xml:space="preserve">includes </w:t>
      </w:r>
      <w:r w:rsidR="00390DB8">
        <w:t xml:space="preserve">all complaints – </w:t>
      </w:r>
      <w:r w:rsidR="00B70C22">
        <w:t xml:space="preserve">piggy-back </w:t>
      </w:r>
      <w:r w:rsidR="00390DB8">
        <w:t>and human rights only complaints.</w:t>
      </w:r>
    </w:p>
    <w:p w14:paraId="4C73A55A" w14:textId="5F132575" w:rsidR="00AC3019" w:rsidRDefault="00AC3019" w:rsidP="00E3148E">
      <w:pPr>
        <w:pStyle w:val="Caption"/>
      </w:pPr>
      <w:r>
        <w:t>Figure</w:t>
      </w:r>
      <w:r w:rsidR="007B0754">
        <w:t xml:space="preserve"> 1</w:t>
      </w:r>
      <w:r w:rsidR="008C4345">
        <w:t>5</w:t>
      </w:r>
      <w:r>
        <w:t xml:space="preserve">: </w:t>
      </w:r>
      <w:r w:rsidR="00F95DD7">
        <w:t>Finalised</w:t>
      </w:r>
      <w:r>
        <w:t xml:space="preserve"> complaints by sector</w:t>
      </w:r>
      <w:r w:rsidR="000036A5">
        <w:t xml:space="preserve"> – all complaints</w:t>
      </w:r>
      <w:r>
        <w:t xml:space="preserve">, </w:t>
      </w:r>
      <w:r w:rsidR="00584C8B">
        <w:t>2020-21</w:t>
      </w:r>
    </w:p>
    <w:p w14:paraId="233E1097" w14:textId="7E8CA3BD" w:rsidR="008C54E2" w:rsidRPr="008C54E2" w:rsidRDefault="008F1708" w:rsidP="008C54E2">
      <w:r w:rsidRPr="002021C5">
        <w:rPr>
          <w:noProof/>
          <w:shd w:val="clear" w:color="auto" w:fill="D46228"/>
          <w:lang w:eastAsia="en-AU"/>
        </w:rPr>
        <w:drawing>
          <wp:inline distT="0" distB="0" distL="0" distR="0" wp14:anchorId="35F60BE0" wp14:editId="4F408FC8">
            <wp:extent cx="6247130" cy="3741420"/>
            <wp:effectExtent l="0" t="0" r="1270" b="0"/>
            <wp:docPr id="5" name="Chart 5" descr="Figure 15: Finalised complaints by sector – all complaints, 2020-21&#10;&#10;This bar graph shows the sectors identified in finalised, and in accepted and finalised, human rights only complaints during 2020-21, as follows: &#10;&#10;- Health: 86 finalised, 45 accepted and finalised.&#10;- Police: 60 finalised, 34 accepted and finalised.&#10;- Corrections: 45 finalised, 8 accepted and finalised.&#10;- Work: 35 finalised, 24 accepted and finalised.&#10;- Other state laws and programs: 33 finalised, 11 accepted and finalised.&#10;- Public education: 30 finalised, 20 accepted and finalised.&#10;- Other government services: 26 finalised, 5 accepted and finalised.&#10;- Local government agency: 22 finalised, 13 accepted and finalised.&#10;- Court services: 19 finalised, 0 accepted and finalised.&#10;- Child Safety: 15 finalised, 4 accepted and finalised.&#10;- Accommodation/housing: 13 finalised, 7 accepted and finalised.&#10;- Disability: 7 finalised, 2 accepted and finalised. &#10;- Not a public entity: 4 finalised, 0 accepted and finalised. &#10;- Transport: 2 finalised, 1 accepted and finalise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E397E19" w14:textId="34A0AD68" w:rsidR="00AB6639" w:rsidRPr="0063610E" w:rsidRDefault="00AB6639" w:rsidP="00AB6639">
      <w:r>
        <w:t>‘Not a public entity’ was recorded when the person complain</w:t>
      </w:r>
      <w:r w:rsidR="0067585C">
        <w:t>ed</w:t>
      </w:r>
      <w:r>
        <w:t xml:space="preserve"> </w:t>
      </w:r>
      <w:r w:rsidR="0067585C">
        <w:t xml:space="preserve">about </w:t>
      </w:r>
      <w:r>
        <w:t xml:space="preserve">a respondent not covered by the Act. For example, a towing company </w:t>
      </w:r>
      <w:r w:rsidR="00744BDD">
        <w:t>that</w:t>
      </w:r>
      <w:r>
        <w:t xml:space="preserve"> towed a car impounded by police.</w:t>
      </w:r>
    </w:p>
    <w:p w14:paraId="0A16C57A" w14:textId="4219AC5B" w:rsidR="003F5C6D" w:rsidRPr="00AA5449" w:rsidRDefault="002E440D" w:rsidP="008A4051">
      <w:r w:rsidRPr="00AA5449">
        <w:t>‘</w:t>
      </w:r>
      <w:r w:rsidR="003F5C6D" w:rsidRPr="00AA5449">
        <w:t>Other government services</w:t>
      </w:r>
      <w:r w:rsidRPr="00AA5449">
        <w:t>’</w:t>
      </w:r>
      <w:r w:rsidR="003F5C6D" w:rsidRPr="00AA5449">
        <w:t xml:space="preserve"> are services provided by public entities that do not fit into the key categories</w:t>
      </w:r>
      <w:r w:rsidR="00F25A5A">
        <w:t xml:space="preserve"> as provided in our database</w:t>
      </w:r>
      <w:r w:rsidR="003F5C6D" w:rsidRPr="00AA5449">
        <w:t xml:space="preserve">. These services might include </w:t>
      </w:r>
      <w:r w:rsidR="004E5045">
        <w:t>services such as</w:t>
      </w:r>
      <w:r w:rsidR="003F5C6D" w:rsidRPr="00AA5449">
        <w:t xml:space="preserve"> public transport, legal</w:t>
      </w:r>
      <w:r w:rsidR="004E5045">
        <w:t>,</w:t>
      </w:r>
      <w:r w:rsidR="003F5C6D" w:rsidRPr="00AA5449">
        <w:t xml:space="preserve"> or community services.</w:t>
      </w:r>
    </w:p>
    <w:p w14:paraId="16659500" w14:textId="3B5C00D0" w:rsidR="00C24562" w:rsidRDefault="002E440D" w:rsidP="008A4051">
      <w:r w:rsidRPr="00AA5449">
        <w:t>‘</w:t>
      </w:r>
      <w:r w:rsidR="003F5C6D" w:rsidRPr="00AA5449">
        <w:t>Other state laws and programs</w:t>
      </w:r>
      <w:r w:rsidRPr="00AA5449">
        <w:t>’</w:t>
      </w:r>
      <w:r w:rsidR="003F5C6D" w:rsidRPr="00AA5449">
        <w:t xml:space="preserve"> means government programs that are not services provided to an individual. For example, an entity that enforces fines or regulates individuals or industries such as Queensland Racing Integrity Commission or State Penalty Enforcement Registry.</w:t>
      </w:r>
      <w:r w:rsidR="003F5C6D">
        <w:t xml:space="preserve"> </w:t>
      </w:r>
    </w:p>
    <w:p w14:paraId="3BDAB09D" w14:textId="3B55E2B2" w:rsidR="0063610E" w:rsidRDefault="005945FA" w:rsidP="008A4051">
      <w:pPr>
        <w:rPr>
          <w:i/>
        </w:rPr>
      </w:pPr>
      <w:r w:rsidRPr="00F422C9">
        <w:lastRenderedPageBreak/>
        <w:t>‘</w:t>
      </w:r>
      <w:r w:rsidR="00C24562" w:rsidRPr="00F422C9">
        <w:t>Corrections</w:t>
      </w:r>
      <w:r w:rsidRPr="00F422C9">
        <w:t>’</w:t>
      </w:r>
      <w:r w:rsidR="00C24562" w:rsidRPr="00F422C9">
        <w:t xml:space="preserve"> includes both prisons and youth detent</w:t>
      </w:r>
      <w:r w:rsidR="0063610E" w:rsidRPr="00F422C9">
        <w:t>ion</w:t>
      </w:r>
      <w:r w:rsidR="00644D02">
        <w:t xml:space="preserve">, but the vast majority </w:t>
      </w:r>
      <w:r w:rsidR="004E5045">
        <w:t>of complaints were about prisons</w:t>
      </w:r>
      <w:r w:rsidR="0063610E" w:rsidRPr="00F422C9">
        <w:t xml:space="preserve">. </w:t>
      </w:r>
      <w:r w:rsidR="007859E4" w:rsidRPr="00F422C9">
        <w:t xml:space="preserve">4 complaints were finalised about youth detention (1 </w:t>
      </w:r>
      <w:r w:rsidR="004E5045">
        <w:t xml:space="preserve">of </w:t>
      </w:r>
      <w:r w:rsidR="007859E4" w:rsidRPr="00F422C9">
        <w:t xml:space="preserve">which was accepted and finalised), and </w:t>
      </w:r>
      <w:r w:rsidR="00644D02">
        <w:t>41</w:t>
      </w:r>
      <w:r w:rsidR="007859E4" w:rsidRPr="00F422C9">
        <w:t xml:space="preserve"> complaints were finalised about prisons (of which 7 were accepted and finalised).</w:t>
      </w:r>
      <w:r w:rsidR="003B5FB6">
        <w:t xml:space="preserve"> While a relatively high number of complaints were made against prisons, few were accepted and finalised in the reporting period. This may be </w:t>
      </w:r>
      <w:r w:rsidR="00644D02">
        <w:t xml:space="preserve">partly </w:t>
      </w:r>
      <w:r w:rsidR="003B5FB6">
        <w:t xml:space="preserve">because of further legislative requirements on prisoners making anti-discrimination complaints under the </w:t>
      </w:r>
      <w:r w:rsidR="003B5FB6" w:rsidRPr="7DB5F492">
        <w:rPr>
          <w:i/>
          <w:iCs/>
        </w:rPr>
        <w:t>Corrective Services Act</w:t>
      </w:r>
      <w:r w:rsidR="000F684B" w:rsidRPr="7DB5F492">
        <w:rPr>
          <w:i/>
          <w:iCs/>
        </w:rPr>
        <w:t xml:space="preserve"> 2006</w:t>
      </w:r>
      <w:r w:rsidR="003B5FB6" w:rsidRPr="7DB5F492">
        <w:rPr>
          <w:i/>
          <w:iCs/>
        </w:rPr>
        <w:t>.</w:t>
      </w:r>
      <w:r w:rsidR="000F684B" w:rsidRPr="00812073">
        <w:rPr>
          <w:rStyle w:val="FootnoteReference"/>
        </w:rPr>
        <w:footnoteReference w:id="106"/>
      </w:r>
      <w:r w:rsidR="003B5FB6" w:rsidRPr="00812073">
        <w:t xml:space="preserve"> </w:t>
      </w:r>
    </w:p>
    <w:p w14:paraId="55359756" w14:textId="045DF6DD" w:rsidR="00644D02" w:rsidRDefault="009A7306" w:rsidP="008A4051">
      <w:r>
        <w:t>Complaints about health bodies</w:t>
      </w:r>
      <w:r w:rsidR="00644D02">
        <w:t xml:space="preserve"> predominated, strongly influenced by the COVID-19 pandemic</w:t>
      </w:r>
      <w:r w:rsidR="00E422A4">
        <w:t>,</w:t>
      </w:r>
      <w:r w:rsidR="00644D02">
        <w:t xml:space="preserve"> and it remain</w:t>
      </w:r>
      <w:r w:rsidR="00547713">
        <w:t>s</w:t>
      </w:r>
      <w:r w:rsidR="00644D02">
        <w:t xml:space="preserve"> to be seen whether the trend </w:t>
      </w:r>
      <w:r w:rsidR="003E3B76">
        <w:t xml:space="preserve">will </w:t>
      </w:r>
      <w:r w:rsidR="00644D02">
        <w:t xml:space="preserve">continue in future years. </w:t>
      </w:r>
      <w:r w:rsidR="00B72436">
        <w:t>The Commission identif</w:t>
      </w:r>
      <w:r w:rsidR="00547713">
        <w:t>ied</w:t>
      </w:r>
      <w:r w:rsidR="00B72436">
        <w:t xml:space="preserve"> 68 finalised health matters about COVID-19 (80% of the total finalised health complaints).</w:t>
      </w:r>
      <w:r w:rsidR="00644D02" w:rsidRPr="2FCE546F">
        <w:rPr>
          <w:rStyle w:val="FootnoteReference"/>
        </w:rPr>
        <w:footnoteReference w:id="107"/>
      </w:r>
      <w:r w:rsidR="00B72436">
        <w:t xml:space="preserve"> </w:t>
      </w:r>
      <w:r w:rsidR="00644D02">
        <w:t>Of the complaints about health, most were about health services generally</w:t>
      </w:r>
      <w:r w:rsidR="003E3B76">
        <w:t>,</w:t>
      </w:r>
      <w:r w:rsidR="00644D02">
        <w:t xml:space="preserve"> with 12 </w:t>
      </w:r>
      <w:r w:rsidR="00B72436">
        <w:t>being about mental health services.</w:t>
      </w:r>
      <w:r w:rsidR="00644D02">
        <w:t xml:space="preserve"> </w:t>
      </w:r>
    </w:p>
    <w:p w14:paraId="54E01F94" w14:textId="6AE79122" w:rsidR="003555E8" w:rsidRDefault="003555E8" w:rsidP="008A4051">
      <w:pPr>
        <w:rPr>
          <w:i/>
          <w:iCs/>
        </w:rPr>
      </w:pPr>
      <w:r>
        <w:t xml:space="preserve">Similarly, as police have been required to enforce </w:t>
      </w:r>
      <w:r w:rsidR="00EC2D07">
        <w:t>Public H</w:t>
      </w:r>
      <w:r>
        <w:t xml:space="preserve">ealth </w:t>
      </w:r>
      <w:r w:rsidR="00DB7C71">
        <w:t>D</w:t>
      </w:r>
      <w:r>
        <w:t>irecti</w:t>
      </w:r>
      <w:r w:rsidR="00DB7C71">
        <w:t>ons</w:t>
      </w:r>
      <w:r w:rsidR="00957B40">
        <w:t xml:space="preserve"> and hotel quarantine</w:t>
      </w:r>
      <w:r>
        <w:t xml:space="preserve">, the number of complaints </w:t>
      </w:r>
      <w:r w:rsidR="00B15439">
        <w:t xml:space="preserve">about police </w:t>
      </w:r>
      <w:r w:rsidR="312B3779">
        <w:t xml:space="preserve">was </w:t>
      </w:r>
      <w:r>
        <w:t xml:space="preserve">high </w:t>
      </w:r>
      <w:r w:rsidR="000F7ABC">
        <w:t>because of the</w:t>
      </w:r>
      <w:r>
        <w:t xml:space="preserve"> COVID-19</w:t>
      </w:r>
      <w:r w:rsidR="000F7ABC">
        <w:t xml:space="preserve"> situation</w:t>
      </w:r>
      <w:r>
        <w:t>.</w:t>
      </w:r>
      <w:r w:rsidR="008B54EF">
        <w:t xml:space="preserve"> The Commission identified 28 of the 58 finalised police complaints that were related to COVID-19 (48% of the total finalised police complaints). </w:t>
      </w:r>
    </w:p>
    <w:p w14:paraId="39C9E3F9" w14:textId="4B5FDFB6" w:rsidR="00D67E3A" w:rsidRDefault="005945FA" w:rsidP="00D67E3A">
      <w:r>
        <w:t>‘</w:t>
      </w:r>
      <w:r w:rsidR="002E440D">
        <w:t>Work</w:t>
      </w:r>
      <w:r>
        <w:t>’</w:t>
      </w:r>
      <w:r w:rsidR="002E440D">
        <w:t xml:space="preserve"> is where a public sector worker is complaining about issues arising in their workplace.</w:t>
      </w:r>
      <w:r w:rsidR="00197317">
        <w:t xml:space="preserve">  </w:t>
      </w:r>
    </w:p>
    <w:p w14:paraId="16A86754" w14:textId="5018CE4F" w:rsidR="0079142A" w:rsidRPr="008A00EB" w:rsidRDefault="009B7422" w:rsidP="00D67E3A">
      <w:r>
        <w:t>E</w:t>
      </w:r>
      <w:r w:rsidR="0079142A">
        <w:t xml:space="preserve">ducation complaints </w:t>
      </w:r>
      <w:r>
        <w:t>comprised</w:t>
      </w:r>
      <w:r w:rsidR="1A6DDEF7">
        <w:t xml:space="preserve"> allegations of human rights breaches by primary, secondary and tertiary institutions.</w:t>
      </w:r>
    </w:p>
    <w:p w14:paraId="3C55A5F7" w14:textId="1A8D5FE0" w:rsidR="1A6DDEF7" w:rsidRDefault="1A6DDEF7" w:rsidP="674E917E">
      <w:pPr>
        <w:pStyle w:val="Caption"/>
        <w:rPr>
          <w:rFonts w:eastAsia="Yu Mincho" w:cs="Arial"/>
          <w:szCs w:val="20"/>
        </w:rPr>
      </w:pPr>
      <w:r>
        <w:t>Table</w:t>
      </w:r>
      <w:r w:rsidR="00CD5323">
        <w:t xml:space="preserve"> </w:t>
      </w:r>
      <w:r w:rsidR="00023027">
        <w:t>11</w:t>
      </w:r>
      <w:r>
        <w:t>: Human rights complaints to the Commission about the education sector 2020-21</w:t>
      </w:r>
    </w:p>
    <w:tbl>
      <w:tblPr>
        <w:tblStyle w:val="TableGrid"/>
        <w:tblW w:w="0" w:type="auto"/>
        <w:tblBorders>
          <w:top w:val="single" w:sz="4" w:space="0" w:color="D46228"/>
          <w:left w:val="none" w:sz="0" w:space="0" w:color="auto"/>
          <w:bottom w:val="single" w:sz="4" w:space="0" w:color="D46228"/>
          <w:right w:val="none" w:sz="0" w:space="0" w:color="auto"/>
          <w:insideH w:val="single" w:sz="4" w:space="0" w:color="D46228"/>
          <w:insideV w:val="none" w:sz="0" w:space="0" w:color="auto"/>
        </w:tblBorders>
        <w:tblLayout w:type="fixed"/>
        <w:tblLook w:val="04A0" w:firstRow="1" w:lastRow="0" w:firstColumn="1" w:lastColumn="0" w:noHBand="0" w:noVBand="1"/>
      </w:tblPr>
      <w:tblGrid>
        <w:gridCol w:w="2835"/>
        <w:gridCol w:w="2295"/>
        <w:gridCol w:w="2430"/>
      </w:tblGrid>
      <w:tr w:rsidR="00023027" w:rsidRPr="00023027" w14:paraId="5A0E43B6" w14:textId="77777777" w:rsidTr="00023027">
        <w:tc>
          <w:tcPr>
            <w:tcW w:w="2835" w:type="dxa"/>
          </w:tcPr>
          <w:p w14:paraId="2D5BF280" w14:textId="1E7E6BEB" w:rsidR="00642167" w:rsidRPr="00023027" w:rsidRDefault="00642167" w:rsidP="00642167">
            <w:pPr>
              <w:pStyle w:val="TableTextHeading"/>
              <w:rPr>
                <w:color w:val="D46228"/>
              </w:rPr>
            </w:pPr>
            <w:r w:rsidRPr="00023027">
              <w:rPr>
                <w:color w:val="D46228"/>
              </w:rPr>
              <w:t>Type</w:t>
            </w:r>
          </w:p>
        </w:tc>
        <w:tc>
          <w:tcPr>
            <w:tcW w:w="2295" w:type="dxa"/>
          </w:tcPr>
          <w:p w14:paraId="3B72F14A" w14:textId="23784C67" w:rsidR="00642167" w:rsidRPr="00023027" w:rsidRDefault="00642167" w:rsidP="00642167">
            <w:pPr>
              <w:pStyle w:val="TableTextHeading"/>
              <w:rPr>
                <w:color w:val="D46228"/>
              </w:rPr>
            </w:pPr>
            <w:r w:rsidRPr="00023027">
              <w:rPr>
                <w:color w:val="D46228"/>
              </w:rPr>
              <w:t>Finalised</w:t>
            </w:r>
          </w:p>
        </w:tc>
        <w:tc>
          <w:tcPr>
            <w:tcW w:w="2430" w:type="dxa"/>
          </w:tcPr>
          <w:p w14:paraId="439F8717" w14:textId="137E0F2C" w:rsidR="00642167" w:rsidRPr="00023027" w:rsidRDefault="00642167" w:rsidP="00642167">
            <w:pPr>
              <w:pStyle w:val="TableTextHeading"/>
              <w:rPr>
                <w:color w:val="D46228"/>
              </w:rPr>
            </w:pPr>
            <w:r w:rsidRPr="00023027">
              <w:rPr>
                <w:color w:val="D46228"/>
              </w:rPr>
              <w:t>Accepted &amp; finalised</w:t>
            </w:r>
          </w:p>
        </w:tc>
      </w:tr>
      <w:tr w:rsidR="00642167" w14:paraId="5F06C073" w14:textId="77777777" w:rsidTr="00023027">
        <w:tc>
          <w:tcPr>
            <w:tcW w:w="2835" w:type="dxa"/>
          </w:tcPr>
          <w:p w14:paraId="70488C75" w14:textId="7206D4B2" w:rsidR="00642167" w:rsidRDefault="00642167" w:rsidP="00023027">
            <w:pPr>
              <w:pStyle w:val="TableText"/>
            </w:pPr>
            <w:r>
              <w:t>Primary</w:t>
            </w:r>
          </w:p>
        </w:tc>
        <w:tc>
          <w:tcPr>
            <w:tcW w:w="2295" w:type="dxa"/>
          </w:tcPr>
          <w:p w14:paraId="2A416190" w14:textId="5B1E7D01" w:rsidR="00642167" w:rsidRDefault="00642167" w:rsidP="00023027">
            <w:pPr>
              <w:pStyle w:val="TableText"/>
            </w:pPr>
            <w:r>
              <w:t>6</w:t>
            </w:r>
          </w:p>
        </w:tc>
        <w:tc>
          <w:tcPr>
            <w:tcW w:w="2430" w:type="dxa"/>
          </w:tcPr>
          <w:p w14:paraId="29488AEF" w14:textId="688001D8" w:rsidR="00642167" w:rsidRDefault="00642167" w:rsidP="00023027">
            <w:pPr>
              <w:pStyle w:val="TableText"/>
            </w:pPr>
            <w:r>
              <w:t>5</w:t>
            </w:r>
          </w:p>
        </w:tc>
      </w:tr>
      <w:tr w:rsidR="00642167" w14:paraId="1310AA58" w14:textId="77777777" w:rsidTr="00023027">
        <w:tc>
          <w:tcPr>
            <w:tcW w:w="2835" w:type="dxa"/>
          </w:tcPr>
          <w:p w14:paraId="2111DC83" w14:textId="39F9C111" w:rsidR="00642167" w:rsidRDefault="00642167" w:rsidP="00023027">
            <w:pPr>
              <w:pStyle w:val="TableText"/>
            </w:pPr>
            <w:r>
              <w:t>Secondary</w:t>
            </w:r>
          </w:p>
        </w:tc>
        <w:tc>
          <w:tcPr>
            <w:tcW w:w="2295" w:type="dxa"/>
          </w:tcPr>
          <w:p w14:paraId="4545542C" w14:textId="20E252EE" w:rsidR="00642167" w:rsidRDefault="00642167" w:rsidP="00023027">
            <w:pPr>
              <w:pStyle w:val="TableText"/>
            </w:pPr>
            <w:r>
              <w:t>14</w:t>
            </w:r>
          </w:p>
        </w:tc>
        <w:tc>
          <w:tcPr>
            <w:tcW w:w="2430" w:type="dxa"/>
          </w:tcPr>
          <w:p w14:paraId="0FBAF9DF" w14:textId="39644A81" w:rsidR="00642167" w:rsidRDefault="00642167" w:rsidP="00023027">
            <w:pPr>
              <w:pStyle w:val="TableText"/>
            </w:pPr>
            <w:r>
              <w:t>10</w:t>
            </w:r>
          </w:p>
        </w:tc>
      </w:tr>
      <w:tr w:rsidR="00642167" w14:paraId="27F4A5C2" w14:textId="77777777" w:rsidTr="00023027">
        <w:tc>
          <w:tcPr>
            <w:tcW w:w="2835" w:type="dxa"/>
          </w:tcPr>
          <w:p w14:paraId="0163ACA4" w14:textId="627F0551" w:rsidR="00642167" w:rsidRDefault="00642167" w:rsidP="00023027">
            <w:pPr>
              <w:pStyle w:val="TableText"/>
            </w:pPr>
            <w:r>
              <w:t>Tertiary</w:t>
            </w:r>
          </w:p>
        </w:tc>
        <w:tc>
          <w:tcPr>
            <w:tcW w:w="2295" w:type="dxa"/>
          </w:tcPr>
          <w:p w14:paraId="67E2CBAB" w14:textId="31632198" w:rsidR="00642167" w:rsidRDefault="00642167" w:rsidP="00023027">
            <w:pPr>
              <w:pStyle w:val="TableText"/>
            </w:pPr>
            <w:r>
              <w:t>10</w:t>
            </w:r>
          </w:p>
        </w:tc>
        <w:tc>
          <w:tcPr>
            <w:tcW w:w="2430" w:type="dxa"/>
          </w:tcPr>
          <w:p w14:paraId="02AC52E4" w14:textId="292A9B81" w:rsidR="00642167" w:rsidRDefault="00642167" w:rsidP="00023027">
            <w:pPr>
              <w:pStyle w:val="TableText"/>
            </w:pPr>
            <w:r>
              <w:t>5</w:t>
            </w:r>
          </w:p>
        </w:tc>
      </w:tr>
    </w:tbl>
    <w:p w14:paraId="73B3F6B0" w14:textId="606C6775" w:rsidR="00D67E3A" w:rsidRPr="008A00EB" w:rsidRDefault="00D67E3A" w:rsidP="00D67E3A"/>
    <w:p w14:paraId="4AD85712" w14:textId="57A97CF5" w:rsidR="0084515D" w:rsidRPr="007521E3" w:rsidRDefault="0084515D" w:rsidP="00B04FF8">
      <w:pPr>
        <w:pStyle w:val="Heading2"/>
        <w:rPr>
          <w:color w:val="D46228"/>
        </w:rPr>
      </w:pPr>
      <w:bookmarkStart w:id="554" w:name="_Toc56452198"/>
      <w:bookmarkStart w:id="555" w:name="_Toc84593933"/>
      <w:bookmarkStart w:id="556" w:name="_Toc85451808"/>
      <w:bookmarkStart w:id="557" w:name="_Toc85526739"/>
      <w:bookmarkStart w:id="558" w:name="_Toc85787154"/>
      <w:r w:rsidRPr="674E917E">
        <w:rPr>
          <w:color w:val="D46228"/>
        </w:rPr>
        <w:lastRenderedPageBreak/>
        <w:t>Finalised complaints by sector for human rights only complaints</w:t>
      </w:r>
      <w:bookmarkEnd w:id="554"/>
      <w:bookmarkEnd w:id="555"/>
      <w:bookmarkEnd w:id="556"/>
      <w:bookmarkEnd w:id="557"/>
      <w:bookmarkEnd w:id="558"/>
    </w:p>
    <w:p w14:paraId="71C5E361" w14:textId="0CEB4982" w:rsidR="003555E8" w:rsidRPr="003555E8" w:rsidRDefault="003555E8" w:rsidP="003555E8">
      <w:pPr>
        <w:rPr>
          <w:lang w:eastAsia="en-AU"/>
        </w:rPr>
      </w:pPr>
      <w:r w:rsidRPr="008A00EB">
        <w:t xml:space="preserve">The information in this section </w:t>
      </w:r>
      <w:r>
        <w:t>reports on human rights only complaints</w:t>
      </w:r>
      <w:r w:rsidR="4EBAC9ED">
        <w:t xml:space="preserve"> finalised in 2020-21</w:t>
      </w:r>
      <w:r>
        <w:t>.</w:t>
      </w:r>
    </w:p>
    <w:p w14:paraId="1A0B2533" w14:textId="58DD4B87" w:rsidR="000036A5" w:rsidRDefault="000036A5" w:rsidP="00E3148E">
      <w:pPr>
        <w:pStyle w:val="Caption"/>
      </w:pPr>
      <w:r>
        <w:t>Figure</w:t>
      </w:r>
      <w:r w:rsidR="007B0754">
        <w:t xml:space="preserve"> 1</w:t>
      </w:r>
      <w:r w:rsidR="008C4345">
        <w:t>6</w:t>
      </w:r>
      <w:r>
        <w:t xml:space="preserve">: Finalised complaints by sector – human rights only complaints, </w:t>
      </w:r>
      <w:r w:rsidR="00584C8B">
        <w:t>2020-21</w:t>
      </w:r>
    </w:p>
    <w:p w14:paraId="4A8AFC3A" w14:textId="33954861" w:rsidR="002021C5" w:rsidRPr="002021C5" w:rsidRDefault="002021C5" w:rsidP="002021C5">
      <w:r>
        <w:rPr>
          <w:noProof/>
          <w:lang w:eastAsia="en-AU"/>
        </w:rPr>
        <w:drawing>
          <wp:inline distT="0" distB="0" distL="0" distR="0" wp14:anchorId="01069220" wp14:editId="7A66578F">
            <wp:extent cx="6600825" cy="4562475"/>
            <wp:effectExtent l="0" t="0" r="0" b="0"/>
            <wp:docPr id="9" name="Chart 9" descr="Figure 16: Finalised complaints by sector – human rights only complaints, 2020-21&#10;&#10;This bar graph shows the sectors identified in finalised, and in accepted and finalised, human rights only complaints during 2020-21, as follows: &#10;&#10;- Health: 67 finalised, 28 accepted and finalised.&#10;- Corrections: 42 finalised, 8 accepted and finalised.&#10;- Police: 40  finalised, 15 accepted and finalised.&#10;- Other state laws and programs: 29 finalised, 7 accepted and finalised.&#10;- Court services: 17 finalised, 0 accepted and finalised. &#10;- Other government services: 17 finalised, 2 accepted and finalised.&#10;- Public education: 14 finalised, 5 accepted and finalised.&#10;- Local government agency: 11 finalised, 3 accepted and finalised.&#10;- Child Safety: 9 finalised, 0 accepted and finalised.&#10;- Work: 9 finalised, 0 accepted and finalised.&#10;- Accommodation/housing: 8 finalised, 2 accepted and finalised.&#10;- Disability: 5 finalised, 0 accepted and finalised. &#10;- Not a public entity: 4 finalised, 0 accepted and finalised. &#10;- Transport: 1 finalised, 0 accepted and finalised.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1E9068DC" w14:textId="32575A8F" w:rsidR="003555E8" w:rsidRDefault="003555E8" w:rsidP="003555E8">
      <w:bookmarkStart w:id="559" w:name="_Toc56452199"/>
      <w:r>
        <w:t>Similar trends can be observed in relation to the complaints made about human rights only, with the same three public entity types – health, corrections</w:t>
      </w:r>
      <w:r w:rsidR="000C6991">
        <w:t>,</w:t>
      </w:r>
      <w:r>
        <w:t xml:space="preserve"> and police being the most complained about</w:t>
      </w:r>
      <w:r w:rsidR="00FB777B">
        <w:t xml:space="preserve"> in the reporting period</w:t>
      </w:r>
      <w:r>
        <w:t>.</w:t>
      </w:r>
    </w:p>
    <w:p w14:paraId="61EFA341" w14:textId="77777777" w:rsidR="00995C38" w:rsidRDefault="00995C38">
      <w:pPr>
        <w:spacing w:line="259" w:lineRule="auto"/>
        <w:ind w:right="0"/>
        <w:rPr>
          <w:rFonts w:eastAsiaTheme="majorEastAsia" w:cstheme="majorBidi"/>
          <w:bCs/>
          <w:color w:val="D46228"/>
          <w:kern w:val="36"/>
          <w:sz w:val="36"/>
          <w:szCs w:val="26"/>
          <w:lang w:eastAsia="en-AU"/>
        </w:rPr>
      </w:pPr>
      <w:bookmarkStart w:id="560" w:name="_Toc84593934"/>
      <w:bookmarkStart w:id="561" w:name="_Toc85451809"/>
      <w:bookmarkStart w:id="562" w:name="_Toc85526740"/>
      <w:bookmarkStart w:id="563" w:name="_Toc85787155"/>
      <w:r>
        <w:rPr>
          <w:color w:val="D46228"/>
        </w:rPr>
        <w:br w:type="page"/>
      </w:r>
    </w:p>
    <w:p w14:paraId="2C415A2E" w14:textId="1BF004AA" w:rsidR="1A69E613" w:rsidRPr="007521E3" w:rsidRDefault="1A69E613" w:rsidP="00B04FF8">
      <w:pPr>
        <w:pStyle w:val="Heading2"/>
        <w:rPr>
          <w:color w:val="D46228"/>
        </w:rPr>
      </w:pPr>
      <w:r w:rsidRPr="674E917E">
        <w:rPr>
          <w:color w:val="D46228"/>
        </w:rPr>
        <w:lastRenderedPageBreak/>
        <w:t xml:space="preserve">Demographic </w:t>
      </w:r>
      <w:r w:rsidR="00236E15" w:rsidRPr="674E917E">
        <w:rPr>
          <w:color w:val="D46228"/>
        </w:rPr>
        <w:t>i</w:t>
      </w:r>
      <w:r w:rsidRPr="674E917E">
        <w:rPr>
          <w:color w:val="D46228"/>
        </w:rPr>
        <w:t>nformation</w:t>
      </w:r>
      <w:r w:rsidR="00AC3570" w:rsidRPr="674E917E">
        <w:rPr>
          <w:color w:val="D46228"/>
        </w:rPr>
        <w:t xml:space="preserve"> for finalised complaints</w:t>
      </w:r>
      <w:bookmarkEnd w:id="559"/>
      <w:bookmarkEnd w:id="560"/>
      <w:bookmarkEnd w:id="561"/>
      <w:bookmarkEnd w:id="562"/>
      <w:bookmarkEnd w:id="563"/>
    </w:p>
    <w:p w14:paraId="345ADF78" w14:textId="4B22D5DA" w:rsidR="6C6FACE8" w:rsidRPr="008A00EB" w:rsidRDefault="00CF3DF5" w:rsidP="008A4051">
      <w:r w:rsidRPr="008A00EB">
        <w:t>The information in this</w:t>
      </w:r>
      <w:r w:rsidR="6C6FACE8" w:rsidRPr="008A00EB">
        <w:t xml:space="preserve"> section </w:t>
      </w:r>
      <w:r w:rsidRPr="008A00EB">
        <w:t xml:space="preserve">breaks down complaints by the complainant’s country of birth, </w:t>
      </w:r>
      <w:r w:rsidR="00BA472F" w:rsidRPr="008A00EB">
        <w:t>sex, and age</w:t>
      </w:r>
      <w:r w:rsidR="00BB757D">
        <w:t>,</w:t>
      </w:r>
      <w:r w:rsidR="00BA472F" w:rsidRPr="008A00EB">
        <w:t xml:space="preserve"> </w:t>
      </w:r>
      <w:r w:rsidRPr="008A00EB">
        <w:t>based on information provided to the Commission.</w:t>
      </w:r>
      <w:r w:rsidR="00CB3EBF" w:rsidRPr="008A00EB">
        <w:t xml:space="preserve"> Demographic data has not been collected for every complaint</w:t>
      </w:r>
      <w:r w:rsidR="00BB757D">
        <w:t>,</w:t>
      </w:r>
      <w:r w:rsidR="00976648">
        <w:t xml:space="preserve"> but some trends </w:t>
      </w:r>
      <w:r w:rsidR="00BB757D">
        <w:t xml:space="preserve">are </w:t>
      </w:r>
      <w:r w:rsidR="00976648">
        <w:t>emerg</w:t>
      </w:r>
      <w:r w:rsidR="00BB757D">
        <w:t>ing</w:t>
      </w:r>
      <w:r w:rsidR="00976648">
        <w:t xml:space="preserve"> with the data that has been provided by complainants</w:t>
      </w:r>
      <w:r w:rsidR="00CB3EBF" w:rsidRPr="008A00EB">
        <w:t>.</w:t>
      </w:r>
      <w:r w:rsidR="00B44CC2" w:rsidRPr="008A00EB">
        <w:t xml:space="preserve"> The</w:t>
      </w:r>
      <w:r w:rsidR="002E4959" w:rsidRPr="008A00EB">
        <w:t xml:space="preserve"> demographic</w:t>
      </w:r>
      <w:r w:rsidR="00B44CC2" w:rsidRPr="008A00EB">
        <w:t xml:space="preserve"> information in this section is </w:t>
      </w:r>
      <w:r w:rsidR="002E4959" w:rsidRPr="008A00EB">
        <w:t>about</w:t>
      </w:r>
      <w:r w:rsidR="00B44CC2" w:rsidRPr="008A00EB">
        <w:t xml:space="preserve"> complainants who made </w:t>
      </w:r>
      <w:r w:rsidR="003A2ECC">
        <w:t>piggy-back</w:t>
      </w:r>
      <w:r w:rsidR="00B44CC2" w:rsidRPr="008A00EB">
        <w:t xml:space="preserve"> complaints</w:t>
      </w:r>
      <w:r w:rsidR="00BE2B65">
        <w:t>,</w:t>
      </w:r>
      <w:r w:rsidR="00B44CC2" w:rsidRPr="008A00EB">
        <w:t xml:space="preserve"> </w:t>
      </w:r>
      <w:r w:rsidR="00372DDA" w:rsidRPr="008A00EB">
        <w:t xml:space="preserve">as well </w:t>
      </w:r>
      <w:r w:rsidR="00BE2B65">
        <w:t>complainants who made</w:t>
      </w:r>
      <w:r w:rsidR="00B44CC2" w:rsidRPr="008A00EB">
        <w:t xml:space="preserve"> human rights only complaints.</w:t>
      </w:r>
    </w:p>
    <w:p w14:paraId="3E4B190E" w14:textId="0AF3AE20" w:rsidR="00347059" w:rsidRDefault="00BE2B65" w:rsidP="008A4051">
      <w:r>
        <w:t>C</w:t>
      </w:r>
      <w:r w:rsidR="00CF3DF5" w:rsidRPr="008A00EB">
        <w:t xml:space="preserve">omplaints </w:t>
      </w:r>
      <w:r w:rsidR="003B42D3">
        <w:t xml:space="preserve">finalised in the </w:t>
      </w:r>
      <w:r w:rsidR="00584C8B">
        <w:t>2020-21</w:t>
      </w:r>
      <w:r w:rsidR="003B42D3">
        <w:t xml:space="preserve"> </w:t>
      </w:r>
      <w:r w:rsidR="00F4342E">
        <w:t>period</w:t>
      </w:r>
      <w:r w:rsidR="003B42D3">
        <w:t xml:space="preserve"> </w:t>
      </w:r>
      <w:r w:rsidR="00CF3DF5" w:rsidRPr="008A00EB">
        <w:t>were</w:t>
      </w:r>
      <w:r w:rsidR="1A69E613" w:rsidRPr="008A00EB">
        <w:t xml:space="preserve"> lodged </w:t>
      </w:r>
      <w:r w:rsidR="00CF3DF5" w:rsidRPr="008A00EB">
        <w:t>mainly</w:t>
      </w:r>
      <w:r w:rsidR="1A69E613" w:rsidRPr="008A00EB">
        <w:t xml:space="preserve"> from within Queensland</w:t>
      </w:r>
      <w:r w:rsidR="00347059">
        <w:t xml:space="preserve">. Compared with last year, </w:t>
      </w:r>
      <w:r w:rsidR="00516A3D">
        <w:t>more complaints</w:t>
      </w:r>
      <w:r w:rsidR="00347059">
        <w:t xml:space="preserve"> were lodged from </w:t>
      </w:r>
      <w:r w:rsidR="00F95B04">
        <w:t xml:space="preserve">interstate and </w:t>
      </w:r>
      <w:r w:rsidR="00347059">
        <w:t>particularly</w:t>
      </w:r>
      <w:r w:rsidR="00F95B04">
        <w:t xml:space="preserve"> from</w:t>
      </w:r>
      <w:r w:rsidR="00347059">
        <w:t xml:space="preserve"> Melbourne and Sydney</w:t>
      </w:r>
      <w:r w:rsidR="00F4342E">
        <w:t>,</w:t>
      </w:r>
      <w:r w:rsidR="00347059">
        <w:t xml:space="preserve"> reflect</w:t>
      </w:r>
      <w:r w:rsidR="00F4342E">
        <w:t>ing</w:t>
      </w:r>
      <w:r w:rsidR="00347059">
        <w:t xml:space="preserve"> COVID-19 related complaints about border entry restrictions</w:t>
      </w:r>
      <w:r w:rsidR="1A69E613" w:rsidRPr="008A00EB">
        <w:t xml:space="preserve">. </w:t>
      </w:r>
    </w:p>
    <w:p w14:paraId="1F18D143" w14:textId="41A46D8B" w:rsidR="1A69E613" w:rsidRDefault="1A69E613" w:rsidP="008A4051">
      <w:r w:rsidRPr="008A00EB">
        <w:t>Most of the complainants</w:t>
      </w:r>
      <w:r w:rsidR="53A9B28F" w:rsidRPr="008A00EB">
        <w:t xml:space="preserve"> </w:t>
      </w:r>
      <w:r w:rsidR="00347059">
        <w:t xml:space="preserve">living </w:t>
      </w:r>
      <w:r w:rsidR="53A9B28F" w:rsidRPr="008A00EB">
        <w:t>in Queensland</w:t>
      </w:r>
      <w:r w:rsidRPr="008A00EB">
        <w:t xml:space="preserve"> </w:t>
      </w:r>
      <w:r w:rsidR="59EA8533" w:rsidRPr="008A00EB">
        <w:t xml:space="preserve">were </w:t>
      </w:r>
      <w:r w:rsidR="00CF3DF5" w:rsidRPr="008A00EB">
        <w:t>from</w:t>
      </w:r>
      <w:r w:rsidR="59EA8533" w:rsidRPr="008A00EB">
        <w:t xml:space="preserve"> the </w:t>
      </w:r>
      <w:r w:rsidR="11645D94">
        <w:t>southeast</w:t>
      </w:r>
      <w:r w:rsidR="59EA8533" w:rsidRPr="008A00EB">
        <w:t xml:space="preserve"> r</w:t>
      </w:r>
      <w:r w:rsidR="1FCCEE75" w:rsidRPr="008A00EB">
        <w:t>egion</w:t>
      </w:r>
      <w:r w:rsidR="00347059">
        <w:t xml:space="preserve">, but a reasonable number came from coastal regional areas of Queensland. </w:t>
      </w:r>
      <w:r w:rsidR="003C26FD">
        <w:t>F</w:t>
      </w:r>
      <w:r w:rsidR="00347059">
        <w:t xml:space="preserve">ew complaints were received from people living </w:t>
      </w:r>
      <w:r w:rsidR="70AD2ADD">
        <w:t>in</w:t>
      </w:r>
      <w:r w:rsidR="00347059">
        <w:t xml:space="preserve"> remote areas.</w:t>
      </w:r>
    </w:p>
    <w:p w14:paraId="37ABC4A8" w14:textId="38DF5D6A" w:rsidR="005C7883" w:rsidRDefault="005C7883" w:rsidP="002771F8">
      <w:pPr>
        <w:pStyle w:val="Caption"/>
      </w:pPr>
      <w:r w:rsidRPr="005C7883">
        <w:t>Figure</w:t>
      </w:r>
      <w:r w:rsidR="008C4345">
        <w:t xml:space="preserve"> 17</w:t>
      </w:r>
      <w:r w:rsidRPr="005C7883">
        <w:t xml:space="preserve">: Finalised complaints by complainant location, </w:t>
      </w:r>
      <w:r w:rsidR="00584C8B">
        <w:t>2020-21</w:t>
      </w:r>
    </w:p>
    <w:p w14:paraId="2165BD46" w14:textId="5B13F41C" w:rsidR="003B38ED" w:rsidRPr="003B38ED" w:rsidRDefault="003B38ED" w:rsidP="003B38ED">
      <w:r>
        <w:rPr>
          <w:noProof/>
          <w:lang w:eastAsia="en-AU"/>
        </w:rPr>
        <w:drawing>
          <wp:inline distT="0" distB="0" distL="0" distR="0" wp14:anchorId="2788BB67" wp14:editId="0FECF655">
            <wp:extent cx="4695825" cy="4324350"/>
            <wp:effectExtent l="0" t="0" r="0" b="0"/>
            <wp:docPr id="17" name="Picture 17" descr="Figure 17: Finalised complaints by complainant location, 2020-21&#10;&#10;This image is a stylised map of Australia. Land is shown as gold, the ocean has no colour. On the map are different sized navy dots to denote the numbers of finalised complaints lodged from that location. The larger the dot, the more complaints lodged in that location. The largest dots are in the southeast corner of Queensland, where several dots overlap. Dots continue to overlap up the coast to Rockhampton, then another cluster around Townsville and Cairns. Some are scattered through southern and central Queensland, with two in the northwest of the state. There are several in NSW, mostly clustered around the Sydney area, and another several in Victoria, mostly around Melbourne. There are three in Tasmania and one in South Australia.  The map isn't labelled with location names.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Picture 17" descr="Figure 17: Finalised complaints by complainant location, 2020-21&#10;&#10;This image is a stylised map of Australia. Land is shown as gold, the ocean has no colour. On the map are different sized navy dots to denote the numbers of finalised complaints lodged from that location. The larger the dot, the more complaints lodged in that location. The largest dots are in the southeast corner of Queensland, where several dots overlap. Dots continue to overlap up the coast to Rockhampton, then another cluster around Townsville and Cairns. Some are scattered through southern and central Queensland, with two in the northwest of the state. There are several in NSW, mostly clustered around the Sydney area, and another several in Victoria, mostly around Melbourne. There are three in Tasmania and one in South Australia.  The map isn't labelled with location names. "/>
                    <pic:cNvPicPr/>
                  </pic:nvPicPr>
                  <pic:blipFill rotWithShape="1">
                    <a:blip r:embed="rId68" cstate="print">
                      <a:extLst>
                        <a:ext uri="{28A0092B-C50C-407E-A947-70E740481C1C}">
                          <a14:useLocalDpi xmlns:a14="http://schemas.microsoft.com/office/drawing/2010/main" val="0"/>
                        </a:ext>
                      </a:extLst>
                    </a:blip>
                    <a:srcRect l="181" t="819" r="10506" b="6250"/>
                    <a:stretch/>
                  </pic:blipFill>
                  <pic:spPr bwMode="auto">
                    <a:xfrm>
                      <a:off x="0" y="0"/>
                      <a:ext cx="4699668" cy="4327889"/>
                    </a:xfrm>
                    <a:prstGeom prst="rect">
                      <a:avLst/>
                    </a:prstGeom>
                    <a:ln>
                      <a:noFill/>
                    </a:ln>
                    <a:extLst>
                      <a:ext uri="{53640926-AAD7-44D8-BBD7-CCE9431645EC}">
                        <a14:shadowObscured xmlns:a14="http://schemas.microsoft.com/office/drawing/2010/main"/>
                      </a:ext>
                    </a:extLst>
                  </pic:spPr>
                </pic:pic>
              </a:graphicData>
            </a:graphic>
          </wp:inline>
        </w:drawing>
      </w:r>
    </w:p>
    <w:p w14:paraId="18C0C6D0" w14:textId="3E5C822C" w:rsidR="004B1269" w:rsidRPr="008A00EB" w:rsidRDefault="001D2D0F" w:rsidP="008A4051">
      <w:r w:rsidRPr="008A00EB">
        <w:lastRenderedPageBreak/>
        <w:t>Of the finalised complaints</w:t>
      </w:r>
      <w:r w:rsidR="005477B5">
        <w:t>,</w:t>
      </w:r>
      <w:r w:rsidRPr="008A00EB">
        <w:t xml:space="preserve"> </w:t>
      </w:r>
      <w:r w:rsidR="00133389">
        <w:t>54.5</w:t>
      </w:r>
      <w:r w:rsidR="006E1EDB">
        <w:t>%</w:t>
      </w:r>
      <w:r w:rsidR="00CE70D4">
        <w:t xml:space="preserve"> </w:t>
      </w:r>
      <w:r w:rsidRPr="008A00EB">
        <w:t xml:space="preserve">complainants identified as male, and </w:t>
      </w:r>
      <w:r w:rsidR="00560935">
        <w:t>45</w:t>
      </w:r>
      <w:r w:rsidR="00133389">
        <w:t>.5</w:t>
      </w:r>
      <w:r w:rsidR="00560935">
        <w:t>%</w:t>
      </w:r>
      <w:r w:rsidR="00CE70D4">
        <w:t xml:space="preserve"> </w:t>
      </w:r>
      <w:r w:rsidRPr="008A00EB">
        <w:t>identified as female.</w:t>
      </w:r>
      <w:r w:rsidR="00097972">
        <w:t xml:space="preserve"> </w:t>
      </w:r>
      <w:r w:rsidR="00347059">
        <w:t xml:space="preserve">The gender split for complaints under the </w:t>
      </w:r>
      <w:r w:rsidR="00347059" w:rsidRPr="00347059">
        <w:rPr>
          <w:i/>
        </w:rPr>
        <w:t>Anti-Discrimination Act</w:t>
      </w:r>
      <w:r w:rsidR="00347059" w:rsidRPr="674E917E">
        <w:rPr>
          <w:i/>
        </w:rPr>
        <w:t xml:space="preserve"> </w:t>
      </w:r>
      <w:r w:rsidR="00347059">
        <w:rPr>
          <w:i/>
        </w:rPr>
        <w:t>1991</w:t>
      </w:r>
      <w:r w:rsidR="00347059">
        <w:t xml:space="preserve"> is roughly equal. There were more men than women who lodged complaints last year</w:t>
      </w:r>
      <w:r w:rsidR="003B5523">
        <w:t>,</w:t>
      </w:r>
      <w:r w:rsidR="00347059">
        <w:t xml:space="preserve"> but the difference was more </w:t>
      </w:r>
      <w:r w:rsidR="003B5523">
        <w:t xml:space="preserve">marked </w:t>
      </w:r>
      <w:r w:rsidR="00347059">
        <w:t>(66.66% male).</w:t>
      </w:r>
    </w:p>
    <w:p w14:paraId="6A5CDB42" w14:textId="201F0326" w:rsidR="00AE5C6F" w:rsidRPr="008A00EB" w:rsidRDefault="006B0116" w:rsidP="008A4051">
      <w:r w:rsidRPr="008A00EB">
        <w:t xml:space="preserve">Around </w:t>
      </w:r>
      <w:r w:rsidR="007E2FE5">
        <w:t>74</w:t>
      </w:r>
      <w:r w:rsidRPr="008A00EB">
        <w:t>% of compl</w:t>
      </w:r>
      <w:r w:rsidR="001D4510">
        <w:t>ainants were born in Australia</w:t>
      </w:r>
      <w:r w:rsidR="006A148A">
        <w:t xml:space="preserve">, </w:t>
      </w:r>
      <w:r w:rsidR="0001259D">
        <w:t xml:space="preserve">and </w:t>
      </w:r>
      <w:r w:rsidR="007E2FE5">
        <w:t>26</w:t>
      </w:r>
      <w:r w:rsidR="006A148A">
        <w:t>%</w:t>
      </w:r>
      <w:r w:rsidR="007E2FE5">
        <w:t xml:space="preserve"> </w:t>
      </w:r>
      <w:r w:rsidR="0001259D">
        <w:t xml:space="preserve">were </w:t>
      </w:r>
      <w:r w:rsidR="006A148A">
        <w:t>born overseas</w:t>
      </w:r>
      <w:r w:rsidR="001D4510">
        <w:t>.</w:t>
      </w:r>
    </w:p>
    <w:p w14:paraId="5D83F366" w14:textId="198BA650" w:rsidR="00FC41A1" w:rsidRPr="00FC41A1" w:rsidRDefault="0001259D" w:rsidP="00FC41A1">
      <w:r>
        <w:t xml:space="preserve">Aboriginal or Torres Strait Islander </w:t>
      </w:r>
      <w:r w:rsidR="00B4697A">
        <w:t xml:space="preserve">people made up </w:t>
      </w:r>
      <w:r w:rsidR="002F6E6B">
        <w:t>10</w:t>
      </w:r>
      <w:r w:rsidR="00754B2E">
        <w:t>.5</w:t>
      </w:r>
      <w:r w:rsidR="002F6E6B">
        <w:t>%</w:t>
      </w:r>
      <w:r w:rsidR="00F204FD" w:rsidRPr="00210239">
        <w:t xml:space="preserve"> </w:t>
      </w:r>
      <w:r w:rsidR="002F6E6B">
        <w:t xml:space="preserve">of </w:t>
      </w:r>
      <w:r w:rsidR="00DA2AE3">
        <w:t>complainants</w:t>
      </w:r>
      <w:r w:rsidR="004D36D7">
        <w:t xml:space="preserve">, which is </w:t>
      </w:r>
      <w:r w:rsidR="003D3738">
        <w:t xml:space="preserve">significant given that </w:t>
      </w:r>
      <w:r w:rsidR="00422F8A">
        <w:t xml:space="preserve">approximately 4% </w:t>
      </w:r>
      <w:r w:rsidR="008C43CD">
        <w:t xml:space="preserve">of the Queensland population </w:t>
      </w:r>
      <w:r w:rsidR="00604E9A">
        <w:t>is</w:t>
      </w:r>
      <w:r w:rsidR="0016542F">
        <w:t xml:space="preserve"> of</w:t>
      </w:r>
      <w:r w:rsidR="008C43CD">
        <w:t xml:space="preserve"> </w:t>
      </w:r>
      <w:r w:rsidR="00B135CD">
        <w:t xml:space="preserve">Aboriginal or Torres Strait Islander </w:t>
      </w:r>
      <w:r w:rsidR="0016542F">
        <w:t>descent.</w:t>
      </w:r>
      <w:r w:rsidR="004D36D7">
        <w:rPr>
          <w:rStyle w:val="FootnoteReference"/>
        </w:rPr>
        <w:footnoteReference w:id="108"/>
      </w:r>
      <w:r w:rsidR="002F6E6B">
        <w:t xml:space="preserve"> </w:t>
      </w:r>
      <w:r w:rsidR="00972068">
        <w:t>In the same reporting period only</w:t>
      </w:r>
      <w:r w:rsidR="00E90FBF">
        <w:t xml:space="preserve"> around 7% of complainants under the </w:t>
      </w:r>
      <w:r w:rsidR="00E90FBF" w:rsidRPr="003C46BB">
        <w:rPr>
          <w:i/>
          <w:iCs/>
        </w:rPr>
        <w:t>Anti-Discrimination Act 1991</w:t>
      </w:r>
      <w:r w:rsidR="00E90FBF">
        <w:t xml:space="preserve"> were Aboriginal or Torres Strait Islander.</w:t>
      </w:r>
    </w:p>
    <w:p w14:paraId="315C98E5" w14:textId="3ADD0885" w:rsidR="0384CBB3" w:rsidRPr="008A00EB" w:rsidRDefault="00B9417C" w:rsidP="008A4051">
      <w:r>
        <w:t>6</w:t>
      </w:r>
      <w:r w:rsidR="0098317E">
        <w:t>.5</w:t>
      </w:r>
      <w:r>
        <w:t xml:space="preserve">% </w:t>
      </w:r>
      <w:r w:rsidR="00483A83" w:rsidRPr="00210239">
        <w:t>of</w:t>
      </w:r>
      <w:r w:rsidR="00483A83" w:rsidRPr="008A00EB">
        <w:t xml:space="preserve"> complainants </w:t>
      </w:r>
      <w:r>
        <w:t>had a primary language other than</w:t>
      </w:r>
      <w:r w:rsidR="00483A83" w:rsidRPr="008A00EB">
        <w:t xml:space="preserve"> English</w:t>
      </w:r>
      <w:r>
        <w:t>.</w:t>
      </w:r>
    </w:p>
    <w:p w14:paraId="2323C777" w14:textId="38560EF8" w:rsidR="00AC67F8" w:rsidRDefault="46A1D2A4" w:rsidP="008A4051">
      <w:r w:rsidRPr="008A00EB">
        <w:t>Most</w:t>
      </w:r>
      <w:r w:rsidR="5740B468" w:rsidRPr="008A00EB">
        <w:t xml:space="preserve"> complainants were in the</w:t>
      </w:r>
      <w:r w:rsidR="001B06E9">
        <w:t xml:space="preserve"> </w:t>
      </w:r>
      <w:r w:rsidR="5740B468" w:rsidRPr="008A00EB">
        <w:t>bracket</w:t>
      </w:r>
      <w:r w:rsidR="001B06E9">
        <w:t>s</w:t>
      </w:r>
      <w:r w:rsidR="5740B468" w:rsidRPr="008A00EB">
        <w:t xml:space="preserve"> of 35</w:t>
      </w:r>
      <w:r w:rsidR="34ECBF15" w:rsidRPr="008A00EB">
        <w:t xml:space="preserve"> </w:t>
      </w:r>
      <w:r w:rsidR="00BA472F" w:rsidRPr="008A00EB">
        <w:t>to</w:t>
      </w:r>
      <w:r w:rsidR="34ECBF15" w:rsidRPr="008A00EB">
        <w:t xml:space="preserve"> 44</w:t>
      </w:r>
      <w:r w:rsidR="4F988771" w:rsidRPr="008A00EB">
        <w:t xml:space="preserve"> </w:t>
      </w:r>
      <w:r w:rsidR="00EC5F92">
        <w:t xml:space="preserve">years </w:t>
      </w:r>
      <w:r w:rsidR="4F988771" w:rsidRPr="008A00EB">
        <w:t>(</w:t>
      </w:r>
      <w:r w:rsidR="00AC67F8">
        <w:t>27</w:t>
      </w:r>
      <w:r w:rsidR="000A7996">
        <w:t>.7</w:t>
      </w:r>
      <w:r w:rsidR="4F988771" w:rsidRPr="008A00EB">
        <w:t>%)</w:t>
      </w:r>
      <w:r w:rsidR="34ECBF15" w:rsidRPr="008A00EB">
        <w:t xml:space="preserve">, </w:t>
      </w:r>
      <w:r w:rsidR="001B06E9">
        <w:t>and</w:t>
      </w:r>
      <w:r w:rsidR="64AF4EBC" w:rsidRPr="008A00EB">
        <w:t xml:space="preserve"> </w:t>
      </w:r>
      <w:r w:rsidR="34ECBF15" w:rsidRPr="008A00EB">
        <w:t>45</w:t>
      </w:r>
      <w:r w:rsidR="00BA472F" w:rsidRPr="008A00EB">
        <w:t xml:space="preserve"> to</w:t>
      </w:r>
      <w:r w:rsidR="0E7295CD" w:rsidRPr="008A00EB">
        <w:t xml:space="preserve"> </w:t>
      </w:r>
      <w:r w:rsidR="34ECBF15" w:rsidRPr="008A00EB">
        <w:t>54</w:t>
      </w:r>
      <w:r w:rsidR="1AC03127" w:rsidRPr="008A00EB">
        <w:t xml:space="preserve"> </w:t>
      </w:r>
      <w:r w:rsidR="00EC5F92">
        <w:t xml:space="preserve">years </w:t>
      </w:r>
      <w:r w:rsidR="1AC03127" w:rsidRPr="008A00EB">
        <w:t>(</w:t>
      </w:r>
      <w:r w:rsidR="00AC67F8">
        <w:t>24</w:t>
      </w:r>
      <w:r w:rsidR="000A7996">
        <w:t>.1</w:t>
      </w:r>
      <w:r w:rsidR="1AC03127" w:rsidRPr="008A00EB">
        <w:t>%)</w:t>
      </w:r>
      <w:r w:rsidR="001B06E9">
        <w:t xml:space="preserve">. </w:t>
      </w:r>
      <w:r w:rsidR="00AC67F8">
        <w:t>This was similar to the results last year, but unlike the previous year, 10 people aged 19 and under made complaints (or complaints were made on their behalf).</w:t>
      </w:r>
    </w:p>
    <w:p w14:paraId="633CC33B" w14:textId="0D1A2C22" w:rsidR="00DE3BFB" w:rsidRDefault="00DE3BFB" w:rsidP="00E3148E">
      <w:pPr>
        <w:pStyle w:val="Caption"/>
      </w:pPr>
      <w:r>
        <w:t>Figure</w:t>
      </w:r>
      <w:r w:rsidR="007B0754">
        <w:t xml:space="preserve"> 1</w:t>
      </w:r>
      <w:r w:rsidR="008C4345">
        <w:t>8</w:t>
      </w:r>
      <w:r>
        <w:t xml:space="preserve">: </w:t>
      </w:r>
      <w:r w:rsidR="007B0754">
        <w:t>F</w:t>
      </w:r>
      <w:r>
        <w:t>inalised complaints</w:t>
      </w:r>
      <w:r w:rsidR="007B0754">
        <w:t xml:space="preserve"> by complainant age</w:t>
      </w:r>
      <w:r>
        <w:t xml:space="preserve">, </w:t>
      </w:r>
      <w:r w:rsidR="00584C8B">
        <w:t>2020-21</w:t>
      </w:r>
    </w:p>
    <w:p w14:paraId="294C5A11" w14:textId="35F38760" w:rsidR="00AB46E3" w:rsidRDefault="00023884" w:rsidP="0010354B">
      <w:r>
        <w:rPr>
          <w:noProof/>
          <w:lang w:eastAsia="en-AU"/>
        </w:rPr>
        <w:drawing>
          <wp:inline distT="0" distB="0" distL="0" distR="0" wp14:anchorId="5A9D2B64" wp14:editId="136D86BF">
            <wp:extent cx="4745746" cy="2395733"/>
            <wp:effectExtent l="0" t="0" r="0" b="5080"/>
            <wp:docPr id="30" name="Picture 30" descr="Figure 18: Finalised complaints by complainant age, 2020-21&#10;&#10;This donut chart shows the age brackets of complainants in finalised complaints to the Commission in 2020-21, as follows: &#10;&#10;- Under 15 years: 3&#10;- 15 to 19: 7&#10;- 20 to 24: 11&#10;- 25 to 34: 34&#10;- 35 to 44: 60&#10;- 45 to 54: 52&#10;- 55 to 64: 30&#10;- Over 65 years: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descr="Figure 18: Finalised complaints by complainant age, 2020-21&#10;&#10;This donut chart shows the age brackets of complainants in finalised complaints to the Commission in 2020-21, as follows: &#10;&#10;- Under 15 years: 3&#10;- 15 to 19: 7&#10;- 20 to 24: 11&#10;- 25 to 34: 34&#10;- 35 to 44: 60&#10;- 45 to 54: 52&#10;- 55 to 64: 30&#10;- Over 65 years: 19"/>
                    <pic:cNvPicPr/>
                  </pic:nvPicPr>
                  <pic:blipFill>
                    <a:blip r:embed="rId69" cstate="print">
                      <a:extLst>
                        <a:ext uri="{28A0092B-C50C-407E-A947-70E740481C1C}">
                          <a14:useLocalDpi xmlns:a14="http://schemas.microsoft.com/office/drawing/2010/main" val="0"/>
                        </a:ext>
                      </a:extLst>
                    </a:blip>
                    <a:stretch>
                      <a:fillRect/>
                    </a:stretch>
                  </pic:blipFill>
                  <pic:spPr>
                    <a:xfrm>
                      <a:off x="0" y="0"/>
                      <a:ext cx="4745746" cy="2395733"/>
                    </a:xfrm>
                    <a:prstGeom prst="rect">
                      <a:avLst/>
                    </a:prstGeom>
                  </pic:spPr>
                </pic:pic>
              </a:graphicData>
            </a:graphic>
          </wp:inline>
        </w:drawing>
      </w:r>
    </w:p>
    <w:p w14:paraId="2947FFE9" w14:textId="6C4C954C" w:rsidR="000A438A" w:rsidRPr="007521E3" w:rsidRDefault="000A438A" w:rsidP="00B04FF8">
      <w:pPr>
        <w:pStyle w:val="Heading2"/>
        <w:rPr>
          <w:color w:val="D46228"/>
        </w:rPr>
      </w:pPr>
      <w:bookmarkStart w:id="564" w:name="_Toc56452200"/>
      <w:bookmarkStart w:id="565" w:name="_Toc84593935"/>
      <w:bookmarkStart w:id="566" w:name="_Toc85451810"/>
      <w:bookmarkStart w:id="567" w:name="_Toc85526741"/>
      <w:bookmarkStart w:id="568" w:name="_Toc85787156"/>
      <w:r w:rsidRPr="674E917E">
        <w:rPr>
          <w:color w:val="D46228"/>
        </w:rPr>
        <w:lastRenderedPageBreak/>
        <w:t xml:space="preserve">Dispute </w:t>
      </w:r>
      <w:r w:rsidR="00BA472F" w:rsidRPr="674E917E">
        <w:rPr>
          <w:color w:val="D46228"/>
        </w:rPr>
        <w:t>r</w:t>
      </w:r>
      <w:r w:rsidRPr="674E917E">
        <w:rPr>
          <w:color w:val="D46228"/>
        </w:rPr>
        <w:t>esolution</w:t>
      </w:r>
      <w:r w:rsidR="4BD97AD1" w:rsidRPr="674E917E">
        <w:rPr>
          <w:color w:val="D46228"/>
        </w:rPr>
        <w:t xml:space="preserve"> </w:t>
      </w:r>
      <w:r w:rsidR="00BA472F" w:rsidRPr="674E917E">
        <w:rPr>
          <w:color w:val="D46228"/>
        </w:rPr>
        <w:t>p</w:t>
      </w:r>
      <w:r w:rsidR="4BD97AD1" w:rsidRPr="674E917E">
        <w:rPr>
          <w:color w:val="D46228"/>
        </w:rPr>
        <w:t>rocess</w:t>
      </w:r>
      <w:r w:rsidR="007521E3" w:rsidRPr="674E917E">
        <w:rPr>
          <w:color w:val="D46228"/>
        </w:rPr>
        <w:t xml:space="preserve">: </w:t>
      </w:r>
      <w:r w:rsidR="00BA472F" w:rsidRPr="674E917E">
        <w:rPr>
          <w:color w:val="D46228"/>
        </w:rPr>
        <w:t>c</w:t>
      </w:r>
      <w:r w:rsidRPr="674E917E">
        <w:rPr>
          <w:color w:val="D46228"/>
        </w:rPr>
        <w:t xml:space="preserve">onciliation and </w:t>
      </w:r>
      <w:r w:rsidR="00BA472F" w:rsidRPr="674E917E">
        <w:rPr>
          <w:color w:val="D46228"/>
        </w:rPr>
        <w:t>e</w:t>
      </w:r>
      <w:r w:rsidRPr="674E917E">
        <w:rPr>
          <w:color w:val="D46228"/>
        </w:rPr>
        <w:t xml:space="preserve">arly </w:t>
      </w:r>
      <w:r w:rsidR="00C706AC" w:rsidRPr="674E917E">
        <w:rPr>
          <w:color w:val="D46228"/>
        </w:rPr>
        <w:t>i</w:t>
      </w:r>
      <w:r w:rsidRPr="674E917E">
        <w:rPr>
          <w:color w:val="D46228"/>
        </w:rPr>
        <w:t>ntervention</w:t>
      </w:r>
      <w:bookmarkEnd w:id="564"/>
      <w:bookmarkEnd w:id="565"/>
      <w:bookmarkEnd w:id="566"/>
      <w:bookmarkEnd w:id="567"/>
      <w:bookmarkEnd w:id="568"/>
    </w:p>
    <w:p w14:paraId="41C3DF64" w14:textId="1724C198" w:rsidR="37FE3BA4" w:rsidRDefault="37BCA99D" w:rsidP="534B5D29">
      <w:r w:rsidRPr="008A00EB">
        <w:t xml:space="preserve">Compared </w:t>
      </w:r>
      <w:r w:rsidR="00EF6369">
        <w:t>to</w:t>
      </w:r>
      <w:r w:rsidR="00EF6369" w:rsidRPr="008A00EB">
        <w:t xml:space="preserve"> </w:t>
      </w:r>
      <w:r w:rsidRPr="008A00EB">
        <w:t xml:space="preserve">the </w:t>
      </w:r>
      <w:r w:rsidRPr="008A00EB">
        <w:rPr>
          <w:i/>
          <w:iCs/>
        </w:rPr>
        <w:t>Anti-Discrimination Act 1991</w:t>
      </w:r>
      <w:r>
        <w:t xml:space="preserve">, </w:t>
      </w:r>
      <w:r w:rsidRPr="008A00EB">
        <w:t xml:space="preserve">the </w:t>
      </w:r>
      <w:r w:rsidR="000B5455" w:rsidRPr="00590E4B">
        <w:rPr>
          <w:i/>
        </w:rPr>
        <w:t>Human R</w:t>
      </w:r>
      <w:r w:rsidR="00BA472F" w:rsidRPr="00590E4B">
        <w:rPr>
          <w:i/>
        </w:rPr>
        <w:t xml:space="preserve">ights </w:t>
      </w:r>
      <w:r w:rsidRPr="00590E4B">
        <w:rPr>
          <w:i/>
        </w:rPr>
        <w:t>Act</w:t>
      </w:r>
      <w:r w:rsidRPr="674E917E">
        <w:rPr>
          <w:i/>
        </w:rPr>
        <w:t xml:space="preserve"> </w:t>
      </w:r>
      <w:r w:rsidR="00EF6369" w:rsidRPr="00590E4B">
        <w:rPr>
          <w:i/>
        </w:rPr>
        <w:t>2019</w:t>
      </w:r>
      <w:r w:rsidR="00EF6369">
        <w:t xml:space="preserve"> </w:t>
      </w:r>
      <w:r w:rsidRPr="008A00EB">
        <w:t>provides a more flexible approach to complaint handling</w:t>
      </w:r>
      <w:r w:rsidR="3AB1B9D2" w:rsidRPr="008A00EB">
        <w:t xml:space="preserve">. </w:t>
      </w:r>
      <w:r w:rsidR="005E2230">
        <w:t>For urgent situation</w:t>
      </w:r>
      <w:r w:rsidR="00D15B63">
        <w:t>s in human rights only complaints, e</w:t>
      </w:r>
      <w:r w:rsidR="3AB1B9D2" w:rsidRPr="008A00EB">
        <w:t xml:space="preserve">arly interventions </w:t>
      </w:r>
      <w:r w:rsidR="00D15B63">
        <w:t xml:space="preserve">replaced </w:t>
      </w:r>
      <w:r w:rsidR="3AB1B9D2" w:rsidRPr="008A00EB">
        <w:t>conciliation conferences</w:t>
      </w:r>
      <w:r w:rsidR="00D15B63">
        <w:t>.</w:t>
      </w:r>
    </w:p>
    <w:p w14:paraId="0005E11C" w14:textId="5B5AE492" w:rsidR="0091310B" w:rsidRPr="008A00EB" w:rsidRDefault="00B26FA1" w:rsidP="00B26FA1">
      <w:r>
        <w:t xml:space="preserve">Where a complaint was a </w:t>
      </w:r>
      <w:r w:rsidR="00B70C22">
        <w:t>piggy-back complaint</w:t>
      </w:r>
      <w:r>
        <w:t xml:space="preserve">, it was almost exclusively resolved </w:t>
      </w:r>
      <w:r w:rsidR="00D15B63">
        <w:t xml:space="preserve">through </w:t>
      </w:r>
      <w:r>
        <w:t xml:space="preserve">a conciliation conference, whereas for human rights only complaints it </w:t>
      </w:r>
      <w:r w:rsidRPr="00B26FA1">
        <w:t>was more likely to be resolved by early intervention.</w:t>
      </w:r>
      <w:r w:rsidR="00620BA9">
        <w:t xml:space="preserve"> As demonstrated by the resolved case studies </w:t>
      </w:r>
      <w:r w:rsidR="0097279A">
        <w:t>(from</w:t>
      </w:r>
      <w:r w:rsidR="00620BA9">
        <w:t xml:space="preserve"> page </w:t>
      </w:r>
      <w:r w:rsidR="006D171B">
        <w:t>155</w:t>
      </w:r>
      <w:r w:rsidR="0097279A">
        <w:t>)</w:t>
      </w:r>
      <w:r w:rsidR="00E94584">
        <w:t>,</w:t>
      </w:r>
      <w:r w:rsidR="00620BA9">
        <w:t xml:space="preserve"> early intervention quickly resolv</w:t>
      </w:r>
      <w:r w:rsidR="00C4446A">
        <w:t>ed</w:t>
      </w:r>
      <w:r w:rsidR="00620BA9">
        <w:t xml:space="preserve"> a number of matters </w:t>
      </w:r>
      <w:r w:rsidR="00E94584">
        <w:t>that</w:t>
      </w:r>
      <w:r w:rsidR="00620BA9">
        <w:t xml:space="preserve"> may not have been </w:t>
      </w:r>
      <w:r w:rsidR="00E94584">
        <w:t xml:space="preserve">resolved </w:t>
      </w:r>
      <w:r w:rsidR="00620BA9">
        <w:t xml:space="preserve">if the parties needed to wait for a conciliation in a number of weeks’ time. </w:t>
      </w:r>
      <w:r w:rsidR="00A219AD" w:rsidRPr="00B26FA1">
        <w:t xml:space="preserve">This indicates that </w:t>
      </w:r>
      <w:r w:rsidR="00620BA9">
        <w:t xml:space="preserve">flexible and responsive </w:t>
      </w:r>
      <w:r w:rsidR="00A219AD" w:rsidRPr="00B26FA1">
        <w:t xml:space="preserve">early intervention model is continuing </w:t>
      </w:r>
      <w:r w:rsidR="00620BA9">
        <w:t xml:space="preserve">to be a successful one for </w:t>
      </w:r>
      <w:r w:rsidR="00A219AD" w:rsidRPr="00B26FA1">
        <w:t>resolving human rights matters.</w:t>
      </w:r>
    </w:p>
    <w:p w14:paraId="14F3D94C" w14:textId="16229350" w:rsidR="00DE3BFB" w:rsidRPr="008C2DAA" w:rsidRDefault="00DE3BFB" w:rsidP="00E3148E">
      <w:pPr>
        <w:pStyle w:val="Caption"/>
      </w:pPr>
      <w:r>
        <w:t>Figure</w:t>
      </w:r>
      <w:r w:rsidR="007B0754">
        <w:t xml:space="preserve"> 1</w:t>
      </w:r>
      <w:r w:rsidR="008C4345">
        <w:t>9</w:t>
      </w:r>
      <w:r>
        <w:t xml:space="preserve">: Finalised complaints by dispute resolution mode, </w:t>
      </w:r>
      <w:r w:rsidR="00584C8B">
        <w:t>2020-21</w:t>
      </w:r>
    </w:p>
    <w:p w14:paraId="325CC06A" w14:textId="37E39429" w:rsidR="002771F8" w:rsidRDefault="007A1663" w:rsidP="00ED49E6">
      <w:pPr>
        <w:rPr>
          <w:rFonts w:eastAsiaTheme="majorEastAsia" w:cstheme="majorBidi"/>
          <w:bCs/>
          <w:color w:val="D46228"/>
          <w:kern w:val="36"/>
          <w:sz w:val="36"/>
          <w:szCs w:val="26"/>
          <w:lang w:eastAsia="en-AU"/>
        </w:rPr>
      </w:pPr>
      <w:r>
        <w:rPr>
          <w:noProof/>
          <w:lang w:eastAsia="en-AU"/>
        </w:rPr>
        <w:drawing>
          <wp:inline distT="0" distB="0" distL="0" distR="0" wp14:anchorId="0AD854D7" wp14:editId="69B0C5B5">
            <wp:extent cx="5372100" cy="1447799"/>
            <wp:effectExtent l="0" t="0" r="0" b="635"/>
            <wp:docPr id="31" name="Chart 31" descr="Figure 19: Finalised complaints by dispute resolution mode, 2020-21&#10;&#10;This stacked bar chart shows the numbers of resolved human rights only complaints and piggy-back complaints by the type of resolution mode, as follows: &#10;&#10;- Human rights only complaints: 8 resolved by conciliation, 11 by early intervention&#10;&#10;Piggy-back complaints: 25 resolved by conciliation, 3 by early intervention"/>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14:paraId="130FD030" w14:textId="77777777" w:rsidR="001C474C" w:rsidRDefault="001C474C">
      <w:pPr>
        <w:keepLines w:val="0"/>
        <w:widowControl/>
        <w:spacing w:line="259" w:lineRule="auto"/>
        <w:ind w:right="0"/>
        <w:rPr>
          <w:rFonts w:eastAsiaTheme="majorEastAsia" w:cstheme="majorBidi"/>
          <w:bCs/>
          <w:color w:val="D46228"/>
          <w:kern w:val="36"/>
          <w:sz w:val="36"/>
          <w:szCs w:val="26"/>
          <w:lang w:eastAsia="en-AU"/>
        </w:rPr>
      </w:pPr>
      <w:bookmarkStart w:id="569" w:name="_Toc56452201"/>
      <w:bookmarkStart w:id="570" w:name="_Toc84593936"/>
      <w:bookmarkStart w:id="571" w:name="_Toc85451811"/>
      <w:bookmarkStart w:id="572" w:name="_Toc85526742"/>
      <w:bookmarkStart w:id="573" w:name="_Toc85787157"/>
      <w:r>
        <w:rPr>
          <w:color w:val="D46228"/>
        </w:rPr>
        <w:br w:type="page"/>
      </w:r>
    </w:p>
    <w:p w14:paraId="6400731B" w14:textId="27195CF4" w:rsidR="15887F83" w:rsidRPr="007521E3" w:rsidRDefault="15887F83" w:rsidP="00B04FF8">
      <w:pPr>
        <w:pStyle w:val="Heading2"/>
        <w:rPr>
          <w:color w:val="D46228"/>
        </w:rPr>
      </w:pPr>
      <w:r w:rsidRPr="674E917E">
        <w:rPr>
          <w:color w:val="D46228"/>
        </w:rPr>
        <w:lastRenderedPageBreak/>
        <w:t xml:space="preserve">Corporations carrying out </w:t>
      </w:r>
      <w:r w:rsidR="00BA472F" w:rsidRPr="674E917E">
        <w:rPr>
          <w:color w:val="D46228"/>
        </w:rPr>
        <w:t>p</w:t>
      </w:r>
      <w:r w:rsidRPr="674E917E">
        <w:rPr>
          <w:color w:val="D46228"/>
        </w:rPr>
        <w:t xml:space="preserve">ublic </w:t>
      </w:r>
      <w:r w:rsidR="00BA472F" w:rsidRPr="674E917E">
        <w:rPr>
          <w:color w:val="D46228"/>
        </w:rPr>
        <w:t>f</w:t>
      </w:r>
      <w:r w:rsidRPr="674E917E">
        <w:rPr>
          <w:color w:val="D46228"/>
        </w:rPr>
        <w:t>unctions</w:t>
      </w:r>
      <w:bookmarkEnd w:id="569"/>
      <w:bookmarkEnd w:id="570"/>
      <w:bookmarkEnd w:id="571"/>
      <w:bookmarkEnd w:id="572"/>
      <w:bookmarkEnd w:id="573"/>
    </w:p>
    <w:p w14:paraId="047F153A" w14:textId="37E95CCE" w:rsidR="15887F83" w:rsidRDefault="15887F83" w:rsidP="008A4051">
      <w:r w:rsidRPr="008A00EB">
        <w:t xml:space="preserve">In the </w:t>
      </w:r>
      <w:r w:rsidR="002D41B9">
        <w:t>Committee</w:t>
      </w:r>
      <w:r w:rsidRPr="008A00EB">
        <w:t xml:space="preserve"> report on the Human Rights Bill in 2018, the </w:t>
      </w:r>
      <w:r w:rsidR="00BA472F" w:rsidRPr="008A00EB">
        <w:t xml:space="preserve">Legal Affairs and Community Safety </w:t>
      </w:r>
      <w:r w:rsidR="002D41B9">
        <w:t>Committee</w:t>
      </w:r>
      <w:r w:rsidRPr="008A00EB">
        <w:t xml:space="preserve"> commented that it would be beneficial for the Commission to monitor complaints raised against private corporations undertaking public functions</w:t>
      </w:r>
      <w:r w:rsidR="00D349D1">
        <w:t>,</w:t>
      </w:r>
      <w:r w:rsidRPr="008A00EB">
        <w:t xml:space="preserve"> in light of some concerns raised that the definition of public entity under section 9 may create uncertainty regarding which entities may be captured.</w:t>
      </w:r>
      <w:r w:rsidRPr="004E5C79">
        <w:rPr>
          <w:vertAlign w:val="superscript"/>
        </w:rPr>
        <w:footnoteReference w:id="109"/>
      </w:r>
      <w:r w:rsidRPr="004E5C79">
        <w:rPr>
          <w:vertAlign w:val="superscript"/>
        </w:rPr>
        <w:t xml:space="preserve"> </w:t>
      </w:r>
    </w:p>
    <w:p w14:paraId="2D0D8820" w14:textId="77777777" w:rsidR="00736221" w:rsidRDefault="00690AE1" w:rsidP="008A4051">
      <w:r>
        <w:t>Of the accepted and finalised human rights complaints</w:t>
      </w:r>
      <w:r w:rsidR="00D349D1">
        <w:t>,</w:t>
      </w:r>
      <w:r w:rsidR="00C4688D">
        <w:t xml:space="preserve"> the Commission identif</w:t>
      </w:r>
      <w:r w:rsidR="00DB2A0B">
        <w:t>ied</w:t>
      </w:r>
      <w:r w:rsidR="00C4688D">
        <w:t xml:space="preserve"> three </w:t>
      </w:r>
      <w:r w:rsidR="00DB2A0B">
        <w:t xml:space="preserve">in which </w:t>
      </w:r>
      <w:r w:rsidR="00C4688D">
        <w:t>a corporation was named as a respondent</w:t>
      </w:r>
      <w:r w:rsidR="005B50B5">
        <w:t xml:space="preserve">. </w:t>
      </w:r>
    </w:p>
    <w:p w14:paraId="139255AD" w14:textId="548B98B5" w:rsidR="00C4688D" w:rsidRDefault="005B50B5" w:rsidP="008A4051">
      <w:r>
        <w:t>They were</w:t>
      </w:r>
      <w:r w:rsidR="00C4688D">
        <w:t>:</w:t>
      </w:r>
    </w:p>
    <w:p w14:paraId="56A56B93" w14:textId="329D82DE" w:rsidR="00C4688D" w:rsidRDefault="005B50B5" w:rsidP="674E917E">
      <w:pPr>
        <w:pStyle w:val="ListParagraph"/>
      </w:pPr>
      <w:r>
        <w:t>a</w:t>
      </w:r>
      <w:r w:rsidR="00C4688D">
        <w:t xml:space="preserve"> complaint by a prisoner against a</w:t>
      </w:r>
      <w:r w:rsidR="00690AE1">
        <w:t xml:space="preserve"> privately</w:t>
      </w:r>
      <w:r>
        <w:t>-</w:t>
      </w:r>
      <w:r w:rsidR="00690AE1">
        <w:t>run prison</w:t>
      </w:r>
      <w:r w:rsidR="71417956">
        <w:t>;</w:t>
      </w:r>
      <w:r w:rsidR="00690AE1">
        <w:t xml:space="preserve"> </w:t>
      </w:r>
    </w:p>
    <w:p w14:paraId="37E4EED5" w14:textId="26C849C2" w:rsidR="00690AE1" w:rsidRDefault="005B50B5" w:rsidP="674E917E">
      <w:pPr>
        <w:pStyle w:val="ListParagraph"/>
      </w:pPr>
      <w:r>
        <w:t>a</w:t>
      </w:r>
      <w:r w:rsidR="00C4688D">
        <w:t xml:space="preserve"> complaint about conditions of hotel quarantine against a hotel </w:t>
      </w:r>
      <w:r w:rsidR="0098226B">
        <w:t xml:space="preserve">contracted </w:t>
      </w:r>
      <w:r w:rsidR="00F15FEA">
        <w:t>by Queensland Health</w:t>
      </w:r>
      <w:r w:rsidR="69D99492">
        <w:t>; and</w:t>
      </w:r>
    </w:p>
    <w:p w14:paraId="04CA605C" w14:textId="2D874CF3" w:rsidR="00C4688D" w:rsidRPr="008A00EB" w:rsidRDefault="005B50B5" w:rsidP="674E917E">
      <w:pPr>
        <w:pStyle w:val="ListParagraph"/>
      </w:pPr>
      <w:r>
        <w:t>a</w:t>
      </w:r>
      <w:r w:rsidR="00C4688D">
        <w:t xml:space="preserve"> complaint against an Aboriginal </w:t>
      </w:r>
      <w:r w:rsidR="00F15FEA">
        <w:t>c</w:t>
      </w:r>
      <w:r w:rsidR="00C4688D">
        <w:t>orporation</w:t>
      </w:r>
      <w:r w:rsidR="00F15FEA">
        <w:t xml:space="preserve"> regarding an application for an Aboriginality certificate required to access state government funded services</w:t>
      </w:r>
      <w:r w:rsidR="00C4688D">
        <w:t>.</w:t>
      </w:r>
    </w:p>
    <w:p w14:paraId="14BC7C99" w14:textId="7E32CF29" w:rsidR="00794917" w:rsidRPr="007521E3" w:rsidRDefault="00794917" w:rsidP="00884C63">
      <w:pPr>
        <w:pStyle w:val="Heading2"/>
        <w:rPr>
          <w:color w:val="D46228"/>
        </w:rPr>
      </w:pPr>
      <w:bookmarkStart w:id="574" w:name="_Toc84593937"/>
      <w:bookmarkStart w:id="575" w:name="_Toc85451812"/>
      <w:bookmarkStart w:id="576" w:name="_Toc85526743"/>
      <w:bookmarkStart w:id="577" w:name="_Toc85787158"/>
      <w:r w:rsidRPr="674E917E">
        <w:rPr>
          <w:color w:val="D46228"/>
        </w:rPr>
        <w:t>Complaints to other agencies</w:t>
      </w:r>
      <w:bookmarkEnd w:id="574"/>
      <w:bookmarkEnd w:id="575"/>
      <w:bookmarkEnd w:id="576"/>
      <w:bookmarkEnd w:id="577"/>
    </w:p>
    <w:p w14:paraId="7E425C97" w14:textId="23566B14" w:rsidR="00794917" w:rsidRPr="008A00EB" w:rsidRDefault="00794917" w:rsidP="008A4051">
      <w:r w:rsidRPr="008A00EB">
        <w:t>The Commission is not the only complaint</w:t>
      </w:r>
      <w:r w:rsidR="00C04A66" w:rsidRPr="008A00EB">
        <w:t>s</w:t>
      </w:r>
      <w:r w:rsidRPr="008A00EB">
        <w:t xml:space="preserve"> body </w:t>
      </w:r>
      <w:r w:rsidR="00CC7EEF">
        <w:t>that has</w:t>
      </w:r>
      <w:r w:rsidRPr="008A00EB">
        <w:t xml:space="preserve"> received complaints about human rights in </w:t>
      </w:r>
      <w:r w:rsidR="00584C8B">
        <w:t>2020</w:t>
      </w:r>
      <w:r w:rsidR="00CC7EEF">
        <w:t>–</w:t>
      </w:r>
      <w:r w:rsidR="00584C8B">
        <w:t>21</w:t>
      </w:r>
      <w:r w:rsidRPr="008A00EB">
        <w:t>.</w:t>
      </w:r>
    </w:p>
    <w:p w14:paraId="229D1CE8" w14:textId="139877A3" w:rsidR="00A51AAA" w:rsidRDefault="00A51AAA" w:rsidP="008A4051">
      <w:r>
        <w:t>The Office of the Queensland Ombudsman received 2</w:t>
      </w:r>
      <w:r w:rsidR="00CC7EEF">
        <w:t>,</w:t>
      </w:r>
      <w:r>
        <w:t>159 cases which were assessed as involving a human rights element. Common complaint topics included:</w:t>
      </w:r>
    </w:p>
    <w:p w14:paraId="36A6E1BE" w14:textId="6BB58F33" w:rsidR="00A51AAA" w:rsidRDefault="008E35ED" w:rsidP="674E917E">
      <w:pPr>
        <w:pStyle w:val="ListParagraph"/>
      </w:pPr>
      <w:r>
        <w:t>p</w:t>
      </w:r>
      <w:r w:rsidR="00A51AAA">
        <w:t>roperty rights</w:t>
      </w:r>
    </w:p>
    <w:p w14:paraId="1B6FB5F5" w14:textId="2F43818D" w:rsidR="00A51AAA" w:rsidRDefault="00952A7A" w:rsidP="674E917E">
      <w:pPr>
        <w:pStyle w:val="ListParagraph"/>
      </w:pPr>
      <w:r>
        <w:t>p</w:t>
      </w:r>
      <w:r w:rsidR="00A51AAA">
        <w:t>rotection of families and children</w:t>
      </w:r>
    </w:p>
    <w:p w14:paraId="3C820506" w14:textId="4BCDD8F6" w:rsidR="00A51AAA" w:rsidRDefault="00952A7A" w:rsidP="674E917E">
      <w:pPr>
        <w:pStyle w:val="ListParagraph"/>
      </w:pPr>
      <w:r>
        <w:t>h</w:t>
      </w:r>
      <w:r w:rsidR="00A51AAA">
        <w:t>umane treatment when deprived of liberty</w:t>
      </w:r>
    </w:p>
    <w:p w14:paraId="37DC697E" w14:textId="11ECABB8" w:rsidR="00A51AAA" w:rsidRPr="008A00EB" w:rsidRDefault="00952A7A" w:rsidP="674E917E">
      <w:pPr>
        <w:pStyle w:val="ListParagraph"/>
      </w:pPr>
      <w:r>
        <w:t>p</w:t>
      </w:r>
      <w:r w:rsidR="00A51AAA">
        <w:t>rivacy and reputation</w:t>
      </w:r>
      <w:r w:rsidR="0162CF84">
        <w:t>.</w:t>
      </w:r>
      <w:r w:rsidR="001265D5" w:rsidRPr="00126C89">
        <w:rPr>
          <w:vertAlign w:val="superscript"/>
        </w:rPr>
        <w:footnoteReference w:id="110"/>
      </w:r>
    </w:p>
    <w:p w14:paraId="0ACA9DC3" w14:textId="67CC9ECB" w:rsidR="009D65A1" w:rsidRDefault="00884C63" w:rsidP="00884C63">
      <w:pPr>
        <w:pStyle w:val="Heading2"/>
        <w:rPr>
          <w:color w:val="D46228"/>
        </w:rPr>
      </w:pPr>
      <w:bookmarkStart w:id="578" w:name="_Toc84593938"/>
      <w:bookmarkStart w:id="579" w:name="_Toc85451813"/>
      <w:bookmarkStart w:id="580" w:name="_Toc85526744"/>
      <w:bookmarkStart w:id="581" w:name="_Toc85787159"/>
      <w:r w:rsidRPr="674E917E">
        <w:rPr>
          <w:color w:val="D46228"/>
        </w:rPr>
        <w:lastRenderedPageBreak/>
        <w:t>Unresolved complaints with recommendations</w:t>
      </w:r>
      <w:bookmarkEnd w:id="578"/>
      <w:bookmarkEnd w:id="579"/>
      <w:bookmarkEnd w:id="580"/>
      <w:bookmarkEnd w:id="581"/>
    </w:p>
    <w:p w14:paraId="677F6AAF" w14:textId="70A0E69A" w:rsidR="009D65A1" w:rsidRDefault="00B8355F" w:rsidP="009D65A1">
      <w:r>
        <w:t>W</w:t>
      </w:r>
      <w:r w:rsidR="009D65A1">
        <w:t xml:space="preserve">here the Commission considers </w:t>
      </w:r>
      <w:r>
        <w:t>a</w:t>
      </w:r>
      <w:r w:rsidR="009D65A1">
        <w:t xml:space="preserve"> complaint has not been resolved by conciliation or otherwise, </w:t>
      </w:r>
      <w:r w:rsidR="00E367DF">
        <w:t xml:space="preserve">the </w:t>
      </w:r>
      <w:r w:rsidR="009C0FEE">
        <w:t>C</w:t>
      </w:r>
      <w:r w:rsidR="00E367DF">
        <w:t>ommissioner</w:t>
      </w:r>
      <w:r w:rsidR="006938E6">
        <w:t xml:space="preserve"> must give</w:t>
      </w:r>
      <w:r>
        <w:t xml:space="preserve"> </w:t>
      </w:r>
      <w:r w:rsidR="006938E6">
        <w:t>the</w:t>
      </w:r>
      <w:r>
        <w:t xml:space="preserve"> parties a report </w:t>
      </w:r>
      <w:r w:rsidR="009D65A1">
        <w:t>which include</w:t>
      </w:r>
      <w:r w:rsidR="00CA1D0A">
        <w:t>s</w:t>
      </w:r>
      <w:r w:rsidR="009D65A1">
        <w:t xml:space="preserve"> the substance of the complaint and the actions taken to try to resolve the complaint.</w:t>
      </w:r>
      <w:r w:rsidR="00CA1D0A">
        <w:rPr>
          <w:rStyle w:val="FootnoteReference"/>
        </w:rPr>
        <w:footnoteReference w:id="111"/>
      </w:r>
    </w:p>
    <w:p w14:paraId="491D9AE1" w14:textId="40107D00" w:rsidR="00302D8D" w:rsidRDefault="009D65A1" w:rsidP="009F072D">
      <w:pPr>
        <w:rPr>
          <w:rFonts w:eastAsiaTheme="majorEastAsia" w:cstheme="majorBidi"/>
          <w:color w:val="D46228"/>
          <w:sz w:val="28"/>
          <w:szCs w:val="32"/>
          <w:shd w:val="clear" w:color="auto" w:fill="FFFFFF"/>
        </w:rPr>
      </w:pPr>
      <w:r>
        <w:t>The Commission has the discretion to include details of actions that the respondents should take to ensure its acts and decisions are compatible with human rights.</w:t>
      </w:r>
      <w:r w:rsidR="00CA1D0A">
        <w:rPr>
          <w:rStyle w:val="FootnoteReference"/>
        </w:rPr>
        <w:footnoteReference w:id="112"/>
      </w:r>
      <w:r>
        <w:t xml:space="preserve"> Two reports </w:t>
      </w:r>
      <w:r w:rsidR="00CA1D0A">
        <w:t xml:space="preserve">with recommendations </w:t>
      </w:r>
      <w:r>
        <w:t>were published in the reporting period</w:t>
      </w:r>
      <w:r w:rsidR="00736221">
        <w:t xml:space="preserve">: </w:t>
      </w:r>
    </w:p>
    <w:p w14:paraId="197FF483" w14:textId="23ECA90A" w:rsidR="00C2473A" w:rsidRPr="00C2473A" w:rsidRDefault="00C2473A" w:rsidP="00C2473A">
      <w:pPr>
        <w:pStyle w:val="Heading3"/>
        <w:rPr>
          <w:color w:val="D46228"/>
        </w:rPr>
      </w:pPr>
      <w:r w:rsidRPr="674E917E">
        <w:rPr>
          <w:color w:val="D46228"/>
        </w:rPr>
        <w:t>Prisoner isolation</w:t>
      </w:r>
    </w:p>
    <w:tbl>
      <w:tblPr>
        <w:tblW w:w="8190" w:type="dxa"/>
        <w:tblBorders>
          <w:top w:val="single" w:sz="4" w:space="0" w:color="D46228"/>
          <w:bottom w:val="single" w:sz="4" w:space="0" w:color="D46228"/>
          <w:insideH w:val="single" w:sz="4" w:space="0" w:color="D46228"/>
        </w:tblBorders>
        <w:tblCellMar>
          <w:left w:w="0" w:type="dxa"/>
          <w:right w:w="0" w:type="dxa"/>
        </w:tblCellMar>
        <w:tblLook w:val="04A0" w:firstRow="1" w:lastRow="0" w:firstColumn="1" w:lastColumn="0" w:noHBand="0" w:noVBand="1"/>
      </w:tblPr>
      <w:tblGrid>
        <w:gridCol w:w="3313"/>
        <w:gridCol w:w="4877"/>
      </w:tblGrid>
      <w:tr w:rsidR="00C2473A" w14:paraId="1A76DC88" w14:textId="77777777" w:rsidTr="00CC5327">
        <w:tc>
          <w:tcPr>
            <w:tcW w:w="0" w:type="auto"/>
            <w:tcMar>
              <w:top w:w="120" w:type="dxa"/>
              <w:left w:w="0" w:type="dxa"/>
              <w:bottom w:w="120" w:type="dxa"/>
              <w:right w:w="225" w:type="dxa"/>
            </w:tcMar>
            <w:hideMark/>
          </w:tcPr>
          <w:p w14:paraId="5CD40AAC" w14:textId="77777777" w:rsidR="00C2473A" w:rsidRPr="00987FA4" w:rsidRDefault="00C2473A" w:rsidP="00061484">
            <w:pPr>
              <w:pStyle w:val="TableText"/>
              <w:rPr>
                <w:rFonts w:ascii="Times New Roman" w:hAnsi="Times New Roman" w:cs="Times New Roman"/>
                <w:b/>
                <w:bCs/>
                <w:color w:val="484848"/>
              </w:rPr>
            </w:pPr>
            <w:r w:rsidRPr="00987FA4">
              <w:rPr>
                <w:rStyle w:val="Strong"/>
                <w:b w:val="0"/>
                <w:bCs w:val="0"/>
                <w:color w:val="D46228"/>
              </w:rPr>
              <w:t>Complaint lodged against</w:t>
            </w:r>
          </w:p>
        </w:tc>
        <w:tc>
          <w:tcPr>
            <w:tcW w:w="4573" w:type="dxa"/>
            <w:tcMar>
              <w:top w:w="120" w:type="dxa"/>
              <w:left w:w="0" w:type="dxa"/>
              <w:bottom w:w="120" w:type="dxa"/>
              <w:right w:w="225" w:type="dxa"/>
            </w:tcMar>
            <w:hideMark/>
          </w:tcPr>
          <w:p w14:paraId="4DAA5475" w14:textId="77777777" w:rsidR="00C2473A" w:rsidRDefault="00C2473A" w:rsidP="00061484">
            <w:pPr>
              <w:pStyle w:val="TableText"/>
              <w:rPr>
                <w:color w:val="484848"/>
              </w:rPr>
            </w:pPr>
            <w:r>
              <w:rPr>
                <w:color w:val="484848"/>
              </w:rPr>
              <w:t>Queensland Department of Corrective Services</w:t>
            </w:r>
          </w:p>
        </w:tc>
      </w:tr>
      <w:tr w:rsidR="00C2473A" w14:paraId="08EF70C3" w14:textId="77777777" w:rsidTr="00CC5327">
        <w:tc>
          <w:tcPr>
            <w:tcW w:w="0" w:type="auto"/>
            <w:tcMar>
              <w:top w:w="120" w:type="dxa"/>
              <w:left w:w="0" w:type="dxa"/>
              <w:bottom w:w="120" w:type="dxa"/>
              <w:right w:w="225" w:type="dxa"/>
            </w:tcMar>
            <w:hideMark/>
          </w:tcPr>
          <w:p w14:paraId="5CF70095" w14:textId="77777777" w:rsidR="00C2473A" w:rsidRPr="00987FA4" w:rsidRDefault="00C2473A" w:rsidP="00061484">
            <w:pPr>
              <w:pStyle w:val="TableText"/>
              <w:rPr>
                <w:b/>
                <w:bCs/>
                <w:color w:val="484848"/>
              </w:rPr>
            </w:pPr>
            <w:r w:rsidRPr="00987FA4">
              <w:rPr>
                <w:rStyle w:val="Strong"/>
                <w:b w:val="0"/>
                <w:bCs w:val="0"/>
                <w:i/>
                <w:iCs/>
                <w:color w:val="D46228"/>
              </w:rPr>
              <w:t>Human Rights Act</w:t>
            </w:r>
            <w:r w:rsidRPr="00987FA4">
              <w:rPr>
                <w:rStyle w:val="Strong"/>
                <w:b w:val="0"/>
                <w:bCs w:val="0"/>
                <w:color w:val="D46228"/>
              </w:rPr>
              <w:t> sections</w:t>
            </w:r>
          </w:p>
        </w:tc>
        <w:tc>
          <w:tcPr>
            <w:tcW w:w="4573" w:type="dxa"/>
            <w:tcMar>
              <w:top w:w="120" w:type="dxa"/>
              <w:left w:w="0" w:type="dxa"/>
              <w:bottom w:w="120" w:type="dxa"/>
              <w:right w:w="225" w:type="dxa"/>
            </w:tcMar>
            <w:hideMark/>
          </w:tcPr>
          <w:p w14:paraId="0ADE304B" w14:textId="77777777" w:rsidR="00C2473A" w:rsidRDefault="00C2473A" w:rsidP="00061484">
            <w:pPr>
              <w:pStyle w:val="TableText"/>
              <w:rPr>
                <w:color w:val="484848"/>
              </w:rPr>
            </w:pPr>
            <w:r>
              <w:rPr>
                <w:color w:val="484848"/>
              </w:rPr>
              <w:t>30 (Humane treatment when deprived of liberty)</w:t>
            </w:r>
          </w:p>
        </w:tc>
      </w:tr>
      <w:tr w:rsidR="00C2473A" w14:paraId="2CB0B29B" w14:textId="77777777" w:rsidTr="00CC5327">
        <w:tc>
          <w:tcPr>
            <w:tcW w:w="0" w:type="auto"/>
            <w:tcMar>
              <w:top w:w="120" w:type="dxa"/>
              <w:left w:w="0" w:type="dxa"/>
              <w:bottom w:w="120" w:type="dxa"/>
              <w:right w:w="225" w:type="dxa"/>
            </w:tcMar>
            <w:hideMark/>
          </w:tcPr>
          <w:p w14:paraId="64C58F34" w14:textId="77777777" w:rsidR="00C2473A" w:rsidRPr="00987FA4" w:rsidRDefault="00C2473A" w:rsidP="00061484">
            <w:pPr>
              <w:pStyle w:val="TableText"/>
              <w:rPr>
                <w:b/>
                <w:bCs/>
                <w:color w:val="484848"/>
              </w:rPr>
            </w:pPr>
            <w:r w:rsidRPr="00987FA4">
              <w:rPr>
                <w:rStyle w:val="Strong"/>
                <w:b w:val="0"/>
                <w:bCs w:val="0"/>
                <w:color w:val="D46228"/>
              </w:rPr>
              <w:t>Date report published</w:t>
            </w:r>
          </w:p>
        </w:tc>
        <w:tc>
          <w:tcPr>
            <w:tcW w:w="4573" w:type="dxa"/>
            <w:tcMar>
              <w:top w:w="120" w:type="dxa"/>
              <w:left w:w="0" w:type="dxa"/>
              <w:bottom w:w="120" w:type="dxa"/>
              <w:right w:w="225" w:type="dxa"/>
            </w:tcMar>
            <w:hideMark/>
          </w:tcPr>
          <w:p w14:paraId="0A1397BC" w14:textId="77777777" w:rsidR="00C2473A" w:rsidRDefault="00C2473A" w:rsidP="00061484">
            <w:pPr>
              <w:pStyle w:val="TableText"/>
              <w:rPr>
                <w:color w:val="484848"/>
              </w:rPr>
            </w:pPr>
            <w:r>
              <w:rPr>
                <w:color w:val="484848"/>
              </w:rPr>
              <w:t>2 February 2021</w:t>
            </w:r>
          </w:p>
        </w:tc>
      </w:tr>
      <w:tr w:rsidR="00C2473A" w14:paraId="3165F908" w14:textId="77777777" w:rsidTr="00CC5327">
        <w:tc>
          <w:tcPr>
            <w:tcW w:w="8190" w:type="dxa"/>
            <w:gridSpan w:val="2"/>
            <w:tcMar>
              <w:top w:w="120" w:type="dxa"/>
              <w:left w:w="0" w:type="dxa"/>
              <w:bottom w:w="120" w:type="dxa"/>
              <w:right w:w="225" w:type="dxa"/>
            </w:tcMar>
            <w:hideMark/>
          </w:tcPr>
          <w:p w14:paraId="11C0BDB4" w14:textId="7CCE245A" w:rsidR="00C2473A" w:rsidRDefault="00C2473A" w:rsidP="00061484">
            <w:pPr>
              <w:pStyle w:val="TableText"/>
            </w:pPr>
            <w:r w:rsidRPr="00987FA4">
              <w:rPr>
                <w:rStyle w:val="Strong"/>
                <w:b w:val="0"/>
                <w:bCs w:val="0"/>
                <w:color w:val="D46228"/>
              </w:rPr>
              <w:t>Summary</w:t>
            </w:r>
            <w:r w:rsidRPr="00987FA4">
              <w:rPr>
                <w:b/>
                <w:bCs/>
                <w:color w:val="D46228"/>
              </w:rPr>
              <w:t>:</w:t>
            </w:r>
            <w:r w:rsidRPr="00987FA4">
              <w:rPr>
                <w:color w:val="D46228"/>
              </w:rPr>
              <w:t> </w:t>
            </w:r>
            <w:r>
              <w:t xml:space="preserve">The complainant told us she is a vulnerable Aboriginal woman aged in her twenties experiencing a range of mental health conditions. In response to the COVID-19 pandemic, she was placed in isolation for </w:t>
            </w:r>
            <w:r w:rsidR="00EC1927">
              <w:t xml:space="preserve">more </w:t>
            </w:r>
            <w:r>
              <w:t>than 14 days</w:t>
            </w:r>
            <w:r w:rsidR="00EC1927">
              <w:t xml:space="preserve"> upon her admission to prison</w:t>
            </w:r>
            <w:r>
              <w:t>. She alleged that during her time in isolation she was deprived of medical treatment, education, exercise, fresh air</w:t>
            </w:r>
            <w:r w:rsidR="00EC1927">
              <w:t>,</w:t>
            </w:r>
            <w:r>
              <w:t xml:space="preserve"> and reticulated water. Her alleged treatment included a lack of sufficient medical treatment for her mental health. She also alleged that that the respondents failed to facilitate any communication with her mother, and failed to make adequate arrangements </w:t>
            </w:r>
            <w:r w:rsidR="00EC1927">
              <w:t xml:space="preserve">for </w:t>
            </w:r>
            <w:r>
              <w:t>telephone calls with her lawyers.</w:t>
            </w:r>
          </w:p>
          <w:p w14:paraId="2A3A4A41" w14:textId="77777777" w:rsidR="00C2473A" w:rsidRDefault="00C2473A" w:rsidP="00061484">
            <w:pPr>
              <w:pStyle w:val="TableText"/>
            </w:pPr>
            <w:r>
              <w:t>The Commissioner did not make findings of fact regarding her treatment, but recommended that Queensland Corrective Services:</w:t>
            </w:r>
          </w:p>
          <w:p w14:paraId="193F6B5E" w14:textId="0B557A1F" w:rsidR="00C2473A" w:rsidRDefault="00C2473A" w:rsidP="00061484">
            <w:pPr>
              <w:pStyle w:val="TableText"/>
              <w:numPr>
                <w:ilvl w:val="0"/>
                <w:numId w:val="33"/>
              </w:numPr>
            </w:pPr>
            <w:r>
              <w:t>amend relevant policies to clearly state that prisoners isolated in response to the COVID-19 pandemic should not be isolated for more than 14 days</w:t>
            </w:r>
            <w:r w:rsidR="00EC1927">
              <w:t>,</w:t>
            </w:r>
            <w:r>
              <w:t xml:space="preserve"> other than where Queensland Health provide clear medical advice that their isolation must continue due to a risk of infection</w:t>
            </w:r>
          </w:p>
          <w:p w14:paraId="3106C121" w14:textId="58A9D6C0" w:rsidR="00C2473A" w:rsidRDefault="00C2473A" w:rsidP="00061484">
            <w:pPr>
              <w:pStyle w:val="TableText"/>
              <w:numPr>
                <w:ilvl w:val="0"/>
                <w:numId w:val="33"/>
              </w:numPr>
            </w:pPr>
            <w:r>
              <w:lastRenderedPageBreak/>
              <w:t>ensure prisoners, while in isolation, receive certain minimum entitlements without the caveat of ‘to the greatest extent possible’</w:t>
            </w:r>
            <w:r w:rsidR="00EC1927">
              <w:t>,</w:t>
            </w:r>
            <w:r>
              <w:t xml:space="preserve"> including access to confidential medical assessment and mental health services, adequate facilities to communicate with a lawyer and their family. Prisoners should also be given access to complaints procedures and cultural support</w:t>
            </w:r>
            <w:r w:rsidR="00246B46">
              <w:t>,</w:t>
            </w:r>
            <w:r>
              <w:t xml:space="preserve"> and</w:t>
            </w:r>
          </w:p>
          <w:p w14:paraId="6B2BC981" w14:textId="77777777" w:rsidR="00C2473A" w:rsidRDefault="00C2473A" w:rsidP="00061484">
            <w:pPr>
              <w:pStyle w:val="TableText"/>
              <w:numPr>
                <w:ilvl w:val="0"/>
                <w:numId w:val="33"/>
              </w:numPr>
            </w:pPr>
            <w:r>
              <w:t>provide prisoners with daily access to fresh air and exercise while in isolation, other than in exceptional circumstances.</w:t>
            </w:r>
          </w:p>
          <w:p w14:paraId="09DE54C0" w14:textId="017D135E" w:rsidR="00C2473A" w:rsidRDefault="00C2473A" w:rsidP="00061484">
            <w:pPr>
              <w:pStyle w:val="TableText"/>
              <w:rPr>
                <w:color w:val="484848"/>
              </w:rPr>
            </w:pPr>
          </w:p>
        </w:tc>
      </w:tr>
    </w:tbl>
    <w:p w14:paraId="48D8F52D" w14:textId="5BB8EBF0" w:rsidR="007A1482" w:rsidRPr="007A1482" w:rsidRDefault="007A1482" w:rsidP="007A1482">
      <w:pPr>
        <w:pStyle w:val="Heading3"/>
        <w:rPr>
          <w:color w:val="D46228"/>
        </w:rPr>
      </w:pPr>
      <w:r w:rsidRPr="674E917E">
        <w:rPr>
          <w:color w:val="D46228"/>
        </w:rPr>
        <w:lastRenderedPageBreak/>
        <w:t>Hotel quarantine</w:t>
      </w:r>
    </w:p>
    <w:tbl>
      <w:tblPr>
        <w:tblW w:w="8190" w:type="dxa"/>
        <w:tblBorders>
          <w:top w:val="single" w:sz="4" w:space="0" w:color="D46228"/>
          <w:bottom w:val="single" w:sz="4" w:space="0" w:color="D46228"/>
          <w:insideH w:val="single" w:sz="4" w:space="0" w:color="D46228"/>
        </w:tblBorders>
        <w:tblCellMar>
          <w:left w:w="0" w:type="dxa"/>
          <w:right w:w="0" w:type="dxa"/>
        </w:tblCellMar>
        <w:tblLook w:val="0620" w:firstRow="1" w:lastRow="0" w:firstColumn="0" w:lastColumn="0" w:noHBand="1" w:noVBand="1"/>
      </w:tblPr>
      <w:tblGrid>
        <w:gridCol w:w="3310"/>
        <w:gridCol w:w="4880"/>
      </w:tblGrid>
      <w:tr w:rsidR="007A1482" w:rsidRPr="00061484" w14:paraId="7BCFABB2" w14:textId="77777777" w:rsidTr="0096736C">
        <w:tc>
          <w:tcPr>
            <w:tcW w:w="0" w:type="auto"/>
            <w:tcMar>
              <w:top w:w="120" w:type="dxa"/>
              <w:left w:w="0" w:type="dxa"/>
              <w:bottom w:w="120" w:type="dxa"/>
              <w:right w:w="225" w:type="dxa"/>
            </w:tcMar>
            <w:hideMark/>
          </w:tcPr>
          <w:p w14:paraId="46429428" w14:textId="77777777" w:rsidR="007A1482" w:rsidRPr="00061484" w:rsidRDefault="007A1482" w:rsidP="00061484">
            <w:pPr>
              <w:pStyle w:val="TableText"/>
            </w:pPr>
            <w:r w:rsidRPr="00302D8D">
              <w:rPr>
                <w:rStyle w:val="Strong"/>
                <w:b w:val="0"/>
                <w:bCs w:val="0"/>
                <w:color w:val="D46228"/>
              </w:rPr>
              <w:t>Complaint lodged against</w:t>
            </w:r>
          </w:p>
        </w:tc>
        <w:tc>
          <w:tcPr>
            <w:tcW w:w="4580" w:type="dxa"/>
            <w:tcMar>
              <w:top w:w="120" w:type="dxa"/>
              <w:left w:w="0" w:type="dxa"/>
              <w:bottom w:w="120" w:type="dxa"/>
              <w:right w:w="225" w:type="dxa"/>
            </w:tcMar>
            <w:hideMark/>
          </w:tcPr>
          <w:p w14:paraId="033AA4C4" w14:textId="77777777" w:rsidR="007A1482" w:rsidRPr="00061484" w:rsidRDefault="007A1482" w:rsidP="00061484">
            <w:pPr>
              <w:pStyle w:val="TableText"/>
            </w:pPr>
            <w:r w:rsidRPr="00061484">
              <w:t>Queensland Police Service;</w:t>
            </w:r>
            <w:r w:rsidRPr="00061484">
              <w:br/>
              <w:t>Queensland Department of Health</w:t>
            </w:r>
          </w:p>
        </w:tc>
      </w:tr>
      <w:tr w:rsidR="007A1482" w:rsidRPr="00061484" w14:paraId="6548E2E1" w14:textId="77777777" w:rsidTr="0096736C">
        <w:tc>
          <w:tcPr>
            <w:tcW w:w="0" w:type="auto"/>
            <w:tcMar>
              <w:top w:w="120" w:type="dxa"/>
              <w:left w:w="0" w:type="dxa"/>
              <w:bottom w:w="120" w:type="dxa"/>
              <w:right w:w="225" w:type="dxa"/>
            </w:tcMar>
            <w:hideMark/>
          </w:tcPr>
          <w:p w14:paraId="68FACA38" w14:textId="77777777" w:rsidR="007A1482" w:rsidRPr="00061484" w:rsidRDefault="007A1482" w:rsidP="00061484">
            <w:pPr>
              <w:pStyle w:val="TableText"/>
            </w:pPr>
            <w:r w:rsidRPr="00302D8D">
              <w:rPr>
                <w:rStyle w:val="Strong"/>
                <w:b w:val="0"/>
                <w:bCs w:val="0"/>
                <w:i/>
                <w:iCs/>
                <w:color w:val="D46228"/>
              </w:rPr>
              <w:t>Human Rights Act</w:t>
            </w:r>
            <w:r w:rsidRPr="00302D8D">
              <w:rPr>
                <w:rStyle w:val="Strong"/>
                <w:b w:val="0"/>
                <w:bCs w:val="0"/>
                <w:color w:val="D46228"/>
              </w:rPr>
              <w:t> sections</w:t>
            </w:r>
          </w:p>
        </w:tc>
        <w:tc>
          <w:tcPr>
            <w:tcW w:w="4580" w:type="dxa"/>
            <w:tcMar>
              <w:top w:w="120" w:type="dxa"/>
              <w:left w:w="0" w:type="dxa"/>
              <w:bottom w:w="120" w:type="dxa"/>
              <w:right w:w="225" w:type="dxa"/>
            </w:tcMar>
            <w:hideMark/>
          </w:tcPr>
          <w:p w14:paraId="782CAF2A" w14:textId="77777777" w:rsidR="007A1482" w:rsidRPr="00061484" w:rsidRDefault="007A1482" w:rsidP="00061484">
            <w:pPr>
              <w:pStyle w:val="TableText"/>
            </w:pPr>
            <w:r w:rsidRPr="00061484">
              <w:t>30 (Humane treatment when deprived of liberty)</w:t>
            </w:r>
          </w:p>
        </w:tc>
      </w:tr>
      <w:tr w:rsidR="007A1482" w:rsidRPr="00061484" w14:paraId="40CB13A6" w14:textId="77777777" w:rsidTr="0096736C">
        <w:tc>
          <w:tcPr>
            <w:tcW w:w="0" w:type="auto"/>
            <w:tcMar>
              <w:top w:w="120" w:type="dxa"/>
              <w:left w:w="0" w:type="dxa"/>
              <w:bottom w:w="120" w:type="dxa"/>
              <w:right w:w="225" w:type="dxa"/>
            </w:tcMar>
            <w:hideMark/>
          </w:tcPr>
          <w:p w14:paraId="3834BF0F" w14:textId="77777777" w:rsidR="007A1482" w:rsidRPr="00061484" w:rsidRDefault="007A1482" w:rsidP="00061484">
            <w:pPr>
              <w:pStyle w:val="TableText"/>
            </w:pPr>
            <w:r w:rsidRPr="00302D8D">
              <w:rPr>
                <w:rStyle w:val="Strong"/>
                <w:b w:val="0"/>
                <w:bCs w:val="0"/>
                <w:color w:val="D46228"/>
              </w:rPr>
              <w:t>Date report published</w:t>
            </w:r>
          </w:p>
        </w:tc>
        <w:tc>
          <w:tcPr>
            <w:tcW w:w="4580" w:type="dxa"/>
            <w:tcMar>
              <w:top w:w="120" w:type="dxa"/>
              <w:left w:w="0" w:type="dxa"/>
              <w:bottom w:w="120" w:type="dxa"/>
              <w:right w:w="225" w:type="dxa"/>
            </w:tcMar>
            <w:hideMark/>
          </w:tcPr>
          <w:p w14:paraId="5A927CD0" w14:textId="77777777" w:rsidR="007A1482" w:rsidRPr="00061484" w:rsidRDefault="007A1482" w:rsidP="00061484">
            <w:pPr>
              <w:pStyle w:val="TableText"/>
            </w:pPr>
            <w:r w:rsidRPr="00061484">
              <w:t>15 October 2020</w:t>
            </w:r>
          </w:p>
        </w:tc>
      </w:tr>
      <w:tr w:rsidR="007A1482" w:rsidRPr="00061484" w14:paraId="71208C8D" w14:textId="77777777" w:rsidTr="0096736C">
        <w:tc>
          <w:tcPr>
            <w:tcW w:w="8190" w:type="dxa"/>
            <w:gridSpan w:val="2"/>
            <w:tcMar>
              <w:top w:w="120" w:type="dxa"/>
              <w:left w:w="0" w:type="dxa"/>
              <w:bottom w:w="120" w:type="dxa"/>
              <w:right w:w="225" w:type="dxa"/>
            </w:tcMar>
            <w:hideMark/>
          </w:tcPr>
          <w:p w14:paraId="49BDAA36" w14:textId="693AC09D" w:rsidR="007A1482" w:rsidRPr="00061484" w:rsidRDefault="007A1482" w:rsidP="00061484">
            <w:pPr>
              <w:pStyle w:val="TableText"/>
            </w:pPr>
            <w:r w:rsidRPr="00302D8D">
              <w:rPr>
                <w:rStyle w:val="Strong"/>
                <w:b w:val="0"/>
                <w:bCs w:val="0"/>
                <w:color w:val="D46228"/>
              </w:rPr>
              <w:t>Summary</w:t>
            </w:r>
            <w:r w:rsidRPr="00302D8D">
              <w:rPr>
                <w:color w:val="D46228"/>
              </w:rPr>
              <w:t>: </w:t>
            </w:r>
            <w:r w:rsidRPr="00061484">
              <w:t>The complainant did not get access to fresh outside air during her 14</w:t>
            </w:r>
            <w:r w:rsidR="009737B6" w:rsidRPr="00061484">
              <w:t>-</w:t>
            </w:r>
            <w:r w:rsidRPr="00061484">
              <w:t>day stay in mandatory</w:t>
            </w:r>
            <w:r w:rsidR="009737B6" w:rsidRPr="00061484">
              <w:t>,</w:t>
            </w:r>
            <w:r w:rsidRPr="00061484">
              <w:t xml:space="preserve"> self-funded hotel quarantine. The windows of her hotel room did not open, and she was not given a fresh air break from her room. The complainant and the respondents disagreed about the reasons for the lack of room breaks. The complaint was not resolved.</w:t>
            </w:r>
          </w:p>
          <w:p w14:paraId="0C37AA78" w14:textId="0DFC4092" w:rsidR="007A1482" w:rsidRPr="00061484" w:rsidRDefault="007A1482" w:rsidP="00061484">
            <w:pPr>
              <w:pStyle w:val="TableText"/>
            </w:pPr>
            <w:r w:rsidRPr="00061484">
              <w:t xml:space="preserve">In the unresolved complaint report, the Commissioner considered that the complainant’s right to humane treatment when deprived of liberty had been limited and that the Department of Health and/or Queensland Police Service had to demonstrably justify the limitation of the complainant’s rights. To ensure that the acts and decisions of the Queensland </w:t>
            </w:r>
            <w:r w:rsidR="00D6515E" w:rsidRPr="00061484">
              <w:t>G</w:t>
            </w:r>
            <w:r w:rsidRPr="00061484">
              <w:t>overnment would in future be compatible with human rights, the Commissioner recommended that:</w:t>
            </w:r>
          </w:p>
          <w:p w14:paraId="4E9370B2" w14:textId="7E8F3F32" w:rsidR="007A1482" w:rsidRPr="00061484" w:rsidRDefault="007A1482" w:rsidP="00302D8D">
            <w:pPr>
              <w:pStyle w:val="TableText"/>
              <w:numPr>
                <w:ilvl w:val="0"/>
                <w:numId w:val="34"/>
              </w:numPr>
            </w:pPr>
            <w:r w:rsidRPr="00061484">
              <w:t>opening windows or balconies be included as a minimum standard for the selection of quarantine hotels, and plans be put in place to decommission currently used hotels that do not meet these minimum standards</w:t>
            </w:r>
            <w:r w:rsidRPr="00302D8D">
              <w:rPr>
                <w:rStyle w:val="FootnoteReference"/>
              </w:rPr>
              <w:footnoteReference w:id="113"/>
            </w:r>
            <w:r w:rsidRPr="00061484">
              <w:t xml:space="preserve"> and</w:t>
            </w:r>
          </w:p>
          <w:p w14:paraId="095731DC" w14:textId="2145EC58" w:rsidR="007A1482" w:rsidRPr="00061484" w:rsidRDefault="007A1482" w:rsidP="00302D8D">
            <w:pPr>
              <w:pStyle w:val="TableText"/>
              <w:numPr>
                <w:ilvl w:val="0"/>
                <w:numId w:val="34"/>
              </w:numPr>
            </w:pPr>
            <w:r w:rsidRPr="00061484">
              <w:lastRenderedPageBreak/>
              <w:t>information provided to people in quarantine include</w:t>
            </w:r>
            <w:r w:rsidR="00D6515E" w:rsidRPr="00061484">
              <w:t>s</w:t>
            </w:r>
            <w:r w:rsidRPr="00061484">
              <w:t xml:space="preserve"> improved communication about decision</w:t>
            </w:r>
            <w:r w:rsidR="00D6515E" w:rsidRPr="00061484">
              <w:t>-</w:t>
            </w:r>
            <w:r w:rsidRPr="00061484">
              <w:t>making responsibility, rights of review and appeal, and setting realistic expectations about the conditions of quarantine.</w:t>
            </w:r>
          </w:p>
        </w:tc>
      </w:tr>
    </w:tbl>
    <w:p w14:paraId="60310C21" w14:textId="2FFCEC10" w:rsidR="002771F8" w:rsidRPr="009D65A1" w:rsidRDefault="002771F8" w:rsidP="009D65A1">
      <w:r>
        <w:lastRenderedPageBreak/>
        <w:br w:type="page"/>
      </w:r>
    </w:p>
    <w:p w14:paraId="244C84A0" w14:textId="75DAA677" w:rsidR="00411FF6" w:rsidRPr="0072521D" w:rsidRDefault="00733731" w:rsidP="0072521D">
      <w:pPr>
        <w:pStyle w:val="Heading1"/>
        <w:rPr>
          <w:color w:val="D46228"/>
        </w:rPr>
      </w:pPr>
      <w:bookmarkStart w:id="582" w:name="_Toc84593939"/>
      <w:bookmarkStart w:id="583" w:name="_Toc85451814"/>
      <w:bookmarkStart w:id="584" w:name="_Toc85526745"/>
      <w:bookmarkStart w:id="585" w:name="_Toc85787160"/>
      <w:r w:rsidRPr="0072521D">
        <w:rPr>
          <w:color w:val="D46228"/>
        </w:rPr>
        <w:lastRenderedPageBreak/>
        <w:t>Resolved complaint</w:t>
      </w:r>
      <w:r w:rsidR="009329CB" w:rsidRPr="0072521D">
        <w:rPr>
          <w:color w:val="D46228"/>
        </w:rPr>
        <w:t xml:space="preserve"> </w:t>
      </w:r>
      <w:r w:rsidR="00627BB9" w:rsidRPr="0072521D">
        <w:rPr>
          <w:color w:val="D46228"/>
        </w:rPr>
        <w:t>c</w:t>
      </w:r>
      <w:r w:rsidR="00411FF6" w:rsidRPr="0072521D">
        <w:rPr>
          <w:color w:val="D46228"/>
        </w:rPr>
        <w:t xml:space="preserve">ase </w:t>
      </w:r>
      <w:r w:rsidR="00627BB9" w:rsidRPr="0072521D">
        <w:rPr>
          <w:color w:val="D46228"/>
        </w:rPr>
        <w:t>s</w:t>
      </w:r>
      <w:r w:rsidR="00411FF6" w:rsidRPr="0072521D">
        <w:rPr>
          <w:color w:val="D46228"/>
        </w:rPr>
        <w:t>tudies</w:t>
      </w:r>
      <w:bookmarkEnd w:id="582"/>
      <w:bookmarkEnd w:id="583"/>
      <w:bookmarkEnd w:id="584"/>
      <w:bookmarkEnd w:id="585"/>
    </w:p>
    <w:p w14:paraId="63DE6411" w14:textId="553227C9" w:rsidR="005D2683" w:rsidRPr="008A00EB" w:rsidRDefault="005D2683" w:rsidP="005D2683">
      <w:r w:rsidRPr="008A00EB">
        <w:t xml:space="preserve">The following case studies </w:t>
      </w:r>
      <w:r w:rsidR="00F672F8" w:rsidRPr="008A00EB">
        <w:t>are</w:t>
      </w:r>
      <w:r w:rsidRPr="008A00EB">
        <w:t xml:space="preserve"> a selection of </w:t>
      </w:r>
      <w:r w:rsidR="00E93DE6" w:rsidRPr="008A00EB">
        <w:t xml:space="preserve">resolved </w:t>
      </w:r>
      <w:r w:rsidRPr="008A00EB">
        <w:t xml:space="preserve">outcomes of complaints </w:t>
      </w:r>
      <w:r w:rsidR="006B3B8F">
        <w:t>finalised</w:t>
      </w:r>
      <w:r w:rsidRPr="008A00EB">
        <w:t xml:space="preserve"> in the financial year </w:t>
      </w:r>
      <w:r w:rsidR="00584C8B">
        <w:t>2020</w:t>
      </w:r>
      <w:r w:rsidR="00D6515E">
        <w:t>–</w:t>
      </w:r>
      <w:r w:rsidR="00584C8B">
        <w:t>21</w:t>
      </w:r>
      <w:r w:rsidRPr="008A00EB">
        <w:t>.</w:t>
      </w:r>
    </w:p>
    <w:p w14:paraId="2DF2B8A0" w14:textId="77777777" w:rsidR="00FA3C23" w:rsidRDefault="00FA3C23" w:rsidP="009574D3">
      <w:pPr>
        <w:pStyle w:val="Heading2"/>
        <w:rPr>
          <w:color w:val="D46228"/>
        </w:rPr>
      </w:pPr>
      <w:bookmarkStart w:id="586" w:name="_Toc84593940"/>
      <w:bookmarkStart w:id="587" w:name="_Toc85451815"/>
      <w:bookmarkStart w:id="588" w:name="_Toc85526746"/>
      <w:bookmarkStart w:id="589" w:name="_Toc85787161"/>
      <w:r w:rsidRPr="674E917E">
        <w:rPr>
          <w:color w:val="D46228"/>
        </w:rPr>
        <w:t>School and parents work together to support a child with a disability</w:t>
      </w:r>
      <w:bookmarkEnd w:id="586"/>
      <w:bookmarkEnd w:id="587"/>
      <w:bookmarkEnd w:id="588"/>
      <w:bookmarkEnd w:id="589"/>
    </w:p>
    <w:p w14:paraId="7C4C1487" w14:textId="101748EC" w:rsidR="00FA3C23" w:rsidRDefault="00FA3C23" w:rsidP="00374AB8">
      <w:pPr>
        <w:rPr>
          <w:color w:val="000000" w:themeColor="text1"/>
          <w:lang w:eastAsia="en-AU"/>
        </w:rPr>
      </w:pPr>
      <w:r>
        <w:t>A mother lodged a complaint on behalf of her 7</w:t>
      </w:r>
      <w:r w:rsidR="00494BCE">
        <w:t>-</w:t>
      </w:r>
      <w:r>
        <w:t>year</w:t>
      </w:r>
      <w:r w:rsidR="00F66189">
        <w:t>-</w:t>
      </w:r>
      <w:r>
        <w:t>old son who attends a state school and has a disability which manifests as anxiety, sensory and behavioural problems. The school became concerned about his escalating behaviour and that some of his behaviours could increase the risk of transmission during the COVID-19 pandemic, and issued a notice of suspension as a result. The child’s mother communicated that her son felt confused, upset, anxious</w:t>
      </w:r>
      <w:r w:rsidR="00925CA1">
        <w:t>,</w:t>
      </w:r>
      <w:r>
        <w:t xml:space="preserve"> and unwanted. Many of the details were in dispute, and communication between the family and the school had broken down.</w:t>
      </w:r>
    </w:p>
    <w:p w14:paraId="0F413CFC" w14:textId="2BBD83CA" w:rsidR="00FA3C23" w:rsidRPr="00CB384D" w:rsidRDefault="00FA3C23" w:rsidP="00CB384D">
      <w:pPr>
        <w:rPr>
          <w:color w:val="000000" w:themeColor="text1"/>
          <w:lang w:eastAsia="en-AU"/>
        </w:rPr>
      </w:pPr>
      <w:r>
        <w:t xml:space="preserve">Following a conciliation conference, the mother agreed to share information from the child’s treating </w:t>
      </w:r>
      <w:r w:rsidR="00E670A3">
        <w:t>o</w:t>
      </w:r>
      <w:r>
        <w:t xml:space="preserve">ccupational </w:t>
      </w:r>
      <w:r w:rsidR="00E670A3">
        <w:t>t</w:t>
      </w:r>
      <w:r>
        <w:t>herapist, and the school agreed to take this report into consideration in the development of an Individual Behaviour Support Plan. To improve future communication, the mother and the school agreed to use a communication book and meet at the beginning of each term to discuss the plan.</w:t>
      </w:r>
    </w:p>
    <w:p w14:paraId="54CD49C4" w14:textId="0774D36F" w:rsidR="00FA3C23" w:rsidRDefault="00FA3C23" w:rsidP="00FA3C23">
      <w:pPr>
        <w:rPr>
          <w:color w:val="2E74B5"/>
        </w:rPr>
      </w:pPr>
      <w:r>
        <w:t>Relevant rights:</w:t>
      </w:r>
      <w:r w:rsidR="00197317">
        <w:t xml:space="preserve">  </w:t>
      </w:r>
      <w:r w:rsidR="00374AB8">
        <w:tab/>
      </w:r>
      <w:r>
        <w:tab/>
        <w:t>Right to education (s36)</w:t>
      </w:r>
    </w:p>
    <w:p w14:paraId="6293C336" w14:textId="3EF73B70" w:rsidR="00FA3C23" w:rsidRDefault="00FA3C23" w:rsidP="00374AB8">
      <w:r>
        <w:t>Complaint type:</w:t>
      </w:r>
      <w:r w:rsidR="00197317">
        <w:t xml:space="preserve">  </w:t>
      </w:r>
      <w:r w:rsidR="00374AB8">
        <w:tab/>
      </w:r>
      <w:r w:rsidR="00374AB8">
        <w:tab/>
      </w:r>
      <w:r w:rsidR="00B70C22">
        <w:t>Piggy-back complaint</w:t>
      </w:r>
    </w:p>
    <w:p w14:paraId="09526CF8" w14:textId="5D1D0365" w:rsidR="00FA3C23" w:rsidRDefault="00FA3C23" w:rsidP="00374AB8">
      <w:r>
        <w:t>Attribute:</w:t>
      </w:r>
      <w:r w:rsidR="00197317">
        <w:t xml:space="preserve">             </w:t>
      </w:r>
      <w:r w:rsidR="00374AB8">
        <w:tab/>
      </w:r>
      <w:r w:rsidR="00374AB8">
        <w:tab/>
      </w:r>
      <w:r>
        <w:t>Impairment</w:t>
      </w:r>
    </w:p>
    <w:p w14:paraId="7DDB9D8E" w14:textId="7AC7A422" w:rsidR="00FA3C23" w:rsidRDefault="00FA3C23" w:rsidP="00374AB8">
      <w:r>
        <w:t>Dispute resolution mode:</w:t>
      </w:r>
      <w:r w:rsidR="00197317">
        <w:t xml:space="preserve">  </w:t>
      </w:r>
      <w:r w:rsidR="00374AB8">
        <w:tab/>
      </w:r>
      <w:r>
        <w:t>Conciliation conference</w:t>
      </w:r>
    </w:p>
    <w:p w14:paraId="0340B1FE" w14:textId="77777777" w:rsidR="005D04BC" w:rsidRDefault="005D04BC" w:rsidP="009574D3">
      <w:pPr>
        <w:pStyle w:val="Heading2"/>
        <w:rPr>
          <w:color w:val="D46228"/>
        </w:rPr>
      </w:pPr>
      <w:bookmarkStart w:id="590" w:name="_Toc84593941"/>
      <w:bookmarkStart w:id="591" w:name="_Toc85451816"/>
      <w:bookmarkStart w:id="592" w:name="_Toc85526747"/>
      <w:bookmarkStart w:id="593" w:name="_Toc85787162"/>
      <w:r w:rsidRPr="674E917E">
        <w:rPr>
          <w:color w:val="D46228"/>
        </w:rPr>
        <w:lastRenderedPageBreak/>
        <w:t>Quarantine exemption for woman picking up assistance dog</w:t>
      </w:r>
      <w:bookmarkEnd w:id="590"/>
      <w:bookmarkEnd w:id="591"/>
      <w:bookmarkEnd w:id="592"/>
      <w:bookmarkEnd w:id="593"/>
    </w:p>
    <w:p w14:paraId="63F91372" w14:textId="77777777" w:rsidR="005D04BC" w:rsidRDefault="005D04BC" w:rsidP="001C22EE">
      <w:pPr>
        <w:rPr>
          <w:rFonts w:cs="Arial"/>
        </w:rPr>
      </w:pPr>
      <w:r>
        <w:t xml:space="preserve">A woman planned to visit Queensland from interstate to pick up her assistance dog, with her mother and her carer, during a period of COVID-19 border restrictions. She was granted an exemption to come into Queensland where she agreed to isolate for 14 days and then spend a week receiving placement of the dog. However, when they tried to arrange for accessible quarantine accommodation, they were told the woman’s needs could not be met and her exemption approval was withdrawn. The assistance dog had been trained specifically for the daughter’s needs at substantial cost and they were concerned that she would lose the dog allocated to her if she was unable to visit Queensland. </w:t>
      </w:r>
    </w:p>
    <w:p w14:paraId="656BE2C4" w14:textId="1795FB61" w:rsidR="005D04BC" w:rsidRDefault="005D04BC" w:rsidP="001C22EE">
      <w:pPr>
        <w:rPr>
          <w:rFonts w:cs="Arial"/>
          <w:b/>
          <w:bCs/>
        </w:rPr>
      </w:pPr>
      <w:r>
        <w:rPr>
          <w:rFonts w:cs="Arial"/>
        </w:rPr>
        <w:t xml:space="preserve">The complainant chose to have this matter dealt with under the </w:t>
      </w:r>
      <w:r w:rsidRPr="2FCE546F">
        <w:rPr>
          <w:rFonts w:cs="Arial"/>
          <w:i/>
          <w:iCs/>
        </w:rPr>
        <w:t>Human Rights Act</w:t>
      </w:r>
      <w:r>
        <w:rPr>
          <w:rFonts w:cs="Arial"/>
        </w:rPr>
        <w:t>.</w:t>
      </w:r>
      <w:r>
        <w:rPr>
          <w:rStyle w:val="FootnoteReference"/>
          <w:rFonts w:cs="Arial"/>
        </w:rPr>
        <w:footnoteReference w:id="114"/>
      </w:r>
    </w:p>
    <w:p w14:paraId="76E76EB0" w14:textId="096706A8" w:rsidR="005D04BC" w:rsidRDefault="005D04BC" w:rsidP="001C22EE">
      <w:r>
        <w:t>Through early intervention the parties negotiated for the exemption to enter Queensland to be re-approved, with Queensland Health organising suitable accommodation for the complainant, her mother</w:t>
      </w:r>
      <w:r w:rsidR="00751DC3">
        <w:t>,</w:t>
      </w:r>
      <w:r>
        <w:t xml:space="preserve"> and her carer to complete 14-day hotel quarantine.</w:t>
      </w:r>
      <w:r w:rsidR="00197317">
        <w:t xml:space="preserve"> </w:t>
      </w:r>
    </w:p>
    <w:p w14:paraId="278E4EF3" w14:textId="66F75E17" w:rsidR="005D04BC" w:rsidRDefault="005D04BC" w:rsidP="001C22EE">
      <w:pPr>
        <w:ind w:left="2880" w:hanging="2880"/>
      </w:pPr>
      <w:r>
        <w:t>Relevant rights:</w:t>
      </w:r>
      <w:r>
        <w:tab/>
        <w:t>Recognition and equality before the law (section 15), freedom of movement (section 19</w:t>
      </w:r>
      <w:r w:rsidR="001C22EE">
        <w:t>)</w:t>
      </w:r>
    </w:p>
    <w:p w14:paraId="1977813E" w14:textId="34A1ECE7" w:rsidR="005D04BC" w:rsidRDefault="005D04BC" w:rsidP="001C22EE">
      <w:r>
        <w:t>Complaint type:</w:t>
      </w:r>
      <w:r>
        <w:tab/>
      </w:r>
      <w:r>
        <w:tab/>
      </w:r>
      <w:r w:rsidR="00B70C22">
        <w:t>Piggy-back complaint</w:t>
      </w:r>
    </w:p>
    <w:p w14:paraId="235287DE" w14:textId="77777777" w:rsidR="0074488E" w:rsidRDefault="0074488E" w:rsidP="001C22EE">
      <w:r>
        <w:t>Attribute:</w:t>
      </w:r>
      <w:r>
        <w:tab/>
      </w:r>
      <w:r>
        <w:tab/>
      </w:r>
      <w:r>
        <w:tab/>
        <w:t>Impairment</w:t>
      </w:r>
    </w:p>
    <w:p w14:paraId="303326F1" w14:textId="77777777" w:rsidR="0074488E" w:rsidRDefault="0074488E" w:rsidP="001C22EE">
      <w:r>
        <w:t>Dispute resolution mode:</w:t>
      </w:r>
      <w:r>
        <w:tab/>
        <w:t>Early intervention</w:t>
      </w:r>
    </w:p>
    <w:p w14:paraId="2CB1FE6E" w14:textId="73C62E12" w:rsidR="0074488E" w:rsidRPr="00DB3157" w:rsidRDefault="0074488E" w:rsidP="009574D3">
      <w:pPr>
        <w:pStyle w:val="Heading2"/>
        <w:rPr>
          <w:color w:val="D46228"/>
        </w:rPr>
      </w:pPr>
      <w:bookmarkStart w:id="594" w:name="_Toc84593942"/>
      <w:bookmarkStart w:id="595" w:name="_Toc85451817"/>
      <w:bookmarkStart w:id="596" w:name="_Toc85526748"/>
      <w:bookmarkStart w:id="597" w:name="_Toc85787163"/>
      <w:r w:rsidRPr="674E917E">
        <w:rPr>
          <w:color w:val="D46228"/>
        </w:rPr>
        <w:lastRenderedPageBreak/>
        <w:t>Woman’s mental health deteriorates in hotel quarantine</w:t>
      </w:r>
      <w:bookmarkEnd w:id="594"/>
      <w:bookmarkEnd w:id="595"/>
      <w:bookmarkEnd w:id="596"/>
      <w:bookmarkEnd w:id="597"/>
    </w:p>
    <w:p w14:paraId="437A96B4" w14:textId="77777777" w:rsidR="0074488E" w:rsidRDefault="0074488E" w:rsidP="0074488E">
      <w:pPr>
        <w:rPr>
          <w:rFonts w:cs="Arial"/>
          <w:bCs/>
        </w:rPr>
      </w:pPr>
      <w:r>
        <w:t xml:space="preserve">A woman in hotel quarantine after travelling interstate complained that she was given only five fresh air breaks in 14 days. She felt that the communication was poor – the police would say that fresh air </w:t>
      </w:r>
      <w:proofErr w:type="spellStart"/>
      <w:r>
        <w:t>breaks</w:t>
      </w:r>
      <w:proofErr w:type="spellEnd"/>
      <w:r>
        <w:t xml:space="preserve"> were Queensland Health’s responsibility, and the hotel reception said it was the Queensland Police Service’s role. During her stay her mental health deteriorated. Her GP provided a report to support her request to isolate at home. The woman rang the Acute Mental Health Team but felt that her concerns were dismissed.</w:t>
      </w:r>
    </w:p>
    <w:p w14:paraId="50F461F0" w14:textId="2DEEA89B" w:rsidR="0074488E" w:rsidRPr="006A1E93" w:rsidRDefault="0074488E" w:rsidP="0074488E">
      <w:pPr>
        <w:rPr>
          <w:rFonts w:cs="Arial"/>
          <w:bCs/>
        </w:rPr>
      </w:pPr>
      <w:r>
        <w:t xml:space="preserve">In conciliation, the respondents acknowledged how challenging it was for </w:t>
      </w:r>
      <w:r w:rsidR="00F235CD">
        <w:t xml:space="preserve">the woman </w:t>
      </w:r>
      <w:r>
        <w:t>in quarantine while explaining the public health importance of the quarantine system in containing COVID-19. They agreed to help her apply for a quarantine fee waiver on the basis of her personal circumstances.</w:t>
      </w:r>
    </w:p>
    <w:p w14:paraId="4A5E1944" w14:textId="0030E7B3" w:rsidR="0074488E" w:rsidRPr="006A1E93" w:rsidRDefault="0074488E" w:rsidP="00D53213">
      <w:pPr>
        <w:ind w:left="2880" w:hanging="2880"/>
        <w:rPr>
          <w:rFonts w:cs="Arial"/>
          <w:iCs/>
          <w:color w:val="2E74B5" w:themeColor="accent1" w:themeShade="BF"/>
        </w:rPr>
      </w:pPr>
      <w:r>
        <w:rPr>
          <w:rFonts w:cs="Arial"/>
          <w:iCs/>
        </w:rPr>
        <w:t>Relevant rights</w:t>
      </w:r>
      <w:r w:rsidRPr="006A1E93">
        <w:rPr>
          <w:rFonts w:cs="Arial"/>
          <w:iCs/>
        </w:rPr>
        <w:t>:</w:t>
      </w:r>
      <w:r w:rsidRPr="006A1E93">
        <w:rPr>
          <w:rFonts w:cs="Arial"/>
          <w:iCs/>
        </w:rPr>
        <w:tab/>
        <w:t>Recognition and equality before the law (section 15), freedom of movement (section 19</w:t>
      </w:r>
      <w:r w:rsidR="001C22EE">
        <w:rPr>
          <w:rFonts w:cs="Arial"/>
          <w:iCs/>
        </w:rPr>
        <w:t>)</w:t>
      </w:r>
    </w:p>
    <w:p w14:paraId="16FC20D2" w14:textId="15F6B5DB" w:rsidR="0074488E" w:rsidRDefault="0074488E" w:rsidP="0074488E">
      <w:pPr>
        <w:rPr>
          <w:rFonts w:cs="Arial"/>
          <w:iCs/>
        </w:rPr>
      </w:pPr>
      <w:r w:rsidRPr="006A1E93">
        <w:rPr>
          <w:rFonts w:cs="Arial"/>
          <w:iCs/>
        </w:rPr>
        <w:t>Complaint type:</w:t>
      </w:r>
      <w:r w:rsidRPr="006A1E93">
        <w:rPr>
          <w:rFonts w:cs="Arial"/>
          <w:iCs/>
        </w:rPr>
        <w:tab/>
      </w:r>
      <w:r w:rsidR="00D53213">
        <w:rPr>
          <w:rFonts w:cs="Arial"/>
          <w:iCs/>
        </w:rPr>
        <w:tab/>
      </w:r>
      <w:r w:rsidR="00B70C22">
        <w:rPr>
          <w:rFonts w:cs="Arial"/>
          <w:iCs/>
        </w:rPr>
        <w:t>Piggy-back complaint</w:t>
      </w:r>
      <w:r w:rsidRPr="006A1E93">
        <w:rPr>
          <w:rFonts w:cs="Arial"/>
          <w:iCs/>
        </w:rPr>
        <w:t>.</w:t>
      </w:r>
    </w:p>
    <w:p w14:paraId="6183C6F8" w14:textId="32C1C440" w:rsidR="0074488E" w:rsidRPr="00AC7032" w:rsidRDefault="0074488E" w:rsidP="0074488E">
      <w:pPr>
        <w:rPr>
          <w:rFonts w:cs="Arial"/>
          <w:lang w:val="fr-FR"/>
        </w:rPr>
      </w:pPr>
      <w:proofErr w:type="spellStart"/>
      <w:r w:rsidRPr="00AC7032">
        <w:rPr>
          <w:rFonts w:cs="Arial"/>
          <w:lang w:val="fr-FR"/>
        </w:rPr>
        <w:t>Attribute</w:t>
      </w:r>
      <w:proofErr w:type="spellEnd"/>
      <w:r w:rsidRPr="00AC7032">
        <w:rPr>
          <w:rFonts w:cs="Arial"/>
          <w:lang w:val="fr-FR"/>
        </w:rPr>
        <w:t>:</w:t>
      </w:r>
      <w:r w:rsidRPr="00AC7032">
        <w:rPr>
          <w:rFonts w:cs="Arial"/>
          <w:lang w:val="fr-FR"/>
        </w:rPr>
        <w:tab/>
      </w:r>
      <w:r w:rsidRPr="00AC7032">
        <w:rPr>
          <w:rFonts w:cs="Arial"/>
          <w:lang w:val="fr-FR"/>
        </w:rPr>
        <w:tab/>
      </w:r>
      <w:r w:rsidR="00D53213" w:rsidRPr="00AC7032">
        <w:rPr>
          <w:rFonts w:cs="Arial"/>
          <w:lang w:val="fr-FR"/>
        </w:rPr>
        <w:tab/>
      </w:r>
      <w:proofErr w:type="spellStart"/>
      <w:r w:rsidRPr="00AC7032">
        <w:rPr>
          <w:rFonts w:cs="Arial"/>
          <w:lang w:val="fr-FR"/>
        </w:rPr>
        <w:t>Impairment</w:t>
      </w:r>
      <w:proofErr w:type="spellEnd"/>
    </w:p>
    <w:p w14:paraId="2048B363" w14:textId="22BF9DF0" w:rsidR="00FA3C23" w:rsidRPr="00AC7032" w:rsidRDefault="0074488E" w:rsidP="001C22EE">
      <w:pPr>
        <w:rPr>
          <w:rFonts w:cs="Arial"/>
          <w:lang w:val="fr-FR"/>
        </w:rPr>
      </w:pPr>
      <w:r w:rsidRPr="00AC7032">
        <w:rPr>
          <w:rFonts w:cs="Arial"/>
          <w:lang w:val="fr-FR"/>
        </w:rPr>
        <w:t xml:space="preserve">Dispute </w:t>
      </w:r>
      <w:proofErr w:type="spellStart"/>
      <w:r w:rsidRPr="00AC7032">
        <w:rPr>
          <w:rFonts w:cs="Arial"/>
          <w:lang w:val="fr-FR"/>
        </w:rPr>
        <w:t>resolution</w:t>
      </w:r>
      <w:proofErr w:type="spellEnd"/>
      <w:r w:rsidRPr="00AC7032">
        <w:rPr>
          <w:rFonts w:cs="Arial"/>
          <w:lang w:val="fr-FR"/>
        </w:rPr>
        <w:t xml:space="preserve"> mode:</w:t>
      </w:r>
      <w:r w:rsidRPr="00AC7032">
        <w:rPr>
          <w:rFonts w:cs="Arial"/>
          <w:lang w:val="fr-FR"/>
        </w:rPr>
        <w:tab/>
        <w:t xml:space="preserve">Conciliation </w:t>
      </w:r>
      <w:proofErr w:type="spellStart"/>
      <w:r w:rsidRPr="00AC7032">
        <w:rPr>
          <w:rFonts w:cs="Arial"/>
          <w:lang w:val="fr-FR"/>
        </w:rPr>
        <w:t>conference</w:t>
      </w:r>
      <w:proofErr w:type="spellEnd"/>
    </w:p>
    <w:p w14:paraId="0EB3FB55" w14:textId="77777777" w:rsidR="00B95A41" w:rsidRPr="006A1E93" w:rsidRDefault="00B95A41" w:rsidP="009574D3">
      <w:pPr>
        <w:pStyle w:val="Heading2"/>
        <w:rPr>
          <w:color w:val="D46228"/>
        </w:rPr>
      </w:pPr>
      <w:bookmarkStart w:id="598" w:name="_Toc84593943"/>
      <w:bookmarkStart w:id="599" w:name="_Toc85451818"/>
      <w:bookmarkStart w:id="600" w:name="_Toc85526749"/>
      <w:bookmarkStart w:id="601" w:name="_Toc85787164"/>
      <w:r w:rsidRPr="674E917E">
        <w:rPr>
          <w:color w:val="D46228"/>
        </w:rPr>
        <w:t>Transport service reviews disability policies and commits to training</w:t>
      </w:r>
      <w:bookmarkEnd w:id="598"/>
      <w:bookmarkEnd w:id="599"/>
      <w:bookmarkEnd w:id="600"/>
      <w:bookmarkEnd w:id="601"/>
    </w:p>
    <w:p w14:paraId="29BDA3B4" w14:textId="77777777" w:rsidR="00B95A41" w:rsidRDefault="00B95A41" w:rsidP="001C22EE">
      <w:pPr>
        <w:rPr>
          <w:rFonts w:cs="Arial"/>
        </w:rPr>
      </w:pPr>
      <w:r>
        <w:t>A woman who had mobility issues made a complaint about the limited number of accessible parks at a bus terminal, and being issued with a number of fines for parking in other places. She said that on two occasions the bus driver refused to engage the ramp, requiring her to struggle up and down the bus stairs.</w:t>
      </w:r>
    </w:p>
    <w:p w14:paraId="6B3DF03A" w14:textId="77777777" w:rsidR="00B95A41" w:rsidRPr="002E364C" w:rsidRDefault="00B95A41" w:rsidP="001C22EE">
      <w:pPr>
        <w:rPr>
          <w:rFonts w:cs="Arial"/>
        </w:rPr>
      </w:pPr>
      <w:r>
        <w:t>The complaint was resolved on the basis that the transport service agreed to conduct an internal review of its policies and procedures about the use of ramps, and to provide a copy to all bus drivers employed by it. Employees were also required to attend training on the Anti-Discrimination Act and the Human Rights Act, and an internal training module on human rights and improving services to people with disability was introduced.</w:t>
      </w:r>
    </w:p>
    <w:p w14:paraId="4235D7FB" w14:textId="54E2279F" w:rsidR="00B95A41" w:rsidRDefault="00B95A41" w:rsidP="001C22EE">
      <w:pPr>
        <w:ind w:left="2880" w:hanging="2880"/>
        <w:rPr>
          <w:rFonts w:eastAsia="Times New Roman" w:cs="Arial"/>
          <w:color w:val="000000"/>
          <w:lang w:eastAsia="en-AU"/>
        </w:rPr>
      </w:pPr>
      <w:r>
        <w:rPr>
          <w:rFonts w:cs="Arial"/>
          <w:iCs/>
        </w:rPr>
        <w:t>Relevant rights</w:t>
      </w:r>
      <w:r w:rsidRPr="006A1E93">
        <w:rPr>
          <w:rFonts w:cs="Arial"/>
          <w:iCs/>
        </w:rPr>
        <w:t>:</w:t>
      </w:r>
      <w:r w:rsidRPr="006A1E93">
        <w:rPr>
          <w:rFonts w:cs="Arial"/>
          <w:iCs/>
        </w:rPr>
        <w:tab/>
        <w:t>Recognition and equality before the law (section 15</w:t>
      </w:r>
      <w:r w:rsidR="001C22EE">
        <w:rPr>
          <w:rFonts w:cs="Arial"/>
          <w:iCs/>
        </w:rPr>
        <w:t>)</w:t>
      </w:r>
    </w:p>
    <w:p w14:paraId="2094B044" w14:textId="186AFD80" w:rsidR="00B95A41" w:rsidRDefault="00B95A41" w:rsidP="001C22EE">
      <w:pPr>
        <w:rPr>
          <w:rFonts w:cs="Arial"/>
        </w:rPr>
      </w:pPr>
      <w:r>
        <w:rPr>
          <w:rFonts w:cs="Arial"/>
        </w:rPr>
        <w:lastRenderedPageBreak/>
        <w:t>Complaint type:</w:t>
      </w:r>
      <w:r>
        <w:rPr>
          <w:rFonts w:cs="Arial"/>
        </w:rPr>
        <w:tab/>
      </w:r>
      <w:r>
        <w:rPr>
          <w:rFonts w:cs="Arial"/>
        </w:rPr>
        <w:tab/>
      </w:r>
      <w:r w:rsidR="00B70C22">
        <w:rPr>
          <w:rFonts w:cs="Arial"/>
        </w:rPr>
        <w:t>Piggy-back complaint</w:t>
      </w:r>
    </w:p>
    <w:p w14:paraId="033AE2B8" w14:textId="5FE3F867" w:rsidR="00B95A41" w:rsidRDefault="00B95A41" w:rsidP="001C22EE">
      <w:pPr>
        <w:rPr>
          <w:rFonts w:cs="Arial"/>
        </w:rPr>
      </w:pPr>
      <w:r>
        <w:rPr>
          <w:rFonts w:cs="Arial"/>
        </w:rPr>
        <w:t>Attribute:</w:t>
      </w:r>
      <w:r>
        <w:rPr>
          <w:rFonts w:cs="Arial"/>
        </w:rPr>
        <w:tab/>
      </w:r>
      <w:r>
        <w:rPr>
          <w:rFonts w:cs="Arial"/>
        </w:rPr>
        <w:tab/>
      </w:r>
      <w:r>
        <w:rPr>
          <w:rFonts w:cs="Arial"/>
        </w:rPr>
        <w:tab/>
        <w:t>Impairment</w:t>
      </w:r>
    </w:p>
    <w:p w14:paraId="2C1AD515" w14:textId="1ACD550A" w:rsidR="00B95A41" w:rsidRDefault="00B95A41" w:rsidP="001C22EE">
      <w:pPr>
        <w:rPr>
          <w:rFonts w:cs="Arial"/>
        </w:rPr>
      </w:pPr>
      <w:r>
        <w:rPr>
          <w:rFonts w:cs="Arial"/>
        </w:rPr>
        <w:t>Dispute resolution mode:</w:t>
      </w:r>
      <w:r>
        <w:rPr>
          <w:rFonts w:cs="Arial"/>
        </w:rPr>
        <w:tab/>
        <w:t>Conciliation conference</w:t>
      </w:r>
    </w:p>
    <w:p w14:paraId="2230CC38" w14:textId="77777777" w:rsidR="00E35408" w:rsidRPr="006A1E93" w:rsidRDefault="00E35408" w:rsidP="009574D3">
      <w:pPr>
        <w:pStyle w:val="Heading2"/>
        <w:rPr>
          <w:color w:val="D46228"/>
        </w:rPr>
      </w:pPr>
      <w:bookmarkStart w:id="602" w:name="_Toc84593944"/>
      <w:bookmarkStart w:id="603" w:name="_Toc85451819"/>
      <w:bookmarkStart w:id="604" w:name="_Toc85526750"/>
      <w:bookmarkStart w:id="605" w:name="_Toc85787165"/>
      <w:r w:rsidRPr="674E917E">
        <w:rPr>
          <w:color w:val="D46228"/>
        </w:rPr>
        <w:t>Family experiences challenges in hotel quarantine</w:t>
      </w:r>
      <w:bookmarkEnd w:id="602"/>
      <w:bookmarkEnd w:id="603"/>
      <w:bookmarkEnd w:id="604"/>
      <w:bookmarkEnd w:id="605"/>
    </w:p>
    <w:p w14:paraId="45173C23" w14:textId="6916ED69" w:rsidR="00E35408" w:rsidRDefault="00E35408" w:rsidP="001C22EE">
      <w:pPr>
        <w:rPr>
          <w:rFonts w:cs="Arial"/>
        </w:rPr>
      </w:pPr>
      <w:r>
        <w:t xml:space="preserve">A mother and her two children, aged 4 years and 18 months, were in hotel quarantine. The room did not include a balcony or opening windows, and she reported not being allowed to have wellness walks because the baby would not keep a mask on. She was also concerned that the food was not nutritional for children and arrived at an inappropriate time such as 8:00pm. </w:t>
      </w:r>
    </w:p>
    <w:p w14:paraId="276AE29C" w14:textId="2F9ED293" w:rsidR="00E35408" w:rsidRPr="006A1E93" w:rsidRDefault="00E35408" w:rsidP="001C22EE">
      <w:pPr>
        <w:rPr>
          <w:rFonts w:cs="Arial"/>
        </w:rPr>
      </w:pPr>
      <w:r>
        <w:t xml:space="preserve">At the conciliation conference, the respondents acknowledged how difficult the situation had been for the family, and explained the significant issues </w:t>
      </w:r>
      <w:r w:rsidR="00B37D1D">
        <w:t>involved</w:t>
      </w:r>
      <w:r>
        <w:t xml:space="preserve"> in sourcing appropriate hotels to provide quarantine services to cope with the demand of returned travellers. The woman was satisfied with the discussions at the conciliation conference and felt that the issues had been satisfactorily addressed and resolved. As a gesture of goodwill, the hotel provided hotel vouchers to the family.</w:t>
      </w:r>
    </w:p>
    <w:p w14:paraId="4A84309F" w14:textId="511E6DCD" w:rsidR="00E35408" w:rsidRPr="006A1E93" w:rsidRDefault="00E35408" w:rsidP="001C22EE">
      <w:pPr>
        <w:ind w:left="2880" w:hanging="2880"/>
        <w:rPr>
          <w:rFonts w:cs="Arial"/>
          <w:iCs/>
          <w:color w:val="2E74B5" w:themeColor="accent1" w:themeShade="BF"/>
        </w:rPr>
      </w:pPr>
      <w:r>
        <w:rPr>
          <w:rFonts w:cs="Arial"/>
          <w:iCs/>
        </w:rPr>
        <w:t>Relevant rights</w:t>
      </w:r>
      <w:r w:rsidRPr="006A1E93">
        <w:rPr>
          <w:rFonts w:cs="Arial"/>
          <w:iCs/>
        </w:rPr>
        <w:t>:</w:t>
      </w:r>
      <w:r>
        <w:rPr>
          <w:rFonts w:cs="Arial"/>
          <w:iCs/>
        </w:rPr>
        <w:tab/>
      </w:r>
      <w:r w:rsidRPr="006A1E93">
        <w:rPr>
          <w:rFonts w:cs="Arial"/>
          <w:iCs/>
        </w:rPr>
        <w:t>Recognition and equality before the law (section 15), freedom of movement (section 19), humane treatment when deprived of liberty (section 30)</w:t>
      </w:r>
    </w:p>
    <w:p w14:paraId="4C4A1535" w14:textId="04F63583" w:rsidR="00E35408" w:rsidRDefault="00E35408" w:rsidP="001C22EE">
      <w:pPr>
        <w:rPr>
          <w:rFonts w:cs="Arial"/>
        </w:rPr>
      </w:pPr>
      <w:r w:rsidRPr="006A1E93">
        <w:rPr>
          <w:rFonts w:cs="Arial"/>
        </w:rPr>
        <w:t>Complaint type:</w:t>
      </w:r>
      <w:r w:rsidRPr="006A1E93">
        <w:rPr>
          <w:rFonts w:cs="Arial"/>
        </w:rPr>
        <w:tab/>
      </w:r>
      <w:r>
        <w:rPr>
          <w:rFonts w:cs="Arial"/>
        </w:rPr>
        <w:tab/>
      </w:r>
      <w:r w:rsidR="00B70C22">
        <w:rPr>
          <w:rFonts w:cs="Arial"/>
        </w:rPr>
        <w:t>Piggy-back complaint</w:t>
      </w:r>
    </w:p>
    <w:p w14:paraId="511C7D1A" w14:textId="29B731F9" w:rsidR="00E35408" w:rsidRDefault="00E35408" w:rsidP="001C22EE">
      <w:pPr>
        <w:rPr>
          <w:rFonts w:cs="Arial"/>
        </w:rPr>
      </w:pPr>
      <w:r>
        <w:rPr>
          <w:rFonts w:cs="Arial"/>
        </w:rPr>
        <w:t>Attribute:</w:t>
      </w:r>
      <w:r>
        <w:rPr>
          <w:rFonts w:cs="Arial"/>
        </w:rPr>
        <w:tab/>
      </w:r>
      <w:r>
        <w:rPr>
          <w:rFonts w:cs="Arial"/>
        </w:rPr>
        <w:tab/>
      </w:r>
      <w:r>
        <w:rPr>
          <w:rFonts w:cs="Arial"/>
        </w:rPr>
        <w:tab/>
        <w:t>Age, family responsibilities</w:t>
      </w:r>
    </w:p>
    <w:p w14:paraId="4CF82908" w14:textId="311701BD" w:rsidR="00E35408" w:rsidRPr="006A1E93" w:rsidRDefault="00E35408" w:rsidP="001C22EE">
      <w:pPr>
        <w:rPr>
          <w:rFonts w:cs="Arial"/>
        </w:rPr>
      </w:pPr>
      <w:r>
        <w:rPr>
          <w:rFonts w:cs="Arial"/>
        </w:rPr>
        <w:t>Dispute resolution mode:</w:t>
      </w:r>
      <w:r>
        <w:rPr>
          <w:rFonts w:cs="Arial"/>
        </w:rPr>
        <w:tab/>
        <w:t>Conciliation conference</w:t>
      </w:r>
    </w:p>
    <w:p w14:paraId="0747C261" w14:textId="77777777" w:rsidR="00A95F86" w:rsidRPr="006A1E93" w:rsidRDefault="00A95F86" w:rsidP="009574D3">
      <w:pPr>
        <w:pStyle w:val="Heading2"/>
        <w:rPr>
          <w:color w:val="D46228"/>
        </w:rPr>
      </w:pPr>
      <w:bookmarkStart w:id="606" w:name="_Toc84593945"/>
      <w:bookmarkStart w:id="607" w:name="_Toc85451820"/>
      <w:bookmarkStart w:id="608" w:name="_Toc85526751"/>
      <w:bookmarkStart w:id="609" w:name="_Toc85787166"/>
      <w:r w:rsidRPr="674E917E">
        <w:rPr>
          <w:color w:val="D46228"/>
        </w:rPr>
        <w:t>Unaccompanied children allowed to quarantine at home</w:t>
      </w:r>
      <w:bookmarkEnd w:id="606"/>
      <w:bookmarkEnd w:id="607"/>
      <w:bookmarkEnd w:id="608"/>
      <w:bookmarkEnd w:id="609"/>
    </w:p>
    <w:p w14:paraId="66F8BFA1" w14:textId="77777777" w:rsidR="00A95F86" w:rsidRDefault="00A95F86" w:rsidP="001C22EE">
      <w:pPr>
        <w:rPr>
          <w:rFonts w:cs="Arial"/>
        </w:rPr>
      </w:pPr>
      <w:r>
        <w:t>Two children aged 15 and 11 were placed alone in hotel quarantine and were unable to leave their room. Their father lived interstate and the mother lived in Queensland. They had been placed in hotel quarantine after flying home to Queensland from an interstate visit with their father.</w:t>
      </w:r>
    </w:p>
    <w:p w14:paraId="6FDC6CC3" w14:textId="283F5C0B" w:rsidR="00A95F86" w:rsidRPr="006A1E93" w:rsidRDefault="00A95F86" w:rsidP="001C22EE">
      <w:pPr>
        <w:rPr>
          <w:rFonts w:cs="Arial"/>
        </w:rPr>
      </w:pPr>
      <w:r>
        <w:t xml:space="preserve">The Commission dealt with the complaint urgently under the Human Rights Act. </w:t>
      </w:r>
      <w:r w:rsidR="000868CF">
        <w:t>Queensland Health</w:t>
      </w:r>
      <w:r>
        <w:t xml:space="preserve"> </w:t>
      </w:r>
      <w:r w:rsidR="000868CF">
        <w:t>was</w:t>
      </w:r>
      <w:r>
        <w:t xml:space="preserve"> informed about the complaint the same day it was lodged, and they immediately arranged for the children to be returned to their mother’s home that day where they were allowed to quarantine for 14 days.</w:t>
      </w:r>
    </w:p>
    <w:p w14:paraId="7645568B" w14:textId="1D90306A" w:rsidR="00A95F86" w:rsidRPr="004242C2" w:rsidRDefault="00A95F86" w:rsidP="001C22EE">
      <w:pPr>
        <w:ind w:left="2880" w:hanging="2880"/>
        <w:rPr>
          <w:rFonts w:cs="Arial"/>
          <w:iCs/>
        </w:rPr>
      </w:pPr>
      <w:r>
        <w:rPr>
          <w:rFonts w:cs="Arial"/>
          <w:iCs/>
        </w:rPr>
        <w:lastRenderedPageBreak/>
        <w:t>Relevant rights</w:t>
      </w:r>
      <w:r w:rsidRPr="006A1E93">
        <w:rPr>
          <w:rFonts w:cs="Arial"/>
          <w:iCs/>
        </w:rPr>
        <w:t>:</w:t>
      </w:r>
      <w:r w:rsidRPr="006A1E93">
        <w:rPr>
          <w:rFonts w:cs="Arial"/>
          <w:iCs/>
        </w:rPr>
        <w:tab/>
        <w:t xml:space="preserve">Recognition and equality before the law (section 15), freedom of movement (section 19), humane treatment when deprived of liberty (section 30), </w:t>
      </w:r>
      <w:r w:rsidRPr="004242C2">
        <w:rPr>
          <w:rFonts w:cs="Arial"/>
          <w:iCs/>
        </w:rPr>
        <w:t>right to liberty and security of the person (section 29</w:t>
      </w:r>
      <w:r w:rsidR="001C22EE">
        <w:rPr>
          <w:rFonts w:cs="Arial"/>
          <w:iCs/>
        </w:rPr>
        <w:t>)</w:t>
      </w:r>
    </w:p>
    <w:p w14:paraId="5D160D4D" w14:textId="098BB64C" w:rsidR="00A95F86" w:rsidRDefault="00A95F86" w:rsidP="001C22EE">
      <w:pPr>
        <w:rPr>
          <w:rFonts w:cs="Arial"/>
        </w:rPr>
      </w:pPr>
      <w:r w:rsidRPr="006A1E93">
        <w:rPr>
          <w:rFonts w:cs="Arial"/>
        </w:rPr>
        <w:t xml:space="preserve">Complaint type: </w:t>
      </w:r>
      <w:r w:rsidRPr="006A1E93">
        <w:rPr>
          <w:rFonts w:cs="Arial"/>
        </w:rPr>
        <w:tab/>
      </w:r>
      <w:r>
        <w:rPr>
          <w:rFonts w:cs="Arial"/>
        </w:rPr>
        <w:tab/>
      </w:r>
      <w:r w:rsidRPr="006A1E93">
        <w:rPr>
          <w:rFonts w:cs="Arial"/>
        </w:rPr>
        <w:t>Human rights only</w:t>
      </w:r>
    </w:p>
    <w:p w14:paraId="45FCA66A" w14:textId="651AFB7D" w:rsidR="00857242" w:rsidRDefault="00A95F86" w:rsidP="001C22EE">
      <w:pPr>
        <w:rPr>
          <w:rFonts w:cs="Arial"/>
        </w:rPr>
      </w:pPr>
      <w:r>
        <w:rPr>
          <w:rFonts w:cs="Arial"/>
        </w:rPr>
        <w:t>Dispute resolution mode:</w:t>
      </w:r>
      <w:r>
        <w:rPr>
          <w:rFonts w:cs="Arial"/>
        </w:rPr>
        <w:tab/>
        <w:t>Early intervention</w:t>
      </w:r>
    </w:p>
    <w:p w14:paraId="4E1CCF3C" w14:textId="411E645A" w:rsidR="00857242" w:rsidRDefault="00857242" w:rsidP="009574D3">
      <w:pPr>
        <w:pStyle w:val="Heading2"/>
        <w:rPr>
          <w:color w:val="D46228"/>
        </w:rPr>
      </w:pPr>
      <w:bookmarkStart w:id="610" w:name="_Toc84593946"/>
      <w:bookmarkStart w:id="611" w:name="_Toc85451821"/>
      <w:bookmarkStart w:id="612" w:name="_Toc85526752"/>
      <w:bookmarkStart w:id="613" w:name="_Toc85787167"/>
      <w:r w:rsidRPr="674E917E">
        <w:rPr>
          <w:color w:val="D46228"/>
        </w:rPr>
        <w:t>Appropriate accommodation found for family’s quarantine stay</w:t>
      </w:r>
      <w:bookmarkEnd w:id="610"/>
      <w:bookmarkEnd w:id="611"/>
      <w:bookmarkEnd w:id="612"/>
      <w:bookmarkEnd w:id="613"/>
    </w:p>
    <w:p w14:paraId="42471E1E" w14:textId="68B0E5BA" w:rsidR="00857242" w:rsidRDefault="00857242" w:rsidP="00857242">
      <w:pPr>
        <w:rPr>
          <w:rFonts w:cs="Arial"/>
        </w:rPr>
      </w:pPr>
      <w:r>
        <w:t>A family was moving back to Queensland after living overseas, and requested to quarantine at home because their 8</w:t>
      </w:r>
      <w:r w:rsidR="00F66C9A">
        <w:t>-</w:t>
      </w:r>
      <w:r>
        <w:t>year</w:t>
      </w:r>
      <w:r w:rsidR="00F66C9A">
        <w:t>-</w:t>
      </w:r>
      <w:r>
        <w:t>old daughter has ASD, ADHD, anxiety</w:t>
      </w:r>
      <w:r w:rsidR="00F66C9A">
        <w:t>,</w:t>
      </w:r>
      <w:r>
        <w:t xml:space="preserve"> and obsessive behaviours. Because of her disability she is prone to meltdowns and has food aversions. The request for exemption from hotel quarantine was rejected.</w:t>
      </w:r>
    </w:p>
    <w:p w14:paraId="3D5B3F43" w14:textId="0EF8A9EB" w:rsidR="00857242" w:rsidRDefault="00857242" w:rsidP="00857242">
      <w:pPr>
        <w:rPr>
          <w:rFonts w:cs="Arial"/>
        </w:rPr>
      </w:pPr>
      <w:r>
        <w:t>The complaint was resolved on the basis that the family was allocated more appropriate hotel quarantine accommodation of a 2</w:t>
      </w:r>
      <w:r w:rsidR="00F66C9A">
        <w:t>-</w:t>
      </w:r>
      <w:r>
        <w:t>bedroom apartment with a kitchen and balcony.</w:t>
      </w:r>
    </w:p>
    <w:p w14:paraId="7096C96D" w14:textId="6BBDF6C4" w:rsidR="00857242" w:rsidRPr="00E74997" w:rsidRDefault="00857242" w:rsidP="00F65481">
      <w:pPr>
        <w:ind w:left="2880" w:hanging="2880"/>
        <w:rPr>
          <w:rFonts w:cs="Arial"/>
          <w:iCs/>
          <w:color w:val="2E74B5" w:themeColor="accent1" w:themeShade="BF"/>
        </w:rPr>
      </w:pPr>
      <w:r>
        <w:rPr>
          <w:rFonts w:cs="Arial"/>
        </w:rPr>
        <w:t>Relevant rights:</w:t>
      </w:r>
      <w:r>
        <w:rPr>
          <w:rFonts w:cs="Arial"/>
        </w:rPr>
        <w:tab/>
      </w:r>
      <w:r>
        <w:rPr>
          <w:rFonts w:cs="Arial"/>
          <w:iCs/>
        </w:rPr>
        <w:t xml:space="preserve">Recognition and equality before the law (section 15), </w:t>
      </w:r>
      <w:r w:rsidR="001C22EE">
        <w:rPr>
          <w:rFonts w:cs="Arial"/>
          <w:iCs/>
        </w:rPr>
        <w:t>f</w:t>
      </w:r>
      <w:r>
        <w:rPr>
          <w:rFonts w:cs="Arial"/>
          <w:iCs/>
        </w:rPr>
        <w:t>reedom of movement (section 19</w:t>
      </w:r>
      <w:r w:rsidR="001C22EE">
        <w:rPr>
          <w:rFonts w:cs="Arial"/>
          <w:iCs/>
        </w:rPr>
        <w:t>)</w:t>
      </w:r>
    </w:p>
    <w:p w14:paraId="63BA3D80" w14:textId="5E1660D4" w:rsidR="00857242" w:rsidRDefault="00857242" w:rsidP="001C22EE">
      <w:pPr>
        <w:rPr>
          <w:rFonts w:cs="Arial"/>
        </w:rPr>
      </w:pPr>
      <w:r>
        <w:rPr>
          <w:rFonts w:cs="Arial"/>
        </w:rPr>
        <w:t xml:space="preserve">Complaint type: </w:t>
      </w:r>
      <w:r>
        <w:rPr>
          <w:rFonts w:cs="Arial"/>
        </w:rPr>
        <w:tab/>
      </w:r>
      <w:r>
        <w:rPr>
          <w:rFonts w:cs="Arial"/>
        </w:rPr>
        <w:tab/>
      </w:r>
      <w:r w:rsidR="00B70C22">
        <w:rPr>
          <w:rFonts w:cs="Arial"/>
        </w:rPr>
        <w:t>Piggy-back complaint</w:t>
      </w:r>
    </w:p>
    <w:p w14:paraId="0A967596" w14:textId="77777777" w:rsidR="00857242" w:rsidRDefault="00857242" w:rsidP="00857242">
      <w:pPr>
        <w:rPr>
          <w:rFonts w:cs="Arial"/>
        </w:rPr>
      </w:pPr>
      <w:r>
        <w:rPr>
          <w:rFonts w:cs="Arial"/>
        </w:rPr>
        <w:t>Attribute:</w:t>
      </w:r>
      <w:r>
        <w:rPr>
          <w:rFonts w:cs="Arial"/>
        </w:rPr>
        <w:tab/>
      </w:r>
      <w:r>
        <w:rPr>
          <w:rFonts w:cs="Arial"/>
        </w:rPr>
        <w:tab/>
      </w:r>
      <w:r>
        <w:rPr>
          <w:rFonts w:cs="Arial"/>
        </w:rPr>
        <w:tab/>
        <w:t>Impairment</w:t>
      </w:r>
    </w:p>
    <w:p w14:paraId="6FE81BC2" w14:textId="4CBD9921" w:rsidR="007521E3" w:rsidRPr="00F65481" w:rsidRDefault="00857242" w:rsidP="00F65481">
      <w:pPr>
        <w:rPr>
          <w:rFonts w:cs="Arial"/>
        </w:rPr>
      </w:pPr>
      <w:r>
        <w:rPr>
          <w:rFonts w:cs="Arial"/>
        </w:rPr>
        <w:t>Dispute resolution mode:</w:t>
      </w:r>
      <w:r>
        <w:rPr>
          <w:rFonts w:cs="Arial"/>
        </w:rPr>
        <w:tab/>
        <w:t>Early intervention</w:t>
      </w:r>
    </w:p>
    <w:p w14:paraId="0DA8D2FA" w14:textId="77777777" w:rsidR="00857242" w:rsidRDefault="00857242" w:rsidP="009574D3">
      <w:pPr>
        <w:pStyle w:val="Heading2"/>
        <w:rPr>
          <w:color w:val="D46228"/>
        </w:rPr>
      </w:pPr>
      <w:bookmarkStart w:id="614" w:name="_Toc84593947"/>
      <w:bookmarkStart w:id="615" w:name="_Toc85451822"/>
      <w:bookmarkStart w:id="616" w:name="_Toc85526753"/>
      <w:bookmarkStart w:id="617" w:name="_Toc85787168"/>
      <w:r w:rsidRPr="674E917E">
        <w:rPr>
          <w:color w:val="D46228"/>
        </w:rPr>
        <w:t>Alternative to mask-wearing provided for pregnant woman</w:t>
      </w:r>
      <w:bookmarkEnd w:id="614"/>
      <w:bookmarkEnd w:id="615"/>
      <w:bookmarkEnd w:id="616"/>
      <w:bookmarkEnd w:id="617"/>
    </w:p>
    <w:p w14:paraId="20B27619" w14:textId="77777777" w:rsidR="00857242" w:rsidRDefault="00857242" w:rsidP="00857242">
      <w:pPr>
        <w:rPr>
          <w:rFonts w:cs="Arial"/>
        </w:rPr>
      </w:pPr>
      <w:r>
        <w:t xml:space="preserve">A hospital required patients to use face masks to prevent the spread of COVID-19, in accordance with official health directions at the time. A pregnant woman asked for an exemption for wearing a mask as due to a trauma background, the experience of having her mouth covered caused claustrophobia and panic attacks. </w:t>
      </w:r>
    </w:p>
    <w:p w14:paraId="7969562D" w14:textId="77777777" w:rsidR="00857242" w:rsidRDefault="00857242" w:rsidP="00857242">
      <w:pPr>
        <w:rPr>
          <w:rFonts w:cs="Arial"/>
        </w:rPr>
      </w:pPr>
      <w:r>
        <w:t xml:space="preserve">When the woman enquired with the hospital about an upcoming appointment she was told she would not be allowed in without a mask. She was concerned about missing her in-person appointment, particularly because it was a high-risk pregnancy due to her having a number of medical conditions. </w:t>
      </w:r>
    </w:p>
    <w:p w14:paraId="591BE5EC" w14:textId="77777777" w:rsidR="00857242" w:rsidRDefault="00857242" w:rsidP="00857242">
      <w:pPr>
        <w:rPr>
          <w:rFonts w:cs="Arial"/>
        </w:rPr>
      </w:pPr>
      <w:r>
        <w:lastRenderedPageBreak/>
        <w:t xml:space="preserve">The conciliator from the Commission assisted a resolution with the hospital through early intervention. The conciliator checked with the woman whether the use of a PPE face screen might work as an alternative to the mask. The woman advised that this kind of face covering would not affect her mental health in the way a mask does. The hospital then followed up directly with the woman, advising her that her system would now include a note that she is exempt from wearing a mask and that they would provide her with a face shield instead. The woman expressed her gratitude for the matter being resolved swiftly and to her satisfaction and she was able to attend her medical appointment as planned. </w:t>
      </w:r>
    </w:p>
    <w:p w14:paraId="1E506607" w14:textId="32BB5CEE" w:rsidR="00857242" w:rsidRDefault="00857242" w:rsidP="00857242">
      <w:pPr>
        <w:ind w:left="2880" w:hanging="2880"/>
        <w:rPr>
          <w:rFonts w:cs="Arial"/>
          <w:iCs/>
        </w:rPr>
      </w:pPr>
      <w:r>
        <w:rPr>
          <w:rFonts w:cs="Arial"/>
          <w:iCs/>
        </w:rPr>
        <w:t>Relevant rights:</w:t>
      </w:r>
      <w:r>
        <w:rPr>
          <w:rFonts w:cs="Arial"/>
          <w:iCs/>
        </w:rPr>
        <w:tab/>
        <w:t>Protection of families and children (section 26), privacy and reputation</w:t>
      </w:r>
      <w:r w:rsidR="003A15C0">
        <w:rPr>
          <w:rFonts w:cs="Arial"/>
          <w:iCs/>
        </w:rPr>
        <w:t xml:space="preserve"> </w:t>
      </w:r>
      <w:r>
        <w:rPr>
          <w:rFonts w:cs="Arial"/>
          <w:iCs/>
        </w:rPr>
        <w:t>(section 25), right to health services (section 37</w:t>
      </w:r>
      <w:r w:rsidR="001C22EE">
        <w:rPr>
          <w:rFonts w:cs="Arial"/>
          <w:iCs/>
        </w:rPr>
        <w:t>)</w:t>
      </w:r>
    </w:p>
    <w:p w14:paraId="0D66E57A" w14:textId="6FAD8C49" w:rsidR="00857242" w:rsidRDefault="00857242" w:rsidP="001C22EE">
      <w:pPr>
        <w:rPr>
          <w:rFonts w:cs="Arial"/>
          <w:iCs/>
        </w:rPr>
      </w:pPr>
      <w:r>
        <w:rPr>
          <w:rFonts w:cs="Arial"/>
          <w:iCs/>
        </w:rPr>
        <w:t>Complaint type:</w:t>
      </w:r>
      <w:r>
        <w:rPr>
          <w:rFonts w:cs="Arial"/>
          <w:iCs/>
        </w:rPr>
        <w:tab/>
      </w:r>
      <w:r w:rsidR="001C22EE">
        <w:rPr>
          <w:rFonts w:cs="Arial"/>
          <w:iCs/>
        </w:rPr>
        <w:tab/>
      </w:r>
      <w:r>
        <w:rPr>
          <w:rFonts w:cs="Arial"/>
          <w:iCs/>
        </w:rPr>
        <w:t>Human rights</w:t>
      </w:r>
    </w:p>
    <w:p w14:paraId="4F3EA388" w14:textId="4DC1D83E" w:rsidR="00472640" w:rsidRDefault="00857242" w:rsidP="001C22EE">
      <w:pPr>
        <w:rPr>
          <w:rFonts w:cs="Arial"/>
          <w:iCs/>
        </w:rPr>
      </w:pPr>
      <w:r>
        <w:rPr>
          <w:rFonts w:cs="Arial"/>
          <w:iCs/>
        </w:rPr>
        <w:t>Dispute resolution mode:</w:t>
      </w:r>
      <w:r>
        <w:rPr>
          <w:rFonts w:cs="Arial"/>
          <w:iCs/>
        </w:rPr>
        <w:tab/>
        <w:t>Early intervention</w:t>
      </w:r>
    </w:p>
    <w:p w14:paraId="6950AE51" w14:textId="44B42D67" w:rsidR="00472640" w:rsidRDefault="00472640" w:rsidP="009574D3">
      <w:pPr>
        <w:pStyle w:val="Heading2"/>
        <w:rPr>
          <w:color w:val="D46228"/>
        </w:rPr>
      </w:pPr>
      <w:bookmarkStart w:id="618" w:name="_Toc84593948"/>
      <w:bookmarkStart w:id="619" w:name="_Toc85451823"/>
      <w:bookmarkStart w:id="620" w:name="_Toc85526754"/>
      <w:bookmarkStart w:id="621" w:name="_Toc85787169"/>
      <w:r w:rsidRPr="674E917E">
        <w:rPr>
          <w:color w:val="D46228"/>
        </w:rPr>
        <w:t>Approved absence from social housing allowed mother to pursue training opportunity</w:t>
      </w:r>
      <w:bookmarkEnd w:id="618"/>
      <w:bookmarkEnd w:id="619"/>
      <w:bookmarkEnd w:id="620"/>
      <w:bookmarkEnd w:id="621"/>
    </w:p>
    <w:p w14:paraId="573C3AC2" w14:textId="60CF0FB7" w:rsidR="00472640" w:rsidRDefault="00472640" w:rsidP="00472640">
      <w:pPr>
        <w:rPr>
          <w:rFonts w:cs="Arial"/>
        </w:rPr>
      </w:pPr>
      <w:r>
        <w:t>A social housing provider had a general rule that absences from the home of more than 5 months were not permitted. A mother of four children needed to leave her home for several months at a time to commence defence force training. She sought to better her employment opportunities, with her husband being the primary carer of the children. One of her four children ha</w:t>
      </w:r>
      <w:r w:rsidR="00A959C9">
        <w:t>s</w:t>
      </w:r>
      <w:r>
        <w:t xml:space="preserve"> an intellectual disability and a hearing impairment. She was told by the housing provider that if she commenced the training as planned, she would be in breach of the 5</w:t>
      </w:r>
      <w:r w:rsidR="00A959C9">
        <w:t>-</w:t>
      </w:r>
      <w:r>
        <w:t>month rule and the family would need to leave their home.</w:t>
      </w:r>
    </w:p>
    <w:p w14:paraId="3CA6FC71" w14:textId="1AC48AD5" w:rsidR="00472640" w:rsidRDefault="00472640" w:rsidP="00472640">
      <w:pPr>
        <w:rPr>
          <w:rFonts w:cs="Arial"/>
        </w:rPr>
      </w:pPr>
      <w:r>
        <w:t>Through conciliation it was agreed that the woman would be permitted to be absent from the property to complete the training, on the condition that she provide evidence of the requirement to attend, return to the property shortly after each absence, notify the housing provider once the training was completed, and continue to pay rent and maintain responsibility for the property during her absence.</w:t>
      </w:r>
    </w:p>
    <w:p w14:paraId="6D2F5E54" w14:textId="1467EDB1" w:rsidR="00472640" w:rsidRDefault="00472640" w:rsidP="000962BF">
      <w:pPr>
        <w:ind w:left="2880" w:hanging="2880"/>
        <w:rPr>
          <w:rFonts w:cs="Arial"/>
          <w:iCs/>
        </w:rPr>
      </w:pPr>
      <w:r>
        <w:rPr>
          <w:rFonts w:cs="Arial"/>
          <w:iCs/>
        </w:rPr>
        <w:t>Relevant rights:</w:t>
      </w:r>
      <w:r>
        <w:rPr>
          <w:rFonts w:cs="Arial"/>
          <w:iCs/>
        </w:rPr>
        <w:tab/>
        <w:t>Recognition and equality before the law (section 15), freedom of movement (section 18), property rights (section 24), protection of families and children (section 26</w:t>
      </w:r>
      <w:r w:rsidR="001C22EE">
        <w:rPr>
          <w:rFonts w:cs="Arial"/>
          <w:iCs/>
        </w:rPr>
        <w:t>)</w:t>
      </w:r>
    </w:p>
    <w:p w14:paraId="4D42B034" w14:textId="70820F4F" w:rsidR="00472640" w:rsidRDefault="00472640" w:rsidP="00472640">
      <w:pPr>
        <w:rPr>
          <w:rFonts w:cs="Arial"/>
          <w:iCs/>
        </w:rPr>
      </w:pPr>
      <w:r>
        <w:rPr>
          <w:rFonts w:cs="Arial"/>
          <w:iCs/>
        </w:rPr>
        <w:t>Complaint type:</w:t>
      </w:r>
      <w:r>
        <w:rPr>
          <w:rFonts w:cs="Arial"/>
          <w:iCs/>
        </w:rPr>
        <w:tab/>
      </w:r>
      <w:r>
        <w:rPr>
          <w:rFonts w:cs="Arial"/>
          <w:iCs/>
        </w:rPr>
        <w:tab/>
      </w:r>
      <w:r w:rsidR="00B70C22">
        <w:rPr>
          <w:rFonts w:cs="Arial"/>
          <w:iCs/>
        </w:rPr>
        <w:t>Piggy-back complaint</w:t>
      </w:r>
    </w:p>
    <w:p w14:paraId="126EA61E" w14:textId="77777777" w:rsidR="00472640" w:rsidRDefault="00472640" w:rsidP="00472640">
      <w:pPr>
        <w:rPr>
          <w:rFonts w:cs="Arial"/>
          <w:iCs/>
        </w:rPr>
      </w:pPr>
      <w:r>
        <w:rPr>
          <w:rFonts w:cs="Arial"/>
          <w:iCs/>
        </w:rPr>
        <w:t>Attribute:</w:t>
      </w:r>
      <w:r>
        <w:rPr>
          <w:rFonts w:cs="Arial"/>
          <w:iCs/>
        </w:rPr>
        <w:tab/>
      </w:r>
      <w:r>
        <w:rPr>
          <w:rFonts w:cs="Arial"/>
          <w:iCs/>
        </w:rPr>
        <w:tab/>
      </w:r>
      <w:r>
        <w:rPr>
          <w:rFonts w:cs="Arial"/>
          <w:iCs/>
        </w:rPr>
        <w:tab/>
        <w:t>Family responsibilities</w:t>
      </w:r>
    </w:p>
    <w:p w14:paraId="63C301B6" w14:textId="1DF0E02E" w:rsidR="005312A8" w:rsidRDefault="00472640" w:rsidP="005312A8">
      <w:pPr>
        <w:rPr>
          <w:rFonts w:cs="Arial"/>
          <w:iCs/>
        </w:rPr>
      </w:pPr>
      <w:r>
        <w:rPr>
          <w:rFonts w:cs="Arial"/>
          <w:iCs/>
        </w:rPr>
        <w:lastRenderedPageBreak/>
        <w:t>Dispute resolution mode:</w:t>
      </w:r>
      <w:r>
        <w:rPr>
          <w:rFonts w:cs="Arial"/>
          <w:iCs/>
        </w:rPr>
        <w:tab/>
        <w:t>Conciliation conference</w:t>
      </w:r>
    </w:p>
    <w:p w14:paraId="46A80710" w14:textId="05B3F4CD" w:rsidR="005312A8" w:rsidRDefault="005312A8" w:rsidP="009574D3">
      <w:pPr>
        <w:pStyle w:val="Heading2"/>
        <w:rPr>
          <w:color w:val="D46228"/>
        </w:rPr>
      </w:pPr>
      <w:bookmarkStart w:id="622" w:name="_Toc84593949"/>
      <w:bookmarkStart w:id="623" w:name="_Toc85451824"/>
      <w:bookmarkStart w:id="624" w:name="_Toc85526755"/>
      <w:bookmarkStart w:id="625" w:name="_Toc85787170"/>
      <w:r w:rsidRPr="674E917E">
        <w:rPr>
          <w:color w:val="D46228"/>
        </w:rPr>
        <w:t>Police express regret about asking traditional custodians to move on while exercising their cultural rights</w:t>
      </w:r>
      <w:bookmarkEnd w:id="622"/>
      <w:bookmarkEnd w:id="623"/>
      <w:bookmarkEnd w:id="624"/>
      <w:bookmarkEnd w:id="625"/>
    </w:p>
    <w:p w14:paraId="3723BC1E" w14:textId="0C9795FD" w:rsidR="005312A8" w:rsidRDefault="00471D3D" w:rsidP="005312A8">
      <w:pPr>
        <w:rPr>
          <w:rFonts w:cs="Arial"/>
        </w:rPr>
      </w:pPr>
      <w:r>
        <w:t>C</w:t>
      </w:r>
      <w:r w:rsidR="005312A8">
        <w:t>ommunity</w:t>
      </w:r>
      <w:r>
        <w:t xml:space="preserve"> leader</w:t>
      </w:r>
      <w:r w:rsidR="008A42BE">
        <w:t xml:space="preserve"> Adrian </w:t>
      </w:r>
      <w:proofErr w:type="spellStart"/>
      <w:r w:rsidR="008A42BE">
        <w:t>Burragubba</w:t>
      </w:r>
      <w:proofErr w:type="spellEnd"/>
      <w:r w:rsidR="005312A8">
        <w:t xml:space="preserve"> and his family were camping, practicing their culture</w:t>
      </w:r>
      <w:r w:rsidR="00116201">
        <w:t>,</w:t>
      </w:r>
      <w:r w:rsidR="005312A8">
        <w:t xml:space="preserve"> and performing traditional ceremonies on a pastoral lease area. Police officers approached the group and asked them to leave, stating that </w:t>
      </w:r>
      <w:r w:rsidR="008A42BE">
        <w:t>the</w:t>
      </w:r>
      <w:r w:rsidR="005312A8">
        <w:t xml:space="preserve"> mining company </w:t>
      </w:r>
      <w:r w:rsidR="008A42BE">
        <w:t>Adani</w:t>
      </w:r>
      <w:r w:rsidR="005312A8">
        <w:t xml:space="preserve"> had claimed they were ‘trespassing’. The site was the subject of an Indigenous Land Use Agreement but the family opposed the agreement and the mine, saying that Aboriginal people had been exercising their culture by fishing and hunting and performing ceremonies for 40,000 years.</w:t>
      </w:r>
    </w:p>
    <w:p w14:paraId="70F4936D" w14:textId="67BBF95B" w:rsidR="005312A8" w:rsidRDefault="005312A8" w:rsidP="005312A8">
      <w:pPr>
        <w:rPr>
          <w:rFonts w:cs="Arial"/>
        </w:rPr>
      </w:pPr>
      <w:r>
        <w:t>Cultural rights of Aboriginal peoples and Torres Strait Islander peoples are specifically protected by the Human Rights Act, including the right to maintain their distinctive spiritual, material</w:t>
      </w:r>
      <w:r w:rsidR="006E5B07">
        <w:t>,</w:t>
      </w:r>
      <w:r>
        <w:t xml:space="preserve"> and economic relationship with the land and waters with which they hold a connection.</w:t>
      </w:r>
    </w:p>
    <w:p w14:paraId="71C8B634" w14:textId="77777777" w:rsidR="005312A8" w:rsidRDefault="005312A8" w:rsidP="005312A8">
      <w:pPr>
        <w:rPr>
          <w:rFonts w:cs="Arial"/>
        </w:rPr>
      </w:pPr>
      <w:r>
        <w:t xml:space="preserve">The family told the police that they had received expert advice that they could lawfully exercise their cultural rights and responsibilities. However, the police required the group to pack up their equipment and leave within an hour. The family says that this caused grief and trauma. </w:t>
      </w:r>
    </w:p>
    <w:p w14:paraId="3C02E19A" w14:textId="688F25D3" w:rsidR="005312A8" w:rsidRDefault="005312A8" w:rsidP="005312A8">
      <w:pPr>
        <w:rPr>
          <w:rFonts w:cs="Arial"/>
        </w:rPr>
      </w:pPr>
      <w:r>
        <w:t xml:space="preserve">The Queensland Police Service </w:t>
      </w:r>
      <w:r w:rsidR="00A9712F">
        <w:t>(QPS)</w:t>
      </w:r>
      <w:r>
        <w:t xml:space="preserve"> agreed to provide a statement of regret which was able to be shared publicly. The statement acknowledged that the events caused embarrassment, hurt</w:t>
      </w:r>
      <w:r w:rsidR="00692830">
        <w:t>,</w:t>
      </w:r>
      <w:r>
        <w:t xml:space="preserve"> and humiliation for the complainant and his extended family, that there are complex legal issues and cultural sensitivities, and that the QPS will commit to take into account the issues in the complaint in future responses.</w:t>
      </w:r>
    </w:p>
    <w:p w14:paraId="55959C66" w14:textId="0F080F12" w:rsidR="005312A8" w:rsidRDefault="005312A8" w:rsidP="000868CF">
      <w:pPr>
        <w:ind w:left="2880" w:hanging="2880"/>
        <w:rPr>
          <w:rFonts w:cs="Arial"/>
          <w:iCs/>
        </w:rPr>
      </w:pPr>
      <w:r>
        <w:rPr>
          <w:rFonts w:cs="Arial"/>
          <w:iCs/>
        </w:rPr>
        <w:t>Relevant rights:</w:t>
      </w:r>
      <w:r>
        <w:rPr>
          <w:rFonts w:cs="Arial"/>
          <w:iCs/>
        </w:rPr>
        <w:tab/>
        <w:t>Recognition and equality before the law (section 15), freedom of movement (section 18), cultural rights – Aboriginal peoples and Torres Strait Islander peoples (section 28</w:t>
      </w:r>
      <w:r w:rsidR="001C22EE">
        <w:rPr>
          <w:rFonts w:cs="Arial"/>
          <w:iCs/>
        </w:rPr>
        <w:t>)</w:t>
      </w:r>
    </w:p>
    <w:p w14:paraId="679DCB85" w14:textId="23048F12" w:rsidR="005312A8" w:rsidRPr="00AC7032" w:rsidRDefault="005312A8" w:rsidP="005312A8">
      <w:pPr>
        <w:rPr>
          <w:rFonts w:cs="Arial"/>
          <w:lang w:val="fr-FR"/>
        </w:rPr>
      </w:pPr>
      <w:r w:rsidRPr="00AC7032">
        <w:rPr>
          <w:rFonts w:cs="Arial"/>
          <w:lang w:val="fr-FR"/>
        </w:rPr>
        <w:t>Complaint type:</w:t>
      </w:r>
      <w:r w:rsidRPr="00AC7032">
        <w:rPr>
          <w:rFonts w:cs="Arial"/>
          <w:lang w:val="fr-FR"/>
        </w:rPr>
        <w:tab/>
      </w:r>
      <w:r w:rsidRPr="00AC7032">
        <w:rPr>
          <w:rFonts w:cs="Arial"/>
          <w:lang w:val="fr-FR"/>
        </w:rPr>
        <w:tab/>
      </w:r>
      <w:proofErr w:type="spellStart"/>
      <w:r w:rsidR="00B70C22" w:rsidRPr="00AC7032">
        <w:rPr>
          <w:rFonts w:cs="Arial"/>
          <w:lang w:val="fr-FR"/>
        </w:rPr>
        <w:t>Piggy</w:t>
      </w:r>
      <w:proofErr w:type="spellEnd"/>
      <w:r w:rsidR="00B70C22" w:rsidRPr="00AC7032">
        <w:rPr>
          <w:rFonts w:cs="Arial"/>
          <w:lang w:val="fr-FR"/>
        </w:rPr>
        <w:t>-back complaint</w:t>
      </w:r>
    </w:p>
    <w:p w14:paraId="2B959EAF" w14:textId="77777777" w:rsidR="005312A8" w:rsidRPr="00AC7032" w:rsidRDefault="005312A8" w:rsidP="005312A8">
      <w:pPr>
        <w:rPr>
          <w:rFonts w:cs="Arial"/>
          <w:lang w:val="fr-FR"/>
        </w:rPr>
      </w:pPr>
      <w:proofErr w:type="spellStart"/>
      <w:r w:rsidRPr="00AC7032">
        <w:rPr>
          <w:rFonts w:cs="Arial"/>
          <w:lang w:val="fr-FR"/>
        </w:rPr>
        <w:t>Attribute</w:t>
      </w:r>
      <w:proofErr w:type="spellEnd"/>
      <w:r w:rsidRPr="00AC7032">
        <w:rPr>
          <w:rFonts w:cs="Arial"/>
          <w:lang w:val="fr-FR"/>
        </w:rPr>
        <w:t>:</w:t>
      </w:r>
      <w:r w:rsidRPr="00AC7032">
        <w:rPr>
          <w:rFonts w:cs="Arial"/>
          <w:lang w:val="fr-FR"/>
        </w:rPr>
        <w:tab/>
      </w:r>
      <w:r w:rsidRPr="00AC7032">
        <w:rPr>
          <w:rFonts w:cs="Arial"/>
          <w:lang w:val="fr-FR"/>
        </w:rPr>
        <w:tab/>
      </w:r>
      <w:r w:rsidRPr="00AC7032">
        <w:rPr>
          <w:rFonts w:cs="Arial"/>
          <w:lang w:val="fr-FR"/>
        </w:rPr>
        <w:tab/>
        <w:t>Race</w:t>
      </w:r>
    </w:p>
    <w:p w14:paraId="4BC11193" w14:textId="21FB580D" w:rsidR="005312A8" w:rsidRPr="00AC7032" w:rsidRDefault="005312A8" w:rsidP="009574D3">
      <w:pPr>
        <w:rPr>
          <w:rFonts w:cs="Arial"/>
          <w:lang w:val="fr-FR"/>
        </w:rPr>
      </w:pPr>
      <w:r w:rsidRPr="00AC7032">
        <w:rPr>
          <w:rFonts w:cs="Arial"/>
          <w:lang w:val="fr-FR"/>
        </w:rPr>
        <w:t xml:space="preserve">Dispute </w:t>
      </w:r>
      <w:proofErr w:type="spellStart"/>
      <w:r w:rsidRPr="00AC7032">
        <w:rPr>
          <w:rFonts w:cs="Arial"/>
          <w:lang w:val="fr-FR"/>
        </w:rPr>
        <w:t>resolution</w:t>
      </w:r>
      <w:proofErr w:type="spellEnd"/>
      <w:r w:rsidRPr="00AC7032">
        <w:rPr>
          <w:rFonts w:cs="Arial"/>
          <w:lang w:val="fr-FR"/>
        </w:rPr>
        <w:t xml:space="preserve"> mode:</w:t>
      </w:r>
      <w:r w:rsidRPr="00AC7032">
        <w:rPr>
          <w:rFonts w:cs="Arial"/>
          <w:lang w:val="fr-FR"/>
        </w:rPr>
        <w:tab/>
        <w:t xml:space="preserve">Conciliation </w:t>
      </w:r>
      <w:proofErr w:type="spellStart"/>
      <w:r w:rsidRPr="00AC7032">
        <w:rPr>
          <w:rFonts w:cs="Arial"/>
          <w:lang w:val="fr-FR"/>
        </w:rPr>
        <w:t>conference</w:t>
      </w:r>
      <w:proofErr w:type="spellEnd"/>
    </w:p>
    <w:p w14:paraId="44D6B0D8" w14:textId="29E0D521" w:rsidR="00E5680B" w:rsidRPr="00984AB2" w:rsidRDefault="00E5680B" w:rsidP="009574D3">
      <w:pPr>
        <w:pStyle w:val="Heading2"/>
        <w:rPr>
          <w:color w:val="D46228"/>
        </w:rPr>
      </w:pPr>
      <w:bookmarkStart w:id="626" w:name="_Toc84593950"/>
      <w:bookmarkStart w:id="627" w:name="_Toc85451825"/>
      <w:bookmarkStart w:id="628" w:name="_Toc85526756"/>
      <w:bookmarkStart w:id="629" w:name="_Toc85787171"/>
      <w:r w:rsidRPr="674E917E">
        <w:rPr>
          <w:color w:val="D46228"/>
        </w:rPr>
        <w:lastRenderedPageBreak/>
        <w:t xml:space="preserve">Health service acknowledges embarrassment experienced by patient </w:t>
      </w:r>
      <w:r w:rsidR="00444786" w:rsidRPr="674E917E">
        <w:rPr>
          <w:color w:val="D46228"/>
        </w:rPr>
        <w:t>with a disability</w:t>
      </w:r>
      <w:bookmarkEnd w:id="626"/>
      <w:bookmarkEnd w:id="627"/>
      <w:bookmarkEnd w:id="628"/>
      <w:bookmarkEnd w:id="629"/>
    </w:p>
    <w:p w14:paraId="7B4B2981" w14:textId="719FFE68" w:rsidR="00E5680B" w:rsidRDefault="00E5680B" w:rsidP="00E5680B">
      <w:r>
        <w:t>A man had an acquired brain injury, an inoperable brain aneurysm</w:t>
      </w:r>
      <w:r w:rsidR="00692830">
        <w:t>,</w:t>
      </w:r>
      <w:r>
        <w:t xml:space="preserve"> and used a wheelchair. After a long recovery and more than 3 years of treatment in hospital and in rehabilitation facilities, he had become independent and started living at home, with a partner. One night the man accidentally fell out of his wheelchair, knocking his face on </w:t>
      </w:r>
      <w:r w:rsidR="00692830">
        <w:t xml:space="preserve">a </w:t>
      </w:r>
      <w:r>
        <w:t xml:space="preserve">tiled floor and becoming trapped under the 164kg chair. While in the ambulance he requested a bottle so that he could urinate. Due to his dexterity challenges and the bumps on the road, he was splashed by some of the urine. </w:t>
      </w:r>
    </w:p>
    <w:p w14:paraId="0D842E4E" w14:textId="04546D4E" w:rsidR="00E5680B" w:rsidRDefault="00E5680B" w:rsidP="00E5680B">
      <w:r>
        <w:t>On arrival at the hospital, without asking, the nurses in attendance assumed he was incontinent and fitted him with disposable incontinence underwear.</w:t>
      </w:r>
      <w:r w:rsidR="00197317">
        <w:t xml:space="preserve"> </w:t>
      </w:r>
      <w:r>
        <w:t xml:space="preserve">He says that he was not asked for his medical history and this made him concerned for his safety as he had a risk of haemorrhaging again if he hit his head in the wrong place. He requested that the doctor access his ‘my health record’ but says he was told that it’s </w:t>
      </w:r>
      <w:r w:rsidR="00DF1E30">
        <w:t>‘</w:t>
      </w:r>
      <w:r>
        <w:t>too late at night to access that</w:t>
      </w:r>
      <w:r w:rsidR="00DF1E30">
        <w:t>’</w:t>
      </w:r>
      <w:r>
        <w:t>.</w:t>
      </w:r>
    </w:p>
    <w:p w14:paraId="180A8022" w14:textId="24F90650" w:rsidR="00E5680B" w:rsidRDefault="00E5680B" w:rsidP="00E5680B">
      <w:r>
        <w:t>During a shift change the man overheard nurses on shift discussing his condition, asking whether alcohol was involved, and commenting that he was incontinent. He felt he was treated as if he had been drunk and that was the reason for the fall. The man felt judged and humiliated by the experience.</w:t>
      </w:r>
    </w:p>
    <w:p w14:paraId="2B92152C" w14:textId="50FCDC5B" w:rsidR="006464D5" w:rsidRDefault="00E5680B" w:rsidP="006464D5">
      <w:r w:rsidRPr="00B97723">
        <w:t xml:space="preserve">The man attended a conciliation conference with representatives of the health service. </w:t>
      </w:r>
      <w:r>
        <w:t xml:space="preserve">The complaint parties discussed the complaint and the impact of the experience on the </w:t>
      </w:r>
      <w:r w:rsidR="009E3216">
        <w:t>patient</w:t>
      </w:r>
      <w:r>
        <w:t>. The health service discussed improvement of services in the future, and the complaint was resolved on the basis the man</w:t>
      </w:r>
      <w:r w:rsidR="000A06A6">
        <w:t xml:space="preserve"> felt he</w:t>
      </w:r>
      <w:r>
        <w:t xml:space="preserve"> had received a satisfactory explanation.</w:t>
      </w:r>
    </w:p>
    <w:p w14:paraId="32FAF780" w14:textId="4CBDB9A5" w:rsidR="00F65481" w:rsidRDefault="00F65481" w:rsidP="001C22EE">
      <w:pPr>
        <w:ind w:left="2880" w:hanging="2880"/>
      </w:pPr>
      <w:r>
        <w:t>Relevant rights:</w:t>
      </w:r>
      <w:r w:rsidR="00197317">
        <w:t xml:space="preserve">   </w:t>
      </w:r>
      <w:r w:rsidR="001C22EE">
        <w:tab/>
      </w:r>
      <w:r>
        <w:t>Recognition and equality before the law (section 15), right to health services (section 37</w:t>
      </w:r>
      <w:r w:rsidR="001C22EE">
        <w:t>)</w:t>
      </w:r>
    </w:p>
    <w:p w14:paraId="60F5C729" w14:textId="4034187D" w:rsidR="00F65481" w:rsidRDefault="00F65481" w:rsidP="00F65481">
      <w:r>
        <w:t>Complaint type:</w:t>
      </w:r>
      <w:r w:rsidR="00197317">
        <w:t xml:space="preserve"> </w:t>
      </w:r>
      <w:r w:rsidR="001C22EE">
        <w:tab/>
      </w:r>
      <w:r w:rsidR="001C22EE">
        <w:tab/>
      </w:r>
      <w:r>
        <w:t>Piggy-back complaint</w:t>
      </w:r>
    </w:p>
    <w:p w14:paraId="4FE64BAE" w14:textId="5645E77A" w:rsidR="00F65481" w:rsidRDefault="00F65481" w:rsidP="00F65481">
      <w:r>
        <w:t>Attribute:</w:t>
      </w:r>
      <w:r w:rsidR="00197317">
        <w:t xml:space="preserve">               </w:t>
      </w:r>
      <w:r w:rsidR="001C22EE">
        <w:tab/>
      </w:r>
      <w:r w:rsidR="001C22EE">
        <w:tab/>
      </w:r>
      <w:r>
        <w:t>Impairment</w:t>
      </w:r>
    </w:p>
    <w:p w14:paraId="50F23F9B" w14:textId="62C2C323" w:rsidR="00F65481" w:rsidRDefault="00F65481" w:rsidP="00F65481">
      <w:r>
        <w:t>Dispute resolution mode:</w:t>
      </w:r>
      <w:r w:rsidR="00197317">
        <w:t xml:space="preserve">  </w:t>
      </w:r>
      <w:r w:rsidR="00143EE7">
        <w:tab/>
      </w:r>
      <w:r>
        <w:t>Conciliation conference</w:t>
      </w:r>
    </w:p>
    <w:p w14:paraId="4624C1CE" w14:textId="39E1EEC7" w:rsidR="006464D5" w:rsidRPr="005D02AC" w:rsidRDefault="006464D5" w:rsidP="009574D3">
      <w:pPr>
        <w:pStyle w:val="Heading2"/>
        <w:rPr>
          <w:color w:val="D46228"/>
        </w:rPr>
      </w:pPr>
      <w:bookmarkStart w:id="630" w:name="_Toc84593951"/>
      <w:bookmarkStart w:id="631" w:name="_Toc85451826"/>
      <w:bookmarkStart w:id="632" w:name="_Toc85526757"/>
      <w:bookmarkStart w:id="633" w:name="_Toc85787172"/>
      <w:r w:rsidRPr="674E917E">
        <w:rPr>
          <w:color w:val="D46228"/>
        </w:rPr>
        <w:lastRenderedPageBreak/>
        <w:t>Suitable social housing secured for older woman with mobility issues</w:t>
      </w:r>
      <w:bookmarkEnd w:id="630"/>
      <w:bookmarkEnd w:id="631"/>
      <w:bookmarkEnd w:id="632"/>
      <w:bookmarkEnd w:id="633"/>
    </w:p>
    <w:p w14:paraId="0B2BE723" w14:textId="422FEBD2" w:rsidR="006464D5" w:rsidRDefault="006464D5" w:rsidP="006464D5">
      <w:r>
        <w:t>A 73</w:t>
      </w:r>
      <w:r w:rsidR="00737AD3">
        <w:t>-</w:t>
      </w:r>
      <w:r>
        <w:t>year</w:t>
      </w:r>
      <w:r w:rsidR="00926C8A">
        <w:t>-</w:t>
      </w:r>
      <w:r>
        <w:t>old woman with lung cancer had been approved for social housing, but had only been offered properties that she considered to be unsuitable for her mobility needs. She also needed a yard area for her dog. At the time she was facing homelessness</w:t>
      </w:r>
      <w:r w:rsidR="0077612C">
        <w:t>,</w:t>
      </w:r>
      <w:r>
        <w:t xml:space="preserve"> as her private rental was up for sale and she had been unsuccessful in applying for around 30 properties in the private market. The social housing provider expressed empathy for her circumstances but explained that demand for housing exceeded the supply, and that allocations had to be made depending on the number of available properties and the needs of those in queue for social housing.</w:t>
      </w:r>
    </w:p>
    <w:p w14:paraId="2E4EE163" w14:textId="413CF525" w:rsidR="006464D5" w:rsidRDefault="006464D5" w:rsidP="006464D5">
      <w:r>
        <w:t xml:space="preserve">Through the conciliation process, the social housing provider offered the </w:t>
      </w:r>
      <w:r w:rsidR="008B1E84">
        <w:t>woman</w:t>
      </w:r>
      <w:r>
        <w:t xml:space="preserve"> a suitable one-bedroom apartment with an enclosed courtyard</w:t>
      </w:r>
      <w:r w:rsidR="00D02A54">
        <w:t xml:space="preserve"> which was accepted</w:t>
      </w:r>
      <w:r>
        <w:t>.</w:t>
      </w:r>
    </w:p>
    <w:p w14:paraId="23296B3C" w14:textId="769E19E0" w:rsidR="006464D5" w:rsidRDefault="006464D5" w:rsidP="001C22EE">
      <w:pPr>
        <w:ind w:left="2880" w:hanging="2880"/>
      </w:pPr>
      <w:r>
        <w:t>Relevant rights:</w:t>
      </w:r>
      <w:r>
        <w:tab/>
        <w:t>Recognition and equality before the law (section 15), right to privacy and reputation (section 25</w:t>
      </w:r>
      <w:r w:rsidR="001C22EE">
        <w:rPr>
          <w:iCs/>
        </w:rPr>
        <w:t>)</w:t>
      </w:r>
    </w:p>
    <w:p w14:paraId="07038F3A" w14:textId="7B79B529" w:rsidR="006464D5" w:rsidRDefault="006464D5" w:rsidP="006464D5">
      <w:r>
        <w:t>Complaint type:</w:t>
      </w:r>
      <w:r>
        <w:tab/>
      </w:r>
      <w:r>
        <w:tab/>
      </w:r>
      <w:r w:rsidR="00B70C22">
        <w:t>Piggy-back complaint</w:t>
      </w:r>
    </w:p>
    <w:p w14:paraId="2E9A60EA" w14:textId="77777777" w:rsidR="006464D5" w:rsidRDefault="006464D5" w:rsidP="006464D5">
      <w:r>
        <w:t>Attribute:</w:t>
      </w:r>
      <w:r>
        <w:tab/>
      </w:r>
      <w:r>
        <w:tab/>
      </w:r>
      <w:r>
        <w:tab/>
        <w:t>Impairment</w:t>
      </w:r>
    </w:p>
    <w:p w14:paraId="7384B75D" w14:textId="0563A22C" w:rsidR="006464D5" w:rsidRDefault="006464D5" w:rsidP="006464D5">
      <w:r>
        <w:t>Dispute resolution mode:</w:t>
      </w:r>
      <w:r>
        <w:tab/>
        <w:t>Conciliation conference</w:t>
      </w:r>
    </w:p>
    <w:p w14:paraId="3115E3F6" w14:textId="77777777" w:rsidR="00F12A3E" w:rsidRDefault="00F12A3E" w:rsidP="009574D3">
      <w:pPr>
        <w:pStyle w:val="Heading2"/>
        <w:rPr>
          <w:color w:val="D46228"/>
        </w:rPr>
      </w:pPr>
      <w:bookmarkStart w:id="634" w:name="_Toc84593952"/>
      <w:bookmarkStart w:id="635" w:name="_Toc85451827"/>
      <w:bookmarkStart w:id="636" w:name="_Toc85526758"/>
      <w:bookmarkStart w:id="637" w:name="_Toc85787173"/>
      <w:r w:rsidRPr="674E917E">
        <w:rPr>
          <w:color w:val="D46228"/>
        </w:rPr>
        <w:t>Employer takes steps to prevent breaches of privacy and reputation in future</w:t>
      </w:r>
      <w:bookmarkEnd w:id="634"/>
      <w:bookmarkEnd w:id="635"/>
      <w:bookmarkEnd w:id="636"/>
      <w:bookmarkEnd w:id="637"/>
    </w:p>
    <w:p w14:paraId="2FD725D1" w14:textId="77777777" w:rsidR="00F12A3E" w:rsidRDefault="00F12A3E" w:rsidP="00F12A3E">
      <w:r>
        <w:t xml:space="preserve">A state government employer suspended an employee who was receiving financial support for her university course and who was alleged to have received the assistance of a colleague for the coursework during work hours. Without first speaking with her about the allegations, the employer emailed the employee’s university to advise them of potential academic misconduct. </w:t>
      </w:r>
    </w:p>
    <w:p w14:paraId="6BD28768" w14:textId="5EE39D54" w:rsidR="00F12A3E" w:rsidRDefault="00F12A3E" w:rsidP="00F12A3E">
      <w:r>
        <w:t xml:space="preserve">The employee complained that this disclosure came before the external investigation had started, that she had not had the opportunity to learn details of the allegation or to respond, and that her employer had been under no obligation to raise the allegation or investigation with the university. </w:t>
      </w:r>
    </w:p>
    <w:p w14:paraId="06A1A1BD" w14:textId="794EEE0F" w:rsidR="00F12A3E" w:rsidRDefault="00F12A3E" w:rsidP="00F12A3E">
      <w:r>
        <w:lastRenderedPageBreak/>
        <w:t>In making a human rights complaint about the issue</w:t>
      </w:r>
      <w:r w:rsidR="00E46FAE">
        <w:t>,</w:t>
      </w:r>
      <w:r>
        <w:t xml:space="preserve"> she argued that her employer failed to properly consider her human rights </w:t>
      </w:r>
      <w:r w:rsidR="00E3176D">
        <w:t>–</w:t>
      </w:r>
      <w:r>
        <w:t xml:space="preserve"> in particular the right to privacy and reputation set out in section 25 of the </w:t>
      </w:r>
      <w:r w:rsidRPr="000868CF">
        <w:rPr>
          <w:i/>
        </w:rPr>
        <w:t>Human Rights Act</w:t>
      </w:r>
      <w:r>
        <w:t>. The employee said that her employer’s actions had negatively impacted on her professional and academic reputation.</w:t>
      </w:r>
    </w:p>
    <w:p w14:paraId="01C67401" w14:textId="0DE48C21" w:rsidR="00F12A3E" w:rsidRDefault="00F12A3E" w:rsidP="00F12A3E">
      <w:pPr>
        <w:rPr>
          <w:i/>
        </w:rPr>
      </w:pPr>
      <w:r>
        <w:t>To resolve the complaint the employer agreed to contact the university and explain there was no evidence of wrongdoing, apologise in writing to the employee</w:t>
      </w:r>
      <w:r w:rsidR="00E3176D">
        <w:t>,</w:t>
      </w:r>
      <w:r>
        <w:t xml:space="preserve"> and to review their policies and procedures relating to the issues raised in the complaint.</w:t>
      </w:r>
    </w:p>
    <w:p w14:paraId="355D0183" w14:textId="734BE0F3" w:rsidR="00F12A3E" w:rsidRDefault="00F12A3E" w:rsidP="00F12A3E">
      <w:r>
        <w:t>Relevant rights:</w:t>
      </w:r>
      <w:r>
        <w:tab/>
      </w:r>
      <w:r w:rsidR="001C22EE">
        <w:tab/>
      </w:r>
      <w:r>
        <w:t>Privacy and reputation (section 25)</w:t>
      </w:r>
    </w:p>
    <w:p w14:paraId="4C0FCC71" w14:textId="77777777" w:rsidR="00F12A3E" w:rsidRDefault="00F12A3E" w:rsidP="00F12A3E">
      <w:r>
        <w:t>Complaint type:</w:t>
      </w:r>
      <w:r>
        <w:tab/>
      </w:r>
      <w:r>
        <w:tab/>
        <w:t>Human rights only</w:t>
      </w:r>
    </w:p>
    <w:p w14:paraId="1522F155" w14:textId="77777777" w:rsidR="00F12A3E" w:rsidRDefault="00F12A3E" w:rsidP="00F12A3E">
      <w:r>
        <w:t>Dispute resolution mode:</w:t>
      </w:r>
      <w:r>
        <w:tab/>
        <w:t>Conciliation conference</w:t>
      </w:r>
    </w:p>
    <w:p w14:paraId="4E8C3B97" w14:textId="71C2BF14" w:rsidR="005D04BC" w:rsidRDefault="005D04BC">
      <w:pPr>
        <w:spacing w:line="259" w:lineRule="auto"/>
        <w:ind w:right="0"/>
        <w:rPr>
          <w:rFonts w:eastAsia="Times New Roman" w:cs="Times New Roman"/>
          <w:bCs/>
          <w:color w:val="FFFFFF" w:themeColor="background1"/>
          <w:kern w:val="36"/>
          <w:sz w:val="72"/>
          <w:szCs w:val="48"/>
          <w:lang w:eastAsia="en-AU"/>
        </w:rPr>
      </w:pPr>
      <w:r>
        <w:br w:type="page"/>
      </w:r>
    </w:p>
    <w:p w14:paraId="599A96ED" w14:textId="5D7E097F" w:rsidR="00F30761" w:rsidRDefault="00AB1BC4" w:rsidP="00F30761">
      <w:pPr>
        <w:pStyle w:val="Chapterheading"/>
      </w:pPr>
      <w:bookmarkStart w:id="638" w:name="_Toc85526759"/>
      <w:bookmarkStart w:id="639" w:name="_Toc85787174"/>
      <w:r w:rsidRPr="00374AB8">
        <w:rPr>
          <w:noProof/>
        </w:rPr>
        <w:lastRenderedPageBreak/>
        <w:drawing>
          <wp:anchor distT="0" distB="0" distL="114300" distR="114300" simplePos="0" relativeHeight="251658253" behindDoc="1" locked="0" layoutInCell="1" allowOverlap="1" wp14:anchorId="4C8719A4" wp14:editId="2FF1B4F2">
            <wp:simplePos x="0" y="0"/>
            <wp:positionH relativeFrom="page">
              <wp:posOffset>7063105</wp:posOffset>
            </wp:positionH>
            <wp:positionV relativeFrom="paragraph">
              <wp:posOffset>-1153633</wp:posOffset>
            </wp:positionV>
            <wp:extent cx="535940" cy="10680065"/>
            <wp:effectExtent l="0" t="0" r="0" b="6985"/>
            <wp:wrapNone/>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colour bar full 15mm.png"/>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35940" cy="10680065"/>
                    </a:xfrm>
                    <a:prstGeom prst="rect">
                      <a:avLst/>
                    </a:prstGeom>
                  </pic:spPr>
                </pic:pic>
              </a:graphicData>
            </a:graphic>
            <wp14:sizeRelH relativeFrom="page">
              <wp14:pctWidth>0</wp14:pctWidth>
            </wp14:sizeRelH>
            <wp14:sizeRelV relativeFrom="page">
              <wp14:pctHeight>0</wp14:pctHeight>
            </wp14:sizeRelV>
          </wp:anchor>
        </w:drawing>
      </w:r>
      <w:r w:rsidRPr="00374AB8">
        <w:rPr>
          <w:noProof/>
        </w:rPr>
        <mc:AlternateContent>
          <mc:Choice Requires="wps">
            <w:drawing>
              <wp:anchor distT="0" distB="0" distL="114300" distR="114300" simplePos="0" relativeHeight="251658247" behindDoc="1" locked="0" layoutInCell="1" allowOverlap="1" wp14:anchorId="79A00267" wp14:editId="473F2A59">
                <wp:simplePos x="0" y="0"/>
                <wp:positionH relativeFrom="page">
                  <wp:posOffset>0</wp:posOffset>
                </wp:positionH>
                <wp:positionV relativeFrom="paragraph">
                  <wp:posOffset>-1202513</wp:posOffset>
                </wp:positionV>
                <wp:extent cx="7553325" cy="10932913"/>
                <wp:effectExtent l="0" t="0" r="9525" b="1905"/>
                <wp:wrapNone/>
                <wp:docPr id="35" name="Rectangle 35" descr="Rectangular blue block which covers the top quarter of the page. The chapter title sits inside the rectangle in white text. All headings in this chapter are blue. " title="Decorative colour block"/>
                <wp:cNvGraphicFramePr/>
                <a:graphic xmlns:a="http://schemas.openxmlformats.org/drawingml/2006/main">
                  <a:graphicData uri="http://schemas.microsoft.com/office/word/2010/wordprocessingShape">
                    <wps:wsp>
                      <wps:cNvSpPr/>
                      <wps:spPr>
                        <a:xfrm>
                          <a:off x="0" y="0"/>
                          <a:ext cx="7553325" cy="10932913"/>
                        </a:xfrm>
                        <a:prstGeom prst="rect">
                          <a:avLst/>
                        </a:prstGeom>
                        <a:solidFill>
                          <a:srgbClr val="D83A37"/>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9B68E05" id="Rectangle 35" o:spid="_x0000_s1026" alt="Title: Decorative colour block - Description: Rectangular blue block which covers the top quarter of the page. The chapter title sits inside the rectangle in white text. All headings in this chapter are blue. " style="position:absolute;margin-left:0;margin-top:-94.7pt;width:594.75pt;height:860.85pt;z-index:-251658233;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" fillcolor="#d83a37" stroked="f" strokeweight="1pt">
                <w10:wrap anchorx="page"/>
              </v:rect>
            </w:pict>
          </mc:Fallback>
        </mc:AlternateContent>
      </w:r>
      <w:bookmarkEnd w:id="638"/>
      <w:bookmarkEnd w:id="639"/>
    </w:p>
    <w:p w14:paraId="2F09C471" w14:textId="77777777" w:rsidR="00374AB8" w:rsidRDefault="00374AB8" w:rsidP="00F30761">
      <w:pPr>
        <w:pStyle w:val="Chapterheading"/>
      </w:pPr>
      <w:bookmarkStart w:id="640" w:name="_Toc84593953"/>
      <w:bookmarkStart w:id="641" w:name="_Toc85451828"/>
    </w:p>
    <w:p w14:paraId="589907D7" w14:textId="77777777" w:rsidR="00374AB8" w:rsidRDefault="00374AB8" w:rsidP="00F30761">
      <w:pPr>
        <w:pStyle w:val="Chapterheading"/>
      </w:pPr>
    </w:p>
    <w:p w14:paraId="5D982425" w14:textId="77777777" w:rsidR="00374AB8" w:rsidRDefault="00374AB8" w:rsidP="00F30761">
      <w:pPr>
        <w:pStyle w:val="Chapterheading"/>
      </w:pPr>
    </w:p>
    <w:p w14:paraId="0C1531EC" w14:textId="107E6FEA" w:rsidR="00A74CC8" w:rsidRPr="00F30761" w:rsidRDefault="00A74CC8" w:rsidP="00F30761">
      <w:pPr>
        <w:pStyle w:val="Chapterheading"/>
      </w:pPr>
      <w:bookmarkStart w:id="642" w:name="_Toc85526760"/>
      <w:bookmarkStart w:id="643" w:name="_Toc85787175"/>
      <w:r w:rsidRPr="00F30761">
        <w:t>Human rights in the</w:t>
      </w:r>
      <w:r w:rsidR="42C2FBD6" w:rsidRPr="00F30761">
        <w:t xml:space="preserve"> </w:t>
      </w:r>
      <w:bookmarkStart w:id="644" w:name="_Toc84593954"/>
      <w:bookmarkStart w:id="645" w:name="_Toc85451829"/>
      <w:bookmarkEnd w:id="640"/>
      <w:bookmarkEnd w:id="641"/>
      <w:r w:rsidRPr="00F30761">
        <w:t>community</w:t>
      </w:r>
      <w:bookmarkEnd w:id="642"/>
      <w:bookmarkEnd w:id="643"/>
      <w:bookmarkEnd w:id="644"/>
      <w:bookmarkEnd w:id="645"/>
    </w:p>
    <w:p w14:paraId="6B5C2F46" w14:textId="77777777" w:rsidR="00374AB8" w:rsidRDefault="00374AB8">
      <w:pPr>
        <w:spacing w:line="259" w:lineRule="auto"/>
        <w:ind w:right="0"/>
      </w:pPr>
      <w:r>
        <w:br w:type="page"/>
      </w:r>
    </w:p>
    <w:p w14:paraId="1EA43052" w14:textId="1BC839C0" w:rsidR="004F3BE5" w:rsidRPr="004F3BE5" w:rsidRDefault="00B12DCD" w:rsidP="008A4051">
      <w:r>
        <w:lastRenderedPageBreak/>
        <w:t>W</w:t>
      </w:r>
      <w:r w:rsidR="00F30761">
        <w:t>ith the</w:t>
      </w:r>
      <w:r w:rsidR="004F3BE5">
        <w:t xml:space="preserve"> </w:t>
      </w:r>
      <w:r w:rsidR="007B4B4E">
        <w:t>ongoing</w:t>
      </w:r>
      <w:r w:rsidR="00F30761">
        <w:t xml:space="preserve"> backdrop of COVID-19</w:t>
      </w:r>
      <w:r w:rsidR="004F3BE5">
        <w:t>,</w:t>
      </w:r>
      <w:r w:rsidR="00F30761">
        <w:t xml:space="preserve"> human rights discussion in the community </w:t>
      </w:r>
      <w:r w:rsidR="008B52FE">
        <w:t xml:space="preserve">is at </w:t>
      </w:r>
      <w:r w:rsidR="00836039">
        <w:t xml:space="preserve">its </w:t>
      </w:r>
      <w:r w:rsidR="008B52FE">
        <w:t xml:space="preserve">highest </w:t>
      </w:r>
      <w:r w:rsidR="00836039">
        <w:t xml:space="preserve">level </w:t>
      </w:r>
      <w:r w:rsidR="004F3BE5">
        <w:t>for</w:t>
      </w:r>
      <w:r w:rsidR="008B52FE">
        <w:t xml:space="preserve"> many years.</w:t>
      </w:r>
      <w:r w:rsidR="00754602">
        <w:t xml:space="preserve"> </w:t>
      </w:r>
      <w:r w:rsidR="004F3BE5">
        <w:t xml:space="preserve">Human rights are impacted every day when emergency public health orders limit movement </w:t>
      </w:r>
      <w:r w:rsidR="009F2C76">
        <w:t>inter or intra</w:t>
      </w:r>
      <w:r w:rsidR="001319C1">
        <w:t>-</w:t>
      </w:r>
      <w:r w:rsidR="009F2C76">
        <w:t>state and</w:t>
      </w:r>
      <w:r w:rsidR="004F3BE5">
        <w:t xml:space="preserve"> mandate vaccines, social distancing</w:t>
      </w:r>
      <w:r w:rsidR="00611CCB">
        <w:t>,</w:t>
      </w:r>
      <w:r w:rsidR="004F3BE5">
        <w:t xml:space="preserve"> and wearing masks. During these unprecedented times, Queensland has been fortunate to have the framework of the </w:t>
      </w:r>
      <w:r w:rsidR="004F3BE5">
        <w:rPr>
          <w:i/>
        </w:rPr>
        <w:t>Human Rights Act 2019</w:t>
      </w:r>
      <w:r w:rsidR="004F3BE5">
        <w:t xml:space="preserve"> to guide these </w:t>
      </w:r>
      <w:r w:rsidR="005E4624">
        <w:t>challenging</w:t>
      </w:r>
      <w:r w:rsidR="004F3BE5">
        <w:t xml:space="preserve"> discussions</w:t>
      </w:r>
      <w:r>
        <w:t>.</w:t>
      </w:r>
    </w:p>
    <w:p w14:paraId="592D2323" w14:textId="7A6DC6DF" w:rsidR="00937981" w:rsidRDefault="00192F08" w:rsidP="00192F08">
      <w:pPr>
        <w:pStyle w:val="Heading1"/>
        <w:rPr>
          <w:color w:val="D83A37"/>
        </w:rPr>
      </w:pPr>
      <w:bookmarkStart w:id="646" w:name="_Toc84593955"/>
      <w:bookmarkStart w:id="647" w:name="_Toc85451830"/>
      <w:bookmarkStart w:id="648" w:name="_Toc85526761"/>
      <w:bookmarkStart w:id="649" w:name="_Toc85787176"/>
      <w:r w:rsidRPr="674E917E">
        <w:rPr>
          <w:color w:val="D83A37"/>
        </w:rPr>
        <w:t>Measuring human rights attitudes</w:t>
      </w:r>
      <w:bookmarkEnd w:id="646"/>
      <w:bookmarkEnd w:id="647"/>
      <w:bookmarkEnd w:id="648"/>
      <w:bookmarkEnd w:id="649"/>
    </w:p>
    <w:p w14:paraId="64615858" w14:textId="7F4F0A5B" w:rsidR="00754602" w:rsidRDefault="00754602" w:rsidP="008A4051">
      <w:r>
        <w:t xml:space="preserve">Two </w:t>
      </w:r>
      <w:r w:rsidR="00F91AF6">
        <w:t>recent</w:t>
      </w:r>
      <w:r>
        <w:t xml:space="preserve"> studies provide some indication </w:t>
      </w:r>
      <w:r w:rsidR="00D55D46">
        <w:t>of</w:t>
      </w:r>
      <w:r>
        <w:t xml:space="preserve"> human rights literacy in Queensland. The first was conducted </w:t>
      </w:r>
      <w:r w:rsidR="00937981">
        <w:t xml:space="preserve">in early 2021 </w:t>
      </w:r>
      <w:r>
        <w:t xml:space="preserve">by </w:t>
      </w:r>
      <w:r w:rsidRPr="007058A3">
        <w:t>Amnesty International</w:t>
      </w:r>
      <w:r>
        <w:t xml:space="preserve"> with a sample of 1</w:t>
      </w:r>
      <w:r w:rsidR="00D65FC2">
        <w:t>,</w:t>
      </w:r>
      <w:r>
        <w:t>600</w:t>
      </w:r>
      <w:r w:rsidR="004F3BE5">
        <w:t xml:space="preserve"> people of various ages, genders</w:t>
      </w:r>
      <w:r w:rsidR="00D65FC2">
        <w:t>,</w:t>
      </w:r>
      <w:r w:rsidR="004F3BE5">
        <w:t xml:space="preserve"> and locations</w:t>
      </w:r>
      <w:r>
        <w:t xml:space="preserve"> across Australia.</w:t>
      </w:r>
      <w:r w:rsidR="00404E5E">
        <w:rPr>
          <w:rStyle w:val="FootnoteReference"/>
        </w:rPr>
        <w:footnoteReference w:id="115"/>
      </w:r>
      <w:r>
        <w:t xml:space="preserve"> </w:t>
      </w:r>
      <w:r w:rsidR="004F3BE5">
        <w:t>Some of the general findings include</w:t>
      </w:r>
      <w:r w:rsidR="00F91AF6">
        <w:t>d</w:t>
      </w:r>
      <w:r w:rsidR="004F3BE5">
        <w:t>:</w:t>
      </w:r>
    </w:p>
    <w:p w14:paraId="2A3B1E3F" w14:textId="07FC27BB" w:rsidR="004F3BE5" w:rsidRDefault="004F3BE5" w:rsidP="00374AB8">
      <w:pPr>
        <w:pStyle w:val="ListParagraph"/>
      </w:pPr>
      <w:r>
        <w:t xml:space="preserve">The rights of most importance to </w:t>
      </w:r>
      <w:r w:rsidR="001319C1">
        <w:t xml:space="preserve">people </w:t>
      </w:r>
      <w:r w:rsidR="001319C1" w:rsidRPr="00374AB8">
        <w:t>survey</w:t>
      </w:r>
      <w:r w:rsidR="46EE3F87" w:rsidRPr="00374AB8">
        <w:t>e</w:t>
      </w:r>
      <w:r w:rsidR="001319C1" w:rsidRPr="00374AB8">
        <w:t>d</w:t>
      </w:r>
      <w:r>
        <w:t xml:space="preserve"> included the right to vote (86%), freedom from discrimination (84%), right to free speech (83%) and right to equal treatment before the law (83%).</w:t>
      </w:r>
    </w:p>
    <w:p w14:paraId="275EFB3A" w14:textId="3C765B7B" w:rsidR="004F3BE5" w:rsidRDefault="004F3BE5" w:rsidP="00374AB8">
      <w:pPr>
        <w:pStyle w:val="ListParagraph"/>
      </w:pPr>
      <w:r>
        <w:t xml:space="preserve">36% of </w:t>
      </w:r>
      <w:r w:rsidR="001319C1">
        <w:t>people surveyed</w:t>
      </w:r>
      <w:r>
        <w:t xml:space="preserve"> thought that Indigenous Australians had fewer opportunities than non-Indigenous Australians.</w:t>
      </w:r>
    </w:p>
    <w:p w14:paraId="43070621" w14:textId="63C2CCCE" w:rsidR="004F3BE5" w:rsidRDefault="001319C1" w:rsidP="00374AB8">
      <w:pPr>
        <w:pStyle w:val="ListParagraph"/>
      </w:pPr>
      <w:r>
        <w:t>People surveyed</w:t>
      </w:r>
      <w:r w:rsidR="004F3BE5">
        <w:t xml:space="preserve"> believed that the following groups were most in need of protection of their rights, in order of priority: Indigenous people, refugees, ethnic minorities, immigrants and women.</w:t>
      </w:r>
    </w:p>
    <w:p w14:paraId="09E4EE4F" w14:textId="2B830B52" w:rsidR="004F3BE5" w:rsidRDefault="004F3BE5" w:rsidP="00374AB8">
      <w:pPr>
        <w:pStyle w:val="ListParagraph"/>
      </w:pPr>
      <w:r>
        <w:t xml:space="preserve">76% of people </w:t>
      </w:r>
      <w:r w:rsidR="00587E6C">
        <w:t xml:space="preserve">surveyed </w:t>
      </w:r>
      <w:r>
        <w:t>wanted national human rights legislation.</w:t>
      </w:r>
    </w:p>
    <w:p w14:paraId="6DAE6410" w14:textId="3EDA849D" w:rsidR="00FA3C23" w:rsidRDefault="00310C8B" w:rsidP="008A4051">
      <w:r>
        <w:t xml:space="preserve">More recently, a </w:t>
      </w:r>
      <w:r w:rsidR="72341E0B">
        <w:t>Queensland study</w:t>
      </w:r>
      <w:r>
        <w:t xml:space="preserve"> </w:t>
      </w:r>
      <w:r w:rsidR="0038103F">
        <w:t>by Griffith University researchers</w:t>
      </w:r>
      <w:r>
        <w:t xml:space="preserve"> </w:t>
      </w:r>
      <w:r w:rsidR="00937981">
        <w:t xml:space="preserve">found overwhelming support for human rights, the </w:t>
      </w:r>
      <w:r w:rsidR="00937981">
        <w:rPr>
          <w:i/>
        </w:rPr>
        <w:t>Human Rights Act 2019</w:t>
      </w:r>
      <w:r w:rsidR="005A47D5">
        <w:rPr>
          <w:i/>
        </w:rPr>
        <w:t>,</w:t>
      </w:r>
      <w:r w:rsidR="00937981">
        <w:rPr>
          <w:i/>
        </w:rPr>
        <w:t xml:space="preserve"> </w:t>
      </w:r>
      <w:r w:rsidR="00937981">
        <w:t>and the Commission. The study</w:t>
      </w:r>
      <w:r w:rsidR="005320AC">
        <w:t>,</w:t>
      </w:r>
      <w:r w:rsidR="00294AB4">
        <w:rPr>
          <w:rStyle w:val="FootnoteReference"/>
        </w:rPr>
        <w:footnoteReference w:id="116"/>
      </w:r>
      <w:r w:rsidR="00937981">
        <w:t xml:space="preserve"> conducted in July 2021</w:t>
      </w:r>
      <w:r w:rsidR="7DCA74C7">
        <w:t>,</w:t>
      </w:r>
      <w:r w:rsidR="00937981">
        <w:t xml:space="preserve"> </w:t>
      </w:r>
      <w:r w:rsidR="00D65874">
        <w:t>surveyed</w:t>
      </w:r>
      <w:r w:rsidR="00937981">
        <w:t xml:space="preserve"> a randomised sample of 1</w:t>
      </w:r>
      <w:r w:rsidR="005A47D5">
        <w:t>,</w:t>
      </w:r>
      <w:r w:rsidR="00937981">
        <w:t>000 people living in Queensland. Some key findings included that:</w:t>
      </w:r>
    </w:p>
    <w:p w14:paraId="7A55FC6C" w14:textId="449804CB" w:rsidR="00937981" w:rsidRPr="00374AB8" w:rsidRDefault="00937981" w:rsidP="00374AB8">
      <w:pPr>
        <w:pStyle w:val="ListParagraph"/>
      </w:pPr>
      <w:r w:rsidRPr="00374AB8">
        <w:t>The priority areas for Queenslanders were child protection, health, aged care</w:t>
      </w:r>
      <w:r w:rsidR="005A47D5" w:rsidRPr="00374AB8">
        <w:t>,</w:t>
      </w:r>
      <w:r w:rsidRPr="00374AB8">
        <w:t xml:space="preserve"> and disability rights</w:t>
      </w:r>
      <w:r w:rsidR="53C0D3EA" w:rsidRPr="00374AB8">
        <w:t>.</w:t>
      </w:r>
    </w:p>
    <w:p w14:paraId="068766CA" w14:textId="4A802335" w:rsidR="00937981" w:rsidRPr="00374AB8" w:rsidRDefault="00937981" w:rsidP="00374AB8">
      <w:pPr>
        <w:pStyle w:val="ListParagraph"/>
      </w:pPr>
      <w:r w:rsidRPr="00374AB8">
        <w:t>The attitudes towards human rights were overall similar between Brisbane and regional Queensland</w:t>
      </w:r>
      <w:r w:rsidR="00C86597" w:rsidRPr="00374AB8">
        <w:t>.</w:t>
      </w:r>
    </w:p>
    <w:p w14:paraId="3C5682C0" w14:textId="4DE188F4" w:rsidR="00937981" w:rsidRPr="00374AB8" w:rsidRDefault="00937981" w:rsidP="00374AB8">
      <w:pPr>
        <w:pStyle w:val="ListParagraph"/>
      </w:pPr>
      <w:r w:rsidRPr="00374AB8">
        <w:t>Aboriginal and Torres Strait Islander people responded that human rights were less respected in regions</w:t>
      </w:r>
      <w:r w:rsidR="00C86597" w:rsidRPr="00374AB8">
        <w:t>.</w:t>
      </w:r>
    </w:p>
    <w:p w14:paraId="67CD11F8" w14:textId="2261AB77" w:rsidR="00937981" w:rsidRPr="00374AB8" w:rsidRDefault="00937981" w:rsidP="00374AB8">
      <w:pPr>
        <w:pStyle w:val="ListParagraph"/>
      </w:pPr>
      <w:r w:rsidRPr="00374AB8">
        <w:lastRenderedPageBreak/>
        <w:t>Women were less sure that human rights were being respected than men, especially in health care.</w:t>
      </w:r>
    </w:p>
    <w:p w14:paraId="17FBC12F" w14:textId="141D9BC4" w:rsidR="00937981" w:rsidRPr="00374AB8" w:rsidRDefault="00937981" w:rsidP="00374AB8">
      <w:pPr>
        <w:pStyle w:val="ListParagraph"/>
      </w:pPr>
      <w:r w:rsidRPr="00374AB8">
        <w:t xml:space="preserve">The age group that was the least supportive of human rights </w:t>
      </w:r>
      <w:r w:rsidR="00C86597" w:rsidRPr="00374AB8">
        <w:t xml:space="preserve">were </w:t>
      </w:r>
      <w:r w:rsidRPr="00374AB8">
        <w:t>people over 65</w:t>
      </w:r>
      <w:r w:rsidR="1DC17AFF" w:rsidRPr="00374AB8">
        <w:t>.</w:t>
      </w:r>
    </w:p>
    <w:p w14:paraId="73CCFCFD" w14:textId="38A4E12C" w:rsidR="00937981" w:rsidRPr="00374AB8" w:rsidRDefault="00937981" w:rsidP="00374AB8">
      <w:pPr>
        <w:pStyle w:val="ListParagraph"/>
      </w:pPr>
      <w:r w:rsidRPr="00374AB8">
        <w:t>Scepticism about effectiveness of human rights protections was higher amongst people on lower incomes</w:t>
      </w:r>
      <w:r w:rsidR="2186317A" w:rsidRPr="00374AB8">
        <w:t>.</w:t>
      </w:r>
    </w:p>
    <w:p w14:paraId="3CC6CEE2" w14:textId="4BF71A20" w:rsidR="00937981" w:rsidRPr="00937981" w:rsidRDefault="00937981" w:rsidP="00937981">
      <w:pPr>
        <w:pStyle w:val="Heading2"/>
        <w:rPr>
          <w:color w:val="D83A37"/>
        </w:rPr>
      </w:pPr>
      <w:bookmarkStart w:id="650" w:name="_Toc84593956"/>
      <w:bookmarkStart w:id="651" w:name="_Toc85451831"/>
      <w:bookmarkStart w:id="652" w:name="_Toc85526762"/>
      <w:bookmarkStart w:id="653" w:name="_Toc85787177"/>
      <w:r w:rsidRPr="674E917E">
        <w:rPr>
          <w:color w:val="D83A37"/>
        </w:rPr>
        <w:t>Attitudes to COVID-19 and human rights</w:t>
      </w:r>
      <w:bookmarkEnd w:id="650"/>
      <w:bookmarkEnd w:id="651"/>
      <w:bookmarkEnd w:id="652"/>
      <w:bookmarkEnd w:id="653"/>
    </w:p>
    <w:p w14:paraId="34F14DD2" w14:textId="44B64865" w:rsidR="00937981" w:rsidRDefault="00937981" w:rsidP="00937981">
      <w:r>
        <w:t xml:space="preserve">Attitudes to rights limitations during COVID-19 indicated strong support for measures required to slow the spread, with 73% agreeing in the Amnesty study that restrictions on rights were worth it. In the </w:t>
      </w:r>
      <w:r w:rsidR="0051168C">
        <w:t>Griffith University</w:t>
      </w:r>
      <w:r>
        <w:t xml:space="preserve"> study, when asked about Queensland Government’s approach to COVID-19, 64% believed that human rights had been respected during the pandemic.</w:t>
      </w:r>
    </w:p>
    <w:p w14:paraId="274D2C8C" w14:textId="557A295D" w:rsidR="00EC49CE" w:rsidRDefault="00EC49CE" w:rsidP="00EC49CE">
      <w:pPr>
        <w:pStyle w:val="Heading2"/>
        <w:rPr>
          <w:color w:val="D83A37"/>
        </w:rPr>
      </w:pPr>
      <w:bookmarkStart w:id="654" w:name="_Toc84593957"/>
      <w:bookmarkStart w:id="655" w:name="_Toc85451832"/>
      <w:bookmarkStart w:id="656" w:name="_Toc85526763"/>
      <w:bookmarkStart w:id="657" w:name="_Toc85787178"/>
      <w:r w:rsidRPr="674E917E">
        <w:rPr>
          <w:color w:val="D83A37"/>
        </w:rPr>
        <w:t>Knowledge about rights protections</w:t>
      </w:r>
      <w:bookmarkEnd w:id="654"/>
      <w:bookmarkEnd w:id="655"/>
      <w:bookmarkEnd w:id="656"/>
      <w:bookmarkEnd w:id="657"/>
    </w:p>
    <w:p w14:paraId="7EBCAF60" w14:textId="7235D7B1" w:rsidR="00937981" w:rsidRDefault="00937981" w:rsidP="00937981">
      <w:r>
        <w:t xml:space="preserve">While human rights consciousness </w:t>
      </w:r>
      <w:r w:rsidR="00E921A4">
        <w:t>is</w:t>
      </w:r>
      <w:r>
        <w:t xml:space="preserve"> growing, this may not translate to a strong understanding of what legal protections are in place. </w:t>
      </w:r>
      <w:r w:rsidR="00EC49CE">
        <w:t xml:space="preserve">More than half of respondents to the Amnesty study believed that Australia already had a </w:t>
      </w:r>
      <w:r w:rsidR="007627F3">
        <w:t>f</w:t>
      </w:r>
      <w:r w:rsidR="00EC49CE" w:rsidRPr="00EC49CE">
        <w:t xml:space="preserve">ederal </w:t>
      </w:r>
      <w:r w:rsidR="00A12842">
        <w:t>H</w:t>
      </w:r>
      <w:r w:rsidR="00EC49CE" w:rsidRPr="00EC49CE">
        <w:t xml:space="preserve">uman </w:t>
      </w:r>
      <w:r w:rsidR="00A12842">
        <w:t>R</w:t>
      </w:r>
      <w:r w:rsidR="00EC49CE" w:rsidRPr="00EC49CE">
        <w:t>ights Act</w:t>
      </w:r>
      <w:r w:rsidR="00EC49CE">
        <w:t xml:space="preserve"> </w:t>
      </w:r>
      <w:r w:rsidR="007627F3">
        <w:t>–</w:t>
      </w:r>
      <w:r w:rsidR="00EC49CE">
        <w:rPr>
          <w:i/>
        </w:rPr>
        <w:t xml:space="preserve"> </w:t>
      </w:r>
      <w:r w:rsidR="00EC49CE">
        <w:t xml:space="preserve">which is not the case. </w:t>
      </w:r>
      <w:r>
        <w:t>While 91% of respondents</w:t>
      </w:r>
      <w:r w:rsidR="009103C4">
        <w:t xml:space="preserve"> to the Queensland study</w:t>
      </w:r>
      <w:r>
        <w:t xml:space="preserve"> thought that protection of human rights and dignity is important, only 43% knew about the Queensland </w:t>
      </w:r>
      <w:r>
        <w:rPr>
          <w:i/>
        </w:rPr>
        <w:t>Human Rights Act 2019</w:t>
      </w:r>
      <w:r>
        <w:t>.</w:t>
      </w:r>
    </w:p>
    <w:p w14:paraId="56F87B0F" w14:textId="77777777" w:rsidR="00310C8B" w:rsidRDefault="00EC49CE" w:rsidP="008A4051">
      <w:r>
        <w:t xml:space="preserve">While </w:t>
      </w:r>
      <w:r w:rsidR="00CC1066">
        <w:t xml:space="preserve">the Act only </w:t>
      </w:r>
      <w:r>
        <w:t xml:space="preserve">commenced in its entirety in January 2020, it is clear that more community education is required to improve human </w:t>
      </w:r>
      <w:r w:rsidR="002B4946">
        <w:t>rights</w:t>
      </w:r>
      <w:r>
        <w:t xml:space="preserve"> literacy in the community.</w:t>
      </w:r>
    </w:p>
    <w:p w14:paraId="3CE667D0" w14:textId="77777777" w:rsidR="0058626B" w:rsidRDefault="0058626B">
      <w:pPr>
        <w:spacing w:line="259" w:lineRule="auto"/>
        <w:ind w:right="0"/>
        <w:rPr>
          <w:rFonts w:eastAsia="Times New Roman" w:cs="Times New Roman"/>
          <w:bCs/>
          <w:color w:val="D83A37"/>
          <w:kern w:val="36"/>
          <w:sz w:val="48"/>
          <w:szCs w:val="48"/>
          <w:lang w:eastAsia="en-AU"/>
        </w:rPr>
      </w:pPr>
      <w:bookmarkStart w:id="658" w:name="_Toc84593958"/>
      <w:bookmarkStart w:id="659" w:name="_Toc85451833"/>
      <w:bookmarkStart w:id="660" w:name="_Toc85526764"/>
      <w:bookmarkStart w:id="661" w:name="_Toc85787179"/>
      <w:r>
        <w:rPr>
          <w:color w:val="D83A37"/>
        </w:rPr>
        <w:br w:type="page"/>
      </w:r>
    </w:p>
    <w:p w14:paraId="02B50086" w14:textId="73FFF1A6" w:rsidR="005C1D0A" w:rsidRDefault="005C1D0A" w:rsidP="007521E3">
      <w:pPr>
        <w:pStyle w:val="Heading1"/>
        <w:rPr>
          <w:color w:val="D83A37"/>
        </w:rPr>
      </w:pPr>
      <w:r w:rsidRPr="007521E3">
        <w:rPr>
          <w:color w:val="D83A37"/>
        </w:rPr>
        <w:lastRenderedPageBreak/>
        <w:t xml:space="preserve">Community </w:t>
      </w:r>
      <w:r w:rsidR="00627BB9" w:rsidRPr="007521E3">
        <w:rPr>
          <w:color w:val="D83A37"/>
        </w:rPr>
        <w:t>e</w:t>
      </w:r>
      <w:r w:rsidR="73680B1E" w:rsidRPr="007521E3">
        <w:rPr>
          <w:color w:val="D83A37"/>
        </w:rPr>
        <w:t>ducation</w:t>
      </w:r>
      <w:bookmarkEnd w:id="658"/>
      <w:bookmarkEnd w:id="659"/>
      <w:bookmarkEnd w:id="660"/>
      <w:bookmarkEnd w:id="661"/>
    </w:p>
    <w:p w14:paraId="56CFF5A9" w14:textId="395AB5F1" w:rsidR="00383DD8" w:rsidRDefault="0050020C" w:rsidP="009C578A">
      <w:r>
        <w:t>Community education is critical to ensuring that the Act meets the goals of protecting and promoting human rights culture and promoting a dialogue about the nature, meaning and scope of human rights.</w:t>
      </w:r>
      <w:r>
        <w:rPr>
          <w:rStyle w:val="FootnoteReference"/>
        </w:rPr>
        <w:footnoteReference w:id="117"/>
      </w:r>
      <w:r>
        <w:t xml:space="preserve"> </w:t>
      </w:r>
    </w:p>
    <w:p w14:paraId="3A25EBC6" w14:textId="7D07C868" w:rsidR="00383DD8" w:rsidRPr="006D4212" w:rsidRDefault="00383DD8" w:rsidP="00383DD8">
      <w:pPr>
        <w:rPr>
          <w:highlight w:val="yellow"/>
        </w:rPr>
      </w:pPr>
      <w:r>
        <w:t xml:space="preserve">The Commission’s website remained a key source of information for the community about their rights. </w:t>
      </w:r>
      <w:r w:rsidR="00374AB8">
        <w:t>In 2020-21, 6 of the 20</w:t>
      </w:r>
      <w:r>
        <w:t xml:space="preserve"> most </w:t>
      </w:r>
      <w:r w:rsidR="00374AB8">
        <w:t>visited pages</w:t>
      </w:r>
      <w:r>
        <w:t xml:space="preserve"> on </w:t>
      </w:r>
      <w:r w:rsidRPr="006D4212">
        <w:t xml:space="preserve">the Commission’s website </w:t>
      </w:r>
      <w:r w:rsidR="00374AB8">
        <w:t>were human</w:t>
      </w:r>
      <w:r w:rsidRPr="006D4212">
        <w:t xml:space="preserve"> rights </w:t>
      </w:r>
      <w:r w:rsidR="00374AB8">
        <w:t xml:space="preserve">specific. </w:t>
      </w:r>
    </w:p>
    <w:p w14:paraId="7A8365F7" w14:textId="16A09D9C" w:rsidR="00F50324" w:rsidRPr="006D4212" w:rsidRDefault="00E45215" w:rsidP="009C578A">
      <w:pPr>
        <w:rPr>
          <w:lang w:eastAsia="en-AU"/>
        </w:rPr>
      </w:pPr>
      <w:r>
        <w:rPr>
          <w:lang w:eastAsia="en-AU"/>
        </w:rPr>
        <w:t>The huge i</w:t>
      </w:r>
      <w:r w:rsidR="00F50324">
        <w:rPr>
          <w:lang w:eastAsia="en-AU"/>
        </w:rPr>
        <w:t xml:space="preserve">ncrease in </w:t>
      </w:r>
      <w:r w:rsidR="00270C72">
        <w:rPr>
          <w:lang w:eastAsia="en-AU"/>
        </w:rPr>
        <w:t xml:space="preserve">enquiries and </w:t>
      </w:r>
      <w:r w:rsidR="00332BD4">
        <w:rPr>
          <w:lang w:eastAsia="en-AU"/>
        </w:rPr>
        <w:t>complaints</w:t>
      </w:r>
      <w:r w:rsidR="00F50324" w:rsidRPr="008E2693">
        <w:rPr>
          <w:lang w:eastAsia="en-AU"/>
        </w:rPr>
        <w:t xml:space="preserve"> </w:t>
      </w:r>
      <w:r w:rsidR="00F50324">
        <w:rPr>
          <w:lang w:eastAsia="en-AU"/>
        </w:rPr>
        <w:t>ha</w:t>
      </w:r>
      <w:r w:rsidR="0050069F">
        <w:rPr>
          <w:lang w:eastAsia="en-AU"/>
        </w:rPr>
        <w:t>s</w:t>
      </w:r>
      <w:r w:rsidR="00F50324" w:rsidRPr="008E2693">
        <w:rPr>
          <w:lang w:eastAsia="en-AU"/>
        </w:rPr>
        <w:t xml:space="preserve"> resulted </w:t>
      </w:r>
      <w:r w:rsidR="00F50324">
        <w:rPr>
          <w:lang w:eastAsia="en-AU"/>
        </w:rPr>
        <w:t xml:space="preserve">in a backlog </w:t>
      </w:r>
      <w:r>
        <w:rPr>
          <w:lang w:eastAsia="en-AU"/>
        </w:rPr>
        <w:t>of</w:t>
      </w:r>
      <w:r w:rsidR="00F50324">
        <w:rPr>
          <w:lang w:eastAsia="en-AU"/>
        </w:rPr>
        <w:t xml:space="preserve"> complaints, which </w:t>
      </w:r>
      <w:r>
        <w:rPr>
          <w:lang w:eastAsia="en-AU"/>
        </w:rPr>
        <w:t>necessitated</w:t>
      </w:r>
      <w:r w:rsidR="00F50324">
        <w:rPr>
          <w:lang w:eastAsia="en-AU"/>
        </w:rPr>
        <w:t xml:space="preserve"> </w:t>
      </w:r>
      <w:r w:rsidR="0050069F">
        <w:rPr>
          <w:lang w:eastAsia="en-AU"/>
        </w:rPr>
        <w:t xml:space="preserve">significant </w:t>
      </w:r>
      <w:r w:rsidR="00332BD4">
        <w:rPr>
          <w:lang w:eastAsia="en-AU"/>
        </w:rPr>
        <w:t xml:space="preserve">Commission </w:t>
      </w:r>
      <w:r w:rsidR="00F50324" w:rsidRPr="008E2693">
        <w:rPr>
          <w:lang w:eastAsia="en-AU"/>
        </w:rPr>
        <w:t xml:space="preserve">resources being directed to complaint </w:t>
      </w:r>
      <w:r w:rsidR="00332BD4">
        <w:rPr>
          <w:lang w:eastAsia="en-AU"/>
        </w:rPr>
        <w:t xml:space="preserve">management and </w:t>
      </w:r>
      <w:r w:rsidR="00F50324" w:rsidRPr="008E2693">
        <w:rPr>
          <w:lang w:eastAsia="en-AU"/>
        </w:rPr>
        <w:t>resolution</w:t>
      </w:r>
      <w:r w:rsidR="00F50324">
        <w:rPr>
          <w:lang w:eastAsia="en-AU"/>
        </w:rPr>
        <w:t xml:space="preserve">. This </w:t>
      </w:r>
      <w:r w:rsidR="0050020C">
        <w:rPr>
          <w:lang w:eastAsia="en-AU"/>
        </w:rPr>
        <w:t>has meant a</w:t>
      </w:r>
      <w:r w:rsidR="00F50324">
        <w:rPr>
          <w:lang w:eastAsia="en-AU"/>
        </w:rPr>
        <w:t xml:space="preserve"> decreased capacity</w:t>
      </w:r>
      <w:r w:rsidR="0050020C">
        <w:rPr>
          <w:lang w:eastAsia="en-AU"/>
        </w:rPr>
        <w:t xml:space="preserve"> in the Commission</w:t>
      </w:r>
      <w:r w:rsidR="00F50324">
        <w:rPr>
          <w:lang w:eastAsia="en-AU"/>
        </w:rPr>
        <w:t xml:space="preserve"> to lead the important work of promoting the understanding and acceptance of human rights and the Act in Queensland.</w:t>
      </w:r>
      <w:r w:rsidR="00F50324">
        <w:rPr>
          <w:rStyle w:val="FootnoteReference"/>
          <w:lang w:eastAsia="en-AU"/>
        </w:rPr>
        <w:footnoteReference w:id="118"/>
      </w:r>
    </w:p>
    <w:p w14:paraId="31355D90" w14:textId="69EF739C" w:rsidR="00ED219D" w:rsidRDefault="00F2654F" w:rsidP="005C7874">
      <w:r>
        <w:t>T</w:t>
      </w:r>
      <w:r w:rsidR="00EA1B10" w:rsidRPr="006D4212">
        <w:t xml:space="preserve">raditional community engagement opportunities have </w:t>
      </w:r>
      <w:r>
        <w:t>been</w:t>
      </w:r>
      <w:r w:rsidRPr="006D4212">
        <w:t xml:space="preserve"> </w:t>
      </w:r>
      <w:r w:rsidR="00EA1B10" w:rsidRPr="006D4212">
        <w:t>limited during COVID-19 with many events being cancelled or moved to an online space</w:t>
      </w:r>
      <w:r w:rsidR="006D4212">
        <w:t>, particularly in South-East Queensland</w:t>
      </w:r>
      <w:r w:rsidR="00EA1B10" w:rsidRPr="006D4212">
        <w:t xml:space="preserve">. </w:t>
      </w:r>
      <w:r>
        <w:t>Despite all of this</w:t>
      </w:r>
      <w:r w:rsidR="00EA1B10" w:rsidRPr="006D4212">
        <w:t>, the Commission r</w:t>
      </w:r>
      <w:r w:rsidR="005371CF">
        <w:t>a</w:t>
      </w:r>
      <w:r w:rsidR="00EA1B10" w:rsidRPr="006D4212">
        <w:t xml:space="preserve">n </w:t>
      </w:r>
      <w:r w:rsidR="0051168C">
        <w:t>number of</w:t>
      </w:r>
      <w:r w:rsidR="00482591">
        <w:t xml:space="preserve"> successful</w:t>
      </w:r>
      <w:r w:rsidR="00953D79" w:rsidRPr="006D4212">
        <w:t xml:space="preserve"> </w:t>
      </w:r>
      <w:r w:rsidR="0051168C">
        <w:t>engagements</w:t>
      </w:r>
      <w:r w:rsidR="00EA1B10" w:rsidRPr="006D4212">
        <w:t xml:space="preserve"> in</w:t>
      </w:r>
      <w:r w:rsidR="00F171DF">
        <w:t xml:space="preserve"> Brisbane and</w:t>
      </w:r>
      <w:r w:rsidR="00EA1B10" w:rsidRPr="006D4212">
        <w:t xml:space="preserve"> </w:t>
      </w:r>
      <w:r w:rsidR="0051168C">
        <w:t>the regions</w:t>
      </w:r>
      <w:r w:rsidR="005371CF">
        <w:t>.</w:t>
      </w:r>
    </w:p>
    <w:p w14:paraId="2D041FCF" w14:textId="7A584DDE" w:rsidR="0096610E" w:rsidRPr="009C578A" w:rsidRDefault="00F171DF" w:rsidP="00B3616E">
      <w:pPr>
        <w:pStyle w:val="Heading2"/>
        <w:rPr>
          <w:color w:val="D83A37"/>
        </w:rPr>
      </w:pPr>
      <w:bookmarkStart w:id="662" w:name="_Toc85787180"/>
      <w:r>
        <w:rPr>
          <w:color w:val="D83A37"/>
        </w:rPr>
        <w:t xml:space="preserve">Commission </w:t>
      </w:r>
      <w:r w:rsidR="00C600AB">
        <w:rPr>
          <w:color w:val="D83A37"/>
        </w:rPr>
        <w:t>engagement activities</w:t>
      </w:r>
      <w:bookmarkEnd w:id="662"/>
    </w:p>
    <w:p w14:paraId="0CCB4AB0" w14:textId="18E8090A" w:rsidR="0051168C" w:rsidRDefault="0051168C" w:rsidP="0051168C">
      <w:pPr>
        <w:pStyle w:val="Heading3"/>
        <w:rPr>
          <w:color w:val="D83A37"/>
        </w:rPr>
      </w:pPr>
      <w:r w:rsidRPr="674E917E">
        <w:rPr>
          <w:color w:val="D83A37"/>
        </w:rPr>
        <w:t>Townsville</w:t>
      </w:r>
      <w:r w:rsidR="005371CF" w:rsidRPr="674E917E">
        <w:rPr>
          <w:color w:val="D83A37"/>
        </w:rPr>
        <w:t xml:space="preserve"> Youth Human Rights Forum</w:t>
      </w:r>
    </w:p>
    <w:p w14:paraId="76FE6298" w14:textId="65095BCD" w:rsidR="0096610E" w:rsidRDefault="0096610E" w:rsidP="00374AB8">
      <w:r>
        <w:t xml:space="preserve">The </w:t>
      </w:r>
      <w:r w:rsidR="0051168C">
        <w:t>Forum</w:t>
      </w:r>
      <w:r>
        <w:t xml:space="preserve"> was a partnership between the</w:t>
      </w:r>
      <w:r w:rsidR="00390D58">
        <w:t xml:space="preserve"> </w:t>
      </w:r>
      <w:r>
        <w:t>Commission and Townsville City Cou</w:t>
      </w:r>
      <w:r w:rsidR="00E1226A">
        <w:t xml:space="preserve">ncil Youth Council. The aims of </w:t>
      </w:r>
      <w:r>
        <w:t>the event were to:</w:t>
      </w:r>
    </w:p>
    <w:p w14:paraId="58E688E8" w14:textId="4040376F" w:rsidR="0096610E" w:rsidRPr="00374AB8" w:rsidRDefault="00452D7E" w:rsidP="00374AB8">
      <w:pPr>
        <w:pStyle w:val="ListParagraph"/>
      </w:pPr>
      <w:r w:rsidRPr="00374AB8">
        <w:t>p</w:t>
      </w:r>
      <w:r w:rsidR="0096610E" w:rsidRPr="00374AB8">
        <w:t>rovide a positive platform for Townsville area youth to engage</w:t>
      </w:r>
      <w:r w:rsidR="00E1226A" w:rsidRPr="00374AB8">
        <w:t xml:space="preserve"> </w:t>
      </w:r>
      <w:r w:rsidR="0096610E" w:rsidRPr="00374AB8">
        <w:t>and contribute</w:t>
      </w:r>
    </w:p>
    <w:p w14:paraId="591C986A" w14:textId="366B9822" w:rsidR="0096610E" w:rsidRPr="00374AB8" w:rsidRDefault="00452D7E" w:rsidP="00374AB8">
      <w:pPr>
        <w:pStyle w:val="ListParagraph"/>
      </w:pPr>
      <w:r w:rsidRPr="00374AB8">
        <w:t>b</w:t>
      </w:r>
      <w:r w:rsidR="0096610E" w:rsidRPr="00374AB8">
        <w:t>uild an understanding of human rights and to raise awareness</w:t>
      </w:r>
      <w:r w:rsidR="00E1226A" w:rsidRPr="00374AB8">
        <w:t xml:space="preserve"> </w:t>
      </w:r>
      <w:r w:rsidR="0096610E" w:rsidRPr="00374AB8">
        <w:t>of the Human Rights Act</w:t>
      </w:r>
    </w:p>
    <w:p w14:paraId="0C1C38EF" w14:textId="2AB63CCE" w:rsidR="0096610E" w:rsidRPr="00374AB8" w:rsidRDefault="0096610E" w:rsidP="00374AB8">
      <w:pPr>
        <w:pStyle w:val="ListParagraph"/>
      </w:pPr>
      <w:r w:rsidRPr="00374AB8">
        <w:t>explore young people’s views about human rights issues i</w:t>
      </w:r>
      <w:r w:rsidR="00E1226A" w:rsidRPr="00374AB8">
        <w:t xml:space="preserve">n </w:t>
      </w:r>
      <w:r w:rsidRPr="00374AB8">
        <w:t>the Townsville community and generate ideas to address them</w:t>
      </w:r>
      <w:r w:rsidR="00070197">
        <w:t>,</w:t>
      </w:r>
      <w:r w:rsidR="7AFFE51F" w:rsidRPr="00374AB8">
        <w:t xml:space="preserve"> and </w:t>
      </w:r>
    </w:p>
    <w:p w14:paraId="4B75B971" w14:textId="4512FD8A" w:rsidR="0096610E" w:rsidRPr="0096610E" w:rsidRDefault="7AFFE51F" w:rsidP="00374AB8">
      <w:pPr>
        <w:pStyle w:val="ListParagraph"/>
      </w:pPr>
      <w:r w:rsidRPr="00374AB8">
        <w:t>s</w:t>
      </w:r>
      <w:r w:rsidR="0096610E" w:rsidRPr="00374AB8">
        <w:t>timulate</w:t>
      </w:r>
      <w:r w:rsidR="0096610E" w:rsidRPr="0096610E">
        <w:t xml:space="preserve"> thinking and identify actions that participants can</w:t>
      </w:r>
      <w:r w:rsidR="00E1226A">
        <w:t xml:space="preserve"> take </w:t>
      </w:r>
      <w:r w:rsidR="0096610E" w:rsidRPr="0096610E">
        <w:t>to promote an inclusive community where everyone feels</w:t>
      </w:r>
      <w:r w:rsidR="00E1226A">
        <w:t xml:space="preserve"> </w:t>
      </w:r>
      <w:r w:rsidR="0096610E" w:rsidRPr="0096610E">
        <w:t>welcome and connected.</w:t>
      </w:r>
    </w:p>
    <w:p w14:paraId="58213BC9" w14:textId="54C6344D" w:rsidR="0096610E" w:rsidRDefault="0096610E" w:rsidP="00374AB8">
      <w:r>
        <w:lastRenderedPageBreak/>
        <w:t>Interest in the event was strong, with</w:t>
      </w:r>
      <w:r w:rsidR="00E1226A">
        <w:t xml:space="preserve"> 75 young people registering to </w:t>
      </w:r>
      <w:r>
        <w:t>attend. Participants heard from three speakers: a local</w:t>
      </w:r>
      <w:r w:rsidR="00E1226A">
        <w:t xml:space="preserve"> </w:t>
      </w:r>
      <w:r>
        <w:t>businesswoman with disability, an Aboriginal and Torres Strait Islander</w:t>
      </w:r>
      <w:r w:rsidR="00E1226A">
        <w:t xml:space="preserve"> </w:t>
      </w:r>
      <w:r>
        <w:t>man who is a passionate advocate for Indigenous youth</w:t>
      </w:r>
      <w:r w:rsidR="00452D7E">
        <w:t>,</w:t>
      </w:r>
      <w:r>
        <w:t xml:space="preserve"> and a</w:t>
      </w:r>
      <w:r w:rsidR="00D4129A">
        <w:t xml:space="preserve"> young person from a</w:t>
      </w:r>
      <w:r>
        <w:t xml:space="preserve"> refugee</w:t>
      </w:r>
      <w:r w:rsidR="00D4129A">
        <w:t xml:space="preserve"> background.</w:t>
      </w:r>
      <w:r>
        <w:t xml:space="preserve"> The rest of the event centred around hosted</w:t>
      </w:r>
      <w:r w:rsidR="00E1226A">
        <w:t xml:space="preserve"> </w:t>
      </w:r>
      <w:r>
        <w:t xml:space="preserve">conversations </w:t>
      </w:r>
      <w:r w:rsidR="00A97485">
        <w:t xml:space="preserve">in which </w:t>
      </w:r>
      <w:r>
        <w:t>young people were given a voice on human</w:t>
      </w:r>
      <w:r w:rsidR="00E1226A">
        <w:t xml:space="preserve"> </w:t>
      </w:r>
      <w:r>
        <w:t>rights, social justice</w:t>
      </w:r>
      <w:r w:rsidR="00A97485">
        <w:t>,</w:t>
      </w:r>
      <w:r>
        <w:t xml:space="preserve"> and their local community.</w:t>
      </w:r>
    </w:p>
    <w:p w14:paraId="562F987B" w14:textId="7F213B83" w:rsidR="0096610E" w:rsidRDefault="0096610E" w:rsidP="00374AB8">
      <w:r>
        <w:t>Due to the success of this event</w:t>
      </w:r>
      <w:r w:rsidR="00A97485">
        <w:t>,</w:t>
      </w:r>
      <w:r>
        <w:t xml:space="preserve"> the Commission is considering ways to replicate the event in other locations throughout Queensland.</w:t>
      </w:r>
    </w:p>
    <w:p w14:paraId="7E989A61" w14:textId="0571AE0D" w:rsidR="00C33434" w:rsidRPr="00C33434" w:rsidRDefault="00C33434" w:rsidP="00374AB8">
      <w:pPr>
        <w:rPr>
          <w:rFonts w:eastAsia="Times New Roman" w:cs="Arial"/>
        </w:rPr>
      </w:pPr>
      <w:r w:rsidRPr="00C33434">
        <w:rPr>
          <w:rFonts w:eastAsia="Times New Roman" w:cs="Arial"/>
        </w:rPr>
        <w:t>In Brisbane, the Commission participated in</w:t>
      </w:r>
      <w:r>
        <w:rPr>
          <w:rFonts w:eastAsia="Times New Roman" w:cs="Arial"/>
        </w:rPr>
        <w:t xml:space="preserve"> a</w:t>
      </w:r>
      <w:r w:rsidRPr="00C33434">
        <w:rPr>
          <w:rFonts w:eastAsiaTheme="minorEastAsia" w:cs="Arial"/>
          <w:iCs/>
          <w:color w:val="000000" w:themeColor="text1"/>
          <w:szCs w:val="20"/>
        </w:rPr>
        <w:t xml:space="preserve"> panel discussion for Queensland Health Metro North Alcohol and Drug Service’s Culturally and Linguistically Diverse working group on the impact of COVID-19</w:t>
      </w:r>
      <w:r>
        <w:rPr>
          <w:rFonts w:eastAsiaTheme="minorEastAsia" w:cs="Arial"/>
          <w:iCs/>
          <w:color w:val="000000" w:themeColor="text1"/>
          <w:szCs w:val="20"/>
        </w:rPr>
        <w:t xml:space="preserve"> on 7 July 2021</w:t>
      </w:r>
      <w:r w:rsidRPr="00C33434">
        <w:rPr>
          <w:rFonts w:eastAsiaTheme="minorEastAsia" w:cs="Arial"/>
          <w:iCs/>
          <w:color w:val="000000" w:themeColor="text1"/>
          <w:szCs w:val="20"/>
        </w:rPr>
        <w:t xml:space="preserve">. Discussions centred around the right to health services, right to life and equality before the law, and the importance of delivering timely information in different languages to ensure all communities understand the risks and the necessary precautions. Further discussions </w:t>
      </w:r>
      <w:r w:rsidR="000B0A0F">
        <w:rPr>
          <w:rFonts w:eastAsiaTheme="minorEastAsia" w:cs="Arial"/>
          <w:iCs/>
          <w:color w:val="000000" w:themeColor="text1"/>
          <w:szCs w:val="20"/>
        </w:rPr>
        <w:t>were about how</w:t>
      </w:r>
      <w:r w:rsidRPr="00C33434">
        <w:rPr>
          <w:rFonts w:eastAsiaTheme="minorEastAsia" w:cs="Arial"/>
          <w:iCs/>
          <w:color w:val="000000" w:themeColor="text1"/>
          <w:szCs w:val="20"/>
        </w:rPr>
        <w:t xml:space="preserve"> CALD communities could be exposed to police intervention based on lack of understanding of legal obligations, as well as the right to practice their religion which had been due to health restrictions.</w:t>
      </w:r>
    </w:p>
    <w:p w14:paraId="0AEC015E" w14:textId="07256CB7" w:rsidR="00327573" w:rsidRDefault="00327573" w:rsidP="674E917E">
      <w:r>
        <w:t xml:space="preserve">The Cairns team ran a number of engagements </w:t>
      </w:r>
      <w:r w:rsidR="00A97485">
        <w:t xml:space="preserve">about </w:t>
      </w:r>
      <w:r>
        <w:t>human rights, including:</w:t>
      </w:r>
    </w:p>
    <w:p w14:paraId="7C9719A6" w14:textId="3DDAF707" w:rsidR="00327573" w:rsidRPr="00327573" w:rsidRDefault="00327573" w:rsidP="674E917E">
      <w:pPr>
        <w:pStyle w:val="ListParagraph"/>
      </w:pPr>
      <w:r>
        <w:t xml:space="preserve">On 11 August 2020, </w:t>
      </w:r>
      <w:r w:rsidR="004D53E5">
        <w:t>the Commission</w:t>
      </w:r>
      <w:r>
        <w:t xml:space="preserve"> presented the results of a community survey relating to increases in racist behaviour and incidents toward people of Asian descent in the Cairns area. The well-attended event was presented in conjunction with </w:t>
      </w:r>
      <w:r w:rsidR="00480B76">
        <w:t xml:space="preserve">the Queensland </w:t>
      </w:r>
      <w:r>
        <w:t xml:space="preserve">Police </w:t>
      </w:r>
      <w:r w:rsidR="00334750">
        <w:t xml:space="preserve">Service </w:t>
      </w:r>
      <w:r>
        <w:t xml:space="preserve">and included a session </w:t>
      </w:r>
      <w:r w:rsidR="00480B76">
        <w:t xml:space="preserve">on </w:t>
      </w:r>
      <w:r>
        <w:t>the Human Rights Act and obligations on public entities.</w:t>
      </w:r>
    </w:p>
    <w:p w14:paraId="1E628C2A" w14:textId="14BE3C30" w:rsidR="00327573" w:rsidRPr="00327573" w:rsidRDefault="00327573" w:rsidP="674E917E">
      <w:pPr>
        <w:pStyle w:val="ListParagraph"/>
      </w:pPr>
      <w:r>
        <w:t>On 25</w:t>
      </w:r>
      <w:r w:rsidR="004D53E5">
        <w:t xml:space="preserve"> May 2021, the Commission</w:t>
      </w:r>
      <w:r>
        <w:t xml:space="preserve"> delivered an address to the ordinary Council meeting for Cairns Regional Council as part of Reconciliation Week. The theme of the address was, ‘Reconciliation takes Action’ and used link</w:t>
      </w:r>
      <w:r w:rsidR="008A686C">
        <w:t>s</w:t>
      </w:r>
      <w:r>
        <w:t xml:space="preserve"> between the Human Rights Act and </w:t>
      </w:r>
      <w:r w:rsidR="008A686C">
        <w:t xml:space="preserve">the </w:t>
      </w:r>
      <w:r>
        <w:t xml:space="preserve">Council’s Reconciliation Action Plan to urge Council to understand their obligations under the </w:t>
      </w:r>
      <w:r w:rsidR="008A686C">
        <w:t xml:space="preserve">Act </w:t>
      </w:r>
      <w:r>
        <w:t>to work towards real and meaningful reconciliation.</w:t>
      </w:r>
    </w:p>
    <w:p w14:paraId="23C93893" w14:textId="7C3357A7" w:rsidR="00F460C2" w:rsidRDefault="00327573" w:rsidP="674E917E">
      <w:pPr>
        <w:pStyle w:val="ListParagraph"/>
      </w:pPr>
      <w:r>
        <w:t xml:space="preserve">On the 8 June 2021, </w:t>
      </w:r>
      <w:r w:rsidR="004D53E5">
        <w:t>the Commission</w:t>
      </w:r>
      <w:r>
        <w:t xml:space="preserve"> </w:t>
      </w:r>
      <w:r w:rsidR="0029764F">
        <w:t xml:space="preserve">made a </w:t>
      </w:r>
      <w:r>
        <w:t>present</w:t>
      </w:r>
      <w:r w:rsidR="0029764F">
        <w:t>ation</w:t>
      </w:r>
      <w:r w:rsidDel="0029764F">
        <w:t xml:space="preserve"> </w:t>
      </w:r>
      <w:r w:rsidR="0029764F">
        <w:t>at</w:t>
      </w:r>
      <w:r>
        <w:t xml:space="preserve"> the Diversity and Inclusion Forum in Cairns. The topic included adopting a human rights based approach to work in the sector. The audience included workers in the </w:t>
      </w:r>
      <w:r w:rsidR="00944DB4">
        <w:t>a</w:t>
      </w:r>
      <w:r>
        <w:t xml:space="preserve">ged </w:t>
      </w:r>
      <w:r w:rsidR="00944DB4">
        <w:t>c</w:t>
      </w:r>
      <w:r>
        <w:t>are industry, allied health</w:t>
      </w:r>
      <w:r w:rsidR="00944DB4">
        <w:t>,</w:t>
      </w:r>
      <w:r>
        <w:t xml:space="preserve"> and medical professionals. </w:t>
      </w:r>
    </w:p>
    <w:p w14:paraId="78B5B0FA" w14:textId="569F1448" w:rsidR="00327573" w:rsidRPr="00327573" w:rsidRDefault="00327573" w:rsidP="674E917E">
      <w:pPr>
        <w:pStyle w:val="ListParagraph"/>
      </w:pPr>
      <w:r>
        <w:lastRenderedPageBreak/>
        <w:t xml:space="preserve">Throughout the year </w:t>
      </w:r>
      <w:r w:rsidR="00F460C2">
        <w:t>the Commission</w:t>
      </w:r>
      <w:r>
        <w:t xml:space="preserve"> continued to support the Space and Place Youth Activities for Cairns</w:t>
      </w:r>
      <w:r w:rsidR="00944DB4">
        <w:t>,</w:t>
      </w:r>
      <w:r>
        <w:t xml:space="preserve"> and linked initiatives through adding a </w:t>
      </w:r>
      <w:r w:rsidR="00944DB4">
        <w:t>h</w:t>
      </w:r>
      <w:r>
        <w:t xml:space="preserve">uman </w:t>
      </w:r>
      <w:r w:rsidR="00944DB4">
        <w:t>r</w:t>
      </w:r>
      <w:r>
        <w:t>ights</w:t>
      </w:r>
      <w:r w:rsidR="00944DB4">
        <w:t>-</w:t>
      </w:r>
      <w:r>
        <w:t xml:space="preserve">based lens to projects and helping to build community capacity around the </w:t>
      </w:r>
      <w:r w:rsidR="002B64F5">
        <w:t>Act</w:t>
      </w:r>
      <w:r>
        <w:t>.</w:t>
      </w:r>
    </w:p>
    <w:p w14:paraId="51B2FA1C" w14:textId="2FEB782A" w:rsidR="009C578A" w:rsidRPr="0096610E" w:rsidRDefault="2753B544" w:rsidP="062B490D">
      <w:pPr>
        <w:rPr>
          <w:rFonts w:eastAsia="Yu Mincho" w:cs="Arial"/>
        </w:rPr>
      </w:pPr>
      <w:r w:rsidRPr="062B490D">
        <w:rPr>
          <w:rFonts w:eastAsia="Yu Mincho" w:cs="Arial"/>
        </w:rPr>
        <w:t xml:space="preserve">The Rockhampton </w:t>
      </w:r>
      <w:r w:rsidR="004332B1">
        <w:rPr>
          <w:rFonts w:eastAsia="Yu Mincho" w:cs="Arial"/>
        </w:rPr>
        <w:t>team</w:t>
      </w:r>
      <w:r w:rsidRPr="062B490D">
        <w:rPr>
          <w:rFonts w:eastAsia="Yu Mincho" w:cs="Arial"/>
        </w:rPr>
        <w:t xml:space="preserve"> </w:t>
      </w:r>
      <w:r w:rsidR="1A8960AC" w:rsidRPr="062B490D">
        <w:rPr>
          <w:rFonts w:eastAsia="Yu Mincho" w:cs="Arial"/>
        </w:rPr>
        <w:t>w</w:t>
      </w:r>
      <w:r w:rsidR="53367823" w:rsidRPr="062B490D">
        <w:rPr>
          <w:rFonts w:eastAsia="Yu Mincho" w:cs="Arial"/>
        </w:rPr>
        <w:t>a</w:t>
      </w:r>
      <w:r w:rsidR="1A8960AC" w:rsidRPr="062B490D">
        <w:rPr>
          <w:rFonts w:eastAsia="Yu Mincho" w:cs="Arial"/>
        </w:rPr>
        <w:t>s involved in a number of events</w:t>
      </w:r>
      <w:r w:rsidR="00E440EA">
        <w:rPr>
          <w:rFonts w:eastAsia="Yu Mincho" w:cs="Arial"/>
        </w:rPr>
        <w:t xml:space="preserve"> that promoted human rights and equal opportunity</w:t>
      </w:r>
      <w:r w:rsidR="00944DB4">
        <w:rPr>
          <w:rFonts w:eastAsia="Yu Mincho" w:cs="Arial"/>
        </w:rPr>
        <w:t xml:space="preserve"> including</w:t>
      </w:r>
      <w:r w:rsidR="1A8960AC" w:rsidRPr="062B490D">
        <w:rPr>
          <w:rFonts w:eastAsia="Yu Mincho" w:cs="Arial"/>
        </w:rPr>
        <w:t xml:space="preserve">: </w:t>
      </w:r>
    </w:p>
    <w:p w14:paraId="15C73BE8" w14:textId="28627BEA" w:rsidR="009C578A" w:rsidRPr="0096610E" w:rsidRDefault="004332B1" w:rsidP="674E917E">
      <w:pPr>
        <w:pStyle w:val="ListParagraph"/>
      </w:pPr>
      <w:r>
        <w:t xml:space="preserve">The </w:t>
      </w:r>
      <w:r w:rsidR="00944DB4">
        <w:t>m</w:t>
      </w:r>
      <w:r>
        <w:t>ulti-</w:t>
      </w:r>
      <w:r w:rsidR="2753B544">
        <w:t xml:space="preserve">faith </w:t>
      </w:r>
      <w:r>
        <w:t xml:space="preserve">dinner, </w:t>
      </w:r>
      <w:r w:rsidR="2753B544">
        <w:t xml:space="preserve">hosted by </w:t>
      </w:r>
      <w:r w:rsidR="002772D8">
        <w:t xml:space="preserve">the </w:t>
      </w:r>
      <w:r w:rsidR="2753B544">
        <w:t>Queensland Police Service in partnership with Multicultural Australia, the Queensland Human Rights Commission, Queensland Fire and Emergency Services</w:t>
      </w:r>
      <w:r w:rsidR="002772D8">
        <w:t>,</w:t>
      </w:r>
      <w:r w:rsidR="2753B544">
        <w:t xml:space="preserve"> and Rockhampton Regional Council.</w:t>
      </w:r>
      <w:r w:rsidR="1C563FD0">
        <w:t xml:space="preserve"> </w:t>
      </w:r>
      <w:r w:rsidR="2753B544">
        <w:t>The dinner aims to build on existing community relationships</w:t>
      </w:r>
      <w:r w:rsidR="31303AB2">
        <w:t xml:space="preserve"> </w:t>
      </w:r>
      <w:r w:rsidR="085E01C4">
        <w:t>t</w:t>
      </w:r>
      <w:r w:rsidR="2753B544">
        <w:t>hrough dialogue and partnership</w:t>
      </w:r>
      <w:r w:rsidR="00FC1589">
        <w:t>s</w:t>
      </w:r>
      <w:r w:rsidR="2753B544">
        <w:t xml:space="preserve"> </w:t>
      </w:r>
      <w:r w:rsidR="00FC1589">
        <w:t>and focuses on</w:t>
      </w:r>
      <w:r w:rsidR="2753B544">
        <w:t xml:space="preserve"> community</w:t>
      </w:r>
      <w:r w:rsidR="099E5BF9">
        <w:t xml:space="preserve"> </w:t>
      </w:r>
      <w:r w:rsidR="2753B544">
        <w:t>and religious leaders being seen standing together and</w:t>
      </w:r>
      <w:r w:rsidR="2E70F1A9">
        <w:t xml:space="preserve"> </w:t>
      </w:r>
      <w:r w:rsidR="2753B544">
        <w:t>promoting the shared values of all faiths. It allows government and other agency representatives to sit down and share a meal with community leaders from our diverse community. This was the fifth year of the event and hosted over 100 people from diverse cultures and backgrounds.</w:t>
      </w:r>
    </w:p>
    <w:p w14:paraId="23E0A7B6" w14:textId="0049D1CB" w:rsidR="009C578A" w:rsidRPr="0096610E" w:rsidRDefault="2753B544" w:rsidP="674E917E">
      <w:pPr>
        <w:pStyle w:val="ListParagraph"/>
      </w:pPr>
      <w:r>
        <w:t>Neighbour Day: This event encourages social connection and is an opportunity to provide information about household preparedness for people with a disability, their families</w:t>
      </w:r>
      <w:r w:rsidR="00B9696E">
        <w:t>,</w:t>
      </w:r>
      <w:r>
        <w:t xml:space="preserve"> and carers. The objectives for this event are to strengthen community connections and create awareness of the additional challenges people with disability face in times of emergency and natural disasters. </w:t>
      </w:r>
    </w:p>
    <w:p w14:paraId="18CBCFF7" w14:textId="636262D4" w:rsidR="009C578A" w:rsidRPr="0096610E" w:rsidRDefault="004332B1" w:rsidP="674E917E">
      <w:pPr>
        <w:pStyle w:val="ListParagraph"/>
      </w:pPr>
      <w:r>
        <w:t>The Commission</w:t>
      </w:r>
      <w:r w:rsidR="2753B544">
        <w:t xml:space="preserve"> presented at the joint C</w:t>
      </w:r>
      <w:r w:rsidR="00B9696E">
        <w:t xml:space="preserve">entral </w:t>
      </w:r>
      <w:r w:rsidR="2753B544">
        <w:t>Q</w:t>
      </w:r>
      <w:r w:rsidR="00B9696E">
        <w:t xml:space="preserve">ueensland </w:t>
      </w:r>
      <w:r w:rsidR="2753B544">
        <w:t>Multicultural Association and Multicultural Australia Harmony Day celebrations.</w:t>
      </w:r>
    </w:p>
    <w:p w14:paraId="24187B39" w14:textId="4DCFE778" w:rsidR="009C578A" w:rsidRPr="0096610E" w:rsidRDefault="004332B1" w:rsidP="004332B1">
      <w:r>
        <w:rPr>
          <w:rFonts w:eastAsia="Arial" w:cs="Arial"/>
        </w:rPr>
        <w:t xml:space="preserve">The Commission’s </w:t>
      </w:r>
      <w:r w:rsidR="084D53B9" w:rsidRPr="74560A52">
        <w:rPr>
          <w:rFonts w:eastAsia="Arial" w:cs="Arial"/>
        </w:rPr>
        <w:t xml:space="preserve">Aboriginal and Torres Strait Islander </w:t>
      </w:r>
      <w:r w:rsidR="5F36B65B" w:rsidRPr="674E917E">
        <w:rPr>
          <w:rFonts w:eastAsia="Arial" w:cs="Arial"/>
        </w:rPr>
        <w:t>U</w:t>
      </w:r>
      <w:r w:rsidR="084D53B9" w:rsidRPr="674E917E">
        <w:rPr>
          <w:rFonts w:eastAsia="Arial" w:cs="Arial"/>
        </w:rPr>
        <w:t>nit</w:t>
      </w:r>
      <w:r w:rsidR="084D53B9" w:rsidRPr="74560A52">
        <w:rPr>
          <w:rFonts w:eastAsia="Arial" w:cs="Arial"/>
        </w:rPr>
        <w:t xml:space="preserve"> travelled to Mount Isa and met with community </w:t>
      </w:r>
      <w:r w:rsidR="7C19C28A" w:rsidRPr="74560A52">
        <w:rPr>
          <w:rFonts w:eastAsia="Arial" w:cs="Arial"/>
        </w:rPr>
        <w:t>to discuss human rights issues as well as delivering training</w:t>
      </w:r>
      <w:r w:rsidR="009F6C64">
        <w:rPr>
          <w:rFonts w:eastAsia="Arial" w:cs="Arial"/>
        </w:rPr>
        <w:t xml:space="preserve"> on the Act</w:t>
      </w:r>
      <w:r w:rsidR="7C19C28A" w:rsidRPr="56C2A363">
        <w:rPr>
          <w:rFonts w:eastAsia="Arial" w:cs="Arial"/>
        </w:rPr>
        <w:t>.</w:t>
      </w:r>
      <w:r w:rsidR="009F6C64">
        <w:rPr>
          <w:rFonts w:eastAsia="Arial" w:cs="Arial"/>
        </w:rPr>
        <w:t xml:space="preserve"> </w:t>
      </w:r>
      <w:r w:rsidR="7C9011A9" w:rsidRPr="56C2A363">
        <w:rPr>
          <w:rFonts w:eastAsia="Arial" w:cs="Arial"/>
        </w:rPr>
        <w:t xml:space="preserve">The </w:t>
      </w:r>
      <w:r w:rsidR="0F9E57BB" w:rsidRPr="674E917E">
        <w:rPr>
          <w:rFonts w:eastAsia="Arial" w:cs="Arial"/>
        </w:rPr>
        <w:t>U</w:t>
      </w:r>
      <w:r w:rsidR="7C9011A9" w:rsidRPr="674E917E">
        <w:rPr>
          <w:rFonts w:eastAsia="Arial" w:cs="Arial"/>
        </w:rPr>
        <w:t>nit</w:t>
      </w:r>
      <w:r w:rsidR="7C9011A9" w:rsidRPr="56C2A363">
        <w:rPr>
          <w:rFonts w:eastAsia="Arial" w:cs="Arial"/>
        </w:rPr>
        <w:t xml:space="preserve"> has also delivered </w:t>
      </w:r>
      <w:r w:rsidR="009F6C64">
        <w:rPr>
          <w:rFonts w:eastAsia="Arial" w:cs="Arial"/>
        </w:rPr>
        <w:t xml:space="preserve">human rights </w:t>
      </w:r>
      <w:r w:rsidR="7C9011A9" w:rsidRPr="56C2A363">
        <w:rPr>
          <w:rFonts w:eastAsia="Arial" w:cs="Arial"/>
        </w:rPr>
        <w:t>training</w:t>
      </w:r>
      <w:r w:rsidR="084D53B9" w:rsidRPr="56C2A363">
        <w:rPr>
          <w:rFonts w:eastAsia="Arial" w:cs="Arial"/>
        </w:rPr>
        <w:t xml:space="preserve"> </w:t>
      </w:r>
      <w:r w:rsidR="7C9011A9" w:rsidRPr="56C2A363">
        <w:rPr>
          <w:rFonts w:eastAsia="Arial" w:cs="Arial"/>
        </w:rPr>
        <w:t>sess</w:t>
      </w:r>
      <w:r w:rsidR="66D30AAA" w:rsidRPr="56C2A363">
        <w:rPr>
          <w:rFonts w:eastAsia="Arial" w:cs="Arial"/>
        </w:rPr>
        <w:t>i</w:t>
      </w:r>
      <w:r w:rsidR="7C9011A9" w:rsidRPr="56C2A363">
        <w:rPr>
          <w:rFonts w:eastAsia="Arial" w:cs="Arial"/>
        </w:rPr>
        <w:t xml:space="preserve">ons to </w:t>
      </w:r>
      <w:r w:rsidR="5A05DDE2" w:rsidRPr="56C2A363">
        <w:rPr>
          <w:rFonts w:eastAsia="Arial" w:cs="Arial"/>
        </w:rPr>
        <w:t>Aboriginal and Torres Strait Islan</w:t>
      </w:r>
      <w:r w:rsidR="41998939" w:rsidRPr="56C2A363">
        <w:rPr>
          <w:rFonts w:eastAsia="Arial" w:cs="Arial"/>
        </w:rPr>
        <w:t>d</w:t>
      </w:r>
      <w:r w:rsidR="5A05DDE2" w:rsidRPr="56C2A363">
        <w:rPr>
          <w:rFonts w:eastAsia="Arial" w:cs="Arial"/>
        </w:rPr>
        <w:t>er shire councils</w:t>
      </w:r>
      <w:r w:rsidR="1CD8259F" w:rsidRPr="56C2A363">
        <w:rPr>
          <w:rFonts w:eastAsia="Arial" w:cs="Arial"/>
        </w:rPr>
        <w:t>,</w:t>
      </w:r>
      <w:r w:rsidR="5A05DDE2" w:rsidRPr="56C2A363">
        <w:rPr>
          <w:rFonts w:eastAsia="Arial" w:cs="Arial"/>
        </w:rPr>
        <w:t xml:space="preserve"> government and non-government agencies</w:t>
      </w:r>
      <w:r w:rsidR="00BC4431">
        <w:rPr>
          <w:rFonts w:eastAsia="Arial" w:cs="Arial"/>
        </w:rPr>
        <w:t>,</w:t>
      </w:r>
      <w:r w:rsidR="735F6746" w:rsidRPr="56C2A363">
        <w:rPr>
          <w:rFonts w:eastAsia="Arial" w:cs="Arial"/>
        </w:rPr>
        <w:t xml:space="preserve"> </w:t>
      </w:r>
      <w:r w:rsidR="00BC4431">
        <w:rPr>
          <w:rFonts w:eastAsia="Arial" w:cs="Arial"/>
        </w:rPr>
        <w:t>and</w:t>
      </w:r>
      <w:r w:rsidR="33EB394B" w:rsidRPr="56C2A363">
        <w:rPr>
          <w:rFonts w:eastAsia="Arial" w:cs="Arial"/>
        </w:rPr>
        <w:t xml:space="preserve"> First Nations communities.</w:t>
      </w:r>
    </w:p>
    <w:p w14:paraId="08EA970D" w14:textId="701A1B7A" w:rsidR="00192F08" w:rsidRPr="00192F08" w:rsidRDefault="00192F08" w:rsidP="00192F08">
      <w:pPr>
        <w:pStyle w:val="Heading2"/>
        <w:rPr>
          <w:color w:val="D83A37"/>
        </w:rPr>
      </w:pPr>
      <w:bookmarkStart w:id="663" w:name="_Toc84593960"/>
      <w:bookmarkStart w:id="664" w:name="_Toc85451835"/>
      <w:bookmarkStart w:id="665" w:name="_Toc85526766"/>
      <w:bookmarkStart w:id="666" w:name="_Toc85787181"/>
      <w:r w:rsidRPr="674E917E">
        <w:rPr>
          <w:color w:val="D83A37"/>
        </w:rPr>
        <w:t>Human Rights Month</w:t>
      </w:r>
      <w:bookmarkEnd w:id="663"/>
      <w:bookmarkEnd w:id="664"/>
      <w:bookmarkEnd w:id="665"/>
      <w:bookmarkEnd w:id="666"/>
    </w:p>
    <w:p w14:paraId="2D06713B" w14:textId="74FA52C1" w:rsidR="00E35B28" w:rsidRDefault="00192F08" w:rsidP="00374AB8">
      <w:pPr>
        <w:rPr>
          <w:rFonts w:cs="Arial"/>
        </w:rPr>
      </w:pPr>
      <w:r>
        <w:t>For the sixth consecutive year, we ran our Human Rights Month</w:t>
      </w:r>
      <w:r w:rsidR="003D325A">
        <w:t xml:space="preserve"> </w:t>
      </w:r>
      <w:r>
        <w:t xml:space="preserve">campaign from 10 November </w:t>
      </w:r>
      <w:r w:rsidR="009B0871">
        <w:t>culminating on Human Rights Day</w:t>
      </w:r>
      <w:r w:rsidR="00803243">
        <w:t>,</w:t>
      </w:r>
      <w:r>
        <w:t xml:space="preserve"> 10 December 2020. </w:t>
      </w:r>
      <w:r w:rsidR="0088632C">
        <w:t xml:space="preserve">The COVID pandemic </w:t>
      </w:r>
      <w:r w:rsidR="00E35B28">
        <w:t xml:space="preserve">restricted how the campaign was </w:t>
      </w:r>
      <w:r w:rsidR="009B0871">
        <w:t>delivered</w:t>
      </w:r>
      <w:r w:rsidR="00E35B28">
        <w:t xml:space="preserve"> this year to taking place mostly online.</w:t>
      </w:r>
      <w:r w:rsidRPr="004332B1">
        <w:rPr>
          <w:rFonts w:cs="Arial"/>
        </w:rPr>
        <w:t xml:space="preserve"> </w:t>
      </w:r>
    </w:p>
    <w:p w14:paraId="4A67A76F" w14:textId="74998404" w:rsidR="00B31037" w:rsidRPr="004332B1" w:rsidRDefault="00803243" w:rsidP="00374AB8">
      <w:pPr>
        <w:rPr>
          <w:rFonts w:cs="Arial"/>
        </w:rPr>
      </w:pPr>
      <w:r>
        <w:rPr>
          <w:rFonts w:cs="Arial"/>
        </w:rPr>
        <w:lastRenderedPageBreak/>
        <w:t>The</w:t>
      </w:r>
      <w:r w:rsidR="00192F08" w:rsidRPr="004332B1">
        <w:rPr>
          <w:rFonts w:cs="Arial"/>
        </w:rPr>
        <w:t xml:space="preserve"> campaign aimed</w:t>
      </w:r>
      <w:r w:rsidR="003D325A">
        <w:t xml:space="preserve"> </w:t>
      </w:r>
      <w:r w:rsidR="00192F08" w:rsidRPr="004332B1">
        <w:rPr>
          <w:rFonts w:cs="Arial"/>
        </w:rPr>
        <w:t xml:space="preserve">to increase the community’s awareness of </w:t>
      </w:r>
      <w:r>
        <w:rPr>
          <w:rFonts w:cs="Arial"/>
        </w:rPr>
        <w:t>the new</w:t>
      </w:r>
      <w:r w:rsidRPr="004332B1">
        <w:rPr>
          <w:rFonts w:cs="Arial"/>
        </w:rPr>
        <w:t xml:space="preserve"> </w:t>
      </w:r>
      <w:r w:rsidR="00192F08" w:rsidRPr="674E917E">
        <w:t>Human</w:t>
      </w:r>
      <w:r w:rsidR="00BE762D" w:rsidRPr="674E917E">
        <w:t xml:space="preserve"> </w:t>
      </w:r>
      <w:r w:rsidR="00192F08" w:rsidRPr="674E917E">
        <w:t>Rights Act</w:t>
      </w:r>
      <w:r w:rsidR="00192F08">
        <w:t>, and incl</w:t>
      </w:r>
      <w:r w:rsidR="00192F08" w:rsidRPr="004332B1">
        <w:rPr>
          <w:rFonts w:cs="Arial"/>
        </w:rPr>
        <w:t>uded dail</w:t>
      </w:r>
      <w:r w:rsidR="00192F08">
        <w:rPr>
          <w:rFonts w:cs="Arial"/>
        </w:rPr>
        <w:t>y ‘right in focus’ posts on the</w:t>
      </w:r>
      <w:r w:rsidR="00E440EA">
        <w:rPr>
          <w:rFonts w:cs="Arial"/>
        </w:rPr>
        <w:t xml:space="preserve"> </w:t>
      </w:r>
      <w:r w:rsidR="00192F08" w:rsidRPr="004332B1">
        <w:rPr>
          <w:rFonts w:cs="Arial"/>
        </w:rPr>
        <w:t xml:space="preserve">Commission’s social media platforms </w:t>
      </w:r>
      <w:r w:rsidR="003D325A" w:rsidRPr="004332B1">
        <w:rPr>
          <w:rFonts w:cs="Arial"/>
        </w:rPr>
        <w:t xml:space="preserve">to </w:t>
      </w:r>
      <w:r w:rsidR="008A00CF">
        <w:rPr>
          <w:rFonts w:cs="Arial"/>
        </w:rPr>
        <w:t>draw attention to</w:t>
      </w:r>
      <w:r w:rsidR="003D325A" w:rsidRPr="004332B1">
        <w:rPr>
          <w:rFonts w:cs="Arial"/>
        </w:rPr>
        <w:t xml:space="preserve"> </w:t>
      </w:r>
      <w:r w:rsidR="00085125">
        <w:rPr>
          <w:rFonts w:cs="Arial"/>
        </w:rPr>
        <w:t>individual human rights</w:t>
      </w:r>
      <w:r w:rsidR="00192F08">
        <w:t>. We also provided training for key audiences across the month,</w:t>
      </w:r>
      <w:r w:rsidR="003D325A" w:rsidRPr="004332B1">
        <w:rPr>
          <w:rFonts w:cs="Arial"/>
        </w:rPr>
        <w:t xml:space="preserve"> </w:t>
      </w:r>
      <w:r w:rsidR="00192F08">
        <w:t>both online and in person, and developed a supporter kit for</w:t>
      </w:r>
      <w:r w:rsidR="003D325A" w:rsidRPr="004332B1">
        <w:rPr>
          <w:rFonts w:cs="Arial"/>
        </w:rPr>
        <w:t xml:space="preserve"> </w:t>
      </w:r>
      <w:r w:rsidR="00192F08">
        <w:t>stakeholders.</w:t>
      </w:r>
    </w:p>
    <w:p w14:paraId="7E8AFBA6" w14:textId="77777777" w:rsidR="00B31037" w:rsidRDefault="00B31037" w:rsidP="00B31037">
      <w:pPr>
        <w:pStyle w:val="Heading2"/>
        <w:rPr>
          <w:color w:val="D83A37"/>
        </w:rPr>
      </w:pPr>
      <w:bookmarkStart w:id="667" w:name="_Toc84593961"/>
      <w:bookmarkStart w:id="668" w:name="_Toc85451836"/>
      <w:bookmarkStart w:id="669" w:name="_Toc85526767"/>
      <w:bookmarkStart w:id="670" w:name="_Toc85787182"/>
      <w:r w:rsidRPr="674E917E">
        <w:rPr>
          <w:color w:val="D83A37"/>
        </w:rPr>
        <w:t>Training for advocates</w:t>
      </w:r>
      <w:bookmarkEnd w:id="667"/>
      <w:bookmarkEnd w:id="668"/>
      <w:bookmarkEnd w:id="669"/>
      <w:bookmarkEnd w:id="670"/>
    </w:p>
    <w:p w14:paraId="33DB9E2A" w14:textId="23F713C3" w:rsidR="00804885" w:rsidRPr="00804885" w:rsidRDefault="00B31037" w:rsidP="00374AB8">
      <w:r>
        <w:t xml:space="preserve">In late 2020, </w:t>
      </w:r>
      <w:r w:rsidR="00D4273F">
        <w:t xml:space="preserve">the </w:t>
      </w:r>
      <w:r w:rsidR="00D4129A">
        <w:t xml:space="preserve">Commission </w:t>
      </w:r>
      <w:r>
        <w:t>introduced new training products for advocates to</w:t>
      </w:r>
      <w:r w:rsidR="00804885">
        <w:t xml:space="preserve"> </w:t>
      </w:r>
      <w:r>
        <w:t xml:space="preserve">support vulnerable Queenslanders </w:t>
      </w:r>
      <w:r w:rsidR="00085125">
        <w:t>in</w:t>
      </w:r>
      <w:r>
        <w:t xml:space="preserve"> access</w:t>
      </w:r>
      <w:r w:rsidR="00085125">
        <w:t>ing</w:t>
      </w:r>
      <w:r>
        <w:t xml:space="preserve"> protections available to</w:t>
      </w:r>
      <w:r w:rsidR="00804885">
        <w:t xml:space="preserve"> </w:t>
      </w:r>
      <w:r>
        <w:t xml:space="preserve">them under the </w:t>
      </w:r>
      <w:r>
        <w:rPr>
          <w:i/>
          <w:iCs/>
        </w:rPr>
        <w:t xml:space="preserve">Human Rights Act 2019. </w:t>
      </w:r>
      <w:r>
        <w:t xml:space="preserve">The range includes </w:t>
      </w:r>
      <w:r w:rsidR="0031477C">
        <w:t xml:space="preserve">individual </w:t>
      </w:r>
      <w:r>
        <w:t xml:space="preserve">products </w:t>
      </w:r>
      <w:r w:rsidR="00ED689C">
        <w:t xml:space="preserve">tailored </w:t>
      </w:r>
      <w:r>
        <w:t>for community advocates, legal advocates</w:t>
      </w:r>
      <w:r w:rsidR="00ED689C">
        <w:t>,</w:t>
      </w:r>
      <w:r>
        <w:t xml:space="preserve"> and self-advocates.</w:t>
      </w:r>
      <w:r w:rsidR="00804885">
        <w:t xml:space="preserve"> The intention is to assist those who assist the community to better understand their rights and how the </w:t>
      </w:r>
      <w:r w:rsidR="00ED689C" w:rsidRPr="00D4129A">
        <w:rPr>
          <w:iCs/>
        </w:rPr>
        <w:t>Act</w:t>
      </w:r>
      <w:r w:rsidR="00804885">
        <w:rPr>
          <w:i/>
        </w:rPr>
        <w:t xml:space="preserve"> </w:t>
      </w:r>
      <w:r w:rsidR="00804885">
        <w:t xml:space="preserve">can be used to address </w:t>
      </w:r>
      <w:r w:rsidR="00ED689C">
        <w:t xml:space="preserve">human rights </w:t>
      </w:r>
      <w:r w:rsidR="00804885">
        <w:t>issues.</w:t>
      </w:r>
    </w:p>
    <w:p w14:paraId="79143455" w14:textId="110DC163" w:rsidR="00804885" w:rsidRDefault="00804885" w:rsidP="00374AB8">
      <w:r>
        <w:t>In the reporting period:</w:t>
      </w:r>
    </w:p>
    <w:p w14:paraId="01515D4C" w14:textId="40FF2907" w:rsidR="00804885" w:rsidRDefault="00804885" w:rsidP="00374AB8">
      <w:pPr>
        <w:pStyle w:val="ListParagraph"/>
      </w:pPr>
      <w:r w:rsidRPr="00D4129A">
        <w:t>29</w:t>
      </w:r>
      <w:r>
        <w:t xml:space="preserve"> sessions were conducted for community advocates</w:t>
      </w:r>
    </w:p>
    <w:p w14:paraId="7FCE6704" w14:textId="515698B3" w:rsidR="00804885" w:rsidRDefault="00804885" w:rsidP="00374AB8">
      <w:pPr>
        <w:pStyle w:val="ListParagraph"/>
      </w:pPr>
      <w:r w:rsidRPr="00D4129A">
        <w:t>7</w:t>
      </w:r>
      <w:r>
        <w:t xml:space="preserve"> sessions were conducted for legal advocates</w:t>
      </w:r>
      <w:r w:rsidR="001362F6">
        <w:t>,</w:t>
      </w:r>
      <w:r w:rsidR="19FC820B">
        <w:t xml:space="preserve"> and</w:t>
      </w:r>
    </w:p>
    <w:p w14:paraId="3E2089DC" w14:textId="6EB585F0" w:rsidR="00804885" w:rsidRDefault="00804885" w:rsidP="00374AB8">
      <w:pPr>
        <w:pStyle w:val="ListParagraph"/>
      </w:pPr>
      <w:r w:rsidRPr="00D4129A">
        <w:t>2</w:t>
      </w:r>
      <w:r>
        <w:t xml:space="preserve"> sessions were conducted for self-advocates</w:t>
      </w:r>
      <w:r w:rsidR="00ED689C">
        <w:t>.</w:t>
      </w:r>
    </w:p>
    <w:p w14:paraId="327887B5" w14:textId="77777777" w:rsidR="00804885" w:rsidRDefault="00804885" w:rsidP="00374AB8"/>
    <w:p w14:paraId="18F1C22C" w14:textId="77777777" w:rsidR="00804885" w:rsidRDefault="00804885" w:rsidP="00374AB8"/>
    <w:p w14:paraId="70F461A3" w14:textId="74F387E5" w:rsidR="00D05323" w:rsidRPr="003C5F55" w:rsidRDefault="0081724D" w:rsidP="00374AB8">
      <w:r w:rsidRPr="008A00EB">
        <w:br w:type="page"/>
      </w:r>
    </w:p>
    <w:p w14:paraId="2396C7CF" w14:textId="7BCF8855" w:rsidR="001362F6" w:rsidRDefault="001362F6" w:rsidP="00DC25A2">
      <w:pPr>
        <w:pStyle w:val="Chapterheading"/>
      </w:pPr>
      <w:bookmarkStart w:id="671" w:name="_Toc56452207"/>
      <w:bookmarkStart w:id="672" w:name="_Toc84593962"/>
      <w:bookmarkStart w:id="673" w:name="_Toc85451837"/>
      <w:bookmarkStart w:id="674" w:name="_Toc85526768"/>
      <w:bookmarkStart w:id="675" w:name="_Toc85787183"/>
      <w:r>
        <w:rPr>
          <w:noProof/>
          <w:color w:val="2B579A"/>
          <w:shd w:val="clear" w:color="auto" w:fill="E6E6E6"/>
        </w:rPr>
        <w:lastRenderedPageBreak/>
        <mc:AlternateContent>
          <mc:Choice Requires="wps">
            <w:drawing>
              <wp:anchor distT="0" distB="0" distL="114300" distR="114300" simplePos="0" relativeHeight="251658241" behindDoc="1" locked="0" layoutInCell="1" allowOverlap="1" wp14:anchorId="0A37E7F9" wp14:editId="216C88D0">
                <wp:simplePos x="0" y="0"/>
                <wp:positionH relativeFrom="page">
                  <wp:align>left</wp:align>
                </wp:positionH>
                <wp:positionV relativeFrom="paragraph">
                  <wp:posOffset>-1197418</wp:posOffset>
                </wp:positionV>
                <wp:extent cx="7618095" cy="4136065"/>
                <wp:effectExtent l="0" t="0" r="1905" b="0"/>
                <wp:wrapNone/>
                <wp:docPr id="52" name="Rectangle 52" descr="Rectangular grey block which covers the top quarter of the page. The chapter title sits inside the rectangle in white text. " title="Decorative colour block "/>
                <wp:cNvGraphicFramePr/>
                <a:graphic xmlns:a="http://schemas.openxmlformats.org/drawingml/2006/main">
                  <a:graphicData uri="http://schemas.microsoft.com/office/word/2010/wordprocessingShape">
                    <wps:wsp>
                      <wps:cNvSpPr/>
                      <wps:spPr>
                        <a:xfrm>
                          <a:off x="0" y="0"/>
                          <a:ext cx="7618095" cy="4136065"/>
                        </a:xfrm>
                        <a:prstGeom prst="rect">
                          <a:avLst/>
                        </a:prstGeom>
                        <a:solidFill>
                          <a:srgbClr val="383D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35B7487" id="Rectangle 52" o:spid="_x0000_s1026" alt="Title: Decorative colour block  - Description: Rectangular grey block which covers the top quarter of the page. The chapter title sits inside the rectangle in white text. " style="position:absolute;margin-left:0;margin-top:-94.3pt;width:599.85pt;height:325.65pt;z-index:-251658239;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" fillcolor="#383d41" stroked="f" strokeweight="1pt">
                <w10:wrap anchorx="page"/>
              </v:rect>
            </w:pict>
          </mc:Fallback>
        </mc:AlternateContent>
      </w:r>
    </w:p>
    <w:p w14:paraId="2D8F0BCB" w14:textId="7AA3DFD9" w:rsidR="008621F7" w:rsidRPr="00DC25A2" w:rsidRDefault="00E62EFE" w:rsidP="00DC25A2">
      <w:pPr>
        <w:pStyle w:val="Chapterheading"/>
      </w:pPr>
      <w:bookmarkStart w:id="676" w:name="_Toc84593963"/>
      <w:bookmarkStart w:id="677" w:name="_Toc85451838"/>
      <w:bookmarkStart w:id="678" w:name="_Toc85526769"/>
      <w:bookmarkStart w:id="679" w:name="_Toc85787184"/>
      <w:bookmarkEnd w:id="671"/>
      <w:bookmarkEnd w:id="672"/>
      <w:bookmarkEnd w:id="673"/>
      <w:bookmarkEnd w:id="674"/>
      <w:bookmarkEnd w:id="675"/>
      <w:r w:rsidRPr="00DC25A2">
        <w:t>Appendix A</w:t>
      </w:r>
      <w:r w:rsidR="008A4051" w:rsidRPr="00DC25A2">
        <w:t>:</w:t>
      </w:r>
      <w:r w:rsidR="00E46B24" w:rsidRPr="00DC25A2">
        <w:t xml:space="preserve"> Courts and tribunals</w:t>
      </w:r>
      <w:bookmarkEnd w:id="676"/>
      <w:bookmarkEnd w:id="677"/>
      <w:bookmarkEnd w:id="678"/>
      <w:bookmarkEnd w:id="679"/>
    </w:p>
    <w:p w14:paraId="0238378B" w14:textId="77777777" w:rsidR="00834A58" w:rsidRDefault="00834A58" w:rsidP="008A4051"/>
    <w:p w14:paraId="2B351B00" w14:textId="77777777" w:rsidR="00F63B5D" w:rsidRPr="008A00EB" w:rsidRDefault="00F63B5D" w:rsidP="008A4051">
      <w:r w:rsidRPr="008A00EB">
        <w:t xml:space="preserve">The cases in the tables below are the published decisions of Queensland courts and tribunals that have come to the attention of the Commission. </w:t>
      </w:r>
    </w:p>
    <w:p w14:paraId="2F59A744" w14:textId="77777777" w:rsidR="00F63B5D" w:rsidRDefault="00F63B5D" w:rsidP="008A4051">
      <w:pPr>
        <w:rPr>
          <w:rFonts w:cs="Arial"/>
          <w:color w:val="000000" w:themeColor="text1"/>
        </w:rPr>
      </w:pPr>
      <w:r w:rsidRPr="008A00EB">
        <w:rPr>
          <w:rFonts w:cs="Arial"/>
          <w:color w:val="000000" w:themeColor="text1"/>
        </w:rPr>
        <w:t>The sections of the Act listed in the tables are those given on the cover page of the court decision for that case, or in the text of the decision.</w:t>
      </w:r>
    </w:p>
    <w:p w14:paraId="1D72B47F" w14:textId="4A7981DA" w:rsidR="00834A58" w:rsidRDefault="00834A58" w:rsidP="00834A58">
      <w:pPr>
        <w:rPr>
          <w:rFonts w:cs="Arial"/>
          <w:color w:val="000000" w:themeColor="text1"/>
        </w:rPr>
      </w:pPr>
      <w:r>
        <w:rPr>
          <w:rFonts w:cs="Arial"/>
          <w:color w:val="000000" w:themeColor="text1"/>
        </w:rPr>
        <w:t xml:space="preserve">In the financial year ended 30 June 2021, Queensland courts and tribunals considered or mentioned the Act in </w:t>
      </w:r>
      <w:r w:rsidR="00264138">
        <w:rPr>
          <w:rFonts w:cs="Arial"/>
          <w:color w:val="000000" w:themeColor="text1"/>
        </w:rPr>
        <w:t>59</w:t>
      </w:r>
      <w:r>
        <w:rPr>
          <w:rFonts w:cs="Arial"/>
          <w:color w:val="000000" w:themeColor="text1"/>
        </w:rPr>
        <w:t xml:space="preserve"> matters.</w:t>
      </w:r>
    </w:p>
    <w:p w14:paraId="724F57BA" w14:textId="229AFDCE" w:rsidR="00AD22F4" w:rsidRPr="00691C48" w:rsidRDefault="00AD22F4" w:rsidP="00691C48">
      <w:pPr>
        <w:pStyle w:val="Caption"/>
      </w:pPr>
      <w:r w:rsidRPr="00691C48">
        <w:t xml:space="preserve">Table </w:t>
      </w:r>
      <w:r w:rsidR="00C95BE1" w:rsidRPr="00691C48">
        <w:t xml:space="preserve">12: </w:t>
      </w:r>
      <w:r w:rsidR="00691C48" w:rsidRPr="00691C48">
        <w:t>Courts and tribunals which considered or mentioned the Human Rights Act, 2020-21</w:t>
      </w:r>
    </w:p>
    <w:tbl>
      <w:tblPr>
        <w:tblStyle w:val="TableGrid"/>
        <w:tblW w:w="0" w:type="auto"/>
        <w:tblBorders>
          <w:top w:val="single" w:sz="4" w:space="0" w:color="373D42"/>
          <w:left w:val="none" w:sz="0" w:space="0" w:color="auto"/>
          <w:bottom w:val="single" w:sz="4" w:space="0" w:color="373D42"/>
          <w:right w:val="none" w:sz="0" w:space="0" w:color="auto"/>
          <w:insideH w:val="single" w:sz="4" w:space="0" w:color="373D42"/>
          <w:insideV w:val="none" w:sz="0" w:space="0" w:color="auto"/>
        </w:tblBorders>
        <w:tblLook w:val="04A0" w:firstRow="1" w:lastRow="0" w:firstColumn="1" w:lastColumn="0" w:noHBand="0" w:noVBand="1"/>
      </w:tblPr>
      <w:tblGrid>
        <w:gridCol w:w="6006"/>
        <w:gridCol w:w="1070"/>
      </w:tblGrid>
      <w:tr w:rsidR="008B4B16" w:rsidRPr="008B4B16" w14:paraId="7EA3FC79" w14:textId="77777777" w:rsidTr="008B4B16">
        <w:trPr>
          <w:trHeight w:val="550"/>
        </w:trPr>
        <w:tc>
          <w:tcPr>
            <w:tcW w:w="0" w:type="auto"/>
          </w:tcPr>
          <w:p w14:paraId="548328FA" w14:textId="77777777" w:rsidR="00834A58" w:rsidRPr="008B4B16" w:rsidRDefault="00834A58" w:rsidP="008B4B16">
            <w:pPr>
              <w:pStyle w:val="TableTextHeading"/>
              <w:rPr>
                <w:color w:val="373D42"/>
              </w:rPr>
            </w:pPr>
            <w:r w:rsidRPr="008B4B16">
              <w:rPr>
                <w:color w:val="373D42"/>
              </w:rPr>
              <w:t>Court</w:t>
            </w:r>
          </w:p>
        </w:tc>
        <w:tc>
          <w:tcPr>
            <w:tcW w:w="0" w:type="auto"/>
          </w:tcPr>
          <w:p w14:paraId="46C7EB8B" w14:textId="77777777" w:rsidR="00834A58" w:rsidRPr="008B4B16" w:rsidRDefault="00834A58" w:rsidP="008B4B16">
            <w:pPr>
              <w:pStyle w:val="TableTextHeading"/>
              <w:rPr>
                <w:color w:val="373D42"/>
              </w:rPr>
            </w:pPr>
            <w:r w:rsidRPr="008B4B16">
              <w:rPr>
                <w:color w:val="373D42"/>
              </w:rPr>
              <w:t>Number</w:t>
            </w:r>
          </w:p>
        </w:tc>
      </w:tr>
      <w:tr w:rsidR="00834A58" w14:paraId="199F109B" w14:textId="77777777" w:rsidTr="008B4B16">
        <w:tc>
          <w:tcPr>
            <w:tcW w:w="0" w:type="auto"/>
          </w:tcPr>
          <w:p w14:paraId="7419AB02" w14:textId="77777777" w:rsidR="00834A58" w:rsidRPr="00705114" w:rsidRDefault="00834A58" w:rsidP="008B4B16">
            <w:pPr>
              <w:pStyle w:val="TableText"/>
              <w:rPr>
                <w:shd w:val="clear" w:color="auto" w:fill="FFFFFF"/>
              </w:rPr>
            </w:pPr>
            <w:r>
              <w:rPr>
                <w:shd w:val="clear" w:color="auto" w:fill="FFFFFF"/>
              </w:rPr>
              <w:t>Court of Appeal Queensland</w:t>
            </w:r>
          </w:p>
        </w:tc>
        <w:tc>
          <w:tcPr>
            <w:tcW w:w="0" w:type="auto"/>
          </w:tcPr>
          <w:p w14:paraId="17C27213" w14:textId="77777777" w:rsidR="00834A58" w:rsidRDefault="00834A58" w:rsidP="008B4B16">
            <w:pPr>
              <w:pStyle w:val="TableText"/>
            </w:pPr>
            <w:r>
              <w:t>3</w:t>
            </w:r>
          </w:p>
        </w:tc>
      </w:tr>
      <w:tr w:rsidR="00834A58" w14:paraId="270C7A77" w14:textId="77777777" w:rsidTr="008B4B16">
        <w:tc>
          <w:tcPr>
            <w:tcW w:w="0" w:type="auto"/>
          </w:tcPr>
          <w:p w14:paraId="064CCBA6" w14:textId="77777777" w:rsidR="00834A58" w:rsidRDefault="00834A58" w:rsidP="008B4B16">
            <w:pPr>
              <w:pStyle w:val="TableText"/>
            </w:pPr>
            <w:r w:rsidRPr="00705114">
              <w:rPr>
                <w:shd w:val="clear" w:color="auto" w:fill="FFFFFF"/>
              </w:rPr>
              <w:t>Supreme Court of Queensland</w:t>
            </w:r>
          </w:p>
        </w:tc>
        <w:tc>
          <w:tcPr>
            <w:tcW w:w="0" w:type="auto"/>
          </w:tcPr>
          <w:p w14:paraId="4B2D61C4" w14:textId="77777777" w:rsidR="00834A58" w:rsidRDefault="00834A58" w:rsidP="008B4B16">
            <w:pPr>
              <w:pStyle w:val="TableText"/>
            </w:pPr>
            <w:r>
              <w:t>13</w:t>
            </w:r>
          </w:p>
        </w:tc>
      </w:tr>
      <w:tr w:rsidR="00834A58" w14:paraId="674B9DC7" w14:textId="77777777" w:rsidTr="008B4B16">
        <w:tc>
          <w:tcPr>
            <w:tcW w:w="0" w:type="auto"/>
          </w:tcPr>
          <w:p w14:paraId="24C2EE0A" w14:textId="77777777" w:rsidR="00834A58" w:rsidRPr="00705114" w:rsidRDefault="00834A58" w:rsidP="008B4B16">
            <w:pPr>
              <w:pStyle w:val="TableText"/>
              <w:rPr>
                <w:shd w:val="clear" w:color="auto" w:fill="FFFFFF"/>
              </w:rPr>
            </w:pPr>
            <w:r w:rsidRPr="00705114">
              <w:rPr>
                <w:shd w:val="clear" w:color="auto" w:fill="FFFFFF"/>
              </w:rPr>
              <w:t>District Court of Queensland</w:t>
            </w:r>
            <w:r>
              <w:rPr>
                <w:shd w:val="clear" w:color="auto" w:fill="FFFFFF"/>
              </w:rPr>
              <w:t xml:space="preserve"> &amp; pre-trial rulings</w:t>
            </w:r>
          </w:p>
        </w:tc>
        <w:tc>
          <w:tcPr>
            <w:tcW w:w="0" w:type="auto"/>
          </w:tcPr>
          <w:p w14:paraId="6532C20F" w14:textId="77777777" w:rsidR="00834A58" w:rsidRPr="00705114" w:rsidRDefault="00834A58" w:rsidP="008B4B16">
            <w:pPr>
              <w:pStyle w:val="TableText"/>
              <w:rPr>
                <w:shd w:val="clear" w:color="auto" w:fill="FFFFFF"/>
              </w:rPr>
            </w:pPr>
            <w:r>
              <w:rPr>
                <w:shd w:val="clear" w:color="auto" w:fill="FFFFFF"/>
              </w:rPr>
              <w:t>3</w:t>
            </w:r>
          </w:p>
        </w:tc>
      </w:tr>
      <w:tr w:rsidR="00834A58" w14:paraId="1172C870" w14:textId="77777777" w:rsidTr="008B4B16">
        <w:tc>
          <w:tcPr>
            <w:tcW w:w="0" w:type="auto"/>
          </w:tcPr>
          <w:p w14:paraId="5AF0BD73" w14:textId="77777777" w:rsidR="00834A58" w:rsidRPr="00705114" w:rsidRDefault="00834A58" w:rsidP="008B4B16">
            <w:pPr>
              <w:pStyle w:val="TableText"/>
              <w:rPr>
                <w:shd w:val="clear" w:color="auto" w:fill="FFFFFF"/>
              </w:rPr>
            </w:pPr>
            <w:r>
              <w:rPr>
                <w:shd w:val="clear" w:color="auto" w:fill="FFFFFF"/>
              </w:rPr>
              <w:t xml:space="preserve">Land </w:t>
            </w:r>
            <w:r w:rsidRPr="00705114">
              <w:rPr>
                <w:shd w:val="clear" w:color="auto" w:fill="FFFFFF"/>
              </w:rPr>
              <w:t>Court of Queensland</w:t>
            </w:r>
          </w:p>
        </w:tc>
        <w:tc>
          <w:tcPr>
            <w:tcW w:w="0" w:type="auto"/>
          </w:tcPr>
          <w:p w14:paraId="60A0BCAB" w14:textId="77777777" w:rsidR="00834A58" w:rsidRPr="00705114" w:rsidRDefault="00834A58" w:rsidP="008B4B16">
            <w:pPr>
              <w:pStyle w:val="TableText"/>
              <w:rPr>
                <w:shd w:val="clear" w:color="auto" w:fill="FFFFFF"/>
              </w:rPr>
            </w:pPr>
            <w:r>
              <w:rPr>
                <w:shd w:val="clear" w:color="auto" w:fill="FFFFFF"/>
              </w:rPr>
              <w:t>3</w:t>
            </w:r>
          </w:p>
        </w:tc>
      </w:tr>
      <w:tr w:rsidR="00834A58" w14:paraId="76ABA03E" w14:textId="77777777" w:rsidTr="008B4B16">
        <w:tc>
          <w:tcPr>
            <w:tcW w:w="0" w:type="auto"/>
          </w:tcPr>
          <w:p w14:paraId="7B801BC5" w14:textId="77777777" w:rsidR="00834A58" w:rsidRPr="00705114" w:rsidRDefault="00834A58" w:rsidP="008B4B16">
            <w:pPr>
              <w:pStyle w:val="TableText"/>
              <w:rPr>
                <w:shd w:val="clear" w:color="auto" w:fill="FFFFFF"/>
              </w:rPr>
            </w:pPr>
            <w:r w:rsidRPr="00705114">
              <w:rPr>
                <w:shd w:val="clear" w:color="auto" w:fill="FFFFFF"/>
              </w:rPr>
              <w:t>Queensland Civil and Administrative Tribunal, Appeals</w:t>
            </w:r>
          </w:p>
        </w:tc>
        <w:tc>
          <w:tcPr>
            <w:tcW w:w="0" w:type="auto"/>
          </w:tcPr>
          <w:p w14:paraId="7CB63F69" w14:textId="77777777" w:rsidR="00834A58" w:rsidRPr="00705114" w:rsidRDefault="00834A58" w:rsidP="008B4B16">
            <w:pPr>
              <w:pStyle w:val="TableText"/>
              <w:rPr>
                <w:shd w:val="clear" w:color="auto" w:fill="FFFFFF"/>
              </w:rPr>
            </w:pPr>
            <w:r>
              <w:rPr>
                <w:shd w:val="clear" w:color="auto" w:fill="FFFFFF"/>
              </w:rPr>
              <w:t>1</w:t>
            </w:r>
          </w:p>
        </w:tc>
      </w:tr>
      <w:tr w:rsidR="00834A58" w14:paraId="543CEC88" w14:textId="77777777" w:rsidTr="008B4B16">
        <w:tc>
          <w:tcPr>
            <w:tcW w:w="0" w:type="auto"/>
          </w:tcPr>
          <w:p w14:paraId="312F6987" w14:textId="77777777" w:rsidR="00834A58" w:rsidRPr="00705114" w:rsidRDefault="00834A58" w:rsidP="008B4B16">
            <w:pPr>
              <w:pStyle w:val="TableText"/>
              <w:rPr>
                <w:shd w:val="clear" w:color="auto" w:fill="FFFFFF"/>
              </w:rPr>
            </w:pPr>
            <w:r w:rsidRPr="00705114">
              <w:rPr>
                <w:shd w:val="clear" w:color="auto" w:fill="FFFFFF"/>
              </w:rPr>
              <w:t>Queensland Civil and Administrative Tribunal</w:t>
            </w:r>
          </w:p>
        </w:tc>
        <w:tc>
          <w:tcPr>
            <w:tcW w:w="0" w:type="auto"/>
          </w:tcPr>
          <w:p w14:paraId="02F03564" w14:textId="77777777" w:rsidR="00834A58" w:rsidRPr="00705114" w:rsidRDefault="00834A58" w:rsidP="008B4B16">
            <w:pPr>
              <w:pStyle w:val="TableText"/>
              <w:rPr>
                <w:shd w:val="clear" w:color="auto" w:fill="FFFFFF"/>
              </w:rPr>
            </w:pPr>
            <w:r>
              <w:rPr>
                <w:shd w:val="clear" w:color="auto" w:fill="FFFFFF"/>
              </w:rPr>
              <w:t>30</w:t>
            </w:r>
          </w:p>
        </w:tc>
      </w:tr>
      <w:tr w:rsidR="00834A58" w14:paraId="00BD7C5E" w14:textId="77777777" w:rsidTr="008B4B16">
        <w:tc>
          <w:tcPr>
            <w:tcW w:w="0" w:type="auto"/>
          </w:tcPr>
          <w:p w14:paraId="404B07E2" w14:textId="77777777" w:rsidR="00834A58" w:rsidRPr="00705114" w:rsidRDefault="00834A58" w:rsidP="008B4B16">
            <w:pPr>
              <w:pStyle w:val="TableText"/>
              <w:rPr>
                <w:shd w:val="clear" w:color="auto" w:fill="FFFFFF"/>
              </w:rPr>
            </w:pPr>
            <w:r w:rsidRPr="00705114">
              <w:rPr>
                <w:shd w:val="clear" w:color="auto" w:fill="FFFFFF"/>
              </w:rPr>
              <w:t xml:space="preserve">Queensland Industrial Relations Commission </w:t>
            </w:r>
          </w:p>
        </w:tc>
        <w:tc>
          <w:tcPr>
            <w:tcW w:w="0" w:type="auto"/>
          </w:tcPr>
          <w:p w14:paraId="197A37DB" w14:textId="77777777" w:rsidR="00834A58" w:rsidRPr="00705114" w:rsidRDefault="00834A58" w:rsidP="008B4B16">
            <w:pPr>
              <w:pStyle w:val="TableText"/>
              <w:rPr>
                <w:shd w:val="clear" w:color="auto" w:fill="FFFFFF"/>
              </w:rPr>
            </w:pPr>
            <w:r>
              <w:rPr>
                <w:shd w:val="clear" w:color="auto" w:fill="FFFFFF"/>
              </w:rPr>
              <w:t>6</w:t>
            </w:r>
          </w:p>
        </w:tc>
      </w:tr>
      <w:tr w:rsidR="00834A58" w14:paraId="37B77557" w14:textId="77777777" w:rsidTr="008B4B16">
        <w:tc>
          <w:tcPr>
            <w:tcW w:w="0" w:type="auto"/>
          </w:tcPr>
          <w:p w14:paraId="0058D148" w14:textId="77777777" w:rsidR="00834A58" w:rsidRPr="00705114" w:rsidRDefault="00834A58" w:rsidP="008B4B16">
            <w:pPr>
              <w:pStyle w:val="TableText"/>
              <w:rPr>
                <w:shd w:val="clear" w:color="auto" w:fill="FFFFFF"/>
              </w:rPr>
            </w:pPr>
            <w:r>
              <w:rPr>
                <w:shd w:val="clear" w:color="auto" w:fill="FFFFFF"/>
              </w:rPr>
              <w:t>Total</w:t>
            </w:r>
          </w:p>
        </w:tc>
        <w:tc>
          <w:tcPr>
            <w:tcW w:w="0" w:type="auto"/>
          </w:tcPr>
          <w:p w14:paraId="6A61744C" w14:textId="28CB1F46" w:rsidR="00834A58" w:rsidRPr="00705114" w:rsidRDefault="00834A58" w:rsidP="008B4B16">
            <w:pPr>
              <w:pStyle w:val="TableText"/>
              <w:rPr>
                <w:shd w:val="clear" w:color="auto" w:fill="FFFFFF"/>
              </w:rPr>
            </w:pPr>
            <w:r>
              <w:rPr>
                <w:shd w:val="clear" w:color="auto" w:fill="FFFFFF"/>
              </w:rPr>
              <w:t>59</w:t>
            </w:r>
          </w:p>
        </w:tc>
      </w:tr>
    </w:tbl>
    <w:p w14:paraId="141D63FF" w14:textId="77777777" w:rsidR="00834A58" w:rsidRDefault="00834A58" w:rsidP="00834A58">
      <w:pPr>
        <w:spacing w:line="240" w:lineRule="auto"/>
        <w:rPr>
          <w:rFonts w:cs="Arial"/>
          <w:b/>
          <w:color w:val="000000" w:themeColor="text1"/>
          <w:sz w:val="28"/>
          <w:szCs w:val="28"/>
        </w:rPr>
      </w:pPr>
    </w:p>
    <w:p w14:paraId="1C72DFFB" w14:textId="77777777" w:rsidR="00AB1BC4" w:rsidRDefault="00AB1BC4" w:rsidP="008B4B16">
      <w:pPr>
        <w:pStyle w:val="Heading1"/>
        <w:rPr>
          <w:color w:val="373D42"/>
        </w:rPr>
      </w:pPr>
      <w:bookmarkStart w:id="680" w:name="_Toc85526770"/>
      <w:bookmarkStart w:id="681" w:name="_Toc85787185"/>
    </w:p>
    <w:p w14:paraId="4691FBDD" w14:textId="0DD76CBA" w:rsidR="00834A58" w:rsidRDefault="00834A58" w:rsidP="008B4B16">
      <w:pPr>
        <w:pStyle w:val="Heading1"/>
        <w:rPr>
          <w:color w:val="373D42"/>
        </w:rPr>
      </w:pPr>
      <w:r w:rsidRPr="008B4B16">
        <w:rPr>
          <w:color w:val="373D42"/>
        </w:rPr>
        <w:lastRenderedPageBreak/>
        <w:t>Supreme Court of Queensland, Court of Appeal</w:t>
      </w:r>
      <w:bookmarkEnd w:id="680"/>
      <w:bookmarkEnd w:id="681"/>
      <w:r w:rsidRPr="008B4B16">
        <w:rPr>
          <w:color w:val="373D42"/>
        </w:rPr>
        <w:t xml:space="preserve"> </w:t>
      </w:r>
    </w:p>
    <w:p w14:paraId="7C8784A8" w14:textId="3700051C" w:rsidR="008E1D99" w:rsidRPr="008B4B16" w:rsidRDefault="00B70C01" w:rsidP="00B70C01">
      <w:pPr>
        <w:pStyle w:val="Caption"/>
        <w:rPr>
          <w:color w:val="373D42"/>
        </w:rPr>
      </w:pPr>
      <w:r>
        <w:t>Table 13: Considerations or mentions of the Act in the Supreme Court of Queensland</w:t>
      </w:r>
      <w:r w:rsidR="009D1B82">
        <w:t>, Court of Appeal</w:t>
      </w:r>
      <w:r>
        <w:t>, 20</w:t>
      </w:r>
      <w:r w:rsidR="00794130">
        <w:t>20-21</w:t>
      </w:r>
    </w:p>
    <w:tbl>
      <w:tblPr>
        <w:tblStyle w:val="TableGrid"/>
        <w:tblW w:w="0" w:type="auto"/>
        <w:tblBorders>
          <w:top w:val="single" w:sz="4" w:space="0" w:color="373D42"/>
          <w:left w:val="none" w:sz="0" w:space="0" w:color="auto"/>
          <w:bottom w:val="single" w:sz="4" w:space="0" w:color="373D42"/>
          <w:right w:val="none" w:sz="0" w:space="0" w:color="auto"/>
          <w:insideH w:val="single" w:sz="4" w:space="0" w:color="373D42"/>
          <w:insideV w:val="none" w:sz="0" w:space="0" w:color="auto"/>
        </w:tblBorders>
        <w:tblLook w:val="04A0" w:firstRow="1" w:lastRow="0" w:firstColumn="1" w:lastColumn="0" w:noHBand="0" w:noVBand="1"/>
      </w:tblPr>
      <w:tblGrid>
        <w:gridCol w:w="3397"/>
        <w:gridCol w:w="3589"/>
        <w:gridCol w:w="2846"/>
      </w:tblGrid>
      <w:tr w:rsidR="008B4B16" w:rsidRPr="008B4B16" w14:paraId="176C191C" w14:textId="77777777" w:rsidTr="008B4B16">
        <w:tc>
          <w:tcPr>
            <w:tcW w:w="3397" w:type="dxa"/>
          </w:tcPr>
          <w:p w14:paraId="69781909" w14:textId="77777777" w:rsidR="00834A58" w:rsidRPr="008B4B16" w:rsidRDefault="00834A58" w:rsidP="008B4B16">
            <w:pPr>
              <w:pStyle w:val="TableTextHeading"/>
              <w:rPr>
                <w:color w:val="373D42"/>
              </w:rPr>
            </w:pPr>
            <w:r w:rsidRPr="008B4B16">
              <w:rPr>
                <w:color w:val="373D42"/>
              </w:rPr>
              <w:t>Case</w:t>
            </w:r>
          </w:p>
        </w:tc>
        <w:tc>
          <w:tcPr>
            <w:tcW w:w="3589" w:type="dxa"/>
          </w:tcPr>
          <w:p w14:paraId="3F65609C" w14:textId="77777777" w:rsidR="00834A58" w:rsidRPr="008B4B16" w:rsidRDefault="00834A58" w:rsidP="008B4B16">
            <w:pPr>
              <w:pStyle w:val="TableTextHeading"/>
              <w:rPr>
                <w:color w:val="373D42"/>
              </w:rPr>
            </w:pPr>
            <w:r w:rsidRPr="008B4B16">
              <w:rPr>
                <w:color w:val="373D42"/>
              </w:rPr>
              <w:t>Cause of action</w:t>
            </w:r>
          </w:p>
        </w:tc>
        <w:tc>
          <w:tcPr>
            <w:tcW w:w="0" w:type="auto"/>
          </w:tcPr>
          <w:p w14:paraId="2F38218E" w14:textId="77777777" w:rsidR="00834A58" w:rsidRPr="008B4B16" w:rsidRDefault="00834A58" w:rsidP="008B4B16">
            <w:pPr>
              <w:pStyle w:val="TableTextHeading"/>
              <w:rPr>
                <w:color w:val="373D42"/>
              </w:rPr>
            </w:pPr>
            <w:r w:rsidRPr="008B4B16">
              <w:rPr>
                <w:i/>
                <w:color w:val="373D42"/>
              </w:rPr>
              <w:t>Human Rights Act 2019</w:t>
            </w:r>
            <w:r w:rsidRPr="008B4B16">
              <w:rPr>
                <w:color w:val="373D42"/>
              </w:rPr>
              <w:t xml:space="preserve"> sections</w:t>
            </w:r>
          </w:p>
        </w:tc>
      </w:tr>
      <w:tr w:rsidR="00834A58" w:rsidRPr="00E011C1" w14:paraId="255B457D" w14:textId="77777777" w:rsidTr="008B4B16">
        <w:tc>
          <w:tcPr>
            <w:tcW w:w="3397" w:type="dxa"/>
          </w:tcPr>
          <w:p w14:paraId="290BF674" w14:textId="77777777" w:rsidR="00834A58" w:rsidRPr="00E011C1" w:rsidRDefault="002E59B2" w:rsidP="008B4B16">
            <w:pPr>
              <w:pStyle w:val="TableText"/>
            </w:pPr>
            <w:hyperlink r:id="rId71" w:history="1">
              <w:proofErr w:type="spellStart"/>
              <w:r w:rsidR="00834A58" w:rsidRPr="00CE7A12">
                <w:rPr>
                  <w:rStyle w:val="Hyperlink"/>
                  <w:rFonts w:cs="Arial"/>
                  <w:i/>
                </w:rPr>
                <w:t>Baggaley</w:t>
              </w:r>
              <w:proofErr w:type="spellEnd"/>
              <w:r w:rsidR="00834A58" w:rsidRPr="00CE7A12">
                <w:rPr>
                  <w:rStyle w:val="Hyperlink"/>
                  <w:rFonts w:cs="Arial"/>
                  <w:i/>
                </w:rPr>
                <w:t xml:space="preserve"> v Commonwealth Director of Public Prosecutions</w:t>
              </w:r>
            </w:hyperlink>
            <w:r w:rsidR="00834A58">
              <w:t xml:space="preserve"> [2020] QCA 179 (28 Aug 2020) Fraser, McMurdo, Mullins JJA</w:t>
            </w:r>
          </w:p>
        </w:tc>
        <w:tc>
          <w:tcPr>
            <w:tcW w:w="3589" w:type="dxa"/>
          </w:tcPr>
          <w:p w14:paraId="4AFA8B38" w14:textId="77777777" w:rsidR="00834A58" w:rsidRPr="00E011C1" w:rsidRDefault="00834A58" w:rsidP="008B4B16">
            <w:pPr>
              <w:pStyle w:val="TableText"/>
            </w:pPr>
            <w:r>
              <w:t>Criminal (bail application)</w:t>
            </w:r>
          </w:p>
        </w:tc>
        <w:tc>
          <w:tcPr>
            <w:tcW w:w="0" w:type="auto"/>
          </w:tcPr>
          <w:p w14:paraId="08BBBD56" w14:textId="77777777" w:rsidR="00834A58" w:rsidRPr="00E011C1" w:rsidRDefault="00834A58" w:rsidP="008B4B16">
            <w:pPr>
              <w:pStyle w:val="TableText"/>
            </w:pPr>
            <w:r>
              <w:t>ss 29(5)(b), 29(5)(c), 29(7)</w:t>
            </w:r>
          </w:p>
        </w:tc>
      </w:tr>
      <w:tr w:rsidR="00834A58" w:rsidRPr="00E011C1" w14:paraId="67D72354" w14:textId="77777777" w:rsidTr="008B4B16">
        <w:tc>
          <w:tcPr>
            <w:tcW w:w="3397" w:type="dxa"/>
          </w:tcPr>
          <w:p w14:paraId="39859D8F" w14:textId="77777777" w:rsidR="00834A58" w:rsidRDefault="002E59B2" w:rsidP="008B4B16">
            <w:pPr>
              <w:pStyle w:val="TableText"/>
            </w:pPr>
            <w:hyperlink r:id="rId72" w:history="1">
              <w:r w:rsidR="00834A58" w:rsidRPr="00CE7A12">
                <w:rPr>
                  <w:rStyle w:val="Hyperlink"/>
                  <w:i/>
                </w:rPr>
                <w:t>R v Morrison</w:t>
              </w:r>
            </w:hyperlink>
            <w:r w:rsidR="00834A58">
              <w:t xml:space="preserve"> [2020] QCA 187 (4 September 2020) </w:t>
            </w:r>
            <w:proofErr w:type="spellStart"/>
            <w:r w:rsidR="00834A58">
              <w:t>Sofronoff</w:t>
            </w:r>
            <w:proofErr w:type="spellEnd"/>
            <w:r w:rsidR="00834A58">
              <w:t xml:space="preserve"> P and </w:t>
            </w:r>
            <w:proofErr w:type="spellStart"/>
            <w:r w:rsidR="00834A58">
              <w:t>Philippides</w:t>
            </w:r>
            <w:proofErr w:type="spellEnd"/>
            <w:r w:rsidR="00834A58">
              <w:t xml:space="preserve"> JA and Davis J</w:t>
            </w:r>
          </w:p>
        </w:tc>
        <w:tc>
          <w:tcPr>
            <w:tcW w:w="3589" w:type="dxa"/>
          </w:tcPr>
          <w:p w14:paraId="55FA45EC" w14:textId="77777777" w:rsidR="00834A58" w:rsidRDefault="00834A58" w:rsidP="008B4B16">
            <w:pPr>
              <w:pStyle w:val="TableText"/>
            </w:pPr>
            <w:r>
              <w:t>Application for leave to appeal against sentences</w:t>
            </w:r>
          </w:p>
        </w:tc>
        <w:tc>
          <w:tcPr>
            <w:tcW w:w="0" w:type="auto"/>
          </w:tcPr>
          <w:p w14:paraId="7D5959CE" w14:textId="77777777" w:rsidR="00834A58" w:rsidRDefault="00834A58" w:rsidP="008B4B16">
            <w:pPr>
              <w:pStyle w:val="TableText"/>
            </w:pPr>
            <w:r>
              <w:t>s 29</w:t>
            </w:r>
          </w:p>
        </w:tc>
      </w:tr>
      <w:tr w:rsidR="00834A58" w:rsidRPr="00E011C1" w14:paraId="2D1A3594" w14:textId="77777777" w:rsidTr="008B4B16">
        <w:tc>
          <w:tcPr>
            <w:tcW w:w="3397" w:type="dxa"/>
          </w:tcPr>
          <w:p w14:paraId="43733225" w14:textId="77777777" w:rsidR="00834A58" w:rsidRPr="00621709" w:rsidRDefault="002E59B2" w:rsidP="008B4B16">
            <w:pPr>
              <w:pStyle w:val="TableText"/>
            </w:pPr>
            <w:hyperlink r:id="rId73" w:history="1">
              <w:r w:rsidR="00834A58" w:rsidRPr="00A05B33">
                <w:rPr>
                  <w:rStyle w:val="Hyperlink"/>
                  <w:i/>
                </w:rPr>
                <w:t>R v Hickey</w:t>
              </w:r>
            </w:hyperlink>
            <w:r w:rsidR="00834A58">
              <w:rPr>
                <w:i/>
              </w:rPr>
              <w:t xml:space="preserve"> </w:t>
            </w:r>
            <w:r w:rsidR="00834A58">
              <w:t>[2020] QCA 206 (21 September 2020) Morrison and Mullins, JJA, Jackson, J</w:t>
            </w:r>
          </w:p>
        </w:tc>
        <w:tc>
          <w:tcPr>
            <w:tcW w:w="3589" w:type="dxa"/>
          </w:tcPr>
          <w:p w14:paraId="35578D1C" w14:textId="77777777" w:rsidR="00834A58" w:rsidRDefault="00834A58" w:rsidP="008B4B16">
            <w:pPr>
              <w:pStyle w:val="TableText"/>
            </w:pPr>
            <w:r>
              <w:t>Application for extension of time for leave to appeal against sentence</w:t>
            </w:r>
          </w:p>
        </w:tc>
        <w:tc>
          <w:tcPr>
            <w:tcW w:w="0" w:type="auto"/>
          </w:tcPr>
          <w:p w14:paraId="7ACD3293" w14:textId="77777777" w:rsidR="00834A58" w:rsidRDefault="00834A58" w:rsidP="008B4B16">
            <w:pPr>
              <w:pStyle w:val="TableText"/>
            </w:pPr>
            <w:r>
              <w:t>s 34</w:t>
            </w:r>
          </w:p>
        </w:tc>
      </w:tr>
    </w:tbl>
    <w:p w14:paraId="61863220" w14:textId="77777777" w:rsidR="00834A58" w:rsidRDefault="00834A58" w:rsidP="00834A58">
      <w:pPr>
        <w:spacing w:line="240" w:lineRule="auto"/>
        <w:rPr>
          <w:rFonts w:cs="Arial"/>
          <w:b/>
          <w:color w:val="000000" w:themeColor="text1"/>
          <w:sz w:val="28"/>
          <w:szCs w:val="28"/>
        </w:rPr>
      </w:pPr>
    </w:p>
    <w:p w14:paraId="743DDAC6" w14:textId="77777777" w:rsidR="00834A58" w:rsidRDefault="00834A58" w:rsidP="008B4B16">
      <w:pPr>
        <w:pStyle w:val="Heading1"/>
        <w:rPr>
          <w:color w:val="373D42"/>
        </w:rPr>
      </w:pPr>
      <w:bookmarkStart w:id="682" w:name="_Toc85526771"/>
      <w:bookmarkStart w:id="683" w:name="_Toc85787186"/>
      <w:r w:rsidRPr="008B4B16">
        <w:rPr>
          <w:color w:val="373D42"/>
        </w:rPr>
        <w:t>Supreme Court of Queensland</w:t>
      </w:r>
      <w:bookmarkEnd w:id="682"/>
      <w:bookmarkEnd w:id="683"/>
    </w:p>
    <w:p w14:paraId="3083FC29" w14:textId="79AACE6D" w:rsidR="009D1B82" w:rsidRPr="008B4B16" w:rsidRDefault="009D1B82" w:rsidP="009D1B82">
      <w:pPr>
        <w:pStyle w:val="Caption"/>
        <w:rPr>
          <w:color w:val="373D42"/>
        </w:rPr>
      </w:pPr>
      <w:r>
        <w:t>Table 1</w:t>
      </w:r>
      <w:r w:rsidR="00643DAD">
        <w:t>4</w:t>
      </w:r>
      <w:r>
        <w:t>: Considerations or mentions of the Act in the Supreme Court of Queensland, Court of Appeal, 2020-21</w:t>
      </w:r>
    </w:p>
    <w:tbl>
      <w:tblPr>
        <w:tblStyle w:val="TableGrid"/>
        <w:tblW w:w="0" w:type="auto"/>
        <w:tblBorders>
          <w:top w:val="single" w:sz="4" w:space="0" w:color="373D42"/>
          <w:left w:val="none" w:sz="0" w:space="0" w:color="auto"/>
          <w:bottom w:val="single" w:sz="4" w:space="0" w:color="373D42"/>
          <w:right w:val="none" w:sz="0" w:space="0" w:color="auto"/>
          <w:insideH w:val="single" w:sz="4" w:space="0" w:color="373D42"/>
          <w:insideV w:val="none" w:sz="0" w:space="0" w:color="auto"/>
        </w:tblBorders>
        <w:tblLook w:val="04A0" w:firstRow="1" w:lastRow="0" w:firstColumn="1" w:lastColumn="0" w:noHBand="0" w:noVBand="1"/>
      </w:tblPr>
      <w:tblGrid>
        <w:gridCol w:w="3397"/>
        <w:gridCol w:w="3686"/>
        <w:gridCol w:w="2698"/>
      </w:tblGrid>
      <w:tr w:rsidR="008B4B16" w:rsidRPr="008B4B16" w14:paraId="0EC90276" w14:textId="77777777" w:rsidTr="008B4B16">
        <w:tc>
          <w:tcPr>
            <w:tcW w:w="3397" w:type="dxa"/>
          </w:tcPr>
          <w:p w14:paraId="03FEE661" w14:textId="77777777" w:rsidR="00834A58" w:rsidRPr="008B4B16" w:rsidRDefault="00834A58" w:rsidP="008B4B16">
            <w:pPr>
              <w:pStyle w:val="TableTextHeading"/>
              <w:rPr>
                <w:color w:val="373D42"/>
              </w:rPr>
            </w:pPr>
            <w:r w:rsidRPr="008B4B16">
              <w:rPr>
                <w:color w:val="373D42"/>
              </w:rPr>
              <w:t>Case</w:t>
            </w:r>
          </w:p>
        </w:tc>
        <w:tc>
          <w:tcPr>
            <w:tcW w:w="3686" w:type="dxa"/>
          </w:tcPr>
          <w:p w14:paraId="64D8C1DF" w14:textId="77777777" w:rsidR="00834A58" w:rsidRPr="008B4B16" w:rsidRDefault="00834A58" w:rsidP="008B4B16">
            <w:pPr>
              <w:pStyle w:val="TableTextHeading"/>
              <w:rPr>
                <w:color w:val="373D42"/>
              </w:rPr>
            </w:pPr>
            <w:r w:rsidRPr="008B4B16">
              <w:rPr>
                <w:color w:val="373D42"/>
              </w:rPr>
              <w:t>Cause of action</w:t>
            </w:r>
          </w:p>
        </w:tc>
        <w:tc>
          <w:tcPr>
            <w:tcW w:w="2698" w:type="dxa"/>
          </w:tcPr>
          <w:p w14:paraId="6A926F69" w14:textId="77777777" w:rsidR="00834A58" w:rsidRPr="008B4B16" w:rsidRDefault="00834A58" w:rsidP="008B4B16">
            <w:pPr>
              <w:pStyle w:val="TableTextHeading"/>
              <w:rPr>
                <w:color w:val="373D42"/>
              </w:rPr>
            </w:pPr>
            <w:r w:rsidRPr="008B4B16">
              <w:rPr>
                <w:i/>
                <w:color w:val="373D42"/>
              </w:rPr>
              <w:t>Human Rights Act 2019</w:t>
            </w:r>
            <w:r w:rsidRPr="008B4B16">
              <w:rPr>
                <w:color w:val="373D42"/>
              </w:rPr>
              <w:t xml:space="preserve"> sections</w:t>
            </w:r>
          </w:p>
        </w:tc>
      </w:tr>
      <w:tr w:rsidR="00834A58" w:rsidRPr="00E011C1" w14:paraId="1335F1E5" w14:textId="77777777" w:rsidTr="008B4B16">
        <w:tc>
          <w:tcPr>
            <w:tcW w:w="3397" w:type="dxa"/>
          </w:tcPr>
          <w:p w14:paraId="5070313F" w14:textId="77777777" w:rsidR="00834A58" w:rsidRPr="001808D1" w:rsidRDefault="002E59B2" w:rsidP="008B4B16">
            <w:pPr>
              <w:pStyle w:val="TableText"/>
            </w:pPr>
            <w:hyperlink r:id="rId74" w:history="1">
              <w:r w:rsidR="00834A58" w:rsidRPr="00A05B33">
                <w:rPr>
                  <w:rStyle w:val="Hyperlink"/>
                  <w:i/>
                </w:rPr>
                <w:t>Attorney-General (Qld) v Carter</w:t>
              </w:r>
            </w:hyperlink>
            <w:r w:rsidR="00834A58" w:rsidRPr="001808D1">
              <w:t xml:space="preserve"> [2020] QSC 217 (21 July 2020) Jackson J</w:t>
            </w:r>
          </w:p>
        </w:tc>
        <w:tc>
          <w:tcPr>
            <w:tcW w:w="3686" w:type="dxa"/>
          </w:tcPr>
          <w:p w14:paraId="7B1E298E" w14:textId="77777777" w:rsidR="00834A58" w:rsidRPr="001808D1" w:rsidRDefault="00834A58" w:rsidP="008B4B16">
            <w:pPr>
              <w:pStyle w:val="TableText"/>
              <w:rPr>
                <w:shd w:val="clear" w:color="auto" w:fill="FFFFFF"/>
              </w:rPr>
            </w:pPr>
            <w:r w:rsidRPr="001808D1">
              <w:rPr>
                <w:shd w:val="clear" w:color="auto" w:fill="FFFFFF"/>
              </w:rPr>
              <w:t>Application under s 13 DP(SO)A for either a continuing detention order or supervision order.</w:t>
            </w:r>
          </w:p>
        </w:tc>
        <w:tc>
          <w:tcPr>
            <w:tcW w:w="2698" w:type="dxa"/>
          </w:tcPr>
          <w:p w14:paraId="4F2D2D76" w14:textId="77777777" w:rsidR="00834A58" w:rsidRPr="001808D1" w:rsidRDefault="00834A58" w:rsidP="008B4B16">
            <w:pPr>
              <w:pStyle w:val="TableText"/>
            </w:pPr>
            <w:r w:rsidRPr="001808D1">
              <w:t>[59] re liberty &amp; freedom of movement</w:t>
            </w:r>
          </w:p>
        </w:tc>
      </w:tr>
      <w:tr w:rsidR="00834A58" w:rsidRPr="001808D1" w14:paraId="1DF71E2C" w14:textId="77777777" w:rsidTr="008B4B16">
        <w:tc>
          <w:tcPr>
            <w:tcW w:w="3397" w:type="dxa"/>
          </w:tcPr>
          <w:p w14:paraId="178D927F" w14:textId="77777777" w:rsidR="00834A58" w:rsidRPr="001808D1" w:rsidRDefault="002E59B2" w:rsidP="008B4B16">
            <w:pPr>
              <w:pStyle w:val="TableText"/>
              <w:rPr>
                <w:shd w:val="clear" w:color="auto" w:fill="FFFFFF"/>
              </w:rPr>
            </w:pPr>
            <w:hyperlink r:id="rId75" w:history="1">
              <w:r w:rsidR="00834A58" w:rsidRPr="00A05B33">
                <w:rPr>
                  <w:rStyle w:val="Hyperlink"/>
                  <w:i/>
                </w:rPr>
                <w:t>Attorney-General for the State of Queensland v Sri &amp; Ors</w:t>
              </w:r>
            </w:hyperlink>
            <w:r w:rsidR="00834A58" w:rsidRPr="001808D1">
              <w:t xml:space="preserve"> [2020] QSC 246 (8 Aug 2020) </w:t>
            </w:r>
            <w:proofErr w:type="spellStart"/>
            <w:r w:rsidR="00834A58" w:rsidRPr="001808D1">
              <w:t>Applegarth</w:t>
            </w:r>
            <w:proofErr w:type="spellEnd"/>
            <w:r w:rsidR="00834A58" w:rsidRPr="001808D1">
              <w:t xml:space="preserve"> J</w:t>
            </w:r>
          </w:p>
        </w:tc>
        <w:tc>
          <w:tcPr>
            <w:tcW w:w="3686" w:type="dxa"/>
          </w:tcPr>
          <w:p w14:paraId="2D39BD5F" w14:textId="77777777" w:rsidR="00834A58" w:rsidRPr="001808D1" w:rsidRDefault="00834A58" w:rsidP="008B4B16">
            <w:pPr>
              <w:pStyle w:val="TableText"/>
            </w:pPr>
            <w:r w:rsidRPr="001808D1">
              <w:t>Application for injunctions to restrain certain parties from attending a sit-in protest and encouraging others to attend</w:t>
            </w:r>
          </w:p>
        </w:tc>
        <w:tc>
          <w:tcPr>
            <w:tcW w:w="2698" w:type="dxa"/>
          </w:tcPr>
          <w:p w14:paraId="1B22B7EF" w14:textId="77777777" w:rsidR="00834A58" w:rsidRPr="001808D1" w:rsidRDefault="00834A58" w:rsidP="008B4B16">
            <w:pPr>
              <w:pStyle w:val="TableText"/>
            </w:pPr>
            <w:r>
              <w:t>s</w:t>
            </w:r>
            <w:r w:rsidRPr="001808D1">
              <w:t>s 13, 19, 20, 21, 22, 23</w:t>
            </w:r>
          </w:p>
        </w:tc>
      </w:tr>
      <w:tr w:rsidR="00834A58" w:rsidRPr="001808D1" w14:paraId="6AAD5396" w14:textId="77777777" w:rsidTr="008B4B16">
        <w:tc>
          <w:tcPr>
            <w:tcW w:w="3397" w:type="dxa"/>
          </w:tcPr>
          <w:p w14:paraId="2C4D495D" w14:textId="77777777" w:rsidR="00834A58" w:rsidRPr="001808D1" w:rsidRDefault="002E59B2" w:rsidP="008B4B16">
            <w:pPr>
              <w:pStyle w:val="TableText"/>
              <w:rPr>
                <w:i/>
              </w:rPr>
            </w:pPr>
            <w:hyperlink r:id="rId76" w:history="1">
              <w:r w:rsidR="00834A58" w:rsidRPr="00A05B33">
                <w:rPr>
                  <w:rStyle w:val="Hyperlink"/>
                  <w:i/>
                </w:rPr>
                <w:t xml:space="preserve">Westpac Banking Corporation &amp; Anor v </w:t>
              </w:r>
              <w:proofErr w:type="spellStart"/>
              <w:r w:rsidR="00834A58" w:rsidRPr="00A05B33">
                <w:rPr>
                  <w:rStyle w:val="Hyperlink"/>
                  <w:i/>
                </w:rPr>
                <w:t>Heslop</w:t>
              </w:r>
              <w:proofErr w:type="spellEnd"/>
              <w:r w:rsidR="00834A58" w:rsidRPr="00A05B33">
                <w:rPr>
                  <w:rStyle w:val="Hyperlink"/>
                  <w:i/>
                </w:rPr>
                <w:t xml:space="preserve"> &amp; Anor (No 2</w:t>
              </w:r>
            </w:hyperlink>
            <w:r w:rsidR="00834A58" w:rsidRPr="001808D1">
              <w:rPr>
                <w:i/>
              </w:rPr>
              <w:t xml:space="preserve">) </w:t>
            </w:r>
            <w:r w:rsidR="00834A58" w:rsidRPr="001808D1">
              <w:t>[2020] QSC 256 (21 August 2929)  Bradley J</w:t>
            </w:r>
          </w:p>
        </w:tc>
        <w:tc>
          <w:tcPr>
            <w:tcW w:w="3686" w:type="dxa"/>
          </w:tcPr>
          <w:p w14:paraId="2C044449" w14:textId="77777777" w:rsidR="00834A58" w:rsidRPr="001808D1" w:rsidRDefault="00834A58" w:rsidP="008B4B16">
            <w:pPr>
              <w:pStyle w:val="TableText"/>
            </w:pPr>
            <w:r w:rsidRPr="001808D1">
              <w:t>Brief mention of unlawful detention in case involving guarantor debt  - did not apply (had not been enacted at the time)</w:t>
            </w:r>
          </w:p>
        </w:tc>
        <w:tc>
          <w:tcPr>
            <w:tcW w:w="2698" w:type="dxa"/>
          </w:tcPr>
          <w:p w14:paraId="3ABC73A5" w14:textId="77777777" w:rsidR="00834A58" w:rsidRPr="001808D1" w:rsidRDefault="00834A58" w:rsidP="008B4B16">
            <w:pPr>
              <w:pStyle w:val="TableText"/>
            </w:pPr>
            <w:r>
              <w:t>[244]–[246] allegations of beaching Article 12 UDHR</w:t>
            </w:r>
          </w:p>
        </w:tc>
      </w:tr>
      <w:tr w:rsidR="00834A58" w:rsidRPr="001808D1" w14:paraId="7811208D" w14:textId="77777777" w:rsidTr="008B4B16">
        <w:tc>
          <w:tcPr>
            <w:tcW w:w="3397" w:type="dxa"/>
          </w:tcPr>
          <w:p w14:paraId="166C88BF" w14:textId="77777777" w:rsidR="00834A58" w:rsidRPr="001808D1" w:rsidRDefault="002E59B2" w:rsidP="008B4B16">
            <w:pPr>
              <w:pStyle w:val="TableText"/>
              <w:rPr>
                <w:shd w:val="clear" w:color="auto" w:fill="FFFFFF"/>
              </w:rPr>
            </w:pPr>
            <w:hyperlink r:id="rId77" w:history="1">
              <w:r w:rsidR="00834A58" w:rsidRPr="00F0517F">
                <w:rPr>
                  <w:rStyle w:val="Hyperlink"/>
                  <w:rFonts w:cs="Arial"/>
                  <w:i/>
                  <w:shd w:val="clear" w:color="auto" w:fill="FFFFFF"/>
                </w:rPr>
                <w:t>Innes v Electoral Commission of Qld &amp; Anor (No 1)</w:t>
              </w:r>
            </w:hyperlink>
            <w:r w:rsidR="00834A58" w:rsidRPr="001808D1">
              <w:rPr>
                <w:shd w:val="clear" w:color="auto" w:fill="FFFFFF"/>
              </w:rPr>
              <w:t xml:space="preserve"> [2020] QSC 273 (22 Sept 2020) Ryan J</w:t>
            </w:r>
            <w:r w:rsidR="00834A58" w:rsidRPr="001808D1">
              <w:rPr>
                <w:shd w:val="clear" w:color="auto" w:fill="FFFFFF"/>
              </w:rPr>
              <w:br/>
            </w:r>
            <w:r w:rsidR="00834A58">
              <w:rPr>
                <w:shd w:val="clear" w:color="auto" w:fill="FFFFFF"/>
              </w:rPr>
              <w:t>(</w:t>
            </w:r>
            <w:r w:rsidR="00834A58" w:rsidRPr="001808D1">
              <w:rPr>
                <w:shd w:val="clear" w:color="auto" w:fill="FFFFFF"/>
              </w:rPr>
              <w:t>A-G intervener</w:t>
            </w:r>
            <w:r w:rsidR="00834A58">
              <w:rPr>
                <w:shd w:val="clear" w:color="auto" w:fill="FFFFFF"/>
              </w:rPr>
              <w:t>)</w:t>
            </w:r>
          </w:p>
        </w:tc>
        <w:tc>
          <w:tcPr>
            <w:tcW w:w="3686" w:type="dxa"/>
          </w:tcPr>
          <w:p w14:paraId="5CC6C666" w14:textId="77777777" w:rsidR="00834A58" w:rsidRPr="001808D1" w:rsidRDefault="00834A58" w:rsidP="008B4B16">
            <w:pPr>
              <w:pStyle w:val="TableText"/>
            </w:pPr>
            <w:r>
              <w:t>In Court of Disputed Returns – Application to reopen hearing – wish to include human rights arguments</w:t>
            </w:r>
          </w:p>
        </w:tc>
        <w:tc>
          <w:tcPr>
            <w:tcW w:w="2698" w:type="dxa"/>
          </w:tcPr>
          <w:p w14:paraId="50B62E0A" w14:textId="77777777" w:rsidR="00834A58" w:rsidRPr="001808D1" w:rsidRDefault="00834A58" w:rsidP="008B4B16">
            <w:pPr>
              <w:pStyle w:val="TableText"/>
            </w:pPr>
            <w:r w:rsidRPr="001808D1">
              <w:t>[27] mention of s 31</w:t>
            </w:r>
          </w:p>
        </w:tc>
      </w:tr>
      <w:tr w:rsidR="00834A58" w:rsidRPr="001808D1" w14:paraId="4AE84365" w14:textId="77777777" w:rsidTr="008B4B16">
        <w:tc>
          <w:tcPr>
            <w:tcW w:w="3397" w:type="dxa"/>
          </w:tcPr>
          <w:p w14:paraId="441AC925" w14:textId="77777777" w:rsidR="00834A58" w:rsidRPr="001808D1" w:rsidRDefault="002E59B2" w:rsidP="008B4B16">
            <w:pPr>
              <w:pStyle w:val="TableText"/>
              <w:rPr>
                <w:shd w:val="clear" w:color="auto" w:fill="FFFFFF"/>
              </w:rPr>
            </w:pPr>
            <w:hyperlink r:id="rId78" w:history="1">
              <w:r w:rsidR="00834A58" w:rsidRPr="00F0517F">
                <w:rPr>
                  <w:rStyle w:val="Hyperlink"/>
                  <w:rFonts w:cs="Arial"/>
                  <w:i/>
                  <w:shd w:val="clear" w:color="auto" w:fill="FFFFFF"/>
                </w:rPr>
                <w:t>Innes v Electoral Commission of Qld &amp; Anor (No 2</w:t>
              </w:r>
              <w:r w:rsidR="00834A58" w:rsidRPr="00F0517F">
                <w:rPr>
                  <w:rStyle w:val="Hyperlink"/>
                  <w:rFonts w:cs="Arial"/>
                  <w:shd w:val="clear" w:color="auto" w:fill="FFFFFF"/>
                </w:rPr>
                <w:t>)</w:t>
              </w:r>
            </w:hyperlink>
            <w:r w:rsidR="00834A58" w:rsidRPr="001808D1">
              <w:rPr>
                <w:shd w:val="clear" w:color="auto" w:fill="FFFFFF"/>
              </w:rPr>
              <w:t xml:space="preserve"> [2020] QSC 293 (24 Sept 2020) Ryan J</w:t>
            </w:r>
          </w:p>
        </w:tc>
        <w:tc>
          <w:tcPr>
            <w:tcW w:w="3686" w:type="dxa"/>
          </w:tcPr>
          <w:p w14:paraId="52A35719" w14:textId="77777777" w:rsidR="00834A58" w:rsidRPr="001808D1" w:rsidRDefault="00834A58" w:rsidP="008B4B16">
            <w:pPr>
              <w:pStyle w:val="TableText"/>
            </w:pPr>
            <w:r>
              <w:t>In Court of Disputed Returns – where applicant believes election should have been postponed because of COVID health risk – taking part in public life arguments</w:t>
            </w:r>
          </w:p>
        </w:tc>
        <w:tc>
          <w:tcPr>
            <w:tcW w:w="2698" w:type="dxa"/>
          </w:tcPr>
          <w:p w14:paraId="5F513EEF" w14:textId="77777777" w:rsidR="00834A58" w:rsidRPr="001808D1" w:rsidRDefault="00834A58" w:rsidP="008B4B16">
            <w:pPr>
              <w:pStyle w:val="TableText"/>
              <w:rPr>
                <w:shd w:val="clear" w:color="auto" w:fill="FFFFFF"/>
              </w:rPr>
            </w:pPr>
            <w:r>
              <w:rPr>
                <w:shd w:val="clear" w:color="auto" w:fill="FFFFFF"/>
              </w:rPr>
              <w:t>s</w:t>
            </w:r>
            <w:r w:rsidRPr="001808D1">
              <w:rPr>
                <w:shd w:val="clear" w:color="auto" w:fill="FFFFFF"/>
              </w:rPr>
              <w:t>s 5(2)(a), 8, 9, 13, 15(2), 16, 23, 31, 48, 53, 58, 59</w:t>
            </w:r>
          </w:p>
        </w:tc>
      </w:tr>
      <w:tr w:rsidR="00834A58" w:rsidRPr="001808D1" w14:paraId="06CAC1BD" w14:textId="77777777" w:rsidTr="008B4B16">
        <w:tc>
          <w:tcPr>
            <w:tcW w:w="3397" w:type="dxa"/>
          </w:tcPr>
          <w:p w14:paraId="4B6E5B19" w14:textId="77777777" w:rsidR="00834A58" w:rsidRPr="001808D1" w:rsidRDefault="002E59B2" w:rsidP="008B4B16">
            <w:pPr>
              <w:pStyle w:val="TableText"/>
              <w:rPr>
                <w:color w:val="353535"/>
                <w:shd w:val="clear" w:color="auto" w:fill="FFFFFF"/>
              </w:rPr>
            </w:pPr>
            <w:hyperlink r:id="rId79" w:history="1">
              <w:r w:rsidR="00834A58" w:rsidRPr="00F0517F">
                <w:rPr>
                  <w:rStyle w:val="Hyperlink"/>
                  <w:rFonts w:cs="Arial"/>
                  <w:i/>
                  <w:shd w:val="clear" w:color="auto" w:fill="FFFFFF"/>
                </w:rPr>
                <w:t>Innes v Electoral Commission of Qld &amp; Anor</w:t>
              </w:r>
              <w:r w:rsidR="00834A58" w:rsidRPr="00F0517F">
                <w:rPr>
                  <w:rStyle w:val="Hyperlink"/>
                  <w:rFonts w:cs="Arial"/>
                  <w:shd w:val="clear" w:color="auto" w:fill="FFFFFF"/>
                </w:rPr>
                <w:t xml:space="preserve"> (No 3)</w:t>
              </w:r>
            </w:hyperlink>
            <w:r w:rsidR="00834A58" w:rsidRPr="001808D1">
              <w:rPr>
                <w:shd w:val="clear" w:color="auto" w:fill="FFFFFF"/>
              </w:rPr>
              <w:t xml:space="preserve"> [2020] QSC 320 (21 Oct 2020) Ryan J</w:t>
            </w:r>
            <w:r w:rsidR="00834A58">
              <w:rPr>
                <w:shd w:val="clear" w:color="auto" w:fill="FFFFFF"/>
              </w:rPr>
              <w:br/>
              <w:t>(</w:t>
            </w:r>
            <w:r w:rsidR="00834A58" w:rsidRPr="001808D1">
              <w:rPr>
                <w:shd w:val="clear" w:color="auto" w:fill="FFFFFF"/>
              </w:rPr>
              <w:t xml:space="preserve">A-G </w:t>
            </w:r>
            <w:proofErr w:type="spellStart"/>
            <w:r w:rsidR="00834A58" w:rsidRPr="001808D1">
              <w:rPr>
                <w:shd w:val="clear" w:color="auto" w:fill="FFFFFF"/>
              </w:rPr>
              <w:t>intervenor</w:t>
            </w:r>
            <w:proofErr w:type="spellEnd"/>
            <w:r w:rsidR="00834A58">
              <w:rPr>
                <w:shd w:val="clear" w:color="auto" w:fill="FFFFFF"/>
              </w:rPr>
              <w:t>)</w:t>
            </w:r>
          </w:p>
        </w:tc>
        <w:tc>
          <w:tcPr>
            <w:tcW w:w="3686" w:type="dxa"/>
          </w:tcPr>
          <w:p w14:paraId="63A9AD04" w14:textId="77777777" w:rsidR="00834A58" w:rsidRPr="001808D1" w:rsidRDefault="00834A58" w:rsidP="008B4B16">
            <w:pPr>
              <w:pStyle w:val="TableText"/>
            </w:pPr>
            <w:r w:rsidRPr="001808D1">
              <w:t>Costs application</w:t>
            </w:r>
          </w:p>
        </w:tc>
        <w:tc>
          <w:tcPr>
            <w:tcW w:w="2698" w:type="dxa"/>
          </w:tcPr>
          <w:p w14:paraId="7F5F519C" w14:textId="77777777" w:rsidR="00834A58" w:rsidRPr="001808D1" w:rsidRDefault="00834A58" w:rsidP="008B4B16">
            <w:pPr>
              <w:pStyle w:val="TableText"/>
            </w:pPr>
            <w:r w:rsidRPr="001808D1">
              <w:t xml:space="preserve">HRA mentions [2], [20], [29], [32], [33] </w:t>
            </w:r>
          </w:p>
        </w:tc>
      </w:tr>
      <w:tr w:rsidR="00834A58" w:rsidRPr="001808D1" w14:paraId="1A778E0F" w14:textId="77777777" w:rsidTr="008B4B16">
        <w:tc>
          <w:tcPr>
            <w:tcW w:w="3397" w:type="dxa"/>
          </w:tcPr>
          <w:p w14:paraId="2B773113" w14:textId="77777777" w:rsidR="00834A58" w:rsidRPr="001808D1" w:rsidRDefault="002E59B2" w:rsidP="008B4B16">
            <w:pPr>
              <w:pStyle w:val="TableText"/>
            </w:pPr>
            <w:hyperlink r:id="rId80" w:history="1">
              <w:r w:rsidR="00834A58" w:rsidRPr="00F0517F">
                <w:rPr>
                  <w:rStyle w:val="Hyperlink"/>
                  <w:rFonts w:cs="Arial"/>
                  <w:i/>
                </w:rPr>
                <w:t>Attorney-General for the State of Queensland v Haynes</w:t>
              </w:r>
            </w:hyperlink>
            <w:r w:rsidR="00834A58" w:rsidRPr="001808D1">
              <w:rPr>
                <w:i/>
              </w:rPr>
              <w:t xml:space="preserve"> </w:t>
            </w:r>
            <w:r w:rsidR="00834A58" w:rsidRPr="001808D1">
              <w:t xml:space="preserve">[2020] QSC 348 (2 Nov 2020) Jackson J </w:t>
            </w:r>
          </w:p>
        </w:tc>
        <w:tc>
          <w:tcPr>
            <w:tcW w:w="3686" w:type="dxa"/>
          </w:tcPr>
          <w:p w14:paraId="16A26F56" w14:textId="77777777" w:rsidR="00834A58" w:rsidRPr="001808D1" w:rsidRDefault="00834A58" w:rsidP="008B4B16">
            <w:pPr>
              <w:pStyle w:val="TableText"/>
            </w:pPr>
            <w:r w:rsidRPr="001808D1">
              <w:rPr>
                <w:shd w:val="clear" w:color="auto" w:fill="FFFFFF"/>
              </w:rPr>
              <w:t>Application for a supervision order under DP(SO)A</w:t>
            </w:r>
          </w:p>
        </w:tc>
        <w:tc>
          <w:tcPr>
            <w:tcW w:w="2698" w:type="dxa"/>
          </w:tcPr>
          <w:p w14:paraId="7095EA04" w14:textId="77777777" w:rsidR="00834A58" w:rsidRPr="001808D1" w:rsidRDefault="00834A58" w:rsidP="008B4B16">
            <w:pPr>
              <w:pStyle w:val="TableText"/>
            </w:pPr>
            <w:r>
              <w:t>s</w:t>
            </w:r>
            <w:r w:rsidRPr="001808D1">
              <w:t xml:space="preserve"> 31</w:t>
            </w:r>
          </w:p>
          <w:p w14:paraId="423F8900" w14:textId="77777777" w:rsidR="00834A58" w:rsidRPr="001808D1" w:rsidRDefault="00834A58" w:rsidP="008B4B16">
            <w:pPr>
              <w:pStyle w:val="TableText"/>
            </w:pPr>
            <w:r w:rsidRPr="001808D1">
              <w:t xml:space="preserve">See [30] </w:t>
            </w:r>
          </w:p>
        </w:tc>
      </w:tr>
      <w:tr w:rsidR="00834A58" w:rsidRPr="001808D1" w14:paraId="7E8BEA70" w14:textId="77777777" w:rsidTr="008B4B16">
        <w:tc>
          <w:tcPr>
            <w:tcW w:w="3397" w:type="dxa"/>
          </w:tcPr>
          <w:p w14:paraId="77918CBE" w14:textId="77777777" w:rsidR="00834A58" w:rsidRPr="001808D1" w:rsidRDefault="002E59B2" w:rsidP="008B4B16">
            <w:pPr>
              <w:pStyle w:val="TableText"/>
            </w:pPr>
            <w:hyperlink r:id="rId81" w:history="1">
              <w:proofErr w:type="spellStart"/>
              <w:r w:rsidR="00834A58" w:rsidRPr="00F0517F">
                <w:rPr>
                  <w:rStyle w:val="Hyperlink"/>
                  <w:rFonts w:cs="Arial"/>
                  <w:i/>
                </w:rPr>
                <w:t>Accoom</w:t>
              </w:r>
              <w:proofErr w:type="spellEnd"/>
              <w:r w:rsidR="00834A58" w:rsidRPr="00F0517F">
                <w:rPr>
                  <w:rStyle w:val="Hyperlink"/>
                  <w:rFonts w:cs="Arial"/>
                  <w:i/>
                </w:rPr>
                <w:t xml:space="preserve"> v Pickering</w:t>
              </w:r>
            </w:hyperlink>
            <w:r w:rsidR="00834A58" w:rsidRPr="001808D1">
              <w:t xml:space="preserve"> [2020] QSC 388 (7 Dec 2020) Henry J</w:t>
            </w:r>
          </w:p>
        </w:tc>
        <w:tc>
          <w:tcPr>
            <w:tcW w:w="3686" w:type="dxa"/>
          </w:tcPr>
          <w:p w14:paraId="25D1572D" w14:textId="77777777" w:rsidR="00834A58" w:rsidRPr="001808D1" w:rsidRDefault="00834A58" w:rsidP="008B4B16">
            <w:pPr>
              <w:pStyle w:val="TableText"/>
              <w:rPr>
                <w:shd w:val="clear" w:color="auto" w:fill="FFFFFF"/>
              </w:rPr>
            </w:pPr>
            <w:r w:rsidRPr="001808D1">
              <w:rPr>
                <w:shd w:val="clear" w:color="auto" w:fill="FFFFFF"/>
              </w:rPr>
              <w:t>Application by the deceased’s mother concerning release of the body for a funeral</w:t>
            </w:r>
            <w:r>
              <w:rPr>
                <w:shd w:val="clear" w:color="auto" w:fill="FFFFFF"/>
              </w:rPr>
              <w:t xml:space="preserve"> – both protagonists are Aboriginal and rely on Aboriginal custom for arguments</w:t>
            </w:r>
          </w:p>
        </w:tc>
        <w:tc>
          <w:tcPr>
            <w:tcW w:w="2698" w:type="dxa"/>
          </w:tcPr>
          <w:p w14:paraId="6B0A2074" w14:textId="77777777" w:rsidR="00834A58" w:rsidRPr="001808D1" w:rsidRDefault="00834A58" w:rsidP="008B4B16">
            <w:pPr>
              <w:pStyle w:val="TableText"/>
            </w:pPr>
            <w:r>
              <w:t>s</w:t>
            </w:r>
            <w:r w:rsidRPr="001808D1">
              <w:t>s 28, 48</w:t>
            </w:r>
          </w:p>
        </w:tc>
      </w:tr>
      <w:tr w:rsidR="00834A58" w:rsidRPr="001808D1" w14:paraId="286DABB9" w14:textId="77777777" w:rsidTr="008B4B16">
        <w:tc>
          <w:tcPr>
            <w:tcW w:w="3397" w:type="dxa"/>
          </w:tcPr>
          <w:p w14:paraId="58ADC4E5" w14:textId="77777777" w:rsidR="00834A58" w:rsidRPr="001808D1" w:rsidRDefault="002E59B2" w:rsidP="008B4B16">
            <w:pPr>
              <w:pStyle w:val="TableText"/>
            </w:pPr>
            <w:hyperlink r:id="rId82" w:history="1">
              <w:proofErr w:type="spellStart"/>
              <w:r w:rsidR="00834A58" w:rsidRPr="002E6249">
                <w:rPr>
                  <w:rStyle w:val="Hyperlink"/>
                  <w:rFonts w:cs="Arial"/>
                  <w:i/>
                </w:rPr>
                <w:t>Whiteley</w:t>
              </w:r>
              <w:proofErr w:type="spellEnd"/>
              <w:r w:rsidR="00834A58" w:rsidRPr="002E6249">
                <w:rPr>
                  <w:rStyle w:val="Hyperlink"/>
                  <w:rFonts w:cs="Arial"/>
                  <w:i/>
                </w:rPr>
                <w:t xml:space="preserve"> v Stone &amp; Anor</w:t>
              </w:r>
            </w:hyperlink>
            <w:r w:rsidR="00834A58" w:rsidRPr="001808D1">
              <w:rPr>
                <w:i/>
              </w:rPr>
              <w:t xml:space="preserve"> </w:t>
            </w:r>
            <w:r w:rsidR="00834A58" w:rsidRPr="001808D1">
              <w:t>[2021] QSC 31 (4 March 2021) Dalton J</w:t>
            </w:r>
            <w:r w:rsidR="00834A58">
              <w:br/>
            </w:r>
            <w:r w:rsidR="00834A58" w:rsidRPr="001808D1">
              <w:t xml:space="preserve">(A-G </w:t>
            </w:r>
            <w:proofErr w:type="spellStart"/>
            <w:r w:rsidR="00834A58" w:rsidRPr="001808D1">
              <w:t>intervenor</w:t>
            </w:r>
            <w:proofErr w:type="spellEnd"/>
            <w:r w:rsidR="00834A58" w:rsidRPr="001808D1">
              <w:t>)</w:t>
            </w:r>
          </w:p>
        </w:tc>
        <w:tc>
          <w:tcPr>
            <w:tcW w:w="3686" w:type="dxa"/>
          </w:tcPr>
          <w:p w14:paraId="1D6768EC" w14:textId="77777777" w:rsidR="00834A58" w:rsidRPr="001808D1" w:rsidRDefault="00834A58" w:rsidP="008B4B16">
            <w:pPr>
              <w:pStyle w:val="TableText"/>
              <w:rPr>
                <w:shd w:val="clear" w:color="auto" w:fill="FFFFFF"/>
              </w:rPr>
            </w:pPr>
            <w:r w:rsidRPr="001808D1">
              <w:rPr>
                <w:shd w:val="clear" w:color="auto" w:fill="FFFFFF"/>
              </w:rPr>
              <w:t xml:space="preserve">Application for judicial review of a decision to cancel the applicant’s certificate of competency under the </w:t>
            </w:r>
            <w:r w:rsidRPr="009D5BC9">
              <w:rPr>
                <w:i/>
                <w:shd w:val="clear" w:color="auto" w:fill="FFFFFF"/>
              </w:rPr>
              <w:t>Coal Lining Safety &amp; Health Act 1999</w:t>
            </w:r>
          </w:p>
        </w:tc>
        <w:tc>
          <w:tcPr>
            <w:tcW w:w="2698" w:type="dxa"/>
          </w:tcPr>
          <w:p w14:paraId="2330F682" w14:textId="77777777" w:rsidR="00834A58" w:rsidRPr="001808D1" w:rsidRDefault="00834A58" w:rsidP="008B4B16">
            <w:pPr>
              <w:pStyle w:val="TableText"/>
            </w:pPr>
            <w:r w:rsidRPr="001808D1">
              <w:t>[32] A-G said s 48 HRA not engaged</w:t>
            </w:r>
          </w:p>
        </w:tc>
      </w:tr>
      <w:tr w:rsidR="00834A58" w:rsidRPr="001808D1" w14:paraId="3DFCE46A" w14:textId="77777777" w:rsidTr="008B4B16">
        <w:tc>
          <w:tcPr>
            <w:tcW w:w="3397" w:type="dxa"/>
          </w:tcPr>
          <w:p w14:paraId="1261B186" w14:textId="77777777" w:rsidR="00834A58" w:rsidRPr="001808D1" w:rsidRDefault="002E59B2" w:rsidP="008B4B16">
            <w:pPr>
              <w:pStyle w:val="TableText"/>
            </w:pPr>
            <w:hyperlink r:id="rId83" w:history="1">
              <w:r w:rsidR="00834A58" w:rsidRPr="002E6249">
                <w:rPr>
                  <w:rStyle w:val="Hyperlink"/>
                  <w:rFonts w:cs="Arial"/>
                  <w:i/>
                </w:rPr>
                <w:t>Ryle v Venables &amp; Ors</w:t>
              </w:r>
            </w:hyperlink>
            <w:r w:rsidR="00834A58" w:rsidRPr="001808D1">
              <w:rPr>
                <w:i/>
              </w:rPr>
              <w:t xml:space="preserve"> </w:t>
            </w:r>
            <w:r w:rsidR="00834A58" w:rsidRPr="001808D1">
              <w:t>[2021] QSC 60 (31 March 2021) Davis J</w:t>
            </w:r>
          </w:p>
        </w:tc>
        <w:tc>
          <w:tcPr>
            <w:tcW w:w="3686" w:type="dxa"/>
          </w:tcPr>
          <w:p w14:paraId="48E428F0" w14:textId="77777777" w:rsidR="00834A58" w:rsidRPr="001808D1" w:rsidRDefault="00834A58" w:rsidP="008B4B16">
            <w:pPr>
              <w:pStyle w:val="TableText"/>
              <w:rPr>
                <w:shd w:val="clear" w:color="auto" w:fill="FFFFFF"/>
              </w:rPr>
            </w:pPr>
            <w:r w:rsidRPr="001808D1">
              <w:rPr>
                <w:shd w:val="clear" w:color="auto" w:fill="FFFFFF"/>
              </w:rPr>
              <w:t>Application for judicial review of decision to reject complaint</w:t>
            </w:r>
          </w:p>
        </w:tc>
        <w:tc>
          <w:tcPr>
            <w:tcW w:w="2698" w:type="dxa"/>
          </w:tcPr>
          <w:p w14:paraId="74034F0F" w14:textId="77777777" w:rsidR="00834A58" w:rsidRPr="001808D1" w:rsidRDefault="00834A58" w:rsidP="008B4B16">
            <w:pPr>
              <w:pStyle w:val="TableText"/>
            </w:pPr>
            <w:r>
              <w:t>s</w:t>
            </w:r>
            <w:r w:rsidRPr="001808D1">
              <w:t>s 3, 118</w:t>
            </w:r>
          </w:p>
        </w:tc>
      </w:tr>
      <w:tr w:rsidR="00834A58" w:rsidRPr="001808D1" w14:paraId="21F86CE8" w14:textId="77777777" w:rsidTr="008B4B16">
        <w:tc>
          <w:tcPr>
            <w:tcW w:w="3397" w:type="dxa"/>
          </w:tcPr>
          <w:p w14:paraId="29D39AFD" w14:textId="77777777" w:rsidR="00834A58" w:rsidRPr="001808D1" w:rsidRDefault="002E59B2" w:rsidP="008B4B16">
            <w:pPr>
              <w:pStyle w:val="TableText"/>
            </w:pPr>
            <w:hyperlink r:id="rId84" w:history="1">
              <w:r w:rsidR="00834A58" w:rsidRPr="002E6249">
                <w:rPr>
                  <w:rStyle w:val="Hyperlink"/>
                  <w:rFonts w:cs="Arial"/>
                  <w:i/>
                </w:rPr>
                <w:t>Dunlop &amp; Anor v Body Corporate For Port Douglas Queenslander CTS 886 &amp; Ors</w:t>
              </w:r>
            </w:hyperlink>
            <w:r w:rsidR="00834A58" w:rsidRPr="001808D1">
              <w:rPr>
                <w:i/>
              </w:rPr>
              <w:t xml:space="preserve"> </w:t>
            </w:r>
            <w:r w:rsidR="00834A58" w:rsidRPr="001808D1">
              <w:t>[2021] QSC 85 (27 April 2021) Henry J</w:t>
            </w:r>
          </w:p>
        </w:tc>
        <w:tc>
          <w:tcPr>
            <w:tcW w:w="3686" w:type="dxa"/>
          </w:tcPr>
          <w:p w14:paraId="35EDA5A4" w14:textId="77777777" w:rsidR="00834A58" w:rsidRPr="001808D1" w:rsidRDefault="00834A58" w:rsidP="008B4B16">
            <w:pPr>
              <w:pStyle w:val="TableText"/>
              <w:rPr>
                <w:shd w:val="clear" w:color="auto" w:fill="FFFFFF"/>
              </w:rPr>
            </w:pPr>
            <w:r w:rsidRPr="001808D1">
              <w:rPr>
                <w:shd w:val="clear" w:color="auto" w:fill="FFFFFF"/>
              </w:rPr>
              <w:t>Application relating to claim for losses from a body corporate’s termination of letting c&amp; caretaking agreements.</w:t>
            </w:r>
          </w:p>
        </w:tc>
        <w:tc>
          <w:tcPr>
            <w:tcW w:w="2698" w:type="dxa"/>
          </w:tcPr>
          <w:p w14:paraId="78F85439" w14:textId="77777777" w:rsidR="00834A58" w:rsidRPr="001808D1" w:rsidRDefault="00834A58" w:rsidP="008B4B16">
            <w:pPr>
              <w:pStyle w:val="TableText"/>
            </w:pPr>
            <w:r>
              <w:t>s</w:t>
            </w:r>
            <w:r w:rsidRPr="001808D1">
              <w:t xml:space="preserve"> 48</w:t>
            </w:r>
          </w:p>
          <w:p w14:paraId="69C41221" w14:textId="77777777" w:rsidR="00834A58" w:rsidRPr="001808D1" w:rsidRDefault="00834A58" w:rsidP="008B4B16">
            <w:pPr>
              <w:pStyle w:val="TableText"/>
            </w:pPr>
            <w:r w:rsidRPr="001808D1">
              <w:t>[68] statutory interpretation compatible with HR</w:t>
            </w:r>
          </w:p>
        </w:tc>
      </w:tr>
      <w:tr w:rsidR="00834A58" w:rsidRPr="001808D1" w14:paraId="449DCA6D" w14:textId="77777777" w:rsidTr="008B4B16">
        <w:tc>
          <w:tcPr>
            <w:tcW w:w="3397" w:type="dxa"/>
          </w:tcPr>
          <w:p w14:paraId="5276CFDB" w14:textId="77777777" w:rsidR="00834A58" w:rsidRPr="001808D1" w:rsidRDefault="002E59B2" w:rsidP="008B4B16">
            <w:pPr>
              <w:pStyle w:val="TableText"/>
              <w:rPr>
                <w:i/>
              </w:rPr>
            </w:pPr>
            <w:hyperlink r:id="rId85" w:history="1">
              <w:r w:rsidR="00834A58" w:rsidRPr="002E6249">
                <w:rPr>
                  <w:rStyle w:val="Hyperlink"/>
                  <w:rFonts w:cs="Arial"/>
                  <w:i/>
                </w:rPr>
                <w:t xml:space="preserve">MJE v </w:t>
              </w:r>
              <w:proofErr w:type="spellStart"/>
              <w:r w:rsidR="00834A58" w:rsidRPr="002E6249">
                <w:rPr>
                  <w:rStyle w:val="Hyperlink"/>
                  <w:rFonts w:cs="Arial"/>
                  <w:i/>
                </w:rPr>
                <w:t>Strofield</w:t>
              </w:r>
              <w:proofErr w:type="spellEnd"/>
              <w:r w:rsidR="00834A58" w:rsidRPr="002E6249">
                <w:rPr>
                  <w:rStyle w:val="Hyperlink"/>
                  <w:rFonts w:cs="Arial"/>
                  <w:i/>
                </w:rPr>
                <w:t xml:space="preserve"> (Magistrate) &amp; Anor</w:t>
              </w:r>
            </w:hyperlink>
            <w:r w:rsidR="00834A58">
              <w:rPr>
                <w:i/>
              </w:rPr>
              <w:t xml:space="preserve"> </w:t>
            </w:r>
            <w:r w:rsidR="00834A58" w:rsidRPr="00601EC7">
              <w:t>[2021] QSC 126 (3 June 2021) Martin J</w:t>
            </w:r>
          </w:p>
        </w:tc>
        <w:tc>
          <w:tcPr>
            <w:tcW w:w="3686" w:type="dxa"/>
          </w:tcPr>
          <w:p w14:paraId="3310DAA7" w14:textId="77777777" w:rsidR="00834A58" w:rsidRPr="00601EC7" w:rsidRDefault="00834A58" w:rsidP="008B4B16">
            <w:pPr>
              <w:pStyle w:val="TableText"/>
              <w:rPr>
                <w:shd w:val="clear" w:color="auto" w:fill="FFFFFF"/>
              </w:rPr>
            </w:pPr>
            <w:r>
              <w:rPr>
                <w:shd w:val="clear" w:color="auto" w:fill="FFFFFF"/>
              </w:rPr>
              <w:t xml:space="preserve">Application for review of decisions pursuant to the </w:t>
            </w:r>
            <w:r w:rsidRPr="00601EC7">
              <w:rPr>
                <w:i/>
                <w:shd w:val="clear" w:color="auto" w:fill="FFFFFF"/>
              </w:rPr>
              <w:t>Judicial Review Act</w:t>
            </w:r>
            <w:r>
              <w:rPr>
                <w:shd w:val="clear" w:color="auto" w:fill="FFFFFF"/>
              </w:rPr>
              <w:t xml:space="preserve"> and for statements of reasons given by judicial officers</w:t>
            </w:r>
          </w:p>
        </w:tc>
        <w:tc>
          <w:tcPr>
            <w:tcW w:w="2698" w:type="dxa"/>
          </w:tcPr>
          <w:p w14:paraId="28A10732" w14:textId="77777777" w:rsidR="00834A58" w:rsidRPr="001808D1" w:rsidRDefault="00834A58" w:rsidP="008B4B16">
            <w:pPr>
              <w:pStyle w:val="TableText"/>
            </w:pPr>
            <w:r>
              <w:t>[8]</w:t>
            </w:r>
            <w:r>
              <w:br/>
              <w:t>No section number mentioned</w:t>
            </w:r>
          </w:p>
        </w:tc>
      </w:tr>
      <w:tr w:rsidR="00834A58" w:rsidRPr="001808D1" w14:paraId="261EF85B" w14:textId="77777777" w:rsidTr="008B4B16">
        <w:tc>
          <w:tcPr>
            <w:tcW w:w="3397" w:type="dxa"/>
          </w:tcPr>
          <w:p w14:paraId="746B9973" w14:textId="77777777" w:rsidR="00834A58" w:rsidRPr="00CE7A12" w:rsidRDefault="002E59B2" w:rsidP="008B4B16">
            <w:pPr>
              <w:pStyle w:val="TableText"/>
            </w:pPr>
            <w:hyperlink r:id="rId86" w:history="1">
              <w:r w:rsidR="00834A58" w:rsidRPr="002E6249">
                <w:rPr>
                  <w:rStyle w:val="Hyperlink"/>
                  <w:rFonts w:cs="Arial"/>
                  <w:i/>
                </w:rPr>
                <w:t xml:space="preserve">Re </w:t>
              </w:r>
              <w:proofErr w:type="spellStart"/>
              <w:r w:rsidR="00834A58" w:rsidRPr="002E6249">
                <w:rPr>
                  <w:rStyle w:val="Hyperlink"/>
                  <w:rFonts w:cs="Arial"/>
                  <w:i/>
                </w:rPr>
                <w:t>Dunshea</w:t>
              </w:r>
              <w:proofErr w:type="spellEnd"/>
            </w:hyperlink>
            <w:r w:rsidR="00834A58">
              <w:rPr>
                <w:i/>
              </w:rPr>
              <w:t xml:space="preserve"> </w:t>
            </w:r>
            <w:r w:rsidR="00834A58">
              <w:t xml:space="preserve">[2021] QSC 163 (24 June 2021) </w:t>
            </w:r>
            <w:proofErr w:type="spellStart"/>
            <w:r w:rsidR="00834A58">
              <w:t>Freeburn</w:t>
            </w:r>
            <w:proofErr w:type="spellEnd"/>
            <w:r w:rsidR="00834A58">
              <w:t xml:space="preserve"> J</w:t>
            </w:r>
          </w:p>
        </w:tc>
        <w:tc>
          <w:tcPr>
            <w:tcW w:w="3686" w:type="dxa"/>
          </w:tcPr>
          <w:p w14:paraId="5EEAD985" w14:textId="77777777" w:rsidR="00834A58" w:rsidRDefault="00834A58" w:rsidP="008B4B16">
            <w:pPr>
              <w:pStyle w:val="TableText"/>
              <w:rPr>
                <w:shd w:val="clear" w:color="auto" w:fill="FFFFFF"/>
              </w:rPr>
            </w:pPr>
            <w:r>
              <w:rPr>
                <w:shd w:val="clear" w:color="auto" w:fill="FFFFFF"/>
              </w:rPr>
              <w:t>Bail application</w:t>
            </w:r>
          </w:p>
        </w:tc>
        <w:tc>
          <w:tcPr>
            <w:tcW w:w="2698" w:type="dxa"/>
          </w:tcPr>
          <w:p w14:paraId="72A7B02F" w14:textId="77777777" w:rsidR="00834A58" w:rsidRDefault="00834A58" w:rsidP="008B4B16">
            <w:pPr>
              <w:pStyle w:val="TableText"/>
            </w:pPr>
            <w:r>
              <w:t>s 9(1), 9(4), 29(5), 58</w:t>
            </w:r>
          </w:p>
        </w:tc>
      </w:tr>
    </w:tbl>
    <w:p w14:paraId="5AD57BCA" w14:textId="259C43EF" w:rsidR="00005981" w:rsidRDefault="00005981" w:rsidP="008B4B16">
      <w:pPr>
        <w:pStyle w:val="Heading1"/>
        <w:rPr>
          <w:rStyle w:val="Heading3Char"/>
          <w:rFonts w:cs="Times New Roman"/>
          <w:color w:val="373D42"/>
          <w:sz w:val="48"/>
          <w:szCs w:val="48"/>
        </w:rPr>
      </w:pPr>
      <w:bookmarkStart w:id="684" w:name="_Toc85526772"/>
      <w:bookmarkStart w:id="685" w:name="_Toc85787187"/>
    </w:p>
    <w:p w14:paraId="33EA20E3" w14:textId="6C38D1CC" w:rsidR="00834A58" w:rsidRDefault="00834A58" w:rsidP="008B4B16">
      <w:pPr>
        <w:pStyle w:val="Heading1"/>
        <w:rPr>
          <w:rStyle w:val="Heading3Char"/>
          <w:rFonts w:cs="Times New Roman"/>
          <w:color w:val="373D42"/>
          <w:sz w:val="48"/>
          <w:szCs w:val="48"/>
        </w:rPr>
      </w:pPr>
      <w:r w:rsidRPr="008B4B16">
        <w:rPr>
          <w:rStyle w:val="Heading3Char"/>
          <w:rFonts w:cs="Times New Roman"/>
          <w:color w:val="373D42"/>
          <w:sz w:val="48"/>
          <w:szCs w:val="48"/>
        </w:rPr>
        <w:t>District Court of Queensland and pre-trial rulings</w:t>
      </w:r>
      <w:bookmarkEnd w:id="684"/>
      <w:bookmarkEnd w:id="685"/>
    </w:p>
    <w:p w14:paraId="632C03A2" w14:textId="2FA794AC" w:rsidR="003E39DC" w:rsidRPr="003E39DC" w:rsidRDefault="003E39DC" w:rsidP="003E39DC">
      <w:pPr>
        <w:keepLines w:val="0"/>
        <w:widowControl/>
        <w:spacing w:after="200" w:line="288" w:lineRule="auto"/>
        <w:ind w:right="2268"/>
        <w:rPr>
          <w:rFonts w:eastAsiaTheme="minorEastAsia" w:cs="Arial"/>
          <w:b/>
          <w:bCs/>
          <w:i/>
          <w:iCs/>
          <w:color w:val="383D41"/>
          <w:sz w:val="20"/>
          <w:szCs w:val="18"/>
        </w:rPr>
      </w:pPr>
      <w:r w:rsidRPr="003E39DC">
        <w:rPr>
          <w:rFonts w:eastAsiaTheme="minorEastAsia" w:cs="Arial"/>
          <w:b/>
          <w:bCs/>
          <w:i/>
          <w:iCs/>
          <w:color w:val="383D41"/>
          <w:sz w:val="20"/>
          <w:szCs w:val="18"/>
        </w:rPr>
        <w:t xml:space="preserve">Table </w:t>
      </w:r>
      <w:r>
        <w:rPr>
          <w:rFonts w:eastAsiaTheme="minorEastAsia" w:cs="Arial"/>
          <w:b/>
          <w:bCs/>
          <w:i/>
          <w:iCs/>
          <w:color w:val="383D41"/>
          <w:sz w:val="20"/>
          <w:szCs w:val="18"/>
        </w:rPr>
        <w:t>15</w:t>
      </w:r>
      <w:r w:rsidRPr="003E39DC">
        <w:rPr>
          <w:rFonts w:eastAsiaTheme="minorEastAsia" w:cs="Arial"/>
          <w:b/>
          <w:bCs/>
          <w:i/>
          <w:iCs/>
          <w:color w:val="383D41"/>
          <w:sz w:val="20"/>
          <w:szCs w:val="18"/>
        </w:rPr>
        <w:t>: Considerations or mentions of the Act in the District Court of Queensland and pre-trial rulings, 20</w:t>
      </w:r>
      <w:r w:rsidR="00AE6775">
        <w:rPr>
          <w:rFonts w:eastAsiaTheme="minorEastAsia" w:cs="Arial"/>
          <w:b/>
          <w:bCs/>
          <w:i/>
          <w:iCs/>
          <w:color w:val="383D41"/>
          <w:sz w:val="20"/>
          <w:szCs w:val="18"/>
        </w:rPr>
        <w:t>20-21</w:t>
      </w:r>
    </w:p>
    <w:tbl>
      <w:tblPr>
        <w:tblStyle w:val="TableGrid"/>
        <w:tblW w:w="0" w:type="auto"/>
        <w:tblBorders>
          <w:top w:val="single" w:sz="4" w:space="0" w:color="373D42"/>
          <w:left w:val="none" w:sz="0" w:space="0" w:color="auto"/>
          <w:bottom w:val="single" w:sz="4" w:space="0" w:color="373D42"/>
          <w:right w:val="none" w:sz="0" w:space="0" w:color="auto"/>
          <w:insideH w:val="single" w:sz="4" w:space="0" w:color="373D42"/>
          <w:insideV w:val="none" w:sz="0" w:space="0" w:color="auto"/>
        </w:tblBorders>
        <w:tblLook w:val="04A0" w:firstRow="1" w:lastRow="0" w:firstColumn="1" w:lastColumn="0" w:noHBand="0" w:noVBand="1"/>
      </w:tblPr>
      <w:tblGrid>
        <w:gridCol w:w="3005"/>
        <w:gridCol w:w="3005"/>
        <w:gridCol w:w="3006"/>
      </w:tblGrid>
      <w:tr w:rsidR="008B4B16" w:rsidRPr="008B4B16" w14:paraId="70BCFC27" w14:textId="77777777" w:rsidTr="008B4B16">
        <w:tc>
          <w:tcPr>
            <w:tcW w:w="3005" w:type="dxa"/>
          </w:tcPr>
          <w:p w14:paraId="37FC6414" w14:textId="77777777" w:rsidR="00834A58" w:rsidRPr="008B4B16" w:rsidRDefault="00834A58" w:rsidP="008B4B16">
            <w:pPr>
              <w:pStyle w:val="TableTextHeading"/>
              <w:rPr>
                <w:color w:val="373D42"/>
              </w:rPr>
            </w:pPr>
            <w:r w:rsidRPr="008B4B16">
              <w:rPr>
                <w:color w:val="373D42"/>
              </w:rPr>
              <w:t>Case</w:t>
            </w:r>
          </w:p>
        </w:tc>
        <w:tc>
          <w:tcPr>
            <w:tcW w:w="3005" w:type="dxa"/>
          </w:tcPr>
          <w:p w14:paraId="68983545" w14:textId="77777777" w:rsidR="00834A58" w:rsidRPr="008B4B16" w:rsidRDefault="00834A58" w:rsidP="008B4B16">
            <w:pPr>
              <w:pStyle w:val="TableTextHeading"/>
              <w:rPr>
                <w:color w:val="373D42"/>
              </w:rPr>
            </w:pPr>
            <w:r w:rsidRPr="008B4B16">
              <w:rPr>
                <w:color w:val="373D42"/>
              </w:rPr>
              <w:t>Cause of action</w:t>
            </w:r>
          </w:p>
        </w:tc>
        <w:tc>
          <w:tcPr>
            <w:tcW w:w="3006" w:type="dxa"/>
          </w:tcPr>
          <w:p w14:paraId="32408863" w14:textId="77777777" w:rsidR="00834A58" w:rsidRPr="008B4B16" w:rsidRDefault="00834A58" w:rsidP="008B4B16">
            <w:pPr>
              <w:pStyle w:val="TableTextHeading"/>
              <w:rPr>
                <w:color w:val="373D42"/>
              </w:rPr>
            </w:pPr>
            <w:r w:rsidRPr="008B4B16">
              <w:rPr>
                <w:i/>
                <w:color w:val="373D42"/>
              </w:rPr>
              <w:t>Human Rights Act 2019</w:t>
            </w:r>
            <w:r w:rsidRPr="008B4B16">
              <w:rPr>
                <w:color w:val="373D42"/>
              </w:rPr>
              <w:t xml:space="preserve"> sections</w:t>
            </w:r>
          </w:p>
        </w:tc>
      </w:tr>
      <w:tr w:rsidR="00834A58" w:rsidRPr="00E011C1" w14:paraId="50789A9C" w14:textId="77777777" w:rsidTr="008B4B16">
        <w:tc>
          <w:tcPr>
            <w:tcW w:w="3005" w:type="dxa"/>
          </w:tcPr>
          <w:p w14:paraId="1D225B3B" w14:textId="77777777" w:rsidR="00834A58" w:rsidRDefault="002E59B2" w:rsidP="008B4B16">
            <w:pPr>
              <w:pStyle w:val="TableText"/>
            </w:pPr>
            <w:hyperlink r:id="rId87" w:history="1">
              <w:r w:rsidR="00834A58" w:rsidRPr="00705114">
                <w:rPr>
                  <w:rStyle w:val="Hyperlink"/>
                  <w:rFonts w:cs="Arial"/>
                  <w:i/>
                </w:rPr>
                <w:t>R v NGK</w:t>
              </w:r>
            </w:hyperlink>
            <w:r w:rsidR="00834A58">
              <w:t xml:space="preserve"> [2020] QDCPR 77 (Judgment given 17 June 2020, reasons published 1 July 2020)</w:t>
            </w:r>
          </w:p>
        </w:tc>
        <w:tc>
          <w:tcPr>
            <w:tcW w:w="3005" w:type="dxa"/>
          </w:tcPr>
          <w:p w14:paraId="4A12B209" w14:textId="77777777" w:rsidR="00834A58" w:rsidRDefault="00834A58" w:rsidP="008B4B16">
            <w:pPr>
              <w:pStyle w:val="TableText"/>
            </w:pPr>
            <w:r>
              <w:t>application for a no jury order due to COVID</w:t>
            </w:r>
          </w:p>
        </w:tc>
        <w:tc>
          <w:tcPr>
            <w:tcW w:w="3006" w:type="dxa"/>
          </w:tcPr>
          <w:p w14:paraId="4A44E7AC" w14:textId="77777777" w:rsidR="00834A58" w:rsidRDefault="00834A58" w:rsidP="008B4B16">
            <w:pPr>
              <w:pStyle w:val="TableText"/>
            </w:pPr>
            <w:r>
              <w:t>ss 4(f), 32(2), 48(1), 58(1)</w:t>
            </w:r>
          </w:p>
        </w:tc>
      </w:tr>
      <w:tr w:rsidR="00834A58" w:rsidRPr="00E011C1" w14:paraId="76D811BB" w14:textId="77777777" w:rsidTr="008B4B16">
        <w:tc>
          <w:tcPr>
            <w:tcW w:w="3005" w:type="dxa"/>
          </w:tcPr>
          <w:p w14:paraId="3DD02671" w14:textId="77777777" w:rsidR="00834A58" w:rsidRDefault="002E59B2" w:rsidP="008B4B16">
            <w:pPr>
              <w:pStyle w:val="TableText"/>
            </w:pPr>
            <w:hyperlink r:id="rId88" w:history="1">
              <w:r w:rsidR="00834A58" w:rsidRPr="009D5BC9">
                <w:rPr>
                  <w:rStyle w:val="Hyperlink"/>
                  <w:rFonts w:cs="Arial"/>
                  <w:i/>
                </w:rPr>
                <w:t>EH v QPS; GS v QPS</w:t>
              </w:r>
            </w:hyperlink>
            <w:r w:rsidR="00834A58">
              <w:t xml:space="preserve"> [2020] QDC 205 (28 August 2020)  </w:t>
            </w:r>
            <w:proofErr w:type="spellStart"/>
            <w:r w:rsidR="00834A58">
              <w:t>Fantin</w:t>
            </w:r>
            <w:proofErr w:type="spellEnd"/>
            <w:r w:rsidR="00834A58">
              <w:t xml:space="preserve"> DCJ</w:t>
            </w:r>
          </w:p>
        </w:tc>
        <w:tc>
          <w:tcPr>
            <w:tcW w:w="3005" w:type="dxa"/>
          </w:tcPr>
          <w:p w14:paraId="755F99BC" w14:textId="77777777" w:rsidR="00834A58" w:rsidRDefault="00834A58" w:rsidP="008B4B16">
            <w:pPr>
              <w:pStyle w:val="TableText"/>
            </w:pPr>
            <w:r>
              <w:t>Appeal under s 222 Justices Act 1886</w:t>
            </w:r>
          </w:p>
        </w:tc>
        <w:tc>
          <w:tcPr>
            <w:tcW w:w="3006" w:type="dxa"/>
          </w:tcPr>
          <w:p w14:paraId="6F99B595" w14:textId="77777777" w:rsidR="00834A58" w:rsidRDefault="00834A58" w:rsidP="008B4B16">
            <w:pPr>
              <w:pStyle w:val="TableText"/>
            </w:pPr>
            <w:r>
              <w:t>[</w:t>
            </w:r>
            <w:r w:rsidRPr="00992998">
              <w:t>50] discussion of right of peaceful assembly and mention of HRA</w:t>
            </w:r>
          </w:p>
        </w:tc>
      </w:tr>
      <w:tr w:rsidR="00834A58" w:rsidRPr="00E011C1" w14:paraId="17DD447A" w14:textId="77777777" w:rsidTr="008B4B16">
        <w:tc>
          <w:tcPr>
            <w:tcW w:w="3005" w:type="dxa"/>
          </w:tcPr>
          <w:p w14:paraId="5A2D35D5" w14:textId="77777777" w:rsidR="00834A58" w:rsidRPr="00CC3BE3" w:rsidRDefault="002E59B2" w:rsidP="008B4B16">
            <w:pPr>
              <w:pStyle w:val="TableText"/>
            </w:pPr>
            <w:hyperlink r:id="rId89" w:history="1">
              <w:r w:rsidR="00834A58" w:rsidRPr="009D5BC9">
                <w:rPr>
                  <w:rStyle w:val="Hyperlink"/>
                  <w:rFonts w:cs="Arial"/>
                  <w:i/>
                </w:rPr>
                <w:t>R v Deacon</w:t>
              </w:r>
            </w:hyperlink>
            <w:r w:rsidR="00834A58">
              <w:rPr>
                <w:i/>
              </w:rPr>
              <w:t xml:space="preserve"> </w:t>
            </w:r>
            <w:r w:rsidR="00834A58">
              <w:t>[2021] QDCPR 8 (26 February 2021) Smith DCJA</w:t>
            </w:r>
          </w:p>
        </w:tc>
        <w:tc>
          <w:tcPr>
            <w:tcW w:w="3005" w:type="dxa"/>
          </w:tcPr>
          <w:p w14:paraId="137712CF" w14:textId="77777777" w:rsidR="00834A58" w:rsidRDefault="00834A58" w:rsidP="008B4B16">
            <w:pPr>
              <w:pStyle w:val="TableText"/>
            </w:pPr>
            <w:r>
              <w:t xml:space="preserve">Application pursuant to s 590AA of the </w:t>
            </w:r>
            <w:r w:rsidRPr="00CC3BE3">
              <w:rPr>
                <w:i/>
              </w:rPr>
              <w:t>Criminal Code 1899</w:t>
            </w:r>
          </w:p>
        </w:tc>
        <w:tc>
          <w:tcPr>
            <w:tcW w:w="3006" w:type="dxa"/>
          </w:tcPr>
          <w:p w14:paraId="5A194E4A" w14:textId="77777777" w:rsidR="00834A58" w:rsidRDefault="00834A58" w:rsidP="008B4B16">
            <w:pPr>
              <w:pStyle w:val="TableText"/>
            </w:pPr>
            <w:r>
              <w:t>ss 13, 19, 25, 26</w:t>
            </w:r>
          </w:p>
        </w:tc>
      </w:tr>
    </w:tbl>
    <w:p w14:paraId="775E2807" w14:textId="77777777" w:rsidR="00C341D9" w:rsidRDefault="00C341D9" w:rsidP="008B4B16">
      <w:pPr>
        <w:pStyle w:val="Heading1"/>
        <w:rPr>
          <w:color w:val="373D42"/>
        </w:rPr>
      </w:pPr>
      <w:bookmarkStart w:id="686" w:name="_Toc85526773"/>
      <w:bookmarkStart w:id="687" w:name="_Toc85787188"/>
    </w:p>
    <w:p w14:paraId="18BDBDEE" w14:textId="77777777" w:rsidR="00C341D9" w:rsidRDefault="00C341D9">
      <w:pPr>
        <w:keepLines w:val="0"/>
        <w:widowControl/>
        <w:spacing w:line="259" w:lineRule="auto"/>
        <w:ind w:right="0"/>
        <w:rPr>
          <w:rFonts w:eastAsia="Times New Roman" w:cs="Times New Roman"/>
          <w:bCs/>
          <w:color w:val="373D42"/>
          <w:kern w:val="36"/>
          <w:sz w:val="48"/>
          <w:szCs w:val="48"/>
          <w:lang w:eastAsia="en-AU"/>
        </w:rPr>
      </w:pPr>
      <w:r>
        <w:rPr>
          <w:color w:val="373D42"/>
        </w:rPr>
        <w:br w:type="page"/>
      </w:r>
    </w:p>
    <w:p w14:paraId="648E4068" w14:textId="72328FA6" w:rsidR="00834A58" w:rsidRDefault="00834A58" w:rsidP="008B4B16">
      <w:pPr>
        <w:pStyle w:val="Heading1"/>
        <w:rPr>
          <w:color w:val="373D42"/>
        </w:rPr>
      </w:pPr>
      <w:r w:rsidRPr="008B4B16">
        <w:rPr>
          <w:color w:val="373D42"/>
        </w:rPr>
        <w:lastRenderedPageBreak/>
        <w:t>Land Court of Queensland</w:t>
      </w:r>
      <w:bookmarkEnd w:id="686"/>
      <w:bookmarkEnd w:id="687"/>
    </w:p>
    <w:p w14:paraId="5812F86E" w14:textId="58F84916" w:rsidR="00C341D9" w:rsidRPr="008B4B16" w:rsidRDefault="00C341D9" w:rsidP="00C341D9">
      <w:pPr>
        <w:keepLines w:val="0"/>
        <w:widowControl/>
        <w:spacing w:after="200" w:line="288" w:lineRule="auto"/>
        <w:ind w:right="2268"/>
        <w:rPr>
          <w:color w:val="373D42"/>
        </w:rPr>
      </w:pPr>
      <w:r w:rsidRPr="00C341D9">
        <w:rPr>
          <w:rFonts w:eastAsiaTheme="minorEastAsia" w:cs="Arial"/>
          <w:b/>
          <w:bCs/>
          <w:i/>
          <w:iCs/>
          <w:color w:val="383D41"/>
          <w:sz w:val="20"/>
          <w:szCs w:val="18"/>
        </w:rPr>
        <w:t xml:space="preserve">Table </w:t>
      </w:r>
      <w:r>
        <w:rPr>
          <w:rFonts w:eastAsiaTheme="minorEastAsia" w:cs="Arial"/>
          <w:b/>
          <w:bCs/>
          <w:i/>
          <w:iCs/>
          <w:color w:val="383D41"/>
          <w:sz w:val="20"/>
          <w:szCs w:val="18"/>
        </w:rPr>
        <w:t>16</w:t>
      </w:r>
      <w:r w:rsidRPr="00C341D9">
        <w:rPr>
          <w:rFonts w:eastAsiaTheme="minorEastAsia" w:cs="Arial"/>
          <w:b/>
          <w:bCs/>
          <w:i/>
          <w:iCs/>
          <w:color w:val="383D41"/>
          <w:sz w:val="20"/>
          <w:szCs w:val="18"/>
        </w:rPr>
        <w:t xml:space="preserve">: Considerations or mentions of the Act in the </w:t>
      </w:r>
      <w:r>
        <w:rPr>
          <w:rFonts w:eastAsiaTheme="minorEastAsia" w:cs="Arial"/>
          <w:b/>
          <w:bCs/>
          <w:i/>
          <w:iCs/>
          <w:color w:val="383D41"/>
          <w:sz w:val="20"/>
          <w:szCs w:val="18"/>
        </w:rPr>
        <w:t xml:space="preserve">Land </w:t>
      </w:r>
      <w:r w:rsidRPr="00C341D9">
        <w:rPr>
          <w:rFonts w:eastAsiaTheme="minorEastAsia" w:cs="Arial"/>
          <w:b/>
          <w:bCs/>
          <w:i/>
          <w:iCs/>
          <w:color w:val="383D41"/>
          <w:sz w:val="20"/>
          <w:szCs w:val="18"/>
        </w:rPr>
        <w:t>Court of Queensland, 20</w:t>
      </w:r>
      <w:r>
        <w:rPr>
          <w:rFonts w:eastAsiaTheme="minorEastAsia" w:cs="Arial"/>
          <w:b/>
          <w:bCs/>
          <w:i/>
          <w:iCs/>
          <w:color w:val="383D41"/>
          <w:sz w:val="20"/>
          <w:szCs w:val="18"/>
        </w:rPr>
        <w:t>20-21</w:t>
      </w:r>
    </w:p>
    <w:tbl>
      <w:tblPr>
        <w:tblStyle w:val="TableGrid"/>
        <w:tblW w:w="0" w:type="auto"/>
        <w:tblBorders>
          <w:top w:val="single" w:sz="4" w:space="0" w:color="373D42"/>
          <w:left w:val="none" w:sz="0" w:space="0" w:color="auto"/>
          <w:bottom w:val="single" w:sz="4" w:space="0" w:color="373D42"/>
          <w:right w:val="none" w:sz="0" w:space="0" w:color="auto"/>
          <w:insideH w:val="single" w:sz="4" w:space="0" w:color="373D42"/>
          <w:insideV w:val="none" w:sz="0" w:space="0" w:color="auto"/>
        </w:tblBorders>
        <w:tblLook w:val="04A0" w:firstRow="1" w:lastRow="0" w:firstColumn="1" w:lastColumn="0" w:noHBand="0" w:noVBand="1"/>
      </w:tblPr>
      <w:tblGrid>
        <w:gridCol w:w="3005"/>
        <w:gridCol w:w="3005"/>
        <w:gridCol w:w="3006"/>
      </w:tblGrid>
      <w:tr w:rsidR="008B4B16" w:rsidRPr="008B4B16" w14:paraId="0793BBAF" w14:textId="77777777" w:rsidTr="008B4B16">
        <w:tc>
          <w:tcPr>
            <w:tcW w:w="3005" w:type="dxa"/>
          </w:tcPr>
          <w:p w14:paraId="4049BF21" w14:textId="77777777" w:rsidR="00834A58" w:rsidRPr="008B4B16" w:rsidRDefault="00834A58" w:rsidP="008B4B16">
            <w:pPr>
              <w:pStyle w:val="TableTextHeading"/>
              <w:rPr>
                <w:color w:val="373D42"/>
              </w:rPr>
            </w:pPr>
            <w:r w:rsidRPr="008B4B16">
              <w:rPr>
                <w:color w:val="373D42"/>
              </w:rPr>
              <w:t>Case</w:t>
            </w:r>
          </w:p>
        </w:tc>
        <w:tc>
          <w:tcPr>
            <w:tcW w:w="3005" w:type="dxa"/>
          </w:tcPr>
          <w:p w14:paraId="68363DA9" w14:textId="77777777" w:rsidR="00834A58" w:rsidRPr="008B4B16" w:rsidRDefault="00834A58" w:rsidP="008B4B16">
            <w:pPr>
              <w:pStyle w:val="TableTextHeading"/>
              <w:rPr>
                <w:color w:val="373D42"/>
              </w:rPr>
            </w:pPr>
            <w:r w:rsidRPr="008B4B16">
              <w:rPr>
                <w:color w:val="373D42"/>
              </w:rPr>
              <w:t>Cause of action</w:t>
            </w:r>
          </w:p>
        </w:tc>
        <w:tc>
          <w:tcPr>
            <w:tcW w:w="3006" w:type="dxa"/>
          </w:tcPr>
          <w:p w14:paraId="03E87316" w14:textId="77777777" w:rsidR="00834A58" w:rsidRPr="008B4B16" w:rsidRDefault="00834A58" w:rsidP="008B4B16">
            <w:pPr>
              <w:pStyle w:val="TableTextHeading"/>
              <w:rPr>
                <w:color w:val="373D42"/>
              </w:rPr>
            </w:pPr>
            <w:r w:rsidRPr="008B4B16">
              <w:rPr>
                <w:i/>
                <w:color w:val="373D42"/>
              </w:rPr>
              <w:t>Human Rights Act 2019</w:t>
            </w:r>
            <w:r w:rsidRPr="008B4B16">
              <w:rPr>
                <w:color w:val="373D42"/>
              </w:rPr>
              <w:t xml:space="preserve"> sections</w:t>
            </w:r>
          </w:p>
        </w:tc>
      </w:tr>
      <w:tr w:rsidR="00834A58" w:rsidRPr="00E011C1" w14:paraId="555A7988" w14:textId="77777777" w:rsidTr="008B4B16">
        <w:tc>
          <w:tcPr>
            <w:tcW w:w="3005" w:type="dxa"/>
          </w:tcPr>
          <w:p w14:paraId="4993CDE3" w14:textId="77777777" w:rsidR="00834A58" w:rsidRPr="006A3391" w:rsidRDefault="002E59B2" w:rsidP="008B4B16">
            <w:pPr>
              <w:pStyle w:val="TableText"/>
            </w:pPr>
            <w:hyperlink r:id="rId90" w:history="1">
              <w:r w:rsidR="00834A58" w:rsidRPr="00540AF1">
                <w:rPr>
                  <w:rStyle w:val="Hyperlink"/>
                  <w:rFonts w:cs="Arial"/>
                  <w:i/>
                </w:rPr>
                <w:t>Waratah Coal Pty Ltd v Youth Verdict &amp; Ors</w:t>
              </w:r>
            </w:hyperlink>
            <w:r w:rsidR="00834A58" w:rsidRPr="006A3391">
              <w:t xml:space="preserve"> [2020] QLC 33 (4 Sept 2020)</w:t>
            </w:r>
            <w:r w:rsidR="00834A58">
              <w:t xml:space="preserve"> </w:t>
            </w:r>
            <w:proofErr w:type="spellStart"/>
            <w:r w:rsidR="00834A58">
              <w:t>Kingham</w:t>
            </w:r>
            <w:proofErr w:type="spellEnd"/>
            <w:r w:rsidR="00834A58">
              <w:t>, P</w:t>
            </w:r>
          </w:p>
        </w:tc>
        <w:tc>
          <w:tcPr>
            <w:tcW w:w="3005" w:type="dxa"/>
          </w:tcPr>
          <w:p w14:paraId="464E68D6" w14:textId="77777777" w:rsidR="00834A58" w:rsidRPr="00D66F2C" w:rsidRDefault="00834A58" w:rsidP="008B4B16">
            <w:pPr>
              <w:pStyle w:val="TableText"/>
            </w:pPr>
            <w:r w:rsidRPr="00D66F2C">
              <w:rPr>
                <w:shd w:val="clear" w:color="auto" w:fill="FFFFFF"/>
              </w:rPr>
              <w:t>Application to strike out objections under the </w:t>
            </w:r>
            <w:r w:rsidRPr="00D66F2C">
              <w:rPr>
                <w:rStyle w:val="Emphasis"/>
                <w:rFonts w:cs="Arial"/>
                <w:shd w:val="clear" w:color="auto" w:fill="FFFFFF"/>
              </w:rPr>
              <w:t>Mineral Resources Act 1989</w:t>
            </w:r>
          </w:p>
        </w:tc>
        <w:tc>
          <w:tcPr>
            <w:tcW w:w="3006" w:type="dxa"/>
          </w:tcPr>
          <w:p w14:paraId="4918BEBF" w14:textId="77777777" w:rsidR="00834A58" w:rsidRPr="006A3391" w:rsidRDefault="00834A58" w:rsidP="008B4B16">
            <w:pPr>
              <w:pStyle w:val="TableText"/>
            </w:pPr>
            <w:r w:rsidRPr="006A3391">
              <w:t>ss 3(b), 3(c), 4(b), 9(1), 10(1)(a), 15, 16,24,25(a), 26(2), 28, 58(6), 59</w:t>
            </w:r>
          </w:p>
        </w:tc>
      </w:tr>
      <w:tr w:rsidR="00834A58" w:rsidRPr="00E011C1" w14:paraId="34E69302" w14:textId="77777777" w:rsidTr="008B4B16">
        <w:tc>
          <w:tcPr>
            <w:tcW w:w="3005" w:type="dxa"/>
          </w:tcPr>
          <w:p w14:paraId="0AF52F93" w14:textId="77777777" w:rsidR="00834A58" w:rsidRPr="00A129BB" w:rsidRDefault="002E59B2" w:rsidP="008B4B16">
            <w:pPr>
              <w:pStyle w:val="TableText"/>
            </w:pPr>
            <w:hyperlink r:id="rId91" w:history="1">
              <w:r w:rsidR="00834A58" w:rsidRPr="009D5BC9">
                <w:rPr>
                  <w:rStyle w:val="Hyperlink"/>
                  <w:i/>
                </w:rPr>
                <w:t xml:space="preserve">Waratah Coal Pty Ltd v Youth Verdict </w:t>
              </w:r>
              <w:proofErr w:type="spellStart"/>
              <w:r w:rsidR="00834A58" w:rsidRPr="009D5BC9">
                <w:rPr>
                  <w:rStyle w:val="Hyperlink"/>
                  <w:i/>
                </w:rPr>
                <w:t>Lts</w:t>
              </w:r>
              <w:proofErr w:type="spellEnd"/>
              <w:r w:rsidR="00834A58" w:rsidRPr="009D5BC9">
                <w:rPr>
                  <w:rStyle w:val="Hyperlink"/>
                  <w:i/>
                </w:rPr>
                <w:t xml:space="preserve"> &amp; Ors (No 2)</w:t>
              </w:r>
            </w:hyperlink>
            <w:r w:rsidR="00834A58">
              <w:rPr>
                <w:i/>
              </w:rPr>
              <w:t xml:space="preserve"> </w:t>
            </w:r>
            <w:r w:rsidR="00834A58">
              <w:t>[2021] QLC 4</w:t>
            </w:r>
          </w:p>
        </w:tc>
        <w:tc>
          <w:tcPr>
            <w:tcW w:w="3005" w:type="dxa"/>
          </w:tcPr>
          <w:p w14:paraId="7B2ED3B8" w14:textId="77777777" w:rsidR="00834A58" w:rsidRPr="00D66F2C" w:rsidRDefault="00834A58" w:rsidP="008B4B16">
            <w:pPr>
              <w:pStyle w:val="TableText"/>
              <w:rPr>
                <w:shd w:val="clear" w:color="auto" w:fill="FFFFFF"/>
              </w:rPr>
            </w:pPr>
            <w:r w:rsidRPr="00A129BB">
              <w:rPr>
                <w:shd w:val="clear" w:color="auto" w:fill="FFFFFF"/>
              </w:rPr>
              <w:t>Application for mining lease (application for further and better particulars of objections to a mining lease and environmental authority)</w:t>
            </w:r>
          </w:p>
        </w:tc>
        <w:tc>
          <w:tcPr>
            <w:tcW w:w="3006" w:type="dxa"/>
          </w:tcPr>
          <w:p w14:paraId="4E7D3852" w14:textId="77777777" w:rsidR="00834A58" w:rsidRDefault="00834A58" w:rsidP="008B4B16">
            <w:pPr>
              <w:pStyle w:val="TableText"/>
            </w:pPr>
            <w:r>
              <w:t>ss 8, 13, 58</w:t>
            </w:r>
          </w:p>
        </w:tc>
      </w:tr>
      <w:tr w:rsidR="00834A58" w:rsidRPr="00E011C1" w14:paraId="7CE37F43" w14:textId="77777777" w:rsidTr="008B4B16">
        <w:tc>
          <w:tcPr>
            <w:tcW w:w="3005" w:type="dxa"/>
          </w:tcPr>
          <w:p w14:paraId="0CA278D0" w14:textId="77777777" w:rsidR="00834A58" w:rsidRDefault="002E59B2" w:rsidP="008B4B16">
            <w:pPr>
              <w:pStyle w:val="TableText"/>
            </w:pPr>
            <w:hyperlink r:id="rId92" w:history="1">
              <w:r w:rsidR="00834A58" w:rsidRPr="009D5BC9">
                <w:rPr>
                  <w:rStyle w:val="Hyperlink"/>
                  <w:i/>
                </w:rPr>
                <w:t xml:space="preserve">Cement Australia (Exploration) Pty Ltd &amp; Anor v East End Mine Action Group </w:t>
              </w:r>
              <w:proofErr w:type="spellStart"/>
              <w:r w:rsidR="00834A58" w:rsidRPr="009D5BC9">
                <w:rPr>
                  <w:rStyle w:val="Hyperlink"/>
                  <w:i/>
                </w:rPr>
                <w:t>Inc</w:t>
              </w:r>
              <w:proofErr w:type="spellEnd"/>
              <w:r w:rsidR="00834A58" w:rsidRPr="009D5BC9">
                <w:rPr>
                  <w:rStyle w:val="Hyperlink"/>
                  <w:i/>
                </w:rPr>
                <w:t xml:space="preserve"> &amp; Anor (No 4)</w:t>
              </w:r>
            </w:hyperlink>
            <w:r w:rsidR="00834A58">
              <w:t xml:space="preserve"> [2021] QLC 22 (30 June 2021) McNamara, M</w:t>
            </w:r>
          </w:p>
        </w:tc>
        <w:tc>
          <w:tcPr>
            <w:tcW w:w="3005" w:type="dxa"/>
          </w:tcPr>
          <w:p w14:paraId="5001892C" w14:textId="77777777" w:rsidR="00834A58" w:rsidRPr="00D66F2C" w:rsidRDefault="00834A58" w:rsidP="008B4B16">
            <w:pPr>
              <w:pStyle w:val="TableText"/>
              <w:rPr>
                <w:shd w:val="clear" w:color="auto" w:fill="FFFFFF"/>
              </w:rPr>
            </w:pPr>
            <w:r w:rsidRPr="00D66F2C">
              <w:rPr>
                <w:shd w:val="clear" w:color="auto" w:fill="FFFFFF"/>
              </w:rPr>
              <w:t>Objections to application for mining lease and amended environmental authority</w:t>
            </w:r>
          </w:p>
        </w:tc>
        <w:tc>
          <w:tcPr>
            <w:tcW w:w="3006" w:type="dxa"/>
          </w:tcPr>
          <w:p w14:paraId="65F82D01" w14:textId="77777777" w:rsidR="00834A58" w:rsidRPr="006A3391" w:rsidRDefault="00834A58" w:rsidP="008B4B16">
            <w:pPr>
              <w:pStyle w:val="TableText"/>
            </w:pPr>
            <w:r>
              <w:t>ss 2, 8, 13, 24, 58, 59</w:t>
            </w:r>
          </w:p>
        </w:tc>
      </w:tr>
    </w:tbl>
    <w:p w14:paraId="143621D4" w14:textId="259C43EF" w:rsidR="00005981" w:rsidRDefault="00005981" w:rsidP="008B4B16">
      <w:pPr>
        <w:pStyle w:val="Heading1"/>
        <w:rPr>
          <w:color w:val="373D42"/>
        </w:rPr>
      </w:pPr>
      <w:bookmarkStart w:id="688" w:name="_Toc85526774"/>
      <w:bookmarkStart w:id="689" w:name="_Toc85787189"/>
    </w:p>
    <w:p w14:paraId="659F805C" w14:textId="4AFAD7D0" w:rsidR="00834A58" w:rsidRDefault="00834A58" w:rsidP="008B4B16">
      <w:pPr>
        <w:pStyle w:val="Heading1"/>
        <w:rPr>
          <w:color w:val="373D42"/>
        </w:rPr>
      </w:pPr>
      <w:r w:rsidRPr="008B4B16">
        <w:rPr>
          <w:color w:val="373D42"/>
        </w:rPr>
        <w:t>Queensland Civil and Administrative Tribunal appeals</w:t>
      </w:r>
      <w:bookmarkEnd w:id="688"/>
      <w:bookmarkEnd w:id="689"/>
    </w:p>
    <w:p w14:paraId="7A3277D0" w14:textId="355071AC" w:rsidR="00893723" w:rsidRPr="00893723" w:rsidRDefault="00893723" w:rsidP="00893723">
      <w:pPr>
        <w:keepLines w:val="0"/>
        <w:widowControl/>
        <w:spacing w:after="200" w:line="288" w:lineRule="auto"/>
        <w:ind w:right="2268"/>
        <w:rPr>
          <w:rFonts w:eastAsiaTheme="minorEastAsia" w:cs="Arial"/>
          <w:b/>
          <w:bCs/>
          <w:i/>
          <w:iCs/>
          <w:color w:val="383D41"/>
          <w:sz w:val="20"/>
          <w:szCs w:val="18"/>
        </w:rPr>
      </w:pPr>
      <w:r w:rsidRPr="00893723">
        <w:rPr>
          <w:rFonts w:eastAsiaTheme="minorEastAsia" w:cs="Arial"/>
          <w:b/>
          <w:bCs/>
          <w:i/>
          <w:iCs/>
          <w:color w:val="383D41"/>
          <w:sz w:val="20"/>
          <w:szCs w:val="18"/>
        </w:rPr>
        <w:t>Table 1</w:t>
      </w:r>
      <w:r>
        <w:rPr>
          <w:rFonts w:eastAsiaTheme="minorEastAsia" w:cs="Arial"/>
          <w:b/>
          <w:bCs/>
          <w:i/>
          <w:iCs/>
          <w:color w:val="383D41"/>
          <w:sz w:val="20"/>
          <w:szCs w:val="18"/>
        </w:rPr>
        <w:t>7</w:t>
      </w:r>
      <w:r w:rsidRPr="00893723">
        <w:rPr>
          <w:rFonts w:eastAsiaTheme="minorEastAsia" w:cs="Arial"/>
          <w:b/>
          <w:bCs/>
          <w:i/>
          <w:iCs/>
          <w:color w:val="383D41"/>
          <w:sz w:val="20"/>
          <w:szCs w:val="18"/>
        </w:rPr>
        <w:t>: Considerations or mentions of the Act in Queensland Civil and Administrative Tribunal appeals, 2020</w:t>
      </w:r>
      <w:r>
        <w:rPr>
          <w:rFonts w:eastAsiaTheme="minorEastAsia" w:cs="Arial"/>
          <w:b/>
          <w:bCs/>
          <w:i/>
          <w:iCs/>
          <w:color w:val="383D41"/>
          <w:sz w:val="20"/>
          <w:szCs w:val="18"/>
        </w:rPr>
        <w:t>-21</w:t>
      </w:r>
    </w:p>
    <w:tbl>
      <w:tblPr>
        <w:tblStyle w:val="TableGrid"/>
        <w:tblW w:w="0" w:type="auto"/>
        <w:tblBorders>
          <w:top w:val="single" w:sz="4" w:space="0" w:color="373D42"/>
          <w:left w:val="none" w:sz="0" w:space="0" w:color="auto"/>
          <w:bottom w:val="single" w:sz="4" w:space="0" w:color="373D42"/>
          <w:right w:val="none" w:sz="0" w:space="0" w:color="auto"/>
          <w:insideH w:val="single" w:sz="4" w:space="0" w:color="373D42"/>
          <w:insideV w:val="none" w:sz="0" w:space="0" w:color="auto"/>
        </w:tblBorders>
        <w:tblLook w:val="04A0" w:firstRow="1" w:lastRow="0" w:firstColumn="1" w:lastColumn="0" w:noHBand="0" w:noVBand="1"/>
      </w:tblPr>
      <w:tblGrid>
        <w:gridCol w:w="3005"/>
        <w:gridCol w:w="3005"/>
        <w:gridCol w:w="3006"/>
      </w:tblGrid>
      <w:tr w:rsidR="008B4B16" w:rsidRPr="008B4B16" w14:paraId="3305357F" w14:textId="77777777" w:rsidTr="008B4B16">
        <w:tc>
          <w:tcPr>
            <w:tcW w:w="3005" w:type="dxa"/>
          </w:tcPr>
          <w:p w14:paraId="330C4162" w14:textId="77777777" w:rsidR="00834A58" w:rsidRPr="008B4B16" w:rsidRDefault="00834A58" w:rsidP="008B4B16">
            <w:pPr>
              <w:pStyle w:val="TableTextHeading"/>
              <w:rPr>
                <w:color w:val="373D42"/>
              </w:rPr>
            </w:pPr>
            <w:r w:rsidRPr="008B4B16">
              <w:rPr>
                <w:color w:val="373D42"/>
              </w:rPr>
              <w:t>Case</w:t>
            </w:r>
          </w:p>
        </w:tc>
        <w:tc>
          <w:tcPr>
            <w:tcW w:w="3005" w:type="dxa"/>
          </w:tcPr>
          <w:p w14:paraId="78351F05" w14:textId="77777777" w:rsidR="00834A58" w:rsidRPr="008B4B16" w:rsidRDefault="00834A58" w:rsidP="008B4B16">
            <w:pPr>
              <w:pStyle w:val="TableTextHeading"/>
              <w:rPr>
                <w:color w:val="373D42"/>
              </w:rPr>
            </w:pPr>
            <w:r w:rsidRPr="008B4B16">
              <w:rPr>
                <w:color w:val="373D42"/>
              </w:rPr>
              <w:t>Cause of action</w:t>
            </w:r>
          </w:p>
        </w:tc>
        <w:tc>
          <w:tcPr>
            <w:tcW w:w="3006" w:type="dxa"/>
          </w:tcPr>
          <w:p w14:paraId="28F3FB87" w14:textId="77777777" w:rsidR="00834A58" w:rsidRPr="008B4B16" w:rsidRDefault="00834A58" w:rsidP="008B4B16">
            <w:pPr>
              <w:pStyle w:val="TableTextHeading"/>
              <w:rPr>
                <w:color w:val="373D42"/>
              </w:rPr>
            </w:pPr>
            <w:r w:rsidRPr="008B4B16">
              <w:rPr>
                <w:i/>
                <w:color w:val="373D42"/>
              </w:rPr>
              <w:t>Human Rights Act 2019</w:t>
            </w:r>
            <w:r w:rsidRPr="008B4B16">
              <w:rPr>
                <w:color w:val="373D42"/>
              </w:rPr>
              <w:t xml:space="preserve"> sections</w:t>
            </w:r>
          </w:p>
        </w:tc>
      </w:tr>
      <w:tr w:rsidR="00834A58" w:rsidRPr="00E011C1" w14:paraId="0A8F215D" w14:textId="77777777" w:rsidTr="008B4B16">
        <w:tc>
          <w:tcPr>
            <w:tcW w:w="3005" w:type="dxa"/>
          </w:tcPr>
          <w:p w14:paraId="69E21F9A" w14:textId="77777777" w:rsidR="00834A58" w:rsidRPr="00C77DE3" w:rsidRDefault="002E59B2" w:rsidP="008B4B16">
            <w:pPr>
              <w:pStyle w:val="TableText"/>
            </w:pPr>
            <w:hyperlink r:id="rId93" w:history="1">
              <w:r w:rsidR="00834A58" w:rsidRPr="00CF4AF6">
                <w:rPr>
                  <w:rStyle w:val="Hyperlink"/>
                  <w:i/>
                </w:rPr>
                <w:t>DAMA v Public Guardian</w:t>
              </w:r>
            </w:hyperlink>
            <w:r w:rsidR="00834A58">
              <w:rPr>
                <w:i/>
              </w:rPr>
              <w:t xml:space="preserve"> </w:t>
            </w:r>
            <w:r w:rsidR="00834A58" w:rsidRPr="00C77DE3">
              <w:t>[2020]</w:t>
            </w:r>
            <w:r w:rsidR="00834A58">
              <w:rPr>
                <w:i/>
              </w:rPr>
              <w:t xml:space="preserve"> </w:t>
            </w:r>
            <w:r w:rsidR="00834A58">
              <w:t>QCATA 161 (2 December 2020) Howard Senior Member, Traves M</w:t>
            </w:r>
          </w:p>
        </w:tc>
        <w:tc>
          <w:tcPr>
            <w:tcW w:w="3005" w:type="dxa"/>
          </w:tcPr>
          <w:p w14:paraId="22E34850" w14:textId="77777777" w:rsidR="00834A58" w:rsidRPr="00C77DE3" w:rsidRDefault="00834A58" w:rsidP="008B4B16">
            <w:pPr>
              <w:pStyle w:val="TableText"/>
              <w:rPr>
                <w:i/>
              </w:rPr>
            </w:pPr>
            <w:r w:rsidRPr="00C77DE3">
              <w:rPr>
                <w:rStyle w:val="Emphasis"/>
                <w:rFonts w:ascii="Helvetica" w:hAnsi="Helvetica"/>
                <w:shd w:val="clear" w:color="auto" w:fill="FFFFFF"/>
              </w:rPr>
              <w:t>Application for a stay of the operation of orders made by the Tribunal in relation to guardianship proceedings</w:t>
            </w:r>
            <w:r w:rsidRPr="00C77DE3">
              <w:rPr>
                <w:i/>
              </w:rPr>
              <w:t xml:space="preserve"> </w:t>
            </w:r>
          </w:p>
        </w:tc>
        <w:tc>
          <w:tcPr>
            <w:tcW w:w="3006" w:type="dxa"/>
          </w:tcPr>
          <w:p w14:paraId="0459F816" w14:textId="77777777" w:rsidR="00834A58" w:rsidRDefault="00834A58" w:rsidP="008B4B16">
            <w:pPr>
              <w:pStyle w:val="TableText"/>
            </w:pPr>
            <w:r>
              <w:t>ss 13, 25</w:t>
            </w:r>
          </w:p>
        </w:tc>
      </w:tr>
    </w:tbl>
    <w:p w14:paraId="008FCBB7" w14:textId="5FFE2437" w:rsidR="00834A58" w:rsidRDefault="00834A58" w:rsidP="008B4B16">
      <w:pPr>
        <w:pStyle w:val="Heading1"/>
        <w:rPr>
          <w:color w:val="373D42"/>
        </w:rPr>
      </w:pPr>
      <w:bookmarkStart w:id="690" w:name="_Toc85526775"/>
      <w:bookmarkStart w:id="691" w:name="_Toc85787190"/>
      <w:r w:rsidRPr="008B4B16">
        <w:rPr>
          <w:color w:val="373D42"/>
        </w:rPr>
        <w:lastRenderedPageBreak/>
        <w:t>Queensland Civil and Administrative Tribunal</w:t>
      </w:r>
      <w:bookmarkEnd w:id="690"/>
      <w:bookmarkEnd w:id="691"/>
      <w:r w:rsidRPr="008B4B16">
        <w:rPr>
          <w:color w:val="373D42"/>
        </w:rPr>
        <w:t xml:space="preserve"> </w:t>
      </w:r>
    </w:p>
    <w:p w14:paraId="683BF237" w14:textId="7CC9819B" w:rsidR="00F45292" w:rsidRPr="00F45292" w:rsidRDefault="00F45292" w:rsidP="00F45292">
      <w:pPr>
        <w:keepLines w:val="0"/>
        <w:widowControl/>
        <w:spacing w:after="200" w:line="288" w:lineRule="auto"/>
        <w:ind w:right="2268"/>
        <w:rPr>
          <w:rFonts w:eastAsiaTheme="minorEastAsia" w:cs="Arial"/>
          <w:b/>
          <w:bCs/>
          <w:i/>
          <w:iCs/>
          <w:color w:val="383D41"/>
          <w:sz w:val="20"/>
          <w:szCs w:val="18"/>
        </w:rPr>
      </w:pPr>
      <w:r w:rsidRPr="00F45292">
        <w:rPr>
          <w:rFonts w:eastAsiaTheme="minorEastAsia" w:cs="Arial"/>
          <w:b/>
          <w:bCs/>
          <w:i/>
          <w:iCs/>
          <w:color w:val="383D41"/>
          <w:sz w:val="20"/>
          <w:szCs w:val="18"/>
        </w:rPr>
        <w:t>Table 1</w:t>
      </w:r>
      <w:r>
        <w:rPr>
          <w:rFonts w:eastAsiaTheme="minorEastAsia" w:cs="Arial"/>
          <w:b/>
          <w:bCs/>
          <w:i/>
          <w:iCs/>
          <w:color w:val="383D41"/>
          <w:sz w:val="20"/>
          <w:szCs w:val="18"/>
        </w:rPr>
        <w:t>8</w:t>
      </w:r>
      <w:r w:rsidRPr="00F45292">
        <w:rPr>
          <w:rFonts w:eastAsiaTheme="minorEastAsia" w:cs="Arial"/>
          <w:b/>
          <w:bCs/>
          <w:i/>
          <w:iCs/>
          <w:color w:val="383D41"/>
          <w:sz w:val="20"/>
          <w:szCs w:val="18"/>
        </w:rPr>
        <w:t>: Considerations or mentions of the Act in the Queensland Civil and Administrative Tribunal, 2020</w:t>
      </w:r>
      <w:r>
        <w:rPr>
          <w:rFonts w:eastAsiaTheme="minorEastAsia" w:cs="Arial"/>
          <w:b/>
          <w:bCs/>
          <w:i/>
          <w:iCs/>
          <w:color w:val="383D41"/>
          <w:sz w:val="20"/>
          <w:szCs w:val="18"/>
        </w:rPr>
        <w:t>-21</w:t>
      </w:r>
    </w:p>
    <w:tbl>
      <w:tblPr>
        <w:tblStyle w:val="TableGrid"/>
        <w:tblW w:w="0" w:type="auto"/>
        <w:tblBorders>
          <w:top w:val="single" w:sz="4" w:space="0" w:color="373D42"/>
          <w:left w:val="none" w:sz="0" w:space="0" w:color="auto"/>
          <w:bottom w:val="single" w:sz="4" w:space="0" w:color="373D42"/>
          <w:right w:val="none" w:sz="0" w:space="0" w:color="auto"/>
          <w:insideH w:val="single" w:sz="4" w:space="0" w:color="373D42"/>
          <w:insideV w:val="none" w:sz="0" w:space="0" w:color="auto"/>
        </w:tblBorders>
        <w:tblLook w:val="04A0" w:firstRow="1" w:lastRow="0" w:firstColumn="1" w:lastColumn="0" w:noHBand="0" w:noVBand="1"/>
      </w:tblPr>
      <w:tblGrid>
        <w:gridCol w:w="3005"/>
        <w:gridCol w:w="3005"/>
        <w:gridCol w:w="3006"/>
      </w:tblGrid>
      <w:tr w:rsidR="008B4B16" w:rsidRPr="008B4B16" w14:paraId="09B9885D" w14:textId="77777777" w:rsidTr="008B4B16">
        <w:tc>
          <w:tcPr>
            <w:tcW w:w="3005" w:type="dxa"/>
          </w:tcPr>
          <w:p w14:paraId="2786CC60" w14:textId="77777777" w:rsidR="00834A58" w:rsidRPr="008B4B16" w:rsidRDefault="00834A58" w:rsidP="008B4B16">
            <w:pPr>
              <w:pStyle w:val="TableTextHeading"/>
              <w:rPr>
                <w:color w:val="373D42"/>
              </w:rPr>
            </w:pPr>
            <w:r w:rsidRPr="008B4B16">
              <w:rPr>
                <w:color w:val="373D42"/>
              </w:rPr>
              <w:t>Case</w:t>
            </w:r>
          </w:p>
        </w:tc>
        <w:tc>
          <w:tcPr>
            <w:tcW w:w="3005" w:type="dxa"/>
          </w:tcPr>
          <w:p w14:paraId="795B4EBF" w14:textId="77777777" w:rsidR="00834A58" w:rsidRPr="008B4B16" w:rsidRDefault="00834A58" w:rsidP="008B4B16">
            <w:pPr>
              <w:pStyle w:val="TableTextHeading"/>
              <w:rPr>
                <w:color w:val="373D42"/>
              </w:rPr>
            </w:pPr>
            <w:r w:rsidRPr="008B4B16">
              <w:rPr>
                <w:color w:val="373D42"/>
              </w:rPr>
              <w:t>Cause of action</w:t>
            </w:r>
          </w:p>
        </w:tc>
        <w:tc>
          <w:tcPr>
            <w:tcW w:w="3006" w:type="dxa"/>
          </w:tcPr>
          <w:p w14:paraId="3EE8F2DB" w14:textId="77777777" w:rsidR="00834A58" w:rsidRPr="008B4B16" w:rsidRDefault="00834A58" w:rsidP="008B4B16">
            <w:pPr>
              <w:pStyle w:val="TableTextHeading"/>
              <w:rPr>
                <w:color w:val="373D42"/>
              </w:rPr>
            </w:pPr>
            <w:r w:rsidRPr="008B4B16">
              <w:rPr>
                <w:i/>
                <w:color w:val="373D42"/>
              </w:rPr>
              <w:t>Human Rights Act 2019</w:t>
            </w:r>
            <w:r w:rsidRPr="008B4B16">
              <w:rPr>
                <w:color w:val="373D42"/>
              </w:rPr>
              <w:t xml:space="preserve"> sections</w:t>
            </w:r>
          </w:p>
        </w:tc>
      </w:tr>
      <w:tr w:rsidR="00834A58" w:rsidRPr="00E011C1" w14:paraId="2A60EEEB" w14:textId="77777777" w:rsidTr="008B4B16">
        <w:tc>
          <w:tcPr>
            <w:tcW w:w="3005" w:type="dxa"/>
          </w:tcPr>
          <w:p w14:paraId="2DB1123B" w14:textId="77777777" w:rsidR="00834A58" w:rsidRPr="008A1621" w:rsidRDefault="002E59B2" w:rsidP="008B4B16">
            <w:pPr>
              <w:pStyle w:val="TableText"/>
              <w:rPr>
                <w:shd w:val="clear" w:color="auto" w:fill="FFFFFF"/>
              </w:rPr>
            </w:pPr>
            <w:hyperlink r:id="rId94" w:history="1">
              <w:r w:rsidR="00834A58" w:rsidRPr="00DE2A78">
                <w:rPr>
                  <w:rStyle w:val="Hyperlink"/>
                  <w:rFonts w:cs="Arial"/>
                  <w:i/>
                  <w:shd w:val="clear" w:color="auto" w:fill="FFFFFF"/>
                </w:rPr>
                <w:t>DLD</w:t>
              </w:r>
            </w:hyperlink>
            <w:r w:rsidR="00834A58" w:rsidRPr="00DE2A78">
              <w:rPr>
                <w:shd w:val="clear" w:color="auto" w:fill="FFFFFF"/>
              </w:rPr>
              <w:t xml:space="preserve"> [2020] QCAT</w:t>
            </w:r>
            <w:r w:rsidR="00834A58" w:rsidRPr="008A1621">
              <w:rPr>
                <w:shd w:val="clear" w:color="auto" w:fill="FFFFFF"/>
              </w:rPr>
              <w:t xml:space="preserve"> 237 (2 July 2020)</w:t>
            </w:r>
            <w:r w:rsidR="00834A58">
              <w:rPr>
                <w:shd w:val="clear" w:color="auto" w:fill="FFFFFF"/>
              </w:rPr>
              <w:t xml:space="preserve"> Allen M</w:t>
            </w:r>
          </w:p>
        </w:tc>
        <w:tc>
          <w:tcPr>
            <w:tcW w:w="3005" w:type="dxa"/>
          </w:tcPr>
          <w:p w14:paraId="7D152EFB" w14:textId="77777777" w:rsidR="00834A58" w:rsidRPr="00A25221" w:rsidRDefault="00834A58" w:rsidP="008B4B16">
            <w:pPr>
              <w:pStyle w:val="TableText"/>
            </w:pPr>
            <w:r w:rsidRPr="00A25221">
              <w:rPr>
                <w:shd w:val="clear" w:color="auto" w:fill="FFFFFF"/>
              </w:rPr>
              <w:t>Application for the appointment of a guardian and administrator</w:t>
            </w:r>
          </w:p>
        </w:tc>
        <w:tc>
          <w:tcPr>
            <w:tcW w:w="3006" w:type="dxa"/>
          </w:tcPr>
          <w:p w14:paraId="30B85350" w14:textId="77777777" w:rsidR="00834A58" w:rsidRPr="008A1621" w:rsidRDefault="00834A58" w:rsidP="008B4B16">
            <w:pPr>
              <w:pStyle w:val="TableText"/>
            </w:pPr>
            <w:r w:rsidRPr="008A1621">
              <w:t xml:space="preserve">ss </w:t>
            </w:r>
            <w:r>
              <w:t>9, 13,</w:t>
            </w:r>
            <w:r w:rsidRPr="008A1621">
              <w:t>15, 19, 24, 25, 26, 29, 30, 31, 37</w:t>
            </w:r>
          </w:p>
        </w:tc>
      </w:tr>
      <w:tr w:rsidR="00834A58" w:rsidRPr="00E011C1" w14:paraId="6A63477D" w14:textId="77777777" w:rsidTr="008B4B16">
        <w:tc>
          <w:tcPr>
            <w:tcW w:w="3005" w:type="dxa"/>
          </w:tcPr>
          <w:p w14:paraId="63BA7274" w14:textId="77777777" w:rsidR="00834A58" w:rsidRPr="006222D2" w:rsidRDefault="002E59B2" w:rsidP="008B4B16">
            <w:pPr>
              <w:pStyle w:val="TableText"/>
              <w:rPr>
                <w:shd w:val="clear" w:color="auto" w:fill="FFFFFF"/>
              </w:rPr>
            </w:pPr>
            <w:hyperlink r:id="rId95" w:history="1">
              <w:r w:rsidR="00834A58" w:rsidRPr="00DE2A78">
                <w:rPr>
                  <w:rStyle w:val="Hyperlink"/>
                  <w:rFonts w:cs="Arial"/>
                  <w:i/>
                  <w:shd w:val="clear" w:color="auto" w:fill="FFFFFF"/>
                </w:rPr>
                <w:t>MJP</w:t>
              </w:r>
            </w:hyperlink>
            <w:r w:rsidR="00834A58" w:rsidRPr="006222D2">
              <w:rPr>
                <w:shd w:val="clear" w:color="auto" w:fill="FFFFFF"/>
              </w:rPr>
              <w:t xml:space="preserve"> [2020] QCAT 253 (9 July 2020)</w:t>
            </w:r>
            <w:r w:rsidR="00834A58">
              <w:rPr>
                <w:shd w:val="clear" w:color="auto" w:fill="FFFFFF"/>
              </w:rPr>
              <w:t xml:space="preserve"> Endicott M</w:t>
            </w:r>
          </w:p>
        </w:tc>
        <w:tc>
          <w:tcPr>
            <w:tcW w:w="3005" w:type="dxa"/>
          </w:tcPr>
          <w:p w14:paraId="02C5B81E" w14:textId="77777777" w:rsidR="00834A58" w:rsidRPr="00A25221" w:rsidRDefault="00834A58" w:rsidP="008B4B16">
            <w:pPr>
              <w:pStyle w:val="TableText"/>
            </w:pPr>
            <w:r w:rsidRPr="00A25221">
              <w:rPr>
                <w:shd w:val="clear" w:color="auto" w:fill="FFFFFF"/>
              </w:rPr>
              <w:t>Application to review the appointment of a decision-maker under the </w:t>
            </w:r>
            <w:r w:rsidRPr="00A25221">
              <w:rPr>
                <w:rStyle w:val="Emphasis"/>
                <w:rFonts w:cs="Arial"/>
                <w:shd w:val="clear" w:color="auto" w:fill="FFFFFF"/>
              </w:rPr>
              <w:t>Guardianship and Administration Act</w:t>
            </w:r>
          </w:p>
        </w:tc>
        <w:tc>
          <w:tcPr>
            <w:tcW w:w="3006" w:type="dxa"/>
          </w:tcPr>
          <w:p w14:paraId="7635008E" w14:textId="77777777" w:rsidR="00834A58" w:rsidRPr="006222D2" w:rsidRDefault="00834A58" w:rsidP="008B4B16">
            <w:pPr>
              <w:pStyle w:val="TableText"/>
            </w:pPr>
            <w:r w:rsidRPr="006222D2">
              <w:t>s 48, 17, 19, 24, 25</w:t>
            </w:r>
          </w:p>
        </w:tc>
      </w:tr>
      <w:tr w:rsidR="00834A58" w:rsidRPr="00E011C1" w14:paraId="15850177" w14:textId="77777777" w:rsidTr="008B4B16">
        <w:tc>
          <w:tcPr>
            <w:tcW w:w="3005" w:type="dxa"/>
          </w:tcPr>
          <w:p w14:paraId="7DBA7992" w14:textId="77777777" w:rsidR="00834A58" w:rsidRPr="006675BF" w:rsidRDefault="002E59B2" w:rsidP="008B4B16">
            <w:pPr>
              <w:pStyle w:val="TableText"/>
              <w:rPr>
                <w:shd w:val="clear" w:color="auto" w:fill="FFFFFF"/>
              </w:rPr>
            </w:pPr>
            <w:hyperlink r:id="rId96" w:history="1">
              <w:proofErr w:type="spellStart"/>
              <w:r w:rsidR="00834A58" w:rsidRPr="00540AF1">
                <w:rPr>
                  <w:rStyle w:val="Hyperlink"/>
                  <w:rFonts w:cs="Arial"/>
                  <w:i/>
                  <w:shd w:val="clear" w:color="auto" w:fill="FFFFFF"/>
                </w:rPr>
                <w:t>Taniela</w:t>
              </w:r>
              <w:proofErr w:type="spellEnd"/>
              <w:r w:rsidR="00834A58" w:rsidRPr="00540AF1">
                <w:rPr>
                  <w:rStyle w:val="Hyperlink"/>
                  <w:rFonts w:cs="Arial"/>
                  <w:i/>
                  <w:shd w:val="clear" w:color="auto" w:fill="FFFFFF"/>
                </w:rPr>
                <w:t xml:space="preserve"> v Australian Christian College Moreton Ltd</w:t>
              </w:r>
            </w:hyperlink>
            <w:r w:rsidR="00834A58">
              <w:rPr>
                <w:shd w:val="clear" w:color="auto" w:fill="FFFFFF"/>
              </w:rPr>
              <w:t xml:space="preserve"> [2020] QCAT 249 (10 July 2020) Traves M</w:t>
            </w:r>
          </w:p>
        </w:tc>
        <w:tc>
          <w:tcPr>
            <w:tcW w:w="3005" w:type="dxa"/>
          </w:tcPr>
          <w:p w14:paraId="75D6DD35" w14:textId="77777777" w:rsidR="00834A58" w:rsidRPr="00A25221" w:rsidRDefault="00834A58" w:rsidP="008B4B16">
            <w:pPr>
              <w:pStyle w:val="TableText"/>
            </w:pPr>
            <w:r>
              <w:t>Anti-d</w:t>
            </w:r>
            <w:r w:rsidRPr="00A25221">
              <w:t xml:space="preserve">iscrimination </w:t>
            </w:r>
            <w:r>
              <w:t>matter</w:t>
            </w:r>
          </w:p>
        </w:tc>
        <w:tc>
          <w:tcPr>
            <w:tcW w:w="3006" w:type="dxa"/>
          </w:tcPr>
          <w:p w14:paraId="4EF12E2B" w14:textId="77777777" w:rsidR="00834A58" w:rsidRPr="00E011C1" w:rsidRDefault="00834A58" w:rsidP="008B4B16">
            <w:pPr>
              <w:pStyle w:val="TableText"/>
            </w:pPr>
            <w:r>
              <w:t>ss 27, 48</w:t>
            </w:r>
          </w:p>
        </w:tc>
      </w:tr>
      <w:tr w:rsidR="00834A58" w:rsidRPr="00E011C1" w14:paraId="2F40FA09" w14:textId="77777777" w:rsidTr="008B4B16">
        <w:tc>
          <w:tcPr>
            <w:tcW w:w="3005" w:type="dxa"/>
          </w:tcPr>
          <w:p w14:paraId="2A95DD8A" w14:textId="77777777" w:rsidR="00834A58" w:rsidRDefault="002E59B2" w:rsidP="008B4B16">
            <w:pPr>
              <w:pStyle w:val="TableText"/>
            </w:pPr>
            <w:hyperlink r:id="rId97" w:history="1">
              <w:r w:rsidR="00834A58" w:rsidRPr="00540AF1">
                <w:rPr>
                  <w:rStyle w:val="Hyperlink"/>
                  <w:i/>
                </w:rPr>
                <w:t xml:space="preserve">HDM v </w:t>
              </w:r>
              <w:proofErr w:type="spellStart"/>
              <w:r w:rsidR="00834A58" w:rsidRPr="00540AF1">
                <w:rPr>
                  <w:rStyle w:val="Hyperlink"/>
                  <w:i/>
                </w:rPr>
                <w:t>Dept</w:t>
              </w:r>
              <w:proofErr w:type="spellEnd"/>
              <w:r w:rsidR="00834A58" w:rsidRPr="00540AF1">
                <w:rPr>
                  <w:rStyle w:val="Hyperlink"/>
                  <w:i/>
                </w:rPr>
                <w:t xml:space="preserve"> Child Safety, Youth &amp; Women</w:t>
              </w:r>
            </w:hyperlink>
            <w:r w:rsidR="00834A58">
              <w:t xml:space="preserve"> [2020] QCAT 272 (14 July 2020)</w:t>
            </w:r>
            <w:r w:rsidR="00834A58">
              <w:br/>
            </w:r>
            <w:proofErr w:type="spellStart"/>
            <w:r w:rsidR="00834A58">
              <w:t>Paratz</w:t>
            </w:r>
            <w:proofErr w:type="spellEnd"/>
            <w:r w:rsidR="00834A58">
              <w:t xml:space="preserve"> and Ellis M, </w:t>
            </w:r>
            <w:proofErr w:type="spellStart"/>
            <w:r w:rsidR="00834A58">
              <w:t>Quinlivan</w:t>
            </w:r>
            <w:proofErr w:type="spellEnd"/>
            <w:r w:rsidR="00834A58">
              <w:t xml:space="preserve"> Presiding Member</w:t>
            </w:r>
          </w:p>
        </w:tc>
        <w:tc>
          <w:tcPr>
            <w:tcW w:w="3005" w:type="dxa"/>
          </w:tcPr>
          <w:p w14:paraId="5260D085" w14:textId="77777777" w:rsidR="00834A58" w:rsidRDefault="00834A58" w:rsidP="008B4B16">
            <w:pPr>
              <w:pStyle w:val="TableText"/>
            </w:pPr>
            <w:r>
              <w:t>Application to review decision refusing applicant to become kinship carer for her great granddaughter</w:t>
            </w:r>
          </w:p>
        </w:tc>
        <w:tc>
          <w:tcPr>
            <w:tcW w:w="3006" w:type="dxa"/>
          </w:tcPr>
          <w:p w14:paraId="672C72E7" w14:textId="77777777" w:rsidR="00834A58" w:rsidRDefault="00834A58" w:rsidP="008B4B16">
            <w:pPr>
              <w:pStyle w:val="TableText"/>
            </w:pPr>
            <w:r>
              <w:t>ss 4(b), 4(f), 58(5)</w:t>
            </w:r>
          </w:p>
        </w:tc>
      </w:tr>
      <w:tr w:rsidR="00834A58" w:rsidRPr="00E011C1" w14:paraId="05C68530" w14:textId="77777777" w:rsidTr="008B4B16">
        <w:tc>
          <w:tcPr>
            <w:tcW w:w="3005" w:type="dxa"/>
          </w:tcPr>
          <w:p w14:paraId="6AC4F73F" w14:textId="77777777" w:rsidR="00834A58" w:rsidRDefault="002E59B2" w:rsidP="008B4B16">
            <w:pPr>
              <w:pStyle w:val="TableText"/>
            </w:pPr>
            <w:hyperlink r:id="rId98" w:history="1">
              <w:r w:rsidR="00834A58" w:rsidRPr="00DE2A78">
                <w:rPr>
                  <w:rStyle w:val="Hyperlink"/>
                  <w:i/>
                </w:rPr>
                <w:t>AB v CD</w:t>
              </w:r>
            </w:hyperlink>
            <w:r w:rsidR="00834A58">
              <w:t xml:space="preserve"> [2020] QCAT 295 (14 July 2020) Adjudicator Walsh</w:t>
            </w:r>
          </w:p>
        </w:tc>
        <w:tc>
          <w:tcPr>
            <w:tcW w:w="3005" w:type="dxa"/>
          </w:tcPr>
          <w:p w14:paraId="214E0CC5" w14:textId="77777777" w:rsidR="00834A58" w:rsidRDefault="00834A58" w:rsidP="008B4B16">
            <w:pPr>
              <w:pStyle w:val="TableText"/>
            </w:pPr>
            <w:r>
              <w:t>Application for a minor debt for collection and recovery of an assessed child support over-payment by one parent to another</w:t>
            </w:r>
          </w:p>
          <w:p w14:paraId="4A4CB629" w14:textId="77777777" w:rsidR="00834A58" w:rsidRDefault="00834A58" w:rsidP="008B4B16">
            <w:pPr>
              <w:pStyle w:val="TableText"/>
            </w:pPr>
            <w:r>
              <w:t>Note: question of extraterritoriality</w:t>
            </w:r>
          </w:p>
        </w:tc>
        <w:tc>
          <w:tcPr>
            <w:tcW w:w="3006" w:type="dxa"/>
          </w:tcPr>
          <w:p w14:paraId="7BF51F81" w14:textId="77777777" w:rsidR="00834A58" w:rsidRDefault="00834A58" w:rsidP="008B4B16">
            <w:pPr>
              <w:pStyle w:val="TableText"/>
            </w:pPr>
            <w:r>
              <w:t>s 25</w:t>
            </w:r>
          </w:p>
        </w:tc>
      </w:tr>
      <w:tr w:rsidR="00834A58" w:rsidRPr="00E011C1" w14:paraId="5E3D9ACB" w14:textId="77777777" w:rsidTr="008B4B16">
        <w:tc>
          <w:tcPr>
            <w:tcW w:w="3005" w:type="dxa"/>
          </w:tcPr>
          <w:p w14:paraId="2BF03684" w14:textId="77777777" w:rsidR="00834A58" w:rsidRDefault="002E59B2" w:rsidP="008B4B16">
            <w:pPr>
              <w:pStyle w:val="TableText"/>
            </w:pPr>
            <w:hyperlink r:id="rId99" w:history="1">
              <w:r w:rsidR="00834A58" w:rsidRPr="00DE2A78">
                <w:rPr>
                  <w:rStyle w:val="Hyperlink"/>
                  <w:i/>
                </w:rPr>
                <w:t>FBN v Director-General, Department of Justice and Attorney-General</w:t>
              </w:r>
            </w:hyperlink>
            <w:r w:rsidR="00834A58">
              <w:t xml:space="preserve"> [2020] QCAT 260 (15 July 2020) </w:t>
            </w:r>
            <w:proofErr w:type="spellStart"/>
            <w:r w:rsidR="00834A58">
              <w:t>Kanowski</w:t>
            </w:r>
            <w:proofErr w:type="spellEnd"/>
            <w:r w:rsidR="00834A58">
              <w:t xml:space="preserve"> M</w:t>
            </w:r>
          </w:p>
        </w:tc>
        <w:tc>
          <w:tcPr>
            <w:tcW w:w="3005" w:type="dxa"/>
          </w:tcPr>
          <w:p w14:paraId="396822A5" w14:textId="77777777" w:rsidR="00834A58" w:rsidRDefault="00834A58" w:rsidP="008B4B16">
            <w:pPr>
              <w:pStyle w:val="TableText"/>
            </w:pPr>
            <w:r w:rsidRPr="00D81E86">
              <w:rPr>
                <w:color w:val="353535"/>
                <w:shd w:val="clear" w:color="auto" w:fill="FFFFFF"/>
              </w:rPr>
              <w:t>Review of blue card decision</w:t>
            </w:r>
            <w:r>
              <w:rPr>
                <w:color w:val="353535"/>
                <w:shd w:val="clear" w:color="auto" w:fill="FFFFFF"/>
              </w:rPr>
              <w:t xml:space="preserve"> </w:t>
            </w:r>
          </w:p>
        </w:tc>
        <w:tc>
          <w:tcPr>
            <w:tcW w:w="3006" w:type="dxa"/>
          </w:tcPr>
          <w:p w14:paraId="6B05F2B9" w14:textId="77777777" w:rsidR="00834A58" w:rsidRDefault="00834A58" w:rsidP="008B4B16">
            <w:pPr>
              <w:pStyle w:val="TableText"/>
            </w:pPr>
            <w:r>
              <w:t xml:space="preserve">[54] </w:t>
            </w:r>
          </w:p>
        </w:tc>
      </w:tr>
      <w:tr w:rsidR="00834A58" w:rsidRPr="00E011C1" w14:paraId="5CCAF6BA" w14:textId="77777777" w:rsidTr="008B4B16">
        <w:tc>
          <w:tcPr>
            <w:tcW w:w="3005" w:type="dxa"/>
          </w:tcPr>
          <w:p w14:paraId="7C6833AF" w14:textId="77777777" w:rsidR="00834A58" w:rsidRPr="00D81E86" w:rsidRDefault="002E59B2" w:rsidP="008B4B16">
            <w:pPr>
              <w:pStyle w:val="TableText"/>
              <w:rPr>
                <w:shd w:val="clear" w:color="auto" w:fill="FFFFFF"/>
              </w:rPr>
            </w:pPr>
            <w:hyperlink r:id="rId100" w:history="1">
              <w:r w:rsidR="00834A58" w:rsidRPr="001D0E51">
                <w:rPr>
                  <w:rStyle w:val="Hyperlink"/>
                  <w:rFonts w:cs="Arial"/>
                  <w:i/>
                  <w:shd w:val="clear" w:color="auto" w:fill="FFFFFF"/>
                </w:rPr>
                <w:t>HAP v Director-General, Department of Justice and Attorney Genera</w:t>
              </w:r>
              <w:r w:rsidR="00834A58" w:rsidRPr="00D96AED">
                <w:rPr>
                  <w:rStyle w:val="Hyperlink"/>
                  <w:rFonts w:cs="Arial"/>
                  <w:shd w:val="clear" w:color="auto" w:fill="FFFFFF"/>
                </w:rPr>
                <w:t>l</w:t>
              </w:r>
            </w:hyperlink>
            <w:r w:rsidR="00834A58" w:rsidRPr="00D81E86">
              <w:rPr>
                <w:shd w:val="clear" w:color="auto" w:fill="FFFFFF"/>
              </w:rPr>
              <w:t xml:space="preserve"> [2020] QCAT 273 (21 July 2020)</w:t>
            </w:r>
            <w:r w:rsidR="00834A58">
              <w:rPr>
                <w:shd w:val="clear" w:color="auto" w:fill="FFFFFF"/>
              </w:rPr>
              <w:t xml:space="preserve"> Gardiner M</w:t>
            </w:r>
          </w:p>
        </w:tc>
        <w:tc>
          <w:tcPr>
            <w:tcW w:w="3005" w:type="dxa"/>
          </w:tcPr>
          <w:p w14:paraId="4493CDE4" w14:textId="77777777" w:rsidR="00834A58" w:rsidRPr="00D81E86" w:rsidRDefault="00834A58" w:rsidP="008B4B16">
            <w:pPr>
              <w:pStyle w:val="TableText"/>
            </w:pPr>
            <w:r w:rsidRPr="00D81E86">
              <w:rPr>
                <w:color w:val="353535"/>
                <w:shd w:val="clear" w:color="auto" w:fill="FFFFFF"/>
              </w:rPr>
              <w:t>Review of blue card decision</w:t>
            </w:r>
          </w:p>
        </w:tc>
        <w:tc>
          <w:tcPr>
            <w:tcW w:w="3006" w:type="dxa"/>
          </w:tcPr>
          <w:p w14:paraId="754E6D7B" w14:textId="77777777" w:rsidR="00834A58" w:rsidRPr="00D81E86" w:rsidRDefault="00834A58" w:rsidP="008B4B16">
            <w:pPr>
              <w:pStyle w:val="TableText"/>
            </w:pPr>
            <w:r w:rsidRPr="00D81E86">
              <w:t>ss 13, 48</w:t>
            </w:r>
          </w:p>
        </w:tc>
      </w:tr>
      <w:tr w:rsidR="00834A58" w:rsidRPr="00E011C1" w14:paraId="60DFCCAB" w14:textId="77777777" w:rsidTr="008B4B16">
        <w:tc>
          <w:tcPr>
            <w:tcW w:w="3005" w:type="dxa"/>
          </w:tcPr>
          <w:p w14:paraId="71681EE6" w14:textId="77777777" w:rsidR="00834A58" w:rsidRDefault="002E59B2" w:rsidP="008B4B16">
            <w:pPr>
              <w:pStyle w:val="TableText"/>
            </w:pPr>
            <w:hyperlink r:id="rId101" w:history="1">
              <w:r w:rsidR="00834A58" w:rsidRPr="00540AF1">
                <w:rPr>
                  <w:rStyle w:val="Hyperlink"/>
                  <w:i/>
                </w:rPr>
                <w:t>WDE v Director-General, Department of Justice and Attorney-General</w:t>
              </w:r>
            </w:hyperlink>
            <w:r w:rsidR="00834A58">
              <w:t xml:space="preserve"> [2020] QCAT 301 (4 August 2020) McDonnell M</w:t>
            </w:r>
          </w:p>
        </w:tc>
        <w:tc>
          <w:tcPr>
            <w:tcW w:w="3005" w:type="dxa"/>
          </w:tcPr>
          <w:p w14:paraId="42765BE2" w14:textId="77777777" w:rsidR="00834A58" w:rsidRPr="00D81E86" w:rsidRDefault="00834A58" w:rsidP="008B4B16">
            <w:pPr>
              <w:pStyle w:val="TableText"/>
              <w:rPr>
                <w:color w:val="353535"/>
                <w:shd w:val="clear" w:color="auto" w:fill="FFFFFF"/>
              </w:rPr>
            </w:pPr>
            <w:r w:rsidRPr="00D81E86">
              <w:rPr>
                <w:color w:val="353535"/>
                <w:shd w:val="clear" w:color="auto" w:fill="FFFFFF"/>
              </w:rPr>
              <w:t>Review of blue card decision</w:t>
            </w:r>
          </w:p>
        </w:tc>
        <w:tc>
          <w:tcPr>
            <w:tcW w:w="3006" w:type="dxa"/>
          </w:tcPr>
          <w:p w14:paraId="51AFD088" w14:textId="77777777" w:rsidR="00834A58" w:rsidRPr="00D81E86" w:rsidRDefault="00834A58" w:rsidP="008B4B16">
            <w:pPr>
              <w:pStyle w:val="TableText"/>
            </w:pPr>
            <w:r>
              <w:t>ss 13, 48, 58</w:t>
            </w:r>
          </w:p>
        </w:tc>
      </w:tr>
      <w:tr w:rsidR="00834A58" w:rsidRPr="00E011C1" w14:paraId="2F1F9225" w14:textId="77777777" w:rsidTr="008B4B16">
        <w:tc>
          <w:tcPr>
            <w:tcW w:w="3005" w:type="dxa"/>
          </w:tcPr>
          <w:p w14:paraId="04BB9F1B" w14:textId="77777777" w:rsidR="00834A58" w:rsidRDefault="002E59B2" w:rsidP="008B4B16">
            <w:pPr>
              <w:pStyle w:val="TableText"/>
            </w:pPr>
            <w:hyperlink r:id="rId102" w:history="1">
              <w:r w:rsidR="00834A58" w:rsidRPr="00540AF1">
                <w:rPr>
                  <w:rStyle w:val="Hyperlink"/>
                  <w:rFonts w:cs="Arial"/>
                  <w:i/>
                  <w:shd w:val="clear" w:color="auto" w:fill="FFFFFF"/>
                </w:rPr>
                <w:t>TRE v Director-General, Department of Justice and Attorney General</w:t>
              </w:r>
            </w:hyperlink>
            <w:r w:rsidR="00834A58" w:rsidRPr="00D81E86">
              <w:rPr>
                <w:shd w:val="clear" w:color="auto" w:fill="FFFFFF"/>
              </w:rPr>
              <w:t xml:space="preserve"> [2020] QCAT </w:t>
            </w:r>
            <w:r w:rsidR="00834A58">
              <w:rPr>
                <w:shd w:val="clear" w:color="auto" w:fill="FFFFFF"/>
              </w:rPr>
              <w:t>306</w:t>
            </w:r>
            <w:r w:rsidR="00834A58" w:rsidRPr="00D81E86">
              <w:rPr>
                <w:shd w:val="clear" w:color="auto" w:fill="FFFFFF"/>
              </w:rPr>
              <w:t xml:space="preserve"> (</w:t>
            </w:r>
            <w:r w:rsidR="00834A58">
              <w:rPr>
                <w:shd w:val="clear" w:color="auto" w:fill="FFFFFF"/>
              </w:rPr>
              <w:t>5 Aug</w:t>
            </w:r>
            <w:r w:rsidR="00834A58" w:rsidRPr="00D81E86">
              <w:rPr>
                <w:shd w:val="clear" w:color="auto" w:fill="FFFFFF"/>
              </w:rPr>
              <w:t xml:space="preserve"> 2020)</w:t>
            </w:r>
            <w:r w:rsidR="00834A58">
              <w:rPr>
                <w:shd w:val="clear" w:color="auto" w:fill="FFFFFF"/>
              </w:rPr>
              <w:t xml:space="preserve"> McDonnell M</w:t>
            </w:r>
          </w:p>
        </w:tc>
        <w:tc>
          <w:tcPr>
            <w:tcW w:w="3005" w:type="dxa"/>
          </w:tcPr>
          <w:p w14:paraId="2CD38043" w14:textId="77777777" w:rsidR="00834A58" w:rsidRPr="00D81E86" w:rsidRDefault="00834A58" w:rsidP="008B4B16">
            <w:pPr>
              <w:pStyle w:val="TableText"/>
              <w:rPr>
                <w:color w:val="353535"/>
                <w:shd w:val="clear" w:color="auto" w:fill="FFFFFF"/>
              </w:rPr>
            </w:pPr>
            <w:r w:rsidRPr="00D81E86">
              <w:rPr>
                <w:color w:val="353535"/>
                <w:shd w:val="clear" w:color="auto" w:fill="FFFFFF"/>
              </w:rPr>
              <w:t>Review of blue card decision</w:t>
            </w:r>
          </w:p>
        </w:tc>
        <w:tc>
          <w:tcPr>
            <w:tcW w:w="3006" w:type="dxa"/>
          </w:tcPr>
          <w:p w14:paraId="48EC5FAF" w14:textId="77777777" w:rsidR="00834A58" w:rsidRPr="00D81E86" w:rsidRDefault="00834A58" w:rsidP="008B4B16">
            <w:pPr>
              <w:pStyle w:val="TableText"/>
            </w:pPr>
            <w:r>
              <w:t>ss 13, 58</w:t>
            </w:r>
          </w:p>
        </w:tc>
      </w:tr>
      <w:tr w:rsidR="00834A58" w:rsidRPr="00E011C1" w14:paraId="4712CD34" w14:textId="77777777" w:rsidTr="008B4B16">
        <w:tc>
          <w:tcPr>
            <w:tcW w:w="3005" w:type="dxa"/>
          </w:tcPr>
          <w:p w14:paraId="6936598D" w14:textId="77777777" w:rsidR="00834A58" w:rsidRDefault="002E59B2" w:rsidP="008B4B16">
            <w:pPr>
              <w:pStyle w:val="TableText"/>
            </w:pPr>
            <w:hyperlink r:id="rId103" w:history="1">
              <w:r w:rsidR="00834A58" w:rsidRPr="001D0E51">
                <w:rPr>
                  <w:rStyle w:val="Hyperlink"/>
                  <w:i/>
                </w:rPr>
                <w:t>REB v Director-General, Department of Justice and Attorney-General</w:t>
              </w:r>
            </w:hyperlink>
            <w:r w:rsidR="00834A58">
              <w:t xml:space="preserve"> [2020] QCAT 312 (5 August 2020) Hughes, M</w:t>
            </w:r>
          </w:p>
        </w:tc>
        <w:tc>
          <w:tcPr>
            <w:tcW w:w="3005" w:type="dxa"/>
          </w:tcPr>
          <w:p w14:paraId="65165455" w14:textId="77777777" w:rsidR="00834A58" w:rsidRPr="00D81E86" w:rsidRDefault="00834A58" w:rsidP="008B4B16">
            <w:pPr>
              <w:pStyle w:val="TableText"/>
              <w:rPr>
                <w:color w:val="353535"/>
                <w:shd w:val="clear" w:color="auto" w:fill="FFFFFF"/>
              </w:rPr>
            </w:pPr>
            <w:r>
              <w:t>Blue card negative notice</w:t>
            </w:r>
          </w:p>
        </w:tc>
        <w:tc>
          <w:tcPr>
            <w:tcW w:w="3006" w:type="dxa"/>
          </w:tcPr>
          <w:p w14:paraId="24AE201D" w14:textId="77777777" w:rsidR="00834A58" w:rsidRDefault="00834A58" w:rsidP="008B4B16">
            <w:pPr>
              <w:pStyle w:val="TableText"/>
            </w:pPr>
            <w:r>
              <w:t>ss 13, 26</w:t>
            </w:r>
          </w:p>
        </w:tc>
      </w:tr>
      <w:tr w:rsidR="00834A58" w:rsidRPr="00E011C1" w14:paraId="6BFCA29C" w14:textId="77777777" w:rsidTr="008B4B16">
        <w:tc>
          <w:tcPr>
            <w:tcW w:w="3005" w:type="dxa"/>
          </w:tcPr>
          <w:p w14:paraId="37572779" w14:textId="77777777" w:rsidR="00834A58" w:rsidRDefault="002E59B2" w:rsidP="008B4B16">
            <w:pPr>
              <w:pStyle w:val="TableText"/>
            </w:pPr>
            <w:hyperlink r:id="rId104" w:history="1">
              <w:r w:rsidR="00834A58" w:rsidRPr="001D0E51">
                <w:rPr>
                  <w:rStyle w:val="Hyperlink"/>
                  <w:i/>
                </w:rPr>
                <w:t>NGV v Director-General, Department of Justice and Attorney-General</w:t>
              </w:r>
            </w:hyperlink>
            <w:r w:rsidR="00834A58">
              <w:t xml:space="preserve"> [2020] QCAT 319 (19 August 2020) </w:t>
            </w:r>
            <w:proofErr w:type="spellStart"/>
            <w:r w:rsidR="00834A58">
              <w:t>Kanowski</w:t>
            </w:r>
            <w:proofErr w:type="spellEnd"/>
            <w:r w:rsidR="00834A58">
              <w:t>, M</w:t>
            </w:r>
          </w:p>
        </w:tc>
        <w:tc>
          <w:tcPr>
            <w:tcW w:w="3005" w:type="dxa"/>
          </w:tcPr>
          <w:p w14:paraId="25920FCC" w14:textId="77777777" w:rsidR="00834A58" w:rsidRPr="00D81E86" w:rsidRDefault="00834A58" w:rsidP="008B4B16">
            <w:pPr>
              <w:pStyle w:val="TableText"/>
              <w:rPr>
                <w:color w:val="353535"/>
                <w:shd w:val="clear" w:color="auto" w:fill="FFFFFF"/>
              </w:rPr>
            </w:pPr>
            <w:r>
              <w:t>Blue card negative notice</w:t>
            </w:r>
          </w:p>
        </w:tc>
        <w:tc>
          <w:tcPr>
            <w:tcW w:w="3006" w:type="dxa"/>
          </w:tcPr>
          <w:p w14:paraId="6F74B97B" w14:textId="77777777" w:rsidR="00834A58" w:rsidRDefault="00834A58" w:rsidP="008B4B16">
            <w:pPr>
              <w:pStyle w:val="TableText"/>
            </w:pPr>
            <w:r>
              <w:t>s 31</w:t>
            </w:r>
          </w:p>
        </w:tc>
      </w:tr>
      <w:tr w:rsidR="00834A58" w:rsidRPr="00E011C1" w14:paraId="29972D0C" w14:textId="77777777" w:rsidTr="008B4B16">
        <w:tc>
          <w:tcPr>
            <w:tcW w:w="3005" w:type="dxa"/>
          </w:tcPr>
          <w:p w14:paraId="55F72F7C" w14:textId="77777777" w:rsidR="00834A58" w:rsidRPr="006675BF" w:rsidRDefault="002E59B2" w:rsidP="008B4B16">
            <w:pPr>
              <w:pStyle w:val="TableText"/>
              <w:rPr>
                <w:shd w:val="clear" w:color="auto" w:fill="FFFFFF"/>
              </w:rPr>
            </w:pPr>
            <w:hyperlink r:id="rId105" w:history="1">
              <w:r w:rsidR="00834A58" w:rsidRPr="000976EC">
                <w:rPr>
                  <w:rStyle w:val="Hyperlink"/>
                  <w:rFonts w:cs="Arial"/>
                  <w:i/>
                  <w:shd w:val="clear" w:color="auto" w:fill="FFFFFF"/>
                </w:rPr>
                <w:t xml:space="preserve">Dowling v Director-General, </w:t>
              </w:r>
              <w:proofErr w:type="spellStart"/>
              <w:r w:rsidR="00834A58" w:rsidRPr="000976EC">
                <w:rPr>
                  <w:rStyle w:val="Hyperlink"/>
                  <w:rFonts w:cs="Arial"/>
                  <w:i/>
                  <w:shd w:val="clear" w:color="auto" w:fill="FFFFFF"/>
                </w:rPr>
                <w:t>Dept</w:t>
              </w:r>
              <w:proofErr w:type="spellEnd"/>
              <w:r w:rsidR="00834A58" w:rsidRPr="000976EC">
                <w:rPr>
                  <w:rStyle w:val="Hyperlink"/>
                  <w:rFonts w:cs="Arial"/>
                  <w:i/>
                  <w:shd w:val="clear" w:color="auto" w:fill="FFFFFF"/>
                </w:rPr>
                <w:t xml:space="preserve"> Justice and Attorney-General</w:t>
              </w:r>
            </w:hyperlink>
            <w:r w:rsidR="00834A58">
              <w:rPr>
                <w:shd w:val="clear" w:color="auto" w:fill="FFFFFF"/>
              </w:rPr>
              <w:t xml:space="preserve"> [2020] QCAT 340 (25 Aug 2020) McDonnell M</w:t>
            </w:r>
          </w:p>
        </w:tc>
        <w:tc>
          <w:tcPr>
            <w:tcW w:w="3005" w:type="dxa"/>
          </w:tcPr>
          <w:p w14:paraId="06E588C8" w14:textId="77777777" w:rsidR="00834A58" w:rsidRPr="00E011C1" w:rsidRDefault="00834A58" w:rsidP="008B4B16">
            <w:pPr>
              <w:pStyle w:val="TableText"/>
            </w:pPr>
            <w:r>
              <w:t xml:space="preserve">Review decision to issue a negative notice – convictions related to political protests </w:t>
            </w:r>
          </w:p>
        </w:tc>
        <w:tc>
          <w:tcPr>
            <w:tcW w:w="3006" w:type="dxa"/>
          </w:tcPr>
          <w:p w14:paraId="2EBD273D" w14:textId="77777777" w:rsidR="00834A58" w:rsidRPr="00E011C1" w:rsidRDefault="00834A58" w:rsidP="008B4B16">
            <w:pPr>
              <w:pStyle w:val="TableText"/>
            </w:pPr>
            <w:r>
              <w:t>ss 13, 58</w:t>
            </w:r>
          </w:p>
        </w:tc>
      </w:tr>
      <w:tr w:rsidR="00834A58" w:rsidRPr="00E011C1" w14:paraId="6C2935C5" w14:textId="77777777" w:rsidTr="008B4B16">
        <w:tc>
          <w:tcPr>
            <w:tcW w:w="3005" w:type="dxa"/>
          </w:tcPr>
          <w:p w14:paraId="27A7EFB1" w14:textId="77777777" w:rsidR="00834A58" w:rsidRDefault="002E59B2" w:rsidP="008B4B16">
            <w:pPr>
              <w:pStyle w:val="TableText"/>
            </w:pPr>
            <w:hyperlink r:id="rId106" w:history="1">
              <w:r w:rsidR="00834A58" w:rsidRPr="001D0E51">
                <w:rPr>
                  <w:rStyle w:val="Hyperlink"/>
                  <w:i/>
                </w:rPr>
                <w:t>JR v Director-General, Department of Justice and Attorney-General</w:t>
              </w:r>
            </w:hyperlink>
            <w:r w:rsidR="00834A58">
              <w:t xml:space="preserve"> [2020] QCAT 332 (2 September 2020) Hughes, M</w:t>
            </w:r>
          </w:p>
        </w:tc>
        <w:tc>
          <w:tcPr>
            <w:tcW w:w="3005" w:type="dxa"/>
          </w:tcPr>
          <w:p w14:paraId="70A313F8" w14:textId="77777777" w:rsidR="00834A58" w:rsidRDefault="00834A58" w:rsidP="008B4B16">
            <w:pPr>
              <w:pStyle w:val="TableText"/>
            </w:pPr>
            <w:r>
              <w:t>Blue card negative notice</w:t>
            </w:r>
          </w:p>
        </w:tc>
        <w:tc>
          <w:tcPr>
            <w:tcW w:w="3006" w:type="dxa"/>
          </w:tcPr>
          <w:p w14:paraId="3B41F38D" w14:textId="77777777" w:rsidR="00834A58" w:rsidRDefault="00834A58" w:rsidP="008B4B16">
            <w:pPr>
              <w:pStyle w:val="TableText"/>
            </w:pPr>
            <w:r>
              <w:t xml:space="preserve">s 13 </w:t>
            </w:r>
          </w:p>
        </w:tc>
      </w:tr>
      <w:tr w:rsidR="00834A58" w:rsidRPr="00E011C1" w14:paraId="6F1A8906" w14:textId="77777777" w:rsidTr="008B4B16">
        <w:tc>
          <w:tcPr>
            <w:tcW w:w="3005" w:type="dxa"/>
          </w:tcPr>
          <w:p w14:paraId="0400C6B3" w14:textId="77777777" w:rsidR="00834A58" w:rsidRPr="006675BF" w:rsidRDefault="002E59B2" w:rsidP="008B4B16">
            <w:pPr>
              <w:pStyle w:val="TableText"/>
            </w:pPr>
            <w:hyperlink r:id="rId107" w:history="1">
              <w:r w:rsidR="00834A58" w:rsidRPr="00D969C5">
                <w:rPr>
                  <w:rStyle w:val="Hyperlink"/>
                  <w:rFonts w:cs="Arial"/>
                  <w:i/>
                </w:rPr>
                <w:t>PXS v Director-General, Department of Justice and Attorney-General</w:t>
              </w:r>
            </w:hyperlink>
            <w:r w:rsidR="00834A58">
              <w:t xml:space="preserve"> [2020] QCAT 342 (7 Sept 2020) Milburn M</w:t>
            </w:r>
          </w:p>
        </w:tc>
        <w:tc>
          <w:tcPr>
            <w:tcW w:w="3005" w:type="dxa"/>
          </w:tcPr>
          <w:p w14:paraId="2CD36585" w14:textId="77777777" w:rsidR="00834A58" w:rsidRPr="00E91C03" w:rsidRDefault="00834A58" w:rsidP="008B4B16">
            <w:pPr>
              <w:pStyle w:val="TableText"/>
            </w:pPr>
            <w:r>
              <w:t>Review of negative notice and cancellation of blue card – unsuccessful prosecutions – possession of ‘tainted property’</w:t>
            </w:r>
          </w:p>
        </w:tc>
        <w:tc>
          <w:tcPr>
            <w:tcW w:w="3006" w:type="dxa"/>
          </w:tcPr>
          <w:p w14:paraId="44EA6466" w14:textId="77777777" w:rsidR="00834A58" w:rsidRPr="00E011C1" w:rsidRDefault="00834A58" w:rsidP="008B4B16">
            <w:pPr>
              <w:pStyle w:val="TableText"/>
            </w:pPr>
            <w:r>
              <w:t>ss  8, 26(2), 58</w:t>
            </w:r>
          </w:p>
        </w:tc>
      </w:tr>
      <w:tr w:rsidR="00834A58" w:rsidRPr="00E011C1" w14:paraId="05F119F5" w14:textId="77777777" w:rsidTr="008B4B16">
        <w:tc>
          <w:tcPr>
            <w:tcW w:w="3005" w:type="dxa"/>
          </w:tcPr>
          <w:p w14:paraId="6807A190" w14:textId="77777777" w:rsidR="00834A58" w:rsidRPr="00136A1C" w:rsidRDefault="002E59B2" w:rsidP="008B4B16">
            <w:pPr>
              <w:pStyle w:val="TableText"/>
              <w:rPr>
                <w:shd w:val="clear" w:color="auto" w:fill="FFFFFF"/>
              </w:rPr>
            </w:pPr>
            <w:hyperlink r:id="rId108" w:history="1">
              <w:proofErr w:type="spellStart"/>
              <w:r w:rsidR="00834A58" w:rsidRPr="001D0E51">
                <w:rPr>
                  <w:rStyle w:val="Hyperlink"/>
                  <w:rFonts w:cs="Arial"/>
                  <w:i/>
                  <w:shd w:val="clear" w:color="auto" w:fill="FFFFFF"/>
                </w:rPr>
                <w:t>Petrak</w:t>
              </w:r>
              <w:proofErr w:type="spellEnd"/>
              <w:r w:rsidR="00834A58" w:rsidRPr="001D0E51">
                <w:rPr>
                  <w:rStyle w:val="Hyperlink"/>
                  <w:rFonts w:cs="Arial"/>
                  <w:i/>
                  <w:shd w:val="clear" w:color="auto" w:fill="FFFFFF"/>
                </w:rPr>
                <w:t xml:space="preserve"> v Griffith University &amp; Ors</w:t>
              </w:r>
            </w:hyperlink>
            <w:r w:rsidR="00834A58">
              <w:rPr>
                <w:shd w:val="clear" w:color="auto" w:fill="FFFFFF"/>
              </w:rPr>
              <w:t xml:space="preserve"> [2020] QCAT 351 (11 Sept 2020) Gordon M</w:t>
            </w:r>
          </w:p>
        </w:tc>
        <w:tc>
          <w:tcPr>
            <w:tcW w:w="3005" w:type="dxa"/>
          </w:tcPr>
          <w:p w14:paraId="07CE1138" w14:textId="77777777" w:rsidR="00834A58" w:rsidRPr="00136A1C" w:rsidRDefault="00834A58" w:rsidP="008B4B16">
            <w:pPr>
              <w:pStyle w:val="TableText"/>
            </w:pPr>
            <w:r>
              <w:t>Anti-discrimination matter</w:t>
            </w:r>
          </w:p>
        </w:tc>
        <w:tc>
          <w:tcPr>
            <w:tcW w:w="3006" w:type="dxa"/>
          </w:tcPr>
          <w:p w14:paraId="07774725" w14:textId="77777777" w:rsidR="00834A58" w:rsidRPr="00E011C1" w:rsidRDefault="00834A58" w:rsidP="008B4B16">
            <w:pPr>
              <w:pStyle w:val="TableText"/>
            </w:pPr>
            <w:r>
              <w:t>ss 13, 31</w:t>
            </w:r>
          </w:p>
        </w:tc>
      </w:tr>
      <w:tr w:rsidR="00834A58" w:rsidRPr="00E011C1" w14:paraId="3A6EFD85" w14:textId="77777777" w:rsidTr="008B4B16">
        <w:tc>
          <w:tcPr>
            <w:tcW w:w="3005" w:type="dxa"/>
          </w:tcPr>
          <w:p w14:paraId="0D7D725F" w14:textId="77777777" w:rsidR="00834A58" w:rsidRDefault="002E59B2" w:rsidP="008B4B16">
            <w:pPr>
              <w:pStyle w:val="TableText"/>
            </w:pPr>
            <w:hyperlink r:id="rId109" w:history="1">
              <w:r w:rsidR="00834A58" w:rsidRPr="001D0E51">
                <w:rPr>
                  <w:rStyle w:val="Hyperlink"/>
                  <w:i/>
                </w:rPr>
                <w:t>CC</w:t>
              </w:r>
            </w:hyperlink>
            <w:r w:rsidR="00834A58">
              <w:t xml:space="preserve"> [2020] QCAT 367 (18 September 2020) Allen M</w:t>
            </w:r>
          </w:p>
        </w:tc>
        <w:tc>
          <w:tcPr>
            <w:tcW w:w="3005" w:type="dxa"/>
          </w:tcPr>
          <w:p w14:paraId="209959FD" w14:textId="77777777" w:rsidR="00834A58" w:rsidRDefault="00834A58" w:rsidP="008B4B16">
            <w:pPr>
              <w:pStyle w:val="TableText"/>
            </w:pPr>
            <w:r>
              <w:t xml:space="preserve">Guardianship </w:t>
            </w:r>
          </w:p>
        </w:tc>
        <w:tc>
          <w:tcPr>
            <w:tcW w:w="3006" w:type="dxa"/>
          </w:tcPr>
          <w:p w14:paraId="361E1095" w14:textId="77777777" w:rsidR="00834A58" w:rsidRDefault="00834A58" w:rsidP="008B4B16">
            <w:pPr>
              <w:pStyle w:val="TableText"/>
            </w:pPr>
            <w:r>
              <w:t>ss 13, 19, 24, 25, 37</w:t>
            </w:r>
          </w:p>
        </w:tc>
      </w:tr>
      <w:tr w:rsidR="00834A58" w:rsidRPr="00E011C1" w14:paraId="505B61F4" w14:textId="77777777" w:rsidTr="008B4B16">
        <w:tc>
          <w:tcPr>
            <w:tcW w:w="3005" w:type="dxa"/>
          </w:tcPr>
          <w:p w14:paraId="4F00A58A" w14:textId="77777777" w:rsidR="00834A58" w:rsidRPr="00AC7032" w:rsidRDefault="002E59B2" w:rsidP="008B4B16">
            <w:pPr>
              <w:pStyle w:val="TableText"/>
              <w:rPr>
                <w:lang w:val="da-DK"/>
              </w:rPr>
            </w:pPr>
            <w:hyperlink r:id="rId110" w:history="1">
              <w:r w:rsidR="00834A58" w:rsidRPr="00AC7032">
                <w:rPr>
                  <w:rStyle w:val="Hyperlink"/>
                  <w:i/>
                  <w:lang w:val="da-DK"/>
                </w:rPr>
                <w:t>JF</w:t>
              </w:r>
            </w:hyperlink>
            <w:r w:rsidR="00834A58" w:rsidRPr="00AC7032">
              <w:rPr>
                <w:i/>
                <w:lang w:val="da-DK"/>
              </w:rPr>
              <w:t xml:space="preserve"> </w:t>
            </w:r>
            <w:r w:rsidR="00834A58" w:rsidRPr="00AC7032">
              <w:rPr>
                <w:lang w:val="da-DK"/>
              </w:rPr>
              <w:t>[2020] QCAT 419 (4 November 2020) Traves M</w:t>
            </w:r>
          </w:p>
        </w:tc>
        <w:tc>
          <w:tcPr>
            <w:tcW w:w="3005" w:type="dxa"/>
          </w:tcPr>
          <w:p w14:paraId="66DB913F" w14:textId="77777777" w:rsidR="00834A58" w:rsidRPr="001808D1" w:rsidRDefault="00834A58" w:rsidP="008B4B16">
            <w:pPr>
              <w:pStyle w:val="TableText"/>
              <w:rPr>
                <w:shd w:val="clear" w:color="auto" w:fill="FFFFFF"/>
              </w:rPr>
            </w:pPr>
            <w:r>
              <w:rPr>
                <w:shd w:val="clear" w:color="auto" w:fill="FFFFFF"/>
              </w:rPr>
              <w:t>Guardianship and administration for adults</w:t>
            </w:r>
          </w:p>
        </w:tc>
        <w:tc>
          <w:tcPr>
            <w:tcW w:w="3006" w:type="dxa"/>
          </w:tcPr>
          <w:p w14:paraId="1060103B" w14:textId="77777777" w:rsidR="00834A58" w:rsidRDefault="00834A58" w:rsidP="008B4B16">
            <w:pPr>
              <w:pStyle w:val="TableText"/>
            </w:pPr>
            <w:r>
              <w:t>s 9(4)</w:t>
            </w:r>
          </w:p>
        </w:tc>
      </w:tr>
      <w:tr w:rsidR="00834A58" w:rsidRPr="00E011C1" w14:paraId="152C5A9C" w14:textId="77777777" w:rsidTr="008B4B16">
        <w:tc>
          <w:tcPr>
            <w:tcW w:w="3005" w:type="dxa"/>
          </w:tcPr>
          <w:p w14:paraId="5CC9A229" w14:textId="77777777" w:rsidR="00834A58" w:rsidRDefault="002E59B2" w:rsidP="008B4B16">
            <w:pPr>
              <w:pStyle w:val="TableText"/>
            </w:pPr>
            <w:hyperlink r:id="rId111" w:history="1">
              <w:r w:rsidR="00834A58" w:rsidRPr="002E2DCA">
                <w:rPr>
                  <w:rStyle w:val="Hyperlink"/>
                  <w:i/>
                </w:rPr>
                <w:t>Sheraton v Director-General, Department of Justice and Attorney-General</w:t>
              </w:r>
            </w:hyperlink>
            <w:r w:rsidR="00834A58">
              <w:t xml:space="preserve"> [2020] QCAT 431 (9 November 2020) McDonnell M</w:t>
            </w:r>
          </w:p>
        </w:tc>
        <w:tc>
          <w:tcPr>
            <w:tcW w:w="3005" w:type="dxa"/>
          </w:tcPr>
          <w:p w14:paraId="3E5ED48A" w14:textId="77777777" w:rsidR="00834A58" w:rsidRDefault="00834A58" w:rsidP="008B4B16">
            <w:pPr>
              <w:pStyle w:val="TableText"/>
            </w:pPr>
            <w:r>
              <w:t>Blue card negative notice</w:t>
            </w:r>
          </w:p>
        </w:tc>
        <w:tc>
          <w:tcPr>
            <w:tcW w:w="3006" w:type="dxa"/>
          </w:tcPr>
          <w:p w14:paraId="570C7D36" w14:textId="77777777" w:rsidR="00834A58" w:rsidRDefault="00834A58" w:rsidP="008B4B16">
            <w:pPr>
              <w:pStyle w:val="TableText"/>
            </w:pPr>
            <w:r>
              <w:t>ss 13, 58</w:t>
            </w:r>
          </w:p>
        </w:tc>
      </w:tr>
      <w:tr w:rsidR="00834A58" w:rsidRPr="00E011C1" w14:paraId="5050E9F4" w14:textId="77777777" w:rsidTr="008B4B16">
        <w:tc>
          <w:tcPr>
            <w:tcW w:w="3005" w:type="dxa"/>
          </w:tcPr>
          <w:p w14:paraId="619CCBEA" w14:textId="77777777" w:rsidR="00834A58" w:rsidRDefault="002E59B2" w:rsidP="008B4B16">
            <w:pPr>
              <w:pStyle w:val="TableText"/>
            </w:pPr>
            <w:hyperlink r:id="rId112" w:history="1">
              <w:r w:rsidR="00834A58" w:rsidRPr="002E2DCA">
                <w:rPr>
                  <w:rStyle w:val="Hyperlink"/>
                  <w:i/>
                </w:rPr>
                <w:t>Coonan v Registrar of Births, Deaths and Marriages</w:t>
              </w:r>
            </w:hyperlink>
            <w:r w:rsidR="00834A58">
              <w:t xml:space="preserve"> [2020] QCAT 434 (11 November 2020) Traves M</w:t>
            </w:r>
          </w:p>
        </w:tc>
        <w:tc>
          <w:tcPr>
            <w:tcW w:w="3005" w:type="dxa"/>
          </w:tcPr>
          <w:p w14:paraId="5747C784" w14:textId="77777777" w:rsidR="00834A58" w:rsidRDefault="00834A58" w:rsidP="008B4B16">
            <w:pPr>
              <w:pStyle w:val="TableText"/>
            </w:pPr>
            <w:r>
              <w:t>Review of administrative decision</w:t>
            </w:r>
          </w:p>
        </w:tc>
        <w:tc>
          <w:tcPr>
            <w:tcW w:w="3006" w:type="dxa"/>
          </w:tcPr>
          <w:p w14:paraId="77BE084A" w14:textId="77777777" w:rsidR="00834A58" w:rsidRDefault="00834A58" w:rsidP="008B4B16">
            <w:pPr>
              <w:pStyle w:val="TableText"/>
            </w:pPr>
            <w:r>
              <w:t>ss 9, 108</w:t>
            </w:r>
          </w:p>
        </w:tc>
      </w:tr>
      <w:tr w:rsidR="00834A58" w:rsidRPr="00E011C1" w14:paraId="7CF57BE0" w14:textId="77777777" w:rsidTr="008B4B16">
        <w:tc>
          <w:tcPr>
            <w:tcW w:w="3005" w:type="dxa"/>
          </w:tcPr>
          <w:p w14:paraId="4B2C2535" w14:textId="77777777" w:rsidR="00834A58" w:rsidRPr="00AC7032" w:rsidRDefault="002E59B2" w:rsidP="008B4B16">
            <w:pPr>
              <w:pStyle w:val="TableText"/>
              <w:rPr>
                <w:lang w:val="da-DK"/>
              </w:rPr>
            </w:pPr>
            <w:hyperlink r:id="rId113" w:history="1">
              <w:r w:rsidR="00834A58" w:rsidRPr="00AC7032">
                <w:rPr>
                  <w:rStyle w:val="Hyperlink"/>
                  <w:i/>
                  <w:lang w:val="da-DK"/>
                </w:rPr>
                <w:t>FH</w:t>
              </w:r>
            </w:hyperlink>
            <w:r w:rsidR="00834A58" w:rsidRPr="00AC7032">
              <w:rPr>
                <w:i/>
                <w:lang w:val="da-DK"/>
              </w:rPr>
              <w:t xml:space="preserve"> </w:t>
            </w:r>
            <w:r w:rsidR="00834A58" w:rsidRPr="00AC7032">
              <w:rPr>
                <w:lang w:val="da-DK"/>
              </w:rPr>
              <w:t>[2020] QCAT 482 (7 December 2020) Traves M</w:t>
            </w:r>
          </w:p>
        </w:tc>
        <w:tc>
          <w:tcPr>
            <w:tcW w:w="3005" w:type="dxa"/>
          </w:tcPr>
          <w:p w14:paraId="779C4DD9" w14:textId="77777777" w:rsidR="00834A58" w:rsidRDefault="00834A58" w:rsidP="008B4B16">
            <w:pPr>
              <w:pStyle w:val="TableText"/>
            </w:pPr>
            <w:r>
              <w:t>Guardianship</w:t>
            </w:r>
          </w:p>
        </w:tc>
        <w:tc>
          <w:tcPr>
            <w:tcW w:w="3006" w:type="dxa"/>
          </w:tcPr>
          <w:p w14:paraId="426377BE" w14:textId="77777777" w:rsidR="00834A58" w:rsidRDefault="00834A58" w:rsidP="008B4B16">
            <w:pPr>
              <w:pStyle w:val="TableText"/>
            </w:pPr>
            <w:r>
              <w:t>s 9(4)</w:t>
            </w:r>
          </w:p>
        </w:tc>
      </w:tr>
      <w:tr w:rsidR="00834A58" w:rsidRPr="00E011C1" w14:paraId="78C6D637" w14:textId="77777777" w:rsidTr="008B4B16">
        <w:tc>
          <w:tcPr>
            <w:tcW w:w="3005" w:type="dxa"/>
          </w:tcPr>
          <w:p w14:paraId="709E47FE" w14:textId="77777777" w:rsidR="00834A58" w:rsidRPr="00EE7C9F" w:rsidRDefault="002E59B2" w:rsidP="008B4B16">
            <w:pPr>
              <w:pStyle w:val="TableText"/>
            </w:pPr>
            <w:hyperlink r:id="rId114" w:history="1">
              <w:r w:rsidR="00834A58" w:rsidRPr="009A4693">
                <w:rPr>
                  <w:rStyle w:val="Hyperlink"/>
                  <w:i/>
                </w:rPr>
                <w:t>HFI</w:t>
              </w:r>
            </w:hyperlink>
            <w:r w:rsidR="00834A58">
              <w:rPr>
                <w:i/>
              </w:rPr>
              <w:t xml:space="preserve"> </w:t>
            </w:r>
            <w:r w:rsidR="00834A58">
              <w:t>[2020] QCAT 481 (4 December 2020) Goodman M</w:t>
            </w:r>
          </w:p>
        </w:tc>
        <w:tc>
          <w:tcPr>
            <w:tcW w:w="3005" w:type="dxa"/>
          </w:tcPr>
          <w:p w14:paraId="033CD2CA" w14:textId="77777777" w:rsidR="00834A58" w:rsidRDefault="00834A58" w:rsidP="008B4B16">
            <w:pPr>
              <w:pStyle w:val="TableText"/>
            </w:pPr>
            <w:r>
              <w:t>Guardianship and administration matters for adults</w:t>
            </w:r>
          </w:p>
        </w:tc>
        <w:tc>
          <w:tcPr>
            <w:tcW w:w="3006" w:type="dxa"/>
          </w:tcPr>
          <w:p w14:paraId="4F6F3811" w14:textId="77777777" w:rsidR="00834A58" w:rsidRDefault="00834A58" w:rsidP="008B4B16">
            <w:pPr>
              <w:pStyle w:val="TableText"/>
            </w:pPr>
            <w:r>
              <w:t>s 13</w:t>
            </w:r>
          </w:p>
        </w:tc>
      </w:tr>
      <w:tr w:rsidR="00834A58" w:rsidRPr="00E011C1" w14:paraId="24FFD645" w14:textId="77777777" w:rsidTr="008B4B16">
        <w:tc>
          <w:tcPr>
            <w:tcW w:w="3005" w:type="dxa"/>
          </w:tcPr>
          <w:p w14:paraId="7F14FE5A" w14:textId="77777777" w:rsidR="00834A58" w:rsidRPr="0018075B" w:rsidRDefault="002E59B2" w:rsidP="008B4B16">
            <w:pPr>
              <w:pStyle w:val="TableText"/>
              <w:rPr>
                <w:i/>
              </w:rPr>
            </w:pPr>
            <w:hyperlink r:id="rId115" w:history="1">
              <w:proofErr w:type="spellStart"/>
              <w:r w:rsidR="00834A58" w:rsidRPr="009A4693">
                <w:rPr>
                  <w:rStyle w:val="Hyperlink"/>
                  <w:i/>
                </w:rPr>
                <w:t>Wildin</w:t>
              </w:r>
              <w:proofErr w:type="spellEnd"/>
              <w:r w:rsidR="00834A58" w:rsidRPr="009A4693">
                <w:rPr>
                  <w:rStyle w:val="Hyperlink"/>
                  <w:i/>
                </w:rPr>
                <w:t xml:space="preserve"> v State of Queensland</w:t>
              </w:r>
            </w:hyperlink>
            <w:r w:rsidR="00834A58">
              <w:rPr>
                <w:i/>
              </w:rPr>
              <w:t xml:space="preserve"> </w:t>
            </w:r>
            <w:r w:rsidR="00834A58" w:rsidRPr="00803DB6">
              <w:t>[2020] QCAT 514 (9 December 2020) Hughes M</w:t>
            </w:r>
          </w:p>
        </w:tc>
        <w:tc>
          <w:tcPr>
            <w:tcW w:w="3005" w:type="dxa"/>
          </w:tcPr>
          <w:p w14:paraId="636EC4FE" w14:textId="77777777" w:rsidR="00834A58" w:rsidRDefault="00834A58" w:rsidP="008B4B16">
            <w:pPr>
              <w:pStyle w:val="TableText"/>
            </w:pPr>
            <w:r>
              <w:t>Anti-discrimination matter</w:t>
            </w:r>
          </w:p>
        </w:tc>
        <w:tc>
          <w:tcPr>
            <w:tcW w:w="3006" w:type="dxa"/>
          </w:tcPr>
          <w:p w14:paraId="2B883FAF" w14:textId="77777777" w:rsidR="00834A58" w:rsidRDefault="00834A58" w:rsidP="008B4B16">
            <w:pPr>
              <w:pStyle w:val="TableText"/>
            </w:pPr>
            <w:r>
              <w:t>ss 15, 19</w:t>
            </w:r>
          </w:p>
        </w:tc>
      </w:tr>
      <w:tr w:rsidR="00834A58" w:rsidRPr="00E011C1" w14:paraId="28283804" w14:textId="77777777" w:rsidTr="008B4B16">
        <w:tc>
          <w:tcPr>
            <w:tcW w:w="3005" w:type="dxa"/>
          </w:tcPr>
          <w:p w14:paraId="05CBE9AA" w14:textId="77777777" w:rsidR="00834A58" w:rsidRDefault="002E59B2" w:rsidP="008B4B16">
            <w:pPr>
              <w:pStyle w:val="TableText"/>
              <w:rPr>
                <w:i/>
              </w:rPr>
            </w:pPr>
            <w:hyperlink r:id="rId116" w:history="1">
              <w:r w:rsidR="00834A58" w:rsidRPr="00782D35">
                <w:rPr>
                  <w:rStyle w:val="Hyperlink"/>
                  <w:i/>
                </w:rPr>
                <w:t>VDG v Director-General, Department of Justice and Attorney-General</w:t>
              </w:r>
            </w:hyperlink>
            <w:r w:rsidR="00834A58" w:rsidRPr="00610C86">
              <w:t xml:space="preserve"> </w:t>
            </w:r>
            <w:r w:rsidR="00834A58">
              <w:t>[2020] QCAT 506 (15 December 2020) Kent, M</w:t>
            </w:r>
          </w:p>
        </w:tc>
        <w:tc>
          <w:tcPr>
            <w:tcW w:w="3005" w:type="dxa"/>
          </w:tcPr>
          <w:p w14:paraId="7ACFD501" w14:textId="77777777" w:rsidR="00834A58" w:rsidRDefault="00834A58" w:rsidP="008B4B16">
            <w:pPr>
              <w:pStyle w:val="TableText"/>
            </w:pPr>
            <w:r>
              <w:t>Blue card negative notice</w:t>
            </w:r>
          </w:p>
        </w:tc>
        <w:tc>
          <w:tcPr>
            <w:tcW w:w="3006" w:type="dxa"/>
          </w:tcPr>
          <w:p w14:paraId="122B74B0" w14:textId="77777777" w:rsidR="00834A58" w:rsidRDefault="00834A58" w:rsidP="008B4B16">
            <w:pPr>
              <w:pStyle w:val="TableText"/>
            </w:pPr>
            <w:r>
              <w:t>[60] refers to s 58, 108(2)</w:t>
            </w:r>
          </w:p>
        </w:tc>
      </w:tr>
      <w:tr w:rsidR="00834A58" w:rsidRPr="00E011C1" w14:paraId="6A873163" w14:textId="77777777" w:rsidTr="008B4B16">
        <w:tc>
          <w:tcPr>
            <w:tcW w:w="3005" w:type="dxa"/>
          </w:tcPr>
          <w:p w14:paraId="29F9AE26" w14:textId="77777777" w:rsidR="00834A58" w:rsidRDefault="002E59B2" w:rsidP="008B4B16">
            <w:pPr>
              <w:pStyle w:val="TableText"/>
              <w:rPr>
                <w:i/>
              </w:rPr>
            </w:pPr>
            <w:hyperlink r:id="rId117" w:history="1">
              <w:r w:rsidR="00834A58" w:rsidRPr="00782D35">
                <w:rPr>
                  <w:rStyle w:val="Hyperlink"/>
                  <w:i/>
                </w:rPr>
                <w:t>WW v  Director-General, Department of Justice and Attorney-General</w:t>
              </w:r>
            </w:hyperlink>
            <w:r w:rsidR="00834A58">
              <w:t xml:space="preserve"> [2021] QCAT 7 (8 January 2021) McDonnell, M</w:t>
            </w:r>
          </w:p>
        </w:tc>
        <w:tc>
          <w:tcPr>
            <w:tcW w:w="3005" w:type="dxa"/>
          </w:tcPr>
          <w:p w14:paraId="6A9AA039" w14:textId="77777777" w:rsidR="00834A58" w:rsidRDefault="00834A58" w:rsidP="008B4B16">
            <w:pPr>
              <w:pStyle w:val="TableText"/>
            </w:pPr>
            <w:r w:rsidRPr="00621709">
              <w:t>Blue card negative notice</w:t>
            </w:r>
          </w:p>
          <w:p w14:paraId="4901A24B" w14:textId="77777777" w:rsidR="00834A58" w:rsidRDefault="00834A58" w:rsidP="008B4B16">
            <w:pPr>
              <w:pStyle w:val="TableText"/>
            </w:pPr>
          </w:p>
        </w:tc>
        <w:tc>
          <w:tcPr>
            <w:tcW w:w="3006" w:type="dxa"/>
          </w:tcPr>
          <w:p w14:paraId="5EBBED30" w14:textId="77777777" w:rsidR="00834A58" w:rsidRDefault="00834A58" w:rsidP="008B4B16">
            <w:pPr>
              <w:pStyle w:val="TableText"/>
            </w:pPr>
            <w:r>
              <w:t>ss 13, 58</w:t>
            </w:r>
          </w:p>
        </w:tc>
      </w:tr>
      <w:tr w:rsidR="00834A58" w:rsidRPr="00E011C1" w14:paraId="5494B73C" w14:textId="77777777" w:rsidTr="008B4B16">
        <w:tc>
          <w:tcPr>
            <w:tcW w:w="3005" w:type="dxa"/>
          </w:tcPr>
          <w:p w14:paraId="5F7E92D5" w14:textId="77777777" w:rsidR="00834A58" w:rsidRPr="00530AB7" w:rsidRDefault="002E59B2" w:rsidP="008B4B16">
            <w:pPr>
              <w:pStyle w:val="TableText"/>
            </w:pPr>
            <w:hyperlink r:id="rId118" w:history="1">
              <w:r w:rsidR="00834A58" w:rsidRPr="00782D35">
                <w:rPr>
                  <w:rStyle w:val="Hyperlink"/>
                  <w:i/>
                </w:rPr>
                <w:t>SF v Department of Education</w:t>
              </w:r>
            </w:hyperlink>
            <w:r w:rsidR="00834A58">
              <w:rPr>
                <w:i/>
              </w:rPr>
              <w:t xml:space="preserve"> </w:t>
            </w:r>
            <w:r w:rsidR="00834A58">
              <w:t>[2021] QCAT 10 (13 January 2021) Hughes M</w:t>
            </w:r>
          </w:p>
        </w:tc>
        <w:tc>
          <w:tcPr>
            <w:tcW w:w="3005" w:type="dxa"/>
          </w:tcPr>
          <w:p w14:paraId="15D3D67D" w14:textId="77777777" w:rsidR="00834A58" w:rsidRDefault="00834A58" w:rsidP="008B4B16">
            <w:pPr>
              <w:pStyle w:val="TableText"/>
            </w:pPr>
            <w:r>
              <w:t>Review of administrative decision</w:t>
            </w:r>
          </w:p>
        </w:tc>
        <w:tc>
          <w:tcPr>
            <w:tcW w:w="3006" w:type="dxa"/>
          </w:tcPr>
          <w:p w14:paraId="7AD83C78" w14:textId="77777777" w:rsidR="00834A58" w:rsidRDefault="00834A58" w:rsidP="008B4B16">
            <w:pPr>
              <w:pStyle w:val="TableText"/>
            </w:pPr>
            <w:r>
              <w:t>ss 48, 58, 15, 26, 25, 36</w:t>
            </w:r>
          </w:p>
        </w:tc>
      </w:tr>
      <w:tr w:rsidR="00834A58" w:rsidRPr="00E011C1" w14:paraId="576D342D" w14:textId="77777777" w:rsidTr="008B4B16">
        <w:tc>
          <w:tcPr>
            <w:tcW w:w="3005" w:type="dxa"/>
          </w:tcPr>
          <w:p w14:paraId="68466B83" w14:textId="77777777" w:rsidR="00834A58" w:rsidRPr="003E09A7" w:rsidRDefault="002E59B2" w:rsidP="008B4B16">
            <w:pPr>
              <w:pStyle w:val="TableText"/>
              <w:rPr>
                <w:lang w:val="da-DK"/>
              </w:rPr>
            </w:pPr>
            <w:hyperlink r:id="rId119" w:history="1">
              <w:r w:rsidR="00834A58" w:rsidRPr="003E09A7">
                <w:rPr>
                  <w:rStyle w:val="Hyperlink"/>
                  <w:i/>
                  <w:lang w:val="da-DK"/>
                </w:rPr>
                <w:t>River Glen Haven Over 50s Village</w:t>
              </w:r>
            </w:hyperlink>
            <w:r w:rsidR="00834A58" w:rsidRPr="003E09A7">
              <w:rPr>
                <w:i/>
                <w:lang w:val="da-DK"/>
              </w:rPr>
              <w:t xml:space="preserve"> </w:t>
            </w:r>
            <w:r w:rsidR="00834A58" w:rsidRPr="003E09A7">
              <w:rPr>
                <w:lang w:val="da-DK"/>
              </w:rPr>
              <w:t>[2021] QCAT 26 (19 January 2021) Traves M</w:t>
            </w:r>
          </w:p>
        </w:tc>
        <w:tc>
          <w:tcPr>
            <w:tcW w:w="3005" w:type="dxa"/>
          </w:tcPr>
          <w:p w14:paraId="70975DF3" w14:textId="77777777" w:rsidR="00834A58" w:rsidRDefault="00834A58" w:rsidP="008B4B16">
            <w:pPr>
              <w:pStyle w:val="TableText"/>
            </w:pPr>
            <w:r>
              <w:t xml:space="preserve">Application for exemption to the </w:t>
            </w:r>
            <w:r w:rsidRPr="00D969C5">
              <w:rPr>
                <w:i/>
              </w:rPr>
              <w:t>Anti-Discrimination Act 1991</w:t>
            </w:r>
          </w:p>
        </w:tc>
        <w:tc>
          <w:tcPr>
            <w:tcW w:w="3006" w:type="dxa"/>
          </w:tcPr>
          <w:p w14:paraId="79FC198D" w14:textId="77777777" w:rsidR="00834A58" w:rsidRDefault="00834A58" w:rsidP="008B4B16">
            <w:pPr>
              <w:pStyle w:val="TableText"/>
            </w:pPr>
            <w:r>
              <w:t>[25] Given decision, no need to consider submissions by QHRC in relation to application of HRA</w:t>
            </w:r>
          </w:p>
        </w:tc>
      </w:tr>
      <w:tr w:rsidR="00834A58" w:rsidRPr="00E011C1" w14:paraId="69F6ABE4" w14:textId="77777777" w:rsidTr="008B4B16">
        <w:tc>
          <w:tcPr>
            <w:tcW w:w="3005" w:type="dxa"/>
          </w:tcPr>
          <w:p w14:paraId="1377893A" w14:textId="77777777" w:rsidR="00834A58" w:rsidRDefault="002E59B2" w:rsidP="008B4B16">
            <w:pPr>
              <w:pStyle w:val="TableText"/>
              <w:rPr>
                <w:i/>
              </w:rPr>
            </w:pPr>
            <w:hyperlink r:id="rId120" w:history="1">
              <w:r w:rsidR="00834A58" w:rsidRPr="00782D35">
                <w:rPr>
                  <w:rStyle w:val="Hyperlink"/>
                  <w:i/>
                </w:rPr>
                <w:t>ZB v v Director-General, Department of Justice and Attorney-General</w:t>
              </w:r>
            </w:hyperlink>
            <w:r w:rsidR="00834A58">
              <w:t xml:space="preserve"> [2021] QCAT 82 (9 March 2021) Deane M</w:t>
            </w:r>
          </w:p>
        </w:tc>
        <w:tc>
          <w:tcPr>
            <w:tcW w:w="3005" w:type="dxa"/>
          </w:tcPr>
          <w:p w14:paraId="6BD8389B" w14:textId="77777777" w:rsidR="00834A58" w:rsidRDefault="00834A58" w:rsidP="008B4B16">
            <w:pPr>
              <w:pStyle w:val="TableText"/>
            </w:pPr>
            <w:r>
              <w:t>Blue card negative notice</w:t>
            </w:r>
          </w:p>
        </w:tc>
        <w:tc>
          <w:tcPr>
            <w:tcW w:w="3006" w:type="dxa"/>
          </w:tcPr>
          <w:p w14:paraId="61007789" w14:textId="77777777" w:rsidR="00834A58" w:rsidRDefault="00834A58" w:rsidP="008B4B16">
            <w:pPr>
              <w:pStyle w:val="TableText"/>
            </w:pPr>
            <w:r>
              <w:t>ss 8, 13, 21, 23, 26, 27, 31,34, 36, 48, 58, 108</w:t>
            </w:r>
          </w:p>
        </w:tc>
      </w:tr>
      <w:tr w:rsidR="00834A58" w:rsidRPr="00E011C1" w14:paraId="25588D56" w14:textId="77777777" w:rsidTr="008B4B16">
        <w:tc>
          <w:tcPr>
            <w:tcW w:w="3005" w:type="dxa"/>
          </w:tcPr>
          <w:p w14:paraId="372D43F6" w14:textId="77777777" w:rsidR="00834A58" w:rsidRDefault="002E59B2" w:rsidP="008B4B16">
            <w:pPr>
              <w:pStyle w:val="TableText"/>
              <w:rPr>
                <w:i/>
              </w:rPr>
            </w:pPr>
            <w:hyperlink r:id="rId121" w:history="1">
              <w:r w:rsidR="00834A58" w:rsidRPr="00782D35">
                <w:rPr>
                  <w:rStyle w:val="Hyperlink"/>
                  <w:i/>
                </w:rPr>
                <w:t>TSG v Director-General, Department of Justice and Attorney-General</w:t>
              </w:r>
            </w:hyperlink>
            <w:r w:rsidR="00834A58">
              <w:t xml:space="preserve"> [2021] QCAT 98 (16 March 2021) Deane, M</w:t>
            </w:r>
          </w:p>
        </w:tc>
        <w:tc>
          <w:tcPr>
            <w:tcW w:w="3005" w:type="dxa"/>
          </w:tcPr>
          <w:p w14:paraId="5E95110D" w14:textId="77777777" w:rsidR="00834A58" w:rsidRDefault="00834A58" w:rsidP="008B4B16">
            <w:pPr>
              <w:pStyle w:val="TableText"/>
            </w:pPr>
            <w:r>
              <w:t>Blue card negative notice</w:t>
            </w:r>
          </w:p>
        </w:tc>
        <w:tc>
          <w:tcPr>
            <w:tcW w:w="3006" w:type="dxa"/>
          </w:tcPr>
          <w:p w14:paraId="17BC1404" w14:textId="77777777" w:rsidR="00834A58" w:rsidRDefault="00834A58" w:rsidP="008B4B16">
            <w:pPr>
              <w:pStyle w:val="TableText"/>
            </w:pPr>
            <w:r>
              <w:t>ss 8, 13, 21, 23, 26, 27, 28, 31, 34, 36, 58, 108</w:t>
            </w:r>
          </w:p>
        </w:tc>
      </w:tr>
      <w:tr w:rsidR="00834A58" w:rsidRPr="00E011C1" w14:paraId="668A014A" w14:textId="77777777" w:rsidTr="008B4B16">
        <w:tc>
          <w:tcPr>
            <w:tcW w:w="3005" w:type="dxa"/>
          </w:tcPr>
          <w:p w14:paraId="5132D257" w14:textId="77777777" w:rsidR="00834A58" w:rsidRPr="00965D2D" w:rsidRDefault="002E59B2" w:rsidP="008B4B16">
            <w:pPr>
              <w:pStyle w:val="TableText"/>
            </w:pPr>
            <w:hyperlink r:id="rId122" w:history="1">
              <w:r w:rsidR="00834A58" w:rsidRPr="00782D35">
                <w:rPr>
                  <w:rStyle w:val="Hyperlink"/>
                  <w:i/>
                </w:rPr>
                <w:t>HH</w:t>
              </w:r>
            </w:hyperlink>
            <w:r w:rsidR="00834A58">
              <w:rPr>
                <w:i/>
              </w:rPr>
              <w:t xml:space="preserve"> </w:t>
            </w:r>
            <w:r w:rsidR="00834A58">
              <w:t>[2021] QCAT 103 (23 March 2021) Traves M</w:t>
            </w:r>
          </w:p>
        </w:tc>
        <w:tc>
          <w:tcPr>
            <w:tcW w:w="3005" w:type="dxa"/>
          </w:tcPr>
          <w:p w14:paraId="25BC32FE" w14:textId="77777777" w:rsidR="00834A58" w:rsidRDefault="00834A58" w:rsidP="008B4B16">
            <w:pPr>
              <w:pStyle w:val="TableText"/>
            </w:pPr>
            <w:r>
              <w:t>Guardianship and administrative matters for adults</w:t>
            </w:r>
          </w:p>
        </w:tc>
        <w:tc>
          <w:tcPr>
            <w:tcW w:w="3006" w:type="dxa"/>
          </w:tcPr>
          <w:p w14:paraId="3FFCF684" w14:textId="77777777" w:rsidR="00834A58" w:rsidRDefault="00834A58" w:rsidP="008B4B16">
            <w:pPr>
              <w:pStyle w:val="TableText"/>
            </w:pPr>
            <w:r>
              <w:t>s 9(4)</w:t>
            </w:r>
          </w:p>
        </w:tc>
      </w:tr>
      <w:tr w:rsidR="00834A58" w:rsidRPr="00E011C1" w14:paraId="4859A3CF" w14:textId="77777777" w:rsidTr="008B4B16">
        <w:tc>
          <w:tcPr>
            <w:tcW w:w="3005" w:type="dxa"/>
          </w:tcPr>
          <w:p w14:paraId="57605DD5" w14:textId="77777777" w:rsidR="00834A58" w:rsidRPr="008D2DC7" w:rsidRDefault="002E59B2" w:rsidP="008B4B16">
            <w:pPr>
              <w:pStyle w:val="TableText"/>
            </w:pPr>
            <w:hyperlink r:id="rId123" w:history="1">
              <w:proofErr w:type="spellStart"/>
              <w:r w:rsidR="00834A58" w:rsidRPr="00262C0C">
                <w:rPr>
                  <w:rStyle w:val="Hyperlink"/>
                  <w:i/>
                </w:rPr>
                <w:t>Fernwood</w:t>
              </w:r>
              <w:proofErr w:type="spellEnd"/>
              <w:r w:rsidR="00834A58" w:rsidRPr="00262C0C">
                <w:rPr>
                  <w:rStyle w:val="Hyperlink"/>
                  <w:i/>
                </w:rPr>
                <w:t xml:space="preserve"> </w:t>
              </w:r>
              <w:proofErr w:type="spellStart"/>
              <w:r w:rsidR="00834A58" w:rsidRPr="00262C0C">
                <w:rPr>
                  <w:rStyle w:val="Hyperlink"/>
                  <w:i/>
                </w:rPr>
                <w:t>Womens</w:t>
              </w:r>
              <w:proofErr w:type="spellEnd"/>
              <w:r w:rsidR="00834A58" w:rsidRPr="00262C0C">
                <w:rPr>
                  <w:rStyle w:val="Hyperlink"/>
                  <w:i/>
                </w:rPr>
                <w:t xml:space="preserve"> Health Clubs (Australia Pty Ltd</w:t>
              </w:r>
            </w:hyperlink>
            <w:r w:rsidR="00834A58">
              <w:rPr>
                <w:i/>
              </w:rPr>
              <w:t xml:space="preserve"> </w:t>
            </w:r>
            <w:r w:rsidR="00834A58">
              <w:t>[2021] QCAT 164 (14 April 2021)</w:t>
            </w:r>
          </w:p>
        </w:tc>
        <w:tc>
          <w:tcPr>
            <w:tcW w:w="3005" w:type="dxa"/>
          </w:tcPr>
          <w:p w14:paraId="26FC8813" w14:textId="77777777" w:rsidR="00834A58" w:rsidRPr="008D2DC7" w:rsidRDefault="00834A58" w:rsidP="008B4B16">
            <w:pPr>
              <w:pStyle w:val="TableText"/>
            </w:pPr>
            <w:r w:rsidRPr="008D2DC7">
              <w:rPr>
                <w:shd w:val="clear" w:color="auto" w:fill="FFFFFF"/>
              </w:rPr>
              <w:t>Application for exemption – </w:t>
            </w:r>
            <w:r w:rsidRPr="008D2DC7">
              <w:rPr>
                <w:rStyle w:val="HTMLCite"/>
                <w:rFonts w:cs="Arial"/>
                <w:shd w:val="clear" w:color="auto" w:fill="FFFFFF"/>
              </w:rPr>
              <w:t>Anti-Discrimination Act 1991</w:t>
            </w:r>
          </w:p>
        </w:tc>
        <w:tc>
          <w:tcPr>
            <w:tcW w:w="3006" w:type="dxa"/>
          </w:tcPr>
          <w:p w14:paraId="40FD169F" w14:textId="77777777" w:rsidR="00834A58" w:rsidRDefault="00834A58" w:rsidP="008B4B16">
            <w:pPr>
              <w:pStyle w:val="TableText"/>
            </w:pPr>
            <w:r>
              <w:t>ss 9, 58, 15</w:t>
            </w:r>
          </w:p>
        </w:tc>
      </w:tr>
    </w:tbl>
    <w:p w14:paraId="7049B9AC" w14:textId="77777777" w:rsidR="006E63B8" w:rsidRDefault="006E63B8" w:rsidP="008B4B16">
      <w:pPr>
        <w:pStyle w:val="Heading1"/>
        <w:rPr>
          <w:color w:val="373D42"/>
        </w:rPr>
      </w:pPr>
      <w:bookmarkStart w:id="692" w:name="_Toc85526776"/>
      <w:bookmarkStart w:id="693" w:name="_Toc85787191"/>
    </w:p>
    <w:p w14:paraId="585A7DC9" w14:textId="77777777" w:rsidR="006E63B8" w:rsidRDefault="006E63B8">
      <w:pPr>
        <w:keepLines w:val="0"/>
        <w:widowControl/>
        <w:spacing w:line="259" w:lineRule="auto"/>
        <w:ind w:right="0"/>
        <w:rPr>
          <w:rFonts w:eastAsia="Times New Roman" w:cs="Times New Roman"/>
          <w:bCs/>
          <w:color w:val="373D42"/>
          <w:kern w:val="36"/>
          <w:sz w:val="48"/>
          <w:szCs w:val="48"/>
          <w:lang w:eastAsia="en-AU"/>
        </w:rPr>
      </w:pPr>
      <w:r>
        <w:rPr>
          <w:color w:val="373D42"/>
        </w:rPr>
        <w:br w:type="page"/>
      </w:r>
    </w:p>
    <w:p w14:paraId="1537F629" w14:textId="5764FD69" w:rsidR="00834A58" w:rsidRDefault="00834A58" w:rsidP="008B4B16">
      <w:pPr>
        <w:pStyle w:val="Heading1"/>
        <w:rPr>
          <w:color w:val="373D42"/>
        </w:rPr>
      </w:pPr>
      <w:r w:rsidRPr="008B4B16">
        <w:rPr>
          <w:color w:val="373D42"/>
        </w:rPr>
        <w:lastRenderedPageBreak/>
        <w:t>Queensland Industrial Relations Commission</w:t>
      </w:r>
      <w:bookmarkEnd w:id="692"/>
      <w:bookmarkEnd w:id="693"/>
    </w:p>
    <w:p w14:paraId="4A3FAE7B" w14:textId="3A131870" w:rsidR="006E63B8" w:rsidRPr="008B4B16" w:rsidRDefault="0063315E" w:rsidP="0063315E">
      <w:pPr>
        <w:keepLines w:val="0"/>
        <w:widowControl/>
        <w:spacing w:after="200" w:line="288" w:lineRule="auto"/>
        <w:ind w:right="2268"/>
        <w:rPr>
          <w:color w:val="373D42"/>
        </w:rPr>
      </w:pPr>
      <w:r w:rsidRPr="0063315E">
        <w:rPr>
          <w:rFonts w:eastAsiaTheme="minorEastAsia" w:cs="Arial"/>
          <w:b/>
          <w:bCs/>
          <w:i/>
          <w:iCs/>
          <w:color w:val="383D41"/>
          <w:sz w:val="20"/>
          <w:szCs w:val="18"/>
        </w:rPr>
        <w:t>Table 1</w:t>
      </w:r>
      <w:r>
        <w:rPr>
          <w:rFonts w:eastAsiaTheme="minorEastAsia" w:cs="Arial"/>
          <w:b/>
          <w:bCs/>
          <w:i/>
          <w:iCs/>
          <w:color w:val="383D41"/>
          <w:sz w:val="20"/>
          <w:szCs w:val="18"/>
        </w:rPr>
        <w:t>9</w:t>
      </w:r>
      <w:r w:rsidRPr="0063315E">
        <w:rPr>
          <w:rFonts w:eastAsiaTheme="minorEastAsia" w:cs="Arial"/>
          <w:b/>
          <w:bCs/>
          <w:i/>
          <w:iCs/>
          <w:color w:val="383D41"/>
          <w:sz w:val="20"/>
          <w:szCs w:val="18"/>
        </w:rPr>
        <w:t>: Considerations or mentions of the Act in the Queensland Industrial Relations Commission, 2020</w:t>
      </w:r>
      <w:r>
        <w:rPr>
          <w:rFonts w:eastAsiaTheme="minorEastAsia" w:cs="Arial"/>
          <w:b/>
          <w:bCs/>
          <w:i/>
          <w:iCs/>
          <w:color w:val="383D41"/>
          <w:sz w:val="20"/>
          <w:szCs w:val="18"/>
        </w:rPr>
        <w:t>-21</w:t>
      </w:r>
    </w:p>
    <w:tbl>
      <w:tblPr>
        <w:tblStyle w:val="TableGrid"/>
        <w:tblW w:w="0" w:type="auto"/>
        <w:tblBorders>
          <w:top w:val="single" w:sz="4" w:space="0" w:color="373D42"/>
          <w:left w:val="none" w:sz="0" w:space="0" w:color="auto"/>
          <w:bottom w:val="single" w:sz="4" w:space="0" w:color="373D42"/>
          <w:right w:val="none" w:sz="0" w:space="0" w:color="auto"/>
          <w:insideH w:val="single" w:sz="4" w:space="0" w:color="373D42"/>
          <w:insideV w:val="none" w:sz="0" w:space="0" w:color="auto"/>
        </w:tblBorders>
        <w:tblLook w:val="04A0" w:firstRow="1" w:lastRow="0" w:firstColumn="1" w:lastColumn="0" w:noHBand="0" w:noVBand="1"/>
      </w:tblPr>
      <w:tblGrid>
        <w:gridCol w:w="3005"/>
        <w:gridCol w:w="3005"/>
        <w:gridCol w:w="3006"/>
      </w:tblGrid>
      <w:tr w:rsidR="008B4B16" w:rsidRPr="008B4B16" w14:paraId="7695DA38" w14:textId="77777777" w:rsidTr="008B4B16">
        <w:tc>
          <w:tcPr>
            <w:tcW w:w="3005" w:type="dxa"/>
          </w:tcPr>
          <w:p w14:paraId="1EEB5086" w14:textId="77777777" w:rsidR="00834A58" w:rsidRPr="008B4B16" w:rsidRDefault="00834A58" w:rsidP="008B4B16">
            <w:pPr>
              <w:pStyle w:val="TableTextHeading"/>
              <w:rPr>
                <w:color w:val="373D42"/>
              </w:rPr>
            </w:pPr>
            <w:r w:rsidRPr="008B4B16">
              <w:rPr>
                <w:color w:val="373D42"/>
              </w:rPr>
              <w:t>Case</w:t>
            </w:r>
          </w:p>
        </w:tc>
        <w:tc>
          <w:tcPr>
            <w:tcW w:w="3005" w:type="dxa"/>
          </w:tcPr>
          <w:p w14:paraId="447CDF0D" w14:textId="77777777" w:rsidR="00834A58" w:rsidRPr="008B4B16" w:rsidRDefault="00834A58" w:rsidP="008B4B16">
            <w:pPr>
              <w:pStyle w:val="TableTextHeading"/>
              <w:rPr>
                <w:color w:val="373D42"/>
              </w:rPr>
            </w:pPr>
            <w:r w:rsidRPr="008B4B16">
              <w:rPr>
                <w:color w:val="373D42"/>
              </w:rPr>
              <w:t>Cause of action</w:t>
            </w:r>
          </w:p>
        </w:tc>
        <w:tc>
          <w:tcPr>
            <w:tcW w:w="3006" w:type="dxa"/>
          </w:tcPr>
          <w:p w14:paraId="0585BC4F" w14:textId="77777777" w:rsidR="00834A58" w:rsidRPr="008B4B16" w:rsidRDefault="00834A58" w:rsidP="008B4B16">
            <w:pPr>
              <w:pStyle w:val="TableTextHeading"/>
              <w:rPr>
                <w:color w:val="373D42"/>
              </w:rPr>
            </w:pPr>
            <w:r w:rsidRPr="008B4B16">
              <w:rPr>
                <w:i/>
                <w:color w:val="373D42"/>
              </w:rPr>
              <w:t>Human Rights Act 2019</w:t>
            </w:r>
            <w:r w:rsidRPr="008B4B16">
              <w:rPr>
                <w:color w:val="373D42"/>
              </w:rPr>
              <w:t xml:space="preserve"> sections</w:t>
            </w:r>
          </w:p>
        </w:tc>
      </w:tr>
      <w:tr w:rsidR="00834A58" w:rsidRPr="00E011C1" w14:paraId="33E4923C" w14:textId="77777777" w:rsidTr="008B4B16">
        <w:tc>
          <w:tcPr>
            <w:tcW w:w="3005" w:type="dxa"/>
          </w:tcPr>
          <w:p w14:paraId="6DE18709" w14:textId="77777777" w:rsidR="00834A58" w:rsidRPr="00E011C1" w:rsidRDefault="002E59B2" w:rsidP="008B4B16">
            <w:pPr>
              <w:pStyle w:val="TableText"/>
            </w:pPr>
            <w:hyperlink r:id="rId124" w:history="1">
              <w:r w:rsidR="00834A58" w:rsidRPr="00262C0C">
                <w:rPr>
                  <w:rStyle w:val="Hyperlink"/>
                  <w:rFonts w:cs="Arial"/>
                  <w:i/>
                </w:rPr>
                <w:t>Mohr-Edgar v State of Queensland (Legal Aid Queensland)</w:t>
              </w:r>
            </w:hyperlink>
            <w:r w:rsidR="00834A58">
              <w:t xml:space="preserve"> [2020] QIRC 136 (31 August 2020) Pidgeon IC</w:t>
            </w:r>
          </w:p>
        </w:tc>
        <w:tc>
          <w:tcPr>
            <w:tcW w:w="3005" w:type="dxa"/>
          </w:tcPr>
          <w:p w14:paraId="0006454E" w14:textId="77777777" w:rsidR="00834A58" w:rsidRPr="00E011C1" w:rsidRDefault="00834A58" w:rsidP="008B4B16">
            <w:pPr>
              <w:pStyle w:val="TableText"/>
            </w:pPr>
            <w:r>
              <w:t>Discrimination (interlocutory)</w:t>
            </w:r>
          </w:p>
        </w:tc>
        <w:tc>
          <w:tcPr>
            <w:tcW w:w="3006" w:type="dxa"/>
          </w:tcPr>
          <w:p w14:paraId="0B9D7D82" w14:textId="77777777" w:rsidR="00834A58" w:rsidRPr="00E011C1" w:rsidRDefault="00834A58" w:rsidP="008B4B16">
            <w:pPr>
              <w:pStyle w:val="TableText"/>
            </w:pPr>
            <w:r>
              <w:t>s 25</w:t>
            </w:r>
          </w:p>
        </w:tc>
      </w:tr>
      <w:tr w:rsidR="00834A58" w:rsidRPr="00E011C1" w14:paraId="2122A933" w14:textId="77777777" w:rsidTr="008B4B16">
        <w:tc>
          <w:tcPr>
            <w:tcW w:w="3005" w:type="dxa"/>
          </w:tcPr>
          <w:p w14:paraId="62CADD28" w14:textId="77777777" w:rsidR="00834A58" w:rsidRPr="00A1617D" w:rsidRDefault="002E59B2" w:rsidP="008B4B16">
            <w:pPr>
              <w:pStyle w:val="TableText"/>
            </w:pPr>
            <w:hyperlink r:id="rId125" w:history="1">
              <w:r w:rsidR="00834A58" w:rsidRPr="00262C0C">
                <w:rPr>
                  <w:rStyle w:val="Hyperlink"/>
                  <w:rFonts w:cs="Arial"/>
                  <w:i/>
                </w:rPr>
                <w:t>Re Ipswich City Council</w:t>
              </w:r>
            </w:hyperlink>
            <w:r w:rsidR="00834A58">
              <w:rPr>
                <w:i/>
              </w:rPr>
              <w:t xml:space="preserve"> </w:t>
            </w:r>
            <w:r w:rsidR="00834A58">
              <w:t>[2020] QIRC 194 (17 November 2020) Merrell DP</w:t>
            </w:r>
          </w:p>
        </w:tc>
        <w:tc>
          <w:tcPr>
            <w:tcW w:w="3005" w:type="dxa"/>
          </w:tcPr>
          <w:p w14:paraId="1B933B99" w14:textId="77777777" w:rsidR="00834A58" w:rsidRDefault="00834A58" w:rsidP="008B4B16">
            <w:pPr>
              <w:pStyle w:val="TableText"/>
            </w:pPr>
            <w:r>
              <w:t>Discrimination (application for exemption)</w:t>
            </w:r>
          </w:p>
        </w:tc>
        <w:tc>
          <w:tcPr>
            <w:tcW w:w="3006" w:type="dxa"/>
          </w:tcPr>
          <w:p w14:paraId="7A621DEB" w14:textId="77777777" w:rsidR="00834A58" w:rsidRDefault="00834A58" w:rsidP="008B4B16">
            <w:pPr>
              <w:pStyle w:val="TableText"/>
            </w:pPr>
            <w:r>
              <w:t>ss 5, 7, 8, 9, 13, 15, 48, 58</w:t>
            </w:r>
          </w:p>
        </w:tc>
      </w:tr>
      <w:tr w:rsidR="00834A58" w:rsidRPr="00E011C1" w14:paraId="3C5480C9" w14:textId="77777777" w:rsidTr="008B4B16">
        <w:tc>
          <w:tcPr>
            <w:tcW w:w="3005" w:type="dxa"/>
          </w:tcPr>
          <w:p w14:paraId="49C1C180" w14:textId="77777777" w:rsidR="00834A58" w:rsidRPr="00F92969" w:rsidRDefault="002E59B2" w:rsidP="008B4B16">
            <w:pPr>
              <w:pStyle w:val="TableText"/>
            </w:pPr>
            <w:hyperlink r:id="rId126" w:history="1">
              <w:r w:rsidR="00834A58" w:rsidRPr="00262C0C">
                <w:rPr>
                  <w:rStyle w:val="Hyperlink"/>
                  <w:rFonts w:cs="Arial"/>
                  <w:i/>
                </w:rPr>
                <w:t>Wilson v State of Queensland (Public Trust Office</w:t>
              </w:r>
            </w:hyperlink>
            <w:r w:rsidR="00834A58">
              <w:rPr>
                <w:i/>
              </w:rPr>
              <w:t xml:space="preserve">) </w:t>
            </w:r>
            <w:r w:rsidR="00834A58">
              <w:t>[2021] QIRC 84 (16 March 2021) Dwyer IC</w:t>
            </w:r>
          </w:p>
        </w:tc>
        <w:tc>
          <w:tcPr>
            <w:tcW w:w="3005" w:type="dxa"/>
          </w:tcPr>
          <w:p w14:paraId="29291947" w14:textId="77777777" w:rsidR="00834A58" w:rsidRDefault="00834A58" w:rsidP="008B4B16">
            <w:pPr>
              <w:pStyle w:val="TableText"/>
            </w:pPr>
            <w:r>
              <w:t>Public service appeal – appointment to position at higher level</w:t>
            </w:r>
          </w:p>
        </w:tc>
        <w:tc>
          <w:tcPr>
            <w:tcW w:w="3006" w:type="dxa"/>
          </w:tcPr>
          <w:p w14:paraId="28BB811A" w14:textId="77777777" w:rsidR="00834A58" w:rsidRDefault="00834A58" w:rsidP="008B4B16">
            <w:pPr>
              <w:pStyle w:val="TableText"/>
            </w:pPr>
            <w:r>
              <w:t>[22] mention of HRA</w:t>
            </w:r>
          </w:p>
        </w:tc>
      </w:tr>
      <w:tr w:rsidR="00834A58" w:rsidRPr="00E011C1" w14:paraId="715484DF" w14:textId="77777777" w:rsidTr="008B4B16">
        <w:tc>
          <w:tcPr>
            <w:tcW w:w="3005" w:type="dxa"/>
          </w:tcPr>
          <w:p w14:paraId="10DD7DA8" w14:textId="77777777" w:rsidR="00834A58" w:rsidRPr="001036E7" w:rsidRDefault="002E59B2" w:rsidP="008B4B16">
            <w:pPr>
              <w:pStyle w:val="TableText"/>
            </w:pPr>
            <w:hyperlink r:id="rId127" w:history="1">
              <w:r w:rsidR="00834A58" w:rsidRPr="00262C0C">
                <w:rPr>
                  <w:rStyle w:val="Hyperlink"/>
                  <w:rFonts w:cs="Arial"/>
                  <w:i/>
                </w:rPr>
                <w:t>Mancini v State of Queensland (Queensland Fire and Emergency Services)</w:t>
              </w:r>
            </w:hyperlink>
            <w:r w:rsidR="00834A58">
              <w:rPr>
                <w:i/>
              </w:rPr>
              <w:t xml:space="preserve"> </w:t>
            </w:r>
            <w:r w:rsidR="00834A58">
              <w:t>[2021] QIRC 192 (2 June 2021) McLennan IC</w:t>
            </w:r>
          </w:p>
        </w:tc>
        <w:tc>
          <w:tcPr>
            <w:tcW w:w="3005" w:type="dxa"/>
          </w:tcPr>
          <w:p w14:paraId="1C2A5952" w14:textId="77777777" w:rsidR="00834A58" w:rsidRDefault="00834A58" w:rsidP="008B4B16">
            <w:pPr>
              <w:pStyle w:val="TableText"/>
            </w:pPr>
            <w:r>
              <w:t>Anti-discrimination – application in existing proceeding</w:t>
            </w:r>
          </w:p>
        </w:tc>
        <w:tc>
          <w:tcPr>
            <w:tcW w:w="3006" w:type="dxa"/>
          </w:tcPr>
          <w:p w14:paraId="1FB1569D" w14:textId="77777777" w:rsidR="00834A58" w:rsidRDefault="00834A58" w:rsidP="008B4B16">
            <w:pPr>
              <w:pStyle w:val="TableText"/>
            </w:pPr>
            <w:r>
              <w:t>s 15</w:t>
            </w:r>
          </w:p>
        </w:tc>
      </w:tr>
      <w:tr w:rsidR="00834A58" w:rsidRPr="00E011C1" w14:paraId="7098A06B" w14:textId="77777777" w:rsidTr="008B4B16">
        <w:tc>
          <w:tcPr>
            <w:tcW w:w="3005" w:type="dxa"/>
          </w:tcPr>
          <w:p w14:paraId="527A55EC" w14:textId="77777777" w:rsidR="00834A58" w:rsidRDefault="002E59B2" w:rsidP="008B4B16">
            <w:pPr>
              <w:pStyle w:val="TableText"/>
              <w:rPr>
                <w:i/>
              </w:rPr>
            </w:pPr>
            <w:hyperlink r:id="rId128" w:history="1">
              <w:r w:rsidR="00834A58" w:rsidRPr="00262C0C">
                <w:rPr>
                  <w:rStyle w:val="Hyperlink"/>
                  <w:rFonts w:cs="Arial"/>
                  <w:i/>
                </w:rPr>
                <w:t>Dean-</w:t>
              </w:r>
              <w:proofErr w:type="spellStart"/>
              <w:r w:rsidR="00834A58" w:rsidRPr="00262C0C">
                <w:rPr>
                  <w:rStyle w:val="Hyperlink"/>
                  <w:rFonts w:cs="Arial"/>
                  <w:i/>
                </w:rPr>
                <w:t>Braieoux</w:t>
              </w:r>
              <w:proofErr w:type="spellEnd"/>
              <w:r w:rsidR="00834A58" w:rsidRPr="00262C0C">
                <w:rPr>
                  <w:rStyle w:val="Hyperlink"/>
                  <w:rFonts w:cs="Arial"/>
                  <w:i/>
                </w:rPr>
                <w:t xml:space="preserve"> v State of Queensland (Queensland Police Service</w:t>
              </w:r>
              <w:r w:rsidR="00834A58" w:rsidRPr="00262C0C">
                <w:rPr>
                  <w:rStyle w:val="Hyperlink"/>
                  <w:rFonts w:cs="Arial"/>
                </w:rPr>
                <w:t>)</w:t>
              </w:r>
            </w:hyperlink>
            <w:r w:rsidR="00834A58" w:rsidRPr="006740CF">
              <w:t xml:space="preserve"> [2021] QIRC 209 (11 June 2021) Merrell DP</w:t>
            </w:r>
          </w:p>
        </w:tc>
        <w:tc>
          <w:tcPr>
            <w:tcW w:w="3005" w:type="dxa"/>
          </w:tcPr>
          <w:p w14:paraId="3A3F22C4" w14:textId="77777777" w:rsidR="00834A58" w:rsidRDefault="00834A58" w:rsidP="008B4B16">
            <w:pPr>
              <w:pStyle w:val="TableText"/>
            </w:pPr>
            <w:r>
              <w:t>Public service appeal – decision made under a Directive</w:t>
            </w:r>
          </w:p>
        </w:tc>
        <w:tc>
          <w:tcPr>
            <w:tcW w:w="3006" w:type="dxa"/>
          </w:tcPr>
          <w:p w14:paraId="23257F7D" w14:textId="77777777" w:rsidR="00834A58" w:rsidRDefault="00834A58" w:rsidP="008B4B16">
            <w:pPr>
              <w:pStyle w:val="TableText"/>
            </w:pPr>
            <w:r>
              <w:t>ss 15, 25, 26, 29, 37</w:t>
            </w:r>
          </w:p>
        </w:tc>
      </w:tr>
      <w:tr w:rsidR="00834A58" w:rsidRPr="00E011C1" w14:paraId="6B58F39B" w14:textId="77777777" w:rsidTr="008B4B16">
        <w:tc>
          <w:tcPr>
            <w:tcW w:w="3005" w:type="dxa"/>
          </w:tcPr>
          <w:p w14:paraId="2A4F2A0D" w14:textId="77777777" w:rsidR="00834A58" w:rsidRPr="003E09A7" w:rsidRDefault="002E59B2" w:rsidP="008B4B16">
            <w:pPr>
              <w:pStyle w:val="TableText"/>
              <w:rPr>
                <w:lang w:val="es-ES"/>
              </w:rPr>
            </w:pPr>
            <w:hyperlink r:id="rId129" w:history="1">
              <w:r w:rsidR="00834A58" w:rsidRPr="003E09A7">
                <w:rPr>
                  <w:rStyle w:val="Hyperlink"/>
                  <w:rFonts w:cs="Arial"/>
                  <w:i/>
                  <w:lang w:val="es-ES"/>
                </w:rPr>
                <w:t xml:space="preserve">Re: </w:t>
              </w:r>
              <w:proofErr w:type="spellStart"/>
              <w:r w:rsidR="00834A58" w:rsidRPr="003E09A7">
                <w:rPr>
                  <w:rStyle w:val="Hyperlink"/>
                  <w:rFonts w:cs="Arial"/>
                  <w:i/>
                  <w:lang w:val="es-ES"/>
                </w:rPr>
                <w:t>Leidos</w:t>
              </w:r>
              <w:proofErr w:type="spellEnd"/>
              <w:r w:rsidR="00834A58" w:rsidRPr="003E09A7">
                <w:rPr>
                  <w:rStyle w:val="Hyperlink"/>
                  <w:rFonts w:cs="Arial"/>
                  <w:i/>
                  <w:lang w:val="es-ES"/>
                </w:rPr>
                <w:t xml:space="preserve"> Australia </w:t>
              </w:r>
              <w:proofErr w:type="spellStart"/>
              <w:r w:rsidR="00834A58" w:rsidRPr="003E09A7">
                <w:rPr>
                  <w:rStyle w:val="Hyperlink"/>
                  <w:rFonts w:cs="Arial"/>
                  <w:i/>
                  <w:lang w:val="es-ES"/>
                </w:rPr>
                <w:t>Pty</w:t>
              </w:r>
              <w:proofErr w:type="spellEnd"/>
              <w:r w:rsidR="00834A58" w:rsidRPr="003E09A7">
                <w:rPr>
                  <w:rStyle w:val="Hyperlink"/>
                  <w:rFonts w:cs="Arial"/>
                  <w:i/>
                  <w:lang w:val="es-ES"/>
                </w:rPr>
                <w:t xml:space="preserve"> </w:t>
              </w:r>
              <w:proofErr w:type="spellStart"/>
              <w:r w:rsidR="00834A58" w:rsidRPr="003E09A7">
                <w:rPr>
                  <w:rStyle w:val="Hyperlink"/>
                  <w:rFonts w:cs="Arial"/>
                  <w:i/>
                  <w:lang w:val="es-ES"/>
                </w:rPr>
                <w:t>Ltd</w:t>
              </w:r>
              <w:proofErr w:type="spellEnd"/>
            </w:hyperlink>
            <w:r w:rsidR="00834A58" w:rsidRPr="003E09A7">
              <w:rPr>
                <w:lang w:val="es-ES"/>
              </w:rPr>
              <w:t xml:space="preserve"> [2021] QIRC 229 (28 June 2021) </w:t>
            </w:r>
            <w:proofErr w:type="spellStart"/>
            <w:r w:rsidR="00834A58" w:rsidRPr="003E09A7">
              <w:rPr>
                <w:lang w:val="es-ES"/>
              </w:rPr>
              <w:t>Hartigan</w:t>
            </w:r>
            <w:proofErr w:type="spellEnd"/>
            <w:r w:rsidR="00834A58" w:rsidRPr="003E09A7">
              <w:rPr>
                <w:lang w:val="es-ES"/>
              </w:rPr>
              <w:t xml:space="preserve"> IC</w:t>
            </w:r>
          </w:p>
        </w:tc>
        <w:tc>
          <w:tcPr>
            <w:tcW w:w="3005" w:type="dxa"/>
          </w:tcPr>
          <w:p w14:paraId="3A0CEDE5" w14:textId="77777777" w:rsidR="00834A58" w:rsidRDefault="00834A58" w:rsidP="008B4B16">
            <w:pPr>
              <w:pStyle w:val="TableText"/>
            </w:pPr>
            <w:r>
              <w:t>Discrimination (application for exemption)</w:t>
            </w:r>
          </w:p>
        </w:tc>
        <w:tc>
          <w:tcPr>
            <w:tcW w:w="3006" w:type="dxa"/>
          </w:tcPr>
          <w:p w14:paraId="1D0F345F" w14:textId="77777777" w:rsidR="00834A58" w:rsidRDefault="00834A58" w:rsidP="008B4B16">
            <w:pPr>
              <w:pStyle w:val="TableText"/>
            </w:pPr>
            <w:r>
              <w:t>ss 3, 4, 5, 7, 8, 9, 13, 15, 25, 48, 58</w:t>
            </w:r>
          </w:p>
        </w:tc>
      </w:tr>
    </w:tbl>
    <w:p w14:paraId="5BE8D4BA" w14:textId="1939D072" w:rsidR="00EE05C4" w:rsidRDefault="00EE05C4">
      <w:pPr>
        <w:spacing w:line="259" w:lineRule="auto"/>
        <w:ind w:right="0"/>
        <w:rPr>
          <w:rFonts w:cs="Arial"/>
          <w:color w:val="000000" w:themeColor="text1"/>
        </w:rPr>
      </w:pPr>
      <w:r>
        <w:rPr>
          <w:rFonts w:cs="Arial"/>
          <w:color w:val="000000" w:themeColor="text1"/>
        </w:rPr>
        <w:br w:type="page"/>
      </w:r>
    </w:p>
    <w:p w14:paraId="61BD7269" w14:textId="5FA025BA" w:rsidR="00F63B5D" w:rsidRDefault="008B4B16" w:rsidP="008A4051">
      <w:pPr>
        <w:rPr>
          <w:rFonts w:cs="Arial"/>
          <w:color w:val="000000" w:themeColor="text1"/>
        </w:rPr>
      </w:pPr>
      <w:r>
        <w:rPr>
          <w:noProof/>
          <w:color w:val="2B579A"/>
          <w:shd w:val="clear" w:color="auto" w:fill="E6E6E6"/>
          <w:lang w:eastAsia="en-AU"/>
        </w:rPr>
        <w:lastRenderedPageBreak/>
        <mc:AlternateContent>
          <mc:Choice Requires="wps">
            <w:drawing>
              <wp:anchor distT="0" distB="0" distL="114300" distR="114300" simplePos="0" relativeHeight="251658245" behindDoc="1" locked="0" layoutInCell="1" allowOverlap="1" wp14:anchorId="649E50A5" wp14:editId="42AE8ADE">
                <wp:simplePos x="0" y="0"/>
                <wp:positionH relativeFrom="page">
                  <wp:posOffset>10633</wp:posOffset>
                </wp:positionH>
                <wp:positionV relativeFrom="paragraph">
                  <wp:posOffset>-1144255</wp:posOffset>
                </wp:positionV>
                <wp:extent cx="7600621" cy="4093535"/>
                <wp:effectExtent l="0" t="0" r="635" b="2540"/>
                <wp:wrapNone/>
                <wp:docPr id="10" name="Rectangle 10" descr="Rectangular grey block which covers the top quarter of the page. The chapter title sits inside the rectangle in white text. " title="Decorative colour block "/>
                <wp:cNvGraphicFramePr/>
                <a:graphic xmlns:a="http://schemas.openxmlformats.org/drawingml/2006/main">
                  <a:graphicData uri="http://schemas.microsoft.com/office/word/2010/wordprocessingShape">
                    <wps:wsp>
                      <wps:cNvSpPr/>
                      <wps:spPr>
                        <a:xfrm>
                          <a:off x="0" y="0"/>
                          <a:ext cx="7600621" cy="4093535"/>
                        </a:xfrm>
                        <a:prstGeom prst="rect">
                          <a:avLst/>
                        </a:prstGeom>
                        <a:solidFill>
                          <a:srgbClr val="383D4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2A64D68B" w14:textId="77777777" w:rsidR="00FC345C" w:rsidRDefault="00FC345C" w:rsidP="002838E5">
                            <w:pPr>
                              <w:pStyle w:val="Chapterheading"/>
                              <w:ind w:left="720"/>
                            </w:pPr>
                            <w:bookmarkStart w:id="694" w:name="_Toc85526777"/>
                            <w:bookmarkStart w:id="695" w:name="_Toc85787192"/>
                          </w:p>
                          <w:p w14:paraId="72B9DEAA" w14:textId="77777777" w:rsidR="00FC345C" w:rsidRDefault="00FC345C" w:rsidP="002838E5">
                            <w:pPr>
                              <w:pStyle w:val="Chapterheading"/>
                              <w:ind w:left="720"/>
                            </w:pPr>
                            <w:r w:rsidRPr="00907E65">
                              <w:t>Appendix B: Human rights indicators</w:t>
                            </w:r>
                            <w:bookmarkEnd w:id="694"/>
                            <w:bookmarkEnd w:id="695"/>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49E50A5" id="Rectangle 10" o:spid="_x0000_s1026" alt="Title: Decorative colour block  - Description: Rectangular grey block which covers the top quarter of the page. The chapter title sits inside the rectangle in white text. " style="position:absolute;margin-left:.85pt;margin-top:-90.1pt;width:598.45pt;height:322.35pt;z-index:-251658235;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" fillcolor="#383d41" stroked="f" strokeweight="1pt">
                <v:textbox>
                  <w:txbxContent>
                    <w:p w14:paraId="2A64D68B" w14:textId="77777777" w:rsidR="00FC345C" w:rsidRDefault="00FC345C" w:rsidP="002838E5">
                      <w:pPr>
                        <w:pStyle w:val="Chapterheading"/>
                        <w:ind w:left="720"/>
                      </w:pPr>
                      <w:bookmarkStart w:id="696" w:name="_Toc85526777"/>
                      <w:bookmarkStart w:id="697" w:name="_Toc85787192"/>
                    </w:p>
                    <w:p w14:paraId="72B9DEAA" w14:textId="77777777" w:rsidR="00FC345C" w:rsidRDefault="00FC345C" w:rsidP="002838E5">
                      <w:pPr>
                        <w:pStyle w:val="Chapterheading"/>
                        <w:ind w:left="720"/>
                      </w:pPr>
                      <w:r w:rsidRPr="00907E65">
                        <w:t>Appendix B: Human rights indicators</w:t>
                      </w:r>
                      <w:bookmarkEnd w:id="696"/>
                      <w:bookmarkEnd w:id="697"/>
                    </w:p>
                  </w:txbxContent>
                </v:textbox>
                <w10:wrap anchorx="page"/>
              </v:rect>
            </w:pict>
          </mc:Fallback>
        </mc:AlternateContent>
      </w:r>
    </w:p>
    <w:p w14:paraId="5FF5A052" w14:textId="2585C46C" w:rsidR="0063315E" w:rsidRDefault="0063315E">
      <w:pPr>
        <w:spacing w:line="259" w:lineRule="auto"/>
        <w:ind w:right="0"/>
        <w:rPr>
          <w:rFonts w:cs="Arial"/>
          <w:b/>
          <w:color w:val="000000" w:themeColor="text1"/>
          <w:sz w:val="28"/>
          <w:szCs w:val="28"/>
        </w:rPr>
      </w:pPr>
    </w:p>
    <w:p w14:paraId="1468B4AF" w14:textId="7FC1C628" w:rsidR="00D61E58" w:rsidRDefault="00D61E58" w:rsidP="00D61E58">
      <w:pPr>
        <w:spacing w:line="240" w:lineRule="auto"/>
        <w:rPr>
          <w:rFonts w:cs="Arial"/>
          <w:b/>
          <w:color w:val="000000" w:themeColor="text1"/>
          <w:sz w:val="28"/>
          <w:szCs w:val="28"/>
        </w:rPr>
      </w:pPr>
    </w:p>
    <w:p w14:paraId="5D987927" w14:textId="0C090766" w:rsidR="00D61E58" w:rsidRDefault="00D61E58" w:rsidP="008A4051">
      <w:pPr>
        <w:rPr>
          <w:rFonts w:cs="Arial"/>
          <w:color w:val="000000" w:themeColor="text1"/>
        </w:rPr>
      </w:pPr>
    </w:p>
    <w:p w14:paraId="307039BA" w14:textId="77777777" w:rsidR="00907E65" w:rsidRPr="00264138" w:rsidRDefault="00907E65" w:rsidP="00264138"/>
    <w:p w14:paraId="4F7D329A" w14:textId="77777777" w:rsidR="00907E65" w:rsidRPr="00264138" w:rsidRDefault="00907E65" w:rsidP="00264138"/>
    <w:p w14:paraId="08E42C4F" w14:textId="77777777" w:rsidR="00907E65" w:rsidRPr="00264138" w:rsidRDefault="00907E65" w:rsidP="00264138"/>
    <w:p w14:paraId="1EC10218" w14:textId="77777777" w:rsidR="00907E65" w:rsidRPr="00264138" w:rsidRDefault="00907E65" w:rsidP="00264138"/>
    <w:p w14:paraId="647A83B6" w14:textId="259C43EF" w:rsidR="00907E65" w:rsidRPr="00264138" w:rsidRDefault="00907E65" w:rsidP="00264138"/>
    <w:p w14:paraId="5E7D073D" w14:textId="5EBF540B" w:rsidR="00DA5FC3" w:rsidRDefault="00DA5FC3" w:rsidP="00264138">
      <w:pPr>
        <w:pStyle w:val="Heading1"/>
        <w:rPr>
          <w:color w:val="373D42"/>
        </w:rPr>
      </w:pPr>
      <w:bookmarkStart w:id="698" w:name="_Toc85526778"/>
      <w:bookmarkStart w:id="699" w:name="_Toc85787193"/>
    </w:p>
    <w:p w14:paraId="235C8074" w14:textId="4E300CFE" w:rsidR="00907E65" w:rsidRPr="006C400D" w:rsidRDefault="00907E65" w:rsidP="00264138">
      <w:pPr>
        <w:pStyle w:val="Heading1"/>
        <w:rPr>
          <w:sz w:val="24"/>
          <w:szCs w:val="24"/>
        </w:rPr>
      </w:pPr>
      <w:r w:rsidRPr="008B4B16">
        <w:rPr>
          <w:color w:val="373D42"/>
        </w:rPr>
        <w:t>Indicators of a developing human rights culture: State government</w:t>
      </w:r>
      <w:bookmarkEnd w:id="698"/>
      <w:bookmarkEnd w:id="699"/>
    </w:p>
    <w:p w14:paraId="17919065" w14:textId="14A80E3D" w:rsidR="00907E65" w:rsidRPr="008B4B16" w:rsidRDefault="00907E65" w:rsidP="008B4B16">
      <w:pPr>
        <w:pStyle w:val="Heading2"/>
        <w:rPr>
          <w:color w:val="373D42"/>
          <w:lang w:val="en-US"/>
        </w:rPr>
      </w:pPr>
      <w:bookmarkStart w:id="700" w:name="_Toc85526779"/>
      <w:bookmarkStart w:id="701" w:name="_Toc85787194"/>
      <w:r w:rsidRPr="008B4B16">
        <w:rPr>
          <w:color w:val="373D42"/>
          <w:lang w:val="en-US"/>
        </w:rPr>
        <w:t>Indicator 1:</w:t>
      </w:r>
      <w:r w:rsidR="008B4B16">
        <w:rPr>
          <w:color w:val="373D42"/>
          <w:lang w:val="en-US"/>
        </w:rPr>
        <w:t xml:space="preserve"> </w:t>
      </w:r>
      <w:r w:rsidRPr="008B4B16">
        <w:rPr>
          <w:color w:val="373D42"/>
          <w:lang w:val="en-US"/>
        </w:rPr>
        <w:t>Staff awareness, education</w:t>
      </w:r>
      <w:r w:rsidR="00041DE5" w:rsidRPr="008B4B16">
        <w:rPr>
          <w:color w:val="373D42"/>
          <w:lang w:val="en-US"/>
        </w:rPr>
        <w:t>,</w:t>
      </w:r>
      <w:r w:rsidRPr="008B4B16">
        <w:rPr>
          <w:color w:val="373D42"/>
          <w:lang w:val="en-US"/>
        </w:rPr>
        <w:t xml:space="preserve"> and development</w:t>
      </w:r>
      <w:bookmarkEnd w:id="700"/>
      <w:bookmarkEnd w:id="701"/>
    </w:p>
    <w:p w14:paraId="465D3CA5" w14:textId="77777777" w:rsidR="00907E65" w:rsidRPr="009954F9" w:rsidRDefault="00907E65" w:rsidP="002D2599">
      <w:pPr>
        <w:pStyle w:val="ListParagraph"/>
        <w:numPr>
          <w:ilvl w:val="0"/>
          <w:numId w:val="9"/>
        </w:numPr>
        <w:spacing w:after="200"/>
        <w:ind w:right="0"/>
        <w:rPr>
          <w:rFonts w:cs="Arial"/>
          <w:lang w:val="en-US"/>
        </w:rPr>
      </w:pPr>
      <w:r w:rsidRPr="0F6617A5">
        <w:rPr>
          <w:rFonts w:cs="Arial"/>
          <w:lang w:val="en-US"/>
        </w:rPr>
        <w:t>How has staff awareness been raised about the Act?</w:t>
      </w:r>
    </w:p>
    <w:p w14:paraId="01EC6A80" w14:textId="77777777" w:rsidR="00907E65" w:rsidRPr="009954F9" w:rsidRDefault="00907E65" w:rsidP="002D2599">
      <w:pPr>
        <w:pStyle w:val="ListParagraph"/>
        <w:numPr>
          <w:ilvl w:val="0"/>
          <w:numId w:val="9"/>
        </w:numPr>
        <w:spacing w:after="200"/>
        <w:ind w:right="0"/>
        <w:rPr>
          <w:rFonts w:cs="Arial"/>
          <w:lang w:val="en-US"/>
        </w:rPr>
      </w:pPr>
      <w:r w:rsidRPr="0F6617A5">
        <w:rPr>
          <w:rFonts w:cs="Arial"/>
          <w:lang w:val="en-US"/>
        </w:rPr>
        <w:t>What education and training on the Act has been provided?</w:t>
      </w:r>
    </w:p>
    <w:p w14:paraId="65BE5AD5" w14:textId="77777777" w:rsidR="00907E65" w:rsidRPr="009954F9" w:rsidRDefault="00907E65" w:rsidP="002D2599">
      <w:pPr>
        <w:pStyle w:val="ListParagraph"/>
        <w:numPr>
          <w:ilvl w:val="0"/>
          <w:numId w:val="9"/>
        </w:numPr>
        <w:spacing w:after="200"/>
        <w:ind w:right="0"/>
        <w:rPr>
          <w:rFonts w:cs="Arial"/>
          <w:lang w:val="en-US"/>
        </w:rPr>
      </w:pPr>
      <w:r w:rsidRPr="0F6617A5">
        <w:rPr>
          <w:rFonts w:cs="Arial"/>
          <w:lang w:val="en-US"/>
        </w:rPr>
        <w:t>Does the training include examples specifically tailored to the organization to illustrate how to put human rights into practice?</w:t>
      </w:r>
    </w:p>
    <w:p w14:paraId="52AF8F45" w14:textId="77777777" w:rsidR="00907E65" w:rsidRPr="009954F9" w:rsidRDefault="00907E65" w:rsidP="002D2599">
      <w:pPr>
        <w:pStyle w:val="ListParagraph"/>
        <w:numPr>
          <w:ilvl w:val="0"/>
          <w:numId w:val="9"/>
        </w:numPr>
        <w:spacing w:after="200"/>
        <w:ind w:right="0"/>
        <w:rPr>
          <w:rFonts w:cs="Arial"/>
          <w:lang w:val="en-US"/>
        </w:rPr>
      </w:pPr>
      <w:r w:rsidRPr="0F6617A5">
        <w:rPr>
          <w:rFonts w:cs="Arial"/>
          <w:lang w:val="en-US"/>
        </w:rPr>
        <w:t xml:space="preserve">Approximately what percentage of staff have received training? </w:t>
      </w:r>
    </w:p>
    <w:p w14:paraId="34183E82" w14:textId="56A5C3D9" w:rsidR="00907E65" w:rsidRPr="009954F9" w:rsidRDefault="00907E65" w:rsidP="002D2599">
      <w:pPr>
        <w:pStyle w:val="ListParagraph"/>
        <w:numPr>
          <w:ilvl w:val="0"/>
          <w:numId w:val="9"/>
        </w:numPr>
        <w:spacing w:after="200"/>
        <w:ind w:right="0"/>
        <w:rPr>
          <w:rFonts w:cs="Arial"/>
          <w:lang w:val="en-US"/>
        </w:rPr>
      </w:pPr>
      <w:r w:rsidRPr="0F6617A5">
        <w:rPr>
          <w:rFonts w:cs="Arial"/>
          <w:lang w:val="en-US"/>
        </w:rPr>
        <w:t>Which work groups or areas of the agency have received training? What training has been provided to senior leadership? What was the mode of delivery of the training? For example, online, face</w:t>
      </w:r>
      <w:r w:rsidR="00041DE5">
        <w:rPr>
          <w:rFonts w:cs="Arial"/>
          <w:lang w:val="en-US"/>
        </w:rPr>
        <w:t>-</w:t>
      </w:r>
      <w:r w:rsidRPr="0F6617A5">
        <w:rPr>
          <w:rFonts w:cs="Arial"/>
          <w:lang w:val="en-US"/>
        </w:rPr>
        <w:t>to</w:t>
      </w:r>
      <w:r w:rsidR="00041DE5">
        <w:rPr>
          <w:rFonts w:cs="Arial"/>
          <w:lang w:val="en-US"/>
        </w:rPr>
        <w:t>-</w:t>
      </w:r>
      <w:r w:rsidRPr="0F6617A5">
        <w:rPr>
          <w:rFonts w:cs="Arial"/>
          <w:lang w:val="en-US"/>
        </w:rPr>
        <w:t>face, both online and face</w:t>
      </w:r>
      <w:r w:rsidR="00041DE5">
        <w:rPr>
          <w:rFonts w:cs="Arial"/>
          <w:lang w:val="en-US"/>
        </w:rPr>
        <w:t>-</w:t>
      </w:r>
      <w:r w:rsidRPr="0F6617A5">
        <w:rPr>
          <w:rFonts w:cs="Arial"/>
          <w:lang w:val="en-US"/>
        </w:rPr>
        <w:t>to</w:t>
      </w:r>
      <w:r w:rsidR="00041DE5">
        <w:rPr>
          <w:rFonts w:cs="Arial"/>
          <w:lang w:val="en-US"/>
        </w:rPr>
        <w:t>-</w:t>
      </w:r>
      <w:r w:rsidRPr="0F6617A5">
        <w:rPr>
          <w:rFonts w:cs="Arial"/>
          <w:lang w:val="en-US"/>
        </w:rPr>
        <w:t>face, or other? Has the training been delivered by internal staff, or external providers?</w:t>
      </w:r>
    </w:p>
    <w:p w14:paraId="2122BF0B" w14:textId="77777777" w:rsidR="00907E65" w:rsidRPr="009954F9" w:rsidRDefault="00907E65" w:rsidP="002D2599">
      <w:pPr>
        <w:pStyle w:val="ListParagraph"/>
        <w:numPr>
          <w:ilvl w:val="0"/>
          <w:numId w:val="9"/>
        </w:numPr>
        <w:spacing w:after="200"/>
        <w:ind w:right="0"/>
        <w:rPr>
          <w:rFonts w:cs="Arial"/>
          <w:lang w:val="en-US"/>
        </w:rPr>
      </w:pPr>
      <w:r w:rsidRPr="0F6617A5">
        <w:rPr>
          <w:rFonts w:cs="Arial"/>
          <w:lang w:val="en-US"/>
        </w:rPr>
        <w:t>What has been the impact of increased working from home arrangements on the design and delivery of training?</w:t>
      </w:r>
    </w:p>
    <w:p w14:paraId="4D07DD37" w14:textId="77777777" w:rsidR="00907E65" w:rsidRPr="009954F9" w:rsidRDefault="00907E65" w:rsidP="002D2599">
      <w:pPr>
        <w:pStyle w:val="ListParagraph"/>
        <w:numPr>
          <w:ilvl w:val="0"/>
          <w:numId w:val="9"/>
        </w:numPr>
        <w:spacing w:after="200"/>
        <w:ind w:right="0"/>
        <w:rPr>
          <w:rFonts w:cs="Arial"/>
          <w:lang w:val="en-US"/>
        </w:rPr>
      </w:pPr>
      <w:r w:rsidRPr="0F6617A5">
        <w:rPr>
          <w:rFonts w:cs="Arial"/>
          <w:lang w:val="en-US"/>
        </w:rPr>
        <w:t>Has human rights been included in induction training (onboarding of new staff)? Does ongoing professional development/training for staff include human rights? If so, what is the mode of the delivery of the training?</w:t>
      </w:r>
    </w:p>
    <w:p w14:paraId="41BE671D" w14:textId="77777777" w:rsidR="00907E65" w:rsidRPr="009954F9" w:rsidRDefault="00907E65" w:rsidP="002D2599">
      <w:pPr>
        <w:pStyle w:val="ListParagraph"/>
        <w:numPr>
          <w:ilvl w:val="0"/>
          <w:numId w:val="9"/>
        </w:numPr>
        <w:spacing w:after="200"/>
        <w:ind w:right="0"/>
        <w:rPr>
          <w:rFonts w:cs="Arial"/>
          <w:lang w:val="en-US"/>
        </w:rPr>
      </w:pPr>
      <w:r w:rsidRPr="0F6617A5">
        <w:rPr>
          <w:rFonts w:cs="Arial"/>
          <w:lang w:val="en-US"/>
        </w:rPr>
        <w:t>What feedback do you collect about education and training? How is it used to design future training and/or resources?</w:t>
      </w:r>
    </w:p>
    <w:p w14:paraId="40869F19" w14:textId="25D2B975" w:rsidR="00907E65" w:rsidRPr="008B4B16" w:rsidRDefault="00907E65" w:rsidP="008B4B16">
      <w:pPr>
        <w:pStyle w:val="Heading2"/>
        <w:rPr>
          <w:color w:val="373D42"/>
          <w:lang w:val="en-US"/>
        </w:rPr>
      </w:pPr>
      <w:bookmarkStart w:id="702" w:name="_Toc85526780"/>
      <w:bookmarkStart w:id="703" w:name="_Toc85787195"/>
      <w:r w:rsidRPr="008B4B16">
        <w:rPr>
          <w:color w:val="373D42"/>
          <w:lang w:val="en-US"/>
        </w:rPr>
        <w:lastRenderedPageBreak/>
        <w:t>Indica</w:t>
      </w:r>
      <w:r>
        <w:rPr>
          <w:color w:val="373D42"/>
          <w:lang w:val="en-US"/>
        </w:rPr>
        <w:t>tor 2:</w:t>
      </w:r>
      <w:r w:rsidR="008B4B16">
        <w:rPr>
          <w:color w:val="373D42"/>
          <w:lang w:val="en-US"/>
        </w:rPr>
        <w:t xml:space="preserve"> </w:t>
      </w:r>
      <w:r w:rsidRPr="008B4B16">
        <w:rPr>
          <w:color w:val="373D42"/>
          <w:lang w:val="en-US"/>
        </w:rPr>
        <w:t>Community consultation and engagement about human rights</w:t>
      </w:r>
      <w:bookmarkEnd w:id="702"/>
      <w:bookmarkEnd w:id="703"/>
    </w:p>
    <w:p w14:paraId="07925A93" w14:textId="77777777" w:rsidR="00907E65" w:rsidRPr="009954F9" w:rsidRDefault="00907E65" w:rsidP="002D2599">
      <w:pPr>
        <w:pStyle w:val="ListParagraph"/>
        <w:numPr>
          <w:ilvl w:val="0"/>
          <w:numId w:val="10"/>
        </w:numPr>
        <w:spacing w:after="200"/>
        <w:ind w:right="0"/>
        <w:rPr>
          <w:rFonts w:cs="Arial"/>
          <w:lang w:val="en-US"/>
        </w:rPr>
      </w:pPr>
      <w:r w:rsidRPr="0F6617A5">
        <w:rPr>
          <w:rFonts w:cs="Arial"/>
          <w:lang w:val="en-US"/>
        </w:rPr>
        <w:t xml:space="preserve">Have you conducted any community consultation and engagement, such as with stakeholders, clients, or consumers about human rights? </w:t>
      </w:r>
    </w:p>
    <w:p w14:paraId="14A980BD" w14:textId="77777777" w:rsidR="00907E65" w:rsidRPr="009954F9" w:rsidRDefault="00907E65" w:rsidP="002D2599">
      <w:pPr>
        <w:pStyle w:val="ListParagraph"/>
        <w:numPr>
          <w:ilvl w:val="0"/>
          <w:numId w:val="10"/>
        </w:numPr>
        <w:spacing w:after="200"/>
        <w:ind w:right="0"/>
        <w:rPr>
          <w:rFonts w:cs="Arial"/>
          <w:lang w:val="en-US"/>
        </w:rPr>
      </w:pPr>
      <w:r w:rsidRPr="0F6617A5">
        <w:rPr>
          <w:rFonts w:cs="Arial"/>
          <w:lang w:val="en-US"/>
        </w:rPr>
        <w:t>What information have you provided to the community about human rights?</w:t>
      </w:r>
    </w:p>
    <w:p w14:paraId="45BC8324" w14:textId="77777777" w:rsidR="00907E65" w:rsidRPr="009954F9" w:rsidRDefault="00907E65" w:rsidP="002D2599">
      <w:pPr>
        <w:pStyle w:val="ListParagraph"/>
        <w:numPr>
          <w:ilvl w:val="0"/>
          <w:numId w:val="10"/>
        </w:numPr>
        <w:spacing w:after="200"/>
        <w:ind w:right="0"/>
        <w:rPr>
          <w:rFonts w:cs="Arial"/>
          <w:lang w:val="en-US"/>
        </w:rPr>
      </w:pPr>
      <w:r w:rsidRPr="0F6617A5">
        <w:rPr>
          <w:rFonts w:cs="Arial"/>
          <w:lang w:val="en-US"/>
        </w:rPr>
        <w:t>Have you consulted relevant sectors of the community about proposed changes to, or development of, legislation, regulations, policies, procedures, services etc. which may impact human rights?</w:t>
      </w:r>
    </w:p>
    <w:p w14:paraId="6BFFC38F" w14:textId="77777777" w:rsidR="00907E65" w:rsidRPr="009954F9" w:rsidRDefault="00907E65" w:rsidP="002D2599">
      <w:pPr>
        <w:pStyle w:val="ListParagraph"/>
        <w:numPr>
          <w:ilvl w:val="0"/>
          <w:numId w:val="10"/>
        </w:numPr>
        <w:spacing w:after="200"/>
        <w:ind w:right="0"/>
        <w:rPr>
          <w:rFonts w:cs="Arial"/>
        </w:rPr>
      </w:pPr>
      <w:r w:rsidRPr="0F6617A5">
        <w:rPr>
          <w:rFonts w:cs="Arial"/>
          <w:lang w:val="en-US"/>
        </w:rPr>
        <w:t xml:space="preserve">Please provide details, including </w:t>
      </w:r>
      <w:r w:rsidRPr="0F6617A5">
        <w:rPr>
          <w:rFonts w:cs="Arial"/>
        </w:rPr>
        <w:t>how did the community consultation and engagement impact on any decision-making/policy formulation, or other?</w:t>
      </w:r>
    </w:p>
    <w:p w14:paraId="4DFE29BA" w14:textId="5703EEC8" w:rsidR="00907E65" w:rsidRPr="008B4B16" w:rsidRDefault="00907E65" w:rsidP="008B4B16">
      <w:pPr>
        <w:pStyle w:val="Heading2"/>
        <w:rPr>
          <w:color w:val="373D42"/>
          <w:lang w:val="en-US"/>
        </w:rPr>
      </w:pPr>
      <w:bookmarkStart w:id="704" w:name="_Toc85526781"/>
      <w:bookmarkStart w:id="705" w:name="_Toc85787196"/>
      <w:r w:rsidRPr="008B4B16">
        <w:rPr>
          <w:color w:val="373D42"/>
          <w:lang w:val="en-US"/>
        </w:rPr>
        <w:t>Indicator 3:</w:t>
      </w:r>
      <w:r w:rsidR="008B4B16" w:rsidRPr="008B4B16">
        <w:rPr>
          <w:color w:val="373D42"/>
          <w:lang w:val="en-US"/>
        </w:rPr>
        <w:t xml:space="preserve"> </w:t>
      </w:r>
      <w:r w:rsidRPr="008B4B16">
        <w:rPr>
          <w:color w:val="373D42"/>
          <w:lang w:val="en-US"/>
        </w:rPr>
        <w:t>Awareness raising and support for related entities (including functional public entities engaged by the entity i.e. contractors)</w:t>
      </w:r>
      <w:bookmarkEnd w:id="704"/>
      <w:bookmarkEnd w:id="705"/>
    </w:p>
    <w:p w14:paraId="2A93AA40" w14:textId="77777777" w:rsidR="00907E65" w:rsidRPr="009954F9" w:rsidRDefault="00907E65" w:rsidP="002D2599">
      <w:pPr>
        <w:pStyle w:val="ListParagraph"/>
        <w:numPr>
          <w:ilvl w:val="0"/>
          <w:numId w:val="11"/>
        </w:numPr>
        <w:spacing w:after="200"/>
        <w:ind w:right="0"/>
        <w:rPr>
          <w:rFonts w:cs="Arial"/>
          <w:lang w:val="en-US"/>
        </w:rPr>
      </w:pPr>
      <w:r w:rsidRPr="0F6617A5">
        <w:rPr>
          <w:rFonts w:cs="Arial"/>
          <w:lang w:val="en-US"/>
        </w:rPr>
        <w:t>Have you raised awareness of human rights with contractors/providers engaged by your agency? If so, provide details. For example, has human rights been embedded into formal contracts?</w:t>
      </w:r>
    </w:p>
    <w:p w14:paraId="7DF71F61" w14:textId="77777777" w:rsidR="00907E65" w:rsidRPr="009954F9" w:rsidRDefault="00907E65" w:rsidP="002D2599">
      <w:pPr>
        <w:pStyle w:val="ListParagraph"/>
        <w:numPr>
          <w:ilvl w:val="0"/>
          <w:numId w:val="11"/>
        </w:numPr>
        <w:spacing w:after="200"/>
        <w:ind w:right="0"/>
        <w:rPr>
          <w:rFonts w:cs="Arial"/>
          <w:lang w:val="en-US"/>
        </w:rPr>
      </w:pPr>
      <w:r w:rsidRPr="0F6617A5">
        <w:rPr>
          <w:rFonts w:cs="Arial"/>
          <w:lang w:val="en-US"/>
        </w:rPr>
        <w:t>What support in ensuring compatibility with the Act have you provided to providers engaged by your agency? If any, provide details.</w:t>
      </w:r>
    </w:p>
    <w:p w14:paraId="0C7BCD0B" w14:textId="41DE62F7" w:rsidR="00907E65" w:rsidRPr="008B4B16" w:rsidRDefault="00907E65" w:rsidP="008B4B16">
      <w:pPr>
        <w:pStyle w:val="Heading2"/>
        <w:rPr>
          <w:color w:val="373D42"/>
          <w:lang w:val="en-US"/>
        </w:rPr>
      </w:pPr>
      <w:bookmarkStart w:id="706" w:name="_Toc85526782"/>
      <w:bookmarkStart w:id="707" w:name="_Toc85787197"/>
      <w:r w:rsidRPr="008B4B16">
        <w:rPr>
          <w:color w:val="373D42"/>
          <w:lang w:val="en-US"/>
        </w:rPr>
        <w:t>Indicator 4:</w:t>
      </w:r>
      <w:r w:rsidR="008B4B16" w:rsidRPr="008B4B16">
        <w:rPr>
          <w:color w:val="373D42"/>
          <w:lang w:val="en-US"/>
        </w:rPr>
        <w:t xml:space="preserve"> </w:t>
      </w:r>
      <w:r w:rsidRPr="008B4B16">
        <w:rPr>
          <w:color w:val="373D42"/>
          <w:lang w:val="en-US"/>
        </w:rPr>
        <w:t>Reviews and development of legislation or subordinate legislation</w:t>
      </w:r>
      <w:bookmarkEnd w:id="706"/>
      <w:bookmarkEnd w:id="707"/>
    </w:p>
    <w:p w14:paraId="0475DBC4" w14:textId="7975BA8D" w:rsidR="00907E65" w:rsidRPr="009954F9" w:rsidRDefault="00907E65" w:rsidP="002D2599">
      <w:pPr>
        <w:pStyle w:val="CommentText"/>
        <w:numPr>
          <w:ilvl w:val="0"/>
          <w:numId w:val="12"/>
        </w:numPr>
        <w:spacing w:after="200"/>
        <w:ind w:right="0"/>
        <w:rPr>
          <w:rFonts w:cs="Arial"/>
          <w:sz w:val="24"/>
          <w:szCs w:val="24"/>
          <w:lang w:val="en-US"/>
        </w:rPr>
      </w:pPr>
      <w:r w:rsidRPr="009954F9">
        <w:rPr>
          <w:rFonts w:cs="Arial"/>
          <w:sz w:val="24"/>
          <w:szCs w:val="24"/>
        </w:rPr>
        <w:t>Please point to legislation or subordinate legislation that has been introduced in the financial year 2020</w:t>
      </w:r>
      <w:r w:rsidR="00D61D59">
        <w:rPr>
          <w:rFonts w:cs="Arial"/>
          <w:sz w:val="24"/>
          <w:szCs w:val="24"/>
        </w:rPr>
        <w:t>–</w:t>
      </w:r>
      <w:r w:rsidRPr="009954F9">
        <w:rPr>
          <w:rFonts w:cs="Arial"/>
          <w:sz w:val="24"/>
          <w:szCs w:val="24"/>
        </w:rPr>
        <w:t xml:space="preserve">21 that: </w:t>
      </w:r>
    </w:p>
    <w:p w14:paraId="387CAD98" w14:textId="77777777" w:rsidR="00907E65" w:rsidRPr="009954F9" w:rsidRDefault="00907E65" w:rsidP="002D2599">
      <w:pPr>
        <w:pStyle w:val="CommentText"/>
        <w:numPr>
          <w:ilvl w:val="1"/>
          <w:numId w:val="12"/>
        </w:numPr>
        <w:spacing w:after="200"/>
        <w:ind w:right="0"/>
        <w:rPr>
          <w:rFonts w:cs="Arial"/>
          <w:sz w:val="24"/>
          <w:szCs w:val="24"/>
          <w:lang w:val="en-US"/>
        </w:rPr>
      </w:pPr>
      <w:r w:rsidRPr="009954F9">
        <w:rPr>
          <w:rFonts w:cs="Arial"/>
          <w:sz w:val="24"/>
          <w:szCs w:val="24"/>
        </w:rPr>
        <w:t>has a significant impact on human rights;</w:t>
      </w:r>
    </w:p>
    <w:p w14:paraId="221C6D52" w14:textId="77777777" w:rsidR="00907E65" w:rsidRPr="009954F9" w:rsidRDefault="00907E65" w:rsidP="002D2599">
      <w:pPr>
        <w:pStyle w:val="CommentText"/>
        <w:numPr>
          <w:ilvl w:val="1"/>
          <w:numId w:val="12"/>
        </w:numPr>
        <w:spacing w:after="200"/>
        <w:ind w:right="0"/>
        <w:rPr>
          <w:rFonts w:cs="Arial"/>
          <w:sz w:val="24"/>
          <w:szCs w:val="24"/>
          <w:lang w:val="en-US"/>
        </w:rPr>
      </w:pPr>
      <w:r w:rsidRPr="009954F9">
        <w:rPr>
          <w:rFonts w:cs="Arial"/>
          <w:sz w:val="24"/>
          <w:szCs w:val="24"/>
        </w:rPr>
        <w:t>works to respect, protect, or promote human rights</w:t>
      </w:r>
    </w:p>
    <w:p w14:paraId="379AB91B" w14:textId="77777777" w:rsidR="00907E65" w:rsidRPr="009954F9" w:rsidRDefault="00907E65" w:rsidP="002D2599">
      <w:pPr>
        <w:pStyle w:val="CommentText"/>
        <w:numPr>
          <w:ilvl w:val="0"/>
          <w:numId w:val="12"/>
        </w:numPr>
        <w:spacing w:after="200"/>
        <w:ind w:right="0"/>
        <w:rPr>
          <w:rFonts w:cs="Arial"/>
          <w:sz w:val="24"/>
          <w:szCs w:val="24"/>
          <w:lang w:val="en-US"/>
        </w:rPr>
      </w:pPr>
      <w:r w:rsidRPr="009954F9">
        <w:rPr>
          <w:rFonts w:cs="Arial"/>
          <w:sz w:val="24"/>
          <w:szCs w:val="24"/>
        </w:rPr>
        <w:t>Please provide any examples of good practice in ensuring the proper consideration of human rights is part of legislation development</w:t>
      </w:r>
      <w:r>
        <w:rPr>
          <w:rFonts w:cs="Arial"/>
          <w:sz w:val="24"/>
          <w:szCs w:val="24"/>
        </w:rPr>
        <w:t>.</w:t>
      </w:r>
    </w:p>
    <w:p w14:paraId="45BC243D" w14:textId="5F13CD24" w:rsidR="00907E65" w:rsidRPr="008B4B16" w:rsidRDefault="00907E65" w:rsidP="008B4B16">
      <w:pPr>
        <w:pStyle w:val="Heading2"/>
        <w:rPr>
          <w:color w:val="373D42"/>
          <w:lang w:val="en-US"/>
        </w:rPr>
      </w:pPr>
      <w:bookmarkStart w:id="708" w:name="_Toc85526783"/>
      <w:bookmarkStart w:id="709" w:name="_Toc85787198"/>
      <w:r w:rsidRPr="008B4B16">
        <w:rPr>
          <w:color w:val="373D42"/>
          <w:lang w:val="en-US"/>
        </w:rPr>
        <w:t>Indicator 5:</w:t>
      </w:r>
      <w:r w:rsidR="008B4B16" w:rsidRPr="008B4B16">
        <w:rPr>
          <w:color w:val="373D42"/>
          <w:lang w:val="en-US"/>
        </w:rPr>
        <w:t xml:space="preserve"> </w:t>
      </w:r>
      <w:r w:rsidRPr="008B4B16">
        <w:rPr>
          <w:color w:val="373D42"/>
          <w:lang w:val="en-US"/>
        </w:rPr>
        <w:t>Review of policies and procedures</w:t>
      </w:r>
      <w:bookmarkEnd w:id="708"/>
      <w:bookmarkEnd w:id="709"/>
    </w:p>
    <w:p w14:paraId="5DC7136C" w14:textId="3FBE0FF0" w:rsidR="00907E65" w:rsidRPr="009954F9" w:rsidRDefault="00907E65" w:rsidP="002D2599">
      <w:pPr>
        <w:pStyle w:val="ListParagraph"/>
        <w:numPr>
          <w:ilvl w:val="0"/>
          <w:numId w:val="13"/>
        </w:numPr>
        <w:spacing w:after="200"/>
        <w:ind w:right="0"/>
        <w:rPr>
          <w:rFonts w:cs="Arial"/>
          <w:lang w:val="en-US"/>
        </w:rPr>
      </w:pPr>
      <w:r w:rsidRPr="0F6617A5">
        <w:rPr>
          <w:rFonts w:cs="Arial"/>
          <w:lang w:val="en-US"/>
        </w:rPr>
        <w:t>Has your agency reviewed policies and procedures for compatibility with human rights?</w:t>
      </w:r>
      <w:r w:rsidR="00197317">
        <w:rPr>
          <w:rFonts w:cs="Arial"/>
          <w:lang w:val="en-US"/>
        </w:rPr>
        <w:t xml:space="preserve"> </w:t>
      </w:r>
    </w:p>
    <w:p w14:paraId="3940F937" w14:textId="77777777" w:rsidR="00907E65" w:rsidRPr="009954F9" w:rsidRDefault="00907E65" w:rsidP="002D2599">
      <w:pPr>
        <w:pStyle w:val="ListParagraph"/>
        <w:numPr>
          <w:ilvl w:val="0"/>
          <w:numId w:val="13"/>
        </w:numPr>
        <w:spacing w:after="200"/>
        <w:ind w:right="0"/>
        <w:rPr>
          <w:rFonts w:cs="Arial"/>
          <w:lang w:val="en-US"/>
        </w:rPr>
      </w:pPr>
      <w:r w:rsidRPr="0F6617A5">
        <w:rPr>
          <w:rFonts w:cs="Arial"/>
          <w:lang w:val="en-US"/>
        </w:rPr>
        <w:t>Please provide an example of the way in which the review of policies and procedures has resulted in positive change?</w:t>
      </w:r>
    </w:p>
    <w:p w14:paraId="0CA58ACD" w14:textId="77777777" w:rsidR="00907E65" w:rsidRPr="009954F9" w:rsidRDefault="00907E65" w:rsidP="002D2599">
      <w:pPr>
        <w:pStyle w:val="ListParagraph"/>
        <w:numPr>
          <w:ilvl w:val="0"/>
          <w:numId w:val="13"/>
        </w:numPr>
        <w:spacing w:after="200"/>
        <w:ind w:right="0"/>
        <w:rPr>
          <w:rFonts w:cs="Arial"/>
          <w:lang w:val="en-US"/>
        </w:rPr>
      </w:pPr>
      <w:r w:rsidRPr="0F6617A5">
        <w:rPr>
          <w:rFonts w:cs="Arial"/>
          <w:lang w:val="en-US"/>
        </w:rPr>
        <w:t>In particular, have you developed any new guides or other tools to assist staff to act and make decisions that are compatible with human rights, and to properly consider human rights when making decisions?</w:t>
      </w:r>
    </w:p>
    <w:p w14:paraId="45CA8974" w14:textId="77777777" w:rsidR="00907E65" w:rsidRPr="009954F9" w:rsidRDefault="00907E65" w:rsidP="002D2599">
      <w:pPr>
        <w:pStyle w:val="ListParagraph"/>
        <w:numPr>
          <w:ilvl w:val="0"/>
          <w:numId w:val="13"/>
        </w:numPr>
        <w:spacing w:after="200"/>
        <w:ind w:right="0"/>
        <w:rPr>
          <w:rFonts w:cs="Arial"/>
          <w:lang w:val="en-US"/>
        </w:rPr>
      </w:pPr>
      <w:r w:rsidRPr="0F6617A5">
        <w:rPr>
          <w:rFonts w:cs="Arial"/>
          <w:lang w:val="en-US"/>
        </w:rPr>
        <w:lastRenderedPageBreak/>
        <w:t>Has any review of policies and procedures resulted in a change to service delivery? If so, please provide examples.</w:t>
      </w:r>
    </w:p>
    <w:p w14:paraId="0607FCB6" w14:textId="02024D13" w:rsidR="00907E65" w:rsidRPr="008B4B16" w:rsidRDefault="00907E65" w:rsidP="008B4B16">
      <w:pPr>
        <w:pStyle w:val="Heading2"/>
        <w:rPr>
          <w:color w:val="373D42"/>
          <w:lang w:val="en-US"/>
        </w:rPr>
      </w:pPr>
      <w:bookmarkStart w:id="710" w:name="_Toc85526784"/>
      <w:bookmarkStart w:id="711" w:name="_Toc85787199"/>
      <w:r w:rsidRPr="008B4B16">
        <w:rPr>
          <w:color w:val="373D42"/>
          <w:lang w:val="en-US"/>
        </w:rPr>
        <w:t>Indicator 6:</w:t>
      </w:r>
      <w:r w:rsidR="008B4B16" w:rsidRPr="008B4B16">
        <w:rPr>
          <w:color w:val="373D42"/>
          <w:lang w:val="en-US"/>
        </w:rPr>
        <w:t xml:space="preserve"> </w:t>
      </w:r>
      <w:r w:rsidRPr="008B4B16">
        <w:rPr>
          <w:color w:val="373D42"/>
          <w:lang w:val="en-US"/>
        </w:rPr>
        <w:t>Internal complaint management for human rights complaints</w:t>
      </w:r>
      <w:bookmarkEnd w:id="710"/>
      <w:bookmarkEnd w:id="711"/>
    </w:p>
    <w:p w14:paraId="7B769639" w14:textId="77777777" w:rsidR="00907E65" w:rsidRPr="009954F9" w:rsidRDefault="00907E65" w:rsidP="002D2599">
      <w:pPr>
        <w:pStyle w:val="ListParagraph"/>
        <w:numPr>
          <w:ilvl w:val="0"/>
          <w:numId w:val="14"/>
        </w:numPr>
        <w:spacing w:after="200"/>
        <w:ind w:right="0"/>
        <w:rPr>
          <w:rFonts w:cs="Arial"/>
          <w:lang w:val="en-US"/>
        </w:rPr>
      </w:pPr>
      <w:r w:rsidRPr="009954F9">
        <w:rPr>
          <w:rStyle w:val="CommentReference"/>
          <w:rFonts w:cs="Arial"/>
          <w:sz w:val="24"/>
          <w:szCs w:val="24"/>
        </w:rPr>
        <w:t>H</w:t>
      </w:r>
      <w:r w:rsidRPr="0F6617A5">
        <w:rPr>
          <w:rFonts w:cs="Arial"/>
          <w:lang w:val="en-US"/>
        </w:rPr>
        <w:t xml:space="preserve">ow successful has your agency been in integrating human rights complaints into internal complaints processes? If possible, provide examples of what has been achieved. </w:t>
      </w:r>
    </w:p>
    <w:p w14:paraId="0F6E0D2F" w14:textId="77777777" w:rsidR="00907E65" w:rsidRPr="009954F9" w:rsidRDefault="00907E65" w:rsidP="002D2599">
      <w:pPr>
        <w:pStyle w:val="ListParagraph"/>
        <w:numPr>
          <w:ilvl w:val="0"/>
          <w:numId w:val="14"/>
        </w:numPr>
        <w:spacing w:after="200"/>
        <w:ind w:right="0"/>
        <w:rPr>
          <w:rFonts w:cs="Arial"/>
          <w:lang w:val="en-US"/>
        </w:rPr>
      </w:pPr>
      <w:r w:rsidRPr="0F6617A5">
        <w:rPr>
          <w:rFonts w:cs="Arial"/>
          <w:lang w:val="en-US"/>
        </w:rPr>
        <w:t>Does your agency face any barriers in successfully identifying, considering, and responding to human rights complaints? If so, what are they?</w:t>
      </w:r>
    </w:p>
    <w:p w14:paraId="0BFC7CF3" w14:textId="77777777" w:rsidR="00907E65" w:rsidRPr="009954F9" w:rsidRDefault="00907E65" w:rsidP="002D2599">
      <w:pPr>
        <w:pStyle w:val="ListParagraph"/>
        <w:numPr>
          <w:ilvl w:val="0"/>
          <w:numId w:val="14"/>
        </w:numPr>
        <w:spacing w:after="200"/>
        <w:ind w:right="0"/>
        <w:rPr>
          <w:rFonts w:cs="Arial"/>
          <w:lang w:val="en-US"/>
        </w:rPr>
      </w:pPr>
      <w:r w:rsidRPr="0F6617A5">
        <w:rPr>
          <w:rFonts w:cs="Arial"/>
          <w:lang w:val="en-US"/>
        </w:rPr>
        <w:t>Please provide examples of where a complaint has been resolved through the internal complaints process and/or has resulted in policy/procedure/practice review, service improvements or change for the agency.</w:t>
      </w:r>
    </w:p>
    <w:p w14:paraId="70522495" w14:textId="65D84E89" w:rsidR="00907E65" w:rsidRPr="008B4B16" w:rsidRDefault="00907E65" w:rsidP="008B4B16">
      <w:pPr>
        <w:pStyle w:val="Heading2"/>
        <w:rPr>
          <w:color w:val="373D42"/>
          <w:lang w:val="en-US"/>
        </w:rPr>
      </w:pPr>
      <w:bookmarkStart w:id="712" w:name="_Toc85526785"/>
      <w:bookmarkStart w:id="713" w:name="_Toc85787200"/>
      <w:r w:rsidRPr="008B4B16">
        <w:rPr>
          <w:color w:val="373D42"/>
          <w:lang w:val="en-US"/>
        </w:rPr>
        <w:t>Indicator 7:</w:t>
      </w:r>
      <w:r w:rsidR="008B4B16" w:rsidRPr="008B4B16">
        <w:rPr>
          <w:color w:val="373D42"/>
          <w:lang w:val="en-US"/>
        </w:rPr>
        <w:t xml:space="preserve"> </w:t>
      </w:r>
      <w:r w:rsidRPr="008B4B16">
        <w:rPr>
          <w:color w:val="373D42"/>
          <w:lang w:val="en-US"/>
        </w:rPr>
        <w:t>Future plans</w:t>
      </w:r>
      <w:bookmarkEnd w:id="712"/>
      <w:bookmarkEnd w:id="713"/>
    </w:p>
    <w:p w14:paraId="1A524BB6" w14:textId="77777777" w:rsidR="00907E65" w:rsidRPr="009954F9" w:rsidRDefault="00907E65" w:rsidP="00907E65">
      <w:pPr>
        <w:rPr>
          <w:rFonts w:cs="Arial"/>
          <w:lang w:val="en-US"/>
        </w:rPr>
      </w:pPr>
      <w:r w:rsidRPr="009954F9">
        <w:rPr>
          <w:rFonts w:cs="Arial"/>
          <w:lang w:val="en-US"/>
        </w:rPr>
        <w:t>What future plans does your agency have to achieve the objects of the Act in:</w:t>
      </w:r>
    </w:p>
    <w:p w14:paraId="622F4807" w14:textId="77777777" w:rsidR="00907E65" w:rsidRPr="009954F9" w:rsidRDefault="00907E65" w:rsidP="002D2599">
      <w:pPr>
        <w:pStyle w:val="ListParagraph"/>
        <w:numPr>
          <w:ilvl w:val="0"/>
          <w:numId w:val="8"/>
        </w:numPr>
        <w:spacing w:after="200"/>
        <w:ind w:right="0"/>
        <w:rPr>
          <w:rFonts w:cs="Arial"/>
          <w:lang w:val="en-US"/>
        </w:rPr>
      </w:pPr>
      <w:r w:rsidRPr="0F6617A5">
        <w:rPr>
          <w:rFonts w:cs="Arial"/>
          <w:lang w:val="en-US"/>
        </w:rPr>
        <w:t>protecting and promoting human rights;</w:t>
      </w:r>
    </w:p>
    <w:p w14:paraId="4AEB1640" w14:textId="77777777" w:rsidR="00907E65" w:rsidRPr="009954F9" w:rsidRDefault="00907E65" w:rsidP="002D2599">
      <w:pPr>
        <w:pStyle w:val="ListParagraph"/>
        <w:numPr>
          <w:ilvl w:val="0"/>
          <w:numId w:val="8"/>
        </w:numPr>
        <w:spacing w:after="200"/>
        <w:ind w:right="0"/>
        <w:rPr>
          <w:rFonts w:cs="Arial"/>
          <w:lang w:val="en-US"/>
        </w:rPr>
      </w:pPr>
      <w:r w:rsidRPr="0F6617A5">
        <w:rPr>
          <w:rFonts w:cs="Arial"/>
          <w:lang w:val="en-US"/>
        </w:rPr>
        <w:t>building a culture in the Queensland public sector that respects and promotes human rights; and</w:t>
      </w:r>
    </w:p>
    <w:p w14:paraId="37C169B2" w14:textId="77777777" w:rsidR="00907E65" w:rsidRPr="009954F9" w:rsidRDefault="00907E65" w:rsidP="002D2599">
      <w:pPr>
        <w:pStyle w:val="ListParagraph"/>
        <w:numPr>
          <w:ilvl w:val="0"/>
          <w:numId w:val="8"/>
        </w:numPr>
        <w:spacing w:after="200"/>
        <w:ind w:right="0"/>
        <w:rPr>
          <w:rFonts w:cs="Arial"/>
          <w:lang w:val="en-US"/>
        </w:rPr>
      </w:pPr>
      <w:r w:rsidRPr="0F6617A5">
        <w:rPr>
          <w:rFonts w:cs="Arial"/>
          <w:lang w:val="en-US"/>
        </w:rPr>
        <w:t>helping promote a dialogue about the nature, meaning, and scope of human rights.</w:t>
      </w:r>
    </w:p>
    <w:p w14:paraId="1200A058" w14:textId="77777777" w:rsidR="00907E65" w:rsidRPr="008B4B16" w:rsidRDefault="00907E65" w:rsidP="008B4B16">
      <w:pPr>
        <w:pStyle w:val="Heading2"/>
        <w:rPr>
          <w:color w:val="373D42"/>
          <w:lang w:val="en-US"/>
        </w:rPr>
      </w:pPr>
      <w:bookmarkStart w:id="714" w:name="_Toc85526786"/>
      <w:bookmarkStart w:id="715" w:name="_Toc85787201"/>
      <w:r w:rsidRPr="008B4B16">
        <w:rPr>
          <w:color w:val="373D42"/>
          <w:lang w:val="en-US"/>
        </w:rPr>
        <w:t>Additional question:</w:t>
      </w:r>
      <w:bookmarkEnd w:id="714"/>
      <w:bookmarkEnd w:id="715"/>
    </w:p>
    <w:p w14:paraId="5FD98E6E" w14:textId="2937AE81" w:rsidR="00BA291D" w:rsidRDefault="00907E65" w:rsidP="009169FA">
      <w:pPr>
        <w:rPr>
          <w:bCs/>
        </w:rPr>
      </w:pPr>
      <w:r w:rsidRPr="009954F9">
        <w:rPr>
          <w:lang w:val="en-US"/>
        </w:rPr>
        <w:t>How has senior leadership demon</w:t>
      </w:r>
      <w:r w:rsidRPr="009954F9">
        <w:rPr>
          <w:rFonts w:cs="Arial"/>
          <w:lang w:val="en-US"/>
        </w:rPr>
        <w:t>strated a commitment to embedding human rights generally, and in particular with respect to the Indicators 1 – 6 noted above</w:t>
      </w:r>
      <w:r w:rsidR="00C72A03">
        <w:rPr>
          <w:rFonts w:cs="Arial"/>
          <w:lang w:val="en-US"/>
        </w:rPr>
        <w:t>?</w:t>
      </w:r>
    </w:p>
    <w:p w14:paraId="67B50190" w14:textId="77777777" w:rsidR="002838E5" w:rsidRDefault="002838E5">
      <w:pPr>
        <w:rPr>
          <w:rFonts w:cs="Arial"/>
        </w:rPr>
      </w:pPr>
    </w:p>
    <w:p w14:paraId="1FA6C8AE" w14:textId="259C43EF" w:rsidR="002838E5" w:rsidRPr="006C400D" w:rsidRDefault="002838E5">
      <w:pPr>
        <w:pStyle w:val="Heading1"/>
      </w:pPr>
      <w:bookmarkStart w:id="716" w:name="_Toc85526787"/>
      <w:bookmarkStart w:id="717" w:name="_Toc85787202"/>
      <w:r w:rsidRPr="00B55C66">
        <w:rPr>
          <w:color w:val="373D42"/>
        </w:rPr>
        <w:t>Indicators</w:t>
      </w:r>
      <w:r w:rsidRPr="008B4B16">
        <w:rPr>
          <w:color w:val="373D42"/>
        </w:rPr>
        <w:t xml:space="preserve"> of a developing human rights culture: </w:t>
      </w:r>
      <w:r w:rsidRPr="00B55C66">
        <w:rPr>
          <w:color w:val="373D42"/>
        </w:rPr>
        <w:t>Councils</w:t>
      </w:r>
      <w:bookmarkEnd w:id="716"/>
      <w:bookmarkEnd w:id="717"/>
    </w:p>
    <w:p w14:paraId="72BAF13C" w14:textId="08AA222D" w:rsidR="00C72A03" w:rsidRPr="008B4B16" w:rsidRDefault="00C72A03" w:rsidP="008B4B16">
      <w:pPr>
        <w:pStyle w:val="Heading2"/>
        <w:rPr>
          <w:color w:val="373D42"/>
          <w:lang w:val="en-US"/>
        </w:rPr>
      </w:pPr>
      <w:bookmarkStart w:id="718" w:name="_Toc85526788"/>
      <w:bookmarkStart w:id="719" w:name="_Toc85787203"/>
      <w:r w:rsidRPr="008B4B16">
        <w:rPr>
          <w:color w:val="373D42"/>
          <w:lang w:val="en-US"/>
        </w:rPr>
        <w:t>Indicator 1:</w:t>
      </w:r>
      <w:r w:rsidR="008B4B16" w:rsidRPr="008B4B16">
        <w:rPr>
          <w:color w:val="373D42"/>
          <w:lang w:val="en-US"/>
        </w:rPr>
        <w:t xml:space="preserve"> </w:t>
      </w:r>
      <w:r w:rsidRPr="008B4B16">
        <w:rPr>
          <w:color w:val="373D42"/>
          <w:lang w:val="en-US"/>
        </w:rPr>
        <w:t>Staff awareness, education and development</w:t>
      </w:r>
      <w:bookmarkEnd w:id="718"/>
      <w:bookmarkEnd w:id="719"/>
    </w:p>
    <w:p w14:paraId="08C57101" w14:textId="77777777" w:rsidR="00C72A03" w:rsidRPr="009954F9" w:rsidRDefault="00C72A03" w:rsidP="002D2599">
      <w:pPr>
        <w:pStyle w:val="ListParagraph"/>
        <w:numPr>
          <w:ilvl w:val="0"/>
          <w:numId w:val="9"/>
        </w:numPr>
        <w:spacing w:after="200"/>
        <w:ind w:right="0"/>
        <w:rPr>
          <w:rFonts w:cs="Arial"/>
          <w:lang w:val="en-US"/>
        </w:rPr>
      </w:pPr>
      <w:r w:rsidRPr="0F6617A5">
        <w:rPr>
          <w:rFonts w:cs="Arial"/>
          <w:lang w:val="en-US"/>
        </w:rPr>
        <w:t>How has staff awareness been raised about the Act?</w:t>
      </w:r>
    </w:p>
    <w:p w14:paraId="198CDD8D" w14:textId="77777777" w:rsidR="00C72A03" w:rsidRPr="009954F9" w:rsidRDefault="00C72A03" w:rsidP="002D2599">
      <w:pPr>
        <w:pStyle w:val="ListParagraph"/>
        <w:numPr>
          <w:ilvl w:val="0"/>
          <w:numId w:val="9"/>
        </w:numPr>
        <w:spacing w:after="200"/>
        <w:ind w:right="0"/>
        <w:rPr>
          <w:rFonts w:cs="Arial"/>
          <w:lang w:val="en-US"/>
        </w:rPr>
      </w:pPr>
      <w:r w:rsidRPr="0F6617A5">
        <w:rPr>
          <w:rFonts w:cs="Arial"/>
          <w:lang w:val="en-US"/>
        </w:rPr>
        <w:t>What education and training on the Act has been provided?</w:t>
      </w:r>
    </w:p>
    <w:p w14:paraId="4C1C27D0" w14:textId="77777777" w:rsidR="00C72A03" w:rsidRPr="009954F9" w:rsidRDefault="00C72A03" w:rsidP="002D2599">
      <w:pPr>
        <w:pStyle w:val="ListParagraph"/>
        <w:numPr>
          <w:ilvl w:val="0"/>
          <w:numId w:val="9"/>
        </w:numPr>
        <w:spacing w:after="200"/>
        <w:ind w:right="0"/>
        <w:rPr>
          <w:rFonts w:cs="Arial"/>
          <w:lang w:val="en-US"/>
        </w:rPr>
      </w:pPr>
      <w:r w:rsidRPr="0F6617A5">
        <w:rPr>
          <w:rFonts w:cs="Arial"/>
          <w:lang w:val="en-US"/>
        </w:rPr>
        <w:t>Does the training include examples specifically tailored to the council to illustrate how to put human rights into practice?</w:t>
      </w:r>
    </w:p>
    <w:p w14:paraId="6F303C3D" w14:textId="77777777" w:rsidR="00C72A03" w:rsidRPr="009954F9" w:rsidRDefault="00C72A03" w:rsidP="002D2599">
      <w:pPr>
        <w:pStyle w:val="ListParagraph"/>
        <w:numPr>
          <w:ilvl w:val="0"/>
          <w:numId w:val="9"/>
        </w:numPr>
        <w:spacing w:after="200"/>
        <w:ind w:right="0"/>
        <w:rPr>
          <w:rFonts w:cs="Arial"/>
          <w:lang w:val="en-US"/>
        </w:rPr>
      </w:pPr>
      <w:r w:rsidRPr="0F6617A5">
        <w:rPr>
          <w:rFonts w:cs="Arial"/>
          <w:lang w:val="en-US"/>
        </w:rPr>
        <w:lastRenderedPageBreak/>
        <w:t xml:space="preserve">Approximately what percentage of staff have received training? </w:t>
      </w:r>
    </w:p>
    <w:p w14:paraId="2883DCA8" w14:textId="77777777" w:rsidR="00C72A03" w:rsidRPr="009954F9" w:rsidRDefault="00C72A03" w:rsidP="002D2599">
      <w:pPr>
        <w:pStyle w:val="ListParagraph"/>
        <w:numPr>
          <w:ilvl w:val="0"/>
          <w:numId w:val="9"/>
        </w:numPr>
        <w:spacing w:after="200"/>
        <w:ind w:right="0"/>
        <w:rPr>
          <w:rFonts w:cs="Arial"/>
          <w:lang w:val="en-US"/>
        </w:rPr>
      </w:pPr>
      <w:r w:rsidRPr="0F6617A5">
        <w:rPr>
          <w:rFonts w:cs="Arial"/>
          <w:lang w:val="en-US"/>
        </w:rPr>
        <w:t>Which work groups or areas of the council have received training? What training has been provided to senior leadership? What was the mode of delivery of the training? For example, online, face to face, both online and face to face, or other? Has the training been delivered by internal staff, or external providers?</w:t>
      </w:r>
    </w:p>
    <w:p w14:paraId="65B4F378" w14:textId="77777777" w:rsidR="00C72A03" w:rsidRPr="009954F9" w:rsidRDefault="00C72A03" w:rsidP="002D2599">
      <w:pPr>
        <w:pStyle w:val="ListParagraph"/>
        <w:numPr>
          <w:ilvl w:val="0"/>
          <w:numId w:val="9"/>
        </w:numPr>
        <w:spacing w:after="200"/>
        <w:ind w:right="0"/>
        <w:rPr>
          <w:rFonts w:cs="Arial"/>
          <w:lang w:val="en-US"/>
        </w:rPr>
      </w:pPr>
      <w:r w:rsidRPr="0F6617A5">
        <w:rPr>
          <w:rFonts w:cs="Arial"/>
          <w:lang w:val="en-US"/>
        </w:rPr>
        <w:t>What has been the impact of increased working from home arrangements on the design and delivery of training?</w:t>
      </w:r>
    </w:p>
    <w:p w14:paraId="69ED25A6" w14:textId="77777777" w:rsidR="00C72A03" w:rsidRPr="009954F9" w:rsidRDefault="00C72A03" w:rsidP="002D2599">
      <w:pPr>
        <w:pStyle w:val="ListParagraph"/>
        <w:numPr>
          <w:ilvl w:val="0"/>
          <w:numId w:val="9"/>
        </w:numPr>
        <w:spacing w:after="200"/>
        <w:ind w:right="0"/>
        <w:rPr>
          <w:rFonts w:cs="Arial"/>
          <w:lang w:val="en-US"/>
        </w:rPr>
      </w:pPr>
      <w:r w:rsidRPr="0F6617A5">
        <w:rPr>
          <w:rFonts w:cs="Arial"/>
          <w:lang w:val="en-US"/>
        </w:rPr>
        <w:t>Has human rights been included in induction training (onboarding of new staff)? Does ongoing professional development/training for staff include human rights? If so, what is the mode of the delivery of the training?</w:t>
      </w:r>
    </w:p>
    <w:p w14:paraId="49CA3017" w14:textId="77777777" w:rsidR="00C72A03" w:rsidRPr="009954F9" w:rsidRDefault="00C72A03" w:rsidP="002D2599">
      <w:pPr>
        <w:pStyle w:val="ListParagraph"/>
        <w:numPr>
          <w:ilvl w:val="0"/>
          <w:numId w:val="9"/>
        </w:numPr>
        <w:spacing w:after="200"/>
        <w:ind w:right="0"/>
        <w:rPr>
          <w:rFonts w:cs="Arial"/>
          <w:lang w:val="en-US"/>
        </w:rPr>
      </w:pPr>
      <w:r w:rsidRPr="0F6617A5">
        <w:rPr>
          <w:rFonts w:cs="Arial"/>
          <w:lang w:val="en-US"/>
        </w:rPr>
        <w:t>What feedback do you collect about education and training? How is it used to design future training and/or resources?</w:t>
      </w:r>
    </w:p>
    <w:p w14:paraId="6CA3B393" w14:textId="7360D9C6" w:rsidR="00C72A03" w:rsidRPr="008B4B16" w:rsidRDefault="00C72A03" w:rsidP="008B4B16">
      <w:pPr>
        <w:pStyle w:val="Heading2"/>
        <w:rPr>
          <w:color w:val="373D42"/>
          <w:lang w:val="en-US"/>
        </w:rPr>
      </w:pPr>
      <w:bookmarkStart w:id="720" w:name="_Toc85526789"/>
      <w:bookmarkStart w:id="721" w:name="_Toc85787204"/>
      <w:r w:rsidRPr="008B4B16">
        <w:rPr>
          <w:color w:val="373D42"/>
          <w:lang w:val="en-US"/>
        </w:rPr>
        <w:t>Indicator 2:</w:t>
      </w:r>
      <w:r w:rsidR="008B4B16">
        <w:rPr>
          <w:color w:val="373D42"/>
          <w:lang w:val="en-US"/>
        </w:rPr>
        <w:t xml:space="preserve"> </w:t>
      </w:r>
      <w:r w:rsidRPr="008B4B16">
        <w:rPr>
          <w:color w:val="373D42"/>
          <w:lang w:val="en-US"/>
        </w:rPr>
        <w:t>Community consultation and engagement about human rights</w:t>
      </w:r>
      <w:bookmarkEnd w:id="720"/>
      <w:bookmarkEnd w:id="721"/>
    </w:p>
    <w:p w14:paraId="5F2D0AB5" w14:textId="77777777" w:rsidR="00C72A03" w:rsidRPr="009954F9" w:rsidRDefault="00C72A03" w:rsidP="002D2599">
      <w:pPr>
        <w:pStyle w:val="ListParagraph"/>
        <w:numPr>
          <w:ilvl w:val="0"/>
          <w:numId w:val="10"/>
        </w:numPr>
        <w:spacing w:after="200"/>
        <w:ind w:right="0"/>
        <w:rPr>
          <w:rFonts w:cs="Arial"/>
          <w:lang w:val="en-US"/>
        </w:rPr>
      </w:pPr>
      <w:r w:rsidRPr="0F6617A5">
        <w:rPr>
          <w:rFonts w:cs="Arial"/>
          <w:lang w:val="en-US"/>
        </w:rPr>
        <w:t xml:space="preserve">Have you conducted any community consultation and engagement, such as with stakeholders, clients, or consumers about human rights? </w:t>
      </w:r>
    </w:p>
    <w:p w14:paraId="5E00A8C7" w14:textId="77777777" w:rsidR="00C72A03" w:rsidRPr="009954F9" w:rsidRDefault="00C72A03" w:rsidP="002D2599">
      <w:pPr>
        <w:pStyle w:val="ListParagraph"/>
        <w:numPr>
          <w:ilvl w:val="0"/>
          <w:numId w:val="10"/>
        </w:numPr>
        <w:spacing w:after="200"/>
        <w:ind w:right="0"/>
        <w:rPr>
          <w:rFonts w:cs="Arial"/>
          <w:lang w:val="en-US"/>
        </w:rPr>
      </w:pPr>
      <w:r w:rsidRPr="0F6617A5">
        <w:rPr>
          <w:rFonts w:cs="Arial"/>
          <w:lang w:val="en-US"/>
        </w:rPr>
        <w:t>What information have you provided to the community about human rights?</w:t>
      </w:r>
    </w:p>
    <w:p w14:paraId="5A57D121" w14:textId="77777777" w:rsidR="00C72A03" w:rsidRPr="009954F9" w:rsidRDefault="00C72A03" w:rsidP="002D2599">
      <w:pPr>
        <w:pStyle w:val="ListParagraph"/>
        <w:numPr>
          <w:ilvl w:val="0"/>
          <w:numId w:val="10"/>
        </w:numPr>
        <w:spacing w:after="200"/>
        <w:ind w:right="0"/>
        <w:rPr>
          <w:rFonts w:cs="Arial"/>
          <w:lang w:val="en-US"/>
        </w:rPr>
      </w:pPr>
      <w:r w:rsidRPr="0F6617A5">
        <w:rPr>
          <w:rFonts w:cs="Arial"/>
          <w:lang w:val="en-US"/>
        </w:rPr>
        <w:t>Have you consulted relevant sectors of the community about proposed changes to, or development of, legislation, regulations, policies, procedures, services etc. which may impact human rights?</w:t>
      </w:r>
    </w:p>
    <w:p w14:paraId="75FEBBF9" w14:textId="77777777" w:rsidR="00C72A03" w:rsidRPr="009954F9" w:rsidRDefault="00C72A03" w:rsidP="002D2599">
      <w:pPr>
        <w:pStyle w:val="ListParagraph"/>
        <w:numPr>
          <w:ilvl w:val="0"/>
          <w:numId w:val="10"/>
        </w:numPr>
        <w:spacing w:after="200"/>
        <w:ind w:right="0"/>
        <w:rPr>
          <w:rFonts w:cs="Arial"/>
        </w:rPr>
      </w:pPr>
      <w:r w:rsidRPr="0F6617A5">
        <w:rPr>
          <w:rFonts w:cs="Arial"/>
          <w:lang w:val="en-US"/>
        </w:rPr>
        <w:t xml:space="preserve">Please provide details, including </w:t>
      </w:r>
      <w:r w:rsidRPr="0F6617A5">
        <w:rPr>
          <w:rFonts w:cs="Arial"/>
        </w:rPr>
        <w:t>how did the community consultation and engagement impact on any decision-making/policy formulation, or other?</w:t>
      </w:r>
    </w:p>
    <w:p w14:paraId="487E2941" w14:textId="49D2B0FC" w:rsidR="00C72A03" w:rsidRPr="008B4B16" w:rsidRDefault="00C72A03" w:rsidP="008B4B16">
      <w:pPr>
        <w:pStyle w:val="Heading2"/>
        <w:rPr>
          <w:color w:val="373D42"/>
          <w:lang w:val="en-US"/>
        </w:rPr>
      </w:pPr>
      <w:bookmarkStart w:id="722" w:name="_Toc85526790"/>
      <w:bookmarkStart w:id="723" w:name="_Toc85787205"/>
      <w:r w:rsidRPr="008B4B16">
        <w:rPr>
          <w:color w:val="373D42"/>
          <w:lang w:val="en-US"/>
        </w:rPr>
        <w:t>Indicator 3:</w:t>
      </w:r>
      <w:r w:rsidR="008B4B16" w:rsidRPr="008B4B16">
        <w:rPr>
          <w:color w:val="373D42"/>
          <w:lang w:val="en-US"/>
        </w:rPr>
        <w:t xml:space="preserve"> </w:t>
      </w:r>
      <w:r w:rsidRPr="008B4B16">
        <w:rPr>
          <w:color w:val="373D42"/>
          <w:lang w:val="en-US"/>
        </w:rPr>
        <w:t>Awareness raising and support for related entities (including functional public entities engaged by the council i.e. contractors)</w:t>
      </w:r>
      <w:bookmarkEnd w:id="722"/>
      <w:bookmarkEnd w:id="723"/>
    </w:p>
    <w:p w14:paraId="2B018EBD" w14:textId="77777777" w:rsidR="00C72A03" w:rsidRPr="009954F9" w:rsidRDefault="00C72A03" w:rsidP="002D2599">
      <w:pPr>
        <w:pStyle w:val="ListParagraph"/>
        <w:numPr>
          <w:ilvl w:val="0"/>
          <w:numId w:val="11"/>
        </w:numPr>
        <w:spacing w:after="200"/>
        <w:ind w:right="0"/>
        <w:rPr>
          <w:rFonts w:cs="Arial"/>
          <w:lang w:val="en-US"/>
        </w:rPr>
      </w:pPr>
      <w:r w:rsidRPr="0F6617A5">
        <w:rPr>
          <w:rFonts w:cs="Arial"/>
          <w:lang w:val="en-US"/>
        </w:rPr>
        <w:t>Have you raised awareness of human rights with contractors/providers engaged by the council? If so, provide details. For example, has human rights been embedded into formal contracts?</w:t>
      </w:r>
    </w:p>
    <w:p w14:paraId="75CDA041" w14:textId="77777777" w:rsidR="00C72A03" w:rsidRPr="009954F9" w:rsidRDefault="00C72A03" w:rsidP="002D2599">
      <w:pPr>
        <w:pStyle w:val="ListParagraph"/>
        <w:numPr>
          <w:ilvl w:val="0"/>
          <w:numId w:val="11"/>
        </w:numPr>
        <w:spacing w:after="200"/>
        <w:ind w:right="0"/>
        <w:rPr>
          <w:rFonts w:cs="Arial"/>
          <w:lang w:val="en-US"/>
        </w:rPr>
      </w:pPr>
      <w:r w:rsidRPr="0F6617A5">
        <w:rPr>
          <w:rFonts w:cs="Arial"/>
          <w:lang w:val="en-US"/>
        </w:rPr>
        <w:t>What support in ensuring compatibility with the Act have you provided to providers engaged by the council? If any, provide details.</w:t>
      </w:r>
    </w:p>
    <w:p w14:paraId="6C89D545" w14:textId="692EF445" w:rsidR="00C72A03" w:rsidRPr="008B4B16" w:rsidRDefault="00C72A03" w:rsidP="008B4B16">
      <w:pPr>
        <w:pStyle w:val="Heading2"/>
        <w:rPr>
          <w:color w:val="373D42"/>
          <w:lang w:val="en-US"/>
        </w:rPr>
      </w:pPr>
      <w:bookmarkStart w:id="724" w:name="_Toc85526791"/>
      <w:bookmarkStart w:id="725" w:name="_Toc85787206"/>
      <w:r w:rsidRPr="008B4B16">
        <w:rPr>
          <w:color w:val="373D42"/>
          <w:lang w:val="en-US"/>
        </w:rPr>
        <w:t>Indicator 4:</w:t>
      </w:r>
      <w:r w:rsidR="008B4B16" w:rsidRPr="008B4B16">
        <w:rPr>
          <w:color w:val="373D42"/>
          <w:lang w:val="en-US"/>
        </w:rPr>
        <w:t xml:space="preserve"> </w:t>
      </w:r>
      <w:r w:rsidRPr="008B4B16">
        <w:rPr>
          <w:color w:val="373D42"/>
          <w:lang w:val="en-US"/>
        </w:rPr>
        <w:t>Reviews and development of local laws and subordinate local laws</w:t>
      </w:r>
      <w:bookmarkEnd w:id="724"/>
      <w:bookmarkEnd w:id="725"/>
    </w:p>
    <w:p w14:paraId="7EC7BB6A" w14:textId="77777777" w:rsidR="00C72A03" w:rsidRPr="009954F9" w:rsidRDefault="00C72A03" w:rsidP="002D2599">
      <w:pPr>
        <w:pStyle w:val="CommentText"/>
        <w:numPr>
          <w:ilvl w:val="0"/>
          <w:numId w:val="12"/>
        </w:numPr>
        <w:spacing w:after="200"/>
        <w:ind w:right="0"/>
        <w:rPr>
          <w:rFonts w:cs="Arial"/>
          <w:sz w:val="24"/>
          <w:szCs w:val="24"/>
          <w:lang w:val="en-US"/>
        </w:rPr>
      </w:pPr>
      <w:r w:rsidRPr="009954F9">
        <w:rPr>
          <w:rFonts w:cs="Arial"/>
          <w:sz w:val="24"/>
          <w:szCs w:val="24"/>
        </w:rPr>
        <w:t xml:space="preserve">Please point to </w:t>
      </w:r>
      <w:r>
        <w:rPr>
          <w:rFonts w:cs="Arial"/>
          <w:sz w:val="24"/>
          <w:szCs w:val="24"/>
        </w:rPr>
        <w:t>a local law or subordinate local law</w:t>
      </w:r>
      <w:r w:rsidRPr="009954F9">
        <w:rPr>
          <w:rFonts w:cs="Arial"/>
          <w:sz w:val="24"/>
          <w:szCs w:val="24"/>
        </w:rPr>
        <w:t xml:space="preserve"> that </w:t>
      </w:r>
      <w:r>
        <w:rPr>
          <w:rFonts w:cs="Arial"/>
          <w:sz w:val="24"/>
          <w:szCs w:val="24"/>
        </w:rPr>
        <w:t>has</w:t>
      </w:r>
      <w:r w:rsidRPr="009954F9">
        <w:rPr>
          <w:rFonts w:cs="Arial"/>
          <w:sz w:val="24"/>
          <w:szCs w:val="24"/>
        </w:rPr>
        <w:t xml:space="preserve"> been introduced in the financial year 2020-21</w:t>
      </w:r>
      <w:r>
        <w:rPr>
          <w:rFonts w:cs="Arial"/>
          <w:sz w:val="24"/>
          <w:szCs w:val="24"/>
        </w:rPr>
        <w:t xml:space="preserve"> and</w:t>
      </w:r>
      <w:r w:rsidRPr="009954F9">
        <w:rPr>
          <w:rFonts w:cs="Arial"/>
          <w:sz w:val="24"/>
          <w:szCs w:val="24"/>
        </w:rPr>
        <w:t xml:space="preserve"> that: </w:t>
      </w:r>
    </w:p>
    <w:p w14:paraId="4F6DBB62" w14:textId="77777777" w:rsidR="00C72A03" w:rsidRPr="009954F9" w:rsidRDefault="00C72A03" w:rsidP="002D2599">
      <w:pPr>
        <w:pStyle w:val="CommentText"/>
        <w:numPr>
          <w:ilvl w:val="1"/>
          <w:numId w:val="12"/>
        </w:numPr>
        <w:spacing w:after="200"/>
        <w:ind w:right="0"/>
        <w:rPr>
          <w:rFonts w:cs="Arial"/>
          <w:sz w:val="24"/>
          <w:szCs w:val="24"/>
          <w:lang w:val="en-US"/>
        </w:rPr>
      </w:pPr>
      <w:r w:rsidRPr="009954F9">
        <w:rPr>
          <w:rFonts w:cs="Arial"/>
          <w:sz w:val="24"/>
          <w:szCs w:val="24"/>
        </w:rPr>
        <w:t>has a significant impact on human rights;</w:t>
      </w:r>
    </w:p>
    <w:p w14:paraId="3FBA6B67" w14:textId="77777777" w:rsidR="00C72A03" w:rsidRPr="009954F9" w:rsidRDefault="00C72A03" w:rsidP="002D2599">
      <w:pPr>
        <w:pStyle w:val="CommentText"/>
        <w:numPr>
          <w:ilvl w:val="1"/>
          <w:numId w:val="12"/>
        </w:numPr>
        <w:spacing w:after="200"/>
        <w:ind w:right="0"/>
        <w:rPr>
          <w:rFonts w:cs="Arial"/>
          <w:sz w:val="24"/>
          <w:szCs w:val="24"/>
          <w:lang w:val="en-US"/>
        </w:rPr>
      </w:pPr>
      <w:r w:rsidRPr="009954F9">
        <w:rPr>
          <w:rFonts w:cs="Arial"/>
          <w:sz w:val="24"/>
          <w:szCs w:val="24"/>
        </w:rPr>
        <w:lastRenderedPageBreak/>
        <w:t>works to respect, protect, or promote human rights</w:t>
      </w:r>
    </w:p>
    <w:p w14:paraId="6DB72F39" w14:textId="77777777" w:rsidR="00C72A03" w:rsidRPr="009954F9" w:rsidRDefault="00C72A03" w:rsidP="002D2599">
      <w:pPr>
        <w:pStyle w:val="CommentText"/>
        <w:numPr>
          <w:ilvl w:val="0"/>
          <w:numId w:val="12"/>
        </w:numPr>
        <w:spacing w:after="200"/>
        <w:ind w:right="0"/>
        <w:rPr>
          <w:rFonts w:cs="Arial"/>
          <w:sz w:val="24"/>
          <w:szCs w:val="24"/>
          <w:lang w:val="en-US"/>
        </w:rPr>
      </w:pPr>
      <w:r w:rsidRPr="009954F9">
        <w:rPr>
          <w:rFonts w:cs="Arial"/>
          <w:sz w:val="24"/>
          <w:szCs w:val="24"/>
        </w:rPr>
        <w:t xml:space="preserve">Please provide any examples of good practice in ensuring the proper consideration of human rights is part of </w:t>
      </w:r>
      <w:r>
        <w:rPr>
          <w:rFonts w:cs="Arial"/>
          <w:sz w:val="24"/>
          <w:szCs w:val="24"/>
        </w:rPr>
        <w:t>local law</w:t>
      </w:r>
      <w:r w:rsidRPr="009954F9">
        <w:rPr>
          <w:rFonts w:cs="Arial"/>
          <w:sz w:val="24"/>
          <w:szCs w:val="24"/>
        </w:rPr>
        <w:t xml:space="preserve"> development</w:t>
      </w:r>
      <w:r>
        <w:rPr>
          <w:rFonts w:cs="Arial"/>
          <w:sz w:val="24"/>
          <w:szCs w:val="24"/>
        </w:rPr>
        <w:t>.</w:t>
      </w:r>
    </w:p>
    <w:p w14:paraId="279B919F" w14:textId="484CA9DB" w:rsidR="00C72A03" w:rsidRPr="008B4B16" w:rsidRDefault="00C72A03" w:rsidP="008B4B16">
      <w:pPr>
        <w:pStyle w:val="Heading2"/>
        <w:rPr>
          <w:color w:val="373D42"/>
          <w:lang w:val="en-US"/>
        </w:rPr>
      </w:pPr>
      <w:bookmarkStart w:id="726" w:name="_Toc85526792"/>
      <w:bookmarkStart w:id="727" w:name="_Toc85787207"/>
      <w:r w:rsidRPr="008B4B16">
        <w:rPr>
          <w:color w:val="373D42"/>
          <w:lang w:val="en-US"/>
        </w:rPr>
        <w:t>Indicator 5:</w:t>
      </w:r>
      <w:r w:rsidR="008B4B16" w:rsidRPr="008B4B16">
        <w:rPr>
          <w:color w:val="373D42"/>
          <w:lang w:val="en-US"/>
        </w:rPr>
        <w:t xml:space="preserve"> </w:t>
      </w:r>
      <w:r w:rsidRPr="008B4B16">
        <w:rPr>
          <w:color w:val="373D42"/>
          <w:lang w:val="en-US"/>
        </w:rPr>
        <w:t>Review of policies and procedures</w:t>
      </w:r>
      <w:bookmarkEnd w:id="726"/>
      <w:bookmarkEnd w:id="727"/>
    </w:p>
    <w:p w14:paraId="162E5A9B" w14:textId="495EAF3D" w:rsidR="00C72A03" w:rsidRPr="009954F9" w:rsidRDefault="00C72A03" w:rsidP="002D2599">
      <w:pPr>
        <w:pStyle w:val="ListParagraph"/>
        <w:numPr>
          <w:ilvl w:val="0"/>
          <w:numId w:val="13"/>
        </w:numPr>
        <w:spacing w:after="200"/>
        <w:ind w:right="0"/>
        <w:rPr>
          <w:rFonts w:cs="Arial"/>
          <w:lang w:val="en-US"/>
        </w:rPr>
      </w:pPr>
      <w:r w:rsidRPr="0F6617A5">
        <w:rPr>
          <w:rFonts w:cs="Arial"/>
          <w:lang w:val="en-US"/>
        </w:rPr>
        <w:t>Has the council reviewed policies and procedures for compatibility with human rights?</w:t>
      </w:r>
      <w:r w:rsidR="00197317">
        <w:rPr>
          <w:rFonts w:cs="Arial"/>
          <w:lang w:val="en-US"/>
        </w:rPr>
        <w:t xml:space="preserve"> </w:t>
      </w:r>
    </w:p>
    <w:p w14:paraId="0B56979F" w14:textId="77777777" w:rsidR="00C72A03" w:rsidRPr="009954F9" w:rsidRDefault="00C72A03" w:rsidP="002D2599">
      <w:pPr>
        <w:pStyle w:val="ListParagraph"/>
        <w:numPr>
          <w:ilvl w:val="0"/>
          <w:numId w:val="13"/>
        </w:numPr>
        <w:spacing w:after="200"/>
        <w:ind w:right="0"/>
        <w:rPr>
          <w:rFonts w:cs="Arial"/>
          <w:lang w:val="en-US"/>
        </w:rPr>
      </w:pPr>
      <w:r w:rsidRPr="0F6617A5">
        <w:rPr>
          <w:rFonts w:cs="Arial"/>
          <w:lang w:val="en-US"/>
        </w:rPr>
        <w:t>Please provide an example of the way in which the review of policies and procedures has resulted in positive change?</w:t>
      </w:r>
    </w:p>
    <w:p w14:paraId="140361CA" w14:textId="77777777" w:rsidR="00C72A03" w:rsidRPr="009954F9" w:rsidRDefault="00C72A03" w:rsidP="002D2599">
      <w:pPr>
        <w:pStyle w:val="ListParagraph"/>
        <w:numPr>
          <w:ilvl w:val="0"/>
          <w:numId w:val="13"/>
        </w:numPr>
        <w:spacing w:after="200"/>
        <w:ind w:right="0"/>
        <w:rPr>
          <w:rFonts w:cs="Arial"/>
          <w:lang w:val="en-US"/>
        </w:rPr>
      </w:pPr>
      <w:r w:rsidRPr="0F6617A5">
        <w:rPr>
          <w:rFonts w:cs="Arial"/>
          <w:lang w:val="en-US"/>
        </w:rPr>
        <w:t>In particular, have you developed any new guides or other tools to assist staff to act and make decisions that are compatible with human rights, and to properly consider human rights when making decisions?</w:t>
      </w:r>
    </w:p>
    <w:p w14:paraId="60CB509B" w14:textId="77777777" w:rsidR="00C72A03" w:rsidRPr="009954F9" w:rsidRDefault="00C72A03" w:rsidP="002D2599">
      <w:pPr>
        <w:pStyle w:val="ListParagraph"/>
        <w:numPr>
          <w:ilvl w:val="0"/>
          <w:numId w:val="13"/>
        </w:numPr>
        <w:spacing w:after="200"/>
        <w:ind w:right="0"/>
        <w:rPr>
          <w:rFonts w:cs="Arial"/>
          <w:lang w:val="en-US"/>
        </w:rPr>
      </w:pPr>
      <w:r w:rsidRPr="0F6617A5">
        <w:rPr>
          <w:rFonts w:cs="Arial"/>
          <w:lang w:val="en-US"/>
        </w:rPr>
        <w:t>Has any review of policies and procedures resulted in a change to service delivery? If so, please provide examples.</w:t>
      </w:r>
    </w:p>
    <w:p w14:paraId="72E03C6C" w14:textId="232854E1" w:rsidR="00C72A03" w:rsidRPr="008B4B16" w:rsidRDefault="00C72A03" w:rsidP="008B4B16">
      <w:pPr>
        <w:pStyle w:val="Heading2"/>
        <w:rPr>
          <w:color w:val="373D42"/>
          <w:lang w:val="en-US"/>
        </w:rPr>
      </w:pPr>
      <w:bookmarkStart w:id="728" w:name="_Toc85526793"/>
      <w:bookmarkStart w:id="729" w:name="_Toc85787208"/>
      <w:r w:rsidRPr="008B4B16">
        <w:rPr>
          <w:color w:val="373D42"/>
          <w:lang w:val="en-US"/>
        </w:rPr>
        <w:t>Indicator 6:</w:t>
      </w:r>
      <w:r w:rsidR="008B4B16" w:rsidRPr="008B4B16">
        <w:rPr>
          <w:color w:val="373D42"/>
          <w:lang w:val="en-US"/>
        </w:rPr>
        <w:t xml:space="preserve"> </w:t>
      </w:r>
      <w:r w:rsidRPr="008B4B16">
        <w:rPr>
          <w:color w:val="373D42"/>
          <w:lang w:val="en-US"/>
        </w:rPr>
        <w:t>Internal complaint management for human rights complaints</w:t>
      </w:r>
      <w:bookmarkEnd w:id="728"/>
      <w:bookmarkEnd w:id="729"/>
    </w:p>
    <w:p w14:paraId="1F7AED94" w14:textId="77777777" w:rsidR="00C72A03" w:rsidRPr="009954F9" w:rsidRDefault="00C72A03" w:rsidP="002D2599">
      <w:pPr>
        <w:pStyle w:val="ListParagraph"/>
        <w:numPr>
          <w:ilvl w:val="0"/>
          <w:numId w:val="14"/>
        </w:numPr>
        <w:spacing w:after="200"/>
        <w:ind w:right="0"/>
        <w:rPr>
          <w:rFonts w:cs="Arial"/>
          <w:lang w:val="en-US"/>
        </w:rPr>
      </w:pPr>
      <w:r w:rsidRPr="009954F9">
        <w:rPr>
          <w:rStyle w:val="CommentReference"/>
          <w:rFonts w:cs="Arial"/>
          <w:sz w:val="24"/>
          <w:szCs w:val="24"/>
        </w:rPr>
        <w:t>H</w:t>
      </w:r>
      <w:r w:rsidRPr="0F6617A5">
        <w:rPr>
          <w:rFonts w:cs="Arial"/>
          <w:lang w:val="en-US"/>
        </w:rPr>
        <w:t xml:space="preserve">ow successful has the council been in integrating human rights complaints into internal complaints processes? If possible, provide examples of what has been achieved. </w:t>
      </w:r>
    </w:p>
    <w:p w14:paraId="49F9016F" w14:textId="77777777" w:rsidR="00C72A03" w:rsidRPr="009954F9" w:rsidRDefault="00C72A03" w:rsidP="002D2599">
      <w:pPr>
        <w:pStyle w:val="ListParagraph"/>
        <w:numPr>
          <w:ilvl w:val="0"/>
          <w:numId w:val="14"/>
        </w:numPr>
        <w:spacing w:after="200"/>
        <w:ind w:right="0"/>
        <w:rPr>
          <w:rFonts w:cs="Arial"/>
          <w:lang w:val="en-US"/>
        </w:rPr>
      </w:pPr>
      <w:r w:rsidRPr="0F6617A5">
        <w:rPr>
          <w:rFonts w:cs="Arial"/>
          <w:lang w:val="en-US"/>
        </w:rPr>
        <w:t>Does the council face any barriers in successfully identifying, considering, and responding to human rights complaints? If so, what are they?</w:t>
      </w:r>
    </w:p>
    <w:p w14:paraId="70B8E1C7" w14:textId="77777777" w:rsidR="00C72A03" w:rsidRPr="009954F9" w:rsidRDefault="00C72A03" w:rsidP="002D2599">
      <w:pPr>
        <w:pStyle w:val="ListParagraph"/>
        <w:numPr>
          <w:ilvl w:val="0"/>
          <w:numId w:val="14"/>
        </w:numPr>
        <w:spacing w:after="200"/>
        <w:ind w:right="0"/>
        <w:rPr>
          <w:rFonts w:cs="Arial"/>
          <w:lang w:val="en-US"/>
        </w:rPr>
      </w:pPr>
      <w:r w:rsidRPr="0F6617A5">
        <w:rPr>
          <w:rFonts w:cs="Arial"/>
          <w:lang w:val="en-US"/>
        </w:rPr>
        <w:t>Please provide examples of where a complaint has been resolved through the internal complaints process and/or has resulted in policy/procedure/practice review, service improvements or change for the council.</w:t>
      </w:r>
    </w:p>
    <w:p w14:paraId="7FBA830E" w14:textId="741EC18E" w:rsidR="00C72A03" w:rsidRPr="008B4B16" w:rsidRDefault="00C72A03" w:rsidP="008B4B16">
      <w:pPr>
        <w:pStyle w:val="Heading2"/>
        <w:rPr>
          <w:color w:val="373D42"/>
          <w:lang w:val="en-US"/>
        </w:rPr>
      </w:pPr>
      <w:bookmarkStart w:id="730" w:name="_Toc85526794"/>
      <w:bookmarkStart w:id="731" w:name="_Toc85787209"/>
      <w:r w:rsidRPr="008B4B16">
        <w:rPr>
          <w:color w:val="373D42"/>
          <w:lang w:val="en-US"/>
        </w:rPr>
        <w:t>Indicator 7:</w:t>
      </w:r>
      <w:r w:rsidR="008B4B16" w:rsidRPr="008B4B16">
        <w:rPr>
          <w:color w:val="373D42"/>
          <w:lang w:val="en-US"/>
        </w:rPr>
        <w:t xml:space="preserve"> </w:t>
      </w:r>
      <w:r w:rsidRPr="008B4B16">
        <w:rPr>
          <w:color w:val="373D42"/>
          <w:lang w:val="en-US"/>
        </w:rPr>
        <w:t>Future plans</w:t>
      </w:r>
      <w:bookmarkEnd w:id="730"/>
      <w:bookmarkEnd w:id="731"/>
    </w:p>
    <w:p w14:paraId="3142A25A" w14:textId="77777777" w:rsidR="00C72A03" w:rsidRPr="009954F9" w:rsidRDefault="00C72A03" w:rsidP="00C72A03">
      <w:pPr>
        <w:rPr>
          <w:rFonts w:cs="Arial"/>
          <w:lang w:val="en-US"/>
        </w:rPr>
      </w:pPr>
      <w:r w:rsidRPr="009954F9">
        <w:rPr>
          <w:rFonts w:cs="Arial"/>
          <w:lang w:val="en-US"/>
        </w:rPr>
        <w:t xml:space="preserve">What future plans does </w:t>
      </w:r>
      <w:r>
        <w:rPr>
          <w:rFonts w:cs="Arial"/>
          <w:lang w:val="en-US"/>
        </w:rPr>
        <w:t>the council</w:t>
      </w:r>
      <w:r w:rsidRPr="009954F9">
        <w:rPr>
          <w:rFonts w:cs="Arial"/>
          <w:lang w:val="en-US"/>
        </w:rPr>
        <w:t xml:space="preserve"> have to achieve the objects of the Act in:</w:t>
      </w:r>
    </w:p>
    <w:p w14:paraId="645B30AF" w14:textId="77777777" w:rsidR="00C72A03" w:rsidRPr="009954F9" w:rsidRDefault="00C72A03" w:rsidP="002D2599">
      <w:pPr>
        <w:pStyle w:val="ListParagraph"/>
        <w:numPr>
          <w:ilvl w:val="0"/>
          <w:numId w:val="8"/>
        </w:numPr>
        <w:spacing w:after="200"/>
        <w:ind w:right="0"/>
        <w:rPr>
          <w:rFonts w:cs="Arial"/>
          <w:lang w:val="en-US"/>
        </w:rPr>
      </w:pPr>
      <w:r w:rsidRPr="0F6617A5">
        <w:rPr>
          <w:rFonts w:cs="Arial"/>
          <w:lang w:val="en-US"/>
        </w:rPr>
        <w:t>protecting and promoting human rights;</w:t>
      </w:r>
    </w:p>
    <w:p w14:paraId="1967892F" w14:textId="77777777" w:rsidR="00C72A03" w:rsidRPr="009954F9" w:rsidRDefault="00C72A03" w:rsidP="002D2599">
      <w:pPr>
        <w:pStyle w:val="ListParagraph"/>
        <w:numPr>
          <w:ilvl w:val="0"/>
          <w:numId w:val="8"/>
        </w:numPr>
        <w:spacing w:after="200"/>
        <w:ind w:right="0"/>
        <w:rPr>
          <w:rFonts w:cs="Arial"/>
          <w:lang w:val="en-US"/>
        </w:rPr>
      </w:pPr>
      <w:r w:rsidRPr="0F6617A5">
        <w:rPr>
          <w:rFonts w:cs="Arial"/>
          <w:lang w:val="en-US"/>
        </w:rPr>
        <w:t>building a culture in the Queensland public sector that respects and promotes human rights; and</w:t>
      </w:r>
    </w:p>
    <w:p w14:paraId="3406A139" w14:textId="77777777" w:rsidR="00C72A03" w:rsidRPr="009954F9" w:rsidRDefault="00C72A03" w:rsidP="002D2599">
      <w:pPr>
        <w:pStyle w:val="ListParagraph"/>
        <w:numPr>
          <w:ilvl w:val="0"/>
          <w:numId w:val="8"/>
        </w:numPr>
        <w:spacing w:after="200"/>
        <w:ind w:right="0"/>
        <w:rPr>
          <w:rFonts w:cs="Arial"/>
          <w:lang w:val="en-US"/>
        </w:rPr>
      </w:pPr>
      <w:r w:rsidRPr="0F6617A5">
        <w:rPr>
          <w:rFonts w:cs="Arial"/>
          <w:lang w:val="en-US"/>
        </w:rPr>
        <w:t>helping promote a dialogue about the nature, meaning, and scope of human rights.</w:t>
      </w:r>
    </w:p>
    <w:p w14:paraId="7D63D6AE" w14:textId="77777777" w:rsidR="00C72A03" w:rsidRPr="008B4B16" w:rsidRDefault="00C72A03" w:rsidP="008B4B16">
      <w:pPr>
        <w:pStyle w:val="Heading2"/>
        <w:rPr>
          <w:color w:val="373D42"/>
          <w:lang w:val="en-US"/>
        </w:rPr>
      </w:pPr>
      <w:bookmarkStart w:id="732" w:name="_Toc85526795"/>
      <w:bookmarkStart w:id="733" w:name="_Toc85787210"/>
      <w:r w:rsidRPr="008B4B16">
        <w:rPr>
          <w:color w:val="373D42"/>
          <w:lang w:val="en-US"/>
        </w:rPr>
        <w:t>Additional question:</w:t>
      </w:r>
      <w:bookmarkEnd w:id="732"/>
      <w:bookmarkEnd w:id="733"/>
    </w:p>
    <w:p w14:paraId="538D45A1" w14:textId="739BAF8B" w:rsidR="00E70CFF" w:rsidRPr="006C400D" w:rsidRDefault="00C72A03" w:rsidP="006C400D">
      <w:pPr>
        <w:rPr>
          <w:rFonts w:cs="Arial"/>
          <w:lang w:val="en-US"/>
        </w:rPr>
      </w:pPr>
      <w:r w:rsidRPr="009954F9">
        <w:rPr>
          <w:rFonts w:cs="Arial"/>
          <w:lang w:val="en-US"/>
        </w:rPr>
        <w:t>How has senior leadership demonstrated a commitment to embedding human rights generally, and in particular with respect to the Indicators 1 – 6 noted above?</w:t>
      </w:r>
      <w:r w:rsidR="00E70CFF">
        <w:rPr>
          <w:rFonts w:cs="Arial"/>
        </w:rPr>
        <w:br w:type="page"/>
      </w:r>
    </w:p>
    <w:bookmarkStart w:id="734" w:name="_Toc56452236"/>
    <w:bookmarkEnd w:id="734"/>
    <w:p w14:paraId="7C310B57" w14:textId="1BC8A9C8" w:rsidR="00C72A03" w:rsidRDefault="0079165D">
      <w:pPr>
        <w:rPr>
          <w:rFonts w:cs="Arial"/>
        </w:rPr>
      </w:pPr>
      <w:r>
        <w:rPr>
          <w:noProof/>
          <w:color w:val="2B579A"/>
          <w:shd w:val="clear" w:color="auto" w:fill="E6E6E6"/>
          <w:lang w:eastAsia="en-AU"/>
        </w:rPr>
        <w:lastRenderedPageBreak/>
        <mc:AlternateContent>
          <mc:Choice Requires="wps">
            <w:drawing>
              <wp:anchor distT="0" distB="0" distL="114300" distR="114300" simplePos="0" relativeHeight="251658242" behindDoc="1" locked="0" layoutInCell="1" allowOverlap="1" wp14:anchorId="0FC79171" wp14:editId="454D1D11">
                <wp:simplePos x="0" y="0"/>
                <wp:positionH relativeFrom="page">
                  <wp:align>left</wp:align>
                </wp:positionH>
                <wp:positionV relativeFrom="paragraph">
                  <wp:posOffset>-1164787</wp:posOffset>
                </wp:positionV>
                <wp:extent cx="7612052" cy="4067503"/>
                <wp:effectExtent l="0" t="0" r="8255" b="9525"/>
                <wp:wrapNone/>
                <wp:docPr id="54" name="Rectangle 54" descr="Rectangular grey block which covers the top quarter of the page. The chapter title sits inside the rectangle in white text. " title="Decorative colour block "/>
                <wp:cNvGraphicFramePr/>
                <a:graphic xmlns:a="http://schemas.openxmlformats.org/drawingml/2006/main">
                  <a:graphicData uri="http://schemas.microsoft.com/office/word/2010/wordprocessingShape">
                    <wps:wsp>
                      <wps:cNvSpPr/>
                      <wps:spPr>
                        <a:xfrm>
                          <a:off x="0" y="0"/>
                          <a:ext cx="7612052" cy="4067503"/>
                        </a:xfrm>
                        <a:prstGeom prst="rect">
                          <a:avLst/>
                        </a:prstGeom>
                        <a:solidFill>
                          <a:srgbClr val="383D41"/>
                        </a:solid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w16="http://schemas.microsoft.com/office/word/2018/wordml" xmlns:w16cid="http://schemas.microsoft.com/office/word/2016/wordml/cid" xmlns:w16cex="http://schemas.microsoft.com/office/word/2018/wordml/cex"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w:pict>
              <v:rect w14:anchorId="7A0AF25E" id="Rectangle 54" o:spid="_x0000_s1026" alt="Title: Decorative colour block  - Description: Rectangular grey block which covers the top quarter of the page. The chapter title sits inside the rectangle in white text. " style="position:absolute;margin-left:0;margin-top:-91.7pt;width:599.35pt;height:320.3pt;z-index:-251658238;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" fillcolor="#383d41" stroked="f" strokeweight="1pt">
                <w10:wrap anchorx="page"/>
              </v:rect>
            </w:pict>
          </mc:Fallback>
        </mc:AlternateContent>
      </w:r>
    </w:p>
    <w:p w14:paraId="35B6B397" w14:textId="59EF64CD" w:rsidR="00045325" w:rsidRDefault="0056144E" w:rsidP="004B2D50">
      <w:pPr>
        <w:pStyle w:val="Chapterheading"/>
      </w:pPr>
      <w:bookmarkStart w:id="735" w:name="_Toc84593965"/>
      <w:bookmarkStart w:id="736" w:name="_Toc85451840"/>
      <w:bookmarkStart w:id="737" w:name="_Toc85526796"/>
      <w:bookmarkStart w:id="738" w:name="_Toc85787211"/>
      <w:r w:rsidRPr="008A00EB">
        <w:t xml:space="preserve">Appendix </w:t>
      </w:r>
      <w:r w:rsidR="00DC1FFA">
        <w:t>C</w:t>
      </w:r>
      <w:r w:rsidR="008A12D3">
        <w:t>:</w:t>
      </w:r>
      <w:r w:rsidR="0065130C">
        <w:t xml:space="preserve"> </w:t>
      </w:r>
      <w:r w:rsidR="00F62EDC">
        <w:t>Complaints</w:t>
      </w:r>
      <w:r w:rsidR="0029036B">
        <w:t xml:space="preserve"> and enquiries</w:t>
      </w:r>
      <w:r w:rsidR="00F62EDC">
        <w:t xml:space="preserve"> data</w:t>
      </w:r>
      <w:r w:rsidR="00E46B24">
        <w:t xml:space="preserve"> tables</w:t>
      </w:r>
      <w:bookmarkEnd w:id="735"/>
      <w:bookmarkEnd w:id="736"/>
      <w:bookmarkEnd w:id="737"/>
      <w:bookmarkEnd w:id="738"/>
    </w:p>
    <w:p w14:paraId="3497853B" w14:textId="77777777" w:rsidR="004B2D50" w:rsidRDefault="004B2D50" w:rsidP="008A12D3"/>
    <w:p w14:paraId="7ED14997" w14:textId="77777777" w:rsidR="00C72A03" w:rsidRDefault="00C72A03" w:rsidP="008A12D3"/>
    <w:p w14:paraId="6405200A" w14:textId="2127616D" w:rsidR="00616233" w:rsidRDefault="00045325" w:rsidP="008A12D3">
      <w:r>
        <w:t xml:space="preserve">Refer to section </w:t>
      </w:r>
      <w:r>
        <w:rPr>
          <w:i/>
        </w:rPr>
        <w:t>Human rights complaints snapshot</w:t>
      </w:r>
      <w:r>
        <w:t xml:space="preserve"> for explanations of terms such as ‘accepted’, ‘resolved’</w:t>
      </w:r>
      <w:r w:rsidR="000E1460">
        <w:t xml:space="preserve"> and </w:t>
      </w:r>
      <w:r>
        <w:t xml:space="preserve">‘finalised.’ </w:t>
      </w:r>
    </w:p>
    <w:p w14:paraId="117CF552" w14:textId="0AEAFC0F" w:rsidR="0029036B" w:rsidRDefault="00666E19" w:rsidP="00571790">
      <w:pPr>
        <w:pStyle w:val="Caption"/>
      </w:pPr>
      <w:r>
        <w:t xml:space="preserve">Table </w:t>
      </w:r>
      <w:r w:rsidR="001B661A">
        <w:t>20</w:t>
      </w:r>
      <w:r>
        <w:t>:</w:t>
      </w:r>
      <w:r w:rsidR="0029036B">
        <w:t xml:space="preserve"> Country of birth of enquirers</w:t>
      </w:r>
      <w:r>
        <w:t xml:space="preserve">, </w:t>
      </w:r>
      <w:r w:rsidR="00584C8B">
        <w:t>2020-21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671"/>
        <w:gridCol w:w="2777"/>
      </w:tblGrid>
      <w:tr w:rsidR="001B661A" w:rsidRPr="001B661A" w14:paraId="6E920BD9" w14:textId="77777777" w:rsidTr="008A12D3">
        <w:tc>
          <w:tcPr>
            <w:tcW w:w="3544" w:type="dxa"/>
          </w:tcPr>
          <w:p w14:paraId="30D89D08" w14:textId="62AD11D9" w:rsidR="00525A3A" w:rsidRPr="001B661A" w:rsidRDefault="00525A3A" w:rsidP="008A12D3">
            <w:pPr>
              <w:pStyle w:val="TableTextHeading"/>
              <w:rPr>
                <w:color w:val="373D42"/>
              </w:rPr>
            </w:pPr>
            <w:r w:rsidRPr="001B661A">
              <w:rPr>
                <w:color w:val="373D42"/>
              </w:rPr>
              <w:t>Enquirer country of birth</w:t>
            </w:r>
          </w:p>
        </w:tc>
        <w:tc>
          <w:tcPr>
            <w:tcW w:w="2688" w:type="dxa"/>
          </w:tcPr>
          <w:p w14:paraId="010D1959" w14:textId="3ADBF901" w:rsidR="00525A3A" w:rsidRPr="001B661A" w:rsidRDefault="00525A3A" w:rsidP="008A12D3">
            <w:pPr>
              <w:pStyle w:val="TableTextHeading"/>
              <w:rPr>
                <w:color w:val="373D42"/>
              </w:rPr>
            </w:pPr>
            <w:r w:rsidRPr="001B661A">
              <w:rPr>
                <w:color w:val="373D42"/>
              </w:rPr>
              <w:t>Number of enquirers</w:t>
            </w:r>
          </w:p>
        </w:tc>
      </w:tr>
      <w:tr w:rsidR="00525A3A" w14:paraId="568AC15C" w14:textId="77777777" w:rsidTr="0025566D">
        <w:tc>
          <w:tcPr>
            <w:tcW w:w="3544" w:type="dxa"/>
            <w:vAlign w:val="bottom"/>
          </w:tcPr>
          <w:p w14:paraId="17894E2B" w14:textId="676F8CCC" w:rsidR="00525A3A" w:rsidRDefault="00525A3A" w:rsidP="00A3527A">
            <w:pPr>
              <w:pStyle w:val="TableTextRight"/>
            </w:pPr>
            <w:r w:rsidRPr="00A3527A">
              <w:rPr>
                <w:lang w:eastAsia="en-AU"/>
              </w:rPr>
              <w:t>Australia</w:t>
            </w:r>
          </w:p>
        </w:tc>
        <w:tc>
          <w:tcPr>
            <w:tcW w:w="2688" w:type="dxa"/>
            <w:vAlign w:val="bottom"/>
          </w:tcPr>
          <w:p w14:paraId="09888CB5" w14:textId="7376282B" w:rsidR="00525A3A" w:rsidRDefault="00A3527A" w:rsidP="00A3527A">
            <w:pPr>
              <w:pStyle w:val="TableTextRight"/>
            </w:pPr>
            <w:r w:rsidRPr="00A3527A">
              <w:rPr>
                <w:lang w:eastAsia="en-AU"/>
              </w:rPr>
              <w:t>343</w:t>
            </w:r>
          </w:p>
        </w:tc>
      </w:tr>
      <w:tr w:rsidR="00525A3A" w14:paraId="62427CBE" w14:textId="77777777" w:rsidTr="0025566D">
        <w:tc>
          <w:tcPr>
            <w:tcW w:w="3544" w:type="dxa"/>
            <w:vAlign w:val="bottom"/>
          </w:tcPr>
          <w:p w14:paraId="7721E732" w14:textId="0BFD0BAF" w:rsidR="00525A3A" w:rsidRDefault="00525A3A" w:rsidP="00A3527A">
            <w:pPr>
              <w:pStyle w:val="TableTextRight"/>
              <w:ind w:right="1265"/>
            </w:pPr>
            <w:r w:rsidRPr="00A3527A">
              <w:rPr>
                <w:lang w:eastAsia="en-AU"/>
              </w:rPr>
              <w:t>New Zealand</w:t>
            </w:r>
          </w:p>
        </w:tc>
        <w:tc>
          <w:tcPr>
            <w:tcW w:w="2688" w:type="dxa"/>
            <w:vAlign w:val="bottom"/>
          </w:tcPr>
          <w:p w14:paraId="6AAF4DA4" w14:textId="2EFCA298" w:rsidR="00525A3A" w:rsidRDefault="00243A9C" w:rsidP="00A3527A">
            <w:pPr>
              <w:pStyle w:val="TableTextRight"/>
            </w:pPr>
            <w:r w:rsidRPr="00A3527A">
              <w:rPr>
                <w:lang w:eastAsia="en-AU"/>
              </w:rPr>
              <w:t>12</w:t>
            </w:r>
          </w:p>
        </w:tc>
      </w:tr>
      <w:tr w:rsidR="00525A3A" w14:paraId="07BA9E3C" w14:textId="77777777" w:rsidTr="0025566D">
        <w:tc>
          <w:tcPr>
            <w:tcW w:w="3544" w:type="dxa"/>
            <w:vAlign w:val="bottom"/>
          </w:tcPr>
          <w:p w14:paraId="22B4A421" w14:textId="44FC544D" w:rsidR="00525A3A" w:rsidRDefault="00243A9C" w:rsidP="00A3527A">
            <w:pPr>
              <w:pStyle w:val="TableTextRight"/>
              <w:tabs>
                <w:tab w:val="left" w:pos="1302"/>
              </w:tabs>
            </w:pPr>
            <w:r w:rsidRPr="00A3527A">
              <w:rPr>
                <w:lang w:eastAsia="en-AU"/>
              </w:rPr>
              <w:t>United Kingdom</w:t>
            </w:r>
            <w:r w:rsidR="00A3527A" w:rsidRPr="00A3527A">
              <w:rPr>
                <w:lang w:eastAsia="en-AU"/>
              </w:rPr>
              <w:t xml:space="preserve"> </w:t>
            </w:r>
          </w:p>
        </w:tc>
        <w:tc>
          <w:tcPr>
            <w:tcW w:w="2688" w:type="dxa"/>
            <w:vAlign w:val="bottom"/>
          </w:tcPr>
          <w:p w14:paraId="0709381E" w14:textId="2F2C97A2" w:rsidR="00525A3A" w:rsidRDefault="00243A9C" w:rsidP="00A3527A">
            <w:pPr>
              <w:pStyle w:val="TableTextRight"/>
            </w:pPr>
            <w:r w:rsidRPr="00A3527A">
              <w:rPr>
                <w:lang w:eastAsia="en-AU"/>
              </w:rPr>
              <w:t>11</w:t>
            </w:r>
          </w:p>
        </w:tc>
      </w:tr>
      <w:tr w:rsidR="00525A3A" w14:paraId="0CE178D8" w14:textId="77777777" w:rsidTr="0025566D">
        <w:tc>
          <w:tcPr>
            <w:tcW w:w="3544" w:type="dxa"/>
            <w:vAlign w:val="bottom"/>
          </w:tcPr>
          <w:p w14:paraId="0E62BDE0" w14:textId="152A11C8" w:rsidR="00525A3A" w:rsidRDefault="00243A9C" w:rsidP="00A3527A">
            <w:pPr>
              <w:pStyle w:val="TableTextRight"/>
            </w:pPr>
            <w:r w:rsidRPr="00A3527A">
              <w:rPr>
                <w:lang w:eastAsia="en-AU"/>
              </w:rPr>
              <w:t>India</w:t>
            </w:r>
          </w:p>
        </w:tc>
        <w:tc>
          <w:tcPr>
            <w:tcW w:w="2688" w:type="dxa"/>
            <w:vAlign w:val="bottom"/>
          </w:tcPr>
          <w:p w14:paraId="7D1AEC20" w14:textId="2DD0BAF1" w:rsidR="00525A3A" w:rsidRDefault="00243A9C" w:rsidP="00A3527A">
            <w:pPr>
              <w:pStyle w:val="TableTextRight"/>
            </w:pPr>
            <w:r w:rsidRPr="00A3527A">
              <w:rPr>
                <w:lang w:eastAsia="en-AU"/>
              </w:rPr>
              <w:t>5</w:t>
            </w:r>
          </w:p>
        </w:tc>
      </w:tr>
      <w:tr w:rsidR="00525A3A" w14:paraId="37CB9DFE" w14:textId="77777777" w:rsidTr="0025566D">
        <w:tc>
          <w:tcPr>
            <w:tcW w:w="3544" w:type="dxa"/>
            <w:vAlign w:val="bottom"/>
          </w:tcPr>
          <w:p w14:paraId="6845F745" w14:textId="18DD71D7" w:rsidR="00525A3A" w:rsidRDefault="00243A9C" w:rsidP="00A3527A">
            <w:pPr>
              <w:pStyle w:val="TableTextRight"/>
            </w:pPr>
            <w:r w:rsidRPr="00A3527A">
              <w:rPr>
                <w:lang w:eastAsia="en-AU"/>
              </w:rPr>
              <w:t>Netherlands</w:t>
            </w:r>
          </w:p>
        </w:tc>
        <w:tc>
          <w:tcPr>
            <w:tcW w:w="2688" w:type="dxa"/>
            <w:vAlign w:val="bottom"/>
          </w:tcPr>
          <w:p w14:paraId="5F2C0BC0" w14:textId="76C0DC60" w:rsidR="00525A3A" w:rsidRDefault="00243A9C" w:rsidP="00A3527A">
            <w:pPr>
              <w:pStyle w:val="TableTextRight"/>
            </w:pPr>
            <w:r w:rsidRPr="00A3527A">
              <w:rPr>
                <w:lang w:eastAsia="en-AU"/>
              </w:rPr>
              <w:t>4</w:t>
            </w:r>
          </w:p>
        </w:tc>
      </w:tr>
      <w:tr w:rsidR="00525A3A" w14:paraId="522CD870" w14:textId="77777777" w:rsidTr="0025566D">
        <w:tc>
          <w:tcPr>
            <w:tcW w:w="3544" w:type="dxa"/>
            <w:vAlign w:val="bottom"/>
          </w:tcPr>
          <w:p w14:paraId="62BC7A4F" w14:textId="477107D2" w:rsidR="00525A3A" w:rsidRDefault="00243A9C" w:rsidP="00A3527A">
            <w:pPr>
              <w:pStyle w:val="TableTextRight"/>
            </w:pPr>
            <w:r w:rsidRPr="00A3527A">
              <w:rPr>
                <w:lang w:eastAsia="en-AU"/>
              </w:rPr>
              <w:t>Philippines</w:t>
            </w:r>
          </w:p>
        </w:tc>
        <w:tc>
          <w:tcPr>
            <w:tcW w:w="2688" w:type="dxa"/>
            <w:vAlign w:val="bottom"/>
          </w:tcPr>
          <w:p w14:paraId="73AD15DE" w14:textId="4EC5C93E" w:rsidR="00525A3A" w:rsidRDefault="00243A9C" w:rsidP="00A3527A">
            <w:pPr>
              <w:pStyle w:val="TableTextRight"/>
            </w:pPr>
            <w:r w:rsidRPr="00A3527A">
              <w:rPr>
                <w:lang w:eastAsia="en-AU"/>
              </w:rPr>
              <w:t>3</w:t>
            </w:r>
          </w:p>
        </w:tc>
      </w:tr>
      <w:tr w:rsidR="00525A3A" w14:paraId="4582CF21" w14:textId="77777777" w:rsidTr="0025566D">
        <w:tc>
          <w:tcPr>
            <w:tcW w:w="3544" w:type="dxa"/>
            <w:vAlign w:val="bottom"/>
          </w:tcPr>
          <w:p w14:paraId="2AA76AD4" w14:textId="0F9E1870" w:rsidR="00525A3A" w:rsidRDefault="00243A9C" w:rsidP="00A3527A">
            <w:pPr>
              <w:pStyle w:val="TableTextRight"/>
              <w:ind w:right="556"/>
            </w:pPr>
            <w:r w:rsidRPr="00A3527A">
              <w:rPr>
                <w:lang w:eastAsia="en-AU"/>
              </w:rPr>
              <w:t>United States of America</w:t>
            </w:r>
          </w:p>
        </w:tc>
        <w:tc>
          <w:tcPr>
            <w:tcW w:w="2688" w:type="dxa"/>
            <w:vAlign w:val="bottom"/>
          </w:tcPr>
          <w:p w14:paraId="73BA19F5" w14:textId="3794263C" w:rsidR="00525A3A" w:rsidRDefault="00243A9C" w:rsidP="00A3527A">
            <w:pPr>
              <w:pStyle w:val="TableTextRight"/>
            </w:pPr>
            <w:r w:rsidRPr="00A3527A">
              <w:rPr>
                <w:lang w:eastAsia="en-AU"/>
              </w:rPr>
              <w:t>3</w:t>
            </w:r>
          </w:p>
        </w:tc>
      </w:tr>
      <w:tr w:rsidR="00525A3A" w14:paraId="33F50E40" w14:textId="77777777" w:rsidTr="0025566D">
        <w:tc>
          <w:tcPr>
            <w:tcW w:w="3544" w:type="dxa"/>
            <w:vAlign w:val="bottom"/>
          </w:tcPr>
          <w:p w14:paraId="7D281D0E" w14:textId="10BE0D8E" w:rsidR="00525A3A" w:rsidRDefault="00243A9C" w:rsidP="00A3527A">
            <w:pPr>
              <w:pStyle w:val="TableTextRight"/>
            </w:pPr>
            <w:r w:rsidRPr="00A3527A">
              <w:rPr>
                <w:lang w:eastAsia="en-AU"/>
              </w:rPr>
              <w:t>Iran</w:t>
            </w:r>
            <w:r w:rsidR="00A3527A" w:rsidRPr="00A3527A">
              <w:rPr>
                <w:lang w:eastAsia="en-AU"/>
              </w:rPr>
              <w:t xml:space="preserve"> </w:t>
            </w:r>
          </w:p>
        </w:tc>
        <w:tc>
          <w:tcPr>
            <w:tcW w:w="2688" w:type="dxa"/>
            <w:vAlign w:val="bottom"/>
          </w:tcPr>
          <w:p w14:paraId="06EFAE0E" w14:textId="06F260BA" w:rsidR="00525A3A" w:rsidRDefault="00243A9C" w:rsidP="00A3527A">
            <w:pPr>
              <w:pStyle w:val="TableTextRight"/>
            </w:pPr>
            <w:r w:rsidRPr="00A3527A">
              <w:rPr>
                <w:lang w:eastAsia="en-AU"/>
              </w:rPr>
              <w:t>2</w:t>
            </w:r>
          </w:p>
        </w:tc>
      </w:tr>
      <w:tr w:rsidR="00525A3A" w14:paraId="21B88209" w14:textId="77777777" w:rsidTr="0025566D">
        <w:tc>
          <w:tcPr>
            <w:tcW w:w="3544" w:type="dxa"/>
            <w:vAlign w:val="bottom"/>
          </w:tcPr>
          <w:p w14:paraId="4F4E7E46" w14:textId="04D998E1" w:rsidR="00525A3A" w:rsidRDefault="00243A9C" w:rsidP="00A3527A">
            <w:pPr>
              <w:pStyle w:val="TableTextRight"/>
            </w:pPr>
            <w:r w:rsidRPr="00A3527A">
              <w:rPr>
                <w:lang w:eastAsia="en-AU"/>
              </w:rPr>
              <w:t>Poland</w:t>
            </w:r>
          </w:p>
        </w:tc>
        <w:tc>
          <w:tcPr>
            <w:tcW w:w="2688" w:type="dxa"/>
            <w:vAlign w:val="bottom"/>
          </w:tcPr>
          <w:p w14:paraId="114F13D5" w14:textId="3A434DE5" w:rsidR="00525A3A" w:rsidRDefault="00243A9C" w:rsidP="00A3527A">
            <w:pPr>
              <w:pStyle w:val="TableTextRight"/>
            </w:pPr>
            <w:r w:rsidRPr="00A3527A">
              <w:rPr>
                <w:lang w:eastAsia="en-AU"/>
              </w:rPr>
              <w:t>2</w:t>
            </w:r>
          </w:p>
        </w:tc>
      </w:tr>
      <w:tr w:rsidR="00525A3A" w14:paraId="7B4E989E" w14:textId="77777777" w:rsidTr="0025566D">
        <w:tc>
          <w:tcPr>
            <w:tcW w:w="3544" w:type="dxa"/>
            <w:vAlign w:val="bottom"/>
          </w:tcPr>
          <w:p w14:paraId="2631077A" w14:textId="5D48D851" w:rsidR="00525A3A" w:rsidRDefault="00A3527A" w:rsidP="00A3527A">
            <w:pPr>
              <w:pStyle w:val="TableTextRight"/>
            </w:pPr>
            <w:r w:rsidRPr="00A3527A">
              <w:rPr>
                <w:lang w:eastAsia="en-AU"/>
              </w:rPr>
              <w:t>South Africa</w:t>
            </w:r>
          </w:p>
        </w:tc>
        <w:tc>
          <w:tcPr>
            <w:tcW w:w="2688" w:type="dxa"/>
            <w:vAlign w:val="bottom"/>
          </w:tcPr>
          <w:p w14:paraId="41F8A7EA" w14:textId="5AD4D029" w:rsidR="00525A3A" w:rsidRDefault="00243A9C" w:rsidP="00A3527A">
            <w:pPr>
              <w:pStyle w:val="TableTextRight"/>
            </w:pPr>
            <w:r w:rsidRPr="00A3527A">
              <w:rPr>
                <w:lang w:eastAsia="en-AU"/>
              </w:rPr>
              <w:t>2</w:t>
            </w:r>
          </w:p>
        </w:tc>
      </w:tr>
      <w:tr w:rsidR="00525A3A" w14:paraId="1E45ECD8" w14:textId="77777777" w:rsidTr="0025566D">
        <w:tc>
          <w:tcPr>
            <w:tcW w:w="3544" w:type="dxa"/>
            <w:vAlign w:val="bottom"/>
          </w:tcPr>
          <w:p w14:paraId="52872FB7" w14:textId="63FFB639" w:rsidR="00525A3A" w:rsidRDefault="00A3527A" w:rsidP="00A3527A">
            <w:pPr>
              <w:pStyle w:val="TableTextRight"/>
            </w:pPr>
            <w:r w:rsidRPr="00A3527A">
              <w:rPr>
                <w:lang w:eastAsia="en-AU"/>
              </w:rPr>
              <w:t>Spain</w:t>
            </w:r>
          </w:p>
        </w:tc>
        <w:tc>
          <w:tcPr>
            <w:tcW w:w="2688" w:type="dxa"/>
            <w:vAlign w:val="bottom"/>
          </w:tcPr>
          <w:p w14:paraId="273E5B6B" w14:textId="3780F3E9" w:rsidR="00525A3A" w:rsidRDefault="00A3527A" w:rsidP="00A3527A">
            <w:pPr>
              <w:pStyle w:val="TableTextRight"/>
            </w:pPr>
            <w:r w:rsidRPr="00A3527A">
              <w:rPr>
                <w:lang w:eastAsia="en-AU"/>
              </w:rPr>
              <w:t>2</w:t>
            </w:r>
          </w:p>
        </w:tc>
      </w:tr>
      <w:tr w:rsidR="00A3527A" w14:paraId="68D0AF90" w14:textId="77777777" w:rsidTr="0025566D">
        <w:tc>
          <w:tcPr>
            <w:tcW w:w="3544" w:type="dxa"/>
            <w:vAlign w:val="bottom"/>
          </w:tcPr>
          <w:p w14:paraId="5385D10C" w14:textId="712AE9CC" w:rsidR="00A3527A" w:rsidRDefault="00A3527A" w:rsidP="00A3527A">
            <w:pPr>
              <w:pStyle w:val="TableTextRight"/>
            </w:pPr>
            <w:r w:rsidRPr="00A3527A">
              <w:rPr>
                <w:lang w:eastAsia="en-AU"/>
              </w:rPr>
              <w:t>Sri Lanka</w:t>
            </w:r>
          </w:p>
        </w:tc>
        <w:tc>
          <w:tcPr>
            <w:tcW w:w="2688" w:type="dxa"/>
            <w:vAlign w:val="bottom"/>
          </w:tcPr>
          <w:p w14:paraId="4FB1888F" w14:textId="5ED01E65" w:rsidR="00A3527A" w:rsidRDefault="00A3527A" w:rsidP="00A3527A">
            <w:pPr>
              <w:pStyle w:val="TableTextRight"/>
            </w:pPr>
            <w:r w:rsidRPr="00A3527A">
              <w:rPr>
                <w:lang w:eastAsia="en-AU"/>
              </w:rPr>
              <w:t>2</w:t>
            </w:r>
          </w:p>
        </w:tc>
      </w:tr>
      <w:tr w:rsidR="00525A3A" w14:paraId="3BA345E9" w14:textId="77777777" w:rsidTr="0025566D">
        <w:tc>
          <w:tcPr>
            <w:tcW w:w="3544" w:type="dxa"/>
            <w:vAlign w:val="bottom"/>
          </w:tcPr>
          <w:p w14:paraId="3F7A67D8" w14:textId="6BE4D521" w:rsidR="00525A3A" w:rsidRDefault="00A3527A" w:rsidP="00A3527A">
            <w:pPr>
              <w:pStyle w:val="TableTextRight"/>
            </w:pPr>
            <w:r w:rsidRPr="00A3527A">
              <w:rPr>
                <w:lang w:eastAsia="en-AU"/>
              </w:rPr>
              <w:t>Canada</w:t>
            </w:r>
          </w:p>
        </w:tc>
        <w:tc>
          <w:tcPr>
            <w:tcW w:w="2688" w:type="dxa"/>
            <w:vAlign w:val="bottom"/>
          </w:tcPr>
          <w:p w14:paraId="55EE8CFA" w14:textId="44D146FA" w:rsidR="00525A3A" w:rsidRDefault="00A3527A" w:rsidP="00A3527A">
            <w:pPr>
              <w:pStyle w:val="TableTextRight"/>
            </w:pPr>
            <w:r w:rsidRPr="00A3527A">
              <w:rPr>
                <w:lang w:eastAsia="en-AU"/>
              </w:rPr>
              <w:t>1</w:t>
            </w:r>
          </w:p>
        </w:tc>
      </w:tr>
      <w:tr w:rsidR="00A3527A" w14:paraId="6A09F191" w14:textId="77777777" w:rsidTr="0025566D">
        <w:tc>
          <w:tcPr>
            <w:tcW w:w="3544" w:type="dxa"/>
            <w:vAlign w:val="bottom"/>
          </w:tcPr>
          <w:p w14:paraId="62B37C87" w14:textId="029D1235" w:rsidR="00A3527A" w:rsidRDefault="00A3527A" w:rsidP="00A3527A">
            <w:pPr>
              <w:pStyle w:val="TableTextRight"/>
            </w:pPr>
            <w:r w:rsidRPr="00A3527A">
              <w:rPr>
                <w:lang w:eastAsia="en-AU"/>
              </w:rPr>
              <w:t>Chile</w:t>
            </w:r>
          </w:p>
        </w:tc>
        <w:tc>
          <w:tcPr>
            <w:tcW w:w="2688" w:type="dxa"/>
            <w:vAlign w:val="bottom"/>
          </w:tcPr>
          <w:p w14:paraId="1ABD44ED" w14:textId="558FA440" w:rsidR="00A3527A" w:rsidRDefault="00A3527A" w:rsidP="00A3527A">
            <w:pPr>
              <w:pStyle w:val="TableTextRight"/>
            </w:pPr>
            <w:r w:rsidRPr="00A3527A">
              <w:rPr>
                <w:lang w:eastAsia="en-AU"/>
              </w:rPr>
              <w:t>1</w:t>
            </w:r>
          </w:p>
        </w:tc>
      </w:tr>
      <w:tr w:rsidR="00A3527A" w14:paraId="3E6BBDB1" w14:textId="77777777" w:rsidTr="0025566D">
        <w:tc>
          <w:tcPr>
            <w:tcW w:w="3544" w:type="dxa"/>
            <w:vAlign w:val="bottom"/>
          </w:tcPr>
          <w:p w14:paraId="1A852DBB" w14:textId="5BB8A49B" w:rsidR="00A3527A" w:rsidRDefault="00A3527A" w:rsidP="00A3527A">
            <w:pPr>
              <w:pStyle w:val="TableTextRight"/>
            </w:pPr>
            <w:r w:rsidRPr="00A3527A">
              <w:rPr>
                <w:lang w:eastAsia="en-AU"/>
              </w:rPr>
              <w:t>China</w:t>
            </w:r>
          </w:p>
        </w:tc>
        <w:tc>
          <w:tcPr>
            <w:tcW w:w="2688" w:type="dxa"/>
            <w:vAlign w:val="bottom"/>
          </w:tcPr>
          <w:p w14:paraId="0238218D" w14:textId="490EE6CA" w:rsidR="00A3527A" w:rsidRDefault="00A3527A" w:rsidP="00A3527A">
            <w:pPr>
              <w:pStyle w:val="TableTextRight"/>
            </w:pPr>
            <w:r w:rsidRPr="00A3527A">
              <w:rPr>
                <w:lang w:eastAsia="en-AU"/>
              </w:rPr>
              <w:t>1</w:t>
            </w:r>
          </w:p>
        </w:tc>
      </w:tr>
      <w:tr w:rsidR="00A3527A" w14:paraId="266234FB" w14:textId="77777777" w:rsidTr="0025566D">
        <w:tc>
          <w:tcPr>
            <w:tcW w:w="3544" w:type="dxa"/>
            <w:vAlign w:val="bottom"/>
          </w:tcPr>
          <w:p w14:paraId="3DE4EFC3" w14:textId="24BB85F6" w:rsidR="00A3527A" w:rsidRDefault="00A3527A" w:rsidP="00A3527A">
            <w:pPr>
              <w:pStyle w:val="TableTextRight"/>
            </w:pPr>
            <w:r w:rsidRPr="00A3527A">
              <w:rPr>
                <w:lang w:eastAsia="en-AU"/>
              </w:rPr>
              <w:t>Croatia</w:t>
            </w:r>
          </w:p>
        </w:tc>
        <w:tc>
          <w:tcPr>
            <w:tcW w:w="2688" w:type="dxa"/>
            <w:vAlign w:val="bottom"/>
          </w:tcPr>
          <w:p w14:paraId="12CEE635" w14:textId="75A06124" w:rsidR="00A3527A" w:rsidRDefault="00A3527A" w:rsidP="00A3527A">
            <w:pPr>
              <w:pStyle w:val="TableTextRight"/>
            </w:pPr>
            <w:r w:rsidRPr="00A3527A">
              <w:rPr>
                <w:lang w:eastAsia="en-AU"/>
              </w:rPr>
              <w:t>1</w:t>
            </w:r>
          </w:p>
        </w:tc>
      </w:tr>
      <w:tr w:rsidR="00A3527A" w14:paraId="44CCB756" w14:textId="77777777" w:rsidTr="0025566D">
        <w:tc>
          <w:tcPr>
            <w:tcW w:w="3544" w:type="dxa"/>
            <w:vAlign w:val="bottom"/>
          </w:tcPr>
          <w:p w14:paraId="20973DBA" w14:textId="4D7AA889" w:rsidR="00A3527A" w:rsidRDefault="00A3527A" w:rsidP="00A3527A">
            <w:pPr>
              <w:pStyle w:val="TableTextRight"/>
            </w:pPr>
            <w:r w:rsidRPr="00A3527A">
              <w:rPr>
                <w:lang w:eastAsia="en-AU"/>
              </w:rPr>
              <w:lastRenderedPageBreak/>
              <w:t>Denmark</w:t>
            </w:r>
          </w:p>
        </w:tc>
        <w:tc>
          <w:tcPr>
            <w:tcW w:w="2688" w:type="dxa"/>
            <w:vAlign w:val="bottom"/>
          </w:tcPr>
          <w:p w14:paraId="6527D96A" w14:textId="6250B69E" w:rsidR="00A3527A" w:rsidRDefault="00A3527A" w:rsidP="00A3527A">
            <w:pPr>
              <w:pStyle w:val="TableTextRight"/>
            </w:pPr>
            <w:r w:rsidRPr="00A3527A">
              <w:rPr>
                <w:lang w:eastAsia="en-AU"/>
              </w:rPr>
              <w:t>1</w:t>
            </w:r>
          </w:p>
        </w:tc>
      </w:tr>
      <w:tr w:rsidR="00A3527A" w14:paraId="00377125" w14:textId="77777777" w:rsidTr="0025566D">
        <w:tc>
          <w:tcPr>
            <w:tcW w:w="3544" w:type="dxa"/>
            <w:vAlign w:val="bottom"/>
          </w:tcPr>
          <w:p w14:paraId="7CA2336F" w14:textId="323625B1" w:rsidR="00A3527A" w:rsidRDefault="00A3527A" w:rsidP="00A3527A">
            <w:pPr>
              <w:pStyle w:val="TableTextRight"/>
            </w:pPr>
            <w:r w:rsidRPr="00A3527A">
              <w:rPr>
                <w:lang w:eastAsia="en-AU"/>
              </w:rPr>
              <w:t>El Salvador</w:t>
            </w:r>
          </w:p>
        </w:tc>
        <w:tc>
          <w:tcPr>
            <w:tcW w:w="2688" w:type="dxa"/>
            <w:vAlign w:val="bottom"/>
          </w:tcPr>
          <w:p w14:paraId="759C1751" w14:textId="027734ED" w:rsidR="00A3527A" w:rsidRDefault="00A3527A" w:rsidP="00A3527A">
            <w:pPr>
              <w:pStyle w:val="TableTextRight"/>
            </w:pPr>
            <w:r w:rsidRPr="00A3527A">
              <w:rPr>
                <w:lang w:eastAsia="en-AU"/>
              </w:rPr>
              <w:t>1</w:t>
            </w:r>
          </w:p>
        </w:tc>
      </w:tr>
      <w:tr w:rsidR="00A3527A" w14:paraId="39819086" w14:textId="77777777" w:rsidTr="0025566D">
        <w:tc>
          <w:tcPr>
            <w:tcW w:w="3544" w:type="dxa"/>
            <w:vAlign w:val="bottom"/>
          </w:tcPr>
          <w:p w14:paraId="69FC4F83" w14:textId="2EC0F22C" w:rsidR="00A3527A" w:rsidRDefault="00A3527A" w:rsidP="00A3527A">
            <w:pPr>
              <w:pStyle w:val="TableTextRight"/>
            </w:pPr>
            <w:r w:rsidRPr="00A3527A">
              <w:rPr>
                <w:lang w:eastAsia="en-AU"/>
              </w:rPr>
              <w:t xml:space="preserve">Hong Kong </w:t>
            </w:r>
          </w:p>
        </w:tc>
        <w:tc>
          <w:tcPr>
            <w:tcW w:w="2688" w:type="dxa"/>
            <w:vAlign w:val="bottom"/>
          </w:tcPr>
          <w:p w14:paraId="0F8341D7" w14:textId="11CABD9D" w:rsidR="00A3527A" w:rsidRDefault="00A3527A" w:rsidP="00A3527A">
            <w:pPr>
              <w:pStyle w:val="TableTextRight"/>
            </w:pPr>
            <w:r w:rsidRPr="00A3527A">
              <w:rPr>
                <w:lang w:eastAsia="en-AU"/>
              </w:rPr>
              <w:t>1</w:t>
            </w:r>
          </w:p>
        </w:tc>
      </w:tr>
      <w:tr w:rsidR="00A3527A" w14:paraId="3D61C32B" w14:textId="77777777" w:rsidTr="0025566D">
        <w:tc>
          <w:tcPr>
            <w:tcW w:w="3544" w:type="dxa"/>
            <w:vAlign w:val="bottom"/>
          </w:tcPr>
          <w:p w14:paraId="0822F01E" w14:textId="4364EC51" w:rsidR="00A3527A" w:rsidRDefault="00A3527A" w:rsidP="00A3527A">
            <w:pPr>
              <w:pStyle w:val="TableTextRight"/>
            </w:pPr>
            <w:r w:rsidRPr="00A3527A">
              <w:rPr>
                <w:lang w:eastAsia="en-AU"/>
              </w:rPr>
              <w:t>Ireland</w:t>
            </w:r>
          </w:p>
        </w:tc>
        <w:tc>
          <w:tcPr>
            <w:tcW w:w="2688" w:type="dxa"/>
            <w:vAlign w:val="bottom"/>
          </w:tcPr>
          <w:p w14:paraId="3F6268F8" w14:textId="5FD32CA7" w:rsidR="00A3527A" w:rsidRDefault="00A3527A" w:rsidP="00A3527A">
            <w:pPr>
              <w:pStyle w:val="TableTextRight"/>
            </w:pPr>
            <w:r w:rsidRPr="00A3527A">
              <w:rPr>
                <w:lang w:eastAsia="en-AU"/>
              </w:rPr>
              <w:t>1</w:t>
            </w:r>
          </w:p>
        </w:tc>
      </w:tr>
      <w:tr w:rsidR="00A3527A" w14:paraId="3885478C" w14:textId="77777777" w:rsidTr="0025566D">
        <w:tc>
          <w:tcPr>
            <w:tcW w:w="3544" w:type="dxa"/>
            <w:vAlign w:val="bottom"/>
          </w:tcPr>
          <w:p w14:paraId="6A8910A0" w14:textId="3487FBC9" w:rsidR="00A3527A" w:rsidRDefault="00A3527A" w:rsidP="00A3527A">
            <w:pPr>
              <w:pStyle w:val="TableTextRight"/>
            </w:pPr>
            <w:r w:rsidRPr="00A3527A">
              <w:rPr>
                <w:lang w:eastAsia="en-AU"/>
              </w:rPr>
              <w:t>Israel</w:t>
            </w:r>
          </w:p>
        </w:tc>
        <w:tc>
          <w:tcPr>
            <w:tcW w:w="2688" w:type="dxa"/>
            <w:vAlign w:val="bottom"/>
          </w:tcPr>
          <w:p w14:paraId="274FB952" w14:textId="77DB563B" w:rsidR="00A3527A" w:rsidRDefault="00A3527A" w:rsidP="00A3527A">
            <w:pPr>
              <w:pStyle w:val="TableTextRight"/>
            </w:pPr>
            <w:r w:rsidRPr="00A3527A">
              <w:rPr>
                <w:lang w:eastAsia="en-AU"/>
              </w:rPr>
              <w:t>1</w:t>
            </w:r>
          </w:p>
        </w:tc>
      </w:tr>
      <w:tr w:rsidR="00A3527A" w14:paraId="46C15097" w14:textId="77777777" w:rsidTr="0025566D">
        <w:tc>
          <w:tcPr>
            <w:tcW w:w="3544" w:type="dxa"/>
            <w:vAlign w:val="bottom"/>
          </w:tcPr>
          <w:p w14:paraId="6C1687A5" w14:textId="3C1B215A" w:rsidR="00A3527A" w:rsidRDefault="00A3527A" w:rsidP="00A3527A">
            <w:pPr>
              <w:pStyle w:val="TableTextRight"/>
            </w:pPr>
            <w:r w:rsidRPr="00A3527A">
              <w:rPr>
                <w:lang w:eastAsia="en-AU"/>
              </w:rPr>
              <w:t>Jamaica</w:t>
            </w:r>
          </w:p>
        </w:tc>
        <w:tc>
          <w:tcPr>
            <w:tcW w:w="2688" w:type="dxa"/>
            <w:vAlign w:val="bottom"/>
          </w:tcPr>
          <w:p w14:paraId="375EB137" w14:textId="6DF71CDC" w:rsidR="00A3527A" w:rsidRDefault="00A3527A" w:rsidP="00A3527A">
            <w:pPr>
              <w:pStyle w:val="TableTextRight"/>
            </w:pPr>
            <w:r w:rsidRPr="00A3527A">
              <w:rPr>
                <w:lang w:eastAsia="en-AU"/>
              </w:rPr>
              <w:t>1</w:t>
            </w:r>
          </w:p>
        </w:tc>
      </w:tr>
      <w:tr w:rsidR="00A3527A" w14:paraId="4551ACF5" w14:textId="77777777" w:rsidTr="0025566D">
        <w:tc>
          <w:tcPr>
            <w:tcW w:w="3544" w:type="dxa"/>
            <w:vAlign w:val="bottom"/>
          </w:tcPr>
          <w:p w14:paraId="013D80E2" w14:textId="542015F4" w:rsidR="00A3527A" w:rsidRDefault="00A3527A" w:rsidP="00A3527A">
            <w:pPr>
              <w:pStyle w:val="TableTextRight"/>
            </w:pPr>
            <w:r w:rsidRPr="00A3527A">
              <w:rPr>
                <w:lang w:eastAsia="en-AU"/>
              </w:rPr>
              <w:t>Malaysia</w:t>
            </w:r>
          </w:p>
        </w:tc>
        <w:tc>
          <w:tcPr>
            <w:tcW w:w="2688" w:type="dxa"/>
            <w:vAlign w:val="bottom"/>
          </w:tcPr>
          <w:p w14:paraId="2F861147" w14:textId="4DA87F15" w:rsidR="00A3527A" w:rsidRDefault="00A3527A" w:rsidP="00A3527A">
            <w:pPr>
              <w:pStyle w:val="TableTextRight"/>
            </w:pPr>
            <w:r w:rsidRPr="00A3527A">
              <w:rPr>
                <w:lang w:eastAsia="en-AU"/>
              </w:rPr>
              <w:t>1</w:t>
            </w:r>
          </w:p>
        </w:tc>
      </w:tr>
      <w:tr w:rsidR="00A3527A" w14:paraId="3F11C534" w14:textId="77777777" w:rsidTr="0025566D">
        <w:tc>
          <w:tcPr>
            <w:tcW w:w="3544" w:type="dxa"/>
            <w:vAlign w:val="bottom"/>
          </w:tcPr>
          <w:p w14:paraId="69650203" w14:textId="2A991432" w:rsidR="00A3527A" w:rsidRDefault="00A3527A" w:rsidP="00A3527A">
            <w:pPr>
              <w:pStyle w:val="TableTextRight"/>
            </w:pPr>
            <w:r w:rsidRPr="00A3527A">
              <w:rPr>
                <w:lang w:eastAsia="en-AU"/>
              </w:rPr>
              <w:t>Mauritius</w:t>
            </w:r>
          </w:p>
        </w:tc>
        <w:tc>
          <w:tcPr>
            <w:tcW w:w="2688" w:type="dxa"/>
            <w:vAlign w:val="bottom"/>
          </w:tcPr>
          <w:p w14:paraId="630B2EDD" w14:textId="2E2DB582" w:rsidR="00A3527A" w:rsidRDefault="00A3527A" w:rsidP="00A3527A">
            <w:pPr>
              <w:pStyle w:val="TableTextRight"/>
            </w:pPr>
            <w:r w:rsidRPr="00A3527A">
              <w:rPr>
                <w:lang w:eastAsia="en-AU"/>
              </w:rPr>
              <w:t>1</w:t>
            </w:r>
          </w:p>
        </w:tc>
      </w:tr>
      <w:tr w:rsidR="00A3527A" w14:paraId="5DBF20AD" w14:textId="77777777" w:rsidTr="0025566D">
        <w:tc>
          <w:tcPr>
            <w:tcW w:w="3544" w:type="dxa"/>
            <w:vAlign w:val="bottom"/>
          </w:tcPr>
          <w:p w14:paraId="27C72B77" w14:textId="3822E811" w:rsidR="00A3527A" w:rsidRDefault="00A3527A" w:rsidP="00A3527A">
            <w:pPr>
              <w:pStyle w:val="TableTextRight"/>
            </w:pPr>
            <w:r w:rsidRPr="00A3527A">
              <w:rPr>
                <w:lang w:eastAsia="en-AU"/>
              </w:rPr>
              <w:t>Singapore</w:t>
            </w:r>
          </w:p>
        </w:tc>
        <w:tc>
          <w:tcPr>
            <w:tcW w:w="2688" w:type="dxa"/>
            <w:vAlign w:val="bottom"/>
          </w:tcPr>
          <w:p w14:paraId="1EDB4A53" w14:textId="649B629C" w:rsidR="00A3527A" w:rsidRDefault="00A3527A" w:rsidP="00A3527A">
            <w:pPr>
              <w:pStyle w:val="TableTextRight"/>
            </w:pPr>
            <w:r w:rsidRPr="00A3527A">
              <w:rPr>
                <w:lang w:eastAsia="en-AU"/>
              </w:rPr>
              <w:t>1</w:t>
            </w:r>
          </w:p>
        </w:tc>
      </w:tr>
      <w:tr w:rsidR="00A3527A" w14:paraId="3D9E38F2" w14:textId="77777777" w:rsidTr="0025566D">
        <w:tc>
          <w:tcPr>
            <w:tcW w:w="3544" w:type="dxa"/>
            <w:vAlign w:val="bottom"/>
          </w:tcPr>
          <w:p w14:paraId="0855747A" w14:textId="583E2EEF" w:rsidR="00A3527A" w:rsidRDefault="00A3527A" w:rsidP="00A3527A">
            <w:pPr>
              <w:pStyle w:val="TableTextRight"/>
            </w:pPr>
            <w:r w:rsidRPr="00A3527A">
              <w:rPr>
                <w:lang w:eastAsia="en-AU"/>
              </w:rPr>
              <w:t>Slovakia</w:t>
            </w:r>
          </w:p>
        </w:tc>
        <w:tc>
          <w:tcPr>
            <w:tcW w:w="2688" w:type="dxa"/>
            <w:vAlign w:val="bottom"/>
          </w:tcPr>
          <w:p w14:paraId="516227D0" w14:textId="43E235FE" w:rsidR="00A3527A" w:rsidRDefault="00A3527A" w:rsidP="00A3527A">
            <w:pPr>
              <w:pStyle w:val="TableTextRight"/>
            </w:pPr>
            <w:r w:rsidRPr="00A3527A">
              <w:rPr>
                <w:lang w:eastAsia="en-AU"/>
              </w:rPr>
              <w:t>1</w:t>
            </w:r>
          </w:p>
        </w:tc>
      </w:tr>
      <w:tr w:rsidR="00A3527A" w14:paraId="50F55CCD" w14:textId="77777777" w:rsidTr="0025566D">
        <w:tc>
          <w:tcPr>
            <w:tcW w:w="3544" w:type="dxa"/>
            <w:vAlign w:val="bottom"/>
          </w:tcPr>
          <w:p w14:paraId="79FB6258" w14:textId="623C71AF" w:rsidR="00A3527A" w:rsidRDefault="00A3527A" w:rsidP="00A3527A">
            <w:pPr>
              <w:pStyle w:val="TableTextRight"/>
            </w:pPr>
            <w:r w:rsidRPr="00A3527A">
              <w:rPr>
                <w:lang w:eastAsia="en-AU"/>
              </w:rPr>
              <w:t>Somalia</w:t>
            </w:r>
          </w:p>
        </w:tc>
        <w:tc>
          <w:tcPr>
            <w:tcW w:w="2688" w:type="dxa"/>
            <w:vAlign w:val="bottom"/>
          </w:tcPr>
          <w:p w14:paraId="3BF8C048" w14:textId="75308A74" w:rsidR="00A3527A" w:rsidRDefault="00A3527A" w:rsidP="00A3527A">
            <w:pPr>
              <w:pStyle w:val="TableTextRight"/>
            </w:pPr>
            <w:r w:rsidRPr="00A3527A">
              <w:rPr>
                <w:lang w:eastAsia="en-AU"/>
              </w:rPr>
              <w:t>1</w:t>
            </w:r>
          </w:p>
        </w:tc>
      </w:tr>
      <w:tr w:rsidR="00A3527A" w14:paraId="1334DD67" w14:textId="77777777" w:rsidTr="0025566D">
        <w:tc>
          <w:tcPr>
            <w:tcW w:w="3544" w:type="dxa"/>
            <w:vAlign w:val="bottom"/>
          </w:tcPr>
          <w:p w14:paraId="68246DD3" w14:textId="6E1E672C" w:rsidR="00A3527A" w:rsidRPr="00A3527A" w:rsidRDefault="00A3527A" w:rsidP="00A3527A">
            <w:pPr>
              <w:pStyle w:val="TableTextRight"/>
              <w:rPr>
                <w:lang w:eastAsia="en-AU"/>
              </w:rPr>
            </w:pPr>
            <w:r w:rsidRPr="00A3527A">
              <w:rPr>
                <w:lang w:eastAsia="en-AU"/>
              </w:rPr>
              <w:t>Switzerland</w:t>
            </w:r>
          </w:p>
        </w:tc>
        <w:tc>
          <w:tcPr>
            <w:tcW w:w="2688" w:type="dxa"/>
            <w:vAlign w:val="bottom"/>
          </w:tcPr>
          <w:p w14:paraId="589625CC" w14:textId="1F68EA03" w:rsidR="00A3527A" w:rsidRDefault="00A3527A" w:rsidP="00A3527A">
            <w:pPr>
              <w:pStyle w:val="TableTextRight"/>
            </w:pPr>
            <w:r w:rsidRPr="00A3527A">
              <w:rPr>
                <w:lang w:eastAsia="en-AU"/>
              </w:rPr>
              <w:t>1</w:t>
            </w:r>
          </w:p>
        </w:tc>
      </w:tr>
      <w:tr w:rsidR="00A3527A" w14:paraId="6AF42F3F" w14:textId="77777777" w:rsidTr="0025566D">
        <w:tc>
          <w:tcPr>
            <w:tcW w:w="3544" w:type="dxa"/>
            <w:vAlign w:val="bottom"/>
          </w:tcPr>
          <w:p w14:paraId="7864F14C" w14:textId="34C566F1" w:rsidR="00A3527A" w:rsidRPr="00A3527A" w:rsidRDefault="00A3527A" w:rsidP="00A3527A">
            <w:pPr>
              <w:pStyle w:val="TableTextRight"/>
              <w:rPr>
                <w:lang w:eastAsia="en-AU"/>
              </w:rPr>
            </w:pPr>
            <w:r w:rsidRPr="00A3527A">
              <w:rPr>
                <w:lang w:eastAsia="en-AU"/>
              </w:rPr>
              <w:t>Uganda</w:t>
            </w:r>
          </w:p>
        </w:tc>
        <w:tc>
          <w:tcPr>
            <w:tcW w:w="2688" w:type="dxa"/>
            <w:vAlign w:val="bottom"/>
          </w:tcPr>
          <w:p w14:paraId="5389DD1B" w14:textId="140B0A7D" w:rsidR="00A3527A" w:rsidRPr="00A3527A" w:rsidRDefault="00A3527A" w:rsidP="00A3527A">
            <w:pPr>
              <w:pStyle w:val="TableTextRight"/>
              <w:rPr>
                <w:lang w:eastAsia="en-AU"/>
              </w:rPr>
            </w:pPr>
            <w:r w:rsidRPr="00A3527A">
              <w:rPr>
                <w:lang w:eastAsia="en-AU"/>
              </w:rPr>
              <w:t>1</w:t>
            </w:r>
          </w:p>
        </w:tc>
      </w:tr>
    </w:tbl>
    <w:p w14:paraId="0473C3FE" w14:textId="27B80DB7" w:rsidR="0029036B" w:rsidRDefault="0029036B" w:rsidP="00952436"/>
    <w:p w14:paraId="3FC40911" w14:textId="1E62C2B1" w:rsidR="00B93B08" w:rsidRDefault="00571790" w:rsidP="00571790">
      <w:pPr>
        <w:pStyle w:val="Caption"/>
      </w:pPr>
      <w:r>
        <w:t xml:space="preserve">Table </w:t>
      </w:r>
      <w:r w:rsidR="001B661A">
        <w:t>21</w:t>
      </w:r>
      <w:r w:rsidR="00666E19">
        <w:t>:</w:t>
      </w:r>
      <w:r w:rsidR="00B93B08">
        <w:t xml:space="preserve"> </w:t>
      </w:r>
      <w:r w:rsidR="00666E19">
        <w:t xml:space="preserve">Human rights enquiries to the Commission by age bracket, </w:t>
      </w:r>
      <w:r w:rsidR="00584C8B">
        <w:t>2020-21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544"/>
        <w:gridCol w:w="2688"/>
      </w:tblGrid>
      <w:tr w:rsidR="00FE1176" w:rsidRPr="00922C66" w14:paraId="3B9F2BAB" w14:textId="77777777" w:rsidTr="008A12D3">
        <w:tc>
          <w:tcPr>
            <w:tcW w:w="3544" w:type="dxa"/>
          </w:tcPr>
          <w:p w14:paraId="0DEFFF5A" w14:textId="171C8524" w:rsidR="00FE1176" w:rsidRPr="00922C66" w:rsidRDefault="00FE1176" w:rsidP="008A12D3">
            <w:pPr>
              <w:pStyle w:val="TableTextHeading"/>
              <w:rPr>
                <w:color w:val="373D42"/>
              </w:rPr>
            </w:pPr>
            <w:r w:rsidRPr="00922C66">
              <w:rPr>
                <w:color w:val="373D42"/>
              </w:rPr>
              <w:t>Enquirer age range</w:t>
            </w:r>
          </w:p>
        </w:tc>
        <w:tc>
          <w:tcPr>
            <w:tcW w:w="2688" w:type="dxa"/>
          </w:tcPr>
          <w:p w14:paraId="4B23E89A" w14:textId="22EEA9A3" w:rsidR="00FE1176" w:rsidRPr="00922C66" w:rsidRDefault="00FE1176" w:rsidP="008A12D3">
            <w:pPr>
              <w:pStyle w:val="TableTextHeading"/>
              <w:rPr>
                <w:color w:val="373D42"/>
              </w:rPr>
            </w:pPr>
            <w:r w:rsidRPr="00922C66">
              <w:rPr>
                <w:color w:val="373D42"/>
              </w:rPr>
              <w:t>Number of enquirers</w:t>
            </w:r>
          </w:p>
        </w:tc>
      </w:tr>
      <w:tr w:rsidR="00293864" w14:paraId="3F6A27A3" w14:textId="77777777" w:rsidTr="005A759B">
        <w:tc>
          <w:tcPr>
            <w:tcW w:w="3544" w:type="dxa"/>
          </w:tcPr>
          <w:p w14:paraId="5E928EF5" w14:textId="77777777" w:rsidR="00293864" w:rsidRPr="00293864" w:rsidRDefault="00293864" w:rsidP="005A759B">
            <w:pPr>
              <w:pStyle w:val="TableText"/>
              <w:rPr>
                <w:rFonts w:asciiTheme="minorBidi" w:hAnsiTheme="minorBidi"/>
              </w:rPr>
            </w:pPr>
            <w:r w:rsidRPr="00293864">
              <w:rPr>
                <w:rFonts w:asciiTheme="minorBidi" w:hAnsiTheme="minorBidi"/>
                <w:color w:val="000000"/>
                <w:sz w:val="22"/>
                <w:szCs w:val="22"/>
                <w:lang w:val="en-GB"/>
              </w:rPr>
              <w:t>Under 15</w:t>
            </w:r>
          </w:p>
        </w:tc>
        <w:tc>
          <w:tcPr>
            <w:tcW w:w="2688" w:type="dxa"/>
          </w:tcPr>
          <w:p w14:paraId="378333E2" w14:textId="77777777" w:rsidR="00293864" w:rsidRPr="00293864" w:rsidRDefault="00293864" w:rsidP="005A759B">
            <w:pPr>
              <w:pStyle w:val="TableText"/>
              <w:rPr>
                <w:rFonts w:asciiTheme="minorBidi" w:hAnsiTheme="minorBidi"/>
              </w:rPr>
            </w:pPr>
            <w:r w:rsidRPr="00293864">
              <w:rPr>
                <w:rFonts w:asciiTheme="minorBidi" w:hAnsiTheme="minorBidi"/>
                <w:color w:val="000000"/>
                <w:sz w:val="22"/>
                <w:szCs w:val="22"/>
                <w:lang w:val="en-GB"/>
              </w:rPr>
              <w:t>19</w:t>
            </w:r>
          </w:p>
        </w:tc>
      </w:tr>
      <w:tr w:rsidR="00FE1176" w14:paraId="0CC5805A" w14:textId="77777777" w:rsidTr="008A12D3">
        <w:tc>
          <w:tcPr>
            <w:tcW w:w="3544" w:type="dxa"/>
          </w:tcPr>
          <w:p w14:paraId="0DD8EEB8" w14:textId="20876A5A"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15 - 19</w:t>
            </w:r>
          </w:p>
        </w:tc>
        <w:tc>
          <w:tcPr>
            <w:tcW w:w="2688" w:type="dxa"/>
          </w:tcPr>
          <w:p w14:paraId="564AC071" w14:textId="718D052B"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9</w:t>
            </w:r>
          </w:p>
        </w:tc>
      </w:tr>
      <w:tr w:rsidR="00FE1176" w14:paraId="75442F69" w14:textId="77777777" w:rsidTr="008A12D3">
        <w:tc>
          <w:tcPr>
            <w:tcW w:w="3544" w:type="dxa"/>
          </w:tcPr>
          <w:p w14:paraId="31C9DCAC" w14:textId="532D2D3E"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20 - 24</w:t>
            </w:r>
          </w:p>
        </w:tc>
        <w:tc>
          <w:tcPr>
            <w:tcW w:w="2688" w:type="dxa"/>
          </w:tcPr>
          <w:p w14:paraId="28238223" w14:textId="7A3FE726"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6</w:t>
            </w:r>
          </w:p>
        </w:tc>
      </w:tr>
      <w:tr w:rsidR="00FE1176" w14:paraId="1B427549" w14:textId="77777777" w:rsidTr="008A12D3">
        <w:tc>
          <w:tcPr>
            <w:tcW w:w="3544" w:type="dxa"/>
          </w:tcPr>
          <w:p w14:paraId="6F32F666" w14:textId="3809DDEC"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25 - 34</w:t>
            </w:r>
          </w:p>
        </w:tc>
        <w:tc>
          <w:tcPr>
            <w:tcW w:w="2688" w:type="dxa"/>
          </w:tcPr>
          <w:p w14:paraId="112388C4" w14:textId="4E5988CE"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50</w:t>
            </w:r>
          </w:p>
        </w:tc>
      </w:tr>
      <w:tr w:rsidR="00FE1176" w14:paraId="33C78B61" w14:textId="77777777" w:rsidTr="008A12D3">
        <w:tc>
          <w:tcPr>
            <w:tcW w:w="3544" w:type="dxa"/>
          </w:tcPr>
          <w:p w14:paraId="0FF708DF" w14:textId="0EEF48CC"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35 - 44</w:t>
            </w:r>
          </w:p>
        </w:tc>
        <w:tc>
          <w:tcPr>
            <w:tcW w:w="2688" w:type="dxa"/>
          </w:tcPr>
          <w:p w14:paraId="131BFD0D" w14:textId="7FCAA90A"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83</w:t>
            </w:r>
          </w:p>
        </w:tc>
      </w:tr>
      <w:tr w:rsidR="00FE1176" w14:paraId="082F568B" w14:textId="77777777" w:rsidTr="008A12D3">
        <w:tc>
          <w:tcPr>
            <w:tcW w:w="3544" w:type="dxa"/>
          </w:tcPr>
          <w:p w14:paraId="6D4072D4" w14:textId="23652986"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45 - 54</w:t>
            </w:r>
          </w:p>
        </w:tc>
        <w:tc>
          <w:tcPr>
            <w:tcW w:w="2688" w:type="dxa"/>
          </w:tcPr>
          <w:p w14:paraId="5C82276D" w14:textId="67A22391"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84</w:t>
            </w:r>
          </w:p>
        </w:tc>
      </w:tr>
      <w:tr w:rsidR="00FE1176" w14:paraId="63ED46E5" w14:textId="77777777" w:rsidTr="008A12D3">
        <w:tc>
          <w:tcPr>
            <w:tcW w:w="3544" w:type="dxa"/>
          </w:tcPr>
          <w:p w14:paraId="45113AD7" w14:textId="4BFFE842"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55 - 64</w:t>
            </w:r>
          </w:p>
        </w:tc>
        <w:tc>
          <w:tcPr>
            <w:tcW w:w="2688" w:type="dxa"/>
          </w:tcPr>
          <w:p w14:paraId="410B273E" w14:textId="039E0104"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65</w:t>
            </w:r>
          </w:p>
        </w:tc>
      </w:tr>
      <w:tr w:rsidR="00FE1176" w14:paraId="058AF35C" w14:textId="77777777" w:rsidTr="008A12D3">
        <w:tc>
          <w:tcPr>
            <w:tcW w:w="3544" w:type="dxa"/>
          </w:tcPr>
          <w:p w14:paraId="53BB3CAF" w14:textId="26D38D38"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Over 65</w:t>
            </w:r>
          </w:p>
        </w:tc>
        <w:tc>
          <w:tcPr>
            <w:tcW w:w="2688" w:type="dxa"/>
          </w:tcPr>
          <w:p w14:paraId="5113F42B" w14:textId="7401BC79" w:rsidR="00FE1176" w:rsidRPr="00293864" w:rsidRDefault="00710B9D" w:rsidP="008A12D3">
            <w:pPr>
              <w:pStyle w:val="TableText"/>
              <w:rPr>
                <w:rFonts w:asciiTheme="minorBidi" w:hAnsiTheme="minorBidi"/>
              </w:rPr>
            </w:pPr>
            <w:r w:rsidRPr="00293864">
              <w:rPr>
                <w:rFonts w:asciiTheme="minorBidi" w:hAnsiTheme="minorBidi"/>
                <w:color w:val="000000"/>
                <w:sz w:val="22"/>
                <w:szCs w:val="22"/>
                <w:lang w:val="en-GB"/>
              </w:rPr>
              <w:t>55</w:t>
            </w:r>
          </w:p>
        </w:tc>
      </w:tr>
    </w:tbl>
    <w:p w14:paraId="61D40B78" w14:textId="66B95F7A" w:rsidR="00FE1176" w:rsidRDefault="00FE1176" w:rsidP="00B93B08"/>
    <w:p w14:paraId="198617FD" w14:textId="64327B0B" w:rsidR="00591A64" w:rsidRPr="00801DC6" w:rsidRDefault="00591A64" w:rsidP="00B93B08">
      <w:pPr>
        <w:rPr>
          <w:i/>
        </w:rPr>
      </w:pPr>
    </w:p>
    <w:p w14:paraId="7CDA5DD4" w14:textId="77777777" w:rsidR="00922C66" w:rsidRDefault="00922C66" w:rsidP="00571790">
      <w:pPr>
        <w:pStyle w:val="Caption"/>
      </w:pPr>
    </w:p>
    <w:p w14:paraId="3FC156F4" w14:textId="77777777" w:rsidR="00922C66" w:rsidRDefault="00922C66" w:rsidP="00571790">
      <w:pPr>
        <w:pStyle w:val="Caption"/>
      </w:pPr>
    </w:p>
    <w:p w14:paraId="4835DB8D" w14:textId="77777777" w:rsidR="00922C66" w:rsidRDefault="00922C66" w:rsidP="00571790">
      <w:pPr>
        <w:pStyle w:val="Caption"/>
      </w:pPr>
    </w:p>
    <w:p w14:paraId="5DAC81F2" w14:textId="77777777" w:rsidR="00922C66" w:rsidRDefault="00922C66" w:rsidP="00571790">
      <w:pPr>
        <w:pStyle w:val="Caption"/>
      </w:pPr>
    </w:p>
    <w:p w14:paraId="6F8172D0" w14:textId="77777777" w:rsidR="00922C66" w:rsidRDefault="00922C66" w:rsidP="00571790">
      <w:pPr>
        <w:pStyle w:val="Caption"/>
      </w:pPr>
    </w:p>
    <w:p w14:paraId="477E3C5D" w14:textId="3E020B8A" w:rsidR="00952436" w:rsidRDefault="00666E19" w:rsidP="00571790">
      <w:pPr>
        <w:pStyle w:val="Caption"/>
      </w:pPr>
      <w:r>
        <w:lastRenderedPageBreak/>
        <w:t xml:space="preserve">Table </w:t>
      </w:r>
      <w:r w:rsidR="00922C66">
        <w:t>22</w:t>
      </w:r>
      <w:r>
        <w:t xml:space="preserve">: </w:t>
      </w:r>
      <w:r w:rsidR="005849BD">
        <w:t xml:space="preserve">Outcome of finalised complaints – inclusive of </w:t>
      </w:r>
      <w:r w:rsidR="00B70C22">
        <w:t>piggy-back complaint</w:t>
      </w:r>
      <w:r w:rsidR="005849BD">
        <w:t>s a</w:t>
      </w:r>
      <w:r>
        <w:t xml:space="preserve">nd human rights only complaints, </w:t>
      </w:r>
      <w:r w:rsidR="00584C8B">
        <w:t>2020-21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6946"/>
        <w:gridCol w:w="2547"/>
      </w:tblGrid>
      <w:tr w:rsidR="00D436DA" w:rsidRPr="00922C66" w14:paraId="7A649468" w14:textId="77777777" w:rsidTr="43FC7218">
        <w:tc>
          <w:tcPr>
            <w:tcW w:w="6946" w:type="dxa"/>
          </w:tcPr>
          <w:p w14:paraId="7870634D" w14:textId="3A99E01D" w:rsidR="00D436DA" w:rsidRPr="00922C66" w:rsidRDefault="00D436DA" w:rsidP="008A12D3">
            <w:pPr>
              <w:pStyle w:val="TableTextHeading"/>
              <w:rPr>
                <w:color w:val="373D42"/>
              </w:rPr>
            </w:pPr>
            <w:r w:rsidRPr="00922C66">
              <w:rPr>
                <w:color w:val="373D42"/>
              </w:rPr>
              <w:t>Outcome of finalised complaints</w:t>
            </w:r>
            <w:r w:rsidR="00724E90" w:rsidRPr="00922C66">
              <w:rPr>
                <w:color w:val="373D42"/>
              </w:rPr>
              <w:t xml:space="preserve"> – all (</w:t>
            </w:r>
            <w:r w:rsidR="00B70C22" w:rsidRPr="00922C66">
              <w:rPr>
                <w:color w:val="373D42"/>
              </w:rPr>
              <w:t>piggy-back complaint</w:t>
            </w:r>
            <w:r w:rsidR="00724E90" w:rsidRPr="00922C66">
              <w:rPr>
                <w:color w:val="373D42"/>
              </w:rPr>
              <w:t>s and human rights only)</w:t>
            </w:r>
          </w:p>
        </w:tc>
        <w:tc>
          <w:tcPr>
            <w:tcW w:w="2547" w:type="dxa"/>
          </w:tcPr>
          <w:p w14:paraId="0A9E6A66" w14:textId="77777777" w:rsidR="00D436DA" w:rsidRPr="00922C66" w:rsidRDefault="00D436DA" w:rsidP="008A12D3">
            <w:pPr>
              <w:pStyle w:val="TableTextHeading"/>
              <w:rPr>
                <w:color w:val="373D42"/>
              </w:rPr>
            </w:pPr>
            <w:r w:rsidRPr="00922C66">
              <w:rPr>
                <w:color w:val="373D42"/>
              </w:rPr>
              <w:t>No. finalised</w:t>
            </w:r>
          </w:p>
        </w:tc>
      </w:tr>
      <w:tr w:rsidR="00A3527A" w:rsidRPr="00E24F78" w14:paraId="42FCD9A1" w14:textId="77777777" w:rsidTr="43FC7218">
        <w:tc>
          <w:tcPr>
            <w:tcW w:w="6946" w:type="dxa"/>
          </w:tcPr>
          <w:p w14:paraId="3692A4DD" w14:textId="6F368B04" w:rsidR="00A3527A" w:rsidRPr="00E24F78" w:rsidRDefault="00E24F78" w:rsidP="00A3527A">
            <w:pPr>
              <w:pStyle w:val="TableText"/>
              <w:rPr>
                <w:rFonts w:asciiTheme="minorBidi" w:hAnsiTheme="minorBidi"/>
              </w:rPr>
            </w:pPr>
            <w:r w:rsidRPr="00E24F78">
              <w:rPr>
                <w:rFonts w:asciiTheme="minorBidi" w:hAnsiTheme="minorBidi"/>
                <w:color w:val="000000"/>
                <w:sz w:val="22"/>
                <w:szCs w:val="22"/>
                <w:lang w:val="en-GB"/>
              </w:rPr>
              <w:t>Information provided indicates not covered by the HR Act</w:t>
            </w:r>
          </w:p>
        </w:tc>
        <w:tc>
          <w:tcPr>
            <w:tcW w:w="2547" w:type="dxa"/>
          </w:tcPr>
          <w:p w14:paraId="32CB7965" w14:textId="3C70171C" w:rsidR="00A3527A" w:rsidRPr="00E24F78" w:rsidRDefault="00E24F78" w:rsidP="00A3527A">
            <w:pPr>
              <w:pStyle w:val="TableText"/>
              <w:rPr>
                <w:rFonts w:asciiTheme="minorBidi" w:hAnsiTheme="minorBidi"/>
              </w:rPr>
            </w:pPr>
            <w:r w:rsidRPr="00E24F78">
              <w:rPr>
                <w:rFonts w:asciiTheme="minorBidi" w:hAnsiTheme="minorBidi"/>
                <w:color w:val="000000"/>
                <w:sz w:val="22"/>
                <w:szCs w:val="22"/>
                <w:lang w:val="en-GB"/>
              </w:rPr>
              <w:t>98</w:t>
            </w:r>
          </w:p>
        </w:tc>
      </w:tr>
      <w:tr w:rsidR="00A3527A" w:rsidRPr="00E24F78" w14:paraId="7CB8BD23" w14:textId="77777777" w:rsidTr="43FC7218">
        <w:tc>
          <w:tcPr>
            <w:tcW w:w="6946" w:type="dxa"/>
          </w:tcPr>
          <w:p w14:paraId="3407DB74" w14:textId="56290E14" w:rsidR="00A3527A" w:rsidRPr="00E24F78" w:rsidRDefault="00E24F78" w:rsidP="00A3527A">
            <w:pPr>
              <w:pStyle w:val="TableText"/>
              <w:rPr>
                <w:rFonts w:asciiTheme="minorBidi" w:hAnsiTheme="minorBidi"/>
              </w:rPr>
            </w:pPr>
            <w:r w:rsidRPr="00E24F78">
              <w:rPr>
                <w:rFonts w:asciiTheme="minorBidi" w:hAnsiTheme="minorBidi"/>
                <w:color w:val="000000"/>
                <w:sz w:val="22"/>
                <w:szCs w:val="22"/>
                <w:lang w:val="en-GB"/>
              </w:rPr>
              <w:t>Prior internal complaint requirements not met</w:t>
            </w:r>
          </w:p>
        </w:tc>
        <w:tc>
          <w:tcPr>
            <w:tcW w:w="2547" w:type="dxa"/>
          </w:tcPr>
          <w:p w14:paraId="2C7AC3DD" w14:textId="3501A94C" w:rsidR="00A3527A" w:rsidRPr="00E24F78" w:rsidRDefault="00E24F78" w:rsidP="00A3527A">
            <w:pPr>
              <w:pStyle w:val="TableText"/>
              <w:rPr>
                <w:rFonts w:asciiTheme="minorBidi" w:hAnsiTheme="minorBidi"/>
              </w:rPr>
            </w:pPr>
            <w:r w:rsidRPr="00E24F78">
              <w:rPr>
                <w:rFonts w:asciiTheme="minorBidi" w:hAnsiTheme="minorBidi"/>
                <w:color w:val="000000"/>
                <w:sz w:val="22"/>
                <w:szCs w:val="22"/>
                <w:lang w:val="en-GB"/>
              </w:rPr>
              <w:t>72</w:t>
            </w:r>
          </w:p>
        </w:tc>
      </w:tr>
      <w:tr w:rsidR="00A3527A" w:rsidRPr="00E24F78" w14:paraId="13E81416" w14:textId="77777777" w:rsidTr="43FC7218">
        <w:tc>
          <w:tcPr>
            <w:tcW w:w="6946" w:type="dxa"/>
          </w:tcPr>
          <w:p w14:paraId="6C6D1633" w14:textId="05F7E095" w:rsidR="00A3527A" w:rsidRPr="00E24F78" w:rsidRDefault="00E24F78" w:rsidP="00A3527A">
            <w:pPr>
              <w:pStyle w:val="TableText"/>
              <w:rPr>
                <w:rFonts w:asciiTheme="minorBidi" w:hAnsiTheme="minorBidi"/>
              </w:rPr>
            </w:pPr>
            <w:r>
              <w:rPr>
                <w:rFonts w:asciiTheme="minorBidi" w:hAnsiTheme="minorBidi"/>
                <w:color w:val="000000"/>
                <w:sz w:val="22"/>
                <w:szCs w:val="22"/>
                <w:lang w:val="en-GB"/>
              </w:rPr>
              <w:t>Accepted and r</w:t>
            </w:r>
            <w:r w:rsidRPr="00E24F78">
              <w:rPr>
                <w:rFonts w:asciiTheme="minorBidi" w:hAnsiTheme="minorBidi"/>
                <w:color w:val="000000"/>
                <w:sz w:val="22"/>
                <w:szCs w:val="22"/>
                <w:lang w:val="en-GB"/>
              </w:rPr>
              <w:t>esolved</w:t>
            </w:r>
          </w:p>
        </w:tc>
        <w:tc>
          <w:tcPr>
            <w:tcW w:w="2547" w:type="dxa"/>
          </w:tcPr>
          <w:p w14:paraId="2FF98ECD" w14:textId="1C4C9DC1" w:rsidR="00A3527A" w:rsidRPr="00E24F78" w:rsidRDefault="00E24F78" w:rsidP="00A3527A">
            <w:pPr>
              <w:pStyle w:val="TableText"/>
              <w:rPr>
                <w:rFonts w:asciiTheme="minorBidi" w:hAnsiTheme="minorBidi"/>
              </w:rPr>
            </w:pPr>
            <w:r w:rsidRPr="00E24F78">
              <w:rPr>
                <w:rFonts w:asciiTheme="minorBidi" w:hAnsiTheme="minorBidi"/>
                <w:color w:val="000000"/>
                <w:sz w:val="22"/>
                <w:szCs w:val="22"/>
                <w:lang w:val="en-GB"/>
              </w:rPr>
              <w:t>47</w:t>
            </w:r>
          </w:p>
        </w:tc>
      </w:tr>
      <w:tr w:rsidR="00A3527A" w:rsidRPr="00E24F78" w14:paraId="6F499B7E" w14:textId="77777777" w:rsidTr="43FC7218">
        <w:tc>
          <w:tcPr>
            <w:tcW w:w="6946" w:type="dxa"/>
          </w:tcPr>
          <w:p w14:paraId="749F2C61" w14:textId="1644E87B" w:rsidR="00A3527A" w:rsidRPr="00E24F78" w:rsidRDefault="00E24F78" w:rsidP="00A3527A">
            <w:pPr>
              <w:pStyle w:val="TableText"/>
              <w:rPr>
                <w:rFonts w:asciiTheme="minorBidi" w:hAnsiTheme="minorBidi"/>
              </w:rPr>
            </w:pPr>
            <w:r w:rsidRPr="00E24F78">
              <w:rPr>
                <w:rFonts w:asciiTheme="minorBidi" w:hAnsiTheme="minorBidi"/>
                <w:color w:val="000000"/>
                <w:sz w:val="22"/>
                <w:szCs w:val="22"/>
                <w:lang w:val="en-GB"/>
              </w:rPr>
              <w:t>Withdrawn or lost contact</w:t>
            </w:r>
          </w:p>
        </w:tc>
        <w:tc>
          <w:tcPr>
            <w:tcW w:w="2547" w:type="dxa"/>
          </w:tcPr>
          <w:p w14:paraId="19766D3E" w14:textId="0A34BD06" w:rsidR="00A3527A" w:rsidRPr="00E24F78" w:rsidRDefault="00E24F78" w:rsidP="00A3527A">
            <w:pPr>
              <w:pStyle w:val="TableText"/>
              <w:rPr>
                <w:rFonts w:asciiTheme="minorBidi" w:hAnsiTheme="minorBidi"/>
              </w:rPr>
            </w:pPr>
            <w:r w:rsidRPr="00E24F78">
              <w:rPr>
                <w:rFonts w:asciiTheme="minorBidi" w:hAnsiTheme="minorBidi"/>
                <w:color w:val="000000"/>
                <w:sz w:val="22"/>
                <w:szCs w:val="22"/>
                <w:lang w:val="en-GB"/>
              </w:rPr>
              <w:t>36</w:t>
            </w:r>
          </w:p>
        </w:tc>
      </w:tr>
      <w:tr w:rsidR="00A3527A" w:rsidRPr="00E24F78" w14:paraId="57EB963A" w14:textId="77777777" w:rsidTr="43FC7218">
        <w:tc>
          <w:tcPr>
            <w:tcW w:w="6946" w:type="dxa"/>
          </w:tcPr>
          <w:p w14:paraId="07DDE4C5" w14:textId="6A5EF175" w:rsidR="00A3527A" w:rsidRPr="00E24F78" w:rsidRDefault="00E24F78" w:rsidP="00A3527A">
            <w:pPr>
              <w:pStyle w:val="TableText"/>
              <w:rPr>
                <w:rFonts w:asciiTheme="minorBidi" w:hAnsiTheme="minorBidi"/>
              </w:rPr>
            </w:pPr>
            <w:proofErr w:type="spellStart"/>
            <w:r w:rsidRPr="00E24F78">
              <w:rPr>
                <w:rFonts w:asciiTheme="minorBidi" w:hAnsiTheme="minorBidi"/>
                <w:color w:val="000000"/>
                <w:sz w:val="22"/>
                <w:szCs w:val="22"/>
                <w:lang w:val="en-GB"/>
              </w:rPr>
              <w:t>Unconciliable</w:t>
            </w:r>
            <w:proofErr w:type="spellEnd"/>
            <w:r w:rsidRPr="00E24F78">
              <w:rPr>
                <w:rFonts w:asciiTheme="minorBidi" w:hAnsiTheme="minorBidi"/>
                <w:color w:val="000000"/>
                <w:sz w:val="22"/>
                <w:szCs w:val="22"/>
                <w:lang w:val="en-GB"/>
              </w:rPr>
              <w:t xml:space="preserve"> piggy-back complaint: referred to Tribunal</w:t>
            </w:r>
          </w:p>
        </w:tc>
        <w:tc>
          <w:tcPr>
            <w:tcW w:w="2547" w:type="dxa"/>
          </w:tcPr>
          <w:p w14:paraId="669E09D1" w14:textId="68BF543C" w:rsidR="00A3527A" w:rsidRPr="00E24F78" w:rsidRDefault="00E24F78" w:rsidP="00A3527A">
            <w:pPr>
              <w:pStyle w:val="TableText"/>
              <w:rPr>
                <w:rFonts w:asciiTheme="minorBidi" w:hAnsiTheme="minorBidi"/>
              </w:rPr>
            </w:pPr>
            <w:r w:rsidRPr="00E24F78">
              <w:rPr>
                <w:rFonts w:asciiTheme="minorBidi" w:hAnsiTheme="minorBidi"/>
                <w:color w:val="000000"/>
                <w:sz w:val="22"/>
                <w:szCs w:val="22"/>
                <w:lang w:val="en-GB"/>
              </w:rPr>
              <w:t>26</w:t>
            </w:r>
          </w:p>
        </w:tc>
      </w:tr>
      <w:tr w:rsidR="00A3527A" w:rsidRPr="00E24F78" w14:paraId="45500464" w14:textId="77777777" w:rsidTr="43FC7218">
        <w:tc>
          <w:tcPr>
            <w:tcW w:w="6946" w:type="dxa"/>
          </w:tcPr>
          <w:p w14:paraId="561B83A8" w14:textId="5E0FAD4C" w:rsidR="00A3527A" w:rsidRPr="00E24F78" w:rsidRDefault="00E24F78" w:rsidP="00A3527A">
            <w:pPr>
              <w:pStyle w:val="TableText"/>
              <w:rPr>
                <w:rFonts w:asciiTheme="minorBidi" w:hAnsiTheme="minorBidi"/>
              </w:rPr>
            </w:pPr>
            <w:proofErr w:type="spellStart"/>
            <w:r w:rsidRPr="00E24F78">
              <w:rPr>
                <w:rFonts w:asciiTheme="minorBidi" w:hAnsiTheme="minorBidi"/>
                <w:color w:val="000000"/>
                <w:sz w:val="22"/>
                <w:szCs w:val="22"/>
                <w:lang w:val="en-GB"/>
              </w:rPr>
              <w:t>Unconciliable</w:t>
            </w:r>
            <w:proofErr w:type="spellEnd"/>
            <w:r w:rsidRPr="00E24F78">
              <w:rPr>
                <w:rFonts w:asciiTheme="minorBidi" w:hAnsiTheme="minorBidi"/>
                <w:color w:val="000000"/>
                <w:sz w:val="22"/>
                <w:szCs w:val="22"/>
                <w:lang w:val="en-GB"/>
              </w:rPr>
              <w:t xml:space="preserve"> piggy-back complaint: no referral </w:t>
            </w:r>
          </w:p>
        </w:tc>
        <w:tc>
          <w:tcPr>
            <w:tcW w:w="2547" w:type="dxa"/>
          </w:tcPr>
          <w:p w14:paraId="78969E9E" w14:textId="0B8950E2" w:rsidR="00A3527A" w:rsidRPr="00E24F78" w:rsidRDefault="00E24F78" w:rsidP="00A3527A">
            <w:pPr>
              <w:pStyle w:val="TableText"/>
              <w:rPr>
                <w:rFonts w:asciiTheme="minorBidi" w:hAnsiTheme="minorBidi"/>
              </w:rPr>
            </w:pPr>
            <w:r w:rsidRPr="00E24F78">
              <w:rPr>
                <w:rFonts w:asciiTheme="minorBidi" w:hAnsiTheme="minorBidi"/>
                <w:color w:val="000000"/>
                <w:sz w:val="22"/>
                <w:szCs w:val="22"/>
                <w:lang w:val="en-GB"/>
              </w:rPr>
              <w:t>21</w:t>
            </w:r>
          </w:p>
        </w:tc>
      </w:tr>
      <w:tr w:rsidR="00D436DA" w:rsidRPr="00E24F78" w14:paraId="2A272F48" w14:textId="77777777" w:rsidTr="43FC7218">
        <w:tc>
          <w:tcPr>
            <w:tcW w:w="6946" w:type="dxa"/>
          </w:tcPr>
          <w:p w14:paraId="7F9E5350" w14:textId="06535B55" w:rsidR="00D436DA" w:rsidRPr="00E24F78" w:rsidRDefault="00E24F78" w:rsidP="008A12D3">
            <w:pPr>
              <w:pStyle w:val="TableText"/>
              <w:rPr>
                <w:rFonts w:asciiTheme="minorBidi" w:hAnsiTheme="minorBidi"/>
              </w:rPr>
            </w:pPr>
            <w:proofErr w:type="spellStart"/>
            <w:r w:rsidRPr="00E24F78">
              <w:rPr>
                <w:rFonts w:asciiTheme="minorBidi" w:hAnsiTheme="minorBidi"/>
                <w:color w:val="000000"/>
                <w:sz w:val="22"/>
                <w:szCs w:val="22"/>
                <w:lang w:val="en-GB"/>
              </w:rPr>
              <w:t>Unconciliable</w:t>
            </w:r>
            <w:proofErr w:type="spellEnd"/>
            <w:r w:rsidRPr="00E24F78">
              <w:rPr>
                <w:rFonts w:asciiTheme="minorBidi" w:hAnsiTheme="minorBidi"/>
                <w:color w:val="000000"/>
                <w:sz w:val="22"/>
                <w:szCs w:val="22"/>
                <w:lang w:val="en-GB"/>
              </w:rPr>
              <w:t xml:space="preserve"> human rights only complaint: no referral</w:t>
            </w:r>
          </w:p>
        </w:tc>
        <w:tc>
          <w:tcPr>
            <w:tcW w:w="2547" w:type="dxa"/>
          </w:tcPr>
          <w:p w14:paraId="77EF15E0" w14:textId="23683767" w:rsidR="00D436DA" w:rsidRPr="00E24F78" w:rsidRDefault="00E24F78" w:rsidP="008A12D3">
            <w:pPr>
              <w:pStyle w:val="TableText"/>
              <w:rPr>
                <w:rFonts w:asciiTheme="minorBidi" w:hAnsiTheme="minorBidi"/>
              </w:rPr>
            </w:pPr>
            <w:r w:rsidRPr="00E24F78">
              <w:rPr>
                <w:rFonts w:asciiTheme="minorBidi" w:hAnsiTheme="minorBidi"/>
                <w:color w:val="000000"/>
                <w:sz w:val="22"/>
                <w:szCs w:val="22"/>
                <w:lang w:val="en-GB"/>
              </w:rPr>
              <w:t>21</w:t>
            </w:r>
          </w:p>
        </w:tc>
      </w:tr>
      <w:tr w:rsidR="00D436DA" w:rsidRPr="00E24F78" w14:paraId="7A7874CE" w14:textId="77777777" w:rsidTr="43FC7218">
        <w:tc>
          <w:tcPr>
            <w:tcW w:w="6946" w:type="dxa"/>
          </w:tcPr>
          <w:p w14:paraId="2BD5717F" w14:textId="68A52311" w:rsidR="00D436DA" w:rsidRPr="00E24F78" w:rsidRDefault="00E24F78" w:rsidP="008A12D3">
            <w:pPr>
              <w:pStyle w:val="TableText"/>
              <w:rPr>
                <w:rFonts w:asciiTheme="minorBidi" w:hAnsiTheme="minorBidi"/>
                <w:highlight w:val="yellow"/>
              </w:rPr>
            </w:pPr>
            <w:r w:rsidRPr="00E24F78">
              <w:rPr>
                <w:rFonts w:asciiTheme="minorBidi" w:hAnsiTheme="minorBidi"/>
                <w:color w:val="000000"/>
                <w:sz w:val="22"/>
                <w:szCs w:val="22"/>
                <w:lang w:val="en-GB"/>
              </w:rPr>
              <w:t>Has been or could be dealt with better elsewhere</w:t>
            </w:r>
          </w:p>
        </w:tc>
        <w:tc>
          <w:tcPr>
            <w:tcW w:w="2547" w:type="dxa"/>
          </w:tcPr>
          <w:p w14:paraId="366FCF82" w14:textId="6E3CC69A" w:rsidR="00D436DA" w:rsidRPr="00E24F78" w:rsidRDefault="00E24F78" w:rsidP="008A12D3">
            <w:pPr>
              <w:pStyle w:val="TableText"/>
              <w:rPr>
                <w:rFonts w:asciiTheme="minorBidi" w:hAnsiTheme="minorBidi"/>
              </w:rPr>
            </w:pPr>
            <w:r w:rsidRPr="00E24F78">
              <w:rPr>
                <w:rFonts w:asciiTheme="minorBidi" w:hAnsiTheme="minorBidi"/>
                <w:color w:val="000000"/>
                <w:sz w:val="22"/>
                <w:szCs w:val="22"/>
                <w:lang w:val="en-GB"/>
              </w:rPr>
              <w:t>14</w:t>
            </w:r>
          </w:p>
        </w:tc>
      </w:tr>
      <w:tr w:rsidR="00D436DA" w:rsidRPr="00E24F78" w14:paraId="073E87C5" w14:textId="77777777" w:rsidTr="43FC7218">
        <w:tc>
          <w:tcPr>
            <w:tcW w:w="6946" w:type="dxa"/>
          </w:tcPr>
          <w:p w14:paraId="7A260715" w14:textId="734E3420" w:rsidR="00D436DA" w:rsidRPr="00E24F78" w:rsidRDefault="00E24F78" w:rsidP="008A12D3">
            <w:pPr>
              <w:pStyle w:val="TableText"/>
              <w:rPr>
                <w:rFonts w:asciiTheme="minorBidi" w:hAnsiTheme="minorBidi"/>
              </w:rPr>
            </w:pPr>
            <w:r w:rsidRPr="00E24F78">
              <w:rPr>
                <w:rFonts w:asciiTheme="minorBidi" w:hAnsiTheme="minorBidi"/>
                <w:color w:val="000000"/>
                <w:sz w:val="22"/>
                <w:szCs w:val="22"/>
                <w:lang w:val="en-GB"/>
              </w:rPr>
              <w:t>Rejected - lacked substance</w:t>
            </w:r>
          </w:p>
        </w:tc>
        <w:tc>
          <w:tcPr>
            <w:tcW w:w="2547" w:type="dxa"/>
          </w:tcPr>
          <w:p w14:paraId="1FEAA166" w14:textId="22B32AAB" w:rsidR="00D436DA" w:rsidRPr="00E24F78" w:rsidRDefault="00E24F78" w:rsidP="008A12D3">
            <w:pPr>
              <w:pStyle w:val="TableText"/>
              <w:rPr>
                <w:rFonts w:asciiTheme="minorBidi" w:hAnsiTheme="minorBidi"/>
              </w:rPr>
            </w:pPr>
            <w:r w:rsidRPr="00E24F78">
              <w:rPr>
                <w:rFonts w:asciiTheme="minorBidi" w:hAnsiTheme="minorBidi"/>
                <w:color w:val="000000"/>
                <w:sz w:val="22"/>
                <w:szCs w:val="22"/>
                <w:lang w:val="en-GB"/>
              </w:rPr>
              <w:t>5</w:t>
            </w:r>
          </w:p>
        </w:tc>
      </w:tr>
      <w:tr w:rsidR="00D436DA" w:rsidRPr="00E24F78" w14:paraId="471361C8" w14:textId="77777777" w:rsidTr="43FC7218">
        <w:tc>
          <w:tcPr>
            <w:tcW w:w="6946" w:type="dxa"/>
          </w:tcPr>
          <w:p w14:paraId="04EB4F83" w14:textId="0540670A" w:rsidR="00D436DA" w:rsidRPr="00E24F78" w:rsidRDefault="00E24F78" w:rsidP="008A12D3">
            <w:pPr>
              <w:pStyle w:val="TableText"/>
              <w:rPr>
                <w:rFonts w:asciiTheme="minorBidi" w:hAnsiTheme="minorBidi"/>
              </w:rPr>
            </w:pPr>
            <w:proofErr w:type="spellStart"/>
            <w:r w:rsidRPr="00E24F78">
              <w:rPr>
                <w:rFonts w:asciiTheme="minorBidi" w:hAnsiTheme="minorBidi"/>
                <w:color w:val="000000"/>
                <w:sz w:val="22"/>
                <w:szCs w:val="22"/>
                <w:lang w:val="en-GB"/>
              </w:rPr>
              <w:t>Unconciliable</w:t>
            </w:r>
            <w:proofErr w:type="spellEnd"/>
            <w:r w:rsidRPr="00E24F78">
              <w:rPr>
                <w:rFonts w:asciiTheme="minorBidi" w:hAnsiTheme="minorBidi"/>
                <w:color w:val="000000"/>
                <w:sz w:val="22"/>
                <w:szCs w:val="22"/>
                <w:lang w:val="en-GB"/>
              </w:rPr>
              <w:t xml:space="preserve"> human rights only complaint: report with recommendations published</w:t>
            </w:r>
          </w:p>
        </w:tc>
        <w:tc>
          <w:tcPr>
            <w:tcW w:w="2547" w:type="dxa"/>
          </w:tcPr>
          <w:p w14:paraId="5255F7E1" w14:textId="0FA3C722" w:rsidR="00D436DA" w:rsidRPr="00E24F78" w:rsidRDefault="00E24F78" w:rsidP="008A12D3">
            <w:pPr>
              <w:pStyle w:val="TableText"/>
              <w:rPr>
                <w:rFonts w:asciiTheme="minorBidi" w:hAnsiTheme="minorBidi"/>
              </w:rPr>
            </w:pPr>
            <w:r w:rsidRPr="00E24F78">
              <w:rPr>
                <w:rFonts w:asciiTheme="minorBidi" w:hAnsiTheme="minorBidi"/>
                <w:color w:val="000000"/>
                <w:sz w:val="22"/>
                <w:szCs w:val="22"/>
                <w:lang w:val="en-GB"/>
              </w:rPr>
              <w:t>2</w:t>
            </w:r>
          </w:p>
        </w:tc>
      </w:tr>
      <w:tr w:rsidR="00D436DA" w:rsidRPr="00E24F78" w14:paraId="00BA03E1" w14:textId="77777777" w:rsidTr="43FC7218">
        <w:tc>
          <w:tcPr>
            <w:tcW w:w="6946" w:type="dxa"/>
          </w:tcPr>
          <w:p w14:paraId="4D9B16D6" w14:textId="0979259D" w:rsidR="00D436DA" w:rsidRPr="00E24F78" w:rsidRDefault="00E24F78" w:rsidP="008A12D3">
            <w:pPr>
              <w:pStyle w:val="TableText"/>
              <w:rPr>
                <w:rFonts w:asciiTheme="minorBidi" w:hAnsiTheme="minorBidi"/>
              </w:rPr>
            </w:pPr>
            <w:r w:rsidRPr="00E24F78">
              <w:rPr>
                <w:rFonts w:asciiTheme="minorBidi" w:hAnsiTheme="minorBidi"/>
                <w:color w:val="000000"/>
                <w:sz w:val="22"/>
                <w:szCs w:val="22"/>
                <w:lang w:val="en-GB"/>
              </w:rPr>
              <w:t xml:space="preserve">Referred to </w:t>
            </w:r>
            <w:r w:rsidR="005A1A20">
              <w:rPr>
                <w:rFonts w:asciiTheme="minorBidi" w:hAnsiTheme="minorBidi"/>
                <w:color w:val="000000"/>
                <w:sz w:val="22"/>
                <w:szCs w:val="22"/>
                <w:lang w:val="en-GB"/>
              </w:rPr>
              <w:t xml:space="preserve">Office of the </w:t>
            </w:r>
            <w:r w:rsidRPr="00E24F78">
              <w:rPr>
                <w:rFonts w:asciiTheme="minorBidi" w:hAnsiTheme="minorBidi"/>
                <w:color w:val="000000"/>
                <w:sz w:val="22"/>
                <w:szCs w:val="22"/>
                <w:lang w:val="en-GB"/>
              </w:rPr>
              <w:t>Health Ombudsman</w:t>
            </w:r>
          </w:p>
        </w:tc>
        <w:tc>
          <w:tcPr>
            <w:tcW w:w="2547" w:type="dxa"/>
          </w:tcPr>
          <w:p w14:paraId="51C80022" w14:textId="7A6F61F5" w:rsidR="00D436DA" w:rsidRPr="00E24F78" w:rsidRDefault="00E24F78" w:rsidP="008A12D3">
            <w:pPr>
              <w:pStyle w:val="TableText"/>
              <w:rPr>
                <w:rFonts w:asciiTheme="minorBidi" w:hAnsiTheme="minorBidi"/>
              </w:rPr>
            </w:pPr>
            <w:r w:rsidRPr="00E24F78">
              <w:rPr>
                <w:rFonts w:asciiTheme="minorBidi" w:hAnsiTheme="minorBidi"/>
                <w:color w:val="000000"/>
                <w:sz w:val="22"/>
                <w:szCs w:val="22"/>
                <w:lang w:val="en-GB"/>
              </w:rPr>
              <w:t>2</w:t>
            </w:r>
          </w:p>
        </w:tc>
      </w:tr>
    </w:tbl>
    <w:p w14:paraId="40BCFBDF" w14:textId="5691AB3D" w:rsidR="00D436DA" w:rsidRDefault="00D436DA" w:rsidP="00D436DA"/>
    <w:p w14:paraId="406ACD75" w14:textId="7145CA9C" w:rsidR="00952436" w:rsidRDefault="00666E19" w:rsidP="00571790">
      <w:pPr>
        <w:pStyle w:val="Caption"/>
      </w:pPr>
      <w:r>
        <w:t xml:space="preserve">Table </w:t>
      </w:r>
      <w:r w:rsidR="00922C66">
        <w:t>23</w:t>
      </w:r>
      <w:r w:rsidR="00952436">
        <w:t>:</w:t>
      </w:r>
      <w:r w:rsidR="006D6C19">
        <w:t xml:space="preserve"> Human rights identified in all </w:t>
      </w:r>
      <w:r w:rsidR="00E404BF">
        <w:t xml:space="preserve">finalised </w:t>
      </w:r>
      <w:r w:rsidR="006D6C19">
        <w:t xml:space="preserve">human rights complaints – inclusive of </w:t>
      </w:r>
      <w:r w:rsidR="00B70C22">
        <w:t>piggy-back complaint</w:t>
      </w:r>
      <w:r w:rsidR="006D6C19">
        <w:t>s and human rights only complaints</w:t>
      </w:r>
      <w:r w:rsidR="00A12890">
        <w:t xml:space="preserve">, </w:t>
      </w:r>
      <w:r w:rsidR="00584C8B">
        <w:t>2020-21</w:t>
      </w:r>
    </w:p>
    <w:tbl>
      <w:tblPr>
        <w:tblStyle w:val="TableGrid"/>
        <w:tblW w:w="9493" w:type="dxa"/>
        <w:tblBorders>
          <w:left w:val="none" w:sz="0" w:space="0" w:color="auto"/>
          <w:right w:val="none" w:sz="0" w:space="0" w:color="auto"/>
          <w:insideV w:val="none" w:sz="0" w:space="0" w:color="auto"/>
        </w:tblBorders>
        <w:tblLook w:val="04A0" w:firstRow="1" w:lastRow="0" w:firstColumn="1" w:lastColumn="0" w:noHBand="0" w:noVBand="1"/>
      </w:tblPr>
      <w:tblGrid>
        <w:gridCol w:w="5524"/>
        <w:gridCol w:w="1842"/>
        <w:gridCol w:w="2127"/>
      </w:tblGrid>
      <w:tr w:rsidR="00DE3EC0" w:rsidRPr="00922C66" w14:paraId="6B337E2F" w14:textId="77777777" w:rsidTr="008A12D3">
        <w:trPr>
          <w:tblHeader/>
        </w:trPr>
        <w:tc>
          <w:tcPr>
            <w:tcW w:w="5524" w:type="dxa"/>
          </w:tcPr>
          <w:p w14:paraId="6DDE3819" w14:textId="6DFB3A01" w:rsidR="00DE3EC0" w:rsidRPr="00922C66" w:rsidRDefault="0016140C" w:rsidP="008A12D3">
            <w:pPr>
              <w:pStyle w:val="TableTextHeading"/>
              <w:rPr>
                <w:color w:val="373D42"/>
              </w:rPr>
            </w:pPr>
            <w:r w:rsidRPr="00922C66">
              <w:rPr>
                <w:color w:val="373D42"/>
              </w:rPr>
              <w:t>Relevant human right</w:t>
            </w:r>
          </w:p>
        </w:tc>
        <w:tc>
          <w:tcPr>
            <w:tcW w:w="1842" w:type="dxa"/>
          </w:tcPr>
          <w:p w14:paraId="011B13EB" w14:textId="48870500" w:rsidR="00DE3EC0" w:rsidRPr="00922C66" w:rsidRDefault="00DE3EC0" w:rsidP="008A12D3">
            <w:pPr>
              <w:pStyle w:val="TableTextHeading"/>
              <w:rPr>
                <w:color w:val="373D42"/>
              </w:rPr>
            </w:pPr>
            <w:r w:rsidRPr="00922C66">
              <w:rPr>
                <w:color w:val="373D42"/>
              </w:rPr>
              <w:t xml:space="preserve">Allegations made in finalised complaints </w:t>
            </w:r>
            <w:r w:rsidR="00584C8B" w:rsidRPr="00922C66">
              <w:rPr>
                <w:color w:val="373D42"/>
              </w:rPr>
              <w:t>2020-21</w:t>
            </w:r>
          </w:p>
        </w:tc>
        <w:tc>
          <w:tcPr>
            <w:tcW w:w="2127" w:type="dxa"/>
          </w:tcPr>
          <w:p w14:paraId="06D7C32A" w14:textId="77777777" w:rsidR="00DE3EC0" w:rsidRPr="00922C66" w:rsidRDefault="00DE3EC0" w:rsidP="008A12D3">
            <w:pPr>
              <w:pStyle w:val="TableTextHeading"/>
              <w:rPr>
                <w:color w:val="373D42"/>
              </w:rPr>
            </w:pPr>
            <w:r w:rsidRPr="00922C66">
              <w:rPr>
                <w:color w:val="373D42"/>
              </w:rPr>
              <w:t xml:space="preserve">Allegations made in accepted and finalised </w:t>
            </w:r>
          </w:p>
          <w:p w14:paraId="1E66DCDB" w14:textId="33D5BF5D" w:rsidR="00DE3EC0" w:rsidRPr="00922C66" w:rsidRDefault="00DE3EC0" w:rsidP="008A12D3">
            <w:pPr>
              <w:pStyle w:val="TableTextHeading"/>
              <w:rPr>
                <w:color w:val="373D42"/>
              </w:rPr>
            </w:pPr>
            <w:r w:rsidRPr="00922C66">
              <w:rPr>
                <w:color w:val="373D42"/>
              </w:rPr>
              <w:t xml:space="preserve">complaints </w:t>
            </w:r>
            <w:r w:rsidR="00584C8B" w:rsidRPr="00922C66">
              <w:rPr>
                <w:color w:val="373D42"/>
              </w:rPr>
              <w:t>2020-21</w:t>
            </w:r>
          </w:p>
        </w:tc>
      </w:tr>
      <w:tr w:rsidR="00DE3EC0" w:rsidRPr="008A00EB" w14:paraId="17D51041" w14:textId="77777777" w:rsidTr="008A12D3">
        <w:tc>
          <w:tcPr>
            <w:tcW w:w="5524" w:type="dxa"/>
          </w:tcPr>
          <w:p w14:paraId="317CB13F" w14:textId="40D58A02"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Cultural rights—First Nations peoples</w:t>
            </w:r>
          </w:p>
        </w:tc>
        <w:tc>
          <w:tcPr>
            <w:tcW w:w="1842" w:type="dxa"/>
          </w:tcPr>
          <w:p w14:paraId="17A889CB" w14:textId="5B1C517B"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24</w:t>
            </w:r>
          </w:p>
        </w:tc>
        <w:tc>
          <w:tcPr>
            <w:tcW w:w="2127" w:type="dxa"/>
          </w:tcPr>
          <w:p w14:paraId="37BAE44C" w14:textId="686ED06B"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5</w:t>
            </w:r>
          </w:p>
        </w:tc>
      </w:tr>
      <w:tr w:rsidR="00DE3EC0" w:rsidRPr="008A00EB" w14:paraId="151F5CAF" w14:textId="77777777" w:rsidTr="008A12D3">
        <w:tc>
          <w:tcPr>
            <w:tcW w:w="5524" w:type="dxa"/>
          </w:tcPr>
          <w:p w14:paraId="63DD3C84" w14:textId="427D7FD5"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Cultural rights—generally</w:t>
            </w:r>
          </w:p>
        </w:tc>
        <w:tc>
          <w:tcPr>
            <w:tcW w:w="1842" w:type="dxa"/>
          </w:tcPr>
          <w:p w14:paraId="396788EB" w14:textId="639DF002"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26</w:t>
            </w:r>
          </w:p>
        </w:tc>
        <w:tc>
          <w:tcPr>
            <w:tcW w:w="2127" w:type="dxa"/>
          </w:tcPr>
          <w:p w14:paraId="53FC679A" w14:textId="3D0D7091"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3</w:t>
            </w:r>
          </w:p>
        </w:tc>
      </w:tr>
      <w:tr w:rsidR="00DE3EC0" w:rsidRPr="008A00EB" w14:paraId="29F348DB" w14:textId="77777777" w:rsidTr="008A12D3">
        <w:tc>
          <w:tcPr>
            <w:tcW w:w="5524" w:type="dxa"/>
          </w:tcPr>
          <w:p w14:paraId="6F3361F7" w14:textId="02D719C9"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Fair hearing</w:t>
            </w:r>
          </w:p>
        </w:tc>
        <w:tc>
          <w:tcPr>
            <w:tcW w:w="1842" w:type="dxa"/>
          </w:tcPr>
          <w:p w14:paraId="21422A02" w14:textId="1104EACC" w:rsidR="00DE3EC0" w:rsidRPr="0037049D" w:rsidRDefault="00467992" w:rsidP="00F72262">
            <w:pPr>
              <w:pStyle w:val="TableText"/>
              <w:rPr>
                <w:rFonts w:asciiTheme="minorBidi" w:hAnsiTheme="minorBidi"/>
              </w:rPr>
            </w:pPr>
            <w:r w:rsidRPr="0037049D">
              <w:rPr>
                <w:rFonts w:asciiTheme="minorBidi" w:hAnsiTheme="minorBidi"/>
                <w:color w:val="000000"/>
                <w:sz w:val="22"/>
                <w:szCs w:val="22"/>
                <w:lang w:val="en-GB"/>
              </w:rPr>
              <w:t>64</w:t>
            </w:r>
          </w:p>
        </w:tc>
        <w:tc>
          <w:tcPr>
            <w:tcW w:w="2127" w:type="dxa"/>
          </w:tcPr>
          <w:p w14:paraId="02524A26" w14:textId="04B03F20"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2</w:t>
            </w:r>
          </w:p>
        </w:tc>
      </w:tr>
      <w:tr w:rsidR="00DE3EC0" w:rsidRPr="00BA291D" w14:paraId="5844FF88" w14:textId="77777777" w:rsidTr="008A12D3">
        <w:tc>
          <w:tcPr>
            <w:tcW w:w="5524" w:type="dxa"/>
          </w:tcPr>
          <w:p w14:paraId="753EC41D" w14:textId="565E3A4C"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Freedom from forced work</w:t>
            </w:r>
          </w:p>
        </w:tc>
        <w:tc>
          <w:tcPr>
            <w:tcW w:w="1842" w:type="dxa"/>
          </w:tcPr>
          <w:p w14:paraId="03F6731E" w14:textId="77EF671F"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6</w:t>
            </w:r>
          </w:p>
        </w:tc>
        <w:tc>
          <w:tcPr>
            <w:tcW w:w="2127" w:type="dxa"/>
          </w:tcPr>
          <w:p w14:paraId="20AAECA3" w14:textId="5F372963" w:rsidR="00DE3EC0" w:rsidRPr="0037049D" w:rsidRDefault="00DE3EC0" w:rsidP="008A12D3">
            <w:pPr>
              <w:pStyle w:val="TableText"/>
              <w:rPr>
                <w:rFonts w:asciiTheme="minorBidi" w:hAnsiTheme="minorBidi"/>
              </w:rPr>
            </w:pPr>
          </w:p>
        </w:tc>
      </w:tr>
      <w:tr w:rsidR="00DE3EC0" w:rsidRPr="00BA291D" w14:paraId="761EE4C8" w14:textId="77777777" w:rsidTr="008A12D3">
        <w:tc>
          <w:tcPr>
            <w:tcW w:w="5524" w:type="dxa"/>
          </w:tcPr>
          <w:p w14:paraId="6A0BE7D5" w14:textId="53198AC4"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Freedom of expression</w:t>
            </w:r>
          </w:p>
        </w:tc>
        <w:tc>
          <w:tcPr>
            <w:tcW w:w="1842" w:type="dxa"/>
          </w:tcPr>
          <w:p w14:paraId="65C9D801" w14:textId="15ED60AA"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59</w:t>
            </w:r>
          </w:p>
        </w:tc>
        <w:tc>
          <w:tcPr>
            <w:tcW w:w="2127" w:type="dxa"/>
          </w:tcPr>
          <w:p w14:paraId="0B708159" w14:textId="4EA21CF8"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10</w:t>
            </w:r>
          </w:p>
        </w:tc>
      </w:tr>
      <w:tr w:rsidR="00DE3EC0" w:rsidRPr="00BA291D" w14:paraId="631BB99F" w14:textId="77777777" w:rsidTr="008A12D3">
        <w:tc>
          <w:tcPr>
            <w:tcW w:w="5524" w:type="dxa"/>
          </w:tcPr>
          <w:p w14:paraId="1A3BC85E" w14:textId="385D1A06" w:rsidR="00DE3EC0" w:rsidRPr="0037049D" w:rsidRDefault="00DE3EC0" w:rsidP="008A12D3">
            <w:pPr>
              <w:pStyle w:val="TableText"/>
              <w:rPr>
                <w:rFonts w:asciiTheme="minorBidi" w:hAnsiTheme="minorBidi"/>
              </w:rPr>
            </w:pPr>
            <w:r w:rsidRPr="0037049D">
              <w:rPr>
                <w:rFonts w:asciiTheme="minorBidi" w:hAnsiTheme="minorBidi"/>
                <w:color w:val="000000"/>
                <w:sz w:val="22"/>
                <w:szCs w:val="22"/>
                <w:lang w:val="en-GB"/>
              </w:rPr>
              <w:t>Freedom of movement</w:t>
            </w:r>
          </w:p>
        </w:tc>
        <w:tc>
          <w:tcPr>
            <w:tcW w:w="1842" w:type="dxa"/>
          </w:tcPr>
          <w:p w14:paraId="02826D6F" w14:textId="66BC285A"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127</w:t>
            </w:r>
          </w:p>
        </w:tc>
        <w:tc>
          <w:tcPr>
            <w:tcW w:w="2127" w:type="dxa"/>
          </w:tcPr>
          <w:p w14:paraId="60ACE00A" w14:textId="5B64EC2C"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54</w:t>
            </w:r>
          </w:p>
        </w:tc>
      </w:tr>
      <w:tr w:rsidR="00DE3EC0" w:rsidRPr="00BA291D" w14:paraId="76FC4678" w14:textId="77777777" w:rsidTr="008A12D3">
        <w:tc>
          <w:tcPr>
            <w:tcW w:w="5524" w:type="dxa"/>
          </w:tcPr>
          <w:p w14:paraId="39ACFF60" w14:textId="2B98B38B"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Freedom of thought, conscience, religion</w:t>
            </w:r>
          </w:p>
        </w:tc>
        <w:tc>
          <w:tcPr>
            <w:tcW w:w="1842" w:type="dxa"/>
          </w:tcPr>
          <w:p w14:paraId="3CCDCDF5" w14:textId="1C2CA12F"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24</w:t>
            </w:r>
          </w:p>
        </w:tc>
        <w:tc>
          <w:tcPr>
            <w:tcW w:w="2127" w:type="dxa"/>
          </w:tcPr>
          <w:p w14:paraId="3E62FFCE" w14:textId="40F053C6" w:rsidR="00DE3EC0" w:rsidRPr="0037049D" w:rsidRDefault="00DE3EC0" w:rsidP="008A12D3">
            <w:pPr>
              <w:pStyle w:val="TableText"/>
              <w:rPr>
                <w:rFonts w:asciiTheme="minorBidi" w:hAnsiTheme="minorBidi"/>
              </w:rPr>
            </w:pPr>
          </w:p>
        </w:tc>
      </w:tr>
      <w:tr w:rsidR="00DE3EC0" w:rsidRPr="00BA291D" w14:paraId="6BD6168C" w14:textId="77777777" w:rsidTr="008A12D3">
        <w:tc>
          <w:tcPr>
            <w:tcW w:w="5524" w:type="dxa"/>
          </w:tcPr>
          <w:p w14:paraId="4728521E" w14:textId="0FFC26D0"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Humane treatment when deprived of liberty</w:t>
            </w:r>
          </w:p>
        </w:tc>
        <w:tc>
          <w:tcPr>
            <w:tcW w:w="1842" w:type="dxa"/>
          </w:tcPr>
          <w:p w14:paraId="70E331B8" w14:textId="5769AFBC"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140</w:t>
            </w:r>
          </w:p>
        </w:tc>
        <w:tc>
          <w:tcPr>
            <w:tcW w:w="2127" w:type="dxa"/>
          </w:tcPr>
          <w:p w14:paraId="56F76477" w14:textId="0C87A5A7"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44</w:t>
            </w:r>
          </w:p>
        </w:tc>
      </w:tr>
      <w:tr w:rsidR="00DE3EC0" w:rsidRPr="00BA291D" w14:paraId="78709E1C" w14:textId="77777777" w:rsidTr="008A12D3">
        <w:tc>
          <w:tcPr>
            <w:tcW w:w="5524" w:type="dxa"/>
          </w:tcPr>
          <w:p w14:paraId="0F2BF997" w14:textId="2866B419"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Not tried or punished more than once</w:t>
            </w:r>
          </w:p>
        </w:tc>
        <w:tc>
          <w:tcPr>
            <w:tcW w:w="1842" w:type="dxa"/>
          </w:tcPr>
          <w:p w14:paraId="2512CBBB" w14:textId="0717E326"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8</w:t>
            </w:r>
          </w:p>
        </w:tc>
        <w:tc>
          <w:tcPr>
            <w:tcW w:w="2127" w:type="dxa"/>
          </w:tcPr>
          <w:p w14:paraId="5D1E8F69" w14:textId="5D2B4F8A" w:rsidR="00DE3EC0" w:rsidRPr="0037049D" w:rsidRDefault="00DE3EC0" w:rsidP="008A12D3">
            <w:pPr>
              <w:pStyle w:val="TableText"/>
              <w:rPr>
                <w:rFonts w:asciiTheme="minorBidi" w:hAnsiTheme="minorBidi"/>
              </w:rPr>
            </w:pPr>
          </w:p>
        </w:tc>
      </w:tr>
      <w:tr w:rsidR="00DE3EC0" w:rsidRPr="00BA291D" w14:paraId="45FEC67D" w14:textId="77777777" w:rsidTr="008A12D3">
        <w:tc>
          <w:tcPr>
            <w:tcW w:w="5524" w:type="dxa"/>
          </w:tcPr>
          <w:p w14:paraId="136E98C0" w14:textId="3EDA13C8"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Peaceful assembly</w:t>
            </w:r>
          </w:p>
        </w:tc>
        <w:tc>
          <w:tcPr>
            <w:tcW w:w="1842" w:type="dxa"/>
          </w:tcPr>
          <w:p w14:paraId="14E6CBE7" w14:textId="4F35C675"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16</w:t>
            </w:r>
          </w:p>
        </w:tc>
        <w:tc>
          <w:tcPr>
            <w:tcW w:w="2127" w:type="dxa"/>
          </w:tcPr>
          <w:p w14:paraId="752921B3" w14:textId="5D0B586F"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2</w:t>
            </w:r>
          </w:p>
        </w:tc>
      </w:tr>
      <w:tr w:rsidR="00DE3EC0" w:rsidRPr="008A00EB" w14:paraId="1DA2FE2D" w14:textId="77777777" w:rsidTr="008A12D3">
        <w:tc>
          <w:tcPr>
            <w:tcW w:w="5524" w:type="dxa"/>
          </w:tcPr>
          <w:p w14:paraId="5A1189FE" w14:textId="6D644628"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lastRenderedPageBreak/>
              <w:t>Privacy and reputation</w:t>
            </w:r>
          </w:p>
        </w:tc>
        <w:tc>
          <w:tcPr>
            <w:tcW w:w="1842" w:type="dxa"/>
          </w:tcPr>
          <w:p w14:paraId="6DE7B448" w14:textId="3AE46338"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117</w:t>
            </w:r>
          </w:p>
        </w:tc>
        <w:tc>
          <w:tcPr>
            <w:tcW w:w="2127" w:type="dxa"/>
          </w:tcPr>
          <w:p w14:paraId="6CFC1448" w14:textId="66BF2A64"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32</w:t>
            </w:r>
          </w:p>
        </w:tc>
      </w:tr>
      <w:tr w:rsidR="00DE3EC0" w:rsidRPr="008A00EB" w14:paraId="7250A461" w14:textId="77777777" w:rsidTr="008A12D3">
        <w:tc>
          <w:tcPr>
            <w:tcW w:w="5524" w:type="dxa"/>
          </w:tcPr>
          <w:p w14:paraId="10FDCD1B" w14:textId="3DAE7185"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Property rights</w:t>
            </w:r>
          </w:p>
        </w:tc>
        <w:tc>
          <w:tcPr>
            <w:tcW w:w="1842" w:type="dxa"/>
          </w:tcPr>
          <w:p w14:paraId="73B24698" w14:textId="6845E051"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36</w:t>
            </w:r>
          </w:p>
        </w:tc>
        <w:tc>
          <w:tcPr>
            <w:tcW w:w="2127" w:type="dxa"/>
          </w:tcPr>
          <w:p w14:paraId="194B217E" w14:textId="5BBB7DEF"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3</w:t>
            </w:r>
          </w:p>
        </w:tc>
      </w:tr>
      <w:tr w:rsidR="00DE3EC0" w:rsidRPr="008A00EB" w14:paraId="0AFF0C40" w14:textId="77777777" w:rsidTr="008A12D3">
        <w:tc>
          <w:tcPr>
            <w:tcW w:w="5524" w:type="dxa"/>
          </w:tcPr>
          <w:p w14:paraId="1ABF13A1" w14:textId="69745397"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Protection from retrospective criminal laws</w:t>
            </w:r>
          </w:p>
        </w:tc>
        <w:tc>
          <w:tcPr>
            <w:tcW w:w="1842" w:type="dxa"/>
          </w:tcPr>
          <w:p w14:paraId="2F60BAAA" w14:textId="2EB7C656"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10</w:t>
            </w:r>
          </w:p>
        </w:tc>
        <w:tc>
          <w:tcPr>
            <w:tcW w:w="2127" w:type="dxa"/>
          </w:tcPr>
          <w:p w14:paraId="2CE5E7EC" w14:textId="48B8F7DA" w:rsidR="00DE3EC0" w:rsidRPr="0037049D" w:rsidRDefault="00DE3EC0" w:rsidP="008A12D3">
            <w:pPr>
              <w:pStyle w:val="TableText"/>
              <w:rPr>
                <w:rFonts w:asciiTheme="minorBidi" w:hAnsiTheme="minorBidi"/>
              </w:rPr>
            </w:pPr>
          </w:p>
        </w:tc>
      </w:tr>
      <w:tr w:rsidR="00DE3EC0" w:rsidRPr="008A00EB" w14:paraId="6E30D99E" w14:textId="77777777" w:rsidTr="008A12D3">
        <w:tc>
          <w:tcPr>
            <w:tcW w:w="5524" w:type="dxa"/>
          </w:tcPr>
          <w:p w14:paraId="7585999C" w14:textId="58B1302A"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Protection of children in the criminal process</w:t>
            </w:r>
          </w:p>
        </w:tc>
        <w:tc>
          <w:tcPr>
            <w:tcW w:w="1842" w:type="dxa"/>
          </w:tcPr>
          <w:p w14:paraId="2162F5E0" w14:textId="2091A73B"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12</w:t>
            </w:r>
          </w:p>
        </w:tc>
        <w:tc>
          <w:tcPr>
            <w:tcW w:w="2127" w:type="dxa"/>
          </w:tcPr>
          <w:p w14:paraId="6C7F641F" w14:textId="0EC95276"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w:t>
            </w:r>
          </w:p>
        </w:tc>
      </w:tr>
      <w:tr w:rsidR="00DE3EC0" w:rsidRPr="008A00EB" w14:paraId="50E85853" w14:textId="77777777" w:rsidTr="008A12D3">
        <w:tc>
          <w:tcPr>
            <w:tcW w:w="5524" w:type="dxa"/>
          </w:tcPr>
          <w:p w14:paraId="63197304" w14:textId="633F7E28"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Protection of families and children</w:t>
            </w:r>
          </w:p>
        </w:tc>
        <w:tc>
          <w:tcPr>
            <w:tcW w:w="1842" w:type="dxa"/>
          </w:tcPr>
          <w:p w14:paraId="625E3A97" w14:textId="15D7AE68"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80</w:t>
            </w:r>
          </w:p>
        </w:tc>
        <w:tc>
          <w:tcPr>
            <w:tcW w:w="2127" w:type="dxa"/>
          </w:tcPr>
          <w:p w14:paraId="53FAA066" w14:textId="0E4A9883"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29</w:t>
            </w:r>
          </w:p>
        </w:tc>
      </w:tr>
      <w:tr w:rsidR="00DE3EC0" w:rsidRPr="008A00EB" w14:paraId="4FB08A0F" w14:textId="77777777" w:rsidTr="008A12D3">
        <w:tc>
          <w:tcPr>
            <w:tcW w:w="5524" w:type="dxa"/>
          </w:tcPr>
          <w:p w14:paraId="7C9137DF" w14:textId="753596D8"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Recognition and equality before the law</w:t>
            </w:r>
          </w:p>
        </w:tc>
        <w:tc>
          <w:tcPr>
            <w:tcW w:w="1842" w:type="dxa"/>
          </w:tcPr>
          <w:p w14:paraId="6A197067" w14:textId="23E8DC39"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298</w:t>
            </w:r>
          </w:p>
        </w:tc>
        <w:tc>
          <w:tcPr>
            <w:tcW w:w="2127" w:type="dxa"/>
          </w:tcPr>
          <w:p w14:paraId="6CFA0C23" w14:textId="37554502"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103</w:t>
            </w:r>
          </w:p>
        </w:tc>
      </w:tr>
      <w:tr w:rsidR="00DE3EC0" w:rsidRPr="008A00EB" w14:paraId="4BF2ABEF" w14:textId="77777777" w:rsidTr="008A12D3">
        <w:tc>
          <w:tcPr>
            <w:tcW w:w="5524" w:type="dxa"/>
          </w:tcPr>
          <w:p w14:paraId="42AD384B" w14:textId="426073A2" w:rsidR="00DE3EC0" w:rsidRPr="0037049D" w:rsidRDefault="00DE3EC0" w:rsidP="008A12D3">
            <w:pPr>
              <w:pStyle w:val="TableText"/>
              <w:rPr>
                <w:rFonts w:asciiTheme="minorBidi" w:hAnsiTheme="minorBidi"/>
              </w:rPr>
            </w:pPr>
            <w:r w:rsidRPr="0037049D">
              <w:rPr>
                <w:rFonts w:asciiTheme="minorBidi" w:hAnsiTheme="minorBidi"/>
                <w:color w:val="000000"/>
                <w:sz w:val="22"/>
                <w:szCs w:val="22"/>
                <w:lang w:val="en-GB"/>
              </w:rPr>
              <w:t>Right to education</w:t>
            </w:r>
          </w:p>
        </w:tc>
        <w:tc>
          <w:tcPr>
            <w:tcW w:w="1842" w:type="dxa"/>
          </w:tcPr>
          <w:p w14:paraId="0A555CBB" w14:textId="0940EF1D"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39</w:t>
            </w:r>
          </w:p>
        </w:tc>
        <w:tc>
          <w:tcPr>
            <w:tcW w:w="2127" w:type="dxa"/>
          </w:tcPr>
          <w:p w14:paraId="07D3305A" w14:textId="1B21D62C"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17</w:t>
            </w:r>
          </w:p>
        </w:tc>
      </w:tr>
      <w:tr w:rsidR="00DE3EC0" w:rsidRPr="008A00EB" w14:paraId="0BFEDB8E" w14:textId="77777777" w:rsidTr="008A12D3">
        <w:tc>
          <w:tcPr>
            <w:tcW w:w="5524" w:type="dxa"/>
          </w:tcPr>
          <w:p w14:paraId="37BAD55A" w14:textId="42DA0E22"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Right to health services</w:t>
            </w:r>
          </w:p>
        </w:tc>
        <w:tc>
          <w:tcPr>
            <w:tcW w:w="1842" w:type="dxa"/>
          </w:tcPr>
          <w:p w14:paraId="1597BC42" w14:textId="425CF6CF"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67</w:t>
            </w:r>
          </w:p>
        </w:tc>
        <w:tc>
          <w:tcPr>
            <w:tcW w:w="2127" w:type="dxa"/>
          </w:tcPr>
          <w:p w14:paraId="791DEC4A" w14:textId="03752F7B"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13</w:t>
            </w:r>
          </w:p>
        </w:tc>
      </w:tr>
      <w:tr w:rsidR="00DE3EC0" w:rsidRPr="008A00EB" w14:paraId="5D0B8E6E" w14:textId="77777777" w:rsidTr="008A12D3">
        <w:tc>
          <w:tcPr>
            <w:tcW w:w="5524" w:type="dxa"/>
          </w:tcPr>
          <w:p w14:paraId="4B39960D" w14:textId="5F9EFD84"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Right to liberty and security of person</w:t>
            </w:r>
          </w:p>
        </w:tc>
        <w:tc>
          <w:tcPr>
            <w:tcW w:w="1842" w:type="dxa"/>
          </w:tcPr>
          <w:p w14:paraId="7B3E44CA" w14:textId="71708818"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56</w:t>
            </w:r>
          </w:p>
        </w:tc>
        <w:tc>
          <w:tcPr>
            <w:tcW w:w="2127" w:type="dxa"/>
          </w:tcPr>
          <w:p w14:paraId="1EE1F1F2" w14:textId="0521E414"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10</w:t>
            </w:r>
          </w:p>
        </w:tc>
      </w:tr>
      <w:tr w:rsidR="00DE3EC0" w:rsidRPr="008A00EB" w14:paraId="4FB05BC9" w14:textId="77777777" w:rsidTr="008A12D3">
        <w:tc>
          <w:tcPr>
            <w:tcW w:w="5524" w:type="dxa"/>
          </w:tcPr>
          <w:p w14:paraId="1F63F0AC" w14:textId="6C6A0201"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Right to life</w:t>
            </w:r>
          </w:p>
        </w:tc>
        <w:tc>
          <w:tcPr>
            <w:tcW w:w="1842" w:type="dxa"/>
          </w:tcPr>
          <w:p w14:paraId="5814C0BD" w14:textId="39DBD5EE"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45</w:t>
            </w:r>
          </w:p>
        </w:tc>
        <w:tc>
          <w:tcPr>
            <w:tcW w:w="2127" w:type="dxa"/>
          </w:tcPr>
          <w:p w14:paraId="2F32ECBA" w14:textId="41AACD2C"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6</w:t>
            </w:r>
          </w:p>
        </w:tc>
      </w:tr>
      <w:tr w:rsidR="00DE3EC0" w:rsidRPr="008A00EB" w14:paraId="0D61B03B" w14:textId="77777777" w:rsidTr="008A12D3">
        <w:tc>
          <w:tcPr>
            <w:tcW w:w="5524" w:type="dxa"/>
          </w:tcPr>
          <w:p w14:paraId="3BBDFB0C" w14:textId="712E3E89"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Rights in criminal proceedings</w:t>
            </w:r>
          </w:p>
        </w:tc>
        <w:tc>
          <w:tcPr>
            <w:tcW w:w="1842" w:type="dxa"/>
          </w:tcPr>
          <w:p w14:paraId="0254CAB6" w14:textId="1621FCD1"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23</w:t>
            </w:r>
          </w:p>
        </w:tc>
        <w:tc>
          <w:tcPr>
            <w:tcW w:w="2127" w:type="dxa"/>
          </w:tcPr>
          <w:p w14:paraId="09F1694F" w14:textId="30EC98E5"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w:t>
            </w:r>
          </w:p>
        </w:tc>
      </w:tr>
      <w:tr w:rsidR="00DE3EC0" w:rsidRPr="008A00EB" w14:paraId="1D62F5DF" w14:textId="77777777" w:rsidTr="008A12D3">
        <w:tc>
          <w:tcPr>
            <w:tcW w:w="5524" w:type="dxa"/>
          </w:tcPr>
          <w:p w14:paraId="77B27833" w14:textId="79461ECF"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Taking part in public life</w:t>
            </w:r>
          </w:p>
        </w:tc>
        <w:tc>
          <w:tcPr>
            <w:tcW w:w="1842" w:type="dxa"/>
          </w:tcPr>
          <w:p w14:paraId="14BA3700" w14:textId="1218DEF7"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35</w:t>
            </w:r>
          </w:p>
        </w:tc>
        <w:tc>
          <w:tcPr>
            <w:tcW w:w="2127" w:type="dxa"/>
          </w:tcPr>
          <w:p w14:paraId="46DCBD9C" w14:textId="5F2E75A2"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4</w:t>
            </w:r>
          </w:p>
        </w:tc>
      </w:tr>
      <w:tr w:rsidR="00DE3EC0" w:rsidRPr="008A00EB" w14:paraId="396D9ECB" w14:textId="77777777" w:rsidTr="008A12D3">
        <w:tc>
          <w:tcPr>
            <w:tcW w:w="5524" w:type="dxa"/>
          </w:tcPr>
          <w:p w14:paraId="787F2A93" w14:textId="4D41B4D8" w:rsidR="00DE3EC0" w:rsidRPr="0037049D" w:rsidRDefault="00533D64" w:rsidP="008A12D3">
            <w:pPr>
              <w:pStyle w:val="TableText"/>
              <w:rPr>
                <w:rFonts w:asciiTheme="minorBidi" w:hAnsiTheme="minorBidi"/>
              </w:rPr>
            </w:pPr>
            <w:r w:rsidRPr="0037049D">
              <w:rPr>
                <w:rFonts w:asciiTheme="minorBidi" w:hAnsiTheme="minorBidi"/>
                <w:color w:val="000000"/>
                <w:sz w:val="22"/>
                <w:szCs w:val="22"/>
                <w:lang w:val="en-GB"/>
              </w:rPr>
              <w:t>Torture &amp; cruel, inhuman, degrading</w:t>
            </w:r>
          </w:p>
        </w:tc>
        <w:tc>
          <w:tcPr>
            <w:tcW w:w="1842" w:type="dxa"/>
          </w:tcPr>
          <w:p w14:paraId="41913CF1" w14:textId="6CC397BC" w:rsidR="00DE3EC0" w:rsidRPr="0037049D" w:rsidRDefault="00467992" w:rsidP="008A12D3">
            <w:pPr>
              <w:pStyle w:val="TableText"/>
              <w:rPr>
                <w:rFonts w:asciiTheme="minorBidi" w:hAnsiTheme="minorBidi"/>
                <w:b/>
              </w:rPr>
            </w:pPr>
            <w:r w:rsidRPr="0037049D">
              <w:rPr>
                <w:rFonts w:asciiTheme="minorBidi" w:hAnsiTheme="minorBidi"/>
                <w:color w:val="000000"/>
                <w:sz w:val="22"/>
                <w:szCs w:val="22"/>
                <w:lang w:val="en-GB"/>
              </w:rPr>
              <w:t>77</w:t>
            </w:r>
          </w:p>
        </w:tc>
        <w:tc>
          <w:tcPr>
            <w:tcW w:w="2127" w:type="dxa"/>
          </w:tcPr>
          <w:p w14:paraId="7BDBC6FC" w14:textId="26A0FC43" w:rsidR="00DE3EC0" w:rsidRPr="0037049D" w:rsidRDefault="00467992" w:rsidP="008A12D3">
            <w:pPr>
              <w:pStyle w:val="TableText"/>
              <w:rPr>
                <w:rFonts w:asciiTheme="minorBidi" w:hAnsiTheme="minorBidi"/>
              </w:rPr>
            </w:pPr>
            <w:r w:rsidRPr="0037049D">
              <w:rPr>
                <w:rFonts w:asciiTheme="minorBidi" w:hAnsiTheme="minorBidi"/>
                <w:color w:val="000000"/>
                <w:sz w:val="22"/>
                <w:szCs w:val="22"/>
                <w:lang w:val="en-GB"/>
              </w:rPr>
              <w:t>14</w:t>
            </w:r>
          </w:p>
        </w:tc>
      </w:tr>
    </w:tbl>
    <w:p w14:paraId="53CCEE4D" w14:textId="137F80E5" w:rsidR="00DE3EC0" w:rsidRDefault="00DE3EC0" w:rsidP="00D436DA"/>
    <w:p w14:paraId="549EB7A4" w14:textId="307B5AD2" w:rsidR="00D22FE9" w:rsidRPr="008A00EB" w:rsidRDefault="00666E19" w:rsidP="00571790">
      <w:pPr>
        <w:pStyle w:val="Caption"/>
      </w:pPr>
      <w:r>
        <w:t>Table</w:t>
      </w:r>
      <w:r w:rsidR="00D14DE5">
        <w:t xml:space="preserve"> 24</w:t>
      </w:r>
      <w:r w:rsidR="00952436">
        <w:t>:</w:t>
      </w:r>
      <w:r w:rsidR="004774B7">
        <w:t xml:space="preserve"> Human rights identified in </w:t>
      </w:r>
      <w:r w:rsidR="00E404BF">
        <w:t xml:space="preserve">finalised </w:t>
      </w:r>
      <w:r w:rsidR="004774B7">
        <w:t>human rights only complaints</w:t>
      </w:r>
      <w:r w:rsidR="00A12890">
        <w:t xml:space="preserve">, </w:t>
      </w:r>
      <w:r w:rsidR="00584C8B">
        <w:t>2020-21</w:t>
      </w:r>
    </w:p>
    <w:tbl>
      <w:tblPr>
        <w:tblStyle w:val="TableGrid"/>
        <w:tblW w:w="9493" w:type="dxa"/>
        <w:tblBorders>
          <w:left w:val="none" w:sz="0" w:space="0" w:color="auto"/>
          <w:right w:val="none" w:sz="0" w:space="0" w:color="auto"/>
          <w:insideV w:val="none" w:sz="0" w:space="0" w:color="auto"/>
        </w:tblBorders>
        <w:tblLook w:val="04A0" w:firstRow="1" w:lastRow="0" w:firstColumn="1" w:lastColumn="0" w:noHBand="0" w:noVBand="1"/>
      </w:tblPr>
      <w:tblGrid>
        <w:gridCol w:w="5524"/>
        <w:gridCol w:w="1842"/>
        <w:gridCol w:w="2127"/>
      </w:tblGrid>
      <w:tr w:rsidR="00D22FE9" w:rsidRPr="00D14DE5" w14:paraId="4D2A4FF5" w14:textId="77777777" w:rsidTr="0052326A">
        <w:trPr>
          <w:tblHeader/>
        </w:trPr>
        <w:tc>
          <w:tcPr>
            <w:tcW w:w="5524" w:type="dxa"/>
          </w:tcPr>
          <w:p w14:paraId="67F7F514" w14:textId="07362A0E" w:rsidR="00D22FE9" w:rsidRPr="00D14DE5" w:rsidRDefault="00BE14BF" w:rsidP="0052326A">
            <w:pPr>
              <w:pStyle w:val="TableTextHeading"/>
              <w:rPr>
                <w:color w:val="373D42"/>
              </w:rPr>
            </w:pPr>
            <w:r w:rsidRPr="00D14DE5">
              <w:rPr>
                <w:color w:val="373D42"/>
              </w:rPr>
              <w:t>Relevant human right</w:t>
            </w:r>
          </w:p>
        </w:tc>
        <w:tc>
          <w:tcPr>
            <w:tcW w:w="1842" w:type="dxa"/>
          </w:tcPr>
          <w:p w14:paraId="2E81ECB0" w14:textId="0E8EB98D" w:rsidR="00D22FE9" w:rsidRPr="00D14DE5" w:rsidRDefault="00D22FE9" w:rsidP="0052326A">
            <w:pPr>
              <w:pStyle w:val="TableTextHeading"/>
              <w:rPr>
                <w:color w:val="373D42"/>
              </w:rPr>
            </w:pPr>
            <w:r w:rsidRPr="00D14DE5">
              <w:rPr>
                <w:color w:val="373D42"/>
              </w:rPr>
              <w:t xml:space="preserve">Allegations made in finalised complaints </w:t>
            </w:r>
            <w:r w:rsidR="00584C8B" w:rsidRPr="00D14DE5">
              <w:rPr>
                <w:color w:val="373D42"/>
              </w:rPr>
              <w:t>2020-21</w:t>
            </w:r>
          </w:p>
        </w:tc>
        <w:tc>
          <w:tcPr>
            <w:tcW w:w="2127" w:type="dxa"/>
          </w:tcPr>
          <w:p w14:paraId="4961EF68" w14:textId="4ECD525D" w:rsidR="00D22FE9" w:rsidRPr="00D14DE5" w:rsidRDefault="00D22FE9" w:rsidP="0052326A">
            <w:pPr>
              <w:pStyle w:val="TableTextHeading"/>
              <w:rPr>
                <w:color w:val="373D42"/>
              </w:rPr>
            </w:pPr>
            <w:r w:rsidRPr="00D14DE5">
              <w:rPr>
                <w:color w:val="373D42"/>
              </w:rPr>
              <w:t xml:space="preserve">Allegations made in accepted and finalised complaints </w:t>
            </w:r>
            <w:r w:rsidR="00584C8B" w:rsidRPr="00D14DE5">
              <w:rPr>
                <w:color w:val="373D42"/>
              </w:rPr>
              <w:t>2020-21</w:t>
            </w:r>
          </w:p>
        </w:tc>
      </w:tr>
      <w:tr w:rsidR="00D22FE9" w:rsidRPr="008A00EB" w14:paraId="47DB4B0F" w14:textId="77777777" w:rsidTr="0052326A">
        <w:tc>
          <w:tcPr>
            <w:tcW w:w="5524" w:type="dxa"/>
          </w:tcPr>
          <w:p w14:paraId="6B4A4869" w14:textId="1C8B0498"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Cultural rights—First Nations peoples</w:t>
            </w:r>
          </w:p>
        </w:tc>
        <w:tc>
          <w:tcPr>
            <w:tcW w:w="1842" w:type="dxa"/>
          </w:tcPr>
          <w:p w14:paraId="1BC8DF41" w14:textId="5A711582"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10</w:t>
            </w:r>
          </w:p>
        </w:tc>
        <w:tc>
          <w:tcPr>
            <w:tcW w:w="2127" w:type="dxa"/>
          </w:tcPr>
          <w:p w14:paraId="042984E0" w14:textId="3F5307D3"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2</w:t>
            </w:r>
          </w:p>
        </w:tc>
      </w:tr>
      <w:tr w:rsidR="00D22FE9" w:rsidRPr="008A00EB" w14:paraId="4119DD6A" w14:textId="77777777" w:rsidTr="0052326A">
        <w:tc>
          <w:tcPr>
            <w:tcW w:w="5524" w:type="dxa"/>
          </w:tcPr>
          <w:p w14:paraId="42DB5571" w14:textId="5081554F"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Cultural rights—generally</w:t>
            </w:r>
          </w:p>
        </w:tc>
        <w:tc>
          <w:tcPr>
            <w:tcW w:w="1842" w:type="dxa"/>
          </w:tcPr>
          <w:p w14:paraId="7369A577" w14:textId="0CB29224"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12</w:t>
            </w:r>
          </w:p>
        </w:tc>
        <w:tc>
          <w:tcPr>
            <w:tcW w:w="2127" w:type="dxa"/>
          </w:tcPr>
          <w:p w14:paraId="36FDC922" w14:textId="399D2BC5"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w:t>
            </w:r>
          </w:p>
        </w:tc>
      </w:tr>
      <w:tr w:rsidR="00D22FE9" w:rsidRPr="008A00EB" w14:paraId="677A6DC4" w14:textId="77777777" w:rsidTr="0052326A">
        <w:tc>
          <w:tcPr>
            <w:tcW w:w="5524" w:type="dxa"/>
          </w:tcPr>
          <w:p w14:paraId="185010F7" w14:textId="1E7E64EC"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Fair hearing</w:t>
            </w:r>
          </w:p>
        </w:tc>
        <w:tc>
          <w:tcPr>
            <w:tcW w:w="1842" w:type="dxa"/>
          </w:tcPr>
          <w:p w14:paraId="52A784F5" w14:textId="71F26150"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34</w:t>
            </w:r>
          </w:p>
        </w:tc>
        <w:tc>
          <w:tcPr>
            <w:tcW w:w="2127" w:type="dxa"/>
          </w:tcPr>
          <w:p w14:paraId="7FA491CD" w14:textId="297740E1" w:rsidR="00D22FE9" w:rsidRPr="00AC0902" w:rsidRDefault="00D22FE9" w:rsidP="0052326A">
            <w:pPr>
              <w:pStyle w:val="TableText"/>
              <w:rPr>
                <w:rFonts w:asciiTheme="minorBidi" w:hAnsiTheme="minorBidi"/>
              </w:rPr>
            </w:pPr>
          </w:p>
        </w:tc>
      </w:tr>
      <w:tr w:rsidR="00D22FE9" w:rsidRPr="008A00EB" w14:paraId="6D7117FD" w14:textId="77777777" w:rsidTr="0052326A">
        <w:tc>
          <w:tcPr>
            <w:tcW w:w="5524" w:type="dxa"/>
          </w:tcPr>
          <w:p w14:paraId="5ED1E1A0" w14:textId="6CDB601B"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Freedom from forced work</w:t>
            </w:r>
          </w:p>
        </w:tc>
        <w:tc>
          <w:tcPr>
            <w:tcW w:w="1842" w:type="dxa"/>
          </w:tcPr>
          <w:p w14:paraId="34C9A6C5" w14:textId="3702DAEE"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4</w:t>
            </w:r>
          </w:p>
        </w:tc>
        <w:tc>
          <w:tcPr>
            <w:tcW w:w="2127" w:type="dxa"/>
          </w:tcPr>
          <w:p w14:paraId="370F9FC5" w14:textId="3A3ED16D" w:rsidR="00D22FE9" w:rsidRPr="00AC0902" w:rsidRDefault="00D22FE9" w:rsidP="0052326A">
            <w:pPr>
              <w:pStyle w:val="TableText"/>
              <w:rPr>
                <w:rFonts w:asciiTheme="minorBidi" w:hAnsiTheme="minorBidi"/>
              </w:rPr>
            </w:pPr>
          </w:p>
        </w:tc>
      </w:tr>
      <w:tr w:rsidR="00D22FE9" w:rsidRPr="008A00EB" w14:paraId="147AB735" w14:textId="77777777" w:rsidTr="0052326A">
        <w:tc>
          <w:tcPr>
            <w:tcW w:w="5524" w:type="dxa"/>
          </w:tcPr>
          <w:p w14:paraId="26B2336E" w14:textId="1DE7A308"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Freedom of expression</w:t>
            </w:r>
          </w:p>
        </w:tc>
        <w:tc>
          <w:tcPr>
            <w:tcW w:w="1842" w:type="dxa"/>
          </w:tcPr>
          <w:p w14:paraId="1D6BD9CE" w14:textId="5A662B51"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25</w:t>
            </w:r>
          </w:p>
        </w:tc>
        <w:tc>
          <w:tcPr>
            <w:tcW w:w="2127" w:type="dxa"/>
          </w:tcPr>
          <w:p w14:paraId="4D8F7B51" w14:textId="1C98B239"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3</w:t>
            </w:r>
          </w:p>
        </w:tc>
      </w:tr>
      <w:tr w:rsidR="00D22FE9" w:rsidRPr="008A00EB" w14:paraId="06052217" w14:textId="77777777" w:rsidTr="0052326A">
        <w:tc>
          <w:tcPr>
            <w:tcW w:w="5524" w:type="dxa"/>
          </w:tcPr>
          <w:p w14:paraId="42D32B7E" w14:textId="1658A43B" w:rsidR="00D22FE9" w:rsidRPr="00AC0902" w:rsidRDefault="00D22FE9" w:rsidP="0052326A">
            <w:pPr>
              <w:pStyle w:val="TableText"/>
              <w:rPr>
                <w:rFonts w:asciiTheme="minorBidi" w:hAnsiTheme="minorBidi"/>
              </w:rPr>
            </w:pPr>
            <w:r w:rsidRPr="00AC0902">
              <w:rPr>
                <w:rFonts w:asciiTheme="minorBidi" w:hAnsiTheme="minorBidi"/>
                <w:color w:val="000000"/>
                <w:sz w:val="22"/>
                <w:szCs w:val="22"/>
                <w:lang w:val="en-GB"/>
              </w:rPr>
              <w:t>Freedom of movement</w:t>
            </w:r>
          </w:p>
        </w:tc>
        <w:tc>
          <w:tcPr>
            <w:tcW w:w="1842" w:type="dxa"/>
          </w:tcPr>
          <w:p w14:paraId="3A38664D" w14:textId="61A13456"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65</w:t>
            </w:r>
          </w:p>
        </w:tc>
        <w:tc>
          <w:tcPr>
            <w:tcW w:w="2127" w:type="dxa"/>
          </w:tcPr>
          <w:p w14:paraId="20B97689" w14:textId="0061BD55"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26</w:t>
            </w:r>
          </w:p>
        </w:tc>
      </w:tr>
      <w:tr w:rsidR="00D22FE9" w:rsidRPr="008A00EB" w14:paraId="552989AC" w14:textId="77777777" w:rsidTr="0052326A">
        <w:tc>
          <w:tcPr>
            <w:tcW w:w="5524" w:type="dxa"/>
          </w:tcPr>
          <w:p w14:paraId="0DF9884D" w14:textId="33C57825"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Freedom of thought, conscience, religion</w:t>
            </w:r>
          </w:p>
        </w:tc>
        <w:tc>
          <w:tcPr>
            <w:tcW w:w="1842" w:type="dxa"/>
          </w:tcPr>
          <w:p w14:paraId="38EEB170" w14:textId="399EF3D7"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17</w:t>
            </w:r>
          </w:p>
        </w:tc>
        <w:tc>
          <w:tcPr>
            <w:tcW w:w="2127" w:type="dxa"/>
          </w:tcPr>
          <w:p w14:paraId="3819E9C2" w14:textId="082ADA8B" w:rsidR="00D22FE9" w:rsidRPr="00AC0902" w:rsidRDefault="00D22FE9" w:rsidP="0052326A">
            <w:pPr>
              <w:pStyle w:val="TableText"/>
              <w:rPr>
                <w:rFonts w:asciiTheme="minorBidi" w:hAnsiTheme="minorBidi"/>
              </w:rPr>
            </w:pPr>
          </w:p>
        </w:tc>
      </w:tr>
      <w:tr w:rsidR="00D22FE9" w:rsidRPr="008A00EB" w14:paraId="2745B957" w14:textId="77777777" w:rsidTr="0052326A">
        <w:tc>
          <w:tcPr>
            <w:tcW w:w="5524" w:type="dxa"/>
          </w:tcPr>
          <w:p w14:paraId="35936F4A" w14:textId="0EB7742F"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Humane treatment when deprived of liberty</w:t>
            </w:r>
          </w:p>
        </w:tc>
        <w:tc>
          <w:tcPr>
            <w:tcW w:w="1842" w:type="dxa"/>
          </w:tcPr>
          <w:p w14:paraId="7421419F" w14:textId="2EF0F476"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84</w:t>
            </w:r>
          </w:p>
        </w:tc>
        <w:tc>
          <w:tcPr>
            <w:tcW w:w="2127" w:type="dxa"/>
          </w:tcPr>
          <w:p w14:paraId="3ADF6580" w14:textId="6CDF0DFC"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30</w:t>
            </w:r>
          </w:p>
        </w:tc>
      </w:tr>
      <w:tr w:rsidR="00D22FE9" w:rsidRPr="008A00EB" w14:paraId="3C329FBA" w14:textId="77777777" w:rsidTr="0052326A">
        <w:tc>
          <w:tcPr>
            <w:tcW w:w="5524" w:type="dxa"/>
          </w:tcPr>
          <w:p w14:paraId="38E41047" w14:textId="5C55B0D0"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Not tried or punished more than once</w:t>
            </w:r>
          </w:p>
        </w:tc>
        <w:tc>
          <w:tcPr>
            <w:tcW w:w="1842" w:type="dxa"/>
          </w:tcPr>
          <w:p w14:paraId="20514D2F" w14:textId="5E6D1000"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3</w:t>
            </w:r>
          </w:p>
        </w:tc>
        <w:tc>
          <w:tcPr>
            <w:tcW w:w="2127" w:type="dxa"/>
          </w:tcPr>
          <w:p w14:paraId="6A0AD24C" w14:textId="350BE127" w:rsidR="00D22FE9" w:rsidRPr="00AC0902" w:rsidRDefault="00D22FE9" w:rsidP="0052326A">
            <w:pPr>
              <w:pStyle w:val="TableText"/>
              <w:rPr>
                <w:rFonts w:asciiTheme="minorBidi" w:hAnsiTheme="minorBidi"/>
              </w:rPr>
            </w:pPr>
          </w:p>
        </w:tc>
      </w:tr>
      <w:tr w:rsidR="00D22FE9" w:rsidRPr="008A00EB" w14:paraId="6D879C02" w14:textId="77777777" w:rsidTr="0052326A">
        <w:tc>
          <w:tcPr>
            <w:tcW w:w="5524" w:type="dxa"/>
          </w:tcPr>
          <w:p w14:paraId="7D266E8B" w14:textId="710C1CED"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lastRenderedPageBreak/>
              <w:t>Peaceful assembly</w:t>
            </w:r>
          </w:p>
        </w:tc>
        <w:tc>
          <w:tcPr>
            <w:tcW w:w="1842" w:type="dxa"/>
          </w:tcPr>
          <w:p w14:paraId="466BD1BE" w14:textId="78BEB697"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6</w:t>
            </w:r>
          </w:p>
        </w:tc>
        <w:tc>
          <w:tcPr>
            <w:tcW w:w="2127" w:type="dxa"/>
          </w:tcPr>
          <w:p w14:paraId="315A3A9E" w14:textId="7D6A62CC" w:rsidR="00D22FE9" w:rsidRPr="00AC0902" w:rsidRDefault="00D22FE9" w:rsidP="0052326A">
            <w:pPr>
              <w:pStyle w:val="TableText"/>
              <w:rPr>
                <w:rFonts w:asciiTheme="minorBidi" w:hAnsiTheme="minorBidi"/>
              </w:rPr>
            </w:pPr>
          </w:p>
        </w:tc>
      </w:tr>
      <w:tr w:rsidR="00D22FE9" w:rsidRPr="008A00EB" w14:paraId="7C557F0A" w14:textId="77777777" w:rsidTr="0052326A">
        <w:tc>
          <w:tcPr>
            <w:tcW w:w="5524" w:type="dxa"/>
          </w:tcPr>
          <w:p w14:paraId="0678E60D" w14:textId="25467118"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Privacy and reputation</w:t>
            </w:r>
          </w:p>
        </w:tc>
        <w:tc>
          <w:tcPr>
            <w:tcW w:w="1842" w:type="dxa"/>
          </w:tcPr>
          <w:p w14:paraId="671E34CC" w14:textId="1A6D6FE6"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49</w:t>
            </w:r>
          </w:p>
        </w:tc>
        <w:tc>
          <w:tcPr>
            <w:tcW w:w="2127" w:type="dxa"/>
          </w:tcPr>
          <w:p w14:paraId="0CDC592B" w14:textId="736A9DA6"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12</w:t>
            </w:r>
          </w:p>
        </w:tc>
      </w:tr>
      <w:tr w:rsidR="00D22FE9" w:rsidRPr="008A00EB" w14:paraId="63577255" w14:textId="77777777" w:rsidTr="0052326A">
        <w:tc>
          <w:tcPr>
            <w:tcW w:w="5524" w:type="dxa"/>
          </w:tcPr>
          <w:p w14:paraId="76F79A37" w14:textId="0B87F705"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Property rights</w:t>
            </w:r>
          </w:p>
        </w:tc>
        <w:tc>
          <w:tcPr>
            <w:tcW w:w="1842" w:type="dxa"/>
          </w:tcPr>
          <w:p w14:paraId="13E42C4A" w14:textId="7A1C2752"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20</w:t>
            </w:r>
          </w:p>
        </w:tc>
        <w:tc>
          <w:tcPr>
            <w:tcW w:w="2127" w:type="dxa"/>
          </w:tcPr>
          <w:p w14:paraId="3383D38C" w14:textId="251D70F2"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2</w:t>
            </w:r>
          </w:p>
        </w:tc>
      </w:tr>
      <w:tr w:rsidR="00D22FE9" w:rsidRPr="008A00EB" w14:paraId="48DC27B6" w14:textId="77777777" w:rsidTr="0052326A">
        <w:tc>
          <w:tcPr>
            <w:tcW w:w="5524" w:type="dxa"/>
          </w:tcPr>
          <w:p w14:paraId="2CCA03DE" w14:textId="35FF7814"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Protection from retrospective criminal laws</w:t>
            </w:r>
          </w:p>
        </w:tc>
        <w:tc>
          <w:tcPr>
            <w:tcW w:w="1842" w:type="dxa"/>
          </w:tcPr>
          <w:p w14:paraId="5D031F15" w14:textId="24AE7381"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5</w:t>
            </w:r>
          </w:p>
        </w:tc>
        <w:tc>
          <w:tcPr>
            <w:tcW w:w="2127" w:type="dxa"/>
          </w:tcPr>
          <w:p w14:paraId="5BCC54C0" w14:textId="4E410584" w:rsidR="00D22FE9" w:rsidRPr="00AC0902" w:rsidRDefault="00D22FE9" w:rsidP="0052326A">
            <w:pPr>
              <w:pStyle w:val="TableText"/>
              <w:rPr>
                <w:rFonts w:asciiTheme="minorBidi" w:hAnsiTheme="minorBidi"/>
              </w:rPr>
            </w:pPr>
          </w:p>
        </w:tc>
      </w:tr>
      <w:tr w:rsidR="00D22FE9" w:rsidRPr="008A00EB" w14:paraId="014D6346" w14:textId="77777777" w:rsidTr="0052326A">
        <w:tc>
          <w:tcPr>
            <w:tcW w:w="5524" w:type="dxa"/>
          </w:tcPr>
          <w:p w14:paraId="40EC426A" w14:textId="1F3E8694"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Protection of children in the criminal process</w:t>
            </w:r>
          </w:p>
        </w:tc>
        <w:tc>
          <w:tcPr>
            <w:tcW w:w="1842" w:type="dxa"/>
          </w:tcPr>
          <w:p w14:paraId="42BCB96B" w14:textId="3CBD8F9E"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7</w:t>
            </w:r>
          </w:p>
        </w:tc>
        <w:tc>
          <w:tcPr>
            <w:tcW w:w="2127" w:type="dxa"/>
          </w:tcPr>
          <w:p w14:paraId="5D2220B3" w14:textId="7B789E1A" w:rsidR="00D22FE9" w:rsidRPr="00AC0902" w:rsidRDefault="00D22FE9" w:rsidP="0052326A">
            <w:pPr>
              <w:pStyle w:val="TableText"/>
              <w:rPr>
                <w:rFonts w:asciiTheme="minorBidi" w:hAnsiTheme="minorBidi"/>
              </w:rPr>
            </w:pPr>
          </w:p>
        </w:tc>
      </w:tr>
      <w:tr w:rsidR="00D22FE9" w:rsidRPr="008A00EB" w14:paraId="64B22974" w14:textId="77777777" w:rsidTr="0052326A">
        <w:tc>
          <w:tcPr>
            <w:tcW w:w="5524" w:type="dxa"/>
          </w:tcPr>
          <w:p w14:paraId="10E62BA8" w14:textId="360CDC02"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Protection of families and children</w:t>
            </w:r>
          </w:p>
        </w:tc>
        <w:tc>
          <w:tcPr>
            <w:tcW w:w="1842" w:type="dxa"/>
          </w:tcPr>
          <w:p w14:paraId="69257A7C" w14:textId="266108D4"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44</w:t>
            </w:r>
          </w:p>
        </w:tc>
        <w:tc>
          <w:tcPr>
            <w:tcW w:w="2127" w:type="dxa"/>
          </w:tcPr>
          <w:p w14:paraId="5DD8E410" w14:textId="739C6728"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12</w:t>
            </w:r>
          </w:p>
        </w:tc>
      </w:tr>
      <w:tr w:rsidR="00D22FE9" w:rsidRPr="008A00EB" w14:paraId="74D35B6A" w14:textId="77777777" w:rsidTr="0052326A">
        <w:tc>
          <w:tcPr>
            <w:tcW w:w="5524" w:type="dxa"/>
          </w:tcPr>
          <w:p w14:paraId="21ED39B5" w14:textId="59562625"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Recognition and equality before the law</w:t>
            </w:r>
          </w:p>
        </w:tc>
        <w:tc>
          <w:tcPr>
            <w:tcW w:w="1842" w:type="dxa"/>
          </w:tcPr>
          <w:p w14:paraId="24CBA42E" w14:textId="59024FFA"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77</w:t>
            </w:r>
          </w:p>
        </w:tc>
        <w:tc>
          <w:tcPr>
            <w:tcW w:w="2127" w:type="dxa"/>
          </w:tcPr>
          <w:p w14:paraId="336640DE" w14:textId="48C3114C"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18</w:t>
            </w:r>
          </w:p>
        </w:tc>
      </w:tr>
      <w:tr w:rsidR="00D22FE9" w:rsidRPr="008A00EB" w14:paraId="308F8962" w14:textId="77777777" w:rsidTr="0052326A">
        <w:tc>
          <w:tcPr>
            <w:tcW w:w="5524" w:type="dxa"/>
          </w:tcPr>
          <w:p w14:paraId="6B66D862" w14:textId="5ECC79AA" w:rsidR="00D22FE9" w:rsidRPr="00AC0902" w:rsidRDefault="00D22FE9" w:rsidP="0052326A">
            <w:pPr>
              <w:pStyle w:val="TableText"/>
              <w:rPr>
                <w:rFonts w:asciiTheme="minorBidi" w:hAnsiTheme="minorBidi"/>
              </w:rPr>
            </w:pPr>
            <w:r w:rsidRPr="00AC0902">
              <w:rPr>
                <w:rFonts w:asciiTheme="minorBidi" w:hAnsiTheme="minorBidi"/>
                <w:color w:val="000000"/>
                <w:sz w:val="22"/>
                <w:szCs w:val="22"/>
                <w:lang w:val="en-GB"/>
              </w:rPr>
              <w:t>Right to education</w:t>
            </w:r>
          </w:p>
        </w:tc>
        <w:tc>
          <w:tcPr>
            <w:tcW w:w="1842" w:type="dxa"/>
          </w:tcPr>
          <w:p w14:paraId="63881093" w14:textId="65645AE1"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17</w:t>
            </w:r>
          </w:p>
        </w:tc>
        <w:tc>
          <w:tcPr>
            <w:tcW w:w="2127" w:type="dxa"/>
          </w:tcPr>
          <w:p w14:paraId="75F0C3AC" w14:textId="55FF47B3"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5</w:t>
            </w:r>
          </w:p>
        </w:tc>
      </w:tr>
      <w:tr w:rsidR="00D22FE9" w:rsidRPr="008A00EB" w14:paraId="17C1DE64" w14:textId="77777777" w:rsidTr="0052326A">
        <w:tc>
          <w:tcPr>
            <w:tcW w:w="5524" w:type="dxa"/>
          </w:tcPr>
          <w:p w14:paraId="0D963DA9" w14:textId="50B1A010"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Right to health services</w:t>
            </w:r>
          </w:p>
        </w:tc>
        <w:tc>
          <w:tcPr>
            <w:tcW w:w="1842" w:type="dxa"/>
          </w:tcPr>
          <w:p w14:paraId="57C833B1" w14:textId="495668A5"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27</w:t>
            </w:r>
          </w:p>
        </w:tc>
        <w:tc>
          <w:tcPr>
            <w:tcW w:w="2127" w:type="dxa"/>
          </w:tcPr>
          <w:p w14:paraId="3673E917" w14:textId="12F94BD3"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9</w:t>
            </w:r>
          </w:p>
        </w:tc>
      </w:tr>
      <w:tr w:rsidR="00D22FE9" w:rsidRPr="008A00EB" w14:paraId="7D422CF9" w14:textId="77777777" w:rsidTr="0052326A">
        <w:tc>
          <w:tcPr>
            <w:tcW w:w="5524" w:type="dxa"/>
          </w:tcPr>
          <w:p w14:paraId="037D5D4D" w14:textId="76022A31"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Right to liberty and security of person</w:t>
            </w:r>
          </w:p>
        </w:tc>
        <w:tc>
          <w:tcPr>
            <w:tcW w:w="1842" w:type="dxa"/>
          </w:tcPr>
          <w:p w14:paraId="7B710492" w14:textId="4C198B51"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29</w:t>
            </w:r>
          </w:p>
        </w:tc>
        <w:tc>
          <w:tcPr>
            <w:tcW w:w="2127" w:type="dxa"/>
          </w:tcPr>
          <w:p w14:paraId="39C95EAF" w14:textId="0B028F00"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7</w:t>
            </w:r>
          </w:p>
        </w:tc>
      </w:tr>
      <w:tr w:rsidR="00D22FE9" w:rsidRPr="008A00EB" w14:paraId="0E760CEF" w14:textId="77777777" w:rsidTr="0052326A">
        <w:tc>
          <w:tcPr>
            <w:tcW w:w="5524" w:type="dxa"/>
          </w:tcPr>
          <w:p w14:paraId="6EC43EA5" w14:textId="0C05BAEF"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Right to life</w:t>
            </w:r>
          </w:p>
        </w:tc>
        <w:tc>
          <w:tcPr>
            <w:tcW w:w="1842" w:type="dxa"/>
          </w:tcPr>
          <w:p w14:paraId="79A4393F" w14:textId="52E11BB2"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21</w:t>
            </w:r>
          </w:p>
        </w:tc>
        <w:tc>
          <w:tcPr>
            <w:tcW w:w="2127" w:type="dxa"/>
          </w:tcPr>
          <w:p w14:paraId="2C352916" w14:textId="20F05056"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3</w:t>
            </w:r>
          </w:p>
        </w:tc>
      </w:tr>
      <w:tr w:rsidR="00D22FE9" w:rsidRPr="008A00EB" w14:paraId="63C667EC" w14:textId="77777777" w:rsidTr="0052326A">
        <w:tc>
          <w:tcPr>
            <w:tcW w:w="5524" w:type="dxa"/>
          </w:tcPr>
          <w:p w14:paraId="61DADB6E" w14:textId="38EC61B4"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Rights in criminal proceedings</w:t>
            </w:r>
          </w:p>
        </w:tc>
        <w:tc>
          <w:tcPr>
            <w:tcW w:w="1842" w:type="dxa"/>
          </w:tcPr>
          <w:p w14:paraId="2420E40D" w14:textId="5F6D1121"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14</w:t>
            </w:r>
          </w:p>
        </w:tc>
        <w:tc>
          <w:tcPr>
            <w:tcW w:w="2127" w:type="dxa"/>
          </w:tcPr>
          <w:p w14:paraId="1CD99F71" w14:textId="7636F78D"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w:t>
            </w:r>
          </w:p>
        </w:tc>
      </w:tr>
      <w:tr w:rsidR="00D22FE9" w:rsidRPr="008A00EB" w14:paraId="58A16EB8" w14:textId="77777777" w:rsidTr="0052326A">
        <w:tc>
          <w:tcPr>
            <w:tcW w:w="5524" w:type="dxa"/>
          </w:tcPr>
          <w:p w14:paraId="4D8DB993" w14:textId="34316743"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Taking part in public life</w:t>
            </w:r>
          </w:p>
        </w:tc>
        <w:tc>
          <w:tcPr>
            <w:tcW w:w="1842" w:type="dxa"/>
          </w:tcPr>
          <w:p w14:paraId="51152B5F" w14:textId="6653442A"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14</w:t>
            </w:r>
          </w:p>
        </w:tc>
        <w:tc>
          <w:tcPr>
            <w:tcW w:w="2127" w:type="dxa"/>
          </w:tcPr>
          <w:p w14:paraId="342DB5BA" w14:textId="2AF3BDC6" w:rsidR="00D22FE9" w:rsidRPr="00AC0902" w:rsidRDefault="00D22FE9" w:rsidP="0052326A">
            <w:pPr>
              <w:pStyle w:val="TableText"/>
              <w:rPr>
                <w:rFonts w:asciiTheme="minorBidi" w:hAnsiTheme="minorBidi"/>
              </w:rPr>
            </w:pPr>
          </w:p>
        </w:tc>
      </w:tr>
      <w:tr w:rsidR="00D22FE9" w:rsidRPr="008A00EB" w14:paraId="44063FDB" w14:textId="77777777" w:rsidTr="0052326A">
        <w:tc>
          <w:tcPr>
            <w:tcW w:w="5524" w:type="dxa"/>
          </w:tcPr>
          <w:p w14:paraId="442173FE" w14:textId="5595E010"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Torture &amp; cruel, inhuman, degrading</w:t>
            </w:r>
          </w:p>
        </w:tc>
        <w:tc>
          <w:tcPr>
            <w:tcW w:w="1842" w:type="dxa"/>
          </w:tcPr>
          <w:p w14:paraId="526BA75F" w14:textId="71C1A9B0"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37</w:t>
            </w:r>
          </w:p>
        </w:tc>
        <w:tc>
          <w:tcPr>
            <w:tcW w:w="2127" w:type="dxa"/>
          </w:tcPr>
          <w:p w14:paraId="0700C806" w14:textId="2D97CA03" w:rsidR="00D22FE9" w:rsidRPr="00AC0902" w:rsidRDefault="00AC0902" w:rsidP="0052326A">
            <w:pPr>
              <w:pStyle w:val="TableText"/>
              <w:rPr>
                <w:rFonts w:asciiTheme="minorBidi" w:hAnsiTheme="minorBidi"/>
              </w:rPr>
            </w:pPr>
            <w:r w:rsidRPr="00AC0902">
              <w:rPr>
                <w:rFonts w:asciiTheme="minorBidi" w:hAnsiTheme="minorBidi"/>
                <w:color w:val="000000"/>
                <w:sz w:val="22"/>
                <w:szCs w:val="22"/>
                <w:lang w:val="en-GB"/>
              </w:rPr>
              <w:t>7</w:t>
            </w:r>
          </w:p>
        </w:tc>
      </w:tr>
    </w:tbl>
    <w:p w14:paraId="1D80996D" w14:textId="33DD19BC" w:rsidR="00D22FE9" w:rsidRDefault="00D22FE9" w:rsidP="00D436DA"/>
    <w:p w14:paraId="44311D29" w14:textId="6E8201A3" w:rsidR="00571790" w:rsidRDefault="00571790" w:rsidP="00571790">
      <w:pPr>
        <w:pStyle w:val="Caption"/>
      </w:pPr>
      <w:r>
        <w:t>Table</w:t>
      </w:r>
      <w:r w:rsidR="00D14DE5">
        <w:t xml:space="preserve"> 25</w:t>
      </w:r>
      <w:r>
        <w:t xml:space="preserve">: Human rights identified in resolved human rights complaints, </w:t>
      </w:r>
      <w:r w:rsidR="00584C8B">
        <w:t>2020-21</w:t>
      </w:r>
    </w:p>
    <w:tbl>
      <w:tblPr>
        <w:tblStyle w:val="TableGrid"/>
        <w:tblW w:w="7938" w:type="dxa"/>
        <w:tblBorders>
          <w:left w:val="none" w:sz="0" w:space="0" w:color="auto"/>
          <w:right w:val="none" w:sz="0" w:space="0" w:color="auto"/>
          <w:insideV w:val="none" w:sz="0" w:space="0" w:color="auto"/>
        </w:tblBorders>
        <w:tblCellMar>
          <w:left w:w="98" w:type="dxa"/>
          <w:right w:w="98" w:type="dxa"/>
        </w:tblCellMar>
        <w:tblLook w:val="04A0" w:firstRow="1" w:lastRow="0" w:firstColumn="1" w:lastColumn="0" w:noHBand="0" w:noVBand="1"/>
      </w:tblPr>
      <w:tblGrid>
        <w:gridCol w:w="5524"/>
        <w:gridCol w:w="2414"/>
      </w:tblGrid>
      <w:tr w:rsidR="00571790" w:rsidRPr="00D14DE5" w14:paraId="0E439E2E" w14:textId="77777777" w:rsidTr="0052326A">
        <w:trPr>
          <w:tblHeader/>
        </w:trPr>
        <w:tc>
          <w:tcPr>
            <w:tcW w:w="5524" w:type="dxa"/>
          </w:tcPr>
          <w:p w14:paraId="720AA014" w14:textId="77777777" w:rsidR="00571790" w:rsidRPr="00D14DE5" w:rsidRDefault="00571790" w:rsidP="0052326A">
            <w:pPr>
              <w:pStyle w:val="TableTextHeading"/>
              <w:rPr>
                <w:color w:val="373D42"/>
              </w:rPr>
            </w:pPr>
            <w:r w:rsidRPr="00D14DE5">
              <w:rPr>
                <w:color w:val="373D42"/>
              </w:rPr>
              <w:t>Relevant human right</w:t>
            </w:r>
          </w:p>
        </w:tc>
        <w:tc>
          <w:tcPr>
            <w:tcW w:w="2414" w:type="dxa"/>
          </w:tcPr>
          <w:p w14:paraId="1CAC04DF" w14:textId="6507E0FC" w:rsidR="00571790" w:rsidRPr="00D14DE5" w:rsidRDefault="00571790" w:rsidP="0052326A">
            <w:pPr>
              <w:pStyle w:val="TableTextHeading"/>
              <w:rPr>
                <w:color w:val="373D42"/>
              </w:rPr>
            </w:pPr>
            <w:r w:rsidRPr="00D14DE5">
              <w:rPr>
                <w:color w:val="373D42"/>
              </w:rPr>
              <w:t xml:space="preserve">Allegations made in resolved complaints </w:t>
            </w:r>
            <w:r w:rsidR="00584C8B" w:rsidRPr="00D14DE5">
              <w:rPr>
                <w:color w:val="373D42"/>
              </w:rPr>
              <w:t>2020-21</w:t>
            </w:r>
          </w:p>
        </w:tc>
      </w:tr>
      <w:tr w:rsidR="00571790" w:rsidRPr="00B6140C" w14:paraId="2F07FE8D" w14:textId="77777777" w:rsidTr="0052326A">
        <w:tc>
          <w:tcPr>
            <w:tcW w:w="5524" w:type="dxa"/>
          </w:tcPr>
          <w:p w14:paraId="45926F50" w14:textId="51927C52"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Cultural rights—Aboriginal peoples and Torres Strait</w:t>
            </w:r>
          </w:p>
        </w:tc>
        <w:tc>
          <w:tcPr>
            <w:tcW w:w="2414" w:type="dxa"/>
          </w:tcPr>
          <w:p w14:paraId="1DC52422" w14:textId="7BB83B04"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2</w:t>
            </w:r>
          </w:p>
        </w:tc>
      </w:tr>
      <w:tr w:rsidR="00571790" w:rsidRPr="00B6140C" w14:paraId="1C26ADE1" w14:textId="77777777" w:rsidTr="0052326A">
        <w:tc>
          <w:tcPr>
            <w:tcW w:w="5524" w:type="dxa"/>
          </w:tcPr>
          <w:p w14:paraId="60BD24AA" w14:textId="1C89AED1"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Cultural rights—generally</w:t>
            </w:r>
          </w:p>
        </w:tc>
        <w:tc>
          <w:tcPr>
            <w:tcW w:w="2414" w:type="dxa"/>
          </w:tcPr>
          <w:p w14:paraId="5334657F" w14:textId="6904504E"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2</w:t>
            </w:r>
          </w:p>
        </w:tc>
      </w:tr>
      <w:tr w:rsidR="00571790" w:rsidRPr="00B6140C" w14:paraId="01D3E348" w14:textId="77777777" w:rsidTr="0052326A">
        <w:tc>
          <w:tcPr>
            <w:tcW w:w="5524" w:type="dxa"/>
          </w:tcPr>
          <w:p w14:paraId="12E94411" w14:textId="6D98A33D"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Fair hearing</w:t>
            </w:r>
          </w:p>
        </w:tc>
        <w:tc>
          <w:tcPr>
            <w:tcW w:w="2414" w:type="dxa"/>
          </w:tcPr>
          <w:p w14:paraId="19E503EA" w14:textId="13BB4530"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1</w:t>
            </w:r>
          </w:p>
        </w:tc>
      </w:tr>
      <w:tr w:rsidR="00571790" w:rsidRPr="00B6140C" w14:paraId="483C3569" w14:textId="77777777" w:rsidTr="0052326A">
        <w:tc>
          <w:tcPr>
            <w:tcW w:w="5524" w:type="dxa"/>
          </w:tcPr>
          <w:p w14:paraId="5DE3599A" w14:textId="497F9B9A" w:rsidR="00571790" w:rsidRPr="00B6140C" w:rsidRDefault="00571790" w:rsidP="0052326A">
            <w:pPr>
              <w:pStyle w:val="TableText"/>
              <w:rPr>
                <w:rFonts w:asciiTheme="minorBidi" w:hAnsiTheme="minorBidi"/>
              </w:rPr>
            </w:pPr>
            <w:r w:rsidRPr="00B6140C">
              <w:rPr>
                <w:rFonts w:asciiTheme="minorBidi" w:hAnsiTheme="minorBidi"/>
                <w:color w:val="000000"/>
                <w:sz w:val="22"/>
                <w:szCs w:val="22"/>
                <w:lang w:val="en-GB"/>
              </w:rPr>
              <w:t xml:space="preserve">Freedom of </w:t>
            </w:r>
            <w:r w:rsidR="009B1DBA" w:rsidRPr="00B6140C">
              <w:rPr>
                <w:rFonts w:asciiTheme="minorBidi" w:hAnsiTheme="minorBidi"/>
                <w:color w:val="000000"/>
                <w:sz w:val="22"/>
                <w:szCs w:val="22"/>
                <w:lang w:val="en-GB"/>
              </w:rPr>
              <w:t>expression</w:t>
            </w:r>
          </w:p>
        </w:tc>
        <w:tc>
          <w:tcPr>
            <w:tcW w:w="2414" w:type="dxa"/>
          </w:tcPr>
          <w:p w14:paraId="75F161A7" w14:textId="3F81512A"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2</w:t>
            </w:r>
          </w:p>
        </w:tc>
      </w:tr>
      <w:tr w:rsidR="00571790" w:rsidRPr="00B6140C" w14:paraId="1932239B" w14:textId="77777777" w:rsidTr="0052326A">
        <w:tc>
          <w:tcPr>
            <w:tcW w:w="5524" w:type="dxa"/>
          </w:tcPr>
          <w:p w14:paraId="48D9CCCB" w14:textId="0DF52DF4"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Freedom of movement</w:t>
            </w:r>
          </w:p>
        </w:tc>
        <w:tc>
          <w:tcPr>
            <w:tcW w:w="2414" w:type="dxa"/>
          </w:tcPr>
          <w:p w14:paraId="669264CE" w14:textId="11F0AAAE"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17</w:t>
            </w:r>
          </w:p>
        </w:tc>
      </w:tr>
      <w:tr w:rsidR="00571790" w:rsidRPr="00B6140C" w14:paraId="5CB46446" w14:textId="77777777" w:rsidTr="0052326A">
        <w:tc>
          <w:tcPr>
            <w:tcW w:w="5524" w:type="dxa"/>
          </w:tcPr>
          <w:p w14:paraId="65ABB1D9" w14:textId="4773EBFA"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Humane treatment when deprived of liberty</w:t>
            </w:r>
          </w:p>
        </w:tc>
        <w:tc>
          <w:tcPr>
            <w:tcW w:w="2414" w:type="dxa"/>
          </w:tcPr>
          <w:p w14:paraId="06D2B69D" w14:textId="4530BFD8"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11</w:t>
            </w:r>
          </w:p>
        </w:tc>
      </w:tr>
      <w:tr w:rsidR="00571790" w:rsidRPr="00B6140C" w14:paraId="0B695F2F" w14:textId="77777777" w:rsidTr="0052326A">
        <w:tc>
          <w:tcPr>
            <w:tcW w:w="5524" w:type="dxa"/>
          </w:tcPr>
          <w:p w14:paraId="09B15BA8" w14:textId="6D194E3E"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Privacy and reputation</w:t>
            </w:r>
          </w:p>
        </w:tc>
        <w:tc>
          <w:tcPr>
            <w:tcW w:w="2414" w:type="dxa"/>
          </w:tcPr>
          <w:p w14:paraId="74160276" w14:textId="7EDBA525"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8</w:t>
            </w:r>
          </w:p>
        </w:tc>
      </w:tr>
      <w:tr w:rsidR="00571790" w:rsidRPr="00B6140C" w14:paraId="16156815" w14:textId="77777777" w:rsidTr="0052326A">
        <w:tc>
          <w:tcPr>
            <w:tcW w:w="5524" w:type="dxa"/>
          </w:tcPr>
          <w:p w14:paraId="64753A5B" w14:textId="0CF53848"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Property rights</w:t>
            </w:r>
          </w:p>
        </w:tc>
        <w:tc>
          <w:tcPr>
            <w:tcW w:w="2414" w:type="dxa"/>
          </w:tcPr>
          <w:p w14:paraId="004C9C50" w14:textId="367CDED9"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2</w:t>
            </w:r>
          </w:p>
        </w:tc>
      </w:tr>
      <w:tr w:rsidR="00571790" w:rsidRPr="00B6140C" w14:paraId="1D132E91" w14:textId="77777777" w:rsidTr="0052326A">
        <w:tc>
          <w:tcPr>
            <w:tcW w:w="5524" w:type="dxa"/>
          </w:tcPr>
          <w:p w14:paraId="1C4078B1" w14:textId="77B6CC71" w:rsidR="00571790" w:rsidRPr="00B6140C" w:rsidRDefault="00306164" w:rsidP="0052326A">
            <w:pPr>
              <w:pStyle w:val="TableText"/>
              <w:rPr>
                <w:rFonts w:asciiTheme="minorBidi" w:hAnsiTheme="minorBidi"/>
              </w:rPr>
            </w:pPr>
            <w:r>
              <w:rPr>
                <w:rFonts w:asciiTheme="minorBidi" w:hAnsiTheme="minorBidi"/>
                <w:color w:val="000000"/>
                <w:sz w:val="22"/>
                <w:szCs w:val="22"/>
                <w:lang w:val="en-GB"/>
              </w:rPr>
              <w:t>T</w:t>
            </w:r>
            <w:r w:rsidR="009B1DBA" w:rsidRPr="00B6140C">
              <w:rPr>
                <w:rFonts w:asciiTheme="minorBidi" w:hAnsiTheme="minorBidi"/>
                <w:color w:val="000000"/>
                <w:sz w:val="22"/>
                <w:szCs w:val="22"/>
                <w:lang w:val="en-GB"/>
              </w:rPr>
              <w:t>orture &amp; cruel, inhuman</w:t>
            </w:r>
            <w:r>
              <w:rPr>
                <w:rFonts w:asciiTheme="minorBidi" w:hAnsiTheme="minorBidi"/>
                <w:color w:val="000000"/>
                <w:sz w:val="22"/>
                <w:szCs w:val="22"/>
                <w:lang w:val="en-GB"/>
              </w:rPr>
              <w:t>,</w:t>
            </w:r>
            <w:r w:rsidR="009B1DBA">
              <w:rPr>
                <w:rFonts w:asciiTheme="minorBidi" w:hAnsiTheme="minorBidi"/>
                <w:color w:val="000000"/>
                <w:sz w:val="22"/>
                <w:szCs w:val="22"/>
                <w:lang w:val="en-GB"/>
              </w:rPr>
              <w:t xml:space="preserve"> </w:t>
            </w:r>
            <w:r w:rsidR="009B1DBA" w:rsidRPr="00B6140C">
              <w:rPr>
                <w:rFonts w:asciiTheme="minorBidi" w:hAnsiTheme="minorBidi"/>
                <w:color w:val="000000"/>
                <w:sz w:val="22"/>
                <w:szCs w:val="22"/>
                <w:lang w:val="en-GB"/>
              </w:rPr>
              <w:t>degrading</w:t>
            </w:r>
          </w:p>
        </w:tc>
        <w:tc>
          <w:tcPr>
            <w:tcW w:w="2414" w:type="dxa"/>
          </w:tcPr>
          <w:p w14:paraId="7062E5B4" w14:textId="1B0ED97A" w:rsidR="00571790" w:rsidRPr="00B6140C" w:rsidRDefault="009B1DBA" w:rsidP="0052326A">
            <w:pPr>
              <w:pStyle w:val="TableText"/>
              <w:rPr>
                <w:rFonts w:asciiTheme="minorBidi" w:hAnsiTheme="minorBidi"/>
                <w:b/>
              </w:rPr>
            </w:pPr>
            <w:r w:rsidRPr="00B6140C">
              <w:rPr>
                <w:rFonts w:asciiTheme="minorBidi" w:hAnsiTheme="minorBidi"/>
                <w:color w:val="000000"/>
                <w:sz w:val="22"/>
                <w:szCs w:val="22"/>
                <w:lang w:val="en-GB"/>
              </w:rPr>
              <w:t>5</w:t>
            </w:r>
          </w:p>
        </w:tc>
      </w:tr>
      <w:tr w:rsidR="00571790" w:rsidRPr="00B6140C" w14:paraId="51917946" w14:textId="77777777" w:rsidTr="0052326A">
        <w:tc>
          <w:tcPr>
            <w:tcW w:w="5524" w:type="dxa"/>
          </w:tcPr>
          <w:p w14:paraId="5169D359" w14:textId="1BFC1341"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Protection of families and children</w:t>
            </w:r>
          </w:p>
        </w:tc>
        <w:tc>
          <w:tcPr>
            <w:tcW w:w="2414" w:type="dxa"/>
          </w:tcPr>
          <w:p w14:paraId="63DDDDC3" w14:textId="307B740A" w:rsidR="00571790" w:rsidRPr="00B6140C" w:rsidRDefault="009B1DBA" w:rsidP="0052326A">
            <w:pPr>
              <w:pStyle w:val="TableText"/>
              <w:rPr>
                <w:rFonts w:asciiTheme="minorBidi" w:hAnsiTheme="minorBidi"/>
                <w:b/>
              </w:rPr>
            </w:pPr>
            <w:r w:rsidRPr="00B6140C">
              <w:rPr>
                <w:rFonts w:asciiTheme="minorBidi" w:hAnsiTheme="minorBidi"/>
                <w:color w:val="000000"/>
                <w:sz w:val="22"/>
                <w:szCs w:val="22"/>
                <w:lang w:val="en-GB"/>
              </w:rPr>
              <w:t>10</w:t>
            </w:r>
          </w:p>
        </w:tc>
      </w:tr>
      <w:tr w:rsidR="00571790" w:rsidRPr="00B6140C" w14:paraId="4CCDB617" w14:textId="77777777" w:rsidTr="0052326A">
        <w:tc>
          <w:tcPr>
            <w:tcW w:w="5524" w:type="dxa"/>
          </w:tcPr>
          <w:p w14:paraId="54E660CC" w14:textId="4F76FB26"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lastRenderedPageBreak/>
              <w:t>Recognition and equality before the law</w:t>
            </w:r>
          </w:p>
        </w:tc>
        <w:tc>
          <w:tcPr>
            <w:tcW w:w="2414" w:type="dxa"/>
          </w:tcPr>
          <w:p w14:paraId="251C614E" w14:textId="228DC7AF" w:rsidR="00571790" w:rsidRPr="00B6140C" w:rsidRDefault="009B1DBA" w:rsidP="0052326A">
            <w:pPr>
              <w:pStyle w:val="TableText"/>
              <w:rPr>
                <w:rFonts w:asciiTheme="minorBidi" w:hAnsiTheme="minorBidi"/>
                <w:b/>
              </w:rPr>
            </w:pPr>
            <w:r w:rsidRPr="00B6140C">
              <w:rPr>
                <w:rFonts w:asciiTheme="minorBidi" w:hAnsiTheme="minorBidi"/>
                <w:color w:val="000000"/>
                <w:sz w:val="22"/>
                <w:szCs w:val="22"/>
                <w:lang w:val="en-GB"/>
              </w:rPr>
              <w:t>35</w:t>
            </w:r>
          </w:p>
        </w:tc>
      </w:tr>
      <w:tr w:rsidR="00571790" w:rsidRPr="00B6140C" w14:paraId="15A8C85F" w14:textId="77777777" w:rsidTr="0052326A">
        <w:tc>
          <w:tcPr>
            <w:tcW w:w="5524" w:type="dxa"/>
          </w:tcPr>
          <w:p w14:paraId="6C57354D" w14:textId="7C94749B"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Right to education</w:t>
            </w:r>
          </w:p>
        </w:tc>
        <w:tc>
          <w:tcPr>
            <w:tcW w:w="2414" w:type="dxa"/>
          </w:tcPr>
          <w:p w14:paraId="68A4CF12" w14:textId="664A657A" w:rsidR="00571790" w:rsidRPr="00B6140C" w:rsidRDefault="009B1DBA" w:rsidP="0052326A">
            <w:pPr>
              <w:pStyle w:val="TableText"/>
              <w:rPr>
                <w:rFonts w:asciiTheme="minorBidi" w:hAnsiTheme="minorBidi"/>
                <w:b/>
              </w:rPr>
            </w:pPr>
            <w:r w:rsidRPr="00B6140C">
              <w:rPr>
                <w:rFonts w:asciiTheme="minorBidi" w:hAnsiTheme="minorBidi"/>
                <w:color w:val="000000"/>
                <w:sz w:val="22"/>
                <w:szCs w:val="22"/>
                <w:lang w:val="en-GB"/>
              </w:rPr>
              <w:t>6</w:t>
            </w:r>
          </w:p>
        </w:tc>
      </w:tr>
      <w:tr w:rsidR="00571790" w:rsidRPr="00B6140C" w14:paraId="6CB558D3" w14:textId="77777777" w:rsidTr="0052326A">
        <w:tc>
          <w:tcPr>
            <w:tcW w:w="5524" w:type="dxa"/>
          </w:tcPr>
          <w:p w14:paraId="071BAE65" w14:textId="3050F090"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Right to health services</w:t>
            </w:r>
          </w:p>
        </w:tc>
        <w:tc>
          <w:tcPr>
            <w:tcW w:w="2414" w:type="dxa"/>
          </w:tcPr>
          <w:p w14:paraId="4BFE0FEA" w14:textId="2C298F04" w:rsidR="00571790" w:rsidRPr="00B6140C" w:rsidRDefault="009B1DBA" w:rsidP="0052326A">
            <w:pPr>
              <w:pStyle w:val="TableText"/>
              <w:rPr>
                <w:rFonts w:asciiTheme="minorBidi" w:hAnsiTheme="minorBidi"/>
                <w:b/>
              </w:rPr>
            </w:pPr>
            <w:r w:rsidRPr="00B6140C">
              <w:rPr>
                <w:rFonts w:asciiTheme="minorBidi" w:hAnsiTheme="minorBidi"/>
                <w:color w:val="000000"/>
                <w:sz w:val="22"/>
                <w:szCs w:val="22"/>
                <w:lang w:val="en-GB"/>
              </w:rPr>
              <w:t>3</w:t>
            </w:r>
          </w:p>
        </w:tc>
      </w:tr>
      <w:tr w:rsidR="00571790" w:rsidRPr="00B6140C" w14:paraId="4FEE7B20" w14:textId="77777777" w:rsidTr="0052326A">
        <w:tc>
          <w:tcPr>
            <w:tcW w:w="5524" w:type="dxa"/>
          </w:tcPr>
          <w:p w14:paraId="041D882C" w14:textId="7ACDF694"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Right to liberty and security of person</w:t>
            </w:r>
          </w:p>
        </w:tc>
        <w:tc>
          <w:tcPr>
            <w:tcW w:w="2414" w:type="dxa"/>
          </w:tcPr>
          <w:p w14:paraId="7BFDBAA6" w14:textId="4A798167" w:rsidR="00571790" w:rsidRPr="00B6140C" w:rsidRDefault="009B1DBA" w:rsidP="0052326A">
            <w:pPr>
              <w:pStyle w:val="TableText"/>
              <w:rPr>
                <w:rFonts w:asciiTheme="minorBidi" w:hAnsiTheme="minorBidi"/>
                <w:b/>
              </w:rPr>
            </w:pPr>
            <w:r w:rsidRPr="00B6140C">
              <w:rPr>
                <w:rFonts w:asciiTheme="minorBidi" w:hAnsiTheme="minorBidi"/>
                <w:color w:val="000000"/>
                <w:sz w:val="22"/>
                <w:szCs w:val="22"/>
                <w:lang w:val="en-GB"/>
              </w:rPr>
              <w:t>3</w:t>
            </w:r>
          </w:p>
        </w:tc>
      </w:tr>
      <w:tr w:rsidR="00571790" w:rsidRPr="00B6140C" w14:paraId="0045E33E" w14:textId="77777777" w:rsidTr="0052326A">
        <w:tc>
          <w:tcPr>
            <w:tcW w:w="5524" w:type="dxa"/>
          </w:tcPr>
          <w:p w14:paraId="0AF6482E" w14:textId="14DEF7C1" w:rsidR="00571790" w:rsidRPr="00B6140C" w:rsidRDefault="009B1DBA" w:rsidP="0052326A">
            <w:pPr>
              <w:pStyle w:val="TableText"/>
              <w:rPr>
                <w:rFonts w:asciiTheme="minorBidi" w:hAnsiTheme="minorBidi"/>
              </w:rPr>
            </w:pPr>
            <w:r w:rsidRPr="00B6140C">
              <w:rPr>
                <w:rFonts w:asciiTheme="minorBidi" w:hAnsiTheme="minorBidi"/>
                <w:color w:val="000000"/>
                <w:sz w:val="22"/>
                <w:szCs w:val="22"/>
                <w:lang w:val="en-GB"/>
              </w:rPr>
              <w:t>Right to life</w:t>
            </w:r>
          </w:p>
        </w:tc>
        <w:tc>
          <w:tcPr>
            <w:tcW w:w="2414" w:type="dxa"/>
          </w:tcPr>
          <w:p w14:paraId="253BC01D" w14:textId="48D35EA3" w:rsidR="00571790" w:rsidRPr="00B6140C" w:rsidRDefault="009B1DBA" w:rsidP="0052326A">
            <w:pPr>
              <w:pStyle w:val="TableText"/>
              <w:rPr>
                <w:rFonts w:asciiTheme="minorBidi" w:hAnsiTheme="minorBidi"/>
                <w:b/>
              </w:rPr>
            </w:pPr>
            <w:r w:rsidRPr="00B6140C">
              <w:rPr>
                <w:rFonts w:asciiTheme="minorBidi" w:hAnsiTheme="minorBidi"/>
                <w:color w:val="000000"/>
                <w:sz w:val="22"/>
                <w:szCs w:val="22"/>
                <w:lang w:val="en-GB"/>
              </w:rPr>
              <w:t>1</w:t>
            </w:r>
          </w:p>
        </w:tc>
      </w:tr>
    </w:tbl>
    <w:p w14:paraId="4302C3D1" w14:textId="77777777" w:rsidR="00571790" w:rsidRPr="00B6140C" w:rsidRDefault="00571790" w:rsidP="00D436DA">
      <w:pPr>
        <w:rPr>
          <w:rFonts w:asciiTheme="minorBidi" w:hAnsiTheme="minorBidi"/>
        </w:rPr>
      </w:pPr>
    </w:p>
    <w:p w14:paraId="51F90F32" w14:textId="1051249C" w:rsidR="00952436" w:rsidRDefault="00666E19" w:rsidP="00B11D51">
      <w:pPr>
        <w:pStyle w:val="Caption"/>
      </w:pPr>
      <w:r>
        <w:t xml:space="preserve">Table </w:t>
      </w:r>
      <w:r w:rsidR="00D14DE5">
        <w:t>26</w:t>
      </w:r>
      <w:r w:rsidR="00952436">
        <w:t>:</w:t>
      </w:r>
      <w:r w:rsidR="00E55FEC">
        <w:t xml:space="preserve"> Finalised human rights complaints by sectors – inclusive of </w:t>
      </w:r>
      <w:r w:rsidR="00B70C22">
        <w:t>piggy-back complaint</w:t>
      </w:r>
      <w:r w:rsidR="00E55FEC">
        <w:t>s and human rights only complaints</w:t>
      </w:r>
      <w:r w:rsidR="00A12890">
        <w:t xml:space="preserve">, </w:t>
      </w:r>
      <w:r w:rsidR="00584C8B">
        <w:t>2020-21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B8095E" w:rsidRPr="00D14DE5" w14:paraId="68EF3743" w14:textId="77777777" w:rsidTr="43FC7218">
        <w:trPr>
          <w:tblHeader/>
        </w:trPr>
        <w:tc>
          <w:tcPr>
            <w:tcW w:w="3823" w:type="dxa"/>
          </w:tcPr>
          <w:p w14:paraId="5ED64BC5" w14:textId="77777777" w:rsidR="00B8095E" w:rsidRPr="00D14DE5" w:rsidRDefault="00B8095E" w:rsidP="0052326A">
            <w:pPr>
              <w:pStyle w:val="TableTextHeading"/>
              <w:rPr>
                <w:color w:val="373D42"/>
              </w:rPr>
            </w:pPr>
            <w:r w:rsidRPr="00D14DE5">
              <w:rPr>
                <w:color w:val="373D42"/>
              </w:rPr>
              <w:t>Public entity by sector</w:t>
            </w:r>
          </w:p>
        </w:tc>
        <w:tc>
          <w:tcPr>
            <w:tcW w:w="4115" w:type="dxa"/>
          </w:tcPr>
          <w:p w14:paraId="5E25BDCD" w14:textId="77777777" w:rsidR="00B8095E" w:rsidRPr="00D14DE5" w:rsidRDefault="00B8095E" w:rsidP="0052326A">
            <w:pPr>
              <w:pStyle w:val="TableTextHeading"/>
              <w:rPr>
                <w:color w:val="373D42"/>
              </w:rPr>
            </w:pPr>
            <w:r w:rsidRPr="00D14DE5">
              <w:rPr>
                <w:color w:val="373D42"/>
              </w:rPr>
              <w:t>No. finalised complaints</w:t>
            </w:r>
          </w:p>
        </w:tc>
      </w:tr>
      <w:tr w:rsidR="00243A9C" w:rsidRPr="008A00EB" w14:paraId="3A06F937" w14:textId="77777777" w:rsidTr="43FC7218">
        <w:tc>
          <w:tcPr>
            <w:tcW w:w="3823" w:type="dxa"/>
          </w:tcPr>
          <w:p w14:paraId="3C2804B8" w14:textId="7BF35CC3" w:rsidR="00243A9C" w:rsidRPr="001E0555" w:rsidRDefault="001227DF" w:rsidP="00243A9C">
            <w:pPr>
              <w:pStyle w:val="TableText"/>
              <w:rPr>
                <w:rFonts w:asciiTheme="minorBidi" w:hAnsiTheme="minorBidi"/>
              </w:rPr>
            </w:pPr>
            <w:r w:rsidRPr="005024E7">
              <w:rPr>
                <w:rFonts w:asciiTheme="minorBidi" w:hAnsiTheme="minorBidi"/>
                <w:color w:val="000000"/>
                <w:sz w:val="22"/>
                <w:szCs w:val="22"/>
                <w:lang w:val="en-GB"/>
              </w:rPr>
              <w:t>Accommodation/housing</w:t>
            </w:r>
          </w:p>
        </w:tc>
        <w:tc>
          <w:tcPr>
            <w:tcW w:w="4115" w:type="dxa"/>
          </w:tcPr>
          <w:p w14:paraId="6649D897" w14:textId="3D55F4E7" w:rsidR="00243A9C" w:rsidRPr="001E0555" w:rsidRDefault="001227DF" w:rsidP="00243A9C">
            <w:pPr>
              <w:pStyle w:val="TableText"/>
              <w:rPr>
                <w:rFonts w:asciiTheme="minorBidi" w:hAnsiTheme="minorBidi"/>
              </w:rPr>
            </w:pPr>
            <w:r w:rsidRPr="001E0555">
              <w:rPr>
                <w:rFonts w:asciiTheme="minorBidi" w:hAnsiTheme="minorBidi"/>
                <w:color w:val="000000"/>
                <w:sz w:val="22"/>
                <w:szCs w:val="22"/>
                <w:lang w:val="en-GB"/>
              </w:rPr>
              <w:t>13</w:t>
            </w:r>
          </w:p>
        </w:tc>
      </w:tr>
      <w:tr w:rsidR="00243A9C" w:rsidRPr="008A00EB" w14:paraId="65904AB7" w14:textId="77777777" w:rsidTr="43FC7218">
        <w:tc>
          <w:tcPr>
            <w:tcW w:w="3823" w:type="dxa"/>
          </w:tcPr>
          <w:p w14:paraId="38937D16" w14:textId="322A3A3F" w:rsidR="00243A9C" w:rsidRPr="001E0555" w:rsidRDefault="001227DF" w:rsidP="00243A9C">
            <w:pPr>
              <w:pStyle w:val="TableText"/>
              <w:rPr>
                <w:rFonts w:asciiTheme="minorBidi" w:hAnsiTheme="minorBidi"/>
              </w:rPr>
            </w:pPr>
            <w:r w:rsidRPr="005024E7">
              <w:rPr>
                <w:rFonts w:asciiTheme="minorBidi" w:hAnsiTheme="minorBidi"/>
                <w:color w:val="000000"/>
                <w:sz w:val="22"/>
                <w:szCs w:val="22"/>
                <w:lang w:val="en-GB"/>
              </w:rPr>
              <w:t>Child Safety</w:t>
            </w:r>
          </w:p>
        </w:tc>
        <w:tc>
          <w:tcPr>
            <w:tcW w:w="4115" w:type="dxa"/>
          </w:tcPr>
          <w:p w14:paraId="0D32811F" w14:textId="2D7C9823" w:rsidR="00243A9C" w:rsidRPr="001E0555" w:rsidRDefault="001227DF" w:rsidP="00243A9C">
            <w:pPr>
              <w:pStyle w:val="TableText"/>
              <w:rPr>
                <w:rFonts w:asciiTheme="minorBidi" w:hAnsiTheme="minorBidi"/>
              </w:rPr>
            </w:pPr>
            <w:r w:rsidRPr="001E0555">
              <w:rPr>
                <w:rFonts w:asciiTheme="minorBidi" w:hAnsiTheme="minorBidi"/>
                <w:color w:val="000000"/>
                <w:sz w:val="22"/>
                <w:szCs w:val="22"/>
                <w:lang w:val="en-GB"/>
              </w:rPr>
              <w:t>15</w:t>
            </w:r>
          </w:p>
        </w:tc>
      </w:tr>
      <w:tr w:rsidR="00243A9C" w:rsidRPr="008A00EB" w14:paraId="3E38A924" w14:textId="77777777" w:rsidTr="43FC7218">
        <w:tc>
          <w:tcPr>
            <w:tcW w:w="3823" w:type="dxa"/>
          </w:tcPr>
          <w:p w14:paraId="6B8F411E" w14:textId="12F2CE64" w:rsidR="00243A9C" w:rsidRPr="001E0555" w:rsidRDefault="001227DF" w:rsidP="00243A9C">
            <w:pPr>
              <w:pStyle w:val="TableText"/>
              <w:rPr>
                <w:rFonts w:asciiTheme="minorBidi" w:hAnsiTheme="minorBidi"/>
              </w:rPr>
            </w:pPr>
            <w:r w:rsidRPr="005024E7">
              <w:rPr>
                <w:rFonts w:asciiTheme="minorBidi" w:hAnsiTheme="minorBidi"/>
                <w:color w:val="000000"/>
                <w:sz w:val="22"/>
                <w:szCs w:val="22"/>
                <w:lang w:val="en-GB"/>
              </w:rPr>
              <w:t>Corrections</w:t>
            </w:r>
          </w:p>
        </w:tc>
        <w:tc>
          <w:tcPr>
            <w:tcW w:w="4115" w:type="dxa"/>
          </w:tcPr>
          <w:p w14:paraId="71C218A7" w14:textId="39A6BC66" w:rsidR="00243A9C" w:rsidRPr="001E0555" w:rsidRDefault="001227DF" w:rsidP="00243A9C">
            <w:pPr>
              <w:pStyle w:val="TableText"/>
              <w:rPr>
                <w:rFonts w:asciiTheme="minorBidi" w:hAnsiTheme="minorBidi"/>
              </w:rPr>
            </w:pPr>
            <w:r w:rsidRPr="001E0555">
              <w:rPr>
                <w:rFonts w:asciiTheme="minorBidi" w:hAnsiTheme="minorBidi"/>
                <w:color w:val="000000"/>
                <w:sz w:val="22"/>
                <w:szCs w:val="22"/>
                <w:lang w:val="en-GB"/>
              </w:rPr>
              <w:t>45</w:t>
            </w:r>
          </w:p>
        </w:tc>
      </w:tr>
      <w:tr w:rsidR="00243A9C" w:rsidRPr="008A00EB" w14:paraId="5A07BD0B" w14:textId="77777777" w:rsidTr="43FC7218">
        <w:tc>
          <w:tcPr>
            <w:tcW w:w="3823" w:type="dxa"/>
          </w:tcPr>
          <w:p w14:paraId="1EBDA844" w14:textId="63D44E2E" w:rsidR="00243A9C" w:rsidRPr="001E0555" w:rsidRDefault="001227DF" w:rsidP="00243A9C">
            <w:pPr>
              <w:pStyle w:val="TableText"/>
              <w:rPr>
                <w:rFonts w:asciiTheme="minorBidi" w:hAnsiTheme="minorBidi"/>
              </w:rPr>
            </w:pPr>
            <w:r w:rsidRPr="005024E7">
              <w:rPr>
                <w:rFonts w:asciiTheme="minorBidi" w:hAnsiTheme="minorBidi"/>
                <w:color w:val="000000"/>
                <w:sz w:val="22"/>
                <w:szCs w:val="22"/>
                <w:lang w:val="en-GB"/>
              </w:rPr>
              <w:t>Court services</w:t>
            </w:r>
          </w:p>
        </w:tc>
        <w:tc>
          <w:tcPr>
            <w:tcW w:w="4115" w:type="dxa"/>
          </w:tcPr>
          <w:p w14:paraId="6CECF88A" w14:textId="4182605D" w:rsidR="00243A9C" w:rsidRPr="001E0555" w:rsidRDefault="001227DF" w:rsidP="00243A9C">
            <w:pPr>
              <w:pStyle w:val="TableText"/>
              <w:rPr>
                <w:rFonts w:asciiTheme="minorBidi" w:hAnsiTheme="minorBidi"/>
              </w:rPr>
            </w:pPr>
            <w:r w:rsidRPr="001E0555">
              <w:rPr>
                <w:rFonts w:asciiTheme="minorBidi" w:hAnsiTheme="minorBidi"/>
                <w:color w:val="000000"/>
                <w:sz w:val="22"/>
                <w:szCs w:val="22"/>
                <w:lang w:val="en-GB"/>
              </w:rPr>
              <w:t>19</w:t>
            </w:r>
          </w:p>
        </w:tc>
      </w:tr>
      <w:tr w:rsidR="00243A9C" w:rsidRPr="008A00EB" w14:paraId="0178DC2E" w14:textId="77777777" w:rsidTr="43FC7218">
        <w:tc>
          <w:tcPr>
            <w:tcW w:w="3823" w:type="dxa"/>
          </w:tcPr>
          <w:p w14:paraId="75EC3306" w14:textId="33C014C1" w:rsidR="00243A9C" w:rsidRPr="001E0555" w:rsidRDefault="001227DF" w:rsidP="00243A9C">
            <w:pPr>
              <w:pStyle w:val="TableText"/>
              <w:rPr>
                <w:rFonts w:asciiTheme="minorBidi" w:hAnsiTheme="minorBidi"/>
              </w:rPr>
            </w:pPr>
            <w:r w:rsidRPr="005024E7">
              <w:rPr>
                <w:rFonts w:asciiTheme="minorBidi" w:hAnsiTheme="minorBidi"/>
                <w:color w:val="000000"/>
                <w:sz w:val="22"/>
                <w:szCs w:val="22"/>
                <w:lang w:val="en-GB"/>
              </w:rPr>
              <w:t>Disability</w:t>
            </w:r>
          </w:p>
        </w:tc>
        <w:tc>
          <w:tcPr>
            <w:tcW w:w="4115" w:type="dxa"/>
          </w:tcPr>
          <w:p w14:paraId="016E59D4" w14:textId="3F352250" w:rsidR="00243A9C" w:rsidRPr="001E0555" w:rsidRDefault="001227DF" w:rsidP="00243A9C">
            <w:pPr>
              <w:pStyle w:val="TableText"/>
              <w:rPr>
                <w:rFonts w:asciiTheme="minorBidi" w:hAnsiTheme="minorBidi"/>
              </w:rPr>
            </w:pPr>
            <w:r w:rsidRPr="001E0555">
              <w:rPr>
                <w:rFonts w:asciiTheme="minorBidi" w:hAnsiTheme="minorBidi"/>
                <w:color w:val="000000"/>
                <w:sz w:val="22"/>
                <w:szCs w:val="22"/>
                <w:lang w:val="en-GB"/>
              </w:rPr>
              <w:t>7</w:t>
            </w:r>
          </w:p>
        </w:tc>
      </w:tr>
      <w:tr w:rsidR="00243A9C" w:rsidRPr="008A00EB" w14:paraId="0D143BF4" w14:textId="77777777" w:rsidTr="43FC7218">
        <w:tc>
          <w:tcPr>
            <w:tcW w:w="3823" w:type="dxa"/>
          </w:tcPr>
          <w:p w14:paraId="14A3931A" w14:textId="070D7FE3" w:rsidR="00243A9C" w:rsidRPr="001E0555" w:rsidRDefault="001227DF" w:rsidP="00243A9C">
            <w:pPr>
              <w:pStyle w:val="TableText"/>
              <w:rPr>
                <w:rFonts w:asciiTheme="minorBidi" w:hAnsiTheme="minorBidi"/>
              </w:rPr>
            </w:pPr>
            <w:r w:rsidRPr="005024E7">
              <w:rPr>
                <w:rFonts w:asciiTheme="minorBidi" w:hAnsiTheme="minorBidi"/>
                <w:color w:val="000000"/>
                <w:sz w:val="22"/>
                <w:szCs w:val="22"/>
                <w:lang w:val="en-GB"/>
              </w:rPr>
              <w:t>Health</w:t>
            </w:r>
          </w:p>
        </w:tc>
        <w:tc>
          <w:tcPr>
            <w:tcW w:w="4115" w:type="dxa"/>
          </w:tcPr>
          <w:p w14:paraId="624F08DF" w14:textId="5B8BA26F" w:rsidR="00243A9C" w:rsidRPr="001E0555" w:rsidRDefault="001227DF" w:rsidP="00243A9C">
            <w:pPr>
              <w:pStyle w:val="TableText"/>
              <w:rPr>
                <w:rFonts w:asciiTheme="minorBidi" w:hAnsiTheme="minorBidi"/>
              </w:rPr>
            </w:pPr>
            <w:r w:rsidRPr="001E0555">
              <w:rPr>
                <w:rFonts w:asciiTheme="minorBidi" w:hAnsiTheme="minorBidi"/>
                <w:color w:val="000000"/>
                <w:sz w:val="22"/>
                <w:szCs w:val="22"/>
                <w:lang w:val="en-GB"/>
              </w:rPr>
              <w:t>86</w:t>
            </w:r>
          </w:p>
        </w:tc>
      </w:tr>
      <w:tr w:rsidR="00243A9C" w:rsidRPr="008A00EB" w14:paraId="19FEC1AA" w14:textId="77777777" w:rsidTr="43FC7218">
        <w:tc>
          <w:tcPr>
            <w:tcW w:w="3823" w:type="dxa"/>
          </w:tcPr>
          <w:p w14:paraId="5C4CAED8" w14:textId="2DF986D7" w:rsidR="00243A9C" w:rsidRPr="001E0555" w:rsidRDefault="001227DF" w:rsidP="00243A9C">
            <w:pPr>
              <w:pStyle w:val="TableText"/>
              <w:rPr>
                <w:rFonts w:asciiTheme="minorBidi" w:hAnsiTheme="minorBidi"/>
              </w:rPr>
            </w:pPr>
            <w:r w:rsidRPr="005024E7">
              <w:rPr>
                <w:rFonts w:asciiTheme="minorBidi" w:hAnsiTheme="minorBidi"/>
                <w:color w:val="000000"/>
                <w:sz w:val="22"/>
                <w:szCs w:val="22"/>
                <w:lang w:val="en-GB"/>
              </w:rPr>
              <w:t>Local government agency</w:t>
            </w:r>
          </w:p>
        </w:tc>
        <w:tc>
          <w:tcPr>
            <w:tcW w:w="4115" w:type="dxa"/>
          </w:tcPr>
          <w:p w14:paraId="04DC7EF2" w14:textId="2C72C3A7" w:rsidR="00243A9C" w:rsidRPr="001E0555" w:rsidRDefault="001227DF" w:rsidP="00243A9C">
            <w:pPr>
              <w:pStyle w:val="TableText"/>
              <w:rPr>
                <w:rFonts w:asciiTheme="minorBidi" w:hAnsiTheme="minorBidi"/>
              </w:rPr>
            </w:pPr>
            <w:r w:rsidRPr="001E0555">
              <w:rPr>
                <w:rFonts w:asciiTheme="minorBidi" w:hAnsiTheme="minorBidi"/>
                <w:color w:val="000000"/>
                <w:sz w:val="22"/>
                <w:szCs w:val="22"/>
                <w:lang w:val="en-GB"/>
              </w:rPr>
              <w:t>22</w:t>
            </w:r>
          </w:p>
        </w:tc>
      </w:tr>
      <w:tr w:rsidR="00243A9C" w:rsidRPr="008A00EB" w14:paraId="6186EA1C" w14:textId="77777777" w:rsidTr="43FC7218">
        <w:tc>
          <w:tcPr>
            <w:tcW w:w="3823" w:type="dxa"/>
          </w:tcPr>
          <w:p w14:paraId="5D584FA0" w14:textId="765BB3AB" w:rsidR="00243A9C" w:rsidRPr="001E0555" w:rsidRDefault="001227DF" w:rsidP="00243A9C">
            <w:pPr>
              <w:pStyle w:val="TableText"/>
              <w:rPr>
                <w:rFonts w:asciiTheme="minorBidi" w:hAnsiTheme="minorBidi"/>
              </w:rPr>
            </w:pPr>
            <w:r w:rsidRPr="005024E7">
              <w:rPr>
                <w:rFonts w:asciiTheme="minorBidi" w:hAnsiTheme="minorBidi"/>
                <w:color w:val="000000"/>
                <w:sz w:val="22"/>
                <w:szCs w:val="22"/>
                <w:lang w:val="en-GB"/>
              </w:rPr>
              <w:t>Not a public entity</w:t>
            </w:r>
          </w:p>
        </w:tc>
        <w:tc>
          <w:tcPr>
            <w:tcW w:w="4115" w:type="dxa"/>
          </w:tcPr>
          <w:p w14:paraId="1FF3A829" w14:textId="32351EEB" w:rsidR="00243A9C" w:rsidRPr="001E0555" w:rsidRDefault="001227DF" w:rsidP="00243A9C">
            <w:pPr>
              <w:pStyle w:val="TableText"/>
              <w:rPr>
                <w:rFonts w:asciiTheme="minorBidi" w:hAnsiTheme="minorBidi"/>
              </w:rPr>
            </w:pPr>
            <w:r w:rsidRPr="001E0555">
              <w:rPr>
                <w:rFonts w:asciiTheme="minorBidi" w:hAnsiTheme="minorBidi"/>
                <w:color w:val="000000"/>
                <w:sz w:val="22"/>
                <w:szCs w:val="22"/>
                <w:lang w:val="en-GB"/>
              </w:rPr>
              <w:t>4</w:t>
            </w:r>
          </w:p>
        </w:tc>
      </w:tr>
      <w:tr w:rsidR="00243A9C" w:rsidRPr="008A00EB" w14:paraId="2C278FD1" w14:textId="77777777" w:rsidTr="43FC7218">
        <w:tc>
          <w:tcPr>
            <w:tcW w:w="3823" w:type="dxa"/>
          </w:tcPr>
          <w:p w14:paraId="0FD01D60" w14:textId="617DF31B" w:rsidR="00243A9C" w:rsidRPr="001E0555" w:rsidRDefault="001227DF" w:rsidP="00243A9C">
            <w:pPr>
              <w:pStyle w:val="TableText"/>
              <w:rPr>
                <w:rFonts w:asciiTheme="minorBidi" w:hAnsiTheme="minorBidi"/>
              </w:rPr>
            </w:pPr>
            <w:r w:rsidRPr="005024E7">
              <w:rPr>
                <w:rFonts w:asciiTheme="minorBidi" w:hAnsiTheme="minorBidi"/>
                <w:color w:val="000000"/>
                <w:sz w:val="22"/>
                <w:szCs w:val="22"/>
                <w:lang w:val="en-GB"/>
              </w:rPr>
              <w:t>Other government services</w:t>
            </w:r>
          </w:p>
        </w:tc>
        <w:tc>
          <w:tcPr>
            <w:tcW w:w="4115" w:type="dxa"/>
          </w:tcPr>
          <w:p w14:paraId="3E03A040" w14:textId="238C9D0D" w:rsidR="00243A9C" w:rsidRPr="001E0555" w:rsidRDefault="001227DF" w:rsidP="00243A9C">
            <w:pPr>
              <w:pStyle w:val="TableText"/>
              <w:rPr>
                <w:rFonts w:asciiTheme="minorBidi" w:hAnsiTheme="minorBidi"/>
              </w:rPr>
            </w:pPr>
            <w:r w:rsidRPr="001E0555">
              <w:rPr>
                <w:rFonts w:asciiTheme="minorBidi" w:hAnsiTheme="minorBidi"/>
                <w:color w:val="000000"/>
                <w:sz w:val="22"/>
                <w:szCs w:val="22"/>
                <w:lang w:val="en-GB"/>
              </w:rPr>
              <w:t>26</w:t>
            </w:r>
          </w:p>
        </w:tc>
      </w:tr>
      <w:tr w:rsidR="009A44F2" w:rsidRPr="008A00EB" w14:paraId="2B0F4AD2" w14:textId="77777777" w:rsidTr="43FC7218">
        <w:tc>
          <w:tcPr>
            <w:tcW w:w="3823" w:type="dxa"/>
          </w:tcPr>
          <w:p w14:paraId="33486DBE" w14:textId="66BABD35" w:rsidR="009A44F2" w:rsidRPr="005024E7" w:rsidRDefault="001E0555" w:rsidP="001227DF">
            <w:pPr>
              <w:pStyle w:val="TableText"/>
              <w:rPr>
                <w:rFonts w:asciiTheme="minorBidi" w:hAnsiTheme="minorBidi"/>
              </w:rPr>
            </w:pPr>
            <w:r w:rsidRPr="001E0555">
              <w:rPr>
                <w:rFonts w:asciiTheme="minorBidi" w:hAnsiTheme="minorBidi"/>
              </w:rPr>
              <w:t>Other state laws and programs</w:t>
            </w:r>
          </w:p>
        </w:tc>
        <w:tc>
          <w:tcPr>
            <w:tcW w:w="4115" w:type="dxa"/>
          </w:tcPr>
          <w:p w14:paraId="7CA6EE42" w14:textId="05AD2881" w:rsidR="009A44F2" w:rsidRPr="001E0555" w:rsidRDefault="001E0555" w:rsidP="001227DF">
            <w:pPr>
              <w:pStyle w:val="TableText"/>
              <w:rPr>
                <w:rFonts w:asciiTheme="minorBidi" w:hAnsiTheme="minorBidi"/>
                <w:color w:val="000000"/>
                <w:sz w:val="22"/>
                <w:szCs w:val="22"/>
                <w:lang w:val="en-GB"/>
              </w:rPr>
            </w:pPr>
            <w:r w:rsidRPr="001E0555">
              <w:rPr>
                <w:rFonts w:asciiTheme="minorBidi" w:hAnsiTheme="minorBidi"/>
                <w:color w:val="000000"/>
                <w:sz w:val="22"/>
                <w:szCs w:val="22"/>
                <w:lang w:val="en-GB"/>
              </w:rPr>
              <w:t>33</w:t>
            </w:r>
          </w:p>
        </w:tc>
      </w:tr>
      <w:tr w:rsidR="00243A9C" w:rsidRPr="008A00EB" w14:paraId="0E30B59B" w14:textId="77777777" w:rsidTr="43FC7218">
        <w:tc>
          <w:tcPr>
            <w:tcW w:w="3823" w:type="dxa"/>
          </w:tcPr>
          <w:p w14:paraId="04C5133B" w14:textId="4971B861" w:rsidR="00243A9C" w:rsidRPr="001E0555" w:rsidRDefault="001227DF" w:rsidP="00243A9C">
            <w:pPr>
              <w:pStyle w:val="TableText"/>
              <w:rPr>
                <w:rFonts w:asciiTheme="minorBidi" w:hAnsiTheme="minorBidi"/>
              </w:rPr>
            </w:pPr>
            <w:r w:rsidRPr="005024E7">
              <w:rPr>
                <w:rFonts w:asciiTheme="minorBidi" w:hAnsiTheme="minorBidi"/>
              </w:rPr>
              <w:t>Police</w:t>
            </w:r>
          </w:p>
        </w:tc>
        <w:tc>
          <w:tcPr>
            <w:tcW w:w="4115" w:type="dxa"/>
          </w:tcPr>
          <w:p w14:paraId="177F6ACB" w14:textId="1489750B" w:rsidR="00243A9C" w:rsidRPr="001E0555" w:rsidRDefault="001E0555" w:rsidP="00243A9C">
            <w:pPr>
              <w:pStyle w:val="TableText"/>
              <w:rPr>
                <w:rFonts w:asciiTheme="minorBidi" w:hAnsiTheme="minorBidi"/>
              </w:rPr>
            </w:pPr>
            <w:r w:rsidRPr="001E0555">
              <w:rPr>
                <w:rFonts w:asciiTheme="minorBidi" w:hAnsiTheme="minorBidi"/>
                <w:color w:val="000000"/>
                <w:sz w:val="22"/>
                <w:szCs w:val="22"/>
                <w:lang w:val="en-GB"/>
              </w:rPr>
              <w:t>60</w:t>
            </w:r>
          </w:p>
        </w:tc>
      </w:tr>
      <w:tr w:rsidR="00243A9C" w:rsidRPr="008A00EB" w14:paraId="2A2520F1" w14:textId="77777777" w:rsidTr="43FC7218">
        <w:tc>
          <w:tcPr>
            <w:tcW w:w="3823" w:type="dxa"/>
          </w:tcPr>
          <w:p w14:paraId="7DB3B633" w14:textId="6C1E1CB4" w:rsidR="00243A9C" w:rsidRPr="001E0555" w:rsidRDefault="001227DF" w:rsidP="00243A9C">
            <w:pPr>
              <w:pStyle w:val="TableText"/>
              <w:rPr>
                <w:rFonts w:asciiTheme="minorBidi" w:hAnsiTheme="minorBidi"/>
              </w:rPr>
            </w:pPr>
            <w:r w:rsidRPr="005024E7">
              <w:rPr>
                <w:rFonts w:asciiTheme="minorBidi" w:hAnsiTheme="minorBidi"/>
              </w:rPr>
              <w:t>Public education</w:t>
            </w:r>
          </w:p>
        </w:tc>
        <w:tc>
          <w:tcPr>
            <w:tcW w:w="4115" w:type="dxa"/>
          </w:tcPr>
          <w:p w14:paraId="7261B9E3" w14:textId="785BECE7" w:rsidR="00243A9C" w:rsidRPr="001E0555" w:rsidRDefault="001E0555" w:rsidP="00243A9C">
            <w:pPr>
              <w:pStyle w:val="TableText"/>
              <w:rPr>
                <w:rFonts w:asciiTheme="minorBidi" w:hAnsiTheme="minorBidi"/>
              </w:rPr>
            </w:pPr>
            <w:r w:rsidRPr="001E0555">
              <w:rPr>
                <w:rFonts w:asciiTheme="minorBidi" w:hAnsiTheme="minorBidi"/>
                <w:color w:val="000000"/>
                <w:sz w:val="22"/>
                <w:szCs w:val="22"/>
                <w:lang w:val="en-GB"/>
              </w:rPr>
              <w:t>30</w:t>
            </w:r>
          </w:p>
        </w:tc>
      </w:tr>
      <w:tr w:rsidR="001227DF" w:rsidRPr="008A00EB" w14:paraId="4698B7B6" w14:textId="77777777" w:rsidTr="43FC7218">
        <w:tc>
          <w:tcPr>
            <w:tcW w:w="3823" w:type="dxa"/>
          </w:tcPr>
          <w:p w14:paraId="7A8DAD17" w14:textId="0698ED51" w:rsidR="001227DF" w:rsidRPr="005024E7" w:rsidRDefault="001227DF" w:rsidP="001227DF">
            <w:pPr>
              <w:pStyle w:val="TableText"/>
              <w:rPr>
                <w:rFonts w:asciiTheme="minorBidi" w:hAnsiTheme="minorBidi"/>
              </w:rPr>
            </w:pPr>
            <w:r>
              <w:rPr>
                <w:rFonts w:asciiTheme="minorBidi" w:hAnsiTheme="minorBidi"/>
              </w:rPr>
              <w:t>Transport</w:t>
            </w:r>
          </w:p>
        </w:tc>
        <w:tc>
          <w:tcPr>
            <w:tcW w:w="4115" w:type="dxa"/>
          </w:tcPr>
          <w:p w14:paraId="28364F9B" w14:textId="799C45D0" w:rsidR="001227DF" w:rsidRPr="001E0555" w:rsidRDefault="001E0555" w:rsidP="001227DF">
            <w:pPr>
              <w:pStyle w:val="TableText"/>
              <w:rPr>
                <w:rFonts w:asciiTheme="minorBidi" w:hAnsiTheme="minorBidi"/>
              </w:rPr>
            </w:pPr>
            <w:r w:rsidRPr="001E0555">
              <w:rPr>
                <w:rFonts w:asciiTheme="minorBidi" w:hAnsiTheme="minorBidi"/>
                <w:color w:val="000000"/>
                <w:sz w:val="22"/>
                <w:szCs w:val="22"/>
                <w:lang w:val="en-GB"/>
              </w:rPr>
              <w:t>2</w:t>
            </w:r>
          </w:p>
        </w:tc>
      </w:tr>
      <w:tr w:rsidR="001227DF" w:rsidRPr="008A00EB" w14:paraId="18DCCE5A" w14:textId="77777777" w:rsidTr="43FC7218">
        <w:tc>
          <w:tcPr>
            <w:tcW w:w="3823" w:type="dxa"/>
          </w:tcPr>
          <w:p w14:paraId="57A845A5" w14:textId="16E0678B" w:rsidR="001227DF" w:rsidRPr="005024E7" w:rsidRDefault="001227DF" w:rsidP="001227DF">
            <w:pPr>
              <w:pStyle w:val="TableText"/>
              <w:rPr>
                <w:rFonts w:asciiTheme="minorBidi" w:hAnsiTheme="minorBidi"/>
              </w:rPr>
            </w:pPr>
            <w:r>
              <w:rPr>
                <w:rFonts w:asciiTheme="minorBidi" w:hAnsiTheme="minorBidi"/>
              </w:rPr>
              <w:t>Work</w:t>
            </w:r>
          </w:p>
        </w:tc>
        <w:tc>
          <w:tcPr>
            <w:tcW w:w="4115" w:type="dxa"/>
          </w:tcPr>
          <w:p w14:paraId="6D84C094" w14:textId="3270F010" w:rsidR="001227DF" w:rsidRPr="001E0555" w:rsidRDefault="001E0555" w:rsidP="001227DF">
            <w:pPr>
              <w:pStyle w:val="TableText"/>
              <w:rPr>
                <w:rFonts w:asciiTheme="minorBidi" w:hAnsiTheme="minorBidi"/>
              </w:rPr>
            </w:pPr>
            <w:r w:rsidRPr="001E0555">
              <w:rPr>
                <w:rFonts w:asciiTheme="minorBidi" w:hAnsiTheme="minorBidi"/>
              </w:rPr>
              <w:t>35</w:t>
            </w:r>
          </w:p>
        </w:tc>
      </w:tr>
    </w:tbl>
    <w:p w14:paraId="37DECA48" w14:textId="0D7ACCF2" w:rsidR="00BE3052" w:rsidRDefault="00BE3052" w:rsidP="00D436DA"/>
    <w:p w14:paraId="27532A78" w14:textId="3431B9E9" w:rsidR="002A12B4" w:rsidRDefault="00666E19" w:rsidP="00B11D51">
      <w:pPr>
        <w:pStyle w:val="Caption"/>
      </w:pPr>
      <w:r>
        <w:t xml:space="preserve">Table </w:t>
      </w:r>
      <w:r w:rsidR="00D14DE5">
        <w:t>27</w:t>
      </w:r>
      <w:r w:rsidR="00952436">
        <w:t>:</w:t>
      </w:r>
      <w:r w:rsidR="00E55FEC">
        <w:t xml:space="preserve"> </w:t>
      </w:r>
      <w:r w:rsidR="002A12B4">
        <w:t>Accepted and finalised</w:t>
      </w:r>
      <w:r w:rsidR="00E55FEC">
        <w:t xml:space="preserve"> human rights complaints </w:t>
      </w:r>
      <w:r w:rsidR="002A12B4">
        <w:t xml:space="preserve">by sectors – inclusive of </w:t>
      </w:r>
      <w:r w:rsidR="00B70C22">
        <w:t>piggy-back complaint</w:t>
      </w:r>
      <w:r w:rsidR="002A12B4">
        <w:t>s a</w:t>
      </w:r>
      <w:r w:rsidR="00A12890">
        <w:t xml:space="preserve">nd human rights only complaints, </w:t>
      </w:r>
      <w:r w:rsidR="00584C8B">
        <w:t>2020-21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6B46CB" w:rsidRPr="00D14DE5" w14:paraId="7D7F1797" w14:textId="77777777" w:rsidTr="0052326A">
        <w:tc>
          <w:tcPr>
            <w:tcW w:w="3823" w:type="dxa"/>
          </w:tcPr>
          <w:p w14:paraId="4D57BDFB" w14:textId="77777777" w:rsidR="006B46CB" w:rsidRPr="00D14DE5" w:rsidRDefault="006B46CB" w:rsidP="0052326A">
            <w:pPr>
              <w:pStyle w:val="TableTextHeading"/>
              <w:rPr>
                <w:color w:val="373D42"/>
              </w:rPr>
            </w:pPr>
            <w:r w:rsidRPr="00D14DE5">
              <w:rPr>
                <w:color w:val="373D42"/>
              </w:rPr>
              <w:t>Public entity by sector</w:t>
            </w:r>
          </w:p>
        </w:tc>
        <w:tc>
          <w:tcPr>
            <w:tcW w:w="4115" w:type="dxa"/>
          </w:tcPr>
          <w:p w14:paraId="3A20202C" w14:textId="77777777" w:rsidR="006B46CB" w:rsidRPr="00D14DE5" w:rsidRDefault="006B46CB" w:rsidP="0052326A">
            <w:pPr>
              <w:pStyle w:val="TableTextHeading"/>
              <w:rPr>
                <w:color w:val="373D42"/>
              </w:rPr>
            </w:pPr>
            <w:r w:rsidRPr="00D14DE5">
              <w:rPr>
                <w:color w:val="373D42"/>
              </w:rPr>
              <w:t>No. accepted and finalised complaints</w:t>
            </w:r>
          </w:p>
        </w:tc>
      </w:tr>
      <w:tr w:rsidR="006B46CB" w:rsidRPr="008A00EB" w14:paraId="22756C35" w14:textId="77777777" w:rsidTr="0052326A">
        <w:tc>
          <w:tcPr>
            <w:tcW w:w="3823" w:type="dxa"/>
          </w:tcPr>
          <w:p w14:paraId="0FB8F35F" w14:textId="3C2497B8" w:rsidR="006B46CB" w:rsidRPr="005024E7" w:rsidRDefault="002D22FA" w:rsidP="0052326A">
            <w:pPr>
              <w:pStyle w:val="TableText"/>
              <w:rPr>
                <w:rFonts w:asciiTheme="minorBidi" w:hAnsiTheme="minorBidi"/>
              </w:rPr>
            </w:pPr>
            <w:r w:rsidRPr="005024E7">
              <w:rPr>
                <w:rFonts w:asciiTheme="minorBidi" w:hAnsiTheme="minorBidi"/>
                <w:color w:val="000000"/>
                <w:sz w:val="22"/>
                <w:szCs w:val="22"/>
                <w:lang w:val="en-GB"/>
              </w:rPr>
              <w:t>Accommodation/housing</w:t>
            </w:r>
          </w:p>
        </w:tc>
        <w:tc>
          <w:tcPr>
            <w:tcW w:w="4115" w:type="dxa"/>
          </w:tcPr>
          <w:p w14:paraId="455D2C33" w14:textId="68C1EB20" w:rsidR="006B46CB" w:rsidRPr="008A00EB" w:rsidRDefault="00F854F1" w:rsidP="0052326A">
            <w:pPr>
              <w:pStyle w:val="TableText"/>
            </w:pPr>
            <w:r>
              <w:t>7</w:t>
            </w:r>
          </w:p>
        </w:tc>
      </w:tr>
      <w:tr w:rsidR="006B46CB" w:rsidRPr="008A00EB" w14:paraId="1E34D91E" w14:textId="77777777" w:rsidTr="0052326A">
        <w:tc>
          <w:tcPr>
            <w:tcW w:w="3823" w:type="dxa"/>
          </w:tcPr>
          <w:p w14:paraId="0DC4F244" w14:textId="0AC0DC82" w:rsidR="006B46CB" w:rsidRPr="005024E7" w:rsidRDefault="002D22FA" w:rsidP="0052326A">
            <w:pPr>
              <w:pStyle w:val="TableText"/>
              <w:rPr>
                <w:rFonts w:asciiTheme="minorBidi" w:hAnsiTheme="minorBidi"/>
              </w:rPr>
            </w:pPr>
            <w:r w:rsidRPr="005024E7">
              <w:rPr>
                <w:rFonts w:asciiTheme="minorBidi" w:hAnsiTheme="minorBidi"/>
                <w:color w:val="000000"/>
                <w:sz w:val="22"/>
                <w:szCs w:val="22"/>
                <w:lang w:val="en-GB"/>
              </w:rPr>
              <w:t xml:space="preserve">Child </w:t>
            </w:r>
            <w:r w:rsidR="00F854F1">
              <w:rPr>
                <w:rFonts w:asciiTheme="minorBidi" w:hAnsiTheme="minorBidi"/>
                <w:color w:val="000000"/>
                <w:sz w:val="22"/>
                <w:szCs w:val="22"/>
                <w:lang w:val="en-GB"/>
              </w:rPr>
              <w:t>s</w:t>
            </w:r>
            <w:r w:rsidRPr="005024E7">
              <w:rPr>
                <w:rFonts w:asciiTheme="minorBidi" w:hAnsiTheme="minorBidi"/>
                <w:color w:val="000000"/>
                <w:sz w:val="22"/>
                <w:szCs w:val="22"/>
                <w:lang w:val="en-GB"/>
              </w:rPr>
              <w:t>afety</w:t>
            </w:r>
          </w:p>
        </w:tc>
        <w:tc>
          <w:tcPr>
            <w:tcW w:w="4115" w:type="dxa"/>
          </w:tcPr>
          <w:p w14:paraId="578ED958" w14:textId="72661C5D" w:rsidR="006B46CB" w:rsidRPr="008A00EB" w:rsidRDefault="00F854F1" w:rsidP="0052326A">
            <w:pPr>
              <w:pStyle w:val="TableText"/>
            </w:pPr>
            <w:r>
              <w:t>4</w:t>
            </w:r>
          </w:p>
        </w:tc>
      </w:tr>
      <w:tr w:rsidR="006B46CB" w:rsidRPr="008A00EB" w14:paraId="193C7E4F" w14:textId="77777777" w:rsidTr="0052326A">
        <w:tc>
          <w:tcPr>
            <w:tcW w:w="3823" w:type="dxa"/>
          </w:tcPr>
          <w:p w14:paraId="6C7A06B3" w14:textId="455E2704" w:rsidR="006B46CB" w:rsidRPr="005024E7" w:rsidRDefault="002D22FA" w:rsidP="0052326A">
            <w:pPr>
              <w:pStyle w:val="TableText"/>
              <w:rPr>
                <w:rFonts w:asciiTheme="minorBidi" w:hAnsiTheme="minorBidi"/>
              </w:rPr>
            </w:pPr>
            <w:r w:rsidRPr="005024E7">
              <w:rPr>
                <w:rFonts w:asciiTheme="minorBidi" w:hAnsiTheme="minorBidi"/>
                <w:color w:val="000000"/>
                <w:sz w:val="22"/>
                <w:szCs w:val="22"/>
                <w:lang w:val="en-GB"/>
              </w:rPr>
              <w:t>Corrections</w:t>
            </w:r>
          </w:p>
        </w:tc>
        <w:tc>
          <w:tcPr>
            <w:tcW w:w="4115" w:type="dxa"/>
          </w:tcPr>
          <w:p w14:paraId="205FE0B7" w14:textId="00BEF0E2" w:rsidR="006B46CB" w:rsidRPr="008A00EB" w:rsidRDefault="004C055A" w:rsidP="0052326A">
            <w:pPr>
              <w:pStyle w:val="TableText"/>
            </w:pPr>
            <w:r>
              <w:t>8</w:t>
            </w:r>
          </w:p>
        </w:tc>
      </w:tr>
      <w:tr w:rsidR="006B46CB" w:rsidRPr="008A00EB" w14:paraId="6D3313C5" w14:textId="77777777" w:rsidTr="0052326A">
        <w:tc>
          <w:tcPr>
            <w:tcW w:w="3823" w:type="dxa"/>
          </w:tcPr>
          <w:p w14:paraId="7181D699" w14:textId="0B77A7C5" w:rsidR="006B46CB" w:rsidRPr="005024E7" w:rsidRDefault="002D22FA" w:rsidP="0052326A">
            <w:pPr>
              <w:pStyle w:val="TableText"/>
              <w:rPr>
                <w:rFonts w:asciiTheme="minorBidi" w:hAnsiTheme="minorBidi"/>
              </w:rPr>
            </w:pPr>
            <w:r w:rsidRPr="005024E7">
              <w:rPr>
                <w:rFonts w:asciiTheme="minorBidi" w:hAnsiTheme="minorBidi"/>
                <w:color w:val="000000"/>
                <w:sz w:val="22"/>
                <w:szCs w:val="22"/>
                <w:lang w:val="en-GB"/>
              </w:rPr>
              <w:lastRenderedPageBreak/>
              <w:t>Disability</w:t>
            </w:r>
          </w:p>
        </w:tc>
        <w:tc>
          <w:tcPr>
            <w:tcW w:w="4115" w:type="dxa"/>
          </w:tcPr>
          <w:p w14:paraId="1D1296E2" w14:textId="3AB6B9A0" w:rsidR="006B46CB" w:rsidRPr="008A00EB" w:rsidRDefault="00E03D9C" w:rsidP="0052326A">
            <w:pPr>
              <w:pStyle w:val="TableText"/>
            </w:pPr>
            <w:r>
              <w:t>2</w:t>
            </w:r>
          </w:p>
        </w:tc>
      </w:tr>
      <w:tr w:rsidR="006B46CB" w:rsidRPr="008A00EB" w14:paraId="5C0B7496" w14:textId="77777777" w:rsidTr="0052326A">
        <w:tc>
          <w:tcPr>
            <w:tcW w:w="3823" w:type="dxa"/>
          </w:tcPr>
          <w:p w14:paraId="5B8A6B32" w14:textId="2D46751C" w:rsidR="006B46CB" w:rsidRPr="005024E7" w:rsidRDefault="002D22FA" w:rsidP="0052326A">
            <w:pPr>
              <w:pStyle w:val="TableText"/>
              <w:rPr>
                <w:rFonts w:asciiTheme="minorBidi" w:hAnsiTheme="minorBidi"/>
              </w:rPr>
            </w:pPr>
            <w:r w:rsidRPr="005024E7">
              <w:rPr>
                <w:rFonts w:asciiTheme="minorBidi" w:hAnsiTheme="minorBidi"/>
                <w:color w:val="000000"/>
                <w:sz w:val="22"/>
                <w:szCs w:val="22"/>
                <w:lang w:val="en-GB"/>
              </w:rPr>
              <w:t>Health</w:t>
            </w:r>
          </w:p>
        </w:tc>
        <w:tc>
          <w:tcPr>
            <w:tcW w:w="4115" w:type="dxa"/>
          </w:tcPr>
          <w:p w14:paraId="683F361A" w14:textId="73F9B408" w:rsidR="006B46CB" w:rsidRPr="008A00EB" w:rsidRDefault="00E03D9C" w:rsidP="0052326A">
            <w:pPr>
              <w:pStyle w:val="TableText"/>
            </w:pPr>
            <w:r>
              <w:t>45</w:t>
            </w:r>
          </w:p>
        </w:tc>
      </w:tr>
      <w:tr w:rsidR="006B46CB" w:rsidRPr="008A00EB" w14:paraId="54278516" w14:textId="77777777" w:rsidTr="0052326A">
        <w:tc>
          <w:tcPr>
            <w:tcW w:w="3823" w:type="dxa"/>
          </w:tcPr>
          <w:p w14:paraId="3E8482F9" w14:textId="52BF6903" w:rsidR="006B46CB" w:rsidRPr="005024E7" w:rsidRDefault="002D22FA" w:rsidP="0052326A">
            <w:pPr>
              <w:pStyle w:val="TableText"/>
              <w:rPr>
                <w:rFonts w:asciiTheme="minorBidi" w:hAnsiTheme="minorBidi"/>
              </w:rPr>
            </w:pPr>
            <w:r w:rsidRPr="005024E7">
              <w:rPr>
                <w:rFonts w:asciiTheme="minorBidi" w:hAnsiTheme="minorBidi"/>
                <w:color w:val="000000"/>
                <w:sz w:val="22"/>
                <w:szCs w:val="22"/>
                <w:lang w:val="en-GB"/>
              </w:rPr>
              <w:t>Local government agency</w:t>
            </w:r>
          </w:p>
        </w:tc>
        <w:tc>
          <w:tcPr>
            <w:tcW w:w="4115" w:type="dxa"/>
          </w:tcPr>
          <w:p w14:paraId="7CA1542F" w14:textId="3E848D17" w:rsidR="006B46CB" w:rsidRPr="008A00EB" w:rsidRDefault="00E03D9C" w:rsidP="0052326A">
            <w:pPr>
              <w:pStyle w:val="TableText"/>
            </w:pPr>
            <w:r>
              <w:t>13</w:t>
            </w:r>
          </w:p>
        </w:tc>
      </w:tr>
      <w:tr w:rsidR="006B46CB" w:rsidRPr="008A00EB" w14:paraId="715CE427" w14:textId="77777777" w:rsidTr="0052326A">
        <w:tc>
          <w:tcPr>
            <w:tcW w:w="3823" w:type="dxa"/>
          </w:tcPr>
          <w:p w14:paraId="717FBEAE" w14:textId="75A1F45A" w:rsidR="006B46CB" w:rsidRPr="005024E7" w:rsidRDefault="002D22FA" w:rsidP="0052326A">
            <w:pPr>
              <w:pStyle w:val="TableText"/>
              <w:rPr>
                <w:rFonts w:asciiTheme="minorBidi" w:hAnsiTheme="minorBidi"/>
              </w:rPr>
            </w:pPr>
            <w:r w:rsidRPr="005024E7">
              <w:rPr>
                <w:rFonts w:asciiTheme="minorBidi" w:hAnsiTheme="minorBidi"/>
                <w:color w:val="000000"/>
                <w:sz w:val="22"/>
                <w:szCs w:val="22"/>
                <w:lang w:val="en-GB"/>
              </w:rPr>
              <w:t>Other government services</w:t>
            </w:r>
          </w:p>
        </w:tc>
        <w:tc>
          <w:tcPr>
            <w:tcW w:w="4115" w:type="dxa"/>
          </w:tcPr>
          <w:p w14:paraId="4CC309D4" w14:textId="5C553042" w:rsidR="006B46CB" w:rsidRPr="008A00EB" w:rsidRDefault="006D6D42" w:rsidP="0052326A">
            <w:pPr>
              <w:pStyle w:val="TableText"/>
            </w:pPr>
            <w:r>
              <w:t>5</w:t>
            </w:r>
          </w:p>
        </w:tc>
      </w:tr>
      <w:tr w:rsidR="006D6D42" w:rsidRPr="008A00EB" w14:paraId="0648983D" w14:textId="77777777" w:rsidTr="0052326A">
        <w:tc>
          <w:tcPr>
            <w:tcW w:w="3823" w:type="dxa"/>
          </w:tcPr>
          <w:p w14:paraId="3937B268" w14:textId="05EB73CA" w:rsidR="006D6D42" w:rsidRPr="005024E7" w:rsidRDefault="006D6D42" w:rsidP="0052326A">
            <w:pPr>
              <w:pStyle w:val="TableText"/>
              <w:rPr>
                <w:rFonts w:asciiTheme="minorBidi" w:hAnsiTheme="minorBidi"/>
              </w:rPr>
            </w:pPr>
            <w:r>
              <w:rPr>
                <w:rFonts w:asciiTheme="minorBidi" w:hAnsiTheme="minorBidi"/>
              </w:rPr>
              <w:t>Other state laws and programs</w:t>
            </w:r>
          </w:p>
        </w:tc>
        <w:tc>
          <w:tcPr>
            <w:tcW w:w="4115" w:type="dxa"/>
          </w:tcPr>
          <w:p w14:paraId="28C41AE5" w14:textId="20DCE0CA" w:rsidR="006D6D42" w:rsidRPr="008A00EB" w:rsidRDefault="006D6D42" w:rsidP="0052326A">
            <w:pPr>
              <w:pStyle w:val="TableText"/>
            </w:pPr>
            <w:r>
              <w:t>11</w:t>
            </w:r>
          </w:p>
        </w:tc>
      </w:tr>
      <w:tr w:rsidR="006B46CB" w:rsidRPr="008A00EB" w14:paraId="3DB8C76E" w14:textId="77777777" w:rsidTr="0052326A">
        <w:tc>
          <w:tcPr>
            <w:tcW w:w="3823" w:type="dxa"/>
          </w:tcPr>
          <w:p w14:paraId="13A999B7" w14:textId="04E84242" w:rsidR="006B46CB" w:rsidRPr="005024E7" w:rsidRDefault="005024E7" w:rsidP="0052326A">
            <w:pPr>
              <w:pStyle w:val="TableText"/>
              <w:rPr>
                <w:rFonts w:asciiTheme="minorBidi" w:hAnsiTheme="minorBidi"/>
              </w:rPr>
            </w:pPr>
            <w:r w:rsidRPr="005024E7">
              <w:rPr>
                <w:rFonts w:asciiTheme="minorBidi" w:hAnsiTheme="minorBidi"/>
              </w:rPr>
              <w:t>Police</w:t>
            </w:r>
          </w:p>
        </w:tc>
        <w:tc>
          <w:tcPr>
            <w:tcW w:w="4115" w:type="dxa"/>
          </w:tcPr>
          <w:p w14:paraId="6C7ACA88" w14:textId="2D789956" w:rsidR="006B46CB" w:rsidRPr="008A00EB" w:rsidRDefault="007C5B82" w:rsidP="0052326A">
            <w:pPr>
              <w:pStyle w:val="TableText"/>
            </w:pPr>
            <w:r>
              <w:t>34</w:t>
            </w:r>
          </w:p>
        </w:tc>
      </w:tr>
      <w:tr w:rsidR="006B46CB" w:rsidRPr="008A00EB" w14:paraId="71EFBBEB" w14:textId="77777777" w:rsidTr="0052326A">
        <w:tc>
          <w:tcPr>
            <w:tcW w:w="3823" w:type="dxa"/>
          </w:tcPr>
          <w:p w14:paraId="74C7A2E5" w14:textId="408A33DD" w:rsidR="006B46CB" w:rsidRPr="005024E7" w:rsidRDefault="005024E7" w:rsidP="0052326A">
            <w:pPr>
              <w:pStyle w:val="TableText"/>
              <w:rPr>
                <w:rFonts w:asciiTheme="minorBidi" w:hAnsiTheme="minorBidi"/>
              </w:rPr>
            </w:pPr>
            <w:r w:rsidRPr="005024E7">
              <w:rPr>
                <w:rFonts w:asciiTheme="minorBidi" w:hAnsiTheme="minorBidi"/>
              </w:rPr>
              <w:t>Public education</w:t>
            </w:r>
          </w:p>
        </w:tc>
        <w:tc>
          <w:tcPr>
            <w:tcW w:w="4115" w:type="dxa"/>
          </w:tcPr>
          <w:p w14:paraId="29C12686" w14:textId="2573AB77" w:rsidR="006B46CB" w:rsidRPr="008A00EB" w:rsidRDefault="007C5B82" w:rsidP="0052326A">
            <w:pPr>
              <w:pStyle w:val="TableText"/>
            </w:pPr>
            <w:r>
              <w:t>20</w:t>
            </w:r>
          </w:p>
        </w:tc>
      </w:tr>
      <w:tr w:rsidR="005024E7" w:rsidRPr="008A00EB" w14:paraId="55705C2F" w14:textId="77777777" w:rsidTr="0052326A">
        <w:tc>
          <w:tcPr>
            <w:tcW w:w="3823" w:type="dxa"/>
          </w:tcPr>
          <w:p w14:paraId="5AF1900D" w14:textId="67C53724" w:rsidR="005024E7" w:rsidRPr="005024E7" w:rsidRDefault="005024E7" w:rsidP="0052326A">
            <w:pPr>
              <w:pStyle w:val="TableText"/>
              <w:rPr>
                <w:rFonts w:asciiTheme="minorBidi" w:hAnsiTheme="minorBidi"/>
              </w:rPr>
            </w:pPr>
            <w:r w:rsidRPr="005024E7">
              <w:rPr>
                <w:rFonts w:asciiTheme="minorBidi" w:hAnsiTheme="minorBidi"/>
              </w:rPr>
              <w:t>Transport</w:t>
            </w:r>
          </w:p>
        </w:tc>
        <w:tc>
          <w:tcPr>
            <w:tcW w:w="4115" w:type="dxa"/>
          </w:tcPr>
          <w:p w14:paraId="00303BBC" w14:textId="6185A801" w:rsidR="005024E7" w:rsidRPr="008A00EB" w:rsidRDefault="007C5B82" w:rsidP="0052326A">
            <w:pPr>
              <w:pStyle w:val="TableText"/>
            </w:pPr>
            <w:r>
              <w:t>1</w:t>
            </w:r>
          </w:p>
        </w:tc>
      </w:tr>
      <w:tr w:rsidR="005024E7" w:rsidRPr="008A00EB" w14:paraId="4156FCE9" w14:textId="77777777" w:rsidTr="0052326A">
        <w:tc>
          <w:tcPr>
            <w:tcW w:w="3823" w:type="dxa"/>
          </w:tcPr>
          <w:p w14:paraId="02592BBA" w14:textId="1794C252" w:rsidR="005024E7" w:rsidRPr="005024E7" w:rsidRDefault="005024E7" w:rsidP="0052326A">
            <w:pPr>
              <w:pStyle w:val="TableText"/>
              <w:rPr>
                <w:rFonts w:asciiTheme="minorBidi" w:hAnsiTheme="minorBidi"/>
              </w:rPr>
            </w:pPr>
            <w:r w:rsidRPr="005024E7">
              <w:rPr>
                <w:rFonts w:asciiTheme="minorBidi" w:hAnsiTheme="minorBidi"/>
              </w:rPr>
              <w:t>Work</w:t>
            </w:r>
          </w:p>
        </w:tc>
        <w:tc>
          <w:tcPr>
            <w:tcW w:w="4115" w:type="dxa"/>
          </w:tcPr>
          <w:p w14:paraId="31EF387E" w14:textId="76BA828C" w:rsidR="005024E7" w:rsidRPr="008A00EB" w:rsidRDefault="007C5B82" w:rsidP="0052326A">
            <w:pPr>
              <w:pStyle w:val="TableText"/>
            </w:pPr>
            <w:r>
              <w:t>24</w:t>
            </w:r>
          </w:p>
        </w:tc>
      </w:tr>
    </w:tbl>
    <w:p w14:paraId="1D958179" w14:textId="43B30E49" w:rsidR="008426A7" w:rsidRDefault="008426A7" w:rsidP="00D436DA"/>
    <w:p w14:paraId="6702B2B4" w14:textId="583E4C3F" w:rsidR="00A12890" w:rsidRDefault="00A12890" w:rsidP="00B11D51">
      <w:pPr>
        <w:pStyle w:val="Caption"/>
      </w:pPr>
      <w:r>
        <w:t xml:space="preserve">Table </w:t>
      </w:r>
      <w:r w:rsidR="002C6FDE">
        <w:t>28</w:t>
      </w:r>
      <w:r>
        <w:t xml:space="preserve">: Finalised human rights complaints by sectors – human rights only </w:t>
      </w:r>
      <w:r w:rsidRPr="003F02D1">
        <w:t xml:space="preserve">complaints, </w:t>
      </w:r>
      <w:r w:rsidR="00584C8B">
        <w:t>2020-21</w:t>
      </w:r>
    </w:p>
    <w:tbl>
      <w:tblPr>
        <w:tblStyle w:val="TableGrid"/>
        <w:tblpPr w:leftFromText="180" w:rightFromText="180" w:vertAnchor="text" w:tblpY="-6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A12890" w:rsidRPr="008A00EB" w14:paraId="06FC4BAE" w14:textId="77777777" w:rsidTr="0052326A">
        <w:tc>
          <w:tcPr>
            <w:tcW w:w="3823" w:type="dxa"/>
          </w:tcPr>
          <w:p w14:paraId="6D8E962B" w14:textId="77777777" w:rsidR="00A12890" w:rsidRPr="002C6FDE" w:rsidRDefault="00A12890" w:rsidP="0052326A">
            <w:pPr>
              <w:pStyle w:val="TableTextHeading"/>
              <w:rPr>
                <w:color w:val="373D42"/>
              </w:rPr>
            </w:pPr>
            <w:r w:rsidRPr="002C6FDE">
              <w:rPr>
                <w:color w:val="373D42"/>
              </w:rPr>
              <w:t>Public entity by sector</w:t>
            </w:r>
          </w:p>
        </w:tc>
        <w:tc>
          <w:tcPr>
            <w:tcW w:w="4115" w:type="dxa"/>
          </w:tcPr>
          <w:p w14:paraId="1223EB08" w14:textId="686B1AB9" w:rsidR="00A12890" w:rsidRPr="002C6FDE" w:rsidRDefault="00A12890" w:rsidP="00BA291D">
            <w:pPr>
              <w:pStyle w:val="TableTextHeading"/>
              <w:rPr>
                <w:color w:val="373D42"/>
              </w:rPr>
            </w:pPr>
            <w:r w:rsidRPr="002C6FDE">
              <w:rPr>
                <w:color w:val="373D42"/>
              </w:rPr>
              <w:t xml:space="preserve">No. </w:t>
            </w:r>
            <w:r w:rsidR="003F02D1" w:rsidRPr="002C6FDE">
              <w:rPr>
                <w:color w:val="373D42"/>
              </w:rPr>
              <w:t xml:space="preserve">finalised </w:t>
            </w:r>
            <w:r w:rsidRPr="002C6FDE">
              <w:rPr>
                <w:color w:val="373D42"/>
              </w:rPr>
              <w:t>complaints</w:t>
            </w:r>
          </w:p>
        </w:tc>
      </w:tr>
      <w:tr w:rsidR="00A12890" w:rsidRPr="008A00EB" w14:paraId="6C1F778B" w14:textId="77777777" w:rsidTr="0052326A">
        <w:tc>
          <w:tcPr>
            <w:tcW w:w="3823" w:type="dxa"/>
          </w:tcPr>
          <w:p w14:paraId="17F0076A" w14:textId="6F80E07E"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Accommodation/housing</w:t>
            </w:r>
          </w:p>
        </w:tc>
        <w:tc>
          <w:tcPr>
            <w:tcW w:w="4115" w:type="dxa"/>
          </w:tcPr>
          <w:p w14:paraId="6E591FA2" w14:textId="03553EA4"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8</w:t>
            </w:r>
          </w:p>
        </w:tc>
      </w:tr>
      <w:tr w:rsidR="00A12890" w:rsidRPr="008A00EB" w14:paraId="59915BA9" w14:textId="77777777" w:rsidTr="0052326A">
        <w:tc>
          <w:tcPr>
            <w:tcW w:w="3823" w:type="dxa"/>
          </w:tcPr>
          <w:p w14:paraId="0E3A0CB4" w14:textId="5174BBFB"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 xml:space="preserve">Child </w:t>
            </w:r>
            <w:r w:rsidR="0008048B">
              <w:rPr>
                <w:rFonts w:asciiTheme="minorBidi" w:hAnsiTheme="minorBidi"/>
                <w:color w:val="000000"/>
                <w:sz w:val="22"/>
                <w:szCs w:val="22"/>
                <w:lang w:val="en-GB"/>
              </w:rPr>
              <w:t>s</w:t>
            </w:r>
            <w:r w:rsidRPr="00B867DD">
              <w:rPr>
                <w:rFonts w:asciiTheme="minorBidi" w:hAnsiTheme="minorBidi"/>
                <w:color w:val="000000"/>
                <w:sz w:val="22"/>
                <w:szCs w:val="22"/>
                <w:lang w:val="en-GB"/>
              </w:rPr>
              <w:t>afety</w:t>
            </w:r>
          </w:p>
        </w:tc>
        <w:tc>
          <w:tcPr>
            <w:tcW w:w="4115" w:type="dxa"/>
          </w:tcPr>
          <w:p w14:paraId="64061CF2" w14:textId="6FF3F3C9"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9</w:t>
            </w:r>
          </w:p>
        </w:tc>
      </w:tr>
      <w:tr w:rsidR="00A12890" w:rsidRPr="008A00EB" w14:paraId="01F454D6" w14:textId="77777777" w:rsidTr="0052326A">
        <w:tc>
          <w:tcPr>
            <w:tcW w:w="3823" w:type="dxa"/>
          </w:tcPr>
          <w:p w14:paraId="387643E1" w14:textId="2D19B82A"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Corrections</w:t>
            </w:r>
          </w:p>
        </w:tc>
        <w:tc>
          <w:tcPr>
            <w:tcW w:w="4115" w:type="dxa"/>
          </w:tcPr>
          <w:p w14:paraId="2C16CE47" w14:textId="7402D6FB"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42</w:t>
            </w:r>
          </w:p>
        </w:tc>
      </w:tr>
      <w:tr w:rsidR="00A12890" w:rsidRPr="008A00EB" w14:paraId="7C948802" w14:textId="77777777" w:rsidTr="0052326A">
        <w:tc>
          <w:tcPr>
            <w:tcW w:w="3823" w:type="dxa"/>
          </w:tcPr>
          <w:p w14:paraId="15673D75" w14:textId="53CBE756"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Court services</w:t>
            </w:r>
          </w:p>
        </w:tc>
        <w:tc>
          <w:tcPr>
            <w:tcW w:w="4115" w:type="dxa"/>
          </w:tcPr>
          <w:p w14:paraId="34AD6F53" w14:textId="7653FA2E"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17</w:t>
            </w:r>
          </w:p>
        </w:tc>
      </w:tr>
      <w:tr w:rsidR="00A12890" w:rsidRPr="008A00EB" w14:paraId="11A2C388" w14:textId="77777777" w:rsidTr="0052326A">
        <w:tc>
          <w:tcPr>
            <w:tcW w:w="3823" w:type="dxa"/>
          </w:tcPr>
          <w:p w14:paraId="6932B228" w14:textId="53ABD634"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Disability</w:t>
            </w:r>
          </w:p>
        </w:tc>
        <w:tc>
          <w:tcPr>
            <w:tcW w:w="4115" w:type="dxa"/>
          </w:tcPr>
          <w:p w14:paraId="58E98511" w14:textId="3C8FFE98"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5</w:t>
            </w:r>
          </w:p>
        </w:tc>
      </w:tr>
      <w:tr w:rsidR="00A12890" w:rsidRPr="008A00EB" w14:paraId="7C6A4089" w14:textId="77777777" w:rsidTr="0052326A">
        <w:tc>
          <w:tcPr>
            <w:tcW w:w="3823" w:type="dxa"/>
          </w:tcPr>
          <w:p w14:paraId="2C33F087" w14:textId="1F9D6610"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Health</w:t>
            </w:r>
          </w:p>
        </w:tc>
        <w:tc>
          <w:tcPr>
            <w:tcW w:w="4115" w:type="dxa"/>
          </w:tcPr>
          <w:p w14:paraId="5F9F46C1" w14:textId="5362D78C"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67</w:t>
            </w:r>
          </w:p>
        </w:tc>
      </w:tr>
      <w:tr w:rsidR="00A12890" w:rsidRPr="008A00EB" w14:paraId="290D412C" w14:textId="77777777" w:rsidTr="0052326A">
        <w:tc>
          <w:tcPr>
            <w:tcW w:w="3823" w:type="dxa"/>
          </w:tcPr>
          <w:p w14:paraId="133AD397" w14:textId="5719EDDF" w:rsidR="00A12890" w:rsidRPr="00B867DD" w:rsidRDefault="00C97306" w:rsidP="00243A9C">
            <w:pPr>
              <w:pStyle w:val="TableText"/>
              <w:rPr>
                <w:rFonts w:asciiTheme="minorBidi" w:hAnsiTheme="minorBidi"/>
              </w:rPr>
            </w:pPr>
            <w:r w:rsidRPr="00B867DD">
              <w:rPr>
                <w:rFonts w:asciiTheme="minorBidi" w:hAnsiTheme="minorBidi"/>
                <w:color w:val="000000"/>
                <w:sz w:val="22"/>
                <w:szCs w:val="22"/>
                <w:lang w:val="en-GB"/>
              </w:rPr>
              <w:t>Local government agency</w:t>
            </w:r>
          </w:p>
        </w:tc>
        <w:tc>
          <w:tcPr>
            <w:tcW w:w="4115" w:type="dxa"/>
          </w:tcPr>
          <w:p w14:paraId="52D3F93B" w14:textId="32659182" w:rsidR="00A12890" w:rsidRPr="00B867DD" w:rsidRDefault="00C97306" w:rsidP="0052326A">
            <w:pPr>
              <w:pStyle w:val="TableText"/>
              <w:rPr>
                <w:rFonts w:asciiTheme="minorBidi" w:hAnsiTheme="minorBidi"/>
              </w:rPr>
            </w:pPr>
            <w:r w:rsidRPr="00B867DD">
              <w:rPr>
                <w:rFonts w:asciiTheme="minorBidi" w:hAnsiTheme="minorBidi"/>
                <w:color w:val="000000"/>
                <w:sz w:val="22"/>
                <w:szCs w:val="22"/>
                <w:lang w:val="en-GB"/>
              </w:rPr>
              <w:t>11</w:t>
            </w:r>
          </w:p>
        </w:tc>
      </w:tr>
      <w:tr w:rsidR="00A12890" w:rsidRPr="008A00EB" w14:paraId="5D0C23C2" w14:textId="77777777" w:rsidTr="0052326A">
        <w:tc>
          <w:tcPr>
            <w:tcW w:w="3823" w:type="dxa"/>
          </w:tcPr>
          <w:p w14:paraId="7C8A0EAC" w14:textId="7D3E2E9B"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Not a public entity</w:t>
            </w:r>
          </w:p>
        </w:tc>
        <w:tc>
          <w:tcPr>
            <w:tcW w:w="4115" w:type="dxa"/>
          </w:tcPr>
          <w:p w14:paraId="5761C695" w14:textId="67182A0F"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4</w:t>
            </w:r>
          </w:p>
        </w:tc>
      </w:tr>
      <w:tr w:rsidR="00A12890" w:rsidRPr="008A00EB" w14:paraId="21AC1C89" w14:textId="77777777" w:rsidTr="0052326A">
        <w:tc>
          <w:tcPr>
            <w:tcW w:w="3823" w:type="dxa"/>
          </w:tcPr>
          <w:p w14:paraId="35C4BD51" w14:textId="509D6581"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Other government services</w:t>
            </w:r>
          </w:p>
        </w:tc>
        <w:tc>
          <w:tcPr>
            <w:tcW w:w="4115" w:type="dxa"/>
          </w:tcPr>
          <w:p w14:paraId="579F9F38" w14:textId="19361285" w:rsidR="00A12890" w:rsidRPr="00B867DD" w:rsidRDefault="00C97306" w:rsidP="0052326A">
            <w:pPr>
              <w:pStyle w:val="TableText"/>
              <w:rPr>
                <w:rFonts w:asciiTheme="minorBidi" w:hAnsiTheme="minorBidi"/>
              </w:rPr>
            </w:pPr>
            <w:r w:rsidRPr="00B867DD">
              <w:rPr>
                <w:rFonts w:asciiTheme="minorBidi" w:hAnsiTheme="minorBidi"/>
                <w:color w:val="000000"/>
                <w:sz w:val="22"/>
                <w:szCs w:val="22"/>
                <w:lang w:val="en-GB"/>
              </w:rPr>
              <w:t>17</w:t>
            </w:r>
          </w:p>
        </w:tc>
      </w:tr>
      <w:tr w:rsidR="00A12890" w:rsidRPr="008A00EB" w14:paraId="41015387" w14:textId="77777777" w:rsidTr="0052326A">
        <w:tc>
          <w:tcPr>
            <w:tcW w:w="3823" w:type="dxa"/>
          </w:tcPr>
          <w:p w14:paraId="62CF6A8A" w14:textId="7347F54D"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Other state laws and programs</w:t>
            </w:r>
          </w:p>
        </w:tc>
        <w:tc>
          <w:tcPr>
            <w:tcW w:w="4115" w:type="dxa"/>
          </w:tcPr>
          <w:p w14:paraId="4A3727DE" w14:textId="064FE9B9"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29</w:t>
            </w:r>
          </w:p>
        </w:tc>
      </w:tr>
      <w:tr w:rsidR="00A12890" w:rsidRPr="008A00EB" w14:paraId="44964E4A" w14:textId="77777777" w:rsidTr="0052326A">
        <w:tc>
          <w:tcPr>
            <w:tcW w:w="3823" w:type="dxa"/>
          </w:tcPr>
          <w:p w14:paraId="6AEE40C0" w14:textId="413CF3CB"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Police</w:t>
            </w:r>
          </w:p>
        </w:tc>
        <w:tc>
          <w:tcPr>
            <w:tcW w:w="4115" w:type="dxa"/>
          </w:tcPr>
          <w:p w14:paraId="5136F65E" w14:textId="6A9A90D4" w:rsidR="00A12890" w:rsidRPr="00B867DD" w:rsidRDefault="00B867DD" w:rsidP="0052326A">
            <w:pPr>
              <w:pStyle w:val="TableText"/>
              <w:rPr>
                <w:rFonts w:asciiTheme="minorBidi" w:hAnsiTheme="minorBidi"/>
              </w:rPr>
            </w:pPr>
            <w:r w:rsidRPr="00B867DD">
              <w:rPr>
                <w:rFonts w:asciiTheme="minorBidi" w:hAnsiTheme="minorBidi"/>
                <w:color w:val="000000"/>
                <w:sz w:val="22"/>
                <w:szCs w:val="22"/>
                <w:lang w:val="en-GB"/>
              </w:rPr>
              <w:t>40</w:t>
            </w:r>
          </w:p>
        </w:tc>
      </w:tr>
      <w:tr w:rsidR="00B867DD" w:rsidRPr="008A00EB" w14:paraId="2AB8D41E" w14:textId="77777777" w:rsidTr="0052326A">
        <w:tc>
          <w:tcPr>
            <w:tcW w:w="3823" w:type="dxa"/>
          </w:tcPr>
          <w:p w14:paraId="6626713F" w14:textId="33BB9CC6" w:rsidR="00B867DD" w:rsidRPr="00B867DD" w:rsidRDefault="009A7538" w:rsidP="00B867DD">
            <w:pPr>
              <w:pStyle w:val="TableText"/>
              <w:rPr>
                <w:rFonts w:asciiTheme="minorBidi" w:hAnsiTheme="minorBidi"/>
                <w:color w:val="000000"/>
                <w:sz w:val="22"/>
                <w:szCs w:val="22"/>
                <w:lang w:val="en-GB"/>
              </w:rPr>
            </w:pPr>
            <w:r>
              <w:rPr>
                <w:rFonts w:asciiTheme="minorBidi" w:hAnsiTheme="minorBidi"/>
                <w:color w:val="000000"/>
                <w:sz w:val="22"/>
                <w:szCs w:val="22"/>
                <w:lang w:val="en-GB"/>
              </w:rPr>
              <w:t>Public education</w:t>
            </w:r>
          </w:p>
        </w:tc>
        <w:tc>
          <w:tcPr>
            <w:tcW w:w="4115" w:type="dxa"/>
          </w:tcPr>
          <w:p w14:paraId="6BD3783E" w14:textId="5A932CF1" w:rsidR="00B867DD" w:rsidRPr="00B867DD" w:rsidRDefault="00B867DD" w:rsidP="00B867DD">
            <w:pPr>
              <w:pStyle w:val="TableText"/>
              <w:rPr>
                <w:rFonts w:asciiTheme="minorBidi" w:hAnsiTheme="minorBidi"/>
                <w:color w:val="000000"/>
                <w:sz w:val="22"/>
                <w:szCs w:val="22"/>
                <w:lang w:val="en-GB"/>
              </w:rPr>
            </w:pPr>
            <w:r w:rsidRPr="00B867DD">
              <w:rPr>
                <w:rFonts w:asciiTheme="minorBidi" w:hAnsiTheme="minorBidi"/>
                <w:color w:val="000000"/>
                <w:sz w:val="22"/>
                <w:szCs w:val="22"/>
                <w:lang w:val="en-GB"/>
              </w:rPr>
              <w:t>14</w:t>
            </w:r>
          </w:p>
        </w:tc>
      </w:tr>
      <w:tr w:rsidR="00B867DD" w:rsidRPr="008A00EB" w14:paraId="5F8D7C71" w14:textId="77777777" w:rsidTr="0052326A">
        <w:tc>
          <w:tcPr>
            <w:tcW w:w="3823" w:type="dxa"/>
          </w:tcPr>
          <w:p w14:paraId="3117E1B2" w14:textId="5B30116F" w:rsidR="00B867DD" w:rsidRPr="00B867DD" w:rsidRDefault="00B867DD" w:rsidP="00B867DD">
            <w:pPr>
              <w:pStyle w:val="TableText"/>
              <w:rPr>
                <w:rFonts w:asciiTheme="minorBidi" w:hAnsiTheme="minorBidi"/>
                <w:color w:val="000000"/>
                <w:sz w:val="22"/>
                <w:szCs w:val="22"/>
                <w:lang w:val="en-GB"/>
              </w:rPr>
            </w:pPr>
            <w:r w:rsidRPr="00B867DD">
              <w:rPr>
                <w:rFonts w:asciiTheme="minorBidi" w:hAnsiTheme="minorBidi"/>
                <w:color w:val="000000"/>
                <w:sz w:val="22"/>
                <w:szCs w:val="22"/>
                <w:lang w:val="en-GB"/>
              </w:rPr>
              <w:t>Transport</w:t>
            </w:r>
          </w:p>
        </w:tc>
        <w:tc>
          <w:tcPr>
            <w:tcW w:w="4115" w:type="dxa"/>
          </w:tcPr>
          <w:p w14:paraId="7C3A3198" w14:textId="5E19C124" w:rsidR="00B867DD" w:rsidRPr="00B867DD" w:rsidRDefault="00B867DD" w:rsidP="00B867DD">
            <w:pPr>
              <w:pStyle w:val="TableText"/>
              <w:rPr>
                <w:rFonts w:asciiTheme="minorBidi" w:hAnsiTheme="minorBidi"/>
                <w:color w:val="000000"/>
                <w:sz w:val="22"/>
                <w:szCs w:val="22"/>
                <w:lang w:val="en-GB"/>
              </w:rPr>
            </w:pPr>
            <w:r w:rsidRPr="00B867DD">
              <w:rPr>
                <w:rFonts w:asciiTheme="minorBidi" w:hAnsiTheme="minorBidi"/>
                <w:color w:val="000000"/>
                <w:sz w:val="22"/>
                <w:szCs w:val="22"/>
                <w:lang w:val="en-GB"/>
              </w:rPr>
              <w:t>1</w:t>
            </w:r>
          </w:p>
        </w:tc>
      </w:tr>
      <w:tr w:rsidR="00B867DD" w:rsidRPr="008A00EB" w14:paraId="20A2E24D" w14:textId="77777777" w:rsidTr="0052326A">
        <w:tc>
          <w:tcPr>
            <w:tcW w:w="3823" w:type="dxa"/>
          </w:tcPr>
          <w:p w14:paraId="03CBAAB8" w14:textId="1D13588C" w:rsidR="00B867DD" w:rsidRPr="00B867DD" w:rsidRDefault="00B867DD" w:rsidP="00B867DD">
            <w:pPr>
              <w:pStyle w:val="TableText"/>
              <w:rPr>
                <w:rFonts w:asciiTheme="minorBidi" w:hAnsiTheme="minorBidi"/>
                <w:color w:val="000000"/>
                <w:sz w:val="22"/>
                <w:szCs w:val="22"/>
                <w:lang w:val="en-GB"/>
              </w:rPr>
            </w:pPr>
            <w:r w:rsidRPr="00B867DD">
              <w:rPr>
                <w:rFonts w:asciiTheme="minorBidi" w:hAnsiTheme="minorBidi"/>
                <w:color w:val="000000"/>
                <w:sz w:val="22"/>
                <w:szCs w:val="22"/>
                <w:lang w:val="en-GB"/>
              </w:rPr>
              <w:t>Work</w:t>
            </w:r>
          </w:p>
        </w:tc>
        <w:tc>
          <w:tcPr>
            <w:tcW w:w="4115" w:type="dxa"/>
          </w:tcPr>
          <w:p w14:paraId="376108FF" w14:textId="0A38BDDE" w:rsidR="00B867DD" w:rsidRPr="00B867DD" w:rsidRDefault="00B867DD" w:rsidP="00B867DD">
            <w:pPr>
              <w:pStyle w:val="TableText"/>
              <w:rPr>
                <w:rFonts w:asciiTheme="minorBidi" w:hAnsiTheme="minorBidi"/>
                <w:color w:val="000000"/>
                <w:sz w:val="22"/>
                <w:szCs w:val="22"/>
                <w:lang w:val="en-GB"/>
              </w:rPr>
            </w:pPr>
            <w:r w:rsidRPr="00B867DD">
              <w:rPr>
                <w:rFonts w:asciiTheme="minorBidi" w:hAnsiTheme="minorBidi"/>
                <w:color w:val="000000"/>
                <w:sz w:val="22"/>
                <w:szCs w:val="22"/>
                <w:lang w:val="en-GB"/>
              </w:rPr>
              <w:t>9</w:t>
            </w:r>
          </w:p>
        </w:tc>
      </w:tr>
    </w:tbl>
    <w:p w14:paraId="35B3557A" w14:textId="77777777" w:rsidR="00A12890" w:rsidRDefault="00A12890" w:rsidP="00666E19"/>
    <w:p w14:paraId="73AB4D74" w14:textId="77777777" w:rsidR="00BD31D2" w:rsidRDefault="00BD31D2">
      <w:pPr>
        <w:spacing w:line="259" w:lineRule="auto"/>
        <w:ind w:right="0"/>
        <w:rPr>
          <w:rFonts w:eastAsiaTheme="minorEastAsia"/>
          <w:b/>
          <w:bCs/>
          <w:i/>
          <w:iCs/>
          <w:color w:val="383D41"/>
          <w:sz w:val="20"/>
          <w:szCs w:val="18"/>
        </w:rPr>
      </w:pPr>
      <w:r>
        <w:br w:type="page"/>
      </w:r>
    </w:p>
    <w:p w14:paraId="160F585B" w14:textId="0F960B67" w:rsidR="00666E19" w:rsidRDefault="00A12890" w:rsidP="00B11D51">
      <w:pPr>
        <w:pStyle w:val="Caption"/>
      </w:pPr>
      <w:r>
        <w:lastRenderedPageBreak/>
        <w:t>Table</w:t>
      </w:r>
      <w:r w:rsidR="002C6FDE">
        <w:t xml:space="preserve"> 29</w:t>
      </w:r>
      <w:r w:rsidR="00F85D96">
        <w:t>:</w:t>
      </w:r>
      <w:r w:rsidR="00666E19">
        <w:t xml:space="preserve"> Accepted and finalised human rights complaints by sectors –</w:t>
      </w:r>
      <w:r w:rsidR="001034AE">
        <w:t xml:space="preserve"> </w:t>
      </w:r>
      <w:r w:rsidR="00666E19">
        <w:t>human rights only complaints</w:t>
      </w:r>
      <w:r>
        <w:t xml:space="preserve">, </w:t>
      </w:r>
      <w:r w:rsidR="00584C8B">
        <w:t>2020-21</w:t>
      </w:r>
    </w:p>
    <w:tbl>
      <w:tblPr>
        <w:tblStyle w:val="TableGrid"/>
        <w:tblpPr w:leftFromText="180" w:rightFromText="180" w:vertAnchor="text" w:tblpY="-65"/>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666E19" w:rsidRPr="008A00EB" w14:paraId="62DE4D71" w14:textId="77777777" w:rsidTr="0052326A">
        <w:tc>
          <w:tcPr>
            <w:tcW w:w="3823" w:type="dxa"/>
          </w:tcPr>
          <w:p w14:paraId="65BD5820" w14:textId="77777777" w:rsidR="00666E19" w:rsidRPr="00F85D96" w:rsidRDefault="00666E19" w:rsidP="0052326A">
            <w:pPr>
              <w:pStyle w:val="TableTextHeading"/>
              <w:rPr>
                <w:color w:val="373D42"/>
              </w:rPr>
            </w:pPr>
            <w:r w:rsidRPr="00F85D96">
              <w:rPr>
                <w:color w:val="373D42"/>
              </w:rPr>
              <w:t>Public entity by sector</w:t>
            </w:r>
          </w:p>
        </w:tc>
        <w:tc>
          <w:tcPr>
            <w:tcW w:w="4115" w:type="dxa"/>
          </w:tcPr>
          <w:p w14:paraId="2BEA9EE4" w14:textId="690C67B5" w:rsidR="00666E19" w:rsidRPr="008A00EB" w:rsidRDefault="00666E19" w:rsidP="00BA291D">
            <w:pPr>
              <w:pStyle w:val="TableTextHeading"/>
            </w:pPr>
            <w:r w:rsidRPr="00F85D96">
              <w:rPr>
                <w:color w:val="373D42"/>
              </w:rPr>
              <w:t xml:space="preserve">No. accepted </w:t>
            </w:r>
            <w:r w:rsidR="00B27C36" w:rsidRPr="00F85D96">
              <w:rPr>
                <w:color w:val="373D42"/>
              </w:rPr>
              <w:t xml:space="preserve">and finalised </w:t>
            </w:r>
            <w:r w:rsidRPr="00F85D96">
              <w:rPr>
                <w:color w:val="373D42"/>
              </w:rPr>
              <w:t>complaints</w:t>
            </w:r>
          </w:p>
        </w:tc>
      </w:tr>
      <w:tr w:rsidR="00666E19" w:rsidRPr="008A00EB" w14:paraId="7089B9DC" w14:textId="77777777" w:rsidTr="0052326A">
        <w:tc>
          <w:tcPr>
            <w:tcW w:w="3823" w:type="dxa"/>
          </w:tcPr>
          <w:p w14:paraId="054DE63C" w14:textId="02461EC7" w:rsidR="00666E19" w:rsidRPr="00B8418C" w:rsidRDefault="0011794A" w:rsidP="0052326A">
            <w:pPr>
              <w:pStyle w:val="TableText"/>
              <w:rPr>
                <w:rFonts w:asciiTheme="minorBidi" w:hAnsiTheme="minorBidi"/>
              </w:rPr>
            </w:pPr>
            <w:r w:rsidRPr="00B8418C">
              <w:rPr>
                <w:rFonts w:asciiTheme="minorBidi" w:hAnsiTheme="minorBidi"/>
                <w:color w:val="000000"/>
                <w:sz w:val="22"/>
                <w:szCs w:val="22"/>
                <w:lang w:val="en-GB"/>
              </w:rPr>
              <w:t>Accommodation/housing</w:t>
            </w:r>
          </w:p>
        </w:tc>
        <w:tc>
          <w:tcPr>
            <w:tcW w:w="4115" w:type="dxa"/>
          </w:tcPr>
          <w:p w14:paraId="18863AC8" w14:textId="63A88E61" w:rsidR="00666E19" w:rsidRPr="00B8418C" w:rsidRDefault="001316E7" w:rsidP="0052326A">
            <w:pPr>
              <w:pStyle w:val="TableText"/>
              <w:rPr>
                <w:rFonts w:asciiTheme="minorBidi" w:hAnsiTheme="minorBidi"/>
              </w:rPr>
            </w:pPr>
            <w:r w:rsidRPr="00B8418C">
              <w:rPr>
                <w:rFonts w:asciiTheme="minorBidi" w:hAnsiTheme="minorBidi"/>
              </w:rPr>
              <w:t>2</w:t>
            </w:r>
          </w:p>
        </w:tc>
      </w:tr>
      <w:tr w:rsidR="00666E19" w:rsidRPr="008A00EB" w14:paraId="377386A7" w14:textId="77777777" w:rsidTr="0052326A">
        <w:tc>
          <w:tcPr>
            <w:tcW w:w="3823" w:type="dxa"/>
          </w:tcPr>
          <w:p w14:paraId="6EAC1764" w14:textId="76758BC9" w:rsidR="00666E19" w:rsidRPr="00B8418C" w:rsidRDefault="00194211" w:rsidP="0052326A">
            <w:pPr>
              <w:pStyle w:val="TableText"/>
              <w:rPr>
                <w:rFonts w:asciiTheme="minorBidi" w:hAnsiTheme="minorBidi"/>
              </w:rPr>
            </w:pPr>
            <w:r w:rsidRPr="00B8418C">
              <w:rPr>
                <w:rFonts w:asciiTheme="minorBidi" w:hAnsiTheme="minorBidi"/>
                <w:color w:val="000000"/>
                <w:sz w:val="22"/>
                <w:szCs w:val="22"/>
                <w:lang w:val="en-GB"/>
              </w:rPr>
              <w:t>Corrections</w:t>
            </w:r>
          </w:p>
        </w:tc>
        <w:tc>
          <w:tcPr>
            <w:tcW w:w="4115" w:type="dxa"/>
          </w:tcPr>
          <w:p w14:paraId="5B0A5BE0" w14:textId="66F2EF23" w:rsidR="00666E19" w:rsidRPr="00B8418C" w:rsidRDefault="005B7AC4" w:rsidP="0052326A">
            <w:pPr>
              <w:pStyle w:val="TableText"/>
              <w:rPr>
                <w:rFonts w:asciiTheme="minorBidi" w:hAnsiTheme="minorBidi"/>
              </w:rPr>
            </w:pPr>
            <w:r w:rsidRPr="00B8418C">
              <w:rPr>
                <w:rFonts w:asciiTheme="minorBidi" w:hAnsiTheme="minorBidi"/>
              </w:rPr>
              <w:t>8</w:t>
            </w:r>
          </w:p>
        </w:tc>
      </w:tr>
      <w:tr w:rsidR="00666E19" w:rsidRPr="008A00EB" w14:paraId="0B6E4143" w14:textId="77777777" w:rsidTr="0052326A">
        <w:tc>
          <w:tcPr>
            <w:tcW w:w="3823" w:type="dxa"/>
          </w:tcPr>
          <w:p w14:paraId="3272DDDB" w14:textId="5BE18974" w:rsidR="00666E19" w:rsidRPr="00B8418C" w:rsidRDefault="0011794A" w:rsidP="0052326A">
            <w:pPr>
              <w:pStyle w:val="TableText"/>
              <w:rPr>
                <w:rFonts w:asciiTheme="minorBidi" w:hAnsiTheme="minorBidi"/>
              </w:rPr>
            </w:pPr>
            <w:r w:rsidRPr="00B8418C">
              <w:rPr>
                <w:rFonts w:asciiTheme="minorBidi" w:hAnsiTheme="minorBidi"/>
                <w:color w:val="000000"/>
                <w:sz w:val="22"/>
                <w:szCs w:val="22"/>
                <w:lang w:val="en-GB"/>
              </w:rPr>
              <w:t>Court services</w:t>
            </w:r>
          </w:p>
        </w:tc>
        <w:tc>
          <w:tcPr>
            <w:tcW w:w="4115" w:type="dxa"/>
          </w:tcPr>
          <w:p w14:paraId="7BB5E063" w14:textId="7550804B" w:rsidR="00666E19" w:rsidRPr="00B8418C" w:rsidRDefault="005B7AC4" w:rsidP="0052326A">
            <w:pPr>
              <w:pStyle w:val="TableText"/>
              <w:rPr>
                <w:rFonts w:asciiTheme="minorBidi" w:hAnsiTheme="minorBidi"/>
              </w:rPr>
            </w:pPr>
            <w:r w:rsidRPr="00B8418C">
              <w:rPr>
                <w:rFonts w:asciiTheme="minorBidi" w:hAnsiTheme="minorBidi"/>
              </w:rPr>
              <w:t>3</w:t>
            </w:r>
          </w:p>
        </w:tc>
      </w:tr>
      <w:tr w:rsidR="00666E19" w:rsidRPr="008A00EB" w14:paraId="6956901A" w14:textId="77777777" w:rsidTr="0052326A">
        <w:tc>
          <w:tcPr>
            <w:tcW w:w="3823" w:type="dxa"/>
          </w:tcPr>
          <w:p w14:paraId="1324FFDE" w14:textId="17662F8C" w:rsidR="00666E19" w:rsidRPr="00B8418C" w:rsidRDefault="0011794A" w:rsidP="0052326A">
            <w:pPr>
              <w:pStyle w:val="TableText"/>
              <w:rPr>
                <w:rFonts w:asciiTheme="minorBidi" w:hAnsiTheme="minorBidi"/>
              </w:rPr>
            </w:pPr>
            <w:r w:rsidRPr="00B8418C">
              <w:rPr>
                <w:rFonts w:asciiTheme="minorBidi" w:hAnsiTheme="minorBidi"/>
                <w:color w:val="000000"/>
                <w:sz w:val="22"/>
                <w:szCs w:val="22"/>
                <w:lang w:val="en-GB"/>
              </w:rPr>
              <w:t>Health</w:t>
            </w:r>
          </w:p>
        </w:tc>
        <w:tc>
          <w:tcPr>
            <w:tcW w:w="4115" w:type="dxa"/>
          </w:tcPr>
          <w:p w14:paraId="0D78AB76" w14:textId="1A6D7C91" w:rsidR="00666E19" w:rsidRPr="00B8418C" w:rsidRDefault="005B7AC4" w:rsidP="0052326A">
            <w:pPr>
              <w:pStyle w:val="TableText"/>
              <w:rPr>
                <w:rFonts w:asciiTheme="minorBidi" w:hAnsiTheme="minorBidi"/>
              </w:rPr>
            </w:pPr>
            <w:r w:rsidRPr="00B8418C">
              <w:rPr>
                <w:rFonts w:asciiTheme="minorBidi" w:hAnsiTheme="minorBidi"/>
              </w:rPr>
              <w:t>5</w:t>
            </w:r>
          </w:p>
        </w:tc>
      </w:tr>
      <w:tr w:rsidR="008C54E2" w:rsidRPr="008A00EB" w14:paraId="443F255A" w14:textId="77777777" w:rsidTr="0052326A">
        <w:tc>
          <w:tcPr>
            <w:tcW w:w="3823" w:type="dxa"/>
          </w:tcPr>
          <w:p w14:paraId="472BEEF7" w14:textId="58D83DBD" w:rsidR="008C54E2" w:rsidRPr="00B8418C" w:rsidRDefault="0011794A" w:rsidP="0052326A">
            <w:pPr>
              <w:pStyle w:val="TableText"/>
              <w:rPr>
                <w:rFonts w:asciiTheme="minorBidi" w:hAnsiTheme="minorBidi"/>
              </w:rPr>
            </w:pPr>
            <w:r w:rsidRPr="00B8418C">
              <w:rPr>
                <w:rFonts w:asciiTheme="minorBidi" w:hAnsiTheme="minorBidi"/>
                <w:color w:val="000000"/>
                <w:sz w:val="22"/>
                <w:szCs w:val="22"/>
                <w:lang w:val="en-GB"/>
              </w:rPr>
              <w:t>Local government agency</w:t>
            </w:r>
          </w:p>
        </w:tc>
        <w:tc>
          <w:tcPr>
            <w:tcW w:w="4115" w:type="dxa"/>
          </w:tcPr>
          <w:p w14:paraId="7B7B4CD3" w14:textId="41E0AC29" w:rsidR="008C54E2" w:rsidRPr="00B8418C" w:rsidRDefault="000663FA" w:rsidP="0052326A">
            <w:pPr>
              <w:pStyle w:val="TableText"/>
              <w:rPr>
                <w:rFonts w:asciiTheme="minorBidi" w:hAnsiTheme="minorBidi"/>
              </w:rPr>
            </w:pPr>
            <w:r w:rsidRPr="00B8418C">
              <w:rPr>
                <w:rFonts w:asciiTheme="minorBidi" w:hAnsiTheme="minorBidi"/>
              </w:rPr>
              <w:t>3</w:t>
            </w:r>
          </w:p>
        </w:tc>
      </w:tr>
      <w:tr w:rsidR="0011794A" w:rsidRPr="008A00EB" w14:paraId="01D7A108" w14:textId="77777777" w:rsidTr="0052326A">
        <w:tc>
          <w:tcPr>
            <w:tcW w:w="3823" w:type="dxa"/>
          </w:tcPr>
          <w:p w14:paraId="52B66FFF" w14:textId="1384132E" w:rsidR="0011794A" w:rsidRPr="00B8418C" w:rsidRDefault="00C21974" w:rsidP="0052326A">
            <w:pPr>
              <w:pStyle w:val="TableText"/>
              <w:rPr>
                <w:rFonts w:asciiTheme="minorBidi" w:hAnsiTheme="minorBidi"/>
              </w:rPr>
            </w:pPr>
            <w:r w:rsidRPr="00B8418C">
              <w:rPr>
                <w:rFonts w:asciiTheme="minorBidi" w:hAnsiTheme="minorBidi"/>
              </w:rPr>
              <w:t>Other</w:t>
            </w:r>
            <w:r w:rsidR="00684E08" w:rsidRPr="00B8418C">
              <w:rPr>
                <w:rFonts w:asciiTheme="minorBidi" w:hAnsiTheme="minorBidi"/>
              </w:rPr>
              <w:t xml:space="preserve"> government services</w:t>
            </w:r>
          </w:p>
        </w:tc>
        <w:tc>
          <w:tcPr>
            <w:tcW w:w="4115" w:type="dxa"/>
          </w:tcPr>
          <w:p w14:paraId="3BF35A2F" w14:textId="63398359" w:rsidR="0011794A" w:rsidRPr="00B8418C" w:rsidRDefault="000663FA" w:rsidP="0052326A">
            <w:pPr>
              <w:pStyle w:val="TableText"/>
              <w:rPr>
                <w:rFonts w:asciiTheme="minorBidi" w:hAnsiTheme="minorBidi"/>
              </w:rPr>
            </w:pPr>
            <w:r w:rsidRPr="00B8418C">
              <w:rPr>
                <w:rFonts w:asciiTheme="minorBidi" w:hAnsiTheme="minorBidi"/>
              </w:rPr>
              <w:t>2</w:t>
            </w:r>
          </w:p>
        </w:tc>
      </w:tr>
      <w:tr w:rsidR="0011794A" w:rsidRPr="008A00EB" w14:paraId="4E30C871" w14:textId="77777777" w:rsidTr="0052326A">
        <w:tc>
          <w:tcPr>
            <w:tcW w:w="3823" w:type="dxa"/>
          </w:tcPr>
          <w:p w14:paraId="6566608C" w14:textId="13384A7C" w:rsidR="0011794A" w:rsidRPr="00B8418C" w:rsidRDefault="00684E08" w:rsidP="0052326A">
            <w:pPr>
              <w:pStyle w:val="TableText"/>
              <w:rPr>
                <w:rFonts w:asciiTheme="minorBidi" w:hAnsiTheme="minorBidi"/>
              </w:rPr>
            </w:pPr>
            <w:r w:rsidRPr="00B8418C">
              <w:rPr>
                <w:rFonts w:asciiTheme="minorBidi" w:hAnsiTheme="minorBidi"/>
              </w:rPr>
              <w:t>Other state laws and programs</w:t>
            </w:r>
          </w:p>
        </w:tc>
        <w:tc>
          <w:tcPr>
            <w:tcW w:w="4115" w:type="dxa"/>
          </w:tcPr>
          <w:p w14:paraId="2392B4DA" w14:textId="3070E119" w:rsidR="0011794A" w:rsidRPr="00B8418C" w:rsidRDefault="000663FA" w:rsidP="0052326A">
            <w:pPr>
              <w:pStyle w:val="TableText"/>
              <w:rPr>
                <w:rFonts w:asciiTheme="minorBidi" w:hAnsiTheme="minorBidi"/>
              </w:rPr>
            </w:pPr>
            <w:r w:rsidRPr="00B8418C">
              <w:rPr>
                <w:rFonts w:asciiTheme="minorBidi" w:hAnsiTheme="minorBidi"/>
              </w:rPr>
              <w:t>7</w:t>
            </w:r>
          </w:p>
        </w:tc>
      </w:tr>
      <w:tr w:rsidR="0011794A" w:rsidRPr="008A00EB" w14:paraId="4F792FEB" w14:textId="77777777" w:rsidTr="0052326A">
        <w:tc>
          <w:tcPr>
            <w:tcW w:w="3823" w:type="dxa"/>
          </w:tcPr>
          <w:p w14:paraId="1EA0989A" w14:textId="2913E6F6" w:rsidR="0011794A" w:rsidRPr="00B8418C" w:rsidRDefault="002E2546" w:rsidP="0052326A">
            <w:pPr>
              <w:pStyle w:val="TableText"/>
              <w:rPr>
                <w:rFonts w:asciiTheme="minorBidi" w:hAnsiTheme="minorBidi"/>
              </w:rPr>
            </w:pPr>
            <w:r w:rsidRPr="00B8418C">
              <w:rPr>
                <w:rFonts w:asciiTheme="minorBidi" w:hAnsiTheme="minorBidi"/>
              </w:rPr>
              <w:t>Police</w:t>
            </w:r>
          </w:p>
        </w:tc>
        <w:tc>
          <w:tcPr>
            <w:tcW w:w="4115" w:type="dxa"/>
          </w:tcPr>
          <w:p w14:paraId="120B1D8C" w14:textId="5DB8B719" w:rsidR="0011794A" w:rsidRPr="00B8418C" w:rsidRDefault="00B8418C" w:rsidP="0052326A">
            <w:pPr>
              <w:pStyle w:val="TableText"/>
              <w:rPr>
                <w:rFonts w:asciiTheme="minorBidi" w:hAnsiTheme="minorBidi"/>
              </w:rPr>
            </w:pPr>
            <w:r w:rsidRPr="00B8418C">
              <w:rPr>
                <w:rFonts w:asciiTheme="minorBidi" w:hAnsiTheme="minorBidi"/>
              </w:rPr>
              <w:t>15</w:t>
            </w:r>
          </w:p>
        </w:tc>
      </w:tr>
      <w:tr w:rsidR="0011794A" w:rsidRPr="008A00EB" w14:paraId="44AC4BD1" w14:textId="77777777" w:rsidTr="0052326A">
        <w:tc>
          <w:tcPr>
            <w:tcW w:w="3823" w:type="dxa"/>
          </w:tcPr>
          <w:p w14:paraId="74257C5A" w14:textId="60567233" w:rsidR="0011794A" w:rsidRPr="00B8418C" w:rsidRDefault="000663FA" w:rsidP="0052326A">
            <w:pPr>
              <w:pStyle w:val="TableText"/>
              <w:rPr>
                <w:rFonts w:asciiTheme="minorBidi" w:hAnsiTheme="minorBidi"/>
              </w:rPr>
            </w:pPr>
            <w:r w:rsidRPr="00B8418C">
              <w:rPr>
                <w:rFonts w:asciiTheme="minorBidi" w:hAnsiTheme="minorBidi"/>
              </w:rPr>
              <w:t>Public education</w:t>
            </w:r>
          </w:p>
        </w:tc>
        <w:tc>
          <w:tcPr>
            <w:tcW w:w="4115" w:type="dxa"/>
          </w:tcPr>
          <w:p w14:paraId="5D208C1E" w14:textId="125534D1" w:rsidR="0011794A" w:rsidRPr="00B8418C" w:rsidRDefault="00B8418C" w:rsidP="0052326A">
            <w:pPr>
              <w:pStyle w:val="TableText"/>
              <w:rPr>
                <w:rFonts w:asciiTheme="minorBidi" w:hAnsiTheme="minorBidi"/>
              </w:rPr>
            </w:pPr>
            <w:r w:rsidRPr="00B8418C">
              <w:rPr>
                <w:rFonts w:asciiTheme="minorBidi" w:hAnsiTheme="minorBidi"/>
              </w:rPr>
              <w:t>5</w:t>
            </w:r>
          </w:p>
        </w:tc>
      </w:tr>
    </w:tbl>
    <w:p w14:paraId="3993D94F" w14:textId="0EAB4AAD" w:rsidR="00666E19" w:rsidRDefault="0011794A" w:rsidP="00666E19">
      <w:r>
        <w:tab/>
      </w:r>
    </w:p>
    <w:p w14:paraId="71E6ED39" w14:textId="5D0710D3" w:rsidR="00BE3052" w:rsidRDefault="00952436" w:rsidP="00B11D51">
      <w:pPr>
        <w:pStyle w:val="Caption"/>
      </w:pPr>
      <w:r>
        <w:t>Table</w:t>
      </w:r>
      <w:r w:rsidR="00F85D96">
        <w:t xml:space="preserve"> 30:</w:t>
      </w:r>
      <w:r w:rsidR="00DA16C3">
        <w:t xml:space="preserve"> </w:t>
      </w:r>
      <w:r w:rsidR="00A12890">
        <w:t xml:space="preserve">Finalised complaints by complainant age bracket, </w:t>
      </w:r>
      <w:r w:rsidR="00584C8B">
        <w:t>2020-21</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3823"/>
        <w:gridCol w:w="4115"/>
      </w:tblGrid>
      <w:tr w:rsidR="00BE3052" w:rsidRPr="00134D92" w14:paraId="18EB460D" w14:textId="77777777" w:rsidTr="0052326A">
        <w:tc>
          <w:tcPr>
            <w:tcW w:w="3823" w:type="dxa"/>
          </w:tcPr>
          <w:p w14:paraId="20CCDCCE" w14:textId="77777777" w:rsidR="00BE3052" w:rsidRPr="00134D92" w:rsidRDefault="00BE3052" w:rsidP="0052326A">
            <w:pPr>
              <w:pStyle w:val="TableTextHeading"/>
              <w:rPr>
                <w:color w:val="373D42"/>
              </w:rPr>
            </w:pPr>
            <w:r w:rsidRPr="00134D92">
              <w:rPr>
                <w:color w:val="373D42"/>
              </w:rPr>
              <w:t>Complainant age group</w:t>
            </w:r>
          </w:p>
        </w:tc>
        <w:tc>
          <w:tcPr>
            <w:tcW w:w="4115" w:type="dxa"/>
          </w:tcPr>
          <w:p w14:paraId="6E3F995C" w14:textId="77777777" w:rsidR="00BE3052" w:rsidRPr="00134D92" w:rsidRDefault="00BE3052" w:rsidP="0052326A">
            <w:pPr>
              <w:pStyle w:val="TableTextHeading"/>
              <w:rPr>
                <w:color w:val="373D42"/>
              </w:rPr>
            </w:pPr>
            <w:r w:rsidRPr="00134D92">
              <w:rPr>
                <w:color w:val="373D42"/>
              </w:rPr>
              <w:t>No. of finalised complaints</w:t>
            </w:r>
          </w:p>
        </w:tc>
      </w:tr>
      <w:tr w:rsidR="00DE087E" w:rsidRPr="008A00EB" w14:paraId="7CC63C66" w14:textId="77777777" w:rsidTr="0052326A">
        <w:tc>
          <w:tcPr>
            <w:tcW w:w="3823" w:type="dxa"/>
          </w:tcPr>
          <w:p w14:paraId="74345E04" w14:textId="1B4A92E3" w:rsidR="00DE087E" w:rsidRPr="008A00EB" w:rsidRDefault="00DE087E" w:rsidP="0052326A">
            <w:pPr>
              <w:pStyle w:val="TableText"/>
            </w:pPr>
            <w:r>
              <w:t>Under 15</w:t>
            </w:r>
          </w:p>
        </w:tc>
        <w:tc>
          <w:tcPr>
            <w:tcW w:w="4115" w:type="dxa"/>
          </w:tcPr>
          <w:p w14:paraId="1807C2BB" w14:textId="4B68D19C" w:rsidR="00DE087E" w:rsidRPr="008A00EB" w:rsidRDefault="00DE087E" w:rsidP="0052326A">
            <w:pPr>
              <w:pStyle w:val="TableText"/>
            </w:pPr>
            <w:r>
              <w:t>3</w:t>
            </w:r>
          </w:p>
        </w:tc>
      </w:tr>
      <w:tr w:rsidR="00BE3052" w:rsidRPr="008A00EB" w14:paraId="6712BC1B" w14:textId="77777777" w:rsidTr="0052326A">
        <w:tc>
          <w:tcPr>
            <w:tcW w:w="3823" w:type="dxa"/>
          </w:tcPr>
          <w:p w14:paraId="14EB1C4B" w14:textId="15F6D433" w:rsidR="00BE3052" w:rsidRPr="008A00EB" w:rsidRDefault="00DE087E" w:rsidP="0052326A">
            <w:pPr>
              <w:pStyle w:val="TableText"/>
            </w:pPr>
            <w:r>
              <w:t>15-19</w:t>
            </w:r>
          </w:p>
        </w:tc>
        <w:tc>
          <w:tcPr>
            <w:tcW w:w="4115" w:type="dxa"/>
          </w:tcPr>
          <w:p w14:paraId="1AA92C3C" w14:textId="0F3E1981" w:rsidR="00BE3052" w:rsidRPr="008A00EB" w:rsidRDefault="00DE087E" w:rsidP="0052326A">
            <w:pPr>
              <w:pStyle w:val="TableText"/>
            </w:pPr>
            <w:r>
              <w:t>7</w:t>
            </w:r>
          </w:p>
        </w:tc>
      </w:tr>
      <w:tr w:rsidR="00DE087E" w:rsidRPr="008A00EB" w14:paraId="03D35425" w14:textId="77777777" w:rsidTr="0052326A">
        <w:tc>
          <w:tcPr>
            <w:tcW w:w="3823" w:type="dxa"/>
          </w:tcPr>
          <w:p w14:paraId="7E5C8207" w14:textId="1946C7B9" w:rsidR="00DE087E" w:rsidRDefault="00DE087E" w:rsidP="0052326A">
            <w:pPr>
              <w:pStyle w:val="TableText"/>
            </w:pPr>
            <w:r>
              <w:t>20-24</w:t>
            </w:r>
          </w:p>
        </w:tc>
        <w:tc>
          <w:tcPr>
            <w:tcW w:w="4115" w:type="dxa"/>
          </w:tcPr>
          <w:p w14:paraId="3DF53A88" w14:textId="2D1AF02D" w:rsidR="00DE087E" w:rsidRPr="008A00EB" w:rsidRDefault="00DE087E" w:rsidP="0052326A">
            <w:pPr>
              <w:pStyle w:val="TableText"/>
            </w:pPr>
            <w:r>
              <w:t>11</w:t>
            </w:r>
          </w:p>
        </w:tc>
      </w:tr>
      <w:tr w:rsidR="00BE3052" w:rsidRPr="008A00EB" w14:paraId="16A1561E" w14:textId="77777777" w:rsidTr="0052326A">
        <w:tc>
          <w:tcPr>
            <w:tcW w:w="3823" w:type="dxa"/>
          </w:tcPr>
          <w:p w14:paraId="54C74E7E" w14:textId="77777777" w:rsidR="00BE3052" w:rsidRPr="008A00EB" w:rsidRDefault="00BE3052" w:rsidP="0052326A">
            <w:pPr>
              <w:pStyle w:val="TableText"/>
            </w:pPr>
            <w:r w:rsidRPr="008A00EB">
              <w:t>25-34</w:t>
            </w:r>
          </w:p>
        </w:tc>
        <w:tc>
          <w:tcPr>
            <w:tcW w:w="4115" w:type="dxa"/>
          </w:tcPr>
          <w:p w14:paraId="7D1B2D2F" w14:textId="365AF3A5" w:rsidR="00BE3052" w:rsidRPr="008A00EB" w:rsidRDefault="00DE087E" w:rsidP="0052326A">
            <w:pPr>
              <w:pStyle w:val="TableText"/>
            </w:pPr>
            <w:r>
              <w:t>34</w:t>
            </w:r>
          </w:p>
        </w:tc>
      </w:tr>
      <w:tr w:rsidR="00BE3052" w:rsidRPr="008A00EB" w14:paraId="45664672" w14:textId="77777777" w:rsidTr="0052326A">
        <w:tc>
          <w:tcPr>
            <w:tcW w:w="3823" w:type="dxa"/>
          </w:tcPr>
          <w:p w14:paraId="4671820F" w14:textId="77777777" w:rsidR="00BE3052" w:rsidRPr="008A00EB" w:rsidRDefault="00BE3052" w:rsidP="0052326A">
            <w:pPr>
              <w:pStyle w:val="TableText"/>
            </w:pPr>
            <w:r w:rsidRPr="008A00EB">
              <w:t>35-44</w:t>
            </w:r>
          </w:p>
        </w:tc>
        <w:tc>
          <w:tcPr>
            <w:tcW w:w="4115" w:type="dxa"/>
          </w:tcPr>
          <w:p w14:paraId="0B974608" w14:textId="236724D2" w:rsidR="00BE3052" w:rsidRPr="008A00EB" w:rsidRDefault="00F21B8E" w:rsidP="0052326A">
            <w:pPr>
              <w:pStyle w:val="TableText"/>
            </w:pPr>
            <w:r>
              <w:t>60</w:t>
            </w:r>
          </w:p>
        </w:tc>
      </w:tr>
      <w:tr w:rsidR="003F02D1" w:rsidRPr="008A00EB" w14:paraId="23CF93F6" w14:textId="77777777" w:rsidTr="00195866">
        <w:tc>
          <w:tcPr>
            <w:tcW w:w="3823" w:type="dxa"/>
          </w:tcPr>
          <w:p w14:paraId="5BDC427D" w14:textId="77777777" w:rsidR="003F02D1" w:rsidRPr="008A00EB" w:rsidRDefault="003F02D1" w:rsidP="00195866">
            <w:pPr>
              <w:pStyle w:val="TableText"/>
            </w:pPr>
            <w:r w:rsidRPr="008A00EB">
              <w:t>45-54</w:t>
            </w:r>
          </w:p>
        </w:tc>
        <w:tc>
          <w:tcPr>
            <w:tcW w:w="4115" w:type="dxa"/>
          </w:tcPr>
          <w:p w14:paraId="2BEFA667" w14:textId="56B6CD68" w:rsidR="003F02D1" w:rsidRPr="008A00EB" w:rsidRDefault="00F21B8E" w:rsidP="00195866">
            <w:pPr>
              <w:pStyle w:val="TableText"/>
            </w:pPr>
            <w:r>
              <w:t>52</w:t>
            </w:r>
          </w:p>
        </w:tc>
      </w:tr>
      <w:tr w:rsidR="003F02D1" w:rsidRPr="008A00EB" w14:paraId="4DEA2100" w14:textId="77777777" w:rsidTr="0052326A">
        <w:tc>
          <w:tcPr>
            <w:tcW w:w="3823" w:type="dxa"/>
          </w:tcPr>
          <w:p w14:paraId="69C6B560" w14:textId="37E6205F" w:rsidR="003F02D1" w:rsidRPr="00BA291D" w:rsidRDefault="003F02D1" w:rsidP="0052326A">
            <w:pPr>
              <w:pStyle w:val="TableText"/>
            </w:pPr>
            <w:r w:rsidRPr="00BA291D">
              <w:t>55-64</w:t>
            </w:r>
          </w:p>
        </w:tc>
        <w:tc>
          <w:tcPr>
            <w:tcW w:w="4115" w:type="dxa"/>
          </w:tcPr>
          <w:p w14:paraId="072913D2" w14:textId="2E5F4491" w:rsidR="003F02D1" w:rsidRPr="008A00EB" w:rsidRDefault="00F21B8E" w:rsidP="0052326A">
            <w:pPr>
              <w:pStyle w:val="TableText"/>
            </w:pPr>
            <w:r>
              <w:t>30</w:t>
            </w:r>
          </w:p>
        </w:tc>
      </w:tr>
      <w:tr w:rsidR="00BE3052" w:rsidRPr="008A00EB" w14:paraId="1C83994B" w14:textId="77777777" w:rsidTr="0052326A">
        <w:tc>
          <w:tcPr>
            <w:tcW w:w="3823" w:type="dxa"/>
          </w:tcPr>
          <w:p w14:paraId="113905F2" w14:textId="77777777" w:rsidR="00BE3052" w:rsidRPr="008A00EB" w:rsidRDefault="00BE3052" w:rsidP="0052326A">
            <w:pPr>
              <w:pStyle w:val="TableText"/>
            </w:pPr>
            <w:r w:rsidRPr="008A00EB">
              <w:t>Over 65</w:t>
            </w:r>
          </w:p>
        </w:tc>
        <w:tc>
          <w:tcPr>
            <w:tcW w:w="4115" w:type="dxa"/>
          </w:tcPr>
          <w:p w14:paraId="53A5D906" w14:textId="5F78CFAB" w:rsidR="00BE3052" w:rsidRPr="008A00EB" w:rsidRDefault="00F21B8E" w:rsidP="0052326A">
            <w:pPr>
              <w:pStyle w:val="TableText"/>
            </w:pPr>
            <w:r>
              <w:t>19</w:t>
            </w:r>
          </w:p>
        </w:tc>
      </w:tr>
    </w:tbl>
    <w:p w14:paraId="5CD20AF3" w14:textId="77777777" w:rsidR="00BE3052" w:rsidRPr="00D436DA" w:rsidRDefault="00BE3052" w:rsidP="0052326A"/>
    <w:sectPr w:rsidR="00BE3052" w:rsidRPr="00D436DA" w:rsidSect="00814424">
      <w:footerReference w:type="even" r:id="rId130"/>
      <w:pgSz w:w="11906" w:h="16838" w:code="9"/>
      <w:pgMar w:top="850" w:right="994" w:bottom="288" w:left="1080" w:header="706" w:footer="432"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31CDBD8" w14:textId="77777777" w:rsidR="00FC345C" w:rsidRDefault="00FC345C" w:rsidP="00075C64">
      <w:pPr>
        <w:spacing w:after="0" w:line="240" w:lineRule="auto"/>
      </w:pPr>
      <w:r>
        <w:separator/>
      </w:r>
    </w:p>
    <w:p w14:paraId="052AA332" w14:textId="77777777" w:rsidR="00FC345C" w:rsidRDefault="00FC345C"/>
  </w:endnote>
  <w:endnote w:type="continuationSeparator" w:id="0">
    <w:p w14:paraId="17EE1499" w14:textId="77777777" w:rsidR="00FC345C" w:rsidRDefault="00FC345C" w:rsidP="00075C64">
      <w:pPr>
        <w:spacing w:after="0" w:line="240" w:lineRule="auto"/>
      </w:pPr>
      <w:r>
        <w:continuationSeparator/>
      </w:r>
    </w:p>
    <w:p w14:paraId="2398F2B2" w14:textId="77777777" w:rsidR="00FC345C" w:rsidRDefault="00FC345C"/>
  </w:endnote>
  <w:endnote w:type="continuationNotice" w:id="1">
    <w:p w14:paraId="413CC0C1" w14:textId="77777777" w:rsidR="00FC345C" w:rsidRDefault="00FC345C">
      <w:pPr>
        <w:spacing w:after="0" w:line="240" w:lineRule="auto"/>
      </w:pPr>
    </w:p>
    <w:p w14:paraId="52BB71CC" w14:textId="77777777" w:rsidR="00FC345C" w:rsidRDefault="00FC345C"/>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Yu Gothic Light">
    <w:altName w:val="游ゴシック Light"/>
    <w:panose1 w:val="020B0300000000000000"/>
    <w:charset w:val="80"/>
    <w:family w:val="swiss"/>
    <w:pitch w:val="variable"/>
    <w:sig w:usb0="E00002FF" w:usb1="2AC7FDFF" w:usb2="00000016" w:usb3="00000000" w:csb0="0002009F" w:csb1="00000000"/>
  </w:font>
  <w:font w:name="Calibri Light">
    <w:panose1 w:val="020F0302020204030204"/>
    <w:charset w:val="00"/>
    <w:family w:val="swiss"/>
    <w:pitch w:val="variable"/>
    <w:sig w:usb0="A00002EF" w:usb1="4000207B" w:usb2="00000000" w:usb3="00000000" w:csb0="0000019F" w:csb1="00000000"/>
  </w:font>
  <w:font w:name="Yu Mincho">
    <w:altName w:val="游明朝"/>
    <w:panose1 w:val="02020400000000000000"/>
    <w:charset w:val="80"/>
    <w:family w:val="roman"/>
    <w:pitch w:val="variable"/>
    <w:sig w:usb0="800002E7" w:usb1="2AC7FCF0" w:usb2="00000012" w:usb3="00000000" w:csb0="0002009F" w:csb1="00000000"/>
  </w:font>
  <w:font w:name="Segoe UI">
    <w:panose1 w:val="020B0502040204020203"/>
    <w:charset w:val="00"/>
    <w:family w:val="swiss"/>
    <w:pitch w:val="variable"/>
    <w:sig w:usb0="E4002EFF" w:usb1="C000E47F"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MS Gothic">
    <w:altName w:val="ＭＳ ゴシック"/>
    <w:panose1 w:val="020B0609070205080204"/>
    <w:charset w:val="80"/>
    <w:family w:val="modern"/>
    <w:pitch w:val="fixed"/>
    <w:sig w:usb0="E00002FF" w:usb1="6AC7FDFB" w:usb2="08000012" w:usb3="00000000" w:csb0="0002009F" w:csb1="00000000"/>
  </w:font>
  <w:font w:name="MingLiU">
    <w:altName w:val="細明體"/>
    <w:panose1 w:val="02020509000000000000"/>
    <w:charset w:val="88"/>
    <w:family w:val="modern"/>
    <w:pitch w:val="fixed"/>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 w:name="Batang">
    <w:altName w:val="바탕"/>
    <w:panose1 w:val="02030600000101010101"/>
    <w:charset w:val="81"/>
    <w:family w:val="roman"/>
    <w:pitch w:val="variable"/>
    <w:sig w:usb0="B00002AF" w:usb1="69D77CFB" w:usb2="00000030" w:usb3="00000000" w:csb0="0008009F" w:csb1="00000000"/>
  </w:font>
  <w:font w:name="Helvetica">
    <w:panose1 w:val="020B0604020202020204"/>
    <w:charset w:val="00"/>
    <w:family w:val="swiss"/>
    <w:pitch w:val="variable"/>
    <w:sig w:usb0="E0002AFF" w:usb1="C0007843" w:usb2="00000009" w:usb3="00000000" w:csb0="000001FF" w:csb1="00000000"/>
  </w:font>
  <w:font w:name="Cambria Math">
    <w:panose1 w:val="02040503050406030204"/>
    <w:charset w:val="00"/>
    <w:family w:val="roman"/>
    <w:pitch w:val="variable"/>
    <w:sig w:usb0="E00002FF" w:usb1="420024FF" w:usb2="00000000" w:usb3="00000000" w:csb0="0000019F" w:csb1="00000000"/>
  </w:font>
  <w:font w:name="ArialMT">
    <w:altName w:val="Arial"/>
    <w:panose1 w:val="00000000000000000000"/>
    <w:charset w:val="4D"/>
    <w:family w:val="auto"/>
    <w:notTrueType/>
    <w:pitch w:val="default"/>
    <w:sig w:usb0="00000003" w:usb1="00000000" w:usb2="00000000" w:usb3="00000000" w:csb0="00000001" w:csb1="00000000"/>
  </w:font>
  <w:font w:name="Arial Nova">
    <w:altName w:val="Arial"/>
    <w:charset w:val="00"/>
    <w:family w:val="swiss"/>
    <w:pitch w:val="variable"/>
    <w:sig w:usb0="00000001" w:usb1="00000002" w:usb2="00000000" w:usb3="00000000" w:csb0="0000019F" w:csb1="00000000"/>
  </w:font>
  <w:font w:name="HelveticaNeueLTPro-Lt">
    <w:altName w:val="Arial"/>
    <w:panose1 w:val="00000000000000000000"/>
    <w:charset w:val="00"/>
    <w:family w:val="swiss"/>
    <w:notTrueType/>
    <w:pitch w:val="default"/>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6134BAA" w14:textId="77777777" w:rsidR="00FC345C" w:rsidRDefault="00FC345C">
    <w:pPr>
      <w:pStyle w:val="Footer"/>
      <w:rPr>
        <w:lang w:val="en-US"/>
      </w:rPr>
    </w:pPr>
  </w:p>
  <w:p w14:paraId="519BD418" w14:textId="746176D5" w:rsidR="00FC345C" w:rsidRPr="00075C64" w:rsidRDefault="00FC345C" w:rsidP="00836306">
    <w:pPr>
      <w:pStyle w:val="Footer"/>
      <w:rPr>
        <w:lang w:val="en-US"/>
      </w:rPr>
    </w:pPr>
    <w:r>
      <w:rPr>
        <w:lang w:val="en-US"/>
      </w:rPr>
      <w:t xml:space="preserve">Queensland Human Rights Commission | qhrc.qld.gov.au </w:t>
    </w:r>
    <w:r>
      <w:rPr>
        <w:lang w:val="en-US"/>
      </w:rPr>
      <w:tab/>
    </w:r>
    <w:r w:rsidRPr="00836306">
      <w:fldChar w:fldCharType="begin"/>
    </w:r>
    <w:r w:rsidRPr="00836306">
      <w:instrText xml:space="preserve"> PAGE   \* MERGEFORMAT </w:instrText>
    </w:r>
    <w:r w:rsidRPr="00836306">
      <w:fldChar w:fldCharType="separate"/>
    </w:r>
    <w:r w:rsidR="002E59B2">
      <w:rPr>
        <w:noProof/>
      </w:rPr>
      <w:t>4</w:t>
    </w:r>
    <w:r w:rsidRPr="00836306">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3A27A3D2" w14:textId="0A1493BB" w:rsidR="00FC345C" w:rsidRPr="00075C64" w:rsidRDefault="00FC345C">
    <w:pPr>
      <w:pStyle w:val="Footer"/>
      <w:rPr>
        <w:lang w:val="en-US"/>
      </w:rPr>
    </w:pPr>
    <w:r>
      <w:rPr>
        <w:i/>
        <w:lang w:val="en-US"/>
      </w:rPr>
      <w:t xml:space="preserve">Human Rights Act 2019 </w:t>
    </w:r>
    <w:r>
      <w:rPr>
        <w:lang w:val="en-US"/>
      </w:rPr>
      <w:t>Annual Report 2020-2021</w:t>
    </w:r>
    <w:r>
      <w:rPr>
        <w:lang w:val="en-US"/>
      </w:rPr>
      <w:tab/>
    </w:r>
    <w:r>
      <w:rPr>
        <w:lang w:val="en-US"/>
      </w:rPr>
      <w:tab/>
    </w:r>
    <w:r w:rsidRPr="00626582">
      <w:fldChar w:fldCharType="begin"/>
    </w:r>
    <w:r w:rsidRPr="00626582">
      <w:instrText xml:space="preserve"> PAGE   \* MERGEFORMAT </w:instrText>
    </w:r>
    <w:r w:rsidRPr="00626582">
      <w:fldChar w:fldCharType="separate"/>
    </w:r>
    <w:r w:rsidR="002E59B2">
      <w:rPr>
        <w:noProof/>
      </w:rPr>
      <w:t>3</w:t>
    </w:r>
    <w:r w:rsidRPr="00626582">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0A1914A" w14:textId="77777777" w:rsidR="00FC345C" w:rsidRDefault="00FC345C">
    <w:pPr>
      <w:pStyle w:val="Footer"/>
      <w:rPr>
        <w:lang w:val="en-US"/>
      </w:rPr>
    </w:pPr>
  </w:p>
  <w:p w14:paraId="6139A2C5" w14:textId="12637C27" w:rsidR="00FC345C" w:rsidRDefault="00FC345C" w:rsidP="001745AB">
    <w:pPr>
      <w:pStyle w:val="Footer"/>
    </w:pPr>
    <w:r>
      <w:rPr>
        <w:lang w:val="en-US"/>
      </w:rPr>
      <w:t xml:space="preserve">Queensland Human Rights Commission | qhrc.qld.gov.au </w:t>
    </w:r>
    <w:r>
      <w:rPr>
        <w:lang w:val="en-US"/>
      </w:rPr>
      <w:tab/>
    </w:r>
    <w:r w:rsidRPr="0093492C">
      <w:fldChar w:fldCharType="begin"/>
    </w:r>
    <w:r w:rsidRPr="0093492C">
      <w:instrText xml:space="preserve"> PAGE   \* MERGEFORMAT </w:instrText>
    </w:r>
    <w:r w:rsidRPr="0093492C">
      <w:fldChar w:fldCharType="separate"/>
    </w:r>
    <w:r w:rsidR="002E59B2">
      <w:rPr>
        <w:noProof/>
      </w:rPr>
      <w:t>194</w:t>
    </w:r>
    <w:r w:rsidRPr="0093492C">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2715D32" w14:textId="77777777" w:rsidR="00FC345C" w:rsidRDefault="00FC345C" w:rsidP="00075C64">
      <w:pPr>
        <w:spacing w:after="0" w:line="240" w:lineRule="auto"/>
      </w:pPr>
      <w:r>
        <w:separator/>
      </w:r>
    </w:p>
  </w:footnote>
  <w:footnote w:type="continuationSeparator" w:id="0">
    <w:p w14:paraId="15DB78A9" w14:textId="77777777" w:rsidR="00FC345C" w:rsidRDefault="00FC345C" w:rsidP="00075C64">
      <w:pPr>
        <w:spacing w:after="0" w:line="240" w:lineRule="auto"/>
      </w:pPr>
      <w:r>
        <w:continuationSeparator/>
      </w:r>
    </w:p>
    <w:p w14:paraId="1FB09EDF" w14:textId="77777777" w:rsidR="00FC345C" w:rsidRDefault="00FC345C"/>
  </w:footnote>
  <w:footnote w:type="continuationNotice" w:id="1">
    <w:p w14:paraId="002CECF8" w14:textId="77777777" w:rsidR="00FC345C" w:rsidRDefault="00FC345C">
      <w:pPr>
        <w:spacing w:after="0" w:line="240" w:lineRule="auto"/>
      </w:pPr>
    </w:p>
    <w:p w14:paraId="568B8DF4" w14:textId="77777777" w:rsidR="00FC345C" w:rsidRDefault="00FC345C"/>
  </w:footnote>
  <w:footnote w:id="2">
    <w:p w14:paraId="7A611EBB" w14:textId="001627C6" w:rsidR="00FC345C" w:rsidRDefault="00FC345C">
      <w:pPr>
        <w:pStyle w:val="FootnoteText"/>
      </w:pPr>
      <w:r>
        <w:rPr>
          <w:rStyle w:val="FootnoteReference"/>
        </w:rPr>
        <w:footnoteRef/>
      </w:r>
      <w:r>
        <w:t xml:space="preserve"> Owen-D’Arcy v Chief Executive, Queensland Corrective Services [2021] QSC 273</w:t>
      </w:r>
    </w:p>
  </w:footnote>
  <w:footnote w:id="3">
    <w:p w14:paraId="1C0A7E11" w14:textId="77777777" w:rsidR="00FC345C" w:rsidRPr="00862DA4" w:rsidRDefault="00FC345C" w:rsidP="008D17E0">
      <w:pPr>
        <w:pStyle w:val="FootnoteText"/>
        <w:rPr>
          <w:rFonts w:cs="Arial"/>
          <w:lang w:val="en-US"/>
        </w:rPr>
      </w:pPr>
      <w:r w:rsidRPr="00BB7E89">
        <w:rPr>
          <w:rStyle w:val="FootnoteReference"/>
          <w:rFonts w:cs="Arial"/>
        </w:rPr>
        <w:footnoteRef/>
      </w:r>
      <w:r w:rsidRPr="00BB7E89">
        <w:rPr>
          <w:rFonts w:cs="Arial"/>
        </w:rPr>
        <w:t xml:space="preserve"> </w:t>
      </w:r>
      <w:r w:rsidRPr="00862DA4">
        <w:rPr>
          <w:rFonts w:cs="Arial"/>
          <w:lang w:val="en-US"/>
        </w:rPr>
        <w:t>Explanatory Notes, Human Rights Bill 2018 44.</w:t>
      </w:r>
    </w:p>
  </w:footnote>
  <w:footnote w:id="4">
    <w:p w14:paraId="59931A55" w14:textId="77777777" w:rsidR="00FC345C" w:rsidRPr="00862DA4" w:rsidRDefault="00FC345C" w:rsidP="008D17E0">
      <w:pPr>
        <w:pStyle w:val="FootnoteText"/>
        <w:rPr>
          <w:rFonts w:cs="Arial"/>
          <w:lang w:val="en-US"/>
        </w:rPr>
      </w:pPr>
      <w:r w:rsidRPr="00862DA4">
        <w:rPr>
          <w:rStyle w:val="FootnoteReference"/>
          <w:rFonts w:cs="Arial"/>
        </w:rPr>
        <w:footnoteRef/>
      </w:r>
      <w:r w:rsidRPr="00862DA4">
        <w:rPr>
          <w:rFonts w:cs="Arial"/>
        </w:rPr>
        <w:t xml:space="preserve"> </w:t>
      </w:r>
      <w:r w:rsidRPr="00862DA4">
        <w:rPr>
          <w:rFonts w:cs="Arial"/>
          <w:lang w:val="en-US"/>
        </w:rPr>
        <w:t>Section 95 of the Act requires the Attorney-General to cause an independent review of the operation of the Act up until 1 July 2023.</w:t>
      </w:r>
    </w:p>
  </w:footnote>
  <w:footnote w:id="5">
    <w:p w14:paraId="7B6605A4" w14:textId="77777777" w:rsidR="00FC345C" w:rsidRPr="00261D96" w:rsidRDefault="00FC345C" w:rsidP="008D17E0">
      <w:pPr>
        <w:pStyle w:val="FootnoteText"/>
        <w:rPr>
          <w:lang w:val="en-US"/>
        </w:rPr>
      </w:pPr>
      <w:r w:rsidRPr="00862DA4">
        <w:rPr>
          <w:rStyle w:val="FootnoteReference"/>
          <w:rFonts w:cs="Arial"/>
        </w:rPr>
        <w:footnoteRef/>
      </w:r>
      <w:r w:rsidRPr="00862DA4">
        <w:rPr>
          <w:rFonts w:cs="Arial"/>
        </w:rPr>
        <w:t xml:space="preserve"> </w:t>
      </w:r>
      <w:r w:rsidRPr="00862DA4">
        <w:rPr>
          <w:rFonts w:cs="Arial"/>
          <w:lang w:val="en-US"/>
        </w:rPr>
        <w:t>Section 96 of the Act requires the Attorney-General to cause a second independent review of the operation of the Act for the period July 2023 to July 2027.</w:t>
      </w:r>
    </w:p>
  </w:footnote>
  <w:footnote w:id="6">
    <w:p w14:paraId="4E464B29" w14:textId="0E330827" w:rsidR="00FC345C" w:rsidRDefault="00FC345C">
      <w:pPr>
        <w:pStyle w:val="FootnoteText"/>
      </w:pPr>
      <w:r>
        <w:rPr>
          <w:rStyle w:val="FootnoteReference"/>
        </w:rPr>
        <w:footnoteRef/>
      </w:r>
      <w:r>
        <w:t xml:space="preserve"> Human Rights Committee, </w:t>
      </w:r>
      <w:r w:rsidRPr="00322076">
        <w:rPr>
          <w:i/>
        </w:rPr>
        <w:t>General comment no.</w:t>
      </w:r>
      <w:r>
        <w:rPr>
          <w:i/>
          <w:iCs/>
        </w:rPr>
        <w:t xml:space="preserve"> </w:t>
      </w:r>
      <w:r w:rsidRPr="00322076">
        <w:rPr>
          <w:i/>
        </w:rPr>
        <w:t>36, Article 6: right to life</w:t>
      </w:r>
      <w:r>
        <w:t>, UN Doc CCPR/C/GC/36, (3 September 2019).</w:t>
      </w:r>
    </w:p>
  </w:footnote>
  <w:footnote w:id="7">
    <w:p w14:paraId="315464F9" w14:textId="065E3D44" w:rsidR="00FC345C" w:rsidRDefault="00FC345C">
      <w:pPr>
        <w:pStyle w:val="FootnoteText"/>
      </w:pPr>
      <w:r>
        <w:rPr>
          <w:rStyle w:val="FootnoteReference"/>
        </w:rPr>
        <w:footnoteRef/>
      </w:r>
      <w:r>
        <w:t xml:space="preserve"> </w:t>
      </w:r>
      <w:r w:rsidRPr="00540386">
        <w:rPr>
          <w:i/>
        </w:rPr>
        <w:t xml:space="preserve">Meriba Omasker Kaziw Kazipa (Torres Strait </w:t>
      </w:r>
      <w:r>
        <w:rPr>
          <w:i/>
        </w:rPr>
        <w:t xml:space="preserve">Islander </w:t>
      </w:r>
      <w:r w:rsidRPr="00540386">
        <w:rPr>
          <w:i/>
        </w:rPr>
        <w:t>Traditional Child Rearing Practice) Act 2020</w:t>
      </w:r>
      <w:r>
        <w:rPr>
          <w:i/>
        </w:rPr>
        <w:t>.</w:t>
      </w:r>
      <w:r>
        <w:rPr>
          <w:iCs/>
        </w:rPr>
        <w:t xml:space="preserve"> </w:t>
      </w:r>
    </w:p>
  </w:footnote>
  <w:footnote w:id="8">
    <w:p w14:paraId="264E2EDD" w14:textId="7AB0DFAC" w:rsidR="00FC345C" w:rsidRPr="005F4A30" w:rsidRDefault="00FC345C" w:rsidP="00A25F35">
      <w:pPr>
        <w:pStyle w:val="FootnoteText"/>
      </w:pPr>
      <w:r>
        <w:rPr>
          <w:rStyle w:val="FootnoteReference"/>
        </w:rPr>
        <w:footnoteRef/>
      </w:r>
      <w:r>
        <w:t xml:space="preserve"> See </w:t>
      </w:r>
      <w:r>
        <w:rPr>
          <w:i/>
        </w:rPr>
        <w:t>Resolved complaint case studies</w:t>
      </w:r>
      <w:r>
        <w:t xml:space="preserve"> on page 155 under the title ‘Police express regret about asking traditional custodians to move on while exercising their cultural rights’.</w:t>
      </w:r>
    </w:p>
  </w:footnote>
  <w:footnote w:id="9">
    <w:p w14:paraId="101FBA76" w14:textId="47265001" w:rsidR="00FC345C" w:rsidRPr="004E5BCB" w:rsidRDefault="00FC345C">
      <w:pPr>
        <w:pStyle w:val="FootnoteText"/>
      </w:pPr>
      <w:r>
        <w:rPr>
          <w:rStyle w:val="FootnoteReference"/>
        </w:rPr>
        <w:footnoteRef/>
      </w:r>
      <w:r>
        <w:t xml:space="preserve"> A total of 1,490 complaints were received by the Commission, with the majority being complaints falling under the </w:t>
      </w:r>
      <w:r>
        <w:rPr>
          <w:i/>
        </w:rPr>
        <w:t>Anti-Discrimination Act 1991</w:t>
      </w:r>
      <w:r>
        <w:t xml:space="preserve">. The human rights and piggy-back complaints together make up around 24.7% of complaints received. </w:t>
      </w:r>
    </w:p>
  </w:footnote>
  <w:footnote w:id="10">
    <w:p w14:paraId="4F9D284F" w14:textId="2867868D" w:rsidR="00FC345C" w:rsidRDefault="00FC345C">
      <w:pPr>
        <w:pStyle w:val="FootnoteText"/>
      </w:pPr>
      <w:r>
        <w:rPr>
          <w:rStyle w:val="FootnoteReference"/>
        </w:rPr>
        <w:footnoteRef/>
      </w:r>
      <w:r>
        <w:t xml:space="preserve"> </w:t>
      </w:r>
      <w:r w:rsidRPr="00F1629D">
        <w:rPr>
          <w:rFonts w:cs="Arial"/>
          <w:lang w:val="en-US"/>
        </w:rPr>
        <w:t xml:space="preserve">A </w:t>
      </w:r>
      <w:r>
        <w:rPr>
          <w:rFonts w:cs="Arial"/>
          <w:lang w:val="en-US"/>
        </w:rPr>
        <w:t>‘</w:t>
      </w:r>
      <w:r w:rsidRPr="00F1629D">
        <w:rPr>
          <w:rFonts w:cs="Arial"/>
          <w:lang w:val="en-US"/>
        </w:rPr>
        <w:t xml:space="preserve">human rights </w:t>
      </w:r>
      <w:r>
        <w:rPr>
          <w:rFonts w:cs="Arial"/>
          <w:lang w:val="en-US"/>
        </w:rPr>
        <w:t xml:space="preserve">only’ </w:t>
      </w:r>
      <w:r w:rsidRPr="00F1629D">
        <w:rPr>
          <w:rFonts w:cs="Arial"/>
          <w:lang w:val="en-US"/>
        </w:rPr>
        <w:t xml:space="preserve">complaint is where the complaint was </w:t>
      </w:r>
      <w:r>
        <w:rPr>
          <w:rFonts w:cs="Arial"/>
          <w:lang w:val="en-US"/>
        </w:rPr>
        <w:t>dealt with</w:t>
      </w:r>
      <w:r w:rsidRPr="00F1629D">
        <w:rPr>
          <w:rFonts w:cs="Arial"/>
          <w:lang w:val="en-US"/>
        </w:rPr>
        <w:t xml:space="preserve"> only under the </w:t>
      </w:r>
      <w:r w:rsidRPr="00F1629D">
        <w:rPr>
          <w:rFonts w:cs="Arial"/>
          <w:i/>
          <w:lang w:val="en-US"/>
        </w:rPr>
        <w:t>Human Rights Act 2019.</w:t>
      </w:r>
    </w:p>
  </w:footnote>
  <w:footnote w:id="11">
    <w:p w14:paraId="0F600FFB" w14:textId="7088E75A" w:rsidR="00FC345C" w:rsidRDefault="00FC345C">
      <w:pPr>
        <w:pStyle w:val="FootnoteText"/>
      </w:pPr>
      <w:r>
        <w:rPr>
          <w:rStyle w:val="FootnoteReference"/>
        </w:rPr>
        <w:footnoteRef/>
      </w:r>
      <w:r>
        <w:t xml:space="preserve"> </w:t>
      </w:r>
      <w:r w:rsidRPr="00F1629D">
        <w:rPr>
          <w:rFonts w:cs="Arial"/>
          <w:lang w:val="en-US"/>
        </w:rPr>
        <w:t>A ‘</w:t>
      </w:r>
      <w:r>
        <w:rPr>
          <w:rFonts w:cs="Arial"/>
          <w:lang w:val="en-US"/>
        </w:rPr>
        <w:t>piggy-back complaint</w:t>
      </w:r>
      <w:r w:rsidRPr="00F1629D">
        <w:rPr>
          <w:rFonts w:cs="Arial"/>
          <w:lang w:val="en-US"/>
        </w:rPr>
        <w:t xml:space="preserve">’ </w:t>
      </w:r>
      <w:r>
        <w:rPr>
          <w:rFonts w:cs="Arial"/>
          <w:lang w:val="en-US"/>
        </w:rPr>
        <w:t xml:space="preserve">is where the complaint raises issues under the </w:t>
      </w:r>
      <w:r>
        <w:rPr>
          <w:rFonts w:cs="Arial"/>
          <w:i/>
          <w:lang w:val="en-US"/>
        </w:rPr>
        <w:t>Anti-Discrimination Act 1991</w:t>
      </w:r>
      <w:r>
        <w:rPr>
          <w:rFonts w:cs="Arial"/>
          <w:lang w:val="en-US"/>
        </w:rPr>
        <w:t xml:space="preserve"> and the </w:t>
      </w:r>
      <w:r>
        <w:rPr>
          <w:rFonts w:cs="Arial"/>
          <w:i/>
          <w:lang w:val="en-US"/>
        </w:rPr>
        <w:t>Human Rights Act 2019</w:t>
      </w:r>
      <w:r>
        <w:rPr>
          <w:rFonts w:cs="Arial"/>
          <w:lang w:val="en-US"/>
        </w:rPr>
        <w:t xml:space="preserve">. Under section 75 of the </w:t>
      </w:r>
      <w:r w:rsidRPr="008672DE">
        <w:rPr>
          <w:rFonts w:cs="Arial"/>
          <w:i/>
          <w:iCs/>
          <w:lang w:val="en-US"/>
        </w:rPr>
        <w:t>Human Rights Act</w:t>
      </w:r>
      <w:r>
        <w:rPr>
          <w:rFonts w:cs="Arial"/>
          <w:lang w:val="en-US"/>
        </w:rPr>
        <w:t>, the Commission may decide</w:t>
      </w:r>
      <w:r w:rsidRPr="00F1629D">
        <w:rPr>
          <w:rFonts w:cs="Arial"/>
          <w:lang w:val="en-US"/>
        </w:rPr>
        <w:t xml:space="preserve"> that a human rights complaint would be more appropriately dealt with by the Commission as a complaint under the </w:t>
      </w:r>
      <w:r w:rsidRPr="00F1629D">
        <w:rPr>
          <w:rFonts w:cs="Arial"/>
          <w:i/>
          <w:lang w:val="en-US"/>
        </w:rPr>
        <w:t>Anti-Discrimination Act 2019</w:t>
      </w:r>
      <w:r w:rsidRPr="00F1629D">
        <w:rPr>
          <w:rFonts w:cs="Arial"/>
          <w:lang w:val="en-US"/>
        </w:rPr>
        <w:t>.</w:t>
      </w:r>
      <w:r>
        <w:rPr>
          <w:rFonts w:cs="Arial"/>
          <w:lang w:val="en-US"/>
        </w:rPr>
        <w:t xml:space="preserve"> These were referred to as ‘combined claims’ last year but the Commission’s terminology has since changed.</w:t>
      </w:r>
    </w:p>
  </w:footnote>
  <w:footnote w:id="12">
    <w:p w14:paraId="12C90AA3" w14:textId="77777777" w:rsidR="00FC345C" w:rsidRDefault="00FC345C" w:rsidP="00FD5454">
      <w:pPr>
        <w:pStyle w:val="FootnoteText"/>
      </w:pPr>
      <w:r>
        <w:rPr>
          <w:rStyle w:val="FootnoteReference"/>
          <w:rFonts w:eastAsiaTheme="majorEastAsia"/>
        </w:rPr>
        <w:footnoteRef/>
      </w:r>
      <w:r>
        <w:t xml:space="preserve"> See</w:t>
      </w:r>
      <w:r w:rsidRPr="00B23EFD">
        <w:t xml:space="preserve"> </w:t>
      </w:r>
      <w:r w:rsidRPr="00A64764">
        <w:rPr>
          <w:i/>
        </w:rPr>
        <w:t>Transport Legislation (Disability Parking and Other Matters) Amendment Act 2020</w:t>
      </w:r>
      <w:r>
        <w:t xml:space="preserve"> passed on 14 July 2020;</w:t>
      </w:r>
      <w:r w:rsidRPr="00B23EFD">
        <w:t xml:space="preserve"> </w:t>
      </w:r>
      <w:r w:rsidRPr="00A64764">
        <w:rPr>
          <w:i/>
        </w:rPr>
        <w:t>Ministerial and Other Office Holder Staff and Other Legislation Amendment Act 2020</w:t>
      </w:r>
      <w:r>
        <w:t xml:space="preserve"> passed on 16 July 2020;</w:t>
      </w:r>
      <w:r w:rsidRPr="00B23EFD">
        <w:t xml:space="preserve"> </w:t>
      </w:r>
      <w:proofErr w:type="spellStart"/>
      <w:r w:rsidRPr="00A64764">
        <w:rPr>
          <w:i/>
        </w:rPr>
        <w:t>Biodiscovery</w:t>
      </w:r>
      <w:proofErr w:type="spellEnd"/>
      <w:r w:rsidRPr="00A64764">
        <w:rPr>
          <w:i/>
        </w:rPr>
        <w:t xml:space="preserve"> and Other Legislation Amendment Act 2020</w:t>
      </w:r>
      <w:r>
        <w:t xml:space="preserve"> passed on 13 August 2002;</w:t>
      </w:r>
      <w:r w:rsidRPr="00B23EFD">
        <w:t xml:space="preserve"> </w:t>
      </w:r>
      <w:r w:rsidRPr="00A64764">
        <w:rPr>
          <w:i/>
        </w:rPr>
        <w:t>Health Legislation Amendment Act 2020</w:t>
      </w:r>
      <w:r>
        <w:t xml:space="preserve"> </w:t>
      </w:r>
      <w:r w:rsidRPr="00B23EFD">
        <w:t>passed on 13 August 2020</w:t>
      </w:r>
      <w:r>
        <w:t>;</w:t>
      </w:r>
      <w:r w:rsidRPr="00B23EFD">
        <w:t xml:space="preserve"> </w:t>
      </w:r>
      <w:r w:rsidRPr="00A64764">
        <w:rPr>
          <w:i/>
        </w:rPr>
        <w:t>and Criminal Code (Child Sexual Offences Reform) and Other Legislation Amendment Act 2020</w:t>
      </w:r>
      <w:r w:rsidRPr="00B23EFD">
        <w:t xml:space="preserve"> passed on 9 September</w:t>
      </w:r>
      <w:r>
        <w:t xml:space="preserve"> 2020.</w:t>
      </w:r>
    </w:p>
  </w:footnote>
  <w:footnote w:id="13">
    <w:p w14:paraId="743E77C9" w14:textId="501205F6" w:rsidR="00FC345C" w:rsidRPr="00A45FEE" w:rsidRDefault="00FC345C" w:rsidP="009B4337">
      <w:pPr>
        <w:pStyle w:val="FootnoteText"/>
        <w:rPr>
          <w:rFonts w:cs="Arial"/>
          <w:lang w:val="en-US"/>
        </w:rPr>
      </w:pPr>
      <w:r w:rsidRPr="00A45FEE">
        <w:rPr>
          <w:rStyle w:val="FootnoteReference"/>
          <w:rFonts w:cs="Arial"/>
        </w:rPr>
        <w:footnoteRef/>
      </w:r>
      <w:r w:rsidRPr="00A45FEE">
        <w:rPr>
          <w:rFonts w:cs="Arial"/>
        </w:rPr>
        <w:t xml:space="preserve"> </w:t>
      </w:r>
      <w:r w:rsidRPr="00A45FEE">
        <w:rPr>
          <w:rFonts w:cs="Arial"/>
          <w:lang w:val="en-US"/>
        </w:rPr>
        <w:t xml:space="preserve">Queensland Government Department of the Premier and Cabinet, ‘3.5 Role of drafter’, </w:t>
      </w:r>
      <w:r w:rsidRPr="00A45FEE">
        <w:rPr>
          <w:rFonts w:cs="Arial"/>
          <w:i/>
          <w:lang w:val="en-US"/>
        </w:rPr>
        <w:t>Queensland Legislation Handbook</w:t>
      </w:r>
      <w:r w:rsidRPr="00A45FEE">
        <w:rPr>
          <w:rFonts w:cs="Arial"/>
          <w:lang w:val="en-US"/>
        </w:rPr>
        <w:t xml:space="preserve"> (Web Page, 1</w:t>
      </w:r>
      <w:r>
        <w:rPr>
          <w:rFonts w:cs="Arial"/>
          <w:lang w:val="en-US"/>
        </w:rPr>
        <w:t>7</w:t>
      </w:r>
      <w:r w:rsidRPr="00A45FEE">
        <w:rPr>
          <w:rFonts w:cs="Arial"/>
          <w:lang w:val="en-US"/>
        </w:rPr>
        <w:t xml:space="preserve"> J</w:t>
      </w:r>
      <w:r>
        <w:rPr>
          <w:rFonts w:cs="Arial"/>
          <w:lang w:val="en-US"/>
        </w:rPr>
        <w:t>une</w:t>
      </w:r>
      <w:r w:rsidRPr="00A45FEE">
        <w:rPr>
          <w:rFonts w:cs="Arial"/>
          <w:lang w:val="en-US"/>
        </w:rPr>
        <w:t xml:space="preserve"> 202</w:t>
      </w:r>
      <w:r>
        <w:rPr>
          <w:rFonts w:cs="Arial"/>
          <w:lang w:val="en-US"/>
        </w:rPr>
        <w:t>1</w:t>
      </w:r>
      <w:r w:rsidRPr="00A45FEE">
        <w:rPr>
          <w:rFonts w:cs="Arial"/>
          <w:lang w:val="en-US"/>
        </w:rPr>
        <w:t>)</w:t>
      </w:r>
      <w:r>
        <w:rPr>
          <w:rFonts w:cs="Arial"/>
          <w:lang w:val="en-US"/>
        </w:rPr>
        <w:t>.</w:t>
      </w:r>
      <w:r w:rsidRPr="00A45FEE">
        <w:rPr>
          <w:rFonts w:cs="Arial"/>
          <w:lang w:val="en-US"/>
        </w:rPr>
        <w:t xml:space="preserve"> </w:t>
      </w:r>
    </w:p>
  </w:footnote>
  <w:footnote w:id="14">
    <w:p w14:paraId="7C958D31" w14:textId="7EAAED0A" w:rsidR="00FC345C" w:rsidRDefault="00FC345C">
      <w:pPr>
        <w:pStyle w:val="FootnoteText"/>
      </w:pPr>
      <w:r>
        <w:rPr>
          <w:rStyle w:val="FootnoteReference"/>
        </w:rPr>
        <w:footnoteRef/>
      </w:r>
      <w:r>
        <w:t xml:space="preserve"> Explanatory Notes, Human Rights Bill 2018, 29.</w:t>
      </w:r>
    </w:p>
  </w:footnote>
  <w:footnote w:id="15">
    <w:p w14:paraId="69BE13D1" w14:textId="3F16C938" w:rsidR="00FC345C" w:rsidRPr="00166865" w:rsidRDefault="00FC345C" w:rsidP="00166865">
      <w:pPr>
        <w:pStyle w:val="FootnoteText"/>
      </w:pPr>
      <w:r>
        <w:rPr>
          <w:rStyle w:val="FootnoteReference"/>
        </w:rPr>
        <w:footnoteRef/>
      </w:r>
      <w:r>
        <w:t xml:space="preserve"> These issues are discussed in Professor Judy McGregor and Professor Margaret Wilson, </w:t>
      </w:r>
      <w:r>
        <w:rPr>
          <w:i/>
          <w:iCs/>
        </w:rPr>
        <w:t xml:space="preserve">Parliamentary Scrutiny of Human Rights in New Zealand: Glass Half Full? </w:t>
      </w:r>
      <w:r>
        <w:t xml:space="preserve">(December 2019). </w:t>
      </w:r>
    </w:p>
  </w:footnote>
  <w:footnote w:id="16">
    <w:p w14:paraId="2EB19B10" w14:textId="3334B3C8" w:rsidR="00FC345C" w:rsidRPr="00E77BC2" w:rsidRDefault="00FC345C">
      <w:pPr>
        <w:pStyle w:val="FootnoteText"/>
      </w:pPr>
      <w:r>
        <w:rPr>
          <w:rStyle w:val="FootnoteReference"/>
        </w:rPr>
        <w:footnoteRef/>
      </w:r>
      <w:r>
        <w:t xml:space="preserve"> </w:t>
      </w:r>
      <w:r w:rsidRPr="00BB65E1">
        <w:t xml:space="preserve">ACT Human Rights and Discrimination Commissioner, </w:t>
      </w:r>
      <w:r w:rsidRPr="00683E65">
        <w:rPr>
          <w:i/>
          <w:iCs/>
        </w:rPr>
        <w:t>Look who’s talking: A snapshot of ten years of dialogue under the Human Rights Act 2004</w:t>
      </w:r>
      <w:r w:rsidRPr="00BB65E1">
        <w:t xml:space="preserve"> (Report, 2014)</w:t>
      </w:r>
      <w:r>
        <w:t>.</w:t>
      </w:r>
    </w:p>
  </w:footnote>
  <w:footnote w:id="17">
    <w:p w14:paraId="334CA88D" w14:textId="64E07425" w:rsidR="00FC345C" w:rsidRDefault="00FC345C">
      <w:pPr>
        <w:pStyle w:val="FootnoteText"/>
      </w:pPr>
      <w:r>
        <w:rPr>
          <w:rStyle w:val="FootnoteReference"/>
        </w:rPr>
        <w:footnoteRef/>
      </w:r>
      <w:r>
        <w:t xml:space="preserve"> </w:t>
      </w:r>
      <w:r w:rsidRPr="00BB65E1">
        <w:t xml:space="preserve">Michael Brett Young, </w:t>
      </w:r>
      <w:r w:rsidRPr="00683E65">
        <w:rPr>
          <w:i/>
          <w:iCs/>
        </w:rPr>
        <w:t>From Commitment to Culture: The 2015 review of the Victorian Charter of Rights and Responsibilities Act 2006</w:t>
      </w:r>
      <w:r w:rsidRPr="00BB65E1">
        <w:t xml:space="preserve"> (Report, 2015)</w:t>
      </w:r>
      <w:r>
        <w:t>;</w:t>
      </w:r>
      <w:r w:rsidRPr="00BB65E1">
        <w:t xml:space="preserve"> </w:t>
      </w:r>
      <w:r>
        <w:t xml:space="preserve">Jeremy </w:t>
      </w:r>
      <w:proofErr w:type="spellStart"/>
      <w:r>
        <w:t>Gans</w:t>
      </w:r>
      <w:proofErr w:type="spellEnd"/>
      <w:r>
        <w:t>, ‘</w:t>
      </w:r>
      <w:r w:rsidRPr="00043D7B">
        <w:t>Scrutiny of bills under bills of rights: is Victoria’s model the way forward?</w:t>
      </w:r>
      <w:r>
        <w:t xml:space="preserve">’ (Conference Paper, </w:t>
      </w:r>
      <w:r w:rsidRPr="008E39D2">
        <w:t>Australia-New Zealand Scrutiny of Legislation Conference</w:t>
      </w:r>
      <w:r>
        <w:t xml:space="preserve">, 6-8 July 2009); </w:t>
      </w:r>
      <w:r w:rsidRPr="00BB65E1">
        <w:t xml:space="preserve">See also the annual reports made by the Victorian Equal Opportunity and Human Rights Commission on the operation of the </w:t>
      </w:r>
      <w:r w:rsidRPr="00460496">
        <w:rPr>
          <w:i/>
        </w:rPr>
        <w:t>Charter of Rights and Responsibilities</w:t>
      </w:r>
      <w:r>
        <w:t>.</w:t>
      </w:r>
    </w:p>
  </w:footnote>
  <w:footnote w:id="18">
    <w:p w14:paraId="7107D953" w14:textId="708BCFC0" w:rsidR="00FC345C" w:rsidRDefault="00FC345C">
      <w:pPr>
        <w:pStyle w:val="FootnoteText"/>
      </w:pPr>
      <w:r>
        <w:rPr>
          <w:rStyle w:val="FootnoteReference"/>
        </w:rPr>
        <w:footnoteRef/>
      </w:r>
      <w:r>
        <w:t xml:space="preserve"> </w:t>
      </w:r>
      <w:r w:rsidRPr="003F3BD6">
        <w:t xml:space="preserve">Judy McGregor and Margaret Wilson, </w:t>
      </w:r>
      <w:r>
        <w:rPr>
          <w:i/>
          <w:iCs/>
        </w:rPr>
        <w:t>Parliament</w:t>
      </w:r>
      <w:r w:rsidRPr="00683E65">
        <w:rPr>
          <w:i/>
          <w:iCs/>
        </w:rPr>
        <w:t>ary Scrutiny of Human Rights in New Zealand: Glass Half Full?</w:t>
      </w:r>
      <w:r w:rsidRPr="003F3BD6">
        <w:t xml:space="preserve"> (</w:t>
      </w:r>
      <w:r>
        <w:t xml:space="preserve">AUT University and University of Waikato, </w:t>
      </w:r>
      <w:r w:rsidRPr="003F3BD6">
        <w:t>December 2019)</w:t>
      </w:r>
      <w:r>
        <w:t>.</w:t>
      </w:r>
      <w:r w:rsidRPr="003F3BD6" w:rsidDel="00991EBF">
        <w:t xml:space="preserve"> </w:t>
      </w:r>
    </w:p>
  </w:footnote>
  <w:footnote w:id="19">
    <w:p w14:paraId="7536CDC9" w14:textId="26354C32" w:rsidR="00FC345C" w:rsidRDefault="00FC345C">
      <w:pPr>
        <w:pStyle w:val="FootnoteText"/>
      </w:pPr>
      <w:r>
        <w:rPr>
          <w:rStyle w:val="FootnoteReference"/>
        </w:rPr>
        <w:footnoteRef/>
      </w:r>
      <w:r>
        <w:t xml:space="preserve">Joint Committee on Human Rights, United Kingdom Parliament, </w:t>
      </w:r>
      <w:r>
        <w:rPr>
          <w:i/>
          <w:iCs/>
        </w:rPr>
        <w:t xml:space="preserve">The Committee’s Future Working Practices’, </w:t>
      </w:r>
      <w:r>
        <w:t xml:space="preserve">(Twenty-third report of session 2005-06, July 2006); </w:t>
      </w:r>
      <w:r w:rsidRPr="005F6BEA">
        <w:t xml:space="preserve">Daniella Lock, Fiona de </w:t>
      </w:r>
      <w:proofErr w:type="spellStart"/>
      <w:r w:rsidRPr="005F6BEA">
        <w:t>Lodras</w:t>
      </w:r>
      <w:proofErr w:type="spellEnd"/>
      <w:r w:rsidRPr="005F6BEA">
        <w:t xml:space="preserve"> and Pablo </w:t>
      </w:r>
      <w:proofErr w:type="spellStart"/>
      <w:r w:rsidRPr="005F6BEA">
        <w:t>Grez</w:t>
      </w:r>
      <w:proofErr w:type="spellEnd"/>
      <w:r w:rsidRPr="005F6BEA">
        <w:t xml:space="preserve"> Hidalgo, ‘</w:t>
      </w:r>
      <w:r>
        <w:t>Parliament</w:t>
      </w:r>
      <w:r w:rsidRPr="005F6BEA">
        <w:t xml:space="preserve">ary Engagement with Human Rights during COVID-19 and the Independent Human Rights Act Review’, </w:t>
      </w:r>
      <w:r w:rsidRPr="003A00E4">
        <w:rPr>
          <w:i/>
          <w:iCs/>
        </w:rPr>
        <w:t>UK Constitutional Law Association</w:t>
      </w:r>
      <w:r w:rsidRPr="005F6BEA">
        <w:t xml:space="preserve"> </w:t>
      </w:r>
      <w:r>
        <w:t xml:space="preserve">(Web Page, 3 March 2021). </w:t>
      </w:r>
    </w:p>
  </w:footnote>
  <w:footnote w:id="20">
    <w:p w14:paraId="77630D8F" w14:textId="7F3FAC87" w:rsidR="00FC345C" w:rsidRDefault="00FC345C">
      <w:pPr>
        <w:pStyle w:val="FootnoteText"/>
      </w:pPr>
      <w:r w:rsidRPr="00D0287E">
        <w:rPr>
          <w:rStyle w:val="FootnoteReference"/>
        </w:rPr>
        <w:footnoteRef/>
      </w:r>
      <w:r w:rsidRPr="00D0287E">
        <w:t xml:space="preserve"> George Williams and Daniel Reynolds, ‘The Operation and Impact of Australia’s </w:t>
      </w:r>
      <w:r>
        <w:t>Parliament</w:t>
      </w:r>
      <w:r w:rsidRPr="00D0287E">
        <w:t>ary Scrutiny Regime for Human Rights’ (2015) 41</w:t>
      </w:r>
      <w:r>
        <w:t xml:space="preserve">(2) </w:t>
      </w:r>
      <w:r>
        <w:rPr>
          <w:i/>
          <w:iCs/>
        </w:rPr>
        <w:t>Monash University Law Review</w:t>
      </w:r>
      <w:r>
        <w:t xml:space="preserve"> 470; </w:t>
      </w:r>
      <w:r w:rsidRPr="00731C57">
        <w:t xml:space="preserve">Renuka Thilagaratnam, </w:t>
      </w:r>
      <w:r w:rsidRPr="00975A83">
        <w:rPr>
          <w:i/>
          <w:iCs/>
        </w:rPr>
        <w:t xml:space="preserve">Human Rights Scrutiny Blog: New and notes on Australia’s </w:t>
      </w:r>
      <w:r>
        <w:rPr>
          <w:i/>
          <w:iCs/>
        </w:rPr>
        <w:t>Parliament</w:t>
      </w:r>
      <w:r w:rsidRPr="00975A83">
        <w:rPr>
          <w:i/>
          <w:iCs/>
        </w:rPr>
        <w:t xml:space="preserve">ary Joint </w:t>
      </w:r>
      <w:r>
        <w:rPr>
          <w:i/>
          <w:iCs/>
        </w:rPr>
        <w:t>Committee</w:t>
      </w:r>
      <w:r w:rsidRPr="00975A83">
        <w:rPr>
          <w:i/>
          <w:iCs/>
        </w:rPr>
        <w:t xml:space="preserve"> on Human Rights</w:t>
      </w:r>
      <w:r w:rsidRPr="00731C57">
        <w:t xml:space="preserve"> </w:t>
      </w:r>
      <w:r>
        <w:t xml:space="preserve">(Blog Post).; Australian Law Reform Commission, ‘Scrutiny Mechanisms’ in </w:t>
      </w:r>
      <w:r>
        <w:rPr>
          <w:i/>
          <w:iCs/>
        </w:rPr>
        <w:t xml:space="preserve">Traditional Rights and Freedoms – Encroachments by Commonwealth Laws </w:t>
      </w:r>
      <w:r>
        <w:t>(Report No 129, December 2015).</w:t>
      </w:r>
      <w:r>
        <w:rPr>
          <w:i/>
          <w:iCs/>
        </w:rPr>
        <w:t xml:space="preserve"> </w:t>
      </w:r>
    </w:p>
  </w:footnote>
  <w:footnote w:id="21">
    <w:p w14:paraId="0BC53FB5" w14:textId="77777777" w:rsidR="00FC345C" w:rsidRPr="002F6A88" w:rsidRDefault="00FC345C" w:rsidP="00BA5AC4">
      <w:pPr>
        <w:pStyle w:val="FootnoteText"/>
      </w:pPr>
      <w:r>
        <w:rPr>
          <w:rStyle w:val="FootnoteReference"/>
        </w:rPr>
        <w:footnoteRef/>
      </w:r>
      <w:r>
        <w:t xml:space="preserve"> </w:t>
      </w:r>
      <w:r>
        <w:rPr>
          <w:i/>
        </w:rPr>
        <w:t>Human Rights Act 2019</w:t>
      </w:r>
      <w:r>
        <w:t xml:space="preserve"> s 43.</w:t>
      </w:r>
    </w:p>
  </w:footnote>
  <w:footnote w:id="22">
    <w:p w14:paraId="6A391CE4" w14:textId="1865F200" w:rsidR="00FC345C" w:rsidRDefault="00FC345C">
      <w:pPr>
        <w:pStyle w:val="FootnoteText"/>
      </w:pPr>
      <w:r>
        <w:rPr>
          <w:rStyle w:val="FootnoteReference"/>
        </w:rPr>
        <w:footnoteRef/>
      </w:r>
      <w:r>
        <w:t xml:space="preserve"> </w:t>
      </w:r>
      <w:r w:rsidRPr="008A3D23">
        <w:t>Appropriation (</w:t>
      </w:r>
      <w:r>
        <w:t>Parliament</w:t>
      </w:r>
      <w:r w:rsidRPr="008A3D23">
        <w:t xml:space="preserve">) </w:t>
      </w:r>
      <w:r>
        <w:t>Bill</w:t>
      </w:r>
      <w:r w:rsidRPr="008A3D23">
        <w:t xml:space="preserve"> 2020</w:t>
      </w:r>
      <w:r>
        <w:t xml:space="preserve">, </w:t>
      </w:r>
      <w:r w:rsidRPr="00A434CF">
        <w:t xml:space="preserve">Appropriation </w:t>
      </w:r>
      <w:r>
        <w:t>Bill</w:t>
      </w:r>
      <w:r w:rsidRPr="00A434CF">
        <w:t xml:space="preserve"> 2020</w:t>
      </w:r>
      <w:r>
        <w:t xml:space="preserve">, and </w:t>
      </w:r>
      <w:r w:rsidRPr="00770F22">
        <w:t xml:space="preserve">COVID-19 Emergency Response and Other Legislation Amendment </w:t>
      </w:r>
      <w:r>
        <w:t>Bill</w:t>
      </w:r>
      <w:r w:rsidRPr="00770F22">
        <w:t xml:space="preserve"> 2020</w:t>
      </w:r>
      <w:r>
        <w:t>.</w:t>
      </w:r>
    </w:p>
  </w:footnote>
  <w:footnote w:id="23">
    <w:p w14:paraId="74BC065D" w14:textId="2069205B" w:rsidR="00FC345C" w:rsidRDefault="00FC345C">
      <w:pPr>
        <w:pStyle w:val="FootnoteText"/>
      </w:pPr>
      <w:r>
        <w:rPr>
          <w:rStyle w:val="FootnoteReference"/>
        </w:rPr>
        <w:footnoteRef/>
      </w:r>
      <w:r>
        <w:t xml:space="preserve"> </w:t>
      </w:r>
      <w:r w:rsidRPr="000B56D3">
        <w:t>Youth Justice and Other Legislation Amendment Bill 2021 and the Defamation (Model Provisions) and Other Legislation Amendment Bill 2021</w:t>
      </w:r>
    </w:p>
  </w:footnote>
  <w:footnote w:id="24">
    <w:p w14:paraId="35D9DD44" w14:textId="25744BBC" w:rsidR="00FC345C" w:rsidRPr="00E4250E" w:rsidRDefault="00FC345C">
      <w:pPr>
        <w:pStyle w:val="FootnoteText"/>
        <w:rPr>
          <w:i/>
          <w:iCs/>
        </w:rPr>
      </w:pPr>
      <w:r w:rsidRPr="00BB20DE">
        <w:rPr>
          <w:rStyle w:val="FootnoteReference"/>
        </w:rPr>
        <w:footnoteRef/>
      </w:r>
      <w:r>
        <w:t xml:space="preserve"> </w:t>
      </w:r>
      <w:r w:rsidRPr="00975A83">
        <w:t xml:space="preserve"> Legal Affairs and Safety </w:t>
      </w:r>
      <w:r>
        <w:t>Committee</w:t>
      </w:r>
      <w:r w:rsidRPr="00975A83">
        <w:t xml:space="preserve">, </w:t>
      </w:r>
      <w:r>
        <w:t>Queensland Parliament</w:t>
      </w:r>
      <w:r w:rsidRPr="00975A83">
        <w:t xml:space="preserve">, </w:t>
      </w:r>
      <w:r w:rsidRPr="00460496">
        <w:rPr>
          <w:i/>
        </w:rPr>
        <w:t>Inquiry into the Youth Justice and Other Legislation Amendment Bill 2021</w:t>
      </w:r>
      <w:r w:rsidRPr="00975A83">
        <w:t xml:space="preserve"> (Final Report, April 2021)</w:t>
      </w:r>
      <w:r>
        <w:t xml:space="preserve"> 54. </w:t>
      </w:r>
    </w:p>
  </w:footnote>
  <w:footnote w:id="25">
    <w:p w14:paraId="10D72969" w14:textId="1B5B9247" w:rsidR="00FC345C" w:rsidRDefault="00FC345C">
      <w:pPr>
        <w:pStyle w:val="FootnoteText"/>
      </w:pPr>
      <w:r>
        <w:rPr>
          <w:rStyle w:val="FootnoteReference"/>
        </w:rPr>
        <w:footnoteRef/>
      </w:r>
      <w:r>
        <w:t xml:space="preserve"> Statement of Compatibility, </w:t>
      </w:r>
      <w:r w:rsidRPr="00545154">
        <w:t xml:space="preserve">Defamation (Model Provisions) and Other Legislation Amendment </w:t>
      </w:r>
      <w:r>
        <w:t xml:space="preserve">Bill 2021, 11. </w:t>
      </w:r>
    </w:p>
  </w:footnote>
  <w:footnote w:id="26">
    <w:p w14:paraId="4A57D1DB" w14:textId="23933720" w:rsidR="00FC345C" w:rsidRDefault="00FC345C">
      <w:pPr>
        <w:pStyle w:val="FootnoteText"/>
      </w:pPr>
      <w:r>
        <w:rPr>
          <w:rStyle w:val="FootnoteReference"/>
        </w:rPr>
        <w:footnoteRef/>
      </w:r>
      <w:r>
        <w:t xml:space="preserve"> </w:t>
      </w:r>
      <w:r w:rsidRPr="00397BD4">
        <w:t>Transport and Other Legislation (Road Safety, Technology and Other Matters) Amendment Bill 2020</w:t>
      </w:r>
      <w:r>
        <w:t xml:space="preserve">; </w:t>
      </w:r>
      <w:r w:rsidRPr="00734300">
        <w:t>Building Industry Fairness (Security of Payment) and Other Legislation Amendment Bill 2020</w:t>
      </w:r>
      <w:r>
        <w:t xml:space="preserve">;  </w:t>
      </w:r>
      <w:r w:rsidRPr="005D0A49">
        <w:t xml:space="preserve">Forest Wind Farm Development </w:t>
      </w:r>
      <w:r>
        <w:t>Bill</w:t>
      </w:r>
      <w:r w:rsidRPr="005D0A49">
        <w:t xml:space="preserve"> 2020</w:t>
      </w:r>
      <w:r>
        <w:t xml:space="preserve">; </w:t>
      </w:r>
      <w:r w:rsidRPr="00A81DC6">
        <w:t>Meriba Omasker Kaziw Kazipa (Torres Strait Islander Traditional Child Rearing Practice) Bill 2020</w:t>
      </w:r>
      <w:r>
        <w:t xml:space="preserve">; </w:t>
      </w:r>
      <w:r w:rsidRPr="00751CF5">
        <w:t xml:space="preserve">Public Service and Other Legislation Amendment </w:t>
      </w:r>
      <w:r>
        <w:t xml:space="preserve">Bill </w:t>
      </w:r>
      <w:r w:rsidRPr="00751CF5">
        <w:t>2020</w:t>
      </w:r>
      <w:r>
        <w:t xml:space="preserve">; </w:t>
      </w:r>
      <w:r w:rsidRPr="00121419">
        <w:t>Public Health and Other Legislation (Extension of Expiring Provisions) Amendment Bill 2020</w:t>
      </w:r>
      <w:r>
        <w:t xml:space="preserve">; </w:t>
      </w:r>
      <w:r w:rsidRPr="00AD08DB">
        <w:t>Waste Reduction and Recycling (Plastic Items) Amendment Bill 2020</w:t>
      </w:r>
      <w:r>
        <w:t xml:space="preserve">; </w:t>
      </w:r>
      <w:r w:rsidRPr="00BF09DC">
        <w:t>Criminal Code (Consent and Mistake of Fact) and Other Legislation Amendment Bill 2020</w:t>
      </w:r>
      <w:r>
        <w:t xml:space="preserve">; </w:t>
      </w:r>
      <w:r w:rsidRPr="00635029">
        <w:t>COVID-19 Emergency Response and Other Legislation Amendment Bill 2021</w:t>
      </w:r>
      <w:r>
        <w:t xml:space="preserve">; </w:t>
      </w:r>
      <w:r w:rsidRPr="000C321A">
        <w:t>Youth Justice and Other Legislation Amendment Bill 2021</w:t>
      </w:r>
      <w:r>
        <w:t xml:space="preserve">. </w:t>
      </w:r>
    </w:p>
  </w:footnote>
  <w:footnote w:id="27">
    <w:p w14:paraId="7916712C" w14:textId="372C77A3" w:rsidR="00FC345C" w:rsidRDefault="00FC345C" w:rsidP="002E5D13">
      <w:pPr>
        <w:pStyle w:val="FootnoteText"/>
      </w:pPr>
      <w:r>
        <w:rPr>
          <w:rStyle w:val="FootnoteReference"/>
          <w:rFonts w:eastAsiaTheme="majorEastAsia"/>
        </w:rPr>
        <w:footnoteRef/>
      </w:r>
      <w:r>
        <w:t xml:space="preserve"> </w:t>
      </w:r>
      <w:r w:rsidRPr="00975A83">
        <w:t xml:space="preserve">Legal Affairs and Safety </w:t>
      </w:r>
      <w:r>
        <w:t>Committee</w:t>
      </w:r>
      <w:r w:rsidRPr="00975A83">
        <w:t xml:space="preserve">, </w:t>
      </w:r>
      <w:r>
        <w:t xml:space="preserve">Queensland Parliament, </w:t>
      </w:r>
      <w:r w:rsidRPr="00460496">
        <w:rPr>
          <w:i/>
        </w:rPr>
        <w:t xml:space="preserve">Youth Justice and Other Legislation Amendment </w:t>
      </w:r>
      <w:r w:rsidRPr="00235A48">
        <w:rPr>
          <w:i/>
        </w:rPr>
        <w:t xml:space="preserve">Bill </w:t>
      </w:r>
      <w:r w:rsidRPr="00975A83">
        <w:t xml:space="preserve">(Report, April </w:t>
      </w:r>
      <w:r w:rsidRPr="00340468">
        <w:t>2021</w:t>
      </w:r>
      <w:r>
        <w:t xml:space="preserve">) 122-123. </w:t>
      </w:r>
    </w:p>
  </w:footnote>
  <w:footnote w:id="28">
    <w:p w14:paraId="6D00A14A" w14:textId="453567CC" w:rsidR="00FC345C" w:rsidRDefault="00FC345C" w:rsidP="002E5D13">
      <w:pPr>
        <w:pStyle w:val="FootnoteText"/>
      </w:pPr>
      <w:r>
        <w:rPr>
          <w:rStyle w:val="FootnoteReference"/>
          <w:rFonts w:eastAsiaTheme="majorEastAsia"/>
        </w:rPr>
        <w:footnoteRef/>
      </w:r>
      <w:r>
        <w:t xml:space="preserve"> Economics and Governance Committee, Queensland Parliament, </w:t>
      </w:r>
      <w:r w:rsidRPr="00460496">
        <w:rPr>
          <w:i/>
        </w:rPr>
        <w:t>COVI</w:t>
      </w:r>
      <w:r w:rsidRPr="006D538A">
        <w:rPr>
          <w:i/>
        </w:rPr>
        <w:t>D-19 Emergency Response and Other Legislation Amendment Bill 2021</w:t>
      </w:r>
      <w:r>
        <w:t xml:space="preserve"> (Report No 6, April 2021) 46. </w:t>
      </w:r>
    </w:p>
  </w:footnote>
  <w:footnote w:id="29">
    <w:p w14:paraId="4C387AE9" w14:textId="215F1D48" w:rsidR="00FC345C" w:rsidRDefault="00FC345C" w:rsidP="002E5D13">
      <w:pPr>
        <w:pStyle w:val="FootnoteText"/>
      </w:pPr>
      <w:r>
        <w:rPr>
          <w:rStyle w:val="FootnoteReference"/>
          <w:rFonts w:eastAsiaTheme="majorEastAsia"/>
        </w:rPr>
        <w:footnoteRef/>
      </w:r>
      <w:r>
        <w:t xml:space="preserve"> Health, Communities, Disability Services and Domestic and Family Violence Prevention Committee, Queensland Parliament, </w:t>
      </w:r>
      <w:r w:rsidRPr="00C06B63">
        <w:rPr>
          <w:i/>
          <w:iCs/>
        </w:rPr>
        <w:t>Meriba Omasker Kaziw Kazipa (Torres Strait Islander Traditional Child Rearing Practice) Bill 2020</w:t>
      </w:r>
      <w:r>
        <w:t xml:space="preserve"> </w:t>
      </w:r>
      <w:r w:rsidRPr="00C06B63">
        <w:rPr>
          <w:i/>
          <w:iCs/>
        </w:rPr>
        <w:t>– for our children’s children</w:t>
      </w:r>
      <w:r w:rsidRPr="00E56199">
        <w:t xml:space="preserve"> </w:t>
      </w:r>
      <w:r>
        <w:t xml:space="preserve">(Report No 40, August 2020) 108, 5.2. </w:t>
      </w:r>
    </w:p>
  </w:footnote>
  <w:footnote w:id="30">
    <w:p w14:paraId="2DD00D32" w14:textId="162C419D" w:rsidR="00FC345C" w:rsidRDefault="00FC345C" w:rsidP="002E5D13">
      <w:pPr>
        <w:pStyle w:val="FootnoteText"/>
      </w:pPr>
      <w:r>
        <w:rPr>
          <w:rStyle w:val="FootnoteReference"/>
          <w:rFonts w:eastAsiaTheme="majorEastAsia"/>
        </w:rPr>
        <w:footnoteRef/>
      </w:r>
      <w:r w:rsidRPr="00975A83">
        <w:t xml:space="preserve">Legal Affairs and Safety </w:t>
      </w:r>
      <w:r>
        <w:t>Committee</w:t>
      </w:r>
      <w:r w:rsidRPr="00975A83">
        <w:t xml:space="preserve">, </w:t>
      </w:r>
      <w:r>
        <w:t xml:space="preserve">Queensland Parliament, </w:t>
      </w:r>
      <w:r w:rsidRPr="00235A48">
        <w:rPr>
          <w:i/>
        </w:rPr>
        <w:t>Criminal Code (Consent and Mistake of Fact) and Other Legislation Amendment Bill 2000</w:t>
      </w:r>
      <w:r>
        <w:t xml:space="preserve"> (Report No 3, February 2021) 84, 4.2.3. </w:t>
      </w:r>
    </w:p>
  </w:footnote>
  <w:footnote w:id="31">
    <w:p w14:paraId="1F8E1CC1" w14:textId="30A807B2" w:rsidR="00FC345C" w:rsidRDefault="00FC345C">
      <w:pPr>
        <w:pStyle w:val="FootnoteText"/>
      </w:pPr>
      <w:r>
        <w:rPr>
          <w:rStyle w:val="FootnoteReference"/>
        </w:rPr>
        <w:footnoteRef/>
      </w:r>
      <w:r>
        <w:t xml:space="preserve"> </w:t>
      </w:r>
      <w:r w:rsidRPr="007A2A2D">
        <w:t>Transport and Other Legislation (Road Safety, Technology and Other Matters) Amendment Bill 2020</w:t>
      </w:r>
      <w:r>
        <w:t xml:space="preserve">; </w:t>
      </w:r>
      <w:r w:rsidRPr="00DF5042">
        <w:t>Building Industry Fairness (Security of Payment) and Other Legislation Amendment Bill 2020</w:t>
      </w:r>
      <w:r>
        <w:t xml:space="preserve">; </w:t>
      </w:r>
      <w:r w:rsidRPr="00DF5042">
        <w:t>Criminal Code (Consent and Mistake of Fact) and Other Legislation Amendment Bill 2020; COVID-19 Emergency Response and Other Legislation Amendment Bill 2021</w:t>
      </w:r>
      <w:r>
        <w:t xml:space="preserve">. </w:t>
      </w:r>
    </w:p>
  </w:footnote>
  <w:footnote w:id="32">
    <w:p w14:paraId="33611E75" w14:textId="56BA0C6C" w:rsidR="00FC345C" w:rsidRDefault="00FC345C">
      <w:pPr>
        <w:pStyle w:val="FootnoteText"/>
      </w:pPr>
      <w:r>
        <w:rPr>
          <w:rStyle w:val="FootnoteReference"/>
        </w:rPr>
        <w:footnoteRef/>
      </w:r>
      <w:r>
        <w:t xml:space="preserve"> Economics and Governance Committee, Queensland Parliament, </w:t>
      </w:r>
      <w:r w:rsidRPr="63F480A7">
        <w:rPr>
          <w:i/>
          <w:iCs/>
        </w:rPr>
        <w:t xml:space="preserve">Inquiry into the Covid-19 Emergency Response and Other Legislation Amendment Bill 2021 </w:t>
      </w:r>
      <w:r>
        <w:t xml:space="preserve">(Report, April 2021), 42. </w:t>
      </w:r>
    </w:p>
  </w:footnote>
  <w:footnote w:id="33">
    <w:p w14:paraId="2D38A2FF" w14:textId="431A270B" w:rsidR="00FC345C" w:rsidRPr="00217E7E" w:rsidRDefault="00FC345C">
      <w:pPr>
        <w:pStyle w:val="FootnoteText"/>
        <w:rPr>
          <w:i/>
          <w:iCs/>
        </w:rPr>
      </w:pPr>
      <w:r>
        <w:rPr>
          <w:rStyle w:val="FootnoteReference"/>
        </w:rPr>
        <w:footnoteRef/>
      </w:r>
      <w:r>
        <w:t xml:space="preserve"> See, for example, information tabled by the Attorney-General in relation to the </w:t>
      </w:r>
      <w:r w:rsidRPr="00217E7E">
        <w:rPr>
          <w:i/>
          <w:iCs/>
        </w:rPr>
        <w:t>Criminal Code (Consent and Mistake of Fact) and Other Legislation Amendment Act 2021</w:t>
      </w:r>
      <w:r>
        <w:rPr>
          <w:i/>
          <w:iCs/>
        </w:rPr>
        <w:t>.</w:t>
      </w:r>
    </w:p>
  </w:footnote>
  <w:footnote w:id="34">
    <w:p w14:paraId="1B9F3F09" w14:textId="00E15CA9" w:rsidR="00FC345C" w:rsidRDefault="00FC345C" w:rsidP="63F480A7">
      <w:pPr>
        <w:pStyle w:val="FootnoteText"/>
        <w:rPr>
          <w:highlight w:val="yellow"/>
        </w:rPr>
      </w:pPr>
      <w:r w:rsidRPr="63F480A7">
        <w:rPr>
          <w:rStyle w:val="FootnoteReference"/>
          <w:rFonts w:cs="Arial"/>
        </w:rPr>
        <w:footnoteRef/>
      </w:r>
      <w:r>
        <w:t xml:space="preserve"> Legal Affairs and Safety Committee, Queensland Parliament, </w:t>
      </w:r>
      <w:r w:rsidRPr="63F480A7">
        <w:rPr>
          <w:i/>
          <w:iCs/>
        </w:rPr>
        <w:t xml:space="preserve">Inquiry into the Youth Justice and Other Legislation Amendment Bill 2021 </w:t>
      </w:r>
      <w:r>
        <w:t>(Final Report, April 2021) 101.</w:t>
      </w:r>
      <w:r w:rsidRPr="63F480A7">
        <w:rPr>
          <w:highlight w:val="yellow"/>
        </w:rPr>
        <w:t xml:space="preserve"> </w:t>
      </w:r>
    </w:p>
  </w:footnote>
  <w:footnote w:id="35">
    <w:p w14:paraId="631E0B30" w14:textId="50C2DD93" w:rsidR="00FC345C" w:rsidRDefault="00FC345C" w:rsidP="63F480A7">
      <w:pPr>
        <w:pStyle w:val="FootnoteText"/>
      </w:pPr>
      <w:r w:rsidRPr="63F480A7">
        <w:rPr>
          <w:rStyle w:val="FootnoteReference"/>
          <w:rFonts w:cs="Arial"/>
        </w:rPr>
        <w:footnoteRef/>
      </w:r>
      <w:r>
        <w:t xml:space="preserve"> Legal Affairs and Safety Committee, Queensland Parliament, </w:t>
      </w:r>
      <w:r w:rsidRPr="63F480A7">
        <w:rPr>
          <w:i/>
          <w:iCs/>
        </w:rPr>
        <w:t>Inquiry into the Youth Justice and Other Legislation Amendment Bill 2021</w:t>
      </w:r>
      <w:r>
        <w:t xml:space="preserve"> (Final Report, April 2021) 102. </w:t>
      </w:r>
    </w:p>
  </w:footnote>
  <w:footnote w:id="36">
    <w:p w14:paraId="320FC710" w14:textId="03B1C788" w:rsidR="00FC345C" w:rsidRDefault="00FC345C" w:rsidP="63F480A7">
      <w:pPr>
        <w:pStyle w:val="FootnoteText"/>
      </w:pPr>
      <w:r w:rsidRPr="63F480A7">
        <w:rPr>
          <w:rStyle w:val="FootnoteReference"/>
          <w:rFonts w:cs="Arial"/>
        </w:rPr>
        <w:footnoteRef/>
      </w:r>
      <w:r>
        <w:t xml:space="preserve"> </w:t>
      </w:r>
      <w:r w:rsidRPr="63F480A7">
        <w:rPr>
          <w:i/>
          <w:iCs/>
        </w:rPr>
        <w:t>Re application for bail by Islam</w:t>
      </w:r>
      <w:r>
        <w:t xml:space="preserve"> (2010) 175 ACTR 30.</w:t>
      </w:r>
    </w:p>
  </w:footnote>
  <w:footnote w:id="37">
    <w:p w14:paraId="57A7642B" w14:textId="4F0B0A47" w:rsidR="00FC345C" w:rsidRDefault="00FC345C" w:rsidP="63F480A7">
      <w:pPr>
        <w:pStyle w:val="FootnoteText"/>
      </w:pPr>
      <w:r w:rsidRPr="63F480A7">
        <w:rPr>
          <w:rStyle w:val="FootnoteReference"/>
          <w:rFonts w:cs="Arial"/>
        </w:rPr>
        <w:footnoteRef/>
      </w:r>
      <w:r>
        <w:t xml:space="preserve"> Legal Affairs and Safety Committee, Queensland Parliament, </w:t>
      </w:r>
      <w:r w:rsidRPr="63F480A7">
        <w:rPr>
          <w:i/>
          <w:iCs/>
        </w:rPr>
        <w:t>Inquiry into the Youth Justice and Other Legislation Amendment Bill 2021</w:t>
      </w:r>
      <w:r>
        <w:t xml:space="preserve"> (Final Report, April 2021), 109. </w:t>
      </w:r>
    </w:p>
  </w:footnote>
  <w:footnote w:id="38">
    <w:p w14:paraId="3A753734" w14:textId="1DD7BE0A" w:rsidR="00FC345C" w:rsidRDefault="00FC345C" w:rsidP="63F480A7">
      <w:pPr>
        <w:pStyle w:val="FootnoteText"/>
      </w:pPr>
      <w:r w:rsidRPr="63F480A7">
        <w:rPr>
          <w:rStyle w:val="FootnoteReference"/>
          <w:rFonts w:cs="Arial"/>
        </w:rPr>
        <w:footnoteRef/>
      </w:r>
      <w:r>
        <w:t xml:space="preserve"> Legal Affairs and Safety Committee, Queensland Parliament, </w:t>
      </w:r>
      <w:r w:rsidRPr="63F480A7">
        <w:rPr>
          <w:i/>
          <w:iCs/>
        </w:rPr>
        <w:t>Inquiry into the Youth Justice and Other Legislation Amendment Bill 2021</w:t>
      </w:r>
      <w:r>
        <w:t xml:space="preserve"> (Final Report, April 2021), 122.</w:t>
      </w:r>
    </w:p>
  </w:footnote>
  <w:footnote w:id="39">
    <w:p w14:paraId="08E60F1B" w14:textId="055597BD" w:rsidR="00FC345C" w:rsidRDefault="00FC345C" w:rsidP="63F480A7">
      <w:pPr>
        <w:pStyle w:val="FootnoteText"/>
      </w:pPr>
      <w:r w:rsidRPr="63F480A7">
        <w:rPr>
          <w:rStyle w:val="FootnoteReference"/>
          <w:rFonts w:cs="Arial"/>
        </w:rPr>
        <w:footnoteRef/>
      </w:r>
      <w:r>
        <w:t xml:space="preserve"> Legal Affairs and Safety Committee, Queensland Parliament, </w:t>
      </w:r>
      <w:r w:rsidRPr="63F480A7">
        <w:rPr>
          <w:i/>
          <w:iCs/>
        </w:rPr>
        <w:t>Inquiry into the Youth Justice and Other Legislation Amendment Bill 2021</w:t>
      </w:r>
      <w:r>
        <w:t xml:space="preserve"> (Final Report, April 2021), 122-123. </w:t>
      </w:r>
    </w:p>
  </w:footnote>
  <w:footnote w:id="40">
    <w:p w14:paraId="0E160380" w14:textId="0836C0F0" w:rsidR="00FC345C" w:rsidRDefault="00FC345C" w:rsidP="63F480A7">
      <w:pPr>
        <w:pStyle w:val="FootnoteText"/>
      </w:pPr>
      <w:r w:rsidRPr="63F480A7">
        <w:rPr>
          <w:rStyle w:val="FootnoteReference"/>
          <w:rFonts w:cs="Arial"/>
        </w:rPr>
        <w:footnoteRef/>
      </w:r>
      <w:r>
        <w:t xml:space="preserve"> Statement of Compatibility, Youth Justice and Other Legislation Amendment Bill 2021, Amendment during consideration in detail to be moved by the Honourable Mark Ryan MP, Minister for Police and Corrective Services and Minister for Fire and Emergency Services, 22 April 2021. </w:t>
      </w:r>
    </w:p>
  </w:footnote>
  <w:footnote w:id="41">
    <w:p w14:paraId="07A82923" w14:textId="1C602CCD" w:rsidR="00FC345C" w:rsidRDefault="00FC345C" w:rsidP="63F480A7">
      <w:pPr>
        <w:pStyle w:val="FootnoteText"/>
      </w:pPr>
      <w:r w:rsidRPr="63F480A7">
        <w:rPr>
          <w:rStyle w:val="FootnoteReference"/>
        </w:rPr>
        <w:footnoteRef/>
      </w:r>
      <w:r>
        <w:t xml:space="preserve"> Health and Environment Committee, Queensland Parliament, </w:t>
      </w:r>
      <w:r w:rsidRPr="63F480A7">
        <w:rPr>
          <w:i/>
          <w:iCs/>
        </w:rPr>
        <w:t>Inquiry into the Public Health and Other Legislation (Extension of Expiring Provisions) Amendment Bill 2020</w:t>
      </w:r>
      <w:r>
        <w:t xml:space="preserve"> (February 2021). </w:t>
      </w:r>
    </w:p>
  </w:footnote>
  <w:footnote w:id="42">
    <w:p w14:paraId="75E72F39" w14:textId="075EEC62" w:rsidR="00FC345C" w:rsidRDefault="00FC345C" w:rsidP="63F480A7">
      <w:pPr>
        <w:pStyle w:val="FootnoteText"/>
      </w:pPr>
      <w:r w:rsidRPr="63F480A7">
        <w:rPr>
          <w:rStyle w:val="FootnoteReference"/>
        </w:rPr>
        <w:footnoteRef/>
      </w:r>
      <w:r>
        <w:t xml:space="preserve"> Health and Environment Committee, Queensland Parliament, </w:t>
      </w:r>
      <w:r w:rsidRPr="63F480A7">
        <w:rPr>
          <w:i/>
          <w:iCs/>
        </w:rPr>
        <w:t>Inquiry into the Public Health and Other Legislation (Extension of Expiring Provisions) Amendment Bill 2020</w:t>
      </w:r>
      <w:r>
        <w:t xml:space="preserve"> (Report, February 2021), 43-50. </w:t>
      </w:r>
    </w:p>
  </w:footnote>
  <w:footnote w:id="43">
    <w:p w14:paraId="69C8B885" w14:textId="7957F2D4" w:rsidR="00FC345C" w:rsidRDefault="00FC345C" w:rsidP="63F480A7">
      <w:pPr>
        <w:pStyle w:val="FootnoteText"/>
      </w:pPr>
      <w:r w:rsidRPr="63F480A7">
        <w:rPr>
          <w:rStyle w:val="FootnoteReference"/>
          <w:rFonts w:cs="Arial"/>
        </w:rPr>
        <w:footnoteRef/>
      </w:r>
      <w:r>
        <w:t xml:space="preserve"> Economics and Governance Committee, Queensland Parliament, </w:t>
      </w:r>
      <w:r w:rsidRPr="63F480A7">
        <w:rPr>
          <w:i/>
          <w:iCs/>
        </w:rPr>
        <w:t xml:space="preserve">Inquiry into the Covid-19 Emergency Response and Other Legislation Amendment Bill 2021 </w:t>
      </w:r>
      <w:r>
        <w:t xml:space="preserve">(Report, April 2021), 39. </w:t>
      </w:r>
    </w:p>
  </w:footnote>
  <w:footnote w:id="44">
    <w:p w14:paraId="1EEF56C7" w14:textId="2F053E47" w:rsidR="00FC345C" w:rsidRDefault="00FC345C" w:rsidP="63F480A7">
      <w:pPr>
        <w:pStyle w:val="FootnoteText"/>
      </w:pPr>
      <w:r w:rsidRPr="63F480A7">
        <w:rPr>
          <w:rStyle w:val="FootnoteReference"/>
          <w:rFonts w:cs="Arial"/>
        </w:rPr>
        <w:footnoteRef/>
      </w:r>
      <w:r>
        <w:t xml:space="preserve"> </w:t>
      </w:r>
      <w:r w:rsidRPr="63F480A7">
        <w:rPr>
          <w:rFonts w:eastAsiaTheme="majorEastAsia"/>
        </w:rPr>
        <w:t>Queensland,</w:t>
      </w:r>
      <w:r w:rsidRPr="63F480A7">
        <w:rPr>
          <w:rStyle w:val="Hyperlink"/>
          <w:rFonts w:eastAsiaTheme="majorEastAsia" w:cs="Arial"/>
        </w:rPr>
        <w:t xml:space="preserve"> </w:t>
      </w:r>
      <w:r>
        <w:t>Parliamentary</w:t>
      </w:r>
      <w:r w:rsidRPr="63F480A7">
        <w:rPr>
          <w:i/>
          <w:iCs/>
        </w:rPr>
        <w:t xml:space="preserve"> Debates</w:t>
      </w:r>
      <w:r>
        <w:t xml:space="preserve">, Legislative Assembly, 20 April 2021, 927-928 (Shannon </w:t>
      </w:r>
      <w:proofErr w:type="spellStart"/>
      <w:r>
        <w:t>Fentiman</w:t>
      </w:r>
      <w:proofErr w:type="spellEnd"/>
      <w:r>
        <w:t>, Attorney-General).</w:t>
      </w:r>
    </w:p>
  </w:footnote>
  <w:footnote w:id="45">
    <w:p w14:paraId="1069E8EF" w14:textId="592C3D1E" w:rsidR="00FC345C" w:rsidRDefault="00FC345C" w:rsidP="63F480A7">
      <w:pPr>
        <w:pStyle w:val="FootnoteText"/>
      </w:pPr>
      <w:r w:rsidRPr="63F480A7">
        <w:rPr>
          <w:rStyle w:val="FootnoteReference"/>
          <w:rFonts w:cs="Arial"/>
        </w:rPr>
        <w:footnoteRef/>
      </w:r>
      <w:r>
        <w:t xml:space="preserve"> Australian Human Rights Commission, </w:t>
      </w:r>
      <w:r w:rsidRPr="63F480A7">
        <w:rPr>
          <w:i/>
          <w:iCs/>
        </w:rPr>
        <w:t xml:space="preserve">Human Rights and Technology </w:t>
      </w:r>
      <w:r>
        <w:t xml:space="preserve">(Final Report, 2021). </w:t>
      </w:r>
    </w:p>
  </w:footnote>
  <w:footnote w:id="46">
    <w:p w14:paraId="47144A4B" w14:textId="5E5CAAF9" w:rsidR="00FC345C" w:rsidRDefault="00FC345C" w:rsidP="63F480A7">
      <w:pPr>
        <w:pStyle w:val="FootnoteText"/>
      </w:pPr>
      <w:r w:rsidRPr="63F480A7">
        <w:rPr>
          <w:rStyle w:val="FootnoteReference"/>
        </w:rPr>
        <w:footnoteRef/>
      </w:r>
      <w:r>
        <w:t xml:space="preserve"> Transport and Public Works Committee, Queensland Parliament, </w:t>
      </w:r>
      <w:r w:rsidRPr="63F480A7">
        <w:rPr>
          <w:i/>
          <w:iCs/>
        </w:rPr>
        <w:t xml:space="preserve">Inquiry into the Transport and Other Legislation (Road Safety, Technology and Other Matters) Amendment Act 2020 </w:t>
      </w:r>
      <w:r>
        <w:t xml:space="preserve">(Report, May 2020). </w:t>
      </w:r>
    </w:p>
  </w:footnote>
  <w:footnote w:id="47">
    <w:p w14:paraId="0DF75210" w14:textId="469FBC76" w:rsidR="00FC345C" w:rsidRDefault="00FC345C" w:rsidP="63F480A7">
      <w:pPr>
        <w:pStyle w:val="FootnoteText"/>
      </w:pPr>
      <w:r w:rsidRPr="63F480A7">
        <w:rPr>
          <w:rStyle w:val="FootnoteReference"/>
        </w:rPr>
        <w:footnoteRef/>
      </w:r>
      <w:r>
        <w:t xml:space="preserve"> Transport and Public Works Committee, Queensland Parliament, </w:t>
      </w:r>
      <w:r w:rsidRPr="63F480A7">
        <w:rPr>
          <w:i/>
          <w:iCs/>
        </w:rPr>
        <w:t>Inquiry into the Transport and Other Legislation (Road Safety, Technology and Other Matters) Amendment Act 2020</w:t>
      </w:r>
      <w:r>
        <w:t xml:space="preserve"> (Report, May 2020) 16. </w:t>
      </w:r>
    </w:p>
  </w:footnote>
  <w:footnote w:id="48">
    <w:p w14:paraId="18EB80A0" w14:textId="3474872A" w:rsidR="00FC345C" w:rsidRDefault="00FC345C" w:rsidP="63F480A7">
      <w:pPr>
        <w:pStyle w:val="FootnoteText"/>
      </w:pPr>
      <w:r w:rsidRPr="63F480A7">
        <w:rPr>
          <w:rStyle w:val="FootnoteReference"/>
          <w:rFonts w:cs="Arial"/>
        </w:rPr>
        <w:footnoteRef/>
      </w:r>
      <w:r>
        <w:t xml:space="preserve"> Ibid 38. </w:t>
      </w:r>
    </w:p>
  </w:footnote>
  <w:footnote w:id="49">
    <w:p w14:paraId="4AD8A67A" w14:textId="20E2A9BB" w:rsidR="00FC345C" w:rsidRDefault="00FC345C" w:rsidP="63F480A7">
      <w:pPr>
        <w:pStyle w:val="FootnoteText"/>
      </w:pPr>
      <w:r w:rsidRPr="63F480A7">
        <w:rPr>
          <w:rStyle w:val="FootnoteReference"/>
          <w:rFonts w:cs="Arial"/>
        </w:rPr>
        <w:footnoteRef/>
      </w:r>
      <w:r>
        <w:t xml:space="preserve"> Queensland Government, </w:t>
      </w:r>
      <w:r w:rsidRPr="63F480A7">
        <w:rPr>
          <w:i/>
          <w:iCs/>
        </w:rPr>
        <w:t xml:space="preserve">Response to Transport and Public Works </w:t>
      </w:r>
      <w:r>
        <w:rPr>
          <w:i/>
          <w:iCs/>
        </w:rPr>
        <w:t>Committee</w:t>
      </w:r>
      <w:r w:rsidRPr="63F480A7">
        <w:rPr>
          <w:i/>
          <w:iCs/>
        </w:rPr>
        <w:t xml:space="preserve"> Report No 39,</w:t>
      </w:r>
      <w:r>
        <w:t xml:space="preserve"> 14 July 2020.</w:t>
      </w:r>
      <w:r w:rsidRPr="63F480A7">
        <w:rPr>
          <w:i/>
          <w:iCs/>
        </w:rPr>
        <w:t xml:space="preserve"> </w:t>
      </w:r>
    </w:p>
  </w:footnote>
  <w:footnote w:id="50">
    <w:p w14:paraId="7CBE3061" w14:textId="44C4AE56" w:rsidR="00FC345C" w:rsidRDefault="00FC345C" w:rsidP="63F480A7">
      <w:pPr>
        <w:pStyle w:val="FootnoteText"/>
      </w:pPr>
      <w:r w:rsidRPr="63F480A7">
        <w:rPr>
          <w:rStyle w:val="FootnoteReference"/>
        </w:rPr>
        <w:footnoteRef/>
      </w:r>
      <w:r>
        <w:t xml:space="preserve"> Queensland Crime and Corruption Commission, </w:t>
      </w:r>
      <w:r w:rsidRPr="63F480A7">
        <w:rPr>
          <w:i/>
          <w:iCs/>
        </w:rPr>
        <w:t xml:space="preserve">Taskforce </w:t>
      </w:r>
      <w:proofErr w:type="spellStart"/>
      <w:r w:rsidRPr="63F480A7">
        <w:rPr>
          <w:i/>
          <w:iCs/>
        </w:rPr>
        <w:t>Flaxton</w:t>
      </w:r>
      <w:proofErr w:type="spellEnd"/>
      <w:r w:rsidRPr="63F480A7">
        <w:rPr>
          <w:i/>
          <w:iCs/>
        </w:rPr>
        <w:t>: an examination of corruption risks and corruption in Queensland prisons</w:t>
      </w:r>
      <w:r>
        <w:t>, December 2018.</w:t>
      </w:r>
    </w:p>
  </w:footnote>
  <w:footnote w:id="51">
    <w:p w14:paraId="471DF733" w14:textId="626F182D" w:rsidR="00FC345C" w:rsidRDefault="00FC345C" w:rsidP="63F480A7">
      <w:pPr>
        <w:pStyle w:val="FootnoteText"/>
      </w:pPr>
      <w:r w:rsidRPr="63F480A7">
        <w:rPr>
          <w:rStyle w:val="FootnoteReference"/>
        </w:rPr>
        <w:footnoteRef/>
      </w:r>
      <w:r>
        <w:t xml:space="preserve"> Walter Sofronoff, </w:t>
      </w:r>
      <w:r w:rsidRPr="63F480A7">
        <w:rPr>
          <w:i/>
          <w:iCs/>
        </w:rPr>
        <w:t xml:space="preserve">Queensland Parole System Review </w:t>
      </w:r>
      <w:r>
        <w:t>(Final Report November 2016).</w:t>
      </w:r>
    </w:p>
  </w:footnote>
  <w:footnote w:id="52">
    <w:p w14:paraId="7C0B9FD5" w14:textId="49047B2C" w:rsidR="00FC345C" w:rsidRDefault="00FC345C" w:rsidP="63F480A7">
      <w:pPr>
        <w:pStyle w:val="FootnoteText"/>
      </w:pPr>
      <w:r w:rsidRPr="63F480A7">
        <w:rPr>
          <w:rStyle w:val="FootnoteReference"/>
        </w:rPr>
        <w:footnoteRef/>
      </w:r>
      <w:r>
        <w:t xml:space="preserve"> Legal Affairs and Community Safety Committee, Queensland Parliament, </w:t>
      </w:r>
      <w:r w:rsidRPr="63F480A7">
        <w:rPr>
          <w:i/>
          <w:iCs/>
        </w:rPr>
        <w:t xml:space="preserve">Inquiry into Corrective Services and Other Legislation Amendment Bill 2020 </w:t>
      </w:r>
      <w:r>
        <w:t xml:space="preserve">(Final Report, May 2020) 57. </w:t>
      </w:r>
    </w:p>
  </w:footnote>
  <w:footnote w:id="53">
    <w:p w14:paraId="06D39FDF" w14:textId="13803820" w:rsidR="00FC345C" w:rsidRDefault="00FC345C" w:rsidP="63F480A7">
      <w:pPr>
        <w:pStyle w:val="FootnoteText"/>
      </w:pPr>
      <w:r w:rsidRPr="63F480A7">
        <w:rPr>
          <w:rStyle w:val="FootnoteReference"/>
          <w:rFonts w:cs="Arial"/>
        </w:rPr>
        <w:footnoteRef/>
      </w:r>
      <w:r>
        <w:t xml:space="preserve"> Statement of Compatibility, Corrective Service and Other Legislation, Amendment Bill 2020, Amendments</w:t>
      </w:r>
    </w:p>
    <w:p w14:paraId="4FFB0C38" w14:textId="52965B65" w:rsidR="00FC345C" w:rsidRDefault="00FC345C" w:rsidP="63F480A7">
      <w:pPr>
        <w:pStyle w:val="FootnoteText"/>
      </w:pPr>
      <w:r>
        <w:t xml:space="preserve">during consideration in detail to be moved by the Honourable Mark Ryan MP, Minister for Police and Corrective Services and Minister for Fire and Emergency Services, 22 April 2021. </w:t>
      </w:r>
    </w:p>
  </w:footnote>
  <w:footnote w:id="54">
    <w:p w14:paraId="7BE26F2B" w14:textId="5D544B05" w:rsidR="00FC345C" w:rsidRDefault="00FC345C" w:rsidP="63F480A7">
      <w:pPr>
        <w:pStyle w:val="FootnoteText"/>
      </w:pPr>
      <w:r w:rsidRPr="63F480A7">
        <w:rPr>
          <w:rStyle w:val="FootnoteReference"/>
          <w:rFonts w:cs="Arial"/>
        </w:rPr>
        <w:footnoteRef/>
      </w:r>
      <w:r>
        <w:t xml:space="preserve"> Health, Communities, Disability Services and Domestic and Family Violence Prevention Committee, Queensland Parliament, </w:t>
      </w:r>
      <w:r w:rsidRPr="63F480A7">
        <w:rPr>
          <w:i/>
          <w:iCs/>
        </w:rPr>
        <w:t>Meriba Omasker Kaziw Kazipa (Torres Strait Islander Traditional Child Rearing Practice) Bill 2020</w:t>
      </w:r>
      <w:r>
        <w:t xml:space="preserve"> </w:t>
      </w:r>
      <w:r w:rsidRPr="63F480A7">
        <w:rPr>
          <w:i/>
          <w:iCs/>
        </w:rPr>
        <w:t>– for our children’s children</w:t>
      </w:r>
      <w:r>
        <w:t xml:space="preserve"> (Report No 40, August 2020) 108. </w:t>
      </w:r>
      <w:hyperlink>
        <w:r w:rsidRPr="63F480A7">
          <w:rPr>
            <w:rStyle w:val="Hyperlink"/>
            <w:rFonts w:eastAsiaTheme="majorEastAsia" w:cs="Arial"/>
          </w:rPr>
          <w:t xml:space="preserve"> </w:t>
        </w:r>
      </w:hyperlink>
      <w:r>
        <w:t xml:space="preserve"> </w:t>
      </w:r>
    </w:p>
  </w:footnote>
  <w:footnote w:id="55">
    <w:p w14:paraId="32723A59" w14:textId="1338394E" w:rsidR="00FC345C" w:rsidRDefault="00FC345C" w:rsidP="63F480A7">
      <w:pPr>
        <w:pStyle w:val="FootnoteText"/>
        <w:rPr>
          <w:lang w:val="en-US"/>
        </w:rPr>
      </w:pPr>
      <w:r w:rsidRPr="00894C00">
        <w:rPr>
          <w:rStyle w:val="FootnoteReference"/>
        </w:rPr>
        <w:footnoteRef/>
      </w:r>
      <w:r>
        <w:t xml:space="preserve"> Ibid. </w:t>
      </w:r>
    </w:p>
  </w:footnote>
  <w:footnote w:id="56">
    <w:p w14:paraId="6AA7E1A2" w14:textId="23FFB13C" w:rsidR="00FC345C" w:rsidRDefault="00FC345C" w:rsidP="63F480A7">
      <w:pPr>
        <w:pStyle w:val="FootnoteText"/>
      </w:pPr>
      <w:r w:rsidRPr="63F480A7">
        <w:rPr>
          <w:rStyle w:val="FootnoteReference"/>
          <w:rFonts w:cs="Arial"/>
        </w:rPr>
        <w:footnoteRef/>
      </w:r>
      <w:r>
        <w:t xml:space="preserve"> Education, Employment and Small Business Committee, Queensland Parliament, Public Service and Other Legislation Amendment Bill 2020 (Report No 34, August 2020) 52. </w:t>
      </w:r>
    </w:p>
  </w:footnote>
  <w:footnote w:id="57">
    <w:p w14:paraId="5DCF9E90" w14:textId="45F4EF57" w:rsidR="00FC345C" w:rsidRDefault="00FC345C" w:rsidP="63F480A7">
      <w:pPr>
        <w:pStyle w:val="FootnoteText"/>
      </w:pPr>
      <w:r w:rsidRPr="63F480A7">
        <w:rPr>
          <w:rStyle w:val="FootnoteReference"/>
          <w:rFonts w:cs="Arial"/>
        </w:rPr>
        <w:footnoteRef/>
      </w:r>
      <w:r>
        <w:t xml:space="preserve"> Queensland Government, </w:t>
      </w:r>
      <w:r w:rsidRPr="63F480A7">
        <w:rPr>
          <w:i/>
          <w:iCs/>
        </w:rPr>
        <w:t xml:space="preserve">Public Service and Other Legislation Amendment Bill 2020 – Response to </w:t>
      </w:r>
      <w:r>
        <w:rPr>
          <w:i/>
          <w:iCs/>
        </w:rPr>
        <w:t>Committee</w:t>
      </w:r>
      <w:r w:rsidRPr="63F480A7">
        <w:rPr>
          <w:i/>
          <w:iCs/>
        </w:rPr>
        <w:t xml:space="preserve"> Report</w:t>
      </w:r>
      <w:r>
        <w:t xml:space="preserve"> (2020). </w:t>
      </w:r>
    </w:p>
  </w:footnote>
  <w:footnote w:id="58">
    <w:p w14:paraId="66855E95" w14:textId="5BCC5E2C" w:rsidR="00FC345C" w:rsidRDefault="00FC345C" w:rsidP="63F480A7">
      <w:pPr>
        <w:pStyle w:val="FootnoteText"/>
      </w:pPr>
      <w:r w:rsidRPr="63F480A7">
        <w:rPr>
          <w:rStyle w:val="FootnoteReference"/>
          <w:rFonts w:cs="Arial"/>
        </w:rPr>
        <w:footnoteRef/>
      </w:r>
      <w:r>
        <w:t xml:space="preserve"> Natural Resources, Agricultural Industry Development and Environment Committee, Queensland Parliament, </w:t>
      </w:r>
      <w:r w:rsidRPr="63F480A7">
        <w:rPr>
          <w:i/>
          <w:iCs/>
        </w:rPr>
        <w:t>Waste Reduction and Recycling (Plastic Items) Amendment Bill 2020</w:t>
      </w:r>
      <w:r>
        <w:t xml:space="preserve"> (Report No 8, August 2020) 42. </w:t>
      </w:r>
    </w:p>
  </w:footnote>
  <w:footnote w:id="59">
    <w:p w14:paraId="48C43C97" w14:textId="7DAE76AE" w:rsidR="00FC345C" w:rsidRDefault="00FC345C" w:rsidP="63F480A7">
      <w:pPr>
        <w:pStyle w:val="FootnoteText"/>
      </w:pPr>
      <w:r w:rsidRPr="63F480A7">
        <w:rPr>
          <w:rStyle w:val="FootnoteReference"/>
          <w:rFonts w:cs="Arial"/>
        </w:rPr>
        <w:footnoteRef/>
      </w:r>
      <w:r>
        <w:t xml:space="preserve"> Queensland, </w:t>
      </w:r>
      <w:r w:rsidRPr="63F480A7">
        <w:rPr>
          <w:i/>
          <w:iCs/>
        </w:rPr>
        <w:t>Parliamentary Debates</w:t>
      </w:r>
      <w:r>
        <w:t xml:space="preserve">, Legislative Assembly, 10 March 2021, 489 (MAJ Scanlon), 489. </w:t>
      </w:r>
    </w:p>
  </w:footnote>
  <w:footnote w:id="60">
    <w:p w14:paraId="18A0FE9C" w14:textId="6FA1147D" w:rsidR="00FC345C" w:rsidRDefault="00FC345C" w:rsidP="63F480A7">
      <w:pPr>
        <w:pStyle w:val="FootnoteText"/>
      </w:pPr>
      <w:r w:rsidRPr="63F480A7">
        <w:rPr>
          <w:rStyle w:val="FootnoteReference"/>
          <w:rFonts w:cs="Arial"/>
        </w:rPr>
        <w:footnoteRef/>
      </w:r>
      <w:r>
        <w:t xml:space="preserve"> Legal Affairs and Safety Committee, Queensland Parliament, </w:t>
      </w:r>
      <w:r w:rsidRPr="63F480A7">
        <w:rPr>
          <w:i/>
          <w:iCs/>
        </w:rPr>
        <w:t xml:space="preserve">Criminal Code (Consent and Mistake of Fact) and Other Legislation amendment Bill 2020 </w:t>
      </w:r>
      <w:r>
        <w:t>(Report No 3, February 2021) 84, 4.2.3. https://documents.parliament.qld.gov.au/TableOffice/TabledPapers/2021/5721T64.pdf</w:t>
      </w:r>
    </w:p>
  </w:footnote>
  <w:footnote w:id="61">
    <w:p w14:paraId="73195B69" w14:textId="6E7F527D" w:rsidR="00FC345C" w:rsidRDefault="00FC345C" w:rsidP="63F480A7">
      <w:pPr>
        <w:pStyle w:val="FootnoteText"/>
      </w:pPr>
      <w:r w:rsidRPr="63F480A7">
        <w:rPr>
          <w:rStyle w:val="FootnoteReference"/>
          <w:rFonts w:cs="Arial"/>
        </w:rPr>
        <w:footnoteRef/>
      </w:r>
      <w:r>
        <w:t xml:space="preserve"> Queensland Government, </w:t>
      </w:r>
      <w:r w:rsidRPr="63F480A7">
        <w:rPr>
          <w:i/>
          <w:iCs/>
        </w:rPr>
        <w:t xml:space="preserve">Criminal Code (Consent and Mistake of Fact) and Other Legislation Amendment Bill 2020 – Response to </w:t>
      </w:r>
      <w:r>
        <w:rPr>
          <w:i/>
          <w:iCs/>
        </w:rPr>
        <w:t>Committee</w:t>
      </w:r>
      <w:r w:rsidRPr="63F480A7">
        <w:rPr>
          <w:i/>
          <w:iCs/>
        </w:rPr>
        <w:t xml:space="preserve"> Report</w:t>
      </w:r>
      <w:r>
        <w:t xml:space="preserve"> (24 March 2021). </w:t>
      </w:r>
    </w:p>
  </w:footnote>
  <w:footnote w:id="62">
    <w:p w14:paraId="2E56479A" w14:textId="5757B191" w:rsidR="00FC345C" w:rsidRDefault="00FC345C" w:rsidP="63F480A7">
      <w:pPr>
        <w:pStyle w:val="FootnoteText"/>
      </w:pPr>
      <w:r w:rsidRPr="63F480A7">
        <w:rPr>
          <w:rStyle w:val="FootnoteReference"/>
        </w:rPr>
        <w:footnoteRef/>
      </w:r>
      <w:r>
        <w:t xml:space="preserve"> Health, Communities, Disability Services and Domestic and Family Violence Prevention Committee, Queensland Parliament, </w:t>
      </w:r>
      <w:r w:rsidRPr="63F480A7">
        <w:rPr>
          <w:i/>
          <w:iCs/>
        </w:rPr>
        <w:t xml:space="preserve">Inquiry into the Disability Services and Other Legislation (Worker Screening) Amendment Bill 2020 </w:t>
      </w:r>
      <w:r>
        <w:t xml:space="preserve">(Report, August 2020) 12. </w:t>
      </w:r>
    </w:p>
  </w:footnote>
  <w:footnote w:id="63">
    <w:p w14:paraId="25B09079" w14:textId="5F9A148E" w:rsidR="00FC345C" w:rsidRDefault="00FC345C" w:rsidP="63F480A7">
      <w:pPr>
        <w:pStyle w:val="FootnoteText"/>
      </w:pPr>
      <w:r w:rsidRPr="63F480A7">
        <w:rPr>
          <w:rStyle w:val="FootnoteReference"/>
          <w:rFonts w:cs="Arial"/>
        </w:rPr>
        <w:footnoteRef/>
      </w:r>
      <w:r>
        <w:t xml:space="preserve"> See </w:t>
      </w:r>
      <w:r w:rsidRPr="63F480A7">
        <w:rPr>
          <w:i/>
          <w:iCs/>
        </w:rPr>
        <w:t>ZZ v Secretary, Department of Justice and Department of Transport</w:t>
      </w:r>
      <w:r>
        <w:t xml:space="preserve"> [2013] VSC 267.</w:t>
      </w:r>
    </w:p>
  </w:footnote>
  <w:footnote w:id="64">
    <w:p w14:paraId="6AD73E50" w14:textId="7896FD7A" w:rsidR="00FC345C" w:rsidRDefault="00FC345C" w:rsidP="63F480A7">
      <w:pPr>
        <w:pStyle w:val="FootnoteText"/>
      </w:pPr>
      <w:r w:rsidRPr="63F480A7">
        <w:rPr>
          <w:rStyle w:val="FootnoteReference"/>
        </w:rPr>
        <w:footnoteRef/>
      </w:r>
      <w:r>
        <w:t xml:space="preserve"> Health, Communities, Disability Services and Domestic and Family Violence Prevention Committee, Queensland Parliament, </w:t>
      </w:r>
      <w:r w:rsidRPr="63F480A7">
        <w:rPr>
          <w:i/>
          <w:iCs/>
          <w:u w:val="single"/>
        </w:rPr>
        <w:t>Inquiry into the Disability Services and Other Legislation (Worker Screening) Amendment Bill 2020</w:t>
      </w:r>
      <w:r>
        <w:t xml:space="preserve"> (Report, August 2020) 64. </w:t>
      </w:r>
    </w:p>
  </w:footnote>
  <w:footnote w:id="65">
    <w:p w14:paraId="3ED07B09" w14:textId="28657A5F" w:rsidR="00FC345C" w:rsidRPr="00237B76" w:rsidRDefault="00FC345C" w:rsidP="006936AD">
      <w:pPr>
        <w:pStyle w:val="FootnoteText"/>
        <w:rPr>
          <w:lang w:val="en-US"/>
        </w:rPr>
      </w:pPr>
      <w:r>
        <w:rPr>
          <w:rStyle w:val="FootnoteReference"/>
        </w:rPr>
        <w:footnoteRef/>
      </w:r>
      <w:r>
        <w:t xml:space="preserve"> </w:t>
      </w:r>
      <w:r w:rsidRPr="00460496">
        <w:rPr>
          <w:i/>
        </w:rPr>
        <w:t>COVID-1</w:t>
      </w:r>
      <w:r w:rsidRPr="006D538A">
        <w:rPr>
          <w:i/>
        </w:rPr>
        <w:t xml:space="preserve">9 Emergency Response and Other Legislation Amendment </w:t>
      </w:r>
      <w:r>
        <w:rPr>
          <w:i/>
        </w:rPr>
        <w:t>Bill</w:t>
      </w:r>
      <w:r w:rsidRPr="00460496">
        <w:rPr>
          <w:i/>
        </w:rPr>
        <w:t xml:space="preserve"> 2020</w:t>
      </w:r>
      <w:r>
        <w:t xml:space="preserve">. </w:t>
      </w:r>
      <w:r>
        <w:rPr>
          <w:lang w:val="en-US"/>
        </w:rPr>
        <w:t xml:space="preserve">Two appropriation Bills were also declared urgent, although by their nature, such Bills are less likely to limit human rights. </w:t>
      </w:r>
    </w:p>
  </w:footnote>
  <w:footnote w:id="66">
    <w:p w14:paraId="4560F480" w14:textId="1294C378" w:rsidR="00FC345C" w:rsidRDefault="00FC345C">
      <w:pPr>
        <w:pStyle w:val="FootnoteText"/>
      </w:pPr>
      <w:r>
        <w:rPr>
          <w:rStyle w:val="FootnoteReference"/>
        </w:rPr>
        <w:footnoteRef/>
      </w:r>
      <w:r>
        <w:t xml:space="preserve"> </w:t>
      </w:r>
      <w:r w:rsidRPr="00FC4BEE">
        <w:rPr>
          <w:i/>
          <w:iCs/>
        </w:rPr>
        <w:t>Youth Justice and Other Legislation Amendment Act 2021</w:t>
      </w:r>
      <w:r>
        <w:rPr>
          <w:i/>
          <w:iCs/>
        </w:rPr>
        <w:t>.</w:t>
      </w:r>
    </w:p>
  </w:footnote>
  <w:footnote w:id="67">
    <w:p w14:paraId="10F4C927" w14:textId="1FE14208" w:rsidR="00FC345C" w:rsidRDefault="00FC345C" w:rsidP="43FC7218">
      <w:pPr>
        <w:pStyle w:val="FootnoteText"/>
      </w:pPr>
      <w:r w:rsidRPr="43FC7218">
        <w:rPr>
          <w:rStyle w:val="FootnoteReference"/>
        </w:rPr>
        <w:footnoteRef/>
      </w:r>
      <w:r>
        <w:t xml:space="preserve"> </w:t>
      </w:r>
      <w:r w:rsidRPr="43FC7218">
        <w:rPr>
          <w:rFonts w:eastAsia="Arial" w:cs="Arial"/>
        </w:rPr>
        <w:t>https://www.mhrt.qld.gov.au/resources/published-statement-of-reasons</w:t>
      </w:r>
    </w:p>
  </w:footnote>
  <w:footnote w:id="68">
    <w:p w14:paraId="7D37A377" w14:textId="7372AFC1" w:rsidR="00FC345C" w:rsidRDefault="00FC345C" w:rsidP="43FC7218">
      <w:pPr>
        <w:pStyle w:val="FootnoteText"/>
      </w:pPr>
      <w:r w:rsidRPr="43FC7218">
        <w:rPr>
          <w:rStyle w:val="FootnoteReference"/>
        </w:rPr>
        <w:footnoteRef/>
      </w:r>
      <w:r>
        <w:t xml:space="preserve"> </w:t>
      </w:r>
      <w:r w:rsidRPr="000965E2">
        <w:rPr>
          <w:rFonts w:eastAsia="Arial" w:cs="Arial"/>
          <w:i/>
          <w:iCs/>
          <w:color w:val="auto"/>
        </w:rPr>
        <w:t xml:space="preserve">Waratah Coal Pty Ltd v Youth Verdict Ltd &amp; Ors (No 2) </w:t>
      </w:r>
      <w:r w:rsidRPr="000965E2">
        <w:rPr>
          <w:rFonts w:eastAsia="Arial" w:cs="Arial"/>
          <w:color w:val="auto"/>
        </w:rPr>
        <w:t>[2021] QLC 4</w:t>
      </w:r>
      <w:r w:rsidRPr="000965E2">
        <w:rPr>
          <w:color w:val="auto"/>
        </w:rPr>
        <w:t xml:space="preserve"> [9]</w:t>
      </w:r>
      <w:r>
        <w:rPr>
          <w:color w:val="auto"/>
        </w:rPr>
        <w:t>.</w:t>
      </w:r>
    </w:p>
  </w:footnote>
  <w:footnote w:id="69">
    <w:p w14:paraId="693E484E" w14:textId="2234B70C" w:rsidR="00FC345C" w:rsidRPr="00BB7E89" w:rsidRDefault="00FC345C">
      <w:pPr>
        <w:pStyle w:val="FootnoteText"/>
        <w:rPr>
          <w:lang w:val="en-US"/>
        </w:rPr>
      </w:pPr>
      <w:r w:rsidRPr="00BB7E89">
        <w:rPr>
          <w:rStyle w:val="FootnoteReference"/>
          <w:rFonts w:cs="Arial"/>
        </w:rPr>
        <w:footnoteRef/>
      </w:r>
      <w:r w:rsidRPr="00BB7E89">
        <w:rPr>
          <w:rFonts w:cs="Arial"/>
        </w:rPr>
        <w:t xml:space="preserve"> </w:t>
      </w:r>
      <w:r>
        <w:rPr>
          <w:rFonts w:cs="Arial"/>
        </w:rPr>
        <w:t xml:space="preserve">The University of Queensland School of Law, </w:t>
      </w:r>
      <w:r w:rsidRPr="00BB7E89">
        <w:rPr>
          <w:rFonts w:cs="Arial"/>
        </w:rPr>
        <w:t>‘</w:t>
      </w:r>
      <w:r>
        <w:rPr>
          <w:rFonts w:cs="Arial"/>
        </w:rPr>
        <w:t>Published</w:t>
      </w:r>
      <w:r w:rsidRPr="00BB7E89">
        <w:rPr>
          <w:rFonts w:cs="Arial"/>
        </w:rPr>
        <w:t xml:space="preserve"> cases referring to the Human Rights Act 2019 (Qld)’, </w:t>
      </w:r>
      <w:r w:rsidRPr="00CC5A6F">
        <w:rPr>
          <w:rFonts w:cs="Arial"/>
          <w:i/>
        </w:rPr>
        <w:t>Human Rights Case Law Project</w:t>
      </w:r>
      <w:r>
        <w:rPr>
          <w:rFonts w:cs="Arial"/>
        </w:rPr>
        <w:t xml:space="preserve"> </w:t>
      </w:r>
      <w:r w:rsidRPr="00BB7E89">
        <w:rPr>
          <w:rFonts w:cs="Arial"/>
        </w:rPr>
        <w:t>(Web Page).</w:t>
      </w:r>
      <w:r>
        <w:t xml:space="preserve"> </w:t>
      </w:r>
    </w:p>
  </w:footnote>
  <w:footnote w:id="70">
    <w:p w14:paraId="3A7B9256" w14:textId="7C27A7C5" w:rsidR="00FC345C" w:rsidRDefault="00FC345C" w:rsidP="43FC7218">
      <w:pPr>
        <w:pStyle w:val="FootnoteText"/>
        <w:rPr>
          <w:rFonts w:cs="Arial"/>
          <w:lang w:val="en-US"/>
        </w:rPr>
      </w:pPr>
      <w:r w:rsidRPr="43FC7218">
        <w:rPr>
          <w:rStyle w:val="FootnoteReference"/>
          <w:rFonts w:cs="Arial"/>
        </w:rPr>
        <w:footnoteRef/>
      </w:r>
      <w:r w:rsidRPr="43FC7218">
        <w:rPr>
          <w:rFonts w:cs="Arial"/>
        </w:rPr>
        <w:t xml:space="preserve"> Queensland Human Rights Commission, ‘Intervention guidelines’ </w:t>
      </w:r>
      <w:r>
        <w:rPr>
          <w:rFonts w:cs="Arial"/>
        </w:rPr>
        <w:t xml:space="preserve">Legal information </w:t>
      </w:r>
      <w:r w:rsidRPr="43FC7218">
        <w:rPr>
          <w:rFonts w:cs="Arial"/>
        </w:rPr>
        <w:t xml:space="preserve">(Webpage, </w:t>
      </w:r>
      <w:r>
        <w:rPr>
          <w:rFonts w:cs="Arial"/>
        </w:rPr>
        <w:t xml:space="preserve">3 February </w:t>
      </w:r>
      <w:r w:rsidRPr="43FC7218">
        <w:rPr>
          <w:rFonts w:cs="Arial"/>
        </w:rPr>
        <w:t>2020).</w:t>
      </w:r>
    </w:p>
  </w:footnote>
  <w:footnote w:id="71">
    <w:p w14:paraId="40BC2E15" w14:textId="1B34A73C" w:rsidR="00FC345C" w:rsidRPr="00C945D5" w:rsidRDefault="00FC345C">
      <w:pPr>
        <w:pStyle w:val="FootnoteText"/>
        <w:rPr>
          <w:i/>
        </w:rPr>
      </w:pPr>
      <w:r>
        <w:rPr>
          <w:rStyle w:val="FootnoteReference"/>
        </w:rPr>
        <w:footnoteRef/>
      </w:r>
      <w:r>
        <w:t xml:space="preserve"> </w:t>
      </w:r>
      <w:r w:rsidRPr="00CC5A6F">
        <w:t>Department of Justice and Attorney-General (Qld</w:t>
      </w:r>
      <w:r>
        <w:rPr>
          <w:i/>
        </w:rPr>
        <w:t>)</w:t>
      </w:r>
      <w:r>
        <w:rPr>
          <w:iCs/>
        </w:rPr>
        <w:t xml:space="preserve">, </w:t>
      </w:r>
      <w:r>
        <w:rPr>
          <w:i/>
        </w:rPr>
        <w:t>Annual Report 2020-2021,</w:t>
      </w:r>
      <w:r w:rsidRPr="00CC5A6F">
        <w:t xml:space="preserve"> 42</w:t>
      </w:r>
      <w:r>
        <w:rPr>
          <w:i/>
        </w:rPr>
        <w:t xml:space="preserve">. </w:t>
      </w:r>
    </w:p>
  </w:footnote>
  <w:footnote w:id="72">
    <w:p w14:paraId="7D22C768" w14:textId="18356414" w:rsidR="00FC345C" w:rsidRDefault="00FC345C">
      <w:pPr>
        <w:pStyle w:val="FootnoteText"/>
      </w:pPr>
      <w:r w:rsidRPr="006B4A22">
        <w:rPr>
          <w:rStyle w:val="FootnoteReference"/>
          <w:sz w:val="18"/>
        </w:rPr>
        <w:footnoteRef/>
      </w:r>
      <w:r w:rsidRPr="006B4A22">
        <w:rPr>
          <w:sz w:val="18"/>
        </w:rPr>
        <w:t xml:space="preserve"> ‘Celebrating Human Rights’, </w:t>
      </w:r>
      <w:r w:rsidRPr="006B4A22">
        <w:rPr>
          <w:i/>
          <w:sz w:val="18"/>
        </w:rPr>
        <w:t xml:space="preserve">Metro North Hospital and Health Service </w:t>
      </w:r>
      <w:r w:rsidRPr="006B4A22">
        <w:rPr>
          <w:sz w:val="18"/>
        </w:rPr>
        <w:t>(2021). Available at: https://vimeo.com/488799756</w:t>
      </w:r>
    </w:p>
  </w:footnote>
  <w:footnote w:id="73">
    <w:p w14:paraId="45DCD1D3" w14:textId="21F8A9C7" w:rsidR="00FC345C" w:rsidRDefault="00FC345C" w:rsidP="0C76936E">
      <w:pPr>
        <w:pStyle w:val="FootnoteText"/>
        <w:rPr>
          <w:rFonts w:eastAsia="Arial"/>
        </w:rPr>
      </w:pPr>
      <w:r w:rsidRPr="0C76936E">
        <w:rPr>
          <w:rStyle w:val="FootnoteReference"/>
        </w:rPr>
        <w:footnoteRef/>
      </w:r>
      <w:r>
        <w:t xml:space="preserve"> </w:t>
      </w:r>
      <w:r w:rsidRPr="0C76936E">
        <w:rPr>
          <w:rFonts w:eastAsia="Arial"/>
        </w:rPr>
        <w:t xml:space="preserve">See the </w:t>
      </w:r>
      <w:r w:rsidRPr="0C76936E">
        <w:rPr>
          <w:rFonts w:eastAsia="Arial"/>
          <w:i/>
          <w:iCs/>
        </w:rPr>
        <w:t>Human rights complaints and enquiries – internal complaints made to public entities</w:t>
      </w:r>
      <w:r w:rsidRPr="0C76936E">
        <w:rPr>
          <w:rFonts w:eastAsia="Arial"/>
        </w:rPr>
        <w:t xml:space="preserve"> section of this report for the number and outcome of complaints received by the 9 key state government entities.</w:t>
      </w:r>
    </w:p>
  </w:footnote>
  <w:footnote w:id="74">
    <w:p w14:paraId="438375EC" w14:textId="6F48A052" w:rsidR="00FC345C" w:rsidRDefault="00FC345C">
      <w:pPr>
        <w:pStyle w:val="FootnoteText"/>
      </w:pPr>
      <w:r>
        <w:rPr>
          <w:rStyle w:val="FootnoteReference"/>
        </w:rPr>
        <w:footnoteRef/>
      </w:r>
      <w:r>
        <w:t xml:space="preserve"> Department of Children, Youth Justice and Multicultural Affairs (Qld), </w:t>
      </w:r>
      <w:r w:rsidRPr="00CC5A6F">
        <w:rPr>
          <w:i/>
        </w:rPr>
        <w:t>Annual Report 2020-2021</w:t>
      </w:r>
      <w:r>
        <w:rPr>
          <w:i/>
          <w:iCs/>
        </w:rPr>
        <w:t>,</w:t>
      </w:r>
      <w:r>
        <w:t xml:space="preserve"> 33.</w:t>
      </w:r>
    </w:p>
  </w:footnote>
  <w:footnote w:id="75">
    <w:p w14:paraId="17DA7F63" w14:textId="1000BBEF" w:rsidR="00FC345C" w:rsidRDefault="00FC345C" w:rsidP="00841AD7">
      <w:pPr>
        <w:pStyle w:val="FootnoteText"/>
      </w:pPr>
      <w:r>
        <w:rPr>
          <w:rStyle w:val="FootnoteReference"/>
        </w:rPr>
        <w:footnoteRef/>
      </w:r>
      <w:r>
        <w:t xml:space="preserve"> Public Service Commission (Qld), ‘Queensland public sector workforce profile as at March 2021 – quick facts’ (web page). </w:t>
      </w:r>
    </w:p>
    <w:p w14:paraId="3455C8D7" w14:textId="77777777" w:rsidR="00FC345C" w:rsidRDefault="00FC345C" w:rsidP="00841AD7">
      <w:pPr>
        <w:pStyle w:val="FootnoteText"/>
      </w:pPr>
    </w:p>
  </w:footnote>
  <w:footnote w:id="76">
    <w:p w14:paraId="4BBBC4D9" w14:textId="41659478" w:rsidR="00FC345C" w:rsidRDefault="00FC345C">
      <w:pPr>
        <w:pStyle w:val="FootnoteText"/>
      </w:pPr>
      <w:r>
        <w:rPr>
          <w:rStyle w:val="FootnoteReference"/>
        </w:rPr>
        <w:footnoteRef/>
      </w:r>
      <w:r>
        <w:t xml:space="preserve"> TAFE Queensland, </w:t>
      </w:r>
      <w:r w:rsidRPr="00CC5A6F">
        <w:rPr>
          <w:i/>
        </w:rPr>
        <w:t>Annual Report 2020-21</w:t>
      </w:r>
      <w:r>
        <w:t xml:space="preserve">, 20. </w:t>
      </w:r>
    </w:p>
  </w:footnote>
  <w:footnote w:id="77">
    <w:p w14:paraId="271438C3" w14:textId="70FDA26C" w:rsidR="00FC345C" w:rsidRDefault="00FC345C">
      <w:pPr>
        <w:pStyle w:val="FootnoteText"/>
      </w:pPr>
      <w:r>
        <w:rPr>
          <w:rStyle w:val="FootnoteReference"/>
        </w:rPr>
        <w:footnoteRef/>
      </w:r>
      <w:r>
        <w:t xml:space="preserve"> Griffith University, </w:t>
      </w:r>
      <w:r w:rsidRPr="00CC5A6F">
        <w:rPr>
          <w:i/>
        </w:rPr>
        <w:t>Annual Report 2020</w:t>
      </w:r>
      <w:r>
        <w:t>, 26.</w:t>
      </w:r>
      <w:r w:rsidDel="005D6E54">
        <w:t xml:space="preserve"> </w:t>
      </w:r>
    </w:p>
  </w:footnote>
  <w:footnote w:id="78">
    <w:p w14:paraId="177CF022" w14:textId="4D4CF97A" w:rsidR="00FC345C" w:rsidRDefault="00FC345C">
      <w:pPr>
        <w:pStyle w:val="FootnoteText"/>
      </w:pPr>
      <w:r>
        <w:rPr>
          <w:rStyle w:val="FootnoteReference"/>
        </w:rPr>
        <w:footnoteRef/>
      </w:r>
      <w:r>
        <w:t xml:space="preserve"> QUT, </w:t>
      </w:r>
      <w:r w:rsidRPr="00CC5A6F">
        <w:rPr>
          <w:i/>
        </w:rPr>
        <w:t>Annual Report 2020</w:t>
      </w:r>
      <w:r>
        <w:t>, 12.</w:t>
      </w:r>
      <w:r w:rsidDel="00A73414">
        <w:t xml:space="preserve"> </w:t>
      </w:r>
    </w:p>
  </w:footnote>
  <w:footnote w:id="79">
    <w:p w14:paraId="5DD478EB" w14:textId="445CBDF0" w:rsidR="00FC345C" w:rsidRDefault="00FC345C">
      <w:pPr>
        <w:pStyle w:val="FootnoteText"/>
      </w:pPr>
      <w:r>
        <w:rPr>
          <w:rStyle w:val="FootnoteReference"/>
        </w:rPr>
        <w:footnoteRef/>
      </w:r>
      <w:r>
        <w:t xml:space="preserve"> Ibid 11.</w:t>
      </w:r>
    </w:p>
  </w:footnote>
  <w:footnote w:id="80">
    <w:p w14:paraId="0BE1AC3D" w14:textId="1D0B9B0F" w:rsidR="00FC345C" w:rsidRDefault="00FC345C">
      <w:pPr>
        <w:pStyle w:val="FootnoteText"/>
      </w:pPr>
      <w:r>
        <w:rPr>
          <w:rStyle w:val="FootnoteReference"/>
        </w:rPr>
        <w:footnoteRef/>
      </w:r>
      <w:r>
        <w:t xml:space="preserve"> The University of Queensland, </w:t>
      </w:r>
      <w:r w:rsidRPr="00CC5A6F">
        <w:rPr>
          <w:i/>
        </w:rPr>
        <w:t>Annual Report 2020</w:t>
      </w:r>
      <w:r>
        <w:t>, 33.</w:t>
      </w:r>
      <w:r w:rsidDel="00110393">
        <w:t xml:space="preserve"> </w:t>
      </w:r>
    </w:p>
  </w:footnote>
  <w:footnote w:id="81">
    <w:p w14:paraId="6A60C88C" w14:textId="6E4E5A8C" w:rsidR="00FC345C" w:rsidRDefault="00FC345C">
      <w:pPr>
        <w:pStyle w:val="FootnoteText"/>
      </w:pPr>
      <w:r>
        <w:rPr>
          <w:rStyle w:val="FootnoteReference"/>
        </w:rPr>
        <w:footnoteRef/>
      </w:r>
      <w:r>
        <w:t xml:space="preserve"> University of the Sunshine Coast, </w:t>
      </w:r>
      <w:r w:rsidRPr="006B6946">
        <w:rPr>
          <w:i/>
        </w:rPr>
        <w:t>Annual Report 2020</w:t>
      </w:r>
      <w:r>
        <w:t>, 44-45.</w:t>
      </w:r>
      <w:r w:rsidDel="008251C0">
        <w:t xml:space="preserve"> </w:t>
      </w:r>
      <w:r>
        <w:t>t</w:t>
      </w:r>
    </w:p>
  </w:footnote>
  <w:footnote w:id="82">
    <w:p w14:paraId="36AE81E0" w14:textId="4B4CF6C5" w:rsidR="00FC345C" w:rsidRDefault="00FC345C">
      <w:pPr>
        <w:pStyle w:val="FootnoteText"/>
      </w:pPr>
      <w:r>
        <w:rPr>
          <w:rStyle w:val="FootnoteReference"/>
        </w:rPr>
        <w:footnoteRef/>
      </w:r>
      <w:r>
        <w:t xml:space="preserve"> University of Southern Queensland, </w:t>
      </w:r>
      <w:r w:rsidRPr="006B6946">
        <w:rPr>
          <w:i/>
        </w:rPr>
        <w:t>USQ Annual Report 2020</w:t>
      </w:r>
      <w:r>
        <w:t>, 22.</w:t>
      </w:r>
      <w:r w:rsidDel="00744724">
        <w:t xml:space="preserve"> </w:t>
      </w:r>
      <w:r>
        <w:t>t</w:t>
      </w:r>
    </w:p>
  </w:footnote>
  <w:footnote w:id="83">
    <w:p w14:paraId="170AFF1E" w14:textId="62A3CFB0" w:rsidR="00FC345C" w:rsidRDefault="00FC345C">
      <w:pPr>
        <w:pStyle w:val="FootnoteText"/>
      </w:pPr>
      <w:r>
        <w:rPr>
          <w:rStyle w:val="FootnoteReference"/>
        </w:rPr>
        <w:footnoteRef/>
      </w:r>
      <w:r>
        <w:t xml:space="preserve"> TAFE Queensland, </w:t>
      </w:r>
      <w:r w:rsidRPr="000A1221">
        <w:rPr>
          <w:i/>
          <w:iCs/>
        </w:rPr>
        <w:t>Annual Report 2020-21</w:t>
      </w:r>
      <w:r>
        <w:t>, 20. t</w:t>
      </w:r>
    </w:p>
  </w:footnote>
  <w:footnote w:id="84">
    <w:p w14:paraId="2CC8FB84" w14:textId="34179D80" w:rsidR="00FC345C" w:rsidRDefault="00FC345C">
      <w:pPr>
        <w:pStyle w:val="FootnoteText"/>
      </w:pPr>
      <w:r>
        <w:rPr>
          <w:rStyle w:val="FootnoteReference"/>
        </w:rPr>
        <w:footnoteRef/>
      </w:r>
      <w:r>
        <w:t xml:space="preserve"> James Cook University, </w:t>
      </w:r>
      <w:r w:rsidRPr="006B6946">
        <w:rPr>
          <w:i/>
        </w:rPr>
        <w:t>2020 Annual Report James Cook University</w:t>
      </w:r>
      <w:r>
        <w:t>, 23.</w:t>
      </w:r>
      <w:r w:rsidDel="00DE53BE">
        <w:t xml:space="preserve"> </w:t>
      </w:r>
    </w:p>
  </w:footnote>
  <w:footnote w:id="85">
    <w:p w14:paraId="2A63AA85" w14:textId="50CDA01B" w:rsidR="00FC345C" w:rsidRDefault="00FC345C">
      <w:pPr>
        <w:pStyle w:val="FootnoteText"/>
      </w:pPr>
      <w:r>
        <w:rPr>
          <w:rStyle w:val="FootnoteReference"/>
        </w:rPr>
        <w:footnoteRef/>
      </w:r>
      <w:r>
        <w:t xml:space="preserve"> Griffith University, </w:t>
      </w:r>
      <w:r w:rsidRPr="000A1221">
        <w:rPr>
          <w:i/>
          <w:iCs/>
        </w:rPr>
        <w:t>Annual Report 2020</w:t>
      </w:r>
      <w:r>
        <w:rPr>
          <w:i/>
          <w:iCs/>
        </w:rPr>
        <w:t xml:space="preserve">, </w:t>
      </w:r>
      <w:r>
        <w:t>26.</w:t>
      </w:r>
    </w:p>
  </w:footnote>
  <w:footnote w:id="86">
    <w:p w14:paraId="034A6ECF" w14:textId="090205A7" w:rsidR="00FC345C" w:rsidRDefault="00FC345C">
      <w:pPr>
        <w:pStyle w:val="FootnoteText"/>
      </w:pPr>
      <w:r>
        <w:rPr>
          <w:rStyle w:val="FootnoteReference"/>
        </w:rPr>
        <w:footnoteRef/>
      </w:r>
      <w:r>
        <w:t xml:space="preserve"> The University of Queensland, </w:t>
      </w:r>
      <w:r w:rsidRPr="000A1221">
        <w:rPr>
          <w:i/>
          <w:iCs/>
        </w:rPr>
        <w:t>Annual Report 2020</w:t>
      </w:r>
      <w:r>
        <w:t>, 48.</w:t>
      </w:r>
      <w:r w:rsidDel="00B45380">
        <w:t xml:space="preserve"> </w:t>
      </w:r>
    </w:p>
  </w:footnote>
  <w:footnote w:id="87">
    <w:p w14:paraId="175EAE15" w14:textId="2D9F9C74" w:rsidR="00FC345C" w:rsidRDefault="00FC345C">
      <w:pPr>
        <w:pStyle w:val="FootnoteText"/>
      </w:pPr>
      <w:r>
        <w:rPr>
          <w:rStyle w:val="FootnoteReference"/>
        </w:rPr>
        <w:footnoteRef/>
      </w:r>
      <w:r>
        <w:t xml:space="preserve"> QUT, </w:t>
      </w:r>
      <w:r w:rsidRPr="000A1221">
        <w:rPr>
          <w:i/>
          <w:iCs/>
        </w:rPr>
        <w:t>Annual Report 2020</w:t>
      </w:r>
      <w:r>
        <w:t>, 12-13.</w:t>
      </w:r>
      <w:r w:rsidDel="00531D1C">
        <w:t xml:space="preserve"> </w:t>
      </w:r>
    </w:p>
  </w:footnote>
  <w:footnote w:id="88">
    <w:p w14:paraId="13490FDF" w14:textId="5F41DE3D" w:rsidR="00FC345C" w:rsidRDefault="00FC345C">
      <w:pPr>
        <w:pStyle w:val="FootnoteText"/>
      </w:pPr>
      <w:r>
        <w:rPr>
          <w:rStyle w:val="FootnoteReference"/>
        </w:rPr>
        <w:footnoteRef/>
      </w:r>
      <w:r>
        <w:t xml:space="preserve"> Griffith University, </w:t>
      </w:r>
      <w:r w:rsidRPr="000A1221">
        <w:rPr>
          <w:i/>
          <w:iCs/>
        </w:rPr>
        <w:t>Annual Report 2020</w:t>
      </w:r>
      <w:r>
        <w:rPr>
          <w:i/>
          <w:iCs/>
        </w:rPr>
        <w:t xml:space="preserve">, </w:t>
      </w:r>
      <w:r>
        <w:t>26.</w:t>
      </w:r>
      <w:r w:rsidDel="00461430">
        <w:t xml:space="preserve"> </w:t>
      </w:r>
    </w:p>
  </w:footnote>
  <w:footnote w:id="89">
    <w:p w14:paraId="23B84D01" w14:textId="7CF7AAAA" w:rsidR="00FC345C" w:rsidRDefault="00FC345C">
      <w:pPr>
        <w:pStyle w:val="FootnoteText"/>
      </w:pPr>
      <w:r>
        <w:rPr>
          <w:rStyle w:val="FootnoteReference"/>
        </w:rPr>
        <w:footnoteRef/>
      </w:r>
      <w:r>
        <w:t xml:space="preserve"> University of the Sunshine Coast, </w:t>
      </w:r>
      <w:r w:rsidRPr="000A1221">
        <w:rPr>
          <w:i/>
          <w:iCs/>
        </w:rPr>
        <w:t>Annual Report 2020</w:t>
      </w:r>
      <w:r>
        <w:t>, 44.</w:t>
      </w:r>
      <w:r w:rsidDel="00E0743F">
        <w:t xml:space="preserve"> </w:t>
      </w:r>
    </w:p>
  </w:footnote>
  <w:footnote w:id="90">
    <w:p w14:paraId="4029134B" w14:textId="785B00EF" w:rsidR="00FC345C" w:rsidRDefault="00FC345C">
      <w:pPr>
        <w:pStyle w:val="FootnoteText"/>
      </w:pPr>
      <w:r>
        <w:rPr>
          <w:rStyle w:val="FootnoteReference"/>
        </w:rPr>
        <w:footnoteRef/>
      </w:r>
      <w:r>
        <w:t xml:space="preserve"> Queensland Advocacy Incorporated, Media release, 2020. Available at: </w:t>
      </w:r>
      <w:r w:rsidRPr="002E2720">
        <w:t>https://qai.org.au/2020/10/06/qai-first-to-opt-in-to-be-bound-by-human-rights-act-2019/</w:t>
      </w:r>
    </w:p>
  </w:footnote>
  <w:footnote w:id="91">
    <w:p w14:paraId="5C237DF3" w14:textId="14809928" w:rsidR="00FC345C" w:rsidRPr="004C7823" w:rsidRDefault="00FC345C" w:rsidP="00DB3ED6">
      <w:pPr>
        <w:pStyle w:val="FootnoteText"/>
      </w:pPr>
      <w:r w:rsidRPr="004C7823">
        <w:rPr>
          <w:rStyle w:val="FootnoteReference"/>
        </w:rPr>
        <w:footnoteRef/>
      </w:r>
      <w:r w:rsidRPr="004C7823">
        <w:t xml:space="preserve"> </w:t>
      </w:r>
      <w:r w:rsidRPr="004C7823">
        <w:rPr>
          <w:rFonts w:cs="Arial"/>
        </w:rPr>
        <w:t>Explanatory Notes, Human Rights Bill 2018</w:t>
      </w:r>
      <w:r>
        <w:rPr>
          <w:rFonts w:cs="Arial"/>
        </w:rPr>
        <w:t>,</w:t>
      </w:r>
      <w:r w:rsidRPr="004C7823">
        <w:rPr>
          <w:rFonts w:cs="Arial"/>
        </w:rPr>
        <w:t xml:space="preserve"> 37.</w:t>
      </w:r>
    </w:p>
  </w:footnote>
  <w:footnote w:id="92">
    <w:p w14:paraId="76FD9C67" w14:textId="3E205D63" w:rsidR="00FC345C" w:rsidRDefault="00FC345C" w:rsidP="394BCFB9">
      <w:pPr>
        <w:pStyle w:val="FootnoteText"/>
      </w:pPr>
      <w:r w:rsidRPr="394BCFB9">
        <w:rPr>
          <w:rStyle w:val="FootnoteReference"/>
        </w:rPr>
        <w:footnoteRef/>
      </w:r>
      <w:r>
        <w:t xml:space="preserve"> Department of Education, </w:t>
      </w:r>
      <w:r w:rsidRPr="00C63914">
        <w:rPr>
          <w:i/>
        </w:rPr>
        <w:t>Annual Report 2020-2021</w:t>
      </w:r>
      <w:r>
        <w:t>, 49.</w:t>
      </w:r>
    </w:p>
  </w:footnote>
  <w:footnote w:id="93">
    <w:p w14:paraId="1B1DD3E2" w14:textId="1E6BD257" w:rsidR="00FC345C" w:rsidRDefault="00FC345C" w:rsidP="6301ADE9">
      <w:pPr>
        <w:pStyle w:val="FootnoteText"/>
      </w:pPr>
      <w:r w:rsidRPr="6301ADE9">
        <w:rPr>
          <w:rStyle w:val="FootnoteReference"/>
        </w:rPr>
        <w:footnoteRef/>
      </w:r>
      <w:r>
        <w:t xml:space="preserve"> </w:t>
      </w:r>
      <w:r w:rsidRPr="00C63914">
        <w:t xml:space="preserve">Department of Communities, Housing and Digital Economy, </w:t>
      </w:r>
      <w:r w:rsidRPr="00C63914">
        <w:rPr>
          <w:i/>
        </w:rPr>
        <w:t>Annual Report</w:t>
      </w:r>
      <w:r>
        <w:t xml:space="preserve"> </w:t>
      </w:r>
      <w:r w:rsidRPr="004F4B17">
        <w:rPr>
          <w:i/>
        </w:rPr>
        <w:t>2020-2021</w:t>
      </w:r>
      <w:r>
        <w:t>, 37.</w:t>
      </w:r>
    </w:p>
  </w:footnote>
  <w:footnote w:id="94">
    <w:p w14:paraId="6AF9612B" w14:textId="47B4DC7E" w:rsidR="00FC345C" w:rsidRDefault="00FC345C" w:rsidP="494896AF">
      <w:pPr>
        <w:pStyle w:val="FootnoteText"/>
      </w:pPr>
      <w:r w:rsidRPr="494896AF">
        <w:rPr>
          <w:rStyle w:val="FootnoteReference"/>
        </w:rPr>
        <w:footnoteRef/>
      </w:r>
      <w:r>
        <w:t xml:space="preserve"> Queensland Police Service, </w:t>
      </w:r>
      <w:r w:rsidRPr="00A76E13">
        <w:rPr>
          <w:i/>
        </w:rPr>
        <w:t>Annual Report 2020-21</w:t>
      </w:r>
      <w:r w:rsidRPr="00A76E13">
        <w:t>,</w:t>
      </w:r>
      <w:r>
        <w:t xml:space="preserve"> 11.</w:t>
      </w:r>
    </w:p>
  </w:footnote>
  <w:footnote w:id="95">
    <w:p w14:paraId="3B6CD993" w14:textId="623B22E6" w:rsidR="00FC345C" w:rsidRDefault="00FC345C" w:rsidP="4DDC3D88">
      <w:pPr>
        <w:pStyle w:val="FootnoteText"/>
      </w:pPr>
      <w:r w:rsidRPr="4DDC3D88">
        <w:rPr>
          <w:rStyle w:val="FootnoteReference"/>
        </w:rPr>
        <w:footnoteRef/>
      </w:r>
      <w:r>
        <w:t xml:space="preserve"> Department of Children, Youth Justice and Multicultural affairs, </w:t>
      </w:r>
      <w:r w:rsidRPr="005E5428">
        <w:rPr>
          <w:i/>
        </w:rPr>
        <w:t>Annual report 2020-2021</w:t>
      </w:r>
      <w:r>
        <w:t>, 35.</w:t>
      </w:r>
    </w:p>
  </w:footnote>
  <w:footnote w:id="96">
    <w:p w14:paraId="106AB893" w14:textId="7C1187D2" w:rsidR="00FC345C" w:rsidRDefault="00FC345C" w:rsidP="494896AF">
      <w:pPr>
        <w:pStyle w:val="FootnoteText"/>
      </w:pPr>
      <w:r w:rsidRPr="494896AF">
        <w:rPr>
          <w:rStyle w:val="FootnoteReference"/>
        </w:rPr>
        <w:footnoteRef/>
      </w:r>
      <w:r>
        <w:t xml:space="preserve"> Queensland Corrective Services, </w:t>
      </w:r>
      <w:r w:rsidRPr="004F4B17">
        <w:rPr>
          <w:i/>
        </w:rPr>
        <w:t>Annual Report 2020-21</w:t>
      </w:r>
      <w:r>
        <w:t>, 36.</w:t>
      </w:r>
    </w:p>
  </w:footnote>
  <w:footnote w:id="97">
    <w:p w14:paraId="369FB628" w14:textId="3BCDF117" w:rsidR="00FC345C" w:rsidRDefault="00FC345C" w:rsidP="61539BFA">
      <w:pPr>
        <w:pStyle w:val="FootnoteText"/>
      </w:pPr>
      <w:r w:rsidRPr="61539BFA">
        <w:rPr>
          <w:rStyle w:val="FootnoteReference"/>
        </w:rPr>
        <w:footnoteRef/>
      </w:r>
      <w:r>
        <w:t xml:space="preserve"> Department of Seniors, Disability Services and Aboriginal and Torres Strait Islander Partnerships, </w:t>
      </w:r>
      <w:r w:rsidRPr="0089534D">
        <w:rPr>
          <w:i/>
        </w:rPr>
        <w:t>Annual Report 2020-2021</w:t>
      </w:r>
      <w:r>
        <w:t>, 48.</w:t>
      </w:r>
    </w:p>
  </w:footnote>
  <w:footnote w:id="98">
    <w:p w14:paraId="5FBF2F3A" w14:textId="0B1BA579" w:rsidR="00FC345C" w:rsidRDefault="00FC345C" w:rsidP="3BA6CB80">
      <w:pPr>
        <w:pStyle w:val="FootnoteText"/>
      </w:pPr>
      <w:r w:rsidRPr="3BA6CB80">
        <w:rPr>
          <w:rStyle w:val="FootnoteReference"/>
        </w:rPr>
        <w:footnoteRef/>
      </w:r>
      <w:r w:rsidRPr="3BA6CB80">
        <w:t xml:space="preserve"> Department of Health</w:t>
      </w:r>
      <w:r>
        <w:t>,</w:t>
      </w:r>
      <w:r w:rsidRPr="3BA6CB80">
        <w:t xml:space="preserve"> </w:t>
      </w:r>
      <w:r w:rsidRPr="0089534D">
        <w:rPr>
          <w:i/>
        </w:rPr>
        <w:t>Annual Report 2020-21</w:t>
      </w:r>
      <w:r w:rsidRPr="3BA6CB80">
        <w:t>, 106.</w:t>
      </w:r>
    </w:p>
  </w:footnote>
  <w:footnote w:id="99">
    <w:p w14:paraId="22CF257D" w14:textId="03F4D44D" w:rsidR="00FC345C" w:rsidRDefault="00FC345C">
      <w:pPr>
        <w:pStyle w:val="FootnoteText"/>
      </w:pPr>
      <w:r w:rsidRPr="004F4B17">
        <w:rPr>
          <w:rStyle w:val="FootnoteReference"/>
        </w:rPr>
        <w:footnoteRef/>
      </w:r>
      <w:r w:rsidRPr="004F4B17">
        <w:t xml:space="preserve"> 5,849</w:t>
      </w:r>
      <w:r>
        <w:t xml:space="preserve"> enquiries were received overall by the Commission in 2020-21. In 4,166 of these, an alleged breach of legislation was discussed.</w:t>
      </w:r>
    </w:p>
  </w:footnote>
  <w:footnote w:id="100">
    <w:p w14:paraId="0F6D5D77" w14:textId="0F1B0141" w:rsidR="00FC345C" w:rsidRPr="004C7823" w:rsidRDefault="00FC345C" w:rsidP="00AC0D96">
      <w:pPr>
        <w:pStyle w:val="FootnoteText"/>
        <w:rPr>
          <w:lang w:val="en-US"/>
        </w:rPr>
      </w:pPr>
      <w:r w:rsidRPr="004C7823">
        <w:rPr>
          <w:rStyle w:val="FootnoteReference"/>
          <w:rFonts w:cs="Arial"/>
        </w:rPr>
        <w:footnoteRef/>
      </w:r>
      <w:r w:rsidRPr="004C7823">
        <w:rPr>
          <w:rFonts w:cs="Arial"/>
          <w:lang w:val="en-US"/>
        </w:rPr>
        <w:t xml:space="preserve"> See </w:t>
      </w:r>
      <w:r w:rsidRPr="004C7823">
        <w:rPr>
          <w:rFonts w:cs="Arial"/>
          <w:i/>
          <w:lang w:val="en-US"/>
        </w:rPr>
        <w:t>Human Rights Act 2019</w:t>
      </w:r>
      <w:r>
        <w:rPr>
          <w:rFonts w:cs="Arial"/>
          <w:i/>
          <w:lang w:val="en-US"/>
        </w:rPr>
        <w:t xml:space="preserve"> </w:t>
      </w:r>
      <w:r w:rsidRPr="0031364A">
        <w:rPr>
          <w:rFonts w:cs="Arial"/>
          <w:lang w:val="en-US"/>
        </w:rPr>
        <w:t>s 65</w:t>
      </w:r>
      <w:r w:rsidRPr="004C7823">
        <w:rPr>
          <w:rFonts w:cs="Arial"/>
          <w:lang w:val="en-US"/>
        </w:rPr>
        <w:t>.</w:t>
      </w:r>
    </w:p>
  </w:footnote>
  <w:footnote w:id="101">
    <w:p w14:paraId="6F70F0B1" w14:textId="7E4C2C47" w:rsidR="00FC345C" w:rsidRPr="004A1B53" w:rsidRDefault="00FC345C">
      <w:pPr>
        <w:pStyle w:val="FootnoteText"/>
        <w:rPr>
          <w:i/>
          <w:lang w:val="en-US"/>
        </w:rPr>
      </w:pPr>
      <w:r>
        <w:rPr>
          <w:rStyle w:val="FootnoteReference"/>
        </w:rPr>
        <w:footnoteRef/>
      </w:r>
      <w:r>
        <w:t xml:space="preserve"> </w:t>
      </w:r>
      <w:r w:rsidRPr="004A1B53">
        <w:rPr>
          <w:rFonts w:cs="Arial"/>
          <w:i/>
          <w:lang w:val="en-US"/>
        </w:rPr>
        <w:t>Human Rights Act 2019</w:t>
      </w:r>
      <w:r w:rsidRPr="0031364A">
        <w:rPr>
          <w:rFonts w:cs="Arial"/>
          <w:lang w:val="en-US"/>
        </w:rPr>
        <w:t xml:space="preserve"> s 64</w:t>
      </w:r>
      <w:r>
        <w:rPr>
          <w:rFonts w:cs="Arial"/>
          <w:iCs/>
          <w:lang w:val="en-US"/>
        </w:rPr>
        <w:t>(3)</w:t>
      </w:r>
      <w:r w:rsidRPr="0031364A">
        <w:rPr>
          <w:rFonts w:cs="Arial"/>
          <w:lang w:val="en-US"/>
        </w:rPr>
        <w:t>.</w:t>
      </w:r>
    </w:p>
  </w:footnote>
  <w:footnote w:id="102">
    <w:p w14:paraId="025C7024" w14:textId="32810448" w:rsidR="00FC345C" w:rsidRPr="008A00EB" w:rsidRDefault="00FC345C" w:rsidP="002771F8">
      <w:pPr>
        <w:pStyle w:val="FootnoteText"/>
        <w:rPr>
          <w:rFonts w:cs="Arial"/>
          <w:lang w:val="en-US"/>
        </w:rPr>
      </w:pPr>
      <w:r w:rsidRPr="008A00EB">
        <w:rPr>
          <w:rStyle w:val="FootnoteReference"/>
          <w:rFonts w:cs="Arial"/>
        </w:rPr>
        <w:footnoteRef/>
      </w:r>
      <w:r w:rsidRPr="008A00EB">
        <w:rPr>
          <w:rFonts w:cs="Arial"/>
        </w:rPr>
        <w:t xml:space="preserve"> </w:t>
      </w:r>
      <w:r w:rsidRPr="008A00EB">
        <w:rPr>
          <w:rFonts w:cs="Arial"/>
          <w:lang w:val="en-US"/>
        </w:rPr>
        <w:t xml:space="preserve">QCAT hears complaints made under the </w:t>
      </w:r>
      <w:r w:rsidRPr="008A00EB">
        <w:rPr>
          <w:rFonts w:cs="Arial"/>
          <w:i/>
          <w:lang w:val="en-US"/>
        </w:rPr>
        <w:t>Anti-Discrimination Act 1991</w:t>
      </w:r>
      <w:r w:rsidRPr="008A00EB">
        <w:rPr>
          <w:rFonts w:cs="Arial"/>
          <w:lang w:val="en-US"/>
        </w:rPr>
        <w:t xml:space="preserve"> (Qld) but not resolved at the Commission that</w:t>
      </w:r>
      <w:r>
        <w:rPr>
          <w:rFonts w:cs="Arial"/>
          <w:lang w:val="en-US"/>
        </w:rPr>
        <w:t xml:space="preserve"> are not work-related</w:t>
      </w:r>
      <w:r w:rsidRPr="008A00EB">
        <w:rPr>
          <w:rFonts w:cs="Arial"/>
          <w:lang w:val="en-US"/>
        </w:rPr>
        <w:t>.</w:t>
      </w:r>
    </w:p>
  </w:footnote>
  <w:footnote w:id="103">
    <w:p w14:paraId="2F46BEA0" w14:textId="6FD29372" w:rsidR="00FC345C" w:rsidRPr="004C7823" w:rsidRDefault="00FC345C" w:rsidP="002771F8">
      <w:pPr>
        <w:pStyle w:val="FootnoteText"/>
        <w:rPr>
          <w:lang w:val="en-US"/>
        </w:rPr>
      </w:pPr>
      <w:r w:rsidRPr="008A00EB">
        <w:rPr>
          <w:rStyle w:val="FootnoteReference"/>
          <w:rFonts w:cs="Arial"/>
        </w:rPr>
        <w:footnoteRef/>
      </w:r>
      <w:r w:rsidRPr="008A00EB">
        <w:rPr>
          <w:rFonts w:cs="Arial"/>
        </w:rPr>
        <w:t xml:space="preserve"> </w:t>
      </w:r>
      <w:r w:rsidRPr="008A00EB">
        <w:rPr>
          <w:rFonts w:cs="Arial"/>
          <w:lang w:val="en-US"/>
        </w:rPr>
        <w:t xml:space="preserve">QIRC hears complaints made under the </w:t>
      </w:r>
      <w:r w:rsidRPr="008A00EB">
        <w:rPr>
          <w:rFonts w:cs="Arial"/>
          <w:i/>
          <w:lang w:val="en-US"/>
        </w:rPr>
        <w:t>Anti-Discrimination Act 1991</w:t>
      </w:r>
      <w:r w:rsidRPr="008A00EB">
        <w:rPr>
          <w:rFonts w:cs="Arial"/>
          <w:lang w:val="en-US"/>
        </w:rPr>
        <w:t xml:space="preserve"> (Qld) but not resolved at the Commission that </w:t>
      </w:r>
      <w:r>
        <w:rPr>
          <w:rFonts w:cs="Arial"/>
          <w:lang w:val="en-US"/>
        </w:rPr>
        <w:t>are work-related</w:t>
      </w:r>
      <w:r w:rsidRPr="008A00EB">
        <w:rPr>
          <w:rFonts w:cs="Arial"/>
          <w:lang w:val="en-US"/>
        </w:rPr>
        <w:t>.</w:t>
      </w:r>
    </w:p>
  </w:footnote>
  <w:footnote w:id="104">
    <w:p w14:paraId="3755F79C" w14:textId="0E187C7C" w:rsidR="00FC345C" w:rsidRDefault="00FC345C">
      <w:pPr>
        <w:pStyle w:val="FootnoteText"/>
      </w:pPr>
      <w:r>
        <w:rPr>
          <w:rStyle w:val="FootnoteReference"/>
        </w:rPr>
        <w:footnoteRef/>
      </w:r>
      <w:r>
        <w:t xml:space="preserve"> Based on the last 5 financial years of data, anti-discrimination complaints in the area of administration of state laws and programs have resolved at a rate of 38.5%, in contrast to other areas such as work (51.4%), accommodation (55.1%), education (51.9%), and good and services (55%), </w:t>
      </w:r>
    </w:p>
  </w:footnote>
  <w:footnote w:id="105">
    <w:p w14:paraId="4242F6C4" w14:textId="7ABB7223" w:rsidR="00FC345C" w:rsidRPr="003812D8" w:rsidRDefault="00FC345C">
      <w:pPr>
        <w:pStyle w:val="FootnoteText"/>
        <w:rPr>
          <w:lang w:val="en-US"/>
        </w:rPr>
      </w:pPr>
      <w:r>
        <w:rPr>
          <w:rStyle w:val="FootnoteReference"/>
        </w:rPr>
        <w:footnoteRef/>
      </w:r>
      <w:r>
        <w:t xml:space="preserve"> </w:t>
      </w:r>
      <w:r w:rsidRPr="00426586">
        <w:t xml:space="preserve">Note that the names of rights sections are abbreviated. For a full list of rights see section of this report entitled </w:t>
      </w:r>
      <w:r w:rsidRPr="00426586">
        <w:rPr>
          <w:i/>
        </w:rPr>
        <w:t>Introduction to the Human Rights Act - Protected Rights</w:t>
      </w:r>
      <w:r w:rsidRPr="00426586">
        <w:t>.</w:t>
      </w:r>
    </w:p>
  </w:footnote>
  <w:footnote w:id="106">
    <w:p w14:paraId="3C82A417" w14:textId="38BC577B" w:rsidR="00FC345C" w:rsidRDefault="00FC345C">
      <w:pPr>
        <w:pStyle w:val="FootnoteText"/>
      </w:pPr>
      <w:r>
        <w:rPr>
          <w:rStyle w:val="FootnoteReference"/>
        </w:rPr>
        <w:footnoteRef/>
      </w:r>
      <w:r>
        <w:t xml:space="preserve"> </w:t>
      </w:r>
      <w:r w:rsidRPr="009A7306">
        <w:rPr>
          <w:i/>
          <w:iCs/>
        </w:rPr>
        <w:t>Corrective Services Act 2006</w:t>
      </w:r>
      <w:r>
        <w:t xml:space="preserve"> </w:t>
      </w:r>
      <w:proofErr w:type="spellStart"/>
      <w:r>
        <w:t>pt</w:t>
      </w:r>
      <w:proofErr w:type="spellEnd"/>
      <w:r>
        <w:t xml:space="preserve"> 12A div 2 ‘Restrictions on Complaints’, in particular ss 319E–319F. </w:t>
      </w:r>
    </w:p>
  </w:footnote>
  <w:footnote w:id="107">
    <w:p w14:paraId="24E5667E" w14:textId="2BB75954" w:rsidR="00FC345C" w:rsidRDefault="00FC345C" w:rsidP="2FCE546F">
      <w:pPr>
        <w:pStyle w:val="FootnoteText"/>
      </w:pPr>
      <w:r w:rsidRPr="2FCE546F">
        <w:rPr>
          <w:rStyle w:val="FootnoteReference"/>
        </w:rPr>
        <w:footnoteRef/>
      </w:r>
      <w:r w:rsidRPr="2FCE546F">
        <w:t xml:space="preserve"> This is reasonably consistent with the Department of Health’s annual report, which reported 206 human rights complaints, 88% of which related to the department’s response to the COVID-19 pandemic restrictions and exemptions under the. See</w:t>
      </w:r>
      <w:r>
        <w:t xml:space="preserve"> Department of Health (Qld), </w:t>
      </w:r>
      <w:r w:rsidRPr="009A7306">
        <w:rPr>
          <w:i/>
          <w:iCs/>
        </w:rPr>
        <w:t>Annual Report 2020-2021</w:t>
      </w:r>
      <w:r>
        <w:t>,</w:t>
      </w:r>
      <w:r w:rsidRPr="2FCE546F">
        <w:t xml:space="preserve"> 107. </w:t>
      </w:r>
    </w:p>
    <w:p w14:paraId="67AAC164" w14:textId="77AD2995" w:rsidR="00FC345C" w:rsidRDefault="00FC345C" w:rsidP="2FCE546F">
      <w:pPr>
        <w:pStyle w:val="FootnoteText"/>
      </w:pPr>
    </w:p>
  </w:footnote>
  <w:footnote w:id="108">
    <w:p w14:paraId="54041FD8" w14:textId="2AA9EB98" w:rsidR="00FC345C" w:rsidRDefault="00FC345C">
      <w:pPr>
        <w:pStyle w:val="FootnoteText"/>
      </w:pPr>
      <w:r>
        <w:rPr>
          <w:rStyle w:val="FootnoteReference"/>
        </w:rPr>
        <w:footnoteRef/>
      </w:r>
      <w:r>
        <w:t xml:space="preserve"> Queensland Treasury, ‘Population estimates and projections’, </w:t>
      </w:r>
      <w:r w:rsidRPr="00590E4B">
        <w:rPr>
          <w:i/>
        </w:rPr>
        <w:t>Aboriginal peoples and Torres Strait Islander peoples</w:t>
      </w:r>
      <w:r>
        <w:t xml:space="preserve"> (Web Page, 23 January 2019).</w:t>
      </w:r>
    </w:p>
  </w:footnote>
  <w:footnote w:id="109">
    <w:p w14:paraId="15E7A343" w14:textId="656A69F8" w:rsidR="00FC345C" w:rsidRPr="0033159E" w:rsidRDefault="00FC345C" w:rsidP="2D5FE124">
      <w:pPr>
        <w:pStyle w:val="FootnoteText"/>
        <w:rPr>
          <w:rFonts w:eastAsia="Arial" w:cs="Arial"/>
          <w:sz w:val="19"/>
          <w:szCs w:val="19"/>
          <w:highlight w:val="yellow"/>
        </w:rPr>
      </w:pPr>
      <w:r w:rsidRPr="0033159E">
        <w:rPr>
          <w:rStyle w:val="FootnoteReference"/>
          <w:rFonts w:cs="Arial"/>
        </w:rPr>
        <w:footnoteRef/>
      </w:r>
      <w:r w:rsidRPr="0033159E">
        <w:rPr>
          <w:rFonts w:cs="Arial"/>
        </w:rPr>
        <w:t xml:space="preserve"> Legal Affairs and Community Safety </w:t>
      </w:r>
      <w:r>
        <w:rPr>
          <w:rFonts w:cs="Arial"/>
        </w:rPr>
        <w:t>Committee</w:t>
      </w:r>
      <w:r w:rsidRPr="0033159E">
        <w:rPr>
          <w:rFonts w:cs="Arial"/>
        </w:rPr>
        <w:t xml:space="preserve">, Queensland </w:t>
      </w:r>
      <w:r>
        <w:rPr>
          <w:rFonts w:cs="Arial"/>
        </w:rPr>
        <w:t>Parliament</w:t>
      </w:r>
      <w:r w:rsidRPr="0033159E">
        <w:rPr>
          <w:rFonts w:cs="Arial"/>
          <w:i/>
        </w:rPr>
        <w:t>, Human Rights Bill 2018</w:t>
      </w:r>
      <w:r w:rsidRPr="0033159E">
        <w:rPr>
          <w:rFonts w:cs="Arial"/>
        </w:rPr>
        <w:t xml:space="preserve"> (</w:t>
      </w:r>
      <w:r w:rsidRPr="00C945E9">
        <w:rPr>
          <w:rFonts w:cs="Arial"/>
        </w:rPr>
        <w:t xml:space="preserve">Report No. 26, </w:t>
      </w:r>
      <w:r>
        <w:rPr>
          <w:rFonts w:cs="Arial"/>
        </w:rPr>
        <w:t xml:space="preserve">February </w:t>
      </w:r>
      <w:r w:rsidRPr="0033159E">
        <w:rPr>
          <w:rFonts w:cs="Arial"/>
        </w:rPr>
        <w:t>2019)</w:t>
      </w:r>
      <w:r>
        <w:rPr>
          <w:rFonts w:cs="Arial"/>
        </w:rPr>
        <w:t xml:space="preserve"> 13.</w:t>
      </w:r>
    </w:p>
  </w:footnote>
  <w:footnote w:id="110">
    <w:p w14:paraId="2C927FD9" w14:textId="0489D36A" w:rsidR="00FC345C" w:rsidRDefault="00FC345C">
      <w:pPr>
        <w:pStyle w:val="FootnoteText"/>
      </w:pPr>
      <w:r>
        <w:rPr>
          <w:rStyle w:val="FootnoteReference"/>
        </w:rPr>
        <w:footnoteRef/>
      </w:r>
      <w:r>
        <w:t xml:space="preserve"> Queensland Ombudsman, </w:t>
      </w:r>
      <w:r w:rsidRPr="00D4129A">
        <w:rPr>
          <w:i/>
        </w:rPr>
        <w:t>Annual Report 2020–21</w:t>
      </w:r>
      <w:r>
        <w:t xml:space="preserve">, 7. </w:t>
      </w:r>
      <w:hyperlink r:id="rId1" w:history="1">
        <w:r w:rsidRPr="00245423">
          <w:rPr>
            <w:rStyle w:val="Hyperlink"/>
          </w:rPr>
          <w:t>https://documents.</w:t>
        </w:r>
        <w:r>
          <w:rPr>
            <w:rStyle w:val="Hyperlink"/>
          </w:rPr>
          <w:t>Parliament</w:t>
        </w:r>
        <w:r w:rsidRPr="00245423">
          <w:rPr>
            <w:rStyle w:val="Hyperlink"/>
          </w:rPr>
          <w:t>.qld.gov.au/tableoffice/tabledpapers/2021/5721T1461.pdf</w:t>
        </w:r>
      </w:hyperlink>
      <w:r>
        <w:t xml:space="preserve"> - p7</w:t>
      </w:r>
    </w:p>
  </w:footnote>
  <w:footnote w:id="111">
    <w:p w14:paraId="41BEC8D5" w14:textId="6F7F4B85" w:rsidR="00FC345C" w:rsidRPr="00CA1D0A" w:rsidRDefault="00FC345C">
      <w:pPr>
        <w:pStyle w:val="FootnoteText"/>
      </w:pPr>
      <w:r>
        <w:rPr>
          <w:rStyle w:val="FootnoteReference"/>
        </w:rPr>
        <w:footnoteRef/>
      </w:r>
      <w:r>
        <w:t xml:space="preserve"> </w:t>
      </w:r>
      <w:r>
        <w:rPr>
          <w:i/>
        </w:rPr>
        <w:t xml:space="preserve">Human Rights Act 2019 </w:t>
      </w:r>
      <w:r>
        <w:t>s 88(1)-(3)</w:t>
      </w:r>
    </w:p>
  </w:footnote>
  <w:footnote w:id="112">
    <w:p w14:paraId="7A542F18" w14:textId="01812A27" w:rsidR="00FC345C" w:rsidRDefault="00FC345C">
      <w:pPr>
        <w:pStyle w:val="FootnoteText"/>
      </w:pPr>
      <w:r>
        <w:rPr>
          <w:rStyle w:val="FootnoteReference"/>
        </w:rPr>
        <w:footnoteRef/>
      </w:r>
      <w:r>
        <w:t xml:space="preserve"> </w:t>
      </w:r>
      <w:r>
        <w:rPr>
          <w:i/>
        </w:rPr>
        <w:t xml:space="preserve">Human Rights Act 2019 </w:t>
      </w:r>
      <w:r>
        <w:t>s 88(4)</w:t>
      </w:r>
    </w:p>
  </w:footnote>
  <w:footnote w:id="113">
    <w:p w14:paraId="71E4F4EE" w14:textId="3D17F607" w:rsidR="00FC345C" w:rsidRDefault="00FC345C" w:rsidP="317B0059">
      <w:pPr>
        <w:pStyle w:val="FootnoteText"/>
      </w:pPr>
      <w:r w:rsidRPr="317B0059">
        <w:rPr>
          <w:rStyle w:val="FootnoteReference"/>
        </w:rPr>
        <w:footnoteRef/>
      </w:r>
      <w:r w:rsidRPr="7D480602">
        <w:t xml:space="preserve"> </w:t>
      </w:r>
      <w:r w:rsidRPr="7D404B4D">
        <w:t>Standard</w:t>
      </w:r>
      <w:r w:rsidRPr="01E65A48">
        <w:t xml:space="preserve"> </w:t>
      </w:r>
      <w:r w:rsidRPr="6FAD3AC5">
        <w:t xml:space="preserve">adopted by </w:t>
      </w:r>
      <w:r w:rsidRPr="01E65A48">
        <w:t xml:space="preserve">the South Australian </w:t>
      </w:r>
      <w:r w:rsidRPr="7D404B4D">
        <w:t>Department for Health and Wellbeing</w:t>
      </w:r>
      <w:r w:rsidRPr="6FAD3AC5">
        <w:t xml:space="preserve"> in a complaint case study </w:t>
      </w:r>
      <w:r w:rsidRPr="7D404B4D">
        <w:t>reported in the</w:t>
      </w:r>
      <w:r w:rsidRPr="7D480602">
        <w:t xml:space="preserve"> Ombudsman SA </w:t>
      </w:r>
      <w:r w:rsidRPr="7D480602">
        <w:rPr>
          <w:i/>
          <w:iCs/>
        </w:rPr>
        <w:t>Annual Report 2020-21</w:t>
      </w:r>
      <w:r w:rsidRPr="3EE46D5E">
        <w:rPr>
          <w:i/>
          <w:iCs/>
        </w:rPr>
        <w:t xml:space="preserve"> </w:t>
      </w:r>
      <w:r w:rsidRPr="3406CA6F">
        <w:t>(</w:t>
      </w:r>
      <w:r w:rsidRPr="7D0C2A8E">
        <w:t>2021</w:t>
      </w:r>
      <w:r w:rsidRPr="3406CA6F">
        <w:t>)</w:t>
      </w:r>
      <w:r w:rsidRPr="01E65A48">
        <w:t xml:space="preserve"> 30, 31. </w:t>
      </w:r>
    </w:p>
  </w:footnote>
  <w:footnote w:id="114">
    <w:p w14:paraId="18D808F2" w14:textId="09C64A05" w:rsidR="00FC345C" w:rsidRPr="00F41430" w:rsidRDefault="00FC345C">
      <w:pPr>
        <w:pStyle w:val="FootnoteText"/>
      </w:pPr>
      <w:r>
        <w:rPr>
          <w:rStyle w:val="FootnoteReference"/>
        </w:rPr>
        <w:footnoteRef/>
      </w:r>
      <w:r>
        <w:t xml:space="preserve"> If the complaint is arguably a case of discrimination as well as a human rights breach, a person may elect to have their complaint dealt with under the </w:t>
      </w:r>
      <w:r>
        <w:rPr>
          <w:i/>
        </w:rPr>
        <w:t xml:space="preserve">Anti-Discrimination Act 1991 </w:t>
      </w:r>
      <w:r>
        <w:t xml:space="preserve">or the </w:t>
      </w:r>
      <w:r>
        <w:rPr>
          <w:i/>
        </w:rPr>
        <w:t xml:space="preserve">Human Rights Act 2019. </w:t>
      </w:r>
      <w:r>
        <w:t>The HR Act can at times be a more expedient way to deal with urgent complaints, particularly where early intervention is appropriate.</w:t>
      </w:r>
    </w:p>
  </w:footnote>
  <w:footnote w:id="115">
    <w:p w14:paraId="35AB1537" w14:textId="367E21FF" w:rsidR="00FC345C" w:rsidRPr="00404E5E" w:rsidRDefault="00FC345C">
      <w:pPr>
        <w:pStyle w:val="FootnoteText"/>
      </w:pPr>
      <w:r>
        <w:rPr>
          <w:rStyle w:val="FootnoteReference"/>
        </w:rPr>
        <w:footnoteRef/>
      </w:r>
      <w:r>
        <w:t xml:space="preserve"> Amnesty International Australia, ‘</w:t>
      </w:r>
      <w:r w:rsidRPr="00E659BA">
        <w:t>2021 Human Rights Barometer: What are Australians current attitudes to their rights and the rights of others?</w:t>
      </w:r>
      <w:r>
        <w:t>’</w:t>
      </w:r>
      <w:r w:rsidRPr="00E659BA">
        <w:t>,</w:t>
      </w:r>
      <w:r>
        <w:t xml:space="preserve"> </w:t>
      </w:r>
      <w:r>
        <w:rPr>
          <w:i/>
          <w:iCs/>
        </w:rPr>
        <w:t xml:space="preserve">Amnesty International Australia </w:t>
      </w:r>
      <w:r>
        <w:t>(PDF, 8 August 2021).</w:t>
      </w:r>
    </w:p>
  </w:footnote>
  <w:footnote w:id="116">
    <w:p w14:paraId="5D54D69B" w14:textId="3F9B559A" w:rsidR="00FC345C" w:rsidRDefault="00FC345C">
      <w:pPr>
        <w:pStyle w:val="FootnoteText"/>
      </w:pPr>
      <w:r>
        <w:rPr>
          <w:rStyle w:val="FootnoteReference"/>
        </w:rPr>
        <w:footnoteRef/>
      </w:r>
      <w:r>
        <w:t xml:space="preserve"> Eddie </w:t>
      </w:r>
      <w:proofErr w:type="spellStart"/>
      <w:r>
        <w:t>Ngaluafe</w:t>
      </w:r>
      <w:proofErr w:type="spellEnd"/>
      <w:r>
        <w:t xml:space="preserve">, ‘Griffith News: Most Queenslanders support human rights – survey finds’, </w:t>
      </w:r>
      <w:r>
        <w:rPr>
          <w:i/>
          <w:iCs/>
        </w:rPr>
        <w:t xml:space="preserve">Griffith University </w:t>
      </w:r>
      <w:r>
        <w:t>(22 September 2021).</w:t>
      </w:r>
    </w:p>
  </w:footnote>
  <w:footnote w:id="117">
    <w:p w14:paraId="05DA8447" w14:textId="17439358" w:rsidR="00FC345C" w:rsidRPr="0050020C" w:rsidRDefault="00FC345C">
      <w:pPr>
        <w:pStyle w:val="FootnoteText"/>
      </w:pPr>
      <w:r>
        <w:rPr>
          <w:rStyle w:val="FootnoteReference"/>
        </w:rPr>
        <w:footnoteRef/>
      </w:r>
      <w:r>
        <w:t xml:space="preserve"> </w:t>
      </w:r>
      <w:r>
        <w:rPr>
          <w:i/>
        </w:rPr>
        <w:t xml:space="preserve">Human Rights Act 2019 </w:t>
      </w:r>
      <w:r>
        <w:t>s 3(a) and (c).</w:t>
      </w:r>
    </w:p>
  </w:footnote>
  <w:footnote w:id="118">
    <w:p w14:paraId="6CC908A4" w14:textId="213B4186" w:rsidR="00FC345C" w:rsidRDefault="00FC345C">
      <w:pPr>
        <w:pStyle w:val="FootnoteText"/>
      </w:pPr>
      <w:r>
        <w:rPr>
          <w:rStyle w:val="FootnoteReference"/>
        </w:rPr>
        <w:footnoteRef/>
      </w:r>
      <w:r>
        <w:t xml:space="preserve"> </w:t>
      </w:r>
      <w:r>
        <w:rPr>
          <w:i/>
        </w:rPr>
        <w:t>Human Rights Act 2019</w:t>
      </w:r>
      <w:r>
        <w:t xml:space="preserve"> s 61(d).</w:t>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77C1FD9" w14:textId="2D8AEC64" w:rsidR="00FC345C" w:rsidRDefault="00FC345C" w:rsidP="001536DE">
    <w:pPr>
      <w:pStyle w:val="Header"/>
    </w:pPr>
    <w:r>
      <w:rPr>
        <w:noProof/>
        <w:color w:val="2B579A"/>
        <w:shd w:val="clear" w:color="auto" w:fill="E6E6E6"/>
        <w:lang w:eastAsia="en-AU"/>
      </w:rPr>
      <w:drawing>
        <wp:anchor distT="0" distB="0" distL="114300" distR="114300" simplePos="0" relativeHeight="251658240" behindDoc="1" locked="0" layoutInCell="1" allowOverlap="1" wp14:anchorId="277E1500" wp14:editId="1ABC8466">
          <wp:simplePos x="0" y="0"/>
          <wp:positionH relativeFrom="page">
            <wp:posOffset>7438369</wp:posOffset>
          </wp:positionH>
          <wp:positionV relativeFrom="paragraph">
            <wp:posOffset>-440690</wp:posOffset>
          </wp:positionV>
          <wp:extent cx="177822" cy="10687050"/>
          <wp:effectExtent l="0" t="0" r="0" b="0"/>
          <wp:wrapNone/>
          <wp:docPr id="6" name="Picture 6" descr="This is a thin (5mm) strip which runs down the right edge of every page consisting of the Commission's brand colours: from top to bottom grey, aqua, blue, navy, brown, orange, red gold. " title="Decorative colour bar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lour bar full 5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580" cy="10792718"/>
                  </a:xfrm>
                  <a:prstGeom prst="rect">
                    <a:avLst/>
                  </a:prstGeom>
                </pic:spPr>
              </pic:pic>
            </a:graphicData>
          </a:graphic>
          <wp14:sizeRelH relativeFrom="page">
            <wp14:pctWidth>0</wp14:pctWidth>
          </wp14:sizeRelH>
          <wp14:sizeRelV relativeFrom="page">
            <wp14:pctHeight>0</wp14:pctHeight>
          </wp14:sizeRelV>
        </wp:anchor>
      </w:drawing>
    </w:r>
  </w:p>
  <w:p w14:paraId="7C6E6B5A" w14:textId="77777777" w:rsidR="00FC345C" w:rsidRDefault="00FC345C" w:rsidP="001536DE">
    <w:pPr>
      <w:pStyle w:val="Header"/>
    </w:pPr>
  </w:p>
  <w:p w14:paraId="6B52617B" w14:textId="77777777" w:rsidR="00FC345C" w:rsidRDefault="00FC345C" w:rsidP="001536DE">
    <w:pPr>
      <w:pStyle w:val="Header"/>
    </w:pPr>
  </w:p>
  <w:p w14:paraId="0FF1C690" w14:textId="77777777" w:rsidR="00FC345C" w:rsidRDefault="00FC345C" w:rsidP="001536DE">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4C2D3F" w14:textId="66056CB2" w:rsidR="00FC345C" w:rsidRDefault="00FC345C" w:rsidP="00361482">
    <w:pPr>
      <w:pStyle w:val="Header"/>
    </w:pPr>
    <w:r>
      <w:rPr>
        <w:noProof/>
        <w:color w:val="2B579A"/>
        <w:shd w:val="clear" w:color="auto" w:fill="E6E6E6"/>
        <w:lang w:eastAsia="en-AU"/>
      </w:rPr>
      <w:drawing>
        <wp:anchor distT="0" distB="0" distL="114300" distR="114300" simplePos="0" relativeHeight="251658241" behindDoc="1" locked="0" layoutInCell="1" allowOverlap="1" wp14:anchorId="29AE7935" wp14:editId="345ED4EE">
          <wp:simplePos x="0" y="0"/>
          <wp:positionH relativeFrom="page">
            <wp:posOffset>7422624</wp:posOffset>
          </wp:positionH>
          <wp:positionV relativeFrom="paragraph">
            <wp:posOffset>-446471</wp:posOffset>
          </wp:positionV>
          <wp:extent cx="179702" cy="10800000"/>
          <wp:effectExtent l="0" t="0" r="0" b="0"/>
          <wp:wrapNone/>
          <wp:docPr id="7" name="Picture 7" descr="Rectangular grey block which covers the top quarter of the page. The chapter title sits inside the rectangle in white text. " title="Decorative colour block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5" name="colour bar full 5mm.png"/>
                  <pic:cNvPicPr/>
                </pic:nvPicPr>
                <pic:blipFill>
                  <a:blip r:embed="rId1" cstate="print">
                    <a:extLst>
                      <a:ext uri="{28A0092B-C50C-407E-A947-70E740481C1C}">
                        <a14:useLocalDpi xmlns:a14="http://schemas.microsoft.com/office/drawing/2010/main" val="0"/>
                      </a:ext>
                    </a:extLst>
                  </a:blip>
                  <a:stretch>
                    <a:fillRect/>
                  </a:stretch>
                </pic:blipFill>
                <pic:spPr>
                  <a:xfrm>
                    <a:off x="0" y="0"/>
                    <a:ext cx="179702" cy="10800000"/>
                  </a:xfrm>
                  <a:prstGeom prst="rect">
                    <a:avLst/>
                  </a:prstGeom>
                </pic:spPr>
              </pic:pic>
            </a:graphicData>
          </a:graphic>
          <wp14:sizeRelH relativeFrom="page">
            <wp14:pctWidth>0</wp14:pctWidth>
          </wp14:sizeRelH>
          <wp14:sizeRelV relativeFrom="page">
            <wp14:pctHeight>0</wp14:pctHeight>
          </wp14:sizeRelV>
        </wp:anchor>
      </w:drawing>
    </w:r>
  </w:p>
  <w:p w14:paraId="4F215349" w14:textId="3CDC2F0A" w:rsidR="00FC345C" w:rsidRDefault="00FC345C" w:rsidP="00361482">
    <w:pPr>
      <w:pStyle w:val="Header"/>
    </w:pPr>
  </w:p>
  <w:p w14:paraId="5FDE8EA3" w14:textId="77777777" w:rsidR="00FC345C" w:rsidRDefault="00FC345C"/>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C6BA089" w14:textId="77777777" w:rsidR="00FC345C" w:rsidRDefault="00FC345C">
    <w:pPr>
      <w:pStyle w:val="Header"/>
    </w:pPr>
  </w:p>
  <w:p w14:paraId="2B49BFF3" w14:textId="77777777" w:rsidR="00FC345C" w:rsidRDefault="00FC345C"/>
  <w:p w14:paraId="7C52E9FE" w14:textId="77777777" w:rsidR="00FC345C" w:rsidRDefault="00FC345C"/>
  <w:p w14:paraId="7812F600" w14:textId="77777777" w:rsidR="00FC345C" w:rsidRDefault="00FC345C"/>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89"/>
    <w:multiLevelType w:val="singleLevel"/>
    <w:tmpl w:val="9ACC0986"/>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2C314E8"/>
    <w:multiLevelType w:val="hybridMultilevel"/>
    <w:tmpl w:val="813C568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 w15:restartNumberingAfterBreak="0">
    <w:nsid w:val="0EBC065C"/>
    <w:multiLevelType w:val="hybridMultilevel"/>
    <w:tmpl w:val="12EC48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 w15:restartNumberingAfterBreak="0">
    <w:nsid w:val="0FB245F4"/>
    <w:multiLevelType w:val="hybridMultilevel"/>
    <w:tmpl w:val="AC3ABBD0"/>
    <w:lvl w:ilvl="0" w:tplc="0C09000F">
      <w:start w:val="1"/>
      <w:numFmt w:val="decimal"/>
      <w:lvlText w:val="%1."/>
      <w:lvlJc w:val="left"/>
      <w:pPr>
        <w:ind w:left="1287" w:hanging="360"/>
      </w:pPr>
    </w:lvl>
    <w:lvl w:ilvl="1" w:tplc="0C090019" w:tentative="1">
      <w:start w:val="1"/>
      <w:numFmt w:val="lowerLetter"/>
      <w:lvlText w:val="%2."/>
      <w:lvlJc w:val="left"/>
      <w:pPr>
        <w:ind w:left="2007" w:hanging="360"/>
      </w:pPr>
    </w:lvl>
    <w:lvl w:ilvl="2" w:tplc="0C09001B" w:tentative="1">
      <w:start w:val="1"/>
      <w:numFmt w:val="lowerRoman"/>
      <w:lvlText w:val="%3."/>
      <w:lvlJc w:val="right"/>
      <w:pPr>
        <w:ind w:left="2727" w:hanging="180"/>
      </w:pPr>
    </w:lvl>
    <w:lvl w:ilvl="3" w:tplc="0C09000F" w:tentative="1">
      <w:start w:val="1"/>
      <w:numFmt w:val="decimal"/>
      <w:lvlText w:val="%4."/>
      <w:lvlJc w:val="left"/>
      <w:pPr>
        <w:ind w:left="3447" w:hanging="360"/>
      </w:pPr>
    </w:lvl>
    <w:lvl w:ilvl="4" w:tplc="0C090019" w:tentative="1">
      <w:start w:val="1"/>
      <w:numFmt w:val="lowerLetter"/>
      <w:lvlText w:val="%5."/>
      <w:lvlJc w:val="left"/>
      <w:pPr>
        <w:ind w:left="4167" w:hanging="360"/>
      </w:pPr>
    </w:lvl>
    <w:lvl w:ilvl="5" w:tplc="0C09001B" w:tentative="1">
      <w:start w:val="1"/>
      <w:numFmt w:val="lowerRoman"/>
      <w:lvlText w:val="%6."/>
      <w:lvlJc w:val="right"/>
      <w:pPr>
        <w:ind w:left="4887" w:hanging="180"/>
      </w:pPr>
    </w:lvl>
    <w:lvl w:ilvl="6" w:tplc="0C09000F" w:tentative="1">
      <w:start w:val="1"/>
      <w:numFmt w:val="decimal"/>
      <w:lvlText w:val="%7."/>
      <w:lvlJc w:val="left"/>
      <w:pPr>
        <w:ind w:left="5607" w:hanging="360"/>
      </w:pPr>
    </w:lvl>
    <w:lvl w:ilvl="7" w:tplc="0C090019" w:tentative="1">
      <w:start w:val="1"/>
      <w:numFmt w:val="lowerLetter"/>
      <w:lvlText w:val="%8."/>
      <w:lvlJc w:val="left"/>
      <w:pPr>
        <w:ind w:left="6327" w:hanging="360"/>
      </w:pPr>
    </w:lvl>
    <w:lvl w:ilvl="8" w:tplc="0C09001B" w:tentative="1">
      <w:start w:val="1"/>
      <w:numFmt w:val="lowerRoman"/>
      <w:lvlText w:val="%9."/>
      <w:lvlJc w:val="right"/>
      <w:pPr>
        <w:ind w:left="7047" w:hanging="180"/>
      </w:pPr>
    </w:lvl>
  </w:abstractNum>
  <w:abstractNum w:abstractNumId="4" w15:restartNumberingAfterBreak="0">
    <w:nsid w:val="164F0D48"/>
    <w:multiLevelType w:val="hybridMultilevel"/>
    <w:tmpl w:val="9EB4C90C"/>
    <w:lvl w:ilvl="0" w:tplc="0C090001">
      <w:start w:val="1"/>
      <w:numFmt w:val="bullet"/>
      <w:lvlText w:val=""/>
      <w:lvlJc w:val="left"/>
      <w:pPr>
        <w:ind w:left="720" w:hanging="360"/>
      </w:pPr>
      <w:rPr>
        <w:rFonts w:ascii="Symbol" w:hAnsi="Symbol" w:hint="default"/>
      </w:rPr>
    </w:lvl>
    <w:lvl w:ilvl="1" w:tplc="0C090003">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18B9217A"/>
    <w:multiLevelType w:val="hybridMultilevel"/>
    <w:tmpl w:val="E2E0706C"/>
    <w:lvl w:ilvl="0" w:tplc="FFFFFFFF">
      <w:start w:val="1"/>
      <w:numFmt w:val="bullet"/>
      <w:pStyle w:val="ListParagraph"/>
      <w:lvlText w:val="•"/>
      <w:lvlJc w:val="left"/>
      <w:pPr>
        <w:ind w:left="1287" w:hanging="360"/>
      </w:pPr>
      <w:rPr>
        <w:rFonts w:ascii="Arial" w:hAnsi="Arial" w:hint="default"/>
      </w:rPr>
    </w:lvl>
    <w:lvl w:ilvl="1" w:tplc="0C090003">
      <w:start w:val="1"/>
      <w:numFmt w:val="bullet"/>
      <w:lvlText w:val="o"/>
      <w:lvlJc w:val="left"/>
      <w:pPr>
        <w:ind w:left="2007" w:hanging="360"/>
      </w:pPr>
      <w:rPr>
        <w:rFonts w:ascii="Courier New" w:hAnsi="Courier New" w:cs="Courier New" w:hint="default"/>
      </w:rPr>
    </w:lvl>
    <w:lvl w:ilvl="2" w:tplc="0C090005" w:tentative="1">
      <w:start w:val="1"/>
      <w:numFmt w:val="bullet"/>
      <w:lvlText w:val=""/>
      <w:lvlJc w:val="left"/>
      <w:pPr>
        <w:ind w:left="2727" w:hanging="360"/>
      </w:pPr>
      <w:rPr>
        <w:rFonts w:ascii="Wingdings" w:hAnsi="Wingdings" w:hint="default"/>
      </w:rPr>
    </w:lvl>
    <w:lvl w:ilvl="3" w:tplc="0C090001" w:tentative="1">
      <w:start w:val="1"/>
      <w:numFmt w:val="bullet"/>
      <w:lvlText w:val=""/>
      <w:lvlJc w:val="left"/>
      <w:pPr>
        <w:ind w:left="3447" w:hanging="360"/>
      </w:pPr>
      <w:rPr>
        <w:rFonts w:ascii="Symbol" w:hAnsi="Symbol" w:hint="default"/>
      </w:rPr>
    </w:lvl>
    <w:lvl w:ilvl="4" w:tplc="0C090003" w:tentative="1">
      <w:start w:val="1"/>
      <w:numFmt w:val="bullet"/>
      <w:lvlText w:val="o"/>
      <w:lvlJc w:val="left"/>
      <w:pPr>
        <w:ind w:left="4167" w:hanging="360"/>
      </w:pPr>
      <w:rPr>
        <w:rFonts w:ascii="Courier New" w:hAnsi="Courier New" w:cs="Courier New" w:hint="default"/>
      </w:rPr>
    </w:lvl>
    <w:lvl w:ilvl="5" w:tplc="0C090005" w:tentative="1">
      <w:start w:val="1"/>
      <w:numFmt w:val="bullet"/>
      <w:lvlText w:val=""/>
      <w:lvlJc w:val="left"/>
      <w:pPr>
        <w:ind w:left="4887" w:hanging="360"/>
      </w:pPr>
      <w:rPr>
        <w:rFonts w:ascii="Wingdings" w:hAnsi="Wingdings" w:hint="default"/>
      </w:rPr>
    </w:lvl>
    <w:lvl w:ilvl="6" w:tplc="0C090001" w:tentative="1">
      <w:start w:val="1"/>
      <w:numFmt w:val="bullet"/>
      <w:lvlText w:val=""/>
      <w:lvlJc w:val="left"/>
      <w:pPr>
        <w:ind w:left="5607" w:hanging="360"/>
      </w:pPr>
      <w:rPr>
        <w:rFonts w:ascii="Symbol" w:hAnsi="Symbol" w:hint="default"/>
      </w:rPr>
    </w:lvl>
    <w:lvl w:ilvl="7" w:tplc="0C090003" w:tentative="1">
      <w:start w:val="1"/>
      <w:numFmt w:val="bullet"/>
      <w:lvlText w:val="o"/>
      <w:lvlJc w:val="left"/>
      <w:pPr>
        <w:ind w:left="6327" w:hanging="360"/>
      </w:pPr>
      <w:rPr>
        <w:rFonts w:ascii="Courier New" w:hAnsi="Courier New" w:cs="Courier New" w:hint="default"/>
      </w:rPr>
    </w:lvl>
    <w:lvl w:ilvl="8" w:tplc="0C090005" w:tentative="1">
      <w:start w:val="1"/>
      <w:numFmt w:val="bullet"/>
      <w:lvlText w:val=""/>
      <w:lvlJc w:val="left"/>
      <w:pPr>
        <w:ind w:left="7047" w:hanging="360"/>
      </w:pPr>
      <w:rPr>
        <w:rFonts w:ascii="Wingdings" w:hAnsi="Wingdings" w:hint="default"/>
      </w:rPr>
    </w:lvl>
  </w:abstractNum>
  <w:abstractNum w:abstractNumId="6" w15:restartNumberingAfterBreak="0">
    <w:nsid w:val="1CFD427F"/>
    <w:multiLevelType w:val="hybridMultilevel"/>
    <w:tmpl w:val="AD121168"/>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7" w15:restartNumberingAfterBreak="0">
    <w:nsid w:val="2B4247C6"/>
    <w:multiLevelType w:val="hybridMultilevel"/>
    <w:tmpl w:val="80A6F1C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2DE018F5"/>
    <w:multiLevelType w:val="hybridMultilevel"/>
    <w:tmpl w:val="4F4C940A"/>
    <w:lvl w:ilvl="0" w:tplc="0C090001">
      <w:start w:val="1"/>
      <w:numFmt w:val="bullet"/>
      <w:lvlText w:val=""/>
      <w:lvlJc w:val="left"/>
      <w:pPr>
        <w:ind w:left="927" w:hanging="360"/>
      </w:pPr>
      <w:rPr>
        <w:rFonts w:ascii="Symbol" w:hAnsi="Symbol" w:hint="default"/>
      </w:rPr>
    </w:lvl>
    <w:lvl w:ilvl="1" w:tplc="0C090003" w:tentative="1">
      <w:start w:val="1"/>
      <w:numFmt w:val="bullet"/>
      <w:lvlText w:val="o"/>
      <w:lvlJc w:val="left"/>
      <w:pPr>
        <w:ind w:left="1647" w:hanging="360"/>
      </w:pPr>
      <w:rPr>
        <w:rFonts w:ascii="Courier New" w:hAnsi="Courier New" w:cs="Courier New" w:hint="default"/>
      </w:rPr>
    </w:lvl>
    <w:lvl w:ilvl="2" w:tplc="0C090005" w:tentative="1">
      <w:start w:val="1"/>
      <w:numFmt w:val="bullet"/>
      <w:lvlText w:val=""/>
      <w:lvlJc w:val="left"/>
      <w:pPr>
        <w:ind w:left="2367" w:hanging="360"/>
      </w:pPr>
      <w:rPr>
        <w:rFonts w:ascii="Wingdings" w:hAnsi="Wingdings" w:hint="default"/>
      </w:rPr>
    </w:lvl>
    <w:lvl w:ilvl="3" w:tplc="0C090001" w:tentative="1">
      <w:start w:val="1"/>
      <w:numFmt w:val="bullet"/>
      <w:lvlText w:val=""/>
      <w:lvlJc w:val="left"/>
      <w:pPr>
        <w:ind w:left="3087" w:hanging="360"/>
      </w:pPr>
      <w:rPr>
        <w:rFonts w:ascii="Symbol" w:hAnsi="Symbol" w:hint="default"/>
      </w:rPr>
    </w:lvl>
    <w:lvl w:ilvl="4" w:tplc="0C090003" w:tentative="1">
      <w:start w:val="1"/>
      <w:numFmt w:val="bullet"/>
      <w:lvlText w:val="o"/>
      <w:lvlJc w:val="left"/>
      <w:pPr>
        <w:ind w:left="3807" w:hanging="360"/>
      </w:pPr>
      <w:rPr>
        <w:rFonts w:ascii="Courier New" w:hAnsi="Courier New" w:cs="Courier New" w:hint="default"/>
      </w:rPr>
    </w:lvl>
    <w:lvl w:ilvl="5" w:tplc="0C090005" w:tentative="1">
      <w:start w:val="1"/>
      <w:numFmt w:val="bullet"/>
      <w:lvlText w:val=""/>
      <w:lvlJc w:val="left"/>
      <w:pPr>
        <w:ind w:left="4527" w:hanging="360"/>
      </w:pPr>
      <w:rPr>
        <w:rFonts w:ascii="Wingdings" w:hAnsi="Wingdings" w:hint="default"/>
      </w:rPr>
    </w:lvl>
    <w:lvl w:ilvl="6" w:tplc="0C090001" w:tentative="1">
      <w:start w:val="1"/>
      <w:numFmt w:val="bullet"/>
      <w:lvlText w:val=""/>
      <w:lvlJc w:val="left"/>
      <w:pPr>
        <w:ind w:left="5247" w:hanging="360"/>
      </w:pPr>
      <w:rPr>
        <w:rFonts w:ascii="Symbol" w:hAnsi="Symbol" w:hint="default"/>
      </w:rPr>
    </w:lvl>
    <w:lvl w:ilvl="7" w:tplc="0C090003" w:tentative="1">
      <w:start w:val="1"/>
      <w:numFmt w:val="bullet"/>
      <w:lvlText w:val="o"/>
      <w:lvlJc w:val="left"/>
      <w:pPr>
        <w:ind w:left="5967" w:hanging="360"/>
      </w:pPr>
      <w:rPr>
        <w:rFonts w:ascii="Courier New" w:hAnsi="Courier New" w:cs="Courier New" w:hint="default"/>
      </w:rPr>
    </w:lvl>
    <w:lvl w:ilvl="8" w:tplc="0C090005" w:tentative="1">
      <w:start w:val="1"/>
      <w:numFmt w:val="bullet"/>
      <w:lvlText w:val=""/>
      <w:lvlJc w:val="left"/>
      <w:pPr>
        <w:ind w:left="6687" w:hanging="360"/>
      </w:pPr>
      <w:rPr>
        <w:rFonts w:ascii="Wingdings" w:hAnsi="Wingdings" w:hint="default"/>
      </w:rPr>
    </w:lvl>
  </w:abstractNum>
  <w:abstractNum w:abstractNumId="9" w15:restartNumberingAfterBreak="0">
    <w:nsid w:val="2FC3006D"/>
    <w:multiLevelType w:val="hybridMultilevel"/>
    <w:tmpl w:val="F7C4E59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317B774A"/>
    <w:multiLevelType w:val="hybridMultilevel"/>
    <w:tmpl w:val="67024D2C"/>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1" w15:restartNumberingAfterBreak="0">
    <w:nsid w:val="32406F4F"/>
    <w:multiLevelType w:val="hybridMultilevel"/>
    <w:tmpl w:val="1256BD8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A8E2A15"/>
    <w:multiLevelType w:val="hybridMultilevel"/>
    <w:tmpl w:val="562C30AE"/>
    <w:lvl w:ilvl="0" w:tplc="0C09000F">
      <w:start w:val="1"/>
      <w:numFmt w:val="decimal"/>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3C6F3AF0"/>
    <w:multiLevelType w:val="hybridMultilevel"/>
    <w:tmpl w:val="9872EDC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41853D3C"/>
    <w:multiLevelType w:val="hybridMultilevel"/>
    <w:tmpl w:val="E3BC67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41E076CE"/>
    <w:multiLevelType w:val="hybridMultilevel"/>
    <w:tmpl w:val="C0C862A2"/>
    <w:lvl w:ilvl="0" w:tplc="F62690F0">
      <w:start w:val="3"/>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422828D7"/>
    <w:multiLevelType w:val="hybridMultilevel"/>
    <w:tmpl w:val="D9C0499C"/>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17" w15:restartNumberingAfterBreak="0">
    <w:nsid w:val="44907C3E"/>
    <w:multiLevelType w:val="hybridMultilevel"/>
    <w:tmpl w:val="5EAEA68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477F12AC"/>
    <w:multiLevelType w:val="hybridMultilevel"/>
    <w:tmpl w:val="06762F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48676599"/>
    <w:multiLevelType w:val="hybridMultilevel"/>
    <w:tmpl w:val="D2DA7118"/>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0" w15:restartNumberingAfterBreak="0">
    <w:nsid w:val="4DB90811"/>
    <w:multiLevelType w:val="hybridMultilevel"/>
    <w:tmpl w:val="4394F7B6"/>
    <w:lvl w:ilvl="0" w:tplc="BCDA89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52D90970"/>
    <w:multiLevelType w:val="hybridMultilevel"/>
    <w:tmpl w:val="226CE56C"/>
    <w:lvl w:ilvl="0" w:tplc="9F10A3B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535A5F3B"/>
    <w:multiLevelType w:val="hybridMultilevel"/>
    <w:tmpl w:val="44E2121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3" w15:restartNumberingAfterBreak="0">
    <w:nsid w:val="566A6B18"/>
    <w:multiLevelType w:val="hybridMultilevel"/>
    <w:tmpl w:val="A920E4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57842E14"/>
    <w:multiLevelType w:val="hybridMultilevel"/>
    <w:tmpl w:val="D68091F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621510AB"/>
    <w:multiLevelType w:val="hybridMultilevel"/>
    <w:tmpl w:val="25AA2D4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4027E72"/>
    <w:multiLevelType w:val="hybridMultilevel"/>
    <w:tmpl w:val="3F5ADE6A"/>
    <w:lvl w:ilvl="0" w:tplc="BCDA898E">
      <w:numFmt w:val="bullet"/>
      <w:lvlText w:val="•"/>
      <w:lvlJc w:val="left"/>
      <w:pPr>
        <w:ind w:left="720" w:hanging="360"/>
      </w:pPr>
      <w:rPr>
        <w:rFonts w:ascii="Arial" w:eastAsiaTheme="minorHAnsi" w:hAnsi="Arial" w:cs="Aria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5A4114E"/>
    <w:multiLevelType w:val="hybridMultilevel"/>
    <w:tmpl w:val="15EA11EA"/>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28" w15:restartNumberingAfterBreak="0">
    <w:nsid w:val="66FC0E07"/>
    <w:multiLevelType w:val="hybridMultilevel"/>
    <w:tmpl w:val="5D3C21F6"/>
    <w:lvl w:ilvl="0" w:tplc="1AB8621A">
      <w:start w:val="1"/>
      <w:numFmt w:val="decimal"/>
      <w:pStyle w:val="NoteIndent"/>
      <w:lvlText w:val="%1."/>
      <w:lvlJc w:val="left"/>
      <w:pPr>
        <w:ind w:left="360" w:hanging="360"/>
      </w:pPr>
      <w:rPr>
        <w:rFonts w:ascii="Arial" w:hAnsi="Arial" w:hint="default"/>
        <w:b w:val="0"/>
        <w:i w:val="0"/>
        <w:sz w:val="16"/>
        <w:u w:val="none"/>
      </w:rPr>
    </w:lvl>
    <w:lvl w:ilvl="1" w:tplc="0C090019" w:tentative="1">
      <w:start w:val="1"/>
      <w:numFmt w:val="lowerLetter"/>
      <w:lvlText w:val="%2."/>
      <w:lvlJc w:val="left"/>
      <w:pPr>
        <w:ind w:left="2101" w:hanging="360"/>
      </w:pPr>
    </w:lvl>
    <w:lvl w:ilvl="2" w:tplc="0C09001B" w:tentative="1">
      <w:start w:val="1"/>
      <w:numFmt w:val="lowerRoman"/>
      <w:lvlText w:val="%3."/>
      <w:lvlJc w:val="right"/>
      <w:pPr>
        <w:ind w:left="2821" w:hanging="180"/>
      </w:pPr>
    </w:lvl>
    <w:lvl w:ilvl="3" w:tplc="0C09000F" w:tentative="1">
      <w:start w:val="1"/>
      <w:numFmt w:val="decimal"/>
      <w:lvlText w:val="%4."/>
      <w:lvlJc w:val="left"/>
      <w:pPr>
        <w:ind w:left="3541" w:hanging="360"/>
      </w:pPr>
    </w:lvl>
    <w:lvl w:ilvl="4" w:tplc="0C090019" w:tentative="1">
      <w:start w:val="1"/>
      <w:numFmt w:val="lowerLetter"/>
      <w:lvlText w:val="%5."/>
      <w:lvlJc w:val="left"/>
      <w:pPr>
        <w:ind w:left="4261" w:hanging="360"/>
      </w:pPr>
    </w:lvl>
    <w:lvl w:ilvl="5" w:tplc="0C09001B" w:tentative="1">
      <w:start w:val="1"/>
      <w:numFmt w:val="lowerRoman"/>
      <w:lvlText w:val="%6."/>
      <w:lvlJc w:val="right"/>
      <w:pPr>
        <w:ind w:left="4981" w:hanging="180"/>
      </w:pPr>
    </w:lvl>
    <w:lvl w:ilvl="6" w:tplc="0C09000F" w:tentative="1">
      <w:start w:val="1"/>
      <w:numFmt w:val="decimal"/>
      <w:lvlText w:val="%7."/>
      <w:lvlJc w:val="left"/>
      <w:pPr>
        <w:ind w:left="5701" w:hanging="360"/>
      </w:pPr>
    </w:lvl>
    <w:lvl w:ilvl="7" w:tplc="0C090019" w:tentative="1">
      <w:start w:val="1"/>
      <w:numFmt w:val="lowerLetter"/>
      <w:lvlText w:val="%8."/>
      <w:lvlJc w:val="left"/>
      <w:pPr>
        <w:ind w:left="6421" w:hanging="360"/>
      </w:pPr>
    </w:lvl>
    <w:lvl w:ilvl="8" w:tplc="0C09001B" w:tentative="1">
      <w:start w:val="1"/>
      <w:numFmt w:val="lowerRoman"/>
      <w:lvlText w:val="%9."/>
      <w:lvlJc w:val="right"/>
      <w:pPr>
        <w:ind w:left="7141" w:hanging="180"/>
      </w:pPr>
    </w:lvl>
  </w:abstractNum>
  <w:abstractNum w:abstractNumId="29" w15:restartNumberingAfterBreak="0">
    <w:nsid w:val="676A08F5"/>
    <w:multiLevelType w:val="hybridMultilevel"/>
    <w:tmpl w:val="AF328AA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7F97655"/>
    <w:multiLevelType w:val="hybridMultilevel"/>
    <w:tmpl w:val="DE1A29CE"/>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1" w15:restartNumberingAfterBreak="0">
    <w:nsid w:val="712912AF"/>
    <w:multiLevelType w:val="hybridMultilevel"/>
    <w:tmpl w:val="CA96912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1A10E71"/>
    <w:multiLevelType w:val="hybridMultilevel"/>
    <w:tmpl w:val="7B9A5FE6"/>
    <w:lvl w:ilvl="0" w:tplc="0C090001">
      <w:start w:val="1"/>
      <w:numFmt w:val="bullet"/>
      <w:lvlText w:val=""/>
      <w:lvlJc w:val="left"/>
      <w:pPr>
        <w:ind w:left="1080" w:hanging="360"/>
      </w:pPr>
      <w:rPr>
        <w:rFonts w:ascii="Symbol" w:hAnsi="Symbol" w:hint="default"/>
      </w:rPr>
    </w:lvl>
    <w:lvl w:ilvl="1" w:tplc="0C090003" w:tentative="1">
      <w:start w:val="1"/>
      <w:numFmt w:val="bullet"/>
      <w:lvlText w:val="o"/>
      <w:lvlJc w:val="left"/>
      <w:pPr>
        <w:ind w:left="1800" w:hanging="360"/>
      </w:pPr>
      <w:rPr>
        <w:rFonts w:ascii="Courier New" w:hAnsi="Courier New" w:cs="Courier New" w:hint="default"/>
      </w:rPr>
    </w:lvl>
    <w:lvl w:ilvl="2" w:tplc="0C090005" w:tentative="1">
      <w:start w:val="1"/>
      <w:numFmt w:val="bullet"/>
      <w:lvlText w:val=""/>
      <w:lvlJc w:val="left"/>
      <w:pPr>
        <w:ind w:left="2520" w:hanging="360"/>
      </w:pPr>
      <w:rPr>
        <w:rFonts w:ascii="Wingdings" w:hAnsi="Wingdings" w:hint="default"/>
      </w:rPr>
    </w:lvl>
    <w:lvl w:ilvl="3" w:tplc="0C090001" w:tentative="1">
      <w:start w:val="1"/>
      <w:numFmt w:val="bullet"/>
      <w:lvlText w:val=""/>
      <w:lvlJc w:val="left"/>
      <w:pPr>
        <w:ind w:left="3240" w:hanging="360"/>
      </w:pPr>
      <w:rPr>
        <w:rFonts w:ascii="Symbol" w:hAnsi="Symbol" w:hint="default"/>
      </w:rPr>
    </w:lvl>
    <w:lvl w:ilvl="4" w:tplc="0C090003" w:tentative="1">
      <w:start w:val="1"/>
      <w:numFmt w:val="bullet"/>
      <w:lvlText w:val="o"/>
      <w:lvlJc w:val="left"/>
      <w:pPr>
        <w:ind w:left="3960" w:hanging="360"/>
      </w:pPr>
      <w:rPr>
        <w:rFonts w:ascii="Courier New" w:hAnsi="Courier New" w:cs="Courier New" w:hint="default"/>
      </w:rPr>
    </w:lvl>
    <w:lvl w:ilvl="5" w:tplc="0C090005" w:tentative="1">
      <w:start w:val="1"/>
      <w:numFmt w:val="bullet"/>
      <w:lvlText w:val=""/>
      <w:lvlJc w:val="left"/>
      <w:pPr>
        <w:ind w:left="4680" w:hanging="360"/>
      </w:pPr>
      <w:rPr>
        <w:rFonts w:ascii="Wingdings" w:hAnsi="Wingdings" w:hint="default"/>
      </w:rPr>
    </w:lvl>
    <w:lvl w:ilvl="6" w:tplc="0C090001" w:tentative="1">
      <w:start w:val="1"/>
      <w:numFmt w:val="bullet"/>
      <w:lvlText w:val=""/>
      <w:lvlJc w:val="left"/>
      <w:pPr>
        <w:ind w:left="5400" w:hanging="360"/>
      </w:pPr>
      <w:rPr>
        <w:rFonts w:ascii="Symbol" w:hAnsi="Symbol" w:hint="default"/>
      </w:rPr>
    </w:lvl>
    <w:lvl w:ilvl="7" w:tplc="0C090003" w:tentative="1">
      <w:start w:val="1"/>
      <w:numFmt w:val="bullet"/>
      <w:lvlText w:val="o"/>
      <w:lvlJc w:val="left"/>
      <w:pPr>
        <w:ind w:left="6120" w:hanging="360"/>
      </w:pPr>
      <w:rPr>
        <w:rFonts w:ascii="Courier New" w:hAnsi="Courier New" w:cs="Courier New" w:hint="default"/>
      </w:rPr>
    </w:lvl>
    <w:lvl w:ilvl="8" w:tplc="0C090005" w:tentative="1">
      <w:start w:val="1"/>
      <w:numFmt w:val="bullet"/>
      <w:lvlText w:val=""/>
      <w:lvlJc w:val="left"/>
      <w:pPr>
        <w:ind w:left="6840" w:hanging="360"/>
      </w:pPr>
      <w:rPr>
        <w:rFonts w:ascii="Wingdings" w:hAnsi="Wingdings" w:hint="default"/>
      </w:rPr>
    </w:lvl>
  </w:abstractNum>
  <w:abstractNum w:abstractNumId="33" w15:restartNumberingAfterBreak="0">
    <w:nsid w:val="75A621F8"/>
    <w:multiLevelType w:val="hybridMultilevel"/>
    <w:tmpl w:val="B3763DEC"/>
    <w:lvl w:ilvl="0" w:tplc="19A0687C">
      <w:start w:val="1"/>
      <w:numFmt w:val="bullet"/>
      <w:lvlText w:val=""/>
      <w:lvlJc w:val="left"/>
      <w:pPr>
        <w:ind w:left="720" w:hanging="360"/>
      </w:pPr>
      <w:rPr>
        <w:rFonts w:ascii="Symbol" w:hAnsi="Symbol" w:hint="default"/>
      </w:rPr>
    </w:lvl>
    <w:lvl w:ilvl="1" w:tplc="D9FACCEA">
      <w:start w:val="1"/>
      <w:numFmt w:val="bullet"/>
      <w:lvlText w:val="o"/>
      <w:lvlJc w:val="left"/>
      <w:pPr>
        <w:ind w:left="1440" w:hanging="360"/>
      </w:pPr>
      <w:rPr>
        <w:rFonts w:ascii="Courier New" w:hAnsi="Courier New" w:hint="default"/>
      </w:rPr>
    </w:lvl>
    <w:lvl w:ilvl="2" w:tplc="DA30F7F0">
      <w:start w:val="1"/>
      <w:numFmt w:val="bullet"/>
      <w:lvlText w:val=""/>
      <w:lvlJc w:val="left"/>
      <w:pPr>
        <w:ind w:left="2160" w:hanging="360"/>
      </w:pPr>
      <w:rPr>
        <w:rFonts w:ascii="Wingdings" w:hAnsi="Wingdings" w:hint="default"/>
      </w:rPr>
    </w:lvl>
    <w:lvl w:ilvl="3" w:tplc="77A442FE">
      <w:start w:val="1"/>
      <w:numFmt w:val="bullet"/>
      <w:lvlText w:val=""/>
      <w:lvlJc w:val="left"/>
      <w:pPr>
        <w:ind w:left="2880" w:hanging="360"/>
      </w:pPr>
      <w:rPr>
        <w:rFonts w:ascii="Symbol" w:hAnsi="Symbol" w:hint="default"/>
      </w:rPr>
    </w:lvl>
    <w:lvl w:ilvl="4" w:tplc="60D8DBA6">
      <w:start w:val="1"/>
      <w:numFmt w:val="bullet"/>
      <w:lvlText w:val="o"/>
      <w:lvlJc w:val="left"/>
      <w:pPr>
        <w:ind w:left="3600" w:hanging="360"/>
      </w:pPr>
      <w:rPr>
        <w:rFonts w:ascii="Courier New" w:hAnsi="Courier New" w:hint="default"/>
      </w:rPr>
    </w:lvl>
    <w:lvl w:ilvl="5" w:tplc="267A805E">
      <w:start w:val="1"/>
      <w:numFmt w:val="bullet"/>
      <w:lvlText w:val=""/>
      <w:lvlJc w:val="left"/>
      <w:pPr>
        <w:ind w:left="4320" w:hanging="360"/>
      </w:pPr>
      <w:rPr>
        <w:rFonts w:ascii="Wingdings" w:hAnsi="Wingdings" w:hint="default"/>
      </w:rPr>
    </w:lvl>
    <w:lvl w:ilvl="6" w:tplc="FE280858">
      <w:start w:val="1"/>
      <w:numFmt w:val="bullet"/>
      <w:lvlText w:val=""/>
      <w:lvlJc w:val="left"/>
      <w:pPr>
        <w:ind w:left="5040" w:hanging="360"/>
      </w:pPr>
      <w:rPr>
        <w:rFonts w:ascii="Symbol" w:hAnsi="Symbol" w:hint="default"/>
      </w:rPr>
    </w:lvl>
    <w:lvl w:ilvl="7" w:tplc="927C47D6">
      <w:start w:val="1"/>
      <w:numFmt w:val="bullet"/>
      <w:lvlText w:val="o"/>
      <w:lvlJc w:val="left"/>
      <w:pPr>
        <w:ind w:left="5760" w:hanging="360"/>
      </w:pPr>
      <w:rPr>
        <w:rFonts w:ascii="Courier New" w:hAnsi="Courier New" w:hint="default"/>
      </w:rPr>
    </w:lvl>
    <w:lvl w:ilvl="8" w:tplc="721C30E8">
      <w:start w:val="1"/>
      <w:numFmt w:val="bullet"/>
      <w:lvlText w:val=""/>
      <w:lvlJc w:val="left"/>
      <w:pPr>
        <w:ind w:left="6480" w:hanging="360"/>
      </w:pPr>
      <w:rPr>
        <w:rFonts w:ascii="Wingdings" w:hAnsi="Wingdings" w:hint="default"/>
      </w:rPr>
    </w:lvl>
  </w:abstractNum>
  <w:num w:numId="1">
    <w:abstractNumId w:val="0"/>
  </w:num>
  <w:num w:numId="2">
    <w:abstractNumId w:val="28"/>
  </w:num>
  <w:num w:numId="3">
    <w:abstractNumId w:val="13"/>
  </w:num>
  <w:num w:numId="4">
    <w:abstractNumId w:val="5"/>
  </w:num>
  <w:num w:numId="5">
    <w:abstractNumId w:val="26"/>
  </w:num>
  <w:num w:numId="6">
    <w:abstractNumId w:val="20"/>
  </w:num>
  <w:num w:numId="7">
    <w:abstractNumId w:val="21"/>
  </w:num>
  <w:num w:numId="8">
    <w:abstractNumId w:val="15"/>
  </w:num>
  <w:num w:numId="9">
    <w:abstractNumId w:val="7"/>
  </w:num>
  <w:num w:numId="10">
    <w:abstractNumId w:val="23"/>
  </w:num>
  <w:num w:numId="11">
    <w:abstractNumId w:val="9"/>
  </w:num>
  <w:num w:numId="12">
    <w:abstractNumId w:val="4"/>
  </w:num>
  <w:num w:numId="13">
    <w:abstractNumId w:val="24"/>
  </w:num>
  <w:num w:numId="14">
    <w:abstractNumId w:val="25"/>
  </w:num>
  <w:num w:numId="15">
    <w:abstractNumId w:val="29"/>
  </w:num>
  <w:num w:numId="16">
    <w:abstractNumId w:val="18"/>
  </w:num>
  <w:num w:numId="17">
    <w:abstractNumId w:val="33"/>
  </w:num>
  <w:num w:numId="18">
    <w:abstractNumId w:val="27"/>
  </w:num>
  <w:num w:numId="19">
    <w:abstractNumId w:val="8"/>
  </w:num>
  <w:num w:numId="20">
    <w:abstractNumId w:val="16"/>
  </w:num>
  <w:num w:numId="21">
    <w:abstractNumId w:val="6"/>
  </w:num>
  <w:num w:numId="22">
    <w:abstractNumId w:val="14"/>
  </w:num>
  <w:num w:numId="23">
    <w:abstractNumId w:val="22"/>
  </w:num>
  <w:num w:numId="24">
    <w:abstractNumId w:val="32"/>
  </w:num>
  <w:num w:numId="25">
    <w:abstractNumId w:val="30"/>
  </w:num>
  <w:num w:numId="26">
    <w:abstractNumId w:val="1"/>
  </w:num>
  <w:num w:numId="27">
    <w:abstractNumId w:val="19"/>
  </w:num>
  <w:num w:numId="28">
    <w:abstractNumId w:val="10"/>
  </w:num>
  <w:num w:numId="29">
    <w:abstractNumId w:val="2"/>
  </w:num>
  <w:num w:numId="30">
    <w:abstractNumId w:val="12"/>
  </w:num>
  <w:num w:numId="31">
    <w:abstractNumId w:val="3"/>
  </w:num>
  <w:num w:numId="32">
    <w:abstractNumId w:val="31"/>
  </w:num>
  <w:num w:numId="33">
    <w:abstractNumId w:val="11"/>
  </w:num>
  <w:num w:numId="34">
    <w:abstractNumId w:val="17"/>
  </w:num>
  <w:numIdMacAtCleanup w:val="3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90"/>
  <w:displayBackgroundShape/>
  <w:proofState w:spelling="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evenAndOddHeaders/>
  <w:characterSpacingControl w:val="doNotCompress"/>
  <w:hdrShapeDefaults>
    <o:shapedefaults v:ext="edit" spidmax="8193"/>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6F5840"/>
    <w:rsid w:val="000000BF"/>
    <w:rsid w:val="000001A7"/>
    <w:rsid w:val="0000049D"/>
    <w:rsid w:val="00000ABF"/>
    <w:rsid w:val="000010FA"/>
    <w:rsid w:val="000012B7"/>
    <w:rsid w:val="00001A35"/>
    <w:rsid w:val="00001B01"/>
    <w:rsid w:val="00001B0C"/>
    <w:rsid w:val="00001C74"/>
    <w:rsid w:val="00001EE0"/>
    <w:rsid w:val="00002061"/>
    <w:rsid w:val="00002C2F"/>
    <w:rsid w:val="00002DB6"/>
    <w:rsid w:val="00003367"/>
    <w:rsid w:val="00003369"/>
    <w:rsid w:val="00003544"/>
    <w:rsid w:val="000036A5"/>
    <w:rsid w:val="0000394C"/>
    <w:rsid w:val="00004817"/>
    <w:rsid w:val="00004845"/>
    <w:rsid w:val="00004CC3"/>
    <w:rsid w:val="000050CA"/>
    <w:rsid w:val="00005327"/>
    <w:rsid w:val="0000542D"/>
    <w:rsid w:val="0000548F"/>
    <w:rsid w:val="0000581F"/>
    <w:rsid w:val="00005981"/>
    <w:rsid w:val="00005C42"/>
    <w:rsid w:val="0000605D"/>
    <w:rsid w:val="00006559"/>
    <w:rsid w:val="00006909"/>
    <w:rsid w:val="00006B4B"/>
    <w:rsid w:val="00006C51"/>
    <w:rsid w:val="00006CB0"/>
    <w:rsid w:val="00006E62"/>
    <w:rsid w:val="00006FAC"/>
    <w:rsid w:val="00007488"/>
    <w:rsid w:val="00007987"/>
    <w:rsid w:val="00007A22"/>
    <w:rsid w:val="00007B9A"/>
    <w:rsid w:val="00010345"/>
    <w:rsid w:val="000107B0"/>
    <w:rsid w:val="00010BE3"/>
    <w:rsid w:val="0001114C"/>
    <w:rsid w:val="00011213"/>
    <w:rsid w:val="0001180F"/>
    <w:rsid w:val="0001188D"/>
    <w:rsid w:val="000118B1"/>
    <w:rsid w:val="000120F5"/>
    <w:rsid w:val="0001259D"/>
    <w:rsid w:val="00012661"/>
    <w:rsid w:val="000128A1"/>
    <w:rsid w:val="00012ECF"/>
    <w:rsid w:val="00012F23"/>
    <w:rsid w:val="0001341F"/>
    <w:rsid w:val="00013B41"/>
    <w:rsid w:val="000140B1"/>
    <w:rsid w:val="00014156"/>
    <w:rsid w:val="00014274"/>
    <w:rsid w:val="0001462C"/>
    <w:rsid w:val="00014776"/>
    <w:rsid w:val="00015012"/>
    <w:rsid w:val="000151CD"/>
    <w:rsid w:val="0001596D"/>
    <w:rsid w:val="0001598F"/>
    <w:rsid w:val="00016078"/>
    <w:rsid w:val="000164DD"/>
    <w:rsid w:val="000168D3"/>
    <w:rsid w:val="000169D9"/>
    <w:rsid w:val="00016E00"/>
    <w:rsid w:val="00017686"/>
    <w:rsid w:val="00017E1C"/>
    <w:rsid w:val="00020145"/>
    <w:rsid w:val="000208A9"/>
    <w:rsid w:val="000209A2"/>
    <w:rsid w:val="00020E65"/>
    <w:rsid w:val="00020E6D"/>
    <w:rsid w:val="000213AE"/>
    <w:rsid w:val="0002175A"/>
    <w:rsid w:val="000222CE"/>
    <w:rsid w:val="0002252C"/>
    <w:rsid w:val="0002280B"/>
    <w:rsid w:val="0002289D"/>
    <w:rsid w:val="000229B9"/>
    <w:rsid w:val="00022D05"/>
    <w:rsid w:val="00023027"/>
    <w:rsid w:val="00023155"/>
    <w:rsid w:val="000231F0"/>
    <w:rsid w:val="000233A9"/>
    <w:rsid w:val="00023757"/>
    <w:rsid w:val="00023884"/>
    <w:rsid w:val="00023B03"/>
    <w:rsid w:val="00023B51"/>
    <w:rsid w:val="000249C6"/>
    <w:rsid w:val="00024BD1"/>
    <w:rsid w:val="0002547F"/>
    <w:rsid w:val="000254A8"/>
    <w:rsid w:val="0002564A"/>
    <w:rsid w:val="000258D8"/>
    <w:rsid w:val="00025A8C"/>
    <w:rsid w:val="00025AEF"/>
    <w:rsid w:val="00025B98"/>
    <w:rsid w:val="00026BC5"/>
    <w:rsid w:val="00026BD2"/>
    <w:rsid w:val="0002747F"/>
    <w:rsid w:val="00027566"/>
    <w:rsid w:val="00027AAE"/>
    <w:rsid w:val="00027C6D"/>
    <w:rsid w:val="000301D6"/>
    <w:rsid w:val="00030206"/>
    <w:rsid w:val="00030693"/>
    <w:rsid w:val="00031014"/>
    <w:rsid w:val="00031884"/>
    <w:rsid w:val="000319A5"/>
    <w:rsid w:val="00031BEC"/>
    <w:rsid w:val="00031F52"/>
    <w:rsid w:val="000321BB"/>
    <w:rsid w:val="000322B9"/>
    <w:rsid w:val="00032A47"/>
    <w:rsid w:val="00032D07"/>
    <w:rsid w:val="00033750"/>
    <w:rsid w:val="00033E22"/>
    <w:rsid w:val="00033E28"/>
    <w:rsid w:val="00034095"/>
    <w:rsid w:val="000341A5"/>
    <w:rsid w:val="000345AC"/>
    <w:rsid w:val="00034B99"/>
    <w:rsid w:val="00034BA7"/>
    <w:rsid w:val="00035057"/>
    <w:rsid w:val="00035129"/>
    <w:rsid w:val="0003542D"/>
    <w:rsid w:val="000354B8"/>
    <w:rsid w:val="0003562B"/>
    <w:rsid w:val="000358F1"/>
    <w:rsid w:val="00035DD2"/>
    <w:rsid w:val="00035F8F"/>
    <w:rsid w:val="00036576"/>
    <w:rsid w:val="00036913"/>
    <w:rsid w:val="00036FF5"/>
    <w:rsid w:val="000402CB"/>
    <w:rsid w:val="0004050B"/>
    <w:rsid w:val="000405EE"/>
    <w:rsid w:val="00040CA7"/>
    <w:rsid w:val="00040FD3"/>
    <w:rsid w:val="000413C9"/>
    <w:rsid w:val="00041438"/>
    <w:rsid w:val="00041477"/>
    <w:rsid w:val="0004178B"/>
    <w:rsid w:val="00041DE5"/>
    <w:rsid w:val="000429B1"/>
    <w:rsid w:val="000429DE"/>
    <w:rsid w:val="00042B37"/>
    <w:rsid w:val="00042C12"/>
    <w:rsid w:val="00042CAC"/>
    <w:rsid w:val="00043605"/>
    <w:rsid w:val="000436BA"/>
    <w:rsid w:val="000438B8"/>
    <w:rsid w:val="00043A73"/>
    <w:rsid w:val="00043D7B"/>
    <w:rsid w:val="00044065"/>
    <w:rsid w:val="000443B7"/>
    <w:rsid w:val="000446CA"/>
    <w:rsid w:val="00044808"/>
    <w:rsid w:val="00044EAD"/>
    <w:rsid w:val="00045196"/>
    <w:rsid w:val="00045325"/>
    <w:rsid w:val="0004533B"/>
    <w:rsid w:val="0004552A"/>
    <w:rsid w:val="00045D9D"/>
    <w:rsid w:val="00046243"/>
    <w:rsid w:val="000463D9"/>
    <w:rsid w:val="000468AC"/>
    <w:rsid w:val="00046A4E"/>
    <w:rsid w:val="00046E6D"/>
    <w:rsid w:val="0004701F"/>
    <w:rsid w:val="000472B4"/>
    <w:rsid w:val="00047781"/>
    <w:rsid w:val="00047950"/>
    <w:rsid w:val="00047C38"/>
    <w:rsid w:val="00047D3A"/>
    <w:rsid w:val="00047E33"/>
    <w:rsid w:val="00047E49"/>
    <w:rsid w:val="00047E55"/>
    <w:rsid w:val="00047F17"/>
    <w:rsid w:val="000506FE"/>
    <w:rsid w:val="00050963"/>
    <w:rsid w:val="00050AFC"/>
    <w:rsid w:val="0005111F"/>
    <w:rsid w:val="0005128F"/>
    <w:rsid w:val="0005136D"/>
    <w:rsid w:val="0005179A"/>
    <w:rsid w:val="0005180C"/>
    <w:rsid w:val="00051C4F"/>
    <w:rsid w:val="00051F35"/>
    <w:rsid w:val="000522F2"/>
    <w:rsid w:val="0005274B"/>
    <w:rsid w:val="0005285D"/>
    <w:rsid w:val="00052860"/>
    <w:rsid w:val="000528AE"/>
    <w:rsid w:val="00052A0B"/>
    <w:rsid w:val="00052CD6"/>
    <w:rsid w:val="00052D89"/>
    <w:rsid w:val="00052F47"/>
    <w:rsid w:val="000530CF"/>
    <w:rsid w:val="000530F6"/>
    <w:rsid w:val="00053780"/>
    <w:rsid w:val="00054466"/>
    <w:rsid w:val="00054DF7"/>
    <w:rsid w:val="000551F0"/>
    <w:rsid w:val="00055335"/>
    <w:rsid w:val="00055949"/>
    <w:rsid w:val="00055E0B"/>
    <w:rsid w:val="00056299"/>
    <w:rsid w:val="000569AC"/>
    <w:rsid w:val="00056FD8"/>
    <w:rsid w:val="0005739D"/>
    <w:rsid w:val="0005798A"/>
    <w:rsid w:val="00057CC7"/>
    <w:rsid w:val="00057E59"/>
    <w:rsid w:val="00057E80"/>
    <w:rsid w:val="00057EDB"/>
    <w:rsid w:val="00060576"/>
    <w:rsid w:val="00060A09"/>
    <w:rsid w:val="00061032"/>
    <w:rsid w:val="00061484"/>
    <w:rsid w:val="00061745"/>
    <w:rsid w:val="000618AE"/>
    <w:rsid w:val="00061B5A"/>
    <w:rsid w:val="000620A5"/>
    <w:rsid w:val="000627FF"/>
    <w:rsid w:val="00062A6E"/>
    <w:rsid w:val="00062E28"/>
    <w:rsid w:val="00063283"/>
    <w:rsid w:val="00063527"/>
    <w:rsid w:val="00063C36"/>
    <w:rsid w:val="00063F22"/>
    <w:rsid w:val="000642F8"/>
    <w:rsid w:val="00064337"/>
    <w:rsid w:val="0006467F"/>
    <w:rsid w:val="000647C6"/>
    <w:rsid w:val="00065241"/>
    <w:rsid w:val="00065663"/>
    <w:rsid w:val="0006585E"/>
    <w:rsid w:val="000659C1"/>
    <w:rsid w:val="00065ACA"/>
    <w:rsid w:val="00065BB3"/>
    <w:rsid w:val="00065BF3"/>
    <w:rsid w:val="0006616A"/>
    <w:rsid w:val="000661D5"/>
    <w:rsid w:val="000663DB"/>
    <w:rsid w:val="000663FA"/>
    <w:rsid w:val="00067136"/>
    <w:rsid w:val="000675CB"/>
    <w:rsid w:val="000697B2"/>
    <w:rsid w:val="00070197"/>
    <w:rsid w:val="00070AA2"/>
    <w:rsid w:val="00070B75"/>
    <w:rsid w:val="000712F9"/>
    <w:rsid w:val="00071788"/>
    <w:rsid w:val="0007199E"/>
    <w:rsid w:val="00071A46"/>
    <w:rsid w:val="00071CBC"/>
    <w:rsid w:val="00071F60"/>
    <w:rsid w:val="00072693"/>
    <w:rsid w:val="000728D4"/>
    <w:rsid w:val="00072950"/>
    <w:rsid w:val="0007298D"/>
    <w:rsid w:val="0007322C"/>
    <w:rsid w:val="0007333F"/>
    <w:rsid w:val="00073999"/>
    <w:rsid w:val="00073AC8"/>
    <w:rsid w:val="00073B39"/>
    <w:rsid w:val="00073D28"/>
    <w:rsid w:val="00074570"/>
    <w:rsid w:val="00074EA4"/>
    <w:rsid w:val="00075134"/>
    <w:rsid w:val="000751F5"/>
    <w:rsid w:val="00075304"/>
    <w:rsid w:val="000759B8"/>
    <w:rsid w:val="00075AF6"/>
    <w:rsid w:val="00075B9F"/>
    <w:rsid w:val="00075C64"/>
    <w:rsid w:val="00075CEE"/>
    <w:rsid w:val="0007648D"/>
    <w:rsid w:val="00076BA1"/>
    <w:rsid w:val="000776AC"/>
    <w:rsid w:val="0007779F"/>
    <w:rsid w:val="000778F9"/>
    <w:rsid w:val="00077C18"/>
    <w:rsid w:val="000800D5"/>
    <w:rsid w:val="0008048B"/>
    <w:rsid w:val="00080593"/>
    <w:rsid w:val="00080B09"/>
    <w:rsid w:val="00080B9A"/>
    <w:rsid w:val="00080DB0"/>
    <w:rsid w:val="00080F01"/>
    <w:rsid w:val="00081057"/>
    <w:rsid w:val="000814F3"/>
    <w:rsid w:val="000819C4"/>
    <w:rsid w:val="00081FAE"/>
    <w:rsid w:val="0008209D"/>
    <w:rsid w:val="00082499"/>
    <w:rsid w:val="00082D1F"/>
    <w:rsid w:val="0008376D"/>
    <w:rsid w:val="0008392A"/>
    <w:rsid w:val="00083C4A"/>
    <w:rsid w:val="00083FDE"/>
    <w:rsid w:val="00084164"/>
    <w:rsid w:val="00084920"/>
    <w:rsid w:val="00084F58"/>
    <w:rsid w:val="00085125"/>
    <w:rsid w:val="00085180"/>
    <w:rsid w:val="0008530C"/>
    <w:rsid w:val="0008534C"/>
    <w:rsid w:val="00085BEC"/>
    <w:rsid w:val="00085E31"/>
    <w:rsid w:val="00085EE3"/>
    <w:rsid w:val="0008663E"/>
    <w:rsid w:val="000868CF"/>
    <w:rsid w:val="000869E5"/>
    <w:rsid w:val="00086CF8"/>
    <w:rsid w:val="00086D2A"/>
    <w:rsid w:val="00086D98"/>
    <w:rsid w:val="00086F2F"/>
    <w:rsid w:val="00086F61"/>
    <w:rsid w:val="000872B1"/>
    <w:rsid w:val="000877A1"/>
    <w:rsid w:val="000877F5"/>
    <w:rsid w:val="00087DA9"/>
    <w:rsid w:val="00087DEB"/>
    <w:rsid w:val="0008B3D3"/>
    <w:rsid w:val="0009024C"/>
    <w:rsid w:val="00090440"/>
    <w:rsid w:val="00090537"/>
    <w:rsid w:val="000908D8"/>
    <w:rsid w:val="00090A94"/>
    <w:rsid w:val="00090D36"/>
    <w:rsid w:val="00090E16"/>
    <w:rsid w:val="00090F5E"/>
    <w:rsid w:val="000914FD"/>
    <w:rsid w:val="00091655"/>
    <w:rsid w:val="00091902"/>
    <w:rsid w:val="00092DAA"/>
    <w:rsid w:val="00094805"/>
    <w:rsid w:val="00094E4F"/>
    <w:rsid w:val="000954E7"/>
    <w:rsid w:val="00095A84"/>
    <w:rsid w:val="00095B1F"/>
    <w:rsid w:val="000962BF"/>
    <w:rsid w:val="000964D1"/>
    <w:rsid w:val="000965E2"/>
    <w:rsid w:val="00096728"/>
    <w:rsid w:val="00096A25"/>
    <w:rsid w:val="00097118"/>
    <w:rsid w:val="00097249"/>
    <w:rsid w:val="0009788E"/>
    <w:rsid w:val="00097972"/>
    <w:rsid w:val="00097A92"/>
    <w:rsid w:val="00097B7E"/>
    <w:rsid w:val="00097DA9"/>
    <w:rsid w:val="00097E66"/>
    <w:rsid w:val="00097F4D"/>
    <w:rsid w:val="000A06A6"/>
    <w:rsid w:val="000A07C4"/>
    <w:rsid w:val="000A0A67"/>
    <w:rsid w:val="000A0AEF"/>
    <w:rsid w:val="000A1257"/>
    <w:rsid w:val="000A12A7"/>
    <w:rsid w:val="000A2741"/>
    <w:rsid w:val="000A27D2"/>
    <w:rsid w:val="000A2D60"/>
    <w:rsid w:val="000A3206"/>
    <w:rsid w:val="000A3475"/>
    <w:rsid w:val="000A3584"/>
    <w:rsid w:val="000A39AE"/>
    <w:rsid w:val="000A3A73"/>
    <w:rsid w:val="000A3EE9"/>
    <w:rsid w:val="000A438A"/>
    <w:rsid w:val="000A5043"/>
    <w:rsid w:val="000A567D"/>
    <w:rsid w:val="000A5F3D"/>
    <w:rsid w:val="000A5FE0"/>
    <w:rsid w:val="000A6D79"/>
    <w:rsid w:val="000A75CA"/>
    <w:rsid w:val="000A7916"/>
    <w:rsid w:val="000A7996"/>
    <w:rsid w:val="000A7C46"/>
    <w:rsid w:val="000A7E69"/>
    <w:rsid w:val="000B03A0"/>
    <w:rsid w:val="000B0984"/>
    <w:rsid w:val="000B0A0F"/>
    <w:rsid w:val="000B0E78"/>
    <w:rsid w:val="000B14CC"/>
    <w:rsid w:val="000B1D88"/>
    <w:rsid w:val="000B1DDE"/>
    <w:rsid w:val="000B2624"/>
    <w:rsid w:val="000B29F7"/>
    <w:rsid w:val="000B2A95"/>
    <w:rsid w:val="000B2D5E"/>
    <w:rsid w:val="000B3060"/>
    <w:rsid w:val="000B332C"/>
    <w:rsid w:val="000B3423"/>
    <w:rsid w:val="000B36CA"/>
    <w:rsid w:val="000B3785"/>
    <w:rsid w:val="000B3BF7"/>
    <w:rsid w:val="000B3F85"/>
    <w:rsid w:val="000B405B"/>
    <w:rsid w:val="000B42B3"/>
    <w:rsid w:val="000B4464"/>
    <w:rsid w:val="000B4CC4"/>
    <w:rsid w:val="000B4D3E"/>
    <w:rsid w:val="000B544A"/>
    <w:rsid w:val="000B5455"/>
    <w:rsid w:val="000B5569"/>
    <w:rsid w:val="000B56D3"/>
    <w:rsid w:val="000B5759"/>
    <w:rsid w:val="000B5792"/>
    <w:rsid w:val="000B5947"/>
    <w:rsid w:val="000B5B96"/>
    <w:rsid w:val="000B5BF4"/>
    <w:rsid w:val="000B60C6"/>
    <w:rsid w:val="000B61A8"/>
    <w:rsid w:val="000B622D"/>
    <w:rsid w:val="000B62F0"/>
    <w:rsid w:val="000B6406"/>
    <w:rsid w:val="000B640A"/>
    <w:rsid w:val="000B64B3"/>
    <w:rsid w:val="000B66F8"/>
    <w:rsid w:val="000B6E9F"/>
    <w:rsid w:val="000B707A"/>
    <w:rsid w:val="000B70CA"/>
    <w:rsid w:val="000B71A9"/>
    <w:rsid w:val="000B780B"/>
    <w:rsid w:val="000B792E"/>
    <w:rsid w:val="000B7995"/>
    <w:rsid w:val="000B7B85"/>
    <w:rsid w:val="000B7EFE"/>
    <w:rsid w:val="000BA0A5"/>
    <w:rsid w:val="000C03C3"/>
    <w:rsid w:val="000C07BE"/>
    <w:rsid w:val="000C0D12"/>
    <w:rsid w:val="000C0EFF"/>
    <w:rsid w:val="000C1417"/>
    <w:rsid w:val="000C1737"/>
    <w:rsid w:val="000C1779"/>
    <w:rsid w:val="000C1D6F"/>
    <w:rsid w:val="000C2518"/>
    <w:rsid w:val="000C321A"/>
    <w:rsid w:val="000C35DD"/>
    <w:rsid w:val="000C3946"/>
    <w:rsid w:val="000C39A1"/>
    <w:rsid w:val="000C3D8C"/>
    <w:rsid w:val="000C3EAE"/>
    <w:rsid w:val="000C3F99"/>
    <w:rsid w:val="000C3FC5"/>
    <w:rsid w:val="000C46BE"/>
    <w:rsid w:val="000C46F4"/>
    <w:rsid w:val="000C4C85"/>
    <w:rsid w:val="000C4F56"/>
    <w:rsid w:val="000C5EB8"/>
    <w:rsid w:val="000C5FB5"/>
    <w:rsid w:val="000C6637"/>
    <w:rsid w:val="000C6988"/>
    <w:rsid w:val="000C6991"/>
    <w:rsid w:val="000C6C6A"/>
    <w:rsid w:val="000C73EE"/>
    <w:rsid w:val="000C74E8"/>
    <w:rsid w:val="000C7914"/>
    <w:rsid w:val="000C7DD6"/>
    <w:rsid w:val="000D0351"/>
    <w:rsid w:val="000D0610"/>
    <w:rsid w:val="000D065E"/>
    <w:rsid w:val="000D06CB"/>
    <w:rsid w:val="000D084C"/>
    <w:rsid w:val="000D0AC9"/>
    <w:rsid w:val="000D0CDD"/>
    <w:rsid w:val="000D0CDE"/>
    <w:rsid w:val="000D0CFF"/>
    <w:rsid w:val="000D0D49"/>
    <w:rsid w:val="000D0F2B"/>
    <w:rsid w:val="000D1035"/>
    <w:rsid w:val="000D1152"/>
    <w:rsid w:val="000D1330"/>
    <w:rsid w:val="000D13D6"/>
    <w:rsid w:val="000D167F"/>
    <w:rsid w:val="000D16BA"/>
    <w:rsid w:val="000D1C6A"/>
    <w:rsid w:val="000D1D64"/>
    <w:rsid w:val="000D2162"/>
    <w:rsid w:val="000D2254"/>
    <w:rsid w:val="000D25F1"/>
    <w:rsid w:val="000D26F0"/>
    <w:rsid w:val="000D28E2"/>
    <w:rsid w:val="000D2910"/>
    <w:rsid w:val="000D3411"/>
    <w:rsid w:val="000D3477"/>
    <w:rsid w:val="000D36DE"/>
    <w:rsid w:val="000D396F"/>
    <w:rsid w:val="000D3A52"/>
    <w:rsid w:val="000D3C7F"/>
    <w:rsid w:val="000D3EF0"/>
    <w:rsid w:val="000D3F54"/>
    <w:rsid w:val="000D434F"/>
    <w:rsid w:val="000D4529"/>
    <w:rsid w:val="000D45AF"/>
    <w:rsid w:val="000D46E6"/>
    <w:rsid w:val="000D537A"/>
    <w:rsid w:val="000D5E52"/>
    <w:rsid w:val="000D6104"/>
    <w:rsid w:val="000D643A"/>
    <w:rsid w:val="000D6823"/>
    <w:rsid w:val="000D687B"/>
    <w:rsid w:val="000D69B1"/>
    <w:rsid w:val="000D6A32"/>
    <w:rsid w:val="000D75AC"/>
    <w:rsid w:val="000D7C09"/>
    <w:rsid w:val="000D7CCB"/>
    <w:rsid w:val="000E0782"/>
    <w:rsid w:val="000E0CBF"/>
    <w:rsid w:val="000E0D10"/>
    <w:rsid w:val="000E0D64"/>
    <w:rsid w:val="000E10AC"/>
    <w:rsid w:val="000E1460"/>
    <w:rsid w:val="000E16D7"/>
    <w:rsid w:val="000E1829"/>
    <w:rsid w:val="000E18C8"/>
    <w:rsid w:val="000E1C25"/>
    <w:rsid w:val="000E1F7E"/>
    <w:rsid w:val="000E1F8B"/>
    <w:rsid w:val="000E207B"/>
    <w:rsid w:val="000E2235"/>
    <w:rsid w:val="000E22FC"/>
    <w:rsid w:val="000E230A"/>
    <w:rsid w:val="000E2C2F"/>
    <w:rsid w:val="000E2C4C"/>
    <w:rsid w:val="000E2F94"/>
    <w:rsid w:val="000E304E"/>
    <w:rsid w:val="000E33D7"/>
    <w:rsid w:val="000E34DD"/>
    <w:rsid w:val="000E368D"/>
    <w:rsid w:val="000E43D9"/>
    <w:rsid w:val="000E47DF"/>
    <w:rsid w:val="000E4E69"/>
    <w:rsid w:val="000E50F0"/>
    <w:rsid w:val="000E51BD"/>
    <w:rsid w:val="000E53C7"/>
    <w:rsid w:val="000E5A17"/>
    <w:rsid w:val="000E5C83"/>
    <w:rsid w:val="000E5D19"/>
    <w:rsid w:val="000E6C26"/>
    <w:rsid w:val="000E6F29"/>
    <w:rsid w:val="000E7BE0"/>
    <w:rsid w:val="000F00FF"/>
    <w:rsid w:val="000F01A9"/>
    <w:rsid w:val="000F06D8"/>
    <w:rsid w:val="000F0803"/>
    <w:rsid w:val="000F09FC"/>
    <w:rsid w:val="000F0B23"/>
    <w:rsid w:val="000F0ED4"/>
    <w:rsid w:val="000F1B5F"/>
    <w:rsid w:val="000F1DCF"/>
    <w:rsid w:val="000F293D"/>
    <w:rsid w:val="000F2981"/>
    <w:rsid w:val="000F323F"/>
    <w:rsid w:val="000F3631"/>
    <w:rsid w:val="000F3A45"/>
    <w:rsid w:val="000F3B9B"/>
    <w:rsid w:val="000F3BC0"/>
    <w:rsid w:val="000F3D98"/>
    <w:rsid w:val="000F3DB6"/>
    <w:rsid w:val="000F456D"/>
    <w:rsid w:val="000F4B67"/>
    <w:rsid w:val="000F4B92"/>
    <w:rsid w:val="000F4CF2"/>
    <w:rsid w:val="000F4DCF"/>
    <w:rsid w:val="000F502C"/>
    <w:rsid w:val="000F54C4"/>
    <w:rsid w:val="000F578E"/>
    <w:rsid w:val="000F5839"/>
    <w:rsid w:val="000F59A1"/>
    <w:rsid w:val="000F5CC6"/>
    <w:rsid w:val="000F5F54"/>
    <w:rsid w:val="000F623D"/>
    <w:rsid w:val="000F66E3"/>
    <w:rsid w:val="000F684B"/>
    <w:rsid w:val="000F6ECA"/>
    <w:rsid w:val="000F6F58"/>
    <w:rsid w:val="000F70A1"/>
    <w:rsid w:val="000F71E4"/>
    <w:rsid w:val="000F7464"/>
    <w:rsid w:val="000F751C"/>
    <w:rsid w:val="000F75A4"/>
    <w:rsid w:val="000F7ABC"/>
    <w:rsid w:val="000F7EEB"/>
    <w:rsid w:val="00100A42"/>
    <w:rsid w:val="00100BF3"/>
    <w:rsid w:val="0010168D"/>
    <w:rsid w:val="001019D2"/>
    <w:rsid w:val="00101DB8"/>
    <w:rsid w:val="001020DD"/>
    <w:rsid w:val="00102548"/>
    <w:rsid w:val="00102916"/>
    <w:rsid w:val="001030D5"/>
    <w:rsid w:val="00103484"/>
    <w:rsid w:val="001034AE"/>
    <w:rsid w:val="0010354B"/>
    <w:rsid w:val="001036AD"/>
    <w:rsid w:val="001038EF"/>
    <w:rsid w:val="00103C1A"/>
    <w:rsid w:val="00103F3B"/>
    <w:rsid w:val="0010446B"/>
    <w:rsid w:val="0010487B"/>
    <w:rsid w:val="00104AEF"/>
    <w:rsid w:val="00104D42"/>
    <w:rsid w:val="00104D4A"/>
    <w:rsid w:val="00104DBA"/>
    <w:rsid w:val="00104F0A"/>
    <w:rsid w:val="001057EB"/>
    <w:rsid w:val="00105CA7"/>
    <w:rsid w:val="00105EE9"/>
    <w:rsid w:val="00106006"/>
    <w:rsid w:val="0010608B"/>
    <w:rsid w:val="00106539"/>
    <w:rsid w:val="00106D0D"/>
    <w:rsid w:val="00106E8B"/>
    <w:rsid w:val="00106F9F"/>
    <w:rsid w:val="001070D8"/>
    <w:rsid w:val="00107544"/>
    <w:rsid w:val="001075A3"/>
    <w:rsid w:val="00107955"/>
    <w:rsid w:val="00107998"/>
    <w:rsid w:val="00107A9F"/>
    <w:rsid w:val="00107EA7"/>
    <w:rsid w:val="00110084"/>
    <w:rsid w:val="00110393"/>
    <w:rsid w:val="00110602"/>
    <w:rsid w:val="00110697"/>
    <w:rsid w:val="00110A18"/>
    <w:rsid w:val="00110BCF"/>
    <w:rsid w:val="00110CAD"/>
    <w:rsid w:val="00110ECA"/>
    <w:rsid w:val="00110FCD"/>
    <w:rsid w:val="00110FE7"/>
    <w:rsid w:val="00111096"/>
    <w:rsid w:val="0011124E"/>
    <w:rsid w:val="0011127B"/>
    <w:rsid w:val="001115F6"/>
    <w:rsid w:val="00111B01"/>
    <w:rsid w:val="00111C13"/>
    <w:rsid w:val="00111C95"/>
    <w:rsid w:val="00111CCE"/>
    <w:rsid w:val="00111FC9"/>
    <w:rsid w:val="00112119"/>
    <w:rsid w:val="001123CB"/>
    <w:rsid w:val="00112D64"/>
    <w:rsid w:val="00112E8D"/>
    <w:rsid w:val="001135CD"/>
    <w:rsid w:val="001137FC"/>
    <w:rsid w:val="00113BC1"/>
    <w:rsid w:val="00113F34"/>
    <w:rsid w:val="00114140"/>
    <w:rsid w:val="0011436F"/>
    <w:rsid w:val="00114B7D"/>
    <w:rsid w:val="0011532A"/>
    <w:rsid w:val="0011561E"/>
    <w:rsid w:val="00115663"/>
    <w:rsid w:val="0011588A"/>
    <w:rsid w:val="00115A71"/>
    <w:rsid w:val="00116201"/>
    <w:rsid w:val="001162F1"/>
    <w:rsid w:val="00116504"/>
    <w:rsid w:val="00116709"/>
    <w:rsid w:val="0011680E"/>
    <w:rsid w:val="0011749B"/>
    <w:rsid w:val="00117649"/>
    <w:rsid w:val="00117889"/>
    <w:rsid w:val="0011794A"/>
    <w:rsid w:val="0011796A"/>
    <w:rsid w:val="00117A29"/>
    <w:rsid w:val="00120135"/>
    <w:rsid w:val="001202F8"/>
    <w:rsid w:val="001208F7"/>
    <w:rsid w:val="0012105A"/>
    <w:rsid w:val="00121292"/>
    <w:rsid w:val="00121419"/>
    <w:rsid w:val="00121DD1"/>
    <w:rsid w:val="001221A5"/>
    <w:rsid w:val="001221D3"/>
    <w:rsid w:val="00122416"/>
    <w:rsid w:val="001227DF"/>
    <w:rsid w:val="0012280A"/>
    <w:rsid w:val="00122A44"/>
    <w:rsid w:val="00123365"/>
    <w:rsid w:val="00123368"/>
    <w:rsid w:val="0012352A"/>
    <w:rsid w:val="00123592"/>
    <w:rsid w:val="0012382A"/>
    <w:rsid w:val="001238E5"/>
    <w:rsid w:val="00123EE3"/>
    <w:rsid w:val="00124CCB"/>
    <w:rsid w:val="00124F99"/>
    <w:rsid w:val="0012535C"/>
    <w:rsid w:val="001258EC"/>
    <w:rsid w:val="00126449"/>
    <w:rsid w:val="001265D5"/>
    <w:rsid w:val="00126C89"/>
    <w:rsid w:val="00126F61"/>
    <w:rsid w:val="00127046"/>
    <w:rsid w:val="00127086"/>
    <w:rsid w:val="001272BF"/>
    <w:rsid w:val="00127FFA"/>
    <w:rsid w:val="00130271"/>
    <w:rsid w:val="00130312"/>
    <w:rsid w:val="001308F3"/>
    <w:rsid w:val="00130905"/>
    <w:rsid w:val="00130A63"/>
    <w:rsid w:val="00130B8C"/>
    <w:rsid w:val="00130D16"/>
    <w:rsid w:val="001316E7"/>
    <w:rsid w:val="001319C1"/>
    <w:rsid w:val="00131B05"/>
    <w:rsid w:val="00132833"/>
    <w:rsid w:val="0013290A"/>
    <w:rsid w:val="00132EAB"/>
    <w:rsid w:val="00132F9C"/>
    <w:rsid w:val="0013314C"/>
    <w:rsid w:val="00133389"/>
    <w:rsid w:val="0013358C"/>
    <w:rsid w:val="0013378E"/>
    <w:rsid w:val="001337EE"/>
    <w:rsid w:val="00133962"/>
    <w:rsid w:val="00133E0D"/>
    <w:rsid w:val="00133EBC"/>
    <w:rsid w:val="00133ED5"/>
    <w:rsid w:val="001342E9"/>
    <w:rsid w:val="00134459"/>
    <w:rsid w:val="00134528"/>
    <w:rsid w:val="00134D92"/>
    <w:rsid w:val="00134FEB"/>
    <w:rsid w:val="001351EA"/>
    <w:rsid w:val="001352E9"/>
    <w:rsid w:val="00135790"/>
    <w:rsid w:val="001362F6"/>
    <w:rsid w:val="0013641C"/>
    <w:rsid w:val="001369F7"/>
    <w:rsid w:val="00136B2A"/>
    <w:rsid w:val="00137F4B"/>
    <w:rsid w:val="001401EA"/>
    <w:rsid w:val="001402D5"/>
    <w:rsid w:val="0014092D"/>
    <w:rsid w:val="00140C0C"/>
    <w:rsid w:val="00140DDE"/>
    <w:rsid w:val="0014148F"/>
    <w:rsid w:val="00141B09"/>
    <w:rsid w:val="00142231"/>
    <w:rsid w:val="00142386"/>
    <w:rsid w:val="0014260D"/>
    <w:rsid w:val="001430CE"/>
    <w:rsid w:val="001430F7"/>
    <w:rsid w:val="001431BB"/>
    <w:rsid w:val="001431E8"/>
    <w:rsid w:val="00143495"/>
    <w:rsid w:val="00143519"/>
    <w:rsid w:val="001436B5"/>
    <w:rsid w:val="001437D9"/>
    <w:rsid w:val="00143EE7"/>
    <w:rsid w:val="00143F68"/>
    <w:rsid w:val="0014404E"/>
    <w:rsid w:val="00144101"/>
    <w:rsid w:val="00144843"/>
    <w:rsid w:val="0014492B"/>
    <w:rsid w:val="001449CC"/>
    <w:rsid w:val="00144D69"/>
    <w:rsid w:val="00145074"/>
    <w:rsid w:val="001450B0"/>
    <w:rsid w:val="00146107"/>
    <w:rsid w:val="0014629F"/>
    <w:rsid w:val="00146704"/>
    <w:rsid w:val="00146949"/>
    <w:rsid w:val="00146BA6"/>
    <w:rsid w:val="00146F75"/>
    <w:rsid w:val="00146FD3"/>
    <w:rsid w:val="0014726A"/>
    <w:rsid w:val="001472C8"/>
    <w:rsid w:val="0014761E"/>
    <w:rsid w:val="001477AC"/>
    <w:rsid w:val="001479A3"/>
    <w:rsid w:val="001505C8"/>
    <w:rsid w:val="00150ACC"/>
    <w:rsid w:val="00150B18"/>
    <w:rsid w:val="0015159C"/>
    <w:rsid w:val="00151661"/>
    <w:rsid w:val="001519E2"/>
    <w:rsid w:val="00151D46"/>
    <w:rsid w:val="00151F3C"/>
    <w:rsid w:val="00152303"/>
    <w:rsid w:val="00152767"/>
    <w:rsid w:val="00152928"/>
    <w:rsid w:val="00153354"/>
    <w:rsid w:val="001536DE"/>
    <w:rsid w:val="0015392E"/>
    <w:rsid w:val="00153DFB"/>
    <w:rsid w:val="001541C8"/>
    <w:rsid w:val="001542BB"/>
    <w:rsid w:val="0015493E"/>
    <w:rsid w:val="00154957"/>
    <w:rsid w:val="001549D3"/>
    <w:rsid w:val="001555DB"/>
    <w:rsid w:val="00155CFC"/>
    <w:rsid w:val="00155D95"/>
    <w:rsid w:val="00155E5D"/>
    <w:rsid w:val="00155EEF"/>
    <w:rsid w:val="00156255"/>
    <w:rsid w:val="001562B6"/>
    <w:rsid w:val="00156A69"/>
    <w:rsid w:val="00156DE4"/>
    <w:rsid w:val="00157328"/>
    <w:rsid w:val="001574C2"/>
    <w:rsid w:val="00157590"/>
    <w:rsid w:val="00157903"/>
    <w:rsid w:val="00157B49"/>
    <w:rsid w:val="00157BEA"/>
    <w:rsid w:val="00160515"/>
    <w:rsid w:val="00160AEB"/>
    <w:rsid w:val="0016140C"/>
    <w:rsid w:val="0016173A"/>
    <w:rsid w:val="00161B23"/>
    <w:rsid w:val="001623F4"/>
    <w:rsid w:val="00162530"/>
    <w:rsid w:val="00162600"/>
    <w:rsid w:val="0016293A"/>
    <w:rsid w:val="00162A3F"/>
    <w:rsid w:val="00162BDD"/>
    <w:rsid w:val="00162E2F"/>
    <w:rsid w:val="00163038"/>
    <w:rsid w:val="001634F4"/>
    <w:rsid w:val="00163E1D"/>
    <w:rsid w:val="00164239"/>
    <w:rsid w:val="0016455F"/>
    <w:rsid w:val="00165268"/>
    <w:rsid w:val="0016542F"/>
    <w:rsid w:val="00165862"/>
    <w:rsid w:val="0016634E"/>
    <w:rsid w:val="00166865"/>
    <w:rsid w:val="001668EC"/>
    <w:rsid w:val="00166E25"/>
    <w:rsid w:val="001678F0"/>
    <w:rsid w:val="00167926"/>
    <w:rsid w:val="00167C28"/>
    <w:rsid w:val="00167C3D"/>
    <w:rsid w:val="00167DD8"/>
    <w:rsid w:val="001703C6"/>
    <w:rsid w:val="00170B61"/>
    <w:rsid w:val="00170E0E"/>
    <w:rsid w:val="00170FB1"/>
    <w:rsid w:val="00171309"/>
    <w:rsid w:val="00171808"/>
    <w:rsid w:val="00171C5B"/>
    <w:rsid w:val="00171D0A"/>
    <w:rsid w:val="00171EDA"/>
    <w:rsid w:val="00171EDD"/>
    <w:rsid w:val="001721E0"/>
    <w:rsid w:val="001722D3"/>
    <w:rsid w:val="00172739"/>
    <w:rsid w:val="00172A75"/>
    <w:rsid w:val="00172BCC"/>
    <w:rsid w:val="00172E15"/>
    <w:rsid w:val="00172FF0"/>
    <w:rsid w:val="001731B2"/>
    <w:rsid w:val="00173B65"/>
    <w:rsid w:val="0017423B"/>
    <w:rsid w:val="001745AB"/>
    <w:rsid w:val="00174609"/>
    <w:rsid w:val="00174666"/>
    <w:rsid w:val="001746FE"/>
    <w:rsid w:val="00174CD7"/>
    <w:rsid w:val="00174F6F"/>
    <w:rsid w:val="001751D7"/>
    <w:rsid w:val="00175994"/>
    <w:rsid w:val="001759DB"/>
    <w:rsid w:val="00175B29"/>
    <w:rsid w:val="00175CFD"/>
    <w:rsid w:val="00176376"/>
    <w:rsid w:val="001765BE"/>
    <w:rsid w:val="001773E6"/>
    <w:rsid w:val="00177652"/>
    <w:rsid w:val="00177A0E"/>
    <w:rsid w:val="00177B2E"/>
    <w:rsid w:val="00177F48"/>
    <w:rsid w:val="00180003"/>
    <w:rsid w:val="00180082"/>
    <w:rsid w:val="0018039A"/>
    <w:rsid w:val="00180520"/>
    <w:rsid w:val="00181511"/>
    <w:rsid w:val="001815AD"/>
    <w:rsid w:val="00181F41"/>
    <w:rsid w:val="00182481"/>
    <w:rsid w:val="00182BDA"/>
    <w:rsid w:val="00182E75"/>
    <w:rsid w:val="00183365"/>
    <w:rsid w:val="0018342B"/>
    <w:rsid w:val="00183EA3"/>
    <w:rsid w:val="001843B8"/>
    <w:rsid w:val="00184C88"/>
    <w:rsid w:val="00184D7F"/>
    <w:rsid w:val="001854BB"/>
    <w:rsid w:val="00185A75"/>
    <w:rsid w:val="00185B2C"/>
    <w:rsid w:val="00185EAF"/>
    <w:rsid w:val="00185EC8"/>
    <w:rsid w:val="00185F97"/>
    <w:rsid w:val="001864A7"/>
    <w:rsid w:val="00186C10"/>
    <w:rsid w:val="00186DD1"/>
    <w:rsid w:val="00186EBA"/>
    <w:rsid w:val="001873F8"/>
    <w:rsid w:val="00187447"/>
    <w:rsid w:val="0018747F"/>
    <w:rsid w:val="00187F1A"/>
    <w:rsid w:val="00187FB8"/>
    <w:rsid w:val="00190952"/>
    <w:rsid w:val="00191549"/>
    <w:rsid w:val="00191607"/>
    <w:rsid w:val="00192786"/>
    <w:rsid w:val="00192ED1"/>
    <w:rsid w:val="00192F08"/>
    <w:rsid w:val="0019324E"/>
    <w:rsid w:val="00193413"/>
    <w:rsid w:val="00193869"/>
    <w:rsid w:val="00193B18"/>
    <w:rsid w:val="00193BEB"/>
    <w:rsid w:val="00193CD2"/>
    <w:rsid w:val="00193DB5"/>
    <w:rsid w:val="00194101"/>
    <w:rsid w:val="00194211"/>
    <w:rsid w:val="0019456D"/>
    <w:rsid w:val="00194828"/>
    <w:rsid w:val="001948C0"/>
    <w:rsid w:val="00194FB6"/>
    <w:rsid w:val="001951B1"/>
    <w:rsid w:val="00195689"/>
    <w:rsid w:val="00195809"/>
    <w:rsid w:val="00195866"/>
    <w:rsid w:val="00195A65"/>
    <w:rsid w:val="00195A77"/>
    <w:rsid w:val="00195DF4"/>
    <w:rsid w:val="00196058"/>
    <w:rsid w:val="001962BB"/>
    <w:rsid w:val="00196A95"/>
    <w:rsid w:val="00197317"/>
    <w:rsid w:val="001973EB"/>
    <w:rsid w:val="0019790A"/>
    <w:rsid w:val="0019791B"/>
    <w:rsid w:val="00197E8A"/>
    <w:rsid w:val="001A0873"/>
    <w:rsid w:val="001A08B0"/>
    <w:rsid w:val="001A093F"/>
    <w:rsid w:val="001A10CD"/>
    <w:rsid w:val="001A126D"/>
    <w:rsid w:val="001A1418"/>
    <w:rsid w:val="001A1A21"/>
    <w:rsid w:val="001A1A69"/>
    <w:rsid w:val="001A1AB6"/>
    <w:rsid w:val="001A1D17"/>
    <w:rsid w:val="001A1E5B"/>
    <w:rsid w:val="001A2075"/>
    <w:rsid w:val="001A2167"/>
    <w:rsid w:val="001A29D4"/>
    <w:rsid w:val="001A2ED5"/>
    <w:rsid w:val="001A3357"/>
    <w:rsid w:val="001A3DA5"/>
    <w:rsid w:val="001A4483"/>
    <w:rsid w:val="001A4E69"/>
    <w:rsid w:val="001A591F"/>
    <w:rsid w:val="001A5A00"/>
    <w:rsid w:val="001A5C82"/>
    <w:rsid w:val="001A61C7"/>
    <w:rsid w:val="001A6A7A"/>
    <w:rsid w:val="001A6BDC"/>
    <w:rsid w:val="001A6E28"/>
    <w:rsid w:val="001A7459"/>
    <w:rsid w:val="001A7664"/>
    <w:rsid w:val="001A794D"/>
    <w:rsid w:val="001A79C9"/>
    <w:rsid w:val="001A7F2F"/>
    <w:rsid w:val="001A7F36"/>
    <w:rsid w:val="001B0253"/>
    <w:rsid w:val="001B06E9"/>
    <w:rsid w:val="001B07C6"/>
    <w:rsid w:val="001B0CC9"/>
    <w:rsid w:val="001B0E91"/>
    <w:rsid w:val="001B1291"/>
    <w:rsid w:val="001B1432"/>
    <w:rsid w:val="001B1C03"/>
    <w:rsid w:val="001B1E1C"/>
    <w:rsid w:val="001B21E3"/>
    <w:rsid w:val="001B24C0"/>
    <w:rsid w:val="001B27FB"/>
    <w:rsid w:val="001B29B4"/>
    <w:rsid w:val="001B2EFE"/>
    <w:rsid w:val="001B30CC"/>
    <w:rsid w:val="001B3413"/>
    <w:rsid w:val="001B3426"/>
    <w:rsid w:val="001B36EB"/>
    <w:rsid w:val="001B38A6"/>
    <w:rsid w:val="001B45A9"/>
    <w:rsid w:val="001B46A8"/>
    <w:rsid w:val="001B4963"/>
    <w:rsid w:val="001B4D00"/>
    <w:rsid w:val="001B5744"/>
    <w:rsid w:val="001B661A"/>
    <w:rsid w:val="001B6D1D"/>
    <w:rsid w:val="001B72C4"/>
    <w:rsid w:val="001B73AF"/>
    <w:rsid w:val="001B764D"/>
    <w:rsid w:val="001B77DA"/>
    <w:rsid w:val="001B7809"/>
    <w:rsid w:val="001C00AB"/>
    <w:rsid w:val="001C0F48"/>
    <w:rsid w:val="001C1399"/>
    <w:rsid w:val="001C13AD"/>
    <w:rsid w:val="001C153D"/>
    <w:rsid w:val="001C164A"/>
    <w:rsid w:val="001C18BB"/>
    <w:rsid w:val="001C1926"/>
    <w:rsid w:val="001C1F0E"/>
    <w:rsid w:val="001C203E"/>
    <w:rsid w:val="001C21A3"/>
    <w:rsid w:val="001C228C"/>
    <w:rsid w:val="001C22EE"/>
    <w:rsid w:val="001C2393"/>
    <w:rsid w:val="001C2C5E"/>
    <w:rsid w:val="001C32F6"/>
    <w:rsid w:val="001C34AD"/>
    <w:rsid w:val="001C34BA"/>
    <w:rsid w:val="001C388F"/>
    <w:rsid w:val="001C38DB"/>
    <w:rsid w:val="001C41DF"/>
    <w:rsid w:val="001C42FB"/>
    <w:rsid w:val="001C474C"/>
    <w:rsid w:val="001C4BF7"/>
    <w:rsid w:val="001C5314"/>
    <w:rsid w:val="001C571C"/>
    <w:rsid w:val="001C5B71"/>
    <w:rsid w:val="001C5BB1"/>
    <w:rsid w:val="001C5E83"/>
    <w:rsid w:val="001C5F66"/>
    <w:rsid w:val="001C624B"/>
    <w:rsid w:val="001C662B"/>
    <w:rsid w:val="001C6B5E"/>
    <w:rsid w:val="001C6CC2"/>
    <w:rsid w:val="001C71B4"/>
    <w:rsid w:val="001C76A7"/>
    <w:rsid w:val="001C7FD0"/>
    <w:rsid w:val="001D0222"/>
    <w:rsid w:val="001D0419"/>
    <w:rsid w:val="001D04E3"/>
    <w:rsid w:val="001D079D"/>
    <w:rsid w:val="001D096C"/>
    <w:rsid w:val="001D0BFF"/>
    <w:rsid w:val="001D1262"/>
    <w:rsid w:val="001D1309"/>
    <w:rsid w:val="001D13B3"/>
    <w:rsid w:val="001D1A4F"/>
    <w:rsid w:val="001D1BC5"/>
    <w:rsid w:val="001D2564"/>
    <w:rsid w:val="001D2611"/>
    <w:rsid w:val="001D29AD"/>
    <w:rsid w:val="001D29BA"/>
    <w:rsid w:val="001D2D0F"/>
    <w:rsid w:val="001D330C"/>
    <w:rsid w:val="001D3571"/>
    <w:rsid w:val="001D379A"/>
    <w:rsid w:val="001D412D"/>
    <w:rsid w:val="001D4424"/>
    <w:rsid w:val="001D4510"/>
    <w:rsid w:val="001D4838"/>
    <w:rsid w:val="001D4C38"/>
    <w:rsid w:val="001D4DC6"/>
    <w:rsid w:val="001D5086"/>
    <w:rsid w:val="001D50EF"/>
    <w:rsid w:val="001D55E1"/>
    <w:rsid w:val="001D59FD"/>
    <w:rsid w:val="001D6223"/>
    <w:rsid w:val="001D6321"/>
    <w:rsid w:val="001D649C"/>
    <w:rsid w:val="001D664B"/>
    <w:rsid w:val="001D695F"/>
    <w:rsid w:val="001D73BC"/>
    <w:rsid w:val="001D7845"/>
    <w:rsid w:val="001D7CDE"/>
    <w:rsid w:val="001D7D77"/>
    <w:rsid w:val="001E0158"/>
    <w:rsid w:val="001E0180"/>
    <w:rsid w:val="001E0555"/>
    <w:rsid w:val="001E0696"/>
    <w:rsid w:val="001E0985"/>
    <w:rsid w:val="001E1AA9"/>
    <w:rsid w:val="001E1B7B"/>
    <w:rsid w:val="001E1C95"/>
    <w:rsid w:val="001E1D1B"/>
    <w:rsid w:val="001E1E85"/>
    <w:rsid w:val="001E2086"/>
    <w:rsid w:val="001E2161"/>
    <w:rsid w:val="001E25A6"/>
    <w:rsid w:val="001E2A8B"/>
    <w:rsid w:val="001E2B1F"/>
    <w:rsid w:val="001E2CF7"/>
    <w:rsid w:val="001E2CF8"/>
    <w:rsid w:val="001E3134"/>
    <w:rsid w:val="001E327B"/>
    <w:rsid w:val="001E343E"/>
    <w:rsid w:val="001E38A8"/>
    <w:rsid w:val="001E3C5C"/>
    <w:rsid w:val="001E3D9E"/>
    <w:rsid w:val="001E40A5"/>
    <w:rsid w:val="001E44AC"/>
    <w:rsid w:val="001E48AF"/>
    <w:rsid w:val="001E4B38"/>
    <w:rsid w:val="001E4DDA"/>
    <w:rsid w:val="001E50ED"/>
    <w:rsid w:val="001E549F"/>
    <w:rsid w:val="001E5A76"/>
    <w:rsid w:val="001E630D"/>
    <w:rsid w:val="001E6356"/>
    <w:rsid w:val="001E67B7"/>
    <w:rsid w:val="001E73AB"/>
    <w:rsid w:val="001E752C"/>
    <w:rsid w:val="001E7A12"/>
    <w:rsid w:val="001E7B97"/>
    <w:rsid w:val="001E7BB4"/>
    <w:rsid w:val="001E7C8C"/>
    <w:rsid w:val="001F015C"/>
    <w:rsid w:val="001F08A8"/>
    <w:rsid w:val="001F08BD"/>
    <w:rsid w:val="001F0AD4"/>
    <w:rsid w:val="001F0AF9"/>
    <w:rsid w:val="001F107F"/>
    <w:rsid w:val="001F11B6"/>
    <w:rsid w:val="001F12E7"/>
    <w:rsid w:val="001F1539"/>
    <w:rsid w:val="001F1990"/>
    <w:rsid w:val="001F30D6"/>
    <w:rsid w:val="001F316F"/>
    <w:rsid w:val="001F3CF5"/>
    <w:rsid w:val="001F4270"/>
    <w:rsid w:val="001F4447"/>
    <w:rsid w:val="001F44BA"/>
    <w:rsid w:val="001F4D10"/>
    <w:rsid w:val="001F55CA"/>
    <w:rsid w:val="001F58FA"/>
    <w:rsid w:val="001F5F9B"/>
    <w:rsid w:val="001F672C"/>
    <w:rsid w:val="001F6A5C"/>
    <w:rsid w:val="001F6E17"/>
    <w:rsid w:val="001F6E54"/>
    <w:rsid w:val="001F7785"/>
    <w:rsid w:val="00200411"/>
    <w:rsid w:val="002005F6"/>
    <w:rsid w:val="00200AEF"/>
    <w:rsid w:val="00200D04"/>
    <w:rsid w:val="00201443"/>
    <w:rsid w:val="0020171F"/>
    <w:rsid w:val="002021C5"/>
    <w:rsid w:val="00202212"/>
    <w:rsid w:val="002023AE"/>
    <w:rsid w:val="00203433"/>
    <w:rsid w:val="002037D8"/>
    <w:rsid w:val="00203A1A"/>
    <w:rsid w:val="00203F64"/>
    <w:rsid w:val="00204435"/>
    <w:rsid w:val="002049D2"/>
    <w:rsid w:val="00204CB5"/>
    <w:rsid w:val="00205076"/>
    <w:rsid w:val="002050D3"/>
    <w:rsid w:val="00205C88"/>
    <w:rsid w:val="002061D6"/>
    <w:rsid w:val="0020637F"/>
    <w:rsid w:val="00206890"/>
    <w:rsid w:val="002070F7"/>
    <w:rsid w:val="00207725"/>
    <w:rsid w:val="00207839"/>
    <w:rsid w:val="00207DBA"/>
    <w:rsid w:val="0020FA7D"/>
    <w:rsid w:val="00210056"/>
    <w:rsid w:val="002101A0"/>
    <w:rsid w:val="00210239"/>
    <w:rsid w:val="0021068E"/>
    <w:rsid w:val="002112B0"/>
    <w:rsid w:val="002129C1"/>
    <w:rsid w:val="00212D07"/>
    <w:rsid w:val="002130E7"/>
    <w:rsid w:val="00213466"/>
    <w:rsid w:val="0021374A"/>
    <w:rsid w:val="00213A8A"/>
    <w:rsid w:val="00213BFE"/>
    <w:rsid w:val="00213DB7"/>
    <w:rsid w:val="002142A2"/>
    <w:rsid w:val="00214DFD"/>
    <w:rsid w:val="0021513F"/>
    <w:rsid w:val="0021540B"/>
    <w:rsid w:val="00215B41"/>
    <w:rsid w:val="00215C16"/>
    <w:rsid w:val="00215E8D"/>
    <w:rsid w:val="0021603B"/>
    <w:rsid w:val="0021695D"/>
    <w:rsid w:val="00216DB7"/>
    <w:rsid w:val="0021725A"/>
    <w:rsid w:val="002177C1"/>
    <w:rsid w:val="00217818"/>
    <w:rsid w:val="00217954"/>
    <w:rsid w:val="00217C57"/>
    <w:rsid w:val="00217E7E"/>
    <w:rsid w:val="00220DCA"/>
    <w:rsid w:val="00221000"/>
    <w:rsid w:val="00221226"/>
    <w:rsid w:val="00221373"/>
    <w:rsid w:val="002215BF"/>
    <w:rsid w:val="0022167C"/>
    <w:rsid w:val="00221776"/>
    <w:rsid w:val="0022182E"/>
    <w:rsid w:val="0022191B"/>
    <w:rsid w:val="00221B6F"/>
    <w:rsid w:val="00222099"/>
    <w:rsid w:val="00222A4C"/>
    <w:rsid w:val="00222B8B"/>
    <w:rsid w:val="0022372B"/>
    <w:rsid w:val="00223A5F"/>
    <w:rsid w:val="00223C01"/>
    <w:rsid w:val="00223CF3"/>
    <w:rsid w:val="00223F86"/>
    <w:rsid w:val="00224312"/>
    <w:rsid w:val="002243BF"/>
    <w:rsid w:val="00224779"/>
    <w:rsid w:val="00224ACD"/>
    <w:rsid w:val="00224BD2"/>
    <w:rsid w:val="00225172"/>
    <w:rsid w:val="00225885"/>
    <w:rsid w:val="00225FE9"/>
    <w:rsid w:val="00226272"/>
    <w:rsid w:val="0022668D"/>
    <w:rsid w:val="00226713"/>
    <w:rsid w:val="0022791D"/>
    <w:rsid w:val="00227ED3"/>
    <w:rsid w:val="00227F03"/>
    <w:rsid w:val="00230868"/>
    <w:rsid w:val="00230BFE"/>
    <w:rsid w:val="00230CBB"/>
    <w:rsid w:val="00230F1A"/>
    <w:rsid w:val="00231014"/>
    <w:rsid w:val="0023128D"/>
    <w:rsid w:val="002314C8"/>
    <w:rsid w:val="00231561"/>
    <w:rsid w:val="00232040"/>
    <w:rsid w:val="00232203"/>
    <w:rsid w:val="0023235B"/>
    <w:rsid w:val="00232519"/>
    <w:rsid w:val="0023268A"/>
    <w:rsid w:val="002326EE"/>
    <w:rsid w:val="00232D38"/>
    <w:rsid w:val="00232DA5"/>
    <w:rsid w:val="002334F0"/>
    <w:rsid w:val="002336F3"/>
    <w:rsid w:val="0023399F"/>
    <w:rsid w:val="00234C29"/>
    <w:rsid w:val="00234C52"/>
    <w:rsid w:val="002350E9"/>
    <w:rsid w:val="00235777"/>
    <w:rsid w:val="00235A0B"/>
    <w:rsid w:val="00235A48"/>
    <w:rsid w:val="00236E15"/>
    <w:rsid w:val="00236F69"/>
    <w:rsid w:val="00237108"/>
    <w:rsid w:val="0023754F"/>
    <w:rsid w:val="00237B28"/>
    <w:rsid w:val="00237B76"/>
    <w:rsid w:val="00240828"/>
    <w:rsid w:val="00240FE1"/>
    <w:rsid w:val="00241B1A"/>
    <w:rsid w:val="00241C5E"/>
    <w:rsid w:val="002421F2"/>
    <w:rsid w:val="0024230F"/>
    <w:rsid w:val="00242C79"/>
    <w:rsid w:val="00242D10"/>
    <w:rsid w:val="00243A9C"/>
    <w:rsid w:val="00243C82"/>
    <w:rsid w:val="00243D24"/>
    <w:rsid w:val="00243EF8"/>
    <w:rsid w:val="0024404A"/>
    <w:rsid w:val="002441B2"/>
    <w:rsid w:val="00244236"/>
    <w:rsid w:val="002444E4"/>
    <w:rsid w:val="00244755"/>
    <w:rsid w:val="002447F0"/>
    <w:rsid w:val="00244CC3"/>
    <w:rsid w:val="00244D28"/>
    <w:rsid w:val="00244E3C"/>
    <w:rsid w:val="0024522B"/>
    <w:rsid w:val="00245DAF"/>
    <w:rsid w:val="00246008"/>
    <w:rsid w:val="00246A13"/>
    <w:rsid w:val="00246B46"/>
    <w:rsid w:val="00246E0D"/>
    <w:rsid w:val="00246FDE"/>
    <w:rsid w:val="002472DF"/>
    <w:rsid w:val="002473E9"/>
    <w:rsid w:val="0024786F"/>
    <w:rsid w:val="00250BEE"/>
    <w:rsid w:val="00250E78"/>
    <w:rsid w:val="00250F91"/>
    <w:rsid w:val="00251046"/>
    <w:rsid w:val="00251101"/>
    <w:rsid w:val="002517AE"/>
    <w:rsid w:val="00251C2B"/>
    <w:rsid w:val="00251FFD"/>
    <w:rsid w:val="002520DA"/>
    <w:rsid w:val="00252296"/>
    <w:rsid w:val="002524AA"/>
    <w:rsid w:val="00252588"/>
    <w:rsid w:val="00252B57"/>
    <w:rsid w:val="00252BF7"/>
    <w:rsid w:val="00253030"/>
    <w:rsid w:val="00253123"/>
    <w:rsid w:val="00253989"/>
    <w:rsid w:val="00253CD5"/>
    <w:rsid w:val="00253F8D"/>
    <w:rsid w:val="002541F6"/>
    <w:rsid w:val="00254470"/>
    <w:rsid w:val="00254504"/>
    <w:rsid w:val="00254A6E"/>
    <w:rsid w:val="00254CBC"/>
    <w:rsid w:val="0025503F"/>
    <w:rsid w:val="0025505D"/>
    <w:rsid w:val="00255294"/>
    <w:rsid w:val="00255441"/>
    <w:rsid w:val="002554F4"/>
    <w:rsid w:val="00255646"/>
    <w:rsid w:val="0025566D"/>
    <w:rsid w:val="0025593A"/>
    <w:rsid w:val="00255D27"/>
    <w:rsid w:val="00255D9D"/>
    <w:rsid w:val="002562CF"/>
    <w:rsid w:val="00256B16"/>
    <w:rsid w:val="00257410"/>
    <w:rsid w:val="002577F7"/>
    <w:rsid w:val="0025786D"/>
    <w:rsid w:val="00260233"/>
    <w:rsid w:val="0026051D"/>
    <w:rsid w:val="00260A9F"/>
    <w:rsid w:val="00260D44"/>
    <w:rsid w:val="00261187"/>
    <w:rsid w:val="002611ED"/>
    <w:rsid w:val="0026133B"/>
    <w:rsid w:val="00261549"/>
    <w:rsid w:val="00261ADB"/>
    <w:rsid w:val="00261C05"/>
    <w:rsid w:val="00261D96"/>
    <w:rsid w:val="00261EC4"/>
    <w:rsid w:val="0026265B"/>
    <w:rsid w:val="00262B42"/>
    <w:rsid w:val="00262D8A"/>
    <w:rsid w:val="00263891"/>
    <w:rsid w:val="00263F01"/>
    <w:rsid w:val="00263F4E"/>
    <w:rsid w:val="00263F58"/>
    <w:rsid w:val="00263FA2"/>
    <w:rsid w:val="00264138"/>
    <w:rsid w:val="002641C9"/>
    <w:rsid w:val="00264851"/>
    <w:rsid w:val="00264EDE"/>
    <w:rsid w:val="0026537E"/>
    <w:rsid w:val="00265504"/>
    <w:rsid w:val="002657A3"/>
    <w:rsid w:val="00265ABD"/>
    <w:rsid w:val="00265B49"/>
    <w:rsid w:val="00266141"/>
    <w:rsid w:val="00266253"/>
    <w:rsid w:val="00266475"/>
    <w:rsid w:val="002665BA"/>
    <w:rsid w:val="0026677E"/>
    <w:rsid w:val="002667A9"/>
    <w:rsid w:val="00266884"/>
    <w:rsid w:val="00266BFD"/>
    <w:rsid w:val="00267128"/>
    <w:rsid w:val="002673FA"/>
    <w:rsid w:val="002675B2"/>
    <w:rsid w:val="00267604"/>
    <w:rsid w:val="0026797C"/>
    <w:rsid w:val="00267A7A"/>
    <w:rsid w:val="00267D77"/>
    <w:rsid w:val="00267E51"/>
    <w:rsid w:val="00267F8F"/>
    <w:rsid w:val="0027021F"/>
    <w:rsid w:val="002709CF"/>
    <w:rsid w:val="00270A6F"/>
    <w:rsid w:val="00270C72"/>
    <w:rsid w:val="00270EE0"/>
    <w:rsid w:val="0027154E"/>
    <w:rsid w:val="002719CD"/>
    <w:rsid w:val="00272348"/>
    <w:rsid w:val="002727A3"/>
    <w:rsid w:val="00272D24"/>
    <w:rsid w:val="00272DF8"/>
    <w:rsid w:val="002732D3"/>
    <w:rsid w:val="00273890"/>
    <w:rsid w:val="00274C5C"/>
    <w:rsid w:val="00274D47"/>
    <w:rsid w:val="00275206"/>
    <w:rsid w:val="002755B6"/>
    <w:rsid w:val="00275630"/>
    <w:rsid w:val="00275B16"/>
    <w:rsid w:val="00275EB7"/>
    <w:rsid w:val="002760E3"/>
    <w:rsid w:val="00276976"/>
    <w:rsid w:val="0027719E"/>
    <w:rsid w:val="002771F8"/>
    <w:rsid w:val="002772D8"/>
    <w:rsid w:val="00277689"/>
    <w:rsid w:val="002779F0"/>
    <w:rsid w:val="00281755"/>
    <w:rsid w:val="00281853"/>
    <w:rsid w:val="00281EF5"/>
    <w:rsid w:val="0028205F"/>
    <w:rsid w:val="0028216C"/>
    <w:rsid w:val="002822A4"/>
    <w:rsid w:val="002824CB"/>
    <w:rsid w:val="00282547"/>
    <w:rsid w:val="002826AE"/>
    <w:rsid w:val="00282948"/>
    <w:rsid w:val="00283488"/>
    <w:rsid w:val="002838E5"/>
    <w:rsid w:val="00283C7D"/>
    <w:rsid w:val="00283E95"/>
    <w:rsid w:val="002840C1"/>
    <w:rsid w:val="002842A9"/>
    <w:rsid w:val="00284792"/>
    <w:rsid w:val="002849B4"/>
    <w:rsid w:val="00284C27"/>
    <w:rsid w:val="00285245"/>
    <w:rsid w:val="002857E7"/>
    <w:rsid w:val="00285BFA"/>
    <w:rsid w:val="0028611B"/>
    <w:rsid w:val="002863A1"/>
    <w:rsid w:val="00286D8E"/>
    <w:rsid w:val="00286FF3"/>
    <w:rsid w:val="002875C6"/>
    <w:rsid w:val="0029036B"/>
    <w:rsid w:val="00290874"/>
    <w:rsid w:val="002908DD"/>
    <w:rsid w:val="00290B6A"/>
    <w:rsid w:val="00290CB6"/>
    <w:rsid w:val="002915C9"/>
    <w:rsid w:val="00291C75"/>
    <w:rsid w:val="00291CBE"/>
    <w:rsid w:val="00291EE7"/>
    <w:rsid w:val="00292003"/>
    <w:rsid w:val="002920E8"/>
    <w:rsid w:val="00292A6B"/>
    <w:rsid w:val="00292AAB"/>
    <w:rsid w:val="00292D0E"/>
    <w:rsid w:val="00292D1D"/>
    <w:rsid w:val="00292E90"/>
    <w:rsid w:val="00293280"/>
    <w:rsid w:val="002934B7"/>
    <w:rsid w:val="00293864"/>
    <w:rsid w:val="00293923"/>
    <w:rsid w:val="00293B48"/>
    <w:rsid w:val="00294545"/>
    <w:rsid w:val="00294597"/>
    <w:rsid w:val="00294642"/>
    <w:rsid w:val="00294AB4"/>
    <w:rsid w:val="00294F1E"/>
    <w:rsid w:val="00294F2C"/>
    <w:rsid w:val="00294F31"/>
    <w:rsid w:val="00294F48"/>
    <w:rsid w:val="00294FA1"/>
    <w:rsid w:val="00295033"/>
    <w:rsid w:val="0029517C"/>
    <w:rsid w:val="00295471"/>
    <w:rsid w:val="00295956"/>
    <w:rsid w:val="00295AC0"/>
    <w:rsid w:val="00295AF1"/>
    <w:rsid w:val="00295D42"/>
    <w:rsid w:val="00295E5E"/>
    <w:rsid w:val="0029659A"/>
    <w:rsid w:val="00296CA7"/>
    <w:rsid w:val="00296E56"/>
    <w:rsid w:val="00296FD1"/>
    <w:rsid w:val="002971FD"/>
    <w:rsid w:val="00297397"/>
    <w:rsid w:val="0029764F"/>
    <w:rsid w:val="00297A4A"/>
    <w:rsid w:val="00297E12"/>
    <w:rsid w:val="002A0311"/>
    <w:rsid w:val="002A055E"/>
    <w:rsid w:val="002A088E"/>
    <w:rsid w:val="002A0D7E"/>
    <w:rsid w:val="002A0F1A"/>
    <w:rsid w:val="002A12B4"/>
    <w:rsid w:val="002A1B03"/>
    <w:rsid w:val="002A1C80"/>
    <w:rsid w:val="002A20B0"/>
    <w:rsid w:val="002A22CB"/>
    <w:rsid w:val="002A2983"/>
    <w:rsid w:val="002A30CB"/>
    <w:rsid w:val="002A3202"/>
    <w:rsid w:val="002A3783"/>
    <w:rsid w:val="002A3C6B"/>
    <w:rsid w:val="002A3EB3"/>
    <w:rsid w:val="002A4A6D"/>
    <w:rsid w:val="002A4AF7"/>
    <w:rsid w:val="002A4EA3"/>
    <w:rsid w:val="002A529E"/>
    <w:rsid w:val="002A53D9"/>
    <w:rsid w:val="002A5BD6"/>
    <w:rsid w:val="002A5E29"/>
    <w:rsid w:val="002A5F0C"/>
    <w:rsid w:val="002A6745"/>
    <w:rsid w:val="002A6E30"/>
    <w:rsid w:val="002A7824"/>
    <w:rsid w:val="002A7866"/>
    <w:rsid w:val="002A7AD6"/>
    <w:rsid w:val="002B04C7"/>
    <w:rsid w:val="002B04FD"/>
    <w:rsid w:val="002B055F"/>
    <w:rsid w:val="002B0B26"/>
    <w:rsid w:val="002B0C1A"/>
    <w:rsid w:val="002B1649"/>
    <w:rsid w:val="002B1DB1"/>
    <w:rsid w:val="002B21E7"/>
    <w:rsid w:val="002B231E"/>
    <w:rsid w:val="002B23E5"/>
    <w:rsid w:val="002B23ED"/>
    <w:rsid w:val="002B27FA"/>
    <w:rsid w:val="002B2839"/>
    <w:rsid w:val="002B2CC7"/>
    <w:rsid w:val="002B2D66"/>
    <w:rsid w:val="002B3022"/>
    <w:rsid w:val="002B3131"/>
    <w:rsid w:val="002B388B"/>
    <w:rsid w:val="002B3B93"/>
    <w:rsid w:val="002B3D81"/>
    <w:rsid w:val="002B449D"/>
    <w:rsid w:val="002B4636"/>
    <w:rsid w:val="002B4946"/>
    <w:rsid w:val="002B55EA"/>
    <w:rsid w:val="002B5623"/>
    <w:rsid w:val="002B5922"/>
    <w:rsid w:val="002B5B9C"/>
    <w:rsid w:val="002B5E94"/>
    <w:rsid w:val="002B5EC3"/>
    <w:rsid w:val="002B5FBD"/>
    <w:rsid w:val="002B6394"/>
    <w:rsid w:val="002B648F"/>
    <w:rsid w:val="002B64F5"/>
    <w:rsid w:val="002B6873"/>
    <w:rsid w:val="002B72E1"/>
    <w:rsid w:val="002B73DD"/>
    <w:rsid w:val="002B74F4"/>
    <w:rsid w:val="002B7CB6"/>
    <w:rsid w:val="002C01CD"/>
    <w:rsid w:val="002C02A5"/>
    <w:rsid w:val="002C096C"/>
    <w:rsid w:val="002C0DD0"/>
    <w:rsid w:val="002C1046"/>
    <w:rsid w:val="002C155F"/>
    <w:rsid w:val="002C15C1"/>
    <w:rsid w:val="002C173A"/>
    <w:rsid w:val="002C183A"/>
    <w:rsid w:val="002C1893"/>
    <w:rsid w:val="002C18C2"/>
    <w:rsid w:val="002C1E3C"/>
    <w:rsid w:val="002C1EE2"/>
    <w:rsid w:val="002C1F7C"/>
    <w:rsid w:val="002C289B"/>
    <w:rsid w:val="002C3A84"/>
    <w:rsid w:val="002C3E8E"/>
    <w:rsid w:val="002C4200"/>
    <w:rsid w:val="002C426B"/>
    <w:rsid w:val="002C4786"/>
    <w:rsid w:val="002C481B"/>
    <w:rsid w:val="002C4882"/>
    <w:rsid w:val="002C49F4"/>
    <w:rsid w:val="002C4A41"/>
    <w:rsid w:val="002C4ACF"/>
    <w:rsid w:val="002C4B43"/>
    <w:rsid w:val="002C5642"/>
    <w:rsid w:val="002C56E9"/>
    <w:rsid w:val="002C5730"/>
    <w:rsid w:val="002C5DDC"/>
    <w:rsid w:val="002C6125"/>
    <w:rsid w:val="002C61B5"/>
    <w:rsid w:val="002C66C5"/>
    <w:rsid w:val="002C6AEF"/>
    <w:rsid w:val="002C6DE9"/>
    <w:rsid w:val="002C6FDE"/>
    <w:rsid w:val="002C7328"/>
    <w:rsid w:val="002C777A"/>
    <w:rsid w:val="002C78F9"/>
    <w:rsid w:val="002C7D74"/>
    <w:rsid w:val="002D0036"/>
    <w:rsid w:val="002D089A"/>
    <w:rsid w:val="002D09DC"/>
    <w:rsid w:val="002D0C78"/>
    <w:rsid w:val="002D0E8C"/>
    <w:rsid w:val="002D1479"/>
    <w:rsid w:val="002D1718"/>
    <w:rsid w:val="002D19C7"/>
    <w:rsid w:val="002D1B7A"/>
    <w:rsid w:val="002D22FA"/>
    <w:rsid w:val="002D2599"/>
    <w:rsid w:val="002D2714"/>
    <w:rsid w:val="002D28EE"/>
    <w:rsid w:val="002D2C98"/>
    <w:rsid w:val="002D3166"/>
    <w:rsid w:val="002D41B9"/>
    <w:rsid w:val="002D42CF"/>
    <w:rsid w:val="002D455E"/>
    <w:rsid w:val="002D4CB5"/>
    <w:rsid w:val="002D4D86"/>
    <w:rsid w:val="002D4F3C"/>
    <w:rsid w:val="002D532F"/>
    <w:rsid w:val="002D54D7"/>
    <w:rsid w:val="002D5703"/>
    <w:rsid w:val="002D5925"/>
    <w:rsid w:val="002D5936"/>
    <w:rsid w:val="002D5D62"/>
    <w:rsid w:val="002D5F61"/>
    <w:rsid w:val="002D600C"/>
    <w:rsid w:val="002D601E"/>
    <w:rsid w:val="002D69A3"/>
    <w:rsid w:val="002D6D6F"/>
    <w:rsid w:val="002D6DEE"/>
    <w:rsid w:val="002D7054"/>
    <w:rsid w:val="002D738B"/>
    <w:rsid w:val="002D7629"/>
    <w:rsid w:val="002D7D08"/>
    <w:rsid w:val="002D7E1B"/>
    <w:rsid w:val="002E03AE"/>
    <w:rsid w:val="002E0645"/>
    <w:rsid w:val="002E06C8"/>
    <w:rsid w:val="002E09E2"/>
    <w:rsid w:val="002E0D85"/>
    <w:rsid w:val="002E183F"/>
    <w:rsid w:val="002E1BBA"/>
    <w:rsid w:val="002E1BFB"/>
    <w:rsid w:val="002E1CDB"/>
    <w:rsid w:val="002E2546"/>
    <w:rsid w:val="002E267E"/>
    <w:rsid w:val="002E26B2"/>
    <w:rsid w:val="002E2720"/>
    <w:rsid w:val="002E297A"/>
    <w:rsid w:val="002E2DB3"/>
    <w:rsid w:val="002E2F57"/>
    <w:rsid w:val="002E30BD"/>
    <w:rsid w:val="002E324D"/>
    <w:rsid w:val="002E341A"/>
    <w:rsid w:val="002E381A"/>
    <w:rsid w:val="002E4139"/>
    <w:rsid w:val="002E440D"/>
    <w:rsid w:val="002E4959"/>
    <w:rsid w:val="002E5186"/>
    <w:rsid w:val="002E5833"/>
    <w:rsid w:val="002E58E5"/>
    <w:rsid w:val="002E59B2"/>
    <w:rsid w:val="002E5D13"/>
    <w:rsid w:val="002E6090"/>
    <w:rsid w:val="002E657F"/>
    <w:rsid w:val="002E672C"/>
    <w:rsid w:val="002E72E4"/>
    <w:rsid w:val="002E763B"/>
    <w:rsid w:val="002E76F1"/>
    <w:rsid w:val="002E7D25"/>
    <w:rsid w:val="002F0925"/>
    <w:rsid w:val="002F0BAB"/>
    <w:rsid w:val="002F0C54"/>
    <w:rsid w:val="002F1521"/>
    <w:rsid w:val="002F15B5"/>
    <w:rsid w:val="002F1810"/>
    <w:rsid w:val="002F1DEE"/>
    <w:rsid w:val="002F1F9E"/>
    <w:rsid w:val="002F2035"/>
    <w:rsid w:val="002F217E"/>
    <w:rsid w:val="002F23E4"/>
    <w:rsid w:val="002F264D"/>
    <w:rsid w:val="002F2EA3"/>
    <w:rsid w:val="002F30CE"/>
    <w:rsid w:val="002F33DF"/>
    <w:rsid w:val="002F3600"/>
    <w:rsid w:val="002F4176"/>
    <w:rsid w:val="002F45FF"/>
    <w:rsid w:val="002F4623"/>
    <w:rsid w:val="002F470B"/>
    <w:rsid w:val="002F482E"/>
    <w:rsid w:val="002F4C23"/>
    <w:rsid w:val="002F4D1D"/>
    <w:rsid w:val="002F4E74"/>
    <w:rsid w:val="002F5AEB"/>
    <w:rsid w:val="002F5BB0"/>
    <w:rsid w:val="002F68BA"/>
    <w:rsid w:val="002F6A88"/>
    <w:rsid w:val="002F6AC9"/>
    <w:rsid w:val="002F6C02"/>
    <w:rsid w:val="002F6E6B"/>
    <w:rsid w:val="002F74F9"/>
    <w:rsid w:val="002F78A8"/>
    <w:rsid w:val="002F7BE6"/>
    <w:rsid w:val="002F7EB5"/>
    <w:rsid w:val="00300055"/>
    <w:rsid w:val="00300070"/>
    <w:rsid w:val="0030029D"/>
    <w:rsid w:val="00300519"/>
    <w:rsid w:val="00300529"/>
    <w:rsid w:val="00300947"/>
    <w:rsid w:val="00301336"/>
    <w:rsid w:val="00301362"/>
    <w:rsid w:val="00301515"/>
    <w:rsid w:val="003016F2"/>
    <w:rsid w:val="00301898"/>
    <w:rsid w:val="00301CCF"/>
    <w:rsid w:val="0030267E"/>
    <w:rsid w:val="00302733"/>
    <w:rsid w:val="00302D8D"/>
    <w:rsid w:val="00303643"/>
    <w:rsid w:val="00303660"/>
    <w:rsid w:val="00303A7F"/>
    <w:rsid w:val="00303AD1"/>
    <w:rsid w:val="00303CD7"/>
    <w:rsid w:val="0030404B"/>
    <w:rsid w:val="00304584"/>
    <w:rsid w:val="00305C0E"/>
    <w:rsid w:val="00306164"/>
    <w:rsid w:val="003063D9"/>
    <w:rsid w:val="003067C4"/>
    <w:rsid w:val="003068BA"/>
    <w:rsid w:val="003069A9"/>
    <w:rsid w:val="00306DCD"/>
    <w:rsid w:val="00307496"/>
    <w:rsid w:val="00307CF2"/>
    <w:rsid w:val="00310204"/>
    <w:rsid w:val="003103A9"/>
    <w:rsid w:val="003106BB"/>
    <w:rsid w:val="00310B24"/>
    <w:rsid w:val="00310C8B"/>
    <w:rsid w:val="00310ED7"/>
    <w:rsid w:val="00310FB5"/>
    <w:rsid w:val="003110AD"/>
    <w:rsid w:val="003116DD"/>
    <w:rsid w:val="003117DB"/>
    <w:rsid w:val="00311AAF"/>
    <w:rsid w:val="00311CB8"/>
    <w:rsid w:val="00311E8E"/>
    <w:rsid w:val="00311EAC"/>
    <w:rsid w:val="0031238D"/>
    <w:rsid w:val="00312865"/>
    <w:rsid w:val="00312C0A"/>
    <w:rsid w:val="00312C60"/>
    <w:rsid w:val="00313032"/>
    <w:rsid w:val="003134D0"/>
    <w:rsid w:val="00313563"/>
    <w:rsid w:val="0031364A"/>
    <w:rsid w:val="003137BE"/>
    <w:rsid w:val="00313EFF"/>
    <w:rsid w:val="003141E7"/>
    <w:rsid w:val="003141FE"/>
    <w:rsid w:val="0031421E"/>
    <w:rsid w:val="00314521"/>
    <w:rsid w:val="00314525"/>
    <w:rsid w:val="0031477C"/>
    <w:rsid w:val="00314E83"/>
    <w:rsid w:val="003150AF"/>
    <w:rsid w:val="00315C28"/>
    <w:rsid w:val="00316847"/>
    <w:rsid w:val="00316B3F"/>
    <w:rsid w:val="00316BF4"/>
    <w:rsid w:val="00317CB0"/>
    <w:rsid w:val="00317D76"/>
    <w:rsid w:val="00320254"/>
    <w:rsid w:val="00320620"/>
    <w:rsid w:val="00320655"/>
    <w:rsid w:val="00320882"/>
    <w:rsid w:val="00320A7B"/>
    <w:rsid w:val="00320E1B"/>
    <w:rsid w:val="00320F52"/>
    <w:rsid w:val="00321151"/>
    <w:rsid w:val="00321209"/>
    <w:rsid w:val="003215BE"/>
    <w:rsid w:val="0032185C"/>
    <w:rsid w:val="00321E3D"/>
    <w:rsid w:val="00321F74"/>
    <w:rsid w:val="00322076"/>
    <w:rsid w:val="00322267"/>
    <w:rsid w:val="00322317"/>
    <w:rsid w:val="0032249E"/>
    <w:rsid w:val="0032260A"/>
    <w:rsid w:val="0032263C"/>
    <w:rsid w:val="003228DB"/>
    <w:rsid w:val="00322A15"/>
    <w:rsid w:val="00322C25"/>
    <w:rsid w:val="003233C4"/>
    <w:rsid w:val="003245C8"/>
    <w:rsid w:val="00324B49"/>
    <w:rsid w:val="003255CE"/>
    <w:rsid w:val="0032566E"/>
    <w:rsid w:val="0032590A"/>
    <w:rsid w:val="00325B92"/>
    <w:rsid w:val="00325C90"/>
    <w:rsid w:val="00326195"/>
    <w:rsid w:val="00326A81"/>
    <w:rsid w:val="00326FC9"/>
    <w:rsid w:val="003270A8"/>
    <w:rsid w:val="003274AB"/>
    <w:rsid w:val="003274CB"/>
    <w:rsid w:val="00327573"/>
    <w:rsid w:val="00327E11"/>
    <w:rsid w:val="00330B07"/>
    <w:rsid w:val="00330E40"/>
    <w:rsid w:val="00330E96"/>
    <w:rsid w:val="003311BB"/>
    <w:rsid w:val="003314A2"/>
    <w:rsid w:val="00331559"/>
    <w:rsid w:val="0033159E"/>
    <w:rsid w:val="003315BD"/>
    <w:rsid w:val="00331E43"/>
    <w:rsid w:val="003320D1"/>
    <w:rsid w:val="003324D8"/>
    <w:rsid w:val="00332BD4"/>
    <w:rsid w:val="00332C5A"/>
    <w:rsid w:val="00332DEF"/>
    <w:rsid w:val="003330E4"/>
    <w:rsid w:val="0033392F"/>
    <w:rsid w:val="00333D9A"/>
    <w:rsid w:val="00333DB5"/>
    <w:rsid w:val="003342A5"/>
    <w:rsid w:val="0033433B"/>
    <w:rsid w:val="003343F3"/>
    <w:rsid w:val="0033470D"/>
    <w:rsid w:val="00334750"/>
    <w:rsid w:val="00334CC8"/>
    <w:rsid w:val="00335180"/>
    <w:rsid w:val="003353A3"/>
    <w:rsid w:val="003353DD"/>
    <w:rsid w:val="00335ACF"/>
    <w:rsid w:val="00335E5A"/>
    <w:rsid w:val="00335F69"/>
    <w:rsid w:val="00336036"/>
    <w:rsid w:val="0033614C"/>
    <w:rsid w:val="003362E6"/>
    <w:rsid w:val="0033670E"/>
    <w:rsid w:val="00336789"/>
    <w:rsid w:val="003368F6"/>
    <w:rsid w:val="003369DD"/>
    <w:rsid w:val="0033710F"/>
    <w:rsid w:val="00337161"/>
    <w:rsid w:val="003372FA"/>
    <w:rsid w:val="00337AD0"/>
    <w:rsid w:val="00337C5C"/>
    <w:rsid w:val="0033B112"/>
    <w:rsid w:val="00340C08"/>
    <w:rsid w:val="00340C14"/>
    <w:rsid w:val="00340DC3"/>
    <w:rsid w:val="00341230"/>
    <w:rsid w:val="003413D3"/>
    <w:rsid w:val="003415DC"/>
    <w:rsid w:val="00341A83"/>
    <w:rsid w:val="00341E3B"/>
    <w:rsid w:val="00342E91"/>
    <w:rsid w:val="003436F5"/>
    <w:rsid w:val="00343FD4"/>
    <w:rsid w:val="003443EB"/>
    <w:rsid w:val="003445E2"/>
    <w:rsid w:val="00344A0A"/>
    <w:rsid w:val="00344A2E"/>
    <w:rsid w:val="00344F30"/>
    <w:rsid w:val="003458F7"/>
    <w:rsid w:val="00345F00"/>
    <w:rsid w:val="00345F46"/>
    <w:rsid w:val="003462B5"/>
    <w:rsid w:val="00346911"/>
    <w:rsid w:val="00346954"/>
    <w:rsid w:val="00346E50"/>
    <w:rsid w:val="00347059"/>
    <w:rsid w:val="00347976"/>
    <w:rsid w:val="003479C2"/>
    <w:rsid w:val="00350003"/>
    <w:rsid w:val="00350231"/>
    <w:rsid w:val="003505BE"/>
    <w:rsid w:val="0035068F"/>
    <w:rsid w:val="003506E0"/>
    <w:rsid w:val="0035071B"/>
    <w:rsid w:val="00350762"/>
    <w:rsid w:val="00350B59"/>
    <w:rsid w:val="00350E85"/>
    <w:rsid w:val="00350F05"/>
    <w:rsid w:val="00352136"/>
    <w:rsid w:val="0035236F"/>
    <w:rsid w:val="0035280E"/>
    <w:rsid w:val="003528DA"/>
    <w:rsid w:val="00352A5A"/>
    <w:rsid w:val="00352AD1"/>
    <w:rsid w:val="00352C41"/>
    <w:rsid w:val="00352CEC"/>
    <w:rsid w:val="0035367C"/>
    <w:rsid w:val="003539BD"/>
    <w:rsid w:val="00353CE5"/>
    <w:rsid w:val="00354554"/>
    <w:rsid w:val="0035494B"/>
    <w:rsid w:val="003549BC"/>
    <w:rsid w:val="00354A1C"/>
    <w:rsid w:val="00355026"/>
    <w:rsid w:val="0035526C"/>
    <w:rsid w:val="003555E8"/>
    <w:rsid w:val="00355C71"/>
    <w:rsid w:val="00356282"/>
    <w:rsid w:val="003562DE"/>
    <w:rsid w:val="0035637E"/>
    <w:rsid w:val="00356650"/>
    <w:rsid w:val="003566C3"/>
    <w:rsid w:val="003567A1"/>
    <w:rsid w:val="00356F04"/>
    <w:rsid w:val="00357070"/>
    <w:rsid w:val="00357101"/>
    <w:rsid w:val="00357167"/>
    <w:rsid w:val="003573B9"/>
    <w:rsid w:val="00357778"/>
    <w:rsid w:val="00360564"/>
    <w:rsid w:val="0036076B"/>
    <w:rsid w:val="0036098B"/>
    <w:rsid w:val="00360B9A"/>
    <w:rsid w:val="00360CBB"/>
    <w:rsid w:val="00361424"/>
    <w:rsid w:val="00361482"/>
    <w:rsid w:val="00361692"/>
    <w:rsid w:val="003617F4"/>
    <w:rsid w:val="00361949"/>
    <w:rsid w:val="00361FED"/>
    <w:rsid w:val="00362682"/>
    <w:rsid w:val="00362755"/>
    <w:rsid w:val="0036290B"/>
    <w:rsid w:val="0036328C"/>
    <w:rsid w:val="003636DE"/>
    <w:rsid w:val="00363770"/>
    <w:rsid w:val="00363B67"/>
    <w:rsid w:val="00363F21"/>
    <w:rsid w:val="00364284"/>
    <w:rsid w:val="0036428B"/>
    <w:rsid w:val="003642C5"/>
    <w:rsid w:val="00364438"/>
    <w:rsid w:val="00364B3B"/>
    <w:rsid w:val="00365745"/>
    <w:rsid w:val="00365CE5"/>
    <w:rsid w:val="00365D72"/>
    <w:rsid w:val="00365DFF"/>
    <w:rsid w:val="00365E72"/>
    <w:rsid w:val="00366B9F"/>
    <w:rsid w:val="00367380"/>
    <w:rsid w:val="003676C1"/>
    <w:rsid w:val="00367B00"/>
    <w:rsid w:val="00367CFF"/>
    <w:rsid w:val="00367E8A"/>
    <w:rsid w:val="0037049D"/>
    <w:rsid w:val="00370607"/>
    <w:rsid w:val="003706CF"/>
    <w:rsid w:val="003710C7"/>
    <w:rsid w:val="0037136F"/>
    <w:rsid w:val="00371913"/>
    <w:rsid w:val="00371961"/>
    <w:rsid w:val="00371E4A"/>
    <w:rsid w:val="00371F1A"/>
    <w:rsid w:val="00372417"/>
    <w:rsid w:val="00372DDA"/>
    <w:rsid w:val="00373024"/>
    <w:rsid w:val="003731C4"/>
    <w:rsid w:val="00373643"/>
    <w:rsid w:val="003738CC"/>
    <w:rsid w:val="00373E34"/>
    <w:rsid w:val="00373FD1"/>
    <w:rsid w:val="00374000"/>
    <w:rsid w:val="00374159"/>
    <w:rsid w:val="003749A9"/>
    <w:rsid w:val="00374AB8"/>
    <w:rsid w:val="003751E8"/>
    <w:rsid w:val="0037572F"/>
    <w:rsid w:val="00375824"/>
    <w:rsid w:val="00375AAA"/>
    <w:rsid w:val="003761C2"/>
    <w:rsid w:val="00376243"/>
    <w:rsid w:val="00376B6B"/>
    <w:rsid w:val="00376F23"/>
    <w:rsid w:val="00377A67"/>
    <w:rsid w:val="0037F1AC"/>
    <w:rsid w:val="00380AC0"/>
    <w:rsid w:val="00380CBF"/>
    <w:rsid w:val="00380D8E"/>
    <w:rsid w:val="0038103F"/>
    <w:rsid w:val="003810F5"/>
    <w:rsid w:val="003812D8"/>
    <w:rsid w:val="0038165E"/>
    <w:rsid w:val="00381AB2"/>
    <w:rsid w:val="00381D72"/>
    <w:rsid w:val="00382258"/>
    <w:rsid w:val="003827F6"/>
    <w:rsid w:val="00382B6A"/>
    <w:rsid w:val="00382F95"/>
    <w:rsid w:val="003833E0"/>
    <w:rsid w:val="003833F2"/>
    <w:rsid w:val="00383561"/>
    <w:rsid w:val="00383855"/>
    <w:rsid w:val="00383B5E"/>
    <w:rsid w:val="00383BFC"/>
    <w:rsid w:val="00383DD8"/>
    <w:rsid w:val="00383ECF"/>
    <w:rsid w:val="00384089"/>
    <w:rsid w:val="00384322"/>
    <w:rsid w:val="003848E8"/>
    <w:rsid w:val="00384DC3"/>
    <w:rsid w:val="00384E52"/>
    <w:rsid w:val="00384F75"/>
    <w:rsid w:val="00385381"/>
    <w:rsid w:val="003853EF"/>
    <w:rsid w:val="0038555E"/>
    <w:rsid w:val="00385710"/>
    <w:rsid w:val="00385B42"/>
    <w:rsid w:val="00385BD6"/>
    <w:rsid w:val="003861C0"/>
    <w:rsid w:val="0038620F"/>
    <w:rsid w:val="003862D6"/>
    <w:rsid w:val="00386B3E"/>
    <w:rsid w:val="00386B97"/>
    <w:rsid w:val="00386F04"/>
    <w:rsid w:val="003872D2"/>
    <w:rsid w:val="00387399"/>
    <w:rsid w:val="0038758A"/>
    <w:rsid w:val="00388A24"/>
    <w:rsid w:val="0039014F"/>
    <w:rsid w:val="003903ED"/>
    <w:rsid w:val="003907E2"/>
    <w:rsid w:val="00390B06"/>
    <w:rsid w:val="00390D58"/>
    <w:rsid w:val="00390DB8"/>
    <w:rsid w:val="00391EF7"/>
    <w:rsid w:val="00391FA5"/>
    <w:rsid w:val="00392416"/>
    <w:rsid w:val="00392489"/>
    <w:rsid w:val="003924E3"/>
    <w:rsid w:val="003925DD"/>
    <w:rsid w:val="003927E7"/>
    <w:rsid w:val="003934D3"/>
    <w:rsid w:val="0039481C"/>
    <w:rsid w:val="00394DE0"/>
    <w:rsid w:val="003954FB"/>
    <w:rsid w:val="003957DC"/>
    <w:rsid w:val="0039593F"/>
    <w:rsid w:val="00395D7C"/>
    <w:rsid w:val="00395E9C"/>
    <w:rsid w:val="00395F13"/>
    <w:rsid w:val="00395FD2"/>
    <w:rsid w:val="003960BF"/>
    <w:rsid w:val="003964FB"/>
    <w:rsid w:val="00396512"/>
    <w:rsid w:val="00396914"/>
    <w:rsid w:val="00396D59"/>
    <w:rsid w:val="00396D63"/>
    <w:rsid w:val="00396F64"/>
    <w:rsid w:val="00397062"/>
    <w:rsid w:val="003970DD"/>
    <w:rsid w:val="00397505"/>
    <w:rsid w:val="003977EA"/>
    <w:rsid w:val="00397BD4"/>
    <w:rsid w:val="00397D37"/>
    <w:rsid w:val="00397D90"/>
    <w:rsid w:val="00397DD8"/>
    <w:rsid w:val="00397E83"/>
    <w:rsid w:val="00397EC0"/>
    <w:rsid w:val="003A003F"/>
    <w:rsid w:val="003A00E4"/>
    <w:rsid w:val="003A15C0"/>
    <w:rsid w:val="003A1665"/>
    <w:rsid w:val="003A1735"/>
    <w:rsid w:val="003A19A9"/>
    <w:rsid w:val="003A1A8A"/>
    <w:rsid w:val="003A1FC5"/>
    <w:rsid w:val="003A2579"/>
    <w:rsid w:val="003A2697"/>
    <w:rsid w:val="003A28F7"/>
    <w:rsid w:val="003A2ECC"/>
    <w:rsid w:val="003A33A9"/>
    <w:rsid w:val="003A3A04"/>
    <w:rsid w:val="003A4221"/>
    <w:rsid w:val="003A450C"/>
    <w:rsid w:val="003A4AA1"/>
    <w:rsid w:val="003A4D39"/>
    <w:rsid w:val="003A5029"/>
    <w:rsid w:val="003A554D"/>
    <w:rsid w:val="003A5AB3"/>
    <w:rsid w:val="003A6024"/>
    <w:rsid w:val="003A6044"/>
    <w:rsid w:val="003A6613"/>
    <w:rsid w:val="003A661F"/>
    <w:rsid w:val="003A66DB"/>
    <w:rsid w:val="003A7483"/>
    <w:rsid w:val="003A79F4"/>
    <w:rsid w:val="003B0131"/>
    <w:rsid w:val="003B017D"/>
    <w:rsid w:val="003B0316"/>
    <w:rsid w:val="003B03DB"/>
    <w:rsid w:val="003B05C1"/>
    <w:rsid w:val="003B09B6"/>
    <w:rsid w:val="003B0C15"/>
    <w:rsid w:val="003B115B"/>
    <w:rsid w:val="003B1423"/>
    <w:rsid w:val="003B19F7"/>
    <w:rsid w:val="003B1AD4"/>
    <w:rsid w:val="003B1B20"/>
    <w:rsid w:val="003B2B83"/>
    <w:rsid w:val="003B2D8A"/>
    <w:rsid w:val="003B343D"/>
    <w:rsid w:val="003B3708"/>
    <w:rsid w:val="003B3754"/>
    <w:rsid w:val="003B38ED"/>
    <w:rsid w:val="003B3A8B"/>
    <w:rsid w:val="003B3ACF"/>
    <w:rsid w:val="003B3F4D"/>
    <w:rsid w:val="003B40A6"/>
    <w:rsid w:val="003B42D3"/>
    <w:rsid w:val="003B45D7"/>
    <w:rsid w:val="003B4975"/>
    <w:rsid w:val="003B5523"/>
    <w:rsid w:val="003B5709"/>
    <w:rsid w:val="003B5A0E"/>
    <w:rsid w:val="003B5A73"/>
    <w:rsid w:val="003B5FB6"/>
    <w:rsid w:val="003B6447"/>
    <w:rsid w:val="003B6546"/>
    <w:rsid w:val="003B66D3"/>
    <w:rsid w:val="003B6C4E"/>
    <w:rsid w:val="003B6C77"/>
    <w:rsid w:val="003B7104"/>
    <w:rsid w:val="003B788D"/>
    <w:rsid w:val="003B7BD2"/>
    <w:rsid w:val="003B7C22"/>
    <w:rsid w:val="003C043B"/>
    <w:rsid w:val="003C0811"/>
    <w:rsid w:val="003C09D6"/>
    <w:rsid w:val="003C0ADF"/>
    <w:rsid w:val="003C0C3C"/>
    <w:rsid w:val="003C0EA2"/>
    <w:rsid w:val="003C1644"/>
    <w:rsid w:val="003C1A44"/>
    <w:rsid w:val="003C1D17"/>
    <w:rsid w:val="003C1D99"/>
    <w:rsid w:val="003C2018"/>
    <w:rsid w:val="003C26FD"/>
    <w:rsid w:val="003C29C2"/>
    <w:rsid w:val="003C3294"/>
    <w:rsid w:val="003C3A62"/>
    <w:rsid w:val="003C46BB"/>
    <w:rsid w:val="003C490C"/>
    <w:rsid w:val="003C53B6"/>
    <w:rsid w:val="003C5525"/>
    <w:rsid w:val="003C5AA0"/>
    <w:rsid w:val="003C5C61"/>
    <w:rsid w:val="003C5F55"/>
    <w:rsid w:val="003C60D6"/>
    <w:rsid w:val="003C62F7"/>
    <w:rsid w:val="003C6637"/>
    <w:rsid w:val="003C6D16"/>
    <w:rsid w:val="003C6EEB"/>
    <w:rsid w:val="003C6F14"/>
    <w:rsid w:val="003C783A"/>
    <w:rsid w:val="003C7E76"/>
    <w:rsid w:val="003C7FD3"/>
    <w:rsid w:val="003D02BD"/>
    <w:rsid w:val="003D086D"/>
    <w:rsid w:val="003D0EFB"/>
    <w:rsid w:val="003D105C"/>
    <w:rsid w:val="003D1163"/>
    <w:rsid w:val="003D1558"/>
    <w:rsid w:val="003D1717"/>
    <w:rsid w:val="003D1749"/>
    <w:rsid w:val="003D175C"/>
    <w:rsid w:val="003D1A0E"/>
    <w:rsid w:val="003D1B05"/>
    <w:rsid w:val="003D229C"/>
    <w:rsid w:val="003D2F85"/>
    <w:rsid w:val="003D325A"/>
    <w:rsid w:val="003D3650"/>
    <w:rsid w:val="003D3738"/>
    <w:rsid w:val="003D3916"/>
    <w:rsid w:val="003D42EB"/>
    <w:rsid w:val="003D4527"/>
    <w:rsid w:val="003D45E9"/>
    <w:rsid w:val="003D46FC"/>
    <w:rsid w:val="003D51CA"/>
    <w:rsid w:val="003D52E6"/>
    <w:rsid w:val="003D53CB"/>
    <w:rsid w:val="003D57B8"/>
    <w:rsid w:val="003D6BCE"/>
    <w:rsid w:val="003D6C0E"/>
    <w:rsid w:val="003D72FA"/>
    <w:rsid w:val="003D7336"/>
    <w:rsid w:val="003D7E73"/>
    <w:rsid w:val="003D7FB5"/>
    <w:rsid w:val="003D8152"/>
    <w:rsid w:val="003E03BE"/>
    <w:rsid w:val="003E0883"/>
    <w:rsid w:val="003E099F"/>
    <w:rsid w:val="003E09A7"/>
    <w:rsid w:val="003E0A55"/>
    <w:rsid w:val="003E0A84"/>
    <w:rsid w:val="003E2E38"/>
    <w:rsid w:val="003E2EC1"/>
    <w:rsid w:val="003E301D"/>
    <w:rsid w:val="003E319E"/>
    <w:rsid w:val="003E326B"/>
    <w:rsid w:val="003E395B"/>
    <w:rsid w:val="003E39DC"/>
    <w:rsid w:val="003E3A7C"/>
    <w:rsid w:val="003E3AEB"/>
    <w:rsid w:val="003E3B76"/>
    <w:rsid w:val="003E3C9B"/>
    <w:rsid w:val="003E4272"/>
    <w:rsid w:val="003E48CA"/>
    <w:rsid w:val="003E4CC2"/>
    <w:rsid w:val="003E4D12"/>
    <w:rsid w:val="003E52B7"/>
    <w:rsid w:val="003E55FD"/>
    <w:rsid w:val="003E560C"/>
    <w:rsid w:val="003E5851"/>
    <w:rsid w:val="003E5857"/>
    <w:rsid w:val="003E5982"/>
    <w:rsid w:val="003E5ADC"/>
    <w:rsid w:val="003E5B48"/>
    <w:rsid w:val="003E5DD1"/>
    <w:rsid w:val="003E6501"/>
    <w:rsid w:val="003E7634"/>
    <w:rsid w:val="003F02D1"/>
    <w:rsid w:val="003F03FD"/>
    <w:rsid w:val="003F0819"/>
    <w:rsid w:val="003F0F0D"/>
    <w:rsid w:val="003F0F53"/>
    <w:rsid w:val="003F11E9"/>
    <w:rsid w:val="003F122B"/>
    <w:rsid w:val="003F182E"/>
    <w:rsid w:val="003F2374"/>
    <w:rsid w:val="003F2A78"/>
    <w:rsid w:val="003F2E46"/>
    <w:rsid w:val="003F3120"/>
    <w:rsid w:val="003F318F"/>
    <w:rsid w:val="003F3B04"/>
    <w:rsid w:val="003F3BD6"/>
    <w:rsid w:val="003F3E29"/>
    <w:rsid w:val="003F4484"/>
    <w:rsid w:val="003F46CA"/>
    <w:rsid w:val="003F48B0"/>
    <w:rsid w:val="003F48B8"/>
    <w:rsid w:val="003F4968"/>
    <w:rsid w:val="003F4D3E"/>
    <w:rsid w:val="003F4D9A"/>
    <w:rsid w:val="003F4E63"/>
    <w:rsid w:val="003F5240"/>
    <w:rsid w:val="003F54CC"/>
    <w:rsid w:val="003F5764"/>
    <w:rsid w:val="003F5C6D"/>
    <w:rsid w:val="003F619C"/>
    <w:rsid w:val="003F62BF"/>
    <w:rsid w:val="003F64DA"/>
    <w:rsid w:val="003F67A5"/>
    <w:rsid w:val="003F6D20"/>
    <w:rsid w:val="003F6E5B"/>
    <w:rsid w:val="003F7216"/>
    <w:rsid w:val="003F7375"/>
    <w:rsid w:val="003F7A56"/>
    <w:rsid w:val="003F7C16"/>
    <w:rsid w:val="00400C6E"/>
    <w:rsid w:val="00401015"/>
    <w:rsid w:val="00401675"/>
    <w:rsid w:val="004019B5"/>
    <w:rsid w:val="00401B6A"/>
    <w:rsid w:val="0040237C"/>
    <w:rsid w:val="00402391"/>
    <w:rsid w:val="00402893"/>
    <w:rsid w:val="00402926"/>
    <w:rsid w:val="0040297F"/>
    <w:rsid w:val="00402BD4"/>
    <w:rsid w:val="00402E18"/>
    <w:rsid w:val="0040305B"/>
    <w:rsid w:val="00403476"/>
    <w:rsid w:val="00403BB0"/>
    <w:rsid w:val="00404004"/>
    <w:rsid w:val="0040442E"/>
    <w:rsid w:val="00404526"/>
    <w:rsid w:val="00404676"/>
    <w:rsid w:val="00404A19"/>
    <w:rsid w:val="00404A67"/>
    <w:rsid w:val="00404B64"/>
    <w:rsid w:val="00404E5E"/>
    <w:rsid w:val="00404FBC"/>
    <w:rsid w:val="00405563"/>
    <w:rsid w:val="00405A05"/>
    <w:rsid w:val="00405C20"/>
    <w:rsid w:val="00405CB6"/>
    <w:rsid w:val="0040628F"/>
    <w:rsid w:val="004063DD"/>
    <w:rsid w:val="00406593"/>
    <w:rsid w:val="00406AB5"/>
    <w:rsid w:val="004071CF"/>
    <w:rsid w:val="004071EB"/>
    <w:rsid w:val="004071F6"/>
    <w:rsid w:val="00407767"/>
    <w:rsid w:val="00407D12"/>
    <w:rsid w:val="00407FA9"/>
    <w:rsid w:val="0041018F"/>
    <w:rsid w:val="00410327"/>
    <w:rsid w:val="0041047B"/>
    <w:rsid w:val="00410C19"/>
    <w:rsid w:val="00411376"/>
    <w:rsid w:val="00411969"/>
    <w:rsid w:val="00411EE4"/>
    <w:rsid w:val="00411F88"/>
    <w:rsid w:val="00411FF6"/>
    <w:rsid w:val="00412092"/>
    <w:rsid w:val="00412164"/>
    <w:rsid w:val="004123DD"/>
    <w:rsid w:val="0041247B"/>
    <w:rsid w:val="00412497"/>
    <w:rsid w:val="00412E41"/>
    <w:rsid w:val="00412F9A"/>
    <w:rsid w:val="00413051"/>
    <w:rsid w:val="00413A26"/>
    <w:rsid w:val="00414355"/>
    <w:rsid w:val="00414922"/>
    <w:rsid w:val="00415074"/>
    <w:rsid w:val="00415208"/>
    <w:rsid w:val="00415614"/>
    <w:rsid w:val="00415BA4"/>
    <w:rsid w:val="00415D89"/>
    <w:rsid w:val="004166BC"/>
    <w:rsid w:val="0041678C"/>
    <w:rsid w:val="0041682A"/>
    <w:rsid w:val="00417089"/>
    <w:rsid w:val="00417825"/>
    <w:rsid w:val="00417843"/>
    <w:rsid w:val="00417D3B"/>
    <w:rsid w:val="004202D2"/>
    <w:rsid w:val="0042049F"/>
    <w:rsid w:val="00420756"/>
    <w:rsid w:val="004209FD"/>
    <w:rsid w:val="0042150D"/>
    <w:rsid w:val="00421967"/>
    <w:rsid w:val="00421BC9"/>
    <w:rsid w:val="00421C2D"/>
    <w:rsid w:val="00421F1C"/>
    <w:rsid w:val="004221E9"/>
    <w:rsid w:val="004223F5"/>
    <w:rsid w:val="00422826"/>
    <w:rsid w:val="00422829"/>
    <w:rsid w:val="00422DBB"/>
    <w:rsid w:val="00422EF3"/>
    <w:rsid w:val="00422F8A"/>
    <w:rsid w:val="004233BB"/>
    <w:rsid w:val="004238F1"/>
    <w:rsid w:val="00423A30"/>
    <w:rsid w:val="00423C90"/>
    <w:rsid w:val="00423D1E"/>
    <w:rsid w:val="004242EC"/>
    <w:rsid w:val="004244B5"/>
    <w:rsid w:val="0042466B"/>
    <w:rsid w:val="00424BDB"/>
    <w:rsid w:val="00425396"/>
    <w:rsid w:val="004261BB"/>
    <w:rsid w:val="00426586"/>
    <w:rsid w:val="00426926"/>
    <w:rsid w:val="00426D9B"/>
    <w:rsid w:val="0042718E"/>
    <w:rsid w:val="004279D4"/>
    <w:rsid w:val="00427ED6"/>
    <w:rsid w:val="00427F8A"/>
    <w:rsid w:val="00429893"/>
    <w:rsid w:val="004302B4"/>
    <w:rsid w:val="004303EC"/>
    <w:rsid w:val="004308EF"/>
    <w:rsid w:val="0043116D"/>
    <w:rsid w:val="00431238"/>
    <w:rsid w:val="0043255E"/>
    <w:rsid w:val="00432713"/>
    <w:rsid w:val="004332B1"/>
    <w:rsid w:val="00433492"/>
    <w:rsid w:val="004334C6"/>
    <w:rsid w:val="00433FD5"/>
    <w:rsid w:val="00434511"/>
    <w:rsid w:val="004345AA"/>
    <w:rsid w:val="00434B02"/>
    <w:rsid w:val="00434F59"/>
    <w:rsid w:val="004362D9"/>
    <w:rsid w:val="00437525"/>
    <w:rsid w:val="0043763A"/>
    <w:rsid w:val="004377FF"/>
    <w:rsid w:val="00437885"/>
    <w:rsid w:val="004378D1"/>
    <w:rsid w:val="00437BAE"/>
    <w:rsid w:val="00437C60"/>
    <w:rsid w:val="00437DAE"/>
    <w:rsid w:val="0044034C"/>
    <w:rsid w:val="004403D2"/>
    <w:rsid w:val="0044050B"/>
    <w:rsid w:val="00440719"/>
    <w:rsid w:val="0044080E"/>
    <w:rsid w:val="00440839"/>
    <w:rsid w:val="00440E90"/>
    <w:rsid w:val="00441040"/>
    <w:rsid w:val="004411E3"/>
    <w:rsid w:val="00441B03"/>
    <w:rsid w:val="00441B9B"/>
    <w:rsid w:val="00441FCC"/>
    <w:rsid w:val="00442BE1"/>
    <w:rsid w:val="00442CF2"/>
    <w:rsid w:val="00443081"/>
    <w:rsid w:val="004434BC"/>
    <w:rsid w:val="004435CE"/>
    <w:rsid w:val="00443F3A"/>
    <w:rsid w:val="00444109"/>
    <w:rsid w:val="0044420F"/>
    <w:rsid w:val="00444215"/>
    <w:rsid w:val="004444E8"/>
    <w:rsid w:val="00444786"/>
    <w:rsid w:val="00444E7F"/>
    <w:rsid w:val="00445036"/>
    <w:rsid w:val="0044506B"/>
    <w:rsid w:val="00445107"/>
    <w:rsid w:val="0044533B"/>
    <w:rsid w:val="004453F9"/>
    <w:rsid w:val="004456FB"/>
    <w:rsid w:val="00445E73"/>
    <w:rsid w:val="004460E7"/>
    <w:rsid w:val="00446232"/>
    <w:rsid w:val="00446D0E"/>
    <w:rsid w:val="0044727D"/>
    <w:rsid w:val="00447A5F"/>
    <w:rsid w:val="00447DDD"/>
    <w:rsid w:val="00450015"/>
    <w:rsid w:val="004506E6"/>
    <w:rsid w:val="0045078C"/>
    <w:rsid w:val="00451957"/>
    <w:rsid w:val="00451A43"/>
    <w:rsid w:val="00451AA6"/>
    <w:rsid w:val="00451C25"/>
    <w:rsid w:val="004520A6"/>
    <w:rsid w:val="004523D9"/>
    <w:rsid w:val="00452564"/>
    <w:rsid w:val="00452944"/>
    <w:rsid w:val="00452D7E"/>
    <w:rsid w:val="00452DF6"/>
    <w:rsid w:val="00452FB9"/>
    <w:rsid w:val="00453124"/>
    <w:rsid w:val="00453201"/>
    <w:rsid w:val="00453737"/>
    <w:rsid w:val="00453F39"/>
    <w:rsid w:val="00453F45"/>
    <w:rsid w:val="00454C6E"/>
    <w:rsid w:val="00454FF9"/>
    <w:rsid w:val="004557AF"/>
    <w:rsid w:val="004560A4"/>
    <w:rsid w:val="0045639B"/>
    <w:rsid w:val="00456816"/>
    <w:rsid w:val="00456BED"/>
    <w:rsid w:val="00456D16"/>
    <w:rsid w:val="004576DB"/>
    <w:rsid w:val="004579CF"/>
    <w:rsid w:val="00457B85"/>
    <w:rsid w:val="00459001"/>
    <w:rsid w:val="00460042"/>
    <w:rsid w:val="00460496"/>
    <w:rsid w:val="004604EF"/>
    <w:rsid w:val="004607A4"/>
    <w:rsid w:val="00460EFB"/>
    <w:rsid w:val="0046123F"/>
    <w:rsid w:val="00461430"/>
    <w:rsid w:val="004615BD"/>
    <w:rsid w:val="00461764"/>
    <w:rsid w:val="00461908"/>
    <w:rsid w:val="0046190B"/>
    <w:rsid w:val="00461BDE"/>
    <w:rsid w:val="00461CB2"/>
    <w:rsid w:val="00461DA6"/>
    <w:rsid w:val="00462212"/>
    <w:rsid w:val="0046271E"/>
    <w:rsid w:val="00462890"/>
    <w:rsid w:val="00462E92"/>
    <w:rsid w:val="00462FCD"/>
    <w:rsid w:val="004631A8"/>
    <w:rsid w:val="0046325A"/>
    <w:rsid w:val="0046327F"/>
    <w:rsid w:val="00463311"/>
    <w:rsid w:val="00463403"/>
    <w:rsid w:val="00463932"/>
    <w:rsid w:val="00464190"/>
    <w:rsid w:val="00464DD3"/>
    <w:rsid w:val="00465759"/>
    <w:rsid w:val="004659A1"/>
    <w:rsid w:val="00465C0F"/>
    <w:rsid w:val="0046648E"/>
    <w:rsid w:val="00466587"/>
    <w:rsid w:val="00466763"/>
    <w:rsid w:val="004667A3"/>
    <w:rsid w:val="00466A79"/>
    <w:rsid w:val="00466EFC"/>
    <w:rsid w:val="00467992"/>
    <w:rsid w:val="00467C8F"/>
    <w:rsid w:val="00467DB9"/>
    <w:rsid w:val="00467F41"/>
    <w:rsid w:val="00467FFA"/>
    <w:rsid w:val="00470437"/>
    <w:rsid w:val="004705B2"/>
    <w:rsid w:val="004705BE"/>
    <w:rsid w:val="004710E7"/>
    <w:rsid w:val="00471372"/>
    <w:rsid w:val="004713B6"/>
    <w:rsid w:val="00471566"/>
    <w:rsid w:val="00471CBA"/>
    <w:rsid w:val="00471D3D"/>
    <w:rsid w:val="00472010"/>
    <w:rsid w:val="0047238E"/>
    <w:rsid w:val="00472640"/>
    <w:rsid w:val="00472671"/>
    <w:rsid w:val="00472A1D"/>
    <w:rsid w:val="00472D80"/>
    <w:rsid w:val="004730DE"/>
    <w:rsid w:val="004733BB"/>
    <w:rsid w:val="00473592"/>
    <w:rsid w:val="0047365A"/>
    <w:rsid w:val="00473CAB"/>
    <w:rsid w:val="00473DF8"/>
    <w:rsid w:val="0047408F"/>
    <w:rsid w:val="00474333"/>
    <w:rsid w:val="004745A3"/>
    <w:rsid w:val="00474879"/>
    <w:rsid w:val="0047535F"/>
    <w:rsid w:val="004756A7"/>
    <w:rsid w:val="004758AB"/>
    <w:rsid w:val="004758CD"/>
    <w:rsid w:val="004761DB"/>
    <w:rsid w:val="004767D8"/>
    <w:rsid w:val="00477279"/>
    <w:rsid w:val="004774B7"/>
    <w:rsid w:val="00477C32"/>
    <w:rsid w:val="00477F25"/>
    <w:rsid w:val="0048066D"/>
    <w:rsid w:val="00480B76"/>
    <w:rsid w:val="00480D11"/>
    <w:rsid w:val="00480D27"/>
    <w:rsid w:val="00480FA2"/>
    <w:rsid w:val="00481256"/>
    <w:rsid w:val="0048150B"/>
    <w:rsid w:val="00481572"/>
    <w:rsid w:val="004816A5"/>
    <w:rsid w:val="00481947"/>
    <w:rsid w:val="00481A38"/>
    <w:rsid w:val="00481AF6"/>
    <w:rsid w:val="00481DDF"/>
    <w:rsid w:val="00482376"/>
    <w:rsid w:val="00482591"/>
    <w:rsid w:val="004826ED"/>
    <w:rsid w:val="00482999"/>
    <w:rsid w:val="00482A6B"/>
    <w:rsid w:val="00482E0C"/>
    <w:rsid w:val="004837AE"/>
    <w:rsid w:val="00483888"/>
    <w:rsid w:val="00483A83"/>
    <w:rsid w:val="004843E9"/>
    <w:rsid w:val="0048441F"/>
    <w:rsid w:val="0048480C"/>
    <w:rsid w:val="0048498A"/>
    <w:rsid w:val="004849C6"/>
    <w:rsid w:val="00484F8E"/>
    <w:rsid w:val="004853C3"/>
    <w:rsid w:val="004853C8"/>
    <w:rsid w:val="004858F0"/>
    <w:rsid w:val="00485913"/>
    <w:rsid w:val="00485D35"/>
    <w:rsid w:val="00485D8D"/>
    <w:rsid w:val="00486524"/>
    <w:rsid w:val="0048686F"/>
    <w:rsid w:val="00486961"/>
    <w:rsid w:val="00486A7D"/>
    <w:rsid w:val="00487042"/>
    <w:rsid w:val="00487129"/>
    <w:rsid w:val="004872DD"/>
    <w:rsid w:val="00487307"/>
    <w:rsid w:val="004875D8"/>
    <w:rsid w:val="00487790"/>
    <w:rsid w:val="00487A81"/>
    <w:rsid w:val="00487BD2"/>
    <w:rsid w:val="00487C3D"/>
    <w:rsid w:val="00487D3F"/>
    <w:rsid w:val="00487D81"/>
    <w:rsid w:val="004900E3"/>
    <w:rsid w:val="004904E3"/>
    <w:rsid w:val="00490786"/>
    <w:rsid w:val="004908DB"/>
    <w:rsid w:val="0049127D"/>
    <w:rsid w:val="004919D0"/>
    <w:rsid w:val="00491AC9"/>
    <w:rsid w:val="0049246F"/>
    <w:rsid w:val="004925EB"/>
    <w:rsid w:val="00492F34"/>
    <w:rsid w:val="00493122"/>
    <w:rsid w:val="0049313E"/>
    <w:rsid w:val="00493448"/>
    <w:rsid w:val="00493511"/>
    <w:rsid w:val="00493705"/>
    <w:rsid w:val="0049379D"/>
    <w:rsid w:val="00493A6B"/>
    <w:rsid w:val="00493D63"/>
    <w:rsid w:val="004945B0"/>
    <w:rsid w:val="004948DE"/>
    <w:rsid w:val="00494BCE"/>
    <w:rsid w:val="00494C71"/>
    <w:rsid w:val="0049516F"/>
    <w:rsid w:val="004952E2"/>
    <w:rsid w:val="004952FA"/>
    <w:rsid w:val="00495809"/>
    <w:rsid w:val="00495B1C"/>
    <w:rsid w:val="00495B3D"/>
    <w:rsid w:val="00497E96"/>
    <w:rsid w:val="00497F0E"/>
    <w:rsid w:val="004A0586"/>
    <w:rsid w:val="004A06F3"/>
    <w:rsid w:val="004A1290"/>
    <w:rsid w:val="004A1486"/>
    <w:rsid w:val="004A14C8"/>
    <w:rsid w:val="004A1541"/>
    <w:rsid w:val="004A1610"/>
    <w:rsid w:val="004A1717"/>
    <w:rsid w:val="004A1B53"/>
    <w:rsid w:val="004A235D"/>
    <w:rsid w:val="004A2BEA"/>
    <w:rsid w:val="004A2F7F"/>
    <w:rsid w:val="004A3016"/>
    <w:rsid w:val="004A3381"/>
    <w:rsid w:val="004A3AE1"/>
    <w:rsid w:val="004A3D9E"/>
    <w:rsid w:val="004A3FC2"/>
    <w:rsid w:val="004A4123"/>
    <w:rsid w:val="004A43AB"/>
    <w:rsid w:val="004A4838"/>
    <w:rsid w:val="004A51B5"/>
    <w:rsid w:val="004A577C"/>
    <w:rsid w:val="004A5827"/>
    <w:rsid w:val="004A5A95"/>
    <w:rsid w:val="004A5B6D"/>
    <w:rsid w:val="004A5FBE"/>
    <w:rsid w:val="004A656E"/>
    <w:rsid w:val="004A6A65"/>
    <w:rsid w:val="004A6FBB"/>
    <w:rsid w:val="004A7C60"/>
    <w:rsid w:val="004A7CE1"/>
    <w:rsid w:val="004B0DAF"/>
    <w:rsid w:val="004B0EFE"/>
    <w:rsid w:val="004B119C"/>
    <w:rsid w:val="004B1269"/>
    <w:rsid w:val="004B147C"/>
    <w:rsid w:val="004B1CB6"/>
    <w:rsid w:val="004B1D03"/>
    <w:rsid w:val="004B2A18"/>
    <w:rsid w:val="004B2D50"/>
    <w:rsid w:val="004B2D7C"/>
    <w:rsid w:val="004B2EFD"/>
    <w:rsid w:val="004B30EF"/>
    <w:rsid w:val="004B332C"/>
    <w:rsid w:val="004B35EF"/>
    <w:rsid w:val="004B391E"/>
    <w:rsid w:val="004B3D2D"/>
    <w:rsid w:val="004B3E6A"/>
    <w:rsid w:val="004B407C"/>
    <w:rsid w:val="004B441C"/>
    <w:rsid w:val="004B4552"/>
    <w:rsid w:val="004B45DD"/>
    <w:rsid w:val="004B47B1"/>
    <w:rsid w:val="004B5081"/>
    <w:rsid w:val="004B5343"/>
    <w:rsid w:val="004B548D"/>
    <w:rsid w:val="004B5868"/>
    <w:rsid w:val="004B60DC"/>
    <w:rsid w:val="004B62E6"/>
    <w:rsid w:val="004B6306"/>
    <w:rsid w:val="004B6F32"/>
    <w:rsid w:val="004B6F67"/>
    <w:rsid w:val="004B71F2"/>
    <w:rsid w:val="004B79F1"/>
    <w:rsid w:val="004B7C35"/>
    <w:rsid w:val="004B7EBE"/>
    <w:rsid w:val="004B7FCC"/>
    <w:rsid w:val="004C0440"/>
    <w:rsid w:val="004C0492"/>
    <w:rsid w:val="004C04C3"/>
    <w:rsid w:val="004C055A"/>
    <w:rsid w:val="004C060B"/>
    <w:rsid w:val="004C07A5"/>
    <w:rsid w:val="004C094C"/>
    <w:rsid w:val="004C0BA3"/>
    <w:rsid w:val="004C12ED"/>
    <w:rsid w:val="004C172F"/>
    <w:rsid w:val="004C17B6"/>
    <w:rsid w:val="004C1C84"/>
    <w:rsid w:val="004C1D17"/>
    <w:rsid w:val="004C282F"/>
    <w:rsid w:val="004C2A0F"/>
    <w:rsid w:val="004C2CD1"/>
    <w:rsid w:val="004C300C"/>
    <w:rsid w:val="004C3941"/>
    <w:rsid w:val="004C3A53"/>
    <w:rsid w:val="004C3AA4"/>
    <w:rsid w:val="004C44B1"/>
    <w:rsid w:val="004C451E"/>
    <w:rsid w:val="004C4665"/>
    <w:rsid w:val="004C4904"/>
    <w:rsid w:val="004C5255"/>
    <w:rsid w:val="004C546D"/>
    <w:rsid w:val="004C5590"/>
    <w:rsid w:val="004C5DDA"/>
    <w:rsid w:val="004C6610"/>
    <w:rsid w:val="004C6765"/>
    <w:rsid w:val="004C6A24"/>
    <w:rsid w:val="004C7103"/>
    <w:rsid w:val="004C7207"/>
    <w:rsid w:val="004C76B4"/>
    <w:rsid w:val="004C77FF"/>
    <w:rsid w:val="004C7823"/>
    <w:rsid w:val="004D06CE"/>
    <w:rsid w:val="004D16A4"/>
    <w:rsid w:val="004D1A28"/>
    <w:rsid w:val="004D1AB9"/>
    <w:rsid w:val="004D1B31"/>
    <w:rsid w:val="004D1D12"/>
    <w:rsid w:val="004D1FAB"/>
    <w:rsid w:val="004D2F2D"/>
    <w:rsid w:val="004D36D7"/>
    <w:rsid w:val="004D3B50"/>
    <w:rsid w:val="004D43B6"/>
    <w:rsid w:val="004D4A1A"/>
    <w:rsid w:val="004D4E6C"/>
    <w:rsid w:val="004D51C0"/>
    <w:rsid w:val="004D52EE"/>
    <w:rsid w:val="004D536B"/>
    <w:rsid w:val="004D53E5"/>
    <w:rsid w:val="004D5589"/>
    <w:rsid w:val="004D55C9"/>
    <w:rsid w:val="004D566F"/>
    <w:rsid w:val="004D5808"/>
    <w:rsid w:val="004D598E"/>
    <w:rsid w:val="004D64DF"/>
    <w:rsid w:val="004D6CCB"/>
    <w:rsid w:val="004D6D8F"/>
    <w:rsid w:val="004D6E0B"/>
    <w:rsid w:val="004D7462"/>
    <w:rsid w:val="004D753A"/>
    <w:rsid w:val="004D7C51"/>
    <w:rsid w:val="004D7C97"/>
    <w:rsid w:val="004D7CB7"/>
    <w:rsid w:val="004D7E3B"/>
    <w:rsid w:val="004D7F04"/>
    <w:rsid w:val="004E0221"/>
    <w:rsid w:val="004E0423"/>
    <w:rsid w:val="004E08A7"/>
    <w:rsid w:val="004E09D4"/>
    <w:rsid w:val="004E1368"/>
    <w:rsid w:val="004E1720"/>
    <w:rsid w:val="004E1A40"/>
    <w:rsid w:val="004E1BA5"/>
    <w:rsid w:val="004E1C8E"/>
    <w:rsid w:val="004E2235"/>
    <w:rsid w:val="004E2298"/>
    <w:rsid w:val="004E26D2"/>
    <w:rsid w:val="004E2D39"/>
    <w:rsid w:val="004E36F9"/>
    <w:rsid w:val="004E434A"/>
    <w:rsid w:val="004E4AF8"/>
    <w:rsid w:val="004E4FA1"/>
    <w:rsid w:val="004E5045"/>
    <w:rsid w:val="004E50B1"/>
    <w:rsid w:val="004E51BB"/>
    <w:rsid w:val="004E5535"/>
    <w:rsid w:val="004E5631"/>
    <w:rsid w:val="004E5639"/>
    <w:rsid w:val="004E59BB"/>
    <w:rsid w:val="004E5AB1"/>
    <w:rsid w:val="004E5BCB"/>
    <w:rsid w:val="004E5C79"/>
    <w:rsid w:val="004E5CB8"/>
    <w:rsid w:val="004E65A7"/>
    <w:rsid w:val="004E69CD"/>
    <w:rsid w:val="004E6B3E"/>
    <w:rsid w:val="004E6DB7"/>
    <w:rsid w:val="004E7B7D"/>
    <w:rsid w:val="004E7D36"/>
    <w:rsid w:val="004E7ECB"/>
    <w:rsid w:val="004F0399"/>
    <w:rsid w:val="004F08A2"/>
    <w:rsid w:val="004F09C5"/>
    <w:rsid w:val="004F0C81"/>
    <w:rsid w:val="004F0D1F"/>
    <w:rsid w:val="004F1568"/>
    <w:rsid w:val="004F19C6"/>
    <w:rsid w:val="004F1B7A"/>
    <w:rsid w:val="004F23A2"/>
    <w:rsid w:val="004F2CE7"/>
    <w:rsid w:val="004F2DED"/>
    <w:rsid w:val="004F2E7E"/>
    <w:rsid w:val="004F3440"/>
    <w:rsid w:val="004F34C1"/>
    <w:rsid w:val="004F36AF"/>
    <w:rsid w:val="004F3BE5"/>
    <w:rsid w:val="004F4B17"/>
    <w:rsid w:val="004F4E7A"/>
    <w:rsid w:val="004F510F"/>
    <w:rsid w:val="004F55E2"/>
    <w:rsid w:val="004F5788"/>
    <w:rsid w:val="004F5AAF"/>
    <w:rsid w:val="004F6D7D"/>
    <w:rsid w:val="004F71A8"/>
    <w:rsid w:val="004F7609"/>
    <w:rsid w:val="004F76F3"/>
    <w:rsid w:val="004F772A"/>
    <w:rsid w:val="004F7831"/>
    <w:rsid w:val="004F78F2"/>
    <w:rsid w:val="004F796C"/>
    <w:rsid w:val="004F7A02"/>
    <w:rsid w:val="004F7B6A"/>
    <w:rsid w:val="004F7BE4"/>
    <w:rsid w:val="0050016B"/>
    <w:rsid w:val="0050020C"/>
    <w:rsid w:val="0050069F"/>
    <w:rsid w:val="005009F5"/>
    <w:rsid w:val="00500E63"/>
    <w:rsid w:val="00500FFD"/>
    <w:rsid w:val="00501537"/>
    <w:rsid w:val="00501777"/>
    <w:rsid w:val="0050180B"/>
    <w:rsid w:val="00501A05"/>
    <w:rsid w:val="00501CEE"/>
    <w:rsid w:val="005024E7"/>
    <w:rsid w:val="005025EB"/>
    <w:rsid w:val="0050277D"/>
    <w:rsid w:val="00502882"/>
    <w:rsid w:val="00502BBC"/>
    <w:rsid w:val="00502C4C"/>
    <w:rsid w:val="00502E58"/>
    <w:rsid w:val="00502E9D"/>
    <w:rsid w:val="0050321C"/>
    <w:rsid w:val="00503330"/>
    <w:rsid w:val="0050338D"/>
    <w:rsid w:val="0050380A"/>
    <w:rsid w:val="00503C6E"/>
    <w:rsid w:val="00504522"/>
    <w:rsid w:val="00504B2C"/>
    <w:rsid w:val="00504DD1"/>
    <w:rsid w:val="00504F43"/>
    <w:rsid w:val="005055A2"/>
    <w:rsid w:val="00505710"/>
    <w:rsid w:val="00505784"/>
    <w:rsid w:val="00505805"/>
    <w:rsid w:val="00505C0D"/>
    <w:rsid w:val="00505C7D"/>
    <w:rsid w:val="00505D9C"/>
    <w:rsid w:val="00506099"/>
    <w:rsid w:val="00506279"/>
    <w:rsid w:val="00506315"/>
    <w:rsid w:val="0050633B"/>
    <w:rsid w:val="0050635A"/>
    <w:rsid w:val="0050637D"/>
    <w:rsid w:val="0050677E"/>
    <w:rsid w:val="00506CB4"/>
    <w:rsid w:val="005072C4"/>
    <w:rsid w:val="005075BD"/>
    <w:rsid w:val="00507622"/>
    <w:rsid w:val="0051004A"/>
    <w:rsid w:val="005105A0"/>
    <w:rsid w:val="00510621"/>
    <w:rsid w:val="005108C8"/>
    <w:rsid w:val="00510C03"/>
    <w:rsid w:val="00510E7C"/>
    <w:rsid w:val="00511215"/>
    <w:rsid w:val="0051168C"/>
    <w:rsid w:val="00511839"/>
    <w:rsid w:val="005125CC"/>
    <w:rsid w:val="0051291D"/>
    <w:rsid w:val="00513704"/>
    <w:rsid w:val="00513830"/>
    <w:rsid w:val="00513BE1"/>
    <w:rsid w:val="00513C44"/>
    <w:rsid w:val="00513D49"/>
    <w:rsid w:val="00513E11"/>
    <w:rsid w:val="00513E4C"/>
    <w:rsid w:val="00514397"/>
    <w:rsid w:val="00514912"/>
    <w:rsid w:val="00514E94"/>
    <w:rsid w:val="005160E3"/>
    <w:rsid w:val="0051615F"/>
    <w:rsid w:val="00516990"/>
    <w:rsid w:val="00516A3D"/>
    <w:rsid w:val="00517E4F"/>
    <w:rsid w:val="00520792"/>
    <w:rsid w:val="005213AE"/>
    <w:rsid w:val="0052168F"/>
    <w:rsid w:val="00521C2F"/>
    <w:rsid w:val="00521E90"/>
    <w:rsid w:val="0052212F"/>
    <w:rsid w:val="00522132"/>
    <w:rsid w:val="0052256C"/>
    <w:rsid w:val="00522918"/>
    <w:rsid w:val="00522BFC"/>
    <w:rsid w:val="005231D5"/>
    <w:rsid w:val="0052326A"/>
    <w:rsid w:val="0052330F"/>
    <w:rsid w:val="0052348D"/>
    <w:rsid w:val="00523876"/>
    <w:rsid w:val="00523A10"/>
    <w:rsid w:val="00523B73"/>
    <w:rsid w:val="00523E0F"/>
    <w:rsid w:val="00523F98"/>
    <w:rsid w:val="005242CC"/>
    <w:rsid w:val="00524449"/>
    <w:rsid w:val="0052445A"/>
    <w:rsid w:val="005244B7"/>
    <w:rsid w:val="005249D1"/>
    <w:rsid w:val="00524B2D"/>
    <w:rsid w:val="00524B7E"/>
    <w:rsid w:val="00524F70"/>
    <w:rsid w:val="0052535C"/>
    <w:rsid w:val="00525468"/>
    <w:rsid w:val="00525616"/>
    <w:rsid w:val="00525802"/>
    <w:rsid w:val="0052586E"/>
    <w:rsid w:val="00525A3A"/>
    <w:rsid w:val="00526312"/>
    <w:rsid w:val="0052637D"/>
    <w:rsid w:val="00526756"/>
    <w:rsid w:val="00526B23"/>
    <w:rsid w:val="00526EB3"/>
    <w:rsid w:val="00527FB3"/>
    <w:rsid w:val="00530611"/>
    <w:rsid w:val="0053087B"/>
    <w:rsid w:val="00530BDB"/>
    <w:rsid w:val="00530D27"/>
    <w:rsid w:val="005312A8"/>
    <w:rsid w:val="00531367"/>
    <w:rsid w:val="00531672"/>
    <w:rsid w:val="00531922"/>
    <w:rsid w:val="005319AB"/>
    <w:rsid w:val="00531C4C"/>
    <w:rsid w:val="00531D1C"/>
    <w:rsid w:val="005320AC"/>
    <w:rsid w:val="0053271A"/>
    <w:rsid w:val="00532924"/>
    <w:rsid w:val="0053324C"/>
    <w:rsid w:val="0053334E"/>
    <w:rsid w:val="00533820"/>
    <w:rsid w:val="00533D64"/>
    <w:rsid w:val="00534455"/>
    <w:rsid w:val="00535497"/>
    <w:rsid w:val="00535883"/>
    <w:rsid w:val="00535900"/>
    <w:rsid w:val="00535C14"/>
    <w:rsid w:val="005360BA"/>
    <w:rsid w:val="0053634B"/>
    <w:rsid w:val="005363A3"/>
    <w:rsid w:val="00536440"/>
    <w:rsid w:val="00536B49"/>
    <w:rsid w:val="00537158"/>
    <w:rsid w:val="005371CF"/>
    <w:rsid w:val="0053726D"/>
    <w:rsid w:val="00537496"/>
    <w:rsid w:val="00537608"/>
    <w:rsid w:val="0053764D"/>
    <w:rsid w:val="005377C4"/>
    <w:rsid w:val="00537A53"/>
    <w:rsid w:val="00537B11"/>
    <w:rsid w:val="00537D4D"/>
    <w:rsid w:val="00537E03"/>
    <w:rsid w:val="00537F87"/>
    <w:rsid w:val="0054127C"/>
    <w:rsid w:val="0054134B"/>
    <w:rsid w:val="005413C7"/>
    <w:rsid w:val="005415D7"/>
    <w:rsid w:val="0054175E"/>
    <w:rsid w:val="00541870"/>
    <w:rsid w:val="00541947"/>
    <w:rsid w:val="0054244E"/>
    <w:rsid w:val="0054277F"/>
    <w:rsid w:val="00542A1A"/>
    <w:rsid w:val="00542ADB"/>
    <w:rsid w:val="00542D0D"/>
    <w:rsid w:val="00542DF2"/>
    <w:rsid w:val="00542DFB"/>
    <w:rsid w:val="00543079"/>
    <w:rsid w:val="00543376"/>
    <w:rsid w:val="00543794"/>
    <w:rsid w:val="00543B02"/>
    <w:rsid w:val="00543D88"/>
    <w:rsid w:val="005444DE"/>
    <w:rsid w:val="0054473C"/>
    <w:rsid w:val="00545154"/>
    <w:rsid w:val="0054522C"/>
    <w:rsid w:val="005456E5"/>
    <w:rsid w:val="0054574F"/>
    <w:rsid w:val="005458D5"/>
    <w:rsid w:val="005459E6"/>
    <w:rsid w:val="00545A3A"/>
    <w:rsid w:val="00546A19"/>
    <w:rsid w:val="00546C58"/>
    <w:rsid w:val="0054733A"/>
    <w:rsid w:val="00547713"/>
    <w:rsid w:val="005477B5"/>
    <w:rsid w:val="005479C5"/>
    <w:rsid w:val="00547BC3"/>
    <w:rsid w:val="005500CE"/>
    <w:rsid w:val="00550D4A"/>
    <w:rsid w:val="00550F37"/>
    <w:rsid w:val="005512F5"/>
    <w:rsid w:val="005515A5"/>
    <w:rsid w:val="005517FD"/>
    <w:rsid w:val="00551A1D"/>
    <w:rsid w:val="00551FA4"/>
    <w:rsid w:val="005522BA"/>
    <w:rsid w:val="005531F6"/>
    <w:rsid w:val="00553221"/>
    <w:rsid w:val="005533D8"/>
    <w:rsid w:val="005534ED"/>
    <w:rsid w:val="0055360B"/>
    <w:rsid w:val="005537AD"/>
    <w:rsid w:val="00553C2C"/>
    <w:rsid w:val="00553DD1"/>
    <w:rsid w:val="005548E0"/>
    <w:rsid w:val="005549F4"/>
    <w:rsid w:val="00554A81"/>
    <w:rsid w:val="00554B10"/>
    <w:rsid w:val="00554EB5"/>
    <w:rsid w:val="00555A33"/>
    <w:rsid w:val="00555AFB"/>
    <w:rsid w:val="0055623E"/>
    <w:rsid w:val="005565A1"/>
    <w:rsid w:val="0055664B"/>
    <w:rsid w:val="00556A80"/>
    <w:rsid w:val="00556B5A"/>
    <w:rsid w:val="00556C64"/>
    <w:rsid w:val="00557135"/>
    <w:rsid w:val="00557187"/>
    <w:rsid w:val="00557294"/>
    <w:rsid w:val="0055733A"/>
    <w:rsid w:val="0055759C"/>
    <w:rsid w:val="00560413"/>
    <w:rsid w:val="00560720"/>
    <w:rsid w:val="00560935"/>
    <w:rsid w:val="0056144E"/>
    <w:rsid w:val="00561795"/>
    <w:rsid w:val="00561799"/>
    <w:rsid w:val="00561CC4"/>
    <w:rsid w:val="00561FC7"/>
    <w:rsid w:val="00562674"/>
    <w:rsid w:val="0056281D"/>
    <w:rsid w:val="00562BE3"/>
    <w:rsid w:val="00562C3A"/>
    <w:rsid w:val="005632F3"/>
    <w:rsid w:val="00563577"/>
    <w:rsid w:val="00564086"/>
    <w:rsid w:val="00564341"/>
    <w:rsid w:val="0056468F"/>
    <w:rsid w:val="00564725"/>
    <w:rsid w:val="005650D6"/>
    <w:rsid w:val="0056520B"/>
    <w:rsid w:val="00565485"/>
    <w:rsid w:val="00565841"/>
    <w:rsid w:val="00565A2B"/>
    <w:rsid w:val="00565A5D"/>
    <w:rsid w:val="00566478"/>
    <w:rsid w:val="00566690"/>
    <w:rsid w:val="0056675A"/>
    <w:rsid w:val="00566787"/>
    <w:rsid w:val="00566837"/>
    <w:rsid w:val="005668D4"/>
    <w:rsid w:val="00566929"/>
    <w:rsid w:val="0056699F"/>
    <w:rsid w:val="00566A7E"/>
    <w:rsid w:val="00566F0B"/>
    <w:rsid w:val="00567569"/>
    <w:rsid w:val="00570006"/>
    <w:rsid w:val="005702CF"/>
    <w:rsid w:val="0057048D"/>
    <w:rsid w:val="00570746"/>
    <w:rsid w:val="00570A8F"/>
    <w:rsid w:val="00570BD0"/>
    <w:rsid w:val="00570C70"/>
    <w:rsid w:val="00570CDB"/>
    <w:rsid w:val="00571572"/>
    <w:rsid w:val="00571790"/>
    <w:rsid w:val="005719F0"/>
    <w:rsid w:val="00571B28"/>
    <w:rsid w:val="00572110"/>
    <w:rsid w:val="00572519"/>
    <w:rsid w:val="0057271A"/>
    <w:rsid w:val="005727A0"/>
    <w:rsid w:val="005730FF"/>
    <w:rsid w:val="005734F4"/>
    <w:rsid w:val="00573B0E"/>
    <w:rsid w:val="00573BF6"/>
    <w:rsid w:val="00573CFC"/>
    <w:rsid w:val="00573FC6"/>
    <w:rsid w:val="0057466C"/>
    <w:rsid w:val="00574C59"/>
    <w:rsid w:val="00574F68"/>
    <w:rsid w:val="00574FB9"/>
    <w:rsid w:val="005750DC"/>
    <w:rsid w:val="00575C6C"/>
    <w:rsid w:val="00575E82"/>
    <w:rsid w:val="00576132"/>
    <w:rsid w:val="00576257"/>
    <w:rsid w:val="0057663D"/>
    <w:rsid w:val="00576B26"/>
    <w:rsid w:val="00576DAB"/>
    <w:rsid w:val="00577457"/>
    <w:rsid w:val="00577466"/>
    <w:rsid w:val="005774E1"/>
    <w:rsid w:val="00577AB5"/>
    <w:rsid w:val="005802CF"/>
    <w:rsid w:val="0058067C"/>
    <w:rsid w:val="0058078F"/>
    <w:rsid w:val="00580ACC"/>
    <w:rsid w:val="00580D51"/>
    <w:rsid w:val="00581259"/>
    <w:rsid w:val="00581399"/>
    <w:rsid w:val="00582168"/>
    <w:rsid w:val="00582210"/>
    <w:rsid w:val="0058221A"/>
    <w:rsid w:val="0058230D"/>
    <w:rsid w:val="00582422"/>
    <w:rsid w:val="00582D4A"/>
    <w:rsid w:val="00582DF0"/>
    <w:rsid w:val="00583546"/>
    <w:rsid w:val="005835A9"/>
    <w:rsid w:val="00583736"/>
    <w:rsid w:val="00583C7E"/>
    <w:rsid w:val="005849BD"/>
    <w:rsid w:val="00584C8B"/>
    <w:rsid w:val="005851E2"/>
    <w:rsid w:val="0058522F"/>
    <w:rsid w:val="0058537C"/>
    <w:rsid w:val="005856E6"/>
    <w:rsid w:val="00585AEC"/>
    <w:rsid w:val="00585BC3"/>
    <w:rsid w:val="0058626B"/>
    <w:rsid w:val="00586691"/>
    <w:rsid w:val="0058686D"/>
    <w:rsid w:val="0058693B"/>
    <w:rsid w:val="00586CBA"/>
    <w:rsid w:val="00586DD5"/>
    <w:rsid w:val="00586F5C"/>
    <w:rsid w:val="00586FF3"/>
    <w:rsid w:val="005874A9"/>
    <w:rsid w:val="005878C7"/>
    <w:rsid w:val="00587DED"/>
    <w:rsid w:val="00587E6C"/>
    <w:rsid w:val="005903D1"/>
    <w:rsid w:val="0059053B"/>
    <w:rsid w:val="005905D0"/>
    <w:rsid w:val="00590C65"/>
    <w:rsid w:val="00590DFA"/>
    <w:rsid w:val="00590E4B"/>
    <w:rsid w:val="005918FB"/>
    <w:rsid w:val="00591A64"/>
    <w:rsid w:val="00591A8C"/>
    <w:rsid w:val="00591C7C"/>
    <w:rsid w:val="00592144"/>
    <w:rsid w:val="005922CD"/>
    <w:rsid w:val="00592331"/>
    <w:rsid w:val="005923DF"/>
    <w:rsid w:val="00592A0F"/>
    <w:rsid w:val="00592B86"/>
    <w:rsid w:val="005930C9"/>
    <w:rsid w:val="0059375E"/>
    <w:rsid w:val="005938D7"/>
    <w:rsid w:val="00593C66"/>
    <w:rsid w:val="00593D25"/>
    <w:rsid w:val="00593E07"/>
    <w:rsid w:val="0059412E"/>
    <w:rsid w:val="0059420A"/>
    <w:rsid w:val="005945FA"/>
    <w:rsid w:val="005946EC"/>
    <w:rsid w:val="005947B9"/>
    <w:rsid w:val="0059536D"/>
    <w:rsid w:val="005955D6"/>
    <w:rsid w:val="0059566D"/>
    <w:rsid w:val="005957DA"/>
    <w:rsid w:val="00596252"/>
    <w:rsid w:val="005962F1"/>
    <w:rsid w:val="005965BA"/>
    <w:rsid w:val="005966BA"/>
    <w:rsid w:val="005969ED"/>
    <w:rsid w:val="00596CB4"/>
    <w:rsid w:val="0059724F"/>
    <w:rsid w:val="00597714"/>
    <w:rsid w:val="00597A98"/>
    <w:rsid w:val="00597BB5"/>
    <w:rsid w:val="005A0209"/>
    <w:rsid w:val="005A026F"/>
    <w:rsid w:val="005A0368"/>
    <w:rsid w:val="005A0807"/>
    <w:rsid w:val="005A150F"/>
    <w:rsid w:val="005A167F"/>
    <w:rsid w:val="005A199B"/>
    <w:rsid w:val="005A1A20"/>
    <w:rsid w:val="005A1D97"/>
    <w:rsid w:val="005A21B5"/>
    <w:rsid w:val="005A2470"/>
    <w:rsid w:val="005A257D"/>
    <w:rsid w:val="005A26EE"/>
    <w:rsid w:val="005A26FF"/>
    <w:rsid w:val="005A29E6"/>
    <w:rsid w:val="005A2C35"/>
    <w:rsid w:val="005A31D9"/>
    <w:rsid w:val="005A325B"/>
    <w:rsid w:val="005A352B"/>
    <w:rsid w:val="005A38F0"/>
    <w:rsid w:val="005A4441"/>
    <w:rsid w:val="005A474B"/>
    <w:rsid w:val="005A47D5"/>
    <w:rsid w:val="005A5114"/>
    <w:rsid w:val="005A59B5"/>
    <w:rsid w:val="005A5D7F"/>
    <w:rsid w:val="005A64AC"/>
    <w:rsid w:val="005A6A06"/>
    <w:rsid w:val="005A750D"/>
    <w:rsid w:val="005A759B"/>
    <w:rsid w:val="005B04B8"/>
    <w:rsid w:val="005B095B"/>
    <w:rsid w:val="005B0C91"/>
    <w:rsid w:val="005B1075"/>
    <w:rsid w:val="005B110B"/>
    <w:rsid w:val="005B1197"/>
    <w:rsid w:val="005B1725"/>
    <w:rsid w:val="005B1D10"/>
    <w:rsid w:val="005B1D5D"/>
    <w:rsid w:val="005B2063"/>
    <w:rsid w:val="005B243E"/>
    <w:rsid w:val="005B24E2"/>
    <w:rsid w:val="005B2842"/>
    <w:rsid w:val="005B2B09"/>
    <w:rsid w:val="005B2B68"/>
    <w:rsid w:val="005B2BDC"/>
    <w:rsid w:val="005B2CE6"/>
    <w:rsid w:val="005B2F5A"/>
    <w:rsid w:val="005B310B"/>
    <w:rsid w:val="005B3474"/>
    <w:rsid w:val="005B34BA"/>
    <w:rsid w:val="005B3C86"/>
    <w:rsid w:val="005B3EF7"/>
    <w:rsid w:val="005B4133"/>
    <w:rsid w:val="005B41FA"/>
    <w:rsid w:val="005B430A"/>
    <w:rsid w:val="005B43C7"/>
    <w:rsid w:val="005B4C6D"/>
    <w:rsid w:val="005B4FCC"/>
    <w:rsid w:val="005B50B5"/>
    <w:rsid w:val="005B52DC"/>
    <w:rsid w:val="005B56CC"/>
    <w:rsid w:val="005B5BCB"/>
    <w:rsid w:val="005B6153"/>
    <w:rsid w:val="005B65DC"/>
    <w:rsid w:val="005B6762"/>
    <w:rsid w:val="005B6C09"/>
    <w:rsid w:val="005B71E2"/>
    <w:rsid w:val="005B7451"/>
    <w:rsid w:val="005B752F"/>
    <w:rsid w:val="005B78C2"/>
    <w:rsid w:val="005B791F"/>
    <w:rsid w:val="005B79CD"/>
    <w:rsid w:val="005B7AC4"/>
    <w:rsid w:val="005B7C99"/>
    <w:rsid w:val="005C01A2"/>
    <w:rsid w:val="005C06CB"/>
    <w:rsid w:val="005C13F3"/>
    <w:rsid w:val="005C14B7"/>
    <w:rsid w:val="005C14C6"/>
    <w:rsid w:val="005C1D0A"/>
    <w:rsid w:val="005C2727"/>
    <w:rsid w:val="005C28AE"/>
    <w:rsid w:val="005C32BB"/>
    <w:rsid w:val="005C346F"/>
    <w:rsid w:val="005C3507"/>
    <w:rsid w:val="005C3ED1"/>
    <w:rsid w:val="005C438C"/>
    <w:rsid w:val="005C4BC7"/>
    <w:rsid w:val="005C5073"/>
    <w:rsid w:val="005C5B4A"/>
    <w:rsid w:val="005C5D3E"/>
    <w:rsid w:val="005C698E"/>
    <w:rsid w:val="005C6AFF"/>
    <w:rsid w:val="005C7426"/>
    <w:rsid w:val="005C7541"/>
    <w:rsid w:val="005C75D4"/>
    <w:rsid w:val="005C7874"/>
    <w:rsid w:val="005C7883"/>
    <w:rsid w:val="005C7B55"/>
    <w:rsid w:val="005C7DB6"/>
    <w:rsid w:val="005C7FAF"/>
    <w:rsid w:val="005D0371"/>
    <w:rsid w:val="005D04BC"/>
    <w:rsid w:val="005D0808"/>
    <w:rsid w:val="005D0854"/>
    <w:rsid w:val="005D0A49"/>
    <w:rsid w:val="005D0C9A"/>
    <w:rsid w:val="005D0D0D"/>
    <w:rsid w:val="005D0E1A"/>
    <w:rsid w:val="005D125F"/>
    <w:rsid w:val="005D127B"/>
    <w:rsid w:val="005D14BE"/>
    <w:rsid w:val="005D18F2"/>
    <w:rsid w:val="005D1C0E"/>
    <w:rsid w:val="005D1DCE"/>
    <w:rsid w:val="005D1F18"/>
    <w:rsid w:val="005D2503"/>
    <w:rsid w:val="005D2683"/>
    <w:rsid w:val="005D2C40"/>
    <w:rsid w:val="005D2DFF"/>
    <w:rsid w:val="005D3179"/>
    <w:rsid w:val="005D33C4"/>
    <w:rsid w:val="005D3CD5"/>
    <w:rsid w:val="005D3D9F"/>
    <w:rsid w:val="005D3F23"/>
    <w:rsid w:val="005D4064"/>
    <w:rsid w:val="005D40A6"/>
    <w:rsid w:val="005D43C4"/>
    <w:rsid w:val="005D45D8"/>
    <w:rsid w:val="005D48C6"/>
    <w:rsid w:val="005D4B93"/>
    <w:rsid w:val="005D4C43"/>
    <w:rsid w:val="005D4EC1"/>
    <w:rsid w:val="005D52F1"/>
    <w:rsid w:val="005D586E"/>
    <w:rsid w:val="005D5E0A"/>
    <w:rsid w:val="005D5FF4"/>
    <w:rsid w:val="005D60F7"/>
    <w:rsid w:val="005D6BE1"/>
    <w:rsid w:val="005D6CFF"/>
    <w:rsid w:val="005D6D6C"/>
    <w:rsid w:val="005D6E54"/>
    <w:rsid w:val="005D71EB"/>
    <w:rsid w:val="005D773C"/>
    <w:rsid w:val="005D7FC4"/>
    <w:rsid w:val="005E018B"/>
    <w:rsid w:val="005E042E"/>
    <w:rsid w:val="005E07AC"/>
    <w:rsid w:val="005E0DB4"/>
    <w:rsid w:val="005E1264"/>
    <w:rsid w:val="005E130B"/>
    <w:rsid w:val="005E158C"/>
    <w:rsid w:val="005E1A14"/>
    <w:rsid w:val="005E1AD4"/>
    <w:rsid w:val="005E1DC8"/>
    <w:rsid w:val="005E2230"/>
    <w:rsid w:val="005E23D5"/>
    <w:rsid w:val="005E2498"/>
    <w:rsid w:val="005E2662"/>
    <w:rsid w:val="005E2E78"/>
    <w:rsid w:val="005E2F46"/>
    <w:rsid w:val="005E32EF"/>
    <w:rsid w:val="005E364E"/>
    <w:rsid w:val="005E3D14"/>
    <w:rsid w:val="005E407A"/>
    <w:rsid w:val="005E427A"/>
    <w:rsid w:val="005E446D"/>
    <w:rsid w:val="005E4624"/>
    <w:rsid w:val="005E4C9C"/>
    <w:rsid w:val="005E5428"/>
    <w:rsid w:val="005E5CE6"/>
    <w:rsid w:val="005E5F58"/>
    <w:rsid w:val="005E6096"/>
    <w:rsid w:val="005E6167"/>
    <w:rsid w:val="005E67C8"/>
    <w:rsid w:val="005E69ED"/>
    <w:rsid w:val="005E6C92"/>
    <w:rsid w:val="005E6E82"/>
    <w:rsid w:val="005E6F2D"/>
    <w:rsid w:val="005E7574"/>
    <w:rsid w:val="005E7627"/>
    <w:rsid w:val="005E7F82"/>
    <w:rsid w:val="005EE120"/>
    <w:rsid w:val="005EFA40"/>
    <w:rsid w:val="005F0A0F"/>
    <w:rsid w:val="005F0BFB"/>
    <w:rsid w:val="005F0DC6"/>
    <w:rsid w:val="005F1100"/>
    <w:rsid w:val="005F1ECF"/>
    <w:rsid w:val="005F25F0"/>
    <w:rsid w:val="005F2760"/>
    <w:rsid w:val="005F2A39"/>
    <w:rsid w:val="005F2CED"/>
    <w:rsid w:val="005F3310"/>
    <w:rsid w:val="005F344C"/>
    <w:rsid w:val="005F35CB"/>
    <w:rsid w:val="005F3A46"/>
    <w:rsid w:val="005F492F"/>
    <w:rsid w:val="005F4943"/>
    <w:rsid w:val="005F4A30"/>
    <w:rsid w:val="005F4E36"/>
    <w:rsid w:val="005F4FD7"/>
    <w:rsid w:val="005F522C"/>
    <w:rsid w:val="005F5769"/>
    <w:rsid w:val="005F5B1B"/>
    <w:rsid w:val="005F6062"/>
    <w:rsid w:val="005F64AE"/>
    <w:rsid w:val="005F6BEA"/>
    <w:rsid w:val="005F7689"/>
    <w:rsid w:val="005F78CB"/>
    <w:rsid w:val="005F7E80"/>
    <w:rsid w:val="0060017D"/>
    <w:rsid w:val="006001C0"/>
    <w:rsid w:val="006001FF"/>
    <w:rsid w:val="00600657"/>
    <w:rsid w:val="0060075E"/>
    <w:rsid w:val="00600807"/>
    <w:rsid w:val="006013D4"/>
    <w:rsid w:val="006014E5"/>
    <w:rsid w:val="00601BB4"/>
    <w:rsid w:val="00601F3F"/>
    <w:rsid w:val="00601FE6"/>
    <w:rsid w:val="00602424"/>
    <w:rsid w:val="00602664"/>
    <w:rsid w:val="00602BD1"/>
    <w:rsid w:val="006033FF"/>
    <w:rsid w:val="00603943"/>
    <w:rsid w:val="00603D53"/>
    <w:rsid w:val="00603EC9"/>
    <w:rsid w:val="006046BA"/>
    <w:rsid w:val="00604911"/>
    <w:rsid w:val="006049FB"/>
    <w:rsid w:val="00604C8F"/>
    <w:rsid w:val="00604E9A"/>
    <w:rsid w:val="00605148"/>
    <w:rsid w:val="00605E46"/>
    <w:rsid w:val="00605F30"/>
    <w:rsid w:val="006070CB"/>
    <w:rsid w:val="0060715C"/>
    <w:rsid w:val="00607233"/>
    <w:rsid w:val="0060765D"/>
    <w:rsid w:val="006078FD"/>
    <w:rsid w:val="00610349"/>
    <w:rsid w:val="006106FC"/>
    <w:rsid w:val="0061080B"/>
    <w:rsid w:val="00610AAD"/>
    <w:rsid w:val="00610EC6"/>
    <w:rsid w:val="006112BC"/>
    <w:rsid w:val="00611C89"/>
    <w:rsid w:val="00611CCB"/>
    <w:rsid w:val="00611E66"/>
    <w:rsid w:val="00611E87"/>
    <w:rsid w:val="00611F4C"/>
    <w:rsid w:val="00612019"/>
    <w:rsid w:val="00612139"/>
    <w:rsid w:val="00612651"/>
    <w:rsid w:val="00612DF9"/>
    <w:rsid w:val="00613930"/>
    <w:rsid w:val="00613C50"/>
    <w:rsid w:val="00613C79"/>
    <w:rsid w:val="00613F87"/>
    <w:rsid w:val="0061420A"/>
    <w:rsid w:val="00614734"/>
    <w:rsid w:val="00614B1D"/>
    <w:rsid w:val="00615233"/>
    <w:rsid w:val="00615C7D"/>
    <w:rsid w:val="00615EFD"/>
    <w:rsid w:val="00616233"/>
    <w:rsid w:val="00616589"/>
    <w:rsid w:val="00616F02"/>
    <w:rsid w:val="0061745F"/>
    <w:rsid w:val="00617843"/>
    <w:rsid w:val="00617901"/>
    <w:rsid w:val="00617B13"/>
    <w:rsid w:val="00617D70"/>
    <w:rsid w:val="006201BF"/>
    <w:rsid w:val="006201E3"/>
    <w:rsid w:val="006206B9"/>
    <w:rsid w:val="00620BA9"/>
    <w:rsid w:val="00620C68"/>
    <w:rsid w:val="00620F99"/>
    <w:rsid w:val="00621049"/>
    <w:rsid w:val="00621607"/>
    <w:rsid w:val="00621625"/>
    <w:rsid w:val="00621818"/>
    <w:rsid w:val="00621D5F"/>
    <w:rsid w:val="006220A4"/>
    <w:rsid w:val="006223B7"/>
    <w:rsid w:val="0062244D"/>
    <w:rsid w:val="006225C2"/>
    <w:rsid w:val="006225D3"/>
    <w:rsid w:val="00622B5F"/>
    <w:rsid w:val="006230D6"/>
    <w:rsid w:val="00623431"/>
    <w:rsid w:val="00624013"/>
    <w:rsid w:val="00624466"/>
    <w:rsid w:val="0062549D"/>
    <w:rsid w:val="00625597"/>
    <w:rsid w:val="00626023"/>
    <w:rsid w:val="00626427"/>
    <w:rsid w:val="00626464"/>
    <w:rsid w:val="006264CC"/>
    <w:rsid w:val="00626582"/>
    <w:rsid w:val="0062694D"/>
    <w:rsid w:val="00626B4B"/>
    <w:rsid w:val="00626E71"/>
    <w:rsid w:val="006277F9"/>
    <w:rsid w:val="00627B17"/>
    <w:rsid w:val="00627BB9"/>
    <w:rsid w:val="00627C3B"/>
    <w:rsid w:val="0062DC81"/>
    <w:rsid w:val="00630442"/>
    <w:rsid w:val="006306F8"/>
    <w:rsid w:val="00630E19"/>
    <w:rsid w:val="00630E1E"/>
    <w:rsid w:val="00631487"/>
    <w:rsid w:val="006315E0"/>
    <w:rsid w:val="00631B10"/>
    <w:rsid w:val="00631C72"/>
    <w:rsid w:val="00632327"/>
    <w:rsid w:val="006324F5"/>
    <w:rsid w:val="00632FF0"/>
    <w:rsid w:val="00633077"/>
    <w:rsid w:val="006330BD"/>
    <w:rsid w:val="0063315E"/>
    <w:rsid w:val="00633259"/>
    <w:rsid w:val="00633402"/>
    <w:rsid w:val="00634116"/>
    <w:rsid w:val="00634420"/>
    <w:rsid w:val="00635029"/>
    <w:rsid w:val="006352F9"/>
    <w:rsid w:val="006357F6"/>
    <w:rsid w:val="0063583B"/>
    <w:rsid w:val="00635D30"/>
    <w:rsid w:val="00635E4D"/>
    <w:rsid w:val="0063605C"/>
    <w:rsid w:val="0063610E"/>
    <w:rsid w:val="00636963"/>
    <w:rsid w:val="00636E12"/>
    <w:rsid w:val="00637154"/>
    <w:rsid w:val="0063727B"/>
    <w:rsid w:val="00637445"/>
    <w:rsid w:val="00637836"/>
    <w:rsid w:val="006379B4"/>
    <w:rsid w:val="00637D97"/>
    <w:rsid w:val="00637F33"/>
    <w:rsid w:val="0063BCC5"/>
    <w:rsid w:val="00640588"/>
    <w:rsid w:val="0064065C"/>
    <w:rsid w:val="0064068C"/>
    <w:rsid w:val="00640A70"/>
    <w:rsid w:val="00640B68"/>
    <w:rsid w:val="00640BB7"/>
    <w:rsid w:val="00641135"/>
    <w:rsid w:val="006414CF"/>
    <w:rsid w:val="00641DA9"/>
    <w:rsid w:val="00641DEF"/>
    <w:rsid w:val="006420F6"/>
    <w:rsid w:val="00642167"/>
    <w:rsid w:val="0064246A"/>
    <w:rsid w:val="00642875"/>
    <w:rsid w:val="00642BEE"/>
    <w:rsid w:val="00642D3B"/>
    <w:rsid w:val="00643131"/>
    <w:rsid w:val="00643594"/>
    <w:rsid w:val="00643870"/>
    <w:rsid w:val="00643D8A"/>
    <w:rsid w:val="00643DAD"/>
    <w:rsid w:val="00644092"/>
    <w:rsid w:val="00644344"/>
    <w:rsid w:val="006449F1"/>
    <w:rsid w:val="00644D02"/>
    <w:rsid w:val="00645079"/>
    <w:rsid w:val="00645265"/>
    <w:rsid w:val="0064556E"/>
    <w:rsid w:val="00645836"/>
    <w:rsid w:val="006458E1"/>
    <w:rsid w:val="0064597C"/>
    <w:rsid w:val="00645DF1"/>
    <w:rsid w:val="00645E4D"/>
    <w:rsid w:val="006460ED"/>
    <w:rsid w:val="006464D5"/>
    <w:rsid w:val="0064651A"/>
    <w:rsid w:val="00646D3E"/>
    <w:rsid w:val="006470AB"/>
    <w:rsid w:val="006474D7"/>
    <w:rsid w:val="00647B66"/>
    <w:rsid w:val="00647E16"/>
    <w:rsid w:val="00647F0A"/>
    <w:rsid w:val="00650608"/>
    <w:rsid w:val="0065066F"/>
    <w:rsid w:val="00650892"/>
    <w:rsid w:val="00650E57"/>
    <w:rsid w:val="006510EE"/>
    <w:rsid w:val="006511DB"/>
    <w:rsid w:val="0065130C"/>
    <w:rsid w:val="006513BC"/>
    <w:rsid w:val="006513D8"/>
    <w:rsid w:val="006517F8"/>
    <w:rsid w:val="00651824"/>
    <w:rsid w:val="00652688"/>
    <w:rsid w:val="00652CDF"/>
    <w:rsid w:val="00652D25"/>
    <w:rsid w:val="00652E9A"/>
    <w:rsid w:val="00653171"/>
    <w:rsid w:val="0065334F"/>
    <w:rsid w:val="006535BC"/>
    <w:rsid w:val="006538F8"/>
    <w:rsid w:val="00653D35"/>
    <w:rsid w:val="006544A6"/>
    <w:rsid w:val="006552A4"/>
    <w:rsid w:val="00655335"/>
    <w:rsid w:val="00655499"/>
    <w:rsid w:val="00655C8B"/>
    <w:rsid w:val="006560C6"/>
    <w:rsid w:val="00656703"/>
    <w:rsid w:val="00656987"/>
    <w:rsid w:val="0065726D"/>
    <w:rsid w:val="006575AA"/>
    <w:rsid w:val="00657669"/>
    <w:rsid w:val="00657CC0"/>
    <w:rsid w:val="00657D5B"/>
    <w:rsid w:val="00657F4C"/>
    <w:rsid w:val="006600B4"/>
    <w:rsid w:val="006605AB"/>
    <w:rsid w:val="0066060D"/>
    <w:rsid w:val="00660C86"/>
    <w:rsid w:val="00660E3D"/>
    <w:rsid w:val="00661480"/>
    <w:rsid w:val="00661EEA"/>
    <w:rsid w:val="00662314"/>
    <w:rsid w:val="00662C28"/>
    <w:rsid w:val="00662FC2"/>
    <w:rsid w:val="00663BCF"/>
    <w:rsid w:val="006641C5"/>
    <w:rsid w:val="00664224"/>
    <w:rsid w:val="006642BA"/>
    <w:rsid w:val="0066442F"/>
    <w:rsid w:val="006645CC"/>
    <w:rsid w:val="0066494E"/>
    <w:rsid w:val="00664B01"/>
    <w:rsid w:val="00664B32"/>
    <w:rsid w:val="00664F23"/>
    <w:rsid w:val="006657C4"/>
    <w:rsid w:val="0066588C"/>
    <w:rsid w:val="006659A0"/>
    <w:rsid w:val="006663CE"/>
    <w:rsid w:val="00666598"/>
    <w:rsid w:val="0066694B"/>
    <w:rsid w:val="00666967"/>
    <w:rsid w:val="006669B5"/>
    <w:rsid w:val="00666E19"/>
    <w:rsid w:val="00666E50"/>
    <w:rsid w:val="006672D4"/>
    <w:rsid w:val="00667616"/>
    <w:rsid w:val="0066764E"/>
    <w:rsid w:val="00667766"/>
    <w:rsid w:val="0066D0C4"/>
    <w:rsid w:val="00670BF5"/>
    <w:rsid w:val="00671566"/>
    <w:rsid w:val="00671A0D"/>
    <w:rsid w:val="006722C7"/>
    <w:rsid w:val="0067239A"/>
    <w:rsid w:val="00672515"/>
    <w:rsid w:val="00672788"/>
    <w:rsid w:val="00672825"/>
    <w:rsid w:val="00672921"/>
    <w:rsid w:val="00672B69"/>
    <w:rsid w:val="00672BCA"/>
    <w:rsid w:val="00673124"/>
    <w:rsid w:val="0067319A"/>
    <w:rsid w:val="006731A4"/>
    <w:rsid w:val="006736C8"/>
    <w:rsid w:val="0067383F"/>
    <w:rsid w:val="00673F0E"/>
    <w:rsid w:val="00673F57"/>
    <w:rsid w:val="00674060"/>
    <w:rsid w:val="006740B9"/>
    <w:rsid w:val="00674131"/>
    <w:rsid w:val="00674790"/>
    <w:rsid w:val="0067484E"/>
    <w:rsid w:val="00674BEE"/>
    <w:rsid w:val="00675134"/>
    <w:rsid w:val="006754EC"/>
    <w:rsid w:val="00675726"/>
    <w:rsid w:val="0067585C"/>
    <w:rsid w:val="00675B9D"/>
    <w:rsid w:val="00675E86"/>
    <w:rsid w:val="0067707B"/>
    <w:rsid w:val="006772EA"/>
    <w:rsid w:val="00677621"/>
    <w:rsid w:val="0067795C"/>
    <w:rsid w:val="00677A56"/>
    <w:rsid w:val="00677D72"/>
    <w:rsid w:val="00681369"/>
    <w:rsid w:val="00681466"/>
    <w:rsid w:val="00681592"/>
    <w:rsid w:val="00681994"/>
    <w:rsid w:val="006821C2"/>
    <w:rsid w:val="0068293F"/>
    <w:rsid w:val="006829C1"/>
    <w:rsid w:val="00683237"/>
    <w:rsid w:val="0068343E"/>
    <w:rsid w:val="00683E65"/>
    <w:rsid w:val="00684430"/>
    <w:rsid w:val="0068492B"/>
    <w:rsid w:val="00684A0C"/>
    <w:rsid w:val="00684BDB"/>
    <w:rsid w:val="00684E08"/>
    <w:rsid w:val="0068501B"/>
    <w:rsid w:val="00685D56"/>
    <w:rsid w:val="006860E4"/>
    <w:rsid w:val="006860F5"/>
    <w:rsid w:val="006861A2"/>
    <w:rsid w:val="00686467"/>
    <w:rsid w:val="00686ABC"/>
    <w:rsid w:val="00686CF1"/>
    <w:rsid w:val="00686EED"/>
    <w:rsid w:val="006878DB"/>
    <w:rsid w:val="00687984"/>
    <w:rsid w:val="006900A9"/>
    <w:rsid w:val="006901DE"/>
    <w:rsid w:val="006905BA"/>
    <w:rsid w:val="00690939"/>
    <w:rsid w:val="00690AE1"/>
    <w:rsid w:val="00690D35"/>
    <w:rsid w:val="00690E5B"/>
    <w:rsid w:val="0069171C"/>
    <w:rsid w:val="00691781"/>
    <w:rsid w:val="00691936"/>
    <w:rsid w:val="00691B9C"/>
    <w:rsid w:val="00691BE3"/>
    <w:rsid w:val="00691C48"/>
    <w:rsid w:val="00692772"/>
    <w:rsid w:val="0069277A"/>
    <w:rsid w:val="00692830"/>
    <w:rsid w:val="00692879"/>
    <w:rsid w:val="00692BFF"/>
    <w:rsid w:val="006932EF"/>
    <w:rsid w:val="00693323"/>
    <w:rsid w:val="006936AD"/>
    <w:rsid w:val="00693778"/>
    <w:rsid w:val="006938E6"/>
    <w:rsid w:val="006941E0"/>
    <w:rsid w:val="006947A2"/>
    <w:rsid w:val="00694C6D"/>
    <w:rsid w:val="00694F79"/>
    <w:rsid w:val="00695172"/>
    <w:rsid w:val="0069530D"/>
    <w:rsid w:val="0069541B"/>
    <w:rsid w:val="006954D6"/>
    <w:rsid w:val="00695AFB"/>
    <w:rsid w:val="00695D2C"/>
    <w:rsid w:val="006960F4"/>
    <w:rsid w:val="006961EA"/>
    <w:rsid w:val="006967BF"/>
    <w:rsid w:val="00696EDD"/>
    <w:rsid w:val="00697532"/>
    <w:rsid w:val="00697563"/>
    <w:rsid w:val="0069778F"/>
    <w:rsid w:val="00697A45"/>
    <w:rsid w:val="00697BC5"/>
    <w:rsid w:val="00697CDC"/>
    <w:rsid w:val="006A0433"/>
    <w:rsid w:val="006A0B3E"/>
    <w:rsid w:val="006A12AC"/>
    <w:rsid w:val="006A12C1"/>
    <w:rsid w:val="006A148A"/>
    <w:rsid w:val="006A1560"/>
    <w:rsid w:val="006A1672"/>
    <w:rsid w:val="006A1DC6"/>
    <w:rsid w:val="006A2344"/>
    <w:rsid w:val="006A2365"/>
    <w:rsid w:val="006A2A61"/>
    <w:rsid w:val="006A2A6A"/>
    <w:rsid w:val="006A382F"/>
    <w:rsid w:val="006A3B10"/>
    <w:rsid w:val="006A4147"/>
    <w:rsid w:val="006A44F1"/>
    <w:rsid w:val="006A4590"/>
    <w:rsid w:val="006A4A39"/>
    <w:rsid w:val="006A4BDA"/>
    <w:rsid w:val="006A4D11"/>
    <w:rsid w:val="006A4F4C"/>
    <w:rsid w:val="006A572E"/>
    <w:rsid w:val="006A57C4"/>
    <w:rsid w:val="006A5D6E"/>
    <w:rsid w:val="006A6232"/>
    <w:rsid w:val="006A6E41"/>
    <w:rsid w:val="006A6EAC"/>
    <w:rsid w:val="006A72DA"/>
    <w:rsid w:val="006A7390"/>
    <w:rsid w:val="006A78B6"/>
    <w:rsid w:val="006A7CD6"/>
    <w:rsid w:val="006A7CDF"/>
    <w:rsid w:val="006B0116"/>
    <w:rsid w:val="006B0301"/>
    <w:rsid w:val="006B059A"/>
    <w:rsid w:val="006B0A5B"/>
    <w:rsid w:val="006B0A91"/>
    <w:rsid w:val="006B1005"/>
    <w:rsid w:val="006B100C"/>
    <w:rsid w:val="006B1130"/>
    <w:rsid w:val="006B17CF"/>
    <w:rsid w:val="006B1C1C"/>
    <w:rsid w:val="006B1ECC"/>
    <w:rsid w:val="006B227C"/>
    <w:rsid w:val="006B235F"/>
    <w:rsid w:val="006B277A"/>
    <w:rsid w:val="006B279C"/>
    <w:rsid w:val="006B2929"/>
    <w:rsid w:val="006B2A62"/>
    <w:rsid w:val="006B2C2B"/>
    <w:rsid w:val="006B310A"/>
    <w:rsid w:val="006B355E"/>
    <w:rsid w:val="006B3878"/>
    <w:rsid w:val="006B3B8F"/>
    <w:rsid w:val="006B3E2E"/>
    <w:rsid w:val="006B3F9C"/>
    <w:rsid w:val="006B3FDA"/>
    <w:rsid w:val="006B4053"/>
    <w:rsid w:val="006B42C6"/>
    <w:rsid w:val="006B4351"/>
    <w:rsid w:val="006B46CB"/>
    <w:rsid w:val="006B480F"/>
    <w:rsid w:val="006B4A22"/>
    <w:rsid w:val="006B4DC5"/>
    <w:rsid w:val="006B4E81"/>
    <w:rsid w:val="006B4F08"/>
    <w:rsid w:val="006B5044"/>
    <w:rsid w:val="006B507E"/>
    <w:rsid w:val="006B5356"/>
    <w:rsid w:val="006B5540"/>
    <w:rsid w:val="006B5695"/>
    <w:rsid w:val="006B5D66"/>
    <w:rsid w:val="006B64E2"/>
    <w:rsid w:val="006B6533"/>
    <w:rsid w:val="006B6946"/>
    <w:rsid w:val="006B69B0"/>
    <w:rsid w:val="006B6B36"/>
    <w:rsid w:val="006B70B6"/>
    <w:rsid w:val="006B79F5"/>
    <w:rsid w:val="006C0406"/>
    <w:rsid w:val="006C056C"/>
    <w:rsid w:val="006C0621"/>
    <w:rsid w:val="006C07BD"/>
    <w:rsid w:val="006C07E2"/>
    <w:rsid w:val="006C0AA0"/>
    <w:rsid w:val="006C0D8C"/>
    <w:rsid w:val="006C0DC3"/>
    <w:rsid w:val="006C1541"/>
    <w:rsid w:val="006C1AD6"/>
    <w:rsid w:val="006C1FE9"/>
    <w:rsid w:val="006C28CB"/>
    <w:rsid w:val="006C2FB7"/>
    <w:rsid w:val="006C31A6"/>
    <w:rsid w:val="006C3958"/>
    <w:rsid w:val="006C3980"/>
    <w:rsid w:val="006C3BD7"/>
    <w:rsid w:val="006C3D2D"/>
    <w:rsid w:val="006C3E63"/>
    <w:rsid w:val="006C400D"/>
    <w:rsid w:val="006C43DA"/>
    <w:rsid w:val="006C4BE6"/>
    <w:rsid w:val="006C4E35"/>
    <w:rsid w:val="006C5923"/>
    <w:rsid w:val="006C5C84"/>
    <w:rsid w:val="006C67A0"/>
    <w:rsid w:val="006C6B83"/>
    <w:rsid w:val="006C6FDC"/>
    <w:rsid w:val="006C7287"/>
    <w:rsid w:val="006C766E"/>
    <w:rsid w:val="006C785F"/>
    <w:rsid w:val="006D061D"/>
    <w:rsid w:val="006D092D"/>
    <w:rsid w:val="006D0B34"/>
    <w:rsid w:val="006D0E37"/>
    <w:rsid w:val="006D0F62"/>
    <w:rsid w:val="006D1116"/>
    <w:rsid w:val="006D1467"/>
    <w:rsid w:val="006D171B"/>
    <w:rsid w:val="006D21BA"/>
    <w:rsid w:val="006D22DD"/>
    <w:rsid w:val="006D266D"/>
    <w:rsid w:val="006D28CC"/>
    <w:rsid w:val="006D2A7C"/>
    <w:rsid w:val="006D3B77"/>
    <w:rsid w:val="006D4199"/>
    <w:rsid w:val="006D4212"/>
    <w:rsid w:val="006D4819"/>
    <w:rsid w:val="006D497C"/>
    <w:rsid w:val="006D4A71"/>
    <w:rsid w:val="006D4DA5"/>
    <w:rsid w:val="006D4E6D"/>
    <w:rsid w:val="006D50D3"/>
    <w:rsid w:val="006D52F7"/>
    <w:rsid w:val="006D538A"/>
    <w:rsid w:val="006D5784"/>
    <w:rsid w:val="006D583E"/>
    <w:rsid w:val="006D5CDE"/>
    <w:rsid w:val="006D5E6C"/>
    <w:rsid w:val="006D5F4C"/>
    <w:rsid w:val="006D613B"/>
    <w:rsid w:val="006D63AA"/>
    <w:rsid w:val="006D6857"/>
    <w:rsid w:val="006D6881"/>
    <w:rsid w:val="006D6BAF"/>
    <w:rsid w:val="006D6C19"/>
    <w:rsid w:val="006D6D42"/>
    <w:rsid w:val="006D6DD6"/>
    <w:rsid w:val="006D77CA"/>
    <w:rsid w:val="006D799D"/>
    <w:rsid w:val="006E0BF4"/>
    <w:rsid w:val="006E0D1C"/>
    <w:rsid w:val="006E0E38"/>
    <w:rsid w:val="006E11DD"/>
    <w:rsid w:val="006E14F7"/>
    <w:rsid w:val="006E1684"/>
    <w:rsid w:val="006E17F5"/>
    <w:rsid w:val="006E18E3"/>
    <w:rsid w:val="006E1A6C"/>
    <w:rsid w:val="006E1AB1"/>
    <w:rsid w:val="006E1D83"/>
    <w:rsid w:val="006E1EDB"/>
    <w:rsid w:val="006E1F93"/>
    <w:rsid w:val="006E23ED"/>
    <w:rsid w:val="006E2937"/>
    <w:rsid w:val="006E2C03"/>
    <w:rsid w:val="006E325B"/>
    <w:rsid w:val="006E33CD"/>
    <w:rsid w:val="006E35EF"/>
    <w:rsid w:val="006E385B"/>
    <w:rsid w:val="006E3F16"/>
    <w:rsid w:val="006E415A"/>
    <w:rsid w:val="006E44F0"/>
    <w:rsid w:val="006E45D5"/>
    <w:rsid w:val="006E4676"/>
    <w:rsid w:val="006E4A48"/>
    <w:rsid w:val="006E5A9C"/>
    <w:rsid w:val="006E5B07"/>
    <w:rsid w:val="006E5B28"/>
    <w:rsid w:val="006E5C10"/>
    <w:rsid w:val="006E5CAC"/>
    <w:rsid w:val="006E5E1B"/>
    <w:rsid w:val="006E63B8"/>
    <w:rsid w:val="006E669C"/>
    <w:rsid w:val="006E6716"/>
    <w:rsid w:val="006E67F0"/>
    <w:rsid w:val="006E6ACE"/>
    <w:rsid w:val="006E7176"/>
    <w:rsid w:val="006E724E"/>
    <w:rsid w:val="006E731D"/>
    <w:rsid w:val="006E73F9"/>
    <w:rsid w:val="006E78B0"/>
    <w:rsid w:val="006E79BA"/>
    <w:rsid w:val="006E79EA"/>
    <w:rsid w:val="006E7C78"/>
    <w:rsid w:val="006E7EA7"/>
    <w:rsid w:val="006E7F3A"/>
    <w:rsid w:val="006F0002"/>
    <w:rsid w:val="006F0174"/>
    <w:rsid w:val="006F0503"/>
    <w:rsid w:val="006F0885"/>
    <w:rsid w:val="006F09CD"/>
    <w:rsid w:val="006F0D1F"/>
    <w:rsid w:val="006F0EF5"/>
    <w:rsid w:val="006F13A8"/>
    <w:rsid w:val="006F1C3F"/>
    <w:rsid w:val="006F1D9D"/>
    <w:rsid w:val="006F20BC"/>
    <w:rsid w:val="006F214C"/>
    <w:rsid w:val="006F2342"/>
    <w:rsid w:val="006F2AE3"/>
    <w:rsid w:val="006F2BA7"/>
    <w:rsid w:val="006F2CA5"/>
    <w:rsid w:val="006F3B34"/>
    <w:rsid w:val="006F402B"/>
    <w:rsid w:val="006F421F"/>
    <w:rsid w:val="006F4527"/>
    <w:rsid w:val="006F52F0"/>
    <w:rsid w:val="006F554C"/>
    <w:rsid w:val="006F5557"/>
    <w:rsid w:val="006F55FD"/>
    <w:rsid w:val="006F5625"/>
    <w:rsid w:val="006F5803"/>
    <w:rsid w:val="006F5840"/>
    <w:rsid w:val="006F59C9"/>
    <w:rsid w:val="006F5A1A"/>
    <w:rsid w:val="006F5A2E"/>
    <w:rsid w:val="006F5F3E"/>
    <w:rsid w:val="006F6AB1"/>
    <w:rsid w:val="006F6CAA"/>
    <w:rsid w:val="006F6D8E"/>
    <w:rsid w:val="006F6EE9"/>
    <w:rsid w:val="006F7A85"/>
    <w:rsid w:val="006F7C93"/>
    <w:rsid w:val="006F7D10"/>
    <w:rsid w:val="007006E5"/>
    <w:rsid w:val="00700D9A"/>
    <w:rsid w:val="00701298"/>
    <w:rsid w:val="0070177A"/>
    <w:rsid w:val="00701D44"/>
    <w:rsid w:val="00702170"/>
    <w:rsid w:val="0070246E"/>
    <w:rsid w:val="00702A49"/>
    <w:rsid w:val="00703292"/>
    <w:rsid w:val="00703554"/>
    <w:rsid w:val="0070362B"/>
    <w:rsid w:val="00703DA8"/>
    <w:rsid w:val="00703DB9"/>
    <w:rsid w:val="00704004"/>
    <w:rsid w:val="00704159"/>
    <w:rsid w:val="007042D6"/>
    <w:rsid w:val="007044D1"/>
    <w:rsid w:val="0070485A"/>
    <w:rsid w:val="00704865"/>
    <w:rsid w:val="0070487C"/>
    <w:rsid w:val="0070490F"/>
    <w:rsid w:val="00704986"/>
    <w:rsid w:val="007052EE"/>
    <w:rsid w:val="007056A1"/>
    <w:rsid w:val="007058A3"/>
    <w:rsid w:val="0070662E"/>
    <w:rsid w:val="00706D65"/>
    <w:rsid w:val="00706E51"/>
    <w:rsid w:val="00706EC7"/>
    <w:rsid w:val="00707044"/>
    <w:rsid w:val="0070723A"/>
    <w:rsid w:val="0070746A"/>
    <w:rsid w:val="00707666"/>
    <w:rsid w:val="00707885"/>
    <w:rsid w:val="007105C4"/>
    <w:rsid w:val="0071073B"/>
    <w:rsid w:val="00710B9D"/>
    <w:rsid w:val="007111F5"/>
    <w:rsid w:val="007112C9"/>
    <w:rsid w:val="00711B14"/>
    <w:rsid w:val="0071250D"/>
    <w:rsid w:val="00712772"/>
    <w:rsid w:val="0071292E"/>
    <w:rsid w:val="00712BD7"/>
    <w:rsid w:val="00712D25"/>
    <w:rsid w:val="0071329A"/>
    <w:rsid w:val="007134E0"/>
    <w:rsid w:val="007145EF"/>
    <w:rsid w:val="0071477F"/>
    <w:rsid w:val="00714A84"/>
    <w:rsid w:val="00716499"/>
    <w:rsid w:val="00716D84"/>
    <w:rsid w:val="00716DD5"/>
    <w:rsid w:val="00716E85"/>
    <w:rsid w:val="0071726C"/>
    <w:rsid w:val="0071752E"/>
    <w:rsid w:val="007176EC"/>
    <w:rsid w:val="00720226"/>
    <w:rsid w:val="00720306"/>
    <w:rsid w:val="0072041A"/>
    <w:rsid w:val="00720FCD"/>
    <w:rsid w:val="00721AF2"/>
    <w:rsid w:val="00721DCF"/>
    <w:rsid w:val="0072250E"/>
    <w:rsid w:val="00722596"/>
    <w:rsid w:val="007227E2"/>
    <w:rsid w:val="00722E26"/>
    <w:rsid w:val="00722E56"/>
    <w:rsid w:val="007232ED"/>
    <w:rsid w:val="00723D85"/>
    <w:rsid w:val="00724418"/>
    <w:rsid w:val="00724446"/>
    <w:rsid w:val="0072478C"/>
    <w:rsid w:val="0072482D"/>
    <w:rsid w:val="00724E90"/>
    <w:rsid w:val="0072521D"/>
    <w:rsid w:val="007256D9"/>
    <w:rsid w:val="00725DB8"/>
    <w:rsid w:val="00725E7D"/>
    <w:rsid w:val="007264B1"/>
    <w:rsid w:val="00726C7D"/>
    <w:rsid w:val="00726E04"/>
    <w:rsid w:val="00727363"/>
    <w:rsid w:val="0072736C"/>
    <w:rsid w:val="00727715"/>
    <w:rsid w:val="00727E19"/>
    <w:rsid w:val="00727EE9"/>
    <w:rsid w:val="00727EF0"/>
    <w:rsid w:val="00727F2A"/>
    <w:rsid w:val="007301EA"/>
    <w:rsid w:val="00730228"/>
    <w:rsid w:val="0073100D"/>
    <w:rsid w:val="00731360"/>
    <w:rsid w:val="00731827"/>
    <w:rsid w:val="007319F0"/>
    <w:rsid w:val="00731C57"/>
    <w:rsid w:val="007323F1"/>
    <w:rsid w:val="007324A1"/>
    <w:rsid w:val="00732891"/>
    <w:rsid w:val="00732AB3"/>
    <w:rsid w:val="00732ED0"/>
    <w:rsid w:val="007331F0"/>
    <w:rsid w:val="007335BF"/>
    <w:rsid w:val="00733731"/>
    <w:rsid w:val="0073388A"/>
    <w:rsid w:val="0073392B"/>
    <w:rsid w:val="00733938"/>
    <w:rsid w:val="0073429B"/>
    <w:rsid w:val="007342FC"/>
    <w:rsid w:val="00734300"/>
    <w:rsid w:val="0073481A"/>
    <w:rsid w:val="007350EC"/>
    <w:rsid w:val="007355F5"/>
    <w:rsid w:val="007356B8"/>
    <w:rsid w:val="00735944"/>
    <w:rsid w:val="00735B46"/>
    <w:rsid w:val="00735C4C"/>
    <w:rsid w:val="00735C68"/>
    <w:rsid w:val="00736221"/>
    <w:rsid w:val="00736690"/>
    <w:rsid w:val="0073672E"/>
    <w:rsid w:val="0073682D"/>
    <w:rsid w:val="00736869"/>
    <w:rsid w:val="00736A54"/>
    <w:rsid w:val="0073722C"/>
    <w:rsid w:val="007372C2"/>
    <w:rsid w:val="0073753E"/>
    <w:rsid w:val="007378AE"/>
    <w:rsid w:val="00737AD3"/>
    <w:rsid w:val="00737CE8"/>
    <w:rsid w:val="00740376"/>
    <w:rsid w:val="0074071F"/>
    <w:rsid w:val="00740744"/>
    <w:rsid w:val="007407C2"/>
    <w:rsid w:val="007412AC"/>
    <w:rsid w:val="00741344"/>
    <w:rsid w:val="007413F0"/>
    <w:rsid w:val="0074145A"/>
    <w:rsid w:val="007414C6"/>
    <w:rsid w:val="00741BFD"/>
    <w:rsid w:val="00741C76"/>
    <w:rsid w:val="007422FE"/>
    <w:rsid w:val="00742351"/>
    <w:rsid w:val="007424C6"/>
    <w:rsid w:val="0074265B"/>
    <w:rsid w:val="00742788"/>
    <w:rsid w:val="00742B38"/>
    <w:rsid w:val="00742B8F"/>
    <w:rsid w:val="00742C4E"/>
    <w:rsid w:val="0074329E"/>
    <w:rsid w:val="007438A4"/>
    <w:rsid w:val="00743CC1"/>
    <w:rsid w:val="00743F69"/>
    <w:rsid w:val="00744200"/>
    <w:rsid w:val="0074442E"/>
    <w:rsid w:val="00744724"/>
    <w:rsid w:val="00744837"/>
    <w:rsid w:val="0074488E"/>
    <w:rsid w:val="00744BCD"/>
    <w:rsid w:val="00744BDD"/>
    <w:rsid w:val="00745EA2"/>
    <w:rsid w:val="007463B3"/>
    <w:rsid w:val="00746A78"/>
    <w:rsid w:val="00746FAD"/>
    <w:rsid w:val="0074722B"/>
    <w:rsid w:val="007473C1"/>
    <w:rsid w:val="007477C2"/>
    <w:rsid w:val="00747905"/>
    <w:rsid w:val="00747D0E"/>
    <w:rsid w:val="00747D7A"/>
    <w:rsid w:val="00747D8B"/>
    <w:rsid w:val="0075003A"/>
    <w:rsid w:val="00750952"/>
    <w:rsid w:val="00750EE2"/>
    <w:rsid w:val="00751012"/>
    <w:rsid w:val="007511D2"/>
    <w:rsid w:val="00751660"/>
    <w:rsid w:val="00751C82"/>
    <w:rsid w:val="00751CF5"/>
    <w:rsid w:val="00751D71"/>
    <w:rsid w:val="00751D91"/>
    <w:rsid w:val="00751DC3"/>
    <w:rsid w:val="00751FEE"/>
    <w:rsid w:val="007521E3"/>
    <w:rsid w:val="007529ED"/>
    <w:rsid w:val="00752EB4"/>
    <w:rsid w:val="00753323"/>
    <w:rsid w:val="007534D7"/>
    <w:rsid w:val="0075353D"/>
    <w:rsid w:val="00753B75"/>
    <w:rsid w:val="00753E88"/>
    <w:rsid w:val="00753FD9"/>
    <w:rsid w:val="00754495"/>
    <w:rsid w:val="00754598"/>
    <w:rsid w:val="00754602"/>
    <w:rsid w:val="0075483B"/>
    <w:rsid w:val="00754B2E"/>
    <w:rsid w:val="00754BE8"/>
    <w:rsid w:val="0075502F"/>
    <w:rsid w:val="00755340"/>
    <w:rsid w:val="00755CB7"/>
    <w:rsid w:val="00755F1F"/>
    <w:rsid w:val="00755FC1"/>
    <w:rsid w:val="0075609A"/>
    <w:rsid w:val="007560AF"/>
    <w:rsid w:val="00756640"/>
    <w:rsid w:val="00756678"/>
    <w:rsid w:val="00756A05"/>
    <w:rsid w:val="00756BA9"/>
    <w:rsid w:val="00756D7B"/>
    <w:rsid w:val="00757248"/>
    <w:rsid w:val="0075738E"/>
    <w:rsid w:val="007579A2"/>
    <w:rsid w:val="00760157"/>
    <w:rsid w:val="0076038B"/>
    <w:rsid w:val="00760AC1"/>
    <w:rsid w:val="00760EDF"/>
    <w:rsid w:val="00760F6D"/>
    <w:rsid w:val="0076113E"/>
    <w:rsid w:val="00761A6C"/>
    <w:rsid w:val="00761F12"/>
    <w:rsid w:val="00761FCD"/>
    <w:rsid w:val="007623C6"/>
    <w:rsid w:val="0076272F"/>
    <w:rsid w:val="007627F3"/>
    <w:rsid w:val="00762CA3"/>
    <w:rsid w:val="00763254"/>
    <w:rsid w:val="00763606"/>
    <w:rsid w:val="00763777"/>
    <w:rsid w:val="00764CD2"/>
    <w:rsid w:val="00764D2D"/>
    <w:rsid w:val="00764D9D"/>
    <w:rsid w:val="00764EEA"/>
    <w:rsid w:val="007654EB"/>
    <w:rsid w:val="007655BE"/>
    <w:rsid w:val="007658BD"/>
    <w:rsid w:val="00765A3E"/>
    <w:rsid w:val="00766491"/>
    <w:rsid w:val="007667A9"/>
    <w:rsid w:val="00766846"/>
    <w:rsid w:val="00766C97"/>
    <w:rsid w:val="0076724E"/>
    <w:rsid w:val="00767277"/>
    <w:rsid w:val="00767C59"/>
    <w:rsid w:val="00767DE7"/>
    <w:rsid w:val="00767E07"/>
    <w:rsid w:val="00767E83"/>
    <w:rsid w:val="007701B9"/>
    <w:rsid w:val="00770589"/>
    <w:rsid w:val="007709D7"/>
    <w:rsid w:val="00770AE0"/>
    <w:rsid w:val="00770F22"/>
    <w:rsid w:val="0077190C"/>
    <w:rsid w:val="00771A4F"/>
    <w:rsid w:val="00771B04"/>
    <w:rsid w:val="0077209A"/>
    <w:rsid w:val="007721F7"/>
    <w:rsid w:val="007726CE"/>
    <w:rsid w:val="00772A05"/>
    <w:rsid w:val="0077368C"/>
    <w:rsid w:val="00773B83"/>
    <w:rsid w:val="00773BFE"/>
    <w:rsid w:val="0077457D"/>
    <w:rsid w:val="007755B4"/>
    <w:rsid w:val="00775643"/>
    <w:rsid w:val="00775671"/>
    <w:rsid w:val="0077591F"/>
    <w:rsid w:val="00776084"/>
    <w:rsid w:val="0077612C"/>
    <w:rsid w:val="00776284"/>
    <w:rsid w:val="0077690C"/>
    <w:rsid w:val="00776FBC"/>
    <w:rsid w:val="0077753E"/>
    <w:rsid w:val="00777AB0"/>
    <w:rsid w:val="00777B17"/>
    <w:rsid w:val="00780205"/>
    <w:rsid w:val="0078029C"/>
    <w:rsid w:val="00780509"/>
    <w:rsid w:val="007808EC"/>
    <w:rsid w:val="00780EFC"/>
    <w:rsid w:val="00781413"/>
    <w:rsid w:val="007814E9"/>
    <w:rsid w:val="00781696"/>
    <w:rsid w:val="00781D2B"/>
    <w:rsid w:val="0078218E"/>
    <w:rsid w:val="007825BF"/>
    <w:rsid w:val="00782CD8"/>
    <w:rsid w:val="007846F4"/>
    <w:rsid w:val="007848F2"/>
    <w:rsid w:val="00784A19"/>
    <w:rsid w:val="00785233"/>
    <w:rsid w:val="00785884"/>
    <w:rsid w:val="007859E4"/>
    <w:rsid w:val="00785A99"/>
    <w:rsid w:val="00785E2C"/>
    <w:rsid w:val="00786078"/>
    <w:rsid w:val="0078622D"/>
    <w:rsid w:val="007866B4"/>
    <w:rsid w:val="00786BB8"/>
    <w:rsid w:val="00786D6B"/>
    <w:rsid w:val="00786DB2"/>
    <w:rsid w:val="00787082"/>
    <w:rsid w:val="00787AEF"/>
    <w:rsid w:val="00790009"/>
    <w:rsid w:val="0079086C"/>
    <w:rsid w:val="00790F59"/>
    <w:rsid w:val="007913AD"/>
    <w:rsid w:val="007913CB"/>
    <w:rsid w:val="0079142A"/>
    <w:rsid w:val="0079165D"/>
    <w:rsid w:val="00791E11"/>
    <w:rsid w:val="00792D6D"/>
    <w:rsid w:val="007933AF"/>
    <w:rsid w:val="007934EE"/>
    <w:rsid w:val="007939C6"/>
    <w:rsid w:val="00793DE3"/>
    <w:rsid w:val="00794130"/>
    <w:rsid w:val="007942E3"/>
    <w:rsid w:val="00794330"/>
    <w:rsid w:val="0079456C"/>
    <w:rsid w:val="00794917"/>
    <w:rsid w:val="007949CB"/>
    <w:rsid w:val="00794F8E"/>
    <w:rsid w:val="00795883"/>
    <w:rsid w:val="00795D86"/>
    <w:rsid w:val="00796402"/>
    <w:rsid w:val="00796770"/>
    <w:rsid w:val="007969BA"/>
    <w:rsid w:val="00796A1C"/>
    <w:rsid w:val="00796A36"/>
    <w:rsid w:val="00797242"/>
    <w:rsid w:val="007972C1"/>
    <w:rsid w:val="007975F4"/>
    <w:rsid w:val="007A0659"/>
    <w:rsid w:val="007A06A6"/>
    <w:rsid w:val="007A0783"/>
    <w:rsid w:val="007A07BB"/>
    <w:rsid w:val="007A0B8D"/>
    <w:rsid w:val="007A0BFA"/>
    <w:rsid w:val="007A0FC0"/>
    <w:rsid w:val="007A1482"/>
    <w:rsid w:val="007A15C9"/>
    <w:rsid w:val="007A1663"/>
    <w:rsid w:val="007A1690"/>
    <w:rsid w:val="007A1949"/>
    <w:rsid w:val="007A1D81"/>
    <w:rsid w:val="007A1E96"/>
    <w:rsid w:val="007A2A2D"/>
    <w:rsid w:val="007A2FEC"/>
    <w:rsid w:val="007A32A2"/>
    <w:rsid w:val="007A37DD"/>
    <w:rsid w:val="007A3AF7"/>
    <w:rsid w:val="007A3C6B"/>
    <w:rsid w:val="007A4407"/>
    <w:rsid w:val="007A472C"/>
    <w:rsid w:val="007A4741"/>
    <w:rsid w:val="007A4B6E"/>
    <w:rsid w:val="007A57D6"/>
    <w:rsid w:val="007A613A"/>
    <w:rsid w:val="007A6380"/>
    <w:rsid w:val="007A703A"/>
    <w:rsid w:val="007A7477"/>
    <w:rsid w:val="007A7861"/>
    <w:rsid w:val="007B0547"/>
    <w:rsid w:val="007B06CA"/>
    <w:rsid w:val="007B0754"/>
    <w:rsid w:val="007B1448"/>
    <w:rsid w:val="007B1718"/>
    <w:rsid w:val="007B212A"/>
    <w:rsid w:val="007B2140"/>
    <w:rsid w:val="007B25CA"/>
    <w:rsid w:val="007B2724"/>
    <w:rsid w:val="007B2E0D"/>
    <w:rsid w:val="007B3137"/>
    <w:rsid w:val="007B3183"/>
    <w:rsid w:val="007B31A8"/>
    <w:rsid w:val="007B3287"/>
    <w:rsid w:val="007B3821"/>
    <w:rsid w:val="007B3A77"/>
    <w:rsid w:val="007B41F8"/>
    <w:rsid w:val="007B44F2"/>
    <w:rsid w:val="007B45DE"/>
    <w:rsid w:val="007B4635"/>
    <w:rsid w:val="007B46D5"/>
    <w:rsid w:val="007B4B4E"/>
    <w:rsid w:val="007B4F93"/>
    <w:rsid w:val="007B51CD"/>
    <w:rsid w:val="007B563C"/>
    <w:rsid w:val="007B571B"/>
    <w:rsid w:val="007B5893"/>
    <w:rsid w:val="007B59DE"/>
    <w:rsid w:val="007B6280"/>
    <w:rsid w:val="007B6402"/>
    <w:rsid w:val="007B665B"/>
    <w:rsid w:val="007B66A8"/>
    <w:rsid w:val="007B6D03"/>
    <w:rsid w:val="007B6D6D"/>
    <w:rsid w:val="007B70AD"/>
    <w:rsid w:val="007B70AE"/>
    <w:rsid w:val="007B7E72"/>
    <w:rsid w:val="007C02ED"/>
    <w:rsid w:val="007C03DA"/>
    <w:rsid w:val="007C071C"/>
    <w:rsid w:val="007C09F0"/>
    <w:rsid w:val="007C0C8D"/>
    <w:rsid w:val="007C1142"/>
    <w:rsid w:val="007C1317"/>
    <w:rsid w:val="007C184A"/>
    <w:rsid w:val="007C1C34"/>
    <w:rsid w:val="007C2964"/>
    <w:rsid w:val="007C29C6"/>
    <w:rsid w:val="007C2A6C"/>
    <w:rsid w:val="007C2DD7"/>
    <w:rsid w:val="007C2E8B"/>
    <w:rsid w:val="007C2F5D"/>
    <w:rsid w:val="007C33CA"/>
    <w:rsid w:val="007C41DF"/>
    <w:rsid w:val="007C4629"/>
    <w:rsid w:val="007C4A09"/>
    <w:rsid w:val="007C4B51"/>
    <w:rsid w:val="007C5019"/>
    <w:rsid w:val="007C5809"/>
    <w:rsid w:val="007C5900"/>
    <w:rsid w:val="007C5976"/>
    <w:rsid w:val="007C5B82"/>
    <w:rsid w:val="007C5F21"/>
    <w:rsid w:val="007C64A2"/>
    <w:rsid w:val="007C663B"/>
    <w:rsid w:val="007C66DE"/>
    <w:rsid w:val="007C67E1"/>
    <w:rsid w:val="007C67F6"/>
    <w:rsid w:val="007C69EB"/>
    <w:rsid w:val="007C6E47"/>
    <w:rsid w:val="007C7054"/>
    <w:rsid w:val="007C720C"/>
    <w:rsid w:val="007C7642"/>
    <w:rsid w:val="007C7849"/>
    <w:rsid w:val="007C79BF"/>
    <w:rsid w:val="007C7AFD"/>
    <w:rsid w:val="007C7C53"/>
    <w:rsid w:val="007C7DA9"/>
    <w:rsid w:val="007C94CB"/>
    <w:rsid w:val="007D0228"/>
    <w:rsid w:val="007D0C4A"/>
    <w:rsid w:val="007D0F77"/>
    <w:rsid w:val="007D1859"/>
    <w:rsid w:val="007D1CEF"/>
    <w:rsid w:val="007D1EAC"/>
    <w:rsid w:val="007D232E"/>
    <w:rsid w:val="007D2B98"/>
    <w:rsid w:val="007D2C30"/>
    <w:rsid w:val="007D2EC3"/>
    <w:rsid w:val="007D3360"/>
    <w:rsid w:val="007D3368"/>
    <w:rsid w:val="007D33C5"/>
    <w:rsid w:val="007D355F"/>
    <w:rsid w:val="007D3560"/>
    <w:rsid w:val="007D3B22"/>
    <w:rsid w:val="007D3B51"/>
    <w:rsid w:val="007D41A5"/>
    <w:rsid w:val="007D49CE"/>
    <w:rsid w:val="007D4D11"/>
    <w:rsid w:val="007D4E9A"/>
    <w:rsid w:val="007D4FAF"/>
    <w:rsid w:val="007D5219"/>
    <w:rsid w:val="007D53EE"/>
    <w:rsid w:val="007D561D"/>
    <w:rsid w:val="007D561F"/>
    <w:rsid w:val="007D574C"/>
    <w:rsid w:val="007D5908"/>
    <w:rsid w:val="007D5963"/>
    <w:rsid w:val="007D5FB8"/>
    <w:rsid w:val="007D6090"/>
    <w:rsid w:val="007D634C"/>
    <w:rsid w:val="007D6812"/>
    <w:rsid w:val="007D6B95"/>
    <w:rsid w:val="007D75F5"/>
    <w:rsid w:val="007D7635"/>
    <w:rsid w:val="007D76D2"/>
    <w:rsid w:val="007D797D"/>
    <w:rsid w:val="007D7DD4"/>
    <w:rsid w:val="007E0322"/>
    <w:rsid w:val="007E054B"/>
    <w:rsid w:val="007E061E"/>
    <w:rsid w:val="007E0681"/>
    <w:rsid w:val="007E0704"/>
    <w:rsid w:val="007E0C4C"/>
    <w:rsid w:val="007E0E1C"/>
    <w:rsid w:val="007E134B"/>
    <w:rsid w:val="007E16BE"/>
    <w:rsid w:val="007E1E3A"/>
    <w:rsid w:val="007E1F93"/>
    <w:rsid w:val="007E234C"/>
    <w:rsid w:val="007E2D5E"/>
    <w:rsid w:val="007E2FE5"/>
    <w:rsid w:val="007E308C"/>
    <w:rsid w:val="007E3650"/>
    <w:rsid w:val="007E39BB"/>
    <w:rsid w:val="007E3D35"/>
    <w:rsid w:val="007E4010"/>
    <w:rsid w:val="007E4266"/>
    <w:rsid w:val="007E45C6"/>
    <w:rsid w:val="007E4685"/>
    <w:rsid w:val="007E4C95"/>
    <w:rsid w:val="007E4CB7"/>
    <w:rsid w:val="007E505A"/>
    <w:rsid w:val="007E5568"/>
    <w:rsid w:val="007E55B9"/>
    <w:rsid w:val="007E56C7"/>
    <w:rsid w:val="007E5993"/>
    <w:rsid w:val="007E5E9E"/>
    <w:rsid w:val="007E62B2"/>
    <w:rsid w:val="007E6AE0"/>
    <w:rsid w:val="007E6E62"/>
    <w:rsid w:val="007E731B"/>
    <w:rsid w:val="007E76D1"/>
    <w:rsid w:val="007E7982"/>
    <w:rsid w:val="007E7AA7"/>
    <w:rsid w:val="007F00B3"/>
    <w:rsid w:val="007F05DD"/>
    <w:rsid w:val="007F0EFA"/>
    <w:rsid w:val="007F1546"/>
    <w:rsid w:val="007F23A7"/>
    <w:rsid w:val="007F249F"/>
    <w:rsid w:val="007F263A"/>
    <w:rsid w:val="007F2BE8"/>
    <w:rsid w:val="007F2CED"/>
    <w:rsid w:val="007F2EC3"/>
    <w:rsid w:val="007F3216"/>
    <w:rsid w:val="007F35C6"/>
    <w:rsid w:val="007F38C2"/>
    <w:rsid w:val="007F45E9"/>
    <w:rsid w:val="007F484E"/>
    <w:rsid w:val="007F49B9"/>
    <w:rsid w:val="007F4A6E"/>
    <w:rsid w:val="007F4F50"/>
    <w:rsid w:val="007F5211"/>
    <w:rsid w:val="007F54BB"/>
    <w:rsid w:val="007F5C37"/>
    <w:rsid w:val="007F62D9"/>
    <w:rsid w:val="007F6D05"/>
    <w:rsid w:val="007F6E56"/>
    <w:rsid w:val="007F6FD9"/>
    <w:rsid w:val="007F711E"/>
    <w:rsid w:val="007F715D"/>
    <w:rsid w:val="007F74AA"/>
    <w:rsid w:val="007F7B8F"/>
    <w:rsid w:val="008005E3"/>
    <w:rsid w:val="008009E3"/>
    <w:rsid w:val="00800C88"/>
    <w:rsid w:val="0080101C"/>
    <w:rsid w:val="00801193"/>
    <w:rsid w:val="008012FC"/>
    <w:rsid w:val="008015B9"/>
    <w:rsid w:val="00801800"/>
    <w:rsid w:val="00801806"/>
    <w:rsid w:val="00801CED"/>
    <w:rsid w:val="00801DC6"/>
    <w:rsid w:val="00801F49"/>
    <w:rsid w:val="008020D1"/>
    <w:rsid w:val="008025AC"/>
    <w:rsid w:val="00802AB3"/>
    <w:rsid w:val="00802B96"/>
    <w:rsid w:val="00802EBF"/>
    <w:rsid w:val="00803243"/>
    <w:rsid w:val="008035A7"/>
    <w:rsid w:val="0080373C"/>
    <w:rsid w:val="00803E2E"/>
    <w:rsid w:val="00804661"/>
    <w:rsid w:val="00804885"/>
    <w:rsid w:val="00805477"/>
    <w:rsid w:val="00805568"/>
    <w:rsid w:val="008059EA"/>
    <w:rsid w:val="008066A4"/>
    <w:rsid w:val="00806C30"/>
    <w:rsid w:val="00807255"/>
    <w:rsid w:val="00807562"/>
    <w:rsid w:val="0080792D"/>
    <w:rsid w:val="00810257"/>
    <w:rsid w:val="008107C8"/>
    <w:rsid w:val="00811D33"/>
    <w:rsid w:val="00812073"/>
    <w:rsid w:val="00812CF5"/>
    <w:rsid w:val="00812FE4"/>
    <w:rsid w:val="0081336C"/>
    <w:rsid w:val="00813402"/>
    <w:rsid w:val="0081340A"/>
    <w:rsid w:val="00813543"/>
    <w:rsid w:val="008138B5"/>
    <w:rsid w:val="00813A15"/>
    <w:rsid w:val="00813D18"/>
    <w:rsid w:val="00813E65"/>
    <w:rsid w:val="00814424"/>
    <w:rsid w:val="008148AB"/>
    <w:rsid w:val="008149A8"/>
    <w:rsid w:val="00814A02"/>
    <w:rsid w:val="00814A8A"/>
    <w:rsid w:val="00814C83"/>
    <w:rsid w:val="00814E20"/>
    <w:rsid w:val="008150D3"/>
    <w:rsid w:val="008152C5"/>
    <w:rsid w:val="00815309"/>
    <w:rsid w:val="008159B7"/>
    <w:rsid w:val="00816262"/>
    <w:rsid w:val="0081653B"/>
    <w:rsid w:val="0081670E"/>
    <w:rsid w:val="00816BB0"/>
    <w:rsid w:val="0081724D"/>
    <w:rsid w:val="00817401"/>
    <w:rsid w:val="0081742E"/>
    <w:rsid w:val="00817AB5"/>
    <w:rsid w:val="00817C58"/>
    <w:rsid w:val="00817E28"/>
    <w:rsid w:val="00817FA9"/>
    <w:rsid w:val="00817FB2"/>
    <w:rsid w:val="00820054"/>
    <w:rsid w:val="008200A1"/>
    <w:rsid w:val="0082068E"/>
    <w:rsid w:val="00820693"/>
    <w:rsid w:val="008208BA"/>
    <w:rsid w:val="00820C6B"/>
    <w:rsid w:val="00820CAA"/>
    <w:rsid w:val="00820E15"/>
    <w:rsid w:val="008213C7"/>
    <w:rsid w:val="008215A4"/>
    <w:rsid w:val="0082170D"/>
    <w:rsid w:val="0082186C"/>
    <w:rsid w:val="0082194A"/>
    <w:rsid w:val="00821E06"/>
    <w:rsid w:val="00821FD2"/>
    <w:rsid w:val="00822011"/>
    <w:rsid w:val="008227CE"/>
    <w:rsid w:val="008228EE"/>
    <w:rsid w:val="00822E67"/>
    <w:rsid w:val="0082396C"/>
    <w:rsid w:val="00823BB2"/>
    <w:rsid w:val="00823FA2"/>
    <w:rsid w:val="008243C5"/>
    <w:rsid w:val="00824807"/>
    <w:rsid w:val="00824AC5"/>
    <w:rsid w:val="00824BF2"/>
    <w:rsid w:val="00824CC9"/>
    <w:rsid w:val="00824E06"/>
    <w:rsid w:val="008251C0"/>
    <w:rsid w:val="0082549F"/>
    <w:rsid w:val="008254C0"/>
    <w:rsid w:val="00825507"/>
    <w:rsid w:val="008261BE"/>
    <w:rsid w:val="0082668C"/>
    <w:rsid w:val="00826A45"/>
    <w:rsid w:val="00826B75"/>
    <w:rsid w:val="00826F98"/>
    <w:rsid w:val="00827EC1"/>
    <w:rsid w:val="00830091"/>
    <w:rsid w:val="00830351"/>
    <w:rsid w:val="0083078C"/>
    <w:rsid w:val="00830872"/>
    <w:rsid w:val="00830BF1"/>
    <w:rsid w:val="0083147F"/>
    <w:rsid w:val="00831B44"/>
    <w:rsid w:val="00831C67"/>
    <w:rsid w:val="008323E0"/>
    <w:rsid w:val="008325BA"/>
    <w:rsid w:val="008325D0"/>
    <w:rsid w:val="008327C3"/>
    <w:rsid w:val="008327CB"/>
    <w:rsid w:val="008327EF"/>
    <w:rsid w:val="00832C96"/>
    <w:rsid w:val="00832FEB"/>
    <w:rsid w:val="0083304E"/>
    <w:rsid w:val="008337C2"/>
    <w:rsid w:val="00834499"/>
    <w:rsid w:val="008344DF"/>
    <w:rsid w:val="00834A58"/>
    <w:rsid w:val="00834E80"/>
    <w:rsid w:val="00835591"/>
    <w:rsid w:val="00835FF6"/>
    <w:rsid w:val="00836039"/>
    <w:rsid w:val="008360A3"/>
    <w:rsid w:val="00836306"/>
    <w:rsid w:val="00836926"/>
    <w:rsid w:val="00837204"/>
    <w:rsid w:val="00837311"/>
    <w:rsid w:val="00837455"/>
    <w:rsid w:val="0083776B"/>
    <w:rsid w:val="0083786B"/>
    <w:rsid w:val="00837979"/>
    <w:rsid w:val="008402FC"/>
    <w:rsid w:val="00840C25"/>
    <w:rsid w:val="00840CEA"/>
    <w:rsid w:val="00840D43"/>
    <w:rsid w:val="00841066"/>
    <w:rsid w:val="008411D5"/>
    <w:rsid w:val="00841843"/>
    <w:rsid w:val="00841AD7"/>
    <w:rsid w:val="008424D5"/>
    <w:rsid w:val="008426A7"/>
    <w:rsid w:val="00842A1A"/>
    <w:rsid w:val="00842C84"/>
    <w:rsid w:val="0084328C"/>
    <w:rsid w:val="00843BC5"/>
    <w:rsid w:val="008446CA"/>
    <w:rsid w:val="00844898"/>
    <w:rsid w:val="00845132"/>
    <w:rsid w:val="0084515D"/>
    <w:rsid w:val="008455E0"/>
    <w:rsid w:val="00845703"/>
    <w:rsid w:val="00845741"/>
    <w:rsid w:val="00846088"/>
    <w:rsid w:val="008460CF"/>
    <w:rsid w:val="00846363"/>
    <w:rsid w:val="008469D5"/>
    <w:rsid w:val="00846DCE"/>
    <w:rsid w:val="00847520"/>
    <w:rsid w:val="00847DB6"/>
    <w:rsid w:val="008501D4"/>
    <w:rsid w:val="00850625"/>
    <w:rsid w:val="00850B6B"/>
    <w:rsid w:val="00850CDC"/>
    <w:rsid w:val="00851950"/>
    <w:rsid w:val="00851E8D"/>
    <w:rsid w:val="00852B03"/>
    <w:rsid w:val="00852D8A"/>
    <w:rsid w:val="008535DE"/>
    <w:rsid w:val="00853A6D"/>
    <w:rsid w:val="00853B48"/>
    <w:rsid w:val="00853B50"/>
    <w:rsid w:val="008549E7"/>
    <w:rsid w:val="00854D5E"/>
    <w:rsid w:val="00855179"/>
    <w:rsid w:val="00855554"/>
    <w:rsid w:val="00855B87"/>
    <w:rsid w:val="00855CFA"/>
    <w:rsid w:val="00855FE1"/>
    <w:rsid w:val="008567F0"/>
    <w:rsid w:val="00856AC1"/>
    <w:rsid w:val="00856EC8"/>
    <w:rsid w:val="00857242"/>
    <w:rsid w:val="008578DB"/>
    <w:rsid w:val="00857A2A"/>
    <w:rsid w:val="00857F14"/>
    <w:rsid w:val="008603DD"/>
    <w:rsid w:val="00860634"/>
    <w:rsid w:val="00860766"/>
    <w:rsid w:val="00860E59"/>
    <w:rsid w:val="00860E9A"/>
    <w:rsid w:val="00860EDA"/>
    <w:rsid w:val="0086114A"/>
    <w:rsid w:val="00861416"/>
    <w:rsid w:val="00862179"/>
    <w:rsid w:val="008621F7"/>
    <w:rsid w:val="0086244D"/>
    <w:rsid w:val="0086262E"/>
    <w:rsid w:val="00862748"/>
    <w:rsid w:val="00862DA4"/>
    <w:rsid w:val="0086390A"/>
    <w:rsid w:val="008639C5"/>
    <w:rsid w:val="00863CC7"/>
    <w:rsid w:val="00863EAA"/>
    <w:rsid w:val="00864111"/>
    <w:rsid w:val="008649AD"/>
    <w:rsid w:val="00864C7E"/>
    <w:rsid w:val="008652AE"/>
    <w:rsid w:val="008653D1"/>
    <w:rsid w:val="00865946"/>
    <w:rsid w:val="008666F2"/>
    <w:rsid w:val="008667AA"/>
    <w:rsid w:val="00866B10"/>
    <w:rsid w:val="008671D6"/>
    <w:rsid w:val="008672DE"/>
    <w:rsid w:val="00867876"/>
    <w:rsid w:val="00867A30"/>
    <w:rsid w:val="0086BC97"/>
    <w:rsid w:val="008702CA"/>
    <w:rsid w:val="008706D5"/>
    <w:rsid w:val="008707FD"/>
    <w:rsid w:val="00870902"/>
    <w:rsid w:val="00870B68"/>
    <w:rsid w:val="00870B95"/>
    <w:rsid w:val="0087132B"/>
    <w:rsid w:val="008717A4"/>
    <w:rsid w:val="008719E1"/>
    <w:rsid w:val="00871B8D"/>
    <w:rsid w:val="00872087"/>
    <w:rsid w:val="00872917"/>
    <w:rsid w:val="008729EE"/>
    <w:rsid w:val="00872A2D"/>
    <w:rsid w:val="00872ABA"/>
    <w:rsid w:val="00872F5B"/>
    <w:rsid w:val="008735B8"/>
    <w:rsid w:val="00874140"/>
    <w:rsid w:val="0087454E"/>
    <w:rsid w:val="008748E8"/>
    <w:rsid w:val="00874C45"/>
    <w:rsid w:val="00875567"/>
    <w:rsid w:val="00875583"/>
    <w:rsid w:val="00875606"/>
    <w:rsid w:val="00875927"/>
    <w:rsid w:val="00875DFF"/>
    <w:rsid w:val="00876093"/>
    <w:rsid w:val="00876287"/>
    <w:rsid w:val="00876505"/>
    <w:rsid w:val="00876C3E"/>
    <w:rsid w:val="00876C8F"/>
    <w:rsid w:val="00877214"/>
    <w:rsid w:val="0087796B"/>
    <w:rsid w:val="00880482"/>
    <w:rsid w:val="00880CBD"/>
    <w:rsid w:val="0088119F"/>
    <w:rsid w:val="008825DB"/>
    <w:rsid w:val="0088265A"/>
    <w:rsid w:val="00882A6C"/>
    <w:rsid w:val="008834DF"/>
    <w:rsid w:val="008835EE"/>
    <w:rsid w:val="0088384D"/>
    <w:rsid w:val="00883C21"/>
    <w:rsid w:val="00884317"/>
    <w:rsid w:val="0088437C"/>
    <w:rsid w:val="0088491B"/>
    <w:rsid w:val="00884C63"/>
    <w:rsid w:val="00884D07"/>
    <w:rsid w:val="00884E5C"/>
    <w:rsid w:val="00884E67"/>
    <w:rsid w:val="00884E80"/>
    <w:rsid w:val="0088558F"/>
    <w:rsid w:val="00885832"/>
    <w:rsid w:val="00885F3B"/>
    <w:rsid w:val="0088632C"/>
    <w:rsid w:val="00886978"/>
    <w:rsid w:val="00886E3B"/>
    <w:rsid w:val="00886F74"/>
    <w:rsid w:val="008870EB"/>
    <w:rsid w:val="00887707"/>
    <w:rsid w:val="0088779F"/>
    <w:rsid w:val="008877A6"/>
    <w:rsid w:val="00887EA9"/>
    <w:rsid w:val="00890178"/>
    <w:rsid w:val="00890539"/>
    <w:rsid w:val="008908C7"/>
    <w:rsid w:val="00890945"/>
    <w:rsid w:val="00890E8E"/>
    <w:rsid w:val="0089165A"/>
    <w:rsid w:val="0089169B"/>
    <w:rsid w:val="00891760"/>
    <w:rsid w:val="00891D49"/>
    <w:rsid w:val="00891E54"/>
    <w:rsid w:val="00891FB5"/>
    <w:rsid w:val="0089213F"/>
    <w:rsid w:val="00892228"/>
    <w:rsid w:val="00892678"/>
    <w:rsid w:val="00892A62"/>
    <w:rsid w:val="00892A9D"/>
    <w:rsid w:val="00892D04"/>
    <w:rsid w:val="00892DC7"/>
    <w:rsid w:val="00892DDC"/>
    <w:rsid w:val="00892FDE"/>
    <w:rsid w:val="0089301F"/>
    <w:rsid w:val="0089346A"/>
    <w:rsid w:val="00893723"/>
    <w:rsid w:val="0089379F"/>
    <w:rsid w:val="00893F1C"/>
    <w:rsid w:val="00894780"/>
    <w:rsid w:val="008949A6"/>
    <w:rsid w:val="00894C00"/>
    <w:rsid w:val="00894CC2"/>
    <w:rsid w:val="00895107"/>
    <w:rsid w:val="0089534D"/>
    <w:rsid w:val="00895628"/>
    <w:rsid w:val="0089596B"/>
    <w:rsid w:val="00895D7C"/>
    <w:rsid w:val="00895DE4"/>
    <w:rsid w:val="00896403"/>
    <w:rsid w:val="008964A7"/>
    <w:rsid w:val="008971DF"/>
    <w:rsid w:val="00897C94"/>
    <w:rsid w:val="008A0052"/>
    <w:rsid w:val="008A00CF"/>
    <w:rsid w:val="008A00EB"/>
    <w:rsid w:val="008A0673"/>
    <w:rsid w:val="008A0697"/>
    <w:rsid w:val="008A0A84"/>
    <w:rsid w:val="008A0DBC"/>
    <w:rsid w:val="008A0F2D"/>
    <w:rsid w:val="008A12D3"/>
    <w:rsid w:val="008A1595"/>
    <w:rsid w:val="008A1831"/>
    <w:rsid w:val="008A19AC"/>
    <w:rsid w:val="008A2E30"/>
    <w:rsid w:val="008A3187"/>
    <w:rsid w:val="008A3394"/>
    <w:rsid w:val="008A35E0"/>
    <w:rsid w:val="008A3758"/>
    <w:rsid w:val="008A39FB"/>
    <w:rsid w:val="008A3B87"/>
    <w:rsid w:val="008A3C6F"/>
    <w:rsid w:val="008A3D23"/>
    <w:rsid w:val="008A3F8C"/>
    <w:rsid w:val="008A4051"/>
    <w:rsid w:val="008A42BE"/>
    <w:rsid w:val="008A4306"/>
    <w:rsid w:val="008A4362"/>
    <w:rsid w:val="008A48E4"/>
    <w:rsid w:val="008A48E5"/>
    <w:rsid w:val="008A5196"/>
    <w:rsid w:val="008A55A9"/>
    <w:rsid w:val="008A5620"/>
    <w:rsid w:val="008A6104"/>
    <w:rsid w:val="008A644B"/>
    <w:rsid w:val="008A686C"/>
    <w:rsid w:val="008A6B4F"/>
    <w:rsid w:val="008A6C3F"/>
    <w:rsid w:val="008A6CC1"/>
    <w:rsid w:val="008A6CE3"/>
    <w:rsid w:val="008A6DCD"/>
    <w:rsid w:val="008A7A13"/>
    <w:rsid w:val="008A7A99"/>
    <w:rsid w:val="008A7B25"/>
    <w:rsid w:val="008B0528"/>
    <w:rsid w:val="008B08A5"/>
    <w:rsid w:val="008B0B5F"/>
    <w:rsid w:val="008B105C"/>
    <w:rsid w:val="008B1196"/>
    <w:rsid w:val="008B1559"/>
    <w:rsid w:val="008B1765"/>
    <w:rsid w:val="008B1816"/>
    <w:rsid w:val="008B1B60"/>
    <w:rsid w:val="008B1E1C"/>
    <w:rsid w:val="008B1E84"/>
    <w:rsid w:val="008B264D"/>
    <w:rsid w:val="008B2B0C"/>
    <w:rsid w:val="008B3208"/>
    <w:rsid w:val="008B36BC"/>
    <w:rsid w:val="008B37DE"/>
    <w:rsid w:val="008B3BFD"/>
    <w:rsid w:val="008B3EE2"/>
    <w:rsid w:val="008B40CE"/>
    <w:rsid w:val="008B41D0"/>
    <w:rsid w:val="008B4313"/>
    <w:rsid w:val="008B452E"/>
    <w:rsid w:val="008B45D2"/>
    <w:rsid w:val="008B4B16"/>
    <w:rsid w:val="008B503C"/>
    <w:rsid w:val="008B51F1"/>
    <w:rsid w:val="008B5295"/>
    <w:rsid w:val="008B52FE"/>
    <w:rsid w:val="008B54EF"/>
    <w:rsid w:val="008B5842"/>
    <w:rsid w:val="008B59E1"/>
    <w:rsid w:val="008B640D"/>
    <w:rsid w:val="008B64FE"/>
    <w:rsid w:val="008B67F1"/>
    <w:rsid w:val="008B6846"/>
    <w:rsid w:val="008B6E73"/>
    <w:rsid w:val="008B7124"/>
    <w:rsid w:val="008B73BB"/>
    <w:rsid w:val="008C03CD"/>
    <w:rsid w:val="008C0B84"/>
    <w:rsid w:val="008C0D00"/>
    <w:rsid w:val="008C11B7"/>
    <w:rsid w:val="008C12FA"/>
    <w:rsid w:val="008C1306"/>
    <w:rsid w:val="008C19F3"/>
    <w:rsid w:val="008C1E3D"/>
    <w:rsid w:val="008C2376"/>
    <w:rsid w:val="008C2381"/>
    <w:rsid w:val="008C29E9"/>
    <w:rsid w:val="008C2A46"/>
    <w:rsid w:val="008C2A76"/>
    <w:rsid w:val="008C2CB3"/>
    <w:rsid w:val="008C2DAA"/>
    <w:rsid w:val="008C2E0F"/>
    <w:rsid w:val="008C35D5"/>
    <w:rsid w:val="008C37E3"/>
    <w:rsid w:val="008C38E6"/>
    <w:rsid w:val="008C3975"/>
    <w:rsid w:val="008C3A9D"/>
    <w:rsid w:val="008C3E10"/>
    <w:rsid w:val="008C3E51"/>
    <w:rsid w:val="008C4067"/>
    <w:rsid w:val="008C4345"/>
    <w:rsid w:val="008C43CD"/>
    <w:rsid w:val="008C4560"/>
    <w:rsid w:val="008C50F7"/>
    <w:rsid w:val="008C54E2"/>
    <w:rsid w:val="008C5882"/>
    <w:rsid w:val="008C5DCB"/>
    <w:rsid w:val="008C5F29"/>
    <w:rsid w:val="008C6268"/>
    <w:rsid w:val="008C62A1"/>
    <w:rsid w:val="008C6820"/>
    <w:rsid w:val="008C6966"/>
    <w:rsid w:val="008C6A36"/>
    <w:rsid w:val="008C6E31"/>
    <w:rsid w:val="008C7016"/>
    <w:rsid w:val="008C7344"/>
    <w:rsid w:val="008C7871"/>
    <w:rsid w:val="008C7BF3"/>
    <w:rsid w:val="008C7C86"/>
    <w:rsid w:val="008D04DD"/>
    <w:rsid w:val="008D08AB"/>
    <w:rsid w:val="008D0F1F"/>
    <w:rsid w:val="008D116A"/>
    <w:rsid w:val="008D17E0"/>
    <w:rsid w:val="008D18D0"/>
    <w:rsid w:val="008D1906"/>
    <w:rsid w:val="008D1B6F"/>
    <w:rsid w:val="008D1B85"/>
    <w:rsid w:val="008D1DF8"/>
    <w:rsid w:val="008D2248"/>
    <w:rsid w:val="008D2686"/>
    <w:rsid w:val="008D274D"/>
    <w:rsid w:val="008D288D"/>
    <w:rsid w:val="008D363B"/>
    <w:rsid w:val="008D3A91"/>
    <w:rsid w:val="008D3AF9"/>
    <w:rsid w:val="008D3BEA"/>
    <w:rsid w:val="008D43F2"/>
    <w:rsid w:val="008D4753"/>
    <w:rsid w:val="008D4DFC"/>
    <w:rsid w:val="008D4F19"/>
    <w:rsid w:val="008D52EC"/>
    <w:rsid w:val="008D613E"/>
    <w:rsid w:val="008D6433"/>
    <w:rsid w:val="008D6841"/>
    <w:rsid w:val="008D7099"/>
    <w:rsid w:val="008D7321"/>
    <w:rsid w:val="008D7F74"/>
    <w:rsid w:val="008E05DD"/>
    <w:rsid w:val="008E0C21"/>
    <w:rsid w:val="008E0D29"/>
    <w:rsid w:val="008E10E1"/>
    <w:rsid w:val="008E1162"/>
    <w:rsid w:val="008E1C74"/>
    <w:rsid w:val="008E1D99"/>
    <w:rsid w:val="008E211D"/>
    <w:rsid w:val="008E2498"/>
    <w:rsid w:val="008E2693"/>
    <w:rsid w:val="008E3205"/>
    <w:rsid w:val="008E340B"/>
    <w:rsid w:val="008E3456"/>
    <w:rsid w:val="008E35ED"/>
    <w:rsid w:val="008E390A"/>
    <w:rsid w:val="008E39D2"/>
    <w:rsid w:val="008E42BF"/>
    <w:rsid w:val="008E4B2F"/>
    <w:rsid w:val="008E4CAF"/>
    <w:rsid w:val="008E4D7A"/>
    <w:rsid w:val="008E4E55"/>
    <w:rsid w:val="008E5679"/>
    <w:rsid w:val="008E5903"/>
    <w:rsid w:val="008E5B66"/>
    <w:rsid w:val="008E6044"/>
    <w:rsid w:val="008E6238"/>
    <w:rsid w:val="008E6718"/>
    <w:rsid w:val="008E72ED"/>
    <w:rsid w:val="008E7369"/>
    <w:rsid w:val="008E7677"/>
    <w:rsid w:val="008E774E"/>
    <w:rsid w:val="008E77C9"/>
    <w:rsid w:val="008E7B95"/>
    <w:rsid w:val="008EA4B5"/>
    <w:rsid w:val="008F0861"/>
    <w:rsid w:val="008F10E5"/>
    <w:rsid w:val="008F15CF"/>
    <w:rsid w:val="008F1708"/>
    <w:rsid w:val="008F19D9"/>
    <w:rsid w:val="008F1BF1"/>
    <w:rsid w:val="008F1E25"/>
    <w:rsid w:val="008F1E55"/>
    <w:rsid w:val="008F28F4"/>
    <w:rsid w:val="008F294F"/>
    <w:rsid w:val="008F2B1B"/>
    <w:rsid w:val="008F2C35"/>
    <w:rsid w:val="008F3067"/>
    <w:rsid w:val="008F5320"/>
    <w:rsid w:val="008F569C"/>
    <w:rsid w:val="008F5A1B"/>
    <w:rsid w:val="008F5EA4"/>
    <w:rsid w:val="008F63D9"/>
    <w:rsid w:val="008F66E6"/>
    <w:rsid w:val="008F684C"/>
    <w:rsid w:val="008F68E3"/>
    <w:rsid w:val="008F68EF"/>
    <w:rsid w:val="008F6B91"/>
    <w:rsid w:val="008F6E90"/>
    <w:rsid w:val="008F6FC4"/>
    <w:rsid w:val="008F7113"/>
    <w:rsid w:val="008F72AB"/>
    <w:rsid w:val="008F7487"/>
    <w:rsid w:val="00900CDA"/>
    <w:rsid w:val="00900F91"/>
    <w:rsid w:val="009010C0"/>
    <w:rsid w:val="00901575"/>
    <w:rsid w:val="009015BD"/>
    <w:rsid w:val="00901923"/>
    <w:rsid w:val="00901A1A"/>
    <w:rsid w:val="0090229C"/>
    <w:rsid w:val="00902550"/>
    <w:rsid w:val="00902B85"/>
    <w:rsid w:val="00902E25"/>
    <w:rsid w:val="00903068"/>
    <w:rsid w:val="009031E9"/>
    <w:rsid w:val="00903440"/>
    <w:rsid w:val="00903530"/>
    <w:rsid w:val="0090379D"/>
    <w:rsid w:val="0090379E"/>
    <w:rsid w:val="00903870"/>
    <w:rsid w:val="00904A69"/>
    <w:rsid w:val="00904B04"/>
    <w:rsid w:val="00904F61"/>
    <w:rsid w:val="009050D9"/>
    <w:rsid w:val="009053C0"/>
    <w:rsid w:val="00905589"/>
    <w:rsid w:val="0090581B"/>
    <w:rsid w:val="00905CCA"/>
    <w:rsid w:val="00905D71"/>
    <w:rsid w:val="00905E39"/>
    <w:rsid w:val="00906126"/>
    <w:rsid w:val="009063EB"/>
    <w:rsid w:val="00906A40"/>
    <w:rsid w:val="00906B18"/>
    <w:rsid w:val="00906D7C"/>
    <w:rsid w:val="00907200"/>
    <w:rsid w:val="00907281"/>
    <w:rsid w:val="00907469"/>
    <w:rsid w:val="0090749E"/>
    <w:rsid w:val="00907A81"/>
    <w:rsid w:val="00907B35"/>
    <w:rsid w:val="00907CFB"/>
    <w:rsid w:val="00907E65"/>
    <w:rsid w:val="00907F20"/>
    <w:rsid w:val="0090C754"/>
    <w:rsid w:val="009103C4"/>
    <w:rsid w:val="00910599"/>
    <w:rsid w:val="00910A81"/>
    <w:rsid w:val="00910CC6"/>
    <w:rsid w:val="0091186A"/>
    <w:rsid w:val="00911915"/>
    <w:rsid w:val="009119C3"/>
    <w:rsid w:val="00911CB3"/>
    <w:rsid w:val="00911CCC"/>
    <w:rsid w:val="0091203F"/>
    <w:rsid w:val="0091207E"/>
    <w:rsid w:val="009127EF"/>
    <w:rsid w:val="00912B8A"/>
    <w:rsid w:val="00912BB5"/>
    <w:rsid w:val="00912CD5"/>
    <w:rsid w:val="00912D7D"/>
    <w:rsid w:val="00912DB3"/>
    <w:rsid w:val="0091310B"/>
    <w:rsid w:val="0091312A"/>
    <w:rsid w:val="00913247"/>
    <w:rsid w:val="0091349A"/>
    <w:rsid w:val="0091349B"/>
    <w:rsid w:val="009134D5"/>
    <w:rsid w:val="0091389E"/>
    <w:rsid w:val="00913D50"/>
    <w:rsid w:val="00914CD6"/>
    <w:rsid w:val="00915311"/>
    <w:rsid w:val="00915620"/>
    <w:rsid w:val="009157DB"/>
    <w:rsid w:val="0091587B"/>
    <w:rsid w:val="00915D23"/>
    <w:rsid w:val="009161C1"/>
    <w:rsid w:val="00916518"/>
    <w:rsid w:val="0091687A"/>
    <w:rsid w:val="00916952"/>
    <w:rsid w:val="009169FA"/>
    <w:rsid w:val="00916A3E"/>
    <w:rsid w:val="00917048"/>
    <w:rsid w:val="0091704B"/>
    <w:rsid w:val="009170AA"/>
    <w:rsid w:val="0091717A"/>
    <w:rsid w:val="0091778E"/>
    <w:rsid w:val="009177D0"/>
    <w:rsid w:val="00917805"/>
    <w:rsid w:val="0091780F"/>
    <w:rsid w:val="00917FB2"/>
    <w:rsid w:val="0092052E"/>
    <w:rsid w:val="00920619"/>
    <w:rsid w:val="00920CF1"/>
    <w:rsid w:val="009218DF"/>
    <w:rsid w:val="00921BE1"/>
    <w:rsid w:val="00922291"/>
    <w:rsid w:val="00922B7A"/>
    <w:rsid w:val="00922C66"/>
    <w:rsid w:val="00922CC7"/>
    <w:rsid w:val="00922D2F"/>
    <w:rsid w:val="009230D5"/>
    <w:rsid w:val="009232E8"/>
    <w:rsid w:val="00923407"/>
    <w:rsid w:val="00923B37"/>
    <w:rsid w:val="00924CC5"/>
    <w:rsid w:val="009255E7"/>
    <w:rsid w:val="00925B01"/>
    <w:rsid w:val="00925CA1"/>
    <w:rsid w:val="0092648F"/>
    <w:rsid w:val="009265C7"/>
    <w:rsid w:val="009265DF"/>
    <w:rsid w:val="009268D7"/>
    <w:rsid w:val="00926ABD"/>
    <w:rsid w:val="00926C8A"/>
    <w:rsid w:val="00926CD0"/>
    <w:rsid w:val="00926FBB"/>
    <w:rsid w:val="00927061"/>
    <w:rsid w:val="0092798A"/>
    <w:rsid w:val="00927A1E"/>
    <w:rsid w:val="00927B9C"/>
    <w:rsid w:val="00927FA8"/>
    <w:rsid w:val="00930051"/>
    <w:rsid w:val="009308CF"/>
    <w:rsid w:val="00930A4B"/>
    <w:rsid w:val="00930BF3"/>
    <w:rsid w:val="00930CC8"/>
    <w:rsid w:val="00930DF0"/>
    <w:rsid w:val="00930F75"/>
    <w:rsid w:val="00931352"/>
    <w:rsid w:val="009315FA"/>
    <w:rsid w:val="00931D33"/>
    <w:rsid w:val="009324CD"/>
    <w:rsid w:val="0093295A"/>
    <w:rsid w:val="009329CB"/>
    <w:rsid w:val="00932FB4"/>
    <w:rsid w:val="009332F4"/>
    <w:rsid w:val="009339EA"/>
    <w:rsid w:val="00933B6A"/>
    <w:rsid w:val="00933C02"/>
    <w:rsid w:val="00933E16"/>
    <w:rsid w:val="00933EF9"/>
    <w:rsid w:val="00934073"/>
    <w:rsid w:val="00934084"/>
    <w:rsid w:val="00934225"/>
    <w:rsid w:val="0093454D"/>
    <w:rsid w:val="00934842"/>
    <w:rsid w:val="0093492C"/>
    <w:rsid w:val="00934C50"/>
    <w:rsid w:val="00934F80"/>
    <w:rsid w:val="009351F0"/>
    <w:rsid w:val="00935CE9"/>
    <w:rsid w:val="00936000"/>
    <w:rsid w:val="009362A4"/>
    <w:rsid w:val="009363AE"/>
    <w:rsid w:val="009370A9"/>
    <w:rsid w:val="00937981"/>
    <w:rsid w:val="00937CDC"/>
    <w:rsid w:val="00937DDE"/>
    <w:rsid w:val="00937F03"/>
    <w:rsid w:val="00940022"/>
    <w:rsid w:val="009405D5"/>
    <w:rsid w:val="00940EB9"/>
    <w:rsid w:val="00941174"/>
    <w:rsid w:val="0094130A"/>
    <w:rsid w:val="00941FA2"/>
    <w:rsid w:val="009428AF"/>
    <w:rsid w:val="009430E5"/>
    <w:rsid w:val="0094341E"/>
    <w:rsid w:val="0094399B"/>
    <w:rsid w:val="00943ACD"/>
    <w:rsid w:val="00943BF9"/>
    <w:rsid w:val="00944229"/>
    <w:rsid w:val="009446A2"/>
    <w:rsid w:val="00944786"/>
    <w:rsid w:val="00944830"/>
    <w:rsid w:val="00944B56"/>
    <w:rsid w:val="00944C8E"/>
    <w:rsid w:val="00944DB4"/>
    <w:rsid w:val="00944F3D"/>
    <w:rsid w:val="00944FD2"/>
    <w:rsid w:val="0094625D"/>
    <w:rsid w:val="009467F0"/>
    <w:rsid w:val="00946F37"/>
    <w:rsid w:val="0094718B"/>
    <w:rsid w:val="00947237"/>
    <w:rsid w:val="009476B2"/>
    <w:rsid w:val="0094798A"/>
    <w:rsid w:val="009479D4"/>
    <w:rsid w:val="00947B7F"/>
    <w:rsid w:val="00947D66"/>
    <w:rsid w:val="009501A0"/>
    <w:rsid w:val="009501B7"/>
    <w:rsid w:val="00950447"/>
    <w:rsid w:val="009511F0"/>
    <w:rsid w:val="0095120F"/>
    <w:rsid w:val="00951544"/>
    <w:rsid w:val="00951984"/>
    <w:rsid w:val="00951A3D"/>
    <w:rsid w:val="00951CA8"/>
    <w:rsid w:val="00951F66"/>
    <w:rsid w:val="00952436"/>
    <w:rsid w:val="00952864"/>
    <w:rsid w:val="00952A7A"/>
    <w:rsid w:val="00952D8B"/>
    <w:rsid w:val="0095325B"/>
    <w:rsid w:val="009535F9"/>
    <w:rsid w:val="0095362E"/>
    <w:rsid w:val="009536DD"/>
    <w:rsid w:val="0095372B"/>
    <w:rsid w:val="00953888"/>
    <w:rsid w:val="00953C8F"/>
    <w:rsid w:val="00953D79"/>
    <w:rsid w:val="00953D92"/>
    <w:rsid w:val="0095402A"/>
    <w:rsid w:val="00954155"/>
    <w:rsid w:val="00954456"/>
    <w:rsid w:val="009548B9"/>
    <w:rsid w:val="0095510F"/>
    <w:rsid w:val="009553FF"/>
    <w:rsid w:val="00955A13"/>
    <w:rsid w:val="00955EF1"/>
    <w:rsid w:val="0095600C"/>
    <w:rsid w:val="00956505"/>
    <w:rsid w:val="0095699F"/>
    <w:rsid w:val="00956EBA"/>
    <w:rsid w:val="009574D3"/>
    <w:rsid w:val="00957B30"/>
    <w:rsid w:val="00957B40"/>
    <w:rsid w:val="00957BDE"/>
    <w:rsid w:val="009600BA"/>
    <w:rsid w:val="0096080A"/>
    <w:rsid w:val="00960835"/>
    <w:rsid w:val="00960D2C"/>
    <w:rsid w:val="00961568"/>
    <w:rsid w:val="009615A0"/>
    <w:rsid w:val="009616FE"/>
    <w:rsid w:val="009619C9"/>
    <w:rsid w:val="00961FC6"/>
    <w:rsid w:val="00962862"/>
    <w:rsid w:val="00962D6C"/>
    <w:rsid w:val="00963C19"/>
    <w:rsid w:val="00963FDF"/>
    <w:rsid w:val="00964A6D"/>
    <w:rsid w:val="00964F0E"/>
    <w:rsid w:val="00965087"/>
    <w:rsid w:val="00965110"/>
    <w:rsid w:val="009651D1"/>
    <w:rsid w:val="0096610E"/>
    <w:rsid w:val="00966452"/>
    <w:rsid w:val="00966AEB"/>
    <w:rsid w:val="00966EAE"/>
    <w:rsid w:val="009671A8"/>
    <w:rsid w:val="00967360"/>
    <w:rsid w:val="0096736C"/>
    <w:rsid w:val="00967396"/>
    <w:rsid w:val="0096748F"/>
    <w:rsid w:val="0096757C"/>
    <w:rsid w:val="009675DE"/>
    <w:rsid w:val="00967A6C"/>
    <w:rsid w:val="00967BF4"/>
    <w:rsid w:val="00967C37"/>
    <w:rsid w:val="00967E2B"/>
    <w:rsid w:val="0097002B"/>
    <w:rsid w:val="00970765"/>
    <w:rsid w:val="00970B9A"/>
    <w:rsid w:val="00970E6D"/>
    <w:rsid w:val="009714BC"/>
    <w:rsid w:val="00971E92"/>
    <w:rsid w:val="00972068"/>
    <w:rsid w:val="0097279A"/>
    <w:rsid w:val="00972A98"/>
    <w:rsid w:val="00972E2A"/>
    <w:rsid w:val="009731D5"/>
    <w:rsid w:val="00973499"/>
    <w:rsid w:val="00973549"/>
    <w:rsid w:val="009737B6"/>
    <w:rsid w:val="00973978"/>
    <w:rsid w:val="009739F1"/>
    <w:rsid w:val="009741A3"/>
    <w:rsid w:val="009742EF"/>
    <w:rsid w:val="00974403"/>
    <w:rsid w:val="009753DE"/>
    <w:rsid w:val="009756B6"/>
    <w:rsid w:val="00975A83"/>
    <w:rsid w:val="00975B28"/>
    <w:rsid w:val="00975C86"/>
    <w:rsid w:val="00975DC5"/>
    <w:rsid w:val="00975EAD"/>
    <w:rsid w:val="00975EE2"/>
    <w:rsid w:val="00976648"/>
    <w:rsid w:val="00976E50"/>
    <w:rsid w:val="0097702C"/>
    <w:rsid w:val="009773E4"/>
    <w:rsid w:val="00977A59"/>
    <w:rsid w:val="00980203"/>
    <w:rsid w:val="00980496"/>
    <w:rsid w:val="009807D1"/>
    <w:rsid w:val="009808BF"/>
    <w:rsid w:val="009809EE"/>
    <w:rsid w:val="00980A49"/>
    <w:rsid w:val="00980BFD"/>
    <w:rsid w:val="009810C7"/>
    <w:rsid w:val="00981295"/>
    <w:rsid w:val="00981331"/>
    <w:rsid w:val="00981AC2"/>
    <w:rsid w:val="00981D28"/>
    <w:rsid w:val="0098226B"/>
    <w:rsid w:val="00982732"/>
    <w:rsid w:val="009829A0"/>
    <w:rsid w:val="00982C59"/>
    <w:rsid w:val="0098313F"/>
    <w:rsid w:val="0098317E"/>
    <w:rsid w:val="00983353"/>
    <w:rsid w:val="009839C4"/>
    <w:rsid w:val="00983A72"/>
    <w:rsid w:val="00983D0D"/>
    <w:rsid w:val="00983D66"/>
    <w:rsid w:val="0098455D"/>
    <w:rsid w:val="00984605"/>
    <w:rsid w:val="0098461F"/>
    <w:rsid w:val="009848CB"/>
    <w:rsid w:val="00984D87"/>
    <w:rsid w:val="009852D7"/>
    <w:rsid w:val="009854B5"/>
    <w:rsid w:val="009856FD"/>
    <w:rsid w:val="00985972"/>
    <w:rsid w:val="00985AED"/>
    <w:rsid w:val="00985B49"/>
    <w:rsid w:val="00985D54"/>
    <w:rsid w:val="0098630F"/>
    <w:rsid w:val="009863CC"/>
    <w:rsid w:val="009869E8"/>
    <w:rsid w:val="00986B5F"/>
    <w:rsid w:val="00986B81"/>
    <w:rsid w:val="00986EE5"/>
    <w:rsid w:val="00986F56"/>
    <w:rsid w:val="00987B04"/>
    <w:rsid w:val="00987CF8"/>
    <w:rsid w:val="00987FA4"/>
    <w:rsid w:val="0099060A"/>
    <w:rsid w:val="00990A44"/>
    <w:rsid w:val="00990E8C"/>
    <w:rsid w:val="00990F33"/>
    <w:rsid w:val="00991001"/>
    <w:rsid w:val="0099171C"/>
    <w:rsid w:val="00991760"/>
    <w:rsid w:val="00991957"/>
    <w:rsid w:val="0099197A"/>
    <w:rsid w:val="00991C46"/>
    <w:rsid w:val="00991EBF"/>
    <w:rsid w:val="00991F0B"/>
    <w:rsid w:val="00991F84"/>
    <w:rsid w:val="009925BD"/>
    <w:rsid w:val="009926D6"/>
    <w:rsid w:val="0099282A"/>
    <w:rsid w:val="00992998"/>
    <w:rsid w:val="00992A42"/>
    <w:rsid w:val="00992A47"/>
    <w:rsid w:val="00992D1D"/>
    <w:rsid w:val="00992FA4"/>
    <w:rsid w:val="00993181"/>
    <w:rsid w:val="00993469"/>
    <w:rsid w:val="00993937"/>
    <w:rsid w:val="0099399B"/>
    <w:rsid w:val="00993E3A"/>
    <w:rsid w:val="009940F6"/>
    <w:rsid w:val="00994462"/>
    <w:rsid w:val="00994555"/>
    <w:rsid w:val="009945EA"/>
    <w:rsid w:val="009949CD"/>
    <w:rsid w:val="00994E83"/>
    <w:rsid w:val="00994ED2"/>
    <w:rsid w:val="009953AD"/>
    <w:rsid w:val="0099559D"/>
    <w:rsid w:val="00995840"/>
    <w:rsid w:val="00995876"/>
    <w:rsid w:val="009959D5"/>
    <w:rsid w:val="00995C38"/>
    <w:rsid w:val="00995D86"/>
    <w:rsid w:val="00995E93"/>
    <w:rsid w:val="00995F58"/>
    <w:rsid w:val="0099603F"/>
    <w:rsid w:val="00996403"/>
    <w:rsid w:val="009965C8"/>
    <w:rsid w:val="009965E3"/>
    <w:rsid w:val="0099672F"/>
    <w:rsid w:val="0099686D"/>
    <w:rsid w:val="00996D70"/>
    <w:rsid w:val="00997127"/>
    <w:rsid w:val="009971FB"/>
    <w:rsid w:val="0099734E"/>
    <w:rsid w:val="009977B0"/>
    <w:rsid w:val="009A01A9"/>
    <w:rsid w:val="009A035D"/>
    <w:rsid w:val="009A0716"/>
    <w:rsid w:val="009A0A52"/>
    <w:rsid w:val="009A0B7E"/>
    <w:rsid w:val="009A0CC5"/>
    <w:rsid w:val="009A10CC"/>
    <w:rsid w:val="009A1A45"/>
    <w:rsid w:val="009A1BB1"/>
    <w:rsid w:val="009A1D8E"/>
    <w:rsid w:val="009A1F08"/>
    <w:rsid w:val="009A239A"/>
    <w:rsid w:val="009A23A6"/>
    <w:rsid w:val="009A29C4"/>
    <w:rsid w:val="009A2D19"/>
    <w:rsid w:val="009A2FD0"/>
    <w:rsid w:val="009A32B5"/>
    <w:rsid w:val="009A360A"/>
    <w:rsid w:val="009A366C"/>
    <w:rsid w:val="009A37E1"/>
    <w:rsid w:val="009A3C52"/>
    <w:rsid w:val="009A44F2"/>
    <w:rsid w:val="009A473C"/>
    <w:rsid w:val="009A4871"/>
    <w:rsid w:val="009A4975"/>
    <w:rsid w:val="009A54DA"/>
    <w:rsid w:val="009A5573"/>
    <w:rsid w:val="009A5829"/>
    <w:rsid w:val="009A5897"/>
    <w:rsid w:val="009A58DB"/>
    <w:rsid w:val="009A5A71"/>
    <w:rsid w:val="009A6621"/>
    <w:rsid w:val="009A6A1C"/>
    <w:rsid w:val="009A6B8C"/>
    <w:rsid w:val="009A72CA"/>
    <w:rsid w:val="009A7306"/>
    <w:rsid w:val="009A7538"/>
    <w:rsid w:val="009A7C6E"/>
    <w:rsid w:val="009B0034"/>
    <w:rsid w:val="009B0759"/>
    <w:rsid w:val="009B0871"/>
    <w:rsid w:val="009B11A0"/>
    <w:rsid w:val="009B1827"/>
    <w:rsid w:val="009B1B56"/>
    <w:rsid w:val="009B1C8E"/>
    <w:rsid w:val="009B1DBA"/>
    <w:rsid w:val="009B22D1"/>
    <w:rsid w:val="009B22FC"/>
    <w:rsid w:val="009B2415"/>
    <w:rsid w:val="009B2E28"/>
    <w:rsid w:val="009B2EC7"/>
    <w:rsid w:val="009B309C"/>
    <w:rsid w:val="009B3222"/>
    <w:rsid w:val="009B323F"/>
    <w:rsid w:val="009B3487"/>
    <w:rsid w:val="009B37CE"/>
    <w:rsid w:val="009B3820"/>
    <w:rsid w:val="009B3977"/>
    <w:rsid w:val="009B39F6"/>
    <w:rsid w:val="009B3E20"/>
    <w:rsid w:val="009B4337"/>
    <w:rsid w:val="009B4447"/>
    <w:rsid w:val="009B48B2"/>
    <w:rsid w:val="009B4F97"/>
    <w:rsid w:val="009B54BC"/>
    <w:rsid w:val="009B6094"/>
    <w:rsid w:val="009B6415"/>
    <w:rsid w:val="009B666F"/>
    <w:rsid w:val="009B6788"/>
    <w:rsid w:val="009B705B"/>
    <w:rsid w:val="009B724A"/>
    <w:rsid w:val="009B7382"/>
    <w:rsid w:val="009B7411"/>
    <w:rsid w:val="009B7422"/>
    <w:rsid w:val="009B7880"/>
    <w:rsid w:val="009BD0F9"/>
    <w:rsid w:val="009C075B"/>
    <w:rsid w:val="009C0C04"/>
    <w:rsid w:val="009C0E15"/>
    <w:rsid w:val="009C0F36"/>
    <w:rsid w:val="009C0FEE"/>
    <w:rsid w:val="009C10D3"/>
    <w:rsid w:val="009C133C"/>
    <w:rsid w:val="009C14BF"/>
    <w:rsid w:val="009C1AAE"/>
    <w:rsid w:val="009C1B12"/>
    <w:rsid w:val="009C1B2A"/>
    <w:rsid w:val="009C1BD2"/>
    <w:rsid w:val="009C1C7E"/>
    <w:rsid w:val="009C1E9F"/>
    <w:rsid w:val="009C20EC"/>
    <w:rsid w:val="009C2316"/>
    <w:rsid w:val="009C255D"/>
    <w:rsid w:val="009C26A4"/>
    <w:rsid w:val="009C2C46"/>
    <w:rsid w:val="009C2EAA"/>
    <w:rsid w:val="009C34F5"/>
    <w:rsid w:val="009C5661"/>
    <w:rsid w:val="009C578A"/>
    <w:rsid w:val="009C5A2F"/>
    <w:rsid w:val="009C5A50"/>
    <w:rsid w:val="009C5DA6"/>
    <w:rsid w:val="009C5F6A"/>
    <w:rsid w:val="009C6263"/>
    <w:rsid w:val="009C6438"/>
    <w:rsid w:val="009C6E53"/>
    <w:rsid w:val="009C73CC"/>
    <w:rsid w:val="009C73E1"/>
    <w:rsid w:val="009C7922"/>
    <w:rsid w:val="009D06DC"/>
    <w:rsid w:val="009D0E1B"/>
    <w:rsid w:val="009D0E30"/>
    <w:rsid w:val="009D1017"/>
    <w:rsid w:val="009D163F"/>
    <w:rsid w:val="009D1B82"/>
    <w:rsid w:val="009D1BD7"/>
    <w:rsid w:val="009D1C11"/>
    <w:rsid w:val="009D27CB"/>
    <w:rsid w:val="009D2C80"/>
    <w:rsid w:val="009D2D1E"/>
    <w:rsid w:val="009D2F10"/>
    <w:rsid w:val="009D32A2"/>
    <w:rsid w:val="009D3748"/>
    <w:rsid w:val="009D43F9"/>
    <w:rsid w:val="009D4A66"/>
    <w:rsid w:val="009D4F47"/>
    <w:rsid w:val="009D5738"/>
    <w:rsid w:val="009D59FC"/>
    <w:rsid w:val="009D6173"/>
    <w:rsid w:val="009D65A1"/>
    <w:rsid w:val="009D6AD9"/>
    <w:rsid w:val="009D6B7F"/>
    <w:rsid w:val="009D6DED"/>
    <w:rsid w:val="009D70B8"/>
    <w:rsid w:val="009D744B"/>
    <w:rsid w:val="009D74C6"/>
    <w:rsid w:val="009D7F54"/>
    <w:rsid w:val="009DFD83"/>
    <w:rsid w:val="009E0095"/>
    <w:rsid w:val="009E0B38"/>
    <w:rsid w:val="009E1650"/>
    <w:rsid w:val="009E1A49"/>
    <w:rsid w:val="009E1B2F"/>
    <w:rsid w:val="009E1BE0"/>
    <w:rsid w:val="009E1D2F"/>
    <w:rsid w:val="009E2285"/>
    <w:rsid w:val="009E2416"/>
    <w:rsid w:val="009E25EB"/>
    <w:rsid w:val="009E2747"/>
    <w:rsid w:val="009E2AAB"/>
    <w:rsid w:val="009E317C"/>
    <w:rsid w:val="009E3216"/>
    <w:rsid w:val="009E3D90"/>
    <w:rsid w:val="009E41F7"/>
    <w:rsid w:val="009E502A"/>
    <w:rsid w:val="009E5283"/>
    <w:rsid w:val="009E5CA5"/>
    <w:rsid w:val="009E600E"/>
    <w:rsid w:val="009E632B"/>
    <w:rsid w:val="009E63C3"/>
    <w:rsid w:val="009E6B28"/>
    <w:rsid w:val="009E77B5"/>
    <w:rsid w:val="009E7F24"/>
    <w:rsid w:val="009F00E1"/>
    <w:rsid w:val="009F04DE"/>
    <w:rsid w:val="009F072D"/>
    <w:rsid w:val="009F09D7"/>
    <w:rsid w:val="009F1047"/>
    <w:rsid w:val="009F17FA"/>
    <w:rsid w:val="009F24F4"/>
    <w:rsid w:val="009F268C"/>
    <w:rsid w:val="009F2C76"/>
    <w:rsid w:val="009F2E0E"/>
    <w:rsid w:val="009F329A"/>
    <w:rsid w:val="009F3819"/>
    <w:rsid w:val="009F3D37"/>
    <w:rsid w:val="009F4681"/>
    <w:rsid w:val="009F4A33"/>
    <w:rsid w:val="009F4CF3"/>
    <w:rsid w:val="009F4D0C"/>
    <w:rsid w:val="009F51E1"/>
    <w:rsid w:val="009F52AE"/>
    <w:rsid w:val="009F52E1"/>
    <w:rsid w:val="009F5435"/>
    <w:rsid w:val="009F569B"/>
    <w:rsid w:val="009F5EFE"/>
    <w:rsid w:val="009F6A5C"/>
    <w:rsid w:val="009F6C64"/>
    <w:rsid w:val="009F7550"/>
    <w:rsid w:val="009F776F"/>
    <w:rsid w:val="009F79CC"/>
    <w:rsid w:val="009F7D42"/>
    <w:rsid w:val="009F7ECC"/>
    <w:rsid w:val="00A002BC"/>
    <w:rsid w:val="00A00540"/>
    <w:rsid w:val="00A007B5"/>
    <w:rsid w:val="00A016B1"/>
    <w:rsid w:val="00A01BF4"/>
    <w:rsid w:val="00A01D0E"/>
    <w:rsid w:val="00A021D9"/>
    <w:rsid w:val="00A028D4"/>
    <w:rsid w:val="00A028D5"/>
    <w:rsid w:val="00A02D85"/>
    <w:rsid w:val="00A02E82"/>
    <w:rsid w:val="00A02FCB"/>
    <w:rsid w:val="00A03929"/>
    <w:rsid w:val="00A03B01"/>
    <w:rsid w:val="00A04291"/>
    <w:rsid w:val="00A044C9"/>
    <w:rsid w:val="00A0467F"/>
    <w:rsid w:val="00A0470F"/>
    <w:rsid w:val="00A051CF"/>
    <w:rsid w:val="00A052FA"/>
    <w:rsid w:val="00A05564"/>
    <w:rsid w:val="00A055D1"/>
    <w:rsid w:val="00A058A2"/>
    <w:rsid w:val="00A05C2F"/>
    <w:rsid w:val="00A06CE9"/>
    <w:rsid w:val="00A072BD"/>
    <w:rsid w:val="00A07827"/>
    <w:rsid w:val="00A07A1E"/>
    <w:rsid w:val="00A10034"/>
    <w:rsid w:val="00A10AA9"/>
    <w:rsid w:val="00A10B15"/>
    <w:rsid w:val="00A10D1D"/>
    <w:rsid w:val="00A10EE2"/>
    <w:rsid w:val="00A113E9"/>
    <w:rsid w:val="00A116BE"/>
    <w:rsid w:val="00A11CC1"/>
    <w:rsid w:val="00A11F16"/>
    <w:rsid w:val="00A11F56"/>
    <w:rsid w:val="00A120DE"/>
    <w:rsid w:val="00A12428"/>
    <w:rsid w:val="00A12842"/>
    <w:rsid w:val="00A12890"/>
    <w:rsid w:val="00A12A4B"/>
    <w:rsid w:val="00A12CA7"/>
    <w:rsid w:val="00A12DD7"/>
    <w:rsid w:val="00A13052"/>
    <w:rsid w:val="00A1330E"/>
    <w:rsid w:val="00A135FE"/>
    <w:rsid w:val="00A13802"/>
    <w:rsid w:val="00A13DD6"/>
    <w:rsid w:val="00A13F54"/>
    <w:rsid w:val="00A14137"/>
    <w:rsid w:val="00A14278"/>
    <w:rsid w:val="00A14786"/>
    <w:rsid w:val="00A14AB1"/>
    <w:rsid w:val="00A14C97"/>
    <w:rsid w:val="00A14FE8"/>
    <w:rsid w:val="00A15395"/>
    <w:rsid w:val="00A1607C"/>
    <w:rsid w:val="00A16145"/>
    <w:rsid w:val="00A16487"/>
    <w:rsid w:val="00A169EA"/>
    <w:rsid w:val="00A16A08"/>
    <w:rsid w:val="00A17275"/>
    <w:rsid w:val="00A17625"/>
    <w:rsid w:val="00A17BDD"/>
    <w:rsid w:val="00A17C93"/>
    <w:rsid w:val="00A201E6"/>
    <w:rsid w:val="00A20685"/>
    <w:rsid w:val="00A20C97"/>
    <w:rsid w:val="00A20CE7"/>
    <w:rsid w:val="00A20EEF"/>
    <w:rsid w:val="00A20FC7"/>
    <w:rsid w:val="00A21056"/>
    <w:rsid w:val="00A211AF"/>
    <w:rsid w:val="00A21736"/>
    <w:rsid w:val="00A21939"/>
    <w:rsid w:val="00A219AD"/>
    <w:rsid w:val="00A21B6D"/>
    <w:rsid w:val="00A21B8F"/>
    <w:rsid w:val="00A21D7D"/>
    <w:rsid w:val="00A21E03"/>
    <w:rsid w:val="00A2249A"/>
    <w:rsid w:val="00A22852"/>
    <w:rsid w:val="00A22897"/>
    <w:rsid w:val="00A22BE6"/>
    <w:rsid w:val="00A2336C"/>
    <w:rsid w:val="00A23402"/>
    <w:rsid w:val="00A236F5"/>
    <w:rsid w:val="00A2391E"/>
    <w:rsid w:val="00A23D6E"/>
    <w:rsid w:val="00A23EB5"/>
    <w:rsid w:val="00A2444C"/>
    <w:rsid w:val="00A2484F"/>
    <w:rsid w:val="00A24861"/>
    <w:rsid w:val="00A24932"/>
    <w:rsid w:val="00A24965"/>
    <w:rsid w:val="00A249DE"/>
    <w:rsid w:val="00A24D4D"/>
    <w:rsid w:val="00A2524D"/>
    <w:rsid w:val="00A25BD3"/>
    <w:rsid w:val="00A25F35"/>
    <w:rsid w:val="00A26201"/>
    <w:rsid w:val="00A26318"/>
    <w:rsid w:val="00A26480"/>
    <w:rsid w:val="00A266D0"/>
    <w:rsid w:val="00A26940"/>
    <w:rsid w:val="00A26E36"/>
    <w:rsid w:val="00A271C8"/>
    <w:rsid w:val="00A275D5"/>
    <w:rsid w:val="00A2777C"/>
    <w:rsid w:val="00A2786B"/>
    <w:rsid w:val="00A3089B"/>
    <w:rsid w:val="00A30AD3"/>
    <w:rsid w:val="00A30BCD"/>
    <w:rsid w:val="00A30FDC"/>
    <w:rsid w:val="00A31F63"/>
    <w:rsid w:val="00A31FA0"/>
    <w:rsid w:val="00A32267"/>
    <w:rsid w:val="00A32C13"/>
    <w:rsid w:val="00A32ECE"/>
    <w:rsid w:val="00A33126"/>
    <w:rsid w:val="00A3336E"/>
    <w:rsid w:val="00A33916"/>
    <w:rsid w:val="00A342C1"/>
    <w:rsid w:val="00A34889"/>
    <w:rsid w:val="00A34F40"/>
    <w:rsid w:val="00A3527A"/>
    <w:rsid w:val="00A353BD"/>
    <w:rsid w:val="00A35939"/>
    <w:rsid w:val="00A35ACD"/>
    <w:rsid w:val="00A369B1"/>
    <w:rsid w:val="00A36AAB"/>
    <w:rsid w:val="00A36D3D"/>
    <w:rsid w:val="00A37577"/>
    <w:rsid w:val="00A37587"/>
    <w:rsid w:val="00A375BA"/>
    <w:rsid w:val="00A400BE"/>
    <w:rsid w:val="00A401D9"/>
    <w:rsid w:val="00A4080D"/>
    <w:rsid w:val="00A40A75"/>
    <w:rsid w:val="00A40B95"/>
    <w:rsid w:val="00A41628"/>
    <w:rsid w:val="00A417BD"/>
    <w:rsid w:val="00A418CE"/>
    <w:rsid w:val="00A41C8A"/>
    <w:rsid w:val="00A420DD"/>
    <w:rsid w:val="00A42404"/>
    <w:rsid w:val="00A427D3"/>
    <w:rsid w:val="00A42C4C"/>
    <w:rsid w:val="00A42C7E"/>
    <w:rsid w:val="00A42E57"/>
    <w:rsid w:val="00A431A4"/>
    <w:rsid w:val="00A43473"/>
    <w:rsid w:val="00A43498"/>
    <w:rsid w:val="00A434CF"/>
    <w:rsid w:val="00A43A83"/>
    <w:rsid w:val="00A43BFC"/>
    <w:rsid w:val="00A43DFF"/>
    <w:rsid w:val="00A440B8"/>
    <w:rsid w:val="00A44333"/>
    <w:rsid w:val="00A4473B"/>
    <w:rsid w:val="00A44AF3"/>
    <w:rsid w:val="00A44B37"/>
    <w:rsid w:val="00A44E44"/>
    <w:rsid w:val="00A4509C"/>
    <w:rsid w:val="00A450F9"/>
    <w:rsid w:val="00A4547F"/>
    <w:rsid w:val="00A45704"/>
    <w:rsid w:val="00A458B0"/>
    <w:rsid w:val="00A45909"/>
    <w:rsid w:val="00A45AAA"/>
    <w:rsid w:val="00A45C48"/>
    <w:rsid w:val="00A45FEE"/>
    <w:rsid w:val="00A460F0"/>
    <w:rsid w:val="00A462E8"/>
    <w:rsid w:val="00A4655D"/>
    <w:rsid w:val="00A46780"/>
    <w:rsid w:val="00A46D5C"/>
    <w:rsid w:val="00A47423"/>
    <w:rsid w:val="00A47C15"/>
    <w:rsid w:val="00A50691"/>
    <w:rsid w:val="00A50698"/>
    <w:rsid w:val="00A50E42"/>
    <w:rsid w:val="00A50EA8"/>
    <w:rsid w:val="00A51052"/>
    <w:rsid w:val="00A51AAA"/>
    <w:rsid w:val="00A52035"/>
    <w:rsid w:val="00A52283"/>
    <w:rsid w:val="00A52A34"/>
    <w:rsid w:val="00A52CD7"/>
    <w:rsid w:val="00A530ED"/>
    <w:rsid w:val="00A53162"/>
    <w:rsid w:val="00A53552"/>
    <w:rsid w:val="00A53938"/>
    <w:rsid w:val="00A53C57"/>
    <w:rsid w:val="00A5405B"/>
    <w:rsid w:val="00A54221"/>
    <w:rsid w:val="00A5432C"/>
    <w:rsid w:val="00A546D9"/>
    <w:rsid w:val="00A54BAD"/>
    <w:rsid w:val="00A54D36"/>
    <w:rsid w:val="00A54E8E"/>
    <w:rsid w:val="00A5535C"/>
    <w:rsid w:val="00A55386"/>
    <w:rsid w:val="00A55631"/>
    <w:rsid w:val="00A5570B"/>
    <w:rsid w:val="00A55C26"/>
    <w:rsid w:val="00A56440"/>
    <w:rsid w:val="00A56683"/>
    <w:rsid w:val="00A5696A"/>
    <w:rsid w:val="00A56D6F"/>
    <w:rsid w:val="00A56D81"/>
    <w:rsid w:val="00A56EDF"/>
    <w:rsid w:val="00A570C1"/>
    <w:rsid w:val="00A57406"/>
    <w:rsid w:val="00A607C3"/>
    <w:rsid w:val="00A60A3F"/>
    <w:rsid w:val="00A6107F"/>
    <w:rsid w:val="00A6131B"/>
    <w:rsid w:val="00A6197A"/>
    <w:rsid w:val="00A6198D"/>
    <w:rsid w:val="00A6199D"/>
    <w:rsid w:val="00A61CE2"/>
    <w:rsid w:val="00A61CE5"/>
    <w:rsid w:val="00A61D38"/>
    <w:rsid w:val="00A621AC"/>
    <w:rsid w:val="00A62413"/>
    <w:rsid w:val="00A62D87"/>
    <w:rsid w:val="00A62DB1"/>
    <w:rsid w:val="00A63495"/>
    <w:rsid w:val="00A634B8"/>
    <w:rsid w:val="00A637BA"/>
    <w:rsid w:val="00A63DAC"/>
    <w:rsid w:val="00A641CE"/>
    <w:rsid w:val="00A6424F"/>
    <w:rsid w:val="00A6431E"/>
    <w:rsid w:val="00A64621"/>
    <w:rsid w:val="00A647FE"/>
    <w:rsid w:val="00A64B3F"/>
    <w:rsid w:val="00A64E70"/>
    <w:rsid w:val="00A655A2"/>
    <w:rsid w:val="00A65775"/>
    <w:rsid w:val="00A660EB"/>
    <w:rsid w:val="00A6625A"/>
    <w:rsid w:val="00A663E8"/>
    <w:rsid w:val="00A66D8D"/>
    <w:rsid w:val="00A6711F"/>
    <w:rsid w:val="00A671EF"/>
    <w:rsid w:val="00A67399"/>
    <w:rsid w:val="00A67D3C"/>
    <w:rsid w:val="00A67D6F"/>
    <w:rsid w:val="00A7030E"/>
    <w:rsid w:val="00A703EF"/>
    <w:rsid w:val="00A70500"/>
    <w:rsid w:val="00A70B38"/>
    <w:rsid w:val="00A70C2B"/>
    <w:rsid w:val="00A70C5C"/>
    <w:rsid w:val="00A70CD5"/>
    <w:rsid w:val="00A71130"/>
    <w:rsid w:val="00A71C36"/>
    <w:rsid w:val="00A727C5"/>
    <w:rsid w:val="00A72814"/>
    <w:rsid w:val="00A72A3A"/>
    <w:rsid w:val="00A72C01"/>
    <w:rsid w:val="00A72E27"/>
    <w:rsid w:val="00A72E99"/>
    <w:rsid w:val="00A7300A"/>
    <w:rsid w:val="00A7331B"/>
    <w:rsid w:val="00A73414"/>
    <w:rsid w:val="00A73E61"/>
    <w:rsid w:val="00A7425D"/>
    <w:rsid w:val="00A742DD"/>
    <w:rsid w:val="00A7432E"/>
    <w:rsid w:val="00A74884"/>
    <w:rsid w:val="00A74CC8"/>
    <w:rsid w:val="00A74EF1"/>
    <w:rsid w:val="00A752FA"/>
    <w:rsid w:val="00A7532F"/>
    <w:rsid w:val="00A755C3"/>
    <w:rsid w:val="00A75B42"/>
    <w:rsid w:val="00A75D5D"/>
    <w:rsid w:val="00A75FAD"/>
    <w:rsid w:val="00A763EC"/>
    <w:rsid w:val="00A765E9"/>
    <w:rsid w:val="00A76E13"/>
    <w:rsid w:val="00A76EC0"/>
    <w:rsid w:val="00A76FD7"/>
    <w:rsid w:val="00A77FF7"/>
    <w:rsid w:val="00A80F61"/>
    <w:rsid w:val="00A80FDD"/>
    <w:rsid w:val="00A81191"/>
    <w:rsid w:val="00A81DC6"/>
    <w:rsid w:val="00A81FC5"/>
    <w:rsid w:val="00A81FD0"/>
    <w:rsid w:val="00A82320"/>
    <w:rsid w:val="00A82A3B"/>
    <w:rsid w:val="00A82AD0"/>
    <w:rsid w:val="00A8355A"/>
    <w:rsid w:val="00A84CDB"/>
    <w:rsid w:val="00A850E0"/>
    <w:rsid w:val="00A86131"/>
    <w:rsid w:val="00A861A5"/>
    <w:rsid w:val="00A86316"/>
    <w:rsid w:val="00A86948"/>
    <w:rsid w:val="00A86D2A"/>
    <w:rsid w:val="00A873CD"/>
    <w:rsid w:val="00A87509"/>
    <w:rsid w:val="00A87711"/>
    <w:rsid w:val="00A90339"/>
    <w:rsid w:val="00A904EF"/>
    <w:rsid w:val="00A90A2B"/>
    <w:rsid w:val="00A913F1"/>
    <w:rsid w:val="00A91796"/>
    <w:rsid w:val="00A91F14"/>
    <w:rsid w:val="00A9231E"/>
    <w:rsid w:val="00A9233B"/>
    <w:rsid w:val="00A92837"/>
    <w:rsid w:val="00A92853"/>
    <w:rsid w:val="00A9330B"/>
    <w:rsid w:val="00A938E1"/>
    <w:rsid w:val="00A94688"/>
    <w:rsid w:val="00A947C2"/>
    <w:rsid w:val="00A94968"/>
    <w:rsid w:val="00A95172"/>
    <w:rsid w:val="00A95204"/>
    <w:rsid w:val="00A952B9"/>
    <w:rsid w:val="00A9550D"/>
    <w:rsid w:val="00A958F2"/>
    <w:rsid w:val="00A959C9"/>
    <w:rsid w:val="00A95B40"/>
    <w:rsid w:val="00A95E36"/>
    <w:rsid w:val="00A95F86"/>
    <w:rsid w:val="00A96008"/>
    <w:rsid w:val="00A96312"/>
    <w:rsid w:val="00A96A88"/>
    <w:rsid w:val="00A96B0C"/>
    <w:rsid w:val="00A96CBA"/>
    <w:rsid w:val="00A9712F"/>
    <w:rsid w:val="00A97485"/>
    <w:rsid w:val="00AA0508"/>
    <w:rsid w:val="00AA0742"/>
    <w:rsid w:val="00AA0C29"/>
    <w:rsid w:val="00AA0F71"/>
    <w:rsid w:val="00AA10EE"/>
    <w:rsid w:val="00AA133E"/>
    <w:rsid w:val="00AA13F8"/>
    <w:rsid w:val="00AA1AF2"/>
    <w:rsid w:val="00AA1B3F"/>
    <w:rsid w:val="00AA1CE5"/>
    <w:rsid w:val="00AA1F28"/>
    <w:rsid w:val="00AA221D"/>
    <w:rsid w:val="00AA2678"/>
    <w:rsid w:val="00AA2C55"/>
    <w:rsid w:val="00AA33B7"/>
    <w:rsid w:val="00AA34C9"/>
    <w:rsid w:val="00AA3B78"/>
    <w:rsid w:val="00AA3BE4"/>
    <w:rsid w:val="00AA4110"/>
    <w:rsid w:val="00AA4602"/>
    <w:rsid w:val="00AA5120"/>
    <w:rsid w:val="00AA5449"/>
    <w:rsid w:val="00AA601E"/>
    <w:rsid w:val="00AA61AD"/>
    <w:rsid w:val="00AA64B7"/>
    <w:rsid w:val="00AA66FC"/>
    <w:rsid w:val="00AA6756"/>
    <w:rsid w:val="00AA677C"/>
    <w:rsid w:val="00AA6840"/>
    <w:rsid w:val="00AA693B"/>
    <w:rsid w:val="00AA6D03"/>
    <w:rsid w:val="00AA6EF1"/>
    <w:rsid w:val="00AA73BB"/>
    <w:rsid w:val="00AA7406"/>
    <w:rsid w:val="00AA750C"/>
    <w:rsid w:val="00AA7790"/>
    <w:rsid w:val="00AA77B1"/>
    <w:rsid w:val="00AA7BCB"/>
    <w:rsid w:val="00AB0074"/>
    <w:rsid w:val="00AB0440"/>
    <w:rsid w:val="00AB06CF"/>
    <w:rsid w:val="00AB07FE"/>
    <w:rsid w:val="00AB0D24"/>
    <w:rsid w:val="00AB189A"/>
    <w:rsid w:val="00AB1A29"/>
    <w:rsid w:val="00AB1BC4"/>
    <w:rsid w:val="00AB1BF8"/>
    <w:rsid w:val="00AB1D61"/>
    <w:rsid w:val="00AB1F6A"/>
    <w:rsid w:val="00AB2174"/>
    <w:rsid w:val="00AB23DB"/>
    <w:rsid w:val="00AB2944"/>
    <w:rsid w:val="00AB2B28"/>
    <w:rsid w:val="00AB2F0F"/>
    <w:rsid w:val="00AB3544"/>
    <w:rsid w:val="00AB3C4B"/>
    <w:rsid w:val="00AB46E3"/>
    <w:rsid w:val="00AB4856"/>
    <w:rsid w:val="00AB4E54"/>
    <w:rsid w:val="00AB572E"/>
    <w:rsid w:val="00AB5ABB"/>
    <w:rsid w:val="00AB5E2B"/>
    <w:rsid w:val="00AB5E9B"/>
    <w:rsid w:val="00AB5F5D"/>
    <w:rsid w:val="00AB62B2"/>
    <w:rsid w:val="00AB6475"/>
    <w:rsid w:val="00AB6498"/>
    <w:rsid w:val="00AB6639"/>
    <w:rsid w:val="00AB6B14"/>
    <w:rsid w:val="00AB723F"/>
    <w:rsid w:val="00AB7593"/>
    <w:rsid w:val="00AB7AB7"/>
    <w:rsid w:val="00AB7FBC"/>
    <w:rsid w:val="00AB83B5"/>
    <w:rsid w:val="00AC033D"/>
    <w:rsid w:val="00AC07F2"/>
    <w:rsid w:val="00AC0902"/>
    <w:rsid w:val="00AC0D96"/>
    <w:rsid w:val="00AC1256"/>
    <w:rsid w:val="00AC16CA"/>
    <w:rsid w:val="00AC1700"/>
    <w:rsid w:val="00AC211A"/>
    <w:rsid w:val="00AC211D"/>
    <w:rsid w:val="00AC2690"/>
    <w:rsid w:val="00AC2A4F"/>
    <w:rsid w:val="00AC2A66"/>
    <w:rsid w:val="00AC2C41"/>
    <w:rsid w:val="00AC3019"/>
    <w:rsid w:val="00AC3570"/>
    <w:rsid w:val="00AC378C"/>
    <w:rsid w:val="00AC3A45"/>
    <w:rsid w:val="00AC3CAB"/>
    <w:rsid w:val="00AC4592"/>
    <w:rsid w:val="00AC479B"/>
    <w:rsid w:val="00AC5099"/>
    <w:rsid w:val="00AC53BC"/>
    <w:rsid w:val="00AC559C"/>
    <w:rsid w:val="00AC5B29"/>
    <w:rsid w:val="00AC638E"/>
    <w:rsid w:val="00AC67F8"/>
    <w:rsid w:val="00AC6835"/>
    <w:rsid w:val="00AC6D59"/>
    <w:rsid w:val="00AC7032"/>
    <w:rsid w:val="00AC729E"/>
    <w:rsid w:val="00AC77F3"/>
    <w:rsid w:val="00AC7EA3"/>
    <w:rsid w:val="00AD036D"/>
    <w:rsid w:val="00AD04AE"/>
    <w:rsid w:val="00AD04F7"/>
    <w:rsid w:val="00AD06B7"/>
    <w:rsid w:val="00AD07A8"/>
    <w:rsid w:val="00AD0858"/>
    <w:rsid w:val="00AD08DB"/>
    <w:rsid w:val="00AD0CBF"/>
    <w:rsid w:val="00AD14B1"/>
    <w:rsid w:val="00AD1A22"/>
    <w:rsid w:val="00AD22F4"/>
    <w:rsid w:val="00AD2B04"/>
    <w:rsid w:val="00AD2BB0"/>
    <w:rsid w:val="00AD2DCD"/>
    <w:rsid w:val="00AD30B4"/>
    <w:rsid w:val="00AD39B5"/>
    <w:rsid w:val="00AD3CDE"/>
    <w:rsid w:val="00AD3CE7"/>
    <w:rsid w:val="00AD3DD1"/>
    <w:rsid w:val="00AD3DE4"/>
    <w:rsid w:val="00AD4014"/>
    <w:rsid w:val="00AD4127"/>
    <w:rsid w:val="00AD430E"/>
    <w:rsid w:val="00AD4477"/>
    <w:rsid w:val="00AD447F"/>
    <w:rsid w:val="00AD4BA9"/>
    <w:rsid w:val="00AD4D3C"/>
    <w:rsid w:val="00AD5075"/>
    <w:rsid w:val="00AD54C8"/>
    <w:rsid w:val="00AD56E3"/>
    <w:rsid w:val="00AD603C"/>
    <w:rsid w:val="00AD61E4"/>
    <w:rsid w:val="00AD69D4"/>
    <w:rsid w:val="00AD6B3E"/>
    <w:rsid w:val="00AD6E5E"/>
    <w:rsid w:val="00AD723A"/>
    <w:rsid w:val="00AD7281"/>
    <w:rsid w:val="00AD7397"/>
    <w:rsid w:val="00AD7D46"/>
    <w:rsid w:val="00AD7DE4"/>
    <w:rsid w:val="00AD7FC0"/>
    <w:rsid w:val="00AE0346"/>
    <w:rsid w:val="00AE0EBD"/>
    <w:rsid w:val="00AE1228"/>
    <w:rsid w:val="00AE1861"/>
    <w:rsid w:val="00AE1BC4"/>
    <w:rsid w:val="00AE21F1"/>
    <w:rsid w:val="00AE27A8"/>
    <w:rsid w:val="00AE2D04"/>
    <w:rsid w:val="00AE2E16"/>
    <w:rsid w:val="00AE2E61"/>
    <w:rsid w:val="00AE2F91"/>
    <w:rsid w:val="00AE2FD4"/>
    <w:rsid w:val="00AE3137"/>
    <w:rsid w:val="00AE3345"/>
    <w:rsid w:val="00AE36DA"/>
    <w:rsid w:val="00AE374D"/>
    <w:rsid w:val="00AE3D2E"/>
    <w:rsid w:val="00AE4237"/>
    <w:rsid w:val="00AE4DDB"/>
    <w:rsid w:val="00AE4E15"/>
    <w:rsid w:val="00AE4E94"/>
    <w:rsid w:val="00AE4F0E"/>
    <w:rsid w:val="00AE5006"/>
    <w:rsid w:val="00AE51B9"/>
    <w:rsid w:val="00AE5308"/>
    <w:rsid w:val="00AE5415"/>
    <w:rsid w:val="00AE54FC"/>
    <w:rsid w:val="00AE55C4"/>
    <w:rsid w:val="00AE56ED"/>
    <w:rsid w:val="00AE580F"/>
    <w:rsid w:val="00AE5BCF"/>
    <w:rsid w:val="00AE5C6F"/>
    <w:rsid w:val="00AE5C7C"/>
    <w:rsid w:val="00AE5E25"/>
    <w:rsid w:val="00AE600D"/>
    <w:rsid w:val="00AE6073"/>
    <w:rsid w:val="00AE62A5"/>
    <w:rsid w:val="00AE6775"/>
    <w:rsid w:val="00AE6EBD"/>
    <w:rsid w:val="00AE6FA8"/>
    <w:rsid w:val="00AE700E"/>
    <w:rsid w:val="00AE75E5"/>
    <w:rsid w:val="00AF0131"/>
    <w:rsid w:val="00AF031F"/>
    <w:rsid w:val="00AF05C7"/>
    <w:rsid w:val="00AF071B"/>
    <w:rsid w:val="00AF11FD"/>
    <w:rsid w:val="00AF12F1"/>
    <w:rsid w:val="00AF1460"/>
    <w:rsid w:val="00AF1D5C"/>
    <w:rsid w:val="00AF20DD"/>
    <w:rsid w:val="00AF21F2"/>
    <w:rsid w:val="00AF280F"/>
    <w:rsid w:val="00AF2901"/>
    <w:rsid w:val="00AF2A6A"/>
    <w:rsid w:val="00AF2B28"/>
    <w:rsid w:val="00AF306C"/>
    <w:rsid w:val="00AF31E9"/>
    <w:rsid w:val="00AF34E9"/>
    <w:rsid w:val="00AF387C"/>
    <w:rsid w:val="00AF3B76"/>
    <w:rsid w:val="00AF4021"/>
    <w:rsid w:val="00AF4497"/>
    <w:rsid w:val="00AF4B5F"/>
    <w:rsid w:val="00AF4CAA"/>
    <w:rsid w:val="00AF4D91"/>
    <w:rsid w:val="00AF50A1"/>
    <w:rsid w:val="00AF5115"/>
    <w:rsid w:val="00AF53E5"/>
    <w:rsid w:val="00AF5414"/>
    <w:rsid w:val="00AF54A1"/>
    <w:rsid w:val="00AF5522"/>
    <w:rsid w:val="00AF55F7"/>
    <w:rsid w:val="00AF5C95"/>
    <w:rsid w:val="00AF5D39"/>
    <w:rsid w:val="00AF62FB"/>
    <w:rsid w:val="00AF6308"/>
    <w:rsid w:val="00AF63C1"/>
    <w:rsid w:val="00AF7013"/>
    <w:rsid w:val="00AF7232"/>
    <w:rsid w:val="00AF75F7"/>
    <w:rsid w:val="00AF760F"/>
    <w:rsid w:val="00AF7924"/>
    <w:rsid w:val="00AF7E24"/>
    <w:rsid w:val="00AFC5A4"/>
    <w:rsid w:val="00B00085"/>
    <w:rsid w:val="00B001EF"/>
    <w:rsid w:val="00B00601"/>
    <w:rsid w:val="00B00F89"/>
    <w:rsid w:val="00B00F99"/>
    <w:rsid w:val="00B00FB8"/>
    <w:rsid w:val="00B00FBC"/>
    <w:rsid w:val="00B0107E"/>
    <w:rsid w:val="00B0125E"/>
    <w:rsid w:val="00B012C0"/>
    <w:rsid w:val="00B01B79"/>
    <w:rsid w:val="00B01C5A"/>
    <w:rsid w:val="00B032B7"/>
    <w:rsid w:val="00B0332D"/>
    <w:rsid w:val="00B03AF3"/>
    <w:rsid w:val="00B03B39"/>
    <w:rsid w:val="00B03CFD"/>
    <w:rsid w:val="00B03D6C"/>
    <w:rsid w:val="00B04232"/>
    <w:rsid w:val="00B04367"/>
    <w:rsid w:val="00B0439F"/>
    <w:rsid w:val="00B04980"/>
    <w:rsid w:val="00B04F6E"/>
    <w:rsid w:val="00B04FF8"/>
    <w:rsid w:val="00B05226"/>
    <w:rsid w:val="00B05286"/>
    <w:rsid w:val="00B05926"/>
    <w:rsid w:val="00B05D91"/>
    <w:rsid w:val="00B06854"/>
    <w:rsid w:val="00B07210"/>
    <w:rsid w:val="00B0747A"/>
    <w:rsid w:val="00B075BA"/>
    <w:rsid w:val="00B0765D"/>
    <w:rsid w:val="00B07DB4"/>
    <w:rsid w:val="00B1042F"/>
    <w:rsid w:val="00B10737"/>
    <w:rsid w:val="00B10CAA"/>
    <w:rsid w:val="00B10D37"/>
    <w:rsid w:val="00B10E4C"/>
    <w:rsid w:val="00B10E8B"/>
    <w:rsid w:val="00B11208"/>
    <w:rsid w:val="00B114E6"/>
    <w:rsid w:val="00B116AB"/>
    <w:rsid w:val="00B1172E"/>
    <w:rsid w:val="00B117B9"/>
    <w:rsid w:val="00B117F4"/>
    <w:rsid w:val="00B11AB7"/>
    <w:rsid w:val="00B11BE1"/>
    <w:rsid w:val="00B11D51"/>
    <w:rsid w:val="00B12686"/>
    <w:rsid w:val="00B12809"/>
    <w:rsid w:val="00B12A47"/>
    <w:rsid w:val="00B12C3D"/>
    <w:rsid w:val="00B12DCD"/>
    <w:rsid w:val="00B12F6C"/>
    <w:rsid w:val="00B12F95"/>
    <w:rsid w:val="00B13076"/>
    <w:rsid w:val="00B130AB"/>
    <w:rsid w:val="00B1344B"/>
    <w:rsid w:val="00B13461"/>
    <w:rsid w:val="00B13573"/>
    <w:rsid w:val="00B135CD"/>
    <w:rsid w:val="00B13AE0"/>
    <w:rsid w:val="00B13B75"/>
    <w:rsid w:val="00B13D20"/>
    <w:rsid w:val="00B142D0"/>
    <w:rsid w:val="00B1437D"/>
    <w:rsid w:val="00B14ACB"/>
    <w:rsid w:val="00B14FB6"/>
    <w:rsid w:val="00B15015"/>
    <w:rsid w:val="00B15066"/>
    <w:rsid w:val="00B150E2"/>
    <w:rsid w:val="00B15222"/>
    <w:rsid w:val="00B15439"/>
    <w:rsid w:val="00B154A6"/>
    <w:rsid w:val="00B155E8"/>
    <w:rsid w:val="00B158F6"/>
    <w:rsid w:val="00B15A01"/>
    <w:rsid w:val="00B16171"/>
    <w:rsid w:val="00B16C64"/>
    <w:rsid w:val="00B1708B"/>
    <w:rsid w:val="00B172C3"/>
    <w:rsid w:val="00B174B1"/>
    <w:rsid w:val="00B174D9"/>
    <w:rsid w:val="00B17504"/>
    <w:rsid w:val="00B176AD"/>
    <w:rsid w:val="00B17795"/>
    <w:rsid w:val="00B1792E"/>
    <w:rsid w:val="00B200E1"/>
    <w:rsid w:val="00B201B4"/>
    <w:rsid w:val="00B2081A"/>
    <w:rsid w:val="00B213D5"/>
    <w:rsid w:val="00B21406"/>
    <w:rsid w:val="00B2201E"/>
    <w:rsid w:val="00B22135"/>
    <w:rsid w:val="00B22190"/>
    <w:rsid w:val="00B22406"/>
    <w:rsid w:val="00B22421"/>
    <w:rsid w:val="00B22E93"/>
    <w:rsid w:val="00B22F2F"/>
    <w:rsid w:val="00B23714"/>
    <w:rsid w:val="00B23AF6"/>
    <w:rsid w:val="00B23DFC"/>
    <w:rsid w:val="00B24088"/>
    <w:rsid w:val="00B24207"/>
    <w:rsid w:val="00B24610"/>
    <w:rsid w:val="00B246D4"/>
    <w:rsid w:val="00B2495A"/>
    <w:rsid w:val="00B25B5D"/>
    <w:rsid w:val="00B25DA7"/>
    <w:rsid w:val="00B262AD"/>
    <w:rsid w:val="00B26FA1"/>
    <w:rsid w:val="00B275B5"/>
    <w:rsid w:val="00B27BE3"/>
    <w:rsid w:val="00B27C36"/>
    <w:rsid w:val="00B27D36"/>
    <w:rsid w:val="00B27EFE"/>
    <w:rsid w:val="00B30156"/>
    <w:rsid w:val="00B3028B"/>
    <w:rsid w:val="00B3054B"/>
    <w:rsid w:val="00B306DA"/>
    <w:rsid w:val="00B3080C"/>
    <w:rsid w:val="00B30819"/>
    <w:rsid w:val="00B30846"/>
    <w:rsid w:val="00B30AFC"/>
    <w:rsid w:val="00B31036"/>
    <w:rsid w:val="00B31037"/>
    <w:rsid w:val="00B31049"/>
    <w:rsid w:val="00B3156E"/>
    <w:rsid w:val="00B3216A"/>
    <w:rsid w:val="00B32240"/>
    <w:rsid w:val="00B32246"/>
    <w:rsid w:val="00B32543"/>
    <w:rsid w:val="00B32A2A"/>
    <w:rsid w:val="00B32CC8"/>
    <w:rsid w:val="00B32CDC"/>
    <w:rsid w:val="00B33486"/>
    <w:rsid w:val="00B33725"/>
    <w:rsid w:val="00B33892"/>
    <w:rsid w:val="00B3392D"/>
    <w:rsid w:val="00B33935"/>
    <w:rsid w:val="00B34273"/>
    <w:rsid w:val="00B34E24"/>
    <w:rsid w:val="00B351D6"/>
    <w:rsid w:val="00B3549D"/>
    <w:rsid w:val="00B35AE0"/>
    <w:rsid w:val="00B35BB2"/>
    <w:rsid w:val="00B35D7C"/>
    <w:rsid w:val="00B35EC3"/>
    <w:rsid w:val="00B360DE"/>
    <w:rsid w:val="00B36101"/>
    <w:rsid w:val="00B3611B"/>
    <w:rsid w:val="00B3616E"/>
    <w:rsid w:val="00B361FD"/>
    <w:rsid w:val="00B365EB"/>
    <w:rsid w:val="00B36701"/>
    <w:rsid w:val="00B36918"/>
    <w:rsid w:val="00B36D2A"/>
    <w:rsid w:val="00B36E1C"/>
    <w:rsid w:val="00B3759F"/>
    <w:rsid w:val="00B37973"/>
    <w:rsid w:val="00B37B3B"/>
    <w:rsid w:val="00B37BF6"/>
    <w:rsid w:val="00B37C79"/>
    <w:rsid w:val="00B37D1D"/>
    <w:rsid w:val="00B37D70"/>
    <w:rsid w:val="00B4043D"/>
    <w:rsid w:val="00B407DB"/>
    <w:rsid w:val="00B40A9C"/>
    <w:rsid w:val="00B41114"/>
    <w:rsid w:val="00B41461"/>
    <w:rsid w:val="00B41497"/>
    <w:rsid w:val="00B41EFD"/>
    <w:rsid w:val="00B41F6D"/>
    <w:rsid w:val="00B41FDD"/>
    <w:rsid w:val="00B42124"/>
    <w:rsid w:val="00B42641"/>
    <w:rsid w:val="00B42AA8"/>
    <w:rsid w:val="00B42BE6"/>
    <w:rsid w:val="00B43304"/>
    <w:rsid w:val="00B43970"/>
    <w:rsid w:val="00B440CA"/>
    <w:rsid w:val="00B44349"/>
    <w:rsid w:val="00B44603"/>
    <w:rsid w:val="00B448FF"/>
    <w:rsid w:val="00B44911"/>
    <w:rsid w:val="00B44C85"/>
    <w:rsid w:val="00B44CC2"/>
    <w:rsid w:val="00B44D5B"/>
    <w:rsid w:val="00B45240"/>
    <w:rsid w:val="00B45312"/>
    <w:rsid w:val="00B45380"/>
    <w:rsid w:val="00B45C9B"/>
    <w:rsid w:val="00B45EC5"/>
    <w:rsid w:val="00B46157"/>
    <w:rsid w:val="00B46358"/>
    <w:rsid w:val="00B46533"/>
    <w:rsid w:val="00B4697A"/>
    <w:rsid w:val="00B472BF"/>
    <w:rsid w:val="00B472DD"/>
    <w:rsid w:val="00B4753E"/>
    <w:rsid w:val="00B47DB2"/>
    <w:rsid w:val="00B501DF"/>
    <w:rsid w:val="00B50350"/>
    <w:rsid w:val="00B50740"/>
    <w:rsid w:val="00B50EEC"/>
    <w:rsid w:val="00B511C6"/>
    <w:rsid w:val="00B51849"/>
    <w:rsid w:val="00B51B46"/>
    <w:rsid w:val="00B51BC0"/>
    <w:rsid w:val="00B521EF"/>
    <w:rsid w:val="00B522C0"/>
    <w:rsid w:val="00B528AC"/>
    <w:rsid w:val="00B52CC0"/>
    <w:rsid w:val="00B52F73"/>
    <w:rsid w:val="00B53041"/>
    <w:rsid w:val="00B5358E"/>
    <w:rsid w:val="00B535AA"/>
    <w:rsid w:val="00B53991"/>
    <w:rsid w:val="00B53C85"/>
    <w:rsid w:val="00B540B9"/>
    <w:rsid w:val="00B54233"/>
    <w:rsid w:val="00B544CB"/>
    <w:rsid w:val="00B544EE"/>
    <w:rsid w:val="00B545BB"/>
    <w:rsid w:val="00B5473D"/>
    <w:rsid w:val="00B548C6"/>
    <w:rsid w:val="00B54B85"/>
    <w:rsid w:val="00B54C1B"/>
    <w:rsid w:val="00B550C6"/>
    <w:rsid w:val="00B55403"/>
    <w:rsid w:val="00B55C66"/>
    <w:rsid w:val="00B55CA5"/>
    <w:rsid w:val="00B55E91"/>
    <w:rsid w:val="00B55F4D"/>
    <w:rsid w:val="00B56292"/>
    <w:rsid w:val="00B564C1"/>
    <w:rsid w:val="00B569D9"/>
    <w:rsid w:val="00B571EC"/>
    <w:rsid w:val="00B572E1"/>
    <w:rsid w:val="00B5DC46"/>
    <w:rsid w:val="00B60390"/>
    <w:rsid w:val="00B6044B"/>
    <w:rsid w:val="00B608B4"/>
    <w:rsid w:val="00B60AE1"/>
    <w:rsid w:val="00B60BE9"/>
    <w:rsid w:val="00B60D16"/>
    <w:rsid w:val="00B60D6E"/>
    <w:rsid w:val="00B60F80"/>
    <w:rsid w:val="00B6140C"/>
    <w:rsid w:val="00B614C6"/>
    <w:rsid w:val="00B61C10"/>
    <w:rsid w:val="00B61E1E"/>
    <w:rsid w:val="00B62041"/>
    <w:rsid w:val="00B620BB"/>
    <w:rsid w:val="00B62170"/>
    <w:rsid w:val="00B62392"/>
    <w:rsid w:val="00B62445"/>
    <w:rsid w:val="00B62D77"/>
    <w:rsid w:val="00B62D8B"/>
    <w:rsid w:val="00B62E65"/>
    <w:rsid w:val="00B62EC5"/>
    <w:rsid w:val="00B6301B"/>
    <w:rsid w:val="00B633D5"/>
    <w:rsid w:val="00B63501"/>
    <w:rsid w:val="00B637B8"/>
    <w:rsid w:val="00B63C42"/>
    <w:rsid w:val="00B63D9C"/>
    <w:rsid w:val="00B63E6B"/>
    <w:rsid w:val="00B63FFF"/>
    <w:rsid w:val="00B64CAD"/>
    <w:rsid w:val="00B64DFE"/>
    <w:rsid w:val="00B65228"/>
    <w:rsid w:val="00B6566C"/>
    <w:rsid w:val="00B656AB"/>
    <w:rsid w:val="00B656D3"/>
    <w:rsid w:val="00B65A03"/>
    <w:rsid w:val="00B65AE8"/>
    <w:rsid w:val="00B65B88"/>
    <w:rsid w:val="00B66092"/>
    <w:rsid w:val="00B660CB"/>
    <w:rsid w:val="00B66DA4"/>
    <w:rsid w:val="00B67300"/>
    <w:rsid w:val="00B6766C"/>
    <w:rsid w:val="00B678B9"/>
    <w:rsid w:val="00B67A10"/>
    <w:rsid w:val="00B67D84"/>
    <w:rsid w:val="00B67E40"/>
    <w:rsid w:val="00B67E54"/>
    <w:rsid w:val="00B704DA"/>
    <w:rsid w:val="00B7064B"/>
    <w:rsid w:val="00B707EB"/>
    <w:rsid w:val="00B70C01"/>
    <w:rsid w:val="00B70C22"/>
    <w:rsid w:val="00B710A4"/>
    <w:rsid w:val="00B7112A"/>
    <w:rsid w:val="00B7149B"/>
    <w:rsid w:val="00B72436"/>
    <w:rsid w:val="00B7281A"/>
    <w:rsid w:val="00B72BBF"/>
    <w:rsid w:val="00B732EE"/>
    <w:rsid w:val="00B73A8E"/>
    <w:rsid w:val="00B747CE"/>
    <w:rsid w:val="00B74E5D"/>
    <w:rsid w:val="00B75092"/>
    <w:rsid w:val="00B75430"/>
    <w:rsid w:val="00B76037"/>
    <w:rsid w:val="00B76DED"/>
    <w:rsid w:val="00B76E6A"/>
    <w:rsid w:val="00B76FB5"/>
    <w:rsid w:val="00B76FDC"/>
    <w:rsid w:val="00B779EB"/>
    <w:rsid w:val="00B77C00"/>
    <w:rsid w:val="00B77E05"/>
    <w:rsid w:val="00B8095E"/>
    <w:rsid w:val="00B81213"/>
    <w:rsid w:val="00B819C0"/>
    <w:rsid w:val="00B81BAC"/>
    <w:rsid w:val="00B81C16"/>
    <w:rsid w:val="00B81C8D"/>
    <w:rsid w:val="00B81DA2"/>
    <w:rsid w:val="00B820C8"/>
    <w:rsid w:val="00B82160"/>
    <w:rsid w:val="00B8233F"/>
    <w:rsid w:val="00B82345"/>
    <w:rsid w:val="00B8247B"/>
    <w:rsid w:val="00B825AA"/>
    <w:rsid w:val="00B829BC"/>
    <w:rsid w:val="00B82B1B"/>
    <w:rsid w:val="00B82BA5"/>
    <w:rsid w:val="00B82BF1"/>
    <w:rsid w:val="00B82E9E"/>
    <w:rsid w:val="00B832FC"/>
    <w:rsid w:val="00B8355F"/>
    <w:rsid w:val="00B836CC"/>
    <w:rsid w:val="00B83865"/>
    <w:rsid w:val="00B83ABE"/>
    <w:rsid w:val="00B83D29"/>
    <w:rsid w:val="00B83FA3"/>
    <w:rsid w:val="00B84107"/>
    <w:rsid w:val="00B8418C"/>
    <w:rsid w:val="00B841B4"/>
    <w:rsid w:val="00B843D8"/>
    <w:rsid w:val="00B844E5"/>
    <w:rsid w:val="00B844F3"/>
    <w:rsid w:val="00B8469C"/>
    <w:rsid w:val="00B848E3"/>
    <w:rsid w:val="00B84997"/>
    <w:rsid w:val="00B84A48"/>
    <w:rsid w:val="00B84C62"/>
    <w:rsid w:val="00B84DA9"/>
    <w:rsid w:val="00B84DCB"/>
    <w:rsid w:val="00B8507D"/>
    <w:rsid w:val="00B850EC"/>
    <w:rsid w:val="00B851D1"/>
    <w:rsid w:val="00B8527E"/>
    <w:rsid w:val="00B857C5"/>
    <w:rsid w:val="00B85A98"/>
    <w:rsid w:val="00B85BCC"/>
    <w:rsid w:val="00B8635D"/>
    <w:rsid w:val="00B8678D"/>
    <w:rsid w:val="00B867DD"/>
    <w:rsid w:val="00B867E5"/>
    <w:rsid w:val="00B868BE"/>
    <w:rsid w:val="00B868D0"/>
    <w:rsid w:val="00B86A03"/>
    <w:rsid w:val="00B86BFE"/>
    <w:rsid w:val="00B872A1"/>
    <w:rsid w:val="00B90192"/>
    <w:rsid w:val="00B9035B"/>
    <w:rsid w:val="00B904E5"/>
    <w:rsid w:val="00B90851"/>
    <w:rsid w:val="00B90A2A"/>
    <w:rsid w:val="00B90B8D"/>
    <w:rsid w:val="00B90B9B"/>
    <w:rsid w:val="00B90D95"/>
    <w:rsid w:val="00B9105F"/>
    <w:rsid w:val="00B910DA"/>
    <w:rsid w:val="00B9130C"/>
    <w:rsid w:val="00B92A8F"/>
    <w:rsid w:val="00B92B87"/>
    <w:rsid w:val="00B92EFF"/>
    <w:rsid w:val="00B9333C"/>
    <w:rsid w:val="00B934C0"/>
    <w:rsid w:val="00B938B6"/>
    <w:rsid w:val="00B938BA"/>
    <w:rsid w:val="00B93B08"/>
    <w:rsid w:val="00B9417C"/>
    <w:rsid w:val="00B94264"/>
    <w:rsid w:val="00B94664"/>
    <w:rsid w:val="00B946DC"/>
    <w:rsid w:val="00B94733"/>
    <w:rsid w:val="00B94D11"/>
    <w:rsid w:val="00B9563A"/>
    <w:rsid w:val="00B9591B"/>
    <w:rsid w:val="00B95A41"/>
    <w:rsid w:val="00B960FE"/>
    <w:rsid w:val="00B962B7"/>
    <w:rsid w:val="00B9696E"/>
    <w:rsid w:val="00B969FF"/>
    <w:rsid w:val="00B96D8A"/>
    <w:rsid w:val="00B96FEF"/>
    <w:rsid w:val="00B978CA"/>
    <w:rsid w:val="00B97C7C"/>
    <w:rsid w:val="00BA0114"/>
    <w:rsid w:val="00BA0177"/>
    <w:rsid w:val="00BA0298"/>
    <w:rsid w:val="00BA063E"/>
    <w:rsid w:val="00BA0CAE"/>
    <w:rsid w:val="00BA0CCC"/>
    <w:rsid w:val="00BA1016"/>
    <w:rsid w:val="00BA16F6"/>
    <w:rsid w:val="00BA1B1F"/>
    <w:rsid w:val="00BA1BB2"/>
    <w:rsid w:val="00BA1C87"/>
    <w:rsid w:val="00BA1EA0"/>
    <w:rsid w:val="00BA226F"/>
    <w:rsid w:val="00BA259B"/>
    <w:rsid w:val="00BA267F"/>
    <w:rsid w:val="00BA291D"/>
    <w:rsid w:val="00BA2B27"/>
    <w:rsid w:val="00BA2E89"/>
    <w:rsid w:val="00BA2E93"/>
    <w:rsid w:val="00BA35B6"/>
    <w:rsid w:val="00BA3C3E"/>
    <w:rsid w:val="00BA3CFD"/>
    <w:rsid w:val="00BA472F"/>
    <w:rsid w:val="00BA4953"/>
    <w:rsid w:val="00BA4B28"/>
    <w:rsid w:val="00BA4BB6"/>
    <w:rsid w:val="00BA4CCD"/>
    <w:rsid w:val="00BA518C"/>
    <w:rsid w:val="00BA53E0"/>
    <w:rsid w:val="00BA5641"/>
    <w:rsid w:val="00BA5714"/>
    <w:rsid w:val="00BA5932"/>
    <w:rsid w:val="00BA5941"/>
    <w:rsid w:val="00BA59EB"/>
    <w:rsid w:val="00BA5A21"/>
    <w:rsid w:val="00BA5AC4"/>
    <w:rsid w:val="00BA5E22"/>
    <w:rsid w:val="00BA6323"/>
    <w:rsid w:val="00BA66AA"/>
    <w:rsid w:val="00BA70D1"/>
    <w:rsid w:val="00BA71AB"/>
    <w:rsid w:val="00BA7CAD"/>
    <w:rsid w:val="00BA7D2D"/>
    <w:rsid w:val="00BA7D4C"/>
    <w:rsid w:val="00BA7FC0"/>
    <w:rsid w:val="00BB0295"/>
    <w:rsid w:val="00BB0A30"/>
    <w:rsid w:val="00BB0C07"/>
    <w:rsid w:val="00BB0C0C"/>
    <w:rsid w:val="00BB0F50"/>
    <w:rsid w:val="00BB16CD"/>
    <w:rsid w:val="00BB18FF"/>
    <w:rsid w:val="00BB1A35"/>
    <w:rsid w:val="00BB20DE"/>
    <w:rsid w:val="00BB2A5B"/>
    <w:rsid w:val="00BB2FF3"/>
    <w:rsid w:val="00BB31CB"/>
    <w:rsid w:val="00BB36AB"/>
    <w:rsid w:val="00BB44A2"/>
    <w:rsid w:val="00BB4F1D"/>
    <w:rsid w:val="00BB50F4"/>
    <w:rsid w:val="00BB5387"/>
    <w:rsid w:val="00BB6182"/>
    <w:rsid w:val="00BB6473"/>
    <w:rsid w:val="00BB65E1"/>
    <w:rsid w:val="00BB6713"/>
    <w:rsid w:val="00BB6BEF"/>
    <w:rsid w:val="00BB757D"/>
    <w:rsid w:val="00BB76DD"/>
    <w:rsid w:val="00BB77F3"/>
    <w:rsid w:val="00BB7909"/>
    <w:rsid w:val="00BB7CB6"/>
    <w:rsid w:val="00BB7D9A"/>
    <w:rsid w:val="00BB7DD1"/>
    <w:rsid w:val="00BB7DDF"/>
    <w:rsid w:val="00BB7E89"/>
    <w:rsid w:val="00BC00EA"/>
    <w:rsid w:val="00BC0EFA"/>
    <w:rsid w:val="00BC13FC"/>
    <w:rsid w:val="00BC1425"/>
    <w:rsid w:val="00BC17B8"/>
    <w:rsid w:val="00BC17F9"/>
    <w:rsid w:val="00BC17FF"/>
    <w:rsid w:val="00BC1DE7"/>
    <w:rsid w:val="00BC1E32"/>
    <w:rsid w:val="00BC21E1"/>
    <w:rsid w:val="00BC2986"/>
    <w:rsid w:val="00BC2C17"/>
    <w:rsid w:val="00BC2E45"/>
    <w:rsid w:val="00BC2F4D"/>
    <w:rsid w:val="00BC2FBD"/>
    <w:rsid w:val="00BC306C"/>
    <w:rsid w:val="00BC30DF"/>
    <w:rsid w:val="00BC361B"/>
    <w:rsid w:val="00BC37A1"/>
    <w:rsid w:val="00BC3EC0"/>
    <w:rsid w:val="00BC3EC3"/>
    <w:rsid w:val="00BC3EFF"/>
    <w:rsid w:val="00BC4431"/>
    <w:rsid w:val="00BC444E"/>
    <w:rsid w:val="00BC49FE"/>
    <w:rsid w:val="00BC4C23"/>
    <w:rsid w:val="00BC4CEA"/>
    <w:rsid w:val="00BC54AD"/>
    <w:rsid w:val="00BC5576"/>
    <w:rsid w:val="00BC5966"/>
    <w:rsid w:val="00BC624F"/>
    <w:rsid w:val="00BC63B8"/>
    <w:rsid w:val="00BC6590"/>
    <w:rsid w:val="00BC662F"/>
    <w:rsid w:val="00BC6B46"/>
    <w:rsid w:val="00BC6FB8"/>
    <w:rsid w:val="00BC7389"/>
    <w:rsid w:val="00BC73BE"/>
    <w:rsid w:val="00BC73DD"/>
    <w:rsid w:val="00BC7A00"/>
    <w:rsid w:val="00BC7AFE"/>
    <w:rsid w:val="00BD0828"/>
    <w:rsid w:val="00BD0A8B"/>
    <w:rsid w:val="00BD0B17"/>
    <w:rsid w:val="00BD0B5C"/>
    <w:rsid w:val="00BD1464"/>
    <w:rsid w:val="00BD16B7"/>
    <w:rsid w:val="00BD23FC"/>
    <w:rsid w:val="00BD250E"/>
    <w:rsid w:val="00BD256C"/>
    <w:rsid w:val="00BD2E15"/>
    <w:rsid w:val="00BD2EF9"/>
    <w:rsid w:val="00BD31D2"/>
    <w:rsid w:val="00BD33BC"/>
    <w:rsid w:val="00BD3829"/>
    <w:rsid w:val="00BD3B32"/>
    <w:rsid w:val="00BD4063"/>
    <w:rsid w:val="00BD40A6"/>
    <w:rsid w:val="00BD40F4"/>
    <w:rsid w:val="00BD42FE"/>
    <w:rsid w:val="00BD46E6"/>
    <w:rsid w:val="00BD5B8A"/>
    <w:rsid w:val="00BD5DB5"/>
    <w:rsid w:val="00BD5FE7"/>
    <w:rsid w:val="00BD6158"/>
    <w:rsid w:val="00BD6FDC"/>
    <w:rsid w:val="00BD7135"/>
    <w:rsid w:val="00BD7CD9"/>
    <w:rsid w:val="00BDC447"/>
    <w:rsid w:val="00BE0A2C"/>
    <w:rsid w:val="00BE0EB4"/>
    <w:rsid w:val="00BE14BF"/>
    <w:rsid w:val="00BE1702"/>
    <w:rsid w:val="00BE1863"/>
    <w:rsid w:val="00BE1883"/>
    <w:rsid w:val="00BE1F90"/>
    <w:rsid w:val="00BE2218"/>
    <w:rsid w:val="00BE2293"/>
    <w:rsid w:val="00BE28DD"/>
    <w:rsid w:val="00BE294F"/>
    <w:rsid w:val="00BE2A17"/>
    <w:rsid w:val="00BE2B65"/>
    <w:rsid w:val="00BE2C0D"/>
    <w:rsid w:val="00BE2CA2"/>
    <w:rsid w:val="00BE3052"/>
    <w:rsid w:val="00BE331D"/>
    <w:rsid w:val="00BE34AD"/>
    <w:rsid w:val="00BE3B3E"/>
    <w:rsid w:val="00BE3DA2"/>
    <w:rsid w:val="00BE40AF"/>
    <w:rsid w:val="00BE4331"/>
    <w:rsid w:val="00BE4537"/>
    <w:rsid w:val="00BE48D0"/>
    <w:rsid w:val="00BE562A"/>
    <w:rsid w:val="00BE5677"/>
    <w:rsid w:val="00BE58E3"/>
    <w:rsid w:val="00BE5E5F"/>
    <w:rsid w:val="00BE65B7"/>
    <w:rsid w:val="00BE684D"/>
    <w:rsid w:val="00BE6AD0"/>
    <w:rsid w:val="00BE6F07"/>
    <w:rsid w:val="00BE7035"/>
    <w:rsid w:val="00BE75A1"/>
    <w:rsid w:val="00BE762D"/>
    <w:rsid w:val="00BE783F"/>
    <w:rsid w:val="00BE7C3E"/>
    <w:rsid w:val="00BE7EA8"/>
    <w:rsid w:val="00BE7F56"/>
    <w:rsid w:val="00BF0599"/>
    <w:rsid w:val="00BF07B5"/>
    <w:rsid w:val="00BF09DC"/>
    <w:rsid w:val="00BF104B"/>
    <w:rsid w:val="00BF1A12"/>
    <w:rsid w:val="00BF1C8C"/>
    <w:rsid w:val="00BF1E98"/>
    <w:rsid w:val="00BF2BF4"/>
    <w:rsid w:val="00BF2D80"/>
    <w:rsid w:val="00BF3569"/>
    <w:rsid w:val="00BF35AA"/>
    <w:rsid w:val="00BF3CE6"/>
    <w:rsid w:val="00BF3FC7"/>
    <w:rsid w:val="00BF4304"/>
    <w:rsid w:val="00BF4405"/>
    <w:rsid w:val="00BF4C8D"/>
    <w:rsid w:val="00BF4E05"/>
    <w:rsid w:val="00BF5177"/>
    <w:rsid w:val="00BF5188"/>
    <w:rsid w:val="00BF5257"/>
    <w:rsid w:val="00BF5332"/>
    <w:rsid w:val="00BF5747"/>
    <w:rsid w:val="00BF5CA4"/>
    <w:rsid w:val="00BF631C"/>
    <w:rsid w:val="00BF6792"/>
    <w:rsid w:val="00BF6D2E"/>
    <w:rsid w:val="00BF6EE5"/>
    <w:rsid w:val="00BF75A0"/>
    <w:rsid w:val="00BF7985"/>
    <w:rsid w:val="00BF7A59"/>
    <w:rsid w:val="00BF7C81"/>
    <w:rsid w:val="00BF7C9D"/>
    <w:rsid w:val="00C00327"/>
    <w:rsid w:val="00C0039B"/>
    <w:rsid w:val="00C003F2"/>
    <w:rsid w:val="00C0052C"/>
    <w:rsid w:val="00C01494"/>
    <w:rsid w:val="00C01821"/>
    <w:rsid w:val="00C01B4E"/>
    <w:rsid w:val="00C024D8"/>
    <w:rsid w:val="00C026ED"/>
    <w:rsid w:val="00C02DDA"/>
    <w:rsid w:val="00C03069"/>
    <w:rsid w:val="00C03B2F"/>
    <w:rsid w:val="00C03DD4"/>
    <w:rsid w:val="00C04358"/>
    <w:rsid w:val="00C048E2"/>
    <w:rsid w:val="00C049B4"/>
    <w:rsid w:val="00C04A66"/>
    <w:rsid w:val="00C055FE"/>
    <w:rsid w:val="00C056C6"/>
    <w:rsid w:val="00C0611A"/>
    <w:rsid w:val="00C06486"/>
    <w:rsid w:val="00C06C95"/>
    <w:rsid w:val="00C06EC6"/>
    <w:rsid w:val="00C07165"/>
    <w:rsid w:val="00C07F55"/>
    <w:rsid w:val="00C1033F"/>
    <w:rsid w:val="00C11637"/>
    <w:rsid w:val="00C1184F"/>
    <w:rsid w:val="00C12035"/>
    <w:rsid w:val="00C12119"/>
    <w:rsid w:val="00C12138"/>
    <w:rsid w:val="00C122CE"/>
    <w:rsid w:val="00C123C5"/>
    <w:rsid w:val="00C1246B"/>
    <w:rsid w:val="00C13099"/>
    <w:rsid w:val="00C1327F"/>
    <w:rsid w:val="00C13703"/>
    <w:rsid w:val="00C13A74"/>
    <w:rsid w:val="00C13B60"/>
    <w:rsid w:val="00C13FE8"/>
    <w:rsid w:val="00C143C8"/>
    <w:rsid w:val="00C1472C"/>
    <w:rsid w:val="00C148DD"/>
    <w:rsid w:val="00C14C55"/>
    <w:rsid w:val="00C15459"/>
    <w:rsid w:val="00C15DB6"/>
    <w:rsid w:val="00C1658A"/>
    <w:rsid w:val="00C16E39"/>
    <w:rsid w:val="00C17754"/>
    <w:rsid w:val="00C17AA5"/>
    <w:rsid w:val="00C201C4"/>
    <w:rsid w:val="00C2031C"/>
    <w:rsid w:val="00C203C0"/>
    <w:rsid w:val="00C203DC"/>
    <w:rsid w:val="00C203E6"/>
    <w:rsid w:val="00C20500"/>
    <w:rsid w:val="00C20DFA"/>
    <w:rsid w:val="00C20F32"/>
    <w:rsid w:val="00C210F1"/>
    <w:rsid w:val="00C211F1"/>
    <w:rsid w:val="00C2130B"/>
    <w:rsid w:val="00C21974"/>
    <w:rsid w:val="00C2274D"/>
    <w:rsid w:val="00C22E3E"/>
    <w:rsid w:val="00C22E5B"/>
    <w:rsid w:val="00C234A5"/>
    <w:rsid w:val="00C23852"/>
    <w:rsid w:val="00C238D3"/>
    <w:rsid w:val="00C23C86"/>
    <w:rsid w:val="00C240B1"/>
    <w:rsid w:val="00C24300"/>
    <w:rsid w:val="00C24562"/>
    <w:rsid w:val="00C24649"/>
    <w:rsid w:val="00C2473A"/>
    <w:rsid w:val="00C24AF5"/>
    <w:rsid w:val="00C24BA0"/>
    <w:rsid w:val="00C24BA6"/>
    <w:rsid w:val="00C2612F"/>
    <w:rsid w:val="00C265D8"/>
    <w:rsid w:val="00C269B1"/>
    <w:rsid w:val="00C26A9C"/>
    <w:rsid w:val="00C26C80"/>
    <w:rsid w:val="00C26D1A"/>
    <w:rsid w:val="00C27014"/>
    <w:rsid w:val="00C276D9"/>
    <w:rsid w:val="00C279C1"/>
    <w:rsid w:val="00C27F66"/>
    <w:rsid w:val="00C2F05B"/>
    <w:rsid w:val="00C304C3"/>
    <w:rsid w:val="00C305F0"/>
    <w:rsid w:val="00C3095F"/>
    <w:rsid w:val="00C309B4"/>
    <w:rsid w:val="00C30AAA"/>
    <w:rsid w:val="00C30B78"/>
    <w:rsid w:val="00C30D5F"/>
    <w:rsid w:val="00C31123"/>
    <w:rsid w:val="00C316CB"/>
    <w:rsid w:val="00C318C8"/>
    <w:rsid w:val="00C31B29"/>
    <w:rsid w:val="00C31E16"/>
    <w:rsid w:val="00C32426"/>
    <w:rsid w:val="00C328DC"/>
    <w:rsid w:val="00C32BB8"/>
    <w:rsid w:val="00C32DFC"/>
    <w:rsid w:val="00C32F7D"/>
    <w:rsid w:val="00C33382"/>
    <w:rsid w:val="00C33427"/>
    <w:rsid w:val="00C33434"/>
    <w:rsid w:val="00C33A72"/>
    <w:rsid w:val="00C33B49"/>
    <w:rsid w:val="00C341D9"/>
    <w:rsid w:val="00C3440C"/>
    <w:rsid w:val="00C34B6B"/>
    <w:rsid w:val="00C34C86"/>
    <w:rsid w:val="00C35121"/>
    <w:rsid w:val="00C351B1"/>
    <w:rsid w:val="00C353EA"/>
    <w:rsid w:val="00C3556F"/>
    <w:rsid w:val="00C35740"/>
    <w:rsid w:val="00C35867"/>
    <w:rsid w:val="00C35BF8"/>
    <w:rsid w:val="00C35C4D"/>
    <w:rsid w:val="00C365A5"/>
    <w:rsid w:val="00C36A16"/>
    <w:rsid w:val="00C37140"/>
    <w:rsid w:val="00C37692"/>
    <w:rsid w:val="00C3779A"/>
    <w:rsid w:val="00C4023E"/>
    <w:rsid w:val="00C40EBE"/>
    <w:rsid w:val="00C41152"/>
    <w:rsid w:val="00C41599"/>
    <w:rsid w:val="00C41686"/>
    <w:rsid w:val="00C41A37"/>
    <w:rsid w:val="00C41C5B"/>
    <w:rsid w:val="00C43228"/>
    <w:rsid w:val="00C43773"/>
    <w:rsid w:val="00C438C6"/>
    <w:rsid w:val="00C43ABE"/>
    <w:rsid w:val="00C43CD4"/>
    <w:rsid w:val="00C43F04"/>
    <w:rsid w:val="00C441F9"/>
    <w:rsid w:val="00C4446A"/>
    <w:rsid w:val="00C44911"/>
    <w:rsid w:val="00C44919"/>
    <w:rsid w:val="00C44AA0"/>
    <w:rsid w:val="00C44BD9"/>
    <w:rsid w:val="00C44CDE"/>
    <w:rsid w:val="00C45438"/>
    <w:rsid w:val="00C45A8D"/>
    <w:rsid w:val="00C45C7A"/>
    <w:rsid w:val="00C45F48"/>
    <w:rsid w:val="00C461AD"/>
    <w:rsid w:val="00C461B4"/>
    <w:rsid w:val="00C463F0"/>
    <w:rsid w:val="00C4675D"/>
    <w:rsid w:val="00C4688D"/>
    <w:rsid w:val="00C46C05"/>
    <w:rsid w:val="00C46C3F"/>
    <w:rsid w:val="00C46F2A"/>
    <w:rsid w:val="00C471AA"/>
    <w:rsid w:val="00C4766F"/>
    <w:rsid w:val="00C47791"/>
    <w:rsid w:val="00C479F8"/>
    <w:rsid w:val="00C47E88"/>
    <w:rsid w:val="00C503CB"/>
    <w:rsid w:val="00C5041A"/>
    <w:rsid w:val="00C50D5E"/>
    <w:rsid w:val="00C50E15"/>
    <w:rsid w:val="00C5128D"/>
    <w:rsid w:val="00C51976"/>
    <w:rsid w:val="00C51A40"/>
    <w:rsid w:val="00C51BF2"/>
    <w:rsid w:val="00C51DA5"/>
    <w:rsid w:val="00C520F6"/>
    <w:rsid w:val="00C521AF"/>
    <w:rsid w:val="00C522A9"/>
    <w:rsid w:val="00C52D01"/>
    <w:rsid w:val="00C5321B"/>
    <w:rsid w:val="00C5361E"/>
    <w:rsid w:val="00C53A61"/>
    <w:rsid w:val="00C54488"/>
    <w:rsid w:val="00C54520"/>
    <w:rsid w:val="00C5483A"/>
    <w:rsid w:val="00C54B3D"/>
    <w:rsid w:val="00C54D07"/>
    <w:rsid w:val="00C55A91"/>
    <w:rsid w:val="00C5605D"/>
    <w:rsid w:val="00C5623F"/>
    <w:rsid w:val="00C56590"/>
    <w:rsid w:val="00C5693D"/>
    <w:rsid w:val="00C56AF3"/>
    <w:rsid w:val="00C56C6E"/>
    <w:rsid w:val="00C56D8D"/>
    <w:rsid w:val="00C57250"/>
    <w:rsid w:val="00C5735F"/>
    <w:rsid w:val="00C5736E"/>
    <w:rsid w:val="00C57A19"/>
    <w:rsid w:val="00C600AB"/>
    <w:rsid w:val="00C60607"/>
    <w:rsid w:val="00C60C45"/>
    <w:rsid w:val="00C60E7A"/>
    <w:rsid w:val="00C612E9"/>
    <w:rsid w:val="00C6134B"/>
    <w:rsid w:val="00C613DF"/>
    <w:rsid w:val="00C614C9"/>
    <w:rsid w:val="00C617BD"/>
    <w:rsid w:val="00C61866"/>
    <w:rsid w:val="00C62439"/>
    <w:rsid w:val="00C62E46"/>
    <w:rsid w:val="00C63350"/>
    <w:rsid w:val="00C635EC"/>
    <w:rsid w:val="00C63914"/>
    <w:rsid w:val="00C63D71"/>
    <w:rsid w:val="00C6405B"/>
    <w:rsid w:val="00C64108"/>
    <w:rsid w:val="00C641FF"/>
    <w:rsid w:val="00C64272"/>
    <w:rsid w:val="00C64314"/>
    <w:rsid w:val="00C64640"/>
    <w:rsid w:val="00C64D29"/>
    <w:rsid w:val="00C65610"/>
    <w:rsid w:val="00C65A84"/>
    <w:rsid w:val="00C65B53"/>
    <w:rsid w:val="00C65CD3"/>
    <w:rsid w:val="00C65DCF"/>
    <w:rsid w:val="00C65E6A"/>
    <w:rsid w:val="00C664B5"/>
    <w:rsid w:val="00C665F3"/>
    <w:rsid w:val="00C667F0"/>
    <w:rsid w:val="00C6767F"/>
    <w:rsid w:val="00C702A4"/>
    <w:rsid w:val="00C703ED"/>
    <w:rsid w:val="00C704B4"/>
    <w:rsid w:val="00C706AC"/>
    <w:rsid w:val="00C70B5E"/>
    <w:rsid w:val="00C71D43"/>
    <w:rsid w:val="00C71DB9"/>
    <w:rsid w:val="00C721BA"/>
    <w:rsid w:val="00C72297"/>
    <w:rsid w:val="00C72A03"/>
    <w:rsid w:val="00C72EC1"/>
    <w:rsid w:val="00C73F6B"/>
    <w:rsid w:val="00C74306"/>
    <w:rsid w:val="00C7450D"/>
    <w:rsid w:val="00C74C5A"/>
    <w:rsid w:val="00C75585"/>
    <w:rsid w:val="00C75F49"/>
    <w:rsid w:val="00C7623E"/>
    <w:rsid w:val="00C76821"/>
    <w:rsid w:val="00C76F7A"/>
    <w:rsid w:val="00C7717C"/>
    <w:rsid w:val="00C77186"/>
    <w:rsid w:val="00C7746C"/>
    <w:rsid w:val="00C7776A"/>
    <w:rsid w:val="00C77AA8"/>
    <w:rsid w:val="00C77B19"/>
    <w:rsid w:val="00C77D10"/>
    <w:rsid w:val="00C77EE5"/>
    <w:rsid w:val="00C77F63"/>
    <w:rsid w:val="00C80125"/>
    <w:rsid w:val="00C8015A"/>
    <w:rsid w:val="00C804C2"/>
    <w:rsid w:val="00C80A2D"/>
    <w:rsid w:val="00C80D80"/>
    <w:rsid w:val="00C80DD0"/>
    <w:rsid w:val="00C80E1D"/>
    <w:rsid w:val="00C8108F"/>
    <w:rsid w:val="00C811B8"/>
    <w:rsid w:val="00C8206C"/>
    <w:rsid w:val="00C822AD"/>
    <w:rsid w:val="00C824C3"/>
    <w:rsid w:val="00C82C87"/>
    <w:rsid w:val="00C82C92"/>
    <w:rsid w:val="00C82E5C"/>
    <w:rsid w:val="00C82F85"/>
    <w:rsid w:val="00C8316E"/>
    <w:rsid w:val="00C8360F"/>
    <w:rsid w:val="00C83819"/>
    <w:rsid w:val="00C83A10"/>
    <w:rsid w:val="00C83B8B"/>
    <w:rsid w:val="00C83BE2"/>
    <w:rsid w:val="00C83E92"/>
    <w:rsid w:val="00C85249"/>
    <w:rsid w:val="00C85261"/>
    <w:rsid w:val="00C855BB"/>
    <w:rsid w:val="00C85906"/>
    <w:rsid w:val="00C85C23"/>
    <w:rsid w:val="00C860E3"/>
    <w:rsid w:val="00C86597"/>
    <w:rsid w:val="00C86800"/>
    <w:rsid w:val="00C86B25"/>
    <w:rsid w:val="00C86C6F"/>
    <w:rsid w:val="00C86EB2"/>
    <w:rsid w:val="00C86F29"/>
    <w:rsid w:val="00C870C0"/>
    <w:rsid w:val="00C8711E"/>
    <w:rsid w:val="00C873EC"/>
    <w:rsid w:val="00C8771F"/>
    <w:rsid w:val="00C87750"/>
    <w:rsid w:val="00C87D96"/>
    <w:rsid w:val="00C87F71"/>
    <w:rsid w:val="00C91006"/>
    <w:rsid w:val="00C910B9"/>
    <w:rsid w:val="00C91558"/>
    <w:rsid w:val="00C919D6"/>
    <w:rsid w:val="00C92068"/>
    <w:rsid w:val="00C921C5"/>
    <w:rsid w:val="00C9254D"/>
    <w:rsid w:val="00C929F2"/>
    <w:rsid w:val="00C92CF8"/>
    <w:rsid w:val="00C94106"/>
    <w:rsid w:val="00C94493"/>
    <w:rsid w:val="00C945D5"/>
    <w:rsid w:val="00C945E9"/>
    <w:rsid w:val="00C94E62"/>
    <w:rsid w:val="00C95778"/>
    <w:rsid w:val="00C95BE1"/>
    <w:rsid w:val="00C95F65"/>
    <w:rsid w:val="00C96520"/>
    <w:rsid w:val="00C967A6"/>
    <w:rsid w:val="00C96F24"/>
    <w:rsid w:val="00C97015"/>
    <w:rsid w:val="00C9719D"/>
    <w:rsid w:val="00C9723E"/>
    <w:rsid w:val="00C97306"/>
    <w:rsid w:val="00C97496"/>
    <w:rsid w:val="00C97B20"/>
    <w:rsid w:val="00C97CE9"/>
    <w:rsid w:val="00CA012E"/>
    <w:rsid w:val="00CA07A8"/>
    <w:rsid w:val="00CA0B52"/>
    <w:rsid w:val="00CA0C6B"/>
    <w:rsid w:val="00CA0E98"/>
    <w:rsid w:val="00CA1281"/>
    <w:rsid w:val="00CA1947"/>
    <w:rsid w:val="00CA1982"/>
    <w:rsid w:val="00CA1B0C"/>
    <w:rsid w:val="00CA1D0A"/>
    <w:rsid w:val="00CA2FAF"/>
    <w:rsid w:val="00CA4681"/>
    <w:rsid w:val="00CA49C7"/>
    <w:rsid w:val="00CA5C78"/>
    <w:rsid w:val="00CA5DD3"/>
    <w:rsid w:val="00CA6573"/>
    <w:rsid w:val="00CA6856"/>
    <w:rsid w:val="00CA7025"/>
    <w:rsid w:val="00CA72BB"/>
    <w:rsid w:val="00CA7381"/>
    <w:rsid w:val="00CA73DE"/>
    <w:rsid w:val="00CA7699"/>
    <w:rsid w:val="00CA7849"/>
    <w:rsid w:val="00CA7AE5"/>
    <w:rsid w:val="00CA7BF0"/>
    <w:rsid w:val="00CA7D33"/>
    <w:rsid w:val="00CB056F"/>
    <w:rsid w:val="00CB060E"/>
    <w:rsid w:val="00CB0832"/>
    <w:rsid w:val="00CB09F8"/>
    <w:rsid w:val="00CB1351"/>
    <w:rsid w:val="00CB20E0"/>
    <w:rsid w:val="00CB2C3E"/>
    <w:rsid w:val="00CB34B7"/>
    <w:rsid w:val="00CB3720"/>
    <w:rsid w:val="00CB384D"/>
    <w:rsid w:val="00CB3EBF"/>
    <w:rsid w:val="00CB40BC"/>
    <w:rsid w:val="00CB4495"/>
    <w:rsid w:val="00CB4A25"/>
    <w:rsid w:val="00CB4C94"/>
    <w:rsid w:val="00CB50DB"/>
    <w:rsid w:val="00CB5117"/>
    <w:rsid w:val="00CB56D4"/>
    <w:rsid w:val="00CB5D4F"/>
    <w:rsid w:val="00CB639D"/>
    <w:rsid w:val="00CB65CF"/>
    <w:rsid w:val="00CB65DC"/>
    <w:rsid w:val="00CB661C"/>
    <w:rsid w:val="00CB671B"/>
    <w:rsid w:val="00CB6ADE"/>
    <w:rsid w:val="00CB6C03"/>
    <w:rsid w:val="00CB7455"/>
    <w:rsid w:val="00CB7539"/>
    <w:rsid w:val="00CB7AA7"/>
    <w:rsid w:val="00CB7D8C"/>
    <w:rsid w:val="00CB7D8D"/>
    <w:rsid w:val="00CC0237"/>
    <w:rsid w:val="00CC0240"/>
    <w:rsid w:val="00CC03FD"/>
    <w:rsid w:val="00CC092B"/>
    <w:rsid w:val="00CC0ACB"/>
    <w:rsid w:val="00CC0FDA"/>
    <w:rsid w:val="00CC1033"/>
    <w:rsid w:val="00CC1066"/>
    <w:rsid w:val="00CC170C"/>
    <w:rsid w:val="00CC27F4"/>
    <w:rsid w:val="00CC28A3"/>
    <w:rsid w:val="00CC2FEA"/>
    <w:rsid w:val="00CC320B"/>
    <w:rsid w:val="00CC335D"/>
    <w:rsid w:val="00CC337D"/>
    <w:rsid w:val="00CC3481"/>
    <w:rsid w:val="00CC3C7D"/>
    <w:rsid w:val="00CC3CC1"/>
    <w:rsid w:val="00CC3F26"/>
    <w:rsid w:val="00CC4009"/>
    <w:rsid w:val="00CC415E"/>
    <w:rsid w:val="00CC4A2C"/>
    <w:rsid w:val="00CC4B5D"/>
    <w:rsid w:val="00CC4DA4"/>
    <w:rsid w:val="00CC5327"/>
    <w:rsid w:val="00CC56A0"/>
    <w:rsid w:val="00CC5A6F"/>
    <w:rsid w:val="00CC5A86"/>
    <w:rsid w:val="00CC5ACB"/>
    <w:rsid w:val="00CC5BD0"/>
    <w:rsid w:val="00CC5D92"/>
    <w:rsid w:val="00CC6153"/>
    <w:rsid w:val="00CC636A"/>
    <w:rsid w:val="00CC63CB"/>
    <w:rsid w:val="00CC6528"/>
    <w:rsid w:val="00CC6BCC"/>
    <w:rsid w:val="00CC6EB7"/>
    <w:rsid w:val="00CC7100"/>
    <w:rsid w:val="00CC713F"/>
    <w:rsid w:val="00CC736A"/>
    <w:rsid w:val="00CC7423"/>
    <w:rsid w:val="00CC7A5C"/>
    <w:rsid w:val="00CC7EEF"/>
    <w:rsid w:val="00CCD946"/>
    <w:rsid w:val="00CD014B"/>
    <w:rsid w:val="00CD06AB"/>
    <w:rsid w:val="00CD0C3F"/>
    <w:rsid w:val="00CD0D95"/>
    <w:rsid w:val="00CD0F4C"/>
    <w:rsid w:val="00CD1385"/>
    <w:rsid w:val="00CD13E6"/>
    <w:rsid w:val="00CD15C4"/>
    <w:rsid w:val="00CD171F"/>
    <w:rsid w:val="00CD190F"/>
    <w:rsid w:val="00CD1E68"/>
    <w:rsid w:val="00CD1E8A"/>
    <w:rsid w:val="00CD20A8"/>
    <w:rsid w:val="00CD2A4C"/>
    <w:rsid w:val="00CD3483"/>
    <w:rsid w:val="00CD3744"/>
    <w:rsid w:val="00CD3809"/>
    <w:rsid w:val="00CD3B38"/>
    <w:rsid w:val="00CD3C55"/>
    <w:rsid w:val="00CD4348"/>
    <w:rsid w:val="00CD48A9"/>
    <w:rsid w:val="00CD4AFB"/>
    <w:rsid w:val="00CD5000"/>
    <w:rsid w:val="00CD526E"/>
    <w:rsid w:val="00CD5323"/>
    <w:rsid w:val="00CD5A6F"/>
    <w:rsid w:val="00CD5D0D"/>
    <w:rsid w:val="00CD5FA7"/>
    <w:rsid w:val="00CD69DF"/>
    <w:rsid w:val="00CD6B36"/>
    <w:rsid w:val="00CD6E7F"/>
    <w:rsid w:val="00CD74B6"/>
    <w:rsid w:val="00CD754F"/>
    <w:rsid w:val="00CD75AA"/>
    <w:rsid w:val="00CD7789"/>
    <w:rsid w:val="00CD7929"/>
    <w:rsid w:val="00CD7C31"/>
    <w:rsid w:val="00CD7CFB"/>
    <w:rsid w:val="00CE05AD"/>
    <w:rsid w:val="00CE0839"/>
    <w:rsid w:val="00CE0EB9"/>
    <w:rsid w:val="00CE1764"/>
    <w:rsid w:val="00CE2237"/>
    <w:rsid w:val="00CE2A10"/>
    <w:rsid w:val="00CE2A12"/>
    <w:rsid w:val="00CE2B1D"/>
    <w:rsid w:val="00CE2C2D"/>
    <w:rsid w:val="00CE2E4E"/>
    <w:rsid w:val="00CE2E5C"/>
    <w:rsid w:val="00CE3441"/>
    <w:rsid w:val="00CE36E0"/>
    <w:rsid w:val="00CE3851"/>
    <w:rsid w:val="00CE39EB"/>
    <w:rsid w:val="00CE3B6C"/>
    <w:rsid w:val="00CE3F0A"/>
    <w:rsid w:val="00CE3F32"/>
    <w:rsid w:val="00CE40E2"/>
    <w:rsid w:val="00CE4195"/>
    <w:rsid w:val="00CE4478"/>
    <w:rsid w:val="00CE44D1"/>
    <w:rsid w:val="00CE45DB"/>
    <w:rsid w:val="00CE4BA0"/>
    <w:rsid w:val="00CE4F71"/>
    <w:rsid w:val="00CE5294"/>
    <w:rsid w:val="00CE5EF8"/>
    <w:rsid w:val="00CE5F2A"/>
    <w:rsid w:val="00CE61E4"/>
    <w:rsid w:val="00CE6876"/>
    <w:rsid w:val="00CE692E"/>
    <w:rsid w:val="00CE6A34"/>
    <w:rsid w:val="00CE6BDE"/>
    <w:rsid w:val="00CE6C2D"/>
    <w:rsid w:val="00CE6F34"/>
    <w:rsid w:val="00CE70D4"/>
    <w:rsid w:val="00CE761B"/>
    <w:rsid w:val="00CE7647"/>
    <w:rsid w:val="00CF0061"/>
    <w:rsid w:val="00CF05A8"/>
    <w:rsid w:val="00CF06A5"/>
    <w:rsid w:val="00CF0AB1"/>
    <w:rsid w:val="00CF0ABF"/>
    <w:rsid w:val="00CF0CAF"/>
    <w:rsid w:val="00CF0FB7"/>
    <w:rsid w:val="00CF104E"/>
    <w:rsid w:val="00CF1289"/>
    <w:rsid w:val="00CF1316"/>
    <w:rsid w:val="00CF1647"/>
    <w:rsid w:val="00CF1BF7"/>
    <w:rsid w:val="00CF1E0A"/>
    <w:rsid w:val="00CF203C"/>
    <w:rsid w:val="00CF2563"/>
    <w:rsid w:val="00CF264E"/>
    <w:rsid w:val="00CF26BC"/>
    <w:rsid w:val="00CF2C71"/>
    <w:rsid w:val="00CF2E22"/>
    <w:rsid w:val="00CF385E"/>
    <w:rsid w:val="00CF3CAF"/>
    <w:rsid w:val="00CF3DF5"/>
    <w:rsid w:val="00CF406F"/>
    <w:rsid w:val="00CF49AD"/>
    <w:rsid w:val="00CF4BD5"/>
    <w:rsid w:val="00CF57BC"/>
    <w:rsid w:val="00CF6254"/>
    <w:rsid w:val="00CF6376"/>
    <w:rsid w:val="00CF67AB"/>
    <w:rsid w:val="00CF697A"/>
    <w:rsid w:val="00CF6AAD"/>
    <w:rsid w:val="00CF6ADE"/>
    <w:rsid w:val="00CF720F"/>
    <w:rsid w:val="00CF7581"/>
    <w:rsid w:val="00CF77FC"/>
    <w:rsid w:val="00D00DA8"/>
    <w:rsid w:val="00D01008"/>
    <w:rsid w:val="00D011C7"/>
    <w:rsid w:val="00D01563"/>
    <w:rsid w:val="00D01F2B"/>
    <w:rsid w:val="00D024BE"/>
    <w:rsid w:val="00D02630"/>
    <w:rsid w:val="00D02850"/>
    <w:rsid w:val="00D02854"/>
    <w:rsid w:val="00D0287E"/>
    <w:rsid w:val="00D0290D"/>
    <w:rsid w:val="00D02A24"/>
    <w:rsid w:val="00D02A54"/>
    <w:rsid w:val="00D02AA6"/>
    <w:rsid w:val="00D02B04"/>
    <w:rsid w:val="00D038D3"/>
    <w:rsid w:val="00D03AB2"/>
    <w:rsid w:val="00D03C29"/>
    <w:rsid w:val="00D04527"/>
    <w:rsid w:val="00D0482F"/>
    <w:rsid w:val="00D0486C"/>
    <w:rsid w:val="00D04CB4"/>
    <w:rsid w:val="00D04CDB"/>
    <w:rsid w:val="00D05232"/>
    <w:rsid w:val="00D05323"/>
    <w:rsid w:val="00D053B7"/>
    <w:rsid w:val="00D0567F"/>
    <w:rsid w:val="00D05BBB"/>
    <w:rsid w:val="00D06242"/>
    <w:rsid w:val="00D062F1"/>
    <w:rsid w:val="00D06997"/>
    <w:rsid w:val="00D07681"/>
    <w:rsid w:val="00D076B3"/>
    <w:rsid w:val="00D11097"/>
    <w:rsid w:val="00D11327"/>
    <w:rsid w:val="00D11575"/>
    <w:rsid w:val="00D11652"/>
    <w:rsid w:val="00D1174C"/>
    <w:rsid w:val="00D11C5D"/>
    <w:rsid w:val="00D12552"/>
    <w:rsid w:val="00D12579"/>
    <w:rsid w:val="00D126D7"/>
    <w:rsid w:val="00D12FA0"/>
    <w:rsid w:val="00D13499"/>
    <w:rsid w:val="00D13745"/>
    <w:rsid w:val="00D13810"/>
    <w:rsid w:val="00D14213"/>
    <w:rsid w:val="00D142E6"/>
    <w:rsid w:val="00D1463F"/>
    <w:rsid w:val="00D14779"/>
    <w:rsid w:val="00D14BD2"/>
    <w:rsid w:val="00D14C40"/>
    <w:rsid w:val="00D14D96"/>
    <w:rsid w:val="00D14DE5"/>
    <w:rsid w:val="00D14EE2"/>
    <w:rsid w:val="00D15072"/>
    <w:rsid w:val="00D1595E"/>
    <w:rsid w:val="00D15A79"/>
    <w:rsid w:val="00D15AE6"/>
    <w:rsid w:val="00D15B63"/>
    <w:rsid w:val="00D162B9"/>
    <w:rsid w:val="00D1653B"/>
    <w:rsid w:val="00D165FD"/>
    <w:rsid w:val="00D16B4C"/>
    <w:rsid w:val="00D16B6A"/>
    <w:rsid w:val="00D16C7F"/>
    <w:rsid w:val="00D16F3F"/>
    <w:rsid w:val="00D170AF"/>
    <w:rsid w:val="00D17153"/>
    <w:rsid w:val="00D1717A"/>
    <w:rsid w:val="00D17284"/>
    <w:rsid w:val="00D20445"/>
    <w:rsid w:val="00D2084F"/>
    <w:rsid w:val="00D20A9A"/>
    <w:rsid w:val="00D2101C"/>
    <w:rsid w:val="00D210D9"/>
    <w:rsid w:val="00D218D7"/>
    <w:rsid w:val="00D21E10"/>
    <w:rsid w:val="00D221CE"/>
    <w:rsid w:val="00D224C0"/>
    <w:rsid w:val="00D22782"/>
    <w:rsid w:val="00D22D17"/>
    <w:rsid w:val="00D22E4D"/>
    <w:rsid w:val="00D22F40"/>
    <w:rsid w:val="00D22FE9"/>
    <w:rsid w:val="00D2327F"/>
    <w:rsid w:val="00D232B3"/>
    <w:rsid w:val="00D234B9"/>
    <w:rsid w:val="00D23559"/>
    <w:rsid w:val="00D23717"/>
    <w:rsid w:val="00D23F1C"/>
    <w:rsid w:val="00D23F8E"/>
    <w:rsid w:val="00D24211"/>
    <w:rsid w:val="00D243F9"/>
    <w:rsid w:val="00D24CF2"/>
    <w:rsid w:val="00D252B4"/>
    <w:rsid w:val="00D25512"/>
    <w:rsid w:val="00D259C1"/>
    <w:rsid w:val="00D25B1B"/>
    <w:rsid w:val="00D25B9B"/>
    <w:rsid w:val="00D26168"/>
    <w:rsid w:val="00D26284"/>
    <w:rsid w:val="00D268FF"/>
    <w:rsid w:val="00D26C0A"/>
    <w:rsid w:val="00D26ED9"/>
    <w:rsid w:val="00D26EEA"/>
    <w:rsid w:val="00D26F0D"/>
    <w:rsid w:val="00D26F33"/>
    <w:rsid w:val="00D27073"/>
    <w:rsid w:val="00D27254"/>
    <w:rsid w:val="00D27951"/>
    <w:rsid w:val="00D27B29"/>
    <w:rsid w:val="00D30727"/>
    <w:rsid w:val="00D30CC3"/>
    <w:rsid w:val="00D31663"/>
    <w:rsid w:val="00D31896"/>
    <w:rsid w:val="00D31C05"/>
    <w:rsid w:val="00D32ACC"/>
    <w:rsid w:val="00D32B33"/>
    <w:rsid w:val="00D32F2D"/>
    <w:rsid w:val="00D3341D"/>
    <w:rsid w:val="00D33444"/>
    <w:rsid w:val="00D338EE"/>
    <w:rsid w:val="00D33C55"/>
    <w:rsid w:val="00D33F73"/>
    <w:rsid w:val="00D3408A"/>
    <w:rsid w:val="00D34110"/>
    <w:rsid w:val="00D3434B"/>
    <w:rsid w:val="00D343A5"/>
    <w:rsid w:val="00D346B2"/>
    <w:rsid w:val="00D34775"/>
    <w:rsid w:val="00D3481B"/>
    <w:rsid w:val="00D349D1"/>
    <w:rsid w:val="00D34C65"/>
    <w:rsid w:val="00D3578B"/>
    <w:rsid w:val="00D35EB2"/>
    <w:rsid w:val="00D35F8B"/>
    <w:rsid w:val="00D361C4"/>
    <w:rsid w:val="00D3695A"/>
    <w:rsid w:val="00D36D21"/>
    <w:rsid w:val="00D36E71"/>
    <w:rsid w:val="00D36F4B"/>
    <w:rsid w:val="00D371A5"/>
    <w:rsid w:val="00D3761B"/>
    <w:rsid w:val="00D37C13"/>
    <w:rsid w:val="00D37D5C"/>
    <w:rsid w:val="00D4007D"/>
    <w:rsid w:val="00D40108"/>
    <w:rsid w:val="00D40232"/>
    <w:rsid w:val="00D40262"/>
    <w:rsid w:val="00D4036A"/>
    <w:rsid w:val="00D41124"/>
    <w:rsid w:val="00D411DB"/>
    <w:rsid w:val="00D4129A"/>
    <w:rsid w:val="00D4139E"/>
    <w:rsid w:val="00D41846"/>
    <w:rsid w:val="00D41FBA"/>
    <w:rsid w:val="00D42363"/>
    <w:rsid w:val="00D4250B"/>
    <w:rsid w:val="00D42647"/>
    <w:rsid w:val="00D4273F"/>
    <w:rsid w:val="00D42962"/>
    <w:rsid w:val="00D42A8D"/>
    <w:rsid w:val="00D42CC6"/>
    <w:rsid w:val="00D42CF5"/>
    <w:rsid w:val="00D43085"/>
    <w:rsid w:val="00D435D1"/>
    <w:rsid w:val="00D436DA"/>
    <w:rsid w:val="00D43A70"/>
    <w:rsid w:val="00D43C93"/>
    <w:rsid w:val="00D4429D"/>
    <w:rsid w:val="00D442D1"/>
    <w:rsid w:val="00D442FD"/>
    <w:rsid w:val="00D4437A"/>
    <w:rsid w:val="00D446BC"/>
    <w:rsid w:val="00D44952"/>
    <w:rsid w:val="00D44CE9"/>
    <w:rsid w:val="00D4549A"/>
    <w:rsid w:val="00D458D0"/>
    <w:rsid w:val="00D45A8D"/>
    <w:rsid w:val="00D45FCF"/>
    <w:rsid w:val="00D46482"/>
    <w:rsid w:val="00D4679F"/>
    <w:rsid w:val="00D46C93"/>
    <w:rsid w:val="00D470B6"/>
    <w:rsid w:val="00D473C2"/>
    <w:rsid w:val="00D475DA"/>
    <w:rsid w:val="00D476DC"/>
    <w:rsid w:val="00D47778"/>
    <w:rsid w:val="00D477DD"/>
    <w:rsid w:val="00D5024A"/>
    <w:rsid w:val="00D502E0"/>
    <w:rsid w:val="00D505EF"/>
    <w:rsid w:val="00D508CE"/>
    <w:rsid w:val="00D50F59"/>
    <w:rsid w:val="00D5112D"/>
    <w:rsid w:val="00D51479"/>
    <w:rsid w:val="00D5170A"/>
    <w:rsid w:val="00D51832"/>
    <w:rsid w:val="00D51BBA"/>
    <w:rsid w:val="00D51BE9"/>
    <w:rsid w:val="00D51DCC"/>
    <w:rsid w:val="00D5203A"/>
    <w:rsid w:val="00D526EA"/>
    <w:rsid w:val="00D5291F"/>
    <w:rsid w:val="00D53143"/>
    <w:rsid w:val="00D531D0"/>
    <w:rsid w:val="00D53213"/>
    <w:rsid w:val="00D536CD"/>
    <w:rsid w:val="00D539DA"/>
    <w:rsid w:val="00D53AD6"/>
    <w:rsid w:val="00D5443F"/>
    <w:rsid w:val="00D54CD5"/>
    <w:rsid w:val="00D55194"/>
    <w:rsid w:val="00D553F9"/>
    <w:rsid w:val="00D55C02"/>
    <w:rsid w:val="00D55D46"/>
    <w:rsid w:val="00D56401"/>
    <w:rsid w:val="00D56527"/>
    <w:rsid w:val="00D56688"/>
    <w:rsid w:val="00D56797"/>
    <w:rsid w:val="00D56856"/>
    <w:rsid w:val="00D56F0D"/>
    <w:rsid w:val="00D57F9F"/>
    <w:rsid w:val="00D60018"/>
    <w:rsid w:val="00D60241"/>
    <w:rsid w:val="00D603C5"/>
    <w:rsid w:val="00D60981"/>
    <w:rsid w:val="00D60B77"/>
    <w:rsid w:val="00D60F23"/>
    <w:rsid w:val="00D61042"/>
    <w:rsid w:val="00D61088"/>
    <w:rsid w:val="00D61191"/>
    <w:rsid w:val="00D6128C"/>
    <w:rsid w:val="00D61D59"/>
    <w:rsid w:val="00D61E58"/>
    <w:rsid w:val="00D624F3"/>
    <w:rsid w:val="00D626B9"/>
    <w:rsid w:val="00D6276F"/>
    <w:rsid w:val="00D62B8F"/>
    <w:rsid w:val="00D63259"/>
    <w:rsid w:val="00D63773"/>
    <w:rsid w:val="00D63798"/>
    <w:rsid w:val="00D63A59"/>
    <w:rsid w:val="00D63AE5"/>
    <w:rsid w:val="00D63FF8"/>
    <w:rsid w:val="00D6480E"/>
    <w:rsid w:val="00D6515E"/>
    <w:rsid w:val="00D652CF"/>
    <w:rsid w:val="00D6554D"/>
    <w:rsid w:val="00D65874"/>
    <w:rsid w:val="00D65FC2"/>
    <w:rsid w:val="00D66C54"/>
    <w:rsid w:val="00D66E61"/>
    <w:rsid w:val="00D67638"/>
    <w:rsid w:val="00D67704"/>
    <w:rsid w:val="00D678C6"/>
    <w:rsid w:val="00D67BAC"/>
    <w:rsid w:val="00D67E3A"/>
    <w:rsid w:val="00D7004F"/>
    <w:rsid w:val="00D70B35"/>
    <w:rsid w:val="00D70CFA"/>
    <w:rsid w:val="00D712AC"/>
    <w:rsid w:val="00D71443"/>
    <w:rsid w:val="00D71533"/>
    <w:rsid w:val="00D717E9"/>
    <w:rsid w:val="00D71EE8"/>
    <w:rsid w:val="00D71F69"/>
    <w:rsid w:val="00D7201E"/>
    <w:rsid w:val="00D726BD"/>
    <w:rsid w:val="00D72FA7"/>
    <w:rsid w:val="00D73698"/>
    <w:rsid w:val="00D738E4"/>
    <w:rsid w:val="00D73B2F"/>
    <w:rsid w:val="00D73BAB"/>
    <w:rsid w:val="00D73FE0"/>
    <w:rsid w:val="00D74B9B"/>
    <w:rsid w:val="00D74FCE"/>
    <w:rsid w:val="00D753E0"/>
    <w:rsid w:val="00D75565"/>
    <w:rsid w:val="00D75892"/>
    <w:rsid w:val="00D75B7C"/>
    <w:rsid w:val="00D75B85"/>
    <w:rsid w:val="00D75C27"/>
    <w:rsid w:val="00D75E5C"/>
    <w:rsid w:val="00D7649B"/>
    <w:rsid w:val="00D77710"/>
    <w:rsid w:val="00D77868"/>
    <w:rsid w:val="00D804D1"/>
    <w:rsid w:val="00D80877"/>
    <w:rsid w:val="00D80A28"/>
    <w:rsid w:val="00D80DB6"/>
    <w:rsid w:val="00D81415"/>
    <w:rsid w:val="00D81DA4"/>
    <w:rsid w:val="00D81E0E"/>
    <w:rsid w:val="00D81F6E"/>
    <w:rsid w:val="00D821F9"/>
    <w:rsid w:val="00D828A7"/>
    <w:rsid w:val="00D82C46"/>
    <w:rsid w:val="00D82D28"/>
    <w:rsid w:val="00D82DCE"/>
    <w:rsid w:val="00D830C0"/>
    <w:rsid w:val="00D8323F"/>
    <w:rsid w:val="00D833E3"/>
    <w:rsid w:val="00D8359A"/>
    <w:rsid w:val="00D835A6"/>
    <w:rsid w:val="00D83A5C"/>
    <w:rsid w:val="00D83B0B"/>
    <w:rsid w:val="00D83D79"/>
    <w:rsid w:val="00D844CB"/>
    <w:rsid w:val="00D8486A"/>
    <w:rsid w:val="00D84C7A"/>
    <w:rsid w:val="00D84D7A"/>
    <w:rsid w:val="00D85629"/>
    <w:rsid w:val="00D8574E"/>
    <w:rsid w:val="00D85792"/>
    <w:rsid w:val="00D857B4"/>
    <w:rsid w:val="00D85B7D"/>
    <w:rsid w:val="00D861C7"/>
    <w:rsid w:val="00D8637E"/>
    <w:rsid w:val="00D86507"/>
    <w:rsid w:val="00D869D7"/>
    <w:rsid w:val="00D87037"/>
    <w:rsid w:val="00D87126"/>
    <w:rsid w:val="00D87848"/>
    <w:rsid w:val="00D8799F"/>
    <w:rsid w:val="00D87A0A"/>
    <w:rsid w:val="00D87A3D"/>
    <w:rsid w:val="00D87B0C"/>
    <w:rsid w:val="00D87D59"/>
    <w:rsid w:val="00D9029E"/>
    <w:rsid w:val="00D90A1B"/>
    <w:rsid w:val="00D90AB8"/>
    <w:rsid w:val="00D90B8A"/>
    <w:rsid w:val="00D90F37"/>
    <w:rsid w:val="00D9103B"/>
    <w:rsid w:val="00D91491"/>
    <w:rsid w:val="00D916C2"/>
    <w:rsid w:val="00D919A6"/>
    <w:rsid w:val="00D9224F"/>
    <w:rsid w:val="00D923B4"/>
    <w:rsid w:val="00D92566"/>
    <w:rsid w:val="00D9261B"/>
    <w:rsid w:val="00D92BCF"/>
    <w:rsid w:val="00D92EB8"/>
    <w:rsid w:val="00D92ED6"/>
    <w:rsid w:val="00D930A7"/>
    <w:rsid w:val="00D93889"/>
    <w:rsid w:val="00D93D07"/>
    <w:rsid w:val="00D93EB6"/>
    <w:rsid w:val="00D94000"/>
    <w:rsid w:val="00D94765"/>
    <w:rsid w:val="00D94C68"/>
    <w:rsid w:val="00D95679"/>
    <w:rsid w:val="00D95AE5"/>
    <w:rsid w:val="00D9600D"/>
    <w:rsid w:val="00D96765"/>
    <w:rsid w:val="00D969A3"/>
    <w:rsid w:val="00D96D32"/>
    <w:rsid w:val="00D96D65"/>
    <w:rsid w:val="00D9757D"/>
    <w:rsid w:val="00D97A43"/>
    <w:rsid w:val="00DA01F2"/>
    <w:rsid w:val="00DA09A1"/>
    <w:rsid w:val="00DA0A56"/>
    <w:rsid w:val="00DA0A6A"/>
    <w:rsid w:val="00DA0AFF"/>
    <w:rsid w:val="00DA0BB6"/>
    <w:rsid w:val="00DA0DFF"/>
    <w:rsid w:val="00DA0FF9"/>
    <w:rsid w:val="00DA10AD"/>
    <w:rsid w:val="00DA1324"/>
    <w:rsid w:val="00DA16C3"/>
    <w:rsid w:val="00DA1BA9"/>
    <w:rsid w:val="00DA1BE8"/>
    <w:rsid w:val="00DA1C4A"/>
    <w:rsid w:val="00DA1D90"/>
    <w:rsid w:val="00DA2AE3"/>
    <w:rsid w:val="00DA36FA"/>
    <w:rsid w:val="00DA3734"/>
    <w:rsid w:val="00DA3A9C"/>
    <w:rsid w:val="00DA3CD0"/>
    <w:rsid w:val="00DA40BE"/>
    <w:rsid w:val="00DA44F0"/>
    <w:rsid w:val="00DA52A8"/>
    <w:rsid w:val="00DA53CA"/>
    <w:rsid w:val="00DA5945"/>
    <w:rsid w:val="00DA5B11"/>
    <w:rsid w:val="00DA5FC3"/>
    <w:rsid w:val="00DA68DC"/>
    <w:rsid w:val="00DA6996"/>
    <w:rsid w:val="00DA6AC2"/>
    <w:rsid w:val="00DA70D1"/>
    <w:rsid w:val="00DA7349"/>
    <w:rsid w:val="00DA73C9"/>
    <w:rsid w:val="00DA7421"/>
    <w:rsid w:val="00DA7AE1"/>
    <w:rsid w:val="00DA7F34"/>
    <w:rsid w:val="00DB02A7"/>
    <w:rsid w:val="00DB0A70"/>
    <w:rsid w:val="00DB0AF8"/>
    <w:rsid w:val="00DB0D51"/>
    <w:rsid w:val="00DB212F"/>
    <w:rsid w:val="00DB2359"/>
    <w:rsid w:val="00DB2625"/>
    <w:rsid w:val="00DB26B3"/>
    <w:rsid w:val="00DB29EA"/>
    <w:rsid w:val="00DB2A0B"/>
    <w:rsid w:val="00DB2A9D"/>
    <w:rsid w:val="00DB2CFF"/>
    <w:rsid w:val="00DB2F35"/>
    <w:rsid w:val="00DB369D"/>
    <w:rsid w:val="00DB39F6"/>
    <w:rsid w:val="00DB3ACF"/>
    <w:rsid w:val="00DB3B66"/>
    <w:rsid w:val="00DB3ED6"/>
    <w:rsid w:val="00DB3EEC"/>
    <w:rsid w:val="00DB4B22"/>
    <w:rsid w:val="00DB4D63"/>
    <w:rsid w:val="00DB4D89"/>
    <w:rsid w:val="00DB552D"/>
    <w:rsid w:val="00DB59F7"/>
    <w:rsid w:val="00DB5A15"/>
    <w:rsid w:val="00DB628A"/>
    <w:rsid w:val="00DB6577"/>
    <w:rsid w:val="00DB6A5E"/>
    <w:rsid w:val="00DB6B21"/>
    <w:rsid w:val="00DB6B75"/>
    <w:rsid w:val="00DB704B"/>
    <w:rsid w:val="00DB7419"/>
    <w:rsid w:val="00DB7482"/>
    <w:rsid w:val="00DB779D"/>
    <w:rsid w:val="00DB77ED"/>
    <w:rsid w:val="00DB795B"/>
    <w:rsid w:val="00DB7C71"/>
    <w:rsid w:val="00DB7CCE"/>
    <w:rsid w:val="00DC01D4"/>
    <w:rsid w:val="00DC0307"/>
    <w:rsid w:val="00DC03CD"/>
    <w:rsid w:val="00DC057C"/>
    <w:rsid w:val="00DC092E"/>
    <w:rsid w:val="00DC1921"/>
    <w:rsid w:val="00DC1AC4"/>
    <w:rsid w:val="00DC1BF7"/>
    <w:rsid w:val="00DC1FFA"/>
    <w:rsid w:val="00DC21ED"/>
    <w:rsid w:val="00DC25A2"/>
    <w:rsid w:val="00DC2769"/>
    <w:rsid w:val="00DC2821"/>
    <w:rsid w:val="00DC2896"/>
    <w:rsid w:val="00DC2A9E"/>
    <w:rsid w:val="00DC2EAD"/>
    <w:rsid w:val="00DC2F86"/>
    <w:rsid w:val="00DC34CD"/>
    <w:rsid w:val="00DC3ADA"/>
    <w:rsid w:val="00DC3F99"/>
    <w:rsid w:val="00DC42EC"/>
    <w:rsid w:val="00DC491D"/>
    <w:rsid w:val="00DC501A"/>
    <w:rsid w:val="00DC5801"/>
    <w:rsid w:val="00DC5C0E"/>
    <w:rsid w:val="00DC625E"/>
    <w:rsid w:val="00DC6318"/>
    <w:rsid w:val="00DC64D6"/>
    <w:rsid w:val="00DC68A6"/>
    <w:rsid w:val="00DC75AD"/>
    <w:rsid w:val="00DC7718"/>
    <w:rsid w:val="00DC794D"/>
    <w:rsid w:val="00DC79CB"/>
    <w:rsid w:val="00DC7A6C"/>
    <w:rsid w:val="00DC7FA9"/>
    <w:rsid w:val="00DD02BC"/>
    <w:rsid w:val="00DD05BC"/>
    <w:rsid w:val="00DD0785"/>
    <w:rsid w:val="00DD0A7D"/>
    <w:rsid w:val="00DD0DD8"/>
    <w:rsid w:val="00DD16D5"/>
    <w:rsid w:val="00DD173A"/>
    <w:rsid w:val="00DD1776"/>
    <w:rsid w:val="00DD1B00"/>
    <w:rsid w:val="00DD1D3C"/>
    <w:rsid w:val="00DD2149"/>
    <w:rsid w:val="00DD2249"/>
    <w:rsid w:val="00DD28AA"/>
    <w:rsid w:val="00DD2A1C"/>
    <w:rsid w:val="00DD3304"/>
    <w:rsid w:val="00DD393C"/>
    <w:rsid w:val="00DD39D6"/>
    <w:rsid w:val="00DD3F28"/>
    <w:rsid w:val="00DD476C"/>
    <w:rsid w:val="00DD48AE"/>
    <w:rsid w:val="00DD4921"/>
    <w:rsid w:val="00DD4B22"/>
    <w:rsid w:val="00DD4BA7"/>
    <w:rsid w:val="00DD4C0E"/>
    <w:rsid w:val="00DD4F3E"/>
    <w:rsid w:val="00DD540B"/>
    <w:rsid w:val="00DD5474"/>
    <w:rsid w:val="00DD54D1"/>
    <w:rsid w:val="00DD5F93"/>
    <w:rsid w:val="00DD6287"/>
    <w:rsid w:val="00DD62A1"/>
    <w:rsid w:val="00DD634B"/>
    <w:rsid w:val="00DD6CAB"/>
    <w:rsid w:val="00DD6CB6"/>
    <w:rsid w:val="00DD7147"/>
    <w:rsid w:val="00DD7157"/>
    <w:rsid w:val="00DD72E3"/>
    <w:rsid w:val="00DD74AB"/>
    <w:rsid w:val="00DD758F"/>
    <w:rsid w:val="00DD7958"/>
    <w:rsid w:val="00DD7B8F"/>
    <w:rsid w:val="00DE00F7"/>
    <w:rsid w:val="00DE019F"/>
    <w:rsid w:val="00DE087E"/>
    <w:rsid w:val="00DE10ED"/>
    <w:rsid w:val="00DE15A8"/>
    <w:rsid w:val="00DE1677"/>
    <w:rsid w:val="00DE172B"/>
    <w:rsid w:val="00DE18FA"/>
    <w:rsid w:val="00DE1970"/>
    <w:rsid w:val="00DE1FB7"/>
    <w:rsid w:val="00DE25A1"/>
    <w:rsid w:val="00DE2633"/>
    <w:rsid w:val="00DE2906"/>
    <w:rsid w:val="00DE3481"/>
    <w:rsid w:val="00DE3565"/>
    <w:rsid w:val="00DE385F"/>
    <w:rsid w:val="00DE3A4E"/>
    <w:rsid w:val="00DE3BB1"/>
    <w:rsid w:val="00DE3BFB"/>
    <w:rsid w:val="00DE3E28"/>
    <w:rsid w:val="00DE3EC0"/>
    <w:rsid w:val="00DE4321"/>
    <w:rsid w:val="00DE493E"/>
    <w:rsid w:val="00DE4975"/>
    <w:rsid w:val="00DE51B2"/>
    <w:rsid w:val="00DE51F2"/>
    <w:rsid w:val="00DE526B"/>
    <w:rsid w:val="00DE53BE"/>
    <w:rsid w:val="00DE59CE"/>
    <w:rsid w:val="00DE5A02"/>
    <w:rsid w:val="00DE5B2D"/>
    <w:rsid w:val="00DE634C"/>
    <w:rsid w:val="00DE6580"/>
    <w:rsid w:val="00DE668A"/>
    <w:rsid w:val="00DE669D"/>
    <w:rsid w:val="00DE69DF"/>
    <w:rsid w:val="00DE6B34"/>
    <w:rsid w:val="00DE6B88"/>
    <w:rsid w:val="00DE7312"/>
    <w:rsid w:val="00DE7330"/>
    <w:rsid w:val="00DE77EB"/>
    <w:rsid w:val="00DE78F5"/>
    <w:rsid w:val="00DE7DC1"/>
    <w:rsid w:val="00DE7DD8"/>
    <w:rsid w:val="00DE7DFE"/>
    <w:rsid w:val="00DF0827"/>
    <w:rsid w:val="00DF08D4"/>
    <w:rsid w:val="00DF14D1"/>
    <w:rsid w:val="00DF1550"/>
    <w:rsid w:val="00DF15DB"/>
    <w:rsid w:val="00DF1740"/>
    <w:rsid w:val="00DF1905"/>
    <w:rsid w:val="00DF1933"/>
    <w:rsid w:val="00DF1E30"/>
    <w:rsid w:val="00DF1FE4"/>
    <w:rsid w:val="00DF2307"/>
    <w:rsid w:val="00DF2D46"/>
    <w:rsid w:val="00DF3288"/>
    <w:rsid w:val="00DF32BF"/>
    <w:rsid w:val="00DF35C8"/>
    <w:rsid w:val="00DF36CC"/>
    <w:rsid w:val="00DF40E2"/>
    <w:rsid w:val="00DF47D8"/>
    <w:rsid w:val="00DF4BF2"/>
    <w:rsid w:val="00DF4F39"/>
    <w:rsid w:val="00DF5042"/>
    <w:rsid w:val="00DF51E5"/>
    <w:rsid w:val="00DF5359"/>
    <w:rsid w:val="00DF5847"/>
    <w:rsid w:val="00DF59C1"/>
    <w:rsid w:val="00DF65AF"/>
    <w:rsid w:val="00DF662C"/>
    <w:rsid w:val="00DF689A"/>
    <w:rsid w:val="00DF6F94"/>
    <w:rsid w:val="00DF75E6"/>
    <w:rsid w:val="00DF766A"/>
    <w:rsid w:val="00DF7E5E"/>
    <w:rsid w:val="00E000A4"/>
    <w:rsid w:val="00E0035A"/>
    <w:rsid w:val="00E00578"/>
    <w:rsid w:val="00E00914"/>
    <w:rsid w:val="00E00AF3"/>
    <w:rsid w:val="00E00C18"/>
    <w:rsid w:val="00E00D21"/>
    <w:rsid w:val="00E00FBF"/>
    <w:rsid w:val="00E019CF"/>
    <w:rsid w:val="00E02951"/>
    <w:rsid w:val="00E02B08"/>
    <w:rsid w:val="00E033BD"/>
    <w:rsid w:val="00E03AB8"/>
    <w:rsid w:val="00E03B66"/>
    <w:rsid w:val="00E03D9C"/>
    <w:rsid w:val="00E03F42"/>
    <w:rsid w:val="00E048AF"/>
    <w:rsid w:val="00E04CA6"/>
    <w:rsid w:val="00E051DC"/>
    <w:rsid w:val="00E053F0"/>
    <w:rsid w:val="00E059BC"/>
    <w:rsid w:val="00E067BB"/>
    <w:rsid w:val="00E069D1"/>
    <w:rsid w:val="00E06CD6"/>
    <w:rsid w:val="00E06ECE"/>
    <w:rsid w:val="00E06FD8"/>
    <w:rsid w:val="00E0743F"/>
    <w:rsid w:val="00E076E6"/>
    <w:rsid w:val="00E07796"/>
    <w:rsid w:val="00E07DB7"/>
    <w:rsid w:val="00E07EC4"/>
    <w:rsid w:val="00E10163"/>
    <w:rsid w:val="00E1038D"/>
    <w:rsid w:val="00E106D5"/>
    <w:rsid w:val="00E10729"/>
    <w:rsid w:val="00E1087D"/>
    <w:rsid w:val="00E10A28"/>
    <w:rsid w:val="00E10B21"/>
    <w:rsid w:val="00E10B79"/>
    <w:rsid w:val="00E10BD6"/>
    <w:rsid w:val="00E10DD3"/>
    <w:rsid w:val="00E1100A"/>
    <w:rsid w:val="00E11175"/>
    <w:rsid w:val="00E1170A"/>
    <w:rsid w:val="00E117FD"/>
    <w:rsid w:val="00E119F2"/>
    <w:rsid w:val="00E11A8D"/>
    <w:rsid w:val="00E11CAB"/>
    <w:rsid w:val="00E1226A"/>
    <w:rsid w:val="00E12807"/>
    <w:rsid w:val="00E13A56"/>
    <w:rsid w:val="00E13A80"/>
    <w:rsid w:val="00E13B09"/>
    <w:rsid w:val="00E144DD"/>
    <w:rsid w:val="00E146F7"/>
    <w:rsid w:val="00E147B1"/>
    <w:rsid w:val="00E14819"/>
    <w:rsid w:val="00E14A64"/>
    <w:rsid w:val="00E1554B"/>
    <w:rsid w:val="00E157AE"/>
    <w:rsid w:val="00E1597E"/>
    <w:rsid w:val="00E163D1"/>
    <w:rsid w:val="00E166F0"/>
    <w:rsid w:val="00E16CF3"/>
    <w:rsid w:val="00E174CC"/>
    <w:rsid w:val="00E17852"/>
    <w:rsid w:val="00E17BF4"/>
    <w:rsid w:val="00E20059"/>
    <w:rsid w:val="00E200A3"/>
    <w:rsid w:val="00E204A8"/>
    <w:rsid w:val="00E20EEC"/>
    <w:rsid w:val="00E210DD"/>
    <w:rsid w:val="00E212D0"/>
    <w:rsid w:val="00E21675"/>
    <w:rsid w:val="00E2195A"/>
    <w:rsid w:val="00E21C73"/>
    <w:rsid w:val="00E21F1F"/>
    <w:rsid w:val="00E220B1"/>
    <w:rsid w:val="00E22469"/>
    <w:rsid w:val="00E228C9"/>
    <w:rsid w:val="00E22EF9"/>
    <w:rsid w:val="00E23272"/>
    <w:rsid w:val="00E23528"/>
    <w:rsid w:val="00E23694"/>
    <w:rsid w:val="00E237B6"/>
    <w:rsid w:val="00E23A37"/>
    <w:rsid w:val="00E23DB6"/>
    <w:rsid w:val="00E2449F"/>
    <w:rsid w:val="00E2479B"/>
    <w:rsid w:val="00E2484F"/>
    <w:rsid w:val="00E24D4A"/>
    <w:rsid w:val="00E24F78"/>
    <w:rsid w:val="00E24FB2"/>
    <w:rsid w:val="00E24FE0"/>
    <w:rsid w:val="00E250AD"/>
    <w:rsid w:val="00E250EC"/>
    <w:rsid w:val="00E25254"/>
    <w:rsid w:val="00E25355"/>
    <w:rsid w:val="00E25466"/>
    <w:rsid w:val="00E258D8"/>
    <w:rsid w:val="00E2592B"/>
    <w:rsid w:val="00E25CCB"/>
    <w:rsid w:val="00E25E21"/>
    <w:rsid w:val="00E25E36"/>
    <w:rsid w:val="00E2627F"/>
    <w:rsid w:val="00E264E1"/>
    <w:rsid w:val="00E264EA"/>
    <w:rsid w:val="00E26A21"/>
    <w:rsid w:val="00E2726D"/>
    <w:rsid w:val="00E27546"/>
    <w:rsid w:val="00E27B3E"/>
    <w:rsid w:val="00E27C4B"/>
    <w:rsid w:val="00E27D74"/>
    <w:rsid w:val="00E27D96"/>
    <w:rsid w:val="00E27F5D"/>
    <w:rsid w:val="00E305CD"/>
    <w:rsid w:val="00E30877"/>
    <w:rsid w:val="00E30C7A"/>
    <w:rsid w:val="00E30D5F"/>
    <w:rsid w:val="00E312A9"/>
    <w:rsid w:val="00E3148E"/>
    <w:rsid w:val="00E3176D"/>
    <w:rsid w:val="00E31852"/>
    <w:rsid w:val="00E3196F"/>
    <w:rsid w:val="00E31DDB"/>
    <w:rsid w:val="00E31E1F"/>
    <w:rsid w:val="00E3237D"/>
    <w:rsid w:val="00E326AC"/>
    <w:rsid w:val="00E33159"/>
    <w:rsid w:val="00E33336"/>
    <w:rsid w:val="00E337E4"/>
    <w:rsid w:val="00E33F73"/>
    <w:rsid w:val="00E33FFB"/>
    <w:rsid w:val="00E34168"/>
    <w:rsid w:val="00E34177"/>
    <w:rsid w:val="00E345A7"/>
    <w:rsid w:val="00E347EC"/>
    <w:rsid w:val="00E34E04"/>
    <w:rsid w:val="00E3505E"/>
    <w:rsid w:val="00E35408"/>
    <w:rsid w:val="00E35542"/>
    <w:rsid w:val="00E358DB"/>
    <w:rsid w:val="00E35A48"/>
    <w:rsid w:val="00E35B28"/>
    <w:rsid w:val="00E364B5"/>
    <w:rsid w:val="00E367DF"/>
    <w:rsid w:val="00E36884"/>
    <w:rsid w:val="00E36C4F"/>
    <w:rsid w:val="00E3734F"/>
    <w:rsid w:val="00E377FB"/>
    <w:rsid w:val="00E37E03"/>
    <w:rsid w:val="00E37F5F"/>
    <w:rsid w:val="00E4025B"/>
    <w:rsid w:val="00E404BF"/>
    <w:rsid w:val="00E40EAB"/>
    <w:rsid w:val="00E412FE"/>
    <w:rsid w:val="00E419CE"/>
    <w:rsid w:val="00E41A42"/>
    <w:rsid w:val="00E42211"/>
    <w:rsid w:val="00E422A4"/>
    <w:rsid w:val="00E4250E"/>
    <w:rsid w:val="00E4254F"/>
    <w:rsid w:val="00E42D48"/>
    <w:rsid w:val="00E43461"/>
    <w:rsid w:val="00E43762"/>
    <w:rsid w:val="00E43AC6"/>
    <w:rsid w:val="00E43B41"/>
    <w:rsid w:val="00E43C88"/>
    <w:rsid w:val="00E43D39"/>
    <w:rsid w:val="00E440EA"/>
    <w:rsid w:val="00E44386"/>
    <w:rsid w:val="00E45215"/>
    <w:rsid w:val="00E4541F"/>
    <w:rsid w:val="00E457D3"/>
    <w:rsid w:val="00E46259"/>
    <w:rsid w:val="00E46641"/>
    <w:rsid w:val="00E46A65"/>
    <w:rsid w:val="00E46B24"/>
    <w:rsid w:val="00E46BBE"/>
    <w:rsid w:val="00E46F47"/>
    <w:rsid w:val="00E46FAE"/>
    <w:rsid w:val="00E473AC"/>
    <w:rsid w:val="00E47A63"/>
    <w:rsid w:val="00E47AFE"/>
    <w:rsid w:val="00E47D07"/>
    <w:rsid w:val="00E47F93"/>
    <w:rsid w:val="00E50409"/>
    <w:rsid w:val="00E5049D"/>
    <w:rsid w:val="00E50A47"/>
    <w:rsid w:val="00E50B2B"/>
    <w:rsid w:val="00E50F3E"/>
    <w:rsid w:val="00E512A4"/>
    <w:rsid w:val="00E51836"/>
    <w:rsid w:val="00E526F6"/>
    <w:rsid w:val="00E52B6A"/>
    <w:rsid w:val="00E52D8C"/>
    <w:rsid w:val="00E52DBA"/>
    <w:rsid w:val="00E53AA8"/>
    <w:rsid w:val="00E53F25"/>
    <w:rsid w:val="00E53F94"/>
    <w:rsid w:val="00E5471E"/>
    <w:rsid w:val="00E54FDD"/>
    <w:rsid w:val="00E55888"/>
    <w:rsid w:val="00E55BD1"/>
    <w:rsid w:val="00E55C10"/>
    <w:rsid w:val="00E55E7F"/>
    <w:rsid w:val="00E55FEC"/>
    <w:rsid w:val="00E560A8"/>
    <w:rsid w:val="00E56199"/>
    <w:rsid w:val="00E562B7"/>
    <w:rsid w:val="00E56311"/>
    <w:rsid w:val="00E56530"/>
    <w:rsid w:val="00E5669F"/>
    <w:rsid w:val="00E5680B"/>
    <w:rsid w:val="00E56973"/>
    <w:rsid w:val="00E5718C"/>
    <w:rsid w:val="00E5735A"/>
    <w:rsid w:val="00E573BE"/>
    <w:rsid w:val="00E574B5"/>
    <w:rsid w:val="00E5768B"/>
    <w:rsid w:val="00E5774B"/>
    <w:rsid w:val="00E5774C"/>
    <w:rsid w:val="00E5785E"/>
    <w:rsid w:val="00E57A70"/>
    <w:rsid w:val="00E57AD1"/>
    <w:rsid w:val="00E6004F"/>
    <w:rsid w:val="00E604A1"/>
    <w:rsid w:val="00E606D8"/>
    <w:rsid w:val="00E614DF"/>
    <w:rsid w:val="00E61799"/>
    <w:rsid w:val="00E619DF"/>
    <w:rsid w:val="00E62C05"/>
    <w:rsid w:val="00E62EFE"/>
    <w:rsid w:val="00E63FFB"/>
    <w:rsid w:val="00E6415A"/>
    <w:rsid w:val="00E644DA"/>
    <w:rsid w:val="00E6456A"/>
    <w:rsid w:val="00E64775"/>
    <w:rsid w:val="00E64821"/>
    <w:rsid w:val="00E6493F"/>
    <w:rsid w:val="00E64C36"/>
    <w:rsid w:val="00E64D90"/>
    <w:rsid w:val="00E655CF"/>
    <w:rsid w:val="00E658BE"/>
    <w:rsid w:val="00E659BA"/>
    <w:rsid w:val="00E66365"/>
    <w:rsid w:val="00E66ACE"/>
    <w:rsid w:val="00E66EB0"/>
    <w:rsid w:val="00E66F37"/>
    <w:rsid w:val="00E670A3"/>
    <w:rsid w:val="00E678B3"/>
    <w:rsid w:val="00E679AA"/>
    <w:rsid w:val="00E6E905"/>
    <w:rsid w:val="00E701D8"/>
    <w:rsid w:val="00E70305"/>
    <w:rsid w:val="00E705FA"/>
    <w:rsid w:val="00E709DD"/>
    <w:rsid w:val="00E70CFF"/>
    <w:rsid w:val="00E70F5D"/>
    <w:rsid w:val="00E71CE3"/>
    <w:rsid w:val="00E71D78"/>
    <w:rsid w:val="00E71F44"/>
    <w:rsid w:val="00E7212F"/>
    <w:rsid w:val="00E722E8"/>
    <w:rsid w:val="00E7301F"/>
    <w:rsid w:val="00E73066"/>
    <w:rsid w:val="00E73070"/>
    <w:rsid w:val="00E7335D"/>
    <w:rsid w:val="00E73557"/>
    <w:rsid w:val="00E73AD8"/>
    <w:rsid w:val="00E73D9E"/>
    <w:rsid w:val="00E73FF0"/>
    <w:rsid w:val="00E740D1"/>
    <w:rsid w:val="00E744D4"/>
    <w:rsid w:val="00E74842"/>
    <w:rsid w:val="00E749C7"/>
    <w:rsid w:val="00E74AF3"/>
    <w:rsid w:val="00E74B57"/>
    <w:rsid w:val="00E75013"/>
    <w:rsid w:val="00E7559E"/>
    <w:rsid w:val="00E75835"/>
    <w:rsid w:val="00E75872"/>
    <w:rsid w:val="00E75BE9"/>
    <w:rsid w:val="00E76BC7"/>
    <w:rsid w:val="00E76EEE"/>
    <w:rsid w:val="00E775FA"/>
    <w:rsid w:val="00E77BC2"/>
    <w:rsid w:val="00E77C76"/>
    <w:rsid w:val="00E80267"/>
    <w:rsid w:val="00E80394"/>
    <w:rsid w:val="00E80439"/>
    <w:rsid w:val="00E80603"/>
    <w:rsid w:val="00E8060C"/>
    <w:rsid w:val="00E807FE"/>
    <w:rsid w:val="00E80F9F"/>
    <w:rsid w:val="00E81138"/>
    <w:rsid w:val="00E8115B"/>
    <w:rsid w:val="00E813B1"/>
    <w:rsid w:val="00E8142A"/>
    <w:rsid w:val="00E818E0"/>
    <w:rsid w:val="00E81CDF"/>
    <w:rsid w:val="00E82219"/>
    <w:rsid w:val="00E82353"/>
    <w:rsid w:val="00E827E4"/>
    <w:rsid w:val="00E82B65"/>
    <w:rsid w:val="00E831EA"/>
    <w:rsid w:val="00E83355"/>
    <w:rsid w:val="00E833B6"/>
    <w:rsid w:val="00E8349A"/>
    <w:rsid w:val="00E843DB"/>
    <w:rsid w:val="00E84679"/>
    <w:rsid w:val="00E84D96"/>
    <w:rsid w:val="00E84D99"/>
    <w:rsid w:val="00E84F5D"/>
    <w:rsid w:val="00E84FB8"/>
    <w:rsid w:val="00E852D0"/>
    <w:rsid w:val="00E853F6"/>
    <w:rsid w:val="00E854FC"/>
    <w:rsid w:val="00E85EC8"/>
    <w:rsid w:val="00E85F7C"/>
    <w:rsid w:val="00E86163"/>
    <w:rsid w:val="00E86539"/>
    <w:rsid w:val="00E86BC7"/>
    <w:rsid w:val="00E87236"/>
    <w:rsid w:val="00E87B34"/>
    <w:rsid w:val="00E87D0B"/>
    <w:rsid w:val="00E87EE8"/>
    <w:rsid w:val="00E9001C"/>
    <w:rsid w:val="00E90D95"/>
    <w:rsid w:val="00E90F42"/>
    <w:rsid w:val="00E90FBF"/>
    <w:rsid w:val="00E91226"/>
    <w:rsid w:val="00E91290"/>
    <w:rsid w:val="00E916B2"/>
    <w:rsid w:val="00E920D6"/>
    <w:rsid w:val="00E92178"/>
    <w:rsid w:val="00E921A4"/>
    <w:rsid w:val="00E92477"/>
    <w:rsid w:val="00E92647"/>
    <w:rsid w:val="00E929B9"/>
    <w:rsid w:val="00E92AB4"/>
    <w:rsid w:val="00E92CFD"/>
    <w:rsid w:val="00E93DE6"/>
    <w:rsid w:val="00E94584"/>
    <w:rsid w:val="00E94595"/>
    <w:rsid w:val="00E94C00"/>
    <w:rsid w:val="00E95C45"/>
    <w:rsid w:val="00E95C86"/>
    <w:rsid w:val="00E95D46"/>
    <w:rsid w:val="00E9645C"/>
    <w:rsid w:val="00E97553"/>
    <w:rsid w:val="00E977C6"/>
    <w:rsid w:val="00E9786C"/>
    <w:rsid w:val="00E97D35"/>
    <w:rsid w:val="00E97D81"/>
    <w:rsid w:val="00EA05FB"/>
    <w:rsid w:val="00EA06D6"/>
    <w:rsid w:val="00EA0EFA"/>
    <w:rsid w:val="00EA1192"/>
    <w:rsid w:val="00EA11BD"/>
    <w:rsid w:val="00EA11E2"/>
    <w:rsid w:val="00EA147D"/>
    <w:rsid w:val="00EA150B"/>
    <w:rsid w:val="00EA1593"/>
    <w:rsid w:val="00EA1B10"/>
    <w:rsid w:val="00EA1CCC"/>
    <w:rsid w:val="00EA2199"/>
    <w:rsid w:val="00EA256B"/>
    <w:rsid w:val="00EA29C8"/>
    <w:rsid w:val="00EA2A4E"/>
    <w:rsid w:val="00EA3281"/>
    <w:rsid w:val="00EA36EB"/>
    <w:rsid w:val="00EA3E47"/>
    <w:rsid w:val="00EA3ED1"/>
    <w:rsid w:val="00EA4698"/>
    <w:rsid w:val="00EA49E5"/>
    <w:rsid w:val="00EA4FF7"/>
    <w:rsid w:val="00EA502C"/>
    <w:rsid w:val="00EA50E8"/>
    <w:rsid w:val="00EA5352"/>
    <w:rsid w:val="00EA545E"/>
    <w:rsid w:val="00EA58F5"/>
    <w:rsid w:val="00EA5EEA"/>
    <w:rsid w:val="00EA64E6"/>
    <w:rsid w:val="00EA66AF"/>
    <w:rsid w:val="00EA6A61"/>
    <w:rsid w:val="00EA6AC4"/>
    <w:rsid w:val="00EA6C32"/>
    <w:rsid w:val="00EA6C44"/>
    <w:rsid w:val="00EA6E17"/>
    <w:rsid w:val="00EA737D"/>
    <w:rsid w:val="00EA74C2"/>
    <w:rsid w:val="00EA79FF"/>
    <w:rsid w:val="00EAED27"/>
    <w:rsid w:val="00EB038F"/>
    <w:rsid w:val="00EB04DB"/>
    <w:rsid w:val="00EB07C4"/>
    <w:rsid w:val="00EB084A"/>
    <w:rsid w:val="00EB094B"/>
    <w:rsid w:val="00EB0B96"/>
    <w:rsid w:val="00EB0C58"/>
    <w:rsid w:val="00EB16C0"/>
    <w:rsid w:val="00EB1803"/>
    <w:rsid w:val="00EB1D8E"/>
    <w:rsid w:val="00EB2534"/>
    <w:rsid w:val="00EB2593"/>
    <w:rsid w:val="00EB28A8"/>
    <w:rsid w:val="00EB2DA6"/>
    <w:rsid w:val="00EB31D2"/>
    <w:rsid w:val="00EB36FD"/>
    <w:rsid w:val="00EB3A0F"/>
    <w:rsid w:val="00EB3BB4"/>
    <w:rsid w:val="00EB3C7A"/>
    <w:rsid w:val="00EB4734"/>
    <w:rsid w:val="00EB4D56"/>
    <w:rsid w:val="00EB4FFA"/>
    <w:rsid w:val="00EB5123"/>
    <w:rsid w:val="00EB52FE"/>
    <w:rsid w:val="00EB54D0"/>
    <w:rsid w:val="00EB576B"/>
    <w:rsid w:val="00EB585F"/>
    <w:rsid w:val="00EB5E39"/>
    <w:rsid w:val="00EB5F2C"/>
    <w:rsid w:val="00EB6376"/>
    <w:rsid w:val="00EB6C03"/>
    <w:rsid w:val="00EB6F83"/>
    <w:rsid w:val="00EB7762"/>
    <w:rsid w:val="00EB7D3E"/>
    <w:rsid w:val="00EB7E27"/>
    <w:rsid w:val="00EB7FB2"/>
    <w:rsid w:val="00EC028F"/>
    <w:rsid w:val="00EC13B7"/>
    <w:rsid w:val="00EC145B"/>
    <w:rsid w:val="00EC175E"/>
    <w:rsid w:val="00EC1927"/>
    <w:rsid w:val="00EC1EF0"/>
    <w:rsid w:val="00EC22BB"/>
    <w:rsid w:val="00EC2D07"/>
    <w:rsid w:val="00EC38E8"/>
    <w:rsid w:val="00EC4199"/>
    <w:rsid w:val="00EC46C9"/>
    <w:rsid w:val="00EC49CE"/>
    <w:rsid w:val="00EC4B82"/>
    <w:rsid w:val="00EC4D2E"/>
    <w:rsid w:val="00EC4EC9"/>
    <w:rsid w:val="00EC4F3D"/>
    <w:rsid w:val="00EC58E6"/>
    <w:rsid w:val="00EC5A16"/>
    <w:rsid w:val="00EC5C61"/>
    <w:rsid w:val="00EC5CF2"/>
    <w:rsid w:val="00EC5D34"/>
    <w:rsid w:val="00EC5F92"/>
    <w:rsid w:val="00EC60CB"/>
    <w:rsid w:val="00EC7D98"/>
    <w:rsid w:val="00ED070C"/>
    <w:rsid w:val="00ED0A22"/>
    <w:rsid w:val="00ED0A70"/>
    <w:rsid w:val="00ED1670"/>
    <w:rsid w:val="00ED1AB4"/>
    <w:rsid w:val="00ED219D"/>
    <w:rsid w:val="00ED235B"/>
    <w:rsid w:val="00ED27C5"/>
    <w:rsid w:val="00ED2EFA"/>
    <w:rsid w:val="00ED37EA"/>
    <w:rsid w:val="00ED3906"/>
    <w:rsid w:val="00ED439D"/>
    <w:rsid w:val="00ED49E6"/>
    <w:rsid w:val="00ED4A6D"/>
    <w:rsid w:val="00ED4BD5"/>
    <w:rsid w:val="00ED51D1"/>
    <w:rsid w:val="00ED56A9"/>
    <w:rsid w:val="00ED5F91"/>
    <w:rsid w:val="00ED60D0"/>
    <w:rsid w:val="00ED63E4"/>
    <w:rsid w:val="00ED6719"/>
    <w:rsid w:val="00ED689C"/>
    <w:rsid w:val="00ED6A64"/>
    <w:rsid w:val="00ED735F"/>
    <w:rsid w:val="00ED7AA0"/>
    <w:rsid w:val="00ED7BA8"/>
    <w:rsid w:val="00ED7D60"/>
    <w:rsid w:val="00EE00F4"/>
    <w:rsid w:val="00EE0117"/>
    <w:rsid w:val="00EE016A"/>
    <w:rsid w:val="00EE05C4"/>
    <w:rsid w:val="00EE0FC4"/>
    <w:rsid w:val="00EE122C"/>
    <w:rsid w:val="00EE1312"/>
    <w:rsid w:val="00EE1F6A"/>
    <w:rsid w:val="00EE20AA"/>
    <w:rsid w:val="00EE2816"/>
    <w:rsid w:val="00EE2E52"/>
    <w:rsid w:val="00EE37D9"/>
    <w:rsid w:val="00EE3B6C"/>
    <w:rsid w:val="00EE4289"/>
    <w:rsid w:val="00EE42DE"/>
    <w:rsid w:val="00EE4481"/>
    <w:rsid w:val="00EE4536"/>
    <w:rsid w:val="00EE4AA8"/>
    <w:rsid w:val="00EE4D5A"/>
    <w:rsid w:val="00EE4E28"/>
    <w:rsid w:val="00EE4EB2"/>
    <w:rsid w:val="00EE5237"/>
    <w:rsid w:val="00EE59BD"/>
    <w:rsid w:val="00EE5A22"/>
    <w:rsid w:val="00EE5D29"/>
    <w:rsid w:val="00EE5E20"/>
    <w:rsid w:val="00EE6378"/>
    <w:rsid w:val="00EE64E9"/>
    <w:rsid w:val="00EE67F2"/>
    <w:rsid w:val="00EE6B5A"/>
    <w:rsid w:val="00EE6DF6"/>
    <w:rsid w:val="00EE70A0"/>
    <w:rsid w:val="00EE7358"/>
    <w:rsid w:val="00EE756E"/>
    <w:rsid w:val="00EE7A96"/>
    <w:rsid w:val="00EE7EF6"/>
    <w:rsid w:val="00EF037A"/>
    <w:rsid w:val="00EF074F"/>
    <w:rsid w:val="00EF0B30"/>
    <w:rsid w:val="00EF1112"/>
    <w:rsid w:val="00EF1ACD"/>
    <w:rsid w:val="00EF1F4C"/>
    <w:rsid w:val="00EF24AB"/>
    <w:rsid w:val="00EF31DB"/>
    <w:rsid w:val="00EF3365"/>
    <w:rsid w:val="00EF3900"/>
    <w:rsid w:val="00EF3BF3"/>
    <w:rsid w:val="00EF3FB6"/>
    <w:rsid w:val="00EF4388"/>
    <w:rsid w:val="00EF465D"/>
    <w:rsid w:val="00EF4F2E"/>
    <w:rsid w:val="00EF5B9E"/>
    <w:rsid w:val="00EF60AE"/>
    <w:rsid w:val="00EF6306"/>
    <w:rsid w:val="00EF6369"/>
    <w:rsid w:val="00EF637E"/>
    <w:rsid w:val="00EF6482"/>
    <w:rsid w:val="00EF65A2"/>
    <w:rsid w:val="00EF688B"/>
    <w:rsid w:val="00EF706B"/>
    <w:rsid w:val="00EF709B"/>
    <w:rsid w:val="00EF7517"/>
    <w:rsid w:val="00EF7562"/>
    <w:rsid w:val="00EF7B0F"/>
    <w:rsid w:val="00EF7C00"/>
    <w:rsid w:val="00EF7F6B"/>
    <w:rsid w:val="00F00026"/>
    <w:rsid w:val="00F00240"/>
    <w:rsid w:val="00F012D4"/>
    <w:rsid w:val="00F0137A"/>
    <w:rsid w:val="00F0138E"/>
    <w:rsid w:val="00F01A51"/>
    <w:rsid w:val="00F01CDC"/>
    <w:rsid w:val="00F01F72"/>
    <w:rsid w:val="00F0227D"/>
    <w:rsid w:val="00F02841"/>
    <w:rsid w:val="00F02CA4"/>
    <w:rsid w:val="00F033E1"/>
    <w:rsid w:val="00F0347A"/>
    <w:rsid w:val="00F03693"/>
    <w:rsid w:val="00F039B3"/>
    <w:rsid w:val="00F03D6C"/>
    <w:rsid w:val="00F04284"/>
    <w:rsid w:val="00F042E0"/>
    <w:rsid w:val="00F043D4"/>
    <w:rsid w:val="00F044E4"/>
    <w:rsid w:val="00F04AC7"/>
    <w:rsid w:val="00F04C36"/>
    <w:rsid w:val="00F04D62"/>
    <w:rsid w:val="00F04D8A"/>
    <w:rsid w:val="00F05789"/>
    <w:rsid w:val="00F05EDD"/>
    <w:rsid w:val="00F060C8"/>
    <w:rsid w:val="00F06BEA"/>
    <w:rsid w:val="00F07442"/>
    <w:rsid w:val="00F07513"/>
    <w:rsid w:val="00F07AB8"/>
    <w:rsid w:val="00F07B1B"/>
    <w:rsid w:val="00F07F02"/>
    <w:rsid w:val="00F100B4"/>
    <w:rsid w:val="00F100FE"/>
    <w:rsid w:val="00F106E2"/>
    <w:rsid w:val="00F10787"/>
    <w:rsid w:val="00F10A23"/>
    <w:rsid w:val="00F110D9"/>
    <w:rsid w:val="00F111DB"/>
    <w:rsid w:val="00F11540"/>
    <w:rsid w:val="00F1168B"/>
    <w:rsid w:val="00F11842"/>
    <w:rsid w:val="00F11B91"/>
    <w:rsid w:val="00F11C21"/>
    <w:rsid w:val="00F1220C"/>
    <w:rsid w:val="00F12A0D"/>
    <w:rsid w:val="00F12A3E"/>
    <w:rsid w:val="00F12C98"/>
    <w:rsid w:val="00F137C5"/>
    <w:rsid w:val="00F13937"/>
    <w:rsid w:val="00F13D8F"/>
    <w:rsid w:val="00F13E71"/>
    <w:rsid w:val="00F14616"/>
    <w:rsid w:val="00F14640"/>
    <w:rsid w:val="00F146AF"/>
    <w:rsid w:val="00F147DD"/>
    <w:rsid w:val="00F14E5B"/>
    <w:rsid w:val="00F1514C"/>
    <w:rsid w:val="00F15961"/>
    <w:rsid w:val="00F15FEA"/>
    <w:rsid w:val="00F161A9"/>
    <w:rsid w:val="00F1629D"/>
    <w:rsid w:val="00F16669"/>
    <w:rsid w:val="00F16E4C"/>
    <w:rsid w:val="00F16F3A"/>
    <w:rsid w:val="00F171DF"/>
    <w:rsid w:val="00F1739D"/>
    <w:rsid w:val="00F17894"/>
    <w:rsid w:val="00F179BF"/>
    <w:rsid w:val="00F17A75"/>
    <w:rsid w:val="00F204FD"/>
    <w:rsid w:val="00F208B7"/>
    <w:rsid w:val="00F20AB5"/>
    <w:rsid w:val="00F20EC4"/>
    <w:rsid w:val="00F21B8E"/>
    <w:rsid w:val="00F220FA"/>
    <w:rsid w:val="00F221A3"/>
    <w:rsid w:val="00F22B97"/>
    <w:rsid w:val="00F22C90"/>
    <w:rsid w:val="00F23462"/>
    <w:rsid w:val="00F235CD"/>
    <w:rsid w:val="00F23B6B"/>
    <w:rsid w:val="00F23E97"/>
    <w:rsid w:val="00F24293"/>
    <w:rsid w:val="00F24318"/>
    <w:rsid w:val="00F257D4"/>
    <w:rsid w:val="00F25A5A"/>
    <w:rsid w:val="00F2632B"/>
    <w:rsid w:val="00F2654F"/>
    <w:rsid w:val="00F26701"/>
    <w:rsid w:val="00F26CC0"/>
    <w:rsid w:val="00F26D9A"/>
    <w:rsid w:val="00F26E42"/>
    <w:rsid w:val="00F300FD"/>
    <w:rsid w:val="00F30475"/>
    <w:rsid w:val="00F30761"/>
    <w:rsid w:val="00F30ABE"/>
    <w:rsid w:val="00F30E52"/>
    <w:rsid w:val="00F314BC"/>
    <w:rsid w:val="00F3156D"/>
    <w:rsid w:val="00F32488"/>
    <w:rsid w:val="00F324B2"/>
    <w:rsid w:val="00F32768"/>
    <w:rsid w:val="00F32821"/>
    <w:rsid w:val="00F332BC"/>
    <w:rsid w:val="00F33D8C"/>
    <w:rsid w:val="00F33DC0"/>
    <w:rsid w:val="00F33DD7"/>
    <w:rsid w:val="00F3412B"/>
    <w:rsid w:val="00F3441D"/>
    <w:rsid w:val="00F344C2"/>
    <w:rsid w:val="00F35253"/>
    <w:rsid w:val="00F356A2"/>
    <w:rsid w:val="00F35711"/>
    <w:rsid w:val="00F3575C"/>
    <w:rsid w:val="00F357FF"/>
    <w:rsid w:val="00F358F9"/>
    <w:rsid w:val="00F370C9"/>
    <w:rsid w:val="00F372D2"/>
    <w:rsid w:val="00F3779A"/>
    <w:rsid w:val="00F3791B"/>
    <w:rsid w:val="00F37C5F"/>
    <w:rsid w:val="00F3E1F4"/>
    <w:rsid w:val="00F41009"/>
    <w:rsid w:val="00F41100"/>
    <w:rsid w:val="00F41430"/>
    <w:rsid w:val="00F41815"/>
    <w:rsid w:val="00F4229A"/>
    <w:rsid w:val="00F422C9"/>
    <w:rsid w:val="00F423BF"/>
    <w:rsid w:val="00F4342E"/>
    <w:rsid w:val="00F43887"/>
    <w:rsid w:val="00F4399B"/>
    <w:rsid w:val="00F43B1A"/>
    <w:rsid w:val="00F441BF"/>
    <w:rsid w:val="00F44484"/>
    <w:rsid w:val="00F4468E"/>
    <w:rsid w:val="00F448A3"/>
    <w:rsid w:val="00F4493B"/>
    <w:rsid w:val="00F44A1F"/>
    <w:rsid w:val="00F45292"/>
    <w:rsid w:val="00F454A0"/>
    <w:rsid w:val="00F45926"/>
    <w:rsid w:val="00F45954"/>
    <w:rsid w:val="00F45A24"/>
    <w:rsid w:val="00F45B5F"/>
    <w:rsid w:val="00F460C2"/>
    <w:rsid w:val="00F462A6"/>
    <w:rsid w:val="00F46472"/>
    <w:rsid w:val="00F46825"/>
    <w:rsid w:val="00F468A0"/>
    <w:rsid w:val="00F46B5B"/>
    <w:rsid w:val="00F46E64"/>
    <w:rsid w:val="00F46F61"/>
    <w:rsid w:val="00F47108"/>
    <w:rsid w:val="00F473BC"/>
    <w:rsid w:val="00F474E7"/>
    <w:rsid w:val="00F47617"/>
    <w:rsid w:val="00F4787C"/>
    <w:rsid w:val="00F47BC7"/>
    <w:rsid w:val="00F5012B"/>
    <w:rsid w:val="00F50324"/>
    <w:rsid w:val="00F50483"/>
    <w:rsid w:val="00F5082A"/>
    <w:rsid w:val="00F5093B"/>
    <w:rsid w:val="00F50A19"/>
    <w:rsid w:val="00F50D92"/>
    <w:rsid w:val="00F5173D"/>
    <w:rsid w:val="00F51BD1"/>
    <w:rsid w:val="00F51BDA"/>
    <w:rsid w:val="00F52B9E"/>
    <w:rsid w:val="00F52F09"/>
    <w:rsid w:val="00F52FDE"/>
    <w:rsid w:val="00F532DC"/>
    <w:rsid w:val="00F5333F"/>
    <w:rsid w:val="00F536DC"/>
    <w:rsid w:val="00F53713"/>
    <w:rsid w:val="00F542B0"/>
    <w:rsid w:val="00F54608"/>
    <w:rsid w:val="00F54ABF"/>
    <w:rsid w:val="00F54D35"/>
    <w:rsid w:val="00F54E35"/>
    <w:rsid w:val="00F54F1E"/>
    <w:rsid w:val="00F55541"/>
    <w:rsid w:val="00F5581B"/>
    <w:rsid w:val="00F558BD"/>
    <w:rsid w:val="00F559F6"/>
    <w:rsid w:val="00F55AC7"/>
    <w:rsid w:val="00F56045"/>
    <w:rsid w:val="00F5652F"/>
    <w:rsid w:val="00F5669A"/>
    <w:rsid w:val="00F566A7"/>
    <w:rsid w:val="00F56789"/>
    <w:rsid w:val="00F569ED"/>
    <w:rsid w:val="00F56CBD"/>
    <w:rsid w:val="00F56EF1"/>
    <w:rsid w:val="00F5726F"/>
    <w:rsid w:val="00F575CE"/>
    <w:rsid w:val="00F578FE"/>
    <w:rsid w:val="00F57C2F"/>
    <w:rsid w:val="00F57D7F"/>
    <w:rsid w:val="00F6018A"/>
    <w:rsid w:val="00F60527"/>
    <w:rsid w:val="00F6087F"/>
    <w:rsid w:val="00F60AE2"/>
    <w:rsid w:val="00F60B73"/>
    <w:rsid w:val="00F60BD6"/>
    <w:rsid w:val="00F60D19"/>
    <w:rsid w:val="00F60E7A"/>
    <w:rsid w:val="00F613D6"/>
    <w:rsid w:val="00F61A92"/>
    <w:rsid w:val="00F61B22"/>
    <w:rsid w:val="00F61DF4"/>
    <w:rsid w:val="00F621D3"/>
    <w:rsid w:val="00F62261"/>
    <w:rsid w:val="00F624EC"/>
    <w:rsid w:val="00F62681"/>
    <w:rsid w:val="00F62D98"/>
    <w:rsid w:val="00F62EDC"/>
    <w:rsid w:val="00F6301E"/>
    <w:rsid w:val="00F63125"/>
    <w:rsid w:val="00F63946"/>
    <w:rsid w:val="00F63A76"/>
    <w:rsid w:val="00F63B5D"/>
    <w:rsid w:val="00F64170"/>
    <w:rsid w:val="00F642D3"/>
    <w:rsid w:val="00F64338"/>
    <w:rsid w:val="00F643FB"/>
    <w:rsid w:val="00F6479E"/>
    <w:rsid w:val="00F647E3"/>
    <w:rsid w:val="00F648C5"/>
    <w:rsid w:val="00F64AFA"/>
    <w:rsid w:val="00F65072"/>
    <w:rsid w:val="00F6509C"/>
    <w:rsid w:val="00F65481"/>
    <w:rsid w:val="00F6580E"/>
    <w:rsid w:val="00F65A0A"/>
    <w:rsid w:val="00F66189"/>
    <w:rsid w:val="00F66400"/>
    <w:rsid w:val="00F66638"/>
    <w:rsid w:val="00F66A10"/>
    <w:rsid w:val="00F66C9A"/>
    <w:rsid w:val="00F6722F"/>
    <w:rsid w:val="00F672F8"/>
    <w:rsid w:val="00F675D9"/>
    <w:rsid w:val="00F67B83"/>
    <w:rsid w:val="00F67E9D"/>
    <w:rsid w:val="00F7022D"/>
    <w:rsid w:val="00F70379"/>
    <w:rsid w:val="00F705DB"/>
    <w:rsid w:val="00F70679"/>
    <w:rsid w:val="00F70AED"/>
    <w:rsid w:val="00F70B21"/>
    <w:rsid w:val="00F70EFC"/>
    <w:rsid w:val="00F719C0"/>
    <w:rsid w:val="00F71C4E"/>
    <w:rsid w:val="00F720AE"/>
    <w:rsid w:val="00F72262"/>
    <w:rsid w:val="00F72C97"/>
    <w:rsid w:val="00F730B7"/>
    <w:rsid w:val="00F73331"/>
    <w:rsid w:val="00F73685"/>
    <w:rsid w:val="00F736EF"/>
    <w:rsid w:val="00F743EC"/>
    <w:rsid w:val="00F7472C"/>
    <w:rsid w:val="00F747EB"/>
    <w:rsid w:val="00F74BBE"/>
    <w:rsid w:val="00F74C45"/>
    <w:rsid w:val="00F74DA7"/>
    <w:rsid w:val="00F74DE0"/>
    <w:rsid w:val="00F75435"/>
    <w:rsid w:val="00F75AD3"/>
    <w:rsid w:val="00F75AF5"/>
    <w:rsid w:val="00F75C90"/>
    <w:rsid w:val="00F75EDA"/>
    <w:rsid w:val="00F7623D"/>
    <w:rsid w:val="00F76525"/>
    <w:rsid w:val="00F76589"/>
    <w:rsid w:val="00F7690A"/>
    <w:rsid w:val="00F7691A"/>
    <w:rsid w:val="00F76D76"/>
    <w:rsid w:val="00F77161"/>
    <w:rsid w:val="00F77369"/>
    <w:rsid w:val="00F77541"/>
    <w:rsid w:val="00F77F46"/>
    <w:rsid w:val="00F8009F"/>
    <w:rsid w:val="00F80223"/>
    <w:rsid w:val="00F802AD"/>
    <w:rsid w:val="00F806AC"/>
    <w:rsid w:val="00F809D4"/>
    <w:rsid w:val="00F812D3"/>
    <w:rsid w:val="00F81456"/>
    <w:rsid w:val="00F8148C"/>
    <w:rsid w:val="00F81672"/>
    <w:rsid w:val="00F81F71"/>
    <w:rsid w:val="00F821A1"/>
    <w:rsid w:val="00F822A6"/>
    <w:rsid w:val="00F826C4"/>
    <w:rsid w:val="00F82BAC"/>
    <w:rsid w:val="00F82D39"/>
    <w:rsid w:val="00F82E63"/>
    <w:rsid w:val="00F833DD"/>
    <w:rsid w:val="00F846D9"/>
    <w:rsid w:val="00F849F0"/>
    <w:rsid w:val="00F84A59"/>
    <w:rsid w:val="00F84BDB"/>
    <w:rsid w:val="00F85126"/>
    <w:rsid w:val="00F85361"/>
    <w:rsid w:val="00F854F1"/>
    <w:rsid w:val="00F8568F"/>
    <w:rsid w:val="00F858CF"/>
    <w:rsid w:val="00F85966"/>
    <w:rsid w:val="00F85BC0"/>
    <w:rsid w:val="00F85BDB"/>
    <w:rsid w:val="00F85BFA"/>
    <w:rsid w:val="00F85D96"/>
    <w:rsid w:val="00F85E37"/>
    <w:rsid w:val="00F85F5E"/>
    <w:rsid w:val="00F862EF"/>
    <w:rsid w:val="00F8664F"/>
    <w:rsid w:val="00F8679A"/>
    <w:rsid w:val="00F8690F"/>
    <w:rsid w:val="00F86D42"/>
    <w:rsid w:val="00F86ECB"/>
    <w:rsid w:val="00F879AD"/>
    <w:rsid w:val="00F90025"/>
    <w:rsid w:val="00F9028E"/>
    <w:rsid w:val="00F90B01"/>
    <w:rsid w:val="00F90EFB"/>
    <w:rsid w:val="00F90F70"/>
    <w:rsid w:val="00F9102F"/>
    <w:rsid w:val="00F9130F"/>
    <w:rsid w:val="00F9158F"/>
    <w:rsid w:val="00F91AC1"/>
    <w:rsid w:val="00F91AF6"/>
    <w:rsid w:val="00F925BD"/>
    <w:rsid w:val="00F9270F"/>
    <w:rsid w:val="00F92EAD"/>
    <w:rsid w:val="00F936EF"/>
    <w:rsid w:val="00F93940"/>
    <w:rsid w:val="00F93AD5"/>
    <w:rsid w:val="00F94659"/>
    <w:rsid w:val="00F949F4"/>
    <w:rsid w:val="00F9587E"/>
    <w:rsid w:val="00F95B04"/>
    <w:rsid w:val="00F95CBD"/>
    <w:rsid w:val="00F95DD7"/>
    <w:rsid w:val="00F969BE"/>
    <w:rsid w:val="00F970E6"/>
    <w:rsid w:val="00F9714F"/>
    <w:rsid w:val="00F9785F"/>
    <w:rsid w:val="00FA021F"/>
    <w:rsid w:val="00FA048C"/>
    <w:rsid w:val="00FA05AD"/>
    <w:rsid w:val="00FA0691"/>
    <w:rsid w:val="00FA08C2"/>
    <w:rsid w:val="00FA0C60"/>
    <w:rsid w:val="00FA1F35"/>
    <w:rsid w:val="00FA20AC"/>
    <w:rsid w:val="00FA23F0"/>
    <w:rsid w:val="00FA240E"/>
    <w:rsid w:val="00FA241F"/>
    <w:rsid w:val="00FA25E7"/>
    <w:rsid w:val="00FA320C"/>
    <w:rsid w:val="00FA3C23"/>
    <w:rsid w:val="00FA3D36"/>
    <w:rsid w:val="00FA42BF"/>
    <w:rsid w:val="00FA4397"/>
    <w:rsid w:val="00FA53D1"/>
    <w:rsid w:val="00FA66D0"/>
    <w:rsid w:val="00FA6788"/>
    <w:rsid w:val="00FA6812"/>
    <w:rsid w:val="00FA6E98"/>
    <w:rsid w:val="00FA721C"/>
    <w:rsid w:val="00FA7307"/>
    <w:rsid w:val="00FA743C"/>
    <w:rsid w:val="00FA74BF"/>
    <w:rsid w:val="00FB01F3"/>
    <w:rsid w:val="00FB03A8"/>
    <w:rsid w:val="00FB0441"/>
    <w:rsid w:val="00FB0781"/>
    <w:rsid w:val="00FB0AC6"/>
    <w:rsid w:val="00FB0EF7"/>
    <w:rsid w:val="00FB0F1D"/>
    <w:rsid w:val="00FB120C"/>
    <w:rsid w:val="00FB1401"/>
    <w:rsid w:val="00FB1D6F"/>
    <w:rsid w:val="00FB1FB3"/>
    <w:rsid w:val="00FB2010"/>
    <w:rsid w:val="00FB21D4"/>
    <w:rsid w:val="00FB23C8"/>
    <w:rsid w:val="00FB263A"/>
    <w:rsid w:val="00FB323E"/>
    <w:rsid w:val="00FB341B"/>
    <w:rsid w:val="00FB3CDF"/>
    <w:rsid w:val="00FB48A5"/>
    <w:rsid w:val="00FB4C13"/>
    <w:rsid w:val="00FB4DB3"/>
    <w:rsid w:val="00FB4E5A"/>
    <w:rsid w:val="00FB5102"/>
    <w:rsid w:val="00FB5497"/>
    <w:rsid w:val="00FB54A4"/>
    <w:rsid w:val="00FB5DD7"/>
    <w:rsid w:val="00FB6073"/>
    <w:rsid w:val="00FB6799"/>
    <w:rsid w:val="00FB7212"/>
    <w:rsid w:val="00FB7662"/>
    <w:rsid w:val="00FB777B"/>
    <w:rsid w:val="00FB77CD"/>
    <w:rsid w:val="00FB7B5E"/>
    <w:rsid w:val="00FB7BD8"/>
    <w:rsid w:val="00FB7E00"/>
    <w:rsid w:val="00FC0648"/>
    <w:rsid w:val="00FC0A5D"/>
    <w:rsid w:val="00FC0E49"/>
    <w:rsid w:val="00FC12CE"/>
    <w:rsid w:val="00FC12F2"/>
    <w:rsid w:val="00FC133E"/>
    <w:rsid w:val="00FC146B"/>
    <w:rsid w:val="00FC1585"/>
    <w:rsid w:val="00FC1589"/>
    <w:rsid w:val="00FC1B12"/>
    <w:rsid w:val="00FC21CA"/>
    <w:rsid w:val="00FC29A3"/>
    <w:rsid w:val="00FC2C79"/>
    <w:rsid w:val="00FC2F16"/>
    <w:rsid w:val="00FC3074"/>
    <w:rsid w:val="00FC3169"/>
    <w:rsid w:val="00FC345C"/>
    <w:rsid w:val="00FC3C44"/>
    <w:rsid w:val="00FC41A1"/>
    <w:rsid w:val="00FC4414"/>
    <w:rsid w:val="00FC4663"/>
    <w:rsid w:val="00FC4912"/>
    <w:rsid w:val="00FC4BDE"/>
    <w:rsid w:val="00FC4BEE"/>
    <w:rsid w:val="00FC4D62"/>
    <w:rsid w:val="00FC53D7"/>
    <w:rsid w:val="00FC57AA"/>
    <w:rsid w:val="00FC59FC"/>
    <w:rsid w:val="00FC5B6A"/>
    <w:rsid w:val="00FC638F"/>
    <w:rsid w:val="00FC649F"/>
    <w:rsid w:val="00FC658B"/>
    <w:rsid w:val="00FC6699"/>
    <w:rsid w:val="00FC69C9"/>
    <w:rsid w:val="00FC6EFB"/>
    <w:rsid w:val="00FC6FCD"/>
    <w:rsid w:val="00FC7037"/>
    <w:rsid w:val="00FC71FF"/>
    <w:rsid w:val="00FC74DC"/>
    <w:rsid w:val="00FC7625"/>
    <w:rsid w:val="00FC7785"/>
    <w:rsid w:val="00FC7882"/>
    <w:rsid w:val="00FC79D0"/>
    <w:rsid w:val="00FC7CA8"/>
    <w:rsid w:val="00FC7F28"/>
    <w:rsid w:val="00FD027B"/>
    <w:rsid w:val="00FD0447"/>
    <w:rsid w:val="00FD04BE"/>
    <w:rsid w:val="00FD05ED"/>
    <w:rsid w:val="00FD0CB3"/>
    <w:rsid w:val="00FD0EF2"/>
    <w:rsid w:val="00FD103D"/>
    <w:rsid w:val="00FD134D"/>
    <w:rsid w:val="00FD152A"/>
    <w:rsid w:val="00FD1755"/>
    <w:rsid w:val="00FD1A3E"/>
    <w:rsid w:val="00FD21AB"/>
    <w:rsid w:val="00FD21E8"/>
    <w:rsid w:val="00FD22E7"/>
    <w:rsid w:val="00FD2B6E"/>
    <w:rsid w:val="00FD2C63"/>
    <w:rsid w:val="00FD2EE2"/>
    <w:rsid w:val="00FD2F87"/>
    <w:rsid w:val="00FD366C"/>
    <w:rsid w:val="00FD38CB"/>
    <w:rsid w:val="00FD3DDD"/>
    <w:rsid w:val="00FD3EDB"/>
    <w:rsid w:val="00FD4666"/>
    <w:rsid w:val="00FD47A2"/>
    <w:rsid w:val="00FD5139"/>
    <w:rsid w:val="00FD51B1"/>
    <w:rsid w:val="00FD523F"/>
    <w:rsid w:val="00FD5454"/>
    <w:rsid w:val="00FD57E0"/>
    <w:rsid w:val="00FD5982"/>
    <w:rsid w:val="00FD5B31"/>
    <w:rsid w:val="00FD5FBC"/>
    <w:rsid w:val="00FD5FF2"/>
    <w:rsid w:val="00FD617F"/>
    <w:rsid w:val="00FD63BD"/>
    <w:rsid w:val="00FD640F"/>
    <w:rsid w:val="00FD6723"/>
    <w:rsid w:val="00FD6872"/>
    <w:rsid w:val="00FD7400"/>
    <w:rsid w:val="00FD778C"/>
    <w:rsid w:val="00FD7987"/>
    <w:rsid w:val="00FD7BFE"/>
    <w:rsid w:val="00FE0088"/>
    <w:rsid w:val="00FE08C3"/>
    <w:rsid w:val="00FE098A"/>
    <w:rsid w:val="00FE0A15"/>
    <w:rsid w:val="00FE0C70"/>
    <w:rsid w:val="00FE1176"/>
    <w:rsid w:val="00FE1B11"/>
    <w:rsid w:val="00FE1B8E"/>
    <w:rsid w:val="00FE2098"/>
    <w:rsid w:val="00FE26B3"/>
    <w:rsid w:val="00FE2793"/>
    <w:rsid w:val="00FE2ACA"/>
    <w:rsid w:val="00FE2DCF"/>
    <w:rsid w:val="00FE3596"/>
    <w:rsid w:val="00FE396B"/>
    <w:rsid w:val="00FE3CEA"/>
    <w:rsid w:val="00FE43B2"/>
    <w:rsid w:val="00FE44E7"/>
    <w:rsid w:val="00FE5057"/>
    <w:rsid w:val="00FE5206"/>
    <w:rsid w:val="00FE5322"/>
    <w:rsid w:val="00FE53A9"/>
    <w:rsid w:val="00FE5473"/>
    <w:rsid w:val="00FE5F40"/>
    <w:rsid w:val="00FE6AD0"/>
    <w:rsid w:val="00FE6B48"/>
    <w:rsid w:val="00FE73C0"/>
    <w:rsid w:val="00FE7588"/>
    <w:rsid w:val="00FE77FB"/>
    <w:rsid w:val="00FE7A11"/>
    <w:rsid w:val="00FF011E"/>
    <w:rsid w:val="00FF0347"/>
    <w:rsid w:val="00FF0E7B"/>
    <w:rsid w:val="00FF1297"/>
    <w:rsid w:val="00FF211E"/>
    <w:rsid w:val="00FF2579"/>
    <w:rsid w:val="00FF266D"/>
    <w:rsid w:val="00FF2807"/>
    <w:rsid w:val="00FF2A81"/>
    <w:rsid w:val="00FF3147"/>
    <w:rsid w:val="00FF34ED"/>
    <w:rsid w:val="00FF3A46"/>
    <w:rsid w:val="00FF3D37"/>
    <w:rsid w:val="00FF47FF"/>
    <w:rsid w:val="00FF4993"/>
    <w:rsid w:val="00FF4EEE"/>
    <w:rsid w:val="00FF4FEC"/>
    <w:rsid w:val="00FF506D"/>
    <w:rsid w:val="00FF523A"/>
    <w:rsid w:val="00FF5902"/>
    <w:rsid w:val="00FF592E"/>
    <w:rsid w:val="00FF5C35"/>
    <w:rsid w:val="00FF5E62"/>
    <w:rsid w:val="00FF5EB8"/>
    <w:rsid w:val="00FF69DD"/>
    <w:rsid w:val="00FF6E17"/>
    <w:rsid w:val="00FF734D"/>
    <w:rsid w:val="00FF7568"/>
    <w:rsid w:val="00FF757A"/>
    <w:rsid w:val="00FF7D3F"/>
    <w:rsid w:val="010CAC07"/>
    <w:rsid w:val="010DD3C0"/>
    <w:rsid w:val="0117AC7D"/>
    <w:rsid w:val="011CA776"/>
    <w:rsid w:val="011EF366"/>
    <w:rsid w:val="011FA552"/>
    <w:rsid w:val="012684DF"/>
    <w:rsid w:val="013D9A1F"/>
    <w:rsid w:val="013E10D4"/>
    <w:rsid w:val="013E59CA"/>
    <w:rsid w:val="013EF172"/>
    <w:rsid w:val="014019D9"/>
    <w:rsid w:val="0145CAEE"/>
    <w:rsid w:val="014873C5"/>
    <w:rsid w:val="014D3E7E"/>
    <w:rsid w:val="014DA44D"/>
    <w:rsid w:val="01523C08"/>
    <w:rsid w:val="01524579"/>
    <w:rsid w:val="0153E468"/>
    <w:rsid w:val="0154E405"/>
    <w:rsid w:val="0162CF84"/>
    <w:rsid w:val="0163487D"/>
    <w:rsid w:val="016DBAC2"/>
    <w:rsid w:val="016E775C"/>
    <w:rsid w:val="01741292"/>
    <w:rsid w:val="0177F4AB"/>
    <w:rsid w:val="01843E18"/>
    <w:rsid w:val="019E53B9"/>
    <w:rsid w:val="01A17E4E"/>
    <w:rsid w:val="01AA030D"/>
    <w:rsid w:val="01B4051E"/>
    <w:rsid w:val="01BC5EFB"/>
    <w:rsid w:val="01C591AA"/>
    <w:rsid w:val="01C72B83"/>
    <w:rsid w:val="01C9D1C4"/>
    <w:rsid w:val="01CCE9BF"/>
    <w:rsid w:val="01CD75DA"/>
    <w:rsid w:val="01D0B96F"/>
    <w:rsid w:val="01DA2A9D"/>
    <w:rsid w:val="01DC561D"/>
    <w:rsid w:val="01DE6B03"/>
    <w:rsid w:val="01E65A48"/>
    <w:rsid w:val="01F27224"/>
    <w:rsid w:val="01F313CE"/>
    <w:rsid w:val="01F869B7"/>
    <w:rsid w:val="01FF62FA"/>
    <w:rsid w:val="02003629"/>
    <w:rsid w:val="02054C6E"/>
    <w:rsid w:val="020850EE"/>
    <w:rsid w:val="020B97B9"/>
    <w:rsid w:val="020C3B4A"/>
    <w:rsid w:val="020CCC48"/>
    <w:rsid w:val="020FBB1D"/>
    <w:rsid w:val="02138EF8"/>
    <w:rsid w:val="02165869"/>
    <w:rsid w:val="021D1AD7"/>
    <w:rsid w:val="0228108E"/>
    <w:rsid w:val="0228D888"/>
    <w:rsid w:val="0228EE62"/>
    <w:rsid w:val="02360F3E"/>
    <w:rsid w:val="0239DF0B"/>
    <w:rsid w:val="023F9081"/>
    <w:rsid w:val="0242D07F"/>
    <w:rsid w:val="0244AC17"/>
    <w:rsid w:val="02454B5F"/>
    <w:rsid w:val="024EAC76"/>
    <w:rsid w:val="024ED7C1"/>
    <w:rsid w:val="025461B0"/>
    <w:rsid w:val="02585607"/>
    <w:rsid w:val="0259F6CD"/>
    <w:rsid w:val="025B48CC"/>
    <w:rsid w:val="025B7D6E"/>
    <w:rsid w:val="025C0538"/>
    <w:rsid w:val="0264F3EE"/>
    <w:rsid w:val="0265FCC0"/>
    <w:rsid w:val="026CCD26"/>
    <w:rsid w:val="026ED136"/>
    <w:rsid w:val="026F49A3"/>
    <w:rsid w:val="02704C83"/>
    <w:rsid w:val="027086FE"/>
    <w:rsid w:val="02782FD2"/>
    <w:rsid w:val="027E87AE"/>
    <w:rsid w:val="02849243"/>
    <w:rsid w:val="0286279B"/>
    <w:rsid w:val="028B77B6"/>
    <w:rsid w:val="02953423"/>
    <w:rsid w:val="0295403A"/>
    <w:rsid w:val="0297C7CA"/>
    <w:rsid w:val="029A9128"/>
    <w:rsid w:val="029BE536"/>
    <w:rsid w:val="02A037EA"/>
    <w:rsid w:val="02A038FF"/>
    <w:rsid w:val="02A7E117"/>
    <w:rsid w:val="02A910F2"/>
    <w:rsid w:val="02A9C3D1"/>
    <w:rsid w:val="02AEEE85"/>
    <w:rsid w:val="02B2EC13"/>
    <w:rsid w:val="02B3C0D8"/>
    <w:rsid w:val="02B484A6"/>
    <w:rsid w:val="02BEA94F"/>
    <w:rsid w:val="02CA8D89"/>
    <w:rsid w:val="02CC4D1E"/>
    <w:rsid w:val="02D48D4F"/>
    <w:rsid w:val="02D9A3D2"/>
    <w:rsid w:val="02DB1BED"/>
    <w:rsid w:val="02DF5032"/>
    <w:rsid w:val="02E1E837"/>
    <w:rsid w:val="02E31570"/>
    <w:rsid w:val="02E4909E"/>
    <w:rsid w:val="02EF6A76"/>
    <w:rsid w:val="0303CA9F"/>
    <w:rsid w:val="0305BC0A"/>
    <w:rsid w:val="0308D74F"/>
    <w:rsid w:val="0311020E"/>
    <w:rsid w:val="031D4771"/>
    <w:rsid w:val="031D9213"/>
    <w:rsid w:val="031F64B7"/>
    <w:rsid w:val="031FF278"/>
    <w:rsid w:val="03258A41"/>
    <w:rsid w:val="032B3948"/>
    <w:rsid w:val="0330C8EE"/>
    <w:rsid w:val="0333B019"/>
    <w:rsid w:val="03362A3A"/>
    <w:rsid w:val="033CB254"/>
    <w:rsid w:val="033EA70D"/>
    <w:rsid w:val="033EC04F"/>
    <w:rsid w:val="033F5F9D"/>
    <w:rsid w:val="0340DCE2"/>
    <w:rsid w:val="0346B898"/>
    <w:rsid w:val="035090DE"/>
    <w:rsid w:val="0355EB4F"/>
    <w:rsid w:val="035B6CBD"/>
    <w:rsid w:val="0365E5CC"/>
    <w:rsid w:val="03667EE2"/>
    <w:rsid w:val="0369E2F5"/>
    <w:rsid w:val="0370008A"/>
    <w:rsid w:val="0370C243"/>
    <w:rsid w:val="03752865"/>
    <w:rsid w:val="03812686"/>
    <w:rsid w:val="0384CBB3"/>
    <w:rsid w:val="038517B6"/>
    <w:rsid w:val="038633AE"/>
    <w:rsid w:val="0389E673"/>
    <w:rsid w:val="038C93B5"/>
    <w:rsid w:val="0398A71B"/>
    <w:rsid w:val="039A0DEB"/>
    <w:rsid w:val="039E52F9"/>
    <w:rsid w:val="03A4F54E"/>
    <w:rsid w:val="03AB9698"/>
    <w:rsid w:val="03AC878C"/>
    <w:rsid w:val="03BCFF77"/>
    <w:rsid w:val="03C0C9D7"/>
    <w:rsid w:val="03C442AE"/>
    <w:rsid w:val="03CC0CCE"/>
    <w:rsid w:val="03CF18EE"/>
    <w:rsid w:val="03D1EA52"/>
    <w:rsid w:val="03DF34F1"/>
    <w:rsid w:val="03E0C20D"/>
    <w:rsid w:val="03E18BD3"/>
    <w:rsid w:val="03E36943"/>
    <w:rsid w:val="03E96CA0"/>
    <w:rsid w:val="03EC68C2"/>
    <w:rsid w:val="03F8404C"/>
    <w:rsid w:val="0400B232"/>
    <w:rsid w:val="04045DD2"/>
    <w:rsid w:val="0411F780"/>
    <w:rsid w:val="0413028B"/>
    <w:rsid w:val="041AC310"/>
    <w:rsid w:val="04250BF2"/>
    <w:rsid w:val="0429C3A7"/>
    <w:rsid w:val="042AA90B"/>
    <w:rsid w:val="042B04E8"/>
    <w:rsid w:val="0437F885"/>
    <w:rsid w:val="0438DCCA"/>
    <w:rsid w:val="043ACB71"/>
    <w:rsid w:val="043DCD3C"/>
    <w:rsid w:val="044494BA"/>
    <w:rsid w:val="044B6742"/>
    <w:rsid w:val="044C2BC1"/>
    <w:rsid w:val="044D594B"/>
    <w:rsid w:val="044DC188"/>
    <w:rsid w:val="044F35DF"/>
    <w:rsid w:val="0450D9EB"/>
    <w:rsid w:val="04585F55"/>
    <w:rsid w:val="04603133"/>
    <w:rsid w:val="0462D877"/>
    <w:rsid w:val="0477CBFF"/>
    <w:rsid w:val="047CBA8B"/>
    <w:rsid w:val="04833B59"/>
    <w:rsid w:val="0489A3DA"/>
    <w:rsid w:val="04907822"/>
    <w:rsid w:val="049E964F"/>
    <w:rsid w:val="049F2A07"/>
    <w:rsid w:val="04A5C7FE"/>
    <w:rsid w:val="04AADC65"/>
    <w:rsid w:val="04B3D16E"/>
    <w:rsid w:val="04BEA84E"/>
    <w:rsid w:val="04CAA4C1"/>
    <w:rsid w:val="04CBEF82"/>
    <w:rsid w:val="04CC78FA"/>
    <w:rsid w:val="04CF8EBB"/>
    <w:rsid w:val="04E1B7ED"/>
    <w:rsid w:val="04E2EFFD"/>
    <w:rsid w:val="04E6EFA1"/>
    <w:rsid w:val="04E8E1A4"/>
    <w:rsid w:val="04E9DE8F"/>
    <w:rsid w:val="04EC5DDB"/>
    <w:rsid w:val="04EE6CD7"/>
    <w:rsid w:val="04F04EFF"/>
    <w:rsid w:val="04F22224"/>
    <w:rsid w:val="04FEC53E"/>
    <w:rsid w:val="0504175B"/>
    <w:rsid w:val="050DAF00"/>
    <w:rsid w:val="05110B87"/>
    <w:rsid w:val="0512BBC4"/>
    <w:rsid w:val="051B1060"/>
    <w:rsid w:val="05238703"/>
    <w:rsid w:val="05249DED"/>
    <w:rsid w:val="0527D750"/>
    <w:rsid w:val="05298C36"/>
    <w:rsid w:val="052F2B65"/>
    <w:rsid w:val="05301AD6"/>
    <w:rsid w:val="0533CD29"/>
    <w:rsid w:val="05371746"/>
    <w:rsid w:val="053DC958"/>
    <w:rsid w:val="05437B40"/>
    <w:rsid w:val="05468705"/>
    <w:rsid w:val="054B3B1E"/>
    <w:rsid w:val="055E4D01"/>
    <w:rsid w:val="056850D0"/>
    <w:rsid w:val="056ABD6C"/>
    <w:rsid w:val="056DA62B"/>
    <w:rsid w:val="056F466F"/>
    <w:rsid w:val="0573A4D7"/>
    <w:rsid w:val="0579EF77"/>
    <w:rsid w:val="05803E10"/>
    <w:rsid w:val="05817A80"/>
    <w:rsid w:val="058FB551"/>
    <w:rsid w:val="0599AF4B"/>
    <w:rsid w:val="059D3025"/>
    <w:rsid w:val="059FDE8C"/>
    <w:rsid w:val="05A3BEF6"/>
    <w:rsid w:val="05A4B484"/>
    <w:rsid w:val="05A696DE"/>
    <w:rsid w:val="05AEA266"/>
    <w:rsid w:val="05AF862B"/>
    <w:rsid w:val="05BA93D9"/>
    <w:rsid w:val="05CE0145"/>
    <w:rsid w:val="05D46FDF"/>
    <w:rsid w:val="05D62438"/>
    <w:rsid w:val="05E0F497"/>
    <w:rsid w:val="05E524C6"/>
    <w:rsid w:val="05ECD392"/>
    <w:rsid w:val="05F188FB"/>
    <w:rsid w:val="05FB9B94"/>
    <w:rsid w:val="0602F37C"/>
    <w:rsid w:val="0609560A"/>
    <w:rsid w:val="060C2E84"/>
    <w:rsid w:val="060F52CB"/>
    <w:rsid w:val="061D9053"/>
    <w:rsid w:val="061E771B"/>
    <w:rsid w:val="06248F7D"/>
    <w:rsid w:val="0625C7AF"/>
    <w:rsid w:val="062B490D"/>
    <w:rsid w:val="062F9565"/>
    <w:rsid w:val="062FFA5D"/>
    <w:rsid w:val="0630238D"/>
    <w:rsid w:val="063C388E"/>
    <w:rsid w:val="065BF562"/>
    <w:rsid w:val="065C5F28"/>
    <w:rsid w:val="065EA177"/>
    <w:rsid w:val="065F8478"/>
    <w:rsid w:val="065FB38F"/>
    <w:rsid w:val="067ABD16"/>
    <w:rsid w:val="067C0F0A"/>
    <w:rsid w:val="0680C941"/>
    <w:rsid w:val="0683F4ED"/>
    <w:rsid w:val="0695713E"/>
    <w:rsid w:val="069755BC"/>
    <w:rsid w:val="069889DE"/>
    <w:rsid w:val="069A44C6"/>
    <w:rsid w:val="069F8252"/>
    <w:rsid w:val="06A76EDD"/>
    <w:rsid w:val="06A7FB5B"/>
    <w:rsid w:val="06ADF5FE"/>
    <w:rsid w:val="06B4E532"/>
    <w:rsid w:val="06C0AED2"/>
    <w:rsid w:val="06C14399"/>
    <w:rsid w:val="06C33AF7"/>
    <w:rsid w:val="06C60843"/>
    <w:rsid w:val="06C6BD73"/>
    <w:rsid w:val="06D089AE"/>
    <w:rsid w:val="06D920EC"/>
    <w:rsid w:val="06D993D8"/>
    <w:rsid w:val="06DF6FF1"/>
    <w:rsid w:val="06E2D882"/>
    <w:rsid w:val="06F1A63E"/>
    <w:rsid w:val="06F74C23"/>
    <w:rsid w:val="070E9835"/>
    <w:rsid w:val="070F97E8"/>
    <w:rsid w:val="07108563"/>
    <w:rsid w:val="07181D3A"/>
    <w:rsid w:val="071A236F"/>
    <w:rsid w:val="071B559E"/>
    <w:rsid w:val="0721DAF4"/>
    <w:rsid w:val="0727AEDA"/>
    <w:rsid w:val="072B6F7B"/>
    <w:rsid w:val="072FCF2F"/>
    <w:rsid w:val="0735F61F"/>
    <w:rsid w:val="0737EE2B"/>
    <w:rsid w:val="0747C1CB"/>
    <w:rsid w:val="074879AA"/>
    <w:rsid w:val="0748CA6A"/>
    <w:rsid w:val="074F01B6"/>
    <w:rsid w:val="0750884D"/>
    <w:rsid w:val="07509E45"/>
    <w:rsid w:val="07567C15"/>
    <w:rsid w:val="075A990C"/>
    <w:rsid w:val="075DCD00"/>
    <w:rsid w:val="075F7FB5"/>
    <w:rsid w:val="076A9D72"/>
    <w:rsid w:val="076ED74E"/>
    <w:rsid w:val="07803A8E"/>
    <w:rsid w:val="07833403"/>
    <w:rsid w:val="07857D01"/>
    <w:rsid w:val="0787A933"/>
    <w:rsid w:val="07958BE1"/>
    <w:rsid w:val="07981338"/>
    <w:rsid w:val="0799777D"/>
    <w:rsid w:val="079C142D"/>
    <w:rsid w:val="079C5D3A"/>
    <w:rsid w:val="07A6849A"/>
    <w:rsid w:val="07AC7163"/>
    <w:rsid w:val="07AEFB67"/>
    <w:rsid w:val="07B0106C"/>
    <w:rsid w:val="07B0F1D7"/>
    <w:rsid w:val="07B31D09"/>
    <w:rsid w:val="07B8A00F"/>
    <w:rsid w:val="07BCA913"/>
    <w:rsid w:val="07CD05BA"/>
    <w:rsid w:val="07D1EC70"/>
    <w:rsid w:val="07DA70F6"/>
    <w:rsid w:val="07E209CE"/>
    <w:rsid w:val="07EC8245"/>
    <w:rsid w:val="07F3262F"/>
    <w:rsid w:val="07F59D35"/>
    <w:rsid w:val="07FA642A"/>
    <w:rsid w:val="08021A23"/>
    <w:rsid w:val="0805CDA8"/>
    <w:rsid w:val="0807D712"/>
    <w:rsid w:val="0811349A"/>
    <w:rsid w:val="0814E216"/>
    <w:rsid w:val="081573CB"/>
    <w:rsid w:val="081AE9FD"/>
    <w:rsid w:val="081B375F"/>
    <w:rsid w:val="08249E80"/>
    <w:rsid w:val="082A6944"/>
    <w:rsid w:val="082D6D8C"/>
    <w:rsid w:val="082FA10D"/>
    <w:rsid w:val="08341617"/>
    <w:rsid w:val="08368693"/>
    <w:rsid w:val="083ED2A3"/>
    <w:rsid w:val="0841AE94"/>
    <w:rsid w:val="084D53B9"/>
    <w:rsid w:val="084F1D70"/>
    <w:rsid w:val="08503491"/>
    <w:rsid w:val="0857AD38"/>
    <w:rsid w:val="085E01C4"/>
    <w:rsid w:val="08686D49"/>
    <w:rsid w:val="0869A5A6"/>
    <w:rsid w:val="087483DF"/>
    <w:rsid w:val="08778A7B"/>
    <w:rsid w:val="0877EDE2"/>
    <w:rsid w:val="087B9426"/>
    <w:rsid w:val="087D6B03"/>
    <w:rsid w:val="0882DBE0"/>
    <w:rsid w:val="08863C61"/>
    <w:rsid w:val="08869514"/>
    <w:rsid w:val="088CC131"/>
    <w:rsid w:val="088D0028"/>
    <w:rsid w:val="08922F06"/>
    <w:rsid w:val="089B86C1"/>
    <w:rsid w:val="089ECEFE"/>
    <w:rsid w:val="08AB22AF"/>
    <w:rsid w:val="08B0A78C"/>
    <w:rsid w:val="08B90D20"/>
    <w:rsid w:val="08B998A0"/>
    <w:rsid w:val="08C473BA"/>
    <w:rsid w:val="08C61731"/>
    <w:rsid w:val="08EC6610"/>
    <w:rsid w:val="08F40783"/>
    <w:rsid w:val="08F4305F"/>
    <w:rsid w:val="08F43A84"/>
    <w:rsid w:val="08F87894"/>
    <w:rsid w:val="08F8E09E"/>
    <w:rsid w:val="0901724D"/>
    <w:rsid w:val="0903EB07"/>
    <w:rsid w:val="0904F922"/>
    <w:rsid w:val="0915FB29"/>
    <w:rsid w:val="092B3D1A"/>
    <w:rsid w:val="092DA448"/>
    <w:rsid w:val="093143AA"/>
    <w:rsid w:val="09319DEC"/>
    <w:rsid w:val="093BE7C4"/>
    <w:rsid w:val="09439571"/>
    <w:rsid w:val="09459AD8"/>
    <w:rsid w:val="09516BC0"/>
    <w:rsid w:val="0958AA0C"/>
    <w:rsid w:val="09594CC2"/>
    <w:rsid w:val="0965FB69"/>
    <w:rsid w:val="0972A849"/>
    <w:rsid w:val="09732BA7"/>
    <w:rsid w:val="097BA86F"/>
    <w:rsid w:val="0984536E"/>
    <w:rsid w:val="0995D306"/>
    <w:rsid w:val="09961C76"/>
    <w:rsid w:val="0998E2A1"/>
    <w:rsid w:val="099BCB58"/>
    <w:rsid w:val="099E5BF9"/>
    <w:rsid w:val="09A01D84"/>
    <w:rsid w:val="09A3B502"/>
    <w:rsid w:val="09A7C527"/>
    <w:rsid w:val="09A7FF70"/>
    <w:rsid w:val="09B647AC"/>
    <w:rsid w:val="09C322FE"/>
    <w:rsid w:val="09C7A0DE"/>
    <w:rsid w:val="09D92013"/>
    <w:rsid w:val="09DBF524"/>
    <w:rsid w:val="09DFD298"/>
    <w:rsid w:val="09E0A68B"/>
    <w:rsid w:val="09E4144D"/>
    <w:rsid w:val="09E62990"/>
    <w:rsid w:val="09ED2E3C"/>
    <w:rsid w:val="09EDBB89"/>
    <w:rsid w:val="09EFF607"/>
    <w:rsid w:val="09F0905B"/>
    <w:rsid w:val="09F2843C"/>
    <w:rsid w:val="09F52AD6"/>
    <w:rsid w:val="0A0A0E0B"/>
    <w:rsid w:val="0A0A951A"/>
    <w:rsid w:val="0A1B8940"/>
    <w:rsid w:val="0A1F7F4A"/>
    <w:rsid w:val="0A2009B4"/>
    <w:rsid w:val="0A234977"/>
    <w:rsid w:val="0A2B1D3B"/>
    <w:rsid w:val="0A32A05A"/>
    <w:rsid w:val="0A39B7F6"/>
    <w:rsid w:val="0A424CE9"/>
    <w:rsid w:val="0A4B6A59"/>
    <w:rsid w:val="0A55EF02"/>
    <w:rsid w:val="0A57203A"/>
    <w:rsid w:val="0A58208F"/>
    <w:rsid w:val="0A5B0223"/>
    <w:rsid w:val="0A5D9C74"/>
    <w:rsid w:val="0A7194B1"/>
    <w:rsid w:val="0A7EBA53"/>
    <w:rsid w:val="0A91AA63"/>
    <w:rsid w:val="0A971BBB"/>
    <w:rsid w:val="0A97D265"/>
    <w:rsid w:val="0AA1E10E"/>
    <w:rsid w:val="0AAD118A"/>
    <w:rsid w:val="0AB4EE04"/>
    <w:rsid w:val="0AC1B806"/>
    <w:rsid w:val="0AC82FCC"/>
    <w:rsid w:val="0ACA2F12"/>
    <w:rsid w:val="0ACC3DF1"/>
    <w:rsid w:val="0ACD140B"/>
    <w:rsid w:val="0AD15986"/>
    <w:rsid w:val="0AD24397"/>
    <w:rsid w:val="0ADE8B91"/>
    <w:rsid w:val="0AE32963"/>
    <w:rsid w:val="0AE3B0FC"/>
    <w:rsid w:val="0AE9C743"/>
    <w:rsid w:val="0AEAB740"/>
    <w:rsid w:val="0AEE9399"/>
    <w:rsid w:val="0AF40301"/>
    <w:rsid w:val="0B01FE1B"/>
    <w:rsid w:val="0B02AAC0"/>
    <w:rsid w:val="0B08B944"/>
    <w:rsid w:val="0B17EACC"/>
    <w:rsid w:val="0B19498E"/>
    <w:rsid w:val="0B1B4C7A"/>
    <w:rsid w:val="0B224197"/>
    <w:rsid w:val="0B22A609"/>
    <w:rsid w:val="0B2EA0CA"/>
    <w:rsid w:val="0B2FE13A"/>
    <w:rsid w:val="0B3AABE3"/>
    <w:rsid w:val="0B599D27"/>
    <w:rsid w:val="0B65CB39"/>
    <w:rsid w:val="0B678F29"/>
    <w:rsid w:val="0B6A545B"/>
    <w:rsid w:val="0B6D67BF"/>
    <w:rsid w:val="0B70DB7A"/>
    <w:rsid w:val="0B7ABA81"/>
    <w:rsid w:val="0B81B02F"/>
    <w:rsid w:val="0B8A0EFA"/>
    <w:rsid w:val="0B8DD8D0"/>
    <w:rsid w:val="0B934AB9"/>
    <w:rsid w:val="0B9548CD"/>
    <w:rsid w:val="0B9BC5A9"/>
    <w:rsid w:val="0BA42938"/>
    <w:rsid w:val="0BC077E3"/>
    <w:rsid w:val="0BC0D083"/>
    <w:rsid w:val="0BC189B4"/>
    <w:rsid w:val="0BC7C76A"/>
    <w:rsid w:val="0BC922DD"/>
    <w:rsid w:val="0BD60769"/>
    <w:rsid w:val="0BD971E9"/>
    <w:rsid w:val="0BE39490"/>
    <w:rsid w:val="0BF1CCE3"/>
    <w:rsid w:val="0BF32905"/>
    <w:rsid w:val="0BFC2C4D"/>
    <w:rsid w:val="0C086D67"/>
    <w:rsid w:val="0C08A296"/>
    <w:rsid w:val="0C09C0B1"/>
    <w:rsid w:val="0C0F4C3A"/>
    <w:rsid w:val="0C111894"/>
    <w:rsid w:val="0C1B6CE7"/>
    <w:rsid w:val="0C235430"/>
    <w:rsid w:val="0C23F73B"/>
    <w:rsid w:val="0C26B4CA"/>
    <w:rsid w:val="0C2C28AA"/>
    <w:rsid w:val="0C32CA03"/>
    <w:rsid w:val="0C4CE54F"/>
    <w:rsid w:val="0C4E1D73"/>
    <w:rsid w:val="0C54258D"/>
    <w:rsid w:val="0C5B3630"/>
    <w:rsid w:val="0C60382E"/>
    <w:rsid w:val="0C6BB5A6"/>
    <w:rsid w:val="0C6DA34E"/>
    <w:rsid w:val="0C76936E"/>
    <w:rsid w:val="0C849A05"/>
    <w:rsid w:val="0C8DC204"/>
    <w:rsid w:val="0C91E407"/>
    <w:rsid w:val="0C9C29B9"/>
    <w:rsid w:val="0CA55439"/>
    <w:rsid w:val="0CB12097"/>
    <w:rsid w:val="0CB3504A"/>
    <w:rsid w:val="0CB5AD3D"/>
    <w:rsid w:val="0CBE5141"/>
    <w:rsid w:val="0CBEAB95"/>
    <w:rsid w:val="0CC0555D"/>
    <w:rsid w:val="0CC284F4"/>
    <w:rsid w:val="0CC9F8C8"/>
    <w:rsid w:val="0CD63F51"/>
    <w:rsid w:val="0CD6DA98"/>
    <w:rsid w:val="0CD8D082"/>
    <w:rsid w:val="0CD939E2"/>
    <w:rsid w:val="0CDFB76D"/>
    <w:rsid w:val="0CE41B10"/>
    <w:rsid w:val="0CE63B02"/>
    <w:rsid w:val="0CF75F5D"/>
    <w:rsid w:val="0CF7940B"/>
    <w:rsid w:val="0CF79D19"/>
    <w:rsid w:val="0CF8D852"/>
    <w:rsid w:val="0D08075B"/>
    <w:rsid w:val="0D08A70D"/>
    <w:rsid w:val="0D0B4ABC"/>
    <w:rsid w:val="0D17FE3C"/>
    <w:rsid w:val="0D1C470D"/>
    <w:rsid w:val="0D1D01E1"/>
    <w:rsid w:val="0D295F9B"/>
    <w:rsid w:val="0D300F71"/>
    <w:rsid w:val="0D42391D"/>
    <w:rsid w:val="0D4346B1"/>
    <w:rsid w:val="0D459EAD"/>
    <w:rsid w:val="0D4C0E92"/>
    <w:rsid w:val="0D50CE05"/>
    <w:rsid w:val="0D5CFEC7"/>
    <w:rsid w:val="0D630D78"/>
    <w:rsid w:val="0D633C86"/>
    <w:rsid w:val="0D655CA1"/>
    <w:rsid w:val="0D658D11"/>
    <w:rsid w:val="0D67CF6E"/>
    <w:rsid w:val="0D6A428A"/>
    <w:rsid w:val="0D6BE02E"/>
    <w:rsid w:val="0D6D56E8"/>
    <w:rsid w:val="0D7CB35C"/>
    <w:rsid w:val="0D7E5EC7"/>
    <w:rsid w:val="0D7F336B"/>
    <w:rsid w:val="0D7FFB37"/>
    <w:rsid w:val="0D81F86B"/>
    <w:rsid w:val="0D89663F"/>
    <w:rsid w:val="0D8D11A7"/>
    <w:rsid w:val="0D9581F3"/>
    <w:rsid w:val="0D97DE15"/>
    <w:rsid w:val="0D98AB8D"/>
    <w:rsid w:val="0DA8E695"/>
    <w:rsid w:val="0DAA6A51"/>
    <w:rsid w:val="0DAC93A7"/>
    <w:rsid w:val="0DB0A84E"/>
    <w:rsid w:val="0DB248E2"/>
    <w:rsid w:val="0DB45D67"/>
    <w:rsid w:val="0DB82DD4"/>
    <w:rsid w:val="0DB91F31"/>
    <w:rsid w:val="0DC172E8"/>
    <w:rsid w:val="0DC5130D"/>
    <w:rsid w:val="0DCBB40A"/>
    <w:rsid w:val="0DCD5D06"/>
    <w:rsid w:val="0DDBBCA3"/>
    <w:rsid w:val="0DF2F266"/>
    <w:rsid w:val="0DF3DE9D"/>
    <w:rsid w:val="0DF6EAB7"/>
    <w:rsid w:val="0DF9F94B"/>
    <w:rsid w:val="0DFBFAC2"/>
    <w:rsid w:val="0E049F54"/>
    <w:rsid w:val="0E0E4A0B"/>
    <w:rsid w:val="0E0F467E"/>
    <w:rsid w:val="0E289904"/>
    <w:rsid w:val="0E2906D8"/>
    <w:rsid w:val="0E2BEA68"/>
    <w:rsid w:val="0E2DCC8F"/>
    <w:rsid w:val="0E2FAC90"/>
    <w:rsid w:val="0E3F6B92"/>
    <w:rsid w:val="0E46AFE9"/>
    <w:rsid w:val="0E46CA94"/>
    <w:rsid w:val="0E480442"/>
    <w:rsid w:val="0E51BFB7"/>
    <w:rsid w:val="0E59C79C"/>
    <w:rsid w:val="0E60AADF"/>
    <w:rsid w:val="0E62DEE9"/>
    <w:rsid w:val="0E661A73"/>
    <w:rsid w:val="0E69C482"/>
    <w:rsid w:val="0E71632D"/>
    <w:rsid w:val="0E716632"/>
    <w:rsid w:val="0E7295CD"/>
    <w:rsid w:val="0E7545CC"/>
    <w:rsid w:val="0E7766BB"/>
    <w:rsid w:val="0E7A601A"/>
    <w:rsid w:val="0E7F57C2"/>
    <w:rsid w:val="0E814A28"/>
    <w:rsid w:val="0E822543"/>
    <w:rsid w:val="0E871543"/>
    <w:rsid w:val="0E8A6498"/>
    <w:rsid w:val="0E8C725D"/>
    <w:rsid w:val="0E93C008"/>
    <w:rsid w:val="0E94FECC"/>
    <w:rsid w:val="0E959BDA"/>
    <w:rsid w:val="0E95D303"/>
    <w:rsid w:val="0E967E52"/>
    <w:rsid w:val="0E9752EB"/>
    <w:rsid w:val="0E9DA0EE"/>
    <w:rsid w:val="0E9EA560"/>
    <w:rsid w:val="0EA12268"/>
    <w:rsid w:val="0EAAF693"/>
    <w:rsid w:val="0EAD0678"/>
    <w:rsid w:val="0EB3E35F"/>
    <w:rsid w:val="0EBE5185"/>
    <w:rsid w:val="0EC9DC4F"/>
    <w:rsid w:val="0ED05FE9"/>
    <w:rsid w:val="0ED13FA8"/>
    <w:rsid w:val="0EDF14F4"/>
    <w:rsid w:val="0EE02623"/>
    <w:rsid w:val="0EE2C297"/>
    <w:rsid w:val="0EE82FA4"/>
    <w:rsid w:val="0EEDEC9B"/>
    <w:rsid w:val="0EF14116"/>
    <w:rsid w:val="0EF187B6"/>
    <w:rsid w:val="0EF1B46C"/>
    <w:rsid w:val="0F027C16"/>
    <w:rsid w:val="0F08E933"/>
    <w:rsid w:val="0F1897A6"/>
    <w:rsid w:val="0F3E118B"/>
    <w:rsid w:val="0F3FE187"/>
    <w:rsid w:val="0F44E6BB"/>
    <w:rsid w:val="0F45B509"/>
    <w:rsid w:val="0F4725BF"/>
    <w:rsid w:val="0F4AE67D"/>
    <w:rsid w:val="0F4CC342"/>
    <w:rsid w:val="0F4DA206"/>
    <w:rsid w:val="0F4F12FA"/>
    <w:rsid w:val="0F5788A7"/>
    <w:rsid w:val="0F5B2208"/>
    <w:rsid w:val="0F6617A5"/>
    <w:rsid w:val="0F79B775"/>
    <w:rsid w:val="0F7A46F7"/>
    <w:rsid w:val="0F837CE2"/>
    <w:rsid w:val="0F8AAB6C"/>
    <w:rsid w:val="0F8BB117"/>
    <w:rsid w:val="0F913A12"/>
    <w:rsid w:val="0F9CF0A7"/>
    <w:rsid w:val="0F9E57BB"/>
    <w:rsid w:val="0FA9FD74"/>
    <w:rsid w:val="0FAA6F19"/>
    <w:rsid w:val="0FB3B70B"/>
    <w:rsid w:val="0FBAB25B"/>
    <w:rsid w:val="0FBBAA96"/>
    <w:rsid w:val="0FBD60E1"/>
    <w:rsid w:val="0FBE00AE"/>
    <w:rsid w:val="0FBFCE26"/>
    <w:rsid w:val="0FC15D6E"/>
    <w:rsid w:val="0FC90633"/>
    <w:rsid w:val="0FC96093"/>
    <w:rsid w:val="0FD3D529"/>
    <w:rsid w:val="0FD68317"/>
    <w:rsid w:val="0FDCA337"/>
    <w:rsid w:val="0FEB3936"/>
    <w:rsid w:val="0FEE43C3"/>
    <w:rsid w:val="0FEFC1EA"/>
    <w:rsid w:val="0FFAAD97"/>
    <w:rsid w:val="0FFDDEB1"/>
    <w:rsid w:val="100385EA"/>
    <w:rsid w:val="100A1C10"/>
    <w:rsid w:val="1016CE93"/>
    <w:rsid w:val="1018783A"/>
    <w:rsid w:val="101C5817"/>
    <w:rsid w:val="1021E1A1"/>
    <w:rsid w:val="10225105"/>
    <w:rsid w:val="1022EADA"/>
    <w:rsid w:val="10289391"/>
    <w:rsid w:val="102B5934"/>
    <w:rsid w:val="102DC1B9"/>
    <w:rsid w:val="1034D1D6"/>
    <w:rsid w:val="103BA1B4"/>
    <w:rsid w:val="10465BBC"/>
    <w:rsid w:val="1047B97A"/>
    <w:rsid w:val="104A380E"/>
    <w:rsid w:val="104A6C16"/>
    <w:rsid w:val="104F1861"/>
    <w:rsid w:val="10524440"/>
    <w:rsid w:val="1058C9CD"/>
    <w:rsid w:val="1058DE79"/>
    <w:rsid w:val="1061BDE0"/>
    <w:rsid w:val="10635281"/>
    <w:rsid w:val="1078DA42"/>
    <w:rsid w:val="107F31FB"/>
    <w:rsid w:val="107FF1E7"/>
    <w:rsid w:val="1086E4FB"/>
    <w:rsid w:val="108C28C5"/>
    <w:rsid w:val="1092E4BD"/>
    <w:rsid w:val="1099A893"/>
    <w:rsid w:val="109B7F58"/>
    <w:rsid w:val="109D2DD3"/>
    <w:rsid w:val="10A1DBCE"/>
    <w:rsid w:val="10A26E7A"/>
    <w:rsid w:val="10A3FB8B"/>
    <w:rsid w:val="10BCE2F9"/>
    <w:rsid w:val="10C3CD09"/>
    <w:rsid w:val="10C5F481"/>
    <w:rsid w:val="10CDF76D"/>
    <w:rsid w:val="10D0F013"/>
    <w:rsid w:val="10D98E6B"/>
    <w:rsid w:val="10DBBFCD"/>
    <w:rsid w:val="10E98E4E"/>
    <w:rsid w:val="10EB7A23"/>
    <w:rsid w:val="10ED0864"/>
    <w:rsid w:val="10F631B0"/>
    <w:rsid w:val="10F8AB02"/>
    <w:rsid w:val="10FE1DEA"/>
    <w:rsid w:val="10FF2146"/>
    <w:rsid w:val="110D2032"/>
    <w:rsid w:val="110D818D"/>
    <w:rsid w:val="111B075B"/>
    <w:rsid w:val="111F07B1"/>
    <w:rsid w:val="112086BA"/>
    <w:rsid w:val="11248878"/>
    <w:rsid w:val="11258124"/>
    <w:rsid w:val="112F87DE"/>
    <w:rsid w:val="1132E2E8"/>
    <w:rsid w:val="113D307E"/>
    <w:rsid w:val="11486596"/>
    <w:rsid w:val="114E8934"/>
    <w:rsid w:val="11544BDC"/>
    <w:rsid w:val="1156D928"/>
    <w:rsid w:val="115B5C41"/>
    <w:rsid w:val="11645D94"/>
    <w:rsid w:val="116795F4"/>
    <w:rsid w:val="116AF5D1"/>
    <w:rsid w:val="116CA27B"/>
    <w:rsid w:val="116DBC30"/>
    <w:rsid w:val="116E9DC6"/>
    <w:rsid w:val="1173AF5B"/>
    <w:rsid w:val="1178110B"/>
    <w:rsid w:val="117D7C3F"/>
    <w:rsid w:val="11999A16"/>
    <w:rsid w:val="11B13E5F"/>
    <w:rsid w:val="11B8F9F7"/>
    <w:rsid w:val="11BAD0AB"/>
    <w:rsid w:val="11BC2945"/>
    <w:rsid w:val="11BDCDB2"/>
    <w:rsid w:val="11C1B03B"/>
    <w:rsid w:val="11D21955"/>
    <w:rsid w:val="11D32826"/>
    <w:rsid w:val="11D367DF"/>
    <w:rsid w:val="11D40F4C"/>
    <w:rsid w:val="11DC94D6"/>
    <w:rsid w:val="11DDDCDB"/>
    <w:rsid w:val="11EFEBE4"/>
    <w:rsid w:val="11F0007B"/>
    <w:rsid w:val="11F45B3D"/>
    <w:rsid w:val="11FB6E50"/>
    <w:rsid w:val="12087226"/>
    <w:rsid w:val="120D4549"/>
    <w:rsid w:val="1214A615"/>
    <w:rsid w:val="121A38FB"/>
    <w:rsid w:val="121AAA98"/>
    <w:rsid w:val="121B3D4F"/>
    <w:rsid w:val="121B5594"/>
    <w:rsid w:val="121EDABE"/>
    <w:rsid w:val="12255EA0"/>
    <w:rsid w:val="122B6BDD"/>
    <w:rsid w:val="122CAE35"/>
    <w:rsid w:val="122D9CFB"/>
    <w:rsid w:val="122E3CB3"/>
    <w:rsid w:val="12365EEF"/>
    <w:rsid w:val="123D4446"/>
    <w:rsid w:val="125D0D93"/>
    <w:rsid w:val="125E9E3A"/>
    <w:rsid w:val="1270FBB1"/>
    <w:rsid w:val="1275162F"/>
    <w:rsid w:val="1281B55C"/>
    <w:rsid w:val="128A19FD"/>
    <w:rsid w:val="1290E738"/>
    <w:rsid w:val="1290EDF3"/>
    <w:rsid w:val="1291D836"/>
    <w:rsid w:val="129B20E3"/>
    <w:rsid w:val="129E0CB1"/>
    <w:rsid w:val="12A0E08E"/>
    <w:rsid w:val="12A419D5"/>
    <w:rsid w:val="12AAA699"/>
    <w:rsid w:val="12B0A75A"/>
    <w:rsid w:val="12BBB6C0"/>
    <w:rsid w:val="12BCE276"/>
    <w:rsid w:val="12BDC318"/>
    <w:rsid w:val="12C02FC6"/>
    <w:rsid w:val="12C719B7"/>
    <w:rsid w:val="12DA929D"/>
    <w:rsid w:val="12E1037E"/>
    <w:rsid w:val="12EFA29E"/>
    <w:rsid w:val="12F75FBA"/>
    <w:rsid w:val="12FB5113"/>
    <w:rsid w:val="130137FD"/>
    <w:rsid w:val="13044672"/>
    <w:rsid w:val="1306B58E"/>
    <w:rsid w:val="130937AB"/>
    <w:rsid w:val="13093E35"/>
    <w:rsid w:val="13113E97"/>
    <w:rsid w:val="131894BC"/>
    <w:rsid w:val="131A53AA"/>
    <w:rsid w:val="13228A1C"/>
    <w:rsid w:val="1323394F"/>
    <w:rsid w:val="1331228D"/>
    <w:rsid w:val="13346BB7"/>
    <w:rsid w:val="133D2D1A"/>
    <w:rsid w:val="1344BF7C"/>
    <w:rsid w:val="13467EAE"/>
    <w:rsid w:val="134B66BD"/>
    <w:rsid w:val="134E92D4"/>
    <w:rsid w:val="134FDCD0"/>
    <w:rsid w:val="135A041F"/>
    <w:rsid w:val="135E471C"/>
    <w:rsid w:val="1360F37E"/>
    <w:rsid w:val="136B9C40"/>
    <w:rsid w:val="136C3392"/>
    <w:rsid w:val="136C7334"/>
    <w:rsid w:val="136E77EE"/>
    <w:rsid w:val="136EA3C3"/>
    <w:rsid w:val="13707AAF"/>
    <w:rsid w:val="1377E635"/>
    <w:rsid w:val="137A56CE"/>
    <w:rsid w:val="137CC15C"/>
    <w:rsid w:val="139105B4"/>
    <w:rsid w:val="1397F464"/>
    <w:rsid w:val="139D05ED"/>
    <w:rsid w:val="139D2324"/>
    <w:rsid w:val="139E851A"/>
    <w:rsid w:val="13A9BAC9"/>
    <w:rsid w:val="13BD0E7A"/>
    <w:rsid w:val="13C07D5D"/>
    <w:rsid w:val="13CAAC23"/>
    <w:rsid w:val="13CC4712"/>
    <w:rsid w:val="13D68DF7"/>
    <w:rsid w:val="13DAB00C"/>
    <w:rsid w:val="13E205B1"/>
    <w:rsid w:val="13E38CE7"/>
    <w:rsid w:val="13EEE02E"/>
    <w:rsid w:val="13F0371B"/>
    <w:rsid w:val="13F83462"/>
    <w:rsid w:val="140B1928"/>
    <w:rsid w:val="140E2975"/>
    <w:rsid w:val="14138398"/>
    <w:rsid w:val="1417BF15"/>
    <w:rsid w:val="1430C8F5"/>
    <w:rsid w:val="14318FCA"/>
    <w:rsid w:val="14324AD8"/>
    <w:rsid w:val="143873B3"/>
    <w:rsid w:val="143988C8"/>
    <w:rsid w:val="144096F5"/>
    <w:rsid w:val="1442A061"/>
    <w:rsid w:val="14430F5A"/>
    <w:rsid w:val="1449FF24"/>
    <w:rsid w:val="144CEB21"/>
    <w:rsid w:val="1450C7EB"/>
    <w:rsid w:val="14581347"/>
    <w:rsid w:val="1474F620"/>
    <w:rsid w:val="1475ECB7"/>
    <w:rsid w:val="1478D13F"/>
    <w:rsid w:val="147C8446"/>
    <w:rsid w:val="1484DE60"/>
    <w:rsid w:val="14856317"/>
    <w:rsid w:val="1492E5F7"/>
    <w:rsid w:val="1499F803"/>
    <w:rsid w:val="14A9B80A"/>
    <w:rsid w:val="14AB3D68"/>
    <w:rsid w:val="14ABE0CF"/>
    <w:rsid w:val="14B038A8"/>
    <w:rsid w:val="14B5A6A1"/>
    <w:rsid w:val="14BC07C2"/>
    <w:rsid w:val="14C11797"/>
    <w:rsid w:val="14C6127B"/>
    <w:rsid w:val="14CA6E6A"/>
    <w:rsid w:val="14CDCE0A"/>
    <w:rsid w:val="14D303EE"/>
    <w:rsid w:val="14D511C7"/>
    <w:rsid w:val="14D82DA9"/>
    <w:rsid w:val="14DAB71F"/>
    <w:rsid w:val="14DF59BB"/>
    <w:rsid w:val="14E77262"/>
    <w:rsid w:val="14E79BCB"/>
    <w:rsid w:val="14ECF13C"/>
    <w:rsid w:val="14EDA00B"/>
    <w:rsid w:val="150DCF3D"/>
    <w:rsid w:val="150FB2A4"/>
    <w:rsid w:val="150FF3EF"/>
    <w:rsid w:val="151853C6"/>
    <w:rsid w:val="15292D3B"/>
    <w:rsid w:val="1535050B"/>
    <w:rsid w:val="1537EEB0"/>
    <w:rsid w:val="1540F4C3"/>
    <w:rsid w:val="1554CA2D"/>
    <w:rsid w:val="155896F6"/>
    <w:rsid w:val="155C951D"/>
    <w:rsid w:val="155D88BE"/>
    <w:rsid w:val="15622A0E"/>
    <w:rsid w:val="1562418E"/>
    <w:rsid w:val="1562C5E6"/>
    <w:rsid w:val="156FFF71"/>
    <w:rsid w:val="15762C52"/>
    <w:rsid w:val="157F5D48"/>
    <w:rsid w:val="15855C2D"/>
    <w:rsid w:val="15887F83"/>
    <w:rsid w:val="1593A124"/>
    <w:rsid w:val="15A38068"/>
    <w:rsid w:val="15A485B9"/>
    <w:rsid w:val="15AAE9CB"/>
    <w:rsid w:val="15B72A61"/>
    <w:rsid w:val="15BA3A79"/>
    <w:rsid w:val="15BAB29A"/>
    <w:rsid w:val="15BBA837"/>
    <w:rsid w:val="15C275CC"/>
    <w:rsid w:val="15CA660F"/>
    <w:rsid w:val="15D13EA8"/>
    <w:rsid w:val="15D2E471"/>
    <w:rsid w:val="15D31CAE"/>
    <w:rsid w:val="15D5E3DA"/>
    <w:rsid w:val="15D86EEB"/>
    <w:rsid w:val="15D97578"/>
    <w:rsid w:val="15DAAEC4"/>
    <w:rsid w:val="15E9938D"/>
    <w:rsid w:val="15EBAE00"/>
    <w:rsid w:val="15EEFFD9"/>
    <w:rsid w:val="1602636A"/>
    <w:rsid w:val="1607F09D"/>
    <w:rsid w:val="1608F5B7"/>
    <w:rsid w:val="1616DD23"/>
    <w:rsid w:val="16177B4C"/>
    <w:rsid w:val="1617A431"/>
    <w:rsid w:val="162320B1"/>
    <w:rsid w:val="1625D1A6"/>
    <w:rsid w:val="1629E0C3"/>
    <w:rsid w:val="162C27D5"/>
    <w:rsid w:val="162DD147"/>
    <w:rsid w:val="163F6CFD"/>
    <w:rsid w:val="16449797"/>
    <w:rsid w:val="16498B11"/>
    <w:rsid w:val="164B3CAE"/>
    <w:rsid w:val="164B5119"/>
    <w:rsid w:val="1652215C"/>
    <w:rsid w:val="166739CB"/>
    <w:rsid w:val="166A97E8"/>
    <w:rsid w:val="166B67B9"/>
    <w:rsid w:val="166B6FC4"/>
    <w:rsid w:val="166BA755"/>
    <w:rsid w:val="1672FD77"/>
    <w:rsid w:val="16797DA5"/>
    <w:rsid w:val="167BBD07"/>
    <w:rsid w:val="16853252"/>
    <w:rsid w:val="16860786"/>
    <w:rsid w:val="16958AC8"/>
    <w:rsid w:val="16A16A38"/>
    <w:rsid w:val="16AABBCA"/>
    <w:rsid w:val="16AB3277"/>
    <w:rsid w:val="16AD90E2"/>
    <w:rsid w:val="16B4B387"/>
    <w:rsid w:val="16B67251"/>
    <w:rsid w:val="16BA7BAF"/>
    <w:rsid w:val="16C1FF5D"/>
    <w:rsid w:val="16CB31B6"/>
    <w:rsid w:val="16CE6325"/>
    <w:rsid w:val="16CFF283"/>
    <w:rsid w:val="16D887CA"/>
    <w:rsid w:val="16DFA6D2"/>
    <w:rsid w:val="16E34C29"/>
    <w:rsid w:val="16F44C37"/>
    <w:rsid w:val="16F77220"/>
    <w:rsid w:val="16F85EF9"/>
    <w:rsid w:val="16F97CD1"/>
    <w:rsid w:val="16FAD681"/>
    <w:rsid w:val="1702F0C5"/>
    <w:rsid w:val="17031E96"/>
    <w:rsid w:val="170354D2"/>
    <w:rsid w:val="1705A861"/>
    <w:rsid w:val="1706FD88"/>
    <w:rsid w:val="1707B198"/>
    <w:rsid w:val="170B44BB"/>
    <w:rsid w:val="170EF17B"/>
    <w:rsid w:val="170F7737"/>
    <w:rsid w:val="17102EA8"/>
    <w:rsid w:val="172BDE9D"/>
    <w:rsid w:val="172F8133"/>
    <w:rsid w:val="1734585D"/>
    <w:rsid w:val="17361F7A"/>
    <w:rsid w:val="173C6151"/>
    <w:rsid w:val="1746225C"/>
    <w:rsid w:val="17488104"/>
    <w:rsid w:val="174AFC67"/>
    <w:rsid w:val="17505B37"/>
    <w:rsid w:val="17531E40"/>
    <w:rsid w:val="17540D1A"/>
    <w:rsid w:val="1759FB6D"/>
    <w:rsid w:val="175DC70E"/>
    <w:rsid w:val="1762F864"/>
    <w:rsid w:val="17630DD4"/>
    <w:rsid w:val="176A40D5"/>
    <w:rsid w:val="17745FC5"/>
    <w:rsid w:val="1775779B"/>
    <w:rsid w:val="17784E53"/>
    <w:rsid w:val="177A495C"/>
    <w:rsid w:val="17803364"/>
    <w:rsid w:val="178111B9"/>
    <w:rsid w:val="178588C7"/>
    <w:rsid w:val="178D9F74"/>
    <w:rsid w:val="1791AD35"/>
    <w:rsid w:val="179C3ED6"/>
    <w:rsid w:val="17A3FA13"/>
    <w:rsid w:val="17A4C618"/>
    <w:rsid w:val="17A6B620"/>
    <w:rsid w:val="17AC2FFA"/>
    <w:rsid w:val="17B41BE7"/>
    <w:rsid w:val="17B6BFA8"/>
    <w:rsid w:val="17BD9E04"/>
    <w:rsid w:val="17C94CA9"/>
    <w:rsid w:val="17D003C6"/>
    <w:rsid w:val="17E6A850"/>
    <w:rsid w:val="17EA43C0"/>
    <w:rsid w:val="17EC5A12"/>
    <w:rsid w:val="17F843E2"/>
    <w:rsid w:val="17FAEAF0"/>
    <w:rsid w:val="17FE9B30"/>
    <w:rsid w:val="17FED2CE"/>
    <w:rsid w:val="1800704A"/>
    <w:rsid w:val="1801691B"/>
    <w:rsid w:val="1805A640"/>
    <w:rsid w:val="180BE58B"/>
    <w:rsid w:val="180D18B5"/>
    <w:rsid w:val="181168A7"/>
    <w:rsid w:val="18117760"/>
    <w:rsid w:val="18165BDA"/>
    <w:rsid w:val="181822AF"/>
    <w:rsid w:val="18271F96"/>
    <w:rsid w:val="1827237C"/>
    <w:rsid w:val="182862E9"/>
    <w:rsid w:val="18287E1E"/>
    <w:rsid w:val="1830F963"/>
    <w:rsid w:val="1839FE1A"/>
    <w:rsid w:val="1845A244"/>
    <w:rsid w:val="1849D2A0"/>
    <w:rsid w:val="184CBB47"/>
    <w:rsid w:val="184D7869"/>
    <w:rsid w:val="18509F68"/>
    <w:rsid w:val="185F4035"/>
    <w:rsid w:val="1860A158"/>
    <w:rsid w:val="187080D0"/>
    <w:rsid w:val="18773DD3"/>
    <w:rsid w:val="187866AA"/>
    <w:rsid w:val="18867AC1"/>
    <w:rsid w:val="18887400"/>
    <w:rsid w:val="188D222C"/>
    <w:rsid w:val="1892F965"/>
    <w:rsid w:val="1895343E"/>
    <w:rsid w:val="18955666"/>
    <w:rsid w:val="1899DA1A"/>
    <w:rsid w:val="18A6F3DC"/>
    <w:rsid w:val="18A9F88A"/>
    <w:rsid w:val="18AB0848"/>
    <w:rsid w:val="18ADCD14"/>
    <w:rsid w:val="18B1F46A"/>
    <w:rsid w:val="18B8548E"/>
    <w:rsid w:val="18C70465"/>
    <w:rsid w:val="18CC4728"/>
    <w:rsid w:val="18CCC738"/>
    <w:rsid w:val="18E4E0CC"/>
    <w:rsid w:val="18E9881E"/>
    <w:rsid w:val="18EADE52"/>
    <w:rsid w:val="18ED1AC2"/>
    <w:rsid w:val="18F16204"/>
    <w:rsid w:val="18F2C512"/>
    <w:rsid w:val="18F45C10"/>
    <w:rsid w:val="18F47DF8"/>
    <w:rsid w:val="18F94E8F"/>
    <w:rsid w:val="1902699B"/>
    <w:rsid w:val="190B7710"/>
    <w:rsid w:val="19135EEC"/>
    <w:rsid w:val="19153C61"/>
    <w:rsid w:val="1918B479"/>
    <w:rsid w:val="1918B764"/>
    <w:rsid w:val="191F6ED3"/>
    <w:rsid w:val="19227C2B"/>
    <w:rsid w:val="192B70BF"/>
    <w:rsid w:val="192E2518"/>
    <w:rsid w:val="192FADFB"/>
    <w:rsid w:val="19338047"/>
    <w:rsid w:val="193719B0"/>
    <w:rsid w:val="194BB781"/>
    <w:rsid w:val="194CB57E"/>
    <w:rsid w:val="1953EA1A"/>
    <w:rsid w:val="196274DE"/>
    <w:rsid w:val="1967217F"/>
    <w:rsid w:val="19698313"/>
    <w:rsid w:val="196D10D9"/>
    <w:rsid w:val="196E4538"/>
    <w:rsid w:val="196EDED9"/>
    <w:rsid w:val="196F772A"/>
    <w:rsid w:val="1974A379"/>
    <w:rsid w:val="1975082E"/>
    <w:rsid w:val="19803750"/>
    <w:rsid w:val="19832800"/>
    <w:rsid w:val="19916317"/>
    <w:rsid w:val="1999334A"/>
    <w:rsid w:val="19999BF2"/>
    <w:rsid w:val="199F43C8"/>
    <w:rsid w:val="19A2E1C0"/>
    <w:rsid w:val="19A3C897"/>
    <w:rsid w:val="19AA1182"/>
    <w:rsid w:val="19B37D1C"/>
    <w:rsid w:val="19B49D5A"/>
    <w:rsid w:val="19BA581D"/>
    <w:rsid w:val="19C21487"/>
    <w:rsid w:val="19C98BEB"/>
    <w:rsid w:val="19CE2394"/>
    <w:rsid w:val="19CE9C84"/>
    <w:rsid w:val="19D10D3B"/>
    <w:rsid w:val="19D1A5EE"/>
    <w:rsid w:val="19D45286"/>
    <w:rsid w:val="19D88678"/>
    <w:rsid w:val="19E25C8C"/>
    <w:rsid w:val="19E3E435"/>
    <w:rsid w:val="19E73A1E"/>
    <w:rsid w:val="19FC820B"/>
    <w:rsid w:val="19FE1A60"/>
    <w:rsid w:val="19FE5F89"/>
    <w:rsid w:val="19FFF85D"/>
    <w:rsid w:val="1A01AAE5"/>
    <w:rsid w:val="1A08529E"/>
    <w:rsid w:val="1A08EA85"/>
    <w:rsid w:val="1A0AEA78"/>
    <w:rsid w:val="1A0C888D"/>
    <w:rsid w:val="1A0DE8B1"/>
    <w:rsid w:val="1A12D72E"/>
    <w:rsid w:val="1A143B0B"/>
    <w:rsid w:val="1A16D6D7"/>
    <w:rsid w:val="1A17A3DE"/>
    <w:rsid w:val="1A185FD6"/>
    <w:rsid w:val="1A194E65"/>
    <w:rsid w:val="1A1E219E"/>
    <w:rsid w:val="1A214AB4"/>
    <w:rsid w:val="1A2979E0"/>
    <w:rsid w:val="1A2A91C2"/>
    <w:rsid w:val="1A2AF764"/>
    <w:rsid w:val="1A2EF3EC"/>
    <w:rsid w:val="1A316AA8"/>
    <w:rsid w:val="1A332C2D"/>
    <w:rsid w:val="1A34EB49"/>
    <w:rsid w:val="1A38B568"/>
    <w:rsid w:val="1A3E4F61"/>
    <w:rsid w:val="1A42619E"/>
    <w:rsid w:val="1A452A3B"/>
    <w:rsid w:val="1A543F21"/>
    <w:rsid w:val="1A560EE5"/>
    <w:rsid w:val="1A62653E"/>
    <w:rsid w:val="1A65B4C3"/>
    <w:rsid w:val="1A686738"/>
    <w:rsid w:val="1A69E613"/>
    <w:rsid w:val="1A6C2D41"/>
    <w:rsid w:val="1A6DDEF7"/>
    <w:rsid w:val="1A6FCAA0"/>
    <w:rsid w:val="1A7A7309"/>
    <w:rsid w:val="1A7B01FE"/>
    <w:rsid w:val="1A7DA014"/>
    <w:rsid w:val="1A7FF863"/>
    <w:rsid w:val="1A820B92"/>
    <w:rsid w:val="1A829494"/>
    <w:rsid w:val="1A86F8F0"/>
    <w:rsid w:val="1A893C63"/>
    <w:rsid w:val="1A8960AC"/>
    <w:rsid w:val="1A8C22EA"/>
    <w:rsid w:val="1A8D7878"/>
    <w:rsid w:val="1A90D8AF"/>
    <w:rsid w:val="1A942474"/>
    <w:rsid w:val="1A9C82E4"/>
    <w:rsid w:val="1A9CB292"/>
    <w:rsid w:val="1A9ECB92"/>
    <w:rsid w:val="1AA33A38"/>
    <w:rsid w:val="1AA7BE13"/>
    <w:rsid w:val="1AAD8E30"/>
    <w:rsid w:val="1AB712ED"/>
    <w:rsid w:val="1AC03127"/>
    <w:rsid w:val="1AC15324"/>
    <w:rsid w:val="1AC3CB6C"/>
    <w:rsid w:val="1ACA24C0"/>
    <w:rsid w:val="1ACC3BAD"/>
    <w:rsid w:val="1AD0E37A"/>
    <w:rsid w:val="1AD29021"/>
    <w:rsid w:val="1AE2C5E4"/>
    <w:rsid w:val="1AEC9933"/>
    <w:rsid w:val="1AEF0F79"/>
    <w:rsid w:val="1AF8624E"/>
    <w:rsid w:val="1AFB1BE8"/>
    <w:rsid w:val="1B045433"/>
    <w:rsid w:val="1B060ED2"/>
    <w:rsid w:val="1B07693D"/>
    <w:rsid w:val="1B081082"/>
    <w:rsid w:val="1B0B11B8"/>
    <w:rsid w:val="1B12ABF4"/>
    <w:rsid w:val="1B192DA9"/>
    <w:rsid w:val="1B1D8B2B"/>
    <w:rsid w:val="1B250647"/>
    <w:rsid w:val="1B2DBA42"/>
    <w:rsid w:val="1B36A3AA"/>
    <w:rsid w:val="1B370948"/>
    <w:rsid w:val="1B44146C"/>
    <w:rsid w:val="1B493814"/>
    <w:rsid w:val="1B51B7B6"/>
    <w:rsid w:val="1B520023"/>
    <w:rsid w:val="1B526CC4"/>
    <w:rsid w:val="1B558153"/>
    <w:rsid w:val="1B55E4AE"/>
    <w:rsid w:val="1B577226"/>
    <w:rsid w:val="1B57AABE"/>
    <w:rsid w:val="1B57CC2C"/>
    <w:rsid w:val="1B630723"/>
    <w:rsid w:val="1B6971BE"/>
    <w:rsid w:val="1B6B6B0A"/>
    <w:rsid w:val="1B6C4F99"/>
    <w:rsid w:val="1B712C79"/>
    <w:rsid w:val="1B729218"/>
    <w:rsid w:val="1B7B6017"/>
    <w:rsid w:val="1B90C353"/>
    <w:rsid w:val="1B971023"/>
    <w:rsid w:val="1BA0AC2C"/>
    <w:rsid w:val="1BA4BAE6"/>
    <w:rsid w:val="1BAAA269"/>
    <w:rsid w:val="1BAC03E9"/>
    <w:rsid w:val="1BAD6F5E"/>
    <w:rsid w:val="1BADA175"/>
    <w:rsid w:val="1BB33A81"/>
    <w:rsid w:val="1BB60869"/>
    <w:rsid w:val="1BBB911D"/>
    <w:rsid w:val="1BBEED61"/>
    <w:rsid w:val="1BCB82F6"/>
    <w:rsid w:val="1BCCE8F1"/>
    <w:rsid w:val="1BD01E0D"/>
    <w:rsid w:val="1BD5690E"/>
    <w:rsid w:val="1BDD7062"/>
    <w:rsid w:val="1BDE76EC"/>
    <w:rsid w:val="1BE6FD4D"/>
    <w:rsid w:val="1BE70ACC"/>
    <w:rsid w:val="1BE9DBF7"/>
    <w:rsid w:val="1BEA1AF5"/>
    <w:rsid w:val="1BEB3E52"/>
    <w:rsid w:val="1BECFB15"/>
    <w:rsid w:val="1C021204"/>
    <w:rsid w:val="1C0E995A"/>
    <w:rsid w:val="1C12C967"/>
    <w:rsid w:val="1C1860BC"/>
    <w:rsid w:val="1C1F6377"/>
    <w:rsid w:val="1C22445D"/>
    <w:rsid w:val="1C277AD6"/>
    <w:rsid w:val="1C2A286B"/>
    <w:rsid w:val="1C342100"/>
    <w:rsid w:val="1C38D50B"/>
    <w:rsid w:val="1C40D7E1"/>
    <w:rsid w:val="1C48DEBE"/>
    <w:rsid w:val="1C4B9761"/>
    <w:rsid w:val="1C563FD0"/>
    <w:rsid w:val="1C5CBDE3"/>
    <w:rsid w:val="1C5CC45E"/>
    <w:rsid w:val="1C5ECF1C"/>
    <w:rsid w:val="1C65D80F"/>
    <w:rsid w:val="1C6BA0D5"/>
    <w:rsid w:val="1C70710C"/>
    <w:rsid w:val="1C73C360"/>
    <w:rsid w:val="1C7B4990"/>
    <w:rsid w:val="1C7C12CF"/>
    <w:rsid w:val="1C7C7718"/>
    <w:rsid w:val="1C7CCE49"/>
    <w:rsid w:val="1C811778"/>
    <w:rsid w:val="1C84164E"/>
    <w:rsid w:val="1C8648EF"/>
    <w:rsid w:val="1C8A5432"/>
    <w:rsid w:val="1C8A62A3"/>
    <w:rsid w:val="1C9FE8BB"/>
    <w:rsid w:val="1CAD864E"/>
    <w:rsid w:val="1CB1955E"/>
    <w:rsid w:val="1CB25448"/>
    <w:rsid w:val="1CB7DB6A"/>
    <w:rsid w:val="1CBA7290"/>
    <w:rsid w:val="1CBB6191"/>
    <w:rsid w:val="1CC0363E"/>
    <w:rsid w:val="1CCBBF62"/>
    <w:rsid w:val="1CCE26E1"/>
    <w:rsid w:val="1CD10C2B"/>
    <w:rsid w:val="1CD8259F"/>
    <w:rsid w:val="1CDBF7C6"/>
    <w:rsid w:val="1CE75E0A"/>
    <w:rsid w:val="1CE9EC92"/>
    <w:rsid w:val="1CEA695B"/>
    <w:rsid w:val="1CF42671"/>
    <w:rsid w:val="1CF4CA5B"/>
    <w:rsid w:val="1CFADB7E"/>
    <w:rsid w:val="1CFDCD66"/>
    <w:rsid w:val="1CFEE11A"/>
    <w:rsid w:val="1D0F3302"/>
    <w:rsid w:val="1D191595"/>
    <w:rsid w:val="1D1AFAAF"/>
    <w:rsid w:val="1D1B3127"/>
    <w:rsid w:val="1D264DE5"/>
    <w:rsid w:val="1D2B7D5E"/>
    <w:rsid w:val="1D2ECE84"/>
    <w:rsid w:val="1D363C33"/>
    <w:rsid w:val="1D3857D5"/>
    <w:rsid w:val="1D3C79EF"/>
    <w:rsid w:val="1D4074EF"/>
    <w:rsid w:val="1D4F6E70"/>
    <w:rsid w:val="1D50D673"/>
    <w:rsid w:val="1D50D8C2"/>
    <w:rsid w:val="1D56D36E"/>
    <w:rsid w:val="1D5FC815"/>
    <w:rsid w:val="1D642091"/>
    <w:rsid w:val="1D66A5E7"/>
    <w:rsid w:val="1D6774C5"/>
    <w:rsid w:val="1D678498"/>
    <w:rsid w:val="1D6CA2BC"/>
    <w:rsid w:val="1D6DCA6B"/>
    <w:rsid w:val="1D6E336F"/>
    <w:rsid w:val="1D6F6FE8"/>
    <w:rsid w:val="1D7066CE"/>
    <w:rsid w:val="1D72841E"/>
    <w:rsid w:val="1D74D472"/>
    <w:rsid w:val="1D813E37"/>
    <w:rsid w:val="1D845661"/>
    <w:rsid w:val="1D8C11FF"/>
    <w:rsid w:val="1D94C8EC"/>
    <w:rsid w:val="1D9DFBF9"/>
    <w:rsid w:val="1DA35A2F"/>
    <w:rsid w:val="1DA5DAD4"/>
    <w:rsid w:val="1DAC1CD0"/>
    <w:rsid w:val="1DAD5E96"/>
    <w:rsid w:val="1DAD8890"/>
    <w:rsid w:val="1DAFA800"/>
    <w:rsid w:val="1DB9A441"/>
    <w:rsid w:val="1DC0D5F6"/>
    <w:rsid w:val="1DC17AFF"/>
    <w:rsid w:val="1DCDFA42"/>
    <w:rsid w:val="1DD9131A"/>
    <w:rsid w:val="1DEEB8B9"/>
    <w:rsid w:val="1DFDB5D9"/>
    <w:rsid w:val="1E0042A8"/>
    <w:rsid w:val="1E00E071"/>
    <w:rsid w:val="1E04934E"/>
    <w:rsid w:val="1E04EC36"/>
    <w:rsid w:val="1E07C0D4"/>
    <w:rsid w:val="1E0AF354"/>
    <w:rsid w:val="1E245069"/>
    <w:rsid w:val="1E27E9A6"/>
    <w:rsid w:val="1E2D63AA"/>
    <w:rsid w:val="1E374BBE"/>
    <w:rsid w:val="1E382215"/>
    <w:rsid w:val="1E3CCD11"/>
    <w:rsid w:val="1E4453B9"/>
    <w:rsid w:val="1E45EBE0"/>
    <w:rsid w:val="1E5443C9"/>
    <w:rsid w:val="1E59DB36"/>
    <w:rsid w:val="1E5BC155"/>
    <w:rsid w:val="1E5E2CAF"/>
    <w:rsid w:val="1E606526"/>
    <w:rsid w:val="1E637B90"/>
    <w:rsid w:val="1E6470BB"/>
    <w:rsid w:val="1E64FA85"/>
    <w:rsid w:val="1E6CBC37"/>
    <w:rsid w:val="1E6D6951"/>
    <w:rsid w:val="1E6EC369"/>
    <w:rsid w:val="1E70BAAA"/>
    <w:rsid w:val="1E753B47"/>
    <w:rsid w:val="1E769888"/>
    <w:rsid w:val="1E7A1393"/>
    <w:rsid w:val="1E808B2B"/>
    <w:rsid w:val="1E83A977"/>
    <w:rsid w:val="1E83EAC3"/>
    <w:rsid w:val="1E849C75"/>
    <w:rsid w:val="1E8F0FA6"/>
    <w:rsid w:val="1E8FE0F2"/>
    <w:rsid w:val="1E906602"/>
    <w:rsid w:val="1E923795"/>
    <w:rsid w:val="1E92D9C8"/>
    <w:rsid w:val="1E96D5DA"/>
    <w:rsid w:val="1E981CA8"/>
    <w:rsid w:val="1EA2F341"/>
    <w:rsid w:val="1EA3645E"/>
    <w:rsid w:val="1EABCA4A"/>
    <w:rsid w:val="1EB1502C"/>
    <w:rsid w:val="1EB41538"/>
    <w:rsid w:val="1EBA79F5"/>
    <w:rsid w:val="1EC19A02"/>
    <w:rsid w:val="1EC2DF26"/>
    <w:rsid w:val="1EC8255A"/>
    <w:rsid w:val="1ECAFD97"/>
    <w:rsid w:val="1ECB459F"/>
    <w:rsid w:val="1ED5DB01"/>
    <w:rsid w:val="1ED8BA0C"/>
    <w:rsid w:val="1EDA7548"/>
    <w:rsid w:val="1EDFCAD4"/>
    <w:rsid w:val="1EE00B22"/>
    <w:rsid w:val="1EE03076"/>
    <w:rsid w:val="1EE70854"/>
    <w:rsid w:val="1EED4347"/>
    <w:rsid w:val="1EEF3D8E"/>
    <w:rsid w:val="1EF18426"/>
    <w:rsid w:val="1EFF22E2"/>
    <w:rsid w:val="1F00F3CD"/>
    <w:rsid w:val="1F02B65A"/>
    <w:rsid w:val="1F0C712B"/>
    <w:rsid w:val="1F0DB61C"/>
    <w:rsid w:val="1F1231F7"/>
    <w:rsid w:val="1F17BC31"/>
    <w:rsid w:val="1F213A6A"/>
    <w:rsid w:val="1F2936E8"/>
    <w:rsid w:val="1F2C359A"/>
    <w:rsid w:val="1F356CD5"/>
    <w:rsid w:val="1F363CCB"/>
    <w:rsid w:val="1F40C236"/>
    <w:rsid w:val="1F412C27"/>
    <w:rsid w:val="1F463BB1"/>
    <w:rsid w:val="1F4FC6F1"/>
    <w:rsid w:val="1F582E25"/>
    <w:rsid w:val="1F5965EE"/>
    <w:rsid w:val="1F5D831C"/>
    <w:rsid w:val="1F63ECCC"/>
    <w:rsid w:val="1F67D195"/>
    <w:rsid w:val="1F67D603"/>
    <w:rsid w:val="1F6D501A"/>
    <w:rsid w:val="1F703079"/>
    <w:rsid w:val="1F78F6EE"/>
    <w:rsid w:val="1F81EC8E"/>
    <w:rsid w:val="1F849F1F"/>
    <w:rsid w:val="1F88E929"/>
    <w:rsid w:val="1F899B0B"/>
    <w:rsid w:val="1F93BD81"/>
    <w:rsid w:val="1F9AB891"/>
    <w:rsid w:val="1FA8A485"/>
    <w:rsid w:val="1FB015C3"/>
    <w:rsid w:val="1FB30208"/>
    <w:rsid w:val="1FB99EC9"/>
    <w:rsid w:val="1FBF4619"/>
    <w:rsid w:val="1FC07AF0"/>
    <w:rsid w:val="1FC3AF59"/>
    <w:rsid w:val="1FCB5641"/>
    <w:rsid w:val="1FCCEE75"/>
    <w:rsid w:val="1FCF6E54"/>
    <w:rsid w:val="1FD6A569"/>
    <w:rsid w:val="1FE38485"/>
    <w:rsid w:val="1FE963C6"/>
    <w:rsid w:val="1FEC0FC8"/>
    <w:rsid w:val="1FF31464"/>
    <w:rsid w:val="1FF5E288"/>
    <w:rsid w:val="1FFDC504"/>
    <w:rsid w:val="200497A7"/>
    <w:rsid w:val="20125752"/>
    <w:rsid w:val="2014D960"/>
    <w:rsid w:val="2018A0F1"/>
    <w:rsid w:val="20191726"/>
    <w:rsid w:val="201B613E"/>
    <w:rsid w:val="20224468"/>
    <w:rsid w:val="202D0BE5"/>
    <w:rsid w:val="2038AC8A"/>
    <w:rsid w:val="2039688D"/>
    <w:rsid w:val="2053A2AD"/>
    <w:rsid w:val="20557500"/>
    <w:rsid w:val="2058C606"/>
    <w:rsid w:val="205A67C2"/>
    <w:rsid w:val="205EED94"/>
    <w:rsid w:val="2060178F"/>
    <w:rsid w:val="206262B4"/>
    <w:rsid w:val="206C01E1"/>
    <w:rsid w:val="206D2936"/>
    <w:rsid w:val="2070805B"/>
    <w:rsid w:val="2073D9E4"/>
    <w:rsid w:val="207BF2FB"/>
    <w:rsid w:val="207EB5FA"/>
    <w:rsid w:val="207EE329"/>
    <w:rsid w:val="20801D90"/>
    <w:rsid w:val="2083EA37"/>
    <w:rsid w:val="2084B08A"/>
    <w:rsid w:val="208ABF29"/>
    <w:rsid w:val="208B3F57"/>
    <w:rsid w:val="208BB27E"/>
    <w:rsid w:val="208F1EE3"/>
    <w:rsid w:val="209A10F5"/>
    <w:rsid w:val="20A0F46F"/>
    <w:rsid w:val="20C03AFE"/>
    <w:rsid w:val="20C24062"/>
    <w:rsid w:val="20C322BF"/>
    <w:rsid w:val="20C566CE"/>
    <w:rsid w:val="20D02D32"/>
    <w:rsid w:val="20D4B048"/>
    <w:rsid w:val="20D573FD"/>
    <w:rsid w:val="20D9D2C6"/>
    <w:rsid w:val="20DC1466"/>
    <w:rsid w:val="20E7C9C7"/>
    <w:rsid w:val="20EA736F"/>
    <w:rsid w:val="20EDC277"/>
    <w:rsid w:val="20F49A03"/>
    <w:rsid w:val="210C7E45"/>
    <w:rsid w:val="210F0587"/>
    <w:rsid w:val="2112C0D4"/>
    <w:rsid w:val="211A3D0B"/>
    <w:rsid w:val="2127D764"/>
    <w:rsid w:val="212B3C66"/>
    <w:rsid w:val="21354192"/>
    <w:rsid w:val="21373D7D"/>
    <w:rsid w:val="213A13B8"/>
    <w:rsid w:val="213CD68C"/>
    <w:rsid w:val="213E6579"/>
    <w:rsid w:val="21405909"/>
    <w:rsid w:val="214853A2"/>
    <w:rsid w:val="214F0EFF"/>
    <w:rsid w:val="215E73D8"/>
    <w:rsid w:val="21605349"/>
    <w:rsid w:val="21680091"/>
    <w:rsid w:val="2168E5C5"/>
    <w:rsid w:val="21747FE4"/>
    <w:rsid w:val="217EAF33"/>
    <w:rsid w:val="21809833"/>
    <w:rsid w:val="2184973F"/>
    <w:rsid w:val="2186317A"/>
    <w:rsid w:val="2188B4B0"/>
    <w:rsid w:val="218C6E4A"/>
    <w:rsid w:val="218CEE87"/>
    <w:rsid w:val="218D11BE"/>
    <w:rsid w:val="21988A03"/>
    <w:rsid w:val="2199AA8D"/>
    <w:rsid w:val="21A09F1C"/>
    <w:rsid w:val="21A3BA51"/>
    <w:rsid w:val="21A3BBB4"/>
    <w:rsid w:val="21AE6433"/>
    <w:rsid w:val="21AF3677"/>
    <w:rsid w:val="21BC21B7"/>
    <w:rsid w:val="21BCC8F9"/>
    <w:rsid w:val="21BCFCC4"/>
    <w:rsid w:val="21BD0C44"/>
    <w:rsid w:val="21C0A7B4"/>
    <w:rsid w:val="21C1BEF5"/>
    <w:rsid w:val="21C1D799"/>
    <w:rsid w:val="21C26285"/>
    <w:rsid w:val="21C2B215"/>
    <w:rsid w:val="21CD7DCF"/>
    <w:rsid w:val="21DA804F"/>
    <w:rsid w:val="21DEBD5C"/>
    <w:rsid w:val="21DF1275"/>
    <w:rsid w:val="21DFF691"/>
    <w:rsid w:val="21E77897"/>
    <w:rsid w:val="21EC72D8"/>
    <w:rsid w:val="21EDCED4"/>
    <w:rsid w:val="21EFFF22"/>
    <w:rsid w:val="21F009A4"/>
    <w:rsid w:val="21F29FA7"/>
    <w:rsid w:val="2203BB7A"/>
    <w:rsid w:val="220FE3B2"/>
    <w:rsid w:val="22108C53"/>
    <w:rsid w:val="2212F30D"/>
    <w:rsid w:val="221EC6DA"/>
    <w:rsid w:val="2222239A"/>
    <w:rsid w:val="2222EE82"/>
    <w:rsid w:val="22299391"/>
    <w:rsid w:val="222D6FC6"/>
    <w:rsid w:val="2234C85F"/>
    <w:rsid w:val="22366750"/>
    <w:rsid w:val="223BD52A"/>
    <w:rsid w:val="223CCE09"/>
    <w:rsid w:val="22478839"/>
    <w:rsid w:val="22534BBC"/>
    <w:rsid w:val="225C2271"/>
    <w:rsid w:val="2262FFFA"/>
    <w:rsid w:val="22752AC7"/>
    <w:rsid w:val="2277F804"/>
    <w:rsid w:val="22795ABB"/>
    <w:rsid w:val="227A13A2"/>
    <w:rsid w:val="2280EF35"/>
    <w:rsid w:val="22979ED4"/>
    <w:rsid w:val="22A2B6BF"/>
    <w:rsid w:val="22A555E0"/>
    <w:rsid w:val="22B2F0F8"/>
    <w:rsid w:val="22B9724D"/>
    <w:rsid w:val="22C5860C"/>
    <w:rsid w:val="22C9DBA5"/>
    <w:rsid w:val="22D13EDF"/>
    <w:rsid w:val="22D71AC3"/>
    <w:rsid w:val="22E073A7"/>
    <w:rsid w:val="22E3695B"/>
    <w:rsid w:val="22E64E60"/>
    <w:rsid w:val="22F4F953"/>
    <w:rsid w:val="22F883A9"/>
    <w:rsid w:val="22FC9252"/>
    <w:rsid w:val="23047A77"/>
    <w:rsid w:val="230B91AE"/>
    <w:rsid w:val="230EB9EF"/>
    <w:rsid w:val="23113B49"/>
    <w:rsid w:val="23137E1D"/>
    <w:rsid w:val="2323560E"/>
    <w:rsid w:val="232D7853"/>
    <w:rsid w:val="2330C7CB"/>
    <w:rsid w:val="2332DCB5"/>
    <w:rsid w:val="2333B718"/>
    <w:rsid w:val="2335C177"/>
    <w:rsid w:val="234599C3"/>
    <w:rsid w:val="2347D361"/>
    <w:rsid w:val="234C27F0"/>
    <w:rsid w:val="235D210E"/>
    <w:rsid w:val="23669B8C"/>
    <w:rsid w:val="236A0E77"/>
    <w:rsid w:val="237947B1"/>
    <w:rsid w:val="2379536B"/>
    <w:rsid w:val="237B4E48"/>
    <w:rsid w:val="237EAFDC"/>
    <w:rsid w:val="2380F67C"/>
    <w:rsid w:val="23829DEE"/>
    <w:rsid w:val="2384F11B"/>
    <w:rsid w:val="239147E8"/>
    <w:rsid w:val="239BE957"/>
    <w:rsid w:val="23A0D8C1"/>
    <w:rsid w:val="23A1D787"/>
    <w:rsid w:val="23ACCAB3"/>
    <w:rsid w:val="23AEA0E4"/>
    <w:rsid w:val="23B342A1"/>
    <w:rsid w:val="23B7684C"/>
    <w:rsid w:val="23B791FA"/>
    <w:rsid w:val="23CC5920"/>
    <w:rsid w:val="23CE404B"/>
    <w:rsid w:val="23CFC8EB"/>
    <w:rsid w:val="23D9169B"/>
    <w:rsid w:val="23D9A439"/>
    <w:rsid w:val="23DC9607"/>
    <w:rsid w:val="23E8CA61"/>
    <w:rsid w:val="23EB5EDD"/>
    <w:rsid w:val="23ED8103"/>
    <w:rsid w:val="23EDEECC"/>
    <w:rsid w:val="23F426DF"/>
    <w:rsid w:val="24082E10"/>
    <w:rsid w:val="2411FDCE"/>
    <w:rsid w:val="241E07D3"/>
    <w:rsid w:val="2437B593"/>
    <w:rsid w:val="243F6220"/>
    <w:rsid w:val="244149A9"/>
    <w:rsid w:val="24460D29"/>
    <w:rsid w:val="244C4F9B"/>
    <w:rsid w:val="2456D1C9"/>
    <w:rsid w:val="24578FAA"/>
    <w:rsid w:val="24687871"/>
    <w:rsid w:val="2469172B"/>
    <w:rsid w:val="246E0380"/>
    <w:rsid w:val="246E392A"/>
    <w:rsid w:val="247AE175"/>
    <w:rsid w:val="24806D6C"/>
    <w:rsid w:val="24843D8B"/>
    <w:rsid w:val="2486E10C"/>
    <w:rsid w:val="2487FBB5"/>
    <w:rsid w:val="24909D60"/>
    <w:rsid w:val="2491EE2A"/>
    <w:rsid w:val="24A7FDF0"/>
    <w:rsid w:val="24B3C539"/>
    <w:rsid w:val="24B654BF"/>
    <w:rsid w:val="24BB1FD6"/>
    <w:rsid w:val="24BBFEE5"/>
    <w:rsid w:val="24C8C56C"/>
    <w:rsid w:val="24D2A1DE"/>
    <w:rsid w:val="24D7C68F"/>
    <w:rsid w:val="24DD5616"/>
    <w:rsid w:val="24E5861E"/>
    <w:rsid w:val="24E637DE"/>
    <w:rsid w:val="24E75EA2"/>
    <w:rsid w:val="24E7BE8B"/>
    <w:rsid w:val="24EFBAB3"/>
    <w:rsid w:val="24F1E824"/>
    <w:rsid w:val="24FAFA3C"/>
    <w:rsid w:val="24FF3157"/>
    <w:rsid w:val="2502FD20"/>
    <w:rsid w:val="250ABCA1"/>
    <w:rsid w:val="250BE6C8"/>
    <w:rsid w:val="25119261"/>
    <w:rsid w:val="2514E523"/>
    <w:rsid w:val="25152599"/>
    <w:rsid w:val="251ACD4D"/>
    <w:rsid w:val="251AD749"/>
    <w:rsid w:val="251D3BE7"/>
    <w:rsid w:val="25211AAF"/>
    <w:rsid w:val="2521C7A1"/>
    <w:rsid w:val="25256706"/>
    <w:rsid w:val="2526132C"/>
    <w:rsid w:val="2527D14D"/>
    <w:rsid w:val="2529323B"/>
    <w:rsid w:val="254290B7"/>
    <w:rsid w:val="2543677C"/>
    <w:rsid w:val="2544DC42"/>
    <w:rsid w:val="2549124A"/>
    <w:rsid w:val="25493816"/>
    <w:rsid w:val="254EA8EE"/>
    <w:rsid w:val="2564F91E"/>
    <w:rsid w:val="2569ADA2"/>
    <w:rsid w:val="2583C360"/>
    <w:rsid w:val="258499B6"/>
    <w:rsid w:val="2586CF6B"/>
    <w:rsid w:val="258741D9"/>
    <w:rsid w:val="258882B0"/>
    <w:rsid w:val="258DCF4E"/>
    <w:rsid w:val="25911440"/>
    <w:rsid w:val="2594135D"/>
    <w:rsid w:val="2594FFAC"/>
    <w:rsid w:val="25A00A10"/>
    <w:rsid w:val="25A7B5F4"/>
    <w:rsid w:val="25B0EC73"/>
    <w:rsid w:val="25B5D58F"/>
    <w:rsid w:val="25B5DC62"/>
    <w:rsid w:val="25B824CF"/>
    <w:rsid w:val="25BE362A"/>
    <w:rsid w:val="25C8433D"/>
    <w:rsid w:val="25D945FD"/>
    <w:rsid w:val="25E170D3"/>
    <w:rsid w:val="25F2C9B2"/>
    <w:rsid w:val="25FAD5E6"/>
    <w:rsid w:val="25FC5497"/>
    <w:rsid w:val="260138BC"/>
    <w:rsid w:val="26059FD8"/>
    <w:rsid w:val="2608F616"/>
    <w:rsid w:val="26099476"/>
    <w:rsid w:val="260AEFE6"/>
    <w:rsid w:val="260D7F13"/>
    <w:rsid w:val="26125158"/>
    <w:rsid w:val="261A7748"/>
    <w:rsid w:val="261CEA27"/>
    <w:rsid w:val="261FF2BF"/>
    <w:rsid w:val="2626B482"/>
    <w:rsid w:val="262AEEF0"/>
    <w:rsid w:val="262DA6B6"/>
    <w:rsid w:val="2632DD43"/>
    <w:rsid w:val="2633A2A7"/>
    <w:rsid w:val="264738F3"/>
    <w:rsid w:val="264E7CA0"/>
    <w:rsid w:val="26511A66"/>
    <w:rsid w:val="2656FD13"/>
    <w:rsid w:val="26698CF6"/>
    <w:rsid w:val="2669ABDB"/>
    <w:rsid w:val="266C0B19"/>
    <w:rsid w:val="26701536"/>
    <w:rsid w:val="267B063D"/>
    <w:rsid w:val="267F57F1"/>
    <w:rsid w:val="26866BD9"/>
    <w:rsid w:val="26926264"/>
    <w:rsid w:val="269677AC"/>
    <w:rsid w:val="26977A26"/>
    <w:rsid w:val="2698CD5A"/>
    <w:rsid w:val="269A2D72"/>
    <w:rsid w:val="26A1418F"/>
    <w:rsid w:val="26A5DBFE"/>
    <w:rsid w:val="26AAA3EB"/>
    <w:rsid w:val="26ABAB55"/>
    <w:rsid w:val="26AFC29F"/>
    <w:rsid w:val="26B26FCE"/>
    <w:rsid w:val="26B2DD76"/>
    <w:rsid w:val="26B2F02E"/>
    <w:rsid w:val="26B38608"/>
    <w:rsid w:val="26B6C0E3"/>
    <w:rsid w:val="26BA5C8F"/>
    <w:rsid w:val="26BD0AE3"/>
    <w:rsid w:val="26BE0F79"/>
    <w:rsid w:val="26C1AB54"/>
    <w:rsid w:val="26C6E621"/>
    <w:rsid w:val="26D4FD4B"/>
    <w:rsid w:val="26D5B6FC"/>
    <w:rsid w:val="26D6F387"/>
    <w:rsid w:val="26E202AE"/>
    <w:rsid w:val="26E403CA"/>
    <w:rsid w:val="26E7680B"/>
    <w:rsid w:val="26F33DFA"/>
    <w:rsid w:val="26F5EFFB"/>
    <w:rsid w:val="26F7C06F"/>
    <w:rsid w:val="26FDC1DE"/>
    <w:rsid w:val="27084570"/>
    <w:rsid w:val="270C7BBF"/>
    <w:rsid w:val="270D7654"/>
    <w:rsid w:val="271269DF"/>
    <w:rsid w:val="27220401"/>
    <w:rsid w:val="2722D546"/>
    <w:rsid w:val="272A336D"/>
    <w:rsid w:val="2736BC0B"/>
    <w:rsid w:val="274240A3"/>
    <w:rsid w:val="27429A09"/>
    <w:rsid w:val="274B789E"/>
    <w:rsid w:val="2753B544"/>
    <w:rsid w:val="27542952"/>
    <w:rsid w:val="275D071C"/>
    <w:rsid w:val="2762BF5B"/>
    <w:rsid w:val="2764EE59"/>
    <w:rsid w:val="27666F9B"/>
    <w:rsid w:val="277691CB"/>
    <w:rsid w:val="277887AB"/>
    <w:rsid w:val="277AD486"/>
    <w:rsid w:val="27818815"/>
    <w:rsid w:val="27827F7C"/>
    <w:rsid w:val="27828C40"/>
    <w:rsid w:val="2784C7B3"/>
    <w:rsid w:val="2790311D"/>
    <w:rsid w:val="27988B94"/>
    <w:rsid w:val="27A82C04"/>
    <w:rsid w:val="27B0D63B"/>
    <w:rsid w:val="27BB2BC7"/>
    <w:rsid w:val="27C10FD5"/>
    <w:rsid w:val="27C2D5FB"/>
    <w:rsid w:val="27C72778"/>
    <w:rsid w:val="27C7CD2F"/>
    <w:rsid w:val="27CA2FBF"/>
    <w:rsid w:val="27CAFEBE"/>
    <w:rsid w:val="27CC598F"/>
    <w:rsid w:val="27D445A6"/>
    <w:rsid w:val="27D4B852"/>
    <w:rsid w:val="27D607C6"/>
    <w:rsid w:val="27DA4A6E"/>
    <w:rsid w:val="27F083A2"/>
    <w:rsid w:val="27F37357"/>
    <w:rsid w:val="28045615"/>
    <w:rsid w:val="280B0009"/>
    <w:rsid w:val="280E1906"/>
    <w:rsid w:val="28104C7F"/>
    <w:rsid w:val="281742B0"/>
    <w:rsid w:val="281809D2"/>
    <w:rsid w:val="281A1E58"/>
    <w:rsid w:val="282ECC69"/>
    <w:rsid w:val="28326A91"/>
    <w:rsid w:val="28353A54"/>
    <w:rsid w:val="283671B9"/>
    <w:rsid w:val="2838C91E"/>
    <w:rsid w:val="283EC055"/>
    <w:rsid w:val="283ED7FC"/>
    <w:rsid w:val="284168EC"/>
    <w:rsid w:val="28456E59"/>
    <w:rsid w:val="28459A96"/>
    <w:rsid w:val="2868830C"/>
    <w:rsid w:val="28729D95"/>
    <w:rsid w:val="287AD61C"/>
    <w:rsid w:val="287D9A91"/>
    <w:rsid w:val="2882933D"/>
    <w:rsid w:val="28840982"/>
    <w:rsid w:val="28860F40"/>
    <w:rsid w:val="2892D48C"/>
    <w:rsid w:val="289A177C"/>
    <w:rsid w:val="28A91F3E"/>
    <w:rsid w:val="28AB93B5"/>
    <w:rsid w:val="28ABEF93"/>
    <w:rsid w:val="28AFB80F"/>
    <w:rsid w:val="28B056EE"/>
    <w:rsid w:val="28B0C2FC"/>
    <w:rsid w:val="28B78A20"/>
    <w:rsid w:val="28B8C9C5"/>
    <w:rsid w:val="28B99A8C"/>
    <w:rsid w:val="28BC4946"/>
    <w:rsid w:val="28BD99CC"/>
    <w:rsid w:val="28BE25B2"/>
    <w:rsid w:val="28C19C63"/>
    <w:rsid w:val="28D40E7E"/>
    <w:rsid w:val="28D9CC2B"/>
    <w:rsid w:val="28DCDE70"/>
    <w:rsid w:val="28E096F8"/>
    <w:rsid w:val="28E24A51"/>
    <w:rsid w:val="28F1BA25"/>
    <w:rsid w:val="29017E09"/>
    <w:rsid w:val="290762E0"/>
    <w:rsid w:val="2907B1B7"/>
    <w:rsid w:val="290E5C95"/>
    <w:rsid w:val="29101469"/>
    <w:rsid w:val="29231DB5"/>
    <w:rsid w:val="29293900"/>
    <w:rsid w:val="292E8ED3"/>
    <w:rsid w:val="2934A20E"/>
    <w:rsid w:val="294252E9"/>
    <w:rsid w:val="294A9BF7"/>
    <w:rsid w:val="295FBB79"/>
    <w:rsid w:val="29617691"/>
    <w:rsid w:val="2963E5DC"/>
    <w:rsid w:val="29676F5E"/>
    <w:rsid w:val="29681389"/>
    <w:rsid w:val="297460E8"/>
    <w:rsid w:val="29752421"/>
    <w:rsid w:val="2976997D"/>
    <w:rsid w:val="2977FF4D"/>
    <w:rsid w:val="297A26DA"/>
    <w:rsid w:val="297BB0B2"/>
    <w:rsid w:val="297FD333"/>
    <w:rsid w:val="2984D36E"/>
    <w:rsid w:val="2992C373"/>
    <w:rsid w:val="2999663E"/>
    <w:rsid w:val="29A773E0"/>
    <w:rsid w:val="29B3C5D3"/>
    <w:rsid w:val="29C2AAA0"/>
    <w:rsid w:val="29C3FE0C"/>
    <w:rsid w:val="29C5BEE1"/>
    <w:rsid w:val="29C663F7"/>
    <w:rsid w:val="29CE7C9B"/>
    <w:rsid w:val="29D04029"/>
    <w:rsid w:val="29D5F865"/>
    <w:rsid w:val="29F1FA75"/>
    <w:rsid w:val="29FDB03E"/>
    <w:rsid w:val="2A028273"/>
    <w:rsid w:val="2A0A78F5"/>
    <w:rsid w:val="2A0E3A7D"/>
    <w:rsid w:val="2A0E3CBF"/>
    <w:rsid w:val="2A15CF8F"/>
    <w:rsid w:val="2A1ADD6D"/>
    <w:rsid w:val="2A3F09D3"/>
    <w:rsid w:val="2A3F7E15"/>
    <w:rsid w:val="2A42B07F"/>
    <w:rsid w:val="2A4BF5EC"/>
    <w:rsid w:val="2A536160"/>
    <w:rsid w:val="2A6044B5"/>
    <w:rsid w:val="2A623D4C"/>
    <w:rsid w:val="2A62FA38"/>
    <w:rsid w:val="2A6332E2"/>
    <w:rsid w:val="2A68E77E"/>
    <w:rsid w:val="2A6EE229"/>
    <w:rsid w:val="2A714823"/>
    <w:rsid w:val="2A783B15"/>
    <w:rsid w:val="2A7A4A5E"/>
    <w:rsid w:val="2A7C024A"/>
    <w:rsid w:val="2A7EF1F4"/>
    <w:rsid w:val="2A876668"/>
    <w:rsid w:val="2A8CE2F1"/>
    <w:rsid w:val="2A8F2D27"/>
    <w:rsid w:val="2A94BC37"/>
    <w:rsid w:val="2AA85CB2"/>
    <w:rsid w:val="2AAA9AC9"/>
    <w:rsid w:val="2AB320A5"/>
    <w:rsid w:val="2AB7C29F"/>
    <w:rsid w:val="2ABEEE16"/>
    <w:rsid w:val="2AC43A55"/>
    <w:rsid w:val="2ACF3501"/>
    <w:rsid w:val="2AD01CDF"/>
    <w:rsid w:val="2AD10866"/>
    <w:rsid w:val="2AF0D678"/>
    <w:rsid w:val="2AFAA4C1"/>
    <w:rsid w:val="2B00A315"/>
    <w:rsid w:val="2B012721"/>
    <w:rsid w:val="2B07EFA2"/>
    <w:rsid w:val="2B0A565E"/>
    <w:rsid w:val="2B0D0B5F"/>
    <w:rsid w:val="2B0E6D8F"/>
    <w:rsid w:val="2B1595B2"/>
    <w:rsid w:val="2B1BD8AD"/>
    <w:rsid w:val="2B211C00"/>
    <w:rsid w:val="2B236B29"/>
    <w:rsid w:val="2B283E54"/>
    <w:rsid w:val="2B2934F6"/>
    <w:rsid w:val="2B2A615A"/>
    <w:rsid w:val="2B3084BA"/>
    <w:rsid w:val="2B32A7A5"/>
    <w:rsid w:val="2B37F657"/>
    <w:rsid w:val="2B39491E"/>
    <w:rsid w:val="2B4327CA"/>
    <w:rsid w:val="2B46BF17"/>
    <w:rsid w:val="2B504865"/>
    <w:rsid w:val="2B55C0AD"/>
    <w:rsid w:val="2B55FB35"/>
    <w:rsid w:val="2B5957C0"/>
    <w:rsid w:val="2B59600F"/>
    <w:rsid w:val="2B5CAE94"/>
    <w:rsid w:val="2B5EFF88"/>
    <w:rsid w:val="2B5FC6F4"/>
    <w:rsid w:val="2B73837C"/>
    <w:rsid w:val="2B7E82F2"/>
    <w:rsid w:val="2B8549C4"/>
    <w:rsid w:val="2B876947"/>
    <w:rsid w:val="2B8853D8"/>
    <w:rsid w:val="2B8CD9BD"/>
    <w:rsid w:val="2B9400A6"/>
    <w:rsid w:val="2B944365"/>
    <w:rsid w:val="2B99F34E"/>
    <w:rsid w:val="2BA31B92"/>
    <w:rsid w:val="2BAE43BE"/>
    <w:rsid w:val="2BB5280F"/>
    <w:rsid w:val="2BB8701C"/>
    <w:rsid w:val="2BBD83D2"/>
    <w:rsid w:val="2BC13C1D"/>
    <w:rsid w:val="2BC187A1"/>
    <w:rsid w:val="2BC9602B"/>
    <w:rsid w:val="2BCEFA9D"/>
    <w:rsid w:val="2BD2D097"/>
    <w:rsid w:val="2BD63D12"/>
    <w:rsid w:val="2BD88AC2"/>
    <w:rsid w:val="2BD91BC8"/>
    <w:rsid w:val="2BDF63A9"/>
    <w:rsid w:val="2BE718C0"/>
    <w:rsid w:val="2BED77D9"/>
    <w:rsid w:val="2BEF38BB"/>
    <w:rsid w:val="2BEF476D"/>
    <w:rsid w:val="2BFD0C9D"/>
    <w:rsid w:val="2C02FF82"/>
    <w:rsid w:val="2C03A309"/>
    <w:rsid w:val="2C06B066"/>
    <w:rsid w:val="2C0A2FE0"/>
    <w:rsid w:val="2C0A5631"/>
    <w:rsid w:val="2C0EECEE"/>
    <w:rsid w:val="2C105C55"/>
    <w:rsid w:val="2C17B991"/>
    <w:rsid w:val="2C1ADC1C"/>
    <w:rsid w:val="2C1D42D5"/>
    <w:rsid w:val="2C270FF0"/>
    <w:rsid w:val="2C2D5CFD"/>
    <w:rsid w:val="2C30561D"/>
    <w:rsid w:val="2C38CB0E"/>
    <w:rsid w:val="2C3F52FA"/>
    <w:rsid w:val="2C3FB12E"/>
    <w:rsid w:val="2C4350F2"/>
    <w:rsid w:val="2C46E6DE"/>
    <w:rsid w:val="2C49732A"/>
    <w:rsid w:val="2C4E9F14"/>
    <w:rsid w:val="2C503419"/>
    <w:rsid w:val="2C598185"/>
    <w:rsid w:val="2C5D8AEB"/>
    <w:rsid w:val="2C5DBB6B"/>
    <w:rsid w:val="2C70B148"/>
    <w:rsid w:val="2C7F6EA4"/>
    <w:rsid w:val="2C7F8FC5"/>
    <w:rsid w:val="2C9B6B3F"/>
    <w:rsid w:val="2C9BF3B2"/>
    <w:rsid w:val="2CA75375"/>
    <w:rsid w:val="2CAF4EA7"/>
    <w:rsid w:val="2CB670B4"/>
    <w:rsid w:val="2CC063FF"/>
    <w:rsid w:val="2CC373BC"/>
    <w:rsid w:val="2CCA4FD5"/>
    <w:rsid w:val="2CE5A966"/>
    <w:rsid w:val="2CE87B05"/>
    <w:rsid w:val="2CE91D99"/>
    <w:rsid w:val="2CEFC8CC"/>
    <w:rsid w:val="2CF38F3F"/>
    <w:rsid w:val="2CF54DB5"/>
    <w:rsid w:val="2CFAF57A"/>
    <w:rsid w:val="2CFCCF8B"/>
    <w:rsid w:val="2CFD5F87"/>
    <w:rsid w:val="2D05E5B0"/>
    <w:rsid w:val="2D0B34E4"/>
    <w:rsid w:val="2D0DEA0F"/>
    <w:rsid w:val="2D0EEE04"/>
    <w:rsid w:val="2D111B65"/>
    <w:rsid w:val="2D24CF5A"/>
    <w:rsid w:val="2D261A30"/>
    <w:rsid w:val="2D2DF043"/>
    <w:rsid w:val="2D32B7C1"/>
    <w:rsid w:val="2D400473"/>
    <w:rsid w:val="2D413606"/>
    <w:rsid w:val="2D536A8B"/>
    <w:rsid w:val="2D5DEBD6"/>
    <w:rsid w:val="2D5FBE53"/>
    <w:rsid w:val="2D5FE124"/>
    <w:rsid w:val="2D618B29"/>
    <w:rsid w:val="2D61CE44"/>
    <w:rsid w:val="2D697C8E"/>
    <w:rsid w:val="2D71FBAB"/>
    <w:rsid w:val="2D72D7AF"/>
    <w:rsid w:val="2D7A7AC8"/>
    <w:rsid w:val="2D7B5866"/>
    <w:rsid w:val="2D7BA997"/>
    <w:rsid w:val="2D7C5A34"/>
    <w:rsid w:val="2D7F950B"/>
    <w:rsid w:val="2D7FE357"/>
    <w:rsid w:val="2D86B71B"/>
    <w:rsid w:val="2D91555D"/>
    <w:rsid w:val="2D9DB4D3"/>
    <w:rsid w:val="2DA001F0"/>
    <w:rsid w:val="2DA2C223"/>
    <w:rsid w:val="2DA913AC"/>
    <w:rsid w:val="2DA9B40B"/>
    <w:rsid w:val="2DAB7C61"/>
    <w:rsid w:val="2DB66140"/>
    <w:rsid w:val="2DC0082C"/>
    <w:rsid w:val="2DC20B5B"/>
    <w:rsid w:val="2DC237E1"/>
    <w:rsid w:val="2DC2FD84"/>
    <w:rsid w:val="2DC3B2B7"/>
    <w:rsid w:val="2DC718A7"/>
    <w:rsid w:val="2DC8D371"/>
    <w:rsid w:val="2DD73390"/>
    <w:rsid w:val="2DDA8F7A"/>
    <w:rsid w:val="2DE3385B"/>
    <w:rsid w:val="2DF8E5F2"/>
    <w:rsid w:val="2DFB6324"/>
    <w:rsid w:val="2E00833E"/>
    <w:rsid w:val="2E04C955"/>
    <w:rsid w:val="2E0B82CC"/>
    <w:rsid w:val="2E18F6F4"/>
    <w:rsid w:val="2E304505"/>
    <w:rsid w:val="2E3A1DA7"/>
    <w:rsid w:val="2E3D208F"/>
    <w:rsid w:val="2E3F5123"/>
    <w:rsid w:val="2E406EDF"/>
    <w:rsid w:val="2E40A21D"/>
    <w:rsid w:val="2E430C9D"/>
    <w:rsid w:val="2E4EA5EE"/>
    <w:rsid w:val="2E5B3680"/>
    <w:rsid w:val="2E632C6C"/>
    <w:rsid w:val="2E6ACC96"/>
    <w:rsid w:val="2E6CA9E8"/>
    <w:rsid w:val="2E6CCB09"/>
    <w:rsid w:val="2E70F1A9"/>
    <w:rsid w:val="2E78E14A"/>
    <w:rsid w:val="2E7D57CD"/>
    <w:rsid w:val="2E7DD45E"/>
    <w:rsid w:val="2E94C9E5"/>
    <w:rsid w:val="2EA3FE36"/>
    <w:rsid w:val="2EA5E976"/>
    <w:rsid w:val="2EA8E966"/>
    <w:rsid w:val="2EB07B02"/>
    <w:rsid w:val="2EB7877F"/>
    <w:rsid w:val="2EBB5D70"/>
    <w:rsid w:val="2EBF739E"/>
    <w:rsid w:val="2EC2E90D"/>
    <w:rsid w:val="2ECB9B5F"/>
    <w:rsid w:val="2ECD447E"/>
    <w:rsid w:val="2ED0E6C2"/>
    <w:rsid w:val="2ED32951"/>
    <w:rsid w:val="2EDD595C"/>
    <w:rsid w:val="2EE781D9"/>
    <w:rsid w:val="2EE9CFC2"/>
    <w:rsid w:val="2EF75F0D"/>
    <w:rsid w:val="2EFCBB9E"/>
    <w:rsid w:val="2F042971"/>
    <w:rsid w:val="2F047026"/>
    <w:rsid w:val="2F115752"/>
    <w:rsid w:val="2F16CCF6"/>
    <w:rsid w:val="2F1C450F"/>
    <w:rsid w:val="2F1E040B"/>
    <w:rsid w:val="2F26F191"/>
    <w:rsid w:val="2F29A855"/>
    <w:rsid w:val="2F2D9774"/>
    <w:rsid w:val="2F410835"/>
    <w:rsid w:val="2F45B5D0"/>
    <w:rsid w:val="2F4D14CA"/>
    <w:rsid w:val="2F534F34"/>
    <w:rsid w:val="2F54A650"/>
    <w:rsid w:val="2F55E2A1"/>
    <w:rsid w:val="2F5CF819"/>
    <w:rsid w:val="2F5D66B8"/>
    <w:rsid w:val="2F634469"/>
    <w:rsid w:val="2F665D10"/>
    <w:rsid w:val="2F7D228E"/>
    <w:rsid w:val="2F8203DB"/>
    <w:rsid w:val="2F829A4A"/>
    <w:rsid w:val="2F847559"/>
    <w:rsid w:val="2F8FC73A"/>
    <w:rsid w:val="2F9CF053"/>
    <w:rsid w:val="2F9E8321"/>
    <w:rsid w:val="2FA87F8E"/>
    <w:rsid w:val="2FA9B083"/>
    <w:rsid w:val="2FBA3125"/>
    <w:rsid w:val="2FBAE94A"/>
    <w:rsid w:val="2FBE58DD"/>
    <w:rsid w:val="2FC41F13"/>
    <w:rsid w:val="2FC9FE54"/>
    <w:rsid w:val="2FCE546F"/>
    <w:rsid w:val="2FD69074"/>
    <w:rsid w:val="2FE5B2E3"/>
    <w:rsid w:val="2FED803F"/>
    <w:rsid w:val="2FEFF3F9"/>
    <w:rsid w:val="2FF9C502"/>
    <w:rsid w:val="30091723"/>
    <w:rsid w:val="300BA0FB"/>
    <w:rsid w:val="302734F2"/>
    <w:rsid w:val="30291DFE"/>
    <w:rsid w:val="30362C07"/>
    <w:rsid w:val="30391E49"/>
    <w:rsid w:val="303B3AC6"/>
    <w:rsid w:val="303C9359"/>
    <w:rsid w:val="3041AC4A"/>
    <w:rsid w:val="30589E00"/>
    <w:rsid w:val="305A00BC"/>
    <w:rsid w:val="3065AC9B"/>
    <w:rsid w:val="3065B0A9"/>
    <w:rsid w:val="30700F91"/>
    <w:rsid w:val="3070D23A"/>
    <w:rsid w:val="30828DE7"/>
    <w:rsid w:val="30973202"/>
    <w:rsid w:val="30A03C0E"/>
    <w:rsid w:val="30A31060"/>
    <w:rsid w:val="30A4039A"/>
    <w:rsid w:val="30A7FB4B"/>
    <w:rsid w:val="30A8D6ED"/>
    <w:rsid w:val="30AB5C32"/>
    <w:rsid w:val="30B67A63"/>
    <w:rsid w:val="30B69622"/>
    <w:rsid w:val="30BE752A"/>
    <w:rsid w:val="30D3B1EB"/>
    <w:rsid w:val="30DD1809"/>
    <w:rsid w:val="30EC1559"/>
    <w:rsid w:val="30F6C6AA"/>
    <w:rsid w:val="30F6E59D"/>
    <w:rsid w:val="31055B5D"/>
    <w:rsid w:val="3105C8E8"/>
    <w:rsid w:val="3106E8D1"/>
    <w:rsid w:val="310C1E9E"/>
    <w:rsid w:val="31190B6D"/>
    <w:rsid w:val="311EDCE7"/>
    <w:rsid w:val="3129CD3C"/>
    <w:rsid w:val="312B3779"/>
    <w:rsid w:val="312F8704"/>
    <w:rsid w:val="31303AB2"/>
    <w:rsid w:val="313544D8"/>
    <w:rsid w:val="3137729E"/>
    <w:rsid w:val="3137774F"/>
    <w:rsid w:val="313DCECD"/>
    <w:rsid w:val="314B248A"/>
    <w:rsid w:val="314B6AE4"/>
    <w:rsid w:val="314FDFB1"/>
    <w:rsid w:val="3158DBE1"/>
    <w:rsid w:val="31599964"/>
    <w:rsid w:val="315A2F3A"/>
    <w:rsid w:val="315C4BAF"/>
    <w:rsid w:val="3160D0EC"/>
    <w:rsid w:val="316E5AD9"/>
    <w:rsid w:val="31761104"/>
    <w:rsid w:val="31785225"/>
    <w:rsid w:val="317B0059"/>
    <w:rsid w:val="3180810C"/>
    <w:rsid w:val="3183F4AC"/>
    <w:rsid w:val="3186F866"/>
    <w:rsid w:val="3187B41C"/>
    <w:rsid w:val="318801CE"/>
    <w:rsid w:val="318B379C"/>
    <w:rsid w:val="3193B51A"/>
    <w:rsid w:val="319BF7EF"/>
    <w:rsid w:val="319C3F63"/>
    <w:rsid w:val="319E9221"/>
    <w:rsid w:val="31A37078"/>
    <w:rsid w:val="31AD71AE"/>
    <w:rsid w:val="31B48A57"/>
    <w:rsid w:val="31B8808D"/>
    <w:rsid w:val="31BA880F"/>
    <w:rsid w:val="31BB9A70"/>
    <w:rsid w:val="31BBA778"/>
    <w:rsid w:val="31BF532F"/>
    <w:rsid w:val="31C84C3B"/>
    <w:rsid w:val="31D0B29B"/>
    <w:rsid w:val="31D14F0D"/>
    <w:rsid w:val="31D23E2E"/>
    <w:rsid w:val="31E24681"/>
    <w:rsid w:val="31ED6B4F"/>
    <w:rsid w:val="31F8C941"/>
    <w:rsid w:val="320E7979"/>
    <w:rsid w:val="322719B0"/>
    <w:rsid w:val="322D9F53"/>
    <w:rsid w:val="32328729"/>
    <w:rsid w:val="3235F662"/>
    <w:rsid w:val="32427083"/>
    <w:rsid w:val="32525C76"/>
    <w:rsid w:val="32575C98"/>
    <w:rsid w:val="325D4622"/>
    <w:rsid w:val="32660E9D"/>
    <w:rsid w:val="326A0CE4"/>
    <w:rsid w:val="326B0A6B"/>
    <w:rsid w:val="326EEF89"/>
    <w:rsid w:val="3270876A"/>
    <w:rsid w:val="32789E42"/>
    <w:rsid w:val="327E20B2"/>
    <w:rsid w:val="3287E4CE"/>
    <w:rsid w:val="328C243C"/>
    <w:rsid w:val="32928B91"/>
    <w:rsid w:val="32A02749"/>
    <w:rsid w:val="32A71574"/>
    <w:rsid w:val="32AAB974"/>
    <w:rsid w:val="32AEC46B"/>
    <w:rsid w:val="32BFD82A"/>
    <w:rsid w:val="32C1B389"/>
    <w:rsid w:val="32C311B8"/>
    <w:rsid w:val="32C77174"/>
    <w:rsid w:val="32C7B3E9"/>
    <w:rsid w:val="32CC23EC"/>
    <w:rsid w:val="32D3CE67"/>
    <w:rsid w:val="32E49E40"/>
    <w:rsid w:val="32EB7F58"/>
    <w:rsid w:val="33059A3A"/>
    <w:rsid w:val="330F1B04"/>
    <w:rsid w:val="3316F1AB"/>
    <w:rsid w:val="3327CA7D"/>
    <w:rsid w:val="33384A01"/>
    <w:rsid w:val="333D6EB6"/>
    <w:rsid w:val="334ABB27"/>
    <w:rsid w:val="334E8522"/>
    <w:rsid w:val="334F096E"/>
    <w:rsid w:val="3353E65A"/>
    <w:rsid w:val="33573674"/>
    <w:rsid w:val="33584AC1"/>
    <w:rsid w:val="335B0909"/>
    <w:rsid w:val="335FC1BA"/>
    <w:rsid w:val="3362E7D5"/>
    <w:rsid w:val="336758B5"/>
    <w:rsid w:val="336FF77C"/>
    <w:rsid w:val="3370A496"/>
    <w:rsid w:val="33720F1A"/>
    <w:rsid w:val="33751FC4"/>
    <w:rsid w:val="337CFA41"/>
    <w:rsid w:val="3390BD5F"/>
    <w:rsid w:val="33940FA5"/>
    <w:rsid w:val="339441FF"/>
    <w:rsid w:val="3396DC14"/>
    <w:rsid w:val="339E037D"/>
    <w:rsid w:val="33A8DCCA"/>
    <w:rsid w:val="33AE3C5B"/>
    <w:rsid w:val="33B721B4"/>
    <w:rsid w:val="33B84DDA"/>
    <w:rsid w:val="33BEB1DB"/>
    <w:rsid w:val="33C298D0"/>
    <w:rsid w:val="33C7AD3C"/>
    <w:rsid w:val="33D29296"/>
    <w:rsid w:val="33D61374"/>
    <w:rsid w:val="33DDBA94"/>
    <w:rsid w:val="33DFE196"/>
    <w:rsid w:val="33E17F36"/>
    <w:rsid w:val="33EB394B"/>
    <w:rsid w:val="33F38574"/>
    <w:rsid w:val="3404C5F0"/>
    <w:rsid w:val="3404D441"/>
    <w:rsid w:val="3406CA6F"/>
    <w:rsid w:val="341CEDC4"/>
    <w:rsid w:val="341E36E7"/>
    <w:rsid w:val="34209E8F"/>
    <w:rsid w:val="342F4784"/>
    <w:rsid w:val="34362DAF"/>
    <w:rsid w:val="3436322D"/>
    <w:rsid w:val="343811BD"/>
    <w:rsid w:val="3438E327"/>
    <w:rsid w:val="343F4A45"/>
    <w:rsid w:val="3440AB22"/>
    <w:rsid w:val="34425CB7"/>
    <w:rsid w:val="344E07C6"/>
    <w:rsid w:val="344E3336"/>
    <w:rsid w:val="3453ED97"/>
    <w:rsid w:val="346865C7"/>
    <w:rsid w:val="346DEC3E"/>
    <w:rsid w:val="346FB8EE"/>
    <w:rsid w:val="34782944"/>
    <w:rsid w:val="34876E7E"/>
    <w:rsid w:val="3494F7F0"/>
    <w:rsid w:val="34AC5DF6"/>
    <w:rsid w:val="34AD37BD"/>
    <w:rsid w:val="34AF6FAB"/>
    <w:rsid w:val="34B3A953"/>
    <w:rsid w:val="34C027E9"/>
    <w:rsid w:val="34C15515"/>
    <w:rsid w:val="34CDFBBC"/>
    <w:rsid w:val="34D7387A"/>
    <w:rsid w:val="34D7E054"/>
    <w:rsid w:val="34DF7775"/>
    <w:rsid w:val="34E57E46"/>
    <w:rsid w:val="34E68C2E"/>
    <w:rsid w:val="34EB48D5"/>
    <w:rsid w:val="34ECBF15"/>
    <w:rsid w:val="34EEBFE9"/>
    <w:rsid w:val="34F197BF"/>
    <w:rsid w:val="34F46882"/>
    <w:rsid w:val="34FF3C4F"/>
    <w:rsid w:val="350AFA9C"/>
    <w:rsid w:val="35140085"/>
    <w:rsid w:val="35165DBF"/>
    <w:rsid w:val="35221956"/>
    <w:rsid w:val="3527CEBC"/>
    <w:rsid w:val="352987DE"/>
    <w:rsid w:val="352A58C4"/>
    <w:rsid w:val="352A807E"/>
    <w:rsid w:val="352C66AB"/>
    <w:rsid w:val="353027FB"/>
    <w:rsid w:val="3530B554"/>
    <w:rsid w:val="3533B629"/>
    <w:rsid w:val="35444C1B"/>
    <w:rsid w:val="35475C59"/>
    <w:rsid w:val="3547E624"/>
    <w:rsid w:val="354F084F"/>
    <w:rsid w:val="354FB9D0"/>
    <w:rsid w:val="3557C5A6"/>
    <w:rsid w:val="355F671C"/>
    <w:rsid w:val="35611390"/>
    <w:rsid w:val="3561FEE5"/>
    <w:rsid w:val="356B658B"/>
    <w:rsid w:val="356BAD9F"/>
    <w:rsid w:val="356C90F4"/>
    <w:rsid w:val="3571EE3F"/>
    <w:rsid w:val="3577CAA1"/>
    <w:rsid w:val="357A621E"/>
    <w:rsid w:val="35821B12"/>
    <w:rsid w:val="35825810"/>
    <w:rsid w:val="35871D26"/>
    <w:rsid w:val="3589F1ED"/>
    <w:rsid w:val="359399A7"/>
    <w:rsid w:val="3594BCD0"/>
    <w:rsid w:val="35971E66"/>
    <w:rsid w:val="35999ADC"/>
    <w:rsid w:val="359AEA14"/>
    <w:rsid w:val="359CA604"/>
    <w:rsid w:val="359F502C"/>
    <w:rsid w:val="35B436DC"/>
    <w:rsid w:val="35B6F90B"/>
    <w:rsid w:val="35BACBA0"/>
    <w:rsid w:val="35BC5CDB"/>
    <w:rsid w:val="35BE6261"/>
    <w:rsid w:val="35BF47B8"/>
    <w:rsid w:val="35C0A2B9"/>
    <w:rsid w:val="35C2D446"/>
    <w:rsid w:val="35C6EB65"/>
    <w:rsid w:val="35C8DF14"/>
    <w:rsid w:val="35CC22D6"/>
    <w:rsid w:val="35D87449"/>
    <w:rsid w:val="35DA2175"/>
    <w:rsid w:val="35E94FBB"/>
    <w:rsid w:val="35ECE3A2"/>
    <w:rsid w:val="35EFB5BE"/>
    <w:rsid w:val="35F2F437"/>
    <w:rsid w:val="35FFCC53"/>
    <w:rsid w:val="360340C1"/>
    <w:rsid w:val="360F7809"/>
    <w:rsid w:val="360F90C2"/>
    <w:rsid w:val="361A7AC3"/>
    <w:rsid w:val="361DBB19"/>
    <w:rsid w:val="3621B750"/>
    <w:rsid w:val="362CD350"/>
    <w:rsid w:val="362F13A5"/>
    <w:rsid w:val="3632BC66"/>
    <w:rsid w:val="3635AA8B"/>
    <w:rsid w:val="364453FC"/>
    <w:rsid w:val="3647548D"/>
    <w:rsid w:val="364ED1D6"/>
    <w:rsid w:val="36508E91"/>
    <w:rsid w:val="3656B2C0"/>
    <w:rsid w:val="3657ED62"/>
    <w:rsid w:val="365EB9EF"/>
    <w:rsid w:val="365FB1AB"/>
    <w:rsid w:val="36669630"/>
    <w:rsid w:val="3666DC20"/>
    <w:rsid w:val="3667D80F"/>
    <w:rsid w:val="3668F55F"/>
    <w:rsid w:val="367032A2"/>
    <w:rsid w:val="3670368C"/>
    <w:rsid w:val="36705465"/>
    <w:rsid w:val="3670D4DE"/>
    <w:rsid w:val="36758240"/>
    <w:rsid w:val="367AC957"/>
    <w:rsid w:val="367E962C"/>
    <w:rsid w:val="36873B48"/>
    <w:rsid w:val="368FC4ED"/>
    <w:rsid w:val="3692355E"/>
    <w:rsid w:val="3697E4FB"/>
    <w:rsid w:val="369E4FF0"/>
    <w:rsid w:val="369F5B98"/>
    <w:rsid w:val="36A3792F"/>
    <w:rsid w:val="36A3F3B1"/>
    <w:rsid w:val="36A7AC0B"/>
    <w:rsid w:val="36B142F7"/>
    <w:rsid w:val="36B3D8E1"/>
    <w:rsid w:val="36C215E4"/>
    <w:rsid w:val="36C6FF93"/>
    <w:rsid w:val="36C8E481"/>
    <w:rsid w:val="36D3B82A"/>
    <w:rsid w:val="36D7FF10"/>
    <w:rsid w:val="36DB0E97"/>
    <w:rsid w:val="36E50F7B"/>
    <w:rsid w:val="36E8C919"/>
    <w:rsid w:val="36F1A4CA"/>
    <w:rsid w:val="36F29893"/>
    <w:rsid w:val="36F457C3"/>
    <w:rsid w:val="36F7F902"/>
    <w:rsid w:val="36FA2411"/>
    <w:rsid w:val="36FAF7B3"/>
    <w:rsid w:val="36FB6A65"/>
    <w:rsid w:val="36FF9AB8"/>
    <w:rsid w:val="36FFC6FE"/>
    <w:rsid w:val="3702B910"/>
    <w:rsid w:val="3703C80C"/>
    <w:rsid w:val="3705E51A"/>
    <w:rsid w:val="3719E2B8"/>
    <w:rsid w:val="371B1E28"/>
    <w:rsid w:val="371C52C8"/>
    <w:rsid w:val="372B0033"/>
    <w:rsid w:val="372EB82F"/>
    <w:rsid w:val="3730B36B"/>
    <w:rsid w:val="37322751"/>
    <w:rsid w:val="37343D6C"/>
    <w:rsid w:val="373B7CC5"/>
    <w:rsid w:val="37459671"/>
    <w:rsid w:val="374708EF"/>
    <w:rsid w:val="37473EBC"/>
    <w:rsid w:val="374814D5"/>
    <w:rsid w:val="375ED775"/>
    <w:rsid w:val="3765AD56"/>
    <w:rsid w:val="376A797A"/>
    <w:rsid w:val="376F0462"/>
    <w:rsid w:val="37735D31"/>
    <w:rsid w:val="3776FB88"/>
    <w:rsid w:val="377C7151"/>
    <w:rsid w:val="3781854A"/>
    <w:rsid w:val="3783AECC"/>
    <w:rsid w:val="37866AA0"/>
    <w:rsid w:val="3792925F"/>
    <w:rsid w:val="379850A9"/>
    <w:rsid w:val="379F03AA"/>
    <w:rsid w:val="37A23E89"/>
    <w:rsid w:val="37A41754"/>
    <w:rsid w:val="37AA2401"/>
    <w:rsid w:val="37AE9669"/>
    <w:rsid w:val="37B0E0EF"/>
    <w:rsid w:val="37B4B31D"/>
    <w:rsid w:val="37BCA99D"/>
    <w:rsid w:val="37BE23E7"/>
    <w:rsid w:val="37BFD150"/>
    <w:rsid w:val="37C32C7B"/>
    <w:rsid w:val="37CBFE1B"/>
    <w:rsid w:val="37D0A624"/>
    <w:rsid w:val="37DCACCC"/>
    <w:rsid w:val="37DD317E"/>
    <w:rsid w:val="37DFF3D0"/>
    <w:rsid w:val="37EF5496"/>
    <w:rsid w:val="37EFCA9F"/>
    <w:rsid w:val="37F2F0ED"/>
    <w:rsid w:val="37F4927D"/>
    <w:rsid w:val="37FE3BA4"/>
    <w:rsid w:val="3806A71E"/>
    <w:rsid w:val="3812D599"/>
    <w:rsid w:val="3815B058"/>
    <w:rsid w:val="3828511F"/>
    <w:rsid w:val="382A45BE"/>
    <w:rsid w:val="38332500"/>
    <w:rsid w:val="383623D2"/>
    <w:rsid w:val="3841F950"/>
    <w:rsid w:val="3846BAD8"/>
    <w:rsid w:val="3851AC2D"/>
    <w:rsid w:val="3851E2DA"/>
    <w:rsid w:val="3866403F"/>
    <w:rsid w:val="386B9372"/>
    <w:rsid w:val="386E4EFB"/>
    <w:rsid w:val="3870ED4F"/>
    <w:rsid w:val="3871C16C"/>
    <w:rsid w:val="3871EA1A"/>
    <w:rsid w:val="387824F3"/>
    <w:rsid w:val="38886978"/>
    <w:rsid w:val="388BFA72"/>
    <w:rsid w:val="388CD9FE"/>
    <w:rsid w:val="38987AC1"/>
    <w:rsid w:val="389A7C05"/>
    <w:rsid w:val="389D078F"/>
    <w:rsid w:val="389FE851"/>
    <w:rsid w:val="38A4E002"/>
    <w:rsid w:val="38A5DC7C"/>
    <w:rsid w:val="38A7C840"/>
    <w:rsid w:val="38A9F421"/>
    <w:rsid w:val="38B4A294"/>
    <w:rsid w:val="38B63A5D"/>
    <w:rsid w:val="38B79571"/>
    <w:rsid w:val="38BA8238"/>
    <w:rsid w:val="38BAD313"/>
    <w:rsid w:val="38C33C29"/>
    <w:rsid w:val="38C9F29B"/>
    <w:rsid w:val="38CA0C43"/>
    <w:rsid w:val="38CA314A"/>
    <w:rsid w:val="38D06B9D"/>
    <w:rsid w:val="38EC0608"/>
    <w:rsid w:val="38EC114A"/>
    <w:rsid w:val="38ED3304"/>
    <w:rsid w:val="38EE46EA"/>
    <w:rsid w:val="38F206EA"/>
    <w:rsid w:val="38F64A2B"/>
    <w:rsid w:val="39065EC4"/>
    <w:rsid w:val="390785D1"/>
    <w:rsid w:val="390952A9"/>
    <w:rsid w:val="390AB674"/>
    <w:rsid w:val="390C0A47"/>
    <w:rsid w:val="3917B922"/>
    <w:rsid w:val="391DC451"/>
    <w:rsid w:val="392072DA"/>
    <w:rsid w:val="392325E1"/>
    <w:rsid w:val="392E2329"/>
    <w:rsid w:val="3934E77F"/>
    <w:rsid w:val="393A92CD"/>
    <w:rsid w:val="393FC362"/>
    <w:rsid w:val="39462357"/>
    <w:rsid w:val="3947318F"/>
    <w:rsid w:val="39474EE9"/>
    <w:rsid w:val="39484DE0"/>
    <w:rsid w:val="3949EF5E"/>
    <w:rsid w:val="394BCFB9"/>
    <w:rsid w:val="394E19FB"/>
    <w:rsid w:val="39536952"/>
    <w:rsid w:val="395BA336"/>
    <w:rsid w:val="395C6193"/>
    <w:rsid w:val="3962025E"/>
    <w:rsid w:val="3964871F"/>
    <w:rsid w:val="3965EAEA"/>
    <w:rsid w:val="3968A8F9"/>
    <w:rsid w:val="397DE5D1"/>
    <w:rsid w:val="3980A123"/>
    <w:rsid w:val="39875B5D"/>
    <w:rsid w:val="3989C839"/>
    <w:rsid w:val="39913387"/>
    <w:rsid w:val="3991413D"/>
    <w:rsid w:val="3996390C"/>
    <w:rsid w:val="3998BAEA"/>
    <w:rsid w:val="399941BC"/>
    <w:rsid w:val="39997DAB"/>
    <w:rsid w:val="39A190FF"/>
    <w:rsid w:val="39A61F43"/>
    <w:rsid w:val="39A8EEE0"/>
    <w:rsid w:val="39AA4D4C"/>
    <w:rsid w:val="39B45114"/>
    <w:rsid w:val="39B6563D"/>
    <w:rsid w:val="39B955E2"/>
    <w:rsid w:val="39BD0575"/>
    <w:rsid w:val="39C0B688"/>
    <w:rsid w:val="39C652A0"/>
    <w:rsid w:val="39D75925"/>
    <w:rsid w:val="39DB5F43"/>
    <w:rsid w:val="39DD883A"/>
    <w:rsid w:val="39EB80A8"/>
    <w:rsid w:val="39EE1792"/>
    <w:rsid w:val="39EF2639"/>
    <w:rsid w:val="39F5511B"/>
    <w:rsid w:val="3A00D721"/>
    <w:rsid w:val="3A0382AF"/>
    <w:rsid w:val="3A03CB6C"/>
    <w:rsid w:val="3A0AB29B"/>
    <w:rsid w:val="3A153C42"/>
    <w:rsid w:val="3A1ABC24"/>
    <w:rsid w:val="3A1E78AF"/>
    <w:rsid w:val="3A1E8434"/>
    <w:rsid w:val="3A1E8928"/>
    <w:rsid w:val="3A21873B"/>
    <w:rsid w:val="3A24DD09"/>
    <w:rsid w:val="3A26AF48"/>
    <w:rsid w:val="3A2B267C"/>
    <w:rsid w:val="3A3228AB"/>
    <w:rsid w:val="3A3634B9"/>
    <w:rsid w:val="3A3A0C6D"/>
    <w:rsid w:val="3A3AF931"/>
    <w:rsid w:val="3A49324B"/>
    <w:rsid w:val="3A4A1AE5"/>
    <w:rsid w:val="3A4AEFD4"/>
    <w:rsid w:val="3A531EC1"/>
    <w:rsid w:val="3A54B2DD"/>
    <w:rsid w:val="3A61E2AE"/>
    <w:rsid w:val="3A6512CC"/>
    <w:rsid w:val="3A7A0BC3"/>
    <w:rsid w:val="3A81DACB"/>
    <w:rsid w:val="3A82DE11"/>
    <w:rsid w:val="3A8735E1"/>
    <w:rsid w:val="3A946A3B"/>
    <w:rsid w:val="3A95892C"/>
    <w:rsid w:val="3A9952E3"/>
    <w:rsid w:val="3A9B4F46"/>
    <w:rsid w:val="3A9E666C"/>
    <w:rsid w:val="3AA2A241"/>
    <w:rsid w:val="3AA2EF68"/>
    <w:rsid w:val="3AA5CBA1"/>
    <w:rsid w:val="3AA5EE35"/>
    <w:rsid w:val="3AA8CD6D"/>
    <w:rsid w:val="3AB1B9D2"/>
    <w:rsid w:val="3AB509AB"/>
    <w:rsid w:val="3ABD24FC"/>
    <w:rsid w:val="3ABFC22A"/>
    <w:rsid w:val="3AC94D60"/>
    <w:rsid w:val="3ACFE307"/>
    <w:rsid w:val="3AD0BF5C"/>
    <w:rsid w:val="3ADA62FB"/>
    <w:rsid w:val="3ADD7C23"/>
    <w:rsid w:val="3ADDC1B6"/>
    <w:rsid w:val="3ADEC179"/>
    <w:rsid w:val="3AE1D8EA"/>
    <w:rsid w:val="3AE5B5C4"/>
    <w:rsid w:val="3AE88491"/>
    <w:rsid w:val="3AF042E1"/>
    <w:rsid w:val="3AF2D499"/>
    <w:rsid w:val="3AF9371E"/>
    <w:rsid w:val="3AFEC876"/>
    <w:rsid w:val="3B001E55"/>
    <w:rsid w:val="3B0AC4A4"/>
    <w:rsid w:val="3B0C1795"/>
    <w:rsid w:val="3B0FF354"/>
    <w:rsid w:val="3B2029DF"/>
    <w:rsid w:val="3B21DF4D"/>
    <w:rsid w:val="3B290D72"/>
    <w:rsid w:val="3B382D8F"/>
    <w:rsid w:val="3B570442"/>
    <w:rsid w:val="3B591FED"/>
    <w:rsid w:val="3B5A4911"/>
    <w:rsid w:val="3B614F11"/>
    <w:rsid w:val="3B674A91"/>
    <w:rsid w:val="3B6B22F9"/>
    <w:rsid w:val="3B6D5D00"/>
    <w:rsid w:val="3B75C457"/>
    <w:rsid w:val="3B760721"/>
    <w:rsid w:val="3B766B40"/>
    <w:rsid w:val="3B78BF68"/>
    <w:rsid w:val="3B799EF3"/>
    <w:rsid w:val="3B7B27C6"/>
    <w:rsid w:val="3B7BC82F"/>
    <w:rsid w:val="3B7E81C5"/>
    <w:rsid w:val="3B82D9F8"/>
    <w:rsid w:val="3B85F5B1"/>
    <w:rsid w:val="3B88E070"/>
    <w:rsid w:val="3B899E51"/>
    <w:rsid w:val="3B8A8120"/>
    <w:rsid w:val="3B902ABD"/>
    <w:rsid w:val="3B92869B"/>
    <w:rsid w:val="3B9F74A5"/>
    <w:rsid w:val="3B9FFD4C"/>
    <w:rsid w:val="3BA17157"/>
    <w:rsid w:val="3BA37A30"/>
    <w:rsid w:val="3BA64507"/>
    <w:rsid w:val="3BA6CB80"/>
    <w:rsid w:val="3BA7EB62"/>
    <w:rsid w:val="3BB39751"/>
    <w:rsid w:val="3BB5B886"/>
    <w:rsid w:val="3BC5A64B"/>
    <w:rsid w:val="3BC6534F"/>
    <w:rsid w:val="3BC7198C"/>
    <w:rsid w:val="3BD0A242"/>
    <w:rsid w:val="3BD57985"/>
    <w:rsid w:val="3BDECFFE"/>
    <w:rsid w:val="3BE6F177"/>
    <w:rsid w:val="3BEFA32A"/>
    <w:rsid w:val="3BF628B4"/>
    <w:rsid w:val="3BFDEFF9"/>
    <w:rsid w:val="3C057AA4"/>
    <w:rsid w:val="3C083856"/>
    <w:rsid w:val="3C0A990D"/>
    <w:rsid w:val="3C0D4608"/>
    <w:rsid w:val="3C0EBDD6"/>
    <w:rsid w:val="3C150C1B"/>
    <w:rsid w:val="3C25B582"/>
    <w:rsid w:val="3C2B6CE5"/>
    <w:rsid w:val="3C3DA41B"/>
    <w:rsid w:val="3C46FE72"/>
    <w:rsid w:val="3C521894"/>
    <w:rsid w:val="3C57E682"/>
    <w:rsid w:val="3C663A7C"/>
    <w:rsid w:val="3C6944C2"/>
    <w:rsid w:val="3C70565C"/>
    <w:rsid w:val="3C7AFB67"/>
    <w:rsid w:val="3C7D07A8"/>
    <w:rsid w:val="3C7DD90B"/>
    <w:rsid w:val="3C805A61"/>
    <w:rsid w:val="3C92579A"/>
    <w:rsid w:val="3C96A947"/>
    <w:rsid w:val="3C979ABF"/>
    <w:rsid w:val="3C9989A8"/>
    <w:rsid w:val="3C9B3CA8"/>
    <w:rsid w:val="3C9E1E59"/>
    <w:rsid w:val="3CA0899B"/>
    <w:rsid w:val="3CA0E26B"/>
    <w:rsid w:val="3CA928D8"/>
    <w:rsid w:val="3CB89040"/>
    <w:rsid w:val="3CB8B6B5"/>
    <w:rsid w:val="3CB95E31"/>
    <w:rsid w:val="3CBB95A5"/>
    <w:rsid w:val="3CBE5863"/>
    <w:rsid w:val="3CC71E9F"/>
    <w:rsid w:val="3CD7F716"/>
    <w:rsid w:val="3CDE26DD"/>
    <w:rsid w:val="3CDF93FF"/>
    <w:rsid w:val="3CDFB8B9"/>
    <w:rsid w:val="3CE1C8EA"/>
    <w:rsid w:val="3CE68918"/>
    <w:rsid w:val="3CE72173"/>
    <w:rsid w:val="3CEB5D4F"/>
    <w:rsid w:val="3CEDCAFD"/>
    <w:rsid w:val="3CF1655B"/>
    <w:rsid w:val="3CF26456"/>
    <w:rsid w:val="3CF4B3EB"/>
    <w:rsid w:val="3CFCA77F"/>
    <w:rsid w:val="3CFEA7BB"/>
    <w:rsid w:val="3CFFA2C9"/>
    <w:rsid w:val="3D07A898"/>
    <w:rsid w:val="3D0D0B65"/>
    <w:rsid w:val="3D15C239"/>
    <w:rsid w:val="3D18146D"/>
    <w:rsid w:val="3D350A0B"/>
    <w:rsid w:val="3D35D93D"/>
    <w:rsid w:val="3D3C0F99"/>
    <w:rsid w:val="3D3EEE67"/>
    <w:rsid w:val="3D47E3A7"/>
    <w:rsid w:val="3D4ABB59"/>
    <w:rsid w:val="3D4BB3D2"/>
    <w:rsid w:val="3D508560"/>
    <w:rsid w:val="3D53560D"/>
    <w:rsid w:val="3D5D2BDE"/>
    <w:rsid w:val="3D65AD9C"/>
    <w:rsid w:val="3D690ECF"/>
    <w:rsid w:val="3D6D656C"/>
    <w:rsid w:val="3D701F38"/>
    <w:rsid w:val="3D71D680"/>
    <w:rsid w:val="3D781B80"/>
    <w:rsid w:val="3D79EEF2"/>
    <w:rsid w:val="3D7AA17D"/>
    <w:rsid w:val="3D7EEDC1"/>
    <w:rsid w:val="3D7FC5C8"/>
    <w:rsid w:val="3D81ADDA"/>
    <w:rsid w:val="3D824945"/>
    <w:rsid w:val="3D84ABF8"/>
    <w:rsid w:val="3D8578ED"/>
    <w:rsid w:val="3D87D810"/>
    <w:rsid w:val="3D8AB5B8"/>
    <w:rsid w:val="3D8B1362"/>
    <w:rsid w:val="3DA29D8B"/>
    <w:rsid w:val="3DA39F66"/>
    <w:rsid w:val="3DA578D6"/>
    <w:rsid w:val="3DB2E6BF"/>
    <w:rsid w:val="3DB34709"/>
    <w:rsid w:val="3DC152D6"/>
    <w:rsid w:val="3DC27509"/>
    <w:rsid w:val="3DC51377"/>
    <w:rsid w:val="3DC5E7E8"/>
    <w:rsid w:val="3DD4D974"/>
    <w:rsid w:val="3DDA7AA6"/>
    <w:rsid w:val="3DDC0521"/>
    <w:rsid w:val="3DE4638C"/>
    <w:rsid w:val="3DE5F736"/>
    <w:rsid w:val="3DE72D1B"/>
    <w:rsid w:val="3DEBC5DC"/>
    <w:rsid w:val="3DEF5ACE"/>
    <w:rsid w:val="3DF08975"/>
    <w:rsid w:val="3DF1EA17"/>
    <w:rsid w:val="3DF5E9E8"/>
    <w:rsid w:val="3E095D38"/>
    <w:rsid w:val="3E0ADE87"/>
    <w:rsid w:val="3E0B97C1"/>
    <w:rsid w:val="3E0CE303"/>
    <w:rsid w:val="3E12293C"/>
    <w:rsid w:val="3E1D1C1E"/>
    <w:rsid w:val="3E1E2B6C"/>
    <w:rsid w:val="3E248E1F"/>
    <w:rsid w:val="3E34513A"/>
    <w:rsid w:val="3E3521F3"/>
    <w:rsid w:val="3E380E8B"/>
    <w:rsid w:val="3E3C8012"/>
    <w:rsid w:val="3E3E7A8D"/>
    <w:rsid w:val="3E3FE7A8"/>
    <w:rsid w:val="3E477A43"/>
    <w:rsid w:val="3E560ECC"/>
    <w:rsid w:val="3E579069"/>
    <w:rsid w:val="3E6152EE"/>
    <w:rsid w:val="3E6BA8A6"/>
    <w:rsid w:val="3E6DF371"/>
    <w:rsid w:val="3E777578"/>
    <w:rsid w:val="3E7D2290"/>
    <w:rsid w:val="3E8C0379"/>
    <w:rsid w:val="3E91C565"/>
    <w:rsid w:val="3E984963"/>
    <w:rsid w:val="3E9C015A"/>
    <w:rsid w:val="3EA98454"/>
    <w:rsid w:val="3EB03801"/>
    <w:rsid w:val="3EB2AEC6"/>
    <w:rsid w:val="3EB335DE"/>
    <w:rsid w:val="3EB3C017"/>
    <w:rsid w:val="3EB5A96E"/>
    <w:rsid w:val="3EB6A19F"/>
    <w:rsid w:val="3EBA737A"/>
    <w:rsid w:val="3EBA742C"/>
    <w:rsid w:val="3EC1C796"/>
    <w:rsid w:val="3ECE2A7C"/>
    <w:rsid w:val="3ECE8970"/>
    <w:rsid w:val="3ED0CF31"/>
    <w:rsid w:val="3ED8C8D2"/>
    <w:rsid w:val="3EE139D1"/>
    <w:rsid w:val="3EE35243"/>
    <w:rsid w:val="3EE453AC"/>
    <w:rsid w:val="3EE46D5E"/>
    <w:rsid w:val="3EED0067"/>
    <w:rsid w:val="3EF93ACD"/>
    <w:rsid w:val="3F0AA922"/>
    <w:rsid w:val="3F0C8206"/>
    <w:rsid w:val="3F106E84"/>
    <w:rsid w:val="3F1CC15A"/>
    <w:rsid w:val="3F20B01A"/>
    <w:rsid w:val="3F296B01"/>
    <w:rsid w:val="3F2F5A37"/>
    <w:rsid w:val="3F366056"/>
    <w:rsid w:val="3F3B1F41"/>
    <w:rsid w:val="3F451D0D"/>
    <w:rsid w:val="3F4F335A"/>
    <w:rsid w:val="3F4FD3EF"/>
    <w:rsid w:val="3F501F80"/>
    <w:rsid w:val="3F535442"/>
    <w:rsid w:val="3F549AEA"/>
    <w:rsid w:val="3F564C4B"/>
    <w:rsid w:val="3F56EABD"/>
    <w:rsid w:val="3F592B42"/>
    <w:rsid w:val="3F5D58B0"/>
    <w:rsid w:val="3F6321A8"/>
    <w:rsid w:val="3F647595"/>
    <w:rsid w:val="3F65F125"/>
    <w:rsid w:val="3F74A77D"/>
    <w:rsid w:val="3F7B37F5"/>
    <w:rsid w:val="3F7EDBB3"/>
    <w:rsid w:val="3F7FE5AE"/>
    <w:rsid w:val="3F81E8E6"/>
    <w:rsid w:val="3F88D48C"/>
    <w:rsid w:val="3F999B2F"/>
    <w:rsid w:val="3FA360B6"/>
    <w:rsid w:val="3FA59A19"/>
    <w:rsid w:val="3FABE433"/>
    <w:rsid w:val="3FB12D5C"/>
    <w:rsid w:val="3FB7C43C"/>
    <w:rsid w:val="3FB91591"/>
    <w:rsid w:val="3FCE1239"/>
    <w:rsid w:val="3FD78664"/>
    <w:rsid w:val="3FE97B02"/>
    <w:rsid w:val="3FEA94DB"/>
    <w:rsid w:val="3FEEB7EA"/>
    <w:rsid w:val="3FF3AFC3"/>
    <w:rsid w:val="3FF499C8"/>
    <w:rsid w:val="3FFF29D0"/>
    <w:rsid w:val="40076E28"/>
    <w:rsid w:val="401648F5"/>
    <w:rsid w:val="402A1349"/>
    <w:rsid w:val="402CEBFB"/>
    <w:rsid w:val="402FDB66"/>
    <w:rsid w:val="40335D52"/>
    <w:rsid w:val="4039C462"/>
    <w:rsid w:val="40461B32"/>
    <w:rsid w:val="40464268"/>
    <w:rsid w:val="404A6809"/>
    <w:rsid w:val="4055FE51"/>
    <w:rsid w:val="405843C3"/>
    <w:rsid w:val="4060699A"/>
    <w:rsid w:val="406A40D9"/>
    <w:rsid w:val="406E41C2"/>
    <w:rsid w:val="406EC2A1"/>
    <w:rsid w:val="40706490"/>
    <w:rsid w:val="407349D6"/>
    <w:rsid w:val="40772D40"/>
    <w:rsid w:val="407BCE24"/>
    <w:rsid w:val="408658A9"/>
    <w:rsid w:val="408709A4"/>
    <w:rsid w:val="4088DE27"/>
    <w:rsid w:val="408F86E9"/>
    <w:rsid w:val="40956C87"/>
    <w:rsid w:val="409C44D4"/>
    <w:rsid w:val="409D73F3"/>
    <w:rsid w:val="40A2FB84"/>
    <w:rsid w:val="40B3D651"/>
    <w:rsid w:val="40B5A0E5"/>
    <w:rsid w:val="40BED124"/>
    <w:rsid w:val="40C23B39"/>
    <w:rsid w:val="40C2A50F"/>
    <w:rsid w:val="40C58DF1"/>
    <w:rsid w:val="40C67101"/>
    <w:rsid w:val="40CA5197"/>
    <w:rsid w:val="40CD1FD3"/>
    <w:rsid w:val="40CE193B"/>
    <w:rsid w:val="40D557AD"/>
    <w:rsid w:val="40D59661"/>
    <w:rsid w:val="40D6A5C9"/>
    <w:rsid w:val="40DCD59B"/>
    <w:rsid w:val="40E1D1B7"/>
    <w:rsid w:val="40E3E984"/>
    <w:rsid w:val="40E614AA"/>
    <w:rsid w:val="40F3F380"/>
    <w:rsid w:val="40F4052D"/>
    <w:rsid w:val="40F6D6A5"/>
    <w:rsid w:val="40FABE07"/>
    <w:rsid w:val="41181654"/>
    <w:rsid w:val="411E3E41"/>
    <w:rsid w:val="4120B19D"/>
    <w:rsid w:val="412150F0"/>
    <w:rsid w:val="4124EBA8"/>
    <w:rsid w:val="4125C6DA"/>
    <w:rsid w:val="4126551D"/>
    <w:rsid w:val="41311C3A"/>
    <w:rsid w:val="4135C338"/>
    <w:rsid w:val="4138FC64"/>
    <w:rsid w:val="41443EDB"/>
    <w:rsid w:val="4147977B"/>
    <w:rsid w:val="414AC5DA"/>
    <w:rsid w:val="414F8FE3"/>
    <w:rsid w:val="41507654"/>
    <w:rsid w:val="415BA986"/>
    <w:rsid w:val="416760B6"/>
    <w:rsid w:val="416B548C"/>
    <w:rsid w:val="4171C09D"/>
    <w:rsid w:val="417E6CDE"/>
    <w:rsid w:val="4187CE49"/>
    <w:rsid w:val="4189C02B"/>
    <w:rsid w:val="418B1657"/>
    <w:rsid w:val="418D5A03"/>
    <w:rsid w:val="4198B15F"/>
    <w:rsid w:val="41998939"/>
    <w:rsid w:val="419AD4FB"/>
    <w:rsid w:val="419E91EE"/>
    <w:rsid w:val="41A2B856"/>
    <w:rsid w:val="41A4AE92"/>
    <w:rsid w:val="41A55C23"/>
    <w:rsid w:val="41A8F748"/>
    <w:rsid w:val="41B703C0"/>
    <w:rsid w:val="41B8AB0E"/>
    <w:rsid w:val="41BF7872"/>
    <w:rsid w:val="41C96614"/>
    <w:rsid w:val="41D12AD3"/>
    <w:rsid w:val="41D39397"/>
    <w:rsid w:val="41D5ECD8"/>
    <w:rsid w:val="41D86FDA"/>
    <w:rsid w:val="41DB6975"/>
    <w:rsid w:val="41E1CC67"/>
    <w:rsid w:val="41E562F8"/>
    <w:rsid w:val="41F2B7B7"/>
    <w:rsid w:val="41F305FB"/>
    <w:rsid w:val="41F4918A"/>
    <w:rsid w:val="41F9C33F"/>
    <w:rsid w:val="41FE1798"/>
    <w:rsid w:val="42020322"/>
    <w:rsid w:val="42040E59"/>
    <w:rsid w:val="4206C651"/>
    <w:rsid w:val="420FD79C"/>
    <w:rsid w:val="421ADD47"/>
    <w:rsid w:val="422A616A"/>
    <w:rsid w:val="42316D0A"/>
    <w:rsid w:val="423CCDB5"/>
    <w:rsid w:val="423D9B18"/>
    <w:rsid w:val="4243105E"/>
    <w:rsid w:val="4243382A"/>
    <w:rsid w:val="425275F1"/>
    <w:rsid w:val="425430B3"/>
    <w:rsid w:val="425E2BE4"/>
    <w:rsid w:val="426209DE"/>
    <w:rsid w:val="42711309"/>
    <w:rsid w:val="42729A70"/>
    <w:rsid w:val="427AA23C"/>
    <w:rsid w:val="427BE587"/>
    <w:rsid w:val="428CE501"/>
    <w:rsid w:val="4291CC49"/>
    <w:rsid w:val="42948487"/>
    <w:rsid w:val="4296F7D4"/>
    <w:rsid w:val="429E7160"/>
    <w:rsid w:val="42A5103C"/>
    <w:rsid w:val="42AA2628"/>
    <w:rsid w:val="42AE7DA0"/>
    <w:rsid w:val="42B942B7"/>
    <w:rsid w:val="42BD379E"/>
    <w:rsid w:val="42BF1A98"/>
    <w:rsid w:val="42BF5797"/>
    <w:rsid w:val="42C2FBD6"/>
    <w:rsid w:val="42CE9046"/>
    <w:rsid w:val="42D1A6E5"/>
    <w:rsid w:val="42D6B203"/>
    <w:rsid w:val="42DEFDA6"/>
    <w:rsid w:val="42E4D3B2"/>
    <w:rsid w:val="42E66274"/>
    <w:rsid w:val="42ED39AF"/>
    <w:rsid w:val="42F1FD07"/>
    <w:rsid w:val="42FA38A5"/>
    <w:rsid w:val="42FE9CA5"/>
    <w:rsid w:val="4300EB5C"/>
    <w:rsid w:val="43055D36"/>
    <w:rsid w:val="43072F50"/>
    <w:rsid w:val="43074CF7"/>
    <w:rsid w:val="430E0AAB"/>
    <w:rsid w:val="431173FB"/>
    <w:rsid w:val="4317272B"/>
    <w:rsid w:val="431B8218"/>
    <w:rsid w:val="431EB649"/>
    <w:rsid w:val="4321A210"/>
    <w:rsid w:val="432B279D"/>
    <w:rsid w:val="432D38B2"/>
    <w:rsid w:val="432F67AA"/>
    <w:rsid w:val="432FE0EA"/>
    <w:rsid w:val="4334202E"/>
    <w:rsid w:val="433E2651"/>
    <w:rsid w:val="434002DD"/>
    <w:rsid w:val="43401A3E"/>
    <w:rsid w:val="4341658F"/>
    <w:rsid w:val="4348D1EF"/>
    <w:rsid w:val="43514867"/>
    <w:rsid w:val="4352E0EE"/>
    <w:rsid w:val="4354D988"/>
    <w:rsid w:val="435CC438"/>
    <w:rsid w:val="43645550"/>
    <w:rsid w:val="4366C64F"/>
    <w:rsid w:val="4369B3FC"/>
    <w:rsid w:val="436C593F"/>
    <w:rsid w:val="43718A37"/>
    <w:rsid w:val="4373D426"/>
    <w:rsid w:val="4374881F"/>
    <w:rsid w:val="43765E26"/>
    <w:rsid w:val="437D8CD5"/>
    <w:rsid w:val="4380105F"/>
    <w:rsid w:val="438059CD"/>
    <w:rsid w:val="43822F30"/>
    <w:rsid w:val="4386E2D5"/>
    <w:rsid w:val="438A6210"/>
    <w:rsid w:val="438ED9E0"/>
    <w:rsid w:val="439541BF"/>
    <w:rsid w:val="43AAAB0F"/>
    <w:rsid w:val="43B3319C"/>
    <w:rsid w:val="43C80132"/>
    <w:rsid w:val="43CB4315"/>
    <w:rsid w:val="43D27E1C"/>
    <w:rsid w:val="43D2CB0F"/>
    <w:rsid w:val="43D40CA8"/>
    <w:rsid w:val="43D45656"/>
    <w:rsid w:val="43DA25FB"/>
    <w:rsid w:val="43E15254"/>
    <w:rsid w:val="43E6E2A9"/>
    <w:rsid w:val="43E8BB9E"/>
    <w:rsid w:val="43ED68DF"/>
    <w:rsid w:val="43F89F1F"/>
    <w:rsid w:val="43FC7218"/>
    <w:rsid w:val="43FD27D3"/>
    <w:rsid w:val="44045EB1"/>
    <w:rsid w:val="442185B4"/>
    <w:rsid w:val="442F5083"/>
    <w:rsid w:val="44338818"/>
    <w:rsid w:val="4434564D"/>
    <w:rsid w:val="4435A2A9"/>
    <w:rsid w:val="443DAFB7"/>
    <w:rsid w:val="44479955"/>
    <w:rsid w:val="444A254A"/>
    <w:rsid w:val="44501AD5"/>
    <w:rsid w:val="44515E99"/>
    <w:rsid w:val="44575226"/>
    <w:rsid w:val="44580953"/>
    <w:rsid w:val="445ACC16"/>
    <w:rsid w:val="446455D9"/>
    <w:rsid w:val="446BABB2"/>
    <w:rsid w:val="446C363D"/>
    <w:rsid w:val="4474A424"/>
    <w:rsid w:val="447F5565"/>
    <w:rsid w:val="447FA3E8"/>
    <w:rsid w:val="448828D0"/>
    <w:rsid w:val="44934E0E"/>
    <w:rsid w:val="44990CB5"/>
    <w:rsid w:val="449CFB39"/>
    <w:rsid w:val="44A225AF"/>
    <w:rsid w:val="44A4C237"/>
    <w:rsid w:val="44A7F5AB"/>
    <w:rsid w:val="44AED395"/>
    <w:rsid w:val="44B0F9CD"/>
    <w:rsid w:val="44B39D53"/>
    <w:rsid w:val="44BA8C5C"/>
    <w:rsid w:val="44BB2A4F"/>
    <w:rsid w:val="44BB73C3"/>
    <w:rsid w:val="44CF0F73"/>
    <w:rsid w:val="44D1D6C0"/>
    <w:rsid w:val="44D8AED0"/>
    <w:rsid w:val="44DBA5CE"/>
    <w:rsid w:val="44E1F227"/>
    <w:rsid w:val="44F7BFA4"/>
    <w:rsid w:val="450081F2"/>
    <w:rsid w:val="45035C65"/>
    <w:rsid w:val="4503DE3E"/>
    <w:rsid w:val="45062EFC"/>
    <w:rsid w:val="4507A2F4"/>
    <w:rsid w:val="4507D26D"/>
    <w:rsid w:val="450C9667"/>
    <w:rsid w:val="450DB0C4"/>
    <w:rsid w:val="45102691"/>
    <w:rsid w:val="4511A915"/>
    <w:rsid w:val="4516DEE0"/>
    <w:rsid w:val="4518FC08"/>
    <w:rsid w:val="451A592B"/>
    <w:rsid w:val="45208EB5"/>
    <w:rsid w:val="45229F2A"/>
    <w:rsid w:val="45253B1C"/>
    <w:rsid w:val="4539C86F"/>
    <w:rsid w:val="453CB6EC"/>
    <w:rsid w:val="4540802A"/>
    <w:rsid w:val="4542E3B1"/>
    <w:rsid w:val="4543CA7C"/>
    <w:rsid w:val="454553E5"/>
    <w:rsid w:val="454A00AB"/>
    <w:rsid w:val="454C0850"/>
    <w:rsid w:val="454E50D1"/>
    <w:rsid w:val="4550711B"/>
    <w:rsid w:val="45525F45"/>
    <w:rsid w:val="4555CD3E"/>
    <w:rsid w:val="455AA5F6"/>
    <w:rsid w:val="455CA77C"/>
    <w:rsid w:val="455D9A51"/>
    <w:rsid w:val="455DB593"/>
    <w:rsid w:val="4568CD9E"/>
    <w:rsid w:val="456A35A5"/>
    <w:rsid w:val="4576AB1F"/>
    <w:rsid w:val="4578156E"/>
    <w:rsid w:val="4583FE5F"/>
    <w:rsid w:val="4588C7C5"/>
    <w:rsid w:val="4588E88A"/>
    <w:rsid w:val="458E324D"/>
    <w:rsid w:val="459C0BB5"/>
    <w:rsid w:val="45A0003C"/>
    <w:rsid w:val="45A1AFEC"/>
    <w:rsid w:val="45A5E836"/>
    <w:rsid w:val="45A8E6D4"/>
    <w:rsid w:val="45B437A6"/>
    <w:rsid w:val="45B8BCA6"/>
    <w:rsid w:val="45BBF59A"/>
    <w:rsid w:val="45BF1857"/>
    <w:rsid w:val="45C69D94"/>
    <w:rsid w:val="45C725B4"/>
    <w:rsid w:val="45CE71E3"/>
    <w:rsid w:val="45CF5DE6"/>
    <w:rsid w:val="45DD4D16"/>
    <w:rsid w:val="45DFDA8D"/>
    <w:rsid w:val="45E0D02F"/>
    <w:rsid w:val="45E2621D"/>
    <w:rsid w:val="45E36F7E"/>
    <w:rsid w:val="45E47EE0"/>
    <w:rsid w:val="45E81011"/>
    <w:rsid w:val="45F0E7FA"/>
    <w:rsid w:val="45F19979"/>
    <w:rsid w:val="45F4A280"/>
    <w:rsid w:val="45FAF762"/>
    <w:rsid w:val="46022EAF"/>
    <w:rsid w:val="460414F4"/>
    <w:rsid w:val="460F5399"/>
    <w:rsid w:val="4613D71B"/>
    <w:rsid w:val="46175FEA"/>
    <w:rsid w:val="461A4B8C"/>
    <w:rsid w:val="461C306D"/>
    <w:rsid w:val="4624B2B8"/>
    <w:rsid w:val="4625E60F"/>
    <w:rsid w:val="462E4978"/>
    <w:rsid w:val="463CFE73"/>
    <w:rsid w:val="46408633"/>
    <w:rsid w:val="46484C8F"/>
    <w:rsid w:val="46488621"/>
    <w:rsid w:val="464E2A84"/>
    <w:rsid w:val="465A4417"/>
    <w:rsid w:val="4661E5E7"/>
    <w:rsid w:val="4666F50B"/>
    <w:rsid w:val="4675CA03"/>
    <w:rsid w:val="4676FEA6"/>
    <w:rsid w:val="467A9EA9"/>
    <w:rsid w:val="468158CC"/>
    <w:rsid w:val="468A2E05"/>
    <w:rsid w:val="46A1D2A4"/>
    <w:rsid w:val="46A3D113"/>
    <w:rsid w:val="46AB5955"/>
    <w:rsid w:val="46AC35A7"/>
    <w:rsid w:val="46B343E4"/>
    <w:rsid w:val="46B7C6C5"/>
    <w:rsid w:val="46B85E7B"/>
    <w:rsid w:val="46BB8107"/>
    <w:rsid w:val="46C09679"/>
    <w:rsid w:val="46C0A352"/>
    <w:rsid w:val="46C2F830"/>
    <w:rsid w:val="46C30F43"/>
    <w:rsid w:val="46CE3CE2"/>
    <w:rsid w:val="46D3A7A1"/>
    <w:rsid w:val="46D7DCF3"/>
    <w:rsid w:val="46DAEBEA"/>
    <w:rsid w:val="46E404E8"/>
    <w:rsid w:val="46E588D9"/>
    <w:rsid w:val="46E846B8"/>
    <w:rsid w:val="46E99908"/>
    <w:rsid w:val="46E9E241"/>
    <w:rsid w:val="46EE3F87"/>
    <w:rsid w:val="46F0E606"/>
    <w:rsid w:val="46FF8F5E"/>
    <w:rsid w:val="47000E22"/>
    <w:rsid w:val="47013472"/>
    <w:rsid w:val="47026898"/>
    <w:rsid w:val="4704295F"/>
    <w:rsid w:val="4705D729"/>
    <w:rsid w:val="47074446"/>
    <w:rsid w:val="470BD0D4"/>
    <w:rsid w:val="470FAB4D"/>
    <w:rsid w:val="4731EAD9"/>
    <w:rsid w:val="473BFF72"/>
    <w:rsid w:val="4741901A"/>
    <w:rsid w:val="4742FF28"/>
    <w:rsid w:val="47478CB7"/>
    <w:rsid w:val="475013EB"/>
    <w:rsid w:val="4761596C"/>
    <w:rsid w:val="47636547"/>
    <w:rsid w:val="476E9324"/>
    <w:rsid w:val="478017A3"/>
    <w:rsid w:val="478A66EB"/>
    <w:rsid w:val="4791FEB3"/>
    <w:rsid w:val="479CC498"/>
    <w:rsid w:val="479CF52F"/>
    <w:rsid w:val="479DE906"/>
    <w:rsid w:val="47A7A026"/>
    <w:rsid w:val="47B20CF5"/>
    <w:rsid w:val="47B9197D"/>
    <w:rsid w:val="47C19DDF"/>
    <w:rsid w:val="47C1F46C"/>
    <w:rsid w:val="47C24CFC"/>
    <w:rsid w:val="47CCE5E6"/>
    <w:rsid w:val="47CD1870"/>
    <w:rsid w:val="47D063EB"/>
    <w:rsid w:val="47D19543"/>
    <w:rsid w:val="47D1E99A"/>
    <w:rsid w:val="47E2555D"/>
    <w:rsid w:val="47E8EEC5"/>
    <w:rsid w:val="47EA5936"/>
    <w:rsid w:val="47FAD9FB"/>
    <w:rsid w:val="480CF6E2"/>
    <w:rsid w:val="4812D5B9"/>
    <w:rsid w:val="4813D173"/>
    <w:rsid w:val="481759C0"/>
    <w:rsid w:val="481E90D9"/>
    <w:rsid w:val="482089EA"/>
    <w:rsid w:val="4836103D"/>
    <w:rsid w:val="483F2BA6"/>
    <w:rsid w:val="484359CE"/>
    <w:rsid w:val="4850188A"/>
    <w:rsid w:val="4854B369"/>
    <w:rsid w:val="4856FB70"/>
    <w:rsid w:val="48638E8C"/>
    <w:rsid w:val="486456CC"/>
    <w:rsid w:val="486D994D"/>
    <w:rsid w:val="4871B5BC"/>
    <w:rsid w:val="487390BD"/>
    <w:rsid w:val="487821BA"/>
    <w:rsid w:val="487AD162"/>
    <w:rsid w:val="487BF888"/>
    <w:rsid w:val="487D003A"/>
    <w:rsid w:val="48860518"/>
    <w:rsid w:val="4886A0F6"/>
    <w:rsid w:val="488A478B"/>
    <w:rsid w:val="48925588"/>
    <w:rsid w:val="4895D778"/>
    <w:rsid w:val="4899CB88"/>
    <w:rsid w:val="489A8E20"/>
    <w:rsid w:val="48A0557B"/>
    <w:rsid w:val="48A3E8C0"/>
    <w:rsid w:val="48A5BA69"/>
    <w:rsid w:val="48BA1307"/>
    <w:rsid w:val="48BC347B"/>
    <w:rsid w:val="48D58F29"/>
    <w:rsid w:val="48D5962C"/>
    <w:rsid w:val="48E26F3E"/>
    <w:rsid w:val="48FBDFFF"/>
    <w:rsid w:val="4904B64A"/>
    <w:rsid w:val="4904FB76"/>
    <w:rsid w:val="490B8F2F"/>
    <w:rsid w:val="490FD43E"/>
    <w:rsid w:val="49127F58"/>
    <w:rsid w:val="4912DB5F"/>
    <w:rsid w:val="4912DFA2"/>
    <w:rsid w:val="491C2691"/>
    <w:rsid w:val="49205399"/>
    <w:rsid w:val="4920CB17"/>
    <w:rsid w:val="49248F10"/>
    <w:rsid w:val="49311AFB"/>
    <w:rsid w:val="493195C3"/>
    <w:rsid w:val="49329F94"/>
    <w:rsid w:val="493A2974"/>
    <w:rsid w:val="493A30E5"/>
    <w:rsid w:val="4941B607"/>
    <w:rsid w:val="494896AF"/>
    <w:rsid w:val="495857EA"/>
    <w:rsid w:val="495B541B"/>
    <w:rsid w:val="496A574C"/>
    <w:rsid w:val="496B5A78"/>
    <w:rsid w:val="496E606B"/>
    <w:rsid w:val="4973C045"/>
    <w:rsid w:val="4976B1AF"/>
    <w:rsid w:val="4979C2B8"/>
    <w:rsid w:val="49814BBC"/>
    <w:rsid w:val="4985D58A"/>
    <w:rsid w:val="49912F45"/>
    <w:rsid w:val="49950DDF"/>
    <w:rsid w:val="49958FFB"/>
    <w:rsid w:val="4998D078"/>
    <w:rsid w:val="499E86D6"/>
    <w:rsid w:val="49A11DCF"/>
    <w:rsid w:val="49AC541A"/>
    <w:rsid w:val="49B7530C"/>
    <w:rsid w:val="49C0A569"/>
    <w:rsid w:val="49C11EDC"/>
    <w:rsid w:val="49C2246A"/>
    <w:rsid w:val="49C2CC75"/>
    <w:rsid w:val="49C353A9"/>
    <w:rsid w:val="49CA7083"/>
    <w:rsid w:val="49D49108"/>
    <w:rsid w:val="49D4BF1D"/>
    <w:rsid w:val="49D60419"/>
    <w:rsid w:val="49E64A31"/>
    <w:rsid w:val="49E8A016"/>
    <w:rsid w:val="49ECC305"/>
    <w:rsid w:val="49ED65B5"/>
    <w:rsid w:val="49EFD3BE"/>
    <w:rsid w:val="49F6896F"/>
    <w:rsid w:val="49F68E41"/>
    <w:rsid w:val="49F7E36F"/>
    <w:rsid w:val="49F87893"/>
    <w:rsid w:val="4A0A0896"/>
    <w:rsid w:val="4A0A4693"/>
    <w:rsid w:val="4A156407"/>
    <w:rsid w:val="4A16E50E"/>
    <w:rsid w:val="4A176660"/>
    <w:rsid w:val="4A1A5538"/>
    <w:rsid w:val="4A1B7F82"/>
    <w:rsid w:val="4A1DFC08"/>
    <w:rsid w:val="4A1E6355"/>
    <w:rsid w:val="4A20BB8B"/>
    <w:rsid w:val="4A210094"/>
    <w:rsid w:val="4A26B057"/>
    <w:rsid w:val="4A2974B0"/>
    <w:rsid w:val="4A3291E2"/>
    <w:rsid w:val="4A34B021"/>
    <w:rsid w:val="4A3A27E9"/>
    <w:rsid w:val="4A3B3924"/>
    <w:rsid w:val="4A441BA5"/>
    <w:rsid w:val="4A474813"/>
    <w:rsid w:val="4A486054"/>
    <w:rsid w:val="4A53F56F"/>
    <w:rsid w:val="4A65FEAC"/>
    <w:rsid w:val="4A683150"/>
    <w:rsid w:val="4A7639BD"/>
    <w:rsid w:val="4A766F37"/>
    <w:rsid w:val="4A78698D"/>
    <w:rsid w:val="4A80ED70"/>
    <w:rsid w:val="4A80EEFF"/>
    <w:rsid w:val="4A814FAC"/>
    <w:rsid w:val="4A8C3A98"/>
    <w:rsid w:val="4A8C4B38"/>
    <w:rsid w:val="4A954DC0"/>
    <w:rsid w:val="4A9F0C2D"/>
    <w:rsid w:val="4AAF5D1A"/>
    <w:rsid w:val="4AC60AB9"/>
    <w:rsid w:val="4AD35EDB"/>
    <w:rsid w:val="4AD828C1"/>
    <w:rsid w:val="4AD8A537"/>
    <w:rsid w:val="4ADD3494"/>
    <w:rsid w:val="4AE2F8BC"/>
    <w:rsid w:val="4AE346E0"/>
    <w:rsid w:val="4AE4BB96"/>
    <w:rsid w:val="4AE9FBE2"/>
    <w:rsid w:val="4AF3B252"/>
    <w:rsid w:val="4AF74CFB"/>
    <w:rsid w:val="4AF78281"/>
    <w:rsid w:val="4AF8C069"/>
    <w:rsid w:val="4AF8EF7E"/>
    <w:rsid w:val="4AFB2943"/>
    <w:rsid w:val="4B0A6926"/>
    <w:rsid w:val="4B0CD76F"/>
    <w:rsid w:val="4B0DA5F3"/>
    <w:rsid w:val="4B0FC47F"/>
    <w:rsid w:val="4B1631B1"/>
    <w:rsid w:val="4B22E658"/>
    <w:rsid w:val="4B24A53C"/>
    <w:rsid w:val="4B2D577B"/>
    <w:rsid w:val="4B2EA400"/>
    <w:rsid w:val="4B306FE1"/>
    <w:rsid w:val="4B30CF5F"/>
    <w:rsid w:val="4B337353"/>
    <w:rsid w:val="4B3D663C"/>
    <w:rsid w:val="4B4B8452"/>
    <w:rsid w:val="4B56BE6C"/>
    <w:rsid w:val="4B57839D"/>
    <w:rsid w:val="4B5C3B88"/>
    <w:rsid w:val="4B5E007B"/>
    <w:rsid w:val="4B5F7C41"/>
    <w:rsid w:val="4B61A0FC"/>
    <w:rsid w:val="4B6B9294"/>
    <w:rsid w:val="4B6BB222"/>
    <w:rsid w:val="4B70579A"/>
    <w:rsid w:val="4B762005"/>
    <w:rsid w:val="4B7791B5"/>
    <w:rsid w:val="4B7AFDA9"/>
    <w:rsid w:val="4B8476A5"/>
    <w:rsid w:val="4B8C038B"/>
    <w:rsid w:val="4B96D80C"/>
    <w:rsid w:val="4B977907"/>
    <w:rsid w:val="4B99B615"/>
    <w:rsid w:val="4BA04A45"/>
    <w:rsid w:val="4BA415DE"/>
    <w:rsid w:val="4BA8E1BE"/>
    <w:rsid w:val="4BAB8EC3"/>
    <w:rsid w:val="4BB00BCD"/>
    <w:rsid w:val="4BB03558"/>
    <w:rsid w:val="4BB50FF6"/>
    <w:rsid w:val="4BB5FBB9"/>
    <w:rsid w:val="4BB6D8A8"/>
    <w:rsid w:val="4BB74F5D"/>
    <w:rsid w:val="4BB7912E"/>
    <w:rsid w:val="4BB8D8F6"/>
    <w:rsid w:val="4BC20EB2"/>
    <w:rsid w:val="4BC7D5CF"/>
    <w:rsid w:val="4BC9A7E7"/>
    <w:rsid w:val="4BCA03C3"/>
    <w:rsid w:val="4BD09A87"/>
    <w:rsid w:val="4BD56C09"/>
    <w:rsid w:val="4BD97AD1"/>
    <w:rsid w:val="4BE077AD"/>
    <w:rsid w:val="4BE3307E"/>
    <w:rsid w:val="4BF39E53"/>
    <w:rsid w:val="4BF47D60"/>
    <w:rsid w:val="4BFDA1A6"/>
    <w:rsid w:val="4C11159F"/>
    <w:rsid w:val="4C139958"/>
    <w:rsid w:val="4C1426CB"/>
    <w:rsid w:val="4C1AC176"/>
    <w:rsid w:val="4C1F282B"/>
    <w:rsid w:val="4C1F52A9"/>
    <w:rsid w:val="4C22F5EC"/>
    <w:rsid w:val="4C2579D9"/>
    <w:rsid w:val="4C2D9C44"/>
    <w:rsid w:val="4C3BC8BE"/>
    <w:rsid w:val="4C3CCF48"/>
    <w:rsid w:val="4C43848D"/>
    <w:rsid w:val="4C48BDF3"/>
    <w:rsid w:val="4C4C6D24"/>
    <w:rsid w:val="4C4D9DC2"/>
    <w:rsid w:val="4C543CEB"/>
    <w:rsid w:val="4C595BEB"/>
    <w:rsid w:val="4C64328B"/>
    <w:rsid w:val="4C67AC14"/>
    <w:rsid w:val="4C6B0386"/>
    <w:rsid w:val="4C6C792D"/>
    <w:rsid w:val="4C6F7FF6"/>
    <w:rsid w:val="4C73EF00"/>
    <w:rsid w:val="4C79B471"/>
    <w:rsid w:val="4C7E9833"/>
    <w:rsid w:val="4C7EC887"/>
    <w:rsid w:val="4C82523F"/>
    <w:rsid w:val="4C860847"/>
    <w:rsid w:val="4C8ACA8C"/>
    <w:rsid w:val="4C9534C5"/>
    <w:rsid w:val="4CA68DCA"/>
    <w:rsid w:val="4CA83E9A"/>
    <w:rsid w:val="4CAFCDA3"/>
    <w:rsid w:val="4CB40068"/>
    <w:rsid w:val="4CB492F8"/>
    <w:rsid w:val="4CBC5AF4"/>
    <w:rsid w:val="4CC1CB92"/>
    <w:rsid w:val="4CC3D0FB"/>
    <w:rsid w:val="4CCD8D2A"/>
    <w:rsid w:val="4CD1A272"/>
    <w:rsid w:val="4CD8CD4F"/>
    <w:rsid w:val="4CDB0C8C"/>
    <w:rsid w:val="4CDCC80A"/>
    <w:rsid w:val="4CE3727E"/>
    <w:rsid w:val="4CE77065"/>
    <w:rsid w:val="4CF671F8"/>
    <w:rsid w:val="4CF854A6"/>
    <w:rsid w:val="4D0149C8"/>
    <w:rsid w:val="4D0BAB8E"/>
    <w:rsid w:val="4D0E88D3"/>
    <w:rsid w:val="4D119CDA"/>
    <w:rsid w:val="4D152C08"/>
    <w:rsid w:val="4D1B8ABE"/>
    <w:rsid w:val="4D2064AA"/>
    <w:rsid w:val="4D21D234"/>
    <w:rsid w:val="4D2380E2"/>
    <w:rsid w:val="4D27C392"/>
    <w:rsid w:val="4D2C5230"/>
    <w:rsid w:val="4D362858"/>
    <w:rsid w:val="4D3A569C"/>
    <w:rsid w:val="4D431A5E"/>
    <w:rsid w:val="4D43E1CE"/>
    <w:rsid w:val="4D452522"/>
    <w:rsid w:val="4D4F20D8"/>
    <w:rsid w:val="4D5664C8"/>
    <w:rsid w:val="4D5724BB"/>
    <w:rsid w:val="4D57F927"/>
    <w:rsid w:val="4D5D2722"/>
    <w:rsid w:val="4D5FB906"/>
    <w:rsid w:val="4D62F483"/>
    <w:rsid w:val="4D6C7C52"/>
    <w:rsid w:val="4D72FB8E"/>
    <w:rsid w:val="4D735C42"/>
    <w:rsid w:val="4D78F766"/>
    <w:rsid w:val="4D7AAB7E"/>
    <w:rsid w:val="4D7DD52A"/>
    <w:rsid w:val="4D83AE0E"/>
    <w:rsid w:val="4D907CB8"/>
    <w:rsid w:val="4D96319A"/>
    <w:rsid w:val="4D9CB3ED"/>
    <w:rsid w:val="4DA2E509"/>
    <w:rsid w:val="4DB0E63D"/>
    <w:rsid w:val="4DB78A7B"/>
    <w:rsid w:val="4DBED441"/>
    <w:rsid w:val="4DC39A17"/>
    <w:rsid w:val="4DD9DC2D"/>
    <w:rsid w:val="4DDA6A64"/>
    <w:rsid w:val="4DDC3D88"/>
    <w:rsid w:val="4DDD0C34"/>
    <w:rsid w:val="4DE94961"/>
    <w:rsid w:val="4DE97F0D"/>
    <w:rsid w:val="4DEFA296"/>
    <w:rsid w:val="4DF49126"/>
    <w:rsid w:val="4DFAA617"/>
    <w:rsid w:val="4DFF649F"/>
    <w:rsid w:val="4E20DC56"/>
    <w:rsid w:val="4E2AD85C"/>
    <w:rsid w:val="4E303986"/>
    <w:rsid w:val="4E3429DB"/>
    <w:rsid w:val="4E3B8CE7"/>
    <w:rsid w:val="4E3D8F66"/>
    <w:rsid w:val="4E3DB363"/>
    <w:rsid w:val="4E43FBE5"/>
    <w:rsid w:val="4E447F62"/>
    <w:rsid w:val="4E46E142"/>
    <w:rsid w:val="4E482823"/>
    <w:rsid w:val="4E4A1745"/>
    <w:rsid w:val="4E570CCA"/>
    <w:rsid w:val="4E5DCB50"/>
    <w:rsid w:val="4E60588C"/>
    <w:rsid w:val="4E6BF210"/>
    <w:rsid w:val="4E7B9064"/>
    <w:rsid w:val="4E820707"/>
    <w:rsid w:val="4E87AC09"/>
    <w:rsid w:val="4E88AC91"/>
    <w:rsid w:val="4E95F1AF"/>
    <w:rsid w:val="4E9A2F6C"/>
    <w:rsid w:val="4E9AC4F2"/>
    <w:rsid w:val="4E9C5DCB"/>
    <w:rsid w:val="4E9DF826"/>
    <w:rsid w:val="4EA9E463"/>
    <w:rsid w:val="4EAFF9C9"/>
    <w:rsid w:val="4EB33E87"/>
    <w:rsid w:val="4EBAC9ED"/>
    <w:rsid w:val="4EC13D30"/>
    <w:rsid w:val="4EC3DB22"/>
    <w:rsid w:val="4ECE8021"/>
    <w:rsid w:val="4ECF6F54"/>
    <w:rsid w:val="4ED6DD10"/>
    <w:rsid w:val="4ED8CF7F"/>
    <w:rsid w:val="4EDF731F"/>
    <w:rsid w:val="4EE82761"/>
    <w:rsid w:val="4EE84F66"/>
    <w:rsid w:val="4EEE970E"/>
    <w:rsid w:val="4EF3DC1D"/>
    <w:rsid w:val="4EF4946F"/>
    <w:rsid w:val="4EF80A94"/>
    <w:rsid w:val="4EFE6303"/>
    <w:rsid w:val="4F074EB9"/>
    <w:rsid w:val="4F07728D"/>
    <w:rsid w:val="4F08744A"/>
    <w:rsid w:val="4F0A1F59"/>
    <w:rsid w:val="4F10341A"/>
    <w:rsid w:val="4F14EF01"/>
    <w:rsid w:val="4F2459B7"/>
    <w:rsid w:val="4F2CBF72"/>
    <w:rsid w:val="4F2EF87F"/>
    <w:rsid w:val="4F31B76B"/>
    <w:rsid w:val="4F32BC0E"/>
    <w:rsid w:val="4F348C6F"/>
    <w:rsid w:val="4F367E35"/>
    <w:rsid w:val="4F387742"/>
    <w:rsid w:val="4F3D14AF"/>
    <w:rsid w:val="4F3D4BDE"/>
    <w:rsid w:val="4F41FC73"/>
    <w:rsid w:val="4F45E667"/>
    <w:rsid w:val="4F46E282"/>
    <w:rsid w:val="4F532FB3"/>
    <w:rsid w:val="4F57FEB4"/>
    <w:rsid w:val="4F635368"/>
    <w:rsid w:val="4F644C50"/>
    <w:rsid w:val="4F64ADDB"/>
    <w:rsid w:val="4F6703CB"/>
    <w:rsid w:val="4F72CC3A"/>
    <w:rsid w:val="4F8635DE"/>
    <w:rsid w:val="4F879439"/>
    <w:rsid w:val="4F8D0EF0"/>
    <w:rsid w:val="4F9140F4"/>
    <w:rsid w:val="4F988771"/>
    <w:rsid w:val="4FA670DD"/>
    <w:rsid w:val="4FADCDBC"/>
    <w:rsid w:val="4FAE1EE4"/>
    <w:rsid w:val="4FB5C91A"/>
    <w:rsid w:val="4FB6959D"/>
    <w:rsid w:val="4FB8ECA3"/>
    <w:rsid w:val="4FC30721"/>
    <w:rsid w:val="4FC7368E"/>
    <w:rsid w:val="4FC8B104"/>
    <w:rsid w:val="4FCAA1B8"/>
    <w:rsid w:val="4FCD09A0"/>
    <w:rsid w:val="4FD27BE4"/>
    <w:rsid w:val="4FD70B14"/>
    <w:rsid w:val="4FDCD66D"/>
    <w:rsid w:val="4FE49139"/>
    <w:rsid w:val="4FF34697"/>
    <w:rsid w:val="4FF5ADE8"/>
    <w:rsid w:val="4FF67EED"/>
    <w:rsid w:val="50015C42"/>
    <w:rsid w:val="5001A5D8"/>
    <w:rsid w:val="5009FC25"/>
    <w:rsid w:val="500A94BF"/>
    <w:rsid w:val="5010B3BB"/>
    <w:rsid w:val="5012388F"/>
    <w:rsid w:val="50123CA7"/>
    <w:rsid w:val="5019A5AE"/>
    <w:rsid w:val="50305D92"/>
    <w:rsid w:val="503226AF"/>
    <w:rsid w:val="50371A77"/>
    <w:rsid w:val="503782D7"/>
    <w:rsid w:val="50420212"/>
    <w:rsid w:val="50455248"/>
    <w:rsid w:val="50459B28"/>
    <w:rsid w:val="5047368E"/>
    <w:rsid w:val="50494EC1"/>
    <w:rsid w:val="504DF656"/>
    <w:rsid w:val="5051CD82"/>
    <w:rsid w:val="50597AE5"/>
    <w:rsid w:val="505BB4D3"/>
    <w:rsid w:val="5061A639"/>
    <w:rsid w:val="5064DBF1"/>
    <w:rsid w:val="5068FF60"/>
    <w:rsid w:val="506B9930"/>
    <w:rsid w:val="5071E799"/>
    <w:rsid w:val="5077C550"/>
    <w:rsid w:val="507D6AFB"/>
    <w:rsid w:val="507E9438"/>
    <w:rsid w:val="5087F62F"/>
    <w:rsid w:val="508C75ED"/>
    <w:rsid w:val="50916E16"/>
    <w:rsid w:val="50943316"/>
    <w:rsid w:val="50984F7C"/>
    <w:rsid w:val="5099A52D"/>
    <w:rsid w:val="509B0B50"/>
    <w:rsid w:val="509E0B98"/>
    <w:rsid w:val="509EC93C"/>
    <w:rsid w:val="50A0E9ED"/>
    <w:rsid w:val="50A37616"/>
    <w:rsid w:val="50A92DDC"/>
    <w:rsid w:val="50AD2C00"/>
    <w:rsid w:val="50AF0F81"/>
    <w:rsid w:val="50B5195A"/>
    <w:rsid w:val="50B6AF25"/>
    <w:rsid w:val="50B72D8F"/>
    <w:rsid w:val="50B9EE93"/>
    <w:rsid w:val="50BBCD29"/>
    <w:rsid w:val="50C39CDA"/>
    <w:rsid w:val="50C51A7F"/>
    <w:rsid w:val="50C931C9"/>
    <w:rsid w:val="50CAD179"/>
    <w:rsid w:val="50CC8EF2"/>
    <w:rsid w:val="50CD4B4B"/>
    <w:rsid w:val="50D262C4"/>
    <w:rsid w:val="50D408AE"/>
    <w:rsid w:val="50D9F51F"/>
    <w:rsid w:val="50DF65B0"/>
    <w:rsid w:val="50E3CDAD"/>
    <w:rsid w:val="50E8D8CC"/>
    <w:rsid w:val="50EA0441"/>
    <w:rsid w:val="50F26BAF"/>
    <w:rsid w:val="50F46AE7"/>
    <w:rsid w:val="50F56958"/>
    <w:rsid w:val="50F8FD65"/>
    <w:rsid w:val="50FBAA3E"/>
    <w:rsid w:val="50FCAAF9"/>
    <w:rsid w:val="51051067"/>
    <w:rsid w:val="510AB768"/>
    <w:rsid w:val="511269FD"/>
    <w:rsid w:val="5121B48D"/>
    <w:rsid w:val="5121BD0F"/>
    <w:rsid w:val="5127462E"/>
    <w:rsid w:val="512C30EA"/>
    <w:rsid w:val="512EA378"/>
    <w:rsid w:val="5138287E"/>
    <w:rsid w:val="513920A2"/>
    <w:rsid w:val="513B39D5"/>
    <w:rsid w:val="514DC0E1"/>
    <w:rsid w:val="5151C9A2"/>
    <w:rsid w:val="515BFEB8"/>
    <w:rsid w:val="5161A503"/>
    <w:rsid w:val="5163CB72"/>
    <w:rsid w:val="51656795"/>
    <w:rsid w:val="51723A63"/>
    <w:rsid w:val="517BE9E0"/>
    <w:rsid w:val="5184E275"/>
    <w:rsid w:val="518D3455"/>
    <w:rsid w:val="518DE95D"/>
    <w:rsid w:val="51913E84"/>
    <w:rsid w:val="5191FF4D"/>
    <w:rsid w:val="519318E3"/>
    <w:rsid w:val="519EFB4F"/>
    <w:rsid w:val="51A2C4B2"/>
    <w:rsid w:val="51AFBD0C"/>
    <w:rsid w:val="51B53DF5"/>
    <w:rsid w:val="51B77023"/>
    <w:rsid w:val="51B95D6B"/>
    <w:rsid w:val="51BF51C3"/>
    <w:rsid w:val="51C13873"/>
    <w:rsid w:val="51C3DCAF"/>
    <w:rsid w:val="51C45D41"/>
    <w:rsid w:val="51C59C68"/>
    <w:rsid w:val="51CECC0A"/>
    <w:rsid w:val="51D4D1EE"/>
    <w:rsid w:val="51D52CC3"/>
    <w:rsid w:val="51DBEC53"/>
    <w:rsid w:val="51DDD273"/>
    <w:rsid w:val="51DF4CDB"/>
    <w:rsid w:val="51F89C6C"/>
    <w:rsid w:val="51FA876D"/>
    <w:rsid w:val="520B96FE"/>
    <w:rsid w:val="520E91DB"/>
    <w:rsid w:val="521660F4"/>
    <w:rsid w:val="521CBFA3"/>
    <w:rsid w:val="521FFF51"/>
    <w:rsid w:val="52234BFF"/>
    <w:rsid w:val="5224B666"/>
    <w:rsid w:val="522587DA"/>
    <w:rsid w:val="523B7C41"/>
    <w:rsid w:val="524029D0"/>
    <w:rsid w:val="524C5772"/>
    <w:rsid w:val="52512C20"/>
    <w:rsid w:val="52623418"/>
    <w:rsid w:val="5263182A"/>
    <w:rsid w:val="526459BD"/>
    <w:rsid w:val="52674A6B"/>
    <w:rsid w:val="526AA7EA"/>
    <w:rsid w:val="526B32B8"/>
    <w:rsid w:val="526D5E69"/>
    <w:rsid w:val="526FE9BA"/>
    <w:rsid w:val="5275AFA2"/>
    <w:rsid w:val="52854206"/>
    <w:rsid w:val="528AFC3F"/>
    <w:rsid w:val="529B8151"/>
    <w:rsid w:val="52A92883"/>
    <w:rsid w:val="52A99128"/>
    <w:rsid w:val="52ABCAD5"/>
    <w:rsid w:val="52ABD732"/>
    <w:rsid w:val="52B0D363"/>
    <w:rsid w:val="52BC1AE1"/>
    <w:rsid w:val="52BE8173"/>
    <w:rsid w:val="52C8F872"/>
    <w:rsid w:val="52CA694D"/>
    <w:rsid w:val="52D12A07"/>
    <w:rsid w:val="52D1343A"/>
    <w:rsid w:val="52D9D0DF"/>
    <w:rsid w:val="52DDF7C6"/>
    <w:rsid w:val="52E47857"/>
    <w:rsid w:val="52E663B5"/>
    <w:rsid w:val="52E6F7C0"/>
    <w:rsid w:val="52EA9FFD"/>
    <w:rsid w:val="52ED3648"/>
    <w:rsid w:val="52F37CFB"/>
    <w:rsid w:val="52F407BD"/>
    <w:rsid w:val="52F6B8C2"/>
    <w:rsid w:val="52FD7564"/>
    <w:rsid w:val="5300C20E"/>
    <w:rsid w:val="530229CA"/>
    <w:rsid w:val="53047A5D"/>
    <w:rsid w:val="530604BA"/>
    <w:rsid w:val="5307204A"/>
    <w:rsid w:val="530DE101"/>
    <w:rsid w:val="530FF2EF"/>
    <w:rsid w:val="531067BC"/>
    <w:rsid w:val="531D21DD"/>
    <w:rsid w:val="5324D3AC"/>
    <w:rsid w:val="532F4EAD"/>
    <w:rsid w:val="532FF9F5"/>
    <w:rsid w:val="53367823"/>
    <w:rsid w:val="53381578"/>
    <w:rsid w:val="5339D636"/>
    <w:rsid w:val="533BECB4"/>
    <w:rsid w:val="53477002"/>
    <w:rsid w:val="534ACD46"/>
    <w:rsid w:val="534B5D29"/>
    <w:rsid w:val="5350D029"/>
    <w:rsid w:val="53543044"/>
    <w:rsid w:val="53607727"/>
    <w:rsid w:val="5361E012"/>
    <w:rsid w:val="5362650F"/>
    <w:rsid w:val="5364C2EF"/>
    <w:rsid w:val="536860A5"/>
    <w:rsid w:val="5369AD93"/>
    <w:rsid w:val="536B83F1"/>
    <w:rsid w:val="536D0C8A"/>
    <w:rsid w:val="5373097E"/>
    <w:rsid w:val="537E1A02"/>
    <w:rsid w:val="537EB7C5"/>
    <w:rsid w:val="5384E4B4"/>
    <w:rsid w:val="53869A0D"/>
    <w:rsid w:val="53989695"/>
    <w:rsid w:val="5398E081"/>
    <w:rsid w:val="53992541"/>
    <w:rsid w:val="5399AD83"/>
    <w:rsid w:val="539AE776"/>
    <w:rsid w:val="53A4DB56"/>
    <w:rsid w:val="53A7DDEC"/>
    <w:rsid w:val="53A94C10"/>
    <w:rsid w:val="53A9B28F"/>
    <w:rsid w:val="53ACD945"/>
    <w:rsid w:val="53BA6C52"/>
    <w:rsid w:val="53BE00E9"/>
    <w:rsid w:val="53C0D3EA"/>
    <w:rsid w:val="53C685C6"/>
    <w:rsid w:val="53C6DAF2"/>
    <w:rsid w:val="53C829BF"/>
    <w:rsid w:val="53C8A2F7"/>
    <w:rsid w:val="53CB3CAD"/>
    <w:rsid w:val="53D3E80D"/>
    <w:rsid w:val="53D4EC7F"/>
    <w:rsid w:val="53D725B5"/>
    <w:rsid w:val="53D72725"/>
    <w:rsid w:val="53DF6D39"/>
    <w:rsid w:val="53E5AC57"/>
    <w:rsid w:val="53ECFCA5"/>
    <w:rsid w:val="53F43847"/>
    <w:rsid w:val="53F60D62"/>
    <w:rsid w:val="53FB510B"/>
    <w:rsid w:val="53FBDBAE"/>
    <w:rsid w:val="53FC4836"/>
    <w:rsid w:val="54057DB5"/>
    <w:rsid w:val="540BEB43"/>
    <w:rsid w:val="540D6E15"/>
    <w:rsid w:val="540F9CC3"/>
    <w:rsid w:val="54103C0B"/>
    <w:rsid w:val="54142380"/>
    <w:rsid w:val="541BA33F"/>
    <w:rsid w:val="541E550A"/>
    <w:rsid w:val="5424AE62"/>
    <w:rsid w:val="542AEFC5"/>
    <w:rsid w:val="543877C4"/>
    <w:rsid w:val="5439DEF2"/>
    <w:rsid w:val="543A9C41"/>
    <w:rsid w:val="543BD7CC"/>
    <w:rsid w:val="543EB622"/>
    <w:rsid w:val="54470794"/>
    <w:rsid w:val="544EB55C"/>
    <w:rsid w:val="54516597"/>
    <w:rsid w:val="5451C628"/>
    <w:rsid w:val="5458F0EB"/>
    <w:rsid w:val="545AF5DF"/>
    <w:rsid w:val="545D78F8"/>
    <w:rsid w:val="5469121E"/>
    <w:rsid w:val="546A3673"/>
    <w:rsid w:val="546DB707"/>
    <w:rsid w:val="546EA937"/>
    <w:rsid w:val="5472C663"/>
    <w:rsid w:val="5477B67A"/>
    <w:rsid w:val="54821521"/>
    <w:rsid w:val="54882D5D"/>
    <w:rsid w:val="548DE4BE"/>
    <w:rsid w:val="5496D51F"/>
    <w:rsid w:val="549C7465"/>
    <w:rsid w:val="549E4F7E"/>
    <w:rsid w:val="549FA792"/>
    <w:rsid w:val="54A30E51"/>
    <w:rsid w:val="54AA5A14"/>
    <w:rsid w:val="54AC05BB"/>
    <w:rsid w:val="54B0CD7F"/>
    <w:rsid w:val="54B3E0CB"/>
    <w:rsid w:val="54C04B47"/>
    <w:rsid w:val="54C11273"/>
    <w:rsid w:val="54C2D1AA"/>
    <w:rsid w:val="54C892AB"/>
    <w:rsid w:val="54DCC1C0"/>
    <w:rsid w:val="54DD2582"/>
    <w:rsid w:val="54DD7A97"/>
    <w:rsid w:val="54DEACEE"/>
    <w:rsid w:val="54E0FD0C"/>
    <w:rsid w:val="54E26D59"/>
    <w:rsid w:val="54EEED3E"/>
    <w:rsid w:val="54F6D133"/>
    <w:rsid w:val="54F8F671"/>
    <w:rsid w:val="5503DDE2"/>
    <w:rsid w:val="5507DD29"/>
    <w:rsid w:val="550D564F"/>
    <w:rsid w:val="55107B07"/>
    <w:rsid w:val="5513B2E1"/>
    <w:rsid w:val="551C0426"/>
    <w:rsid w:val="5522B3AB"/>
    <w:rsid w:val="553306B6"/>
    <w:rsid w:val="55379CAA"/>
    <w:rsid w:val="553EBC7F"/>
    <w:rsid w:val="5543B859"/>
    <w:rsid w:val="5546CBC1"/>
    <w:rsid w:val="55536565"/>
    <w:rsid w:val="5553DB03"/>
    <w:rsid w:val="5558CC1A"/>
    <w:rsid w:val="555FAA1D"/>
    <w:rsid w:val="556D76E9"/>
    <w:rsid w:val="5576A001"/>
    <w:rsid w:val="5579E3D5"/>
    <w:rsid w:val="5584B37D"/>
    <w:rsid w:val="558D5D02"/>
    <w:rsid w:val="5591E754"/>
    <w:rsid w:val="5597B380"/>
    <w:rsid w:val="5598A5E7"/>
    <w:rsid w:val="5599828F"/>
    <w:rsid w:val="559EC908"/>
    <w:rsid w:val="55A1F7B6"/>
    <w:rsid w:val="55A49A9D"/>
    <w:rsid w:val="55A65EDC"/>
    <w:rsid w:val="55AA652D"/>
    <w:rsid w:val="55ADA78D"/>
    <w:rsid w:val="55B0DA06"/>
    <w:rsid w:val="55B4D843"/>
    <w:rsid w:val="55BF07A3"/>
    <w:rsid w:val="55D4B12F"/>
    <w:rsid w:val="55E5100A"/>
    <w:rsid w:val="55E61E7E"/>
    <w:rsid w:val="55F03AD2"/>
    <w:rsid w:val="55F23E20"/>
    <w:rsid w:val="55F66695"/>
    <w:rsid w:val="55F97CC3"/>
    <w:rsid w:val="55FC3BA8"/>
    <w:rsid w:val="55FF7BAB"/>
    <w:rsid w:val="56024699"/>
    <w:rsid w:val="5605D5C7"/>
    <w:rsid w:val="56073D48"/>
    <w:rsid w:val="56089710"/>
    <w:rsid w:val="56101CEE"/>
    <w:rsid w:val="5611BB6F"/>
    <w:rsid w:val="5612848F"/>
    <w:rsid w:val="561480A0"/>
    <w:rsid w:val="56185081"/>
    <w:rsid w:val="5619F1D2"/>
    <w:rsid w:val="561CAD7A"/>
    <w:rsid w:val="5626FF16"/>
    <w:rsid w:val="56275A3B"/>
    <w:rsid w:val="562FF201"/>
    <w:rsid w:val="5641C357"/>
    <w:rsid w:val="56467925"/>
    <w:rsid w:val="56475D95"/>
    <w:rsid w:val="564B42D8"/>
    <w:rsid w:val="564F5A98"/>
    <w:rsid w:val="56657C4E"/>
    <w:rsid w:val="5666B288"/>
    <w:rsid w:val="5668B072"/>
    <w:rsid w:val="566BD2E0"/>
    <w:rsid w:val="566D8C5B"/>
    <w:rsid w:val="566FF7BC"/>
    <w:rsid w:val="5674777F"/>
    <w:rsid w:val="567CF711"/>
    <w:rsid w:val="567FCFB5"/>
    <w:rsid w:val="5684021A"/>
    <w:rsid w:val="5686818B"/>
    <w:rsid w:val="56886C75"/>
    <w:rsid w:val="5695D965"/>
    <w:rsid w:val="56961CBF"/>
    <w:rsid w:val="5696A21C"/>
    <w:rsid w:val="5698F086"/>
    <w:rsid w:val="56A6440C"/>
    <w:rsid w:val="56A84A9D"/>
    <w:rsid w:val="56AE4F2E"/>
    <w:rsid w:val="56C2A363"/>
    <w:rsid w:val="56C7BBD7"/>
    <w:rsid w:val="56D3E3EF"/>
    <w:rsid w:val="56D7899F"/>
    <w:rsid w:val="56D83B8A"/>
    <w:rsid w:val="56D8C712"/>
    <w:rsid w:val="56DB549F"/>
    <w:rsid w:val="56DBE92F"/>
    <w:rsid w:val="56DDBDD2"/>
    <w:rsid w:val="56DFC78C"/>
    <w:rsid w:val="56E2D80C"/>
    <w:rsid w:val="56E38563"/>
    <w:rsid w:val="56E71EF9"/>
    <w:rsid w:val="56ED87F3"/>
    <w:rsid w:val="56F2D86A"/>
    <w:rsid w:val="56F5921F"/>
    <w:rsid w:val="56F73C3E"/>
    <w:rsid w:val="56F82D58"/>
    <w:rsid w:val="56FA5DD2"/>
    <w:rsid w:val="5704F827"/>
    <w:rsid w:val="570C04AF"/>
    <w:rsid w:val="570C5318"/>
    <w:rsid w:val="570E9677"/>
    <w:rsid w:val="5718F6C3"/>
    <w:rsid w:val="571C2AD4"/>
    <w:rsid w:val="572801DB"/>
    <w:rsid w:val="572EDF37"/>
    <w:rsid w:val="572FB061"/>
    <w:rsid w:val="57327316"/>
    <w:rsid w:val="5732882B"/>
    <w:rsid w:val="5738CC93"/>
    <w:rsid w:val="573F7A0A"/>
    <w:rsid w:val="57403EA8"/>
    <w:rsid w:val="5740B468"/>
    <w:rsid w:val="5743AB50"/>
    <w:rsid w:val="5744EC57"/>
    <w:rsid w:val="574F76A9"/>
    <w:rsid w:val="5765793C"/>
    <w:rsid w:val="5765F203"/>
    <w:rsid w:val="5769F855"/>
    <w:rsid w:val="576ADAE7"/>
    <w:rsid w:val="576B0A6E"/>
    <w:rsid w:val="576DC481"/>
    <w:rsid w:val="57747B97"/>
    <w:rsid w:val="577AAAED"/>
    <w:rsid w:val="577DAA9F"/>
    <w:rsid w:val="57878C1F"/>
    <w:rsid w:val="57941346"/>
    <w:rsid w:val="57949934"/>
    <w:rsid w:val="57955723"/>
    <w:rsid w:val="57A9246A"/>
    <w:rsid w:val="57AD4202"/>
    <w:rsid w:val="57AE8F84"/>
    <w:rsid w:val="57AFCF80"/>
    <w:rsid w:val="57B12A7A"/>
    <w:rsid w:val="57B52670"/>
    <w:rsid w:val="57B60C07"/>
    <w:rsid w:val="57B74DEA"/>
    <w:rsid w:val="57B7BB62"/>
    <w:rsid w:val="57B8F9F5"/>
    <w:rsid w:val="57BD1843"/>
    <w:rsid w:val="57C4AD21"/>
    <w:rsid w:val="57C7B216"/>
    <w:rsid w:val="57CDADB9"/>
    <w:rsid w:val="57D5677D"/>
    <w:rsid w:val="57E5236C"/>
    <w:rsid w:val="57E61783"/>
    <w:rsid w:val="57E950E4"/>
    <w:rsid w:val="57F0819D"/>
    <w:rsid w:val="57F85991"/>
    <w:rsid w:val="57FEA982"/>
    <w:rsid w:val="58018A3A"/>
    <w:rsid w:val="5804EFAB"/>
    <w:rsid w:val="5807EDFA"/>
    <w:rsid w:val="580FB790"/>
    <w:rsid w:val="5810BEBF"/>
    <w:rsid w:val="58128168"/>
    <w:rsid w:val="581FCA44"/>
    <w:rsid w:val="5825D393"/>
    <w:rsid w:val="582D589D"/>
    <w:rsid w:val="582E3165"/>
    <w:rsid w:val="5830C72C"/>
    <w:rsid w:val="5838291E"/>
    <w:rsid w:val="5838C065"/>
    <w:rsid w:val="583F2A28"/>
    <w:rsid w:val="583F8F98"/>
    <w:rsid w:val="5841E557"/>
    <w:rsid w:val="584A5F43"/>
    <w:rsid w:val="584A915E"/>
    <w:rsid w:val="58543B27"/>
    <w:rsid w:val="586077B8"/>
    <w:rsid w:val="5861F0A3"/>
    <w:rsid w:val="58663415"/>
    <w:rsid w:val="586A8C62"/>
    <w:rsid w:val="586BD72A"/>
    <w:rsid w:val="586C4FBF"/>
    <w:rsid w:val="587BE922"/>
    <w:rsid w:val="58856162"/>
    <w:rsid w:val="588B55AF"/>
    <w:rsid w:val="588CB823"/>
    <w:rsid w:val="588FBEA5"/>
    <w:rsid w:val="58940A81"/>
    <w:rsid w:val="5895A01A"/>
    <w:rsid w:val="58962E33"/>
    <w:rsid w:val="589ECB37"/>
    <w:rsid w:val="58A9A7E8"/>
    <w:rsid w:val="58AAD73B"/>
    <w:rsid w:val="58AB5678"/>
    <w:rsid w:val="58AF52BF"/>
    <w:rsid w:val="58B5316D"/>
    <w:rsid w:val="58B54FBF"/>
    <w:rsid w:val="58B8EC92"/>
    <w:rsid w:val="58BF4D9E"/>
    <w:rsid w:val="58C1F121"/>
    <w:rsid w:val="58C293F3"/>
    <w:rsid w:val="58C69ACA"/>
    <w:rsid w:val="58CB2658"/>
    <w:rsid w:val="58CB7C7A"/>
    <w:rsid w:val="58CBD0CA"/>
    <w:rsid w:val="58CF7FFB"/>
    <w:rsid w:val="58D82509"/>
    <w:rsid w:val="58D86BFC"/>
    <w:rsid w:val="58DC560F"/>
    <w:rsid w:val="58DCC36A"/>
    <w:rsid w:val="58E2CFE4"/>
    <w:rsid w:val="58F88B3E"/>
    <w:rsid w:val="58FABF60"/>
    <w:rsid w:val="58FE41C0"/>
    <w:rsid w:val="58FEEAE8"/>
    <w:rsid w:val="5903FC8B"/>
    <w:rsid w:val="590823F5"/>
    <w:rsid w:val="5910DC86"/>
    <w:rsid w:val="5918A9FB"/>
    <w:rsid w:val="59233094"/>
    <w:rsid w:val="59295B60"/>
    <w:rsid w:val="592BD37B"/>
    <w:rsid w:val="592E35C8"/>
    <w:rsid w:val="592F9FED"/>
    <w:rsid w:val="5932075E"/>
    <w:rsid w:val="59335293"/>
    <w:rsid w:val="593384E1"/>
    <w:rsid w:val="5952D397"/>
    <w:rsid w:val="5952FBA7"/>
    <w:rsid w:val="59548FAE"/>
    <w:rsid w:val="5956956E"/>
    <w:rsid w:val="595A1B1F"/>
    <w:rsid w:val="595C6F5B"/>
    <w:rsid w:val="595D4D97"/>
    <w:rsid w:val="595DBFD8"/>
    <w:rsid w:val="5960E04D"/>
    <w:rsid w:val="5980BC72"/>
    <w:rsid w:val="5986EF5F"/>
    <w:rsid w:val="598F3AB6"/>
    <w:rsid w:val="59A28C2E"/>
    <w:rsid w:val="59A65776"/>
    <w:rsid w:val="59AD3132"/>
    <w:rsid w:val="59B3CB54"/>
    <w:rsid w:val="59B72C7E"/>
    <w:rsid w:val="59BF2C82"/>
    <w:rsid w:val="59C34548"/>
    <w:rsid w:val="59C8AEC8"/>
    <w:rsid w:val="59CA8522"/>
    <w:rsid w:val="59CE74B4"/>
    <w:rsid w:val="59D553CA"/>
    <w:rsid w:val="59DAEE64"/>
    <w:rsid w:val="59DBDAD3"/>
    <w:rsid w:val="59DFF547"/>
    <w:rsid w:val="59E058CB"/>
    <w:rsid w:val="59E76E9A"/>
    <w:rsid w:val="59EA8533"/>
    <w:rsid w:val="59EB983E"/>
    <w:rsid w:val="59F25BBA"/>
    <w:rsid w:val="59F81678"/>
    <w:rsid w:val="59F98140"/>
    <w:rsid w:val="5A05DDE2"/>
    <w:rsid w:val="5A06703B"/>
    <w:rsid w:val="5A169707"/>
    <w:rsid w:val="5A1EA4A9"/>
    <w:rsid w:val="5A2115FD"/>
    <w:rsid w:val="5A2639CE"/>
    <w:rsid w:val="5A2AD6AB"/>
    <w:rsid w:val="5A2AF1EE"/>
    <w:rsid w:val="5A30442C"/>
    <w:rsid w:val="5A380BB2"/>
    <w:rsid w:val="5A3B9E39"/>
    <w:rsid w:val="5A3D1D61"/>
    <w:rsid w:val="5A4AFAF7"/>
    <w:rsid w:val="5A4B90A2"/>
    <w:rsid w:val="5A4D5217"/>
    <w:rsid w:val="5A537E74"/>
    <w:rsid w:val="5A56F91D"/>
    <w:rsid w:val="5A5B4C9A"/>
    <w:rsid w:val="5A5C14E7"/>
    <w:rsid w:val="5A62F082"/>
    <w:rsid w:val="5A653F38"/>
    <w:rsid w:val="5A657AFB"/>
    <w:rsid w:val="5A6988A3"/>
    <w:rsid w:val="5A6E45B5"/>
    <w:rsid w:val="5A6F7E02"/>
    <w:rsid w:val="5A75E991"/>
    <w:rsid w:val="5A7F0383"/>
    <w:rsid w:val="5A811126"/>
    <w:rsid w:val="5A851C35"/>
    <w:rsid w:val="5A8C3B40"/>
    <w:rsid w:val="5A9A8D6E"/>
    <w:rsid w:val="5AA9230C"/>
    <w:rsid w:val="5AAE6643"/>
    <w:rsid w:val="5AB42A59"/>
    <w:rsid w:val="5AB4BBC0"/>
    <w:rsid w:val="5ABA4901"/>
    <w:rsid w:val="5ABECD3C"/>
    <w:rsid w:val="5ABEF960"/>
    <w:rsid w:val="5AC4C25E"/>
    <w:rsid w:val="5AD3F0E3"/>
    <w:rsid w:val="5AD9861A"/>
    <w:rsid w:val="5ADCA74B"/>
    <w:rsid w:val="5AE2E511"/>
    <w:rsid w:val="5AE4DF69"/>
    <w:rsid w:val="5AE57103"/>
    <w:rsid w:val="5AEF02D0"/>
    <w:rsid w:val="5AFFB322"/>
    <w:rsid w:val="5B00D518"/>
    <w:rsid w:val="5B034354"/>
    <w:rsid w:val="5B03A7F1"/>
    <w:rsid w:val="5B04563A"/>
    <w:rsid w:val="5B0C38F9"/>
    <w:rsid w:val="5B112F6A"/>
    <w:rsid w:val="5B16AD55"/>
    <w:rsid w:val="5B22F3D9"/>
    <w:rsid w:val="5B26C705"/>
    <w:rsid w:val="5B2CF187"/>
    <w:rsid w:val="5B315913"/>
    <w:rsid w:val="5B42E912"/>
    <w:rsid w:val="5B4BBD7F"/>
    <w:rsid w:val="5B5325B1"/>
    <w:rsid w:val="5B53DB7E"/>
    <w:rsid w:val="5B573CBE"/>
    <w:rsid w:val="5B64D512"/>
    <w:rsid w:val="5B760868"/>
    <w:rsid w:val="5B79C973"/>
    <w:rsid w:val="5B80F1C1"/>
    <w:rsid w:val="5B83B410"/>
    <w:rsid w:val="5B8D1F16"/>
    <w:rsid w:val="5B92335E"/>
    <w:rsid w:val="5B93ECA8"/>
    <w:rsid w:val="5B96E98E"/>
    <w:rsid w:val="5B9CE666"/>
    <w:rsid w:val="5BACF63D"/>
    <w:rsid w:val="5BB38FB2"/>
    <w:rsid w:val="5BB3E8BE"/>
    <w:rsid w:val="5BBB5F64"/>
    <w:rsid w:val="5BBC01E5"/>
    <w:rsid w:val="5BBC8EEB"/>
    <w:rsid w:val="5BC20416"/>
    <w:rsid w:val="5BC44DC0"/>
    <w:rsid w:val="5BC4CC41"/>
    <w:rsid w:val="5BC54C59"/>
    <w:rsid w:val="5BC66470"/>
    <w:rsid w:val="5BC92602"/>
    <w:rsid w:val="5BCB8407"/>
    <w:rsid w:val="5BCC936E"/>
    <w:rsid w:val="5BCE92D4"/>
    <w:rsid w:val="5BCF51E0"/>
    <w:rsid w:val="5BD3735E"/>
    <w:rsid w:val="5BDF8190"/>
    <w:rsid w:val="5BDFECC9"/>
    <w:rsid w:val="5BEB522D"/>
    <w:rsid w:val="5BF33E71"/>
    <w:rsid w:val="5C00FDC0"/>
    <w:rsid w:val="5C05D22E"/>
    <w:rsid w:val="5C1136C3"/>
    <w:rsid w:val="5C16732C"/>
    <w:rsid w:val="5C183293"/>
    <w:rsid w:val="5C1BD088"/>
    <w:rsid w:val="5C25B634"/>
    <w:rsid w:val="5C25C72E"/>
    <w:rsid w:val="5C275A88"/>
    <w:rsid w:val="5C2B59DA"/>
    <w:rsid w:val="5C2C4447"/>
    <w:rsid w:val="5C380061"/>
    <w:rsid w:val="5C3C7680"/>
    <w:rsid w:val="5C3ED00D"/>
    <w:rsid w:val="5C4269B7"/>
    <w:rsid w:val="5C469DCC"/>
    <w:rsid w:val="5C47578C"/>
    <w:rsid w:val="5C505573"/>
    <w:rsid w:val="5C53EB41"/>
    <w:rsid w:val="5C559D4A"/>
    <w:rsid w:val="5C581BF5"/>
    <w:rsid w:val="5C58DCC6"/>
    <w:rsid w:val="5C5F9C74"/>
    <w:rsid w:val="5C70AEA8"/>
    <w:rsid w:val="5C787141"/>
    <w:rsid w:val="5C7D6B97"/>
    <w:rsid w:val="5C820762"/>
    <w:rsid w:val="5C82CBFF"/>
    <w:rsid w:val="5C834324"/>
    <w:rsid w:val="5C9FFF17"/>
    <w:rsid w:val="5CA9ACAD"/>
    <w:rsid w:val="5CAC31B8"/>
    <w:rsid w:val="5CB7644A"/>
    <w:rsid w:val="5CB8FC76"/>
    <w:rsid w:val="5CC30D52"/>
    <w:rsid w:val="5CC61DBE"/>
    <w:rsid w:val="5CCECAC8"/>
    <w:rsid w:val="5CCF6FDD"/>
    <w:rsid w:val="5CCFFED3"/>
    <w:rsid w:val="5CD0E7F5"/>
    <w:rsid w:val="5CDCC646"/>
    <w:rsid w:val="5CE04A58"/>
    <w:rsid w:val="5CE06838"/>
    <w:rsid w:val="5CEA6814"/>
    <w:rsid w:val="5CEDCADD"/>
    <w:rsid w:val="5CF082F1"/>
    <w:rsid w:val="5CF1FF7A"/>
    <w:rsid w:val="5CFAB9CF"/>
    <w:rsid w:val="5CFBFC03"/>
    <w:rsid w:val="5CFF4C61"/>
    <w:rsid w:val="5D03A71A"/>
    <w:rsid w:val="5D13709E"/>
    <w:rsid w:val="5D1771BC"/>
    <w:rsid w:val="5D190517"/>
    <w:rsid w:val="5D198F9E"/>
    <w:rsid w:val="5D1A4704"/>
    <w:rsid w:val="5D1C6094"/>
    <w:rsid w:val="5D20BF30"/>
    <w:rsid w:val="5D254E83"/>
    <w:rsid w:val="5D25AECA"/>
    <w:rsid w:val="5D26BF6A"/>
    <w:rsid w:val="5D2D3F57"/>
    <w:rsid w:val="5D315E58"/>
    <w:rsid w:val="5D432A6C"/>
    <w:rsid w:val="5D439564"/>
    <w:rsid w:val="5D4512BF"/>
    <w:rsid w:val="5D465238"/>
    <w:rsid w:val="5D4B4B41"/>
    <w:rsid w:val="5D4D135D"/>
    <w:rsid w:val="5D51443C"/>
    <w:rsid w:val="5D534EF3"/>
    <w:rsid w:val="5D5C68E1"/>
    <w:rsid w:val="5D6DB282"/>
    <w:rsid w:val="5D764F82"/>
    <w:rsid w:val="5D78CD57"/>
    <w:rsid w:val="5D78E0A0"/>
    <w:rsid w:val="5D7C594D"/>
    <w:rsid w:val="5D8014E6"/>
    <w:rsid w:val="5D81F230"/>
    <w:rsid w:val="5D8F3B69"/>
    <w:rsid w:val="5D9B56D4"/>
    <w:rsid w:val="5D9E263B"/>
    <w:rsid w:val="5D9FB2A1"/>
    <w:rsid w:val="5DA1F206"/>
    <w:rsid w:val="5DA54DC6"/>
    <w:rsid w:val="5DA6836A"/>
    <w:rsid w:val="5DA6BC62"/>
    <w:rsid w:val="5DA81951"/>
    <w:rsid w:val="5DAA26EE"/>
    <w:rsid w:val="5DB078DD"/>
    <w:rsid w:val="5DB59258"/>
    <w:rsid w:val="5DC1853F"/>
    <w:rsid w:val="5DC2D8A9"/>
    <w:rsid w:val="5DC39E13"/>
    <w:rsid w:val="5DD25EB7"/>
    <w:rsid w:val="5DEA4E27"/>
    <w:rsid w:val="5DF57558"/>
    <w:rsid w:val="5DFAA629"/>
    <w:rsid w:val="5DFE9C7E"/>
    <w:rsid w:val="5E02E8AE"/>
    <w:rsid w:val="5E0A822B"/>
    <w:rsid w:val="5E0D8E1E"/>
    <w:rsid w:val="5E0EDDBF"/>
    <w:rsid w:val="5E16A804"/>
    <w:rsid w:val="5E17B25B"/>
    <w:rsid w:val="5E192F3C"/>
    <w:rsid w:val="5E257BE3"/>
    <w:rsid w:val="5E2C4270"/>
    <w:rsid w:val="5E32CDE0"/>
    <w:rsid w:val="5E440ACE"/>
    <w:rsid w:val="5E506ED6"/>
    <w:rsid w:val="5E5371DD"/>
    <w:rsid w:val="5E5B37AE"/>
    <w:rsid w:val="5E610D6E"/>
    <w:rsid w:val="5E651BD2"/>
    <w:rsid w:val="5E6AED09"/>
    <w:rsid w:val="5E7B79E1"/>
    <w:rsid w:val="5E83B547"/>
    <w:rsid w:val="5E8AD13E"/>
    <w:rsid w:val="5E985D8F"/>
    <w:rsid w:val="5E995B9C"/>
    <w:rsid w:val="5E995DA0"/>
    <w:rsid w:val="5EB1CE8A"/>
    <w:rsid w:val="5EB2B7D1"/>
    <w:rsid w:val="5EB34BC6"/>
    <w:rsid w:val="5EB59F21"/>
    <w:rsid w:val="5EB63E37"/>
    <w:rsid w:val="5EB71670"/>
    <w:rsid w:val="5EBEFF13"/>
    <w:rsid w:val="5EC09FDE"/>
    <w:rsid w:val="5EC32027"/>
    <w:rsid w:val="5EC946D6"/>
    <w:rsid w:val="5ECAA554"/>
    <w:rsid w:val="5ECAB7F9"/>
    <w:rsid w:val="5ECE1E54"/>
    <w:rsid w:val="5ECE8256"/>
    <w:rsid w:val="5ED94B8C"/>
    <w:rsid w:val="5EDA4E42"/>
    <w:rsid w:val="5EDB7E38"/>
    <w:rsid w:val="5EDE7229"/>
    <w:rsid w:val="5EE0E4E2"/>
    <w:rsid w:val="5EEB4D0E"/>
    <w:rsid w:val="5EEBF16B"/>
    <w:rsid w:val="5EF2228A"/>
    <w:rsid w:val="5EF755CA"/>
    <w:rsid w:val="5EF7B3B5"/>
    <w:rsid w:val="5EF90B3F"/>
    <w:rsid w:val="5EFE9EF9"/>
    <w:rsid w:val="5F008D83"/>
    <w:rsid w:val="5F01D623"/>
    <w:rsid w:val="5F04725C"/>
    <w:rsid w:val="5F100DAD"/>
    <w:rsid w:val="5F123077"/>
    <w:rsid w:val="5F17B29F"/>
    <w:rsid w:val="5F1BE567"/>
    <w:rsid w:val="5F20DB18"/>
    <w:rsid w:val="5F24BCE8"/>
    <w:rsid w:val="5F333A54"/>
    <w:rsid w:val="5F36B65B"/>
    <w:rsid w:val="5F3EEC69"/>
    <w:rsid w:val="5F448BCC"/>
    <w:rsid w:val="5F4526FA"/>
    <w:rsid w:val="5F46541D"/>
    <w:rsid w:val="5F4EFD81"/>
    <w:rsid w:val="5F5050D3"/>
    <w:rsid w:val="5F5BFEE0"/>
    <w:rsid w:val="5F675841"/>
    <w:rsid w:val="5F6A1C01"/>
    <w:rsid w:val="5F6E6039"/>
    <w:rsid w:val="5F6E79F8"/>
    <w:rsid w:val="5F6EFB7C"/>
    <w:rsid w:val="5F768E4B"/>
    <w:rsid w:val="5F7ABC0F"/>
    <w:rsid w:val="5F7B5E8C"/>
    <w:rsid w:val="5F7D69B1"/>
    <w:rsid w:val="5F849490"/>
    <w:rsid w:val="5F861C00"/>
    <w:rsid w:val="5F90E48D"/>
    <w:rsid w:val="5F9C183A"/>
    <w:rsid w:val="5FAD8D88"/>
    <w:rsid w:val="5FB9E49D"/>
    <w:rsid w:val="5FC0CE49"/>
    <w:rsid w:val="5FC30711"/>
    <w:rsid w:val="5FD5649A"/>
    <w:rsid w:val="5FE2480D"/>
    <w:rsid w:val="5FE5F25A"/>
    <w:rsid w:val="5FE758BB"/>
    <w:rsid w:val="5FF1463D"/>
    <w:rsid w:val="5FF20DC2"/>
    <w:rsid w:val="5FF68B18"/>
    <w:rsid w:val="5FFA6525"/>
    <w:rsid w:val="5FFD4F39"/>
    <w:rsid w:val="60096D26"/>
    <w:rsid w:val="600B992E"/>
    <w:rsid w:val="6013356C"/>
    <w:rsid w:val="601B59F0"/>
    <w:rsid w:val="60269A26"/>
    <w:rsid w:val="602F2499"/>
    <w:rsid w:val="6030BB47"/>
    <w:rsid w:val="60330052"/>
    <w:rsid w:val="6037ABDE"/>
    <w:rsid w:val="603A8FF4"/>
    <w:rsid w:val="603AD8F9"/>
    <w:rsid w:val="603B4484"/>
    <w:rsid w:val="60420DC5"/>
    <w:rsid w:val="604A5E40"/>
    <w:rsid w:val="605122E8"/>
    <w:rsid w:val="60565C66"/>
    <w:rsid w:val="60593081"/>
    <w:rsid w:val="60604641"/>
    <w:rsid w:val="607089BB"/>
    <w:rsid w:val="60764FA2"/>
    <w:rsid w:val="60776FAC"/>
    <w:rsid w:val="607E4A01"/>
    <w:rsid w:val="608090D4"/>
    <w:rsid w:val="6080AA71"/>
    <w:rsid w:val="608341FF"/>
    <w:rsid w:val="6083D474"/>
    <w:rsid w:val="60841A44"/>
    <w:rsid w:val="60852CBD"/>
    <w:rsid w:val="6086444C"/>
    <w:rsid w:val="6088F7B4"/>
    <w:rsid w:val="608CB94E"/>
    <w:rsid w:val="609D6595"/>
    <w:rsid w:val="60A07DCF"/>
    <w:rsid w:val="60A592CC"/>
    <w:rsid w:val="60A65575"/>
    <w:rsid w:val="60AB01F7"/>
    <w:rsid w:val="60AEA5F4"/>
    <w:rsid w:val="60AF4FA1"/>
    <w:rsid w:val="60BDA2C0"/>
    <w:rsid w:val="60BED107"/>
    <w:rsid w:val="60C52B38"/>
    <w:rsid w:val="60C69374"/>
    <w:rsid w:val="60CDCF68"/>
    <w:rsid w:val="60D35902"/>
    <w:rsid w:val="60E8F36A"/>
    <w:rsid w:val="60EB0F93"/>
    <w:rsid w:val="60EB579E"/>
    <w:rsid w:val="60ECFD37"/>
    <w:rsid w:val="60ED35E0"/>
    <w:rsid w:val="60ED5D98"/>
    <w:rsid w:val="60FCE2D7"/>
    <w:rsid w:val="60FF0154"/>
    <w:rsid w:val="6103CFBE"/>
    <w:rsid w:val="61129050"/>
    <w:rsid w:val="611616F1"/>
    <w:rsid w:val="611AC3B9"/>
    <w:rsid w:val="6124194C"/>
    <w:rsid w:val="612A13B6"/>
    <w:rsid w:val="612BD39D"/>
    <w:rsid w:val="612FA9AC"/>
    <w:rsid w:val="6131B000"/>
    <w:rsid w:val="6134762C"/>
    <w:rsid w:val="6141D8A6"/>
    <w:rsid w:val="6143A80E"/>
    <w:rsid w:val="61482CF1"/>
    <w:rsid w:val="614FC2B3"/>
    <w:rsid w:val="61539BFA"/>
    <w:rsid w:val="6155D052"/>
    <w:rsid w:val="6158AB73"/>
    <w:rsid w:val="61605A84"/>
    <w:rsid w:val="6161EAF4"/>
    <w:rsid w:val="616AF9E2"/>
    <w:rsid w:val="616DAB0C"/>
    <w:rsid w:val="616DCE8A"/>
    <w:rsid w:val="6173C819"/>
    <w:rsid w:val="619F7EDF"/>
    <w:rsid w:val="61A48491"/>
    <w:rsid w:val="61A77DC3"/>
    <w:rsid w:val="61A8E426"/>
    <w:rsid w:val="61AD1073"/>
    <w:rsid w:val="61B333CC"/>
    <w:rsid w:val="61C38C35"/>
    <w:rsid w:val="61C6E8C8"/>
    <w:rsid w:val="61D0E61A"/>
    <w:rsid w:val="61D3BAC7"/>
    <w:rsid w:val="61D7DB13"/>
    <w:rsid w:val="61D8EE63"/>
    <w:rsid w:val="61DC1434"/>
    <w:rsid w:val="61E4DB23"/>
    <w:rsid w:val="61EEEE1C"/>
    <w:rsid w:val="61F0760F"/>
    <w:rsid w:val="61F9647E"/>
    <w:rsid w:val="61FB9017"/>
    <w:rsid w:val="61FE5EAF"/>
    <w:rsid w:val="6205A490"/>
    <w:rsid w:val="6206554F"/>
    <w:rsid w:val="620B26C9"/>
    <w:rsid w:val="6212A21D"/>
    <w:rsid w:val="6213BC94"/>
    <w:rsid w:val="621D1BE1"/>
    <w:rsid w:val="621EFD27"/>
    <w:rsid w:val="6221DDA6"/>
    <w:rsid w:val="6224BBE7"/>
    <w:rsid w:val="622F10EA"/>
    <w:rsid w:val="62370F6F"/>
    <w:rsid w:val="6238CCBD"/>
    <w:rsid w:val="6238E6C6"/>
    <w:rsid w:val="6239C44F"/>
    <w:rsid w:val="6240533F"/>
    <w:rsid w:val="62426FF2"/>
    <w:rsid w:val="624C59C9"/>
    <w:rsid w:val="624D435F"/>
    <w:rsid w:val="62514740"/>
    <w:rsid w:val="62556C0F"/>
    <w:rsid w:val="625607AE"/>
    <w:rsid w:val="625ADD92"/>
    <w:rsid w:val="625B9FBD"/>
    <w:rsid w:val="625F4CB1"/>
    <w:rsid w:val="62716A3A"/>
    <w:rsid w:val="62768143"/>
    <w:rsid w:val="62769BEA"/>
    <w:rsid w:val="627A4C46"/>
    <w:rsid w:val="627BAE74"/>
    <w:rsid w:val="62811025"/>
    <w:rsid w:val="6286369F"/>
    <w:rsid w:val="628ADA3C"/>
    <w:rsid w:val="628EE801"/>
    <w:rsid w:val="629872E9"/>
    <w:rsid w:val="62A2D416"/>
    <w:rsid w:val="62A41C5F"/>
    <w:rsid w:val="62A589B1"/>
    <w:rsid w:val="62AE16D0"/>
    <w:rsid w:val="62B4C761"/>
    <w:rsid w:val="62B8E8D1"/>
    <w:rsid w:val="62C28574"/>
    <w:rsid w:val="62C4D3A7"/>
    <w:rsid w:val="62CC2173"/>
    <w:rsid w:val="62D15CB9"/>
    <w:rsid w:val="62D3A05E"/>
    <w:rsid w:val="62DCCF7A"/>
    <w:rsid w:val="62DD52E4"/>
    <w:rsid w:val="62DD673B"/>
    <w:rsid w:val="62F7007F"/>
    <w:rsid w:val="62F77EAB"/>
    <w:rsid w:val="62F8DA7F"/>
    <w:rsid w:val="62FF6023"/>
    <w:rsid w:val="6301ADE9"/>
    <w:rsid w:val="6303533C"/>
    <w:rsid w:val="6309EF94"/>
    <w:rsid w:val="630D343C"/>
    <w:rsid w:val="630DF1CF"/>
    <w:rsid w:val="63140011"/>
    <w:rsid w:val="631791D6"/>
    <w:rsid w:val="6317AB0F"/>
    <w:rsid w:val="631E0868"/>
    <w:rsid w:val="631F4508"/>
    <w:rsid w:val="63368742"/>
    <w:rsid w:val="634F55B7"/>
    <w:rsid w:val="6351CCBD"/>
    <w:rsid w:val="635A0CF3"/>
    <w:rsid w:val="636ADA35"/>
    <w:rsid w:val="636D8D1B"/>
    <w:rsid w:val="637683BC"/>
    <w:rsid w:val="638A7D01"/>
    <w:rsid w:val="63A0FDA5"/>
    <w:rsid w:val="63A249A1"/>
    <w:rsid w:val="63A32864"/>
    <w:rsid w:val="63A44AF2"/>
    <w:rsid w:val="63ABD80B"/>
    <w:rsid w:val="63B25C5F"/>
    <w:rsid w:val="63BF1513"/>
    <w:rsid w:val="63CDB5EA"/>
    <w:rsid w:val="63D03B08"/>
    <w:rsid w:val="63D7F23D"/>
    <w:rsid w:val="63DC7130"/>
    <w:rsid w:val="63DE1AB2"/>
    <w:rsid w:val="63ED87FC"/>
    <w:rsid w:val="63EE8A1D"/>
    <w:rsid w:val="63F13079"/>
    <w:rsid w:val="63F480A7"/>
    <w:rsid w:val="63FA1E09"/>
    <w:rsid w:val="640501AF"/>
    <w:rsid w:val="64090BE7"/>
    <w:rsid w:val="640BBC97"/>
    <w:rsid w:val="640F3EEA"/>
    <w:rsid w:val="6412A645"/>
    <w:rsid w:val="6415D8B4"/>
    <w:rsid w:val="641D98B5"/>
    <w:rsid w:val="642315F7"/>
    <w:rsid w:val="6433B3E2"/>
    <w:rsid w:val="64387F02"/>
    <w:rsid w:val="6448C566"/>
    <w:rsid w:val="64502540"/>
    <w:rsid w:val="64526D11"/>
    <w:rsid w:val="645BFD3B"/>
    <w:rsid w:val="6461322E"/>
    <w:rsid w:val="6463F13D"/>
    <w:rsid w:val="646960B6"/>
    <w:rsid w:val="646BBF39"/>
    <w:rsid w:val="64701973"/>
    <w:rsid w:val="647761CE"/>
    <w:rsid w:val="64797493"/>
    <w:rsid w:val="647F1EDD"/>
    <w:rsid w:val="6482F286"/>
    <w:rsid w:val="64853CFD"/>
    <w:rsid w:val="649207A5"/>
    <w:rsid w:val="649BA81E"/>
    <w:rsid w:val="64A23F47"/>
    <w:rsid w:val="64A27951"/>
    <w:rsid w:val="64AF4EBC"/>
    <w:rsid w:val="64B28E49"/>
    <w:rsid w:val="64B37B70"/>
    <w:rsid w:val="64B6E959"/>
    <w:rsid w:val="64B76C37"/>
    <w:rsid w:val="64DA3732"/>
    <w:rsid w:val="64EA765B"/>
    <w:rsid w:val="64EC0BE5"/>
    <w:rsid w:val="64EC9DBC"/>
    <w:rsid w:val="64ECBF4B"/>
    <w:rsid w:val="64EE8AB2"/>
    <w:rsid w:val="64EEA240"/>
    <w:rsid w:val="64F67A41"/>
    <w:rsid w:val="64F7B23C"/>
    <w:rsid w:val="64F8ACBA"/>
    <w:rsid w:val="64FA39BD"/>
    <w:rsid w:val="6503A7E8"/>
    <w:rsid w:val="651B10DF"/>
    <w:rsid w:val="6522189C"/>
    <w:rsid w:val="65250E48"/>
    <w:rsid w:val="653923B9"/>
    <w:rsid w:val="653A33F4"/>
    <w:rsid w:val="65404E95"/>
    <w:rsid w:val="6545F8ED"/>
    <w:rsid w:val="654740D9"/>
    <w:rsid w:val="6549A3A3"/>
    <w:rsid w:val="654A3A7E"/>
    <w:rsid w:val="654CBE16"/>
    <w:rsid w:val="65516E36"/>
    <w:rsid w:val="6554FF4C"/>
    <w:rsid w:val="6558D255"/>
    <w:rsid w:val="655BE872"/>
    <w:rsid w:val="655CD94E"/>
    <w:rsid w:val="655FDB92"/>
    <w:rsid w:val="65695B11"/>
    <w:rsid w:val="656D242E"/>
    <w:rsid w:val="6580044E"/>
    <w:rsid w:val="65846A89"/>
    <w:rsid w:val="6585F2E9"/>
    <w:rsid w:val="6586CF30"/>
    <w:rsid w:val="65965C73"/>
    <w:rsid w:val="659F8E35"/>
    <w:rsid w:val="65A66C4C"/>
    <w:rsid w:val="65A70072"/>
    <w:rsid w:val="65A722A2"/>
    <w:rsid w:val="65A87EA6"/>
    <w:rsid w:val="65ABBDCE"/>
    <w:rsid w:val="65B07C31"/>
    <w:rsid w:val="65B1E390"/>
    <w:rsid w:val="65B613E6"/>
    <w:rsid w:val="65B9B189"/>
    <w:rsid w:val="65BCCBEE"/>
    <w:rsid w:val="65BD408C"/>
    <w:rsid w:val="65BE720F"/>
    <w:rsid w:val="65BEEBB6"/>
    <w:rsid w:val="65C16C3E"/>
    <w:rsid w:val="65C5F4EA"/>
    <w:rsid w:val="65C7E91F"/>
    <w:rsid w:val="65CA9C0F"/>
    <w:rsid w:val="65CAF627"/>
    <w:rsid w:val="65D8D403"/>
    <w:rsid w:val="65E0083E"/>
    <w:rsid w:val="65E1B7CA"/>
    <w:rsid w:val="65E78677"/>
    <w:rsid w:val="65E8F419"/>
    <w:rsid w:val="65E972A1"/>
    <w:rsid w:val="65EAA92F"/>
    <w:rsid w:val="65F130EA"/>
    <w:rsid w:val="65F4F405"/>
    <w:rsid w:val="65FD0148"/>
    <w:rsid w:val="6601E6FB"/>
    <w:rsid w:val="6601F6CE"/>
    <w:rsid w:val="660442D3"/>
    <w:rsid w:val="6605517C"/>
    <w:rsid w:val="660E777F"/>
    <w:rsid w:val="660EEA8E"/>
    <w:rsid w:val="660F4ED7"/>
    <w:rsid w:val="66105B96"/>
    <w:rsid w:val="6611D905"/>
    <w:rsid w:val="6612B59A"/>
    <w:rsid w:val="66185A89"/>
    <w:rsid w:val="661A488B"/>
    <w:rsid w:val="66208049"/>
    <w:rsid w:val="66264D6C"/>
    <w:rsid w:val="6626659C"/>
    <w:rsid w:val="662BCE47"/>
    <w:rsid w:val="6633B343"/>
    <w:rsid w:val="664F4BD1"/>
    <w:rsid w:val="6650B0A0"/>
    <w:rsid w:val="665C0A60"/>
    <w:rsid w:val="6661B411"/>
    <w:rsid w:val="666FE3D8"/>
    <w:rsid w:val="66700151"/>
    <w:rsid w:val="667E689C"/>
    <w:rsid w:val="66856D53"/>
    <w:rsid w:val="6688966A"/>
    <w:rsid w:val="66898DC2"/>
    <w:rsid w:val="668BC96B"/>
    <w:rsid w:val="6693CD83"/>
    <w:rsid w:val="669B5D7A"/>
    <w:rsid w:val="669BB129"/>
    <w:rsid w:val="66A79E41"/>
    <w:rsid w:val="66A8B292"/>
    <w:rsid w:val="66ABB88A"/>
    <w:rsid w:val="66AD7472"/>
    <w:rsid w:val="66B1608E"/>
    <w:rsid w:val="66B2D7CC"/>
    <w:rsid w:val="66B4D84C"/>
    <w:rsid w:val="66C34B41"/>
    <w:rsid w:val="66CCFFE7"/>
    <w:rsid w:val="66CF8ECC"/>
    <w:rsid w:val="66D30AAA"/>
    <w:rsid w:val="66D3D87C"/>
    <w:rsid w:val="66D92481"/>
    <w:rsid w:val="66DDB49A"/>
    <w:rsid w:val="66E001A4"/>
    <w:rsid w:val="66E37363"/>
    <w:rsid w:val="66E4B4A0"/>
    <w:rsid w:val="66E5EC92"/>
    <w:rsid w:val="66E6D219"/>
    <w:rsid w:val="66ECF41D"/>
    <w:rsid w:val="66F10E50"/>
    <w:rsid w:val="66F381FF"/>
    <w:rsid w:val="66FD2D65"/>
    <w:rsid w:val="670174E2"/>
    <w:rsid w:val="670E2E30"/>
    <w:rsid w:val="6722D6D7"/>
    <w:rsid w:val="672C9E35"/>
    <w:rsid w:val="673ABE88"/>
    <w:rsid w:val="673C9D1D"/>
    <w:rsid w:val="674CA87F"/>
    <w:rsid w:val="674E917E"/>
    <w:rsid w:val="675133D9"/>
    <w:rsid w:val="67680A56"/>
    <w:rsid w:val="677CF855"/>
    <w:rsid w:val="67817AFD"/>
    <w:rsid w:val="6781C7A2"/>
    <w:rsid w:val="67826D37"/>
    <w:rsid w:val="67920B73"/>
    <w:rsid w:val="6792B619"/>
    <w:rsid w:val="6792C78B"/>
    <w:rsid w:val="67931645"/>
    <w:rsid w:val="6799F0B4"/>
    <w:rsid w:val="679F5B9D"/>
    <w:rsid w:val="67AAE6DD"/>
    <w:rsid w:val="67AEB278"/>
    <w:rsid w:val="67AEE186"/>
    <w:rsid w:val="67B39738"/>
    <w:rsid w:val="67C09C3B"/>
    <w:rsid w:val="67C467AA"/>
    <w:rsid w:val="67C494A3"/>
    <w:rsid w:val="67C5A0EB"/>
    <w:rsid w:val="67C899CA"/>
    <w:rsid w:val="67CC6013"/>
    <w:rsid w:val="67CC853D"/>
    <w:rsid w:val="67D6DEE8"/>
    <w:rsid w:val="67E74C4F"/>
    <w:rsid w:val="67ED5734"/>
    <w:rsid w:val="67EDB239"/>
    <w:rsid w:val="67FAC2A3"/>
    <w:rsid w:val="67FAF1B1"/>
    <w:rsid w:val="6801996C"/>
    <w:rsid w:val="68024A80"/>
    <w:rsid w:val="6806954C"/>
    <w:rsid w:val="68086495"/>
    <w:rsid w:val="680E879D"/>
    <w:rsid w:val="68105669"/>
    <w:rsid w:val="68120467"/>
    <w:rsid w:val="6814767C"/>
    <w:rsid w:val="682405BB"/>
    <w:rsid w:val="682448CE"/>
    <w:rsid w:val="6824CE22"/>
    <w:rsid w:val="68252681"/>
    <w:rsid w:val="682DA827"/>
    <w:rsid w:val="682DD240"/>
    <w:rsid w:val="68329C32"/>
    <w:rsid w:val="6833CDEA"/>
    <w:rsid w:val="68359E45"/>
    <w:rsid w:val="68412BFC"/>
    <w:rsid w:val="6842F40E"/>
    <w:rsid w:val="68457694"/>
    <w:rsid w:val="6846AC1F"/>
    <w:rsid w:val="68490963"/>
    <w:rsid w:val="68540112"/>
    <w:rsid w:val="68560E42"/>
    <w:rsid w:val="68655B44"/>
    <w:rsid w:val="686C06A1"/>
    <w:rsid w:val="686D688A"/>
    <w:rsid w:val="686E2CCE"/>
    <w:rsid w:val="686F96B8"/>
    <w:rsid w:val="68703A74"/>
    <w:rsid w:val="68727A38"/>
    <w:rsid w:val="6875D0CF"/>
    <w:rsid w:val="687B366C"/>
    <w:rsid w:val="68866EF1"/>
    <w:rsid w:val="688C615C"/>
    <w:rsid w:val="6892903C"/>
    <w:rsid w:val="68931391"/>
    <w:rsid w:val="68933494"/>
    <w:rsid w:val="6899F0B0"/>
    <w:rsid w:val="689CBDF0"/>
    <w:rsid w:val="689DAF5B"/>
    <w:rsid w:val="689F877E"/>
    <w:rsid w:val="68A573B3"/>
    <w:rsid w:val="68A93C3B"/>
    <w:rsid w:val="68B085AD"/>
    <w:rsid w:val="68B0EEE3"/>
    <w:rsid w:val="68B129C1"/>
    <w:rsid w:val="68B3B16A"/>
    <w:rsid w:val="68B5B440"/>
    <w:rsid w:val="68B9F55B"/>
    <w:rsid w:val="68BA3C23"/>
    <w:rsid w:val="68BF2596"/>
    <w:rsid w:val="68BF2CF4"/>
    <w:rsid w:val="68C6E5B8"/>
    <w:rsid w:val="68C81E07"/>
    <w:rsid w:val="68C8E8F8"/>
    <w:rsid w:val="68C9DE2A"/>
    <w:rsid w:val="68CAF0E5"/>
    <w:rsid w:val="68D1A59F"/>
    <w:rsid w:val="68D37EB4"/>
    <w:rsid w:val="68D65DEA"/>
    <w:rsid w:val="68DA89BC"/>
    <w:rsid w:val="68DEA1C5"/>
    <w:rsid w:val="68DFC367"/>
    <w:rsid w:val="68DFD760"/>
    <w:rsid w:val="68E175B2"/>
    <w:rsid w:val="68E6AAAA"/>
    <w:rsid w:val="68F9B5A4"/>
    <w:rsid w:val="68FE78BC"/>
    <w:rsid w:val="69002140"/>
    <w:rsid w:val="690CD5B8"/>
    <w:rsid w:val="69144B58"/>
    <w:rsid w:val="691E2472"/>
    <w:rsid w:val="69223ACA"/>
    <w:rsid w:val="692394FE"/>
    <w:rsid w:val="692D0695"/>
    <w:rsid w:val="692ED488"/>
    <w:rsid w:val="6932D16F"/>
    <w:rsid w:val="69355BD8"/>
    <w:rsid w:val="69376397"/>
    <w:rsid w:val="6939BAF4"/>
    <w:rsid w:val="693E21A7"/>
    <w:rsid w:val="69417271"/>
    <w:rsid w:val="6943A893"/>
    <w:rsid w:val="69564054"/>
    <w:rsid w:val="695C07E8"/>
    <w:rsid w:val="695CF68B"/>
    <w:rsid w:val="69677D97"/>
    <w:rsid w:val="696877F0"/>
    <w:rsid w:val="69689113"/>
    <w:rsid w:val="696D6405"/>
    <w:rsid w:val="696F0856"/>
    <w:rsid w:val="69706816"/>
    <w:rsid w:val="69719B91"/>
    <w:rsid w:val="69727C4C"/>
    <w:rsid w:val="69736836"/>
    <w:rsid w:val="697B7E1B"/>
    <w:rsid w:val="69868C62"/>
    <w:rsid w:val="6986A526"/>
    <w:rsid w:val="698728C3"/>
    <w:rsid w:val="698A5C96"/>
    <w:rsid w:val="698AB7A9"/>
    <w:rsid w:val="698B5E0B"/>
    <w:rsid w:val="698C385D"/>
    <w:rsid w:val="698DD681"/>
    <w:rsid w:val="698FBC8B"/>
    <w:rsid w:val="69961650"/>
    <w:rsid w:val="699C916D"/>
    <w:rsid w:val="69A2EC7D"/>
    <w:rsid w:val="69B40162"/>
    <w:rsid w:val="69B8116B"/>
    <w:rsid w:val="69B867CA"/>
    <w:rsid w:val="69BBC5E6"/>
    <w:rsid w:val="69C212C0"/>
    <w:rsid w:val="69D04E48"/>
    <w:rsid w:val="69D22DF8"/>
    <w:rsid w:val="69D99492"/>
    <w:rsid w:val="69D9A36A"/>
    <w:rsid w:val="69DAA7DF"/>
    <w:rsid w:val="69DEB55D"/>
    <w:rsid w:val="69E33AE0"/>
    <w:rsid w:val="69E74BF5"/>
    <w:rsid w:val="69EE3F44"/>
    <w:rsid w:val="69EEBA39"/>
    <w:rsid w:val="69F1D7B5"/>
    <w:rsid w:val="69F5F6F0"/>
    <w:rsid w:val="69F6F6CB"/>
    <w:rsid w:val="69FE1966"/>
    <w:rsid w:val="6A031CDA"/>
    <w:rsid w:val="6A064147"/>
    <w:rsid w:val="6A070A31"/>
    <w:rsid w:val="6A0827A6"/>
    <w:rsid w:val="6A18D2A9"/>
    <w:rsid w:val="6A1A5FCC"/>
    <w:rsid w:val="6A282DC5"/>
    <w:rsid w:val="6A29E4C0"/>
    <w:rsid w:val="6A306521"/>
    <w:rsid w:val="6A317195"/>
    <w:rsid w:val="6A345031"/>
    <w:rsid w:val="6A46E106"/>
    <w:rsid w:val="6A47182D"/>
    <w:rsid w:val="6A4761BF"/>
    <w:rsid w:val="6A4D2C9E"/>
    <w:rsid w:val="6A5AB713"/>
    <w:rsid w:val="6A5C2FF3"/>
    <w:rsid w:val="6A625929"/>
    <w:rsid w:val="6A6C1F41"/>
    <w:rsid w:val="6A7C4C7C"/>
    <w:rsid w:val="6A7E925C"/>
    <w:rsid w:val="6A80312A"/>
    <w:rsid w:val="6A81A1E3"/>
    <w:rsid w:val="6A81E8E9"/>
    <w:rsid w:val="6A828F3E"/>
    <w:rsid w:val="6A94B589"/>
    <w:rsid w:val="6AA819D2"/>
    <w:rsid w:val="6AAEC0B2"/>
    <w:rsid w:val="6AB3AB9A"/>
    <w:rsid w:val="6AB917A2"/>
    <w:rsid w:val="6ABEA609"/>
    <w:rsid w:val="6AC138BD"/>
    <w:rsid w:val="6AC65EED"/>
    <w:rsid w:val="6AD5C91A"/>
    <w:rsid w:val="6AE36BF3"/>
    <w:rsid w:val="6AE3C6F4"/>
    <w:rsid w:val="6AE87911"/>
    <w:rsid w:val="6AE8DE50"/>
    <w:rsid w:val="6AEC44CC"/>
    <w:rsid w:val="6AEE9D26"/>
    <w:rsid w:val="6AF0AB36"/>
    <w:rsid w:val="6AF198D2"/>
    <w:rsid w:val="6AF53EF2"/>
    <w:rsid w:val="6AFAEC86"/>
    <w:rsid w:val="6AFC39EC"/>
    <w:rsid w:val="6B01D4BB"/>
    <w:rsid w:val="6B0565B0"/>
    <w:rsid w:val="6B06F87E"/>
    <w:rsid w:val="6B289443"/>
    <w:rsid w:val="6B32FB49"/>
    <w:rsid w:val="6B342000"/>
    <w:rsid w:val="6B36F199"/>
    <w:rsid w:val="6B37E56D"/>
    <w:rsid w:val="6B37F155"/>
    <w:rsid w:val="6B3B9193"/>
    <w:rsid w:val="6B3FB8EB"/>
    <w:rsid w:val="6B40780F"/>
    <w:rsid w:val="6B4458DB"/>
    <w:rsid w:val="6B4783CF"/>
    <w:rsid w:val="6B4C3DBB"/>
    <w:rsid w:val="6B541E96"/>
    <w:rsid w:val="6B54DDD5"/>
    <w:rsid w:val="6B5CE9F7"/>
    <w:rsid w:val="6B62198F"/>
    <w:rsid w:val="6B650012"/>
    <w:rsid w:val="6B6509E7"/>
    <w:rsid w:val="6B65C504"/>
    <w:rsid w:val="6B761399"/>
    <w:rsid w:val="6B79D802"/>
    <w:rsid w:val="6B7C5D65"/>
    <w:rsid w:val="6B8282DC"/>
    <w:rsid w:val="6B8CD19D"/>
    <w:rsid w:val="6B8CD3EF"/>
    <w:rsid w:val="6B93CFE7"/>
    <w:rsid w:val="6B96B584"/>
    <w:rsid w:val="6B9BE051"/>
    <w:rsid w:val="6BABED52"/>
    <w:rsid w:val="6BAC6A96"/>
    <w:rsid w:val="6BAE7042"/>
    <w:rsid w:val="6BB713C6"/>
    <w:rsid w:val="6BB71F9F"/>
    <w:rsid w:val="6BC0B308"/>
    <w:rsid w:val="6BC3EAB5"/>
    <w:rsid w:val="6BCAB88F"/>
    <w:rsid w:val="6BCE3008"/>
    <w:rsid w:val="6BD4A167"/>
    <w:rsid w:val="6BD6D573"/>
    <w:rsid w:val="6BD7CA8A"/>
    <w:rsid w:val="6BDA4DD1"/>
    <w:rsid w:val="6BDE05D1"/>
    <w:rsid w:val="6BE54413"/>
    <w:rsid w:val="6BEA87E3"/>
    <w:rsid w:val="6BECE642"/>
    <w:rsid w:val="6BF08C0D"/>
    <w:rsid w:val="6BF357C9"/>
    <w:rsid w:val="6BF580B5"/>
    <w:rsid w:val="6BFE402F"/>
    <w:rsid w:val="6C01F010"/>
    <w:rsid w:val="6C057AF9"/>
    <w:rsid w:val="6C07797E"/>
    <w:rsid w:val="6C1864FB"/>
    <w:rsid w:val="6C1C91CB"/>
    <w:rsid w:val="6C1ECC4C"/>
    <w:rsid w:val="6C1FECB1"/>
    <w:rsid w:val="6C200C92"/>
    <w:rsid w:val="6C20FC84"/>
    <w:rsid w:val="6C29169E"/>
    <w:rsid w:val="6C2A5607"/>
    <w:rsid w:val="6C2EF758"/>
    <w:rsid w:val="6C35CA47"/>
    <w:rsid w:val="6C39A832"/>
    <w:rsid w:val="6C3F67A7"/>
    <w:rsid w:val="6C42814A"/>
    <w:rsid w:val="6C438B41"/>
    <w:rsid w:val="6C4C493E"/>
    <w:rsid w:val="6C4F3272"/>
    <w:rsid w:val="6C4F4FF1"/>
    <w:rsid w:val="6C4FAD64"/>
    <w:rsid w:val="6C5A8A1B"/>
    <w:rsid w:val="6C632CA8"/>
    <w:rsid w:val="6C67164B"/>
    <w:rsid w:val="6C6D9E6D"/>
    <w:rsid w:val="6C6FACE8"/>
    <w:rsid w:val="6C7636EB"/>
    <w:rsid w:val="6C7DCC74"/>
    <w:rsid w:val="6C7E5C7B"/>
    <w:rsid w:val="6C87583C"/>
    <w:rsid w:val="6C8B869F"/>
    <w:rsid w:val="6C8F2980"/>
    <w:rsid w:val="6C9269F6"/>
    <w:rsid w:val="6C9FCF02"/>
    <w:rsid w:val="6CA488AB"/>
    <w:rsid w:val="6CAB8541"/>
    <w:rsid w:val="6CAC98F4"/>
    <w:rsid w:val="6CB24EFE"/>
    <w:rsid w:val="6CB87757"/>
    <w:rsid w:val="6CBAF3C8"/>
    <w:rsid w:val="6CBE64DE"/>
    <w:rsid w:val="6CBE8D55"/>
    <w:rsid w:val="6CC81820"/>
    <w:rsid w:val="6CD0DA4C"/>
    <w:rsid w:val="6CD33CA5"/>
    <w:rsid w:val="6CD5E00F"/>
    <w:rsid w:val="6CD654C0"/>
    <w:rsid w:val="6CDDD7B5"/>
    <w:rsid w:val="6CDEF96F"/>
    <w:rsid w:val="6CE7DD64"/>
    <w:rsid w:val="6CEBC82F"/>
    <w:rsid w:val="6CEC4081"/>
    <w:rsid w:val="6D07C162"/>
    <w:rsid w:val="6D136207"/>
    <w:rsid w:val="6D1763F9"/>
    <w:rsid w:val="6D1BA833"/>
    <w:rsid w:val="6D1C844C"/>
    <w:rsid w:val="6D282F23"/>
    <w:rsid w:val="6D2BE099"/>
    <w:rsid w:val="6D2EBA22"/>
    <w:rsid w:val="6D3241EC"/>
    <w:rsid w:val="6D3FB54B"/>
    <w:rsid w:val="6D418E17"/>
    <w:rsid w:val="6D46488E"/>
    <w:rsid w:val="6D4A21BA"/>
    <w:rsid w:val="6D4F8080"/>
    <w:rsid w:val="6D5E352F"/>
    <w:rsid w:val="6D64FCED"/>
    <w:rsid w:val="6D6DAE8F"/>
    <w:rsid w:val="6D7767EC"/>
    <w:rsid w:val="6D7915C3"/>
    <w:rsid w:val="6D8483DA"/>
    <w:rsid w:val="6D881F2B"/>
    <w:rsid w:val="6D8854B9"/>
    <w:rsid w:val="6D8B29BD"/>
    <w:rsid w:val="6D8DBFC8"/>
    <w:rsid w:val="6D9C93EF"/>
    <w:rsid w:val="6DA1B563"/>
    <w:rsid w:val="6DA5F6F0"/>
    <w:rsid w:val="6DA71C39"/>
    <w:rsid w:val="6DA975FF"/>
    <w:rsid w:val="6DB35D0D"/>
    <w:rsid w:val="6DB36593"/>
    <w:rsid w:val="6DB8A9B6"/>
    <w:rsid w:val="6DC70893"/>
    <w:rsid w:val="6DC7700B"/>
    <w:rsid w:val="6DC9DB6C"/>
    <w:rsid w:val="6DCB01C4"/>
    <w:rsid w:val="6DD19E87"/>
    <w:rsid w:val="6DDBA19C"/>
    <w:rsid w:val="6DE3DF4B"/>
    <w:rsid w:val="6DE57E54"/>
    <w:rsid w:val="6DE66BAB"/>
    <w:rsid w:val="6DE90908"/>
    <w:rsid w:val="6DF49D97"/>
    <w:rsid w:val="6DF97B8F"/>
    <w:rsid w:val="6DFAE7FE"/>
    <w:rsid w:val="6DFE2A6A"/>
    <w:rsid w:val="6E01981A"/>
    <w:rsid w:val="6E06D4E0"/>
    <w:rsid w:val="6E0A9A5F"/>
    <w:rsid w:val="6E0E2140"/>
    <w:rsid w:val="6E1A7470"/>
    <w:rsid w:val="6E1BF21F"/>
    <w:rsid w:val="6E1F231E"/>
    <w:rsid w:val="6E1FA412"/>
    <w:rsid w:val="6E22A347"/>
    <w:rsid w:val="6E280D13"/>
    <w:rsid w:val="6E2B13DC"/>
    <w:rsid w:val="6E2B44DA"/>
    <w:rsid w:val="6E2B9DB2"/>
    <w:rsid w:val="6E3430AF"/>
    <w:rsid w:val="6E399A32"/>
    <w:rsid w:val="6E42D7F0"/>
    <w:rsid w:val="6E435E8A"/>
    <w:rsid w:val="6E50C45B"/>
    <w:rsid w:val="6E5A5DB6"/>
    <w:rsid w:val="6E5CBCBA"/>
    <w:rsid w:val="6E5F357A"/>
    <w:rsid w:val="6E6A47A1"/>
    <w:rsid w:val="6E6E925B"/>
    <w:rsid w:val="6E73734F"/>
    <w:rsid w:val="6E7F2D14"/>
    <w:rsid w:val="6E81DA04"/>
    <w:rsid w:val="6E8E7AAA"/>
    <w:rsid w:val="6E9036C2"/>
    <w:rsid w:val="6E9048FB"/>
    <w:rsid w:val="6EA5014A"/>
    <w:rsid w:val="6EA6B93E"/>
    <w:rsid w:val="6EAFEE74"/>
    <w:rsid w:val="6EB56F10"/>
    <w:rsid w:val="6EB66214"/>
    <w:rsid w:val="6EC2D5E1"/>
    <w:rsid w:val="6EC50342"/>
    <w:rsid w:val="6EC641A5"/>
    <w:rsid w:val="6ED07835"/>
    <w:rsid w:val="6ED110F8"/>
    <w:rsid w:val="6EDA7272"/>
    <w:rsid w:val="6EDAA00D"/>
    <w:rsid w:val="6EE6146E"/>
    <w:rsid w:val="6EEA2B77"/>
    <w:rsid w:val="6EF3CC05"/>
    <w:rsid w:val="6EF90B06"/>
    <w:rsid w:val="6EFEEBEB"/>
    <w:rsid w:val="6F022254"/>
    <w:rsid w:val="6F04E7C5"/>
    <w:rsid w:val="6F0EF9C3"/>
    <w:rsid w:val="6F15586C"/>
    <w:rsid w:val="6F178A4F"/>
    <w:rsid w:val="6F17DDEF"/>
    <w:rsid w:val="6F1A448A"/>
    <w:rsid w:val="6F1EE469"/>
    <w:rsid w:val="6F24E13D"/>
    <w:rsid w:val="6F25EF18"/>
    <w:rsid w:val="6F2D5129"/>
    <w:rsid w:val="6F2D64DD"/>
    <w:rsid w:val="6F2DC974"/>
    <w:rsid w:val="6F35990B"/>
    <w:rsid w:val="6F38A123"/>
    <w:rsid w:val="6F486B84"/>
    <w:rsid w:val="6F4AD009"/>
    <w:rsid w:val="6F4B3178"/>
    <w:rsid w:val="6F4D0193"/>
    <w:rsid w:val="6F54E3E1"/>
    <w:rsid w:val="6F55E827"/>
    <w:rsid w:val="6F55F659"/>
    <w:rsid w:val="6F5FE039"/>
    <w:rsid w:val="6F5FF7B8"/>
    <w:rsid w:val="6F66E33A"/>
    <w:rsid w:val="6F6B343A"/>
    <w:rsid w:val="6F6B842F"/>
    <w:rsid w:val="6F6BA29F"/>
    <w:rsid w:val="6F733AFF"/>
    <w:rsid w:val="6F808127"/>
    <w:rsid w:val="6F94917E"/>
    <w:rsid w:val="6F97F635"/>
    <w:rsid w:val="6FA8E5B3"/>
    <w:rsid w:val="6FAA38A1"/>
    <w:rsid w:val="6FAD3AC5"/>
    <w:rsid w:val="6FBF68DE"/>
    <w:rsid w:val="6FBFB0AC"/>
    <w:rsid w:val="6FBFBBAD"/>
    <w:rsid w:val="6FCF50D8"/>
    <w:rsid w:val="6FCF8D7C"/>
    <w:rsid w:val="6FD077A6"/>
    <w:rsid w:val="6FD7181A"/>
    <w:rsid w:val="6FDE4B4F"/>
    <w:rsid w:val="6FDE706E"/>
    <w:rsid w:val="6FE4387D"/>
    <w:rsid w:val="6FE5D6C5"/>
    <w:rsid w:val="6FF3F92F"/>
    <w:rsid w:val="6FF68F3D"/>
    <w:rsid w:val="700153B4"/>
    <w:rsid w:val="7020AEE2"/>
    <w:rsid w:val="7024E2ED"/>
    <w:rsid w:val="7028174F"/>
    <w:rsid w:val="7029F23F"/>
    <w:rsid w:val="702CBC0D"/>
    <w:rsid w:val="703F2423"/>
    <w:rsid w:val="703F270C"/>
    <w:rsid w:val="70424477"/>
    <w:rsid w:val="704EFDA7"/>
    <w:rsid w:val="704F2C33"/>
    <w:rsid w:val="7058EF2E"/>
    <w:rsid w:val="705DD7EB"/>
    <w:rsid w:val="7065CFEB"/>
    <w:rsid w:val="706EFCE1"/>
    <w:rsid w:val="70778C52"/>
    <w:rsid w:val="7077B3F6"/>
    <w:rsid w:val="707CFE26"/>
    <w:rsid w:val="7082A716"/>
    <w:rsid w:val="708A4194"/>
    <w:rsid w:val="708E2A6D"/>
    <w:rsid w:val="709DDEB4"/>
    <w:rsid w:val="70A15BCB"/>
    <w:rsid w:val="70ABE048"/>
    <w:rsid w:val="70AD2ADD"/>
    <w:rsid w:val="70B151B6"/>
    <w:rsid w:val="70B720F4"/>
    <w:rsid w:val="70B92B35"/>
    <w:rsid w:val="70C1459D"/>
    <w:rsid w:val="70C5FA8A"/>
    <w:rsid w:val="70C64029"/>
    <w:rsid w:val="70C91839"/>
    <w:rsid w:val="70D25AEE"/>
    <w:rsid w:val="70E0FC8A"/>
    <w:rsid w:val="70E60430"/>
    <w:rsid w:val="70E96263"/>
    <w:rsid w:val="70F3AFE0"/>
    <w:rsid w:val="70F575F3"/>
    <w:rsid w:val="70FD9767"/>
    <w:rsid w:val="70FFF531"/>
    <w:rsid w:val="7105A7B8"/>
    <w:rsid w:val="71072E99"/>
    <w:rsid w:val="710D4B6B"/>
    <w:rsid w:val="710EDBCC"/>
    <w:rsid w:val="710F9F5D"/>
    <w:rsid w:val="71144E5D"/>
    <w:rsid w:val="7116B261"/>
    <w:rsid w:val="7119D750"/>
    <w:rsid w:val="711F69AE"/>
    <w:rsid w:val="7127C56E"/>
    <w:rsid w:val="7129BFE2"/>
    <w:rsid w:val="713066F6"/>
    <w:rsid w:val="713AC559"/>
    <w:rsid w:val="71417956"/>
    <w:rsid w:val="71474F6C"/>
    <w:rsid w:val="7148C52C"/>
    <w:rsid w:val="7148F297"/>
    <w:rsid w:val="714AB0B2"/>
    <w:rsid w:val="714F418D"/>
    <w:rsid w:val="71539E43"/>
    <w:rsid w:val="7159B776"/>
    <w:rsid w:val="71713650"/>
    <w:rsid w:val="7173DA73"/>
    <w:rsid w:val="717A6C74"/>
    <w:rsid w:val="717E75D6"/>
    <w:rsid w:val="7194478E"/>
    <w:rsid w:val="7196AECA"/>
    <w:rsid w:val="719709D6"/>
    <w:rsid w:val="719866F6"/>
    <w:rsid w:val="719882C3"/>
    <w:rsid w:val="71A4A6B7"/>
    <w:rsid w:val="71B3FA27"/>
    <w:rsid w:val="71B49765"/>
    <w:rsid w:val="71BB6A03"/>
    <w:rsid w:val="71C25D83"/>
    <w:rsid w:val="71C379AF"/>
    <w:rsid w:val="71C48A28"/>
    <w:rsid w:val="71C8C7DA"/>
    <w:rsid w:val="71CB878B"/>
    <w:rsid w:val="71CE3DA8"/>
    <w:rsid w:val="71D2FD61"/>
    <w:rsid w:val="71DA1D56"/>
    <w:rsid w:val="71E018D9"/>
    <w:rsid w:val="71E0FC1C"/>
    <w:rsid w:val="71E94F40"/>
    <w:rsid w:val="71F66A24"/>
    <w:rsid w:val="71F8BD92"/>
    <w:rsid w:val="7207EDFF"/>
    <w:rsid w:val="720896AE"/>
    <w:rsid w:val="720E70AD"/>
    <w:rsid w:val="721303C0"/>
    <w:rsid w:val="72139E93"/>
    <w:rsid w:val="72198712"/>
    <w:rsid w:val="72237C0C"/>
    <w:rsid w:val="72281120"/>
    <w:rsid w:val="723370EF"/>
    <w:rsid w:val="72341E0B"/>
    <w:rsid w:val="72356B58"/>
    <w:rsid w:val="7236223A"/>
    <w:rsid w:val="725E8FEA"/>
    <w:rsid w:val="72618881"/>
    <w:rsid w:val="726270F1"/>
    <w:rsid w:val="72633491"/>
    <w:rsid w:val="7265491C"/>
    <w:rsid w:val="7266BB94"/>
    <w:rsid w:val="726D3F86"/>
    <w:rsid w:val="726FC22D"/>
    <w:rsid w:val="72766F3B"/>
    <w:rsid w:val="7278B151"/>
    <w:rsid w:val="727B335E"/>
    <w:rsid w:val="727BC4F5"/>
    <w:rsid w:val="727D5D1F"/>
    <w:rsid w:val="729494B5"/>
    <w:rsid w:val="729561FF"/>
    <w:rsid w:val="72989F46"/>
    <w:rsid w:val="729B25AF"/>
    <w:rsid w:val="729B7128"/>
    <w:rsid w:val="72A8E874"/>
    <w:rsid w:val="72A9AB21"/>
    <w:rsid w:val="72AB6C87"/>
    <w:rsid w:val="72AC4F05"/>
    <w:rsid w:val="72B9AA58"/>
    <w:rsid w:val="72BBFABE"/>
    <w:rsid w:val="72BDC4A4"/>
    <w:rsid w:val="72C76480"/>
    <w:rsid w:val="72CE2082"/>
    <w:rsid w:val="72D12B6C"/>
    <w:rsid w:val="72D1A9D5"/>
    <w:rsid w:val="72D494F3"/>
    <w:rsid w:val="72D96E55"/>
    <w:rsid w:val="72D99F2F"/>
    <w:rsid w:val="72DA92D4"/>
    <w:rsid w:val="72DCC6D9"/>
    <w:rsid w:val="72DF9DC9"/>
    <w:rsid w:val="72E24AD6"/>
    <w:rsid w:val="72E40B82"/>
    <w:rsid w:val="72E8CA94"/>
    <w:rsid w:val="72EE57F1"/>
    <w:rsid w:val="72F080AD"/>
    <w:rsid w:val="72FC818A"/>
    <w:rsid w:val="72FF8B1C"/>
    <w:rsid w:val="73001975"/>
    <w:rsid w:val="7300FE31"/>
    <w:rsid w:val="7302131B"/>
    <w:rsid w:val="73067B7E"/>
    <w:rsid w:val="7306EADD"/>
    <w:rsid w:val="730DABDC"/>
    <w:rsid w:val="73134FAE"/>
    <w:rsid w:val="73150D86"/>
    <w:rsid w:val="73156414"/>
    <w:rsid w:val="73188106"/>
    <w:rsid w:val="7331239F"/>
    <w:rsid w:val="7338D155"/>
    <w:rsid w:val="7347AEF0"/>
    <w:rsid w:val="73533E55"/>
    <w:rsid w:val="735971C4"/>
    <w:rsid w:val="735C55FE"/>
    <w:rsid w:val="735F6746"/>
    <w:rsid w:val="736420B5"/>
    <w:rsid w:val="73680B1E"/>
    <w:rsid w:val="7375ED76"/>
    <w:rsid w:val="73760203"/>
    <w:rsid w:val="738359B6"/>
    <w:rsid w:val="738FB763"/>
    <w:rsid w:val="7390B945"/>
    <w:rsid w:val="7391E80B"/>
    <w:rsid w:val="7393098B"/>
    <w:rsid w:val="739E571D"/>
    <w:rsid w:val="739F14F7"/>
    <w:rsid w:val="73A16427"/>
    <w:rsid w:val="73A969D8"/>
    <w:rsid w:val="73AF6802"/>
    <w:rsid w:val="73B9AE03"/>
    <w:rsid w:val="73BD3007"/>
    <w:rsid w:val="73C1271A"/>
    <w:rsid w:val="73C4BBD8"/>
    <w:rsid w:val="73C6A042"/>
    <w:rsid w:val="73C9C703"/>
    <w:rsid w:val="73CA0AED"/>
    <w:rsid w:val="73CEBC77"/>
    <w:rsid w:val="73D6C5A3"/>
    <w:rsid w:val="73D98BF6"/>
    <w:rsid w:val="73E1E3F3"/>
    <w:rsid w:val="73E8B956"/>
    <w:rsid w:val="73EAFB72"/>
    <w:rsid w:val="73EB2EC7"/>
    <w:rsid w:val="73ECCE5B"/>
    <w:rsid w:val="73F26B56"/>
    <w:rsid w:val="73F6907B"/>
    <w:rsid w:val="7401F929"/>
    <w:rsid w:val="740338E3"/>
    <w:rsid w:val="740EB71B"/>
    <w:rsid w:val="740F81D1"/>
    <w:rsid w:val="74113C6C"/>
    <w:rsid w:val="7414AFC8"/>
    <w:rsid w:val="74210618"/>
    <w:rsid w:val="743016BE"/>
    <w:rsid w:val="74382F9C"/>
    <w:rsid w:val="74398D38"/>
    <w:rsid w:val="744D48CB"/>
    <w:rsid w:val="74518E05"/>
    <w:rsid w:val="74538AE6"/>
    <w:rsid w:val="74560A52"/>
    <w:rsid w:val="74571ECB"/>
    <w:rsid w:val="7461EFA4"/>
    <w:rsid w:val="746A9817"/>
    <w:rsid w:val="7475851F"/>
    <w:rsid w:val="7475C75E"/>
    <w:rsid w:val="747C0FBA"/>
    <w:rsid w:val="747CE9DC"/>
    <w:rsid w:val="748230FA"/>
    <w:rsid w:val="748C285C"/>
    <w:rsid w:val="7495FF5B"/>
    <w:rsid w:val="7496B3BC"/>
    <w:rsid w:val="749B75D7"/>
    <w:rsid w:val="749E44BC"/>
    <w:rsid w:val="74A66391"/>
    <w:rsid w:val="74B3EE8B"/>
    <w:rsid w:val="74CA7ABA"/>
    <w:rsid w:val="74D2C19B"/>
    <w:rsid w:val="74D4E56A"/>
    <w:rsid w:val="74D4E57D"/>
    <w:rsid w:val="74DDD3DF"/>
    <w:rsid w:val="74DEA658"/>
    <w:rsid w:val="74DF1250"/>
    <w:rsid w:val="75010CF3"/>
    <w:rsid w:val="7502FDCC"/>
    <w:rsid w:val="75107634"/>
    <w:rsid w:val="7512CE68"/>
    <w:rsid w:val="7515E166"/>
    <w:rsid w:val="75182C00"/>
    <w:rsid w:val="75229B11"/>
    <w:rsid w:val="752AB6D6"/>
    <w:rsid w:val="753BB38B"/>
    <w:rsid w:val="754910F4"/>
    <w:rsid w:val="75492580"/>
    <w:rsid w:val="75535182"/>
    <w:rsid w:val="75555CDF"/>
    <w:rsid w:val="755ECF7E"/>
    <w:rsid w:val="756403B4"/>
    <w:rsid w:val="75678E50"/>
    <w:rsid w:val="756A60F4"/>
    <w:rsid w:val="7571B94A"/>
    <w:rsid w:val="7579B17C"/>
    <w:rsid w:val="757A11AC"/>
    <w:rsid w:val="757A72E9"/>
    <w:rsid w:val="757F2E81"/>
    <w:rsid w:val="758B60DC"/>
    <w:rsid w:val="758BA340"/>
    <w:rsid w:val="759220FC"/>
    <w:rsid w:val="75930F5F"/>
    <w:rsid w:val="7595B05A"/>
    <w:rsid w:val="75985EC8"/>
    <w:rsid w:val="759F1FBF"/>
    <w:rsid w:val="75A5B533"/>
    <w:rsid w:val="75C0AFF0"/>
    <w:rsid w:val="75C1E8D7"/>
    <w:rsid w:val="75C77828"/>
    <w:rsid w:val="75CDFAB1"/>
    <w:rsid w:val="75CE8BAE"/>
    <w:rsid w:val="75DEE0F7"/>
    <w:rsid w:val="75EE9CE9"/>
    <w:rsid w:val="75F1F4B7"/>
    <w:rsid w:val="75F32594"/>
    <w:rsid w:val="75FAAE22"/>
    <w:rsid w:val="75FCCA5B"/>
    <w:rsid w:val="760640D5"/>
    <w:rsid w:val="760C41EE"/>
    <w:rsid w:val="760CDE2F"/>
    <w:rsid w:val="7617151B"/>
    <w:rsid w:val="76174AEE"/>
    <w:rsid w:val="7617AAB0"/>
    <w:rsid w:val="761ECFA9"/>
    <w:rsid w:val="76233825"/>
    <w:rsid w:val="76236C9F"/>
    <w:rsid w:val="7624290E"/>
    <w:rsid w:val="762B4998"/>
    <w:rsid w:val="763247C0"/>
    <w:rsid w:val="7635994B"/>
    <w:rsid w:val="76377FEC"/>
    <w:rsid w:val="7639D434"/>
    <w:rsid w:val="763EE80C"/>
    <w:rsid w:val="7641A05E"/>
    <w:rsid w:val="7644BC79"/>
    <w:rsid w:val="764AF6E3"/>
    <w:rsid w:val="7659A4B6"/>
    <w:rsid w:val="7660484C"/>
    <w:rsid w:val="7663AF5A"/>
    <w:rsid w:val="76685D36"/>
    <w:rsid w:val="766D5D21"/>
    <w:rsid w:val="767140D0"/>
    <w:rsid w:val="768D13B5"/>
    <w:rsid w:val="76928F98"/>
    <w:rsid w:val="769D5C1B"/>
    <w:rsid w:val="76A060D5"/>
    <w:rsid w:val="76A0FEBB"/>
    <w:rsid w:val="76A1C3FE"/>
    <w:rsid w:val="76ABE8CB"/>
    <w:rsid w:val="76B0087E"/>
    <w:rsid w:val="76BC3298"/>
    <w:rsid w:val="76C267EF"/>
    <w:rsid w:val="76C70312"/>
    <w:rsid w:val="76C7B5FA"/>
    <w:rsid w:val="76CB0AAE"/>
    <w:rsid w:val="76D10470"/>
    <w:rsid w:val="76D2AAFB"/>
    <w:rsid w:val="76D9B540"/>
    <w:rsid w:val="76DE63AE"/>
    <w:rsid w:val="76E1486F"/>
    <w:rsid w:val="76E1CA77"/>
    <w:rsid w:val="76E54049"/>
    <w:rsid w:val="76EBA42A"/>
    <w:rsid w:val="76ED830C"/>
    <w:rsid w:val="77070959"/>
    <w:rsid w:val="770866FC"/>
    <w:rsid w:val="770B88D4"/>
    <w:rsid w:val="77190F41"/>
    <w:rsid w:val="77195BEC"/>
    <w:rsid w:val="771A1F00"/>
    <w:rsid w:val="771B8A26"/>
    <w:rsid w:val="77255047"/>
    <w:rsid w:val="772AEBAA"/>
    <w:rsid w:val="772D0F16"/>
    <w:rsid w:val="772E34FF"/>
    <w:rsid w:val="77300253"/>
    <w:rsid w:val="7731D414"/>
    <w:rsid w:val="77351FA7"/>
    <w:rsid w:val="77391AE8"/>
    <w:rsid w:val="77391C8B"/>
    <w:rsid w:val="773993ED"/>
    <w:rsid w:val="773E450D"/>
    <w:rsid w:val="773F4C8A"/>
    <w:rsid w:val="77408C79"/>
    <w:rsid w:val="7749B3B5"/>
    <w:rsid w:val="774B9716"/>
    <w:rsid w:val="774D1DB7"/>
    <w:rsid w:val="776072A5"/>
    <w:rsid w:val="776CE5BC"/>
    <w:rsid w:val="777E26DA"/>
    <w:rsid w:val="777E4279"/>
    <w:rsid w:val="778650A3"/>
    <w:rsid w:val="778686B5"/>
    <w:rsid w:val="7786A4FE"/>
    <w:rsid w:val="778BB9A9"/>
    <w:rsid w:val="77925B43"/>
    <w:rsid w:val="779877EF"/>
    <w:rsid w:val="77A3FC8D"/>
    <w:rsid w:val="77B81D2F"/>
    <w:rsid w:val="77B850EE"/>
    <w:rsid w:val="77BA2FDB"/>
    <w:rsid w:val="77C199D6"/>
    <w:rsid w:val="77CAA44A"/>
    <w:rsid w:val="77CAF2DF"/>
    <w:rsid w:val="77CDA50D"/>
    <w:rsid w:val="77D1232C"/>
    <w:rsid w:val="77D18952"/>
    <w:rsid w:val="77DDBCCC"/>
    <w:rsid w:val="77E3C16F"/>
    <w:rsid w:val="77E4B33A"/>
    <w:rsid w:val="77E917C7"/>
    <w:rsid w:val="77F2686A"/>
    <w:rsid w:val="77F47E8A"/>
    <w:rsid w:val="77F6C0A6"/>
    <w:rsid w:val="7803F01B"/>
    <w:rsid w:val="7804124B"/>
    <w:rsid w:val="78048AA4"/>
    <w:rsid w:val="78056F76"/>
    <w:rsid w:val="780A340F"/>
    <w:rsid w:val="780AA866"/>
    <w:rsid w:val="780CC0E1"/>
    <w:rsid w:val="780F4F85"/>
    <w:rsid w:val="78155271"/>
    <w:rsid w:val="78163D6C"/>
    <w:rsid w:val="78164FB1"/>
    <w:rsid w:val="7817BF0E"/>
    <w:rsid w:val="781F4AD2"/>
    <w:rsid w:val="781F4DB0"/>
    <w:rsid w:val="7823BCEB"/>
    <w:rsid w:val="78285FBC"/>
    <w:rsid w:val="782C4CCA"/>
    <w:rsid w:val="7830E1B9"/>
    <w:rsid w:val="783C6A33"/>
    <w:rsid w:val="78428A1B"/>
    <w:rsid w:val="78434668"/>
    <w:rsid w:val="78460296"/>
    <w:rsid w:val="784872A7"/>
    <w:rsid w:val="7857407C"/>
    <w:rsid w:val="785FDFF3"/>
    <w:rsid w:val="786A5522"/>
    <w:rsid w:val="7882CFA4"/>
    <w:rsid w:val="7883DA71"/>
    <w:rsid w:val="788AB361"/>
    <w:rsid w:val="788B3DAD"/>
    <w:rsid w:val="789A3C43"/>
    <w:rsid w:val="78AF1EAF"/>
    <w:rsid w:val="78C52818"/>
    <w:rsid w:val="78C70663"/>
    <w:rsid w:val="78C8816E"/>
    <w:rsid w:val="78CB8F64"/>
    <w:rsid w:val="78D04FE1"/>
    <w:rsid w:val="78D38CCA"/>
    <w:rsid w:val="78DC2269"/>
    <w:rsid w:val="78E39B61"/>
    <w:rsid w:val="78E9BF73"/>
    <w:rsid w:val="78EBD6ED"/>
    <w:rsid w:val="78ECA9C2"/>
    <w:rsid w:val="78EF2365"/>
    <w:rsid w:val="78F1D2A5"/>
    <w:rsid w:val="78F66507"/>
    <w:rsid w:val="78F9BB6C"/>
    <w:rsid w:val="78F9CB25"/>
    <w:rsid w:val="78FB56BA"/>
    <w:rsid w:val="78FC6B8E"/>
    <w:rsid w:val="79070B1D"/>
    <w:rsid w:val="79080606"/>
    <w:rsid w:val="790CB56D"/>
    <w:rsid w:val="791363E2"/>
    <w:rsid w:val="7916FF60"/>
    <w:rsid w:val="7923816A"/>
    <w:rsid w:val="7926E1EE"/>
    <w:rsid w:val="792734CF"/>
    <w:rsid w:val="793023F4"/>
    <w:rsid w:val="793098C2"/>
    <w:rsid w:val="79392D15"/>
    <w:rsid w:val="793B7681"/>
    <w:rsid w:val="793D7C72"/>
    <w:rsid w:val="79406507"/>
    <w:rsid w:val="794371FD"/>
    <w:rsid w:val="7944756F"/>
    <w:rsid w:val="7946BAA2"/>
    <w:rsid w:val="7948949F"/>
    <w:rsid w:val="79500BCA"/>
    <w:rsid w:val="7955711E"/>
    <w:rsid w:val="79582610"/>
    <w:rsid w:val="79597E3D"/>
    <w:rsid w:val="7964F364"/>
    <w:rsid w:val="796B27FF"/>
    <w:rsid w:val="796C9F86"/>
    <w:rsid w:val="79723E1C"/>
    <w:rsid w:val="7972C768"/>
    <w:rsid w:val="79802B64"/>
    <w:rsid w:val="79865CB6"/>
    <w:rsid w:val="79873988"/>
    <w:rsid w:val="79996C42"/>
    <w:rsid w:val="799A1DD8"/>
    <w:rsid w:val="799BC73E"/>
    <w:rsid w:val="799D790D"/>
    <w:rsid w:val="799EF167"/>
    <w:rsid w:val="79A14378"/>
    <w:rsid w:val="79A162E1"/>
    <w:rsid w:val="79A99910"/>
    <w:rsid w:val="79B9BD32"/>
    <w:rsid w:val="79BD2BAD"/>
    <w:rsid w:val="79C94794"/>
    <w:rsid w:val="79CADD3D"/>
    <w:rsid w:val="79DB24F9"/>
    <w:rsid w:val="79EE2621"/>
    <w:rsid w:val="79F2BA18"/>
    <w:rsid w:val="79FE7DDB"/>
    <w:rsid w:val="79FEF8E7"/>
    <w:rsid w:val="7A0338E8"/>
    <w:rsid w:val="7A08CBA3"/>
    <w:rsid w:val="7A1B23D7"/>
    <w:rsid w:val="7A1DEC9A"/>
    <w:rsid w:val="7A1FB7B3"/>
    <w:rsid w:val="7A25771D"/>
    <w:rsid w:val="7A3BB9CA"/>
    <w:rsid w:val="7A3FC089"/>
    <w:rsid w:val="7A53CA54"/>
    <w:rsid w:val="7A576E77"/>
    <w:rsid w:val="7A58CF5F"/>
    <w:rsid w:val="7A5B7C87"/>
    <w:rsid w:val="7A5F8339"/>
    <w:rsid w:val="7A629703"/>
    <w:rsid w:val="7A6315C3"/>
    <w:rsid w:val="7A65498D"/>
    <w:rsid w:val="7A665766"/>
    <w:rsid w:val="7A68B353"/>
    <w:rsid w:val="7A721463"/>
    <w:rsid w:val="7A7C161D"/>
    <w:rsid w:val="7A7D1AAA"/>
    <w:rsid w:val="7A85A860"/>
    <w:rsid w:val="7A87F405"/>
    <w:rsid w:val="7A8C1964"/>
    <w:rsid w:val="7A991461"/>
    <w:rsid w:val="7AA978D2"/>
    <w:rsid w:val="7AAA6C3B"/>
    <w:rsid w:val="7AACFEF0"/>
    <w:rsid w:val="7AB6F455"/>
    <w:rsid w:val="7AB81D9E"/>
    <w:rsid w:val="7AB9F8F3"/>
    <w:rsid w:val="7ABA6101"/>
    <w:rsid w:val="7AC0815D"/>
    <w:rsid w:val="7AC42D33"/>
    <w:rsid w:val="7ACC10D3"/>
    <w:rsid w:val="7AD2487C"/>
    <w:rsid w:val="7AD5235D"/>
    <w:rsid w:val="7AD683F6"/>
    <w:rsid w:val="7AD8424E"/>
    <w:rsid w:val="7AD8542D"/>
    <w:rsid w:val="7ADEE179"/>
    <w:rsid w:val="7AE5E491"/>
    <w:rsid w:val="7AE7AF54"/>
    <w:rsid w:val="7AF13A0F"/>
    <w:rsid w:val="7AF186B0"/>
    <w:rsid w:val="7AFFE51F"/>
    <w:rsid w:val="7B0414A9"/>
    <w:rsid w:val="7B09CAEE"/>
    <w:rsid w:val="7B12279F"/>
    <w:rsid w:val="7B127A88"/>
    <w:rsid w:val="7B169A38"/>
    <w:rsid w:val="7B28B545"/>
    <w:rsid w:val="7B35D613"/>
    <w:rsid w:val="7B3EF839"/>
    <w:rsid w:val="7B40D27B"/>
    <w:rsid w:val="7B443BA7"/>
    <w:rsid w:val="7B453B5B"/>
    <w:rsid w:val="7B4E126A"/>
    <w:rsid w:val="7B533683"/>
    <w:rsid w:val="7B598473"/>
    <w:rsid w:val="7B5C2803"/>
    <w:rsid w:val="7B5CA8B8"/>
    <w:rsid w:val="7B5D4F62"/>
    <w:rsid w:val="7B669866"/>
    <w:rsid w:val="7B76A536"/>
    <w:rsid w:val="7B7FDE1D"/>
    <w:rsid w:val="7B871656"/>
    <w:rsid w:val="7B89A0AB"/>
    <w:rsid w:val="7B8B914B"/>
    <w:rsid w:val="7B8E9511"/>
    <w:rsid w:val="7B932AFB"/>
    <w:rsid w:val="7B935705"/>
    <w:rsid w:val="7B9AA20D"/>
    <w:rsid w:val="7B9AC948"/>
    <w:rsid w:val="7BB8ECCB"/>
    <w:rsid w:val="7BBA0AA5"/>
    <w:rsid w:val="7BBF75D5"/>
    <w:rsid w:val="7BC634BC"/>
    <w:rsid w:val="7BC94829"/>
    <w:rsid w:val="7BCEFA9C"/>
    <w:rsid w:val="7BD1210F"/>
    <w:rsid w:val="7BD5C3AA"/>
    <w:rsid w:val="7BF2C15D"/>
    <w:rsid w:val="7BF2EBB6"/>
    <w:rsid w:val="7BF5448D"/>
    <w:rsid w:val="7C019AE3"/>
    <w:rsid w:val="7C02739B"/>
    <w:rsid w:val="7C046F95"/>
    <w:rsid w:val="7C09A8D6"/>
    <w:rsid w:val="7C0EB43F"/>
    <w:rsid w:val="7C19C28A"/>
    <w:rsid w:val="7C1F37CB"/>
    <w:rsid w:val="7C2426C8"/>
    <w:rsid w:val="7C2E46B5"/>
    <w:rsid w:val="7C31D9DF"/>
    <w:rsid w:val="7C3430C7"/>
    <w:rsid w:val="7C37F9A8"/>
    <w:rsid w:val="7C3D422A"/>
    <w:rsid w:val="7C4DBE7B"/>
    <w:rsid w:val="7C6133C3"/>
    <w:rsid w:val="7C63191A"/>
    <w:rsid w:val="7C674F6D"/>
    <w:rsid w:val="7C684FB6"/>
    <w:rsid w:val="7C69EBDA"/>
    <w:rsid w:val="7C6C6BD7"/>
    <w:rsid w:val="7C70E3FF"/>
    <w:rsid w:val="7C794BE2"/>
    <w:rsid w:val="7C7D8C99"/>
    <w:rsid w:val="7C7E6639"/>
    <w:rsid w:val="7C833FD5"/>
    <w:rsid w:val="7C84241D"/>
    <w:rsid w:val="7C88A81E"/>
    <w:rsid w:val="7C893AF3"/>
    <w:rsid w:val="7C9011A9"/>
    <w:rsid w:val="7C938469"/>
    <w:rsid w:val="7C96B0BF"/>
    <w:rsid w:val="7C97275F"/>
    <w:rsid w:val="7C98561C"/>
    <w:rsid w:val="7C989021"/>
    <w:rsid w:val="7C9B8A73"/>
    <w:rsid w:val="7C9E6EB0"/>
    <w:rsid w:val="7C9F5D29"/>
    <w:rsid w:val="7C9F5D9F"/>
    <w:rsid w:val="7CA51DFD"/>
    <w:rsid w:val="7CA702EA"/>
    <w:rsid w:val="7CA99E93"/>
    <w:rsid w:val="7CAEFEDD"/>
    <w:rsid w:val="7CAF311F"/>
    <w:rsid w:val="7CB05631"/>
    <w:rsid w:val="7CB96C87"/>
    <w:rsid w:val="7CBBAC6E"/>
    <w:rsid w:val="7CBEBEA7"/>
    <w:rsid w:val="7CC80542"/>
    <w:rsid w:val="7CC83516"/>
    <w:rsid w:val="7CC9337D"/>
    <w:rsid w:val="7CCBD2FF"/>
    <w:rsid w:val="7CCE1462"/>
    <w:rsid w:val="7CD3084E"/>
    <w:rsid w:val="7CD3D72E"/>
    <w:rsid w:val="7CD4B61F"/>
    <w:rsid w:val="7CD89328"/>
    <w:rsid w:val="7CDD3472"/>
    <w:rsid w:val="7CDD6D4E"/>
    <w:rsid w:val="7CDF1E3E"/>
    <w:rsid w:val="7CFF0CDF"/>
    <w:rsid w:val="7D017FD9"/>
    <w:rsid w:val="7D06E475"/>
    <w:rsid w:val="7D0766A7"/>
    <w:rsid w:val="7D0C2A8E"/>
    <w:rsid w:val="7D20D3AE"/>
    <w:rsid w:val="7D281B4B"/>
    <w:rsid w:val="7D2A0AF5"/>
    <w:rsid w:val="7D3422DC"/>
    <w:rsid w:val="7D37FEA9"/>
    <w:rsid w:val="7D3E482E"/>
    <w:rsid w:val="7D3ED551"/>
    <w:rsid w:val="7D3EE6D7"/>
    <w:rsid w:val="7D404B4D"/>
    <w:rsid w:val="7D42CC9E"/>
    <w:rsid w:val="7D4670DB"/>
    <w:rsid w:val="7D480602"/>
    <w:rsid w:val="7D48F607"/>
    <w:rsid w:val="7D4AC3F7"/>
    <w:rsid w:val="7D4EAC39"/>
    <w:rsid w:val="7D506E28"/>
    <w:rsid w:val="7D51CC66"/>
    <w:rsid w:val="7D547C81"/>
    <w:rsid w:val="7D5988F0"/>
    <w:rsid w:val="7D65C1B4"/>
    <w:rsid w:val="7D73FF38"/>
    <w:rsid w:val="7D7511E2"/>
    <w:rsid w:val="7D760403"/>
    <w:rsid w:val="7D7A90C9"/>
    <w:rsid w:val="7D811468"/>
    <w:rsid w:val="7D88876C"/>
    <w:rsid w:val="7D89BC6B"/>
    <w:rsid w:val="7D8A5BCB"/>
    <w:rsid w:val="7D8E1F25"/>
    <w:rsid w:val="7D92BB9C"/>
    <w:rsid w:val="7D948DD0"/>
    <w:rsid w:val="7D9752FF"/>
    <w:rsid w:val="7DA47905"/>
    <w:rsid w:val="7DA563DE"/>
    <w:rsid w:val="7DB5F492"/>
    <w:rsid w:val="7DC34C80"/>
    <w:rsid w:val="7DC8A8E0"/>
    <w:rsid w:val="7DCA74C7"/>
    <w:rsid w:val="7DD85F76"/>
    <w:rsid w:val="7DD91F28"/>
    <w:rsid w:val="7DDCB446"/>
    <w:rsid w:val="7DE7C0E8"/>
    <w:rsid w:val="7DEAD5C9"/>
    <w:rsid w:val="7DED0ABA"/>
    <w:rsid w:val="7DFAE74E"/>
    <w:rsid w:val="7DFD5D42"/>
    <w:rsid w:val="7E04CA70"/>
    <w:rsid w:val="7E09FAA6"/>
    <w:rsid w:val="7E140048"/>
    <w:rsid w:val="7E162C6D"/>
    <w:rsid w:val="7E248C6E"/>
    <w:rsid w:val="7E2F6974"/>
    <w:rsid w:val="7E2FFDC0"/>
    <w:rsid w:val="7E3102EC"/>
    <w:rsid w:val="7E38B065"/>
    <w:rsid w:val="7E44B023"/>
    <w:rsid w:val="7E44D1CA"/>
    <w:rsid w:val="7E470601"/>
    <w:rsid w:val="7E47A8B0"/>
    <w:rsid w:val="7E5230F7"/>
    <w:rsid w:val="7E5B37DC"/>
    <w:rsid w:val="7E5F8C22"/>
    <w:rsid w:val="7E604D36"/>
    <w:rsid w:val="7E617284"/>
    <w:rsid w:val="7E660A69"/>
    <w:rsid w:val="7E6C668C"/>
    <w:rsid w:val="7E7283F7"/>
    <w:rsid w:val="7E7398EA"/>
    <w:rsid w:val="7E7CF4F8"/>
    <w:rsid w:val="7E80DE8C"/>
    <w:rsid w:val="7E80F756"/>
    <w:rsid w:val="7E8151B0"/>
    <w:rsid w:val="7E82A407"/>
    <w:rsid w:val="7E857E32"/>
    <w:rsid w:val="7E8771E3"/>
    <w:rsid w:val="7E8B99AB"/>
    <w:rsid w:val="7E9872B3"/>
    <w:rsid w:val="7E9A9FDC"/>
    <w:rsid w:val="7EA57E93"/>
    <w:rsid w:val="7EA5A193"/>
    <w:rsid w:val="7EA9D69D"/>
    <w:rsid w:val="7EAD57C4"/>
    <w:rsid w:val="7EADBAAC"/>
    <w:rsid w:val="7EAF55C7"/>
    <w:rsid w:val="7EB21431"/>
    <w:rsid w:val="7EBA7030"/>
    <w:rsid w:val="7ECCE657"/>
    <w:rsid w:val="7ED8ABAB"/>
    <w:rsid w:val="7EE01979"/>
    <w:rsid w:val="7EE04E22"/>
    <w:rsid w:val="7EE20653"/>
    <w:rsid w:val="7EF79DC3"/>
    <w:rsid w:val="7EFCD156"/>
    <w:rsid w:val="7F047607"/>
    <w:rsid w:val="7F0A87F2"/>
    <w:rsid w:val="7F0FBF0D"/>
    <w:rsid w:val="7F19E53A"/>
    <w:rsid w:val="7F249C8C"/>
    <w:rsid w:val="7F2626C8"/>
    <w:rsid w:val="7F26ACF1"/>
    <w:rsid w:val="7F30EBB0"/>
    <w:rsid w:val="7F40ADDA"/>
    <w:rsid w:val="7F426733"/>
    <w:rsid w:val="7F448893"/>
    <w:rsid w:val="7F55AF85"/>
    <w:rsid w:val="7F569F1C"/>
    <w:rsid w:val="7F62D1DF"/>
    <w:rsid w:val="7F660930"/>
    <w:rsid w:val="7F7062CB"/>
    <w:rsid w:val="7F767B6C"/>
    <w:rsid w:val="7F7D7772"/>
    <w:rsid w:val="7F7DD4E4"/>
    <w:rsid w:val="7F8E0E1B"/>
    <w:rsid w:val="7F8EBC60"/>
    <w:rsid w:val="7FA34265"/>
    <w:rsid w:val="7FB58DC1"/>
    <w:rsid w:val="7FB75219"/>
    <w:rsid w:val="7FC1798A"/>
    <w:rsid w:val="7FC56C13"/>
    <w:rsid w:val="7FC9B68D"/>
    <w:rsid w:val="7FD1E3D5"/>
    <w:rsid w:val="7FD31C2C"/>
    <w:rsid w:val="7FD8CEED"/>
    <w:rsid w:val="7FDA8ADE"/>
    <w:rsid w:val="7FDD0951"/>
    <w:rsid w:val="7FE514FB"/>
    <w:rsid w:val="7FF3EDEE"/>
    <w:rsid w:val="7FF3FD2C"/>
    <w:rsid w:val="7FFC2AE1"/>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46026ADC"/>
  <w15:chartTrackingRefBased/>
  <w15:docId w15:val="{9622423C-EFFB-49FB-942C-0BF52E3634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Arial" w:eastAsiaTheme="minorHAnsi" w:hAnsi="Arial" w:cstheme="minorBidi"/>
        <w:sz w:val="24"/>
        <w:szCs w:val="24"/>
        <w:lang w:val="en-A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1" w:unhideWhenUsed="1" w:qFormat="1"/>
    <w:lsdException w:name="heading 3" w:semiHidden="1" w:uiPriority="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qFormat="1"/>
    <w:lsdException w:name="index heading" w:semiHidden="1" w:unhideWhenUsed="1"/>
    <w:lsdException w:name="caption"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E562A"/>
    <w:pPr>
      <w:keepLines/>
      <w:widowControl w:val="0"/>
      <w:spacing w:line="276" w:lineRule="auto"/>
      <w:ind w:right="2160"/>
    </w:pPr>
  </w:style>
  <w:style w:type="paragraph" w:styleId="Heading1">
    <w:name w:val="heading 1"/>
    <w:basedOn w:val="Normal"/>
    <w:link w:val="Heading1Char"/>
    <w:uiPriority w:val="9"/>
    <w:qFormat/>
    <w:rsid w:val="00A9550D"/>
    <w:pPr>
      <w:spacing w:before="100" w:beforeAutospacing="1" w:after="100" w:afterAutospacing="1" w:line="240" w:lineRule="auto"/>
      <w:outlineLvl w:val="0"/>
    </w:pPr>
    <w:rPr>
      <w:rFonts w:eastAsia="Times New Roman" w:cs="Times New Roman"/>
      <w:bCs/>
      <w:color w:val="000000" w:themeColor="text1"/>
      <w:kern w:val="36"/>
      <w:sz w:val="48"/>
      <w:szCs w:val="48"/>
      <w:lang w:eastAsia="en-AU"/>
    </w:rPr>
  </w:style>
  <w:style w:type="paragraph" w:styleId="Heading2">
    <w:name w:val="heading 2"/>
    <w:aliases w:val="Heading 2 (light blue)"/>
    <w:basedOn w:val="Heading1"/>
    <w:next w:val="Normal"/>
    <w:link w:val="Heading2Char"/>
    <w:uiPriority w:val="1"/>
    <w:unhideWhenUsed/>
    <w:qFormat/>
    <w:rsid w:val="00B04FF8"/>
    <w:pPr>
      <w:keepNext/>
      <w:outlineLvl w:val="1"/>
    </w:pPr>
    <w:rPr>
      <w:rFonts w:eastAsiaTheme="majorEastAsia" w:cstheme="majorBidi"/>
      <w:color w:val="337B9E"/>
      <w:sz w:val="36"/>
      <w:szCs w:val="26"/>
    </w:rPr>
  </w:style>
  <w:style w:type="paragraph" w:styleId="Heading3">
    <w:name w:val="heading 3"/>
    <w:aliases w:val="Heading 3 (light blue)"/>
    <w:basedOn w:val="Normal"/>
    <w:next w:val="Normal"/>
    <w:link w:val="Heading3Char"/>
    <w:uiPriority w:val="1"/>
    <w:unhideWhenUsed/>
    <w:qFormat/>
    <w:rsid w:val="002771F8"/>
    <w:pPr>
      <w:keepNext/>
      <w:spacing w:after="120"/>
      <w:outlineLvl w:val="2"/>
    </w:pPr>
    <w:rPr>
      <w:rFonts w:eastAsiaTheme="majorEastAsia" w:cstheme="majorBidi"/>
      <w:color w:val="000000" w:themeColor="text1"/>
      <w:sz w:val="28"/>
      <w:szCs w:val="32"/>
      <w:shd w:val="clear" w:color="auto" w:fill="FFFFFF"/>
    </w:rPr>
  </w:style>
  <w:style w:type="paragraph" w:styleId="Heading4">
    <w:name w:val="heading 4"/>
    <w:basedOn w:val="Normal"/>
    <w:next w:val="Normal"/>
    <w:link w:val="Heading4Char"/>
    <w:uiPriority w:val="9"/>
    <w:unhideWhenUsed/>
    <w:qFormat/>
    <w:rsid w:val="00C461B4"/>
    <w:pPr>
      <w:keepNext/>
      <w:spacing w:after="120"/>
      <w:outlineLvl w:val="3"/>
    </w:pPr>
    <w:rPr>
      <w:rFonts w:eastAsiaTheme="majorEastAsia" w:cs="Arial"/>
      <w:iCs/>
    </w:rPr>
  </w:style>
  <w:style w:type="paragraph" w:styleId="Heading5">
    <w:name w:val="heading 5"/>
    <w:basedOn w:val="Normal"/>
    <w:next w:val="Normal"/>
    <w:link w:val="Heading5Char"/>
    <w:uiPriority w:val="9"/>
    <w:unhideWhenUsed/>
    <w:qFormat/>
    <w:rsid w:val="001A7459"/>
    <w:pPr>
      <w:keepNext/>
      <w:spacing w:before="40" w:after="0"/>
      <w:outlineLvl w:val="4"/>
    </w:pPr>
    <w:rPr>
      <w:rFonts w:asciiTheme="majorHAnsi" w:eastAsiaTheme="majorEastAsia" w:hAnsiTheme="majorHAnsi" w:cstheme="majorBidi"/>
      <w:color w:val="2E74B5"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A9550D"/>
    <w:rPr>
      <w:rFonts w:eastAsia="Times New Roman" w:cs="Times New Roman"/>
      <w:bCs/>
      <w:color w:val="000000" w:themeColor="text1"/>
      <w:kern w:val="36"/>
      <w:sz w:val="48"/>
      <w:szCs w:val="48"/>
      <w:lang w:eastAsia="en-AU"/>
    </w:rPr>
  </w:style>
  <w:style w:type="character" w:customStyle="1" w:styleId="Heading2Char">
    <w:name w:val="Heading 2 Char"/>
    <w:aliases w:val="Heading 2 (light blue) Char"/>
    <w:basedOn w:val="DefaultParagraphFont"/>
    <w:link w:val="Heading2"/>
    <w:uiPriority w:val="1"/>
    <w:rsid w:val="00B04FF8"/>
    <w:rPr>
      <w:rFonts w:eastAsiaTheme="majorEastAsia" w:cstheme="majorBidi"/>
      <w:bCs/>
      <w:color w:val="337B9E"/>
      <w:kern w:val="36"/>
      <w:sz w:val="36"/>
      <w:szCs w:val="26"/>
      <w:lang w:eastAsia="en-AU"/>
    </w:rPr>
  </w:style>
  <w:style w:type="character" w:customStyle="1" w:styleId="Heading3Char">
    <w:name w:val="Heading 3 Char"/>
    <w:aliases w:val="Heading 3 (light blue) Char"/>
    <w:basedOn w:val="DefaultParagraphFont"/>
    <w:link w:val="Heading3"/>
    <w:uiPriority w:val="1"/>
    <w:rsid w:val="002771F8"/>
    <w:rPr>
      <w:rFonts w:eastAsiaTheme="majorEastAsia" w:cstheme="majorBidi"/>
      <w:color w:val="000000" w:themeColor="text1"/>
      <w:sz w:val="28"/>
      <w:szCs w:val="32"/>
    </w:rPr>
  </w:style>
  <w:style w:type="paragraph" w:styleId="Title">
    <w:name w:val="Title"/>
    <w:basedOn w:val="Normal"/>
    <w:next w:val="Normal"/>
    <w:link w:val="TitleChar"/>
    <w:uiPriority w:val="10"/>
    <w:qFormat/>
    <w:rsid w:val="00335E5A"/>
    <w:pPr>
      <w:spacing w:after="0" w:line="240" w:lineRule="auto"/>
      <w:contextualSpacing/>
    </w:pPr>
    <w:rPr>
      <w:rFonts w:eastAsiaTheme="majorEastAsia" w:cstheme="majorBidi"/>
      <w:spacing w:val="-10"/>
      <w:kern w:val="28"/>
      <w:sz w:val="72"/>
      <w:szCs w:val="56"/>
    </w:rPr>
  </w:style>
  <w:style w:type="character" w:customStyle="1" w:styleId="TitleChar">
    <w:name w:val="Title Char"/>
    <w:basedOn w:val="DefaultParagraphFont"/>
    <w:link w:val="Title"/>
    <w:uiPriority w:val="10"/>
    <w:rsid w:val="00335E5A"/>
    <w:rPr>
      <w:rFonts w:eastAsiaTheme="majorEastAsia" w:cstheme="majorBidi"/>
      <w:color w:val="000000" w:themeColor="text1"/>
      <w:spacing w:val="-10"/>
      <w:kern w:val="28"/>
      <w:sz w:val="72"/>
      <w:szCs w:val="56"/>
    </w:rPr>
  </w:style>
  <w:style w:type="paragraph" w:styleId="Quote">
    <w:name w:val="Quote"/>
    <w:basedOn w:val="Normal"/>
    <w:next w:val="Normal"/>
    <w:link w:val="QuoteChar"/>
    <w:uiPriority w:val="29"/>
    <w:qFormat/>
    <w:rsid w:val="000618AE"/>
    <w:pPr>
      <w:spacing w:before="120" w:after="120"/>
      <w:ind w:left="567"/>
    </w:pPr>
    <w:rPr>
      <w:iCs/>
      <w:sz w:val="22"/>
    </w:rPr>
  </w:style>
  <w:style w:type="character" w:customStyle="1" w:styleId="QuoteChar">
    <w:name w:val="Quote Char"/>
    <w:basedOn w:val="DefaultParagraphFont"/>
    <w:link w:val="Quote"/>
    <w:uiPriority w:val="29"/>
    <w:rsid w:val="000618AE"/>
    <w:rPr>
      <w:iCs/>
      <w:sz w:val="22"/>
    </w:rPr>
  </w:style>
  <w:style w:type="paragraph" w:styleId="Footer">
    <w:name w:val="footer"/>
    <w:basedOn w:val="Normal"/>
    <w:link w:val="FooterChar"/>
    <w:uiPriority w:val="99"/>
    <w:unhideWhenUsed/>
    <w:qFormat/>
    <w:rsid w:val="00B41114"/>
    <w:pPr>
      <w:tabs>
        <w:tab w:val="center" w:pos="4513"/>
        <w:tab w:val="right" w:pos="9026"/>
      </w:tabs>
      <w:spacing w:after="0" w:line="240" w:lineRule="auto"/>
    </w:pPr>
    <w:rPr>
      <w:color w:val="383D41"/>
      <w:sz w:val="18"/>
    </w:rPr>
  </w:style>
  <w:style w:type="character" w:customStyle="1" w:styleId="FooterChar">
    <w:name w:val="Footer Char"/>
    <w:basedOn w:val="DefaultParagraphFont"/>
    <w:link w:val="Footer"/>
    <w:uiPriority w:val="99"/>
    <w:rsid w:val="00B41114"/>
    <w:rPr>
      <w:color w:val="383D41"/>
      <w:sz w:val="18"/>
    </w:rPr>
  </w:style>
  <w:style w:type="character" w:styleId="Hyperlink">
    <w:name w:val="Hyperlink"/>
    <w:basedOn w:val="DefaultParagraphFont"/>
    <w:uiPriority w:val="99"/>
    <w:unhideWhenUsed/>
    <w:rsid w:val="005C5B4A"/>
    <w:rPr>
      <w:color w:val="337B9E"/>
      <w:u w:val="single"/>
    </w:rPr>
  </w:style>
  <w:style w:type="paragraph" w:styleId="ListParagraph">
    <w:name w:val="List Paragraph"/>
    <w:aliases w:val="Bullet,NFP GP Bulleted List,List Paragraph1,Recommendation,List Paragraph11,FooterText,numbered,Paragraphe de liste1,Bulletr List Paragraph,列出段落,列出段落1,List Paragraph2,List Paragraph21,Listeafsnit1,Parágrafo da Lista1,Párrafo de lista1,L"/>
    <w:basedOn w:val="Normal"/>
    <w:link w:val="ListParagraphChar"/>
    <w:uiPriority w:val="34"/>
    <w:qFormat/>
    <w:rsid w:val="00626427"/>
    <w:pPr>
      <w:numPr>
        <w:numId w:val="4"/>
      </w:numPr>
      <w:spacing w:after="120"/>
      <w:contextualSpacing/>
    </w:pPr>
    <w:rPr>
      <w:rFonts w:eastAsiaTheme="minorEastAsia"/>
      <w:iCs/>
      <w:color w:val="000000" w:themeColor="text1"/>
      <w:szCs w:val="20"/>
    </w:rPr>
  </w:style>
  <w:style w:type="character" w:customStyle="1" w:styleId="ListParagraphChar">
    <w:name w:val="List Paragraph Char"/>
    <w:aliases w:val="Bullet Char,NFP GP Bulleted List Char,List Paragraph1 Char,Recommendation Char,List Paragraph11 Char,FooterText Char,numbered Char,Paragraphe de liste1 Char,Bulletr List Paragraph Char,列出段落 Char,列出段落1 Char,List Paragraph2 Char,L Char"/>
    <w:link w:val="ListParagraph"/>
    <w:uiPriority w:val="34"/>
    <w:qFormat/>
    <w:locked/>
    <w:rsid w:val="00626427"/>
    <w:rPr>
      <w:rFonts w:eastAsiaTheme="minorEastAsia"/>
      <w:iCs/>
      <w:color w:val="000000" w:themeColor="text1"/>
      <w:szCs w:val="20"/>
    </w:rPr>
  </w:style>
  <w:style w:type="paragraph" w:styleId="Header">
    <w:name w:val="header"/>
    <w:basedOn w:val="Normal"/>
    <w:link w:val="HeaderChar"/>
    <w:uiPriority w:val="99"/>
    <w:unhideWhenUsed/>
    <w:rsid w:val="00075C64"/>
    <w:pPr>
      <w:tabs>
        <w:tab w:val="center" w:pos="4513"/>
        <w:tab w:val="right" w:pos="9026"/>
      </w:tabs>
      <w:spacing w:after="0" w:line="240" w:lineRule="auto"/>
    </w:pPr>
  </w:style>
  <w:style w:type="character" w:customStyle="1" w:styleId="HeaderChar">
    <w:name w:val="Header Char"/>
    <w:basedOn w:val="DefaultParagraphFont"/>
    <w:link w:val="Header"/>
    <w:uiPriority w:val="99"/>
    <w:rsid w:val="00075C64"/>
  </w:style>
  <w:style w:type="paragraph" w:customStyle="1" w:styleId="Default">
    <w:name w:val="Default"/>
    <w:rsid w:val="00944830"/>
    <w:pPr>
      <w:autoSpaceDE w:val="0"/>
      <w:autoSpaceDN w:val="0"/>
      <w:adjustRightInd w:val="0"/>
      <w:spacing w:after="0" w:line="240" w:lineRule="auto"/>
    </w:pPr>
    <w:rPr>
      <w:rFonts w:cs="Arial"/>
      <w:color w:val="000000"/>
    </w:rPr>
  </w:style>
  <w:style w:type="paragraph" w:styleId="Caption">
    <w:name w:val="caption"/>
    <w:basedOn w:val="Normal"/>
    <w:next w:val="Normal"/>
    <w:unhideWhenUsed/>
    <w:qFormat/>
    <w:rsid w:val="00C94E62"/>
    <w:pPr>
      <w:spacing w:before="240" w:after="240" w:line="288" w:lineRule="auto"/>
      <w:ind w:right="2275"/>
    </w:pPr>
    <w:rPr>
      <w:rFonts w:eastAsiaTheme="minorEastAsia"/>
      <w:b/>
      <w:bCs/>
      <w:i/>
      <w:iCs/>
      <w:color w:val="383D41"/>
      <w:sz w:val="20"/>
      <w:szCs w:val="18"/>
    </w:rPr>
  </w:style>
  <w:style w:type="table" w:styleId="TableGridLight">
    <w:name w:val="Grid Table Light"/>
    <w:basedOn w:val="TableNormal"/>
    <w:uiPriority w:val="40"/>
    <w:rsid w:val="003833F2"/>
    <w:pPr>
      <w:spacing w:after="0" w:line="240" w:lineRule="auto"/>
    </w:pPr>
    <w:rPr>
      <w:rFonts w:asciiTheme="minorHAnsi" w:eastAsiaTheme="minorEastAsia" w:hAnsiTheme="minorHAnsi"/>
      <w:sz w:val="22"/>
      <w:szCs w:val="22"/>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table" w:styleId="TableGrid">
    <w:name w:val="Table Grid"/>
    <w:basedOn w:val="TableNormal"/>
    <w:uiPriority w:val="39"/>
    <w:rsid w:val="002524A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8B0B5F"/>
    <w:rPr>
      <w:sz w:val="16"/>
      <w:szCs w:val="16"/>
    </w:rPr>
  </w:style>
  <w:style w:type="paragraph" w:styleId="CommentText">
    <w:name w:val="annotation text"/>
    <w:basedOn w:val="Normal"/>
    <w:link w:val="CommentTextChar"/>
    <w:uiPriority w:val="99"/>
    <w:unhideWhenUsed/>
    <w:rsid w:val="008B0B5F"/>
    <w:pPr>
      <w:spacing w:after="0" w:line="240" w:lineRule="auto"/>
    </w:pPr>
    <w:rPr>
      <w:rFonts w:eastAsia="Times New Roman" w:cs="Times New Roman"/>
      <w:sz w:val="20"/>
      <w:szCs w:val="20"/>
      <w:lang w:eastAsia="en-AU"/>
    </w:rPr>
  </w:style>
  <w:style w:type="character" w:customStyle="1" w:styleId="CommentTextChar">
    <w:name w:val="Comment Text Char"/>
    <w:basedOn w:val="DefaultParagraphFont"/>
    <w:link w:val="CommentText"/>
    <w:uiPriority w:val="99"/>
    <w:rsid w:val="008B0B5F"/>
    <w:rPr>
      <w:rFonts w:eastAsia="Times New Roman" w:cs="Times New Roman"/>
      <w:sz w:val="20"/>
      <w:szCs w:val="20"/>
      <w:lang w:eastAsia="en-AU"/>
    </w:rPr>
  </w:style>
  <w:style w:type="paragraph" w:styleId="ListBullet">
    <w:name w:val="List Bullet"/>
    <w:basedOn w:val="Normal"/>
    <w:uiPriority w:val="9"/>
    <w:rsid w:val="008B0B5F"/>
    <w:pPr>
      <w:numPr>
        <w:numId w:val="1"/>
      </w:numPr>
      <w:tabs>
        <w:tab w:val="clear" w:pos="360"/>
        <w:tab w:val="left" w:pos="357"/>
      </w:tabs>
      <w:spacing w:before="60" w:after="60" w:line="264" w:lineRule="auto"/>
      <w:ind w:left="357" w:hanging="357"/>
    </w:pPr>
    <w:rPr>
      <w:sz w:val="19"/>
      <w:szCs w:val="18"/>
    </w:rPr>
  </w:style>
  <w:style w:type="paragraph" w:customStyle="1" w:styleId="TableTextHeading">
    <w:name w:val="Table Text Heading"/>
    <w:basedOn w:val="Normal"/>
    <w:uiPriority w:val="13"/>
    <w:qFormat/>
    <w:rsid w:val="00642167"/>
    <w:pPr>
      <w:spacing w:before="60" w:after="60" w:line="264" w:lineRule="auto"/>
      <w:ind w:right="0"/>
    </w:pPr>
    <w:rPr>
      <w:color w:val="347B9F"/>
      <w:szCs w:val="18"/>
    </w:rPr>
  </w:style>
  <w:style w:type="paragraph" w:customStyle="1" w:styleId="TableText">
    <w:name w:val="Table Text"/>
    <w:basedOn w:val="Normal"/>
    <w:uiPriority w:val="14"/>
    <w:rsid w:val="00837455"/>
    <w:pPr>
      <w:spacing w:before="60" w:after="60"/>
      <w:ind w:right="0"/>
    </w:pPr>
    <w:rPr>
      <w:szCs w:val="18"/>
    </w:rPr>
  </w:style>
  <w:style w:type="paragraph" w:customStyle="1" w:styleId="TableTextRight">
    <w:name w:val="Table Text Right"/>
    <w:basedOn w:val="Normal"/>
    <w:uiPriority w:val="16"/>
    <w:qFormat/>
    <w:rsid w:val="00642167"/>
    <w:pPr>
      <w:spacing w:before="60" w:after="60" w:line="264" w:lineRule="auto"/>
    </w:pPr>
    <w:rPr>
      <w:szCs w:val="18"/>
    </w:rPr>
  </w:style>
  <w:style w:type="paragraph" w:customStyle="1" w:styleId="TableTextBold">
    <w:name w:val="Table Text Bold"/>
    <w:basedOn w:val="Normal"/>
    <w:uiPriority w:val="17"/>
    <w:qFormat/>
    <w:rsid w:val="00CC7A5C"/>
    <w:pPr>
      <w:spacing w:before="60" w:after="60" w:line="264" w:lineRule="auto"/>
    </w:pPr>
    <w:rPr>
      <w:b/>
      <w:szCs w:val="18"/>
    </w:rPr>
  </w:style>
  <w:style w:type="paragraph" w:customStyle="1" w:styleId="TableTextItalics">
    <w:name w:val="Table Text Italics"/>
    <w:basedOn w:val="TableText"/>
    <w:uiPriority w:val="18"/>
    <w:rsid w:val="008B0B5F"/>
    <w:rPr>
      <w:i/>
    </w:rPr>
  </w:style>
  <w:style w:type="paragraph" w:customStyle="1" w:styleId="Note">
    <w:name w:val="Note"/>
    <w:basedOn w:val="Normal"/>
    <w:next w:val="Normal"/>
    <w:uiPriority w:val="22"/>
    <w:qFormat/>
    <w:rsid w:val="008B0B5F"/>
    <w:pPr>
      <w:spacing w:before="60" w:after="60" w:line="264" w:lineRule="auto"/>
      <w:jc w:val="both"/>
    </w:pPr>
    <w:rPr>
      <w:sz w:val="16"/>
      <w:szCs w:val="22"/>
    </w:rPr>
  </w:style>
  <w:style w:type="paragraph" w:customStyle="1" w:styleId="NoteIndent">
    <w:name w:val="Note Indent"/>
    <w:basedOn w:val="Normal"/>
    <w:uiPriority w:val="22"/>
    <w:qFormat/>
    <w:rsid w:val="008B0B5F"/>
    <w:pPr>
      <w:numPr>
        <w:numId w:val="2"/>
      </w:numPr>
      <w:tabs>
        <w:tab w:val="left" w:pos="357"/>
      </w:tabs>
      <w:spacing w:before="60" w:after="60" w:line="264" w:lineRule="auto"/>
      <w:ind w:left="357" w:hanging="357"/>
    </w:pPr>
    <w:rPr>
      <w:sz w:val="16"/>
      <w:szCs w:val="18"/>
    </w:rPr>
  </w:style>
  <w:style w:type="character" w:styleId="SubtleReference">
    <w:name w:val="Subtle Reference"/>
    <w:basedOn w:val="DefaultParagraphFont"/>
    <w:uiPriority w:val="31"/>
    <w:qFormat/>
    <w:rsid w:val="008B0B5F"/>
    <w:rPr>
      <w:smallCaps/>
      <w:color w:val="5A5A5A" w:themeColor="text1" w:themeTint="A5"/>
    </w:rPr>
  </w:style>
  <w:style w:type="paragraph" w:styleId="BalloonText">
    <w:name w:val="Balloon Text"/>
    <w:basedOn w:val="Normal"/>
    <w:link w:val="BalloonTextChar"/>
    <w:uiPriority w:val="99"/>
    <w:semiHidden/>
    <w:unhideWhenUsed/>
    <w:rsid w:val="008B0B5F"/>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B0B5F"/>
    <w:rPr>
      <w:rFonts w:ascii="Segoe UI" w:hAnsi="Segoe UI" w:cs="Segoe UI"/>
      <w:sz w:val="18"/>
      <w:szCs w:val="18"/>
    </w:rPr>
  </w:style>
  <w:style w:type="paragraph" w:styleId="NormalWeb">
    <w:name w:val="Normal (Web)"/>
    <w:basedOn w:val="Normal"/>
    <w:uiPriority w:val="99"/>
    <w:unhideWhenUsed/>
    <w:rsid w:val="009C1E9F"/>
    <w:pPr>
      <w:spacing w:before="100" w:beforeAutospacing="1" w:after="100" w:afterAutospacing="1" w:line="240" w:lineRule="auto"/>
    </w:pPr>
    <w:rPr>
      <w:rFonts w:ascii="Times New Roman" w:eastAsia="Times New Roman" w:hAnsi="Times New Roman" w:cs="Times New Roman"/>
      <w:lang w:eastAsia="en-AU"/>
    </w:rPr>
  </w:style>
  <w:style w:type="paragraph" w:styleId="FootnoteText">
    <w:name w:val="footnote text"/>
    <w:basedOn w:val="Normal"/>
    <w:link w:val="FootnoteTextChar"/>
    <w:uiPriority w:val="99"/>
    <w:rsid w:val="00837455"/>
    <w:pPr>
      <w:spacing w:after="0" w:line="240" w:lineRule="auto"/>
      <w:ind w:right="0"/>
    </w:pPr>
    <w:rPr>
      <w:rFonts w:eastAsia="Times New Roman" w:cs="Times New Roman"/>
      <w:color w:val="000000" w:themeColor="text1"/>
      <w:sz w:val="20"/>
      <w:szCs w:val="20"/>
      <w:lang w:eastAsia="en-AU"/>
    </w:rPr>
  </w:style>
  <w:style w:type="character" w:customStyle="1" w:styleId="FootnoteTextChar">
    <w:name w:val="Footnote Text Char"/>
    <w:basedOn w:val="DefaultParagraphFont"/>
    <w:link w:val="FootnoteText"/>
    <w:uiPriority w:val="99"/>
    <w:rsid w:val="00837455"/>
    <w:rPr>
      <w:rFonts w:eastAsia="Times New Roman" w:cs="Times New Roman"/>
      <w:color w:val="000000" w:themeColor="text1"/>
      <w:sz w:val="20"/>
      <w:szCs w:val="20"/>
      <w:lang w:eastAsia="en-AU"/>
    </w:rPr>
  </w:style>
  <w:style w:type="character" w:styleId="FootnoteReference">
    <w:name w:val="footnote reference"/>
    <w:uiPriority w:val="99"/>
    <w:rsid w:val="009C1E9F"/>
    <w:rPr>
      <w:vertAlign w:val="superscript"/>
    </w:rPr>
  </w:style>
  <w:style w:type="character" w:customStyle="1" w:styleId="listnumber">
    <w:name w:val="listnumber"/>
    <w:basedOn w:val="DefaultParagraphFont"/>
    <w:rsid w:val="002A7824"/>
  </w:style>
  <w:style w:type="paragraph" w:customStyle="1" w:styleId="VEOHRCBodytext">
    <w:name w:val="VEOHRC Body text"/>
    <w:link w:val="VEOHRCBodytextChar"/>
    <w:rsid w:val="00AF5522"/>
    <w:pPr>
      <w:tabs>
        <w:tab w:val="left" w:pos="2640"/>
      </w:tabs>
      <w:spacing w:before="80" w:after="120" w:line="240" w:lineRule="auto"/>
    </w:pPr>
    <w:rPr>
      <w:rFonts w:eastAsia="Arial Unicode MS" w:cs="Times New Roman"/>
      <w:lang w:val="en-GB" w:eastAsia="en-AU"/>
    </w:rPr>
  </w:style>
  <w:style w:type="character" w:customStyle="1" w:styleId="VEOHRCBodytextChar">
    <w:name w:val="VEOHRC Body text Char"/>
    <w:link w:val="VEOHRCBodytext"/>
    <w:rsid w:val="00AF5522"/>
    <w:rPr>
      <w:rFonts w:eastAsia="Arial Unicode MS" w:cs="Times New Roman"/>
      <w:lang w:val="en-GB" w:eastAsia="en-AU"/>
    </w:rPr>
  </w:style>
  <w:style w:type="paragraph" w:customStyle="1" w:styleId="Text">
    <w:name w:val="Text"/>
    <w:basedOn w:val="Normal"/>
    <w:rsid w:val="008B37DE"/>
    <w:pPr>
      <w:tabs>
        <w:tab w:val="num" w:pos="1713"/>
      </w:tabs>
      <w:spacing w:before="120" w:after="120" w:line="240" w:lineRule="auto"/>
    </w:pPr>
    <w:rPr>
      <w:rFonts w:eastAsia="Times New Roman" w:cs="Times New Roman"/>
      <w:sz w:val="20"/>
      <w:szCs w:val="20"/>
      <w:lang w:eastAsia="en-AU"/>
    </w:rPr>
  </w:style>
  <w:style w:type="paragraph" w:styleId="BodyText">
    <w:name w:val="Body Text"/>
    <w:basedOn w:val="Normal"/>
    <w:link w:val="BodyTextChar"/>
    <w:uiPriority w:val="99"/>
    <w:qFormat/>
    <w:rsid w:val="00292A6B"/>
    <w:pPr>
      <w:suppressAutoHyphens/>
      <w:spacing w:before="80" w:after="120" w:line="240" w:lineRule="auto"/>
    </w:pPr>
    <w:rPr>
      <w:rFonts w:eastAsia="Times New Roman" w:cs="Times New Roman"/>
      <w:szCs w:val="20"/>
    </w:rPr>
  </w:style>
  <w:style w:type="character" w:customStyle="1" w:styleId="BodyTextChar">
    <w:name w:val="Body Text Char"/>
    <w:basedOn w:val="DefaultParagraphFont"/>
    <w:link w:val="BodyText"/>
    <w:uiPriority w:val="99"/>
    <w:rsid w:val="00292A6B"/>
    <w:rPr>
      <w:rFonts w:eastAsia="Times New Roman" w:cs="Times New Roman"/>
      <w:szCs w:val="20"/>
    </w:rPr>
  </w:style>
  <w:style w:type="character" w:styleId="Emphasis">
    <w:name w:val="Emphasis"/>
    <w:basedOn w:val="DefaultParagraphFont"/>
    <w:uiPriority w:val="20"/>
    <w:qFormat/>
    <w:rsid w:val="00726E04"/>
    <w:rPr>
      <w:i/>
      <w:iCs/>
    </w:rPr>
  </w:style>
  <w:style w:type="character" w:customStyle="1" w:styleId="meta">
    <w:name w:val="meta"/>
    <w:basedOn w:val="DefaultParagraphFont"/>
    <w:rsid w:val="00726E04"/>
  </w:style>
  <w:style w:type="character" w:customStyle="1" w:styleId="filetype">
    <w:name w:val="filetype"/>
    <w:basedOn w:val="DefaultParagraphFont"/>
    <w:rsid w:val="00726E04"/>
  </w:style>
  <w:style w:type="character" w:customStyle="1" w:styleId="offscreen">
    <w:name w:val="offscreen"/>
    <w:basedOn w:val="DefaultParagraphFont"/>
    <w:rsid w:val="00726E04"/>
  </w:style>
  <w:style w:type="paragraph" w:styleId="CommentSubject">
    <w:name w:val="annotation subject"/>
    <w:basedOn w:val="CommentText"/>
    <w:next w:val="CommentText"/>
    <w:link w:val="CommentSubjectChar"/>
    <w:uiPriority w:val="99"/>
    <w:semiHidden/>
    <w:unhideWhenUsed/>
    <w:rsid w:val="00722E26"/>
    <w:pPr>
      <w:spacing w:after="160"/>
    </w:pPr>
    <w:rPr>
      <w:rFonts w:eastAsiaTheme="minorHAnsi" w:cstheme="minorBidi"/>
      <w:b/>
      <w:bCs/>
      <w:lang w:eastAsia="en-US"/>
    </w:rPr>
  </w:style>
  <w:style w:type="character" w:customStyle="1" w:styleId="CommentSubjectChar">
    <w:name w:val="Comment Subject Char"/>
    <w:basedOn w:val="CommentTextChar"/>
    <w:link w:val="CommentSubject"/>
    <w:uiPriority w:val="99"/>
    <w:semiHidden/>
    <w:rsid w:val="00722E26"/>
    <w:rPr>
      <w:rFonts w:eastAsia="Times New Roman" w:cs="Times New Roman"/>
      <w:b/>
      <w:bCs/>
      <w:sz w:val="20"/>
      <w:szCs w:val="20"/>
      <w:lang w:eastAsia="en-AU"/>
    </w:rPr>
  </w:style>
  <w:style w:type="paragraph" w:customStyle="1" w:styleId="H2">
    <w:name w:val="H2"/>
    <w:basedOn w:val="Normal"/>
    <w:next w:val="Normal"/>
    <w:uiPriority w:val="99"/>
    <w:rsid w:val="006669B5"/>
    <w:pPr>
      <w:keepNext/>
      <w:autoSpaceDE w:val="0"/>
      <w:autoSpaceDN w:val="0"/>
      <w:adjustRightInd w:val="0"/>
      <w:spacing w:before="100" w:after="100" w:line="240" w:lineRule="auto"/>
      <w:outlineLvl w:val="2"/>
    </w:pPr>
    <w:rPr>
      <w:rFonts w:ascii="Times New Roman" w:hAnsi="Times New Roman" w:cs="Times New Roman"/>
      <w:b/>
      <w:bCs/>
      <w:sz w:val="36"/>
      <w:szCs w:val="36"/>
      <w:lang w:val="en-US"/>
    </w:rPr>
  </w:style>
  <w:style w:type="character" w:customStyle="1" w:styleId="CITE">
    <w:name w:val="CITE"/>
    <w:uiPriority w:val="99"/>
    <w:rsid w:val="004B548D"/>
    <w:rPr>
      <w:i/>
      <w:iCs/>
    </w:rPr>
  </w:style>
  <w:style w:type="paragraph" w:styleId="Revision">
    <w:name w:val="Revision"/>
    <w:hidden/>
    <w:uiPriority w:val="99"/>
    <w:semiHidden/>
    <w:rsid w:val="00C9719D"/>
    <w:pPr>
      <w:spacing w:after="0" w:line="240" w:lineRule="auto"/>
    </w:pPr>
  </w:style>
  <w:style w:type="paragraph" w:styleId="TOCHeading">
    <w:name w:val="TOC Heading"/>
    <w:basedOn w:val="Heading1"/>
    <w:next w:val="Normal"/>
    <w:uiPriority w:val="39"/>
    <w:unhideWhenUsed/>
    <w:qFormat/>
    <w:rsid w:val="00B0107E"/>
    <w:pPr>
      <w:keepNext/>
      <w:spacing w:before="240" w:beforeAutospacing="0" w:after="0" w:afterAutospacing="0" w:line="259" w:lineRule="auto"/>
      <w:outlineLvl w:val="9"/>
    </w:pPr>
    <w:rPr>
      <w:rFonts w:asciiTheme="majorHAnsi" w:eastAsiaTheme="majorEastAsia" w:hAnsiTheme="majorHAnsi" w:cstheme="majorBidi"/>
      <w:bCs w:val="0"/>
      <w:color w:val="2E74B5" w:themeColor="accent1" w:themeShade="BF"/>
      <w:kern w:val="0"/>
      <w:sz w:val="32"/>
      <w:szCs w:val="32"/>
      <w:lang w:val="en-US" w:eastAsia="en-US"/>
    </w:rPr>
  </w:style>
  <w:style w:type="paragraph" w:styleId="TOC1">
    <w:name w:val="toc 1"/>
    <w:basedOn w:val="Normal"/>
    <w:next w:val="Normal"/>
    <w:autoRedefine/>
    <w:uiPriority w:val="39"/>
    <w:unhideWhenUsed/>
    <w:rsid w:val="00B0107E"/>
    <w:pPr>
      <w:spacing w:after="100"/>
    </w:pPr>
  </w:style>
  <w:style w:type="paragraph" w:styleId="TOC2">
    <w:name w:val="toc 2"/>
    <w:basedOn w:val="Normal"/>
    <w:next w:val="Normal"/>
    <w:autoRedefine/>
    <w:uiPriority w:val="39"/>
    <w:unhideWhenUsed/>
    <w:rsid w:val="00634420"/>
    <w:pPr>
      <w:tabs>
        <w:tab w:val="right" w:leader="dot" w:pos="9742"/>
      </w:tabs>
      <w:spacing w:after="100"/>
      <w:ind w:left="240" w:right="2096"/>
    </w:pPr>
  </w:style>
  <w:style w:type="paragraph" w:styleId="TOC3">
    <w:name w:val="toc 3"/>
    <w:basedOn w:val="Normal"/>
    <w:next w:val="Normal"/>
    <w:autoRedefine/>
    <w:uiPriority w:val="39"/>
    <w:unhideWhenUsed/>
    <w:rsid w:val="00CA6856"/>
    <w:pPr>
      <w:tabs>
        <w:tab w:val="right" w:leader="dot" w:pos="9742"/>
      </w:tabs>
      <w:spacing w:after="100"/>
      <w:ind w:left="567" w:hanging="371"/>
    </w:pPr>
  </w:style>
  <w:style w:type="character" w:styleId="FollowedHyperlink">
    <w:name w:val="FollowedHyperlink"/>
    <w:basedOn w:val="DefaultParagraphFont"/>
    <w:uiPriority w:val="99"/>
    <w:semiHidden/>
    <w:unhideWhenUsed/>
    <w:rsid w:val="00C57250"/>
    <w:rPr>
      <w:color w:val="954F72" w:themeColor="followedHyperlink"/>
      <w:u w:val="single"/>
    </w:rPr>
  </w:style>
  <w:style w:type="paragraph" w:styleId="EndnoteText">
    <w:name w:val="endnote text"/>
    <w:basedOn w:val="Normal"/>
    <w:link w:val="EndnoteTextChar"/>
    <w:uiPriority w:val="99"/>
    <w:semiHidden/>
    <w:unhideWhenUsed/>
    <w:rsid w:val="002E58E5"/>
    <w:pPr>
      <w:spacing w:after="0" w:line="240" w:lineRule="auto"/>
    </w:pPr>
    <w:rPr>
      <w:sz w:val="20"/>
      <w:szCs w:val="20"/>
    </w:rPr>
  </w:style>
  <w:style w:type="character" w:customStyle="1" w:styleId="EndnoteTextChar">
    <w:name w:val="Endnote Text Char"/>
    <w:basedOn w:val="DefaultParagraphFont"/>
    <w:link w:val="EndnoteText"/>
    <w:uiPriority w:val="99"/>
    <w:semiHidden/>
    <w:rsid w:val="002E58E5"/>
    <w:rPr>
      <w:sz w:val="20"/>
      <w:szCs w:val="20"/>
    </w:rPr>
  </w:style>
  <w:style w:type="character" w:styleId="EndnoteReference">
    <w:name w:val="endnote reference"/>
    <w:basedOn w:val="DefaultParagraphFont"/>
    <w:uiPriority w:val="99"/>
    <w:semiHidden/>
    <w:unhideWhenUsed/>
    <w:rsid w:val="002E58E5"/>
    <w:rPr>
      <w:vertAlign w:val="superscript"/>
    </w:rPr>
  </w:style>
  <w:style w:type="character" w:styleId="HTMLCite">
    <w:name w:val="HTML Cite"/>
    <w:basedOn w:val="DefaultParagraphFont"/>
    <w:uiPriority w:val="99"/>
    <w:semiHidden/>
    <w:unhideWhenUsed/>
    <w:rsid w:val="00E06ECE"/>
    <w:rPr>
      <w:i/>
      <w:iCs/>
    </w:rPr>
  </w:style>
  <w:style w:type="character" w:styleId="Strong">
    <w:name w:val="Strong"/>
    <w:basedOn w:val="DefaultParagraphFont"/>
    <w:uiPriority w:val="22"/>
    <w:qFormat/>
    <w:rsid w:val="00DF51E5"/>
    <w:rPr>
      <w:b/>
      <w:bCs/>
    </w:rPr>
  </w:style>
  <w:style w:type="paragraph" w:styleId="NoSpacing">
    <w:name w:val="No Spacing"/>
    <w:uiPriority w:val="1"/>
    <w:qFormat/>
    <w:rsid w:val="00556A80"/>
    <w:pPr>
      <w:spacing w:after="0" w:line="240" w:lineRule="auto"/>
    </w:pPr>
  </w:style>
  <w:style w:type="paragraph" w:customStyle="1" w:styleId="highlightednormal">
    <w:name w:val="highlighted normal"/>
    <w:basedOn w:val="Normal"/>
    <w:link w:val="highlightednormalChar"/>
    <w:qFormat/>
    <w:rsid w:val="00D63773"/>
    <w:rPr>
      <w:rFonts w:cs="Arial"/>
      <w:sz w:val="22"/>
      <w:szCs w:val="22"/>
    </w:rPr>
  </w:style>
  <w:style w:type="character" w:customStyle="1" w:styleId="highlightednormalChar">
    <w:name w:val="highlighted normal Char"/>
    <w:basedOn w:val="DefaultParagraphFont"/>
    <w:link w:val="highlightednormal"/>
    <w:rsid w:val="00D63773"/>
    <w:rPr>
      <w:rFonts w:cs="Arial"/>
      <w:sz w:val="22"/>
      <w:szCs w:val="22"/>
    </w:rPr>
  </w:style>
  <w:style w:type="character" w:customStyle="1" w:styleId="Heading4Char">
    <w:name w:val="Heading 4 Char"/>
    <w:basedOn w:val="DefaultParagraphFont"/>
    <w:link w:val="Heading4"/>
    <w:uiPriority w:val="9"/>
    <w:rsid w:val="00DD5474"/>
    <w:rPr>
      <w:rFonts w:eastAsiaTheme="majorEastAsia" w:cs="Arial"/>
      <w:iCs/>
    </w:rPr>
  </w:style>
  <w:style w:type="paragraph" w:customStyle="1" w:styleId="Heading1Black">
    <w:name w:val="Heading 1 (Black)"/>
    <w:basedOn w:val="Normal"/>
    <w:next w:val="Normal"/>
    <w:link w:val="Heading1BlackChar"/>
    <w:uiPriority w:val="3"/>
    <w:rsid w:val="00F54D35"/>
    <w:pPr>
      <w:ind w:right="0"/>
    </w:pPr>
    <w:rPr>
      <w:color w:val="000000" w:themeColor="text1"/>
      <w:sz w:val="48"/>
    </w:rPr>
  </w:style>
  <w:style w:type="character" w:customStyle="1" w:styleId="Heading1BlackChar">
    <w:name w:val="Heading 1 (Black) Char"/>
    <w:basedOn w:val="DefaultParagraphFont"/>
    <w:link w:val="Heading1Black"/>
    <w:uiPriority w:val="3"/>
    <w:rsid w:val="00F54D35"/>
    <w:rPr>
      <w:color w:val="000000" w:themeColor="text1"/>
      <w:sz w:val="48"/>
    </w:rPr>
  </w:style>
  <w:style w:type="character" w:customStyle="1" w:styleId="bill-label">
    <w:name w:val="bill-label"/>
    <w:basedOn w:val="DefaultParagraphFont"/>
    <w:rsid w:val="009F1047"/>
  </w:style>
  <w:style w:type="paragraph" w:styleId="TOC4">
    <w:name w:val="toc 4"/>
    <w:basedOn w:val="Normal"/>
    <w:next w:val="Normal"/>
    <w:autoRedefine/>
    <w:uiPriority w:val="39"/>
    <w:unhideWhenUsed/>
    <w:rsid w:val="00CC6528"/>
    <w:pPr>
      <w:spacing w:after="100"/>
      <w:ind w:left="660"/>
    </w:pPr>
    <w:rPr>
      <w:rFonts w:asciiTheme="minorHAnsi" w:eastAsiaTheme="minorEastAsia" w:hAnsiTheme="minorHAnsi"/>
      <w:sz w:val="22"/>
      <w:szCs w:val="22"/>
      <w:lang w:eastAsia="en-AU"/>
    </w:rPr>
  </w:style>
  <w:style w:type="paragraph" w:styleId="TOC5">
    <w:name w:val="toc 5"/>
    <w:basedOn w:val="Normal"/>
    <w:next w:val="Normal"/>
    <w:autoRedefine/>
    <w:uiPriority w:val="39"/>
    <w:unhideWhenUsed/>
    <w:rsid w:val="00CC6528"/>
    <w:pPr>
      <w:spacing w:after="100"/>
      <w:ind w:left="880"/>
    </w:pPr>
    <w:rPr>
      <w:rFonts w:asciiTheme="minorHAnsi" w:eastAsiaTheme="minorEastAsia" w:hAnsiTheme="minorHAnsi"/>
      <w:sz w:val="22"/>
      <w:szCs w:val="22"/>
      <w:lang w:eastAsia="en-AU"/>
    </w:rPr>
  </w:style>
  <w:style w:type="paragraph" w:styleId="TOC6">
    <w:name w:val="toc 6"/>
    <w:basedOn w:val="Normal"/>
    <w:next w:val="Normal"/>
    <w:autoRedefine/>
    <w:uiPriority w:val="39"/>
    <w:unhideWhenUsed/>
    <w:rsid w:val="00CC6528"/>
    <w:pPr>
      <w:spacing w:after="100"/>
      <w:ind w:left="1100"/>
    </w:pPr>
    <w:rPr>
      <w:rFonts w:asciiTheme="minorHAnsi" w:eastAsiaTheme="minorEastAsia" w:hAnsiTheme="minorHAnsi"/>
      <w:sz w:val="22"/>
      <w:szCs w:val="22"/>
      <w:lang w:eastAsia="en-AU"/>
    </w:rPr>
  </w:style>
  <w:style w:type="paragraph" w:styleId="TOC7">
    <w:name w:val="toc 7"/>
    <w:basedOn w:val="Normal"/>
    <w:next w:val="Normal"/>
    <w:autoRedefine/>
    <w:uiPriority w:val="39"/>
    <w:unhideWhenUsed/>
    <w:rsid w:val="00CC6528"/>
    <w:pPr>
      <w:spacing w:after="100"/>
      <w:ind w:left="1320"/>
    </w:pPr>
    <w:rPr>
      <w:rFonts w:asciiTheme="minorHAnsi" w:eastAsiaTheme="minorEastAsia" w:hAnsiTheme="minorHAnsi"/>
      <w:sz w:val="22"/>
      <w:szCs w:val="22"/>
      <w:lang w:eastAsia="en-AU"/>
    </w:rPr>
  </w:style>
  <w:style w:type="paragraph" w:styleId="TOC8">
    <w:name w:val="toc 8"/>
    <w:basedOn w:val="Normal"/>
    <w:next w:val="Normal"/>
    <w:autoRedefine/>
    <w:uiPriority w:val="39"/>
    <w:unhideWhenUsed/>
    <w:rsid w:val="00CC6528"/>
    <w:pPr>
      <w:spacing w:after="100"/>
      <w:ind w:left="1540"/>
    </w:pPr>
    <w:rPr>
      <w:rFonts w:asciiTheme="minorHAnsi" w:eastAsiaTheme="minorEastAsia" w:hAnsiTheme="minorHAnsi"/>
      <w:sz w:val="22"/>
      <w:szCs w:val="22"/>
      <w:lang w:eastAsia="en-AU"/>
    </w:rPr>
  </w:style>
  <w:style w:type="paragraph" w:styleId="TOC9">
    <w:name w:val="toc 9"/>
    <w:basedOn w:val="Normal"/>
    <w:next w:val="Normal"/>
    <w:autoRedefine/>
    <w:uiPriority w:val="39"/>
    <w:unhideWhenUsed/>
    <w:rsid w:val="00CC6528"/>
    <w:pPr>
      <w:spacing w:after="100"/>
      <w:ind w:left="1760"/>
    </w:pPr>
    <w:rPr>
      <w:rFonts w:asciiTheme="minorHAnsi" w:eastAsiaTheme="minorEastAsia" w:hAnsiTheme="minorHAnsi"/>
      <w:sz w:val="22"/>
      <w:szCs w:val="22"/>
      <w:lang w:eastAsia="en-AU"/>
    </w:rPr>
  </w:style>
  <w:style w:type="character" w:customStyle="1" w:styleId="Heading5Char">
    <w:name w:val="Heading 5 Char"/>
    <w:basedOn w:val="DefaultParagraphFont"/>
    <w:link w:val="Heading5"/>
    <w:uiPriority w:val="9"/>
    <w:rsid w:val="001A7459"/>
    <w:rPr>
      <w:rFonts w:asciiTheme="majorHAnsi" w:eastAsiaTheme="majorEastAsia" w:hAnsiTheme="majorHAnsi" w:cstheme="majorBidi"/>
      <w:color w:val="2E74B5" w:themeColor="accent1" w:themeShade="BF"/>
    </w:rPr>
  </w:style>
  <w:style w:type="paragraph" w:customStyle="1" w:styleId="Chapterheading">
    <w:name w:val="Chapter heading"/>
    <w:qFormat/>
    <w:rsid w:val="00677A56"/>
    <w:pPr>
      <w:spacing w:before="1440" w:after="240"/>
    </w:pPr>
    <w:rPr>
      <w:rFonts w:eastAsia="Times New Roman" w:cs="Times New Roman"/>
      <w:bCs/>
      <w:color w:val="FFFFFF" w:themeColor="background1"/>
      <w:kern w:val="36"/>
      <w:sz w:val="72"/>
      <w:szCs w:val="48"/>
      <w:lang w:eastAsia="en-AU"/>
    </w:rPr>
  </w:style>
  <w:style w:type="table" w:styleId="PlainTable1">
    <w:name w:val="Plain Table 1"/>
    <w:basedOn w:val="TableNormal"/>
    <w:uiPriority w:val="41"/>
    <w:rsid w:val="00D67E3A"/>
    <w:pPr>
      <w:spacing w:after="0" w:line="240" w:lineRule="auto"/>
    </w:pPr>
    <w:tblPr>
      <w:tblStyleRowBandSize w:val="1"/>
      <w:tblStyleColBandSize w:val="1"/>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character" w:customStyle="1" w:styleId="file-summary-info">
    <w:name w:val="file-summary-info"/>
    <w:basedOn w:val="DefaultParagraphFont"/>
    <w:rsid w:val="00C2473A"/>
  </w:style>
  <w:style w:type="character" w:customStyle="1" w:styleId="UnresolvedMention1">
    <w:name w:val="Unresolved Mention1"/>
    <w:basedOn w:val="DefaultParagraphFont"/>
    <w:uiPriority w:val="99"/>
    <w:semiHidden/>
    <w:unhideWhenUsed/>
    <w:rsid w:val="004B60DC"/>
    <w:rPr>
      <w:color w:val="605E5C"/>
      <w:shd w:val="clear" w:color="auto" w:fill="E1DFDD"/>
    </w:rPr>
  </w:style>
  <w:style w:type="paragraph" w:styleId="IntenseQuote">
    <w:name w:val="Intense Quote"/>
    <w:basedOn w:val="Normal"/>
    <w:next w:val="Normal"/>
    <w:link w:val="IntenseQuoteChar"/>
    <w:uiPriority w:val="30"/>
    <w:qFormat/>
    <w:rsid w:val="000D1330"/>
    <w:pPr>
      <w:pBdr>
        <w:top w:val="single" w:sz="4" w:space="10" w:color="5B9BD5" w:themeColor="accent1"/>
        <w:bottom w:val="single" w:sz="4" w:space="10" w:color="5B9BD5" w:themeColor="accent1"/>
      </w:pBdr>
      <w:spacing w:before="360" w:after="360"/>
      <w:ind w:left="864" w:right="864"/>
      <w:jc w:val="center"/>
    </w:pPr>
    <w:rPr>
      <w:i/>
      <w:iCs/>
      <w:color w:val="5B9BD5" w:themeColor="accent1"/>
    </w:rPr>
  </w:style>
  <w:style w:type="character" w:customStyle="1" w:styleId="UnresolvedMention2">
    <w:name w:val="Unresolved Mention2"/>
    <w:basedOn w:val="DefaultParagraphFont"/>
    <w:uiPriority w:val="99"/>
    <w:semiHidden/>
    <w:unhideWhenUsed/>
    <w:rsid w:val="00951984"/>
    <w:rPr>
      <w:color w:val="605E5C"/>
      <w:shd w:val="clear" w:color="auto" w:fill="E1DFDD"/>
    </w:rPr>
  </w:style>
  <w:style w:type="character" w:customStyle="1" w:styleId="IntenseQuoteChar">
    <w:name w:val="Intense Quote Char"/>
    <w:basedOn w:val="DefaultParagraphFont"/>
    <w:link w:val="IntenseQuote"/>
    <w:uiPriority w:val="30"/>
    <w:rsid w:val="000D1330"/>
    <w:rPr>
      <w:i/>
      <w:iCs/>
      <w:color w:val="5B9BD5" w:themeColor="accent1"/>
    </w:rPr>
  </w:style>
  <w:style w:type="character" w:customStyle="1" w:styleId="UnresolvedMention3">
    <w:name w:val="Unresolved Mention3"/>
    <w:basedOn w:val="DefaultParagraphFont"/>
    <w:uiPriority w:val="99"/>
    <w:semiHidden/>
    <w:unhideWhenUsed/>
    <w:rsid w:val="0063583B"/>
    <w:rPr>
      <w:color w:val="605E5C"/>
      <w:shd w:val="clear" w:color="auto" w:fill="E1DFDD"/>
    </w:rPr>
  </w:style>
  <w:style w:type="character" w:customStyle="1" w:styleId="Mention1">
    <w:name w:val="Mention1"/>
    <w:basedOn w:val="DefaultParagraphFont"/>
    <w:uiPriority w:val="99"/>
    <w:unhideWhenUsed/>
    <w:rsid w:val="0063583B"/>
    <w:rPr>
      <w:color w:val="2B579A"/>
      <w:shd w:val="clear" w:color="auto" w:fill="E6E6E6"/>
    </w:rPr>
  </w:style>
  <w:style w:type="character" w:customStyle="1" w:styleId="UnresolvedMention4">
    <w:name w:val="Unresolved Mention4"/>
    <w:basedOn w:val="DefaultParagraphFont"/>
    <w:uiPriority w:val="99"/>
    <w:semiHidden/>
    <w:unhideWhenUsed/>
    <w:rsid w:val="00235A48"/>
    <w:rPr>
      <w:color w:val="605E5C"/>
      <w:shd w:val="clear" w:color="auto" w:fill="E1DFDD"/>
    </w:rPr>
  </w:style>
  <w:style w:type="character" w:customStyle="1" w:styleId="UnresolvedMention40">
    <w:name w:val="Unresolved Mention40"/>
    <w:basedOn w:val="DefaultParagraphFont"/>
    <w:uiPriority w:val="99"/>
    <w:semiHidden/>
    <w:unhideWhenUsed/>
    <w:rsid w:val="00235A48"/>
    <w:rPr>
      <w:color w:val="605E5C"/>
      <w:shd w:val="clear" w:color="auto" w:fill="E1DFDD"/>
    </w:rPr>
  </w:style>
  <w:style w:type="character" w:customStyle="1" w:styleId="UnresolvedMention400">
    <w:name w:val="Unresolved Mention400"/>
    <w:basedOn w:val="DefaultParagraphFont"/>
    <w:uiPriority w:val="99"/>
    <w:semiHidden/>
    <w:unhideWhenUsed/>
    <w:rsid w:val="000E16D7"/>
    <w:rPr>
      <w:color w:val="605E5C"/>
      <w:shd w:val="clear" w:color="auto" w:fill="E1DFDD"/>
    </w:rPr>
  </w:style>
  <w:style w:type="character" w:customStyle="1" w:styleId="Mention2">
    <w:name w:val="Mention2"/>
    <w:basedOn w:val="DefaultParagraphFont"/>
    <w:uiPriority w:val="99"/>
    <w:unhideWhenUsed/>
    <w:rsid w:val="006901DE"/>
    <w:rPr>
      <w:color w:val="2B579A"/>
      <w:shd w:val="clear" w:color="auto" w:fill="E1DFDD"/>
    </w:rPr>
  </w:style>
  <w:style w:type="character" w:customStyle="1" w:styleId="UnresolvedMention5">
    <w:name w:val="Unresolved Mention5"/>
    <w:basedOn w:val="DefaultParagraphFont"/>
    <w:uiPriority w:val="99"/>
    <w:semiHidden/>
    <w:unhideWhenUsed/>
    <w:rsid w:val="00E076E6"/>
    <w:rPr>
      <w:color w:val="605E5C"/>
      <w:shd w:val="clear" w:color="auto" w:fill="E1DFDD"/>
    </w:rPr>
  </w:style>
  <w:style w:type="character" w:customStyle="1" w:styleId="UnresolvedMention6">
    <w:name w:val="Unresolved Mention6"/>
    <w:basedOn w:val="DefaultParagraphFont"/>
    <w:uiPriority w:val="99"/>
    <w:unhideWhenUsed/>
    <w:rsid w:val="002D2599"/>
    <w:rPr>
      <w:color w:val="605E5C"/>
      <w:shd w:val="clear" w:color="auto" w:fill="E1DFDD"/>
    </w:rPr>
  </w:style>
  <w:style w:type="character" w:customStyle="1" w:styleId="Mention3">
    <w:name w:val="Mention3"/>
    <w:basedOn w:val="DefaultParagraphFont"/>
    <w:uiPriority w:val="99"/>
    <w:unhideWhenUsed/>
    <w:rsid w:val="002D2599"/>
    <w:rPr>
      <w:color w:val="2B579A"/>
      <w:shd w:val="clear" w:color="auto" w:fill="E1DFDD"/>
    </w:rPr>
  </w:style>
  <w:style w:type="character" w:customStyle="1" w:styleId="UnresolvedMention">
    <w:name w:val="Unresolved Mention"/>
    <w:basedOn w:val="DefaultParagraphFont"/>
    <w:uiPriority w:val="99"/>
    <w:unhideWhenUsed/>
    <w:rsid w:val="00F7691A"/>
    <w:rPr>
      <w:color w:val="605E5C"/>
      <w:shd w:val="clear" w:color="auto" w:fill="E1DFDD"/>
    </w:rPr>
  </w:style>
  <w:style w:type="character" w:customStyle="1" w:styleId="Mention">
    <w:name w:val="Mention"/>
    <w:basedOn w:val="DefaultParagraphFont"/>
    <w:uiPriority w:val="99"/>
    <w:unhideWhenUsed/>
    <w:rsid w:val="00F7691A"/>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46800472">
      <w:bodyDiv w:val="1"/>
      <w:marLeft w:val="0"/>
      <w:marRight w:val="0"/>
      <w:marTop w:val="0"/>
      <w:marBottom w:val="0"/>
      <w:divBdr>
        <w:top w:val="none" w:sz="0" w:space="0" w:color="auto"/>
        <w:left w:val="none" w:sz="0" w:space="0" w:color="auto"/>
        <w:bottom w:val="none" w:sz="0" w:space="0" w:color="auto"/>
        <w:right w:val="none" w:sz="0" w:space="0" w:color="auto"/>
      </w:divBdr>
    </w:div>
    <w:div w:id="108088281">
      <w:bodyDiv w:val="1"/>
      <w:marLeft w:val="0"/>
      <w:marRight w:val="0"/>
      <w:marTop w:val="0"/>
      <w:marBottom w:val="0"/>
      <w:divBdr>
        <w:top w:val="none" w:sz="0" w:space="0" w:color="auto"/>
        <w:left w:val="none" w:sz="0" w:space="0" w:color="auto"/>
        <w:bottom w:val="none" w:sz="0" w:space="0" w:color="auto"/>
        <w:right w:val="none" w:sz="0" w:space="0" w:color="auto"/>
      </w:divBdr>
    </w:div>
    <w:div w:id="130103223">
      <w:bodyDiv w:val="1"/>
      <w:marLeft w:val="0"/>
      <w:marRight w:val="0"/>
      <w:marTop w:val="0"/>
      <w:marBottom w:val="0"/>
      <w:divBdr>
        <w:top w:val="none" w:sz="0" w:space="0" w:color="auto"/>
        <w:left w:val="none" w:sz="0" w:space="0" w:color="auto"/>
        <w:bottom w:val="none" w:sz="0" w:space="0" w:color="auto"/>
        <w:right w:val="none" w:sz="0" w:space="0" w:color="auto"/>
      </w:divBdr>
    </w:div>
    <w:div w:id="140656819">
      <w:bodyDiv w:val="1"/>
      <w:marLeft w:val="0"/>
      <w:marRight w:val="0"/>
      <w:marTop w:val="0"/>
      <w:marBottom w:val="0"/>
      <w:divBdr>
        <w:top w:val="none" w:sz="0" w:space="0" w:color="auto"/>
        <w:left w:val="none" w:sz="0" w:space="0" w:color="auto"/>
        <w:bottom w:val="none" w:sz="0" w:space="0" w:color="auto"/>
        <w:right w:val="none" w:sz="0" w:space="0" w:color="auto"/>
      </w:divBdr>
    </w:div>
    <w:div w:id="141890058">
      <w:bodyDiv w:val="1"/>
      <w:marLeft w:val="0"/>
      <w:marRight w:val="0"/>
      <w:marTop w:val="0"/>
      <w:marBottom w:val="0"/>
      <w:divBdr>
        <w:top w:val="none" w:sz="0" w:space="0" w:color="auto"/>
        <w:left w:val="none" w:sz="0" w:space="0" w:color="auto"/>
        <w:bottom w:val="none" w:sz="0" w:space="0" w:color="auto"/>
        <w:right w:val="none" w:sz="0" w:space="0" w:color="auto"/>
      </w:divBdr>
    </w:div>
    <w:div w:id="143158538">
      <w:bodyDiv w:val="1"/>
      <w:marLeft w:val="0"/>
      <w:marRight w:val="0"/>
      <w:marTop w:val="0"/>
      <w:marBottom w:val="0"/>
      <w:divBdr>
        <w:top w:val="none" w:sz="0" w:space="0" w:color="auto"/>
        <w:left w:val="none" w:sz="0" w:space="0" w:color="auto"/>
        <w:bottom w:val="none" w:sz="0" w:space="0" w:color="auto"/>
        <w:right w:val="none" w:sz="0" w:space="0" w:color="auto"/>
      </w:divBdr>
    </w:div>
    <w:div w:id="145898262">
      <w:bodyDiv w:val="1"/>
      <w:marLeft w:val="0"/>
      <w:marRight w:val="0"/>
      <w:marTop w:val="0"/>
      <w:marBottom w:val="0"/>
      <w:divBdr>
        <w:top w:val="none" w:sz="0" w:space="0" w:color="auto"/>
        <w:left w:val="none" w:sz="0" w:space="0" w:color="auto"/>
        <w:bottom w:val="none" w:sz="0" w:space="0" w:color="auto"/>
        <w:right w:val="none" w:sz="0" w:space="0" w:color="auto"/>
      </w:divBdr>
    </w:div>
    <w:div w:id="168521397">
      <w:bodyDiv w:val="1"/>
      <w:marLeft w:val="0"/>
      <w:marRight w:val="0"/>
      <w:marTop w:val="0"/>
      <w:marBottom w:val="0"/>
      <w:divBdr>
        <w:top w:val="none" w:sz="0" w:space="0" w:color="auto"/>
        <w:left w:val="none" w:sz="0" w:space="0" w:color="auto"/>
        <w:bottom w:val="none" w:sz="0" w:space="0" w:color="auto"/>
        <w:right w:val="none" w:sz="0" w:space="0" w:color="auto"/>
      </w:divBdr>
    </w:div>
    <w:div w:id="183980354">
      <w:bodyDiv w:val="1"/>
      <w:marLeft w:val="0"/>
      <w:marRight w:val="0"/>
      <w:marTop w:val="0"/>
      <w:marBottom w:val="0"/>
      <w:divBdr>
        <w:top w:val="none" w:sz="0" w:space="0" w:color="auto"/>
        <w:left w:val="none" w:sz="0" w:space="0" w:color="auto"/>
        <w:bottom w:val="none" w:sz="0" w:space="0" w:color="auto"/>
        <w:right w:val="none" w:sz="0" w:space="0" w:color="auto"/>
      </w:divBdr>
    </w:div>
    <w:div w:id="212429483">
      <w:bodyDiv w:val="1"/>
      <w:marLeft w:val="0"/>
      <w:marRight w:val="0"/>
      <w:marTop w:val="0"/>
      <w:marBottom w:val="0"/>
      <w:divBdr>
        <w:top w:val="none" w:sz="0" w:space="0" w:color="auto"/>
        <w:left w:val="none" w:sz="0" w:space="0" w:color="auto"/>
        <w:bottom w:val="none" w:sz="0" w:space="0" w:color="auto"/>
        <w:right w:val="none" w:sz="0" w:space="0" w:color="auto"/>
      </w:divBdr>
    </w:div>
    <w:div w:id="256714540">
      <w:bodyDiv w:val="1"/>
      <w:marLeft w:val="0"/>
      <w:marRight w:val="0"/>
      <w:marTop w:val="0"/>
      <w:marBottom w:val="0"/>
      <w:divBdr>
        <w:top w:val="none" w:sz="0" w:space="0" w:color="auto"/>
        <w:left w:val="none" w:sz="0" w:space="0" w:color="auto"/>
        <w:bottom w:val="none" w:sz="0" w:space="0" w:color="auto"/>
        <w:right w:val="none" w:sz="0" w:space="0" w:color="auto"/>
      </w:divBdr>
    </w:div>
    <w:div w:id="269624397">
      <w:bodyDiv w:val="1"/>
      <w:marLeft w:val="0"/>
      <w:marRight w:val="0"/>
      <w:marTop w:val="0"/>
      <w:marBottom w:val="0"/>
      <w:divBdr>
        <w:top w:val="none" w:sz="0" w:space="0" w:color="auto"/>
        <w:left w:val="none" w:sz="0" w:space="0" w:color="auto"/>
        <w:bottom w:val="none" w:sz="0" w:space="0" w:color="auto"/>
        <w:right w:val="none" w:sz="0" w:space="0" w:color="auto"/>
      </w:divBdr>
    </w:div>
    <w:div w:id="299269712">
      <w:bodyDiv w:val="1"/>
      <w:marLeft w:val="0"/>
      <w:marRight w:val="0"/>
      <w:marTop w:val="0"/>
      <w:marBottom w:val="0"/>
      <w:divBdr>
        <w:top w:val="none" w:sz="0" w:space="0" w:color="auto"/>
        <w:left w:val="none" w:sz="0" w:space="0" w:color="auto"/>
        <w:bottom w:val="none" w:sz="0" w:space="0" w:color="auto"/>
        <w:right w:val="none" w:sz="0" w:space="0" w:color="auto"/>
      </w:divBdr>
    </w:div>
    <w:div w:id="328169778">
      <w:bodyDiv w:val="1"/>
      <w:marLeft w:val="0"/>
      <w:marRight w:val="0"/>
      <w:marTop w:val="0"/>
      <w:marBottom w:val="0"/>
      <w:divBdr>
        <w:top w:val="none" w:sz="0" w:space="0" w:color="auto"/>
        <w:left w:val="none" w:sz="0" w:space="0" w:color="auto"/>
        <w:bottom w:val="none" w:sz="0" w:space="0" w:color="auto"/>
        <w:right w:val="none" w:sz="0" w:space="0" w:color="auto"/>
      </w:divBdr>
    </w:div>
    <w:div w:id="350302952">
      <w:bodyDiv w:val="1"/>
      <w:marLeft w:val="0"/>
      <w:marRight w:val="0"/>
      <w:marTop w:val="0"/>
      <w:marBottom w:val="0"/>
      <w:divBdr>
        <w:top w:val="none" w:sz="0" w:space="0" w:color="auto"/>
        <w:left w:val="none" w:sz="0" w:space="0" w:color="auto"/>
        <w:bottom w:val="none" w:sz="0" w:space="0" w:color="auto"/>
        <w:right w:val="none" w:sz="0" w:space="0" w:color="auto"/>
      </w:divBdr>
    </w:div>
    <w:div w:id="373232672">
      <w:bodyDiv w:val="1"/>
      <w:marLeft w:val="0"/>
      <w:marRight w:val="0"/>
      <w:marTop w:val="0"/>
      <w:marBottom w:val="0"/>
      <w:divBdr>
        <w:top w:val="none" w:sz="0" w:space="0" w:color="auto"/>
        <w:left w:val="none" w:sz="0" w:space="0" w:color="auto"/>
        <w:bottom w:val="none" w:sz="0" w:space="0" w:color="auto"/>
        <w:right w:val="none" w:sz="0" w:space="0" w:color="auto"/>
      </w:divBdr>
    </w:div>
    <w:div w:id="412509498">
      <w:bodyDiv w:val="1"/>
      <w:marLeft w:val="0"/>
      <w:marRight w:val="0"/>
      <w:marTop w:val="0"/>
      <w:marBottom w:val="0"/>
      <w:divBdr>
        <w:top w:val="none" w:sz="0" w:space="0" w:color="auto"/>
        <w:left w:val="none" w:sz="0" w:space="0" w:color="auto"/>
        <w:bottom w:val="none" w:sz="0" w:space="0" w:color="auto"/>
        <w:right w:val="none" w:sz="0" w:space="0" w:color="auto"/>
      </w:divBdr>
      <w:divsChild>
        <w:div w:id="2071924944">
          <w:marLeft w:val="0"/>
          <w:marRight w:val="0"/>
          <w:marTop w:val="0"/>
          <w:marBottom w:val="0"/>
          <w:divBdr>
            <w:top w:val="none" w:sz="0" w:space="0" w:color="auto"/>
            <w:left w:val="none" w:sz="0" w:space="0" w:color="auto"/>
            <w:bottom w:val="none" w:sz="0" w:space="0" w:color="auto"/>
            <w:right w:val="none" w:sz="0" w:space="0" w:color="auto"/>
          </w:divBdr>
        </w:div>
      </w:divsChild>
    </w:div>
    <w:div w:id="442379784">
      <w:bodyDiv w:val="1"/>
      <w:marLeft w:val="0"/>
      <w:marRight w:val="0"/>
      <w:marTop w:val="0"/>
      <w:marBottom w:val="0"/>
      <w:divBdr>
        <w:top w:val="none" w:sz="0" w:space="0" w:color="auto"/>
        <w:left w:val="none" w:sz="0" w:space="0" w:color="auto"/>
        <w:bottom w:val="none" w:sz="0" w:space="0" w:color="auto"/>
        <w:right w:val="none" w:sz="0" w:space="0" w:color="auto"/>
      </w:divBdr>
    </w:div>
    <w:div w:id="458495212">
      <w:bodyDiv w:val="1"/>
      <w:marLeft w:val="0"/>
      <w:marRight w:val="0"/>
      <w:marTop w:val="0"/>
      <w:marBottom w:val="0"/>
      <w:divBdr>
        <w:top w:val="none" w:sz="0" w:space="0" w:color="auto"/>
        <w:left w:val="none" w:sz="0" w:space="0" w:color="auto"/>
        <w:bottom w:val="none" w:sz="0" w:space="0" w:color="auto"/>
        <w:right w:val="none" w:sz="0" w:space="0" w:color="auto"/>
      </w:divBdr>
    </w:div>
    <w:div w:id="460071582">
      <w:bodyDiv w:val="1"/>
      <w:marLeft w:val="0"/>
      <w:marRight w:val="0"/>
      <w:marTop w:val="0"/>
      <w:marBottom w:val="0"/>
      <w:divBdr>
        <w:top w:val="none" w:sz="0" w:space="0" w:color="auto"/>
        <w:left w:val="none" w:sz="0" w:space="0" w:color="auto"/>
        <w:bottom w:val="none" w:sz="0" w:space="0" w:color="auto"/>
        <w:right w:val="none" w:sz="0" w:space="0" w:color="auto"/>
      </w:divBdr>
      <w:divsChild>
        <w:div w:id="293223335">
          <w:marLeft w:val="0"/>
          <w:marRight w:val="0"/>
          <w:marTop w:val="0"/>
          <w:marBottom w:val="0"/>
          <w:divBdr>
            <w:top w:val="none" w:sz="0" w:space="0" w:color="auto"/>
            <w:left w:val="none" w:sz="0" w:space="0" w:color="auto"/>
            <w:bottom w:val="none" w:sz="0" w:space="0" w:color="auto"/>
            <w:right w:val="none" w:sz="0" w:space="0" w:color="auto"/>
          </w:divBdr>
          <w:divsChild>
            <w:div w:id="124474744">
              <w:marLeft w:val="0"/>
              <w:marRight w:val="0"/>
              <w:marTop w:val="0"/>
              <w:marBottom w:val="0"/>
              <w:divBdr>
                <w:top w:val="none" w:sz="0" w:space="0" w:color="auto"/>
                <w:left w:val="none" w:sz="0" w:space="0" w:color="auto"/>
                <w:bottom w:val="none" w:sz="0" w:space="0" w:color="auto"/>
                <w:right w:val="none" w:sz="0" w:space="0" w:color="auto"/>
              </w:divBdr>
            </w:div>
            <w:div w:id="1572157721">
              <w:marLeft w:val="0"/>
              <w:marRight w:val="0"/>
              <w:marTop w:val="0"/>
              <w:marBottom w:val="0"/>
              <w:divBdr>
                <w:top w:val="none" w:sz="0" w:space="0" w:color="auto"/>
                <w:left w:val="none" w:sz="0" w:space="0" w:color="auto"/>
                <w:bottom w:val="none" w:sz="0" w:space="0" w:color="auto"/>
                <w:right w:val="none" w:sz="0" w:space="0" w:color="auto"/>
              </w:divBdr>
            </w:div>
            <w:div w:id="2028755700">
              <w:marLeft w:val="0"/>
              <w:marRight w:val="0"/>
              <w:marTop w:val="0"/>
              <w:marBottom w:val="0"/>
              <w:divBdr>
                <w:top w:val="none" w:sz="0" w:space="0" w:color="auto"/>
                <w:left w:val="none" w:sz="0" w:space="0" w:color="auto"/>
                <w:bottom w:val="none" w:sz="0" w:space="0" w:color="auto"/>
                <w:right w:val="none" w:sz="0" w:space="0" w:color="auto"/>
              </w:divBdr>
            </w:div>
          </w:divsChild>
        </w:div>
        <w:div w:id="617639774">
          <w:marLeft w:val="0"/>
          <w:marRight w:val="0"/>
          <w:marTop w:val="0"/>
          <w:marBottom w:val="0"/>
          <w:divBdr>
            <w:top w:val="none" w:sz="0" w:space="0" w:color="auto"/>
            <w:left w:val="none" w:sz="0" w:space="0" w:color="auto"/>
            <w:bottom w:val="none" w:sz="0" w:space="0" w:color="auto"/>
            <w:right w:val="none" w:sz="0" w:space="0" w:color="auto"/>
          </w:divBdr>
          <w:divsChild>
            <w:div w:id="57168303">
              <w:marLeft w:val="0"/>
              <w:marRight w:val="0"/>
              <w:marTop w:val="0"/>
              <w:marBottom w:val="0"/>
              <w:divBdr>
                <w:top w:val="none" w:sz="0" w:space="0" w:color="auto"/>
                <w:left w:val="none" w:sz="0" w:space="0" w:color="auto"/>
                <w:bottom w:val="none" w:sz="0" w:space="0" w:color="auto"/>
                <w:right w:val="none" w:sz="0" w:space="0" w:color="auto"/>
              </w:divBdr>
            </w:div>
            <w:div w:id="223682723">
              <w:marLeft w:val="0"/>
              <w:marRight w:val="0"/>
              <w:marTop w:val="0"/>
              <w:marBottom w:val="0"/>
              <w:divBdr>
                <w:top w:val="none" w:sz="0" w:space="0" w:color="auto"/>
                <w:left w:val="none" w:sz="0" w:space="0" w:color="auto"/>
                <w:bottom w:val="none" w:sz="0" w:space="0" w:color="auto"/>
                <w:right w:val="none" w:sz="0" w:space="0" w:color="auto"/>
              </w:divBdr>
            </w:div>
            <w:div w:id="1080716252">
              <w:marLeft w:val="0"/>
              <w:marRight w:val="0"/>
              <w:marTop w:val="0"/>
              <w:marBottom w:val="0"/>
              <w:divBdr>
                <w:top w:val="none" w:sz="0" w:space="0" w:color="auto"/>
                <w:left w:val="none" w:sz="0" w:space="0" w:color="auto"/>
                <w:bottom w:val="none" w:sz="0" w:space="0" w:color="auto"/>
                <w:right w:val="none" w:sz="0" w:space="0" w:color="auto"/>
              </w:divBdr>
            </w:div>
          </w:divsChild>
        </w:div>
        <w:div w:id="1871449039">
          <w:marLeft w:val="0"/>
          <w:marRight w:val="0"/>
          <w:marTop w:val="0"/>
          <w:marBottom w:val="0"/>
          <w:divBdr>
            <w:top w:val="none" w:sz="0" w:space="0" w:color="auto"/>
            <w:left w:val="none" w:sz="0" w:space="0" w:color="auto"/>
            <w:bottom w:val="none" w:sz="0" w:space="0" w:color="auto"/>
            <w:right w:val="none" w:sz="0" w:space="0" w:color="auto"/>
          </w:divBdr>
          <w:divsChild>
            <w:div w:id="27831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7228825">
      <w:bodyDiv w:val="1"/>
      <w:marLeft w:val="0"/>
      <w:marRight w:val="0"/>
      <w:marTop w:val="0"/>
      <w:marBottom w:val="0"/>
      <w:divBdr>
        <w:top w:val="none" w:sz="0" w:space="0" w:color="auto"/>
        <w:left w:val="none" w:sz="0" w:space="0" w:color="auto"/>
        <w:bottom w:val="none" w:sz="0" w:space="0" w:color="auto"/>
        <w:right w:val="none" w:sz="0" w:space="0" w:color="auto"/>
      </w:divBdr>
    </w:div>
    <w:div w:id="515775696">
      <w:bodyDiv w:val="1"/>
      <w:marLeft w:val="0"/>
      <w:marRight w:val="0"/>
      <w:marTop w:val="0"/>
      <w:marBottom w:val="0"/>
      <w:divBdr>
        <w:top w:val="none" w:sz="0" w:space="0" w:color="auto"/>
        <w:left w:val="none" w:sz="0" w:space="0" w:color="auto"/>
        <w:bottom w:val="none" w:sz="0" w:space="0" w:color="auto"/>
        <w:right w:val="none" w:sz="0" w:space="0" w:color="auto"/>
      </w:divBdr>
    </w:div>
    <w:div w:id="553155534">
      <w:bodyDiv w:val="1"/>
      <w:marLeft w:val="0"/>
      <w:marRight w:val="0"/>
      <w:marTop w:val="0"/>
      <w:marBottom w:val="0"/>
      <w:divBdr>
        <w:top w:val="none" w:sz="0" w:space="0" w:color="auto"/>
        <w:left w:val="none" w:sz="0" w:space="0" w:color="auto"/>
        <w:bottom w:val="none" w:sz="0" w:space="0" w:color="auto"/>
        <w:right w:val="none" w:sz="0" w:space="0" w:color="auto"/>
      </w:divBdr>
    </w:div>
    <w:div w:id="561330500">
      <w:bodyDiv w:val="1"/>
      <w:marLeft w:val="0"/>
      <w:marRight w:val="0"/>
      <w:marTop w:val="0"/>
      <w:marBottom w:val="0"/>
      <w:divBdr>
        <w:top w:val="none" w:sz="0" w:space="0" w:color="auto"/>
        <w:left w:val="none" w:sz="0" w:space="0" w:color="auto"/>
        <w:bottom w:val="none" w:sz="0" w:space="0" w:color="auto"/>
        <w:right w:val="none" w:sz="0" w:space="0" w:color="auto"/>
      </w:divBdr>
    </w:div>
    <w:div w:id="579021170">
      <w:bodyDiv w:val="1"/>
      <w:marLeft w:val="0"/>
      <w:marRight w:val="0"/>
      <w:marTop w:val="0"/>
      <w:marBottom w:val="0"/>
      <w:divBdr>
        <w:top w:val="none" w:sz="0" w:space="0" w:color="auto"/>
        <w:left w:val="none" w:sz="0" w:space="0" w:color="auto"/>
        <w:bottom w:val="none" w:sz="0" w:space="0" w:color="auto"/>
        <w:right w:val="none" w:sz="0" w:space="0" w:color="auto"/>
      </w:divBdr>
    </w:div>
    <w:div w:id="587270026">
      <w:bodyDiv w:val="1"/>
      <w:marLeft w:val="0"/>
      <w:marRight w:val="0"/>
      <w:marTop w:val="0"/>
      <w:marBottom w:val="0"/>
      <w:divBdr>
        <w:top w:val="none" w:sz="0" w:space="0" w:color="auto"/>
        <w:left w:val="none" w:sz="0" w:space="0" w:color="auto"/>
        <w:bottom w:val="none" w:sz="0" w:space="0" w:color="auto"/>
        <w:right w:val="none" w:sz="0" w:space="0" w:color="auto"/>
      </w:divBdr>
      <w:divsChild>
        <w:div w:id="250698139">
          <w:blockQuote w:val="1"/>
          <w:marLeft w:val="600"/>
          <w:marRight w:val="0"/>
          <w:marTop w:val="120"/>
          <w:marBottom w:val="120"/>
          <w:divBdr>
            <w:top w:val="none" w:sz="0" w:space="0" w:color="auto"/>
            <w:left w:val="none" w:sz="0" w:space="0" w:color="auto"/>
            <w:bottom w:val="none" w:sz="0" w:space="0" w:color="auto"/>
            <w:right w:val="none" w:sz="0" w:space="0" w:color="auto"/>
          </w:divBdr>
        </w:div>
        <w:div w:id="393161652">
          <w:blockQuote w:val="1"/>
          <w:marLeft w:val="600"/>
          <w:marRight w:val="0"/>
          <w:marTop w:val="120"/>
          <w:marBottom w:val="120"/>
          <w:divBdr>
            <w:top w:val="none" w:sz="0" w:space="0" w:color="auto"/>
            <w:left w:val="none" w:sz="0" w:space="0" w:color="auto"/>
            <w:bottom w:val="none" w:sz="0" w:space="0" w:color="auto"/>
            <w:right w:val="none" w:sz="0" w:space="0" w:color="auto"/>
          </w:divBdr>
        </w:div>
        <w:div w:id="510803658">
          <w:blockQuote w:val="1"/>
          <w:marLeft w:val="600"/>
          <w:marRight w:val="0"/>
          <w:marTop w:val="120"/>
          <w:marBottom w:val="120"/>
          <w:divBdr>
            <w:top w:val="none" w:sz="0" w:space="0" w:color="auto"/>
            <w:left w:val="none" w:sz="0" w:space="0" w:color="auto"/>
            <w:bottom w:val="none" w:sz="0" w:space="0" w:color="auto"/>
            <w:right w:val="none" w:sz="0" w:space="0" w:color="auto"/>
          </w:divBdr>
        </w:div>
        <w:div w:id="519048638">
          <w:blockQuote w:val="1"/>
          <w:marLeft w:val="600"/>
          <w:marRight w:val="0"/>
          <w:marTop w:val="120"/>
          <w:marBottom w:val="120"/>
          <w:divBdr>
            <w:top w:val="none" w:sz="0" w:space="0" w:color="auto"/>
            <w:left w:val="none" w:sz="0" w:space="0" w:color="auto"/>
            <w:bottom w:val="none" w:sz="0" w:space="0" w:color="auto"/>
            <w:right w:val="none" w:sz="0" w:space="0" w:color="auto"/>
          </w:divBdr>
        </w:div>
        <w:div w:id="823164553">
          <w:blockQuote w:val="1"/>
          <w:marLeft w:val="600"/>
          <w:marRight w:val="0"/>
          <w:marTop w:val="120"/>
          <w:marBottom w:val="120"/>
          <w:divBdr>
            <w:top w:val="none" w:sz="0" w:space="0" w:color="auto"/>
            <w:left w:val="none" w:sz="0" w:space="0" w:color="auto"/>
            <w:bottom w:val="none" w:sz="0" w:space="0" w:color="auto"/>
            <w:right w:val="none" w:sz="0" w:space="0" w:color="auto"/>
          </w:divBdr>
        </w:div>
        <w:div w:id="997655212">
          <w:blockQuote w:val="1"/>
          <w:marLeft w:val="600"/>
          <w:marRight w:val="0"/>
          <w:marTop w:val="120"/>
          <w:marBottom w:val="120"/>
          <w:divBdr>
            <w:top w:val="none" w:sz="0" w:space="0" w:color="auto"/>
            <w:left w:val="none" w:sz="0" w:space="0" w:color="auto"/>
            <w:bottom w:val="none" w:sz="0" w:space="0" w:color="auto"/>
            <w:right w:val="none" w:sz="0" w:space="0" w:color="auto"/>
          </w:divBdr>
        </w:div>
        <w:div w:id="1017390550">
          <w:blockQuote w:val="1"/>
          <w:marLeft w:val="600"/>
          <w:marRight w:val="0"/>
          <w:marTop w:val="120"/>
          <w:marBottom w:val="120"/>
          <w:divBdr>
            <w:top w:val="none" w:sz="0" w:space="0" w:color="auto"/>
            <w:left w:val="none" w:sz="0" w:space="0" w:color="auto"/>
            <w:bottom w:val="none" w:sz="0" w:space="0" w:color="auto"/>
            <w:right w:val="none" w:sz="0" w:space="0" w:color="auto"/>
          </w:divBdr>
        </w:div>
        <w:div w:id="1608346292">
          <w:blockQuote w:val="1"/>
          <w:marLeft w:val="600"/>
          <w:marRight w:val="0"/>
          <w:marTop w:val="120"/>
          <w:marBottom w:val="120"/>
          <w:divBdr>
            <w:top w:val="none" w:sz="0" w:space="0" w:color="auto"/>
            <w:left w:val="none" w:sz="0" w:space="0" w:color="auto"/>
            <w:bottom w:val="none" w:sz="0" w:space="0" w:color="auto"/>
            <w:right w:val="none" w:sz="0" w:space="0" w:color="auto"/>
          </w:divBdr>
        </w:div>
        <w:div w:id="1861816049">
          <w:blockQuote w:val="1"/>
          <w:marLeft w:val="600"/>
          <w:marRight w:val="0"/>
          <w:marTop w:val="120"/>
          <w:marBottom w:val="120"/>
          <w:divBdr>
            <w:top w:val="none" w:sz="0" w:space="0" w:color="auto"/>
            <w:left w:val="none" w:sz="0" w:space="0" w:color="auto"/>
            <w:bottom w:val="none" w:sz="0" w:space="0" w:color="auto"/>
            <w:right w:val="none" w:sz="0" w:space="0" w:color="auto"/>
          </w:divBdr>
        </w:div>
      </w:divsChild>
    </w:div>
    <w:div w:id="596139776">
      <w:bodyDiv w:val="1"/>
      <w:marLeft w:val="0"/>
      <w:marRight w:val="0"/>
      <w:marTop w:val="0"/>
      <w:marBottom w:val="0"/>
      <w:divBdr>
        <w:top w:val="none" w:sz="0" w:space="0" w:color="auto"/>
        <w:left w:val="none" w:sz="0" w:space="0" w:color="auto"/>
        <w:bottom w:val="none" w:sz="0" w:space="0" w:color="auto"/>
        <w:right w:val="none" w:sz="0" w:space="0" w:color="auto"/>
      </w:divBdr>
    </w:div>
    <w:div w:id="650451160">
      <w:bodyDiv w:val="1"/>
      <w:marLeft w:val="0"/>
      <w:marRight w:val="0"/>
      <w:marTop w:val="0"/>
      <w:marBottom w:val="0"/>
      <w:divBdr>
        <w:top w:val="none" w:sz="0" w:space="0" w:color="auto"/>
        <w:left w:val="none" w:sz="0" w:space="0" w:color="auto"/>
        <w:bottom w:val="none" w:sz="0" w:space="0" w:color="auto"/>
        <w:right w:val="none" w:sz="0" w:space="0" w:color="auto"/>
      </w:divBdr>
    </w:div>
    <w:div w:id="657542496">
      <w:bodyDiv w:val="1"/>
      <w:marLeft w:val="0"/>
      <w:marRight w:val="0"/>
      <w:marTop w:val="0"/>
      <w:marBottom w:val="0"/>
      <w:divBdr>
        <w:top w:val="none" w:sz="0" w:space="0" w:color="auto"/>
        <w:left w:val="none" w:sz="0" w:space="0" w:color="auto"/>
        <w:bottom w:val="none" w:sz="0" w:space="0" w:color="auto"/>
        <w:right w:val="none" w:sz="0" w:space="0" w:color="auto"/>
      </w:divBdr>
    </w:div>
    <w:div w:id="671957171">
      <w:bodyDiv w:val="1"/>
      <w:marLeft w:val="0"/>
      <w:marRight w:val="0"/>
      <w:marTop w:val="0"/>
      <w:marBottom w:val="0"/>
      <w:divBdr>
        <w:top w:val="none" w:sz="0" w:space="0" w:color="auto"/>
        <w:left w:val="none" w:sz="0" w:space="0" w:color="auto"/>
        <w:bottom w:val="none" w:sz="0" w:space="0" w:color="auto"/>
        <w:right w:val="none" w:sz="0" w:space="0" w:color="auto"/>
      </w:divBdr>
      <w:divsChild>
        <w:div w:id="660932199">
          <w:marLeft w:val="0"/>
          <w:marRight w:val="0"/>
          <w:marTop w:val="0"/>
          <w:marBottom w:val="450"/>
          <w:divBdr>
            <w:top w:val="none" w:sz="0" w:space="0" w:color="auto"/>
            <w:left w:val="none" w:sz="0" w:space="0" w:color="auto"/>
            <w:bottom w:val="none" w:sz="0" w:space="0" w:color="auto"/>
            <w:right w:val="none" w:sz="0" w:space="0" w:color="auto"/>
          </w:divBdr>
        </w:div>
      </w:divsChild>
    </w:div>
    <w:div w:id="673649450">
      <w:bodyDiv w:val="1"/>
      <w:marLeft w:val="0"/>
      <w:marRight w:val="0"/>
      <w:marTop w:val="0"/>
      <w:marBottom w:val="0"/>
      <w:divBdr>
        <w:top w:val="none" w:sz="0" w:space="0" w:color="auto"/>
        <w:left w:val="none" w:sz="0" w:space="0" w:color="auto"/>
        <w:bottom w:val="none" w:sz="0" w:space="0" w:color="auto"/>
        <w:right w:val="none" w:sz="0" w:space="0" w:color="auto"/>
      </w:divBdr>
    </w:div>
    <w:div w:id="675234475">
      <w:bodyDiv w:val="1"/>
      <w:marLeft w:val="0"/>
      <w:marRight w:val="0"/>
      <w:marTop w:val="0"/>
      <w:marBottom w:val="0"/>
      <w:divBdr>
        <w:top w:val="none" w:sz="0" w:space="0" w:color="auto"/>
        <w:left w:val="none" w:sz="0" w:space="0" w:color="auto"/>
        <w:bottom w:val="none" w:sz="0" w:space="0" w:color="auto"/>
        <w:right w:val="none" w:sz="0" w:space="0" w:color="auto"/>
      </w:divBdr>
    </w:div>
    <w:div w:id="685209260">
      <w:bodyDiv w:val="1"/>
      <w:marLeft w:val="0"/>
      <w:marRight w:val="0"/>
      <w:marTop w:val="0"/>
      <w:marBottom w:val="0"/>
      <w:divBdr>
        <w:top w:val="none" w:sz="0" w:space="0" w:color="auto"/>
        <w:left w:val="none" w:sz="0" w:space="0" w:color="auto"/>
        <w:bottom w:val="none" w:sz="0" w:space="0" w:color="auto"/>
        <w:right w:val="none" w:sz="0" w:space="0" w:color="auto"/>
      </w:divBdr>
    </w:div>
    <w:div w:id="700088155">
      <w:bodyDiv w:val="1"/>
      <w:marLeft w:val="0"/>
      <w:marRight w:val="0"/>
      <w:marTop w:val="0"/>
      <w:marBottom w:val="0"/>
      <w:divBdr>
        <w:top w:val="none" w:sz="0" w:space="0" w:color="auto"/>
        <w:left w:val="none" w:sz="0" w:space="0" w:color="auto"/>
        <w:bottom w:val="none" w:sz="0" w:space="0" w:color="auto"/>
        <w:right w:val="none" w:sz="0" w:space="0" w:color="auto"/>
      </w:divBdr>
      <w:divsChild>
        <w:div w:id="1820339758">
          <w:marLeft w:val="0"/>
          <w:marRight w:val="0"/>
          <w:marTop w:val="0"/>
          <w:marBottom w:val="450"/>
          <w:divBdr>
            <w:top w:val="none" w:sz="0" w:space="0" w:color="auto"/>
            <w:left w:val="none" w:sz="0" w:space="0" w:color="auto"/>
            <w:bottom w:val="none" w:sz="0" w:space="0" w:color="auto"/>
            <w:right w:val="none" w:sz="0" w:space="0" w:color="auto"/>
          </w:divBdr>
        </w:div>
      </w:divsChild>
    </w:div>
    <w:div w:id="716703723">
      <w:bodyDiv w:val="1"/>
      <w:marLeft w:val="0"/>
      <w:marRight w:val="0"/>
      <w:marTop w:val="0"/>
      <w:marBottom w:val="0"/>
      <w:divBdr>
        <w:top w:val="none" w:sz="0" w:space="0" w:color="auto"/>
        <w:left w:val="none" w:sz="0" w:space="0" w:color="auto"/>
        <w:bottom w:val="none" w:sz="0" w:space="0" w:color="auto"/>
        <w:right w:val="none" w:sz="0" w:space="0" w:color="auto"/>
      </w:divBdr>
    </w:div>
    <w:div w:id="832643273">
      <w:bodyDiv w:val="1"/>
      <w:marLeft w:val="0"/>
      <w:marRight w:val="0"/>
      <w:marTop w:val="0"/>
      <w:marBottom w:val="0"/>
      <w:divBdr>
        <w:top w:val="none" w:sz="0" w:space="0" w:color="auto"/>
        <w:left w:val="none" w:sz="0" w:space="0" w:color="auto"/>
        <w:bottom w:val="none" w:sz="0" w:space="0" w:color="auto"/>
        <w:right w:val="none" w:sz="0" w:space="0" w:color="auto"/>
      </w:divBdr>
    </w:div>
    <w:div w:id="888152694">
      <w:bodyDiv w:val="1"/>
      <w:marLeft w:val="0"/>
      <w:marRight w:val="0"/>
      <w:marTop w:val="0"/>
      <w:marBottom w:val="0"/>
      <w:divBdr>
        <w:top w:val="none" w:sz="0" w:space="0" w:color="auto"/>
        <w:left w:val="none" w:sz="0" w:space="0" w:color="auto"/>
        <w:bottom w:val="none" w:sz="0" w:space="0" w:color="auto"/>
        <w:right w:val="none" w:sz="0" w:space="0" w:color="auto"/>
      </w:divBdr>
    </w:div>
    <w:div w:id="897207090">
      <w:bodyDiv w:val="1"/>
      <w:marLeft w:val="0"/>
      <w:marRight w:val="0"/>
      <w:marTop w:val="0"/>
      <w:marBottom w:val="0"/>
      <w:divBdr>
        <w:top w:val="none" w:sz="0" w:space="0" w:color="auto"/>
        <w:left w:val="none" w:sz="0" w:space="0" w:color="auto"/>
        <w:bottom w:val="none" w:sz="0" w:space="0" w:color="auto"/>
        <w:right w:val="none" w:sz="0" w:space="0" w:color="auto"/>
      </w:divBdr>
    </w:div>
    <w:div w:id="898637345">
      <w:bodyDiv w:val="1"/>
      <w:marLeft w:val="0"/>
      <w:marRight w:val="0"/>
      <w:marTop w:val="0"/>
      <w:marBottom w:val="0"/>
      <w:divBdr>
        <w:top w:val="none" w:sz="0" w:space="0" w:color="auto"/>
        <w:left w:val="none" w:sz="0" w:space="0" w:color="auto"/>
        <w:bottom w:val="none" w:sz="0" w:space="0" w:color="auto"/>
        <w:right w:val="none" w:sz="0" w:space="0" w:color="auto"/>
      </w:divBdr>
    </w:div>
    <w:div w:id="909657867">
      <w:bodyDiv w:val="1"/>
      <w:marLeft w:val="0"/>
      <w:marRight w:val="0"/>
      <w:marTop w:val="0"/>
      <w:marBottom w:val="0"/>
      <w:divBdr>
        <w:top w:val="none" w:sz="0" w:space="0" w:color="auto"/>
        <w:left w:val="none" w:sz="0" w:space="0" w:color="auto"/>
        <w:bottom w:val="none" w:sz="0" w:space="0" w:color="auto"/>
        <w:right w:val="none" w:sz="0" w:space="0" w:color="auto"/>
      </w:divBdr>
    </w:div>
    <w:div w:id="917904634">
      <w:bodyDiv w:val="1"/>
      <w:marLeft w:val="0"/>
      <w:marRight w:val="0"/>
      <w:marTop w:val="0"/>
      <w:marBottom w:val="0"/>
      <w:divBdr>
        <w:top w:val="none" w:sz="0" w:space="0" w:color="auto"/>
        <w:left w:val="none" w:sz="0" w:space="0" w:color="auto"/>
        <w:bottom w:val="none" w:sz="0" w:space="0" w:color="auto"/>
        <w:right w:val="none" w:sz="0" w:space="0" w:color="auto"/>
      </w:divBdr>
    </w:div>
    <w:div w:id="946695221">
      <w:bodyDiv w:val="1"/>
      <w:marLeft w:val="0"/>
      <w:marRight w:val="0"/>
      <w:marTop w:val="0"/>
      <w:marBottom w:val="0"/>
      <w:divBdr>
        <w:top w:val="none" w:sz="0" w:space="0" w:color="auto"/>
        <w:left w:val="none" w:sz="0" w:space="0" w:color="auto"/>
        <w:bottom w:val="none" w:sz="0" w:space="0" w:color="auto"/>
        <w:right w:val="none" w:sz="0" w:space="0" w:color="auto"/>
      </w:divBdr>
    </w:div>
    <w:div w:id="962466027">
      <w:bodyDiv w:val="1"/>
      <w:marLeft w:val="0"/>
      <w:marRight w:val="0"/>
      <w:marTop w:val="0"/>
      <w:marBottom w:val="0"/>
      <w:divBdr>
        <w:top w:val="none" w:sz="0" w:space="0" w:color="auto"/>
        <w:left w:val="none" w:sz="0" w:space="0" w:color="auto"/>
        <w:bottom w:val="none" w:sz="0" w:space="0" w:color="auto"/>
        <w:right w:val="none" w:sz="0" w:space="0" w:color="auto"/>
      </w:divBdr>
    </w:div>
    <w:div w:id="1014767615">
      <w:bodyDiv w:val="1"/>
      <w:marLeft w:val="0"/>
      <w:marRight w:val="0"/>
      <w:marTop w:val="0"/>
      <w:marBottom w:val="0"/>
      <w:divBdr>
        <w:top w:val="none" w:sz="0" w:space="0" w:color="auto"/>
        <w:left w:val="none" w:sz="0" w:space="0" w:color="auto"/>
        <w:bottom w:val="none" w:sz="0" w:space="0" w:color="auto"/>
        <w:right w:val="none" w:sz="0" w:space="0" w:color="auto"/>
      </w:divBdr>
    </w:div>
    <w:div w:id="1045104126">
      <w:bodyDiv w:val="1"/>
      <w:marLeft w:val="0"/>
      <w:marRight w:val="0"/>
      <w:marTop w:val="0"/>
      <w:marBottom w:val="0"/>
      <w:divBdr>
        <w:top w:val="none" w:sz="0" w:space="0" w:color="auto"/>
        <w:left w:val="none" w:sz="0" w:space="0" w:color="auto"/>
        <w:bottom w:val="none" w:sz="0" w:space="0" w:color="auto"/>
        <w:right w:val="none" w:sz="0" w:space="0" w:color="auto"/>
      </w:divBdr>
    </w:div>
    <w:div w:id="1062410247">
      <w:bodyDiv w:val="1"/>
      <w:marLeft w:val="0"/>
      <w:marRight w:val="0"/>
      <w:marTop w:val="0"/>
      <w:marBottom w:val="0"/>
      <w:divBdr>
        <w:top w:val="none" w:sz="0" w:space="0" w:color="auto"/>
        <w:left w:val="none" w:sz="0" w:space="0" w:color="auto"/>
        <w:bottom w:val="none" w:sz="0" w:space="0" w:color="auto"/>
        <w:right w:val="none" w:sz="0" w:space="0" w:color="auto"/>
      </w:divBdr>
    </w:div>
    <w:div w:id="1081754482">
      <w:bodyDiv w:val="1"/>
      <w:marLeft w:val="0"/>
      <w:marRight w:val="0"/>
      <w:marTop w:val="0"/>
      <w:marBottom w:val="0"/>
      <w:divBdr>
        <w:top w:val="none" w:sz="0" w:space="0" w:color="auto"/>
        <w:left w:val="none" w:sz="0" w:space="0" w:color="auto"/>
        <w:bottom w:val="none" w:sz="0" w:space="0" w:color="auto"/>
        <w:right w:val="none" w:sz="0" w:space="0" w:color="auto"/>
      </w:divBdr>
    </w:div>
    <w:div w:id="1084456283">
      <w:bodyDiv w:val="1"/>
      <w:marLeft w:val="0"/>
      <w:marRight w:val="0"/>
      <w:marTop w:val="0"/>
      <w:marBottom w:val="0"/>
      <w:divBdr>
        <w:top w:val="none" w:sz="0" w:space="0" w:color="auto"/>
        <w:left w:val="none" w:sz="0" w:space="0" w:color="auto"/>
        <w:bottom w:val="none" w:sz="0" w:space="0" w:color="auto"/>
        <w:right w:val="none" w:sz="0" w:space="0" w:color="auto"/>
      </w:divBdr>
    </w:div>
    <w:div w:id="1102409785">
      <w:bodyDiv w:val="1"/>
      <w:marLeft w:val="0"/>
      <w:marRight w:val="0"/>
      <w:marTop w:val="0"/>
      <w:marBottom w:val="0"/>
      <w:divBdr>
        <w:top w:val="none" w:sz="0" w:space="0" w:color="auto"/>
        <w:left w:val="none" w:sz="0" w:space="0" w:color="auto"/>
        <w:bottom w:val="none" w:sz="0" w:space="0" w:color="auto"/>
        <w:right w:val="none" w:sz="0" w:space="0" w:color="auto"/>
      </w:divBdr>
    </w:div>
    <w:div w:id="1106388447">
      <w:bodyDiv w:val="1"/>
      <w:marLeft w:val="0"/>
      <w:marRight w:val="0"/>
      <w:marTop w:val="0"/>
      <w:marBottom w:val="0"/>
      <w:divBdr>
        <w:top w:val="none" w:sz="0" w:space="0" w:color="auto"/>
        <w:left w:val="none" w:sz="0" w:space="0" w:color="auto"/>
        <w:bottom w:val="none" w:sz="0" w:space="0" w:color="auto"/>
        <w:right w:val="none" w:sz="0" w:space="0" w:color="auto"/>
      </w:divBdr>
    </w:div>
    <w:div w:id="1113598109">
      <w:bodyDiv w:val="1"/>
      <w:marLeft w:val="0"/>
      <w:marRight w:val="0"/>
      <w:marTop w:val="0"/>
      <w:marBottom w:val="0"/>
      <w:divBdr>
        <w:top w:val="none" w:sz="0" w:space="0" w:color="auto"/>
        <w:left w:val="none" w:sz="0" w:space="0" w:color="auto"/>
        <w:bottom w:val="none" w:sz="0" w:space="0" w:color="auto"/>
        <w:right w:val="none" w:sz="0" w:space="0" w:color="auto"/>
      </w:divBdr>
    </w:div>
    <w:div w:id="1128622999">
      <w:bodyDiv w:val="1"/>
      <w:marLeft w:val="0"/>
      <w:marRight w:val="0"/>
      <w:marTop w:val="0"/>
      <w:marBottom w:val="0"/>
      <w:divBdr>
        <w:top w:val="none" w:sz="0" w:space="0" w:color="auto"/>
        <w:left w:val="none" w:sz="0" w:space="0" w:color="auto"/>
        <w:bottom w:val="none" w:sz="0" w:space="0" w:color="auto"/>
        <w:right w:val="none" w:sz="0" w:space="0" w:color="auto"/>
      </w:divBdr>
    </w:div>
    <w:div w:id="1129786743">
      <w:bodyDiv w:val="1"/>
      <w:marLeft w:val="0"/>
      <w:marRight w:val="0"/>
      <w:marTop w:val="0"/>
      <w:marBottom w:val="0"/>
      <w:divBdr>
        <w:top w:val="none" w:sz="0" w:space="0" w:color="auto"/>
        <w:left w:val="none" w:sz="0" w:space="0" w:color="auto"/>
        <w:bottom w:val="none" w:sz="0" w:space="0" w:color="auto"/>
        <w:right w:val="none" w:sz="0" w:space="0" w:color="auto"/>
      </w:divBdr>
    </w:div>
    <w:div w:id="1148782121">
      <w:bodyDiv w:val="1"/>
      <w:marLeft w:val="0"/>
      <w:marRight w:val="0"/>
      <w:marTop w:val="0"/>
      <w:marBottom w:val="0"/>
      <w:divBdr>
        <w:top w:val="none" w:sz="0" w:space="0" w:color="auto"/>
        <w:left w:val="none" w:sz="0" w:space="0" w:color="auto"/>
        <w:bottom w:val="none" w:sz="0" w:space="0" w:color="auto"/>
        <w:right w:val="none" w:sz="0" w:space="0" w:color="auto"/>
      </w:divBdr>
    </w:div>
    <w:div w:id="1188330094">
      <w:bodyDiv w:val="1"/>
      <w:marLeft w:val="0"/>
      <w:marRight w:val="0"/>
      <w:marTop w:val="0"/>
      <w:marBottom w:val="0"/>
      <w:divBdr>
        <w:top w:val="none" w:sz="0" w:space="0" w:color="auto"/>
        <w:left w:val="none" w:sz="0" w:space="0" w:color="auto"/>
        <w:bottom w:val="none" w:sz="0" w:space="0" w:color="auto"/>
        <w:right w:val="none" w:sz="0" w:space="0" w:color="auto"/>
      </w:divBdr>
    </w:div>
    <w:div w:id="1230118434">
      <w:bodyDiv w:val="1"/>
      <w:marLeft w:val="0"/>
      <w:marRight w:val="0"/>
      <w:marTop w:val="0"/>
      <w:marBottom w:val="0"/>
      <w:divBdr>
        <w:top w:val="none" w:sz="0" w:space="0" w:color="auto"/>
        <w:left w:val="none" w:sz="0" w:space="0" w:color="auto"/>
        <w:bottom w:val="none" w:sz="0" w:space="0" w:color="auto"/>
        <w:right w:val="none" w:sz="0" w:space="0" w:color="auto"/>
      </w:divBdr>
    </w:div>
    <w:div w:id="1250195259">
      <w:bodyDiv w:val="1"/>
      <w:marLeft w:val="0"/>
      <w:marRight w:val="0"/>
      <w:marTop w:val="0"/>
      <w:marBottom w:val="0"/>
      <w:divBdr>
        <w:top w:val="none" w:sz="0" w:space="0" w:color="auto"/>
        <w:left w:val="none" w:sz="0" w:space="0" w:color="auto"/>
        <w:bottom w:val="none" w:sz="0" w:space="0" w:color="auto"/>
        <w:right w:val="none" w:sz="0" w:space="0" w:color="auto"/>
      </w:divBdr>
    </w:div>
    <w:div w:id="1288853694">
      <w:bodyDiv w:val="1"/>
      <w:marLeft w:val="0"/>
      <w:marRight w:val="0"/>
      <w:marTop w:val="0"/>
      <w:marBottom w:val="0"/>
      <w:divBdr>
        <w:top w:val="none" w:sz="0" w:space="0" w:color="auto"/>
        <w:left w:val="none" w:sz="0" w:space="0" w:color="auto"/>
        <w:bottom w:val="none" w:sz="0" w:space="0" w:color="auto"/>
        <w:right w:val="none" w:sz="0" w:space="0" w:color="auto"/>
      </w:divBdr>
    </w:div>
    <w:div w:id="1294865839">
      <w:bodyDiv w:val="1"/>
      <w:marLeft w:val="0"/>
      <w:marRight w:val="0"/>
      <w:marTop w:val="0"/>
      <w:marBottom w:val="0"/>
      <w:divBdr>
        <w:top w:val="none" w:sz="0" w:space="0" w:color="auto"/>
        <w:left w:val="none" w:sz="0" w:space="0" w:color="auto"/>
        <w:bottom w:val="none" w:sz="0" w:space="0" w:color="auto"/>
        <w:right w:val="none" w:sz="0" w:space="0" w:color="auto"/>
      </w:divBdr>
    </w:div>
    <w:div w:id="1301619096">
      <w:bodyDiv w:val="1"/>
      <w:marLeft w:val="0"/>
      <w:marRight w:val="0"/>
      <w:marTop w:val="0"/>
      <w:marBottom w:val="0"/>
      <w:divBdr>
        <w:top w:val="none" w:sz="0" w:space="0" w:color="auto"/>
        <w:left w:val="none" w:sz="0" w:space="0" w:color="auto"/>
        <w:bottom w:val="none" w:sz="0" w:space="0" w:color="auto"/>
        <w:right w:val="none" w:sz="0" w:space="0" w:color="auto"/>
      </w:divBdr>
      <w:divsChild>
        <w:div w:id="817379838">
          <w:marLeft w:val="0"/>
          <w:marRight w:val="0"/>
          <w:marTop w:val="0"/>
          <w:marBottom w:val="0"/>
          <w:divBdr>
            <w:top w:val="none" w:sz="0" w:space="0" w:color="auto"/>
            <w:left w:val="none" w:sz="0" w:space="0" w:color="auto"/>
            <w:bottom w:val="none" w:sz="0" w:space="0" w:color="auto"/>
            <w:right w:val="none" w:sz="0" w:space="0" w:color="auto"/>
          </w:divBdr>
        </w:div>
        <w:div w:id="846940555">
          <w:marLeft w:val="0"/>
          <w:marRight w:val="0"/>
          <w:marTop w:val="0"/>
          <w:marBottom w:val="0"/>
          <w:divBdr>
            <w:top w:val="none" w:sz="0" w:space="0" w:color="auto"/>
            <w:left w:val="none" w:sz="0" w:space="0" w:color="auto"/>
            <w:bottom w:val="none" w:sz="0" w:space="0" w:color="auto"/>
            <w:right w:val="none" w:sz="0" w:space="0" w:color="auto"/>
          </w:divBdr>
        </w:div>
        <w:div w:id="1998219076">
          <w:marLeft w:val="0"/>
          <w:marRight w:val="0"/>
          <w:marTop w:val="0"/>
          <w:marBottom w:val="0"/>
          <w:divBdr>
            <w:top w:val="none" w:sz="0" w:space="0" w:color="auto"/>
            <w:left w:val="none" w:sz="0" w:space="0" w:color="auto"/>
            <w:bottom w:val="none" w:sz="0" w:space="0" w:color="auto"/>
            <w:right w:val="none" w:sz="0" w:space="0" w:color="auto"/>
          </w:divBdr>
        </w:div>
      </w:divsChild>
    </w:div>
    <w:div w:id="1305156755">
      <w:bodyDiv w:val="1"/>
      <w:marLeft w:val="0"/>
      <w:marRight w:val="0"/>
      <w:marTop w:val="0"/>
      <w:marBottom w:val="0"/>
      <w:divBdr>
        <w:top w:val="none" w:sz="0" w:space="0" w:color="auto"/>
        <w:left w:val="none" w:sz="0" w:space="0" w:color="auto"/>
        <w:bottom w:val="none" w:sz="0" w:space="0" w:color="auto"/>
        <w:right w:val="none" w:sz="0" w:space="0" w:color="auto"/>
      </w:divBdr>
    </w:div>
    <w:div w:id="1392582352">
      <w:bodyDiv w:val="1"/>
      <w:marLeft w:val="0"/>
      <w:marRight w:val="0"/>
      <w:marTop w:val="0"/>
      <w:marBottom w:val="0"/>
      <w:divBdr>
        <w:top w:val="none" w:sz="0" w:space="0" w:color="auto"/>
        <w:left w:val="none" w:sz="0" w:space="0" w:color="auto"/>
        <w:bottom w:val="none" w:sz="0" w:space="0" w:color="auto"/>
        <w:right w:val="none" w:sz="0" w:space="0" w:color="auto"/>
      </w:divBdr>
    </w:div>
    <w:div w:id="1407723763">
      <w:bodyDiv w:val="1"/>
      <w:marLeft w:val="0"/>
      <w:marRight w:val="0"/>
      <w:marTop w:val="0"/>
      <w:marBottom w:val="0"/>
      <w:divBdr>
        <w:top w:val="none" w:sz="0" w:space="0" w:color="auto"/>
        <w:left w:val="none" w:sz="0" w:space="0" w:color="auto"/>
        <w:bottom w:val="none" w:sz="0" w:space="0" w:color="auto"/>
        <w:right w:val="none" w:sz="0" w:space="0" w:color="auto"/>
      </w:divBdr>
    </w:div>
    <w:div w:id="1419670029">
      <w:bodyDiv w:val="1"/>
      <w:marLeft w:val="0"/>
      <w:marRight w:val="0"/>
      <w:marTop w:val="0"/>
      <w:marBottom w:val="0"/>
      <w:divBdr>
        <w:top w:val="none" w:sz="0" w:space="0" w:color="auto"/>
        <w:left w:val="none" w:sz="0" w:space="0" w:color="auto"/>
        <w:bottom w:val="none" w:sz="0" w:space="0" w:color="auto"/>
        <w:right w:val="none" w:sz="0" w:space="0" w:color="auto"/>
      </w:divBdr>
    </w:div>
    <w:div w:id="1459303241">
      <w:bodyDiv w:val="1"/>
      <w:marLeft w:val="0"/>
      <w:marRight w:val="0"/>
      <w:marTop w:val="0"/>
      <w:marBottom w:val="0"/>
      <w:divBdr>
        <w:top w:val="none" w:sz="0" w:space="0" w:color="auto"/>
        <w:left w:val="none" w:sz="0" w:space="0" w:color="auto"/>
        <w:bottom w:val="none" w:sz="0" w:space="0" w:color="auto"/>
        <w:right w:val="none" w:sz="0" w:space="0" w:color="auto"/>
      </w:divBdr>
    </w:div>
    <w:div w:id="1471484905">
      <w:bodyDiv w:val="1"/>
      <w:marLeft w:val="0"/>
      <w:marRight w:val="0"/>
      <w:marTop w:val="0"/>
      <w:marBottom w:val="0"/>
      <w:divBdr>
        <w:top w:val="none" w:sz="0" w:space="0" w:color="auto"/>
        <w:left w:val="none" w:sz="0" w:space="0" w:color="auto"/>
        <w:bottom w:val="none" w:sz="0" w:space="0" w:color="auto"/>
        <w:right w:val="none" w:sz="0" w:space="0" w:color="auto"/>
      </w:divBdr>
    </w:div>
    <w:div w:id="1516730443">
      <w:bodyDiv w:val="1"/>
      <w:marLeft w:val="0"/>
      <w:marRight w:val="0"/>
      <w:marTop w:val="0"/>
      <w:marBottom w:val="0"/>
      <w:divBdr>
        <w:top w:val="none" w:sz="0" w:space="0" w:color="auto"/>
        <w:left w:val="none" w:sz="0" w:space="0" w:color="auto"/>
        <w:bottom w:val="none" w:sz="0" w:space="0" w:color="auto"/>
        <w:right w:val="none" w:sz="0" w:space="0" w:color="auto"/>
      </w:divBdr>
    </w:div>
    <w:div w:id="1535918189">
      <w:bodyDiv w:val="1"/>
      <w:marLeft w:val="0"/>
      <w:marRight w:val="0"/>
      <w:marTop w:val="0"/>
      <w:marBottom w:val="0"/>
      <w:divBdr>
        <w:top w:val="none" w:sz="0" w:space="0" w:color="auto"/>
        <w:left w:val="none" w:sz="0" w:space="0" w:color="auto"/>
        <w:bottom w:val="none" w:sz="0" w:space="0" w:color="auto"/>
        <w:right w:val="none" w:sz="0" w:space="0" w:color="auto"/>
      </w:divBdr>
    </w:div>
    <w:div w:id="1542013796">
      <w:bodyDiv w:val="1"/>
      <w:marLeft w:val="0"/>
      <w:marRight w:val="0"/>
      <w:marTop w:val="0"/>
      <w:marBottom w:val="0"/>
      <w:divBdr>
        <w:top w:val="none" w:sz="0" w:space="0" w:color="auto"/>
        <w:left w:val="none" w:sz="0" w:space="0" w:color="auto"/>
        <w:bottom w:val="none" w:sz="0" w:space="0" w:color="auto"/>
        <w:right w:val="none" w:sz="0" w:space="0" w:color="auto"/>
      </w:divBdr>
    </w:div>
    <w:div w:id="1664695257">
      <w:bodyDiv w:val="1"/>
      <w:marLeft w:val="0"/>
      <w:marRight w:val="0"/>
      <w:marTop w:val="0"/>
      <w:marBottom w:val="0"/>
      <w:divBdr>
        <w:top w:val="none" w:sz="0" w:space="0" w:color="auto"/>
        <w:left w:val="none" w:sz="0" w:space="0" w:color="auto"/>
        <w:bottom w:val="none" w:sz="0" w:space="0" w:color="auto"/>
        <w:right w:val="none" w:sz="0" w:space="0" w:color="auto"/>
      </w:divBdr>
    </w:div>
    <w:div w:id="1669291549">
      <w:bodyDiv w:val="1"/>
      <w:marLeft w:val="0"/>
      <w:marRight w:val="0"/>
      <w:marTop w:val="0"/>
      <w:marBottom w:val="0"/>
      <w:divBdr>
        <w:top w:val="none" w:sz="0" w:space="0" w:color="auto"/>
        <w:left w:val="none" w:sz="0" w:space="0" w:color="auto"/>
        <w:bottom w:val="none" w:sz="0" w:space="0" w:color="auto"/>
        <w:right w:val="none" w:sz="0" w:space="0" w:color="auto"/>
      </w:divBdr>
    </w:div>
    <w:div w:id="1710913878">
      <w:bodyDiv w:val="1"/>
      <w:marLeft w:val="0"/>
      <w:marRight w:val="0"/>
      <w:marTop w:val="0"/>
      <w:marBottom w:val="0"/>
      <w:divBdr>
        <w:top w:val="none" w:sz="0" w:space="0" w:color="auto"/>
        <w:left w:val="none" w:sz="0" w:space="0" w:color="auto"/>
        <w:bottom w:val="none" w:sz="0" w:space="0" w:color="auto"/>
        <w:right w:val="none" w:sz="0" w:space="0" w:color="auto"/>
      </w:divBdr>
    </w:div>
    <w:div w:id="1728071407">
      <w:bodyDiv w:val="1"/>
      <w:marLeft w:val="0"/>
      <w:marRight w:val="0"/>
      <w:marTop w:val="0"/>
      <w:marBottom w:val="0"/>
      <w:divBdr>
        <w:top w:val="none" w:sz="0" w:space="0" w:color="auto"/>
        <w:left w:val="none" w:sz="0" w:space="0" w:color="auto"/>
        <w:bottom w:val="none" w:sz="0" w:space="0" w:color="auto"/>
        <w:right w:val="none" w:sz="0" w:space="0" w:color="auto"/>
      </w:divBdr>
    </w:div>
    <w:div w:id="1738819984">
      <w:bodyDiv w:val="1"/>
      <w:marLeft w:val="0"/>
      <w:marRight w:val="0"/>
      <w:marTop w:val="0"/>
      <w:marBottom w:val="0"/>
      <w:divBdr>
        <w:top w:val="none" w:sz="0" w:space="0" w:color="auto"/>
        <w:left w:val="none" w:sz="0" w:space="0" w:color="auto"/>
        <w:bottom w:val="none" w:sz="0" w:space="0" w:color="auto"/>
        <w:right w:val="none" w:sz="0" w:space="0" w:color="auto"/>
      </w:divBdr>
    </w:div>
    <w:div w:id="1745103760">
      <w:bodyDiv w:val="1"/>
      <w:marLeft w:val="0"/>
      <w:marRight w:val="0"/>
      <w:marTop w:val="0"/>
      <w:marBottom w:val="0"/>
      <w:divBdr>
        <w:top w:val="none" w:sz="0" w:space="0" w:color="auto"/>
        <w:left w:val="none" w:sz="0" w:space="0" w:color="auto"/>
        <w:bottom w:val="none" w:sz="0" w:space="0" w:color="auto"/>
        <w:right w:val="none" w:sz="0" w:space="0" w:color="auto"/>
      </w:divBdr>
    </w:div>
    <w:div w:id="1782063543">
      <w:bodyDiv w:val="1"/>
      <w:marLeft w:val="0"/>
      <w:marRight w:val="0"/>
      <w:marTop w:val="0"/>
      <w:marBottom w:val="0"/>
      <w:divBdr>
        <w:top w:val="none" w:sz="0" w:space="0" w:color="auto"/>
        <w:left w:val="none" w:sz="0" w:space="0" w:color="auto"/>
        <w:bottom w:val="none" w:sz="0" w:space="0" w:color="auto"/>
        <w:right w:val="none" w:sz="0" w:space="0" w:color="auto"/>
      </w:divBdr>
    </w:div>
    <w:div w:id="1802842280">
      <w:bodyDiv w:val="1"/>
      <w:marLeft w:val="0"/>
      <w:marRight w:val="0"/>
      <w:marTop w:val="0"/>
      <w:marBottom w:val="0"/>
      <w:divBdr>
        <w:top w:val="none" w:sz="0" w:space="0" w:color="auto"/>
        <w:left w:val="none" w:sz="0" w:space="0" w:color="auto"/>
        <w:bottom w:val="none" w:sz="0" w:space="0" w:color="auto"/>
        <w:right w:val="none" w:sz="0" w:space="0" w:color="auto"/>
      </w:divBdr>
    </w:div>
    <w:div w:id="1817525873">
      <w:bodyDiv w:val="1"/>
      <w:marLeft w:val="0"/>
      <w:marRight w:val="0"/>
      <w:marTop w:val="0"/>
      <w:marBottom w:val="0"/>
      <w:divBdr>
        <w:top w:val="none" w:sz="0" w:space="0" w:color="auto"/>
        <w:left w:val="none" w:sz="0" w:space="0" w:color="auto"/>
        <w:bottom w:val="none" w:sz="0" w:space="0" w:color="auto"/>
        <w:right w:val="none" w:sz="0" w:space="0" w:color="auto"/>
      </w:divBdr>
    </w:div>
    <w:div w:id="1831098060">
      <w:bodyDiv w:val="1"/>
      <w:marLeft w:val="0"/>
      <w:marRight w:val="0"/>
      <w:marTop w:val="0"/>
      <w:marBottom w:val="0"/>
      <w:divBdr>
        <w:top w:val="none" w:sz="0" w:space="0" w:color="auto"/>
        <w:left w:val="none" w:sz="0" w:space="0" w:color="auto"/>
        <w:bottom w:val="none" w:sz="0" w:space="0" w:color="auto"/>
        <w:right w:val="none" w:sz="0" w:space="0" w:color="auto"/>
      </w:divBdr>
    </w:div>
    <w:div w:id="1847476152">
      <w:bodyDiv w:val="1"/>
      <w:marLeft w:val="0"/>
      <w:marRight w:val="0"/>
      <w:marTop w:val="0"/>
      <w:marBottom w:val="0"/>
      <w:divBdr>
        <w:top w:val="none" w:sz="0" w:space="0" w:color="auto"/>
        <w:left w:val="none" w:sz="0" w:space="0" w:color="auto"/>
        <w:bottom w:val="none" w:sz="0" w:space="0" w:color="auto"/>
        <w:right w:val="none" w:sz="0" w:space="0" w:color="auto"/>
      </w:divBdr>
    </w:div>
    <w:div w:id="1853496748">
      <w:bodyDiv w:val="1"/>
      <w:marLeft w:val="0"/>
      <w:marRight w:val="0"/>
      <w:marTop w:val="0"/>
      <w:marBottom w:val="0"/>
      <w:divBdr>
        <w:top w:val="none" w:sz="0" w:space="0" w:color="auto"/>
        <w:left w:val="none" w:sz="0" w:space="0" w:color="auto"/>
        <w:bottom w:val="none" w:sz="0" w:space="0" w:color="auto"/>
        <w:right w:val="none" w:sz="0" w:space="0" w:color="auto"/>
      </w:divBdr>
    </w:div>
    <w:div w:id="1863786480">
      <w:bodyDiv w:val="1"/>
      <w:marLeft w:val="0"/>
      <w:marRight w:val="0"/>
      <w:marTop w:val="0"/>
      <w:marBottom w:val="0"/>
      <w:divBdr>
        <w:top w:val="none" w:sz="0" w:space="0" w:color="auto"/>
        <w:left w:val="none" w:sz="0" w:space="0" w:color="auto"/>
        <w:bottom w:val="none" w:sz="0" w:space="0" w:color="auto"/>
        <w:right w:val="none" w:sz="0" w:space="0" w:color="auto"/>
      </w:divBdr>
    </w:div>
    <w:div w:id="1961912279">
      <w:bodyDiv w:val="1"/>
      <w:marLeft w:val="0"/>
      <w:marRight w:val="0"/>
      <w:marTop w:val="0"/>
      <w:marBottom w:val="0"/>
      <w:divBdr>
        <w:top w:val="none" w:sz="0" w:space="0" w:color="auto"/>
        <w:left w:val="none" w:sz="0" w:space="0" w:color="auto"/>
        <w:bottom w:val="none" w:sz="0" w:space="0" w:color="auto"/>
        <w:right w:val="none" w:sz="0" w:space="0" w:color="auto"/>
      </w:divBdr>
    </w:div>
    <w:div w:id="1977638113">
      <w:bodyDiv w:val="1"/>
      <w:marLeft w:val="0"/>
      <w:marRight w:val="0"/>
      <w:marTop w:val="0"/>
      <w:marBottom w:val="0"/>
      <w:divBdr>
        <w:top w:val="none" w:sz="0" w:space="0" w:color="auto"/>
        <w:left w:val="none" w:sz="0" w:space="0" w:color="auto"/>
        <w:bottom w:val="none" w:sz="0" w:space="0" w:color="auto"/>
        <w:right w:val="none" w:sz="0" w:space="0" w:color="auto"/>
      </w:divBdr>
    </w:div>
    <w:div w:id="1991863944">
      <w:bodyDiv w:val="1"/>
      <w:marLeft w:val="0"/>
      <w:marRight w:val="0"/>
      <w:marTop w:val="0"/>
      <w:marBottom w:val="0"/>
      <w:divBdr>
        <w:top w:val="none" w:sz="0" w:space="0" w:color="auto"/>
        <w:left w:val="none" w:sz="0" w:space="0" w:color="auto"/>
        <w:bottom w:val="none" w:sz="0" w:space="0" w:color="auto"/>
        <w:right w:val="none" w:sz="0" w:space="0" w:color="auto"/>
      </w:divBdr>
    </w:div>
    <w:div w:id="2015843234">
      <w:bodyDiv w:val="1"/>
      <w:marLeft w:val="0"/>
      <w:marRight w:val="0"/>
      <w:marTop w:val="0"/>
      <w:marBottom w:val="0"/>
      <w:divBdr>
        <w:top w:val="none" w:sz="0" w:space="0" w:color="auto"/>
        <w:left w:val="none" w:sz="0" w:space="0" w:color="auto"/>
        <w:bottom w:val="none" w:sz="0" w:space="0" w:color="auto"/>
        <w:right w:val="none" w:sz="0" w:space="0" w:color="auto"/>
      </w:divBdr>
    </w:div>
    <w:div w:id="2059283652">
      <w:bodyDiv w:val="1"/>
      <w:marLeft w:val="0"/>
      <w:marRight w:val="0"/>
      <w:marTop w:val="0"/>
      <w:marBottom w:val="0"/>
      <w:divBdr>
        <w:top w:val="none" w:sz="0" w:space="0" w:color="auto"/>
        <w:left w:val="none" w:sz="0" w:space="0" w:color="auto"/>
        <w:bottom w:val="none" w:sz="0" w:space="0" w:color="auto"/>
        <w:right w:val="none" w:sz="0" w:space="0" w:color="auto"/>
      </w:divBdr>
    </w:div>
    <w:div w:id="2067489566">
      <w:bodyDiv w:val="1"/>
      <w:marLeft w:val="0"/>
      <w:marRight w:val="0"/>
      <w:marTop w:val="0"/>
      <w:marBottom w:val="0"/>
      <w:divBdr>
        <w:top w:val="none" w:sz="0" w:space="0" w:color="auto"/>
        <w:left w:val="none" w:sz="0" w:space="0" w:color="auto"/>
        <w:bottom w:val="none" w:sz="0" w:space="0" w:color="auto"/>
        <w:right w:val="none" w:sz="0" w:space="0" w:color="auto"/>
      </w:divBdr>
    </w:div>
    <w:div w:id="2067946767">
      <w:bodyDiv w:val="1"/>
      <w:marLeft w:val="0"/>
      <w:marRight w:val="0"/>
      <w:marTop w:val="0"/>
      <w:marBottom w:val="0"/>
      <w:divBdr>
        <w:top w:val="none" w:sz="0" w:space="0" w:color="auto"/>
        <w:left w:val="none" w:sz="0" w:space="0" w:color="auto"/>
        <w:bottom w:val="none" w:sz="0" w:space="0" w:color="auto"/>
        <w:right w:val="none" w:sz="0" w:space="0" w:color="auto"/>
      </w:divBdr>
    </w:div>
    <w:div w:id="2093117144">
      <w:bodyDiv w:val="1"/>
      <w:marLeft w:val="0"/>
      <w:marRight w:val="0"/>
      <w:marTop w:val="0"/>
      <w:marBottom w:val="0"/>
      <w:divBdr>
        <w:top w:val="none" w:sz="0" w:space="0" w:color="auto"/>
        <w:left w:val="none" w:sz="0" w:space="0" w:color="auto"/>
        <w:bottom w:val="none" w:sz="0" w:space="0" w:color="auto"/>
        <w:right w:val="none" w:sz="0" w:space="0" w:color="auto"/>
      </w:divBdr>
    </w:div>
    <w:div w:id="21358997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image" Target="media/image8.png"/><Relationship Id="rId117" Type="http://schemas.openxmlformats.org/officeDocument/2006/relationships/hyperlink" Target="http://www8.austlii.edu.au/cgi-bin/viewdoc/au/cases/qld/QCAT/2021/7.html" TargetMode="External"/><Relationship Id="rId21" Type="http://schemas.openxmlformats.org/officeDocument/2006/relationships/footer" Target="footer2.xml"/><Relationship Id="rId42" Type="http://schemas.openxmlformats.org/officeDocument/2006/relationships/hyperlink" Target="https://www.qhrc.qld.gov.au/your-rights/human-rights-law/right-to-liberty-and-security-of-person" TargetMode="External"/><Relationship Id="rId47" Type="http://schemas.openxmlformats.org/officeDocument/2006/relationships/hyperlink" Target="https://www.qhrc.qld.gov.au/your-rights/human-rights-law/right-not-to-be-tried-or-punished-more-than-once" TargetMode="External"/><Relationship Id="rId63" Type="http://schemas.openxmlformats.org/officeDocument/2006/relationships/chart" Target="charts/chart1.xml"/><Relationship Id="rId68" Type="http://schemas.openxmlformats.org/officeDocument/2006/relationships/image" Target="media/image22.png"/><Relationship Id="rId84" Type="http://schemas.openxmlformats.org/officeDocument/2006/relationships/hyperlink" Target="http://www.austlii.edu.au/cgi-bin/viewdoc/au/cases/qld/QSC/2021/85.html" TargetMode="External"/><Relationship Id="rId89" Type="http://schemas.openxmlformats.org/officeDocument/2006/relationships/hyperlink" Target="https://www.sclqld.org.au/caselaw/QDCPR/2021/8" TargetMode="External"/><Relationship Id="rId112" Type="http://schemas.openxmlformats.org/officeDocument/2006/relationships/hyperlink" Target="http://www8.austlii.edu.au/cgi-bin/viewdoc/au/cases/qld/QCAT/2020/434.html" TargetMode="External"/><Relationship Id="rId16" Type="http://schemas.openxmlformats.org/officeDocument/2006/relationships/hyperlink" Target="http://www.qhrc.qld.gov.au" TargetMode="External"/><Relationship Id="rId107" Type="http://schemas.openxmlformats.org/officeDocument/2006/relationships/hyperlink" Target="http://www.austlii.edu.au/cgi-bin/viewdoc/au/cases/qld/QCAT/2020/342.html" TargetMode="External"/><Relationship Id="rId11" Type="http://schemas.openxmlformats.org/officeDocument/2006/relationships/image" Target="media/image1.png"/><Relationship Id="rId32" Type="http://schemas.openxmlformats.org/officeDocument/2006/relationships/hyperlink" Target="https://www.qhrc.qld.gov.au/your-rights/human-rights-law/freedom-of-movement" TargetMode="External"/><Relationship Id="rId37" Type="http://schemas.openxmlformats.org/officeDocument/2006/relationships/hyperlink" Target="https://www.qhrc.qld.gov.au/your-rights/human-rights-law/property-rights" TargetMode="External"/><Relationship Id="rId53" Type="http://schemas.openxmlformats.org/officeDocument/2006/relationships/hyperlink" Target="https://documents.parliament.qld.gov.au/TableOffice/TabledPapers/2021/5721T459.pdf" TargetMode="External"/><Relationship Id="rId58" Type="http://schemas.openxmlformats.org/officeDocument/2006/relationships/image" Target="media/image16.png"/><Relationship Id="rId74" Type="http://schemas.openxmlformats.org/officeDocument/2006/relationships/hyperlink" Target="http://www.austlii.edu.au/cgi-bin/viewdoc/au/cases/qld/QSC/2020/217.html" TargetMode="External"/><Relationship Id="rId79" Type="http://schemas.openxmlformats.org/officeDocument/2006/relationships/hyperlink" Target="http://www.austlii.edu.au/cgi-bin/viewdoc/au/cases/qld/QSC/2020/320.html" TargetMode="External"/><Relationship Id="rId102" Type="http://schemas.openxmlformats.org/officeDocument/2006/relationships/hyperlink" Target="http://www.austlii.edu.au/cgi-bin/viewdoc/au/cases/qld/QCAT/2020/306.html" TargetMode="External"/><Relationship Id="rId123" Type="http://schemas.openxmlformats.org/officeDocument/2006/relationships/hyperlink" Target="http://www8.austlii.edu.au/cgi-bin/viewdoc/au/cases/qld/QCAT/2021/164.html" TargetMode="External"/><Relationship Id="rId128" Type="http://schemas.openxmlformats.org/officeDocument/2006/relationships/hyperlink" Target="http://www8.austlii.edu.au/cgi-bin/viewdoc/au/cases/qld/QIRC/2021/209.html" TargetMode="External"/><Relationship Id="rId5" Type="http://schemas.openxmlformats.org/officeDocument/2006/relationships/numbering" Target="numbering.xml"/><Relationship Id="rId90" Type="http://schemas.openxmlformats.org/officeDocument/2006/relationships/hyperlink" Target="http://www.austlii.edu.au/cgi-bin/viewdoc/au/cases/qld/QLC/2020/33.html" TargetMode="External"/><Relationship Id="rId95" Type="http://schemas.openxmlformats.org/officeDocument/2006/relationships/hyperlink" Target="http://www8.austlii.edu.au/cgi-bin/viewdoc/au/cases/qld/QCAT/2020/253.html" TargetMode="External"/><Relationship Id="rId19" Type="http://schemas.openxmlformats.org/officeDocument/2006/relationships/header" Target="header2.xml"/><Relationship Id="rId14" Type="http://schemas.openxmlformats.org/officeDocument/2006/relationships/image" Target="media/image3.emf"/><Relationship Id="rId22" Type="http://schemas.openxmlformats.org/officeDocument/2006/relationships/header" Target="header3.xml"/><Relationship Id="rId27" Type="http://schemas.openxmlformats.org/officeDocument/2006/relationships/image" Target="media/image9.png"/><Relationship Id="rId30" Type="http://schemas.openxmlformats.org/officeDocument/2006/relationships/hyperlink" Target="https://www.qhrc.qld.gov.au/your-rights/human-rights-law/right-to-protection-from-torture-and-cruel,-inhuman-or-degrading-treatment" TargetMode="External"/><Relationship Id="rId35" Type="http://schemas.openxmlformats.org/officeDocument/2006/relationships/hyperlink" Target="https://www.qhrc.qld.gov.au/your-rights/human-rights-law/right-to-peaceful-assembly-and-freedom-of-association" TargetMode="External"/><Relationship Id="rId43" Type="http://schemas.openxmlformats.org/officeDocument/2006/relationships/hyperlink" Target="https://www.qhrc.qld.gov.au/your-rights/human-rights-law/right-to-humane-treatment-when-deprived-of-liberty" TargetMode="External"/><Relationship Id="rId48" Type="http://schemas.openxmlformats.org/officeDocument/2006/relationships/hyperlink" Target="https://www.qhrc.qld.gov.au/your-rights/human-rights-law/right-to-protection-against-retrospective-criminal-laws" TargetMode="External"/><Relationship Id="rId56" Type="http://schemas.openxmlformats.org/officeDocument/2006/relationships/image" Target="media/image14.png"/><Relationship Id="rId64" Type="http://schemas.openxmlformats.org/officeDocument/2006/relationships/chart" Target="charts/chart2.xml"/><Relationship Id="rId69" Type="http://schemas.openxmlformats.org/officeDocument/2006/relationships/image" Target="media/image23.png"/><Relationship Id="rId77" Type="http://schemas.openxmlformats.org/officeDocument/2006/relationships/hyperlink" Target="http://www.austlii.edu.au/cgi-bin/viewdoc/au/cases/qld/QSC/2020/273.html" TargetMode="External"/><Relationship Id="rId100" Type="http://schemas.openxmlformats.org/officeDocument/2006/relationships/hyperlink" Target="http://www.austlii.edu.au/cgi-bin/viewdoc/au/cases/qld/QCAT/2020/273.html" TargetMode="External"/><Relationship Id="rId105" Type="http://schemas.openxmlformats.org/officeDocument/2006/relationships/hyperlink" Target="http://www.austlii.edu.au/cgi-bin/viewdoc/au/cases/qld/QCAT/2020/340.html" TargetMode="External"/><Relationship Id="rId113" Type="http://schemas.openxmlformats.org/officeDocument/2006/relationships/hyperlink" Target="http://www8.austlii.edu.au/cgi-bin/viewdoc/au/cases/qld/QCAT/2020/482.html" TargetMode="External"/><Relationship Id="rId118" Type="http://schemas.openxmlformats.org/officeDocument/2006/relationships/hyperlink" Target="http://www8.austlii.edu.au/cgi-bin/viewdoc/au/cases/qld/QCAT/2021/10.html" TargetMode="External"/><Relationship Id="rId126" Type="http://schemas.openxmlformats.org/officeDocument/2006/relationships/hyperlink" Target="http://www8.austlii.edu.au/cgi-bin/viewdoc/au/cases/qld/QIRC/2021/84.html" TargetMode="External"/><Relationship Id="rId8" Type="http://schemas.openxmlformats.org/officeDocument/2006/relationships/webSettings" Target="webSettings.xml"/><Relationship Id="rId51" Type="http://schemas.openxmlformats.org/officeDocument/2006/relationships/image" Target="media/image10.png"/><Relationship Id="rId72" Type="http://schemas.openxmlformats.org/officeDocument/2006/relationships/hyperlink" Target="http://www.austlii.edu.au/cgi-bin/viewdoc/au/cases/qld/QCA/2020/187.html" TargetMode="External"/><Relationship Id="rId80" Type="http://schemas.openxmlformats.org/officeDocument/2006/relationships/hyperlink" Target="http://www.austlii.edu.au/cgi-bin/viewdoc/au/cases/qld/QSC/2020/348.html" TargetMode="External"/><Relationship Id="rId85" Type="http://schemas.openxmlformats.org/officeDocument/2006/relationships/hyperlink" Target="http://www.austlii.edu.au/cgi-bin/viewdoc/au/cases/qld/QSC/2021/126.html" TargetMode="External"/><Relationship Id="rId93" Type="http://schemas.openxmlformats.org/officeDocument/2006/relationships/hyperlink" Target="http://www8.austlii.edu.au/cgi-bin/viewdoc/au/cases/qld/QCATA/2020/161.html" TargetMode="External"/><Relationship Id="rId98" Type="http://schemas.openxmlformats.org/officeDocument/2006/relationships/hyperlink" Target="http://www.austlii.edu.au/cgi-bin/viewdoc/au/cases/qld/QCAT/2020/295.html" TargetMode="External"/><Relationship Id="rId121" Type="http://schemas.openxmlformats.org/officeDocument/2006/relationships/hyperlink" Target="https://www.sclqld.org.au/caselaw/QCAT/2021/98" TargetMode="External"/><Relationship Id="rId3" Type="http://schemas.openxmlformats.org/officeDocument/2006/relationships/customXml" Target="../customXml/item3.xml"/><Relationship Id="rId12" Type="http://schemas.openxmlformats.org/officeDocument/2006/relationships/image" Target="media/image2.jpg"/><Relationship Id="rId17" Type="http://schemas.openxmlformats.org/officeDocument/2006/relationships/hyperlink" Target="https://qldhrc.sharepoint.com/sites/Annualreporting/Shared%20Documents/HRA%20Annual%20Report%202020-21%20-%20FINAL.docx" TargetMode="External"/><Relationship Id="rId25" Type="http://schemas.openxmlformats.org/officeDocument/2006/relationships/image" Target="media/image7.png"/><Relationship Id="rId33" Type="http://schemas.openxmlformats.org/officeDocument/2006/relationships/hyperlink" Target="https://www.qhrc.qld.gov.au/your-rights/human-rights-law/right-to-freedom-of-thought,-conscience,-religion-and-belief" TargetMode="External"/><Relationship Id="rId38" Type="http://schemas.openxmlformats.org/officeDocument/2006/relationships/hyperlink" Target="https://www.qhrc.qld.gov.au/your-rights/human-rights-law/right-to-privacy-and-reputation" TargetMode="External"/><Relationship Id="rId46" Type="http://schemas.openxmlformats.org/officeDocument/2006/relationships/hyperlink" Target="https://www.qhrc.qld.gov.au/your-rights/human-rights-law/rights-of-children-in-the-criminal-process" TargetMode="External"/><Relationship Id="rId59" Type="http://schemas.openxmlformats.org/officeDocument/2006/relationships/image" Target="media/image17.png"/><Relationship Id="rId67" Type="http://schemas.openxmlformats.org/officeDocument/2006/relationships/chart" Target="charts/chart4.xml"/><Relationship Id="rId103" Type="http://schemas.openxmlformats.org/officeDocument/2006/relationships/hyperlink" Target="http://www8.austlii.edu.au/cgi-bin/viewdoc/au/cases/qld/QCAT/2020/312.html" TargetMode="External"/><Relationship Id="rId108" Type="http://schemas.openxmlformats.org/officeDocument/2006/relationships/hyperlink" Target="http://www.austlii.edu.au/cgi-bin/viewdoc/au/cases/qld/QCAT/2020/351.html" TargetMode="External"/><Relationship Id="rId116" Type="http://schemas.openxmlformats.org/officeDocument/2006/relationships/hyperlink" Target="http://www8.austlii.edu.au/cgi-bin/viewdoc/au/cases/qld/QCAT/2020/506.html" TargetMode="External"/><Relationship Id="rId124" Type="http://schemas.openxmlformats.org/officeDocument/2006/relationships/hyperlink" Target="https://www.sclqld.org.au/caselaw/QIRC/2020/136" TargetMode="External"/><Relationship Id="rId129" Type="http://schemas.openxmlformats.org/officeDocument/2006/relationships/hyperlink" Target="http://www8.austlii.edu.au/cgi-bin/viewdoc/au/cases/qld/QIRC/2021/229.html" TargetMode="External"/><Relationship Id="rId20" Type="http://schemas.openxmlformats.org/officeDocument/2006/relationships/footer" Target="footer1.xml"/><Relationship Id="rId41" Type="http://schemas.openxmlformats.org/officeDocument/2006/relationships/hyperlink" Target="https://www.qhrc.qld.gov.au/your-rights/human-rights-law/cultural-rights-of-aboriginal-and-torres-strait-islander-peoples" TargetMode="External"/><Relationship Id="rId54" Type="http://schemas.openxmlformats.org/officeDocument/2006/relationships/image" Target="media/image12.png"/><Relationship Id="rId62" Type="http://schemas.openxmlformats.org/officeDocument/2006/relationships/image" Target="media/image20.png"/><Relationship Id="rId70" Type="http://schemas.openxmlformats.org/officeDocument/2006/relationships/chart" Target="charts/chart5.xml"/><Relationship Id="rId75" Type="http://schemas.openxmlformats.org/officeDocument/2006/relationships/hyperlink" Target="http://www.austlii.edu.au/cgi-bin/viewdoc/au/cases/qld/QSC/2020/246.html" TargetMode="External"/><Relationship Id="rId83" Type="http://schemas.openxmlformats.org/officeDocument/2006/relationships/hyperlink" Target="http://www.austlii.edu.au/cgi-bin/viewdoc/au/cases/qld/QSC/2021/60.html" TargetMode="External"/><Relationship Id="rId88" Type="http://schemas.openxmlformats.org/officeDocument/2006/relationships/hyperlink" Target="http://www8.austlii.edu.au/cgi-bin/viewdoc/au/cases/qld/QDC/2020/205.html" TargetMode="External"/><Relationship Id="rId91" Type="http://schemas.openxmlformats.org/officeDocument/2006/relationships/hyperlink" Target="http://www8.austlii.edu.au/cgi-bin/viewdoc/au/cases/qld/QLC/2021/4.html" TargetMode="External"/><Relationship Id="rId96" Type="http://schemas.openxmlformats.org/officeDocument/2006/relationships/hyperlink" Target="http://www.austlii.edu.au/cgi-bin/viewdoc/au/cases/qld/QCAT/2020/249.html" TargetMode="External"/><Relationship Id="rId111" Type="http://schemas.openxmlformats.org/officeDocument/2006/relationships/hyperlink" Target="http://www8.austlii.edu.au/cgi-bin/viewdoc/au/cases/qld/QCAT/2020/431.html" TargetMode="External"/><Relationship Id="rId132"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5" Type="http://schemas.openxmlformats.org/officeDocument/2006/relationships/hyperlink" Target="http://creativecommons.org/licenses/by/4.0/" TargetMode="External"/><Relationship Id="rId23" Type="http://schemas.openxmlformats.org/officeDocument/2006/relationships/image" Target="media/image5.jpeg"/><Relationship Id="rId28" Type="http://schemas.openxmlformats.org/officeDocument/2006/relationships/hyperlink" Target="https://www.qhrc.qld.gov.au/your-rights/human-rights-law/your-right-to-recognition-and-equality-before-the-law" TargetMode="External"/><Relationship Id="rId36" Type="http://schemas.openxmlformats.org/officeDocument/2006/relationships/hyperlink" Target="https://www.qhrc.qld.gov.au/your-rights/human-rights-law/taking-part-in-public-life" TargetMode="External"/><Relationship Id="rId49" Type="http://schemas.openxmlformats.org/officeDocument/2006/relationships/hyperlink" Target="https://www.qhrc.qld.gov.au/your-rights/human-rights-law/right-to-education" TargetMode="External"/><Relationship Id="rId57" Type="http://schemas.openxmlformats.org/officeDocument/2006/relationships/image" Target="media/image15.png"/><Relationship Id="rId106" Type="http://schemas.openxmlformats.org/officeDocument/2006/relationships/hyperlink" Target="http://www8.austlii.edu.au/cgi-bin/viewdoc/au/cases/qld/QCAT/2020/332.html" TargetMode="External"/><Relationship Id="rId114" Type="http://schemas.openxmlformats.org/officeDocument/2006/relationships/hyperlink" Target="http://www8.austlii.edu.au/cgi-bin/viewdoc/au/cases/qld/QCAT/2020/481.html" TargetMode="External"/><Relationship Id="rId119" Type="http://schemas.openxmlformats.org/officeDocument/2006/relationships/hyperlink" Target="http://www8.austlii.edu.au/cgi-bin/viewdoc/au/cases/qld/QCAT/2021/26.html" TargetMode="External"/><Relationship Id="rId127" Type="http://schemas.openxmlformats.org/officeDocument/2006/relationships/hyperlink" Target="http://www8.austlii.edu.au/cgi-bin/viewdoc/au/cases/qld/QIRC/2021/192.html" TargetMode="External"/><Relationship Id="rId10" Type="http://schemas.openxmlformats.org/officeDocument/2006/relationships/endnotes" Target="endnotes.xml"/><Relationship Id="rId31" Type="http://schemas.openxmlformats.org/officeDocument/2006/relationships/hyperlink" Target="https://www.qhrc.qld.gov.au/your-rights/human-rights-law/right-to-freedom-from-forced-work" TargetMode="External"/><Relationship Id="rId44" Type="http://schemas.openxmlformats.org/officeDocument/2006/relationships/hyperlink" Target="https://www.qhrc.qld.gov.au/your-rights/human-rights-law/right-to-a-fair-hearing" TargetMode="External"/><Relationship Id="rId52" Type="http://schemas.openxmlformats.org/officeDocument/2006/relationships/image" Target="media/image11.png"/><Relationship Id="rId60" Type="http://schemas.openxmlformats.org/officeDocument/2006/relationships/image" Target="media/image18.png"/><Relationship Id="rId65" Type="http://schemas.openxmlformats.org/officeDocument/2006/relationships/image" Target="media/image21.png"/><Relationship Id="rId73" Type="http://schemas.openxmlformats.org/officeDocument/2006/relationships/hyperlink" Target="http://www.austlii.edu.au/cgi-bin/viewdoc/au/cases/qld/QCA/2020/206.html" TargetMode="External"/><Relationship Id="rId78" Type="http://schemas.openxmlformats.org/officeDocument/2006/relationships/hyperlink" Target="http://www.austlii.edu.au/cgi-bin/viewdoc/au/cases/qld/QSC/2020/293.html" TargetMode="External"/><Relationship Id="rId81" Type="http://schemas.openxmlformats.org/officeDocument/2006/relationships/hyperlink" Target="http://www.austlii.edu.au/cgi-bin/viewdoc/au/cases/qld/QSC/2020/388.html" TargetMode="External"/><Relationship Id="rId86" Type="http://schemas.openxmlformats.org/officeDocument/2006/relationships/hyperlink" Target="http://www.austlii.edu.au/cgi-bin/viewdoc/au/cases/qld/QSC/2021/163.html" TargetMode="External"/><Relationship Id="rId94" Type="http://schemas.openxmlformats.org/officeDocument/2006/relationships/hyperlink" Target="http://www8.austlii.edu.au/cgi-bin/viewdoc/au/cases/qld/QCAT/2020/237.html" TargetMode="External"/><Relationship Id="rId99" Type="http://schemas.openxmlformats.org/officeDocument/2006/relationships/hyperlink" Target="http://www.austlii.edu.au/cgi-bin/viewdoc/au/cases/qld/QCAT/2020/260.html" TargetMode="External"/><Relationship Id="rId101" Type="http://schemas.openxmlformats.org/officeDocument/2006/relationships/hyperlink" Target="http://www.austlii.edu.au/cgi-bin/viewdoc/au/cases/qld/QCAT/2020/301.html" TargetMode="External"/><Relationship Id="rId122" Type="http://schemas.openxmlformats.org/officeDocument/2006/relationships/hyperlink" Target="http://www8.austlii.edu.au/cgi-bin/viewdoc/au/cases/qld/QCAT/2021/103.html" TargetMode="External"/><Relationship Id="rId130" Type="http://schemas.openxmlformats.org/officeDocument/2006/relationships/footer" Target="footer3.xml"/><Relationship Id="rId4" Type="http://schemas.openxmlformats.org/officeDocument/2006/relationships/customXml" Target="../customXml/item4.xml"/><Relationship Id="rId9" Type="http://schemas.openxmlformats.org/officeDocument/2006/relationships/footnotes" Target="footnotes.xml"/><Relationship Id="rId13" Type="http://schemas.microsoft.com/office/2007/relationships/hdphoto" Target="media/hdphoto1.wdp"/><Relationship Id="rId18" Type="http://schemas.openxmlformats.org/officeDocument/2006/relationships/header" Target="header1.xml"/><Relationship Id="rId39" Type="http://schemas.openxmlformats.org/officeDocument/2006/relationships/hyperlink" Target="https://www.qhrc.qld.gov.au/your-rights/human-rights-law/right-to-protection-of-families-and-children" TargetMode="External"/><Relationship Id="rId109" Type="http://schemas.openxmlformats.org/officeDocument/2006/relationships/hyperlink" Target="http://www8.austlii.edu.au/cgi-bin/viewdoc/au/cases/qld/QCAT/2020/367.html" TargetMode="External"/><Relationship Id="rId34" Type="http://schemas.openxmlformats.org/officeDocument/2006/relationships/hyperlink" Target="https://www.qhrc.qld.gov.au/your-rights/human-rights-law/right-to-freedom-of-expression" TargetMode="External"/><Relationship Id="rId50" Type="http://schemas.openxmlformats.org/officeDocument/2006/relationships/hyperlink" Target="https://www.qhrc.qld.gov.au/your-rights/human-rights-law/right-to-health-services" TargetMode="External"/><Relationship Id="rId55" Type="http://schemas.openxmlformats.org/officeDocument/2006/relationships/image" Target="media/image13.png"/><Relationship Id="rId76" Type="http://schemas.openxmlformats.org/officeDocument/2006/relationships/hyperlink" Target="http://www.austlii.edu.au/cgi-bin/viewdoc/au/cases/qld/QSC/2020/256.html" TargetMode="External"/><Relationship Id="rId97" Type="http://schemas.openxmlformats.org/officeDocument/2006/relationships/hyperlink" Target="http://www.austlii.edu.au/cgi-bin/viewdoc/au/cases/qld/QCAT/2020/272.html" TargetMode="External"/><Relationship Id="rId104" Type="http://schemas.openxmlformats.org/officeDocument/2006/relationships/hyperlink" Target="http://www8.austlii.edu.au/cgi-bin/viewdoc/au/cases/qld/QCAT/2020/319.html" TargetMode="External"/><Relationship Id="rId120" Type="http://schemas.openxmlformats.org/officeDocument/2006/relationships/hyperlink" Target="http://www8.austlii.edu.au/cgi-bin/viewdoc/au/cases/qld/QCAT/2021/82.html" TargetMode="External"/><Relationship Id="rId125" Type="http://schemas.openxmlformats.org/officeDocument/2006/relationships/hyperlink" Target="http://www8.austlii.edu.au/cgi-bin/viewdoc/au/cases/qld/QIRC/2020/194.html" TargetMode="External"/><Relationship Id="rId7" Type="http://schemas.openxmlformats.org/officeDocument/2006/relationships/settings" Target="settings.xml"/><Relationship Id="rId71" Type="http://schemas.openxmlformats.org/officeDocument/2006/relationships/hyperlink" Target="http://www.austlii.edu.au/cgi-bin/viewdoc/au/cases/qld/QCA/2020/179.html" TargetMode="External"/><Relationship Id="rId92" Type="http://schemas.openxmlformats.org/officeDocument/2006/relationships/hyperlink" Target="http://www8.austlii.edu.au/cgi-bin/viewdoc/au/cases/qld/QLC/2021/22.html" TargetMode="External"/><Relationship Id="rId2" Type="http://schemas.openxmlformats.org/officeDocument/2006/relationships/customXml" Target="../customXml/item2.xml"/><Relationship Id="rId29" Type="http://schemas.openxmlformats.org/officeDocument/2006/relationships/hyperlink" Target="https://www.qhrc.qld.gov.au/your-rights/human-rights-law/right-to-life" TargetMode="External"/><Relationship Id="rId24" Type="http://schemas.openxmlformats.org/officeDocument/2006/relationships/image" Target="media/image6.png"/><Relationship Id="rId40" Type="http://schemas.openxmlformats.org/officeDocument/2006/relationships/hyperlink" Target="https://www.qhrc.qld.gov.au/your-rights/human-rights-law/cultural-rights" TargetMode="External"/><Relationship Id="rId45" Type="http://schemas.openxmlformats.org/officeDocument/2006/relationships/hyperlink" Target="https://www.qhrc.qld.gov.au/your-rights/human-rights-law/rights-in-criminal-proceedings" TargetMode="External"/><Relationship Id="rId66" Type="http://schemas.openxmlformats.org/officeDocument/2006/relationships/chart" Target="charts/chart3.xml"/><Relationship Id="rId87" Type="http://schemas.openxmlformats.org/officeDocument/2006/relationships/hyperlink" Target="https://www.sclqld.org.au/caselaw/QDCPR/2020/77" TargetMode="External"/><Relationship Id="rId110" Type="http://schemas.openxmlformats.org/officeDocument/2006/relationships/hyperlink" Target="http://www8.austlii.edu.au/cgi-bin/viewdoc/au/cases/qld/QCAT/2020/419.html" TargetMode="External"/><Relationship Id="rId115" Type="http://schemas.openxmlformats.org/officeDocument/2006/relationships/hyperlink" Target="http://www8.austlii.edu.au/cgi-bin/viewdoc/au/cases/qld/QCAT/2020/514.html" TargetMode="External"/><Relationship Id="rId131" Type="http://schemas.openxmlformats.org/officeDocument/2006/relationships/fontTable" Target="fontTable.xml"/><Relationship Id="rId61" Type="http://schemas.openxmlformats.org/officeDocument/2006/relationships/image" Target="media/image19.png"/><Relationship Id="rId82" Type="http://schemas.openxmlformats.org/officeDocument/2006/relationships/hyperlink" Target="http://www.austlii.edu.au/cgi-bin/viewdoc/au/cases/qld/QSC/2021/31.html" TargetMode="External"/></Relationships>
</file>

<file path=word/_rels/footnotes.xml.rels><?xml version="1.0" encoding="UTF-8" standalone="yes"?>
<Relationships xmlns="http://schemas.openxmlformats.org/package/2006/relationships"><Relationship Id="rId1" Type="http://schemas.openxmlformats.org/officeDocument/2006/relationships/hyperlink" Target="https://documents.parliament.qld.gov.au/tableoffice/tabledpapers/2021/5721T1461.pdf"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charts/_rels/chart1.xml.rels><?xml version="1.0" encoding="UTF-8" standalone="yes"?>
<Relationships xmlns="http://schemas.openxmlformats.org/package/2006/relationships"><Relationship Id="rId3" Type="http://schemas.openxmlformats.org/officeDocument/2006/relationships/oleObject" Target="file:///\\adcq-file01\Data\Shared\LEGAL%20RESEARCH%20&amp;%20POLICY%20(Team)\Annual%20Report%20HRA\2020-21%20BNE5413521\QHRC%20data\2021.10.06%20PowerBI%20exported%20data\2021.10.06%20Human%20rights%20identified%20in%20all%20complaints.xlsx" TargetMode="External"/><Relationship Id="rId2" Type="http://schemas.microsoft.com/office/2011/relationships/chartColorStyle" Target="colors1.xml"/><Relationship Id="rId1" Type="http://schemas.microsoft.com/office/2011/relationships/chartStyle" Target="style1.xml"/></Relationships>
</file>

<file path=word/charts/_rels/chart2.xml.rels><?xml version="1.0" encoding="UTF-8" standalone="yes"?>
<Relationships xmlns="http://schemas.openxmlformats.org/package/2006/relationships"><Relationship Id="rId3" Type="http://schemas.openxmlformats.org/officeDocument/2006/relationships/oleObject" Target="file:///\\adcq-file01\Data\Shared\LEGAL%20RESEARCH%20&amp;%20POLICY%20(Team)\Annual%20Report%20HRA\2020-21%20BNE5413521\QHRC%20data\2021.10.06%20PowerBI%20exported%20data\2021.10.06%20Human%20rights%20identified%20in%20HR%20only%20complaints.xlsx" TargetMode="External"/><Relationship Id="rId2" Type="http://schemas.microsoft.com/office/2011/relationships/chartColorStyle" Target="colors2.xml"/><Relationship Id="rId1" Type="http://schemas.microsoft.com/office/2011/relationships/chartStyle" Target="style2.xml"/></Relationships>
</file>

<file path=word/charts/_rels/chart3.xml.rels><?xml version="1.0" encoding="UTF-8" standalone="yes"?>
<Relationships xmlns="http://schemas.openxmlformats.org/package/2006/relationships"><Relationship Id="rId3" Type="http://schemas.openxmlformats.org/officeDocument/2006/relationships/oleObject" Target="file:///\\adcq-file01\Data\Shared\LEGAL%20RESEARCH%20&amp;%20POLICY%20(Team)\Annual%20Report%20HRA\2020-21%20BNE5413521\QHRC%20data\2021.10.06%20PowerBI%20exported%20data\2021.10.06%20Finalised%20complaints%20by%20sector.xlsx" TargetMode="External"/><Relationship Id="rId2" Type="http://schemas.microsoft.com/office/2011/relationships/chartColorStyle" Target="colors3.xml"/><Relationship Id="rId1" Type="http://schemas.microsoft.com/office/2011/relationships/chartStyle" Target="style3.xml"/><Relationship Id="rId4" Type="http://schemas.openxmlformats.org/officeDocument/2006/relationships/chartUserShapes" Target="../drawings/drawing1.xml"/></Relationships>
</file>

<file path=word/charts/_rels/chart4.xml.rels><?xml version="1.0" encoding="UTF-8" standalone="yes"?>
<Relationships xmlns="http://schemas.openxmlformats.org/package/2006/relationships"><Relationship Id="rId3" Type="http://schemas.openxmlformats.org/officeDocument/2006/relationships/oleObject" Target="file:///\\adcq-file01\Data\Shared\LEGAL%20RESEARCH%20&amp;%20POLICY%20(Team)\Annual%20Report%20HRA\2020-21%20BNE5413521\QHRC%20data\2021.10.06%20PowerBI%20exported%20data\2021.10.06%20Finalised%20complaints%20by%20sector%20-%20HR%20only.xlsx" TargetMode="External"/><Relationship Id="rId2" Type="http://schemas.microsoft.com/office/2011/relationships/chartColorStyle" Target="colors4.xml"/><Relationship Id="rId1" Type="http://schemas.microsoft.com/office/2011/relationships/chartStyle" Target="style4.xml"/></Relationships>
</file>

<file path=word/charts/_rels/chart5.xml.rels><?xml version="1.0" encoding="UTF-8" standalone="yes"?>
<Relationships xmlns="http://schemas.openxmlformats.org/package/2006/relationships"><Relationship Id="rId3" Type="http://schemas.openxmlformats.org/officeDocument/2006/relationships/oleObject" Target="file:///\\adcq-file01\Data\Shared\LEGAL%20RESEARCH%20&amp;%20POLICY%20(Team)\Annual%20Report%20HRA\2020-21%20BNE5413521\QHRC%20data\2021.10.06%20PowerBI%20exported%20data\2021.10.08%20Resolved%20complaints%20by%20dispute%20resolution%20mode.xlsx" TargetMode="External"/><Relationship Id="rId2" Type="http://schemas.microsoft.com/office/2011/relationships/chartColorStyle" Target="colors5.xml"/><Relationship Id="rId1" Type="http://schemas.microsoft.com/office/2011/relationships/chartStyle" Target="style5.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44551594428826546"/>
          <c:y val="2.2880915236609463E-2"/>
          <c:w val="0.52838119264366201"/>
          <c:h val="0.88128260878466635"/>
        </c:manualLayout>
      </c:layout>
      <c:barChart>
        <c:barDir val="bar"/>
        <c:grouping val="stacked"/>
        <c:varyColors val="0"/>
        <c:ser>
          <c:idx val="0"/>
          <c:order val="0"/>
          <c:tx>
            <c:strRef>
              <c:f>Sheet1!$B$3</c:f>
              <c:strCache>
                <c:ptCount val="1"/>
                <c:pt idx="0">
                  <c:v>Complaints finalised</c:v>
                </c:pt>
              </c:strCache>
            </c:strRef>
          </c:tx>
          <c:spPr>
            <a:solidFill>
              <a:srgbClr val="004270"/>
            </a:solidFill>
            <a:ln>
              <a:noFill/>
            </a:ln>
            <a:effectLst/>
          </c:spPr>
          <c:invertIfNegative val="0"/>
          <c:dLbls>
            <c:dLbl>
              <c:idx val="0"/>
              <c:layout>
                <c:manualLayout>
                  <c:x val="1.387283068616744E-2"/>
                  <c:y val="-1.5253767278251723E-16"/>
                </c:manualLayout>
              </c:layout>
              <c:tx>
                <c:rich>
                  <a:bodyPr/>
                  <a:lstStyle/>
                  <a:p>
                    <a:fld id="{846C0D95-CD6E-46AA-8A8C-55752735E859}"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1C4E-4721-89A3-894FEA0703D6}"/>
                </c:ext>
              </c:extLst>
            </c:dLbl>
            <c:dLbl>
              <c:idx val="1"/>
              <c:layout>
                <c:manualLayout>
                  <c:x val="1.5414256317963823E-2"/>
                  <c:y val="0"/>
                </c:manualLayout>
              </c:layout>
              <c:tx>
                <c:rich>
                  <a:bodyPr/>
                  <a:lstStyle/>
                  <a:p>
                    <a:fld id="{28CB1469-80D8-4117-AEF2-E7689628DB3F}"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1C4E-4721-89A3-894FEA0703D6}"/>
                </c:ext>
              </c:extLst>
            </c:dLbl>
            <c:dLbl>
              <c:idx val="2"/>
              <c:layout>
                <c:manualLayout>
                  <c:x val="1.8497107581556586E-2"/>
                  <c:y val="0"/>
                </c:manualLayout>
              </c:layout>
              <c:tx>
                <c:rich>
                  <a:bodyPr/>
                  <a:lstStyle/>
                  <a:p>
                    <a:fld id="{3484D2BE-00F2-418E-8D91-419DE32D4A21}"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1C4E-4721-89A3-894FEA0703D6}"/>
                </c:ext>
              </c:extLst>
            </c:dLbl>
            <c:dLbl>
              <c:idx val="3"/>
              <c:layout>
                <c:manualLayout>
                  <c:x val="3.40380497493349E-2"/>
                  <c:y val="-1.0671816839417647E-3"/>
                </c:manualLayout>
              </c:layout>
              <c:tx>
                <c:rich>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fld id="{5F05D3F4-1108-412E-803A-5994B7435168}" type="VALUE">
                      <a:rPr lang="en-US">
                        <a:solidFill>
                          <a:schemeClr val="tx1"/>
                        </a:solidFill>
                      </a:rPr>
                      <a:pPr>
                        <a:defRPr sz="1200">
                          <a:solidFill>
                            <a:schemeClr val="bg1"/>
                          </a:solidFill>
                          <a:latin typeface="Arial" panose="020B0604020202020204" pitchFamily="34" charset="0"/>
                          <a:cs typeface="Arial" panose="020B0604020202020204" pitchFamily="34" charset="0"/>
                        </a:defRPr>
                      </a:pPr>
                      <a:t>[VALUE]</a:t>
                    </a:fld>
                    <a:r>
                      <a:rPr lang="en-US">
                        <a:solidFill>
                          <a:schemeClr val="tx1"/>
                        </a:solidFill>
                      </a:rPr>
                      <a:t>/1</a:t>
                    </a:r>
                  </a:p>
                </c:rich>
              </c:tx>
              <c:spPr>
                <a:noFill/>
                <a:ln>
                  <a:noFill/>
                </a:ln>
                <a:effectLst/>
              </c:spPr>
              <c:txPr>
                <a:bodyPr rot="0" spcFirstLastPara="1" vertOverflow="ellipsis" vert="horz" wrap="square" lIns="38100" tIns="19050" rIns="38100" bIns="19050" anchor="ctr" anchorCtr="1">
                  <a:no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extLst>
                <c:ext xmlns:c15="http://schemas.microsoft.com/office/drawing/2012/chart" uri="{CE6537A1-D6FC-4f65-9D91-7224C49458BB}">
                  <c15:layout>
                    <c:manualLayout>
                      <c:w val="5.6162665711214609E-2"/>
                      <c:h val="3.3739010289419877E-2"/>
                    </c:manualLayout>
                  </c15:layout>
                  <c15:dlblFieldTable/>
                  <c15:showDataLabelsRange val="0"/>
                </c:ext>
                <c:ext xmlns:c16="http://schemas.microsoft.com/office/drawing/2014/chart" uri="{C3380CC4-5D6E-409C-BE32-E72D297353CC}">
                  <c16:uniqueId val="{00000013-1C4E-4721-89A3-894FEA0703D6}"/>
                </c:ext>
              </c:extLst>
            </c:dLbl>
            <c:dLbl>
              <c:idx val="4"/>
              <c:layout>
                <c:manualLayout>
                  <c:x val="2.8663561447509853E-2"/>
                  <c:y val="0"/>
                </c:manualLayout>
              </c:layout>
              <c:tx>
                <c:rich>
                  <a:bodyPr/>
                  <a:lstStyle/>
                  <a:p>
                    <a:fld id="{FAF33F01-8B36-4F6A-BC0F-E62A9A70F115}" type="VALUE">
                      <a:rPr lang="en-US">
                        <a:solidFill>
                          <a:schemeClr val="tx1"/>
                        </a:solidFill>
                      </a:rPr>
                      <a:pPr/>
                      <a:t>[VALUE]</a:t>
                    </a:fld>
                    <a:r>
                      <a:rPr lang="en-US">
                        <a:solidFill>
                          <a:schemeClr val="tx1"/>
                        </a:solidFill>
                      </a:rPr>
                      <a:t>/</a:t>
                    </a:r>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4-1C4E-4721-89A3-894FEA0703D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Sheet1!$A$4:$A$26</c:f>
              <c:strCache>
                <c:ptCount val="23"/>
                <c:pt idx="0">
                  <c:v>Freedom from forced work</c:v>
                </c:pt>
                <c:pt idx="1">
                  <c:v>Not tried or punished more than once</c:v>
                </c:pt>
                <c:pt idx="2">
                  <c:v>Protection from retrospective criminal laws</c:v>
                </c:pt>
                <c:pt idx="3">
                  <c:v>Protection of children in the criminal process</c:v>
                </c:pt>
                <c:pt idx="4">
                  <c:v>Peaceful assembly</c:v>
                </c:pt>
                <c:pt idx="5">
                  <c:v>Rights in criminal proceedings</c:v>
                </c:pt>
                <c:pt idx="6">
                  <c:v>Cultural rights—First Nations peoples</c:v>
                </c:pt>
                <c:pt idx="7">
                  <c:v>Freedom of thought, conscience, religion</c:v>
                </c:pt>
                <c:pt idx="8">
                  <c:v>Cultural rights—generally</c:v>
                </c:pt>
                <c:pt idx="9">
                  <c:v>Taking part in public life</c:v>
                </c:pt>
                <c:pt idx="10">
                  <c:v>Property rights</c:v>
                </c:pt>
                <c:pt idx="11">
                  <c:v>Right to education</c:v>
                </c:pt>
                <c:pt idx="12">
                  <c:v>Right to life</c:v>
                </c:pt>
                <c:pt idx="13">
                  <c:v>Right to liberty and security of person</c:v>
                </c:pt>
                <c:pt idx="14">
                  <c:v>Freedom of expression</c:v>
                </c:pt>
                <c:pt idx="15">
                  <c:v>Fair hearing</c:v>
                </c:pt>
                <c:pt idx="16">
                  <c:v>Right to health services</c:v>
                </c:pt>
                <c:pt idx="17">
                  <c:v>Torture &amp; cruel, inhuman, degrading</c:v>
                </c:pt>
                <c:pt idx="18">
                  <c:v>Protection of families and children</c:v>
                </c:pt>
                <c:pt idx="19">
                  <c:v>Privacy and reputation</c:v>
                </c:pt>
                <c:pt idx="20">
                  <c:v>Freedom of movement</c:v>
                </c:pt>
                <c:pt idx="21">
                  <c:v>Humane treatment when deprived of liberty</c:v>
                </c:pt>
                <c:pt idx="22">
                  <c:v>Recognition and equality before the law</c:v>
                </c:pt>
              </c:strCache>
            </c:strRef>
          </c:cat>
          <c:val>
            <c:numRef>
              <c:f>Sheet1!$B$4:$B$26</c:f>
              <c:numCache>
                <c:formatCode>0</c:formatCode>
                <c:ptCount val="23"/>
                <c:pt idx="0">
                  <c:v>6</c:v>
                </c:pt>
                <c:pt idx="1">
                  <c:v>8</c:v>
                </c:pt>
                <c:pt idx="2">
                  <c:v>10</c:v>
                </c:pt>
                <c:pt idx="3">
                  <c:v>12</c:v>
                </c:pt>
                <c:pt idx="4">
                  <c:v>16</c:v>
                </c:pt>
                <c:pt idx="5">
                  <c:v>23</c:v>
                </c:pt>
                <c:pt idx="6">
                  <c:v>24</c:v>
                </c:pt>
                <c:pt idx="7">
                  <c:v>24</c:v>
                </c:pt>
                <c:pt idx="8">
                  <c:v>26</c:v>
                </c:pt>
                <c:pt idx="9">
                  <c:v>35</c:v>
                </c:pt>
                <c:pt idx="10">
                  <c:v>36</c:v>
                </c:pt>
                <c:pt idx="11">
                  <c:v>39</c:v>
                </c:pt>
                <c:pt idx="12">
                  <c:v>45</c:v>
                </c:pt>
                <c:pt idx="13">
                  <c:v>56</c:v>
                </c:pt>
                <c:pt idx="14">
                  <c:v>59</c:v>
                </c:pt>
                <c:pt idx="15">
                  <c:v>64</c:v>
                </c:pt>
                <c:pt idx="16">
                  <c:v>67</c:v>
                </c:pt>
                <c:pt idx="17">
                  <c:v>77</c:v>
                </c:pt>
                <c:pt idx="18">
                  <c:v>80</c:v>
                </c:pt>
                <c:pt idx="19">
                  <c:v>117</c:v>
                </c:pt>
                <c:pt idx="20">
                  <c:v>127</c:v>
                </c:pt>
                <c:pt idx="21">
                  <c:v>140</c:v>
                </c:pt>
                <c:pt idx="22">
                  <c:v>298</c:v>
                </c:pt>
              </c:numCache>
            </c:numRef>
          </c:val>
          <c:extLst>
            <c:ext xmlns:c16="http://schemas.microsoft.com/office/drawing/2014/chart" uri="{C3380CC4-5D6E-409C-BE32-E72D297353CC}">
              <c16:uniqueId val="{00000003-1C4E-4721-89A3-894FEA0703D6}"/>
            </c:ext>
          </c:extLst>
        </c:ser>
        <c:ser>
          <c:idx val="1"/>
          <c:order val="1"/>
          <c:tx>
            <c:strRef>
              <c:f>Sheet1!$C$3</c:f>
              <c:strCache>
                <c:ptCount val="1"/>
                <c:pt idx="0">
                  <c:v>Complaints accepted and finalised</c:v>
                </c:pt>
              </c:strCache>
            </c:strRef>
          </c:tx>
          <c:spPr>
            <a:solidFill>
              <a:srgbClr val="D46228"/>
            </a:solidFill>
            <a:ln>
              <a:noFill/>
            </a:ln>
            <a:effectLst/>
          </c:spPr>
          <c:invertIfNegative val="0"/>
          <c:dLbls>
            <c:dLbl>
              <c:idx val="3"/>
              <c:layout>
                <c:manualLayout>
                  <c:x val="4.1495019141955095E-2"/>
                  <c:y val="0"/>
                </c:manualLayout>
              </c:layout>
              <c:tx>
                <c:rich>
                  <a:bodyPr/>
                  <a:lstStyle/>
                  <a:p>
                    <a:fld id="{3426CEF5-5C7B-4C44-A344-962E338615FC}"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1C4E-4721-89A3-894FEA0703D6}"/>
                </c:ext>
              </c:extLst>
            </c:dLbl>
            <c:dLbl>
              <c:idx val="4"/>
              <c:layout>
                <c:manualLayout>
                  <c:x val="3.9453586753823454E-2"/>
                  <c:y val="0"/>
                </c:manualLayout>
              </c:layout>
              <c:tx>
                <c:rich>
                  <a:bodyPr/>
                  <a:lstStyle/>
                  <a:p>
                    <a:fld id="{0D3654B7-4FC6-4864-AD5C-BD7AE66F80BF}"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5-1C4E-4721-89A3-894FEA0703D6}"/>
                </c:ext>
              </c:extLst>
            </c:dLbl>
            <c:dLbl>
              <c:idx val="5"/>
              <c:layout>
                <c:manualLayout>
                  <c:x val="9.2485537907783504E-3"/>
                  <c:y val="-7.6268836391258615E-17"/>
                </c:manualLayout>
              </c:layout>
              <c:tx>
                <c:rich>
                  <a:bodyPr/>
                  <a:lstStyle/>
                  <a:p>
                    <a:fld id="{23EB07A0-666E-47D5-8C8E-881F76EC0D79}"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6-1C4E-4721-89A3-894FEA0703D6}"/>
                </c:ext>
              </c:extLst>
            </c:dLbl>
            <c:dLbl>
              <c:idx val="6"/>
              <c:layout>
                <c:manualLayout>
                  <c:x val="1.0789979422574619E-2"/>
                  <c:y val="0"/>
                </c:manualLayout>
              </c:layout>
              <c:tx>
                <c:rich>
                  <a:bodyPr/>
                  <a:lstStyle/>
                  <a:p>
                    <a:fld id="{00857618-F519-48AB-998B-A2C55CD5FE39}"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7-1C4E-4721-89A3-894FEA0703D6}"/>
                </c:ext>
              </c:extLst>
            </c:dLbl>
            <c:dLbl>
              <c:idx val="8"/>
              <c:layout>
                <c:manualLayout>
                  <c:x val="1.2331405054371058E-2"/>
                  <c:y val="0"/>
                </c:manualLayout>
              </c:layout>
              <c:tx>
                <c:rich>
                  <a:bodyPr/>
                  <a:lstStyle/>
                  <a:p>
                    <a:fld id="{10507BB5-3FD4-43AC-A926-156250BA9BB5}"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8-1C4E-4721-89A3-894FEA0703D6}"/>
                </c:ext>
              </c:extLst>
            </c:dLbl>
            <c:dLbl>
              <c:idx val="9"/>
              <c:layout>
                <c:manualLayout>
                  <c:x val="1.2331405054371058E-2"/>
                  <c:y val="0"/>
                </c:manualLayout>
              </c:layout>
              <c:tx>
                <c:rich>
                  <a:bodyPr/>
                  <a:lstStyle/>
                  <a:p>
                    <a:fld id="{539E5463-3759-4D2A-9360-4A495A21BE17}"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9-1C4E-4721-89A3-894FEA0703D6}"/>
                </c:ext>
              </c:extLst>
            </c:dLbl>
            <c:dLbl>
              <c:idx val="10"/>
              <c:layout>
                <c:manualLayout>
                  <c:x val="1.0019266606676428E-2"/>
                  <c:y val="-3.4694469519536142E-18"/>
                </c:manualLayout>
              </c:layout>
              <c:tx>
                <c:rich>
                  <a:bodyPr/>
                  <a:lstStyle/>
                  <a:p>
                    <a:fld id="{8875C90C-BE19-4767-AF83-F85DA012D556}"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manualLayout>
                      <c:w val="1.4913232301581501E-2"/>
                      <c:h val="3.4955880124968773E-2"/>
                    </c:manualLayout>
                  </c15:layout>
                  <c15:dlblFieldTable/>
                  <c15:showDataLabelsRange val="0"/>
                </c:ext>
                <c:ext xmlns:c16="http://schemas.microsoft.com/office/drawing/2014/chart" uri="{C3380CC4-5D6E-409C-BE32-E72D297353CC}">
                  <c16:uniqueId val="{0000000A-1C4E-4721-89A3-894FEA0703D6}"/>
                </c:ext>
              </c:extLst>
            </c:dLbl>
            <c:dLbl>
              <c:idx val="11"/>
              <c:layout>
                <c:manualLayout>
                  <c:x val="2.4662810108742116E-2"/>
                  <c:y val="0"/>
                </c:manualLayout>
              </c:layout>
              <c:tx>
                <c:rich>
                  <a:bodyPr/>
                  <a:lstStyle/>
                  <a:p>
                    <a:fld id="{151EA897-43A4-4EEB-859F-7928B59C6DA0}"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B-1C4E-4721-89A3-894FEA0703D6}"/>
                </c:ext>
              </c:extLst>
            </c:dLbl>
            <c:dLbl>
              <c:idx val="12"/>
              <c:layout>
                <c:manualLayout>
                  <c:x val="1.3872830686167384E-2"/>
                  <c:y val="-7.6268836391258615E-17"/>
                </c:manualLayout>
              </c:layout>
              <c:tx>
                <c:rich>
                  <a:bodyPr/>
                  <a:lstStyle/>
                  <a:p>
                    <a:fld id="{DAC327FB-1DB8-480B-BC69-8C103EA1EAE9}"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C-1C4E-4721-89A3-894FEA0703D6}"/>
                </c:ext>
              </c:extLst>
            </c:dLbl>
            <c:dLbl>
              <c:idx val="13"/>
              <c:layout>
                <c:manualLayout>
                  <c:x val="2.0038533213352971E-2"/>
                  <c:y val="0"/>
                </c:manualLayout>
              </c:layout>
              <c:tx>
                <c:rich>
                  <a:bodyPr/>
                  <a:lstStyle/>
                  <a:p>
                    <a:fld id="{9D5D98CF-F5A0-4758-A059-B0FCF0CCD679}"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D-1C4E-4721-89A3-894FEA0703D6}"/>
                </c:ext>
              </c:extLst>
            </c:dLbl>
            <c:dLbl>
              <c:idx val="14"/>
              <c:layout>
                <c:manualLayout>
                  <c:x val="1.8497107581556475E-2"/>
                  <c:y val="-3.8134418195629308E-17"/>
                </c:manualLayout>
              </c:layout>
              <c:tx>
                <c:rich>
                  <a:bodyPr/>
                  <a:lstStyle/>
                  <a:p>
                    <a:fld id="{44B2C7BF-AC37-4CBF-9941-0D79F2D81E58}"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E-1C4E-4721-89A3-894FEA0703D6}"/>
                </c:ext>
              </c:extLst>
            </c:dLbl>
            <c:dLbl>
              <c:idx val="15"/>
              <c:layout>
                <c:manualLayout>
                  <c:x val="1.2331405054371058E-2"/>
                  <c:y val="-3.8134418195629308E-17"/>
                </c:manualLayout>
              </c:layout>
              <c:tx>
                <c:rich>
                  <a:bodyPr/>
                  <a:lstStyle/>
                  <a:p>
                    <a:fld id="{D9C28177-D4F9-4686-8E48-5EF071906808}"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F-1C4E-4721-89A3-894FEA0703D6}"/>
                </c:ext>
              </c:extLst>
            </c:dLbl>
            <c:dLbl>
              <c:idx val="16"/>
              <c:layout>
                <c:manualLayout>
                  <c:x val="2.312138447694562E-2"/>
                  <c:y val="-3.8134418195629308E-17"/>
                </c:manualLayout>
              </c:layout>
              <c:tx>
                <c:rich>
                  <a:bodyPr/>
                  <a:lstStyle/>
                  <a:p>
                    <a:fld id="{4476CD9B-2E01-4A5B-B5A6-50A1F29C3C2C}"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0-1C4E-4721-89A3-894FEA0703D6}"/>
                </c:ext>
              </c:extLst>
            </c:dLbl>
            <c:dLbl>
              <c:idx val="17"/>
              <c:layout>
                <c:manualLayout>
                  <c:x val="2.3789204332260332E-2"/>
                  <c:y val="0"/>
                </c:manualLayout>
              </c:layout>
              <c:tx>
                <c:rich>
                  <a:bodyPr/>
                  <a:lstStyle/>
                  <a:p>
                    <a:fld id="{D4C5F5A5-D484-42F1-AB35-DB44813EF51E}" type="VALUE">
                      <a:rPr lang="en-US">
                        <a:solidFill>
                          <a:schemeClr val="tx1"/>
                        </a:solidFill>
                      </a:rPr>
                      <a:pPr/>
                      <a:t>[VALUE]</a:t>
                    </a:fld>
                    <a:endParaRPr lang="en-AU"/>
                  </a:p>
                </c:rich>
              </c:tx>
              <c:dLblPos val="ctr"/>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11-1C4E-4721-89A3-894FEA0703D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dLblPos val="ctr"/>
            <c:showLegendKey val="0"/>
            <c:showVal val="1"/>
            <c:showCatName val="0"/>
            <c:showSerName val="0"/>
            <c:showPercent val="0"/>
            <c:showBubbleSize val="0"/>
            <c:showLeaderLines val="0"/>
            <c:extLst>
              <c:ext xmlns:c15="http://schemas.microsoft.com/office/drawing/2012/chart" uri="{CE6537A1-D6FC-4f65-9D91-7224C49458BB}">
                <c15:layout/>
                <c15:showLeaderLines val="0"/>
              </c:ext>
            </c:extLst>
          </c:dLbls>
          <c:cat>
            <c:strRef>
              <c:f>Sheet1!$A$4:$A$26</c:f>
              <c:strCache>
                <c:ptCount val="23"/>
                <c:pt idx="0">
                  <c:v>Freedom from forced work</c:v>
                </c:pt>
                <c:pt idx="1">
                  <c:v>Not tried or punished more than once</c:v>
                </c:pt>
                <c:pt idx="2">
                  <c:v>Protection from retrospective criminal laws</c:v>
                </c:pt>
                <c:pt idx="3">
                  <c:v>Protection of children in the criminal process</c:v>
                </c:pt>
                <c:pt idx="4">
                  <c:v>Peaceful assembly</c:v>
                </c:pt>
                <c:pt idx="5">
                  <c:v>Rights in criminal proceedings</c:v>
                </c:pt>
                <c:pt idx="6">
                  <c:v>Cultural rights—First Nations peoples</c:v>
                </c:pt>
                <c:pt idx="7">
                  <c:v>Freedom of thought, conscience, religion</c:v>
                </c:pt>
                <c:pt idx="8">
                  <c:v>Cultural rights—generally</c:v>
                </c:pt>
                <c:pt idx="9">
                  <c:v>Taking part in public life</c:v>
                </c:pt>
                <c:pt idx="10">
                  <c:v>Property rights</c:v>
                </c:pt>
                <c:pt idx="11">
                  <c:v>Right to education</c:v>
                </c:pt>
                <c:pt idx="12">
                  <c:v>Right to life</c:v>
                </c:pt>
                <c:pt idx="13">
                  <c:v>Right to liberty and security of person</c:v>
                </c:pt>
                <c:pt idx="14">
                  <c:v>Freedom of expression</c:v>
                </c:pt>
                <c:pt idx="15">
                  <c:v>Fair hearing</c:v>
                </c:pt>
                <c:pt idx="16">
                  <c:v>Right to health services</c:v>
                </c:pt>
                <c:pt idx="17">
                  <c:v>Torture &amp; cruel, inhuman, degrading</c:v>
                </c:pt>
                <c:pt idx="18">
                  <c:v>Protection of families and children</c:v>
                </c:pt>
                <c:pt idx="19">
                  <c:v>Privacy and reputation</c:v>
                </c:pt>
                <c:pt idx="20">
                  <c:v>Freedom of movement</c:v>
                </c:pt>
                <c:pt idx="21">
                  <c:v>Humane treatment when deprived of liberty</c:v>
                </c:pt>
                <c:pt idx="22">
                  <c:v>Recognition and equality before the law</c:v>
                </c:pt>
              </c:strCache>
            </c:strRef>
          </c:cat>
          <c:val>
            <c:numRef>
              <c:f>Sheet1!$C$4:$C$26</c:f>
              <c:numCache>
                <c:formatCode>General</c:formatCode>
                <c:ptCount val="23"/>
                <c:pt idx="3" formatCode="0">
                  <c:v>1</c:v>
                </c:pt>
                <c:pt idx="4" formatCode="0">
                  <c:v>2</c:v>
                </c:pt>
                <c:pt idx="5" formatCode="0">
                  <c:v>1</c:v>
                </c:pt>
                <c:pt idx="6" formatCode="0">
                  <c:v>5</c:v>
                </c:pt>
                <c:pt idx="8" formatCode="0">
                  <c:v>3</c:v>
                </c:pt>
                <c:pt idx="9" formatCode="0">
                  <c:v>4</c:v>
                </c:pt>
                <c:pt idx="10" formatCode="0">
                  <c:v>3</c:v>
                </c:pt>
                <c:pt idx="11" formatCode="0">
                  <c:v>17</c:v>
                </c:pt>
                <c:pt idx="12" formatCode="0">
                  <c:v>6</c:v>
                </c:pt>
                <c:pt idx="13" formatCode="0">
                  <c:v>10</c:v>
                </c:pt>
                <c:pt idx="14" formatCode="0">
                  <c:v>10</c:v>
                </c:pt>
                <c:pt idx="15" formatCode="0">
                  <c:v>2</c:v>
                </c:pt>
                <c:pt idx="16" formatCode="0">
                  <c:v>13</c:v>
                </c:pt>
                <c:pt idx="17" formatCode="0">
                  <c:v>14</c:v>
                </c:pt>
                <c:pt idx="18" formatCode="0">
                  <c:v>29</c:v>
                </c:pt>
                <c:pt idx="19" formatCode="0">
                  <c:v>32</c:v>
                </c:pt>
                <c:pt idx="20" formatCode="0">
                  <c:v>54</c:v>
                </c:pt>
                <c:pt idx="21" formatCode="0">
                  <c:v>44</c:v>
                </c:pt>
                <c:pt idx="22" formatCode="0">
                  <c:v>103</c:v>
                </c:pt>
              </c:numCache>
            </c:numRef>
          </c:val>
          <c:extLst>
            <c:ext xmlns:c16="http://schemas.microsoft.com/office/drawing/2014/chart" uri="{C3380CC4-5D6E-409C-BE32-E72D297353CC}">
              <c16:uniqueId val="{00000012-1C4E-4721-89A3-894FEA0703D6}"/>
            </c:ext>
          </c:extLst>
        </c:ser>
        <c:dLbls>
          <c:showLegendKey val="0"/>
          <c:showVal val="0"/>
          <c:showCatName val="0"/>
          <c:showSerName val="0"/>
          <c:showPercent val="0"/>
          <c:showBubbleSize val="0"/>
        </c:dLbls>
        <c:gapWidth val="30"/>
        <c:overlap val="100"/>
        <c:axId val="557162928"/>
        <c:axId val="557163256"/>
      </c:barChart>
      <c:catAx>
        <c:axId val="557162928"/>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57163256"/>
        <c:crosses val="autoZero"/>
        <c:auto val="1"/>
        <c:lblAlgn val="ctr"/>
        <c:lblOffset val="100"/>
        <c:noMultiLvlLbl val="0"/>
      </c:catAx>
      <c:valAx>
        <c:axId val="557163256"/>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557162928"/>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61940531573646451"/>
          <c:y val="0.70357713451044357"/>
          <c:w val="0.28041904203644996"/>
          <c:h val="0.22219516028315869"/>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noFill/>
    <a:ln w="9525" cap="flat" cmpd="sng" algn="ctr">
      <a:noFill/>
      <a:round/>
    </a:ln>
    <a:effectLst/>
  </c:spPr>
  <c:txPr>
    <a:bodyPr/>
    <a:lstStyle/>
    <a:p>
      <a:pPr>
        <a:defRPr/>
      </a:pPr>
      <a:endParaRPr lang="en-US"/>
    </a:p>
  </c:txPr>
  <c:externalData r:id="rId3">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0.50377675903231844"/>
          <c:y val="4.4969083754918496E-2"/>
          <c:w val="0.4962232409676815"/>
          <c:h val="0.89370229227248787"/>
        </c:manualLayout>
      </c:layout>
      <c:barChart>
        <c:barDir val="bar"/>
        <c:grouping val="stacked"/>
        <c:varyColors val="0"/>
        <c:ser>
          <c:idx val="0"/>
          <c:order val="0"/>
          <c:tx>
            <c:strRef>
              <c:f>Sheet1!$B$3</c:f>
              <c:strCache>
                <c:ptCount val="1"/>
                <c:pt idx="0">
                  <c:v>Complaints finalised</c:v>
                </c:pt>
              </c:strCache>
            </c:strRef>
          </c:tx>
          <c:spPr>
            <a:solidFill>
              <a:srgbClr val="004270"/>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Sheet1!$A$4:$A$26</c:f>
              <c:strCache>
                <c:ptCount val="23"/>
                <c:pt idx="0">
                  <c:v>Not tried or punished more than once</c:v>
                </c:pt>
                <c:pt idx="1">
                  <c:v>Freedom from forced work</c:v>
                </c:pt>
                <c:pt idx="2">
                  <c:v>Protection from retrospective criminal laws</c:v>
                </c:pt>
                <c:pt idx="3">
                  <c:v>Peaceful assembly</c:v>
                </c:pt>
                <c:pt idx="4">
                  <c:v>Protection of children in the criminal process</c:v>
                </c:pt>
                <c:pt idx="5">
                  <c:v>Cultural rights—First Nationsl peoples</c:v>
                </c:pt>
                <c:pt idx="6">
                  <c:v>Cultural rights—generally</c:v>
                </c:pt>
                <c:pt idx="7">
                  <c:v>Rights in criminal proceedings</c:v>
                </c:pt>
                <c:pt idx="8">
                  <c:v>Taking part in public life</c:v>
                </c:pt>
                <c:pt idx="9">
                  <c:v>Freedom of thought, conscience, religion</c:v>
                </c:pt>
                <c:pt idx="10">
                  <c:v>Right to education</c:v>
                </c:pt>
                <c:pt idx="11">
                  <c:v>Property rights</c:v>
                </c:pt>
                <c:pt idx="12">
                  <c:v>Right to life</c:v>
                </c:pt>
                <c:pt idx="13">
                  <c:v>Freedom of expression</c:v>
                </c:pt>
                <c:pt idx="14">
                  <c:v>Right to health services</c:v>
                </c:pt>
                <c:pt idx="15">
                  <c:v>Right to liberty and security of person</c:v>
                </c:pt>
                <c:pt idx="16">
                  <c:v>Fair hearing</c:v>
                </c:pt>
                <c:pt idx="17">
                  <c:v>Torture &amp; cruel, inhuman, degrading</c:v>
                </c:pt>
                <c:pt idx="18">
                  <c:v>Protection of families and children</c:v>
                </c:pt>
                <c:pt idx="19">
                  <c:v>Privacy and reputation</c:v>
                </c:pt>
                <c:pt idx="20">
                  <c:v>Freedom of movement</c:v>
                </c:pt>
                <c:pt idx="21">
                  <c:v>Recognition and equality before the law</c:v>
                </c:pt>
                <c:pt idx="22">
                  <c:v>Humane treatment when deprived of liberty</c:v>
                </c:pt>
              </c:strCache>
            </c:strRef>
          </c:cat>
          <c:val>
            <c:numRef>
              <c:f>Sheet1!$B$4:$B$26</c:f>
              <c:numCache>
                <c:formatCode>0</c:formatCode>
                <c:ptCount val="23"/>
                <c:pt idx="0">
                  <c:v>3</c:v>
                </c:pt>
                <c:pt idx="1">
                  <c:v>4</c:v>
                </c:pt>
                <c:pt idx="2">
                  <c:v>5</c:v>
                </c:pt>
                <c:pt idx="3">
                  <c:v>6</c:v>
                </c:pt>
                <c:pt idx="4">
                  <c:v>7</c:v>
                </c:pt>
                <c:pt idx="5">
                  <c:v>10</c:v>
                </c:pt>
                <c:pt idx="6">
                  <c:v>12</c:v>
                </c:pt>
                <c:pt idx="7">
                  <c:v>14</c:v>
                </c:pt>
                <c:pt idx="8">
                  <c:v>14</c:v>
                </c:pt>
                <c:pt idx="9">
                  <c:v>17</c:v>
                </c:pt>
                <c:pt idx="10">
                  <c:v>17</c:v>
                </c:pt>
                <c:pt idx="11">
                  <c:v>20</c:v>
                </c:pt>
                <c:pt idx="12">
                  <c:v>21</c:v>
                </c:pt>
                <c:pt idx="13">
                  <c:v>25</c:v>
                </c:pt>
                <c:pt idx="14">
                  <c:v>27</c:v>
                </c:pt>
                <c:pt idx="15">
                  <c:v>29</c:v>
                </c:pt>
                <c:pt idx="16">
                  <c:v>34</c:v>
                </c:pt>
                <c:pt idx="17">
                  <c:v>37</c:v>
                </c:pt>
                <c:pt idx="18">
                  <c:v>44</c:v>
                </c:pt>
                <c:pt idx="19">
                  <c:v>49</c:v>
                </c:pt>
                <c:pt idx="20">
                  <c:v>65</c:v>
                </c:pt>
                <c:pt idx="21">
                  <c:v>77</c:v>
                </c:pt>
                <c:pt idx="22">
                  <c:v>84</c:v>
                </c:pt>
              </c:numCache>
            </c:numRef>
          </c:val>
          <c:extLst>
            <c:ext xmlns:c16="http://schemas.microsoft.com/office/drawing/2014/chart" uri="{C3380CC4-5D6E-409C-BE32-E72D297353CC}">
              <c16:uniqueId val="{00000000-7E21-434E-8B44-C28725659336}"/>
            </c:ext>
          </c:extLst>
        </c:ser>
        <c:ser>
          <c:idx val="1"/>
          <c:order val="1"/>
          <c:tx>
            <c:strRef>
              <c:f>Sheet1!$C$3</c:f>
              <c:strCache>
                <c:ptCount val="1"/>
                <c:pt idx="0">
                  <c:v>Complaints accepted and finalised</c:v>
                </c:pt>
              </c:strCache>
            </c:strRef>
          </c:tx>
          <c:spPr>
            <a:solidFill>
              <a:srgbClr val="D46228"/>
            </a:solidFill>
            <a:ln>
              <a:noFill/>
            </a:ln>
            <a:effectLst/>
          </c:spPr>
          <c:invertIfNegative val="0"/>
          <c:dLbls>
            <c:dLbl>
              <c:idx val="5"/>
              <c:layout>
                <c:manualLayout>
                  <c:x val="1.1030679076180628E-2"/>
                  <c:y val="-8.2442367836082252E-17"/>
                </c:manualLayout>
              </c:layout>
              <c:tx>
                <c:rich>
                  <a:bodyPr/>
                  <a:lstStyle/>
                  <a:p>
                    <a:fld id="{9B7A4552-EB95-43D4-816D-8B157676EC9E}"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7E21-434E-8B44-C28725659336}"/>
                </c:ext>
              </c:extLst>
            </c:dLbl>
            <c:dLbl>
              <c:idx val="6"/>
              <c:layout>
                <c:manualLayout>
                  <c:x val="9.6518441916580485E-3"/>
                  <c:y val="0"/>
                </c:manualLayout>
              </c:layout>
              <c:tx>
                <c:rich>
                  <a:bodyPr/>
                  <a:lstStyle/>
                  <a:p>
                    <a:fld id="{771D9F18-B8E4-452C-85F8-F2F95067A50C}"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7E21-434E-8B44-C28725659336}"/>
                </c:ext>
              </c:extLst>
            </c:dLbl>
            <c:dLbl>
              <c:idx val="7"/>
              <c:layout>
                <c:manualLayout>
                  <c:x val="9.6518441916580485E-3"/>
                  <c:y val="0"/>
                </c:manualLayout>
              </c:layout>
              <c:tx>
                <c:rich>
                  <a:bodyPr/>
                  <a:lstStyle/>
                  <a:p>
                    <a:fld id="{580D991F-E053-42FD-A91D-E2E3CD324B3C}"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3-7E21-434E-8B44-C28725659336}"/>
                </c:ext>
              </c:extLst>
            </c:dLbl>
            <c:dLbl>
              <c:idx val="11"/>
              <c:layout>
                <c:manualLayout>
                  <c:x val="1.2409513960703205E-2"/>
                  <c:y val="-8.2442367836082252E-17"/>
                </c:manualLayout>
              </c:layout>
              <c:tx>
                <c:rich>
                  <a:bodyPr/>
                  <a:lstStyle/>
                  <a:p>
                    <a:fld id="{15BC8F9D-C15C-4652-BCE2-7E868926780B}"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4-7E21-434E-8B44-C2872565933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Sheet1!$A$4:$A$26</c:f>
              <c:strCache>
                <c:ptCount val="23"/>
                <c:pt idx="0">
                  <c:v>Not tried or punished more than once</c:v>
                </c:pt>
                <c:pt idx="1">
                  <c:v>Freedom from forced work</c:v>
                </c:pt>
                <c:pt idx="2">
                  <c:v>Protection from retrospective criminal laws</c:v>
                </c:pt>
                <c:pt idx="3">
                  <c:v>Peaceful assembly</c:v>
                </c:pt>
                <c:pt idx="4">
                  <c:v>Protection of children in the criminal process</c:v>
                </c:pt>
                <c:pt idx="5">
                  <c:v>Cultural rights—First Nationsl peoples</c:v>
                </c:pt>
                <c:pt idx="6">
                  <c:v>Cultural rights—generally</c:v>
                </c:pt>
                <c:pt idx="7">
                  <c:v>Rights in criminal proceedings</c:v>
                </c:pt>
                <c:pt idx="8">
                  <c:v>Taking part in public life</c:v>
                </c:pt>
                <c:pt idx="9">
                  <c:v>Freedom of thought, conscience, religion</c:v>
                </c:pt>
                <c:pt idx="10">
                  <c:v>Right to education</c:v>
                </c:pt>
                <c:pt idx="11">
                  <c:v>Property rights</c:v>
                </c:pt>
                <c:pt idx="12">
                  <c:v>Right to life</c:v>
                </c:pt>
                <c:pt idx="13">
                  <c:v>Freedom of expression</c:v>
                </c:pt>
                <c:pt idx="14">
                  <c:v>Right to health services</c:v>
                </c:pt>
                <c:pt idx="15">
                  <c:v>Right to liberty and security of person</c:v>
                </c:pt>
                <c:pt idx="16">
                  <c:v>Fair hearing</c:v>
                </c:pt>
                <c:pt idx="17">
                  <c:v>Torture &amp; cruel, inhuman, degrading</c:v>
                </c:pt>
                <c:pt idx="18">
                  <c:v>Protection of families and children</c:v>
                </c:pt>
                <c:pt idx="19">
                  <c:v>Privacy and reputation</c:v>
                </c:pt>
                <c:pt idx="20">
                  <c:v>Freedom of movement</c:v>
                </c:pt>
                <c:pt idx="21">
                  <c:v>Recognition and equality before the law</c:v>
                </c:pt>
                <c:pt idx="22">
                  <c:v>Humane treatment when deprived of liberty</c:v>
                </c:pt>
              </c:strCache>
            </c:strRef>
          </c:cat>
          <c:val>
            <c:numRef>
              <c:f>Sheet1!$C$4:$C$26</c:f>
              <c:numCache>
                <c:formatCode>General</c:formatCode>
                <c:ptCount val="23"/>
                <c:pt idx="5" formatCode="0">
                  <c:v>2</c:v>
                </c:pt>
                <c:pt idx="6" formatCode="0">
                  <c:v>1</c:v>
                </c:pt>
                <c:pt idx="7" formatCode="0">
                  <c:v>1</c:v>
                </c:pt>
                <c:pt idx="10" formatCode="0">
                  <c:v>5</c:v>
                </c:pt>
                <c:pt idx="11" formatCode="0">
                  <c:v>2</c:v>
                </c:pt>
                <c:pt idx="12" formatCode="0">
                  <c:v>3</c:v>
                </c:pt>
                <c:pt idx="13" formatCode="0">
                  <c:v>3</c:v>
                </c:pt>
                <c:pt idx="14" formatCode="0">
                  <c:v>9</c:v>
                </c:pt>
                <c:pt idx="15" formatCode="0">
                  <c:v>7</c:v>
                </c:pt>
                <c:pt idx="17" formatCode="0">
                  <c:v>7</c:v>
                </c:pt>
                <c:pt idx="18" formatCode="0">
                  <c:v>12</c:v>
                </c:pt>
                <c:pt idx="19" formatCode="0">
                  <c:v>12</c:v>
                </c:pt>
                <c:pt idx="20" formatCode="0">
                  <c:v>26</c:v>
                </c:pt>
                <c:pt idx="21" formatCode="0">
                  <c:v>18</c:v>
                </c:pt>
                <c:pt idx="22" formatCode="0">
                  <c:v>30</c:v>
                </c:pt>
              </c:numCache>
            </c:numRef>
          </c:val>
          <c:extLst>
            <c:ext xmlns:c16="http://schemas.microsoft.com/office/drawing/2014/chart" uri="{C3380CC4-5D6E-409C-BE32-E72D297353CC}">
              <c16:uniqueId val="{00000005-7E21-434E-8B44-C28725659336}"/>
            </c:ext>
          </c:extLst>
        </c:ser>
        <c:dLbls>
          <c:showLegendKey val="0"/>
          <c:showVal val="0"/>
          <c:showCatName val="0"/>
          <c:showSerName val="0"/>
          <c:showPercent val="0"/>
          <c:showBubbleSize val="0"/>
        </c:dLbls>
        <c:gapWidth val="30"/>
        <c:overlap val="100"/>
        <c:axId val="592810384"/>
        <c:axId val="592808088"/>
      </c:barChart>
      <c:catAx>
        <c:axId val="59281038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592808088"/>
        <c:crosses val="autoZero"/>
        <c:auto val="1"/>
        <c:lblAlgn val="ctr"/>
        <c:lblOffset val="100"/>
        <c:noMultiLvlLbl val="0"/>
      </c:catAx>
      <c:valAx>
        <c:axId val="592808088"/>
        <c:scaling>
          <c:orientation val="minMax"/>
        </c:scaling>
        <c:delete val="1"/>
        <c:axPos val="b"/>
        <c:numFmt formatCode="0" sourceLinked="1"/>
        <c:majorTickMark val="none"/>
        <c:minorTickMark val="none"/>
        <c:tickLblPos val="nextTo"/>
        <c:crossAx val="592810384"/>
        <c:crosses val="autoZero"/>
        <c:crossBetween val="between"/>
      </c:valAx>
      <c:spPr>
        <a:noFill/>
        <a:ln>
          <a:noFill/>
        </a:ln>
        <a:effectLst/>
      </c:spPr>
    </c:plotArea>
    <c:legend>
      <c:legendPos val="b"/>
      <c:legendEntry>
        <c:idx val="0"/>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egendEntry>
        <c:idx val="1"/>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Entry>
      <c:layout>
        <c:manualLayout>
          <c:xMode val="edge"/>
          <c:yMode val="edge"/>
          <c:x val="0.72407809666198708"/>
          <c:y val="0.67948391575020062"/>
          <c:w val="0.23988241904094976"/>
          <c:h val="0.26777588338647751"/>
        </c:manualLayout>
      </c:layout>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en-US"/>
        </a:p>
      </c:txPr>
    </c:legend>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spPr>
            <a:solidFill>
              <a:srgbClr val="D46228"/>
            </a:solidFill>
            <a:ln>
              <a:noFill/>
            </a:ln>
            <a:effectLst/>
          </c:spPr>
          <c:invertIfNegative val="0"/>
          <c:dLbls>
            <c:dLbl>
              <c:idx val="0"/>
              <c:layout>
                <c:manualLayout>
                  <c:x val="4.0658670461475163E-3"/>
                  <c:y val="0"/>
                </c:manualLayout>
              </c:layout>
              <c:showLegendKey val="0"/>
              <c:showVal val="1"/>
              <c:showCatName val="0"/>
              <c:showSerName val="0"/>
              <c:showPercent val="0"/>
              <c:showBubbleSize val="0"/>
              <c:extLst>
                <c:ext xmlns:c15="http://schemas.microsoft.com/office/drawing/2012/chart" uri="{CE6537A1-D6FC-4f65-9D91-7224C49458BB}">
                  <c15:layout/>
                </c:ext>
                <c:ext xmlns:c16="http://schemas.microsoft.com/office/drawing/2014/chart" uri="{C3380CC4-5D6E-409C-BE32-E72D297353CC}">
                  <c16:uniqueId val="{00000004-24C1-41C0-8115-51FB57DADC1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Sheet1!$A$4:$A$17</c:f>
              <c:strCache>
                <c:ptCount val="14"/>
                <c:pt idx="0">
                  <c:v>Transport</c:v>
                </c:pt>
                <c:pt idx="1">
                  <c:v>Not a public entity</c:v>
                </c:pt>
                <c:pt idx="2">
                  <c:v>Disability</c:v>
                </c:pt>
                <c:pt idx="3">
                  <c:v>Accommodation/housing</c:v>
                </c:pt>
                <c:pt idx="4">
                  <c:v>Child Safety</c:v>
                </c:pt>
                <c:pt idx="5">
                  <c:v>Court services</c:v>
                </c:pt>
                <c:pt idx="6">
                  <c:v>Local government agency</c:v>
                </c:pt>
                <c:pt idx="7">
                  <c:v>Other government services</c:v>
                </c:pt>
                <c:pt idx="8">
                  <c:v>Public education</c:v>
                </c:pt>
                <c:pt idx="9">
                  <c:v>Other state laws and programs</c:v>
                </c:pt>
                <c:pt idx="10">
                  <c:v>Work</c:v>
                </c:pt>
                <c:pt idx="11">
                  <c:v>Corrections</c:v>
                </c:pt>
                <c:pt idx="12">
                  <c:v>Police</c:v>
                </c:pt>
                <c:pt idx="13">
                  <c:v>Health</c:v>
                </c:pt>
              </c:strCache>
            </c:strRef>
          </c:cat>
          <c:val>
            <c:numRef>
              <c:f>Sheet1!$B$4:$B$17</c:f>
              <c:numCache>
                <c:formatCode>0</c:formatCode>
                <c:ptCount val="14"/>
                <c:pt idx="0">
                  <c:v>2</c:v>
                </c:pt>
                <c:pt idx="1">
                  <c:v>4</c:v>
                </c:pt>
                <c:pt idx="2">
                  <c:v>7</c:v>
                </c:pt>
                <c:pt idx="3">
                  <c:v>13</c:v>
                </c:pt>
                <c:pt idx="4">
                  <c:v>15</c:v>
                </c:pt>
                <c:pt idx="5">
                  <c:v>19</c:v>
                </c:pt>
                <c:pt idx="6">
                  <c:v>22</c:v>
                </c:pt>
                <c:pt idx="7">
                  <c:v>26</c:v>
                </c:pt>
                <c:pt idx="8">
                  <c:v>30</c:v>
                </c:pt>
                <c:pt idx="9">
                  <c:v>33</c:v>
                </c:pt>
                <c:pt idx="10">
                  <c:v>35</c:v>
                </c:pt>
                <c:pt idx="11">
                  <c:v>45</c:v>
                </c:pt>
                <c:pt idx="12">
                  <c:v>60</c:v>
                </c:pt>
                <c:pt idx="13">
                  <c:v>86</c:v>
                </c:pt>
              </c:numCache>
            </c:numRef>
          </c:val>
          <c:extLst>
            <c:ext xmlns:c16="http://schemas.microsoft.com/office/drawing/2014/chart" uri="{C3380CC4-5D6E-409C-BE32-E72D297353CC}">
              <c16:uniqueId val="{00000000-24C1-41C0-8115-51FB57DADC1B}"/>
            </c:ext>
          </c:extLst>
        </c:ser>
        <c:ser>
          <c:idx val="1"/>
          <c:order val="1"/>
          <c:spPr>
            <a:solidFill>
              <a:srgbClr val="39969F"/>
            </a:solidFill>
            <a:ln>
              <a:noFill/>
            </a:ln>
            <a:effectLst/>
          </c:spPr>
          <c:invertIfNegative val="0"/>
          <c:dLbls>
            <c:dLbl>
              <c:idx val="0"/>
              <c:layout>
                <c:manualLayout>
                  <c:x val="1.6004924419789984E-2"/>
                  <c:y val="-1.0888268179687477E-16"/>
                </c:manualLayout>
              </c:layout>
              <c:tx>
                <c:rich>
                  <a:bodyPr/>
                  <a:lstStyle/>
                  <a:p>
                    <a:fld id="{7BEA35AF-C0F1-4C31-BE0A-29DAF7AF153B}"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1-24C1-41C0-8115-51FB57DADC1B}"/>
                </c:ext>
              </c:extLst>
            </c:dLbl>
            <c:dLbl>
              <c:idx val="2"/>
              <c:layout>
                <c:manualLayout>
                  <c:x val="1.5978695073235686E-2"/>
                  <c:y val="0"/>
                </c:manualLayout>
              </c:layout>
              <c:tx>
                <c:rich>
                  <a:bodyPr/>
                  <a:lstStyle/>
                  <a:p>
                    <a:fld id="{26275C1D-5D7D-442D-A03B-51FAF4099791}"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2-24C1-41C0-8115-51FB57DADC1B}"/>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Sheet1!$A$4:$A$17</c:f>
              <c:strCache>
                <c:ptCount val="14"/>
                <c:pt idx="0">
                  <c:v>Transport</c:v>
                </c:pt>
                <c:pt idx="1">
                  <c:v>Not a public entity</c:v>
                </c:pt>
                <c:pt idx="2">
                  <c:v>Disability</c:v>
                </c:pt>
                <c:pt idx="3">
                  <c:v>Accommodation/housing</c:v>
                </c:pt>
                <c:pt idx="4">
                  <c:v>Child Safety</c:v>
                </c:pt>
                <c:pt idx="5">
                  <c:v>Court services</c:v>
                </c:pt>
                <c:pt idx="6">
                  <c:v>Local government agency</c:v>
                </c:pt>
                <c:pt idx="7">
                  <c:v>Other government services</c:v>
                </c:pt>
                <c:pt idx="8">
                  <c:v>Public education</c:v>
                </c:pt>
                <c:pt idx="9">
                  <c:v>Other state laws and programs</c:v>
                </c:pt>
                <c:pt idx="10">
                  <c:v>Work</c:v>
                </c:pt>
                <c:pt idx="11">
                  <c:v>Corrections</c:v>
                </c:pt>
                <c:pt idx="12">
                  <c:v>Police</c:v>
                </c:pt>
                <c:pt idx="13">
                  <c:v>Health</c:v>
                </c:pt>
              </c:strCache>
            </c:strRef>
          </c:cat>
          <c:val>
            <c:numRef>
              <c:f>Sheet1!$C$4:$C$17</c:f>
              <c:numCache>
                <c:formatCode>General</c:formatCode>
                <c:ptCount val="14"/>
                <c:pt idx="0" formatCode="0">
                  <c:v>1</c:v>
                </c:pt>
                <c:pt idx="2" formatCode="0">
                  <c:v>2</c:v>
                </c:pt>
                <c:pt idx="3" formatCode="0">
                  <c:v>7</c:v>
                </c:pt>
                <c:pt idx="4" formatCode="0">
                  <c:v>4</c:v>
                </c:pt>
                <c:pt idx="6" formatCode="0">
                  <c:v>13</c:v>
                </c:pt>
                <c:pt idx="7" formatCode="0">
                  <c:v>5</c:v>
                </c:pt>
                <c:pt idx="8" formatCode="0">
                  <c:v>20</c:v>
                </c:pt>
                <c:pt idx="9" formatCode="0">
                  <c:v>11</c:v>
                </c:pt>
                <c:pt idx="10" formatCode="0">
                  <c:v>24</c:v>
                </c:pt>
                <c:pt idx="11" formatCode="0">
                  <c:v>8</c:v>
                </c:pt>
                <c:pt idx="12" formatCode="0">
                  <c:v>34</c:v>
                </c:pt>
                <c:pt idx="13" formatCode="0">
                  <c:v>45</c:v>
                </c:pt>
              </c:numCache>
            </c:numRef>
          </c:val>
          <c:extLst>
            <c:ext xmlns:c16="http://schemas.microsoft.com/office/drawing/2014/chart" uri="{C3380CC4-5D6E-409C-BE32-E72D297353CC}">
              <c16:uniqueId val="{00000003-24C1-41C0-8115-51FB57DADC1B}"/>
            </c:ext>
          </c:extLst>
        </c:ser>
        <c:dLbls>
          <c:showLegendKey val="0"/>
          <c:showVal val="0"/>
          <c:showCatName val="0"/>
          <c:showSerName val="0"/>
          <c:showPercent val="0"/>
          <c:showBubbleSize val="0"/>
        </c:dLbls>
        <c:gapWidth val="33"/>
        <c:overlap val="100"/>
        <c:axId val="462472560"/>
        <c:axId val="460384984"/>
      </c:barChart>
      <c:catAx>
        <c:axId val="462472560"/>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spc="0" baseline="0">
                <a:solidFill>
                  <a:schemeClr val="tx1"/>
                </a:solidFill>
                <a:latin typeface="Arial" panose="020B0604020202020204" pitchFamily="34" charset="0"/>
                <a:ea typeface="+mn-ea"/>
                <a:cs typeface="Arial" panose="020B0604020202020204" pitchFamily="34" charset="0"/>
              </a:defRPr>
            </a:pPr>
            <a:endParaRPr lang="en-US"/>
          </a:p>
        </c:txPr>
        <c:crossAx val="460384984"/>
        <c:crosses val="autoZero"/>
        <c:auto val="1"/>
        <c:lblAlgn val="ctr"/>
        <c:lblOffset val="100"/>
        <c:noMultiLvlLbl val="0"/>
      </c:catAx>
      <c:valAx>
        <c:axId val="460384984"/>
        <c:scaling>
          <c:orientation val="minMax"/>
        </c:scaling>
        <c:delete val="0"/>
        <c:axPos val="b"/>
        <c:majorGridlines>
          <c:spPr>
            <a:ln w="9525" cap="flat" cmpd="sng" algn="ctr">
              <a:noFill/>
              <a:round/>
            </a:ln>
            <a:effectLst/>
          </c:spPr>
        </c:majorGridlines>
        <c:numFmt formatCode="0"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noFill/>
                <a:latin typeface="+mn-lt"/>
                <a:ea typeface="+mn-ea"/>
                <a:cs typeface="+mn-cs"/>
              </a:defRPr>
            </a:pPr>
            <a:endParaRPr lang="en-US"/>
          </a:p>
        </c:txPr>
        <c:crossAx val="462472560"/>
        <c:crosses val="autoZero"/>
        <c:crossBetween val="between"/>
      </c:valAx>
      <c:spPr>
        <a:noFill/>
        <a:ln>
          <a:noFill/>
        </a:ln>
        <a:effectLst/>
      </c:spPr>
    </c:plotArea>
    <c:plotVisOnly val="1"/>
    <c:dispBlanksAs val="gap"/>
    <c:showDLblsOverMax val="0"/>
  </c:chart>
  <c:spPr>
    <a:solidFill>
      <a:schemeClr val="bg1"/>
    </a:solidFill>
    <a:ln w="9525" cap="flat" cmpd="sng" algn="ctr">
      <a:noFill/>
      <a:round/>
    </a:ln>
    <a:effectLst/>
  </c:spPr>
  <c:txPr>
    <a:bodyPr/>
    <a:lstStyle/>
    <a:p>
      <a:pPr>
        <a:defRPr/>
      </a:pPr>
      <a:endParaRPr lang="en-US"/>
    </a:p>
  </c:txPr>
  <c:externalData r:id="rId3">
    <c:autoUpdate val="0"/>
  </c:externalData>
  <c:userShapes r:id="rId4"/>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Sheet1!$B$3</c:f>
              <c:strCache>
                <c:ptCount val="1"/>
                <c:pt idx="0">
                  <c:v>Complaints finalised</c:v>
                </c:pt>
              </c:strCache>
            </c:strRef>
          </c:tx>
          <c:spPr>
            <a:solidFill>
              <a:srgbClr val="D46228"/>
            </a:solidFill>
            <a:ln>
              <a:noFill/>
            </a:ln>
            <a:effectLst/>
          </c:spPr>
          <c:invertIfNegative val="0"/>
          <c:dLbls>
            <c:dLbl>
              <c:idx val="0"/>
              <c:layout>
                <c:manualLayout>
                  <c:x val="1.3350020859407593E-2"/>
                  <c:y val="-9.4744814199218552E-17"/>
                </c:manualLayout>
              </c:layout>
              <c:tx>
                <c:rich>
                  <a:bodyPr/>
                  <a:lstStyle/>
                  <a:p>
                    <a:fld id="{E39B2016-EE5F-45DB-9A66-D2F5C31F4199}" type="VALUE">
                      <a:rPr lang="en-US">
                        <a:solidFill>
                          <a:schemeClr val="tx1"/>
                        </a:solidFill>
                      </a:rPr>
                      <a:pPr/>
                      <a:t>[VALUE]</a:t>
                    </a:fld>
                    <a:endParaRPr lang="en-AU"/>
                  </a:p>
                </c:rich>
              </c:tx>
              <c:showLegendKey val="0"/>
              <c:showVal val="1"/>
              <c:showCatName val="0"/>
              <c:showSerName val="0"/>
              <c:showPercent val="0"/>
              <c:showBubbleSize val="0"/>
              <c:extLst>
                <c:ext xmlns:c15="http://schemas.microsoft.com/office/drawing/2012/chart" uri="{CE6537A1-D6FC-4f65-9D91-7224C49458BB}">
                  <c15:layout/>
                  <c15:dlblFieldTable/>
                  <c15:showDataLabelsRange val="0"/>
                </c:ext>
                <c:ext xmlns:c16="http://schemas.microsoft.com/office/drawing/2014/chart" uri="{C3380CC4-5D6E-409C-BE32-E72D297353CC}">
                  <c16:uniqueId val="{00000000-29FA-489C-B6E2-FCFC40845616}"/>
                </c:ext>
              </c:extLst>
            </c:dLbl>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Sheet1!$A$4:$A$17</c:f>
              <c:strCache>
                <c:ptCount val="14"/>
                <c:pt idx="0">
                  <c:v>Transport</c:v>
                </c:pt>
                <c:pt idx="1">
                  <c:v>Not a public entity</c:v>
                </c:pt>
                <c:pt idx="2">
                  <c:v>Disability</c:v>
                </c:pt>
                <c:pt idx="3">
                  <c:v>Accommodation/housing</c:v>
                </c:pt>
                <c:pt idx="4">
                  <c:v>Child Safety</c:v>
                </c:pt>
                <c:pt idx="5">
                  <c:v>Work</c:v>
                </c:pt>
                <c:pt idx="6">
                  <c:v>Local government agency</c:v>
                </c:pt>
                <c:pt idx="7">
                  <c:v>Public education</c:v>
                </c:pt>
                <c:pt idx="8">
                  <c:v>Court services</c:v>
                </c:pt>
                <c:pt idx="9">
                  <c:v>Other government services</c:v>
                </c:pt>
                <c:pt idx="10">
                  <c:v>Other state laws and programs</c:v>
                </c:pt>
                <c:pt idx="11">
                  <c:v>Police</c:v>
                </c:pt>
                <c:pt idx="12">
                  <c:v>Corrections</c:v>
                </c:pt>
                <c:pt idx="13">
                  <c:v>Health</c:v>
                </c:pt>
              </c:strCache>
            </c:strRef>
          </c:cat>
          <c:val>
            <c:numRef>
              <c:f>Sheet1!$B$4:$B$17</c:f>
              <c:numCache>
                <c:formatCode>0</c:formatCode>
                <c:ptCount val="14"/>
                <c:pt idx="0">
                  <c:v>1</c:v>
                </c:pt>
                <c:pt idx="1">
                  <c:v>4</c:v>
                </c:pt>
                <c:pt idx="2">
                  <c:v>5</c:v>
                </c:pt>
                <c:pt idx="3">
                  <c:v>8</c:v>
                </c:pt>
                <c:pt idx="4">
                  <c:v>9</c:v>
                </c:pt>
                <c:pt idx="5">
                  <c:v>9</c:v>
                </c:pt>
                <c:pt idx="6">
                  <c:v>11</c:v>
                </c:pt>
                <c:pt idx="7">
                  <c:v>14</c:v>
                </c:pt>
                <c:pt idx="8">
                  <c:v>17</c:v>
                </c:pt>
                <c:pt idx="9">
                  <c:v>17</c:v>
                </c:pt>
                <c:pt idx="10">
                  <c:v>29</c:v>
                </c:pt>
                <c:pt idx="11">
                  <c:v>40</c:v>
                </c:pt>
                <c:pt idx="12">
                  <c:v>42</c:v>
                </c:pt>
                <c:pt idx="13">
                  <c:v>67</c:v>
                </c:pt>
              </c:numCache>
            </c:numRef>
          </c:val>
          <c:extLst>
            <c:ext xmlns:c16="http://schemas.microsoft.com/office/drawing/2014/chart" uri="{C3380CC4-5D6E-409C-BE32-E72D297353CC}">
              <c16:uniqueId val="{00000001-29FA-489C-B6E2-FCFC40845616}"/>
            </c:ext>
          </c:extLst>
        </c:ser>
        <c:ser>
          <c:idx val="1"/>
          <c:order val="1"/>
          <c:tx>
            <c:strRef>
              <c:f>Sheet1!$C$3</c:f>
              <c:strCache>
                <c:ptCount val="1"/>
                <c:pt idx="0">
                  <c:v>Complaints accepted and finalised</c:v>
                </c:pt>
              </c:strCache>
            </c:strRef>
          </c:tx>
          <c:spPr>
            <a:solidFill>
              <a:srgbClr val="3996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Sheet1!$A$4:$A$17</c:f>
              <c:strCache>
                <c:ptCount val="14"/>
                <c:pt idx="0">
                  <c:v>Transport</c:v>
                </c:pt>
                <c:pt idx="1">
                  <c:v>Not a public entity</c:v>
                </c:pt>
                <c:pt idx="2">
                  <c:v>Disability</c:v>
                </c:pt>
                <c:pt idx="3">
                  <c:v>Accommodation/housing</c:v>
                </c:pt>
                <c:pt idx="4">
                  <c:v>Child Safety</c:v>
                </c:pt>
                <c:pt idx="5">
                  <c:v>Work</c:v>
                </c:pt>
                <c:pt idx="6">
                  <c:v>Local government agency</c:v>
                </c:pt>
                <c:pt idx="7">
                  <c:v>Public education</c:v>
                </c:pt>
                <c:pt idx="8">
                  <c:v>Court services</c:v>
                </c:pt>
                <c:pt idx="9">
                  <c:v>Other government services</c:v>
                </c:pt>
                <c:pt idx="10">
                  <c:v>Other state laws and programs</c:v>
                </c:pt>
                <c:pt idx="11">
                  <c:v>Police</c:v>
                </c:pt>
                <c:pt idx="12">
                  <c:v>Corrections</c:v>
                </c:pt>
                <c:pt idx="13">
                  <c:v>Health</c:v>
                </c:pt>
              </c:strCache>
            </c:strRef>
          </c:cat>
          <c:val>
            <c:numRef>
              <c:f>Sheet1!$C$4:$C$17</c:f>
              <c:numCache>
                <c:formatCode>General</c:formatCode>
                <c:ptCount val="14"/>
                <c:pt idx="3" formatCode="0">
                  <c:v>2</c:v>
                </c:pt>
                <c:pt idx="6" formatCode="0">
                  <c:v>3</c:v>
                </c:pt>
                <c:pt idx="7" formatCode="0">
                  <c:v>5</c:v>
                </c:pt>
                <c:pt idx="9" formatCode="0">
                  <c:v>2</c:v>
                </c:pt>
                <c:pt idx="10" formatCode="0">
                  <c:v>7</c:v>
                </c:pt>
                <c:pt idx="11" formatCode="0">
                  <c:v>15</c:v>
                </c:pt>
                <c:pt idx="12" formatCode="0">
                  <c:v>8</c:v>
                </c:pt>
                <c:pt idx="13" formatCode="0">
                  <c:v>28</c:v>
                </c:pt>
              </c:numCache>
            </c:numRef>
          </c:val>
          <c:extLst>
            <c:ext xmlns:c16="http://schemas.microsoft.com/office/drawing/2014/chart" uri="{C3380CC4-5D6E-409C-BE32-E72D297353CC}">
              <c16:uniqueId val="{00000002-29FA-489C-B6E2-FCFC40845616}"/>
            </c:ext>
          </c:extLst>
        </c:ser>
        <c:dLbls>
          <c:showLegendKey val="0"/>
          <c:showVal val="0"/>
          <c:showCatName val="0"/>
          <c:showSerName val="0"/>
          <c:showPercent val="0"/>
          <c:showBubbleSize val="0"/>
        </c:dLbls>
        <c:gapWidth val="30"/>
        <c:overlap val="100"/>
        <c:axId val="458483672"/>
        <c:axId val="458484000"/>
      </c:barChart>
      <c:catAx>
        <c:axId val="458483672"/>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458484000"/>
        <c:crosses val="autoZero"/>
        <c:auto val="1"/>
        <c:lblAlgn val="ctr"/>
        <c:lblOffset val="100"/>
        <c:noMultiLvlLbl val="0"/>
      </c:catAx>
      <c:valAx>
        <c:axId val="458484000"/>
        <c:scaling>
          <c:orientation val="minMax"/>
        </c:scaling>
        <c:delete val="1"/>
        <c:axPos val="b"/>
        <c:numFmt formatCode="0" sourceLinked="1"/>
        <c:majorTickMark val="none"/>
        <c:minorTickMark val="none"/>
        <c:tickLblPos val="nextTo"/>
        <c:crossAx val="458483672"/>
        <c:crosses val="autoZero"/>
        <c:crossBetween val="between"/>
      </c:valAx>
      <c:spPr>
        <a:noFill/>
        <a:ln>
          <a:noFill/>
        </a:ln>
        <a:effectLst/>
      </c:spPr>
    </c:plotArea>
    <c:legend>
      <c:legendPos val="b"/>
      <c:layout>
        <c:manualLayout>
          <c:xMode val="edge"/>
          <c:yMode val="edge"/>
          <c:x val="0.62750104297037967"/>
          <c:y val="0.7150493397627623"/>
          <c:w val="0.33573620569018353"/>
          <c:h val="0.21776719770493805"/>
        </c:manualLayout>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bar"/>
        <c:grouping val="stacked"/>
        <c:varyColors val="0"/>
        <c:ser>
          <c:idx val="0"/>
          <c:order val="0"/>
          <c:tx>
            <c:strRef>
              <c:f>Sheet1!$B$9</c:f>
              <c:strCache>
                <c:ptCount val="1"/>
                <c:pt idx="0">
                  <c:v>Conciliation </c:v>
                </c:pt>
              </c:strCache>
            </c:strRef>
          </c:tx>
          <c:spPr>
            <a:solidFill>
              <a:srgbClr val="39969F"/>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Sheet1!$A$10:$A$11</c:f>
              <c:strCache>
                <c:ptCount val="2"/>
                <c:pt idx="0">
                  <c:v>Piggy-back complaints</c:v>
                </c:pt>
                <c:pt idx="1">
                  <c:v>Human rights only complaints</c:v>
                </c:pt>
              </c:strCache>
            </c:strRef>
          </c:cat>
          <c:val>
            <c:numRef>
              <c:f>Sheet1!$B$10:$B$11</c:f>
              <c:numCache>
                <c:formatCode>General</c:formatCode>
                <c:ptCount val="2"/>
                <c:pt idx="0">
                  <c:v>25</c:v>
                </c:pt>
                <c:pt idx="1">
                  <c:v>8</c:v>
                </c:pt>
              </c:numCache>
            </c:numRef>
          </c:val>
          <c:extLst>
            <c:ext xmlns:c16="http://schemas.microsoft.com/office/drawing/2014/chart" uri="{C3380CC4-5D6E-409C-BE32-E72D297353CC}">
              <c16:uniqueId val="{00000000-6261-4982-AF64-B1BB4DFDD0B1}"/>
            </c:ext>
          </c:extLst>
        </c:ser>
        <c:ser>
          <c:idx val="1"/>
          <c:order val="1"/>
          <c:tx>
            <c:strRef>
              <c:f>Sheet1!$C$9</c:f>
              <c:strCache>
                <c:ptCount val="1"/>
                <c:pt idx="0">
                  <c:v>Early intervention </c:v>
                </c:pt>
              </c:strCache>
            </c:strRef>
          </c:tx>
          <c:spPr>
            <a:solidFill>
              <a:srgbClr val="D46228"/>
            </a:solidFill>
            <a:ln>
              <a:noFill/>
            </a:ln>
            <a:effectLst/>
          </c:spPr>
          <c:invertIfNegative val="0"/>
          <c:dLbls>
            <c:spPr>
              <a:noFill/>
              <a:ln>
                <a:noFill/>
              </a:ln>
              <a:effectLst/>
            </c:spPr>
            <c:txPr>
              <a:bodyPr rot="0" spcFirstLastPara="1" vertOverflow="ellipsis" vert="horz" wrap="square" lIns="38100" tIns="19050" rIns="38100" bIns="19050" anchor="ctr" anchorCtr="1">
                <a:spAutoFit/>
              </a:bodyPr>
              <a:lstStyle/>
              <a:p>
                <a:pPr>
                  <a:defRPr sz="1200" b="0" i="0" u="none" strike="noStrike" kern="1200" baseline="0">
                    <a:solidFill>
                      <a:schemeClr val="bg1"/>
                    </a:solidFill>
                    <a:latin typeface="Arial" panose="020B0604020202020204" pitchFamily="34" charset="0"/>
                    <a:ea typeface="+mn-ea"/>
                    <a:cs typeface="Arial" panose="020B0604020202020204" pitchFamily="34" charset="0"/>
                  </a:defRPr>
                </a:pPr>
                <a:endParaRPr lang="en-US"/>
              </a:p>
            </c:txPr>
            <c:showLegendKey val="0"/>
            <c:showVal val="1"/>
            <c:showCatName val="0"/>
            <c:showSerName val="0"/>
            <c:showPercent val="0"/>
            <c:showBubbleSize val="0"/>
            <c:showLeaderLines val="0"/>
            <c:extLst>
              <c:ext xmlns:c15="http://schemas.microsoft.com/office/drawing/2012/chart" uri="{CE6537A1-D6FC-4f65-9D91-7224C49458BB}">
                <c15:layout/>
                <c15:showLeaderLines val="1"/>
                <c15:leaderLines>
                  <c:spPr>
                    <a:ln w="9525" cap="flat" cmpd="sng" algn="ctr">
                      <a:solidFill>
                        <a:schemeClr val="tx1">
                          <a:lumMod val="35000"/>
                          <a:lumOff val="65000"/>
                        </a:schemeClr>
                      </a:solidFill>
                      <a:round/>
                    </a:ln>
                    <a:effectLst/>
                  </c:spPr>
                </c15:leaderLines>
              </c:ext>
            </c:extLst>
          </c:dLbls>
          <c:cat>
            <c:strRef>
              <c:f>Sheet1!$A$10:$A$11</c:f>
              <c:strCache>
                <c:ptCount val="2"/>
                <c:pt idx="0">
                  <c:v>Piggy-back complaints</c:v>
                </c:pt>
                <c:pt idx="1">
                  <c:v>Human rights only complaints</c:v>
                </c:pt>
              </c:strCache>
            </c:strRef>
          </c:cat>
          <c:val>
            <c:numRef>
              <c:f>Sheet1!$C$10:$C$11</c:f>
              <c:numCache>
                <c:formatCode>General</c:formatCode>
                <c:ptCount val="2"/>
                <c:pt idx="0">
                  <c:v>3</c:v>
                </c:pt>
                <c:pt idx="1">
                  <c:v>11</c:v>
                </c:pt>
              </c:numCache>
            </c:numRef>
          </c:val>
          <c:extLst>
            <c:ext xmlns:c16="http://schemas.microsoft.com/office/drawing/2014/chart" uri="{C3380CC4-5D6E-409C-BE32-E72D297353CC}">
              <c16:uniqueId val="{00000001-6261-4982-AF64-B1BB4DFDD0B1}"/>
            </c:ext>
          </c:extLst>
        </c:ser>
        <c:dLbls>
          <c:showLegendKey val="0"/>
          <c:showVal val="0"/>
          <c:showCatName val="0"/>
          <c:showSerName val="0"/>
          <c:showPercent val="0"/>
          <c:showBubbleSize val="0"/>
        </c:dLbls>
        <c:gapWidth val="30"/>
        <c:overlap val="100"/>
        <c:axId val="800934304"/>
        <c:axId val="800934960"/>
      </c:barChart>
      <c:catAx>
        <c:axId val="800934304"/>
        <c:scaling>
          <c:orientation val="minMax"/>
        </c:scaling>
        <c:delete val="0"/>
        <c:axPos val="l"/>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crossAx val="800934960"/>
        <c:crosses val="autoZero"/>
        <c:auto val="1"/>
        <c:lblAlgn val="ctr"/>
        <c:lblOffset val="100"/>
        <c:noMultiLvlLbl val="0"/>
      </c:catAx>
      <c:valAx>
        <c:axId val="800934960"/>
        <c:scaling>
          <c:orientation val="minMax"/>
        </c:scaling>
        <c:delete val="1"/>
        <c:axPos val="b"/>
        <c:numFmt formatCode="General" sourceLinked="1"/>
        <c:majorTickMark val="none"/>
        <c:minorTickMark val="none"/>
        <c:tickLblPos val="nextTo"/>
        <c:crossAx val="800934304"/>
        <c:crosses val="autoZero"/>
        <c:crossBetween val="between"/>
      </c:valAx>
      <c:spPr>
        <a:noFill/>
        <a:ln>
          <a:noFill/>
        </a:ln>
        <a:effectLst/>
      </c:spPr>
    </c:plotArea>
    <c:legend>
      <c:legendPos val="b"/>
      <c:layout/>
      <c:overlay val="0"/>
      <c:spPr>
        <a:noFill/>
        <a:ln>
          <a:noFill/>
        </a:ln>
        <a:effectLst/>
      </c:spPr>
      <c:txPr>
        <a:bodyPr rot="0" spcFirstLastPara="1" vertOverflow="ellipsis" vert="horz" wrap="square" anchor="ctr" anchorCtr="1"/>
        <a:lstStyle/>
        <a:p>
          <a:pPr>
            <a:defRPr sz="1200" b="0" i="0" u="none" strike="noStrike" kern="1200" baseline="0">
              <a:solidFill>
                <a:schemeClr val="tx1"/>
              </a:solidFill>
              <a:latin typeface="Arial" panose="020B0604020202020204" pitchFamily="34" charset="0"/>
              <a:ea typeface="+mn-ea"/>
              <a:cs typeface="Arial" panose="020B0604020202020204" pitchFamily="34" charset="0"/>
            </a:defRPr>
          </a:pPr>
          <a:endParaRPr lang="en-US"/>
        </a:p>
      </c:txPr>
    </c:legend>
    <c:plotVisOnly val="1"/>
    <c:dispBlanksAs val="gap"/>
    <c:showDLblsOverMax val="0"/>
  </c:chart>
  <c:spPr>
    <a:solidFill>
      <a:schemeClr val="bg1"/>
    </a:solidFill>
    <a:ln w="9525" cap="flat" cmpd="sng" algn="ctr">
      <a:noFill/>
      <a:round/>
    </a:ln>
    <a:effectLst/>
  </c:spPr>
  <c:txPr>
    <a:bodyPr/>
    <a:lstStyle/>
    <a:p>
      <a:pPr>
        <a:defRPr sz="1200">
          <a:solidFill>
            <a:schemeClr val="tx1"/>
          </a:solidFill>
          <a:latin typeface="Arial" panose="020B0604020202020204" pitchFamily="34" charset="0"/>
          <a:cs typeface="Arial" panose="020B0604020202020204" pitchFamily="34" charset="0"/>
        </a:defRPr>
      </a:pPr>
      <a:endParaRPr lang="en-US"/>
    </a:p>
  </c:txPr>
  <c:externalData r:id="rId3">
    <c:autoUpdate val="0"/>
  </c:externalData>
</c:chartSpace>
</file>

<file path=word/charts/colors1.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2.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3.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4.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colors5.xml><?xml version="1.0" encoding="utf-8"?>
<cs:colorStyle xmlns:cs="http://schemas.microsoft.com/office/drawing/2012/chartStyle" xmlns:a="http://schemas.openxmlformats.org/drawingml/2006/main" meth="cycle" id="10">
  <a:schemeClr val="accent1"/>
  <a:schemeClr val="accent2"/>
  <a:schemeClr val="accent3"/>
  <a:schemeClr val="accent4"/>
  <a:schemeClr val="accent5"/>
  <a:schemeClr val="accent6"/>
  <cs:variation/>
  <cs:variation>
    <a:lumMod val="60000"/>
  </cs:variation>
  <cs:variation>
    <a:lumMod val="80000"/>
    <a:lumOff val="20000"/>
  </cs:variation>
  <cs:variation>
    <a:lumMod val="80000"/>
  </cs:variation>
  <cs:variation>
    <a:lumMod val="60000"/>
    <a:lumOff val="40000"/>
  </cs:variation>
  <cs:variation>
    <a:lumMod val="50000"/>
  </cs:variation>
  <cs:variation>
    <a:lumMod val="70000"/>
    <a:lumOff val="30000"/>
  </cs:variation>
  <cs:variation>
    <a:lumMod val="70000"/>
  </cs:variation>
  <cs:variation>
    <a:lumMod val="50000"/>
    <a:lumOff val="50000"/>
  </cs:variation>
</cs:colorStyle>
</file>

<file path=word/charts/style1.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2.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3.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4.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charts/style5.xml><?xml version="1.0" encoding="utf-8"?>
<cs:chartStyle xmlns:cs="http://schemas.microsoft.com/office/drawing/2012/chartStyle" xmlns:a="http://schemas.openxmlformats.org/drawingml/2006/main" id="297">
  <cs:axisTitle>
    <cs:lnRef idx="0"/>
    <cs:fillRef idx="0"/>
    <cs:effectRef idx="0"/>
    <cs:fontRef idx="minor">
      <a:schemeClr val="tx1">
        <a:lumMod val="65000"/>
        <a:lumOff val="35000"/>
      </a:schemeClr>
    </cs:fontRef>
    <cs:defRPr sz="1000" kern="1200"/>
  </cs:axisTitle>
  <cs:categoryAxis>
    <cs:lnRef idx="0"/>
    <cs:fillRef idx="0"/>
    <cs:effectRef idx="0"/>
    <cs:fontRef idx="minor">
      <a:schemeClr val="tx1">
        <a:lumMod val="65000"/>
        <a:lumOff val="35000"/>
      </a:schemeClr>
    </cs:fontRef>
    <cs:spPr>
      <a:ln w="9525" cap="flat" cmpd="sng" algn="ctr">
        <a:solidFill>
          <a:schemeClr val="tx1">
            <a:lumMod val="15000"/>
            <a:lumOff val="85000"/>
          </a:schemeClr>
        </a:solidFill>
        <a:round/>
      </a:ln>
    </cs:spPr>
    <cs:defRPr sz="900" kern="1200"/>
  </cs:categoryAxis>
  <cs:chartArea mods="allowNoFillOverride allowNoLineOverride">
    <cs:lnRef idx="0"/>
    <cs:fillRef idx="0"/>
    <cs:effectRef idx="0"/>
    <cs:fontRef idx="minor">
      <a:schemeClr val="tx1"/>
    </cs:fontRef>
    <cs:spPr>
      <a:solidFill>
        <a:schemeClr val="bg1"/>
      </a:solidFill>
      <a:ln w="9525" cap="flat" cmpd="sng" algn="ctr">
        <a:solidFill>
          <a:schemeClr val="tx1">
            <a:lumMod val="15000"/>
            <a:lumOff val="85000"/>
          </a:schemeClr>
        </a:solidFill>
        <a:round/>
      </a:ln>
    </cs:spPr>
    <cs:defRPr sz="1000" kern="1200"/>
  </cs:chartArea>
  <cs:dataLabel>
    <cs:lnRef idx="0"/>
    <cs:fillRef idx="0"/>
    <cs:effectRef idx="0"/>
    <cs:fontRef idx="minor">
      <a:schemeClr val="tx1">
        <a:lumMod val="75000"/>
        <a:lumOff val="25000"/>
      </a:schemeClr>
    </cs:fontRef>
    <cs:defRPr sz="900" kern="1200"/>
  </cs:dataLabel>
  <cs:dataLabelCallout>
    <cs:lnRef idx="0"/>
    <cs:fillRef idx="0"/>
    <cs:effectRef idx="0"/>
    <cs:fontRef idx="minor">
      <a:schemeClr val="dk1">
        <a:lumMod val="65000"/>
        <a:lumOff val="35000"/>
      </a:schemeClr>
    </cs:fontRef>
    <cs:spPr>
      <a:solidFill>
        <a:schemeClr val="lt1"/>
      </a:solidFill>
      <a:ln>
        <a:solidFill>
          <a:schemeClr val="dk1">
            <a:lumMod val="25000"/>
            <a:lumOff val="75000"/>
          </a:schemeClr>
        </a:solidFill>
      </a:ln>
    </cs:spPr>
    <cs:defRPr sz="900" kern="1200"/>
    <cs:bodyPr rot="0" spcFirstLastPara="1" vertOverflow="clip" horzOverflow="clip" vert="horz" wrap="square" lIns="36576" tIns="18288" rIns="36576" bIns="18288" anchor="ctr" anchorCtr="1">
      <a:spAutoFit/>
    </cs:bodyPr>
  </cs:dataLabelCallout>
  <cs:dataPoint>
    <cs:lnRef idx="0"/>
    <cs:fillRef idx="1">
      <cs:styleClr val="auto"/>
    </cs:fillRef>
    <cs:effectRef idx="0"/>
    <cs:fontRef idx="minor">
      <a:schemeClr val="tx1"/>
    </cs:fontRef>
  </cs:dataPoint>
  <cs:dataPoint3D>
    <cs:lnRef idx="0"/>
    <cs:fillRef idx="1">
      <cs:styleClr val="auto"/>
    </cs:fillRef>
    <cs:effectRef idx="0"/>
    <cs:fontRef idx="minor">
      <a:schemeClr val="tx1"/>
    </cs:fontRef>
  </cs:dataPoint3D>
  <cs:dataPointLine>
    <cs:lnRef idx="0">
      <cs:styleClr val="auto"/>
    </cs:lnRef>
    <cs:fillRef idx="1"/>
    <cs:effectRef idx="0"/>
    <cs:fontRef idx="minor">
      <a:schemeClr val="tx1"/>
    </cs:fontRef>
    <cs:spPr>
      <a:ln w="28575" cap="rnd">
        <a:solidFill>
          <a:schemeClr val="phClr"/>
        </a:solidFill>
        <a:round/>
      </a:ln>
    </cs:spPr>
  </cs:dataPointLine>
  <cs:dataPointMarker>
    <cs:lnRef idx="0">
      <cs:styleClr val="auto"/>
    </cs:lnRef>
    <cs:fillRef idx="1">
      <cs:styleClr val="auto"/>
    </cs:fillRef>
    <cs:effectRef idx="0"/>
    <cs:fontRef idx="minor">
      <a:schemeClr val="tx1"/>
    </cs:fontRef>
    <cs:spPr>
      <a:ln w="9525">
        <a:solidFill>
          <a:schemeClr val="phClr"/>
        </a:solidFill>
      </a:ln>
    </cs:spPr>
  </cs:dataPointMarker>
  <cs:dataPointMarkerLayout symbol="circle" size="5"/>
  <cs:dataPointWireframe>
    <cs:lnRef idx="0">
      <cs:styleClr val="auto"/>
    </cs:lnRef>
    <cs:fillRef idx="1"/>
    <cs:effectRef idx="0"/>
    <cs:fontRef idx="minor">
      <a:schemeClr val="tx1"/>
    </cs:fontRef>
    <cs:spPr>
      <a:ln w="9525" cap="rnd">
        <a:solidFill>
          <a:schemeClr val="phClr"/>
        </a:solidFill>
        <a:round/>
      </a:ln>
    </cs:spPr>
  </cs:dataPointWireframe>
  <cs:dataTable>
    <cs:lnRef idx="0"/>
    <cs:fillRef idx="0"/>
    <cs:effectRef idx="0"/>
    <cs:fontRef idx="minor">
      <a:schemeClr val="tx1">
        <a:lumMod val="65000"/>
        <a:lumOff val="35000"/>
      </a:schemeClr>
    </cs:fontRef>
    <cs:spPr>
      <a:noFill/>
      <a:ln w="9525" cap="flat" cmpd="sng" algn="ctr">
        <a:solidFill>
          <a:schemeClr val="tx1">
            <a:lumMod val="15000"/>
            <a:lumOff val="85000"/>
          </a:schemeClr>
        </a:solidFill>
        <a:round/>
      </a:ln>
    </cs:spPr>
    <cs:defRPr sz="900" kern="1200"/>
  </cs:dataTable>
  <cs:downBar>
    <cs:lnRef idx="0"/>
    <cs:fillRef idx="0"/>
    <cs:effectRef idx="0"/>
    <cs:fontRef idx="minor">
      <a:schemeClr val="tx1"/>
    </cs:fontRef>
    <cs:spPr>
      <a:solidFill>
        <a:schemeClr val="dk1">
          <a:lumMod val="75000"/>
          <a:lumOff val="25000"/>
        </a:schemeClr>
      </a:solidFill>
      <a:ln w="9525" cap="flat" cmpd="sng" algn="ctr">
        <a:solidFill>
          <a:schemeClr val="tx1">
            <a:lumMod val="65000"/>
            <a:lumOff val="35000"/>
          </a:schemeClr>
        </a:solidFill>
        <a:round/>
      </a:ln>
    </cs:spPr>
  </cs:downBar>
  <cs:dropLine>
    <cs:lnRef idx="0"/>
    <cs:fillRef idx="0"/>
    <cs:effectRef idx="0"/>
    <cs:fontRef idx="minor">
      <a:schemeClr val="tx1"/>
    </cs:fontRef>
    <cs:spPr>
      <a:ln w="9525" cap="flat" cmpd="sng" algn="ctr">
        <a:solidFill>
          <a:schemeClr val="tx1">
            <a:lumMod val="35000"/>
            <a:lumOff val="65000"/>
          </a:schemeClr>
        </a:solidFill>
        <a:round/>
      </a:ln>
    </cs:spPr>
  </cs:dropLine>
  <cs:errorBar>
    <cs:lnRef idx="0"/>
    <cs:fillRef idx="0"/>
    <cs:effectRef idx="0"/>
    <cs:fontRef idx="minor">
      <a:schemeClr val="tx1"/>
    </cs:fontRef>
    <cs:spPr>
      <a:ln w="9525" cap="flat" cmpd="sng" algn="ctr">
        <a:solidFill>
          <a:schemeClr val="tx1">
            <a:lumMod val="65000"/>
            <a:lumOff val="35000"/>
          </a:schemeClr>
        </a:solidFill>
        <a:round/>
      </a:ln>
    </cs:spPr>
  </cs:errorBar>
  <cs:floor>
    <cs:lnRef idx="0"/>
    <cs:fillRef idx="0"/>
    <cs:effectRef idx="0"/>
    <cs:fontRef idx="minor">
      <a:schemeClr val="tx1"/>
    </cs:fontRef>
    <cs:spPr>
      <a:noFill/>
      <a:ln>
        <a:noFill/>
      </a:ln>
    </cs:spPr>
  </cs:floor>
  <cs:gridlineMajor>
    <cs:lnRef idx="0"/>
    <cs:fillRef idx="0"/>
    <cs:effectRef idx="0"/>
    <cs:fontRef idx="minor">
      <a:schemeClr val="tx1"/>
    </cs:fontRef>
    <cs:spPr>
      <a:ln w="9525" cap="flat" cmpd="sng" algn="ctr">
        <a:solidFill>
          <a:schemeClr val="tx1">
            <a:lumMod val="15000"/>
            <a:lumOff val="85000"/>
          </a:schemeClr>
        </a:solidFill>
        <a:round/>
      </a:ln>
    </cs:spPr>
  </cs:gridlineMajor>
  <cs:gridlineMinor>
    <cs:lnRef idx="0"/>
    <cs:fillRef idx="0"/>
    <cs:effectRef idx="0"/>
    <cs:fontRef idx="minor">
      <a:schemeClr val="tx1"/>
    </cs:fontRef>
    <cs:spPr>
      <a:ln w="9525" cap="flat" cmpd="sng" algn="ctr">
        <a:solidFill>
          <a:schemeClr val="tx1">
            <a:lumMod val="5000"/>
            <a:lumOff val="95000"/>
          </a:schemeClr>
        </a:solidFill>
        <a:round/>
      </a:ln>
    </cs:spPr>
  </cs:gridlineMinor>
  <cs:hiLoLine>
    <cs:lnRef idx="0"/>
    <cs:fillRef idx="0"/>
    <cs:effectRef idx="0"/>
    <cs:fontRef idx="minor">
      <a:schemeClr val="tx1"/>
    </cs:fontRef>
    <cs:spPr>
      <a:ln w="9525" cap="flat" cmpd="sng" algn="ctr">
        <a:solidFill>
          <a:schemeClr val="tx1">
            <a:lumMod val="50000"/>
            <a:lumOff val="50000"/>
          </a:schemeClr>
        </a:solidFill>
        <a:round/>
      </a:ln>
    </cs:spPr>
  </cs:hiLoLine>
  <cs:leaderLine>
    <cs:lnRef idx="0"/>
    <cs:fillRef idx="0"/>
    <cs:effectRef idx="0"/>
    <cs:fontRef idx="minor">
      <a:schemeClr val="tx1"/>
    </cs:fontRef>
    <cs:spPr>
      <a:ln w="9525" cap="flat" cmpd="sng" algn="ctr">
        <a:solidFill>
          <a:schemeClr val="tx1">
            <a:lumMod val="35000"/>
            <a:lumOff val="65000"/>
          </a:schemeClr>
        </a:solidFill>
        <a:round/>
      </a:ln>
    </cs:spPr>
  </cs:leaderLine>
  <cs:legend>
    <cs:lnRef idx="0"/>
    <cs:fillRef idx="0"/>
    <cs:effectRef idx="0"/>
    <cs:fontRef idx="minor">
      <a:schemeClr val="tx1">
        <a:lumMod val="65000"/>
        <a:lumOff val="35000"/>
      </a:schemeClr>
    </cs:fontRef>
    <cs:defRPr sz="900" kern="1200"/>
  </cs:legend>
  <cs:plotArea mods="allowNoFillOverride allowNoLineOverride">
    <cs:lnRef idx="0"/>
    <cs:fillRef idx="0"/>
    <cs:effectRef idx="0"/>
    <cs:fontRef idx="minor">
      <a:schemeClr val="tx1"/>
    </cs:fontRef>
  </cs:plotArea>
  <cs:plotArea3D mods="allowNoFillOverride allowNoLineOverride">
    <cs:lnRef idx="0"/>
    <cs:fillRef idx="0"/>
    <cs:effectRef idx="0"/>
    <cs:fontRef idx="minor">
      <a:schemeClr val="tx1"/>
    </cs:fontRef>
  </cs:plotArea3D>
  <cs:seriesAxis>
    <cs:lnRef idx="0"/>
    <cs:fillRef idx="0"/>
    <cs:effectRef idx="0"/>
    <cs:fontRef idx="minor">
      <a:schemeClr val="tx1">
        <a:lumMod val="65000"/>
        <a:lumOff val="35000"/>
      </a:schemeClr>
    </cs:fontRef>
    <cs:defRPr sz="900" kern="1200"/>
  </cs:seriesAxis>
  <cs:seriesLine>
    <cs:lnRef idx="0"/>
    <cs:fillRef idx="0"/>
    <cs:effectRef idx="0"/>
    <cs:fontRef idx="minor">
      <a:schemeClr val="tx1"/>
    </cs:fontRef>
    <cs:spPr>
      <a:ln w="9525" cap="flat" cmpd="sng" algn="ctr">
        <a:solidFill>
          <a:schemeClr val="tx1">
            <a:lumMod val="35000"/>
            <a:lumOff val="65000"/>
          </a:schemeClr>
        </a:solidFill>
        <a:round/>
      </a:ln>
    </cs:spPr>
  </cs:seriesLine>
  <cs:title>
    <cs:lnRef idx="0"/>
    <cs:fillRef idx="0"/>
    <cs:effectRef idx="0"/>
    <cs:fontRef idx="minor">
      <a:schemeClr val="tx1">
        <a:lumMod val="65000"/>
        <a:lumOff val="35000"/>
      </a:schemeClr>
    </cs:fontRef>
    <cs:defRPr sz="1400" b="0" kern="1200" spc="0" baseline="0"/>
  </cs:title>
  <cs:trendline>
    <cs:lnRef idx="0">
      <cs:styleClr val="auto"/>
    </cs:lnRef>
    <cs:fillRef idx="0"/>
    <cs:effectRef idx="0"/>
    <cs:fontRef idx="minor">
      <a:schemeClr val="tx1"/>
    </cs:fontRef>
    <cs:spPr>
      <a:ln w="19050" cap="rnd">
        <a:solidFill>
          <a:schemeClr val="phClr"/>
        </a:solidFill>
        <a:prstDash val="sysDot"/>
      </a:ln>
    </cs:spPr>
  </cs:trendline>
  <cs:trendlineLabel>
    <cs:lnRef idx="0"/>
    <cs:fillRef idx="0"/>
    <cs:effectRef idx="0"/>
    <cs:fontRef idx="minor">
      <a:schemeClr val="tx1">
        <a:lumMod val="65000"/>
        <a:lumOff val="35000"/>
      </a:schemeClr>
    </cs:fontRef>
    <cs:defRPr sz="900" kern="1200"/>
  </cs:trendlineLabel>
  <cs:upBar>
    <cs:lnRef idx="0"/>
    <cs:fillRef idx="0"/>
    <cs:effectRef idx="0"/>
    <cs:fontRef idx="minor">
      <a:schemeClr val="tx1"/>
    </cs:fontRef>
    <cs:spPr>
      <a:solidFill>
        <a:schemeClr val="lt1"/>
      </a:solidFill>
      <a:ln w="9525" cap="flat" cmpd="sng" algn="ctr">
        <a:solidFill>
          <a:schemeClr val="tx1">
            <a:lumMod val="65000"/>
            <a:lumOff val="35000"/>
          </a:schemeClr>
        </a:solidFill>
        <a:round/>
      </a:ln>
    </cs:spPr>
  </cs:upBar>
  <cs:valueAxis>
    <cs:lnRef idx="0"/>
    <cs:fillRef idx="0"/>
    <cs:effectRef idx="0"/>
    <cs:fontRef idx="minor">
      <a:schemeClr val="tx1">
        <a:lumMod val="65000"/>
        <a:lumOff val="35000"/>
      </a:schemeClr>
    </cs:fontRef>
    <cs:defRPr sz="900" kern="1200"/>
  </cs:valueAxis>
  <cs:wall>
    <cs:lnRef idx="0"/>
    <cs:fillRef idx="0"/>
    <cs:effectRef idx="0"/>
    <cs:fontRef idx="minor">
      <a:schemeClr val="tx1"/>
    </cs:fontRef>
    <cs:spPr>
      <a:noFill/>
      <a:ln>
        <a:noFill/>
      </a:ln>
    </cs:spPr>
  </cs:wall>
</cs:chartStyle>
</file>

<file path=word/drawings/drawing1.xml><?xml version="1.0" encoding="utf-8"?>
<c:userShapes xmlns:c="http://schemas.openxmlformats.org/drawingml/2006/chart">
  <cdr:relSizeAnchor xmlns:cdr="http://schemas.openxmlformats.org/drawingml/2006/chartDrawing">
    <cdr:from>
      <cdr:x>0.68729</cdr:x>
      <cdr:y>0.78414</cdr:y>
    </cdr:from>
    <cdr:to>
      <cdr:x>0.91915</cdr:x>
      <cdr:y>1</cdr:y>
    </cdr:to>
    <cdr:sp macro="" textlink="">
      <cdr:nvSpPr>
        <cdr:cNvPr id="2" name="TextBox 1"/>
        <cdr:cNvSpPr txBox="1"/>
      </cdr:nvSpPr>
      <cdr:spPr>
        <a:xfrm xmlns:a="http://schemas.openxmlformats.org/drawingml/2006/main">
          <a:off x="4908307" y="3523518"/>
          <a:ext cx="1655884" cy="923193"/>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endParaRPr lang="en-AU" sz="1100"/>
        </a:p>
      </cdr:txBody>
    </cdr:sp>
  </cdr:relSizeAnchor>
  <cdr:relSizeAnchor xmlns:cdr="http://schemas.openxmlformats.org/drawingml/2006/chartDrawing">
    <cdr:from>
      <cdr:x>0.67703</cdr:x>
      <cdr:y>0.84787</cdr:y>
    </cdr:from>
    <cdr:to>
      <cdr:x>0.70678</cdr:x>
      <cdr:y>0.89755</cdr:y>
    </cdr:to>
    <cdr:sp macro="" textlink="">
      <cdr:nvSpPr>
        <cdr:cNvPr id="3" name="Rectangle 2"/>
        <cdr:cNvSpPr/>
      </cdr:nvSpPr>
      <cdr:spPr>
        <a:xfrm xmlns:a="http://schemas.openxmlformats.org/drawingml/2006/main">
          <a:off x="4835037" y="3626095"/>
          <a:ext cx="212481" cy="212481"/>
        </a:xfrm>
        <a:prstGeom xmlns:a="http://schemas.openxmlformats.org/drawingml/2006/main" prst="rect">
          <a:avLst/>
        </a:prstGeom>
        <a:solidFill xmlns:a="http://schemas.openxmlformats.org/drawingml/2006/main">
          <a:srgbClr val="39969F"/>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0.67703</cdr:x>
      <cdr:y>0.72452</cdr:y>
    </cdr:from>
    <cdr:to>
      <cdr:x>0.70678</cdr:x>
      <cdr:y>0.7742</cdr:y>
    </cdr:to>
    <cdr:sp macro="" textlink="">
      <cdr:nvSpPr>
        <cdr:cNvPr id="4" name="Rectangle 3"/>
        <cdr:cNvSpPr/>
      </cdr:nvSpPr>
      <cdr:spPr>
        <a:xfrm xmlns:a="http://schemas.openxmlformats.org/drawingml/2006/main">
          <a:off x="4835037" y="3098556"/>
          <a:ext cx="212481" cy="212481"/>
        </a:xfrm>
        <a:prstGeom xmlns:a="http://schemas.openxmlformats.org/drawingml/2006/main" prst="rect">
          <a:avLst/>
        </a:prstGeom>
        <a:solidFill xmlns:a="http://schemas.openxmlformats.org/drawingml/2006/main">
          <a:srgbClr val="D46228"/>
        </a:solidFill>
        <a:ln xmlns:a="http://schemas.openxmlformats.org/drawingml/2006/main">
          <a:noFill/>
        </a:ln>
      </cdr:spPr>
      <cdr:style>
        <a:lnRef xmlns:a="http://schemas.openxmlformats.org/drawingml/2006/main" idx="2">
          <a:schemeClr val="accent1">
            <a:shade val="50000"/>
          </a:schemeClr>
        </a:lnRef>
        <a:fillRef xmlns:a="http://schemas.openxmlformats.org/drawingml/2006/main" idx="1">
          <a:schemeClr val="accent1"/>
        </a:fillRef>
        <a:effectRef xmlns:a="http://schemas.openxmlformats.org/drawingml/2006/main" idx="0">
          <a:schemeClr val="accent1"/>
        </a:effectRef>
        <a:fontRef xmlns:a="http://schemas.openxmlformats.org/drawingml/2006/main" idx="minor">
          <a:schemeClr val="lt1"/>
        </a:fontRef>
      </cdr:style>
      <cdr:txBody>
        <a:bodyPr xmlns:a="http://schemas.openxmlformats.org/drawingml/2006/main" vertOverflow="clip"/>
        <a:lstStyle xmlns:a="http://schemas.openxmlformats.org/drawingml/2006/main"/>
        <a:p xmlns:a="http://schemas.openxmlformats.org/drawingml/2006/main">
          <a:endParaRPr lang="en-US"/>
        </a:p>
      </cdr:txBody>
    </cdr:sp>
  </cdr:relSizeAnchor>
  <cdr:relSizeAnchor xmlns:cdr="http://schemas.openxmlformats.org/drawingml/2006/chartDrawing">
    <cdr:from>
      <cdr:x>0.70576</cdr:x>
      <cdr:y>0.71732</cdr:y>
    </cdr:from>
    <cdr:to>
      <cdr:x>0.98088</cdr:x>
      <cdr:y>1</cdr:y>
    </cdr:to>
    <cdr:sp macro="" textlink="">
      <cdr:nvSpPr>
        <cdr:cNvPr id="5" name="TextBox 4"/>
        <cdr:cNvSpPr txBox="1"/>
      </cdr:nvSpPr>
      <cdr:spPr>
        <a:xfrm xmlns:a="http://schemas.openxmlformats.org/drawingml/2006/main">
          <a:off x="4408974" y="2683795"/>
          <a:ext cx="1718693" cy="1057625"/>
        </a:xfrm>
        <a:prstGeom xmlns:a="http://schemas.openxmlformats.org/drawingml/2006/main" prst="rect">
          <a:avLst/>
        </a:prstGeom>
      </cdr:spPr>
      <cdr:txBody>
        <a:bodyPr xmlns:a="http://schemas.openxmlformats.org/drawingml/2006/main" vertOverflow="clip" wrap="square" rtlCol="0"/>
        <a:lstStyle xmlns:a="http://schemas.openxmlformats.org/drawingml/2006/main"/>
        <a:p xmlns:a="http://schemas.openxmlformats.org/drawingml/2006/main">
          <a:r>
            <a:rPr lang="en-AU" sz="1200">
              <a:latin typeface="Arial" panose="020B0604020202020204" pitchFamily="34" charset="0"/>
              <a:cs typeface="Arial" panose="020B0604020202020204" pitchFamily="34" charset="0"/>
            </a:rPr>
            <a:t>Complaints finalised</a:t>
          </a:r>
        </a:p>
        <a:p xmlns:a="http://schemas.openxmlformats.org/drawingml/2006/main">
          <a:endParaRPr lang="en-AU" sz="1200">
            <a:latin typeface="Arial" panose="020B0604020202020204" pitchFamily="34" charset="0"/>
            <a:cs typeface="Arial" panose="020B0604020202020204" pitchFamily="34" charset="0"/>
          </a:endParaRPr>
        </a:p>
        <a:p xmlns:a="http://schemas.openxmlformats.org/drawingml/2006/main">
          <a:r>
            <a:rPr lang="en-AU" sz="1200">
              <a:latin typeface="Arial" panose="020B0604020202020204" pitchFamily="34" charset="0"/>
              <a:cs typeface="Arial" panose="020B0604020202020204" pitchFamily="34" charset="0"/>
            </a:rPr>
            <a:t>Complaints accepted and finalised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SharedWithUsers xmlns="a9ec758c-7b29-4bbd-836f-c599af6fef2b">
      <UserInfo>
        <DisplayName>Sean Costello</DisplayName>
        <AccountId>13</AccountId>
        <AccountType/>
      </UserInfo>
      <UserInfo>
        <DisplayName>Kate Marsh</DisplayName>
        <AccountId>14</AccountId>
        <AccountType/>
      </UserInfo>
      <UserInfo>
        <DisplayName>Rebekah Leong</DisplayName>
        <AccountId>15</AccountId>
        <AccountType/>
      </UserInfo>
      <UserInfo>
        <DisplayName>Helen Bannerman</DisplayName>
        <AccountId>12</AccountId>
        <AccountType/>
      </UserInfo>
      <UserInfo>
        <DisplayName>Hannah Duncan</DisplayName>
        <AccountId>22</AccountId>
        <AccountType/>
      </UserInfo>
    </SharedWithUsers>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50E670C0B708384A9FE68EDDD2FCA27F" ma:contentTypeVersion="6" ma:contentTypeDescription="Create a new document." ma:contentTypeScope="" ma:versionID="a37b2ecdcac76ce916a3b5b8060a4e66">
  <xsd:schema xmlns:xsd="http://www.w3.org/2001/XMLSchema" xmlns:xs="http://www.w3.org/2001/XMLSchema" xmlns:p="http://schemas.microsoft.com/office/2006/metadata/properties" xmlns:ns2="a9ec758c-7b29-4bbd-836f-c599af6fef2b" xmlns:ns3="4895baa6-ac4c-4d1e-b231-8483c88111dc" targetNamespace="http://schemas.microsoft.com/office/2006/metadata/properties" ma:root="true" ma:fieldsID="dcf53ed0953373f40e1887cd7243e3cb" ns2:_="" ns3:_="">
    <xsd:import namespace="a9ec758c-7b29-4bbd-836f-c599af6fef2b"/>
    <xsd:import namespace="4895baa6-ac4c-4d1e-b231-8483c88111dc"/>
    <xsd:element name="properties">
      <xsd:complexType>
        <xsd:sequence>
          <xsd:element name="documentManagement">
            <xsd:complexType>
              <xsd:all>
                <xsd:element ref="ns2:SharedWithUsers" minOccurs="0"/>
                <xsd:element ref="ns2:SharedWithDetails" minOccurs="0"/>
                <xsd:element ref="ns3:MediaServiceMetadata" minOccurs="0"/>
                <xsd:element ref="ns3:MediaServiceFastMetadata"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9ec758c-7b29-4bbd-836f-c599af6fef2b" elementFormDefault="qualified">
    <xsd:import namespace="http://schemas.microsoft.com/office/2006/documentManagement/types"/>
    <xsd:import namespace="http://schemas.microsoft.com/office/infopath/2007/PartnerControls"/>
    <xsd:element name="SharedWithUsers" ma:index="8"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9" nillable="true" ma:displayName="Shared With Details"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895baa6-ac4c-4d1e-b231-8483c88111dc" elementFormDefault="qualified">
    <xsd:import namespace="http://schemas.microsoft.com/office/2006/documentManagement/types"/>
    <xsd:import namespace="http://schemas.microsoft.com/office/infopath/2007/PartnerControls"/>
    <xsd:element name="MediaServiceMetadata" ma:index="10" nillable="true" ma:displayName="MediaServiceMetadata" ma:hidden="true" ma:internalName="MediaServiceMetadata" ma:readOnly="true">
      <xsd:simpleType>
        <xsd:restriction base="dms:Note"/>
      </xsd:simpleType>
    </xsd:element>
    <xsd:element name="MediaServiceFastMetadata" ma:index="11" nillable="true" ma:displayName="MediaServiceFastMetadata" ma:hidden="true" ma:internalName="MediaServiceFastMetadata" ma:readOnly="true">
      <xsd:simpleType>
        <xsd:restriction base="dms:Note"/>
      </xsd:simpleType>
    </xsd:element>
    <xsd:element name="MediaServiceAutoKeyPoints" ma:index="12" nillable="true" ma:displayName="MediaServiceAutoKeyPoints" ma:hidden="true" ma:internalName="MediaServiceAutoKeyPoints" ma:readOnly="true">
      <xsd:simpleType>
        <xsd:restriction base="dms:Note"/>
      </xsd:simpleType>
    </xsd:element>
    <xsd:element name="MediaServiceKeyPoints" ma:index="13" nillable="true" ma:displayName="KeyPoints" ma:internalName="MediaServiceKeyPoint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2B98EF-019D-434E-AC8F-0FDF0FAED133}">
  <ds:schemaRefs>
    <ds:schemaRef ds:uri="http://schemas.microsoft.com/office/2006/documentManagement/types"/>
    <ds:schemaRef ds:uri="http://purl.org/dc/elements/1.1/"/>
    <ds:schemaRef ds:uri="http://schemas.microsoft.com/office/2006/metadata/properties"/>
    <ds:schemaRef ds:uri="http://purl.org/dc/terms/"/>
    <ds:schemaRef ds:uri="http://schemas.openxmlformats.org/package/2006/metadata/core-properties"/>
    <ds:schemaRef ds:uri="http://purl.org/dc/dcmitype/"/>
    <ds:schemaRef ds:uri="http://schemas.microsoft.com/office/infopath/2007/PartnerControls"/>
    <ds:schemaRef ds:uri="4895baa6-ac4c-4d1e-b231-8483c88111dc"/>
    <ds:schemaRef ds:uri="a9ec758c-7b29-4bbd-836f-c599af6fef2b"/>
    <ds:schemaRef ds:uri="http://www.w3.org/XML/1998/namespace"/>
  </ds:schemaRefs>
</ds:datastoreItem>
</file>

<file path=customXml/itemProps2.xml><?xml version="1.0" encoding="utf-8"?>
<ds:datastoreItem xmlns:ds="http://schemas.openxmlformats.org/officeDocument/2006/customXml" ds:itemID="{DF8064C7-F7D4-4DCA-9B56-FF8974FB2FD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9ec758c-7b29-4bbd-836f-c599af6fef2b"/>
    <ds:schemaRef ds:uri="4895baa6-ac4c-4d1e-b231-8483c88111d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E901D620-00B9-4509-9720-547BF41D8F64}">
  <ds:schemaRefs>
    <ds:schemaRef ds:uri="http://schemas.microsoft.com/sharepoint/v3/contenttype/forms"/>
  </ds:schemaRefs>
</ds:datastoreItem>
</file>

<file path=customXml/itemProps4.xml><?xml version="1.0" encoding="utf-8"?>
<ds:datastoreItem xmlns:ds="http://schemas.openxmlformats.org/officeDocument/2006/customXml" ds:itemID="{346B6658-A281-4EB0-9B0F-BB05006CB7B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24</TotalTime>
  <Pages>195</Pages>
  <Words>44845</Words>
  <Characters>255623</Characters>
  <Application>Microsoft Office Word</Application>
  <DocSecurity>0</DocSecurity>
  <Lines>2130</Lines>
  <Paragraphs>599</Paragraphs>
  <ScaleCrop>false</ScaleCrop>
  <HeadingPairs>
    <vt:vector size="2" baseType="variant">
      <vt:variant>
        <vt:lpstr>Title</vt:lpstr>
      </vt:variant>
      <vt:variant>
        <vt:i4>1</vt:i4>
      </vt:variant>
    </vt:vector>
  </HeadingPairs>
  <TitlesOfParts>
    <vt:vector size="1" baseType="lpstr">
      <vt:lpstr/>
    </vt:vector>
  </TitlesOfParts>
  <Company>ADCQ</Company>
  <LinksUpToDate>false</LinksUpToDate>
  <CharactersWithSpaces>299869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Kate Marsh</dc:creator>
  <cp:keywords/>
  <dc:description/>
  <cp:lastModifiedBy>Kate Marsh</cp:lastModifiedBy>
  <cp:revision>7</cp:revision>
  <cp:lastPrinted>2021-11-17T22:48:00Z</cp:lastPrinted>
  <dcterms:created xsi:type="dcterms:W3CDTF">2021-10-28T05:19:00Z</dcterms:created>
  <dcterms:modified xsi:type="dcterms:W3CDTF">2021-11-17T22:49:00Z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0x01010050E670C0B708384A9FE68EDDD2FCA27F</vt:lpwstr>
  </property>
</Properties>
</file>