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4BD9F" w14:textId="77777777" w:rsidR="009D6847" w:rsidRPr="007309E7" w:rsidRDefault="009D6847" w:rsidP="00DA0811">
      <w:pPr>
        <w:rPr>
          <w:rFonts w:cs="Arial"/>
        </w:rPr>
      </w:pPr>
    </w:p>
    <w:p w14:paraId="6B23BCC8" w14:textId="77777777" w:rsidR="009F7526" w:rsidRPr="007309E7" w:rsidRDefault="009F7526" w:rsidP="009F7526">
      <w:pPr>
        <w:spacing w:before="0" w:line="240" w:lineRule="auto"/>
        <w:rPr>
          <w:rFonts w:eastAsia="MS Mincho" w:cs="Arial"/>
          <w:color w:val="002060"/>
          <w:sz w:val="60"/>
          <w:szCs w:val="60"/>
        </w:rPr>
      </w:pPr>
    </w:p>
    <w:p w14:paraId="1B24AF55" w14:textId="77777777" w:rsidR="009F7526" w:rsidRPr="007309E7" w:rsidRDefault="009F7526" w:rsidP="009F7526">
      <w:pPr>
        <w:spacing w:before="0" w:line="240" w:lineRule="auto"/>
        <w:rPr>
          <w:rFonts w:eastAsia="MS Mincho" w:cs="Arial"/>
          <w:color w:val="002060"/>
          <w:sz w:val="60"/>
          <w:szCs w:val="60"/>
        </w:rPr>
      </w:pPr>
    </w:p>
    <w:p w14:paraId="61A3218F" w14:textId="183F686E" w:rsidR="009F7526" w:rsidRPr="001531F1" w:rsidRDefault="009F7526" w:rsidP="001531F1">
      <w:pPr>
        <w:pStyle w:val="Title"/>
      </w:pPr>
      <w:r w:rsidRPr="001531F1">
        <w:t>Inquiry into elder abuse</w:t>
      </w:r>
      <w:r w:rsidR="00AE0AC3">
        <w:t xml:space="preserve"> in Queensland</w:t>
      </w:r>
    </w:p>
    <w:p w14:paraId="4544636D" w14:textId="0CE796B8" w:rsidR="009F7526" w:rsidRPr="001531F1" w:rsidRDefault="009F7526" w:rsidP="001531F1">
      <w:pPr>
        <w:spacing w:before="0" w:line="240" w:lineRule="auto"/>
        <w:rPr>
          <w:rFonts w:eastAsiaTheme="minorEastAsia"/>
          <w:color w:val="244061" w:themeColor="accent1" w:themeShade="80"/>
          <w:sz w:val="36"/>
          <w:szCs w:val="36"/>
        </w:rPr>
      </w:pPr>
      <w:r w:rsidRPr="001531F1">
        <w:rPr>
          <w:rFonts w:eastAsiaTheme="minorEastAsia"/>
          <w:color w:val="244061" w:themeColor="accent1" w:themeShade="80"/>
          <w:sz w:val="36"/>
          <w:szCs w:val="36"/>
        </w:rPr>
        <w:t xml:space="preserve">Submission to </w:t>
      </w:r>
      <w:r w:rsidR="005B4F5E" w:rsidRPr="001531F1">
        <w:rPr>
          <w:rFonts w:eastAsiaTheme="minorEastAsia"/>
          <w:color w:val="244061" w:themeColor="accent1" w:themeShade="80"/>
          <w:sz w:val="36"/>
          <w:szCs w:val="36"/>
        </w:rPr>
        <w:t xml:space="preserve">the </w:t>
      </w:r>
      <w:r w:rsidRPr="001531F1">
        <w:rPr>
          <w:rFonts w:eastAsiaTheme="minorEastAsia"/>
          <w:color w:val="244061" w:themeColor="accent1" w:themeShade="80"/>
          <w:sz w:val="36"/>
          <w:szCs w:val="36"/>
        </w:rPr>
        <w:t>Education, Arts and Communities Committee</w:t>
      </w:r>
    </w:p>
    <w:p w14:paraId="2EC10C6E" w14:textId="77777777" w:rsidR="001531F1" w:rsidRDefault="001531F1" w:rsidP="001531F1">
      <w:pPr>
        <w:spacing w:before="0" w:line="240" w:lineRule="auto"/>
        <w:rPr>
          <w:rFonts w:eastAsiaTheme="minorEastAsia"/>
          <w:color w:val="244061" w:themeColor="accent1" w:themeShade="80"/>
          <w:sz w:val="36"/>
          <w:szCs w:val="36"/>
        </w:rPr>
      </w:pPr>
    </w:p>
    <w:p w14:paraId="6BA71906" w14:textId="2F9CD5C1" w:rsidR="009F7526" w:rsidRPr="001531F1" w:rsidRDefault="009F7526" w:rsidP="001531F1">
      <w:pPr>
        <w:spacing w:before="0" w:line="240" w:lineRule="auto"/>
        <w:rPr>
          <w:rFonts w:eastAsiaTheme="minorEastAsia"/>
          <w:color w:val="244061" w:themeColor="accent1" w:themeShade="80"/>
          <w:sz w:val="36"/>
          <w:szCs w:val="36"/>
        </w:rPr>
      </w:pPr>
      <w:r w:rsidRPr="001531F1">
        <w:rPr>
          <w:rFonts w:eastAsiaTheme="minorEastAsia"/>
          <w:color w:val="244061" w:themeColor="accent1" w:themeShade="80"/>
          <w:sz w:val="36"/>
          <w:szCs w:val="36"/>
        </w:rPr>
        <w:t>10 April 2025</w:t>
      </w:r>
    </w:p>
    <w:p w14:paraId="2CE7BFF9" w14:textId="77777777" w:rsidR="009F7526" w:rsidRPr="007309E7" w:rsidRDefault="009F7526" w:rsidP="0021548E">
      <w:pPr>
        <w:pStyle w:val="Heading2"/>
        <w:rPr>
          <w:rFonts w:cs="Arial"/>
        </w:rPr>
      </w:pPr>
    </w:p>
    <w:p w14:paraId="48ED1523" w14:textId="77777777" w:rsidR="009F7526" w:rsidRPr="007309E7" w:rsidRDefault="009F7526" w:rsidP="0021548E">
      <w:pPr>
        <w:pStyle w:val="Heading2"/>
        <w:rPr>
          <w:rFonts w:cs="Arial"/>
        </w:rPr>
      </w:pPr>
    </w:p>
    <w:p w14:paraId="1416C357" w14:textId="77777777" w:rsidR="009F7526" w:rsidRPr="007309E7" w:rsidRDefault="009F7526" w:rsidP="0021548E">
      <w:pPr>
        <w:pStyle w:val="Heading2"/>
        <w:rPr>
          <w:rFonts w:cs="Arial"/>
        </w:rPr>
      </w:pPr>
    </w:p>
    <w:p w14:paraId="592ABA52" w14:textId="77777777" w:rsidR="009F7526" w:rsidRPr="007309E7" w:rsidRDefault="009F7526" w:rsidP="0021548E">
      <w:pPr>
        <w:pStyle w:val="Heading2"/>
        <w:rPr>
          <w:rFonts w:cs="Arial"/>
        </w:rPr>
      </w:pPr>
    </w:p>
    <w:p w14:paraId="05C36BB8" w14:textId="77777777" w:rsidR="009F7526" w:rsidRPr="007309E7" w:rsidRDefault="009F7526" w:rsidP="0021548E">
      <w:pPr>
        <w:pStyle w:val="Heading2"/>
        <w:rPr>
          <w:rFonts w:cs="Arial"/>
        </w:rPr>
      </w:pPr>
    </w:p>
    <w:p w14:paraId="15D71D97" w14:textId="77777777" w:rsidR="009F7526" w:rsidRPr="007309E7" w:rsidRDefault="009F7526" w:rsidP="0021548E">
      <w:pPr>
        <w:pStyle w:val="Heading2"/>
        <w:rPr>
          <w:rFonts w:cs="Arial"/>
        </w:rPr>
      </w:pPr>
    </w:p>
    <w:p w14:paraId="525C0D85" w14:textId="77777777" w:rsidR="009F7526" w:rsidRPr="007309E7" w:rsidRDefault="009F7526" w:rsidP="0021548E">
      <w:pPr>
        <w:pStyle w:val="Heading2"/>
        <w:rPr>
          <w:rFonts w:cs="Arial"/>
        </w:rPr>
      </w:pPr>
    </w:p>
    <w:p w14:paraId="26FDA808" w14:textId="77777777" w:rsidR="009F7526" w:rsidRPr="007309E7" w:rsidRDefault="009F7526" w:rsidP="0021548E">
      <w:pPr>
        <w:pStyle w:val="Heading2"/>
        <w:rPr>
          <w:rFonts w:cs="Arial"/>
        </w:rPr>
      </w:pPr>
    </w:p>
    <w:p w14:paraId="3D76897E" w14:textId="77777777" w:rsidR="009F7526" w:rsidRPr="007309E7" w:rsidRDefault="009F7526" w:rsidP="0021548E">
      <w:pPr>
        <w:pStyle w:val="Heading2"/>
        <w:rPr>
          <w:rFonts w:cs="Arial"/>
        </w:rPr>
      </w:pPr>
    </w:p>
    <w:p w14:paraId="276A5B4C" w14:textId="77777777" w:rsidR="009F7526" w:rsidRPr="007309E7" w:rsidRDefault="009F7526" w:rsidP="0021548E">
      <w:pPr>
        <w:pStyle w:val="Heading2"/>
        <w:rPr>
          <w:rFonts w:cs="Arial"/>
        </w:rPr>
      </w:pPr>
    </w:p>
    <w:p w14:paraId="452EA804" w14:textId="77777777" w:rsidR="009F7526" w:rsidRPr="007309E7" w:rsidRDefault="009F7526" w:rsidP="0021548E">
      <w:pPr>
        <w:pStyle w:val="Heading2"/>
        <w:rPr>
          <w:rFonts w:cs="Arial"/>
        </w:rPr>
      </w:pPr>
    </w:p>
    <w:sdt>
      <w:sdtPr>
        <w:rPr>
          <w:rFonts w:ascii="Arial" w:eastAsiaTheme="minorHAnsi" w:hAnsi="Arial" w:cs="Arial"/>
          <w:color w:val="auto"/>
          <w:sz w:val="22"/>
          <w:szCs w:val="22"/>
          <w:lang w:val="en-GB" w:eastAsia="en-US"/>
        </w:rPr>
        <w:id w:val="9577815"/>
        <w:docPartObj>
          <w:docPartGallery w:val="Table of Contents"/>
          <w:docPartUnique/>
        </w:docPartObj>
      </w:sdtPr>
      <w:sdtEndPr>
        <w:rPr>
          <w:b/>
          <w:bCs/>
        </w:rPr>
      </w:sdtEndPr>
      <w:sdtContent>
        <w:p w14:paraId="14FE82F1" w14:textId="6B53E196" w:rsidR="007309E7" w:rsidRPr="007309E7" w:rsidRDefault="007309E7">
          <w:pPr>
            <w:pStyle w:val="TOCHeading"/>
            <w:rPr>
              <w:rFonts w:ascii="Arial" w:hAnsi="Arial" w:cs="Arial"/>
            </w:rPr>
          </w:pPr>
          <w:r w:rsidRPr="007309E7">
            <w:rPr>
              <w:rFonts w:ascii="Arial" w:hAnsi="Arial" w:cs="Arial"/>
              <w:lang w:val="en-GB"/>
            </w:rPr>
            <w:t>Table of Contents</w:t>
          </w:r>
        </w:p>
        <w:p w14:paraId="3A2BBA9D" w14:textId="046C7DFF" w:rsidR="009D7650" w:rsidRDefault="003E4D57">
          <w:pPr>
            <w:pStyle w:val="TOC2"/>
            <w:tabs>
              <w:tab w:val="right" w:leader="dot" w:pos="9016"/>
            </w:tabs>
            <w:rPr>
              <w:rFonts w:asciiTheme="minorHAnsi" w:eastAsiaTheme="minorEastAsia" w:hAnsiTheme="minorHAnsi"/>
              <w:noProof/>
              <w:kern w:val="2"/>
              <w:sz w:val="24"/>
              <w:szCs w:val="24"/>
              <w:lang w:eastAsia="en-AU"/>
              <w14:ligatures w14:val="standardContextual"/>
            </w:rPr>
          </w:pPr>
          <w:r>
            <w:rPr>
              <w:rFonts w:cs="Arial"/>
            </w:rPr>
            <w:fldChar w:fldCharType="begin"/>
          </w:r>
          <w:r>
            <w:rPr>
              <w:rFonts w:cs="Arial"/>
            </w:rPr>
            <w:instrText xml:space="preserve"> TOC \o "1-4" \h \z \u </w:instrText>
          </w:r>
          <w:r>
            <w:rPr>
              <w:rFonts w:cs="Arial"/>
            </w:rPr>
            <w:fldChar w:fldCharType="separate"/>
          </w:r>
          <w:hyperlink w:anchor="_Toc194913958" w:history="1">
            <w:r w:rsidR="009D7650" w:rsidRPr="00F700D3">
              <w:rPr>
                <w:rStyle w:val="Hyperlink"/>
                <w:rFonts w:cs="Arial"/>
                <w:noProof/>
              </w:rPr>
              <w:t>Introduction</w:t>
            </w:r>
            <w:r w:rsidR="009D7650">
              <w:rPr>
                <w:noProof/>
                <w:webHidden/>
              </w:rPr>
              <w:tab/>
            </w:r>
            <w:r w:rsidR="009D7650">
              <w:rPr>
                <w:noProof/>
                <w:webHidden/>
              </w:rPr>
              <w:fldChar w:fldCharType="begin"/>
            </w:r>
            <w:r w:rsidR="009D7650">
              <w:rPr>
                <w:noProof/>
                <w:webHidden/>
              </w:rPr>
              <w:instrText xml:space="preserve"> PAGEREF _Toc194913958 \h </w:instrText>
            </w:r>
            <w:r w:rsidR="009D7650">
              <w:rPr>
                <w:noProof/>
                <w:webHidden/>
              </w:rPr>
            </w:r>
            <w:r w:rsidR="009D7650">
              <w:rPr>
                <w:noProof/>
                <w:webHidden/>
              </w:rPr>
              <w:fldChar w:fldCharType="separate"/>
            </w:r>
            <w:r w:rsidR="009D7650">
              <w:rPr>
                <w:noProof/>
                <w:webHidden/>
              </w:rPr>
              <w:t>3</w:t>
            </w:r>
            <w:r w:rsidR="009D7650">
              <w:rPr>
                <w:noProof/>
                <w:webHidden/>
              </w:rPr>
              <w:fldChar w:fldCharType="end"/>
            </w:r>
          </w:hyperlink>
        </w:p>
        <w:p w14:paraId="3AA2F86B" w14:textId="497BD711" w:rsidR="009D7650" w:rsidRDefault="009D7650">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194913959" w:history="1">
            <w:r w:rsidRPr="00F700D3">
              <w:rPr>
                <w:rStyle w:val="Hyperlink"/>
                <w:rFonts w:cs="Arial"/>
                <w:noProof/>
              </w:rPr>
              <w:t>Summary</w:t>
            </w:r>
            <w:r>
              <w:rPr>
                <w:noProof/>
                <w:webHidden/>
              </w:rPr>
              <w:tab/>
            </w:r>
            <w:r>
              <w:rPr>
                <w:noProof/>
                <w:webHidden/>
              </w:rPr>
              <w:fldChar w:fldCharType="begin"/>
            </w:r>
            <w:r>
              <w:rPr>
                <w:noProof/>
                <w:webHidden/>
              </w:rPr>
              <w:instrText xml:space="preserve"> PAGEREF _Toc194913959 \h </w:instrText>
            </w:r>
            <w:r>
              <w:rPr>
                <w:noProof/>
                <w:webHidden/>
              </w:rPr>
            </w:r>
            <w:r>
              <w:rPr>
                <w:noProof/>
                <w:webHidden/>
              </w:rPr>
              <w:fldChar w:fldCharType="separate"/>
            </w:r>
            <w:r>
              <w:rPr>
                <w:noProof/>
                <w:webHidden/>
              </w:rPr>
              <w:t>3</w:t>
            </w:r>
            <w:r>
              <w:rPr>
                <w:noProof/>
                <w:webHidden/>
              </w:rPr>
              <w:fldChar w:fldCharType="end"/>
            </w:r>
          </w:hyperlink>
        </w:p>
        <w:p w14:paraId="1921037B" w14:textId="4418CD12" w:rsidR="009D7650" w:rsidRDefault="009D7650">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194913960" w:history="1">
            <w:r w:rsidRPr="00F700D3">
              <w:rPr>
                <w:rStyle w:val="Hyperlink"/>
                <w:rFonts w:cs="Arial"/>
                <w:noProof/>
              </w:rPr>
              <w:t>Abuse of older Queenslanders</w:t>
            </w:r>
            <w:r>
              <w:rPr>
                <w:noProof/>
                <w:webHidden/>
              </w:rPr>
              <w:tab/>
            </w:r>
            <w:r>
              <w:rPr>
                <w:noProof/>
                <w:webHidden/>
              </w:rPr>
              <w:fldChar w:fldCharType="begin"/>
            </w:r>
            <w:r>
              <w:rPr>
                <w:noProof/>
                <w:webHidden/>
              </w:rPr>
              <w:instrText xml:space="preserve"> PAGEREF _Toc194913960 \h </w:instrText>
            </w:r>
            <w:r>
              <w:rPr>
                <w:noProof/>
                <w:webHidden/>
              </w:rPr>
            </w:r>
            <w:r>
              <w:rPr>
                <w:noProof/>
                <w:webHidden/>
              </w:rPr>
              <w:fldChar w:fldCharType="separate"/>
            </w:r>
            <w:r>
              <w:rPr>
                <w:noProof/>
                <w:webHidden/>
              </w:rPr>
              <w:t>4</w:t>
            </w:r>
            <w:r>
              <w:rPr>
                <w:noProof/>
                <w:webHidden/>
              </w:rPr>
              <w:fldChar w:fldCharType="end"/>
            </w:r>
          </w:hyperlink>
        </w:p>
        <w:p w14:paraId="228F3AA9" w14:textId="5B26D64A" w:rsidR="009D7650" w:rsidRDefault="009D7650">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194913961" w:history="1">
            <w:r w:rsidRPr="00F700D3">
              <w:rPr>
                <w:rStyle w:val="Hyperlink"/>
                <w:rFonts w:cs="Arial"/>
                <w:noProof/>
              </w:rPr>
              <w:t>Vulnerable older Queenslanders are more likely to experience abuse</w:t>
            </w:r>
            <w:r>
              <w:rPr>
                <w:noProof/>
                <w:webHidden/>
              </w:rPr>
              <w:tab/>
            </w:r>
            <w:r>
              <w:rPr>
                <w:noProof/>
                <w:webHidden/>
              </w:rPr>
              <w:fldChar w:fldCharType="begin"/>
            </w:r>
            <w:r>
              <w:rPr>
                <w:noProof/>
                <w:webHidden/>
              </w:rPr>
              <w:instrText xml:space="preserve"> PAGEREF _Toc194913961 \h </w:instrText>
            </w:r>
            <w:r>
              <w:rPr>
                <w:noProof/>
                <w:webHidden/>
              </w:rPr>
            </w:r>
            <w:r>
              <w:rPr>
                <w:noProof/>
                <w:webHidden/>
              </w:rPr>
              <w:fldChar w:fldCharType="separate"/>
            </w:r>
            <w:r>
              <w:rPr>
                <w:noProof/>
                <w:webHidden/>
              </w:rPr>
              <w:t>5</w:t>
            </w:r>
            <w:r>
              <w:rPr>
                <w:noProof/>
                <w:webHidden/>
              </w:rPr>
              <w:fldChar w:fldCharType="end"/>
            </w:r>
          </w:hyperlink>
        </w:p>
        <w:p w14:paraId="6BCA28FA" w14:textId="3708A05A" w:rsidR="009D7650" w:rsidRDefault="009D7650">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194913962" w:history="1">
            <w:r w:rsidRPr="00F700D3">
              <w:rPr>
                <w:rStyle w:val="Hyperlink"/>
                <w:rFonts w:cs="Arial"/>
                <w:noProof/>
              </w:rPr>
              <w:t>Abuse in residential aged care</w:t>
            </w:r>
            <w:r>
              <w:rPr>
                <w:noProof/>
                <w:webHidden/>
              </w:rPr>
              <w:tab/>
            </w:r>
            <w:r>
              <w:rPr>
                <w:noProof/>
                <w:webHidden/>
              </w:rPr>
              <w:fldChar w:fldCharType="begin"/>
            </w:r>
            <w:r>
              <w:rPr>
                <w:noProof/>
                <w:webHidden/>
              </w:rPr>
              <w:instrText xml:space="preserve"> PAGEREF _Toc194913962 \h </w:instrText>
            </w:r>
            <w:r>
              <w:rPr>
                <w:noProof/>
                <w:webHidden/>
              </w:rPr>
            </w:r>
            <w:r>
              <w:rPr>
                <w:noProof/>
                <w:webHidden/>
              </w:rPr>
              <w:fldChar w:fldCharType="separate"/>
            </w:r>
            <w:r>
              <w:rPr>
                <w:noProof/>
                <w:webHidden/>
              </w:rPr>
              <w:t>5</w:t>
            </w:r>
            <w:r>
              <w:rPr>
                <w:noProof/>
                <w:webHidden/>
              </w:rPr>
              <w:fldChar w:fldCharType="end"/>
            </w:r>
          </w:hyperlink>
        </w:p>
        <w:p w14:paraId="4592F8E1" w14:textId="4262C959" w:rsidR="009D7650" w:rsidRDefault="009D7650">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194913963" w:history="1">
            <w:r w:rsidRPr="00F700D3">
              <w:rPr>
                <w:rStyle w:val="Hyperlink"/>
                <w:rFonts w:cs="Arial"/>
                <w:noProof/>
              </w:rPr>
              <w:t>Inappropriate use of restrictive practices</w:t>
            </w:r>
            <w:r>
              <w:rPr>
                <w:noProof/>
                <w:webHidden/>
              </w:rPr>
              <w:tab/>
            </w:r>
            <w:r>
              <w:rPr>
                <w:noProof/>
                <w:webHidden/>
              </w:rPr>
              <w:fldChar w:fldCharType="begin"/>
            </w:r>
            <w:r>
              <w:rPr>
                <w:noProof/>
                <w:webHidden/>
              </w:rPr>
              <w:instrText xml:space="preserve"> PAGEREF _Toc194913963 \h </w:instrText>
            </w:r>
            <w:r>
              <w:rPr>
                <w:noProof/>
                <w:webHidden/>
              </w:rPr>
            </w:r>
            <w:r>
              <w:rPr>
                <w:noProof/>
                <w:webHidden/>
              </w:rPr>
              <w:fldChar w:fldCharType="separate"/>
            </w:r>
            <w:r>
              <w:rPr>
                <w:noProof/>
                <w:webHidden/>
              </w:rPr>
              <w:t>5</w:t>
            </w:r>
            <w:r>
              <w:rPr>
                <w:noProof/>
                <w:webHidden/>
              </w:rPr>
              <w:fldChar w:fldCharType="end"/>
            </w:r>
          </w:hyperlink>
        </w:p>
        <w:p w14:paraId="3262A588" w14:textId="2E72E8FD" w:rsidR="009D7650" w:rsidRDefault="009D7650">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194913964" w:history="1">
            <w:r w:rsidRPr="00F700D3">
              <w:rPr>
                <w:rStyle w:val="Hyperlink"/>
                <w:noProof/>
              </w:rPr>
              <w:t>Impacts of abuse on older Queenslander’s human rights</w:t>
            </w:r>
            <w:r>
              <w:rPr>
                <w:noProof/>
                <w:webHidden/>
              </w:rPr>
              <w:tab/>
            </w:r>
            <w:r>
              <w:rPr>
                <w:noProof/>
                <w:webHidden/>
              </w:rPr>
              <w:fldChar w:fldCharType="begin"/>
            </w:r>
            <w:r>
              <w:rPr>
                <w:noProof/>
                <w:webHidden/>
              </w:rPr>
              <w:instrText xml:space="preserve"> PAGEREF _Toc194913964 \h </w:instrText>
            </w:r>
            <w:r>
              <w:rPr>
                <w:noProof/>
                <w:webHidden/>
              </w:rPr>
            </w:r>
            <w:r>
              <w:rPr>
                <w:noProof/>
                <w:webHidden/>
              </w:rPr>
              <w:fldChar w:fldCharType="separate"/>
            </w:r>
            <w:r>
              <w:rPr>
                <w:noProof/>
                <w:webHidden/>
              </w:rPr>
              <w:t>6</w:t>
            </w:r>
            <w:r>
              <w:rPr>
                <w:noProof/>
                <w:webHidden/>
              </w:rPr>
              <w:fldChar w:fldCharType="end"/>
            </w:r>
          </w:hyperlink>
        </w:p>
        <w:p w14:paraId="0D752B6D" w14:textId="01024462" w:rsidR="009D7650" w:rsidRDefault="009D7650">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194913965" w:history="1">
            <w:r w:rsidRPr="00F700D3">
              <w:rPr>
                <w:rStyle w:val="Hyperlink"/>
                <w:rFonts w:cs="Arial"/>
                <w:noProof/>
              </w:rPr>
              <w:t>Effectiveness of current responses to elder abuse</w:t>
            </w:r>
            <w:r>
              <w:rPr>
                <w:noProof/>
                <w:webHidden/>
              </w:rPr>
              <w:tab/>
            </w:r>
            <w:r>
              <w:rPr>
                <w:noProof/>
                <w:webHidden/>
              </w:rPr>
              <w:fldChar w:fldCharType="begin"/>
            </w:r>
            <w:r>
              <w:rPr>
                <w:noProof/>
                <w:webHidden/>
              </w:rPr>
              <w:instrText xml:space="preserve"> PAGEREF _Toc194913965 \h </w:instrText>
            </w:r>
            <w:r>
              <w:rPr>
                <w:noProof/>
                <w:webHidden/>
              </w:rPr>
            </w:r>
            <w:r>
              <w:rPr>
                <w:noProof/>
                <w:webHidden/>
              </w:rPr>
              <w:fldChar w:fldCharType="separate"/>
            </w:r>
            <w:r>
              <w:rPr>
                <w:noProof/>
                <w:webHidden/>
              </w:rPr>
              <w:t>6</w:t>
            </w:r>
            <w:r>
              <w:rPr>
                <w:noProof/>
                <w:webHidden/>
              </w:rPr>
              <w:fldChar w:fldCharType="end"/>
            </w:r>
          </w:hyperlink>
        </w:p>
        <w:p w14:paraId="630F9FFB" w14:textId="12B56AD1" w:rsidR="009D7650" w:rsidRDefault="009D7650">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194913966" w:history="1">
            <w:r w:rsidRPr="00F700D3">
              <w:rPr>
                <w:rStyle w:val="Hyperlink"/>
                <w:rFonts w:cs="Arial"/>
                <w:noProof/>
              </w:rPr>
              <w:t>Human rights protections - Human Rights Act</w:t>
            </w:r>
            <w:r>
              <w:rPr>
                <w:noProof/>
                <w:webHidden/>
              </w:rPr>
              <w:tab/>
            </w:r>
            <w:r>
              <w:rPr>
                <w:noProof/>
                <w:webHidden/>
              </w:rPr>
              <w:fldChar w:fldCharType="begin"/>
            </w:r>
            <w:r>
              <w:rPr>
                <w:noProof/>
                <w:webHidden/>
              </w:rPr>
              <w:instrText xml:space="preserve"> PAGEREF _Toc194913966 \h </w:instrText>
            </w:r>
            <w:r>
              <w:rPr>
                <w:noProof/>
                <w:webHidden/>
              </w:rPr>
            </w:r>
            <w:r>
              <w:rPr>
                <w:noProof/>
                <w:webHidden/>
              </w:rPr>
              <w:fldChar w:fldCharType="separate"/>
            </w:r>
            <w:r>
              <w:rPr>
                <w:noProof/>
                <w:webHidden/>
              </w:rPr>
              <w:t>6</w:t>
            </w:r>
            <w:r>
              <w:rPr>
                <w:noProof/>
                <w:webHidden/>
              </w:rPr>
              <w:fldChar w:fldCharType="end"/>
            </w:r>
          </w:hyperlink>
        </w:p>
        <w:p w14:paraId="6979408A" w14:textId="65AF8F4E" w:rsidR="009D7650" w:rsidRDefault="009D7650">
          <w:pPr>
            <w:pStyle w:val="TOC4"/>
            <w:tabs>
              <w:tab w:val="right" w:leader="dot" w:pos="9016"/>
            </w:tabs>
            <w:rPr>
              <w:rFonts w:asciiTheme="minorHAnsi" w:eastAsiaTheme="minorEastAsia" w:hAnsiTheme="minorHAnsi"/>
              <w:noProof/>
              <w:kern w:val="2"/>
              <w:sz w:val="24"/>
              <w:szCs w:val="24"/>
              <w:lang w:eastAsia="en-AU"/>
              <w14:ligatures w14:val="standardContextual"/>
            </w:rPr>
          </w:pPr>
          <w:hyperlink w:anchor="_Toc194913967" w:history="1">
            <w:r w:rsidRPr="00F700D3">
              <w:rPr>
                <w:rStyle w:val="Hyperlink"/>
                <w:noProof/>
              </w:rPr>
              <w:t>Enhancing effectiveness of human rights protections – aged care providers to be ‘public entities’ under the Human Rights Act</w:t>
            </w:r>
            <w:r>
              <w:rPr>
                <w:noProof/>
                <w:webHidden/>
              </w:rPr>
              <w:tab/>
            </w:r>
            <w:r>
              <w:rPr>
                <w:noProof/>
                <w:webHidden/>
              </w:rPr>
              <w:fldChar w:fldCharType="begin"/>
            </w:r>
            <w:r>
              <w:rPr>
                <w:noProof/>
                <w:webHidden/>
              </w:rPr>
              <w:instrText xml:space="preserve"> PAGEREF _Toc194913967 \h </w:instrText>
            </w:r>
            <w:r>
              <w:rPr>
                <w:noProof/>
                <w:webHidden/>
              </w:rPr>
            </w:r>
            <w:r>
              <w:rPr>
                <w:noProof/>
                <w:webHidden/>
              </w:rPr>
              <w:fldChar w:fldCharType="separate"/>
            </w:r>
            <w:r>
              <w:rPr>
                <w:noProof/>
                <w:webHidden/>
              </w:rPr>
              <w:t>7</w:t>
            </w:r>
            <w:r>
              <w:rPr>
                <w:noProof/>
                <w:webHidden/>
              </w:rPr>
              <w:fldChar w:fldCharType="end"/>
            </w:r>
          </w:hyperlink>
        </w:p>
        <w:p w14:paraId="6BADDE99" w14:textId="1986FEFD" w:rsidR="009D7650" w:rsidRDefault="009D7650">
          <w:pPr>
            <w:pStyle w:val="TOC4"/>
            <w:tabs>
              <w:tab w:val="right" w:leader="dot" w:pos="9016"/>
            </w:tabs>
            <w:rPr>
              <w:rFonts w:asciiTheme="minorHAnsi" w:eastAsiaTheme="minorEastAsia" w:hAnsiTheme="minorHAnsi"/>
              <w:noProof/>
              <w:kern w:val="2"/>
              <w:sz w:val="24"/>
              <w:szCs w:val="24"/>
              <w:lang w:eastAsia="en-AU"/>
              <w14:ligatures w14:val="standardContextual"/>
            </w:rPr>
          </w:pPr>
          <w:hyperlink w:anchor="_Toc194913968" w:history="1">
            <w:r w:rsidRPr="00F700D3">
              <w:rPr>
                <w:rStyle w:val="Hyperlink"/>
                <w:noProof/>
              </w:rPr>
              <w:t>Enhancing effectiveness of human rights protections – improving the Human Rights Act</w:t>
            </w:r>
            <w:r>
              <w:rPr>
                <w:noProof/>
                <w:webHidden/>
              </w:rPr>
              <w:tab/>
            </w:r>
            <w:r>
              <w:rPr>
                <w:noProof/>
                <w:webHidden/>
              </w:rPr>
              <w:fldChar w:fldCharType="begin"/>
            </w:r>
            <w:r>
              <w:rPr>
                <w:noProof/>
                <w:webHidden/>
              </w:rPr>
              <w:instrText xml:space="preserve"> PAGEREF _Toc194913968 \h </w:instrText>
            </w:r>
            <w:r>
              <w:rPr>
                <w:noProof/>
                <w:webHidden/>
              </w:rPr>
            </w:r>
            <w:r>
              <w:rPr>
                <w:noProof/>
                <w:webHidden/>
              </w:rPr>
              <w:fldChar w:fldCharType="separate"/>
            </w:r>
            <w:r>
              <w:rPr>
                <w:noProof/>
                <w:webHidden/>
              </w:rPr>
              <w:t>8</w:t>
            </w:r>
            <w:r>
              <w:rPr>
                <w:noProof/>
                <w:webHidden/>
              </w:rPr>
              <w:fldChar w:fldCharType="end"/>
            </w:r>
          </w:hyperlink>
        </w:p>
        <w:p w14:paraId="08418614" w14:textId="4C106B64" w:rsidR="009D7650" w:rsidRDefault="009D7650">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194913969" w:history="1">
            <w:r w:rsidRPr="00F700D3">
              <w:rPr>
                <w:rStyle w:val="Hyperlink"/>
                <w:rFonts w:cs="Arial"/>
                <w:noProof/>
              </w:rPr>
              <w:t>Civil and criminal legal protections - the Anti-Discrimination Act</w:t>
            </w:r>
            <w:r>
              <w:rPr>
                <w:noProof/>
                <w:webHidden/>
              </w:rPr>
              <w:tab/>
            </w:r>
            <w:r>
              <w:rPr>
                <w:noProof/>
                <w:webHidden/>
              </w:rPr>
              <w:fldChar w:fldCharType="begin"/>
            </w:r>
            <w:r>
              <w:rPr>
                <w:noProof/>
                <w:webHidden/>
              </w:rPr>
              <w:instrText xml:space="preserve"> PAGEREF _Toc194913969 \h </w:instrText>
            </w:r>
            <w:r>
              <w:rPr>
                <w:noProof/>
                <w:webHidden/>
              </w:rPr>
            </w:r>
            <w:r>
              <w:rPr>
                <w:noProof/>
                <w:webHidden/>
              </w:rPr>
              <w:fldChar w:fldCharType="separate"/>
            </w:r>
            <w:r>
              <w:rPr>
                <w:noProof/>
                <w:webHidden/>
              </w:rPr>
              <w:t>9</w:t>
            </w:r>
            <w:r>
              <w:rPr>
                <w:noProof/>
                <w:webHidden/>
              </w:rPr>
              <w:fldChar w:fldCharType="end"/>
            </w:r>
          </w:hyperlink>
        </w:p>
        <w:p w14:paraId="54C14F5B" w14:textId="5323DF81" w:rsidR="009D7650" w:rsidRDefault="009D7650">
          <w:pPr>
            <w:pStyle w:val="TOC4"/>
            <w:tabs>
              <w:tab w:val="right" w:leader="dot" w:pos="9016"/>
            </w:tabs>
            <w:rPr>
              <w:rFonts w:asciiTheme="minorHAnsi" w:eastAsiaTheme="minorEastAsia" w:hAnsiTheme="minorHAnsi"/>
              <w:noProof/>
              <w:kern w:val="2"/>
              <w:sz w:val="24"/>
              <w:szCs w:val="24"/>
              <w:lang w:eastAsia="en-AU"/>
              <w14:ligatures w14:val="standardContextual"/>
            </w:rPr>
          </w:pPr>
          <w:hyperlink w:anchor="_Toc194913970" w:history="1">
            <w:r w:rsidRPr="00F700D3">
              <w:rPr>
                <w:rStyle w:val="Hyperlink"/>
                <w:noProof/>
              </w:rPr>
              <w:t>Enhancing the effectiveness of civil and criminal legal protections – taking a preventative approach to discrimination</w:t>
            </w:r>
            <w:r>
              <w:rPr>
                <w:noProof/>
                <w:webHidden/>
              </w:rPr>
              <w:tab/>
            </w:r>
            <w:r>
              <w:rPr>
                <w:noProof/>
                <w:webHidden/>
              </w:rPr>
              <w:fldChar w:fldCharType="begin"/>
            </w:r>
            <w:r>
              <w:rPr>
                <w:noProof/>
                <w:webHidden/>
              </w:rPr>
              <w:instrText xml:space="preserve"> PAGEREF _Toc194913970 \h </w:instrText>
            </w:r>
            <w:r>
              <w:rPr>
                <w:noProof/>
                <w:webHidden/>
              </w:rPr>
            </w:r>
            <w:r>
              <w:rPr>
                <w:noProof/>
                <w:webHidden/>
              </w:rPr>
              <w:fldChar w:fldCharType="separate"/>
            </w:r>
            <w:r>
              <w:rPr>
                <w:noProof/>
                <w:webHidden/>
              </w:rPr>
              <w:t>10</w:t>
            </w:r>
            <w:r>
              <w:rPr>
                <w:noProof/>
                <w:webHidden/>
              </w:rPr>
              <w:fldChar w:fldCharType="end"/>
            </w:r>
          </w:hyperlink>
        </w:p>
        <w:p w14:paraId="170E48B4" w14:textId="70367276" w:rsidR="009D7650" w:rsidRDefault="009D7650">
          <w:pPr>
            <w:pStyle w:val="TOC4"/>
            <w:tabs>
              <w:tab w:val="right" w:leader="dot" w:pos="9016"/>
            </w:tabs>
            <w:rPr>
              <w:rFonts w:asciiTheme="minorHAnsi" w:eastAsiaTheme="minorEastAsia" w:hAnsiTheme="minorHAnsi"/>
              <w:noProof/>
              <w:kern w:val="2"/>
              <w:sz w:val="24"/>
              <w:szCs w:val="24"/>
              <w:lang w:eastAsia="en-AU"/>
              <w14:ligatures w14:val="standardContextual"/>
            </w:rPr>
          </w:pPr>
          <w:hyperlink w:anchor="_Toc194913971" w:history="1">
            <w:r w:rsidRPr="00F700D3">
              <w:rPr>
                <w:rStyle w:val="Hyperlink"/>
                <w:noProof/>
              </w:rPr>
              <w:t>Enhancing the effectiveness of civil and criminal legal protections – improving protections against vilification</w:t>
            </w:r>
            <w:r>
              <w:rPr>
                <w:noProof/>
                <w:webHidden/>
              </w:rPr>
              <w:tab/>
            </w:r>
            <w:r>
              <w:rPr>
                <w:noProof/>
                <w:webHidden/>
              </w:rPr>
              <w:fldChar w:fldCharType="begin"/>
            </w:r>
            <w:r>
              <w:rPr>
                <w:noProof/>
                <w:webHidden/>
              </w:rPr>
              <w:instrText xml:space="preserve"> PAGEREF _Toc194913971 \h </w:instrText>
            </w:r>
            <w:r>
              <w:rPr>
                <w:noProof/>
                <w:webHidden/>
              </w:rPr>
            </w:r>
            <w:r>
              <w:rPr>
                <w:noProof/>
                <w:webHidden/>
              </w:rPr>
              <w:fldChar w:fldCharType="separate"/>
            </w:r>
            <w:r>
              <w:rPr>
                <w:noProof/>
                <w:webHidden/>
              </w:rPr>
              <w:t>11</w:t>
            </w:r>
            <w:r>
              <w:rPr>
                <w:noProof/>
                <w:webHidden/>
              </w:rPr>
              <w:fldChar w:fldCharType="end"/>
            </w:r>
          </w:hyperlink>
        </w:p>
        <w:p w14:paraId="1A07D16C" w14:textId="33B3F949" w:rsidR="009D7650" w:rsidRDefault="009D7650">
          <w:pPr>
            <w:pStyle w:val="TOC4"/>
            <w:tabs>
              <w:tab w:val="right" w:leader="dot" w:pos="9016"/>
            </w:tabs>
            <w:rPr>
              <w:rFonts w:asciiTheme="minorHAnsi" w:eastAsiaTheme="minorEastAsia" w:hAnsiTheme="minorHAnsi"/>
              <w:noProof/>
              <w:kern w:val="2"/>
              <w:sz w:val="24"/>
              <w:szCs w:val="24"/>
              <w:lang w:eastAsia="en-AU"/>
              <w14:ligatures w14:val="standardContextual"/>
            </w:rPr>
          </w:pPr>
          <w:hyperlink w:anchor="_Toc194913972" w:history="1">
            <w:r w:rsidRPr="00F700D3">
              <w:rPr>
                <w:rStyle w:val="Hyperlink"/>
                <w:noProof/>
              </w:rPr>
              <w:t>Enhancing the effectiveness of civil and criminal legal protections - improving the regulation of restrictive practices</w:t>
            </w:r>
            <w:r>
              <w:rPr>
                <w:noProof/>
                <w:webHidden/>
              </w:rPr>
              <w:tab/>
            </w:r>
            <w:r>
              <w:rPr>
                <w:noProof/>
                <w:webHidden/>
              </w:rPr>
              <w:fldChar w:fldCharType="begin"/>
            </w:r>
            <w:r>
              <w:rPr>
                <w:noProof/>
                <w:webHidden/>
              </w:rPr>
              <w:instrText xml:space="preserve"> PAGEREF _Toc194913972 \h </w:instrText>
            </w:r>
            <w:r>
              <w:rPr>
                <w:noProof/>
                <w:webHidden/>
              </w:rPr>
            </w:r>
            <w:r>
              <w:rPr>
                <w:noProof/>
                <w:webHidden/>
              </w:rPr>
              <w:fldChar w:fldCharType="separate"/>
            </w:r>
            <w:r>
              <w:rPr>
                <w:noProof/>
                <w:webHidden/>
              </w:rPr>
              <w:t>12</w:t>
            </w:r>
            <w:r>
              <w:rPr>
                <w:noProof/>
                <w:webHidden/>
              </w:rPr>
              <w:fldChar w:fldCharType="end"/>
            </w:r>
          </w:hyperlink>
        </w:p>
        <w:p w14:paraId="38A48DC4" w14:textId="38F9E045" w:rsidR="007309E7" w:rsidRPr="007309E7" w:rsidRDefault="003E4D57" w:rsidP="00A67B59">
          <w:pPr>
            <w:rPr>
              <w:rFonts w:cs="Arial"/>
            </w:rPr>
          </w:pPr>
          <w:r>
            <w:rPr>
              <w:rFonts w:cs="Arial"/>
            </w:rPr>
            <w:fldChar w:fldCharType="end"/>
          </w:r>
        </w:p>
      </w:sdtContent>
    </w:sdt>
    <w:p w14:paraId="08AA5149" w14:textId="77777777" w:rsidR="00A67B59" w:rsidRDefault="00A67B59">
      <w:pPr>
        <w:spacing w:before="0" w:after="200"/>
        <w:rPr>
          <w:rFonts w:eastAsia="Times New Roman" w:cs="Arial"/>
          <w:bCs/>
          <w:color w:val="004270"/>
          <w:sz w:val="28"/>
          <w:szCs w:val="36"/>
          <w:lang w:eastAsia="en-AU"/>
        </w:rPr>
      </w:pPr>
      <w:r>
        <w:rPr>
          <w:rFonts w:cs="Arial"/>
        </w:rPr>
        <w:br w:type="page"/>
      </w:r>
    </w:p>
    <w:p w14:paraId="4E352308" w14:textId="0E41AD84" w:rsidR="009F7526" w:rsidRPr="007309E7" w:rsidRDefault="009F7526" w:rsidP="009F7526">
      <w:pPr>
        <w:pStyle w:val="Heading2"/>
        <w:rPr>
          <w:rFonts w:cs="Arial"/>
        </w:rPr>
      </w:pPr>
      <w:bookmarkStart w:id="0" w:name="_Toc194913958"/>
      <w:r w:rsidRPr="007309E7">
        <w:rPr>
          <w:rFonts w:cs="Arial"/>
        </w:rPr>
        <w:lastRenderedPageBreak/>
        <w:t>Introduction</w:t>
      </w:r>
      <w:bookmarkEnd w:id="0"/>
      <w:r w:rsidRPr="007309E7">
        <w:rPr>
          <w:rFonts w:cs="Arial"/>
        </w:rPr>
        <w:t xml:space="preserve"> </w:t>
      </w:r>
    </w:p>
    <w:p w14:paraId="278F8EAC" w14:textId="63C052FF" w:rsidR="009749E6" w:rsidRPr="007309E7" w:rsidRDefault="009749E6" w:rsidP="006A560D">
      <w:pPr>
        <w:pStyle w:val="ListParagraph"/>
        <w:numPr>
          <w:ilvl w:val="0"/>
          <w:numId w:val="35"/>
        </w:numPr>
        <w:rPr>
          <w:rFonts w:cs="Arial"/>
        </w:rPr>
      </w:pPr>
      <w:r w:rsidRPr="007309E7">
        <w:rPr>
          <w:rFonts w:cs="Arial"/>
          <w:lang w:val="en-US"/>
        </w:rPr>
        <w:t xml:space="preserve">The </w:t>
      </w:r>
      <w:r w:rsidRPr="007309E7">
        <w:rPr>
          <w:rFonts w:cs="Arial"/>
        </w:rPr>
        <w:t xml:space="preserve">Commission is an independent statutory body with functions under the </w:t>
      </w:r>
      <w:r w:rsidRPr="007309E7">
        <w:rPr>
          <w:rFonts w:cs="Arial"/>
          <w:i/>
          <w:iCs/>
        </w:rPr>
        <w:t xml:space="preserve">Anti-Discrimination Act 1991 </w:t>
      </w:r>
      <w:r w:rsidRPr="007309E7">
        <w:rPr>
          <w:rFonts w:cs="Arial"/>
        </w:rPr>
        <w:t>(Qld) (</w:t>
      </w:r>
      <w:r w:rsidRPr="007309E7">
        <w:rPr>
          <w:rFonts w:cs="Arial"/>
          <w:b/>
          <w:bCs/>
        </w:rPr>
        <w:t>Anti-Discrimination Act</w:t>
      </w:r>
      <w:r w:rsidRPr="007309E7">
        <w:rPr>
          <w:rFonts w:cs="Arial"/>
        </w:rPr>
        <w:t xml:space="preserve">) and the </w:t>
      </w:r>
      <w:r w:rsidRPr="007309E7">
        <w:rPr>
          <w:rFonts w:cs="Arial"/>
          <w:i/>
          <w:iCs/>
        </w:rPr>
        <w:t>Human Rights Act 2019</w:t>
      </w:r>
      <w:r w:rsidRPr="007309E7">
        <w:rPr>
          <w:rFonts w:cs="Arial"/>
        </w:rPr>
        <w:t xml:space="preserve"> (Qld) (</w:t>
      </w:r>
      <w:r w:rsidRPr="007309E7">
        <w:rPr>
          <w:rFonts w:cs="Arial"/>
          <w:b/>
          <w:bCs/>
        </w:rPr>
        <w:t>Human Rights Act</w:t>
      </w:r>
      <w:r w:rsidRPr="007309E7">
        <w:rPr>
          <w:rFonts w:cs="Arial"/>
        </w:rPr>
        <w:t>), which include</w:t>
      </w:r>
      <w:r w:rsidR="001531F1">
        <w:rPr>
          <w:rFonts w:cs="Arial"/>
        </w:rPr>
        <w:t>s</w:t>
      </w:r>
      <w:r w:rsidRPr="007309E7">
        <w:rPr>
          <w:rFonts w:cs="Arial"/>
        </w:rPr>
        <w:t xml:space="preserve"> promoting understanding, acceptance, and public discussion of human rights in Queensland.  </w:t>
      </w:r>
    </w:p>
    <w:p w14:paraId="3D30FC24" w14:textId="584B553A" w:rsidR="009F7526" w:rsidRPr="007309E7" w:rsidRDefault="009F7526" w:rsidP="009F7526">
      <w:pPr>
        <w:pStyle w:val="Heading2"/>
        <w:rPr>
          <w:rFonts w:cs="Arial"/>
        </w:rPr>
      </w:pPr>
      <w:bookmarkStart w:id="1" w:name="_Toc194913959"/>
      <w:r w:rsidRPr="007309E7">
        <w:rPr>
          <w:rFonts w:cs="Arial"/>
        </w:rPr>
        <w:t>Summary</w:t>
      </w:r>
      <w:bookmarkEnd w:id="1"/>
      <w:r w:rsidRPr="007309E7">
        <w:rPr>
          <w:rFonts w:cs="Arial"/>
        </w:rPr>
        <w:t xml:space="preserve"> </w:t>
      </w:r>
    </w:p>
    <w:p w14:paraId="01592AD3" w14:textId="4EA86809" w:rsidR="001531F1" w:rsidRPr="00280DD2" w:rsidRDefault="001531F1" w:rsidP="00280DD2">
      <w:pPr>
        <w:pStyle w:val="ListParagraph"/>
        <w:numPr>
          <w:ilvl w:val="0"/>
          <w:numId w:val="35"/>
        </w:numPr>
        <w:rPr>
          <w:rFonts w:cs="Arial"/>
          <w:lang w:val="en-US"/>
        </w:rPr>
      </w:pPr>
      <w:r w:rsidRPr="001531F1">
        <w:rPr>
          <w:rFonts w:cs="Arial"/>
        </w:rPr>
        <w:t xml:space="preserve">The abuse of </w:t>
      </w:r>
      <w:r w:rsidR="00280DD2">
        <w:rPr>
          <w:rFonts w:cs="Arial"/>
        </w:rPr>
        <w:t>o</w:t>
      </w:r>
      <w:r w:rsidRPr="001531F1">
        <w:rPr>
          <w:rFonts w:cs="Arial"/>
        </w:rPr>
        <w:t>lder Australians</w:t>
      </w:r>
      <w:r w:rsidR="00AD1AFD">
        <w:rPr>
          <w:rFonts w:cs="Arial"/>
        </w:rPr>
        <w:t>, including Queenslanders,</w:t>
      </w:r>
      <w:r w:rsidRPr="001531F1">
        <w:rPr>
          <w:rFonts w:cs="Arial"/>
        </w:rPr>
        <w:t xml:space="preserve"> is</w:t>
      </w:r>
      <w:r w:rsidR="00710680">
        <w:rPr>
          <w:rFonts w:cs="Arial"/>
        </w:rPr>
        <w:t xml:space="preserve"> </w:t>
      </w:r>
      <w:r w:rsidR="00081AF1">
        <w:rPr>
          <w:rFonts w:cs="Arial"/>
        </w:rPr>
        <w:t xml:space="preserve">shamefully </w:t>
      </w:r>
      <w:r w:rsidRPr="001531F1">
        <w:rPr>
          <w:rFonts w:cs="Arial"/>
        </w:rPr>
        <w:t>common.</w:t>
      </w:r>
      <w:r w:rsidR="00280DD2">
        <w:rPr>
          <w:rStyle w:val="FootnoteReference"/>
          <w:rFonts w:cs="Arial"/>
        </w:rPr>
        <w:footnoteReference w:id="2"/>
      </w:r>
      <w:r w:rsidR="00280DD2">
        <w:rPr>
          <w:rFonts w:cs="Arial"/>
        </w:rPr>
        <w:t xml:space="preserve"> </w:t>
      </w:r>
      <w:r w:rsidRPr="00280DD2">
        <w:rPr>
          <w:rFonts w:cs="Arial"/>
          <w:lang w:val="en-US"/>
        </w:rPr>
        <w:t xml:space="preserve">The abuse of older </w:t>
      </w:r>
      <w:r w:rsidR="00081AF1">
        <w:rPr>
          <w:rFonts w:cs="Arial"/>
          <w:lang w:val="en-US"/>
        </w:rPr>
        <w:t>persons</w:t>
      </w:r>
      <w:r w:rsidRPr="00280DD2">
        <w:rPr>
          <w:rFonts w:cs="Arial"/>
          <w:lang w:val="en-US"/>
        </w:rPr>
        <w:t xml:space="preserve"> </w:t>
      </w:r>
      <w:r w:rsidR="00FD23AE" w:rsidRPr="00280DD2">
        <w:rPr>
          <w:rFonts w:cs="Arial"/>
          <w:lang w:val="en-US"/>
        </w:rPr>
        <w:t xml:space="preserve">is particularly common </w:t>
      </w:r>
      <w:r w:rsidR="00710680">
        <w:rPr>
          <w:rFonts w:cs="Arial"/>
          <w:lang w:val="en-US"/>
        </w:rPr>
        <w:t>for</w:t>
      </w:r>
      <w:r w:rsidR="00FD23AE" w:rsidRPr="00280DD2">
        <w:rPr>
          <w:rFonts w:cs="Arial"/>
          <w:lang w:val="en-US"/>
        </w:rPr>
        <w:t xml:space="preserve"> vulnerable </w:t>
      </w:r>
      <w:r w:rsidR="00710680">
        <w:rPr>
          <w:rFonts w:cs="Arial"/>
          <w:lang w:val="en-US"/>
        </w:rPr>
        <w:t>groups</w:t>
      </w:r>
      <w:r w:rsidR="00FD23AE" w:rsidRPr="00280DD2">
        <w:rPr>
          <w:rFonts w:cs="Arial"/>
          <w:lang w:val="en-US"/>
        </w:rPr>
        <w:t xml:space="preserve"> and communities</w:t>
      </w:r>
      <w:r w:rsidR="00710680">
        <w:rPr>
          <w:rFonts w:cs="Arial"/>
          <w:lang w:val="en-US"/>
        </w:rPr>
        <w:t xml:space="preserve"> including</w:t>
      </w:r>
      <w:r w:rsidR="00FD23AE" w:rsidRPr="00280DD2">
        <w:rPr>
          <w:rFonts w:cs="Arial"/>
          <w:lang w:val="en-US"/>
        </w:rPr>
        <w:t xml:space="preserve"> women, First Nations</w:t>
      </w:r>
      <w:r w:rsidR="00AD1AFD">
        <w:rPr>
          <w:rFonts w:cs="Arial"/>
          <w:lang w:val="en-US"/>
        </w:rPr>
        <w:t>,</w:t>
      </w:r>
      <w:r w:rsidR="00FD23AE" w:rsidRPr="00280DD2">
        <w:rPr>
          <w:rFonts w:cs="Arial"/>
          <w:lang w:val="en-US"/>
        </w:rPr>
        <w:t xml:space="preserve"> and persons</w:t>
      </w:r>
      <w:r w:rsidR="00781B8D">
        <w:rPr>
          <w:rFonts w:cs="Arial"/>
          <w:lang w:val="en-US"/>
        </w:rPr>
        <w:t xml:space="preserve"> with disabilities</w:t>
      </w:r>
      <w:r w:rsidRPr="00280DD2">
        <w:rPr>
          <w:rFonts w:cs="Arial"/>
          <w:lang w:val="en-US"/>
        </w:rPr>
        <w:t>.</w:t>
      </w:r>
    </w:p>
    <w:p w14:paraId="2A034FCA" w14:textId="4A1F85F3" w:rsidR="00FD23AE" w:rsidRPr="007309E7" w:rsidRDefault="00FD23AE" w:rsidP="00FD23AE">
      <w:pPr>
        <w:pStyle w:val="ListParagraph"/>
        <w:numPr>
          <w:ilvl w:val="0"/>
          <w:numId w:val="35"/>
        </w:numPr>
        <w:rPr>
          <w:rFonts w:cs="Arial"/>
          <w:lang w:val="en-US"/>
        </w:rPr>
      </w:pPr>
      <w:r w:rsidRPr="007309E7">
        <w:rPr>
          <w:rFonts w:cs="Arial"/>
          <w:lang w:val="en-US"/>
        </w:rPr>
        <w:t xml:space="preserve">The </w:t>
      </w:r>
      <w:r w:rsidRPr="00240CFD">
        <w:rPr>
          <w:rFonts w:cs="Arial"/>
          <w:i/>
          <w:iCs/>
          <w:lang w:val="en-US"/>
        </w:rPr>
        <w:t xml:space="preserve">Inquiry </w:t>
      </w:r>
      <w:r w:rsidR="00280DD2" w:rsidRPr="00240CFD">
        <w:rPr>
          <w:rFonts w:cs="Arial"/>
          <w:i/>
          <w:iCs/>
          <w:lang w:val="en-US"/>
        </w:rPr>
        <w:t xml:space="preserve">into </w:t>
      </w:r>
      <w:r w:rsidR="00240CFD" w:rsidRPr="00240CFD">
        <w:rPr>
          <w:rFonts w:cs="Arial"/>
          <w:i/>
          <w:iCs/>
          <w:lang w:val="en-US"/>
        </w:rPr>
        <w:t>e</w:t>
      </w:r>
      <w:r w:rsidR="00280DD2" w:rsidRPr="00240CFD">
        <w:rPr>
          <w:rFonts w:cs="Arial"/>
          <w:i/>
          <w:iCs/>
          <w:lang w:val="en-US"/>
        </w:rPr>
        <w:t>lder abuse</w:t>
      </w:r>
      <w:r w:rsidR="00710680">
        <w:rPr>
          <w:rFonts w:cs="Arial"/>
          <w:i/>
          <w:iCs/>
          <w:lang w:val="en-US"/>
        </w:rPr>
        <w:t xml:space="preserve"> in Queensland</w:t>
      </w:r>
      <w:r w:rsidR="00280DD2">
        <w:rPr>
          <w:rFonts w:cs="Arial"/>
          <w:lang w:val="en-US"/>
        </w:rPr>
        <w:t xml:space="preserve"> </w:t>
      </w:r>
      <w:r w:rsidRPr="007309E7">
        <w:rPr>
          <w:rFonts w:cs="Arial"/>
          <w:lang w:val="en-US"/>
        </w:rPr>
        <w:t>seeks input on the effectiveness and cohesiveness of responses to elder abuse</w:t>
      </w:r>
      <w:r w:rsidR="00AD1AFD">
        <w:rPr>
          <w:rFonts w:cs="Arial"/>
          <w:lang w:val="en-US"/>
        </w:rPr>
        <w:t>,</w:t>
      </w:r>
      <w:r w:rsidR="004E4DA9">
        <w:rPr>
          <w:rFonts w:cs="Arial"/>
          <w:lang w:val="en-US"/>
        </w:rPr>
        <w:t xml:space="preserve"> including human rights protections and civil</w:t>
      </w:r>
      <w:r w:rsidR="00173CF0">
        <w:rPr>
          <w:rFonts w:cs="Arial"/>
          <w:lang w:val="en-US"/>
        </w:rPr>
        <w:t xml:space="preserve"> and criminal</w:t>
      </w:r>
      <w:r w:rsidR="004E4DA9">
        <w:rPr>
          <w:rFonts w:cs="Arial"/>
          <w:lang w:val="en-US"/>
        </w:rPr>
        <w:t xml:space="preserve"> legal frameworks. </w:t>
      </w:r>
    </w:p>
    <w:p w14:paraId="4A71691D" w14:textId="04A91769" w:rsidR="00A80B04" w:rsidRPr="00A67B59" w:rsidRDefault="00FD23AE" w:rsidP="00A67B59">
      <w:pPr>
        <w:pStyle w:val="ListParagraph"/>
        <w:numPr>
          <w:ilvl w:val="0"/>
          <w:numId w:val="35"/>
        </w:numPr>
        <w:rPr>
          <w:rFonts w:cs="Arial"/>
          <w:lang w:val="en-US"/>
        </w:rPr>
      </w:pPr>
      <w:r w:rsidRPr="007309E7">
        <w:rPr>
          <w:rFonts w:cs="Arial"/>
          <w:lang w:val="en-US"/>
        </w:rPr>
        <w:t xml:space="preserve">The </w:t>
      </w:r>
      <w:r w:rsidRPr="00A67B59">
        <w:rPr>
          <w:rFonts w:cs="Arial"/>
          <w:i/>
          <w:iCs/>
          <w:lang w:val="en-US"/>
        </w:rPr>
        <w:t>Human Rights Act 2019</w:t>
      </w:r>
      <w:r w:rsidRPr="007309E7">
        <w:rPr>
          <w:rFonts w:cs="Arial"/>
          <w:lang w:val="en-US"/>
        </w:rPr>
        <w:t xml:space="preserve"> </w:t>
      </w:r>
      <w:r w:rsidR="00A80B04" w:rsidRPr="007309E7">
        <w:rPr>
          <w:rFonts w:cs="Arial"/>
          <w:lang w:val="en-US"/>
        </w:rPr>
        <w:t xml:space="preserve">(the Human Rights Act) </w:t>
      </w:r>
      <w:r w:rsidRPr="007309E7">
        <w:rPr>
          <w:rFonts w:cs="Arial"/>
          <w:lang w:val="en-US"/>
        </w:rPr>
        <w:t>imposes</w:t>
      </w:r>
      <w:r w:rsidR="00AD1AFD">
        <w:rPr>
          <w:rFonts w:cs="Arial"/>
          <w:lang w:val="en-US"/>
        </w:rPr>
        <w:t xml:space="preserve"> </w:t>
      </w:r>
      <w:r w:rsidRPr="007309E7">
        <w:rPr>
          <w:rFonts w:cs="Arial"/>
          <w:lang w:val="en-US"/>
        </w:rPr>
        <w:t xml:space="preserve">obligations on public entities to </w:t>
      </w:r>
      <w:r w:rsidR="00174680">
        <w:rPr>
          <w:rFonts w:cs="Arial"/>
          <w:lang w:val="en-US"/>
        </w:rPr>
        <w:t xml:space="preserve">act and </w:t>
      </w:r>
      <w:r w:rsidRPr="007309E7">
        <w:rPr>
          <w:rFonts w:cs="Arial"/>
          <w:lang w:val="en-US"/>
        </w:rPr>
        <w:t xml:space="preserve">make decisions about older persons </w:t>
      </w:r>
      <w:r w:rsidR="00174680">
        <w:rPr>
          <w:rFonts w:cs="Arial"/>
          <w:lang w:val="en-US"/>
        </w:rPr>
        <w:t xml:space="preserve">in a way that is </w:t>
      </w:r>
      <w:r w:rsidR="00A80B04" w:rsidRPr="007309E7">
        <w:rPr>
          <w:rFonts w:cs="Arial"/>
          <w:lang w:val="en-US"/>
        </w:rPr>
        <w:t>compatible with their human rights</w:t>
      </w:r>
      <w:r w:rsidR="00174680">
        <w:rPr>
          <w:rFonts w:cs="Arial"/>
          <w:lang w:val="en-US"/>
        </w:rPr>
        <w:t>,</w:t>
      </w:r>
      <w:r w:rsidR="00AD1AFD">
        <w:rPr>
          <w:rFonts w:cs="Arial"/>
          <w:lang w:val="en-US"/>
        </w:rPr>
        <w:t xml:space="preserve"> and </w:t>
      </w:r>
      <w:r w:rsidR="000B4724">
        <w:rPr>
          <w:rFonts w:cs="Arial"/>
          <w:lang w:val="en-US"/>
        </w:rPr>
        <w:t>requires</w:t>
      </w:r>
      <w:r w:rsidR="00AD1AFD">
        <w:rPr>
          <w:rFonts w:cs="Arial"/>
          <w:lang w:val="en-US"/>
        </w:rPr>
        <w:t xml:space="preserve"> </w:t>
      </w:r>
      <w:r w:rsidR="00174680">
        <w:rPr>
          <w:rFonts w:cs="Arial"/>
          <w:lang w:val="en-US"/>
        </w:rPr>
        <w:t xml:space="preserve">parliament </w:t>
      </w:r>
      <w:r w:rsidR="00AD1AFD">
        <w:rPr>
          <w:rFonts w:cs="Arial"/>
          <w:lang w:val="en-US"/>
        </w:rPr>
        <w:t xml:space="preserve">to scrutinise new legislation </w:t>
      </w:r>
      <w:r w:rsidR="00174680">
        <w:rPr>
          <w:rFonts w:cs="Arial"/>
          <w:lang w:val="en-US"/>
        </w:rPr>
        <w:t xml:space="preserve">that </w:t>
      </w:r>
      <w:r w:rsidR="000B4724">
        <w:rPr>
          <w:rFonts w:cs="Arial"/>
          <w:lang w:val="en-US"/>
        </w:rPr>
        <w:t xml:space="preserve">will </w:t>
      </w:r>
      <w:r w:rsidR="00174680">
        <w:rPr>
          <w:rFonts w:cs="Arial"/>
          <w:lang w:val="en-US"/>
        </w:rPr>
        <w:t xml:space="preserve">have an </w:t>
      </w:r>
      <w:r w:rsidR="000B4724">
        <w:rPr>
          <w:rFonts w:cs="Arial"/>
          <w:lang w:val="en-US"/>
        </w:rPr>
        <w:t xml:space="preserve">impact </w:t>
      </w:r>
      <w:r w:rsidR="00174680">
        <w:rPr>
          <w:rFonts w:cs="Arial"/>
          <w:lang w:val="en-US"/>
        </w:rPr>
        <w:t xml:space="preserve">on </w:t>
      </w:r>
      <w:r w:rsidR="000B4724">
        <w:rPr>
          <w:rFonts w:cs="Arial"/>
          <w:lang w:val="en-US"/>
        </w:rPr>
        <w:t xml:space="preserve">older Queenslanders </w:t>
      </w:r>
      <w:r w:rsidR="00AD1AFD">
        <w:rPr>
          <w:rFonts w:cs="Arial"/>
          <w:lang w:val="en-US"/>
        </w:rPr>
        <w:t>for compatibility with human rights</w:t>
      </w:r>
      <w:r w:rsidR="00A80B04" w:rsidRPr="007309E7">
        <w:rPr>
          <w:rFonts w:cs="Arial"/>
          <w:lang w:val="en-US"/>
        </w:rPr>
        <w:t>.</w:t>
      </w:r>
      <w:r w:rsidR="00A67B59">
        <w:rPr>
          <w:rFonts w:cs="Arial"/>
          <w:lang w:val="en-US"/>
        </w:rPr>
        <w:t xml:space="preserve"> </w:t>
      </w:r>
      <w:r w:rsidR="00B427A5">
        <w:rPr>
          <w:rFonts w:cs="Arial"/>
          <w:lang w:val="en-US"/>
        </w:rPr>
        <w:t>T</w:t>
      </w:r>
      <w:r w:rsidR="000B4724">
        <w:rPr>
          <w:rFonts w:cs="Arial"/>
          <w:lang w:val="en-US"/>
        </w:rPr>
        <w:t xml:space="preserve">he protections </w:t>
      </w:r>
      <w:r w:rsidR="00174680">
        <w:rPr>
          <w:rFonts w:cs="Arial"/>
          <w:lang w:val="en-US"/>
        </w:rPr>
        <w:t>available under</w:t>
      </w:r>
      <w:r w:rsidR="000B4724">
        <w:rPr>
          <w:rFonts w:cs="Arial"/>
          <w:lang w:val="en-US"/>
        </w:rPr>
        <w:t xml:space="preserve"> the Human Rights Act </w:t>
      </w:r>
      <w:r w:rsidR="00174680">
        <w:rPr>
          <w:rFonts w:cs="Arial"/>
          <w:lang w:val="en-US"/>
        </w:rPr>
        <w:t>for</w:t>
      </w:r>
      <w:r w:rsidR="00174680" w:rsidRPr="00A67B59">
        <w:rPr>
          <w:rFonts w:cs="Arial"/>
          <w:lang w:val="en-US"/>
        </w:rPr>
        <w:t xml:space="preserve"> </w:t>
      </w:r>
      <w:r w:rsidR="00A80B04" w:rsidRPr="00A67B59">
        <w:rPr>
          <w:rFonts w:cs="Arial"/>
          <w:lang w:val="en-US"/>
        </w:rPr>
        <w:t>protecting older Queenslanders could be improved by:</w:t>
      </w:r>
    </w:p>
    <w:p w14:paraId="00713329" w14:textId="72B42265" w:rsidR="00A80B04" w:rsidRDefault="00173CF0" w:rsidP="00A80B04">
      <w:pPr>
        <w:pStyle w:val="ListParagraph"/>
        <w:numPr>
          <w:ilvl w:val="1"/>
          <w:numId w:val="35"/>
        </w:numPr>
        <w:rPr>
          <w:rFonts w:cs="Arial"/>
          <w:lang w:val="en-US"/>
        </w:rPr>
      </w:pPr>
      <w:r w:rsidRPr="00173CF0">
        <w:rPr>
          <w:rFonts w:cs="Arial"/>
          <w:lang w:val="en-US"/>
        </w:rPr>
        <w:t>amend</w:t>
      </w:r>
      <w:r w:rsidR="000B4724">
        <w:rPr>
          <w:rFonts w:cs="Arial"/>
          <w:lang w:val="en-US"/>
        </w:rPr>
        <w:t>ing</w:t>
      </w:r>
      <w:r w:rsidRPr="00173CF0">
        <w:rPr>
          <w:rFonts w:cs="Arial"/>
          <w:lang w:val="en-US"/>
        </w:rPr>
        <w:t xml:space="preserve"> the Human Rights Act to specify that Commonwealth </w:t>
      </w:r>
      <w:r w:rsidR="00B427A5">
        <w:rPr>
          <w:rFonts w:cs="Arial"/>
          <w:lang w:val="en-US"/>
        </w:rPr>
        <w:t xml:space="preserve">funded residential </w:t>
      </w:r>
      <w:r w:rsidRPr="00173CF0">
        <w:rPr>
          <w:rFonts w:cs="Arial"/>
          <w:lang w:val="en-US"/>
        </w:rPr>
        <w:t xml:space="preserve">aged care facilities are ‘public entities’ </w:t>
      </w:r>
      <w:r w:rsidR="000B4724">
        <w:rPr>
          <w:rFonts w:cs="Arial"/>
          <w:lang w:val="en-US"/>
        </w:rPr>
        <w:t xml:space="preserve">under the Act </w:t>
      </w:r>
      <w:r w:rsidRPr="00173CF0">
        <w:rPr>
          <w:rFonts w:cs="Arial"/>
          <w:lang w:val="en-US"/>
        </w:rPr>
        <w:t xml:space="preserve">to ensure all </w:t>
      </w:r>
      <w:r w:rsidR="00B427A5">
        <w:rPr>
          <w:rFonts w:cs="Arial"/>
          <w:lang w:val="en-US"/>
        </w:rPr>
        <w:t xml:space="preserve">residential </w:t>
      </w:r>
      <w:r w:rsidRPr="00173CF0">
        <w:rPr>
          <w:rFonts w:cs="Arial"/>
          <w:lang w:val="en-US"/>
        </w:rPr>
        <w:t xml:space="preserve">aged care providers in Queensland are required to </w:t>
      </w:r>
      <w:r w:rsidR="00B60C41">
        <w:rPr>
          <w:rFonts w:cs="Arial"/>
          <w:lang w:val="en-US"/>
        </w:rPr>
        <w:t xml:space="preserve">act and </w:t>
      </w:r>
      <w:r w:rsidRPr="00173CF0">
        <w:rPr>
          <w:rFonts w:cs="Arial"/>
          <w:lang w:val="en-US"/>
        </w:rPr>
        <w:t>make decisions compatibly with older Queenslanders</w:t>
      </w:r>
      <w:r w:rsidR="00B60C41">
        <w:rPr>
          <w:rFonts w:cs="Arial"/>
          <w:lang w:val="en-US"/>
        </w:rPr>
        <w:t>’</w:t>
      </w:r>
      <w:r w:rsidRPr="00173CF0">
        <w:rPr>
          <w:rFonts w:cs="Arial"/>
          <w:lang w:val="en-US"/>
        </w:rPr>
        <w:t xml:space="preserve"> human rights </w:t>
      </w:r>
      <w:r w:rsidR="00C5356C">
        <w:rPr>
          <w:rFonts w:cs="Arial"/>
          <w:lang w:val="en-US"/>
        </w:rPr>
        <w:t>(</w:t>
      </w:r>
      <w:r w:rsidR="00C5356C" w:rsidRPr="00C5356C">
        <w:rPr>
          <w:rFonts w:cs="Arial"/>
          <w:b/>
          <w:bCs/>
          <w:lang w:val="en-US"/>
        </w:rPr>
        <w:t>R</w:t>
      </w:r>
      <w:r>
        <w:rPr>
          <w:rFonts w:cs="Arial"/>
          <w:b/>
          <w:bCs/>
          <w:lang w:val="en-US"/>
        </w:rPr>
        <w:t>ECOMMENDATION</w:t>
      </w:r>
      <w:r w:rsidR="00C5356C" w:rsidRPr="00C5356C">
        <w:rPr>
          <w:rFonts w:cs="Arial"/>
          <w:b/>
          <w:bCs/>
          <w:lang w:val="en-US"/>
        </w:rPr>
        <w:t xml:space="preserve"> </w:t>
      </w:r>
      <w:r>
        <w:rPr>
          <w:rFonts w:cs="Arial"/>
          <w:b/>
          <w:bCs/>
          <w:lang w:val="en-US"/>
        </w:rPr>
        <w:t>1</w:t>
      </w:r>
      <w:r w:rsidR="00C5356C">
        <w:rPr>
          <w:rFonts w:cs="Arial"/>
          <w:lang w:val="en-US"/>
        </w:rPr>
        <w:t>)</w:t>
      </w:r>
    </w:p>
    <w:p w14:paraId="2C526474" w14:textId="57391785" w:rsidR="00AD1AFD" w:rsidRPr="007309E7" w:rsidRDefault="00173CF0" w:rsidP="00A80B04">
      <w:pPr>
        <w:pStyle w:val="ListParagraph"/>
        <w:numPr>
          <w:ilvl w:val="1"/>
          <w:numId w:val="35"/>
        </w:numPr>
        <w:rPr>
          <w:rFonts w:cs="Arial"/>
          <w:lang w:val="en-US"/>
        </w:rPr>
      </w:pPr>
      <w:r w:rsidRPr="00173CF0">
        <w:rPr>
          <w:rFonts w:cs="Arial"/>
          <w:lang w:val="en-US"/>
        </w:rPr>
        <w:t xml:space="preserve">implementing the recommendations made by the </w:t>
      </w:r>
      <w:r w:rsidR="00B43553" w:rsidRPr="00B43553">
        <w:rPr>
          <w:rFonts w:cs="Arial"/>
          <w:i/>
          <w:iCs/>
        </w:rPr>
        <w:t>Placing People at the Heart of Policy: First Independent Review of the Human Rights Act 2019</w:t>
      </w:r>
      <w:r w:rsidR="00B43553">
        <w:rPr>
          <w:rFonts w:cs="Arial"/>
          <w:i/>
          <w:iCs/>
        </w:rPr>
        <w:t xml:space="preserve"> </w:t>
      </w:r>
      <w:r w:rsidR="00E57C24">
        <w:rPr>
          <w:rFonts w:cs="Arial"/>
        </w:rPr>
        <w:t xml:space="preserve">report </w:t>
      </w:r>
      <w:r w:rsidR="00ED41F2">
        <w:rPr>
          <w:rFonts w:cs="Arial"/>
        </w:rPr>
        <w:t>(</w:t>
      </w:r>
      <w:r w:rsidR="00ED41F2" w:rsidRPr="00976F8F">
        <w:rPr>
          <w:rFonts w:cs="Arial"/>
          <w:b/>
          <w:bCs/>
        </w:rPr>
        <w:t>Human Rights Act Review</w:t>
      </w:r>
      <w:r w:rsidR="00ED41F2">
        <w:rPr>
          <w:rFonts w:cs="Arial"/>
        </w:rPr>
        <w:t xml:space="preserve">) </w:t>
      </w:r>
      <w:r w:rsidRPr="00173CF0">
        <w:rPr>
          <w:rFonts w:cs="Arial"/>
          <w:lang w:val="en-US"/>
        </w:rPr>
        <w:t>to enhance the effectiveness of human rights protections available to older Queenslanders</w:t>
      </w:r>
      <w:r w:rsidR="00F30EF0">
        <w:rPr>
          <w:rFonts w:cs="Arial"/>
          <w:lang w:val="en-US"/>
        </w:rPr>
        <w:t>.</w:t>
      </w:r>
      <w:r w:rsidRPr="00173CF0">
        <w:rPr>
          <w:rFonts w:cs="Arial"/>
          <w:lang w:val="en-US"/>
        </w:rPr>
        <w:t xml:space="preserve"> (</w:t>
      </w:r>
      <w:r w:rsidRPr="00173CF0">
        <w:rPr>
          <w:rFonts w:cs="Arial"/>
          <w:b/>
          <w:bCs/>
          <w:lang w:val="en-US"/>
        </w:rPr>
        <w:t>RECOMMENDATION 2</w:t>
      </w:r>
      <w:r w:rsidRPr="00173CF0">
        <w:rPr>
          <w:rFonts w:cs="Arial"/>
          <w:lang w:val="en-US"/>
        </w:rPr>
        <w:t>)</w:t>
      </w:r>
    </w:p>
    <w:p w14:paraId="1C0D3AEB" w14:textId="08A99322" w:rsidR="00A80B04" w:rsidRPr="00A67B59" w:rsidRDefault="00A80B04" w:rsidP="00A67B59">
      <w:pPr>
        <w:pStyle w:val="ListParagraph"/>
        <w:numPr>
          <w:ilvl w:val="0"/>
          <w:numId w:val="35"/>
        </w:numPr>
        <w:rPr>
          <w:rFonts w:cs="Arial"/>
          <w:lang w:val="en-US"/>
        </w:rPr>
      </w:pPr>
      <w:r w:rsidRPr="007309E7">
        <w:rPr>
          <w:rFonts w:cs="Arial"/>
          <w:lang w:val="en-US"/>
        </w:rPr>
        <w:t xml:space="preserve">The </w:t>
      </w:r>
      <w:r w:rsidRPr="008449A6">
        <w:rPr>
          <w:rFonts w:cs="Arial"/>
          <w:lang w:val="en-US"/>
        </w:rPr>
        <w:t>Anti-Discrimination Act</w:t>
      </w:r>
      <w:r w:rsidRPr="007309E7">
        <w:rPr>
          <w:rFonts w:cs="Arial"/>
          <w:lang w:val="en-US"/>
        </w:rPr>
        <w:t xml:space="preserve"> prohibits discrimination on the basis of </w:t>
      </w:r>
      <w:r w:rsidR="00F30EF0">
        <w:rPr>
          <w:rFonts w:cs="Arial"/>
          <w:lang w:val="en-US"/>
        </w:rPr>
        <w:t>a person’s</w:t>
      </w:r>
      <w:r w:rsidR="00F30EF0" w:rsidRPr="007309E7">
        <w:rPr>
          <w:rFonts w:cs="Arial"/>
          <w:lang w:val="en-US"/>
        </w:rPr>
        <w:t xml:space="preserve"> </w:t>
      </w:r>
      <w:r w:rsidRPr="007309E7">
        <w:rPr>
          <w:rFonts w:cs="Arial"/>
          <w:lang w:val="en-US"/>
        </w:rPr>
        <w:t xml:space="preserve">age in certain ‘areas’ </w:t>
      </w:r>
      <w:r w:rsidR="001531F1">
        <w:rPr>
          <w:rFonts w:cs="Arial"/>
          <w:lang w:val="en-US"/>
        </w:rPr>
        <w:t>(</w:t>
      </w:r>
      <w:r w:rsidR="003A605A">
        <w:rPr>
          <w:rFonts w:cs="Arial"/>
          <w:lang w:val="en-US"/>
        </w:rPr>
        <w:t>for example</w:t>
      </w:r>
      <w:r w:rsidRPr="007309E7">
        <w:rPr>
          <w:rFonts w:cs="Arial"/>
          <w:lang w:val="en-US"/>
        </w:rPr>
        <w:t>, work, and in the provision of good</w:t>
      </w:r>
      <w:r w:rsidR="004E2320">
        <w:rPr>
          <w:rFonts w:cs="Arial"/>
          <w:lang w:val="en-US"/>
        </w:rPr>
        <w:t>s or</w:t>
      </w:r>
      <w:r w:rsidRPr="007309E7">
        <w:rPr>
          <w:rFonts w:cs="Arial"/>
          <w:lang w:val="en-US"/>
        </w:rPr>
        <w:t xml:space="preserve"> services</w:t>
      </w:r>
      <w:r w:rsidR="001531F1">
        <w:rPr>
          <w:rFonts w:cs="Arial"/>
          <w:lang w:val="en-US"/>
        </w:rPr>
        <w:t>)</w:t>
      </w:r>
      <w:r w:rsidRPr="007309E7">
        <w:rPr>
          <w:rFonts w:cs="Arial"/>
          <w:lang w:val="en-US"/>
        </w:rPr>
        <w:t>.</w:t>
      </w:r>
      <w:r w:rsidR="00A67B59">
        <w:rPr>
          <w:rFonts w:cs="Arial"/>
          <w:lang w:val="en-US"/>
        </w:rPr>
        <w:t xml:space="preserve"> </w:t>
      </w:r>
      <w:r w:rsidR="00942403">
        <w:rPr>
          <w:rFonts w:cs="Arial"/>
          <w:lang w:val="en-US"/>
        </w:rPr>
        <w:t xml:space="preserve">The Anti-Discrimination Act and the </w:t>
      </w:r>
      <w:r w:rsidR="00942403" w:rsidRPr="00942403">
        <w:rPr>
          <w:rFonts w:cs="Arial"/>
          <w:i/>
          <w:iCs/>
          <w:lang w:val="en-US"/>
        </w:rPr>
        <w:t>Criminal Code Act 1899</w:t>
      </w:r>
      <w:r w:rsidR="00942403">
        <w:rPr>
          <w:rFonts w:cs="Arial"/>
          <w:lang w:val="en-US"/>
        </w:rPr>
        <w:t xml:space="preserve"> (</w:t>
      </w:r>
      <w:r w:rsidR="00942403" w:rsidRPr="00942403">
        <w:rPr>
          <w:rFonts w:cs="Arial"/>
          <w:b/>
          <w:bCs/>
          <w:lang w:val="en-US"/>
        </w:rPr>
        <w:t>Criminal Code</w:t>
      </w:r>
      <w:r w:rsidR="00942403">
        <w:rPr>
          <w:rFonts w:cs="Arial"/>
          <w:lang w:val="en-US"/>
        </w:rPr>
        <w:t>) also prohibit vilification on the basis of a number of protected grounds</w:t>
      </w:r>
      <w:r w:rsidR="00384432">
        <w:rPr>
          <w:rFonts w:cs="Arial"/>
          <w:lang w:val="en-US"/>
        </w:rPr>
        <w:t xml:space="preserve">. However, this does not </w:t>
      </w:r>
      <w:r w:rsidR="00F30EF0">
        <w:rPr>
          <w:rFonts w:cs="Arial"/>
          <w:lang w:val="en-US"/>
        </w:rPr>
        <w:t xml:space="preserve">currently </w:t>
      </w:r>
      <w:r w:rsidR="00942403">
        <w:rPr>
          <w:rFonts w:cs="Arial"/>
          <w:lang w:val="en-US"/>
        </w:rPr>
        <w:t>includ</w:t>
      </w:r>
      <w:r w:rsidR="00384432">
        <w:rPr>
          <w:rFonts w:cs="Arial"/>
          <w:lang w:val="en-US"/>
        </w:rPr>
        <w:t>e</w:t>
      </w:r>
      <w:r w:rsidR="00942403">
        <w:rPr>
          <w:rFonts w:cs="Arial"/>
          <w:lang w:val="en-US"/>
        </w:rPr>
        <w:t xml:space="preserve"> age. </w:t>
      </w:r>
      <w:r w:rsidRPr="00A67B59">
        <w:rPr>
          <w:rFonts w:cs="Arial"/>
          <w:lang w:val="en-US"/>
        </w:rPr>
        <w:t>The effectiveness of the Anti-Discrimination Act</w:t>
      </w:r>
      <w:r w:rsidR="00942403">
        <w:rPr>
          <w:rFonts w:cs="Arial"/>
          <w:lang w:val="en-US"/>
        </w:rPr>
        <w:t xml:space="preserve"> and the Criminal Code</w:t>
      </w:r>
      <w:r w:rsidRPr="00A67B59">
        <w:rPr>
          <w:rFonts w:cs="Arial"/>
          <w:lang w:val="en-US"/>
        </w:rPr>
        <w:t xml:space="preserve"> in protecting older Queenslanders </w:t>
      </w:r>
      <w:r w:rsidR="00663FA2">
        <w:rPr>
          <w:rFonts w:cs="Arial"/>
          <w:lang w:val="en-US"/>
        </w:rPr>
        <w:t xml:space="preserve">from discrimination </w:t>
      </w:r>
      <w:r w:rsidR="00942403">
        <w:rPr>
          <w:rFonts w:cs="Arial"/>
          <w:lang w:val="en-US"/>
        </w:rPr>
        <w:t xml:space="preserve">and vilification </w:t>
      </w:r>
      <w:r w:rsidRPr="00A67B59">
        <w:rPr>
          <w:rFonts w:cs="Arial"/>
          <w:lang w:val="en-US"/>
        </w:rPr>
        <w:t>could be improved by:</w:t>
      </w:r>
    </w:p>
    <w:p w14:paraId="5CDBCDE1" w14:textId="5A768137" w:rsidR="005E5844" w:rsidRPr="008E2135" w:rsidRDefault="00AD1AFD" w:rsidP="005E5844">
      <w:pPr>
        <w:pStyle w:val="ListParagraph"/>
        <w:numPr>
          <w:ilvl w:val="1"/>
          <w:numId w:val="35"/>
        </w:numPr>
        <w:rPr>
          <w:rFonts w:cs="Arial"/>
          <w:lang w:val="en-US"/>
        </w:rPr>
      </w:pPr>
      <w:r>
        <w:rPr>
          <w:rFonts w:cs="Arial"/>
          <w:lang w:val="en-US"/>
        </w:rPr>
        <w:t>co</w:t>
      </w:r>
      <w:r w:rsidR="00F5778B" w:rsidRPr="007309E7">
        <w:rPr>
          <w:rFonts w:cs="Arial"/>
          <w:lang w:val="en-US"/>
        </w:rPr>
        <w:t>mmencing the</w:t>
      </w:r>
      <w:r w:rsidR="00384432">
        <w:rPr>
          <w:rFonts w:cs="Arial"/>
          <w:lang w:val="en-US"/>
        </w:rPr>
        <w:t xml:space="preserve"> provisions of the</w:t>
      </w:r>
      <w:r w:rsidR="00F5778B" w:rsidRPr="007309E7">
        <w:rPr>
          <w:rFonts w:cs="Arial"/>
          <w:lang w:val="en-US"/>
        </w:rPr>
        <w:t xml:space="preserve"> </w:t>
      </w:r>
      <w:r w:rsidR="00F5778B" w:rsidRPr="00AD1AFD">
        <w:rPr>
          <w:rFonts w:cs="Arial"/>
          <w:i/>
          <w:iCs/>
          <w:lang w:val="en-US"/>
        </w:rPr>
        <w:t xml:space="preserve">Respect at Work </w:t>
      </w:r>
      <w:r w:rsidRPr="00AD1AFD">
        <w:rPr>
          <w:rFonts w:cs="Arial"/>
          <w:i/>
          <w:iCs/>
          <w:lang w:val="en-US"/>
        </w:rPr>
        <w:t xml:space="preserve">and Other Legislation Amendment </w:t>
      </w:r>
      <w:r w:rsidR="00F5778B" w:rsidRPr="00AD1AFD">
        <w:rPr>
          <w:rFonts w:cs="Arial"/>
          <w:i/>
          <w:iCs/>
          <w:lang w:val="en-US"/>
        </w:rPr>
        <w:t>Act 2024</w:t>
      </w:r>
      <w:r w:rsidR="00F5778B" w:rsidRPr="007309E7">
        <w:rPr>
          <w:rFonts w:cs="Arial"/>
          <w:lang w:val="en-US"/>
        </w:rPr>
        <w:t xml:space="preserve"> </w:t>
      </w:r>
      <w:r w:rsidR="003B1ECB">
        <w:rPr>
          <w:rFonts w:cs="Arial"/>
          <w:lang w:val="en-US"/>
        </w:rPr>
        <w:t>(</w:t>
      </w:r>
      <w:r w:rsidR="003B1ECB" w:rsidRPr="003B1ECB">
        <w:rPr>
          <w:rFonts w:cs="Arial"/>
          <w:b/>
          <w:bCs/>
          <w:lang w:val="en-US"/>
        </w:rPr>
        <w:t>Respect at Work Act</w:t>
      </w:r>
      <w:r w:rsidR="003B1ECB">
        <w:rPr>
          <w:rFonts w:cs="Arial"/>
          <w:lang w:val="en-US"/>
        </w:rPr>
        <w:t>)</w:t>
      </w:r>
      <w:r w:rsidR="00384432">
        <w:rPr>
          <w:rFonts w:cs="Arial"/>
          <w:lang w:val="en-US"/>
        </w:rPr>
        <w:t xml:space="preserve"> </w:t>
      </w:r>
      <w:r w:rsidR="00976F8F">
        <w:rPr>
          <w:rFonts w:cs="Arial"/>
          <w:lang w:val="en-US"/>
        </w:rPr>
        <w:t xml:space="preserve">which </w:t>
      </w:r>
      <w:r w:rsidR="00384432">
        <w:rPr>
          <w:rFonts w:cs="Arial"/>
          <w:lang w:val="en-US"/>
        </w:rPr>
        <w:t>introduce</w:t>
      </w:r>
      <w:r w:rsidR="00C136FA">
        <w:rPr>
          <w:rFonts w:cs="Arial"/>
          <w:lang w:val="en-US"/>
        </w:rPr>
        <w:t>s</w:t>
      </w:r>
      <w:r w:rsidR="00384432">
        <w:rPr>
          <w:rFonts w:cs="Arial"/>
          <w:lang w:val="en-US"/>
        </w:rPr>
        <w:t xml:space="preserve"> a positive duty to eliminate discrimination, </w:t>
      </w:r>
      <w:r w:rsidR="00894663">
        <w:rPr>
          <w:rFonts w:cs="Arial"/>
          <w:lang w:val="en-US"/>
        </w:rPr>
        <w:t xml:space="preserve">sexual harassment, </w:t>
      </w:r>
      <w:r w:rsidR="00384432">
        <w:rPr>
          <w:rFonts w:cs="Arial"/>
          <w:lang w:val="en-US"/>
        </w:rPr>
        <w:t xml:space="preserve">vilification and other objectionable </w:t>
      </w:r>
      <w:r w:rsidR="00384432">
        <w:rPr>
          <w:rFonts w:cs="Arial"/>
          <w:lang w:val="en-US"/>
        </w:rPr>
        <w:lastRenderedPageBreak/>
        <w:t>conduct</w:t>
      </w:r>
      <w:r w:rsidR="00894663">
        <w:rPr>
          <w:rFonts w:cs="Arial"/>
          <w:lang w:val="en-US"/>
        </w:rPr>
        <w:t>, and</w:t>
      </w:r>
      <w:r w:rsidR="00384432">
        <w:rPr>
          <w:rFonts w:cs="Arial"/>
          <w:lang w:val="en-US"/>
        </w:rPr>
        <w:t xml:space="preserve"> to take</w:t>
      </w:r>
      <w:r w:rsidR="00663FA2">
        <w:rPr>
          <w:rFonts w:cs="Arial"/>
          <w:lang w:val="en-US"/>
        </w:rPr>
        <w:t xml:space="preserve"> a preventative approach to eliminating discrimination</w:t>
      </w:r>
      <w:r>
        <w:rPr>
          <w:rFonts w:cs="Arial"/>
          <w:lang w:val="en-US"/>
        </w:rPr>
        <w:t xml:space="preserve"> </w:t>
      </w:r>
      <w:r w:rsidR="00663FA2">
        <w:rPr>
          <w:rFonts w:cs="Arial"/>
          <w:lang w:val="en-US"/>
        </w:rPr>
        <w:t xml:space="preserve">in Queensland </w:t>
      </w:r>
      <w:r w:rsidR="00173CF0" w:rsidRPr="00173CF0">
        <w:rPr>
          <w:rFonts w:cs="Arial"/>
        </w:rPr>
        <w:t>(</w:t>
      </w:r>
      <w:r w:rsidR="00173CF0" w:rsidRPr="00173CF0">
        <w:rPr>
          <w:rFonts w:cs="Arial"/>
          <w:b/>
          <w:bCs/>
        </w:rPr>
        <w:t xml:space="preserve">RECOMMENDATION </w:t>
      </w:r>
      <w:r w:rsidR="00173CF0">
        <w:rPr>
          <w:rFonts w:cs="Arial"/>
          <w:b/>
          <w:bCs/>
        </w:rPr>
        <w:t>3</w:t>
      </w:r>
      <w:r w:rsidR="00173CF0" w:rsidRPr="00173CF0">
        <w:rPr>
          <w:rFonts w:cs="Arial"/>
        </w:rPr>
        <w:t xml:space="preserve">) </w:t>
      </w:r>
    </w:p>
    <w:p w14:paraId="3A0363A5" w14:textId="73202DAB" w:rsidR="008E2135" w:rsidRPr="003B1ECB" w:rsidRDefault="008E2135" w:rsidP="003B1ECB">
      <w:pPr>
        <w:pStyle w:val="ListParagraph"/>
        <w:numPr>
          <w:ilvl w:val="1"/>
          <w:numId w:val="35"/>
        </w:numPr>
        <w:rPr>
          <w:rFonts w:cs="Arial"/>
          <w:lang w:val="en-US"/>
        </w:rPr>
      </w:pPr>
      <w:r w:rsidRPr="008E2135">
        <w:rPr>
          <w:rFonts w:cs="Arial"/>
          <w:lang w:val="en-US"/>
        </w:rPr>
        <w:t>commenc</w:t>
      </w:r>
      <w:r>
        <w:rPr>
          <w:rFonts w:cs="Arial"/>
          <w:lang w:val="en-US"/>
        </w:rPr>
        <w:t>ing</w:t>
      </w:r>
      <w:r w:rsidRPr="008E2135">
        <w:rPr>
          <w:rFonts w:cs="Arial"/>
          <w:lang w:val="en-US"/>
        </w:rPr>
        <w:t xml:space="preserve"> the amendments relating to vilification in the Respect at Work Act to prohibit civil and criminal vilification on the basis of age</w:t>
      </w:r>
      <w:r w:rsidR="00C136FA">
        <w:rPr>
          <w:rFonts w:cs="Arial"/>
          <w:lang w:val="en-US"/>
        </w:rPr>
        <w:t>.</w:t>
      </w:r>
      <w:r w:rsidRPr="008E2135">
        <w:rPr>
          <w:rFonts w:cs="Arial"/>
          <w:lang w:val="en-US"/>
        </w:rPr>
        <w:t xml:space="preserve"> (</w:t>
      </w:r>
      <w:r w:rsidRPr="003B1ECB">
        <w:rPr>
          <w:rFonts w:cs="Arial"/>
          <w:b/>
          <w:bCs/>
          <w:lang w:val="en-US"/>
        </w:rPr>
        <w:t xml:space="preserve">RECOMMENDATION </w:t>
      </w:r>
      <w:r w:rsidR="003B1ECB">
        <w:rPr>
          <w:rFonts w:cs="Arial"/>
          <w:b/>
          <w:bCs/>
          <w:lang w:val="en-US"/>
        </w:rPr>
        <w:t>4</w:t>
      </w:r>
      <w:r w:rsidRPr="008E2135">
        <w:rPr>
          <w:rFonts w:cs="Arial"/>
          <w:lang w:val="en-US"/>
        </w:rPr>
        <w:t>)</w:t>
      </w:r>
    </w:p>
    <w:p w14:paraId="03331A46" w14:textId="2E051BA3" w:rsidR="00240CFD" w:rsidRDefault="003B1ECB" w:rsidP="00240CFD">
      <w:pPr>
        <w:pStyle w:val="ListParagraph"/>
        <w:numPr>
          <w:ilvl w:val="0"/>
          <w:numId w:val="35"/>
        </w:numPr>
        <w:rPr>
          <w:rFonts w:cs="Arial"/>
          <w:lang w:val="en-US"/>
        </w:rPr>
      </w:pPr>
      <w:r>
        <w:rPr>
          <w:rFonts w:cs="Arial"/>
          <w:lang w:val="en-US"/>
        </w:rPr>
        <w:t xml:space="preserve">Restrictive practices are often used </w:t>
      </w:r>
      <w:r w:rsidR="00C136FA">
        <w:rPr>
          <w:rFonts w:cs="Arial"/>
          <w:lang w:val="en-US"/>
        </w:rPr>
        <w:t>on</w:t>
      </w:r>
      <w:r>
        <w:rPr>
          <w:rFonts w:cs="Arial"/>
          <w:lang w:val="en-US"/>
        </w:rPr>
        <w:t xml:space="preserve"> older </w:t>
      </w:r>
      <w:r w:rsidR="00C136FA">
        <w:rPr>
          <w:rFonts w:cs="Arial"/>
          <w:lang w:val="en-US"/>
        </w:rPr>
        <w:t xml:space="preserve">people </w:t>
      </w:r>
      <w:r>
        <w:rPr>
          <w:rFonts w:cs="Arial"/>
          <w:lang w:val="en-US"/>
        </w:rPr>
        <w:t xml:space="preserve">in </w:t>
      </w:r>
      <w:r w:rsidR="005C6EAB">
        <w:rPr>
          <w:rFonts w:cs="Arial"/>
          <w:lang w:val="en-US"/>
        </w:rPr>
        <w:t>residential</w:t>
      </w:r>
      <w:r>
        <w:rPr>
          <w:rFonts w:cs="Arial"/>
          <w:lang w:val="en-US"/>
        </w:rPr>
        <w:t xml:space="preserve"> aged care, </w:t>
      </w:r>
      <w:r w:rsidR="005C6EAB">
        <w:rPr>
          <w:rFonts w:cs="Arial"/>
          <w:lang w:val="en-US"/>
        </w:rPr>
        <w:t xml:space="preserve">health services, </w:t>
      </w:r>
      <w:r>
        <w:rPr>
          <w:rFonts w:cs="Arial"/>
          <w:lang w:val="en-US"/>
        </w:rPr>
        <w:t>and disability services.</w:t>
      </w:r>
      <w:r w:rsidR="00663FA2">
        <w:rPr>
          <w:rFonts w:cs="Arial"/>
          <w:lang w:val="en-US"/>
        </w:rPr>
        <w:t xml:space="preserve"> Where restrictive practices are used inappropriately</w:t>
      </w:r>
      <w:r w:rsidR="00E82583">
        <w:rPr>
          <w:rFonts w:cs="Arial"/>
          <w:lang w:val="en-US"/>
        </w:rPr>
        <w:t>,</w:t>
      </w:r>
      <w:r w:rsidR="00663FA2">
        <w:rPr>
          <w:rFonts w:cs="Arial"/>
          <w:lang w:val="en-US"/>
        </w:rPr>
        <w:t xml:space="preserve"> th</w:t>
      </w:r>
      <w:r w:rsidR="00E82583">
        <w:rPr>
          <w:rFonts w:cs="Arial"/>
          <w:lang w:val="en-US"/>
        </w:rPr>
        <w:t xml:space="preserve">is </w:t>
      </w:r>
      <w:r w:rsidR="00663FA2">
        <w:rPr>
          <w:rFonts w:cs="Arial"/>
          <w:lang w:val="en-US"/>
        </w:rPr>
        <w:t>typically amount</w:t>
      </w:r>
      <w:r w:rsidR="00C136FA">
        <w:rPr>
          <w:rFonts w:cs="Arial"/>
          <w:lang w:val="en-US"/>
        </w:rPr>
        <w:t>s</w:t>
      </w:r>
      <w:r w:rsidR="00663FA2">
        <w:rPr>
          <w:rFonts w:cs="Arial"/>
          <w:lang w:val="en-US"/>
        </w:rPr>
        <w:t xml:space="preserve"> to abuse.</w:t>
      </w:r>
      <w:r>
        <w:rPr>
          <w:rFonts w:cs="Arial"/>
          <w:lang w:val="en-US"/>
        </w:rPr>
        <w:t xml:space="preserve"> </w:t>
      </w:r>
      <w:r w:rsidR="00C136FA">
        <w:rPr>
          <w:rFonts w:cs="Arial"/>
          <w:lang w:val="en-US"/>
        </w:rPr>
        <w:t>R</w:t>
      </w:r>
      <w:r>
        <w:rPr>
          <w:rFonts w:cs="Arial"/>
          <w:lang w:val="en-US"/>
        </w:rPr>
        <w:t>egulation of restrictive practices in Queensland is sector-specific and piecemeal</w:t>
      </w:r>
      <w:r w:rsidR="004C3D15">
        <w:rPr>
          <w:rFonts w:cs="Arial"/>
          <w:lang w:val="en-US"/>
        </w:rPr>
        <w:t xml:space="preserve"> and creates</w:t>
      </w:r>
      <w:r>
        <w:rPr>
          <w:rFonts w:cs="Arial"/>
          <w:lang w:val="en-US"/>
        </w:rPr>
        <w:t xml:space="preserve"> risks in terms of non-compliance, under-reporting, and inhibiting efforts to build broad expertise on minimi</w:t>
      </w:r>
      <w:r w:rsidR="00663FA2">
        <w:rPr>
          <w:rFonts w:cs="Arial"/>
          <w:lang w:val="en-US"/>
        </w:rPr>
        <w:t>s</w:t>
      </w:r>
      <w:r>
        <w:rPr>
          <w:rFonts w:cs="Arial"/>
          <w:lang w:val="en-US"/>
        </w:rPr>
        <w:t>ing and eliminating use of restrictive practice</w:t>
      </w:r>
      <w:r w:rsidR="00663FA2">
        <w:rPr>
          <w:rFonts w:cs="Arial"/>
          <w:lang w:val="en-US"/>
        </w:rPr>
        <w:t>s</w:t>
      </w:r>
      <w:r>
        <w:rPr>
          <w:rFonts w:cs="Arial"/>
          <w:lang w:val="en-US"/>
        </w:rPr>
        <w:t xml:space="preserve">. The regulation of restrictive practices should be improved by: </w:t>
      </w:r>
    </w:p>
    <w:p w14:paraId="0834A37E" w14:textId="467ACAF2" w:rsidR="003B1ECB" w:rsidRPr="00A67B59" w:rsidRDefault="003B1ECB" w:rsidP="003B1ECB">
      <w:pPr>
        <w:pStyle w:val="ListParagraph"/>
        <w:numPr>
          <w:ilvl w:val="1"/>
          <w:numId w:val="35"/>
        </w:numPr>
        <w:rPr>
          <w:rFonts w:cs="Arial"/>
          <w:lang w:val="en-US"/>
        </w:rPr>
      </w:pPr>
      <w:r w:rsidRPr="003B1ECB">
        <w:rPr>
          <w:rFonts w:cs="Arial"/>
          <w:lang w:val="en-US"/>
        </w:rPr>
        <w:t>develop</w:t>
      </w:r>
      <w:r>
        <w:rPr>
          <w:rFonts w:cs="Arial"/>
          <w:lang w:val="en-US"/>
        </w:rPr>
        <w:t>ing</w:t>
      </w:r>
      <w:r w:rsidRPr="003B1ECB">
        <w:rPr>
          <w:rFonts w:cs="Arial"/>
          <w:lang w:val="en-US"/>
        </w:rPr>
        <w:t xml:space="preserve"> a consistent</w:t>
      </w:r>
      <w:r w:rsidR="005C6EAB">
        <w:rPr>
          <w:rFonts w:cs="Arial"/>
          <w:lang w:val="en-US"/>
        </w:rPr>
        <w:t>, multi-sector</w:t>
      </w:r>
      <w:r w:rsidRPr="003B1ECB">
        <w:rPr>
          <w:rFonts w:cs="Arial"/>
          <w:lang w:val="en-US"/>
        </w:rPr>
        <w:t xml:space="preserve"> approach to regulati</w:t>
      </w:r>
      <w:r w:rsidR="00C96D04">
        <w:rPr>
          <w:rFonts w:cs="Arial"/>
          <w:lang w:val="en-US"/>
        </w:rPr>
        <w:t>ng</w:t>
      </w:r>
      <w:r w:rsidRPr="003B1ECB">
        <w:rPr>
          <w:rFonts w:cs="Arial"/>
          <w:lang w:val="en-US"/>
        </w:rPr>
        <w:t xml:space="preserve"> restrictive practices in Queensland</w:t>
      </w:r>
      <w:r>
        <w:rPr>
          <w:rFonts w:cs="Arial"/>
          <w:lang w:val="en-US"/>
        </w:rPr>
        <w:t xml:space="preserve"> </w:t>
      </w:r>
      <w:r w:rsidR="004C3D15">
        <w:rPr>
          <w:rFonts w:cs="Arial"/>
          <w:lang w:val="en-US"/>
        </w:rPr>
        <w:t>that</w:t>
      </w:r>
      <w:r w:rsidR="004C3D15" w:rsidRPr="003B1ECB">
        <w:rPr>
          <w:rFonts w:cs="Arial"/>
          <w:lang w:val="en-US"/>
        </w:rPr>
        <w:t xml:space="preserve"> </w:t>
      </w:r>
      <w:r w:rsidRPr="003B1ECB">
        <w:rPr>
          <w:rFonts w:cs="Arial"/>
          <w:lang w:val="en-US"/>
        </w:rPr>
        <w:t>place</w:t>
      </w:r>
      <w:r>
        <w:rPr>
          <w:rFonts w:cs="Arial"/>
          <w:lang w:val="en-US"/>
        </w:rPr>
        <w:t>s</w:t>
      </w:r>
      <w:r w:rsidRPr="003B1ECB">
        <w:rPr>
          <w:rFonts w:cs="Arial"/>
          <w:lang w:val="en-US"/>
        </w:rPr>
        <w:t xml:space="preserve"> </w:t>
      </w:r>
      <w:r w:rsidR="004C3D15" w:rsidRPr="003B1ECB">
        <w:rPr>
          <w:rFonts w:cs="Arial"/>
          <w:lang w:val="en-US"/>
        </w:rPr>
        <w:t xml:space="preserve">respect for human rights </w:t>
      </w:r>
      <w:r w:rsidRPr="003B1ECB">
        <w:rPr>
          <w:rFonts w:cs="Arial"/>
          <w:lang w:val="en-US"/>
        </w:rPr>
        <w:t>at its cent</w:t>
      </w:r>
      <w:r>
        <w:rPr>
          <w:rFonts w:cs="Arial"/>
          <w:lang w:val="en-US"/>
        </w:rPr>
        <w:t>er</w:t>
      </w:r>
      <w:r w:rsidR="004C3D15">
        <w:rPr>
          <w:rFonts w:cs="Arial"/>
          <w:lang w:val="en-US"/>
        </w:rPr>
        <w:t>.</w:t>
      </w:r>
      <w:r w:rsidRPr="003B1ECB">
        <w:rPr>
          <w:rFonts w:cs="Arial"/>
          <w:lang w:val="en-US"/>
        </w:rPr>
        <w:t xml:space="preserve"> (</w:t>
      </w:r>
      <w:r w:rsidRPr="003B1ECB">
        <w:rPr>
          <w:rFonts w:cs="Arial"/>
          <w:b/>
          <w:bCs/>
          <w:lang w:val="en-US"/>
        </w:rPr>
        <w:t xml:space="preserve">RECOMMENDATION </w:t>
      </w:r>
      <w:r>
        <w:rPr>
          <w:rFonts w:cs="Arial"/>
          <w:b/>
          <w:bCs/>
          <w:lang w:val="en-US"/>
        </w:rPr>
        <w:t>5</w:t>
      </w:r>
      <w:r w:rsidRPr="003B1ECB">
        <w:rPr>
          <w:rFonts w:cs="Arial"/>
          <w:lang w:val="en-US"/>
        </w:rPr>
        <w:t>)</w:t>
      </w:r>
    </w:p>
    <w:p w14:paraId="3EA21271" w14:textId="2AB568C1" w:rsidR="006A560D" w:rsidRPr="007309E7" w:rsidRDefault="006A560D" w:rsidP="006A560D">
      <w:pPr>
        <w:pStyle w:val="Heading2"/>
        <w:rPr>
          <w:rFonts w:cs="Arial"/>
        </w:rPr>
      </w:pPr>
      <w:bookmarkStart w:id="2" w:name="_Toc194913960"/>
      <w:r w:rsidRPr="007309E7">
        <w:rPr>
          <w:rFonts w:cs="Arial"/>
        </w:rPr>
        <w:t xml:space="preserve">Abuse of </w:t>
      </w:r>
      <w:r w:rsidR="00815D14" w:rsidRPr="007309E7">
        <w:rPr>
          <w:rFonts w:cs="Arial"/>
        </w:rPr>
        <w:t xml:space="preserve">older </w:t>
      </w:r>
      <w:r w:rsidR="00C96D04">
        <w:rPr>
          <w:rFonts w:cs="Arial"/>
        </w:rPr>
        <w:t xml:space="preserve">people in </w:t>
      </w:r>
      <w:r w:rsidRPr="007309E7">
        <w:rPr>
          <w:rFonts w:cs="Arial"/>
        </w:rPr>
        <w:t>Queensland</w:t>
      </w:r>
      <w:bookmarkEnd w:id="2"/>
      <w:r w:rsidRPr="007309E7">
        <w:rPr>
          <w:rFonts w:cs="Arial"/>
        </w:rPr>
        <w:t xml:space="preserve"> </w:t>
      </w:r>
    </w:p>
    <w:p w14:paraId="1D9DEA9F" w14:textId="3A217A66" w:rsidR="00081AF1" w:rsidRPr="007F6A51" w:rsidRDefault="00081AF1" w:rsidP="007F6A51">
      <w:pPr>
        <w:pStyle w:val="ListParagraph"/>
        <w:numPr>
          <w:ilvl w:val="0"/>
          <w:numId w:val="35"/>
        </w:numPr>
        <w:rPr>
          <w:rFonts w:cs="Arial"/>
        </w:rPr>
      </w:pPr>
      <w:r w:rsidRPr="00081AF1">
        <w:rPr>
          <w:rFonts w:cs="Arial"/>
        </w:rPr>
        <w:t>In the 2023-24 financial year, th</w:t>
      </w:r>
      <w:r w:rsidR="007F6A51">
        <w:rPr>
          <w:rFonts w:cs="Arial"/>
        </w:rPr>
        <w:t>e</w:t>
      </w:r>
      <w:r w:rsidRPr="00081AF1">
        <w:rPr>
          <w:rFonts w:cs="Arial"/>
        </w:rPr>
        <w:t xml:space="preserve"> Elder Abuse Prevention Unit received 2,674 abuse notifications from older </w:t>
      </w:r>
      <w:r w:rsidR="00FF4840">
        <w:rPr>
          <w:rFonts w:cs="Arial"/>
        </w:rPr>
        <w:t>people</w:t>
      </w:r>
      <w:r w:rsidRPr="00081AF1">
        <w:rPr>
          <w:rFonts w:cs="Arial"/>
        </w:rPr>
        <w:t>.</w:t>
      </w:r>
      <w:r>
        <w:rPr>
          <w:rStyle w:val="FootnoteReference"/>
          <w:rFonts w:cs="Arial"/>
        </w:rPr>
        <w:footnoteReference w:id="3"/>
      </w:r>
      <w:r w:rsidRPr="00081AF1">
        <w:rPr>
          <w:rFonts w:cs="Arial"/>
        </w:rPr>
        <w:t xml:space="preserve"> </w:t>
      </w:r>
      <w:r>
        <w:rPr>
          <w:rFonts w:cs="Arial"/>
        </w:rPr>
        <w:t xml:space="preserve">Abuse can involve physical violence, sexual abuse, psychological or emotional abuse, financial abuse, neglect, </w:t>
      </w:r>
      <w:r w:rsidR="00EA5370">
        <w:rPr>
          <w:rFonts w:cs="Arial"/>
        </w:rPr>
        <w:t>or</w:t>
      </w:r>
      <w:r>
        <w:rPr>
          <w:rFonts w:cs="Arial"/>
        </w:rPr>
        <w:t xml:space="preserve"> social abuse.</w:t>
      </w:r>
      <w:r>
        <w:rPr>
          <w:rStyle w:val="FootnoteReference"/>
          <w:rFonts w:cs="Arial"/>
        </w:rPr>
        <w:footnoteReference w:id="4"/>
      </w:r>
    </w:p>
    <w:p w14:paraId="0F077573" w14:textId="37F0A5D9" w:rsidR="00A74DFE" w:rsidRPr="00A74DFE" w:rsidRDefault="00A74DFE" w:rsidP="00A74DFE">
      <w:pPr>
        <w:pStyle w:val="ListParagraph"/>
        <w:numPr>
          <w:ilvl w:val="0"/>
          <w:numId w:val="35"/>
        </w:numPr>
        <w:rPr>
          <w:rFonts w:cs="Arial"/>
        </w:rPr>
      </w:pPr>
      <w:r w:rsidRPr="00A74DFE">
        <w:rPr>
          <w:rFonts w:cs="Arial"/>
        </w:rPr>
        <w:t>It is well established that ageism is a driver of abuse.</w:t>
      </w:r>
      <w:r w:rsidR="0072399D">
        <w:rPr>
          <w:rStyle w:val="FootnoteReference"/>
          <w:rFonts w:cs="Arial"/>
        </w:rPr>
        <w:footnoteReference w:id="5"/>
      </w:r>
      <w:r w:rsidRPr="00A74DFE">
        <w:rPr>
          <w:rFonts w:cs="Arial"/>
        </w:rPr>
        <w:t xml:space="preserve"> Ageism refers to circumstances in which a person fails to afford another person equal value with other community members due to their age. Like any form of discrimination, ageism can create an environment in which members of society may tolerate or fail to recognise abuse of an older person when it occurs. Even perpetrators themselves may not understand their behaviour constitutes abuse. As a result, when older people do seek help, they may not be listened to. Ageism can also result in failure to consider older people when designing services, </w:t>
      </w:r>
      <w:r w:rsidR="00A362C8">
        <w:rPr>
          <w:rFonts w:cs="Arial"/>
        </w:rPr>
        <w:t xml:space="preserve">which </w:t>
      </w:r>
      <w:r w:rsidRPr="00A74DFE">
        <w:rPr>
          <w:rFonts w:cs="Arial"/>
        </w:rPr>
        <w:t>lead</w:t>
      </w:r>
      <w:r w:rsidR="00A362C8">
        <w:rPr>
          <w:rFonts w:cs="Arial"/>
        </w:rPr>
        <w:t>s</w:t>
      </w:r>
      <w:r w:rsidRPr="00A74DFE">
        <w:rPr>
          <w:rFonts w:cs="Arial"/>
        </w:rPr>
        <w:t xml:space="preserve"> to difficulties </w:t>
      </w:r>
      <w:r w:rsidR="00A362C8">
        <w:rPr>
          <w:rFonts w:cs="Arial"/>
        </w:rPr>
        <w:t xml:space="preserve">in </w:t>
      </w:r>
      <w:r w:rsidRPr="00A74DFE">
        <w:rPr>
          <w:rFonts w:cs="Arial"/>
        </w:rPr>
        <w:t>accessing services and potentially isolation, which is a risk factor for abuse.</w:t>
      </w:r>
      <w:r w:rsidR="00A92597">
        <w:rPr>
          <w:rStyle w:val="FootnoteReference"/>
          <w:rFonts w:cs="Arial"/>
        </w:rPr>
        <w:footnoteReference w:id="6"/>
      </w:r>
      <w:r w:rsidRPr="00A74DFE">
        <w:rPr>
          <w:rFonts w:cs="Arial"/>
        </w:rPr>
        <w:t xml:space="preserve"> </w:t>
      </w:r>
    </w:p>
    <w:p w14:paraId="2C317BA5" w14:textId="77777777" w:rsidR="00A74DFE" w:rsidRPr="00A74DFE" w:rsidRDefault="00A74DFE" w:rsidP="00A74DFE">
      <w:pPr>
        <w:pStyle w:val="ListParagraph"/>
        <w:numPr>
          <w:ilvl w:val="0"/>
          <w:numId w:val="35"/>
        </w:numPr>
        <w:rPr>
          <w:rFonts w:cs="Arial"/>
        </w:rPr>
      </w:pPr>
      <w:r w:rsidRPr="00A74DFE">
        <w:rPr>
          <w:rFonts w:cs="Arial"/>
        </w:rPr>
        <w:t xml:space="preserve">The World Health Organisation </w:t>
      </w:r>
      <w:r w:rsidRPr="006669EB">
        <w:rPr>
          <w:rFonts w:cs="Arial"/>
          <w:i/>
          <w:iCs/>
        </w:rPr>
        <w:t>Global Report on Ageism</w:t>
      </w:r>
      <w:r w:rsidRPr="00A74DFE">
        <w:rPr>
          <w:rFonts w:cs="Arial"/>
        </w:rPr>
        <w:t xml:space="preserve"> states:</w:t>
      </w:r>
    </w:p>
    <w:p w14:paraId="15152534" w14:textId="40B682BC" w:rsidR="00A74DFE" w:rsidRPr="00A74DFE" w:rsidRDefault="00A74DFE" w:rsidP="00A74DFE">
      <w:pPr>
        <w:pStyle w:val="ListParagraph"/>
        <w:rPr>
          <w:rFonts w:cs="Arial"/>
          <w:i/>
          <w:iCs/>
        </w:rPr>
      </w:pPr>
      <w:r w:rsidRPr="00A74DFE">
        <w:rPr>
          <w:rFonts w:cs="Arial"/>
          <w:i/>
          <w:iCs/>
        </w:rPr>
        <w:t>‘Ageism has serious and far-reaching consequences for people’s health, well</w:t>
      </w:r>
      <w:r w:rsidR="00FC5E3C">
        <w:rPr>
          <w:rFonts w:cs="Arial"/>
          <w:i/>
          <w:iCs/>
        </w:rPr>
        <w:t>-</w:t>
      </w:r>
      <w:r w:rsidRPr="00A74DFE">
        <w:rPr>
          <w:rFonts w:cs="Arial"/>
          <w:i/>
          <w:iCs/>
        </w:rPr>
        <w:t>being and human rights</w:t>
      </w:r>
      <w:r w:rsidR="00FC5E3C">
        <w:rPr>
          <w:rFonts w:cs="Arial"/>
          <w:i/>
          <w:iCs/>
        </w:rPr>
        <w:t>..</w:t>
      </w:r>
      <w:r w:rsidRPr="00A74DFE">
        <w:rPr>
          <w:rFonts w:cs="Arial"/>
          <w:i/>
          <w:iCs/>
        </w:rPr>
        <w:t xml:space="preserve">. Ageism reduces older people’s quality of life, increases their social isolation and loneliness (both of which are associated with serious health </w:t>
      </w:r>
      <w:r w:rsidRPr="00A74DFE">
        <w:rPr>
          <w:rFonts w:cs="Arial"/>
          <w:i/>
          <w:iCs/>
        </w:rPr>
        <w:lastRenderedPageBreak/>
        <w:t>problems), restricts their ability to express their sexuality and may increase the risk of violence and abuse against older people’.</w:t>
      </w:r>
      <w:r w:rsidR="006669EB">
        <w:rPr>
          <w:rStyle w:val="FootnoteReference"/>
          <w:rFonts w:cs="Arial"/>
          <w:i/>
          <w:iCs/>
        </w:rPr>
        <w:footnoteReference w:id="7"/>
      </w:r>
      <w:r w:rsidRPr="00A74DFE">
        <w:rPr>
          <w:rFonts w:cs="Arial"/>
          <w:i/>
          <w:iCs/>
        </w:rPr>
        <w:t xml:space="preserve"> </w:t>
      </w:r>
    </w:p>
    <w:p w14:paraId="115D5ECE" w14:textId="4DE15CF8" w:rsidR="00A74DFE" w:rsidRPr="00A74DFE" w:rsidRDefault="00BD4BC2" w:rsidP="00A74DFE">
      <w:pPr>
        <w:pStyle w:val="ListParagraph"/>
        <w:numPr>
          <w:ilvl w:val="0"/>
          <w:numId w:val="35"/>
        </w:numPr>
        <w:rPr>
          <w:rFonts w:cs="Arial"/>
        </w:rPr>
      </w:pPr>
      <w:r>
        <w:rPr>
          <w:rFonts w:cs="Arial"/>
        </w:rPr>
        <w:t>The abuse of older Queenslanders is more likely to impact certain groups, in certain settings.</w:t>
      </w:r>
    </w:p>
    <w:p w14:paraId="04079608" w14:textId="52F1A65B" w:rsidR="00BE1AAA" w:rsidRPr="007309E7" w:rsidRDefault="003134D9" w:rsidP="00BE1AAA">
      <w:pPr>
        <w:pStyle w:val="Heading3"/>
        <w:rPr>
          <w:rFonts w:cs="Arial"/>
        </w:rPr>
      </w:pPr>
      <w:bookmarkStart w:id="3" w:name="_Toc194913961"/>
      <w:r>
        <w:rPr>
          <w:rFonts w:cs="Arial"/>
        </w:rPr>
        <w:t>V</w:t>
      </w:r>
      <w:r w:rsidR="00BE1AAA" w:rsidRPr="007309E7">
        <w:rPr>
          <w:rFonts w:cs="Arial"/>
        </w:rPr>
        <w:t>ulnerable older Queenslanders</w:t>
      </w:r>
      <w:r>
        <w:rPr>
          <w:rFonts w:cs="Arial"/>
        </w:rPr>
        <w:t xml:space="preserve"> are more likely to experience abuse</w:t>
      </w:r>
      <w:bookmarkEnd w:id="3"/>
    </w:p>
    <w:p w14:paraId="5733DEC7" w14:textId="6B760AEF" w:rsidR="00303AB4" w:rsidRPr="007F6A51" w:rsidRDefault="00BE1AAA" w:rsidP="005A4C55">
      <w:pPr>
        <w:pStyle w:val="ListParagraph"/>
        <w:numPr>
          <w:ilvl w:val="0"/>
          <w:numId w:val="35"/>
        </w:numPr>
        <w:rPr>
          <w:rFonts w:cs="Arial"/>
        </w:rPr>
      </w:pPr>
      <w:r w:rsidRPr="007F6A51">
        <w:rPr>
          <w:rFonts w:cs="Arial"/>
        </w:rPr>
        <w:t xml:space="preserve">The </w:t>
      </w:r>
      <w:r w:rsidR="00303AB4" w:rsidRPr="007F6A51">
        <w:rPr>
          <w:rFonts w:cs="Arial"/>
        </w:rPr>
        <w:t xml:space="preserve">statistics published by the Elder Abuse Prevention Unit and the </w:t>
      </w:r>
      <w:r w:rsidR="008449A6" w:rsidRPr="008449A6">
        <w:rPr>
          <w:rFonts w:cs="Arial"/>
          <w:i/>
          <w:iCs/>
        </w:rPr>
        <w:t>Draft National Plan to End the Abuse and Mistreatment of Older People</w:t>
      </w:r>
      <w:r w:rsidR="008449A6" w:rsidRPr="008449A6">
        <w:rPr>
          <w:rFonts w:cs="Arial"/>
        </w:rPr>
        <w:t xml:space="preserve"> </w:t>
      </w:r>
      <w:r w:rsidRPr="007F6A51">
        <w:rPr>
          <w:rFonts w:cs="Arial"/>
        </w:rPr>
        <w:t>demonstrate that v</w:t>
      </w:r>
      <w:r w:rsidR="00B14E2D" w:rsidRPr="007F6A51">
        <w:rPr>
          <w:rFonts w:cs="Arial"/>
        </w:rPr>
        <w:t xml:space="preserve">ulnerable </w:t>
      </w:r>
      <w:r w:rsidR="000264BD" w:rsidRPr="007F6A51">
        <w:rPr>
          <w:rFonts w:cs="Arial"/>
        </w:rPr>
        <w:t>older persons</w:t>
      </w:r>
      <w:r w:rsidR="00B76E41">
        <w:rPr>
          <w:rFonts w:cs="Arial"/>
        </w:rPr>
        <w:t>,</w:t>
      </w:r>
      <w:r w:rsidR="00B14E2D" w:rsidRPr="007F6A51">
        <w:rPr>
          <w:rFonts w:cs="Arial"/>
        </w:rPr>
        <w:t xml:space="preserve"> including women, First Nations persons, and persons living with disabilities</w:t>
      </w:r>
      <w:r w:rsidR="00B76E41">
        <w:rPr>
          <w:rFonts w:cs="Arial"/>
        </w:rPr>
        <w:t>,</w:t>
      </w:r>
      <w:r w:rsidRPr="007F6A51">
        <w:rPr>
          <w:rFonts w:cs="Arial"/>
        </w:rPr>
        <w:t xml:space="preserve"> are more likely to experience abuse.</w:t>
      </w:r>
      <w:r w:rsidR="00C5356C">
        <w:rPr>
          <w:rStyle w:val="FootnoteReference"/>
          <w:rFonts w:cs="Arial"/>
        </w:rPr>
        <w:footnoteReference w:id="8"/>
      </w:r>
      <w:r w:rsidR="00B14E2D" w:rsidRPr="007F6A51">
        <w:rPr>
          <w:rFonts w:cs="Arial"/>
        </w:rPr>
        <w:t xml:space="preserve"> </w:t>
      </w:r>
    </w:p>
    <w:p w14:paraId="0F99BCD3" w14:textId="2EF55AED" w:rsidR="002D1264" w:rsidRPr="001D530A" w:rsidRDefault="00B14E2D" w:rsidP="001D530A">
      <w:pPr>
        <w:pStyle w:val="ListParagraph"/>
        <w:numPr>
          <w:ilvl w:val="0"/>
          <w:numId w:val="35"/>
        </w:numPr>
        <w:rPr>
          <w:rFonts w:cs="Arial"/>
        </w:rPr>
      </w:pPr>
      <w:r w:rsidRPr="001D530A">
        <w:rPr>
          <w:rFonts w:cs="Arial"/>
        </w:rPr>
        <w:t>Th</w:t>
      </w:r>
      <w:r w:rsidR="00BD4BC2">
        <w:rPr>
          <w:rFonts w:cs="Arial"/>
        </w:rPr>
        <w:t xml:space="preserve">is is because the </w:t>
      </w:r>
      <w:r w:rsidRPr="001D530A">
        <w:rPr>
          <w:rFonts w:cs="Arial"/>
        </w:rPr>
        <w:t>compounding impact</w:t>
      </w:r>
      <w:r w:rsidR="000264BD" w:rsidRPr="001D530A">
        <w:rPr>
          <w:rFonts w:cs="Arial"/>
        </w:rPr>
        <w:t>s</w:t>
      </w:r>
      <w:r w:rsidRPr="001D530A">
        <w:rPr>
          <w:rFonts w:cs="Arial"/>
        </w:rPr>
        <w:t xml:space="preserve"> of structural inequa</w:t>
      </w:r>
      <w:r w:rsidR="00BE1AAA" w:rsidRPr="001D530A">
        <w:rPr>
          <w:rFonts w:cs="Arial"/>
        </w:rPr>
        <w:t>lity (</w:t>
      </w:r>
      <w:r w:rsidR="003A605A">
        <w:rPr>
          <w:rFonts w:cs="Arial"/>
        </w:rPr>
        <w:t>for example</w:t>
      </w:r>
      <w:r w:rsidR="00BE1AAA" w:rsidRPr="001D530A">
        <w:rPr>
          <w:rFonts w:cs="Arial"/>
        </w:rPr>
        <w:t xml:space="preserve">, low wages, inequitable health care) </w:t>
      </w:r>
      <w:r w:rsidR="000264BD" w:rsidRPr="001D530A">
        <w:rPr>
          <w:rFonts w:cs="Arial"/>
        </w:rPr>
        <w:t>experienced</w:t>
      </w:r>
      <w:r w:rsidRPr="001D530A">
        <w:rPr>
          <w:rFonts w:cs="Arial"/>
        </w:rPr>
        <w:t xml:space="preserve"> by these groups </w:t>
      </w:r>
      <w:r w:rsidR="000264BD" w:rsidRPr="001D530A">
        <w:rPr>
          <w:rFonts w:cs="Arial"/>
        </w:rPr>
        <w:t xml:space="preserve">over a long period </w:t>
      </w:r>
      <w:r w:rsidRPr="001D530A">
        <w:rPr>
          <w:rFonts w:cs="Arial"/>
        </w:rPr>
        <w:t xml:space="preserve">leaves them </w:t>
      </w:r>
      <w:r w:rsidR="00BE1AAA" w:rsidRPr="001D530A">
        <w:rPr>
          <w:rFonts w:cs="Arial"/>
        </w:rPr>
        <w:t xml:space="preserve">particularly </w:t>
      </w:r>
      <w:r w:rsidRPr="001D530A">
        <w:rPr>
          <w:rFonts w:cs="Arial"/>
        </w:rPr>
        <w:t>vulnerable to abuse.</w:t>
      </w:r>
      <w:r w:rsidR="00D45D03">
        <w:rPr>
          <w:rStyle w:val="FootnoteReference"/>
          <w:rFonts w:cs="Arial"/>
        </w:rPr>
        <w:footnoteReference w:id="9"/>
      </w:r>
      <w:r w:rsidRPr="001D530A">
        <w:rPr>
          <w:rFonts w:cs="Arial"/>
        </w:rPr>
        <w:t xml:space="preserve"> </w:t>
      </w:r>
    </w:p>
    <w:p w14:paraId="487C418E" w14:textId="4AF4DFCA" w:rsidR="006A560D" w:rsidRPr="007309E7" w:rsidRDefault="006A560D" w:rsidP="006A560D">
      <w:pPr>
        <w:pStyle w:val="Heading3"/>
        <w:rPr>
          <w:rFonts w:cs="Arial"/>
        </w:rPr>
      </w:pPr>
      <w:bookmarkStart w:id="4" w:name="_Toc194913962"/>
      <w:r w:rsidRPr="007309E7">
        <w:rPr>
          <w:rFonts w:cs="Arial"/>
        </w:rPr>
        <w:t xml:space="preserve">Abuse </w:t>
      </w:r>
      <w:r w:rsidR="00815D14" w:rsidRPr="007309E7">
        <w:rPr>
          <w:rFonts w:cs="Arial"/>
        </w:rPr>
        <w:t xml:space="preserve">in </w:t>
      </w:r>
      <w:r w:rsidR="00BE1AAA" w:rsidRPr="007309E7">
        <w:rPr>
          <w:rFonts w:cs="Arial"/>
        </w:rPr>
        <w:t xml:space="preserve">residential </w:t>
      </w:r>
      <w:r w:rsidR="00815D14" w:rsidRPr="007309E7">
        <w:rPr>
          <w:rFonts w:cs="Arial"/>
        </w:rPr>
        <w:t>aged care</w:t>
      </w:r>
      <w:bookmarkEnd w:id="4"/>
      <w:r w:rsidR="00815D14" w:rsidRPr="007309E7">
        <w:rPr>
          <w:rFonts w:cs="Arial"/>
        </w:rPr>
        <w:t xml:space="preserve"> </w:t>
      </w:r>
    </w:p>
    <w:p w14:paraId="6D083FBF" w14:textId="554F0442" w:rsidR="00DD6D4E" w:rsidRPr="00EA1634" w:rsidRDefault="00BF25B5" w:rsidP="00EA1634">
      <w:pPr>
        <w:pStyle w:val="ListParagraph"/>
        <w:numPr>
          <w:ilvl w:val="0"/>
          <w:numId w:val="35"/>
        </w:numPr>
        <w:rPr>
          <w:rFonts w:cs="Arial"/>
        </w:rPr>
      </w:pPr>
      <w:r w:rsidRPr="007309E7">
        <w:rPr>
          <w:rFonts w:cs="Arial"/>
        </w:rPr>
        <w:t xml:space="preserve">The </w:t>
      </w:r>
      <w:r w:rsidRPr="007309E7">
        <w:rPr>
          <w:rFonts w:cs="Arial"/>
          <w:i/>
          <w:iCs/>
        </w:rPr>
        <w:t>Royal Commission</w:t>
      </w:r>
      <w:r w:rsidR="00BE1AAA" w:rsidRPr="007309E7">
        <w:rPr>
          <w:rFonts w:cs="Arial"/>
          <w:i/>
          <w:iCs/>
        </w:rPr>
        <w:t xml:space="preserve"> into Aged Care Quality and Safety</w:t>
      </w:r>
      <w:r w:rsidRPr="007309E7">
        <w:rPr>
          <w:rFonts w:cs="Arial"/>
        </w:rPr>
        <w:t xml:space="preserve"> </w:t>
      </w:r>
      <w:r w:rsidR="00DD6D4E">
        <w:rPr>
          <w:rFonts w:cs="Arial"/>
        </w:rPr>
        <w:t>(</w:t>
      </w:r>
      <w:r w:rsidR="00DD6D4E" w:rsidRPr="00DD6D4E">
        <w:rPr>
          <w:rFonts w:cs="Arial"/>
          <w:b/>
          <w:bCs/>
        </w:rPr>
        <w:t>Royal Commission</w:t>
      </w:r>
      <w:r w:rsidR="00DD6D4E">
        <w:rPr>
          <w:rFonts w:cs="Arial"/>
        </w:rPr>
        <w:t xml:space="preserve">) </w:t>
      </w:r>
      <w:r w:rsidRPr="007309E7">
        <w:rPr>
          <w:rFonts w:cs="Arial"/>
        </w:rPr>
        <w:t xml:space="preserve">shone a light on </w:t>
      </w:r>
      <w:r w:rsidR="00BD4BC2">
        <w:rPr>
          <w:rFonts w:cs="Arial"/>
        </w:rPr>
        <w:t xml:space="preserve">the </w:t>
      </w:r>
      <w:r w:rsidRPr="007309E7">
        <w:rPr>
          <w:rFonts w:cs="Arial"/>
        </w:rPr>
        <w:t>egregious human rights abuses occurring in residential aged care setting</w:t>
      </w:r>
      <w:r w:rsidR="00A73D61">
        <w:rPr>
          <w:rFonts w:cs="Arial"/>
        </w:rPr>
        <w:t>s</w:t>
      </w:r>
      <w:r w:rsidRPr="007309E7">
        <w:rPr>
          <w:rFonts w:cs="Arial"/>
        </w:rPr>
        <w:t>.</w:t>
      </w:r>
      <w:r w:rsidR="00A67DC2">
        <w:rPr>
          <w:rStyle w:val="FootnoteReference"/>
          <w:rFonts w:cs="Arial"/>
        </w:rPr>
        <w:footnoteReference w:id="10"/>
      </w:r>
      <w:r w:rsidR="00DD6D4E">
        <w:rPr>
          <w:rFonts w:cs="Arial"/>
        </w:rPr>
        <w:t xml:space="preserve"> </w:t>
      </w:r>
      <w:r w:rsidR="00DD6D4E" w:rsidRPr="00DD6D4E">
        <w:rPr>
          <w:rFonts w:cs="Arial"/>
        </w:rPr>
        <w:t xml:space="preserve">The Royal Commission found </w:t>
      </w:r>
      <w:r w:rsidR="00DD6D4E">
        <w:rPr>
          <w:rFonts w:cs="Arial"/>
        </w:rPr>
        <w:t>a substantial number of instances of abuse includ</w:t>
      </w:r>
      <w:r w:rsidR="00834E9C">
        <w:rPr>
          <w:rFonts w:cs="Arial"/>
        </w:rPr>
        <w:t>ing</w:t>
      </w:r>
      <w:r w:rsidR="00DD6D4E">
        <w:rPr>
          <w:rFonts w:cs="Arial"/>
        </w:rPr>
        <w:t xml:space="preserve"> at the hands of staff members and in circumstances </w:t>
      </w:r>
      <w:r w:rsidR="00A73D61">
        <w:rPr>
          <w:rFonts w:cs="Arial"/>
        </w:rPr>
        <w:t xml:space="preserve">where </w:t>
      </w:r>
      <w:r w:rsidR="00DD6D4E">
        <w:rPr>
          <w:rFonts w:cs="Arial"/>
        </w:rPr>
        <w:t xml:space="preserve">staff had failed to protect residents from other residents. </w:t>
      </w:r>
      <w:r w:rsidR="00DD6D4E" w:rsidRPr="00EA1634">
        <w:rPr>
          <w:rFonts w:cs="Arial"/>
        </w:rPr>
        <w:t>The Royal Commission</w:t>
      </w:r>
      <w:r w:rsidR="004C5C49">
        <w:rPr>
          <w:rFonts w:cs="Arial"/>
        </w:rPr>
        <w:t xml:space="preserve"> also</w:t>
      </w:r>
      <w:r w:rsidR="00DD6D4E" w:rsidRPr="00EA1634">
        <w:rPr>
          <w:rFonts w:cs="Arial"/>
        </w:rPr>
        <w:t xml:space="preserve"> highlighted the inappropriate use of restraints in aged care.</w:t>
      </w:r>
      <w:r w:rsidR="00DD6D4E">
        <w:rPr>
          <w:rStyle w:val="FootnoteReference"/>
          <w:rFonts w:cs="Arial"/>
        </w:rPr>
        <w:footnoteReference w:id="11"/>
      </w:r>
    </w:p>
    <w:p w14:paraId="0659564D" w14:textId="1417FF47" w:rsidR="006A560D" w:rsidRPr="007309E7" w:rsidRDefault="00400A55" w:rsidP="006A560D">
      <w:pPr>
        <w:pStyle w:val="Heading3"/>
        <w:rPr>
          <w:rFonts w:cs="Arial"/>
        </w:rPr>
      </w:pPr>
      <w:bookmarkStart w:id="5" w:name="_Toc194913963"/>
      <w:r>
        <w:rPr>
          <w:rFonts w:cs="Arial"/>
        </w:rPr>
        <w:t>Inappropriate u</w:t>
      </w:r>
      <w:r w:rsidR="006A560D" w:rsidRPr="007309E7">
        <w:rPr>
          <w:rFonts w:cs="Arial"/>
        </w:rPr>
        <w:t>se of restrictive practices</w:t>
      </w:r>
      <w:bookmarkEnd w:id="5"/>
      <w:r w:rsidR="006A560D" w:rsidRPr="007309E7">
        <w:rPr>
          <w:rFonts w:cs="Arial"/>
        </w:rPr>
        <w:t xml:space="preserve"> </w:t>
      </w:r>
    </w:p>
    <w:p w14:paraId="6EA23273" w14:textId="48DA88BA" w:rsidR="00F74BB5" w:rsidRDefault="00F74BB5" w:rsidP="000262F8">
      <w:pPr>
        <w:pStyle w:val="ListParagraph"/>
        <w:numPr>
          <w:ilvl w:val="0"/>
          <w:numId w:val="35"/>
        </w:numPr>
        <w:rPr>
          <w:rFonts w:cs="Arial"/>
        </w:rPr>
      </w:pPr>
      <w:r w:rsidRPr="00F74BB5">
        <w:rPr>
          <w:rFonts w:cs="Arial"/>
        </w:rPr>
        <w:t xml:space="preserve">Restrictive practices are commonly used </w:t>
      </w:r>
      <w:r w:rsidR="00A73D61">
        <w:rPr>
          <w:rFonts w:cs="Arial"/>
        </w:rPr>
        <w:t>on</w:t>
      </w:r>
      <w:r w:rsidRPr="00F74BB5">
        <w:rPr>
          <w:rFonts w:cs="Arial"/>
        </w:rPr>
        <w:t xml:space="preserve"> older </w:t>
      </w:r>
      <w:r w:rsidR="00A73D61">
        <w:rPr>
          <w:rFonts w:cs="Arial"/>
        </w:rPr>
        <w:t>people</w:t>
      </w:r>
      <w:r w:rsidR="00A73D61" w:rsidRPr="00F74BB5">
        <w:rPr>
          <w:rFonts w:cs="Arial"/>
        </w:rPr>
        <w:t xml:space="preserve"> </w:t>
      </w:r>
      <w:r w:rsidRPr="00F74BB5">
        <w:rPr>
          <w:rFonts w:cs="Arial"/>
        </w:rPr>
        <w:t>in a range of settings</w:t>
      </w:r>
      <w:r w:rsidR="00A73D61">
        <w:rPr>
          <w:rFonts w:cs="Arial"/>
        </w:rPr>
        <w:t>,</w:t>
      </w:r>
      <w:r w:rsidRPr="00F74BB5">
        <w:rPr>
          <w:rFonts w:cs="Arial"/>
        </w:rPr>
        <w:t xml:space="preserve"> including </w:t>
      </w:r>
      <w:r w:rsidR="00F46523">
        <w:rPr>
          <w:rFonts w:cs="Arial"/>
        </w:rPr>
        <w:t xml:space="preserve">residential </w:t>
      </w:r>
      <w:r>
        <w:rPr>
          <w:rFonts w:cs="Arial"/>
        </w:rPr>
        <w:t xml:space="preserve">aged care, </w:t>
      </w:r>
      <w:r w:rsidRPr="00F74BB5">
        <w:rPr>
          <w:rFonts w:cs="Arial"/>
        </w:rPr>
        <w:t xml:space="preserve">health services, and disability services. </w:t>
      </w:r>
    </w:p>
    <w:p w14:paraId="0F7485F4" w14:textId="77D57E32" w:rsidR="007017CD" w:rsidRPr="007309E7" w:rsidRDefault="006866DE" w:rsidP="00F74BB5">
      <w:pPr>
        <w:pStyle w:val="ListParagraph"/>
        <w:numPr>
          <w:ilvl w:val="0"/>
          <w:numId w:val="35"/>
        </w:numPr>
        <w:rPr>
          <w:rFonts w:cs="Arial"/>
        </w:rPr>
      </w:pPr>
      <w:r>
        <w:rPr>
          <w:rFonts w:cs="Arial"/>
        </w:rPr>
        <w:t>A</w:t>
      </w:r>
      <w:r w:rsidR="007017CD" w:rsidRPr="007309E7">
        <w:rPr>
          <w:rFonts w:cs="Arial"/>
        </w:rPr>
        <w:t xml:space="preserve"> ‘restrictive practice’ </w:t>
      </w:r>
      <w:r>
        <w:rPr>
          <w:rFonts w:cs="Arial"/>
        </w:rPr>
        <w:t>is generally understood to be</w:t>
      </w:r>
      <w:r w:rsidR="007017CD" w:rsidRPr="007309E7">
        <w:rPr>
          <w:rFonts w:cs="Arial"/>
        </w:rPr>
        <w:t xml:space="preserve"> any practice or intervention </w:t>
      </w:r>
      <w:r w:rsidR="005106A7">
        <w:rPr>
          <w:rFonts w:cs="Arial"/>
        </w:rPr>
        <w:t>‘</w:t>
      </w:r>
      <w:r w:rsidR="007017CD" w:rsidRPr="007309E7">
        <w:rPr>
          <w:rFonts w:cs="Arial"/>
        </w:rPr>
        <w:t>that has the effect of restricting the rights or freedom of movement of the relevant person</w:t>
      </w:r>
      <w:r w:rsidR="005106A7">
        <w:rPr>
          <w:rFonts w:cs="Arial"/>
        </w:rPr>
        <w:t>’</w:t>
      </w:r>
      <w:r w:rsidR="007017CD" w:rsidRPr="007309E7">
        <w:rPr>
          <w:rFonts w:cs="Arial"/>
        </w:rPr>
        <w:t>.</w:t>
      </w:r>
      <w:r>
        <w:rPr>
          <w:rStyle w:val="FootnoteReference"/>
          <w:rFonts w:cs="Arial"/>
        </w:rPr>
        <w:footnoteReference w:id="12"/>
      </w:r>
    </w:p>
    <w:p w14:paraId="014867E0" w14:textId="1F5D4759" w:rsidR="009451B1" w:rsidRDefault="007017CD" w:rsidP="009451B1">
      <w:pPr>
        <w:pStyle w:val="ListParagraph"/>
        <w:numPr>
          <w:ilvl w:val="0"/>
          <w:numId w:val="35"/>
        </w:numPr>
        <w:rPr>
          <w:rFonts w:cs="Arial"/>
        </w:rPr>
      </w:pPr>
      <w:r w:rsidRPr="007309E7">
        <w:rPr>
          <w:rFonts w:cs="Arial"/>
        </w:rPr>
        <w:t xml:space="preserve">Types of restrictive practices include seclusion, chemical restraint, mechanical restraint, physical restraint, and environmental </w:t>
      </w:r>
      <w:r w:rsidR="007D568F">
        <w:rPr>
          <w:rFonts w:cs="Arial"/>
        </w:rPr>
        <w:t xml:space="preserve">restraint </w:t>
      </w:r>
      <w:r w:rsidRPr="007309E7">
        <w:rPr>
          <w:rFonts w:cs="Arial"/>
        </w:rPr>
        <w:t>(restricting access to all parts of a person’s environment</w:t>
      </w:r>
      <w:r w:rsidR="00A73D61">
        <w:rPr>
          <w:rFonts w:cs="Arial"/>
        </w:rPr>
        <w:t>, for example,</w:t>
      </w:r>
      <w:r w:rsidRPr="007309E7">
        <w:rPr>
          <w:rFonts w:cs="Arial"/>
        </w:rPr>
        <w:t xml:space="preserve"> a game</w:t>
      </w:r>
      <w:r w:rsidR="00A73D61">
        <w:rPr>
          <w:rFonts w:cs="Arial"/>
        </w:rPr>
        <w:t>s</w:t>
      </w:r>
      <w:r w:rsidRPr="007309E7">
        <w:rPr>
          <w:rFonts w:cs="Arial"/>
        </w:rPr>
        <w:t xml:space="preserve"> room, garden). </w:t>
      </w:r>
    </w:p>
    <w:p w14:paraId="7079D9A9" w14:textId="6C191C8B" w:rsidR="00B84512" w:rsidRPr="00321A0A" w:rsidRDefault="00321A0A" w:rsidP="00321A0A">
      <w:pPr>
        <w:pStyle w:val="ListParagraph"/>
        <w:numPr>
          <w:ilvl w:val="0"/>
          <w:numId w:val="35"/>
        </w:numPr>
        <w:rPr>
          <w:rFonts w:cs="Arial"/>
        </w:rPr>
      </w:pPr>
      <w:r>
        <w:rPr>
          <w:rFonts w:cs="Arial"/>
        </w:rPr>
        <w:lastRenderedPageBreak/>
        <w:t>Where restrictive practices are used</w:t>
      </w:r>
      <w:r w:rsidRPr="00321A0A">
        <w:rPr>
          <w:rFonts w:cs="Arial"/>
        </w:rPr>
        <w:t xml:space="preserve"> without clear justification </w:t>
      </w:r>
      <w:r>
        <w:rPr>
          <w:rFonts w:cs="Arial"/>
        </w:rPr>
        <w:t>or</w:t>
      </w:r>
      <w:r w:rsidRPr="00321A0A">
        <w:rPr>
          <w:rFonts w:cs="Arial"/>
        </w:rPr>
        <w:t xml:space="preserve"> clinical indication</w:t>
      </w:r>
      <w:r w:rsidR="00A73D61">
        <w:rPr>
          <w:rFonts w:cs="Arial"/>
        </w:rPr>
        <w:t>s</w:t>
      </w:r>
      <w:r>
        <w:rPr>
          <w:rFonts w:cs="Arial"/>
        </w:rPr>
        <w:t>, it will typically amount to abuse</w:t>
      </w:r>
      <w:r w:rsidRPr="00321A0A">
        <w:rPr>
          <w:rFonts w:cs="Arial"/>
        </w:rPr>
        <w:t xml:space="preserve">. </w:t>
      </w:r>
      <w:r w:rsidR="00B84512" w:rsidRPr="00321A0A">
        <w:rPr>
          <w:rFonts w:cs="Arial"/>
        </w:rPr>
        <w:t>The misuse of r</w:t>
      </w:r>
      <w:r w:rsidR="004D74EE" w:rsidRPr="00321A0A">
        <w:rPr>
          <w:rFonts w:cs="Arial"/>
        </w:rPr>
        <w:t>estrictive practices can cause serious physical and psychological harm</w:t>
      </w:r>
      <w:r w:rsidR="00796E19">
        <w:rPr>
          <w:rFonts w:cs="Arial"/>
        </w:rPr>
        <w:t>, and</w:t>
      </w:r>
      <w:r w:rsidR="007D568F" w:rsidRPr="00321A0A">
        <w:rPr>
          <w:rFonts w:cs="Arial"/>
        </w:rPr>
        <w:t xml:space="preserve"> inappropriate use of restraints has </w:t>
      </w:r>
      <w:r w:rsidR="00796E19">
        <w:rPr>
          <w:rFonts w:cs="Arial"/>
        </w:rPr>
        <w:t>caused</w:t>
      </w:r>
      <w:r w:rsidR="007D568F" w:rsidRPr="00321A0A">
        <w:rPr>
          <w:rFonts w:cs="Arial"/>
        </w:rPr>
        <w:t xml:space="preserve"> deaths.</w:t>
      </w:r>
      <w:r w:rsidR="004D74EE" w:rsidRPr="007309E7">
        <w:rPr>
          <w:rStyle w:val="FootnoteReference"/>
          <w:rFonts w:cs="Arial"/>
        </w:rPr>
        <w:footnoteReference w:id="13"/>
      </w:r>
    </w:p>
    <w:p w14:paraId="7D1232D9" w14:textId="4F3532D3" w:rsidR="00B14E2D" w:rsidRPr="007309E7" w:rsidRDefault="00B14E2D" w:rsidP="00240CFD">
      <w:pPr>
        <w:pStyle w:val="Heading2"/>
      </w:pPr>
      <w:bookmarkStart w:id="6" w:name="_Toc194913964"/>
      <w:r w:rsidRPr="007309E7">
        <w:t xml:space="preserve">Impacts </w:t>
      </w:r>
      <w:r w:rsidR="004D74EE" w:rsidRPr="007309E7">
        <w:t xml:space="preserve">of abuse </w:t>
      </w:r>
      <w:r w:rsidRPr="007309E7">
        <w:t xml:space="preserve">on </w:t>
      </w:r>
      <w:r w:rsidR="007C10E0" w:rsidRPr="007309E7">
        <w:t xml:space="preserve">older Queenslander’s </w:t>
      </w:r>
      <w:r w:rsidRPr="007309E7">
        <w:t>human rights</w:t>
      </w:r>
      <w:bookmarkEnd w:id="6"/>
      <w:r w:rsidRPr="007309E7">
        <w:t xml:space="preserve"> </w:t>
      </w:r>
    </w:p>
    <w:p w14:paraId="71EFA1EE" w14:textId="25021976" w:rsidR="004D74EE" w:rsidRPr="007309E7" w:rsidRDefault="008221E7" w:rsidP="00F74BB5">
      <w:pPr>
        <w:pStyle w:val="ListParagraph"/>
        <w:numPr>
          <w:ilvl w:val="0"/>
          <w:numId w:val="35"/>
        </w:numPr>
        <w:rPr>
          <w:rFonts w:cs="Arial"/>
        </w:rPr>
      </w:pPr>
      <w:r w:rsidRPr="008221E7">
        <w:rPr>
          <w:rFonts w:cs="Arial"/>
        </w:rPr>
        <w:t xml:space="preserve">Conduct constituting abuse, which can include </w:t>
      </w:r>
      <w:r w:rsidR="004C5C49">
        <w:rPr>
          <w:rFonts w:cs="Arial"/>
        </w:rPr>
        <w:t>physical violence, sexual abuse, psychological or emotional abuse, financial abuse, neglect, and social abuse</w:t>
      </w:r>
      <w:r w:rsidRPr="008221E7">
        <w:rPr>
          <w:rFonts w:cs="Arial"/>
        </w:rPr>
        <w:t xml:space="preserve">, may </w:t>
      </w:r>
      <w:r w:rsidR="00796E19">
        <w:rPr>
          <w:rFonts w:cs="Arial"/>
        </w:rPr>
        <w:t>limit</w:t>
      </w:r>
      <w:r w:rsidR="00796E19" w:rsidRPr="008221E7">
        <w:rPr>
          <w:rFonts w:cs="Arial"/>
        </w:rPr>
        <w:t xml:space="preserve"> </w:t>
      </w:r>
      <w:r w:rsidRPr="008221E7">
        <w:rPr>
          <w:rFonts w:cs="Arial"/>
        </w:rPr>
        <w:t xml:space="preserve">one or more the rights protected </w:t>
      </w:r>
      <w:r>
        <w:rPr>
          <w:rFonts w:cs="Arial"/>
        </w:rPr>
        <w:t xml:space="preserve">by the Human Rights Act. </w:t>
      </w:r>
      <w:r w:rsidR="005106A7">
        <w:rPr>
          <w:rFonts w:cs="Arial"/>
        </w:rPr>
        <w:t>Depending on the circumstances of the abuse, the rights limited could</w:t>
      </w:r>
      <w:r w:rsidR="007C10E0" w:rsidRPr="007309E7">
        <w:rPr>
          <w:rFonts w:cs="Arial"/>
        </w:rPr>
        <w:t xml:space="preserve"> includ</w:t>
      </w:r>
      <w:r w:rsidR="005106A7">
        <w:rPr>
          <w:rFonts w:cs="Arial"/>
        </w:rPr>
        <w:t>e</w:t>
      </w:r>
      <w:r w:rsidR="007C10E0" w:rsidRPr="007309E7">
        <w:rPr>
          <w:rFonts w:cs="Arial"/>
        </w:rPr>
        <w:t>:</w:t>
      </w:r>
      <w:r w:rsidR="00B14E2D" w:rsidRPr="007309E7">
        <w:rPr>
          <w:rFonts w:cs="Arial"/>
        </w:rPr>
        <w:t xml:space="preserve"> </w:t>
      </w:r>
    </w:p>
    <w:p w14:paraId="648D6BB8" w14:textId="39E7758D" w:rsidR="004D74EE" w:rsidRPr="007309E7" w:rsidRDefault="004D74EE" w:rsidP="004D74EE">
      <w:pPr>
        <w:pStyle w:val="ListParagraph"/>
        <w:numPr>
          <w:ilvl w:val="1"/>
          <w:numId w:val="42"/>
        </w:numPr>
        <w:rPr>
          <w:rFonts w:cs="Arial"/>
        </w:rPr>
      </w:pPr>
      <w:r w:rsidRPr="007309E7">
        <w:rPr>
          <w:rFonts w:cs="Arial"/>
        </w:rPr>
        <w:t>recognition and equality before the law (</w:t>
      </w:r>
      <w:r w:rsidR="009C52E1">
        <w:rPr>
          <w:rFonts w:cs="Arial"/>
        </w:rPr>
        <w:t>Human Rights Act</w:t>
      </w:r>
      <w:r w:rsidR="00796E19">
        <w:rPr>
          <w:rFonts w:cs="Arial"/>
        </w:rPr>
        <w:t xml:space="preserve"> s 15</w:t>
      </w:r>
      <w:r w:rsidRPr="007309E7">
        <w:rPr>
          <w:rFonts w:cs="Arial"/>
        </w:rPr>
        <w:t>)</w:t>
      </w:r>
    </w:p>
    <w:p w14:paraId="206A6B61" w14:textId="4A51751C" w:rsidR="004D74EE" w:rsidRPr="007309E7" w:rsidRDefault="004D74EE" w:rsidP="004D74EE">
      <w:pPr>
        <w:pStyle w:val="ListParagraph"/>
        <w:numPr>
          <w:ilvl w:val="1"/>
          <w:numId w:val="42"/>
        </w:numPr>
        <w:rPr>
          <w:rFonts w:cs="Arial"/>
        </w:rPr>
      </w:pPr>
      <w:r w:rsidRPr="007309E7">
        <w:rPr>
          <w:rFonts w:cs="Arial"/>
        </w:rPr>
        <w:t>protection from torture and cruel, inhuman or degrading treatment (</w:t>
      </w:r>
      <w:r w:rsidR="009C52E1">
        <w:rPr>
          <w:rFonts w:cs="Arial"/>
        </w:rPr>
        <w:t>Human Rights Act</w:t>
      </w:r>
      <w:r w:rsidR="00796E19">
        <w:rPr>
          <w:rFonts w:cs="Arial"/>
        </w:rPr>
        <w:t xml:space="preserve"> s 17</w:t>
      </w:r>
      <w:r w:rsidRPr="007309E7">
        <w:rPr>
          <w:rFonts w:cs="Arial"/>
        </w:rPr>
        <w:t>)</w:t>
      </w:r>
    </w:p>
    <w:p w14:paraId="2DA6338B" w14:textId="6DA5BDAC" w:rsidR="004D74EE" w:rsidRPr="007309E7" w:rsidRDefault="004D74EE" w:rsidP="004D74EE">
      <w:pPr>
        <w:pStyle w:val="ListParagraph"/>
        <w:numPr>
          <w:ilvl w:val="1"/>
          <w:numId w:val="42"/>
        </w:numPr>
        <w:rPr>
          <w:rFonts w:cs="Arial"/>
        </w:rPr>
      </w:pPr>
      <w:r w:rsidRPr="007309E7">
        <w:rPr>
          <w:rFonts w:cs="Arial"/>
        </w:rPr>
        <w:t>freedom of movement (</w:t>
      </w:r>
      <w:r w:rsidR="009C52E1">
        <w:rPr>
          <w:rFonts w:cs="Arial"/>
        </w:rPr>
        <w:t>Human Rights Act</w:t>
      </w:r>
      <w:r w:rsidR="00796E19">
        <w:rPr>
          <w:rFonts w:cs="Arial"/>
        </w:rPr>
        <w:t xml:space="preserve"> s 19</w:t>
      </w:r>
      <w:r w:rsidRPr="007309E7">
        <w:rPr>
          <w:rFonts w:cs="Arial"/>
        </w:rPr>
        <w:t>)</w:t>
      </w:r>
    </w:p>
    <w:p w14:paraId="5C142406" w14:textId="1A661EB3" w:rsidR="004D74EE" w:rsidRPr="007309E7" w:rsidRDefault="004D74EE" w:rsidP="004D74EE">
      <w:pPr>
        <w:pStyle w:val="ListParagraph"/>
        <w:numPr>
          <w:ilvl w:val="1"/>
          <w:numId w:val="42"/>
        </w:numPr>
        <w:rPr>
          <w:rFonts w:cs="Arial"/>
        </w:rPr>
      </w:pPr>
      <w:r w:rsidRPr="007309E7">
        <w:rPr>
          <w:rFonts w:cs="Arial"/>
        </w:rPr>
        <w:t>freedom of expression (</w:t>
      </w:r>
      <w:r w:rsidR="009C52E1">
        <w:rPr>
          <w:rFonts w:cs="Arial"/>
        </w:rPr>
        <w:t>Human Rights Act</w:t>
      </w:r>
      <w:r w:rsidR="00796E19">
        <w:rPr>
          <w:rFonts w:cs="Arial"/>
        </w:rPr>
        <w:t xml:space="preserve"> s 21</w:t>
      </w:r>
      <w:r w:rsidRPr="007309E7">
        <w:rPr>
          <w:rFonts w:cs="Arial"/>
        </w:rPr>
        <w:t>)</w:t>
      </w:r>
    </w:p>
    <w:p w14:paraId="0BB6F3CB" w14:textId="0656D6F1" w:rsidR="004D74EE" w:rsidRPr="007309E7" w:rsidRDefault="004D74EE" w:rsidP="004D74EE">
      <w:pPr>
        <w:pStyle w:val="ListParagraph"/>
        <w:numPr>
          <w:ilvl w:val="1"/>
          <w:numId w:val="42"/>
        </w:numPr>
        <w:rPr>
          <w:rFonts w:cs="Arial"/>
        </w:rPr>
      </w:pPr>
      <w:r w:rsidRPr="007309E7">
        <w:rPr>
          <w:rFonts w:cs="Arial"/>
        </w:rPr>
        <w:t>protection from unlawful or arbitrary interference with privacy, family, or home (</w:t>
      </w:r>
      <w:r w:rsidR="009C52E1">
        <w:rPr>
          <w:rFonts w:cs="Arial"/>
        </w:rPr>
        <w:t>Human Rights Act</w:t>
      </w:r>
      <w:r w:rsidR="00796E19">
        <w:rPr>
          <w:rFonts w:cs="Arial"/>
        </w:rPr>
        <w:t xml:space="preserve"> s 25</w:t>
      </w:r>
      <w:r w:rsidRPr="007309E7">
        <w:rPr>
          <w:rFonts w:cs="Arial"/>
        </w:rPr>
        <w:t>)</w:t>
      </w:r>
    </w:p>
    <w:p w14:paraId="04B35EA8" w14:textId="059F4935" w:rsidR="004D74EE" w:rsidRPr="007309E7" w:rsidRDefault="004D74EE" w:rsidP="004D74EE">
      <w:pPr>
        <w:pStyle w:val="ListParagraph"/>
        <w:numPr>
          <w:ilvl w:val="1"/>
          <w:numId w:val="42"/>
        </w:numPr>
        <w:rPr>
          <w:rFonts w:cs="Arial"/>
        </w:rPr>
      </w:pPr>
      <w:r w:rsidRPr="007309E7">
        <w:rPr>
          <w:rFonts w:cs="Arial"/>
        </w:rPr>
        <w:t>protection of families and children (</w:t>
      </w:r>
      <w:r w:rsidR="009C52E1">
        <w:rPr>
          <w:rFonts w:cs="Arial"/>
        </w:rPr>
        <w:t>Human Rights Act</w:t>
      </w:r>
      <w:r w:rsidR="00796E19">
        <w:rPr>
          <w:rFonts w:cs="Arial"/>
        </w:rPr>
        <w:t xml:space="preserve"> s 26</w:t>
      </w:r>
      <w:r w:rsidRPr="007309E7">
        <w:rPr>
          <w:rFonts w:cs="Arial"/>
        </w:rPr>
        <w:t>)</w:t>
      </w:r>
    </w:p>
    <w:p w14:paraId="70431770" w14:textId="5B9C8A2C" w:rsidR="004D74EE" w:rsidRPr="007309E7" w:rsidRDefault="004D74EE" w:rsidP="004D74EE">
      <w:pPr>
        <w:pStyle w:val="ListParagraph"/>
        <w:numPr>
          <w:ilvl w:val="1"/>
          <w:numId w:val="42"/>
        </w:numPr>
        <w:rPr>
          <w:rFonts w:cs="Arial"/>
        </w:rPr>
      </w:pPr>
      <w:r w:rsidRPr="007309E7">
        <w:rPr>
          <w:rFonts w:cs="Arial"/>
        </w:rPr>
        <w:t>cultural rights, including of Aboriginal peoples and Torres Strait Islander peoples (</w:t>
      </w:r>
      <w:r w:rsidR="009C52E1">
        <w:rPr>
          <w:rFonts w:cs="Arial"/>
        </w:rPr>
        <w:t>Human Rights Act</w:t>
      </w:r>
      <w:r w:rsidR="00796E19">
        <w:rPr>
          <w:rFonts w:cs="Arial"/>
        </w:rPr>
        <w:t xml:space="preserve"> ss 27–28</w:t>
      </w:r>
      <w:r w:rsidRPr="007309E7">
        <w:rPr>
          <w:rFonts w:cs="Arial"/>
        </w:rPr>
        <w:t>)</w:t>
      </w:r>
    </w:p>
    <w:p w14:paraId="58E71DAB" w14:textId="2286DF60" w:rsidR="004D74EE" w:rsidRPr="007309E7" w:rsidRDefault="004D74EE" w:rsidP="004D74EE">
      <w:pPr>
        <w:pStyle w:val="ListParagraph"/>
        <w:numPr>
          <w:ilvl w:val="1"/>
          <w:numId w:val="42"/>
        </w:numPr>
        <w:rPr>
          <w:rFonts w:cs="Arial"/>
        </w:rPr>
      </w:pPr>
      <w:r w:rsidRPr="007309E7">
        <w:rPr>
          <w:rFonts w:cs="Arial"/>
        </w:rPr>
        <w:t>right to liberty and security of person (</w:t>
      </w:r>
      <w:r w:rsidR="009C52E1">
        <w:rPr>
          <w:rFonts w:cs="Arial"/>
        </w:rPr>
        <w:t>Human Rights Act</w:t>
      </w:r>
      <w:r w:rsidR="00796E19">
        <w:rPr>
          <w:rFonts w:cs="Arial"/>
        </w:rPr>
        <w:t xml:space="preserve"> s 29</w:t>
      </w:r>
      <w:r w:rsidRPr="007309E7">
        <w:rPr>
          <w:rFonts w:cs="Arial"/>
        </w:rPr>
        <w:t>)</w:t>
      </w:r>
    </w:p>
    <w:p w14:paraId="356A1E3C" w14:textId="06912C72" w:rsidR="004D74EE" w:rsidRPr="007309E7" w:rsidRDefault="004D74EE" w:rsidP="004D74EE">
      <w:pPr>
        <w:pStyle w:val="ListParagraph"/>
        <w:numPr>
          <w:ilvl w:val="1"/>
          <w:numId w:val="42"/>
        </w:numPr>
        <w:rPr>
          <w:rFonts w:cs="Arial"/>
        </w:rPr>
      </w:pPr>
      <w:r w:rsidRPr="007309E7">
        <w:rPr>
          <w:rFonts w:cs="Arial"/>
        </w:rPr>
        <w:t>humane treatment when deprived of liberty (</w:t>
      </w:r>
      <w:r w:rsidR="009C52E1">
        <w:rPr>
          <w:rFonts w:cs="Arial"/>
        </w:rPr>
        <w:t>Human Rights Act</w:t>
      </w:r>
      <w:r w:rsidR="00796E19">
        <w:rPr>
          <w:rFonts w:cs="Arial"/>
        </w:rPr>
        <w:t xml:space="preserve"> s 30</w:t>
      </w:r>
      <w:r w:rsidRPr="007309E7">
        <w:rPr>
          <w:rFonts w:cs="Arial"/>
        </w:rPr>
        <w:t>)</w:t>
      </w:r>
    </w:p>
    <w:p w14:paraId="7FD29457" w14:textId="564603D1" w:rsidR="00334386" w:rsidRDefault="004D74EE">
      <w:pPr>
        <w:pStyle w:val="ListParagraph"/>
        <w:numPr>
          <w:ilvl w:val="1"/>
          <w:numId w:val="42"/>
        </w:numPr>
        <w:rPr>
          <w:rFonts w:cs="Arial"/>
        </w:rPr>
      </w:pPr>
      <w:r w:rsidRPr="007309E7">
        <w:rPr>
          <w:rFonts w:cs="Arial"/>
        </w:rPr>
        <w:t>right to health services (</w:t>
      </w:r>
      <w:r w:rsidR="009C52E1">
        <w:rPr>
          <w:rFonts w:cs="Arial"/>
        </w:rPr>
        <w:t>Human Rights Act</w:t>
      </w:r>
      <w:r w:rsidR="00796E19">
        <w:rPr>
          <w:rFonts w:cs="Arial"/>
        </w:rPr>
        <w:t xml:space="preserve"> s 37</w:t>
      </w:r>
      <w:r w:rsidRPr="007309E7">
        <w:rPr>
          <w:rFonts w:cs="Arial"/>
        </w:rPr>
        <w:t>).</w:t>
      </w:r>
    </w:p>
    <w:p w14:paraId="00711ACE" w14:textId="699E7BFB" w:rsidR="009F7526" w:rsidRDefault="00DE2AAF" w:rsidP="009F7526">
      <w:pPr>
        <w:pStyle w:val="Heading2"/>
        <w:rPr>
          <w:rFonts w:cs="Arial"/>
        </w:rPr>
      </w:pPr>
      <w:bookmarkStart w:id="7" w:name="_Toc194913965"/>
      <w:r w:rsidRPr="007309E7">
        <w:rPr>
          <w:rFonts w:cs="Arial"/>
        </w:rPr>
        <w:t xml:space="preserve">Effectiveness of </w:t>
      </w:r>
      <w:r w:rsidR="00D67668" w:rsidRPr="007309E7">
        <w:rPr>
          <w:rFonts w:cs="Arial"/>
        </w:rPr>
        <w:t xml:space="preserve">current </w:t>
      </w:r>
      <w:r w:rsidR="00B76E8D">
        <w:rPr>
          <w:rFonts w:cs="Arial"/>
        </w:rPr>
        <w:t>responses to elder abuse</w:t>
      </w:r>
      <w:bookmarkEnd w:id="7"/>
    </w:p>
    <w:p w14:paraId="58C01DDB" w14:textId="42FA3FBD" w:rsidR="00F77F82" w:rsidRPr="007309E7" w:rsidRDefault="007540A3" w:rsidP="00F77F82">
      <w:pPr>
        <w:pStyle w:val="Heading3"/>
        <w:rPr>
          <w:rFonts w:cs="Arial"/>
        </w:rPr>
      </w:pPr>
      <w:bookmarkStart w:id="8" w:name="_Toc194913966"/>
      <w:r>
        <w:rPr>
          <w:rFonts w:cs="Arial"/>
        </w:rPr>
        <w:t>Human rights protections -</w:t>
      </w:r>
      <w:r w:rsidR="00F77F82" w:rsidRPr="007309E7">
        <w:rPr>
          <w:rFonts w:cs="Arial"/>
        </w:rPr>
        <w:t xml:space="preserve"> Human Rights Act</w:t>
      </w:r>
      <w:bookmarkEnd w:id="8"/>
    </w:p>
    <w:p w14:paraId="54E84F22" w14:textId="3CA4EE65" w:rsidR="00A61FC8" w:rsidRPr="007309E7" w:rsidRDefault="006504DB" w:rsidP="00F74BB5">
      <w:pPr>
        <w:pStyle w:val="ListParagraph"/>
        <w:numPr>
          <w:ilvl w:val="0"/>
          <w:numId w:val="35"/>
        </w:numPr>
        <w:rPr>
          <w:rFonts w:cs="Arial"/>
        </w:rPr>
      </w:pPr>
      <w:r w:rsidRPr="007309E7">
        <w:rPr>
          <w:rFonts w:cs="Arial"/>
        </w:rPr>
        <w:t>The H</w:t>
      </w:r>
      <w:r w:rsidR="00AD32D3" w:rsidRPr="007309E7">
        <w:rPr>
          <w:rFonts w:cs="Arial"/>
        </w:rPr>
        <w:t>uman Rights</w:t>
      </w:r>
      <w:r w:rsidRPr="007309E7">
        <w:rPr>
          <w:rFonts w:cs="Arial"/>
        </w:rPr>
        <w:t xml:space="preserve"> Act </w:t>
      </w:r>
      <w:r w:rsidR="005E5E79" w:rsidRPr="007309E7">
        <w:rPr>
          <w:rFonts w:cs="Arial"/>
        </w:rPr>
        <w:t xml:space="preserve">protects the </w:t>
      </w:r>
      <w:r w:rsidR="000F1E70">
        <w:rPr>
          <w:rFonts w:cs="Arial"/>
        </w:rPr>
        <w:t xml:space="preserve">equal </w:t>
      </w:r>
      <w:r w:rsidR="005E5E79" w:rsidRPr="007309E7">
        <w:rPr>
          <w:rFonts w:cs="Arial"/>
        </w:rPr>
        <w:t>rights of</w:t>
      </w:r>
      <w:r w:rsidR="00FA00A8" w:rsidRPr="007309E7">
        <w:rPr>
          <w:rFonts w:cs="Arial"/>
        </w:rPr>
        <w:t xml:space="preserve"> older Queenslanders by</w:t>
      </w:r>
      <w:r w:rsidR="00A61FC8" w:rsidRPr="007309E7">
        <w:rPr>
          <w:rFonts w:cs="Arial"/>
        </w:rPr>
        <w:t>:</w:t>
      </w:r>
    </w:p>
    <w:p w14:paraId="370A93C6" w14:textId="4602409D" w:rsidR="00A61FC8" w:rsidRPr="007309E7" w:rsidRDefault="00FD125E" w:rsidP="00A67DC2">
      <w:pPr>
        <w:pStyle w:val="ListParagraph"/>
        <w:numPr>
          <w:ilvl w:val="1"/>
          <w:numId w:val="46"/>
        </w:numPr>
        <w:rPr>
          <w:rFonts w:cs="Arial"/>
        </w:rPr>
      </w:pPr>
      <w:r w:rsidRPr="007309E7">
        <w:rPr>
          <w:rFonts w:cs="Arial"/>
        </w:rPr>
        <w:t>requir</w:t>
      </w:r>
      <w:r w:rsidR="00FA00A8" w:rsidRPr="007309E7">
        <w:rPr>
          <w:rFonts w:cs="Arial"/>
        </w:rPr>
        <w:t>ing</w:t>
      </w:r>
      <w:r w:rsidR="006504DB" w:rsidRPr="007309E7">
        <w:rPr>
          <w:rFonts w:cs="Arial"/>
        </w:rPr>
        <w:t xml:space="preserve"> public entitie</w:t>
      </w:r>
      <w:r w:rsidRPr="007309E7">
        <w:rPr>
          <w:rFonts w:cs="Arial"/>
        </w:rPr>
        <w:t xml:space="preserve">s </w:t>
      </w:r>
      <w:r w:rsidR="00384946">
        <w:rPr>
          <w:rFonts w:cs="Arial"/>
        </w:rPr>
        <w:t xml:space="preserve">to properly </w:t>
      </w:r>
      <w:r w:rsidR="00710A25">
        <w:rPr>
          <w:rFonts w:cs="Arial"/>
        </w:rPr>
        <w:t>consider older people</w:t>
      </w:r>
      <w:r w:rsidR="00384946">
        <w:rPr>
          <w:rFonts w:cs="Arial"/>
        </w:rPr>
        <w:t>’</w:t>
      </w:r>
      <w:r w:rsidR="00710A25">
        <w:rPr>
          <w:rFonts w:cs="Arial"/>
        </w:rPr>
        <w:t xml:space="preserve">s human rights when </w:t>
      </w:r>
      <w:r w:rsidR="00384946">
        <w:rPr>
          <w:rFonts w:cs="Arial"/>
        </w:rPr>
        <w:t xml:space="preserve">acting and </w:t>
      </w:r>
      <w:r w:rsidR="00710A25">
        <w:rPr>
          <w:rFonts w:cs="Arial"/>
        </w:rPr>
        <w:t>making decisions</w:t>
      </w:r>
      <w:r w:rsidR="00384946">
        <w:rPr>
          <w:rFonts w:cs="Arial"/>
        </w:rPr>
        <w:t>,</w:t>
      </w:r>
      <w:r w:rsidR="00710A25">
        <w:rPr>
          <w:rFonts w:cs="Arial"/>
        </w:rPr>
        <w:t xml:space="preserve"> </w:t>
      </w:r>
      <w:r w:rsidR="00A61FC8" w:rsidRPr="007309E7">
        <w:rPr>
          <w:rFonts w:cs="Arial"/>
        </w:rPr>
        <w:t xml:space="preserve">and </w:t>
      </w:r>
      <w:r w:rsidR="00746E4A">
        <w:rPr>
          <w:rFonts w:cs="Arial"/>
        </w:rPr>
        <w:t xml:space="preserve">requiring them to </w:t>
      </w:r>
      <w:r w:rsidR="00A61FC8" w:rsidRPr="007309E7">
        <w:rPr>
          <w:rFonts w:cs="Arial"/>
        </w:rPr>
        <w:t xml:space="preserve">make </w:t>
      </w:r>
      <w:r w:rsidRPr="007309E7">
        <w:rPr>
          <w:rFonts w:cs="Arial"/>
        </w:rPr>
        <w:t xml:space="preserve">decisions </w:t>
      </w:r>
      <w:r w:rsidR="00384946">
        <w:rPr>
          <w:rFonts w:cs="Arial"/>
        </w:rPr>
        <w:t>that</w:t>
      </w:r>
      <w:r w:rsidR="00384946" w:rsidRPr="007309E7">
        <w:rPr>
          <w:rFonts w:cs="Arial"/>
        </w:rPr>
        <w:t xml:space="preserve"> </w:t>
      </w:r>
      <w:r w:rsidRPr="007309E7">
        <w:rPr>
          <w:rFonts w:cs="Arial"/>
        </w:rPr>
        <w:t xml:space="preserve">are compatible with </w:t>
      </w:r>
      <w:r w:rsidR="00384946">
        <w:rPr>
          <w:rFonts w:cs="Arial"/>
        </w:rPr>
        <w:t>older people’s</w:t>
      </w:r>
      <w:r w:rsidR="00384946" w:rsidRPr="007309E7">
        <w:rPr>
          <w:rFonts w:cs="Arial"/>
        </w:rPr>
        <w:t xml:space="preserve"> </w:t>
      </w:r>
      <w:r w:rsidRPr="007309E7">
        <w:rPr>
          <w:rFonts w:cs="Arial"/>
        </w:rPr>
        <w:t>human rights</w:t>
      </w:r>
      <w:r w:rsidR="00B4337B">
        <w:rPr>
          <w:rStyle w:val="FootnoteReference"/>
          <w:rFonts w:cs="Arial"/>
        </w:rPr>
        <w:footnoteReference w:id="14"/>
      </w:r>
      <w:r w:rsidR="00DE2AAF" w:rsidRPr="007309E7">
        <w:rPr>
          <w:rFonts w:cs="Arial"/>
        </w:rPr>
        <w:t xml:space="preserve"> </w:t>
      </w:r>
    </w:p>
    <w:p w14:paraId="72659FE8" w14:textId="0E531CC6" w:rsidR="00A61FC8" w:rsidRPr="007309E7" w:rsidRDefault="00FC413B" w:rsidP="00A67DC2">
      <w:pPr>
        <w:pStyle w:val="ListParagraph"/>
        <w:numPr>
          <w:ilvl w:val="1"/>
          <w:numId w:val="46"/>
        </w:numPr>
        <w:rPr>
          <w:rFonts w:cs="Arial"/>
        </w:rPr>
      </w:pPr>
      <w:r w:rsidRPr="007309E7">
        <w:rPr>
          <w:rFonts w:cs="Arial"/>
        </w:rPr>
        <w:t>requiring that</w:t>
      </w:r>
      <w:r w:rsidR="006504DB" w:rsidRPr="007309E7">
        <w:rPr>
          <w:rFonts w:cs="Arial"/>
        </w:rPr>
        <w:t xml:space="preserve"> </w:t>
      </w:r>
      <w:r w:rsidR="00FA00A8" w:rsidRPr="007309E7">
        <w:rPr>
          <w:rFonts w:cs="Arial"/>
        </w:rPr>
        <w:t>legislation</w:t>
      </w:r>
      <w:r w:rsidR="006504DB" w:rsidRPr="007309E7">
        <w:rPr>
          <w:rFonts w:cs="Arial"/>
        </w:rPr>
        <w:t xml:space="preserve"> be interpreted in a way that is compatible with human rights</w:t>
      </w:r>
      <w:r w:rsidR="002221CD" w:rsidRPr="007309E7">
        <w:rPr>
          <w:rFonts w:eastAsia="MS Mincho" w:cs="Arial"/>
          <w:vertAlign w:val="superscript"/>
        </w:rPr>
        <w:footnoteReference w:id="15"/>
      </w:r>
      <w:r w:rsidR="006504DB" w:rsidRPr="007309E7">
        <w:rPr>
          <w:rFonts w:cs="Arial"/>
        </w:rPr>
        <w:t xml:space="preserve"> </w:t>
      </w:r>
    </w:p>
    <w:p w14:paraId="52D61410" w14:textId="647F8E35" w:rsidR="00A61FC8" w:rsidRPr="007309E7" w:rsidRDefault="00A61FC8" w:rsidP="00A67DC2">
      <w:pPr>
        <w:pStyle w:val="ListParagraph"/>
        <w:numPr>
          <w:ilvl w:val="1"/>
          <w:numId w:val="46"/>
        </w:numPr>
        <w:rPr>
          <w:rFonts w:cs="Arial"/>
        </w:rPr>
      </w:pPr>
      <w:r w:rsidRPr="007309E7">
        <w:rPr>
          <w:rFonts w:cs="Arial"/>
        </w:rPr>
        <w:lastRenderedPageBreak/>
        <w:t xml:space="preserve">requiring </w:t>
      </w:r>
      <w:r w:rsidR="00FA00A8" w:rsidRPr="007309E7">
        <w:rPr>
          <w:rFonts w:cs="Arial"/>
        </w:rPr>
        <w:t>any</w:t>
      </w:r>
      <w:r w:rsidR="006504DB" w:rsidRPr="007309E7">
        <w:rPr>
          <w:rFonts w:cs="Arial"/>
        </w:rPr>
        <w:t xml:space="preserve"> new </w:t>
      </w:r>
      <w:r w:rsidR="00FA00A8" w:rsidRPr="007309E7">
        <w:rPr>
          <w:rFonts w:cs="Arial"/>
        </w:rPr>
        <w:t>legislation</w:t>
      </w:r>
      <w:r w:rsidR="006504DB" w:rsidRPr="007309E7">
        <w:rPr>
          <w:rFonts w:cs="Arial"/>
        </w:rPr>
        <w:t xml:space="preserve"> to be scrutinised for compatibility with human rights</w:t>
      </w:r>
      <w:r w:rsidR="00B4337B">
        <w:rPr>
          <w:rStyle w:val="FootnoteReference"/>
          <w:rFonts w:cs="Arial"/>
        </w:rPr>
        <w:footnoteReference w:id="16"/>
      </w:r>
      <w:r w:rsidRPr="007309E7">
        <w:rPr>
          <w:rFonts w:cs="Arial"/>
        </w:rPr>
        <w:t xml:space="preserve"> </w:t>
      </w:r>
    </w:p>
    <w:p w14:paraId="613FBAC5" w14:textId="14D4A4F1" w:rsidR="00515BD1" w:rsidRDefault="00A61FC8" w:rsidP="00EA66FF">
      <w:pPr>
        <w:pStyle w:val="ListParagraph"/>
        <w:numPr>
          <w:ilvl w:val="1"/>
          <w:numId w:val="46"/>
        </w:numPr>
        <w:rPr>
          <w:rFonts w:cs="Arial"/>
        </w:rPr>
      </w:pPr>
      <w:r w:rsidRPr="007309E7">
        <w:rPr>
          <w:rFonts w:cs="Arial"/>
        </w:rPr>
        <w:t>permitting a</w:t>
      </w:r>
      <w:r w:rsidR="00D507AC" w:rsidRPr="007309E7">
        <w:rPr>
          <w:rFonts w:cs="Arial"/>
        </w:rPr>
        <w:t xml:space="preserve"> person </w:t>
      </w:r>
      <w:r w:rsidRPr="007309E7">
        <w:rPr>
          <w:rFonts w:cs="Arial"/>
        </w:rPr>
        <w:t xml:space="preserve">to </w:t>
      </w:r>
      <w:r w:rsidR="00D507AC" w:rsidRPr="007309E7">
        <w:rPr>
          <w:rFonts w:cs="Arial"/>
        </w:rPr>
        <w:t>complain to the Commission if they believe a public entity has breached their obligations under the H</w:t>
      </w:r>
      <w:r w:rsidR="00D846CC" w:rsidRPr="007309E7">
        <w:rPr>
          <w:rFonts w:cs="Arial"/>
        </w:rPr>
        <w:t>uman Rights</w:t>
      </w:r>
      <w:r w:rsidR="00D507AC" w:rsidRPr="007309E7">
        <w:rPr>
          <w:rFonts w:cs="Arial"/>
        </w:rPr>
        <w:t xml:space="preserve"> Act</w:t>
      </w:r>
      <w:r w:rsidRPr="007309E7">
        <w:rPr>
          <w:rFonts w:cs="Arial"/>
        </w:rPr>
        <w:t>, and have that complaint conciliated</w:t>
      </w:r>
      <w:r w:rsidR="00515BD1">
        <w:rPr>
          <w:rFonts w:cs="Arial"/>
        </w:rPr>
        <w:t>.</w:t>
      </w:r>
      <w:r w:rsidR="00B4337B">
        <w:rPr>
          <w:rStyle w:val="FootnoteReference"/>
          <w:rFonts w:cs="Arial"/>
        </w:rPr>
        <w:footnoteReference w:id="17"/>
      </w:r>
    </w:p>
    <w:p w14:paraId="6DD8BAB9" w14:textId="230F5981" w:rsidR="00515BD1" w:rsidRDefault="00CA0296" w:rsidP="00515BD1">
      <w:pPr>
        <w:pStyle w:val="ListParagraph"/>
        <w:numPr>
          <w:ilvl w:val="0"/>
          <w:numId w:val="35"/>
        </w:numPr>
        <w:rPr>
          <w:rFonts w:cs="Arial"/>
        </w:rPr>
      </w:pPr>
      <w:r>
        <w:rPr>
          <w:rFonts w:cs="Arial"/>
        </w:rPr>
        <w:t>A</w:t>
      </w:r>
      <w:r w:rsidR="00515BD1">
        <w:rPr>
          <w:rFonts w:cs="Arial"/>
        </w:rPr>
        <w:t xml:space="preserve"> person cannot </w:t>
      </w:r>
      <w:r>
        <w:rPr>
          <w:rFonts w:cs="Arial"/>
        </w:rPr>
        <w:t>elect</w:t>
      </w:r>
      <w:r w:rsidR="00515BD1">
        <w:rPr>
          <w:rFonts w:cs="Arial"/>
        </w:rPr>
        <w:t xml:space="preserve"> to have </w:t>
      </w:r>
      <w:r>
        <w:rPr>
          <w:rFonts w:cs="Arial"/>
        </w:rPr>
        <w:t xml:space="preserve">a human rights </w:t>
      </w:r>
      <w:r w:rsidR="00515BD1">
        <w:rPr>
          <w:rFonts w:cs="Arial"/>
        </w:rPr>
        <w:t>complaint determined by a</w:t>
      </w:r>
      <w:r w:rsidR="00B53EA4">
        <w:rPr>
          <w:rFonts w:cs="Arial"/>
        </w:rPr>
        <w:t xml:space="preserve"> court or</w:t>
      </w:r>
      <w:r w:rsidR="00515BD1">
        <w:rPr>
          <w:rFonts w:cs="Arial"/>
        </w:rPr>
        <w:t xml:space="preserve"> tribunal</w:t>
      </w:r>
      <w:r w:rsidR="00B53EA4">
        <w:rPr>
          <w:rFonts w:cs="Arial"/>
        </w:rPr>
        <w:t xml:space="preserve">, nor can they proceed to a tribunal </w:t>
      </w:r>
      <w:r w:rsidR="00384946">
        <w:rPr>
          <w:rFonts w:cs="Arial"/>
        </w:rPr>
        <w:t xml:space="preserve">if </w:t>
      </w:r>
      <w:r w:rsidR="00B53EA4">
        <w:rPr>
          <w:rFonts w:cs="Arial"/>
        </w:rPr>
        <w:t xml:space="preserve">their complaint is unresolved. </w:t>
      </w:r>
      <w:r w:rsidR="00515BD1">
        <w:rPr>
          <w:rFonts w:cs="Arial"/>
        </w:rPr>
        <w:t>However, a person can ‘piggy-back’ their human rights complaint onto an existing court or tribunal proceeding.</w:t>
      </w:r>
      <w:r w:rsidR="00984879">
        <w:rPr>
          <w:rStyle w:val="FootnoteReference"/>
          <w:rFonts w:cs="Arial"/>
        </w:rPr>
        <w:footnoteReference w:id="18"/>
      </w:r>
    </w:p>
    <w:p w14:paraId="633283B2" w14:textId="79CD2992" w:rsidR="00DE2AAF" w:rsidRPr="00F71A40" w:rsidRDefault="00DE2AAF" w:rsidP="00F74BB5">
      <w:pPr>
        <w:pStyle w:val="ListParagraph"/>
        <w:numPr>
          <w:ilvl w:val="0"/>
          <w:numId w:val="35"/>
        </w:numPr>
        <w:rPr>
          <w:rFonts w:cs="Arial"/>
        </w:rPr>
      </w:pPr>
      <w:r w:rsidRPr="00F71A40">
        <w:rPr>
          <w:rFonts w:cs="Arial"/>
        </w:rPr>
        <w:t>Example – how the Human Rights Act protects older persons</w:t>
      </w:r>
    </w:p>
    <w:p w14:paraId="5FC9A412" w14:textId="02D94A49" w:rsidR="00AD66AB" w:rsidRPr="00AD66AB" w:rsidRDefault="00F71A40" w:rsidP="00AD66AB">
      <w:pPr>
        <w:ind w:left="720"/>
        <w:rPr>
          <w:rFonts w:cs="Arial"/>
          <w:i/>
          <w:iCs/>
        </w:rPr>
      </w:pPr>
      <w:r>
        <w:rPr>
          <w:rFonts w:cs="Arial"/>
          <w:i/>
          <w:iCs/>
        </w:rPr>
        <w:t>The Human Rights Act requires</w:t>
      </w:r>
      <w:r w:rsidR="00DE2AAF" w:rsidRPr="007309E7">
        <w:rPr>
          <w:rFonts w:cs="Arial"/>
          <w:i/>
          <w:iCs/>
        </w:rPr>
        <w:t xml:space="preserve"> hospital and health services</w:t>
      </w:r>
      <w:r w:rsidR="00746E4A">
        <w:rPr>
          <w:rFonts w:cs="Arial"/>
          <w:i/>
          <w:iCs/>
        </w:rPr>
        <w:t xml:space="preserve"> providing functions of a public nature in Queensland</w:t>
      </w:r>
      <w:r w:rsidR="00DE2AAF" w:rsidRPr="007309E7">
        <w:rPr>
          <w:rFonts w:cs="Arial"/>
          <w:i/>
          <w:iCs/>
        </w:rPr>
        <w:t xml:space="preserve"> </w:t>
      </w:r>
      <w:r>
        <w:rPr>
          <w:rFonts w:cs="Arial"/>
          <w:i/>
          <w:iCs/>
        </w:rPr>
        <w:t>to</w:t>
      </w:r>
      <w:r w:rsidR="00DE2AAF" w:rsidRPr="007309E7">
        <w:rPr>
          <w:rFonts w:cs="Arial"/>
          <w:i/>
          <w:iCs/>
        </w:rPr>
        <w:t xml:space="preserve"> ensure</w:t>
      </w:r>
      <w:r w:rsidR="00746E4A">
        <w:rPr>
          <w:rFonts w:cs="Arial"/>
          <w:i/>
          <w:iCs/>
        </w:rPr>
        <w:t xml:space="preserve"> any </w:t>
      </w:r>
      <w:r w:rsidR="00DE2AAF" w:rsidRPr="007309E7">
        <w:rPr>
          <w:rFonts w:cs="Arial"/>
          <w:i/>
          <w:iCs/>
        </w:rPr>
        <w:t xml:space="preserve">use of restrictive practices in relation to an older person is compatible with their human rights. </w:t>
      </w:r>
      <w:r>
        <w:rPr>
          <w:rFonts w:cs="Arial"/>
          <w:i/>
          <w:iCs/>
        </w:rPr>
        <w:t>This will typically</w:t>
      </w:r>
      <w:r w:rsidR="00DE2AAF" w:rsidRPr="007309E7">
        <w:rPr>
          <w:rFonts w:cs="Arial"/>
          <w:i/>
          <w:iCs/>
        </w:rPr>
        <w:t xml:space="preserve"> </w:t>
      </w:r>
      <w:r>
        <w:rPr>
          <w:rFonts w:cs="Arial"/>
          <w:i/>
          <w:iCs/>
        </w:rPr>
        <w:t>require</w:t>
      </w:r>
      <w:r w:rsidR="00DE2AAF" w:rsidRPr="007309E7">
        <w:rPr>
          <w:rFonts w:cs="Arial"/>
          <w:i/>
          <w:iCs/>
        </w:rPr>
        <w:t xml:space="preserve"> that </w:t>
      </w:r>
      <w:r>
        <w:rPr>
          <w:rFonts w:cs="Arial"/>
          <w:i/>
          <w:iCs/>
        </w:rPr>
        <w:t xml:space="preserve">the </w:t>
      </w:r>
      <w:r w:rsidR="00DE2AAF" w:rsidRPr="007309E7">
        <w:rPr>
          <w:rFonts w:cs="Arial"/>
          <w:i/>
          <w:iCs/>
        </w:rPr>
        <w:t>use of restrictive practices occur</w:t>
      </w:r>
      <w:r w:rsidR="00384946">
        <w:rPr>
          <w:rFonts w:cs="Arial"/>
          <w:i/>
          <w:iCs/>
        </w:rPr>
        <w:t>s</w:t>
      </w:r>
      <w:r w:rsidR="00DE2AAF" w:rsidRPr="007309E7">
        <w:rPr>
          <w:rFonts w:cs="Arial"/>
          <w:i/>
          <w:iCs/>
        </w:rPr>
        <w:t xml:space="preserve"> only where there are no less restrictive means available to ensure the safety of the older person and other persons.</w:t>
      </w:r>
      <w:r w:rsidR="00846232">
        <w:rPr>
          <w:rFonts w:cs="Arial"/>
          <w:i/>
          <w:iCs/>
        </w:rPr>
        <w:t xml:space="preserve"> </w:t>
      </w:r>
    </w:p>
    <w:p w14:paraId="05CEA147" w14:textId="25549D4B" w:rsidR="00752596" w:rsidRPr="007309E7" w:rsidRDefault="00752596" w:rsidP="00841A88">
      <w:pPr>
        <w:pStyle w:val="Heading4"/>
      </w:pPr>
      <w:bookmarkStart w:id="9" w:name="_Toc194913967"/>
      <w:r w:rsidRPr="007309E7">
        <w:t xml:space="preserve">Enhancing </w:t>
      </w:r>
      <w:r w:rsidR="00D67668" w:rsidRPr="007309E7">
        <w:t xml:space="preserve">effectiveness of human rights </w:t>
      </w:r>
      <w:r w:rsidRPr="007309E7">
        <w:t xml:space="preserve">protections – </w:t>
      </w:r>
      <w:r w:rsidR="002051EB">
        <w:t>aged care providers to be ‘public entities’ under the Human Rights Act</w:t>
      </w:r>
      <w:bookmarkEnd w:id="9"/>
    </w:p>
    <w:p w14:paraId="2390A467" w14:textId="10BFB99A" w:rsidR="00B2618E" w:rsidRPr="007309E7" w:rsidRDefault="00752596" w:rsidP="00F74BB5">
      <w:pPr>
        <w:pStyle w:val="ListParagraph"/>
        <w:numPr>
          <w:ilvl w:val="0"/>
          <w:numId w:val="35"/>
        </w:numPr>
        <w:rPr>
          <w:rFonts w:cs="Arial"/>
        </w:rPr>
      </w:pPr>
      <w:r w:rsidRPr="007309E7">
        <w:rPr>
          <w:rFonts w:cs="Arial"/>
        </w:rPr>
        <w:t xml:space="preserve">Public entities under the Human Rights Act include ‘core’ public entities and </w:t>
      </w:r>
      <w:r w:rsidR="00B2618E" w:rsidRPr="007309E7">
        <w:rPr>
          <w:rFonts w:cs="Arial"/>
        </w:rPr>
        <w:t>‘</w:t>
      </w:r>
      <w:r w:rsidRPr="007309E7">
        <w:rPr>
          <w:rFonts w:cs="Arial"/>
        </w:rPr>
        <w:t>functional</w:t>
      </w:r>
      <w:r w:rsidR="00B2618E" w:rsidRPr="007309E7">
        <w:rPr>
          <w:rFonts w:cs="Arial"/>
        </w:rPr>
        <w:t>’</w:t>
      </w:r>
      <w:r w:rsidRPr="007309E7">
        <w:rPr>
          <w:rFonts w:cs="Arial"/>
        </w:rPr>
        <w:t xml:space="preserve"> public entitie</w:t>
      </w:r>
      <w:r w:rsidR="00B2618E" w:rsidRPr="007309E7">
        <w:rPr>
          <w:rFonts w:cs="Arial"/>
        </w:rPr>
        <w:t xml:space="preserve">s, </w:t>
      </w:r>
      <w:r w:rsidR="00E15819">
        <w:rPr>
          <w:rFonts w:cs="Arial"/>
        </w:rPr>
        <w:t xml:space="preserve">which are </w:t>
      </w:r>
      <w:r w:rsidRPr="007309E7">
        <w:rPr>
          <w:rFonts w:cs="Arial"/>
        </w:rPr>
        <w:t>entities performing functions of a public nature</w:t>
      </w:r>
      <w:r w:rsidR="003551BB">
        <w:rPr>
          <w:rFonts w:cs="Arial"/>
        </w:rPr>
        <w:t xml:space="preserve"> for the State</w:t>
      </w:r>
      <w:r w:rsidRPr="007309E7">
        <w:rPr>
          <w:rFonts w:cs="Arial"/>
        </w:rPr>
        <w:t>.</w:t>
      </w:r>
      <w:r w:rsidR="003551BB">
        <w:rPr>
          <w:rStyle w:val="FootnoteReference"/>
          <w:rFonts w:cs="Arial"/>
        </w:rPr>
        <w:footnoteReference w:id="19"/>
      </w:r>
      <w:r w:rsidRPr="007309E7">
        <w:rPr>
          <w:rFonts w:cs="Arial"/>
        </w:rPr>
        <w:t xml:space="preserve"> </w:t>
      </w:r>
      <w:r w:rsidR="00B2618E" w:rsidRPr="007309E7">
        <w:rPr>
          <w:rFonts w:cs="Arial"/>
        </w:rPr>
        <w:t xml:space="preserve">The Human Rights Act </w:t>
      </w:r>
      <w:r w:rsidR="00E15819">
        <w:rPr>
          <w:rFonts w:cs="Arial"/>
        </w:rPr>
        <w:t>also provides</w:t>
      </w:r>
      <w:r w:rsidR="00E15819" w:rsidRPr="007309E7">
        <w:rPr>
          <w:rFonts w:cs="Arial"/>
        </w:rPr>
        <w:t xml:space="preserve"> </w:t>
      </w:r>
      <w:r w:rsidR="00B2618E" w:rsidRPr="007309E7">
        <w:rPr>
          <w:rFonts w:cs="Arial"/>
        </w:rPr>
        <w:t xml:space="preserve">for entities to be </w:t>
      </w:r>
      <w:r w:rsidR="00E15819">
        <w:rPr>
          <w:rFonts w:cs="Arial"/>
        </w:rPr>
        <w:t>prescribed by regulation to be a</w:t>
      </w:r>
      <w:r w:rsidR="00E15819" w:rsidRPr="007309E7">
        <w:rPr>
          <w:rFonts w:cs="Arial"/>
        </w:rPr>
        <w:t xml:space="preserve"> </w:t>
      </w:r>
      <w:r w:rsidR="00B2618E" w:rsidRPr="007309E7">
        <w:rPr>
          <w:rFonts w:cs="Arial"/>
        </w:rPr>
        <w:t>public entit</w:t>
      </w:r>
      <w:r w:rsidR="008449A6">
        <w:rPr>
          <w:rFonts w:cs="Arial"/>
        </w:rPr>
        <w:t>y</w:t>
      </w:r>
      <w:r w:rsidR="00B2618E" w:rsidRPr="007309E7">
        <w:rPr>
          <w:rFonts w:cs="Arial"/>
        </w:rPr>
        <w:t>.</w:t>
      </w:r>
      <w:r w:rsidR="003551BB">
        <w:rPr>
          <w:rStyle w:val="FootnoteReference"/>
          <w:rFonts w:cs="Arial"/>
        </w:rPr>
        <w:footnoteReference w:id="20"/>
      </w:r>
    </w:p>
    <w:p w14:paraId="29D6D8BA" w14:textId="7F872F9E" w:rsidR="00B2618E" w:rsidRPr="007309E7" w:rsidRDefault="00752596" w:rsidP="00F74BB5">
      <w:pPr>
        <w:pStyle w:val="ListParagraph"/>
        <w:numPr>
          <w:ilvl w:val="0"/>
          <w:numId w:val="35"/>
        </w:numPr>
        <w:rPr>
          <w:rFonts w:cs="Arial"/>
        </w:rPr>
      </w:pPr>
      <w:r w:rsidRPr="007309E7">
        <w:rPr>
          <w:rFonts w:cs="Arial"/>
        </w:rPr>
        <w:t>Relevant to older Queenslanders, core public entities include the</w:t>
      </w:r>
      <w:r w:rsidR="006C1BA7">
        <w:rPr>
          <w:rFonts w:cs="Arial"/>
        </w:rPr>
        <w:t xml:space="preserve"> Queensland</w:t>
      </w:r>
      <w:r w:rsidRPr="007309E7">
        <w:rPr>
          <w:rFonts w:cs="Arial"/>
        </w:rPr>
        <w:t xml:space="preserve"> Public Advocate</w:t>
      </w:r>
      <w:r w:rsidR="00E15819">
        <w:rPr>
          <w:rFonts w:cs="Arial"/>
        </w:rPr>
        <w:t>,</w:t>
      </w:r>
      <w:r w:rsidRPr="007309E7">
        <w:rPr>
          <w:rFonts w:cs="Arial"/>
        </w:rPr>
        <w:t xml:space="preserve"> </w:t>
      </w:r>
      <w:r w:rsidR="006C1BA7">
        <w:rPr>
          <w:rFonts w:cs="Arial"/>
        </w:rPr>
        <w:t xml:space="preserve">Queensland </w:t>
      </w:r>
      <w:r w:rsidRPr="007309E7">
        <w:rPr>
          <w:rFonts w:cs="Arial"/>
        </w:rPr>
        <w:t>Public Guardian</w:t>
      </w:r>
      <w:r w:rsidR="008449A6">
        <w:rPr>
          <w:rFonts w:cs="Arial"/>
        </w:rPr>
        <w:t>,</w:t>
      </w:r>
      <w:r w:rsidR="006C1BA7">
        <w:rPr>
          <w:rFonts w:cs="Arial"/>
        </w:rPr>
        <w:t xml:space="preserve"> Queensland</w:t>
      </w:r>
      <w:r w:rsidRPr="007309E7">
        <w:rPr>
          <w:rFonts w:cs="Arial"/>
        </w:rPr>
        <w:t xml:space="preserve"> Public Trustee</w:t>
      </w:r>
      <w:r w:rsidR="00E15819">
        <w:rPr>
          <w:rFonts w:cs="Arial"/>
        </w:rPr>
        <w:t>, g</w:t>
      </w:r>
      <w:r w:rsidRPr="007309E7">
        <w:rPr>
          <w:rFonts w:cs="Arial"/>
        </w:rPr>
        <w:t>overnment owned hospital and health services</w:t>
      </w:r>
      <w:r w:rsidR="00E15819">
        <w:rPr>
          <w:rFonts w:cs="Arial"/>
        </w:rPr>
        <w:t>,</w:t>
      </w:r>
      <w:r w:rsidRPr="007309E7">
        <w:rPr>
          <w:rFonts w:cs="Arial"/>
        </w:rPr>
        <w:t xml:space="preserve"> and </w:t>
      </w:r>
      <w:r w:rsidR="00E15819">
        <w:rPr>
          <w:rFonts w:cs="Arial"/>
        </w:rPr>
        <w:t>g</w:t>
      </w:r>
      <w:r w:rsidRPr="007309E7">
        <w:rPr>
          <w:rFonts w:cs="Arial"/>
        </w:rPr>
        <w:t>overnment departments. Functional public entities include non-government organisations</w:t>
      </w:r>
      <w:r w:rsidR="006C1BA7">
        <w:rPr>
          <w:rFonts w:cs="Arial"/>
        </w:rPr>
        <w:t xml:space="preserve"> and</w:t>
      </w:r>
      <w:r w:rsidRPr="007309E7">
        <w:rPr>
          <w:rFonts w:cs="Arial"/>
        </w:rPr>
        <w:t xml:space="preserve"> private companies </w:t>
      </w:r>
      <w:r w:rsidR="003060C6">
        <w:rPr>
          <w:rFonts w:cs="Arial"/>
        </w:rPr>
        <w:t>that</w:t>
      </w:r>
      <w:r w:rsidR="003060C6" w:rsidRPr="007309E7">
        <w:rPr>
          <w:rFonts w:cs="Arial"/>
        </w:rPr>
        <w:t xml:space="preserve"> </w:t>
      </w:r>
      <w:r w:rsidRPr="007309E7">
        <w:rPr>
          <w:rFonts w:cs="Arial"/>
        </w:rPr>
        <w:t xml:space="preserve">are funded by the Queensland </w:t>
      </w:r>
      <w:r w:rsidR="003060C6">
        <w:rPr>
          <w:rFonts w:cs="Arial"/>
        </w:rPr>
        <w:t>G</w:t>
      </w:r>
      <w:r w:rsidRPr="007309E7">
        <w:rPr>
          <w:rFonts w:cs="Arial"/>
        </w:rPr>
        <w:t xml:space="preserve">overnment to provide public services. </w:t>
      </w:r>
    </w:p>
    <w:p w14:paraId="2556F888" w14:textId="15C65D83" w:rsidR="00BE6394" w:rsidRPr="007309E7" w:rsidRDefault="00752596" w:rsidP="00F74BB5">
      <w:pPr>
        <w:pStyle w:val="ListParagraph"/>
        <w:numPr>
          <w:ilvl w:val="0"/>
          <w:numId w:val="35"/>
        </w:numPr>
        <w:rPr>
          <w:rFonts w:cs="Arial"/>
        </w:rPr>
      </w:pPr>
      <w:r w:rsidRPr="007309E7">
        <w:rPr>
          <w:rFonts w:cs="Arial"/>
        </w:rPr>
        <w:t>The Human Rights Act specifically provides that National Disability Insurance Scheme (</w:t>
      </w:r>
      <w:r w:rsidRPr="00976F8F">
        <w:rPr>
          <w:rFonts w:cs="Arial"/>
          <w:b/>
          <w:bCs/>
        </w:rPr>
        <w:t>NDIS</w:t>
      </w:r>
      <w:r w:rsidRPr="007309E7">
        <w:rPr>
          <w:rFonts w:cs="Arial"/>
        </w:rPr>
        <w:t xml:space="preserve">) service providers, when performing functions of a public nature in </w:t>
      </w:r>
      <w:r w:rsidR="006C1BA7">
        <w:rPr>
          <w:rFonts w:cs="Arial"/>
        </w:rPr>
        <w:t>the State,</w:t>
      </w:r>
      <w:r w:rsidRPr="007309E7">
        <w:rPr>
          <w:rFonts w:cs="Arial"/>
        </w:rPr>
        <w:t xml:space="preserve"> are public entities.</w:t>
      </w:r>
      <w:r w:rsidR="003551BB">
        <w:rPr>
          <w:rStyle w:val="FootnoteReference"/>
          <w:rFonts w:cs="Arial"/>
        </w:rPr>
        <w:footnoteReference w:id="21"/>
      </w:r>
      <w:r w:rsidRPr="007309E7">
        <w:rPr>
          <w:rFonts w:cs="Arial"/>
        </w:rPr>
        <w:t xml:space="preserve"> </w:t>
      </w:r>
    </w:p>
    <w:p w14:paraId="5BB69067" w14:textId="215A9250" w:rsidR="00752596" w:rsidRDefault="00752596" w:rsidP="00F74BB5">
      <w:pPr>
        <w:pStyle w:val="ListParagraph"/>
        <w:numPr>
          <w:ilvl w:val="0"/>
          <w:numId w:val="35"/>
        </w:numPr>
        <w:rPr>
          <w:rFonts w:cs="Arial"/>
        </w:rPr>
      </w:pPr>
      <w:r w:rsidRPr="007309E7">
        <w:rPr>
          <w:rFonts w:cs="Arial"/>
        </w:rPr>
        <w:t xml:space="preserve">Depending on how they are funded, residential aged care facilities in Queensland may be core or functional public entities. </w:t>
      </w:r>
      <w:r w:rsidR="003551BB">
        <w:rPr>
          <w:rFonts w:cs="Arial"/>
        </w:rPr>
        <w:t>However, m</w:t>
      </w:r>
      <w:r w:rsidRPr="007309E7">
        <w:rPr>
          <w:rFonts w:cs="Arial"/>
        </w:rPr>
        <w:t xml:space="preserve">ost </w:t>
      </w:r>
      <w:r w:rsidR="006C1BA7">
        <w:rPr>
          <w:rFonts w:cs="Arial"/>
        </w:rPr>
        <w:t>aged care facilities are</w:t>
      </w:r>
      <w:r w:rsidRPr="007309E7">
        <w:rPr>
          <w:rFonts w:cs="Arial"/>
        </w:rPr>
        <w:t xml:space="preserve"> Commonwealth funded private institutions </w:t>
      </w:r>
      <w:r w:rsidR="003060C6">
        <w:rPr>
          <w:rFonts w:cs="Arial"/>
        </w:rPr>
        <w:t xml:space="preserve">that </w:t>
      </w:r>
      <w:r w:rsidR="003551BB">
        <w:rPr>
          <w:rFonts w:cs="Arial"/>
        </w:rPr>
        <w:t>are not public entities under</w:t>
      </w:r>
      <w:r w:rsidRPr="007309E7">
        <w:rPr>
          <w:rFonts w:cs="Arial"/>
        </w:rPr>
        <w:t xml:space="preserve"> the Human Rights Act.</w:t>
      </w:r>
    </w:p>
    <w:p w14:paraId="1CBDE16B" w14:textId="1ED60F6A" w:rsidR="00B76E8D" w:rsidRDefault="0071161E" w:rsidP="00AA41BC">
      <w:pPr>
        <w:pStyle w:val="ListParagraph"/>
        <w:numPr>
          <w:ilvl w:val="0"/>
          <w:numId w:val="35"/>
        </w:numPr>
        <w:rPr>
          <w:rFonts w:cs="Arial"/>
        </w:rPr>
      </w:pPr>
      <w:r>
        <w:rPr>
          <w:rFonts w:cs="Arial"/>
        </w:rPr>
        <w:lastRenderedPageBreak/>
        <w:t xml:space="preserve">As a result, </w:t>
      </w:r>
      <w:r w:rsidR="00DD3D95">
        <w:rPr>
          <w:rFonts w:cs="Arial"/>
        </w:rPr>
        <w:t>a substantial number of</w:t>
      </w:r>
      <w:r w:rsidR="009B7F18">
        <w:rPr>
          <w:rFonts w:cs="Arial"/>
        </w:rPr>
        <w:t xml:space="preserve"> residential aged care</w:t>
      </w:r>
      <w:r w:rsidR="00DD3D95">
        <w:rPr>
          <w:rFonts w:cs="Arial"/>
        </w:rPr>
        <w:t xml:space="preserve"> facilities are not </w:t>
      </w:r>
      <w:r w:rsidR="009B7F18">
        <w:rPr>
          <w:rFonts w:cs="Arial"/>
        </w:rPr>
        <w:t xml:space="preserve">legally </w:t>
      </w:r>
      <w:r w:rsidR="00DD3D95">
        <w:rPr>
          <w:rFonts w:cs="Arial"/>
        </w:rPr>
        <w:t xml:space="preserve">required to consider older </w:t>
      </w:r>
      <w:r w:rsidR="003060C6">
        <w:rPr>
          <w:rFonts w:cs="Arial"/>
        </w:rPr>
        <w:t xml:space="preserve">people’s </w:t>
      </w:r>
      <w:r w:rsidR="00DD3D95">
        <w:rPr>
          <w:rFonts w:cs="Arial"/>
        </w:rPr>
        <w:t xml:space="preserve">human rights </w:t>
      </w:r>
      <w:r w:rsidR="009B7F18">
        <w:rPr>
          <w:rFonts w:cs="Arial"/>
        </w:rPr>
        <w:t xml:space="preserve">under the Human Rights Act </w:t>
      </w:r>
      <w:r w:rsidR="00DD3D95">
        <w:rPr>
          <w:rFonts w:cs="Arial"/>
        </w:rPr>
        <w:t>when making decisions about them and their care. This creates a gap in protection for older Queenslanders</w:t>
      </w:r>
      <w:r w:rsidR="009B7F18">
        <w:rPr>
          <w:rFonts w:cs="Arial"/>
        </w:rPr>
        <w:t xml:space="preserve"> residing in those facilities compared with older Queenslanders residing in facilit</w:t>
      </w:r>
      <w:r w:rsidR="003060C6">
        <w:rPr>
          <w:rFonts w:cs="Arial"/>
        </w:rPr>
        <w:t>ies</w:t>
      </w:r>
      <w:r w:rsidR="009B7F18">
        <w:rPr>
          <w:rFonts w:cs="Arial"/>
        </w:rPr>
        <w:t xml:space="preserve"> </w:t>
      </w:r>
      <w:r w:rsidR="008449A6">
        <w:rPr>
          <w:rFonts w:cs="Arial"/>
        </w:rPr>
        <w:t>which are public entities under the Human Rights Act</w:t>
      </w:r>
      <w:r w:rsidR="00DD3D95">
        <w:rPr>
          <w:rFonts w:cs="Arial"/>
        </w:rPr>
        <w:t xml:space="preserve">. </w:t>
      </w:r>
    </w:p>
    <w:p w14:paraId="3A64E375" w14:textId="749B11B1" w:rsidR="005516AF" w:rsidRPr="00B76E8D" w:rsidRDefault="00B76E8D" w:rsidP="00AA41BC">
      <w:pPr>
        <w:pStyle w:val="ListParagraph"/>
        <w:numPr>
          <w:ilvl w:val="0"/>
          <w:numId w:val="35"/>
        </w:numPr>
        <w:rPr>
          <w:rFonts w:cs="Arial"/>
        </w:rPr>
      </w:pPr>
      <w:bookmarkStart w:id="10" w:name="_Hlk194679735"/>
      <w:r>
        <w:rPr>
          <w:rFonts w:cs="Arial"/>
        </w:rPr>
        <w:t>The Com</w:t>
      </w:r>
      <w:r w:rsidR="009B7F18">
        <w:rPr>
          <w:rFonts w:cs="Arial"/>
        </w:rPr>
        <w:t>mittee</w:t>
      </w:r>
      <w:r>
        <w:rPr>
          <w:rFonts w:cs="Arial"/>
        </w:rPr>
        <w:t xml:space="preserve"> should recommend that </w:t>
      </w:r>
      <w:r w:rsidR="009B7F18">
        <w:rPr>
          <w:rFonts w:cs="Arial"/>
        </w:rPr>
        <w:t xml:space="preserve">the Queensland </w:t>
      </w:r>
      <w:r>
        <w:rPr>
          <w:rFonts w:cs="Arial"/>
        </w:rPr>
        <w:t xml:space="preserve">Government </w:t>
      </w:r>
      <w:r w:rsidRPr="00841A88">
        <w:rPr>
          <w:rFonts w:cs="Arial"/>
        </w:rPr>
        <w:t>a</w:t>
      </w:r>
      <w:r w:rsidR="008D40D5" w:rsidRPr="00841A88">
        <w:rPr>
          <w:rFonts w:cs="Arial"/>
        </w:rPr>
        <w:t>mend the Human Rights Act to specify that Commonwealth aged care facilities</w:t>
      </w:r>
      <w:r w:rsidR="009F56E0">
        <w:rPr>
          <w:rFonts w:cs="Arial"/>
        </w:rPr>
        <w:t xml:space="preserve"> providing services in Queensland</w:t>
      </w:r>
      <w:r w:rsidR="008D40D5" w:rsidRPr="00841A88">
        <w:rPr>
          <w:rFonts w:cs="Arial"/>
        </w:rPr>
        <w:t xml:space="preserve"> are ‘public entities’</w:t>
      </w:r>
      <w:r w:rsidR="00ED41F2">
        <w:rPr>
          <w:rFonts w:cs="Arial"/>
        </w:rPr>
        <w:t xml:space="preserve"> to ensure all aged care providers in Queensland are required to make decisions compatibly with older Queenslanders</w:t>
      </w:r>
      <w:r w:rsidR="00B67E6D">
        <w:rPr>
          <w:rFonts w:cs="Arial"/>
        </w:rPr>
        <w:t>’</w:t>
      </w:r>
      <w:r w:rsidR="00ED41F2">
        <w:rPr>
          <w:rFonts w:cs="Arial"/>
        </w:rPr>
        <w:t xml:space="preserve"> human rights</w:t>
      </w:r>
      <w:r w:rsidR="00B67E6D">
        <w:rPr>
          <w:rFonts w:cs="Arial"/>
        </w:rPr>
        <w:t>.</w:t>
      </w:r>
      <w:r>
        <w:rPr>
          <w:rFonts w:cs="Arial"/>
          <w:b/>
          <w:bCs/>
        </w:rPr>
        <w:t xml:space="preserve"> (R</w:t>
      </w:r>
      <w:r w:rsidR="00581E9B">
        <w:rPr>
          <w:rFonts w:cs="Arial"/>
          <w:b/>
          <w:bCs/>
        </w:rPr>
        <w:t>ECOMMENDATION 1</w:t>
      </w:r>
      <w:r>
        <w:rPr>
          <w:rFonts w:cs="Arial"/>
          <w:b/>
          <w:bCs/>
        </w:rPr>
        <w:t>)</w:t>
      </w:r>
    </w:p>
    <w:p w14:paraId="6DA27D0B" w14:textId="72132949" w:rsidR="0071161E" w:rsidRPr="0071161E" w:rsidRDefault="0071161E" w:rsidP="002051EB">
      <w:pPr>
        <w:pStyle w:val="Heading4"/>
      </w:pPr>
      <w:bookmarkStart w:id="11" w:name="_Toc194913968"/>
      <w:bookmarkEnd w:id="10"/>
      <w:r w:rsidRPr="007309E7">
        <w:t xml:space="preserve">Enhancing effectiveness of human rights protections – </w:t>
      </w:r>
      <w:r>
        <w:t>improving the Human Rights Act</w:t>
      </w:r>
      <w:bookmarkEnd w:id="11"/>
      <w:r>
        <w:t xml:space="preserve"> </w:t>
      </w:r>
    </w:p>
    <w:p w14:paraId="7C49BE20" w14:textId="04A87A2D" w:rsidR="00E00D9E" w:rsidRDefault="0071161E" w:rsidP="00F74BB5">
      <w:pPr>
        <w:pStyle w:val="ListParagraph"/>
        <w:numPr>
          <w:ilvl w:val="0"/>
          <w:numId w:val="35"/>
        </w:numPr>
        <w:rPr>
          <w:rFonts w:cs="Arial"/>
        </w:rPr>
      </w:pPr>
      <w:r w:rsidRPr="007309E7">
        <w:rPr>
          <w:rFonts w:cs="Arial"/>
        </w:rPr>
        <w:t xml:space="preserve">The </w:t>
      </w:r>
      <w:r w:rsidRPr="00C0582B">
        <w:rPr>
          <w:rFonts w:cs="Arial"/>
        </w:rPr>
        <w:t>Human Rights Act Review</w:t>
      </w:r>
      <w:r>
        <w:rPr>
          <w:rFonts w:cs="Arial"/>
        </w:rPr>
        <w:t xml:space="preserve"> </w:t>
      </w:r>
      <w:r w:rsidRPr="007309E7">
        <w:rPr>
          <w:rFonts w:cs="Arial"/>
        </w:rPr>
        <w:t>made</w:t>
      </w:r>
      <w:r w:rsidR="00ED41F2">
        <w:rPr>
          <w:rFonts w:cs="Arial"/>
        </w:rPr>
        <w:t xml:space="preserve"> a series of</w:t>
      </w:r>
      <w:r w:rsidRPr="007309E7">
        <w:rPr>
          <w:rFonts w:cs="Arial"/>
        </w:rPr>
        <w:t xml:space="preserve"> recommendations to enhance the </w:t>
      </w:r>
      <w:r>
        <w:rPr>
          <w:rFonts w:cs="Arial"/>
        </w:rPr>
        <w:t xml:space="preserve">operation and </w:t>
      </w:r>
      <w:r w:rsidRPr="007309E7">
        <w:rPr>
          <w:rFonts w:cs="Arial"/>
        </w:rPr>
        <w:t xml:space="preserve">effectiveness of the </w:t>
      </w:r>
      <w:r w:rsidR="00271E32">
        <w:rPr>
          <w:rFonts w:cs="Arial"/>
        </w:rPr>
        <w:t xml:space="preserve">Human Rights </w:t>
      </w:r>
      <w:r w:rsidRPr="007309E7">
        <w:rPr>
          <w:rFonts w:cs="Arial"/>
        </w:rPr>
        <w:t>Act in protecting Queenslander</w:t>
      </w:r>
      <w:r w:rsidR="00ED41F2">
        <w:rPr>
          <w:rFonts w:cs="Arial"/>
        </w:rPr>
        <w:t>s</w:t>
      </w:r>
      <w:r w:rsidR="00A9466E">
        <w:rPr>
          <w:rFonts w:cs="Arial"/>
        </w:rPr>
        <w:t>’</w:t>
      </w:r>
      <w:r w:rsidR="00ED41F2">
        <w:rPr>
          <w:rFonts w:cs="Arial"/>
        </w:rPr>
        <w:t xml:space="preserve"> </w:t>
      </w:r>
      <w:r w:rsidRPr="007309E7">
        <w:rPr>
          <w:rFonts w:cs="Arial"/>
        </w:rPr>
        <w:t>human rights</w:t>
      </w:r>
      <w:r>
        <w:rPr>
          <w:rFonts w:cs="Arial"/>
        </w:rPr>
        <w:t>.</w:t>
      </w:r>
      <w:r w:rsidR="00D67314">
        <w:rPr>
          <w:rStyle w:val="FootnoteReference"/>
          <w:rFonts w:cs="Arial"/>
        </w:rPr>
        <w:footnoteReference w:id="22"/>
      </w:r>
      <w:r>
        <w:rPr>
          <w:rFonts w:cs="Arial"/>
        </w:rPr>
        <w:t xml:space="preserve"> </w:t>
      </w:r>
    </w:p>
    <w:p w14:paraId="35289D20" w14:textId="50B5D0DF" w:rsidR="00093A37" w:rsidRDefault="00B53EA4" w:rsidP="00F74BB5">
      <w:pPr>
        <w:pStyle w:val="ListParagraph"/>
        <w:numPr>
          <w:ilvl w:val="0"/>
          <w:numId w:val="35"/>
        </w:numPr>
        <w:rPr>
          <w:rFonts w:cs="Arial"/>
        </w:rPr>
      </w:pPr>
      <w:r>
        <w:rPr>
          <w:rFonts w:cs="Arial"/>
        </w:rPr>
        <w:t>Of particular relevance</w:t>
      </w:r>
      <w:r w:rsidR="00052734">
        <w:rPr>
          <w:rFonts w:cs="Arial"/>
        </w:rPr>
        <w:t>, the Human Rights Act Review recommended</w:t>
      </w:r>
      <w:r w:rsidR="00A9466E">
        <w:rPr>
          <w:rFonts w:cs="Arial"/>
        </w:rPr>
        <w:t xml:space="preserve"> to</w:t>
      </w:r>
      <w:r w:rsidR="00093A37">
        <w:rPr>
          <w:rFonts w:cs="Arial"/>
        </w:rPr>
        <w:t>:</w:t>
      </w:r>
    </w:p>
    <w:p w14:paraId="4647A3D2" w14:textId="6A9EC260" w:rsidR="00AD66AB" w:rsidRPr="00AD66AB" w:rsidRDefault="00271E32" w:rsidP="00AD66AB">
      <w:pPr>
        <w:pStyle w:val="ListParagraph"/>
        <w:numPr>
          <w:ilvl w:val="1"/>
          <w:numId w:val="46"/>
        </w:numPr>
        <w:rPr>
          <w:rFonts w:cs="Arial"/>
        </w:rPr>
      </w:pPr>
      <w:r>
        <w:rPr>
          <w:rFonts w:cs="Arial"/>
        </w:rPr>
        <w:t>p</w:t>
      </w:r>
      <w:r w:rsidR="00AD66AB" w:rsidRPr="00AD66AB">
        <w:rPr>
          <w:rFonts w:cs="Arial"/>
        </w:rPr>
        <w:t>rovid</w:t>
      </w:r>
      <w:r w:rsidR="00052734">
        <w:rPr>
          <w:rFonts w:cs="Arial"/>
        </w:rPr>
        <w:t xml:space="preserve">e </w:t>
      </w:r>
      <w:r w:rsidR="00AD66AB" w:rsidRPr="00AD66AB">
        <w:rPr>
          <w:rFonts w:cs="Arial"/>
        </w:rPr>
        <w:t>a separate cause of action to permit persons to commence proceedings against a public entity for an alleged contravention of the Human Rights Act</w:t>
      </w:r>
      <w:r w:rsidR="00ED2C5A">
        <w:rPr>
          <w:rFonts w:cs="Arial"/>
        </w:rPr>
        <w:t xml:space="preserve"> (i.e., without being required to piggy-back onto an existing action)</w:t>
      </w:r>
      <w:r w:rsidR="00AD66AB" w:rsidRPr="00AD66AB">
        <w:rPr>
          <w:rFonts w:cs="Arial"/>
        </w:rPr>
        <w:t xml:space="preserve"> (recommendation 61); and to permit courts and tribunals considering human rights claims to order the full range of remedies within their power, including damages </w:t>
      </w:r>
      <w:r w:rsidR="009E1ABC">
        <w:rPr>
          <w:rFonts w:cs="Arial"/>
        </w:rPr>
        <w:t>(</w:t>
      </w:r>
      <w:r w:rsidR="00AD66AB" w:rsidRPr="00AD66AB">
        <w:rPr>
          <w:rFonts w:cs="Arial"/>
        </w:rPr>
        <w:t>recommendation 62)</w:t>
      </w:r>
    </w:p>
    <w:p w14:paraId="25D3C0F5" w14:textId="51A8EB90" w:rsidR="00AD66AB" w:rsidRPr="00AD66AB" w:rsidRDefault="00944B0E" w:rsidP="00AD66AB">
      <w:pPr>
        <w:pStyle w:val="ListParagraph"/>
        <w:numPr>
          <w:ilvl w:val="1"/>
          <w:numId w:val="46"/>
        </w:numPr>
        <w:rPr>
          <w:rFonts w:cs="Arial"/>
        </w:rPr>
      </w:pPr>
      <w:r>
        <w:rPr>
          <w:rFonts w:cs="Arial"/>
        </w:rPr>
        <w:t>a</w:t>
      </w:r>
      <w:r w:rsidR="00AD66AB" w:rsidRPr="00AD66AB">
        <w:rPr>
          <w:rFonts w:cs="Arial"/>
        </w:rPr>
        <w:t xml:space="preserve">llow the Commission to refer unresolved human rights complaints to </w:t>
      </w:r>
      <w:r w:rsidR="00B53EA4">
        <w:rPr>
          <w:rFonts w:cs="Arial"/>
        </w:rPr>
        <w:t xml:space="preserve">a tribunal </w:t>
      </w:r>
      <w:r w:rsidR="00AD66AB" w:rsidRPr="00AD66AB">
        <w:rPr>
          <w:rFonts w:cs="Arial"/>
        </w:rPr>
        <w:t xml:space="preserve">for determination </w:t>
      </w:r>
      <w:r w:rsidR="00AD66AB">
        <w:rPr>
          <w:rFonts w:cs="Arial"/>
        </w:rPr>
        <w:t xml:space="preserve">and effective remedy </w:t>
      </w:r>
      <w:r w:rsidR="00AD66AB" w:rsidRPr="00AD66AB">
        <w:rPr>
          <w:rFonts w:cs="Arial"/>
        </w:rPr>
        <w:t>(recommendation 60)</w:t>
      </w:r>
    </w:p>
    <w:p w14:paraId="3575582C" w14:textId="6606EE57" w:rsidR="00AD66AB" w:rsidRPr="00AD66AB" w:rsidRDefault="00944B0E" w:rsidP="00AD66AB">
      <w:pPr>
        <w:pStyle w:val="ListParagraph"/>
        <w:numPr>
          <w:ilvl w:val="1"/>
          <w:numId w:val="46"/>
        </w:numPr>
        <w:rPr>
          <w:rFonts w:cs="Arial"/>
        </w:rPr>
      </w:pPr>
      <w:r>
        <w:rPr>
          <w:rFonts w:cs="Arial"/>
        </w:rPr>
        <w:t>g</w:t>
      </w:r>
      <w:r w:rsidR="00AD66AB" w:rsidRPr="00AD66AB">
        <w:rPr>
          <w:rFonts w:cs="Arial"/>
        </w:rPr>
        <w:t>ive the Commission functions to investigate and produce reports on systemic matters affecting the human rights of Queenslanders (recommendation 17)</w:t>
      </w:r>
    </w:p>
    <w:p w14:paraId="796A0E81" w14:textId="3D590EB6" w:rsidR="00271E32" w:rsidRPr="00271E32" w:rsidRDefault="00017A18" w:rsidP="00271E32">
      <w:pPr>
        <w:pStyle w:val="ListParagraph"/>
        <w:numPr>
          <w:ilvl w:val="1"/>
          <w:numId w:val="46"/>
        </w:numPr>
        <w:rPr>
          <w:rFonts w:cs="Arial"/>
        </w:rPr>
      </w:pPr>
      <w:r w:rsidRPr="00271E32">
        <w:rPr>
          <w:rFonts w:cs="Arial"/>
        </w:rPr>
        <w:t xml:space="preserve">ensure </w:t>
      </w:r>
      <w:r w:rsidR="00944B0E">
        <w:rPr>
          <w:rFonts w:cs="Arial"/>
        </w:rPr>
        <w:t xml:space="preserve">the </w:t>
      </w:r>
      <w:r w:rsidRPr="00271E32">
        <w:rPr>
          <w:rFonts w:cs="Arial"/>
        </w:rPr>
        <w:t>government,</w:t>
      </w:r>
      <w:r w:rsidR="00944B0E">
        <w:rPr>
          <w:rFonts w:cs="Arial"/>
        </w:rPr>
        <w:t xml:space="preserve"> the</w:t>
      </w:r>
      <w:r w:rsidRPr="00271E32">
        <w:rPr>
          <w:rFonts w:cs="Arial"/>
        </w:rPr>
        <w:t xml:space="preserve"> judiciary and legal profession</w:t>
      </w:r>
      <w:r w:rsidR="00C84971">
        <w:rPr>
          <w:rFonts w:cs="Arial"/>
        </w:rPr>
        <w:t>, parliamentarians,</w:t>
      </w:r>
      <w:r w:rsidR="00271E32" w:rsidRPr="00271E32">
        <w:rPr>
          <w:rFonts w:cs="Arial"/>
        </w:rPr>
        <w:t xml:space="preserve"> </w:t>
      </w:r>
      <w:r w:rsidR="00C84971">
        <w:rPr>
          <w:rFonts w:cs="Arial"/>
        </w:rPr>
        <w:t>and the community</w:t>
      </w:r>
      <w:r w:rsidR="00AE2B2C">
        <w:rPr>
          <w:rFonts w:cs="Arial"/>
        </w:rPr>
        <w:t xml:space="preserve"> have access to</w:t>
      </w:r>
      <w:r w:rsidR="00C84971">
        <w:rPr>
          <w:rFonts w:cs="Arial"/>
        </w:rPr>
        <w:t xml:space="preserve"> </w:t>
      </w:r>
      <w:r w:rsidR="00AE2B2C">
        <w:rPr>
          <w:rFonts w:cs="Arial"/>
        </w:rPr>
        <w:t xml:space="preserve">education on human rights </w:t>
      </w:r>
      <w:r w:rsidR="00AD66AB" w:rsidRPr="00271E32">
        <w:rPr>
          <w:rFonts w:cs="Arial"/>
        </w:rPr>
        <w:t xml:space="preserve">(recommendations </w:t>
      </w:r>
      <w:r w:rsidR="00AE2B2C" w:rsidRPr="00FD2562">
        <w:rPr>
          <w:rFonts w:cs="Arial"/>
        </w:rPr>
        <w:t xml:space="preserve">16, </w:t>
      </w:r>
      <w:r w:rsidR="00AD66AB" w:rsidRPr="00FD2562">
        <w:rPr>
          <w:rFonts w:cs="Arial"/>
        </w:rPr>
        <w:t xml:space="preserve">25, </w:t>
      </w:r>
      <w:r w:rsidRPr="00FD2562">
        <w:rPr>
          <w:rFonts w:cs="Arial"/>
        </w:rPr>
        <w:t xml:space="preserve">28, 29, </w:t>
      </w:r>
      <w:r w:rsidR="00AD66AB" w:rsidRPr="00FD2562">
        <w:rPr>
          <w:rFonts w:cs="Arial"/>
        </w:rPr>
        <w:t>30, 33</w:t>
      </w:r>
      <w:r w:rsidR="00AD66AB" w:rsidRPr="00271E32">
        <w:rPr>
          <w:rFonts w:cs="Arial"/>
        </w:rPr>
        <w:t>)</w:t>
      </w:r>
    </w:p>
    <w:p w14:paraId="4DAFE8AF" w14:textId="42E43279" w:rsidR="00017A18" w:rsidRDefault="00017A18" w:rsidP="00017A18">
      <w:pPr>
        <w:pStyle w:val="ListParagraph"/>
        <w:numPr>
          <w:ilvl w:val="1"/>
          <w:numId w:val="46"/>
        </w:numPr>
        <w:rPr>
          <w:rFonts w:cs="Arial"/>
        </w:rPr>
      </w:pPr>
      <w:r>
        <w:rPr>
          <w:rFonts w:cs="Arial"/>
        </w:rPr>
        <w:t xml:space="preserve">resource public entities to </w:t>
      </w:r>
      <w:r w:rsidR="0087357F">
        <w:rPr>
          <w:rFonts w:cs="Arial"/>
        </w:rPr>
        <w:t xml:space="preserve">undertake an audit of legislation and policies for compatibility with human rights </w:t>
      </w:r>
      <w:r w:rsidR="00AE2B2C">
        <w:rPr>
          <w:rFonts w:cs="Arial"/>
        </w:rPr>
        <w:t xml:space="preserve">and </w:t>
      </w:r>
      <w:r>
        <w:rPr>
          <w:rFonts w:cs="Arial"/>
        </w:rPr>
        <w:t>deliver customised human rights training to their staff (recommendation</w:t>
      </w:r>
      <w:r w:rsidR="009E1ABC">
        <w:rPr>
          <w:rFonts w:cs="Arial"/>
        </w:rPr>
        <w:t>s</w:t>
      </w:r>
      <w:r>
        <w:rPr>
          <w:rFonts w:cs="Arial"/>
        </w:rPr>
        <w:t xml:space="preserve"> </w:t>
      </w:r>
      <w:r w:rsidR="00AE2B2C">
        <w:rPr>
          <w:rFonts w:cs="Arial"/>
        </w:rPr>
        <w:t xml:space="preserve">3, 16, </w:t>
      </w:r>
      <w:r>
        <w:rPr>
          <w:rFonts w:cs="Arial"/>
        </w:rPr>
        <w:t>26)</w:t>
      </w:r>
    </w:p>
    <w:p w14:paraId="7D97B77C" w14:textId="5405BCF4" w:rsidR="00271E32" w:rsidRPr="00017A18" w:rsidRDefault="00271E32" w:rsidP="00017A18">
      <w:pPr>
        <w:pStyle w:val="ListParagraph"/>
        <w:numPr>
          <w:ilvl w:val="1"/>
          <w:numId w:val="46"/>
        </w:numPr>
        <w:rPr>
          <w:rFonts w:cs="Arial"/>
        </w:rPr>
      </w:pPr>
      <w:r>
        <w:rPr>
          <w:rFonts w:cs="Arial"/>
        </w:rPr>
        <w:t>resource the Commission to monitor public entities</w:t>
      </w:r>
      <w:r w:rsidR="00ED41F2">
        <w:rPr>
          <w:rFonts w:cs="Arial"/>
        </w:rPr>
        <w:t>’</w:t>
      </w:r>
      <w:r>
        <w:rPr>
          <w:rFonts w:cs="Arial"/>
        </w:rPr>
        <w:t xml:space="preserve"> </w:t>
      </w:r>
      <w:r w:rsidR="0087357F">
        <w:rPr>
          <w:rFonts w:cs="Arial"/>
        </w:rPr>
        <w:t xml:space="preserve">compliance </w:t>
      </w:r>
      <w:r w:rsidR="00AE2B2C">
        <w:rPr>
          <w:rFonts w:cs="Arial"/>
        </w:rPr>
        <w:t xml:space="preserve">with the Human Rights Act </w:t>
      </w:r>
      <w:r w:rsidR="0087357F">
        <w:rPr>
          <w:rFonts w:cs="Arial"/>
        </w:rPr>
        <w:t>(recommendation</w:t>
      </w:r>
      <w:r w:rsidR="009E1ABC">
        <w:rPr>
          <w:rFonts w:cs="Arial"/>
        </w:rPr>
        <w:t>s</w:t>
      </w:r>
      <w:r w:rsidR="0087357F">
        <w:rPr>
          <w:rFonts w:cs="Arial"/>
        </w:rPr>
        <w:t xml:space="preserve"> 2</w:t>
      </w:r>
      <w:r w:rsidR="00AE2B2C">
        <w:rPr>
          <w:rFonts w:cs="Arial"/>
        </w:rPr>
        <w:t>, 16, 17, 19</w:t>
      </w:r>
      <w:r w:rsidR="0087357F">
        <w:rPr>
          <w:rFonts w:cs="Arial"/>
        </w:rPr>
        <w:t>)</w:t>
      </w:r>
    </w:p>
    <w:p w14:paraId="4F57348F" w14:textId="78250A98" w:rsidR="00FD2562" w:rsidRDefault="00FD2562" w:rsidP="00AD66AB">
      <w:pPr>
        <w:pStyle w:val="ListParagraph"/>
        <w:numPr>
          <w:ilvl w:val="1"/>
          <w:numId w:val="46"/>
        </w:numPr>
        <w:rPr>
          <w:rFonts w:cs="Arial"/>
        </w:rPr>
      </w:pPr>
      <w:r>
        <w:rPr>
          <w:rFonts w:cs="Arial"/>
        </w:rPr>
        <w:t>require public entities to ensure participation of First Nations persons and people with disabilities in decision</w:t>
      </w:r>
      <w:r w:rsidR="00540382">
        <w:rPr>
          <w:rFonts w:cs="Arial"/>
        </w:rPr>
        <w:t>s</w:t>
      </w:r>
      <w:r>
        <w:rPr>
          <w:rFonts w:cs="Arial"/>
        </w:rPr>
        <w:t xml:space="preserve"> that affect them (recommendation 50) </w:t>
      </w:r>
    </w:p>
    <w:p w14:paraId="42341115" w14:textId="4AB0436E" w:rsidR="00FD2562" w:rsidRDefault="00FD2562" w:rsidP="00AD66AB">
      <w:pPr>
        <w:pStyle w:val="ListParagraph"/>
        <w:numPr>
          <w:ilvl w:val="1"/>
          <w:numId w:val="46"/>
        </w:numPr>
        <w:rPr>
          <w:rFonts w:cs="Arial"/>
        </w:rPr>
      </w:pPr>
      <w:r>
        <w:rPr>
          <w:rFonts w:cs="Arial"/>
        </w:rPr>
        <w:lastRenderedPageBreak/>
        <w:t xml:space="preserve">repeal </w:t>
      </w:r>
      <w:r w:rsidR="00AD314B">
        <w:rPr>
          <w:rFonts w:cs="Arial"/>
        </w:rPr>
        <w:t>section 5A of</w:t>
      </w:r>
      <w:r>
        <w:rPr>
          <w:rFonts w:cs="Arial"/>
        </w:rPr>
        <w:t xml:space="preserve"> the </w:t>
      </w:r>
      <w:r w:rsidRPr="00944B0E">
        <w:rPr>
          <w:rFonts w:cs="Arial"/>
          <w:i/>
          <w:iCs/>
        </w:rPr>
        <w:t>Corrective Services Act</w:t>
      </w:r>
      <w:r w:rsidR="00944B0E">
        <w:rPr>
          <w:rFonts w:cs="Arial"/>
          <w:i/>
          <w:iCs/>
        </w:rPr>
        <w:t xml:space="preserve"> 2006</w:t>
      </w:r>
      <w:r>
        <w:rPr>
          <w:rFonts w:cs="Arial"/>
        </w:rPr>
        <w:t xml:space="preserve"> </w:t>
      </w:r>
      <w:r w:rsidR="00AD314B">
        <w:rPr>
          <w:rFonts w:cs="Arial"/>
        </w:rPr>
        <w:t>which restricts the application of the Human Rights Act</w:t>
      </w:r>
      <w:r w:rsidR="00540382">
        <w:rPr>
          <w:rFonts w:cs="Arial"/>
        </w:rPr>
        <w:t xml:space="preserve"> in relation</w:t>
      </w:r>
      <w:r w:rsidR="00AD314B">
        <w:rPr>
          <w:rFonts w:cs="Arial"/>
        </w:rPr>
        <w:t xml:space="preserve"> to prisoners (recommendation 64)</w:t>
      </w:r>
      <w:r w:rsidR="009E1ABC">
        <w:rPr>
          <w:rFonts w:cs="Arial"/>
        </w:rPr>
        <w:t>; and</w:t>
      </w:r>
      <w:r w:rsidR="00AD314B">
        <w:rPr>
          <w:rFonts w:cs="Arial"/>
        </w:rPr>
        <w:t xml:space="preserve"> </w:t>
      </w:r>
    </w:p>
    <w:p w14:paraId="418E2B55" w14:textId="3604E08A" w:rsidR="009E1ABC" w:rsidRDefault="009E1ABC" w:rsidP="009E1ABC">
      <w:pPr>
        <w:pStyle w:val="ListParagraph"/>
        <w:numPr>
          <w:ilvl w:val="1"/>
          <w:numId w:val="46"/>
        </w:numPr>
        <w:rPr>
          <w:rFonts w:cs="Arial"/>
        </w:rPr>
      </w:pPr>
      <w:r>
        <w:rPr>
          <w:rFonts w:cs="Arial"/>
        </w:rPr>
        <w:t>that the Commission</w:t>
      </w:r>
      <w:r w:rsidRPr="00AD66AB">
        <w:rPr>
          <w:rFonts w:cs="Arial"/>
        </w:rPr>
        <w:t xml:space="preserve"> support community organisations who are public entities under the Human Rights Act to comply with their obligations (recommendation 35)</w:t>
      </w:r>
      <w:r>
        <w:rPr>
          <w:rFonts w:cs="Arial"/>
        </w:rPr>
        <w:t>.</w:t>
      </w:r>
    </w:p>
    <w:p w14:paraId="50C6AC08" w14:textId="53E466C4" w:rsidR="00C1109F" w:rsidRDefault="0071161E" w:rsidP="00F74BB5">
      <w:pPr>
        <w:pStyle w:val="ListParagraph"/>
        <w:numPr>
          <w:ilvl w:val="0"/>
          <w:numId w:val="35"/>
        </w:numPr>
        <w:rPr>
          <w:rFonts w:cs="Arial"/>
        </w:rPr>
      </w:pPr>
      <w:r>
        <w:rPr>
          <w:rFonts w:cs="Arial"/>
        </w:rPr>
        <w:t>Implementation of these recommendation</w:t>
      </w:r>
      <w:r w:rsidR="00E00D9E">
        <w:rPr>
          <w:rFonts w:cs="Arial"/>
        </w:rPr>
        <w:t>s</w:t>
      </w:r>
      <w:r>
        <w:rPr>
          <w:rFonts w:cs="Arial"/>
        </w:rPr>
        <w:t xml:space="preserve"> would enhance the human rights protections available to older persons in Queensland</w:t>
      </w:r>
      <w:r w:rsidR="00682AB9">
        <w:rPr>
          <w:rFonts w:cs="Arial"/>
        </w:rPr>
        <w:t xml:space="preserve"> by</w:t>
      </w:r>
      <w:r w:rsidR="00C1109F">
        <w:rPr>
          <w:rFonts w:cs="Arial"/>
        </w:rPr>
        <w:t>:</w:t>
      </w:r>
      <w:r w:rsidR="00682AB9">
        <w:rPr>
          <w:rFonts w:cs="Arial"/>
        </w:rPr>
        <w:t xml:space="preserve"> </w:t>
      </w:r>
    </w:p>
    <w:p w14:paraId="00CB73E8" w14:textId="2EDA6EEA" w:rsidR="00682AB9" w:rsidRDefault="00682AB9" w:rsidP="00C1109F">
      <w:pPr>
        <w:pStyle w:val="ListParagraph"/>
        <w:numPr>
          <w:ilvl w:val="1"/>
          <w:numId w:val="46"/>
        </w:numPr>
        <w:rPr>
          <w:rFonts w:cs="Arial"/>
        </w:rPr>
      </w:pPr>
      <w:r>
        <w:rPr>
          <w:rFonts w:cs="Arial"/>
        </w:rPr>
        <w:t xml:space="preserve">ensuring </w:t>
      </w:r>
      <w:r w:rsidR="00052734">
        <w:rPr>
          <w:rFonts w:cs="Arial"/>
        </w:rPr>
        <w:t>older Queenslanders</w:t>
      </w:r>
      <w:r w:rsidR="001A5456">
        <w:rPr>
          <w:rFonts w:cs="Arial"/>
        </w:rPr>
        <w:t xml:space="preserve"> can bring an action</w:t>
      </w:r>
      <w:r w:rsidR="00C1109F">
        <w:rPr>
          <w:rFonts w:cs="Arial"/>
        </w:rPr>
        <w:t xml:space="preserve"> </w:t>
      </w:r>
      <w:r w:rsidR="001A5456">
        <w:rPr>
          <w:rFonts w:cs="Arial"/>
        </w:rPr>
        <w:t xml:space="preserve">against </w:t>
      </w:r>
      <w:r w:rsidR="00C1109F">
        <w:rPr>
          <w:rFonts w:cs="Arial"/>
        </w:rPr>
        <w:t>an</w:t>
      </w:r>
      <w:r w:rsidR="001A5456">
        <w:rPr>
          <w:rFonts w:cs="Arial"/>
        </w:rPr>
        <w:t xml:space="preserve"> entity</w:t>
      </w:r>
      <w:r w:rsidR="00C1109F">
        <w:rPr>
          <w:rFonts w:cs="Arial"/>
        </w:rPr>
        <w:t xml:space="preserve"> </w:t>
      </w:r>
      <w:r w:rsidR="00052734">
        <w:rPr>
          <w:rFonts w:cs="Arial"/>
        </w:rPr>
        <w:t xml:space="preserve">about a </w:t>
      </w:r>
      <w:r w:rsidR="00540382">
        <w:rPr>
          <w:rFonts w:cs="Arial"/>
        </w:rPr>
        <w:t>failure to act compatibly with</w:t>
      </w:r>
      <w:r w:rsidR="00052734">
        <w:rPr>
          <w:rFonts w:cs="Arial"/>
        </w:rPr>
        <w:t xml:space="preserve"> their human rights </w:t>
      </w:r>
      <w:r w:rsidR="00581E9B">
        <w:rPr>
          <w:rFonts w:cs="Arial"/>
        </w:rPr>
        <w:t>related to abuse</w:t>
      </w:r>
      <w:r w:rsidR="009E1ABC">
        <w:rPr>
          <w:rFonts w:cs="Arial"/>
        </w:rPr>
        <w:t>,</w:t>
      </w:r>
      <w:r w:rsidR="00581E9B">
        <w:rPr>
          <w:rFonts w:cs="Arial"/>
        </w:rPr>
        <w:t xml:space="preserve"> </w:t>
      </w:r>
      <w:r w:rsidR="00C1109F">
        <w:rPr>
          <w:rFonts w:cs="Arial"/>
        </w:rPr>
        <w:t xml:space="preserve">and </w:t>
      </w:r>
      <w:r w:rsidR="00321296">
        <w:rPr>
          <w:rFonts w:cs="Arial"/>
        </w:rPr>
        <w:t xml:space="preserve">obtain </w:t>
      </w:r>
      <w:r w:rsidR="00C1109F">
        <w:rPr>
          <w:rFonts w:cs="Arial"/>
        </w:rPr>
        <w:t xml:space="preserve">an appropriate remedy </w:t>
      </w:r>
    </w:p>
    <w:p w14:paraId="0A1298BC" w14:textId="7087DDC4" w:rsidR="00540382" w:rsidRDefault="00540382" w:rsidP="00C1109F">
      <w:pPr>
        <w:pStyle w:val="ListParagraph"/>
        <w:numPr>
          <w:ilvl w:val="1"/>
          <w:numId w:val="46"/>
        </w:numPr>
        <w:rPr>
          <w:rFonts w:cs="Arial"/>
        </w:rPr>
      </w:pPr>
      <w:r>
        <w:rPr>
          <w:rFonts w:cs="Arial"/>
        </w:rPr>
        <w:t xml:space="preserve">ensuring </w:t>
      </w:r>
      <w:r w:rsidR="009E1ABC">
        <w:rPr>
          <w:rFonts w:cs="Arial"/>
        </w:rPr>
        <w:t>an older Queenslander</w:t>
      </w:r>
      <w:r w:rsidR="006222D7">
        <w:rPr>
          <w:rFonts w:cs="Arial"/>
        </w:rPr>
        <w:t>s</w:t>
      </w:r>
      <w:r w:rsidR="009E1ABC">
        <w:rPr>
          <w:rFonts w:cs="Arial"/>
        </w:rPr>
        <w:t xml:space="preserve"> can have </w:t>
      </w:r>
      <w:r w:rsidR="006222D7">
        <w:rPr>
          <w:rFonts w:cs="Arial"/>
        </w:rPr>
        <w:t>their</w:t>
      </w:r>
      <w:r w:rsidR="009E1ABC">
        <w:rPr>
          <w:rFonts w:cs="Arial"/>
        </w:rPr>
        <w:t xml:space="preserve"> complaint determined by a tribunal,</w:t>
      </w:r>
      <w:r>
        <w:rPr>
          <w:rFonts w:cs="Arial"/>
        </w:rPr>
        <w:t xml:space="preserve"> </w:t>
      </w:r>
      <w:r w:rsidR="009E1ABC">
        <w:rPr>
          <w:rFonts w:cs="Arial"/>
        </w:rPr>
        <w:t xml:space="preserve">where </w:t>
      </w:r>
      <w:r w:rsidR="006222D7">
        <w:rPr>
          <w:rFonts w:cs="Arial"/>
        </w:rPr>
        <w:t>a</w:t>
      </w:r>
      <w:r w:rsidR="009E1ABC">
        <w:rPr>
          <w:rFonts w:cs="Arial"/>
        </w:rPr>
        <w:t xml:space="preserve"> complaint about a failure to act compatibly with their human rights is not resolved</w:t>
      </w:r>
      <w:r w:rsidR="006222D7">
        <w:rPr>
          <w:rFonts w:cs="Arial"/>
        </w:rPr>
        <w:t xml:space="preserve"> through conciliation</w:t>
      </w:r>
    </w:p>
    <w:p w14:paraId="7268048E" w14:textId="32A5F8EE" w:rsidR="00C1109F" w:rsidRDefault="00C1109F" w:rsidP="00C1109F">
      <w:pPr>
        <w:pStyle w:val="ListParagraph"/>
        <w:numPr>
          <w:ilvl w:val="1"/>
          <w:numId w:val="46"/>
        </w:numPr>
        <w:rPr>
          <w:rFonts w:cs="Arial"/>
        </w:rPr>
      </w:pPr>
      <w:r>
        <w:rPr>
          <w:rFonts w:cs="Arial"/>
        </w:rPr>
        <w:t xml:space="preserve">ensuring systemic human rights abuses </w:t>
      </w:r>
      <w:r w:rsidR="00052734">
        <w:rPr>
          <w:rFonts w:cs="Arial"/>
        </w:rPr>
        <w:t xml:space="preserve">of older Queenslanders </w:t>
      </w:r>
      <w:r>
        <w:rPr>
          <w:rFonts w:cs="Arial"/>
        </w:rPr>
        <w:t>can be investigated and reported on</w:t>
      </w:r>
      <w:r w:rsidR="00052734">
        <w:rPr>
          <w:rFonts w:cs="Arial"/>
        </w:rPr>
        <w:t xml:space="preserve"> by the Commission</w:t>
      </w:r>
    </w:p>
    <w:p w14:paraId="68F153AF" w14:textId="422869BF" w:rsidR="00C1109F" w:rsidRDefault="00C1109F" w:rsidP="00052734">
      <w:pPr>
        <w:pStyle w:val="ListParagraph"/>
        <w:numPr>
          <w:ilvl w:val="1"/>
          <w:numId w:val="46"/>
        </w:numPr>
        <w:rPr>
          <w:rFonts w:cs="Arial"/>
        </w:rPr>
      </w:pPr>
      <w:r>
        <w:rPr>
          <w:rFonts w:cs="Arial"/>
        </w:rPr>
        <w:t>ensuring relevant decision-makers</w:t>
      </w:r>
      <w:r w:rsidR="006222D7">
        <w:rPr>
          <w:rFonts w:cs="Arial"/>
        </w:rPr>
        <w:t>,</w:t>
      </w:r>
      <w:r>
        <w:rPr>
          <w:rFonts w:cs="Arial"/>
        </w:rPr>
        <w:t xml:space="preserve"> including public entities</w:t>
      </w:r>
      <w:r w:rsidR="006222D7">
        <w:rPr>
          <w:rFonts w:cs="Arial"/>
        </w:rPr>
        <w:t>,</w:t>
      </w:r>
      <w:r>
        <w:rPr>
          <w:rFonts w:cs="Arial"/>
        </w:rPr>
        <w:t xml:space="preserve"> are </w:t>
      </w:r>
      <w:r w:rsidR="00052734">
        <w:rPr>
          <w:rFonts w:cs="Arial"/>
        </w:rPr>
        <w:t>appropriately</w:t>
      </w:r>
      <w:r>
        <w:rPr>
          <w:rFonts w:cs="Arial"/>
        </w:rPr>
        <w:t xml:space="preserve"> trained on human rights and can apply that training to protect the rights of older </w:t>
      </w:r>
      <w:r w:rsidR="00052734">
        <w:rPr>
          <w:rFonts w:cs="Arial"/>
        </w:rPr>
        <w:t>Queenslanders</w:t>
      </w:r>
      <w:r w:rsidR="006222D7">
        <w:rPr>
          <w:rFonts w:cs="Arial"/>
        </w:rPr>
        <w:t>,</w:t>
      </w:r>
      <w:r w:rsidR="00581E9B">
        <w:rPr>
          <w:rFonts w:cs="Arial"/>
        </w:rPr>
        <w:t xml:space="preserve"> thereby avoiding abuse</w:t>
      </w:r>
    </w:p>
    <w:p w14:paraId="55DD9433" w14:textId="65D745AB" w:rsidR="00321296" w:rsidRDefault="00321296" w:rsidP="00052734">
      <w:pPr>
        <w:pStyle w:val="ListParagraph"/>
        <w:numPr>
          <w:ilvl w:val="1"/>
          <w:numId w:val="46"/>
        </w:numPr>
        <w:rPr>
          <w:rFonts w:cs="Arial"/>
        </w:rPr>
      </w:pPr>
      <w:r>
        <w:rPr>
          <w:rFonts w:cs="Arial"/>
        </w:rPr>
        <w:t>ensuring public entities</w:t>
      </w:r>
      <w:r w:rsidR="00540382">
        <w:rPr>
          <w:rFonts w:cs="Arial"/>
        </w:rPr>
        <w:t>’</w:t>
      </w:r>
      <w:r>
        <w:rPr>
          <w:rFonts w:cs="Arial"/>
        </w:rPr>
        <w:t xml:space="preserve"> compliance with the Human Rights Act is supported</w:t>
      </w:r>
      <w:r w:rsidR="00581E9B">
        <w:rPr>
          <w:rFonts w:cs="Arial"/>
        </w:rPr>
        <w:t xml:space="preserve"> and monitored</w:t>
      </w:r>
    </w:p>
    <w:p w14:paraId="452EF5C7" w14:textId="011B7A84" w:rsidR="00321296" w:rsidRDefault="001F7D46" w:rsidP="00321296">
      <w:pPr>
        <w:pStyle w:val="ListParagraph"/>
        <w:numPr>
          <w:ilvl w:val="1"/>
          <w:numId w:val="46"/>
        </w:numPr>
        <w:rPr>
          <w:rFonts w:cs="Arial"/>
        </w:rPr>
      </w:pPr>
      <w:r>
        <w:rPr>
          <w:rFonts w:cs="Arial"/>
        </w:rPr>
        <w:t>e</w:t>
      </w:r>
      <w:r w:rsidR="00321296">
        <w:rPr>
          <w:rFonts w:cs="Arial"/>
        </w:rPr>
        <w:t xml:space="preserve">nsuring public entities allow First Nations </w:t>
      </w:r>
      <w:r w:rsidR="006222D7">
        <w:rPr>
          <w:rFonts w:cs="Arial"/>
        </w:rPr>
        <w:t>E</w:t>
      </w:r>
      <w:r w:rsidR="00321296">
        <w:rPr>
          <w:rFonts w:cs="Arial"/>
        </w:rPr>
        <w:t xml:space="preserve">lders and older </w:t>
      </w:r>
      <w:r w:rsidR="008E3FCC">
        <w:rPr>
          <w:rFonts w:cs="Arial"/>
        </w:rPr>
        <w:t>persons</w:t>
      </w:r>
      <w:r w:rsidR="00321296">
        <w:rPr>
          <w:rFonts w:cs="Arial"/>
        </w:rPr>
        <w:t xml:space="preserve"> with disabilities to participate in decisions that affect them</w:t>
      </w:r>
    </w:p>
    <w:p w14:paraId="2AB02DB0" w14:textId="11311F4B" w:rsidR="00321296" w:rsidRPr="001F7D46" w:rsidRDefault="001F7D46" w:rsidP="00321296">
      <w:pPr>
        <w:pStyle w:val="ListParagraph"/>
        <w:numPr>
          <w:ilvl w:val="1"/>
          <w:numId w:val="46"/>
        </w:numPr>
        <w:rPr>
          <w:rFonts w:cs="Arial"/>
        </w:rPr>
      </w:pPr>
      <w:r>
        <w:rPr>
          <w:rFonts w:cs="Arial"/>
        </w:rPr>
        <w:t>e</w:t>
      </w:r>
      <w:r w:rsidR="00321296">
        <w:rPr>
          <w:rFonts w:cs="Arial"/>
        </w:rPr>
        <w:t>nsuring older Queenslanders who are imprisoned have the full protection of the Human Rights Act.</w:t>
      </w:r>
    </w:p>
    <w:p w14:paraId="7E64BFE2" w14:textId="797A3F85" w:rsidR="0071161E" w:rsidRPr="007246BE" w:rsidRDefault="007246BE" w:rsidP="00F74BB5">
      <w:pPr>
        <w:pStyle w:val="ListParagraph"/>
        <w:numPr>
          <w:ilvl w:val="0"/>
          <w:numId w:val="35"/>
        </w:numPr>
        <w:rPr>
          <w:rFonts w:cs="Arial"/>
          <w:b/>
          <w:bCs/>
        </w:rPr>
      </w:pPr>
      <w:bookmarkStart w:id="12" w:name="_Hlk194680370"/>
      <w:r>
        <w:rPr>
          <w:rFonts w:cs="Arial"/>
        </w:rPr>
        <w:t xml:space="preserve">The Committee should recommend to </w:t>
      </w:r>
      <w:r w:rsidR="00540382">
        <w:rPr>
          <w:rFonts w:cs="Arial"/>
        </w:rPr>
        <w:t xml:space="preserve">the Queensland </w:t>
      </w:r>
      <w:r>
        <w:rPr>
          <w:rFonts w:cs="Arial"/>
        </w:rPr>
        <w:t xml:space="preserve">Government that </w:t>
      </w:r>
      <w:r w:rsidR="00093A37" w:rsidRPr="007246BE">
        <w:rPr>
          <w:rFonts w:cs="Arial"/>
        </w:rPr>
        <w:t xml:space="preserve">further consideration </w:t>
      </w:r>
      <w:r>
        <w:rPr>
          <w:rFonts w:cs="Arial"/>
        </w:rPr>
        <w:t xml:space="preserve">be given to </w:t>
      </w:r>
      <w:r w:rsidR="00093A37" w:rsidRPr="007246BE">
        <w:rPr>
          <w:rFonts w:cs="Arial"/>
        </w:rPr>
        <w:t>implement</w:t>
      </w:r>
      <w:r w:rsidR="00052734" w:rsidRPr="007246BE">
        <w:rPr>
          <w:rFonts w:cs="Arial"/>
        </w:rPr>
        <w:t>ing the</w:t>
      </w:r>
      <w:r w:rsidR="00093A37" w:rsidRPr="007246BE">
        <w:rPr>
          <w:rFonts w:cs="Arial"/>
        </w:rPr>
        <w:t xml:space="preserve"> recommendations made by the Human Rights Act Review</w:t>
      </w:r>
      <w:r w:rsidR="0095641C" w:rsidRPr="007246BE">
        <w:rPr>
          <w:rFonts w:cs="Arial"/>
        </w:rPr>
        <w:t xml:space="preserve"> to enhance the effectiveness of human rights protections </w:t>
      </w:r>
      <w:r w:rsidR="00581E9B">
        <w:rPr>
          <w:rFonts w:cs="Arial"/>
        </w:rPr>
        <w:t>available to</w:t>
      </w:r>
      <w:r w:rsidR="0095641C" w:rsidRPr="007246BE">
        <w:rPr>
          <w:rFonts w:cs="Arial"/>
        </w:rPr>
        <w:t xml:space="preserve"> older Queenslanders</w:t>
      </w:r>
      <w:r w:rsidR="006222D7">
        <w:rPr>
          <w:rFonts w:cs="Arial"/>
        </w:rPr>
        <w:t>.</w:t>
      </w:r>
      <w:r>
        <w:rPr>
          <w:rFonts w:cs="Arial"/>
          <w:b/>
          <w:bCs/>
        </w:rPr>
        <w:t xml:space="preserve"> (</w:t>
      </w:r>
      <w:r w:rsidRPr="007246BE">
        <w:rPr>
          <w:rFonts w:cs="Arial"/>
          <w:b/>
          <w:bCs/>
        </w:rPr>
        <w:t>R</w:t>
      </w:r>
      <w:r>
        <w:rPr>
          <w:rFonts w:cs="Arial"/>
          <w:b/>
          <w:bCs/>
        </w:rPr>
        <w:t xml:space="preserve">ECOMMENDATION </w:t>
      </w:r>
      <w:r w:rsidR="00581E9B">
        <w:rPr>
          <w:rFonts w:cs="Arial"/>
          <w:b/>
          <w:bCs/>
        </w:rPr>
        <w:t>2</w:t>
      </w:r>
      <w:r>
        <w:rPr>
          <w:rFonts w:cs="Arial"/>
          <w:b/>
          <w:bCs/>
        </w:rPr>
        <w:t>)</w:t>
      </w:r>
    </w:p>
    <w:p w14:paraId="1B8FAEA3" w14:textId="07568CD7" w:rsidR="000262F8" w:rsidRPr="007309E7" w:rsidRDefault="00A30DB8" w:rsidP="000262F8">
      <w:pPr>
        <w:pStyle w:val="Heading3"/>
        <w:rPr>
          <w:rFonts w:cs="Arial"/>
        </w:rPr>
      </w:pPr>
      <w:bookmarkStart w:id="13" w:name="_Toc194913969"/>
      <w:bookmarkEnd w:id="12"/>
      <w:r>
        <w:rPr>
          <w:rFonts w:cs="Arial"/>
        </w:rPr>
        <w:t>Civil and criminal legal protections -</w:t>
      </w:r>
      <w:r w:rsidR="002051EB">
        <w:rPr>
          <w:rFonts w:cs="Arial"/>
        </w:rPr>
        <w:t xml:space="preserve"> the Anti-Discrimination Act</w:t>
      </w:r>
      <w:bookmarkEnd w:id="13"/>
      <w:r w:rsidR="002051EB">
        <w:rPr>
          <w:rFonts w:cs="Arial"/>
        </w:rPr>
        <w:t xml:space="preserve"> </w:t>
      </w:r>
      <w:r w:rsidR="000262F8">
        <w:rPr>
          <w:rFonts w:cs="Arial"/>
        </w:rPr>
        <w:t xml:space="preserve"> </w:t>
      </w:r>
    </w:p>
    <w:p w14:paraId="68BD365F" w14:textId="00EAABEB" w:rsidR="00AF180B" w:rsidRPr="002E1389" w:rsidRDefault="002051EB" w:rsidP="002E1389">
      <w:pPr>
        <w:pStyle w:val="ListParagraph"/>
        <w:numPr>
          <w:ilvl w:val="0"/>
          <w:numId w:val="35"/>
        </w:numPr>
        <w:rPr>
          <w:rFonts w:cs="Arial"/>
          <w:lang w:eastAsia="en-AU"/>
        </w:rPr>
      </w:pPr>
      <w:r w:rsidRPr="002051EB">
        <w:rPr>
          <w:rFonts w:cs="Arial"/>
          <w:lang w:eastAsia="en-AU"/>
        </w:rPr>
        <w:t xml:space="preserve">As noted above, ageism </w:t>
      </w:r>
      <w:r w:rsidR="002E1389">
        <w:rPr>
          <w:rFonts w:cs="Arial"/>
          <w:lang w:eastAsia="en-AU"/>
        </w:rPr>
        <w:t>i</w:t>
      </w:r>
      <w:r w:rsidRPr="002051EB">
        <w:rPr>
          <w:rFonts w:cs="Arial"/>
          <w:lang w:eastAsia="en-AU"/>
        </w:rPr>
        <w:t>s a key driver of abuse.</w:t>
      </w:r>
      <w:r w:rsidR="002E1389">
        <w:rPr>
          <w:rFonts w:cs="Arial"/>
          <w:lang w:eastAsia="en-AU"/>
        </w:rPr>
        <w:t xml:space="preserve"> </w:t>
      </w:r>
      <w:r w:rsidR="000B52AD" w:rsidRPr="002E1389">
        <w:rPr>
          <w:rFonts w:cs="Arial"/>
          <w:lang w:eastAsia="en-AU"/>
        </w:rPr>
        <w:t>The Anti-Discrimination Act</w:t>
      </w:r>
      <w:r w:rsidR="00CA6575" w:rsidRPr="002E1389">
        <w:rPr>
          <w:rFonts w:cs="Arial"/>
          <w:lang w:eastAsia="en-AU"/>
        </w:rPr>
        <w:t xml:space="preserve"> </w:t>
      </w:r>
      <w:r w:rsidR="00AF180B" w:rsidRPr="002E1389">
        <w:rPr>
          <w:rFonts w:cs="Arial"/>
          <w:lang w:eastAsia="en-AU"/>
        </w:rPr>
        <w:t>responds to ageism by:</w:t>
      </w:r>
    </w:p>
    <w:p w14:paraId="0CD8A487" w14:textId="6428C4F8" w:rsidR="00FE4AEC" w:rsidRPr="00AF180B" w:rsidRDefault="002E1389" w:rsidP="00F74BB5">
      <w:pPr>
        <w:pStyle w:val="ListParagraph"/>
        <w:numPr>
          <w:ilvl w:val="1"/>
          <w:numId w:val="47"/>
        </w:numPr>
        <w:rPr>
          <w:rFonts w:cs="Arial"/>
          <w:lang w:eastAsia="en-AU"/>
        </w:rPr>
      </w:pPr>
      <w:r>
        <w:rPr>
          <w:rFonts w:cs="Arial"/>
          <w:lang w:eastAsia="en-AU"/>
        </w:rPr>
        <w:t>p</w:t>
      </w:r>
      <w:r w:rsidR="00AF180B">
        <w:rPr>
          <w:rFonts w:cs="Arial"/>
          <w:lang w:eastAsia="en-AU"/>
        </w:rPr>
        <w:t xml:space="preserve">rohibiting </w:t>
      </w:r>
      <w:r w:rsidR="000B52AD" w:rsidRPr="00AF180B">
        <w:rPr>
          <w:rFonts w:cs="Arial"/>
          <w:lang w:eastAsia="en-AU"/>
        </w:rPr>
        <w:t>discrimination on the basis of age</w:t>
      </w:r>
      <w:r w:rsidR="00CA6575" w:rsidRPr="00AF180B">
        <w:rPr>
          <w:rFonts w:cs="Arial"/>
          <w:lang w:eastAsia="en-AU"/>
        </w:rPr>
        <w:t xml:space="preserve"> in particular ‘areas</w:t>
      </w:r>
      <w:r w:rsidR="007812A0" w:rsidRPr="00AF180B">
        <w:rPr>
          <w:rFonts w:cs="Arial"/>
          <w:lang w:eastAsia="en-AU"/>
        </w:rPr>
        <w:t>’,</w:t>
      </w:r>
      <w:r w:rsidR="00CA6575" w:rsidRPr="00AF180B">
        <w:rPr>
          <w:rFonts w:cs="Arial"/>
          <w:lang w:eastAsia="en-AU"/>
        </w:rPr>
        <w:t xml:space="preserve"> </w:t>
      </w:r>
      <w:r w:rsidR="00FD1F88">
        <w:rPr>
          <w:rFonts w:cs="Arial"/>
          <w:lang w:eastAsia="en-AU"/>
        </w:rPr>
        <w:t>for example</w:t>
      </w:r>
      <w:r w:rsidR="0042504A">
        <w:rPr>
          <w:rFonts w:cs="Arial"/>
          <w:lang w:eastAsia="en-AU"/>
        </w:rPr>
        <w:t>,</w:t>
      </w:r>
      <w:r w:rsidR="00CA6575" w:rsidRPr="00AF180B">
        <w:rPr>
          <w:rFonts w:cs="Arial"/>
          <w:lang w:eastAsia="en-AU"/>
        </w:rPr>
        <w:t xml:space="preserve"> </w:t>
      </w:r>
      <w:r w:rsidR="000B52AD" w:rsidRPr="00AF180B">
        <w:rPr>
          <w:rFonts w:cs="Arial"/>
          <w:lang w:eastAsia="en-AU"/>
        </w:rPr>
        <w:t>work</w:t>
      </w:r>
      <w:r w:rsidR="00CA6575" w:rsidRPr="00AF180B">
        <w:rPr>
          <w:rFonts w:cs="Arial"/>
          <w:lang w:eastAsia="en-AU"/>
        </w:rPr>
        <w:t xml:space="preserve">, </w:t>
      </w:r>
      <w:r w:rsidR="000B52AD" w:rsidRPr="00AF180B">
        <w:rPr>
          <w:rFonts w:cs="Arial"/>
          <w:lang w:eastAsia="en-AU"/>
        </w:rPr>
        <w:t>education</w:t>
      </w:r>
      <w:r w:rsidR="00CA6575" w:rsidRPr="00AF180B">
        <w:rPr>
          <w:rFonts w:cs="Arial"/>
          <w:lang w:eastAsia="en-AU"/>
        </w:rPr>
        <w:t xml:space="preserve">, </w:t>
      </w:r>
      <w:r w:rsidR="000B52AD" w:rsidRPr="00AF180B">
        <w:rPr>
          <w:rFonts w:cs="Arial"/>
          <w:lang w:eastAsia="en-AU"/>
        </w:rPr>
        <w:t xml:space="preserve">the provision of goods </w:t>
      </w:r>
      <w:r w:rsidR="00FD1F88">
        <w:rPr>
          <w:rFonts w:cs="Arial"/>
          <w:lang w:eastAsia="en-AU"/>
        </w:rPr>
        <w:t>or</w:t>
      </w:r>
      <w:r w:rsidR="000B52AD" w:rsidRPr="00AF180B">
        <w:rPr>
          <w:rFonts w:cs="Arial"/>
          <w:lang w:eastAsia="en-AU"/>
        </w:rPr>
        <w:t xml:space="preserve"> services</w:t>
      </w:r>
      <w:r w:rsidR="00CA6575" w:rsidRPr="00AF180B">
        <w:rPr>
          <w:rFonts w:cs="Arial"/>
          <w:lang w:eastAsia="en-AU"/>
        </w:rPr>
        <w:t xml:space="preserve">, </w:t>
      </w:r>
      <w:r w:rsidR="000B52AD" w:rsidRPr="00AF180B">
        <w:rPr>
          <w:rFonts w:cs="Arial"/>
          <w:lang w:eastAsia="en-AU"/>
        </w:rPr>
        <w:t>accommodation</w:t>
      </w:r>
      <w:r w:rsidR="00CA6575" w:rsidRPr="00AF180B">
        <w:rPr>
          <w:rFonts w:cs="Arial"/>
          <w:lang w:eastAsia="en-AU"/>
        </w:rPr>
        <w:t xml:space="preserve">, </w:t>
      </w:r>
      <w:r w:rsidR="000B52AD" w:rsidRPr="00AF180B">
        <w:rPr>
          <w:rFonts w:cs="Arial"/>
          <w:lang w:eastAsia="en-AU"/>
        </w:rPr>
        <w:t xml:space="preserve">club </w:t>
      </w:r>
      <w:r w:rsidR="000B52AD" w:rsidRPr="00AF180B">
        <w:rPr>
          <w:rFonts w:cs="Arial"/>
          <w:lang w:eastAsia="en-AU"/>
        </w:rPr>
        <w:lastRenderedPageBreak/>
        <w:t>memberships and affairs</w:t>
      </w:r>
      <w:r w:rsidR="00CA6575" w:rsidRPr="00AF180B">
        <w:rPr>
          <w:rFonts w:cs="Arial"/>
          <w:lang w:eastAsia="en-AU"/>
        </w:rPr>
        <w:t xml:space="preserve">, </w:t>
      </w:r>
      <w:r w:rsidR="000B52AD" w:rsidRPr="00AF180B">
        <w:rPr>
          <w:rFonts w:cs="Arial"/>
          <w:lang w:eastAsia="en-AU"/>
        </w:rPr>
        <w:t>superannuation or insurance</w:t>
      </w:r>
      <w:r w:rsidR="00CA6575" w:rsidRPr="00AF180B">
        <w:rPr>
          <w:rFonts w:cs="Arial"/>
          <w:lang w:eastAsia="en-AU"/>
        </w:rPr>
        <w:t xml:space="preserve">, and the </w:t>
      </w:r>
      <w:r w:rsidR="000B52AD" w:rsidRPr="00AF180B">
        <w:rPr>
          <w:rFonts w:cs="Arial"/>
          <w:lang w:eastAsia="en-AU"/>
        </w:rPr>
        <w:t xml:space="preserve">administration of </w:t>
      </w:r>
      <w:r w:rsidR="00251E34">
        <w:rPr>
          <w:rFonts w:cs="Arial"/>
          <w:lang w:eastAsia="en-AU"/>
        </w:rPr>
        <w:t>S</w:t>
      </w:r>
      <w:r w:rsidR="000B52AD" w:rsidRPr="00AF180B">
        <w:rPr>
          <w:rFonts w:cs="Arial"/>
          <w:lang w:eastAsia="en-AU"/>
        </w:rPr>
        <w:t>tate laws and programs</w:t>
      </w:r>
      <w:r w:rsidR="007812A0">
        <w:rPr>
          <w:rStyle w:val="FootnoteReference"/>
          <w:rFonts w:cs="Arial"/>
          <w:lang w:eastAsia="en-AU"/>
        </w:rPr>
        <w:footnoteReference w:id="23"/>
      </w:r>
    </w:p>
    <w:p w14:paraId="5E564D5B" w14:textId="404B8433" w:rsidR="006D4694" w:rsidRDefault="002E1389" w:rsidP="00F74BB5">
      <w:pPr>
        <w:pStyle w:val="ListParagraph"/>
        <w:numPr>
          <w:ilvl w:val="1"/>
          <w:numId w:val="47"/>
        </w:numPr>
        <w:rPr>
          <w:rFonts w:cs="Arial"/>
          <w:lang w:eastAsia="en-AU"/>
        </w:rPr>
      </w:pPr>
      <w:r>
        <w:rPr>
          <w:rFonts w:cs="Arial"/>
          <w:lang w:eastAsia="en-AU"/>
        </w:rPr>
        <w:t>p</w:t>
      </w:r>
      <w:r w:rsidR="00AF180B" w:rsidRPr="00AF180B">
        <w:rPr>
          <w:rFonts w:cs="Arial"/>
          <w:lang w:eastAsia="en-AU"/>
        </w:rPr>
        <w:t xml:space="preserve">ermitting a person to complain to the Commission if they believe </w:t>
      </w:r>
      <w:r w:rsidR="00251E34">
        <w:rPr>
          <w:rFonts w:cs="Arial"/>
          <w:lang w:eastAsia="en-AU"/>
        </w:rPr>
        <w:t>they have been</w:t>
      </w:r>
      <w:r w:rsidR="00AF180B" w:rsidRPr="00AF180B">
        <w:rPr>
          <w:rFonts w:cs="Arial"/>
          <w:lang w:eastAsia="en-AU"/>
        </w:rPr>
        <w:t xml:space="preserve"> </w:t>
      </w:r>
      <w:r w:rsidR="00AF180B">
        <w:rPr>
          <w:rFonts w:cs="Arial"/>
          <w:lang w:eastAsia="en-AU"/>
        </w:rPr>
        <w:t>discriminated against</w:t>
      </w:r>
      <w:r w:rsidR="00AF180B" w:rsidRPr="00AF180B">
        <w:rPr>
          <w:rFonts w:cs="Arial"/>
          <w:lang w:eastAsia="en-AU"/>
        </w:rPr>
        <w:t xml:space="preserve">, and have </w:t>
      </w:r>
      <w:r w:rsidR="005F5A1A">
        <w:rPr>
          <w:rFonts w:cs="Arial"/>
          <w:lang w:eastAsia="en-AU"/>
        </w:rPr>
        <w:t>the</w:t>
      </w:r>
      <w:r w:rsidR="005F5A1A" w:rsidRPr="00AF180B">
        <w:rPr>
          <w:rFonts w:cs="Arial"/>
          <w:lang w:eastAsia="en-AU"/>
        </w:rPr>
        <w:t xml:space="preserve"> </w:t>
      </w:r>
      <w:r w:rsidR="00AF180B" w:rsidRPr="00AF180B">
        <w:rPr>
          <w:rFonts w:cs="Arial"/>
          <w:lang w:eastAsia="en-AU"/>
        </w:rPr>
        <w:t xml:space="preserve">complaint </w:t>
      </w:r>
      <w:r w:rsidR="005F5A1A">
        <w:rPr>
          <w:rFonts w:cs="Arial"/>
          <w:lang w:eastAsia="en-AU"/>
        </w:rPr>
        <w:t>resolved through conciliation, where possible</w:t>
      </w:r>
      <w:r>
        <w:rPr>
          <w:rStyle w:val="FootnoteReference"/>
          <w:rFonts w:cs="Arial"/>
          <w:lang w:eastAsia="en-AU"/>
        </w:rPr>
        <w:footnoteReference w:id="24"/>
      </w:r>
      <w:r>
        <w:rPr>
          <w:rFonts w:cs="Arial"/>
          <w:lang w:eastAsia="en-AU"/>
        </w:rPr>
        <w:t xml:space="preserve"> </w:t>
      </w:r>
    </w:p>
    <w:p w14:paraId="50C7641E" w14:textId="6BF55DBD" w:rsidR="00AF180B" w:rsidRDefault="002E1389" w:rsidP="00F74BB5">
      <w:pPr>
        <w:pStyle w:val="ListParagraph"/>
        <w:numPr>
          <w:ilvl w:val="1"/>
          <w:numId w:val="47"/>
        </w:numPr>
        <w:rPr>
          <w:rFonts w:cs="Arial"/>
          <w:lang w:eastAsia="en-AU"/>
        </w:rPr>
      </w:pPr>
      <w:r>
        <w:rPr>
          <w:rFonts w:cs="Arial"/>
          <w:lang w:eastAsia="en-AU"/>
        </w:rPr>
        <w:t>p</w:t>
      </w:r>
      <w:r w:rsidR="0042504A">
        <w:rPr>
          <w:rFonts w:cs="Arial"/>
          <w:lang w:eastAsia="en-AU"/>
        </w:rPr>
        <w:t xml:space="preserve">ermitting unresolved complaints to proceed to </w:t>
      </w:r>
      <w:r>
        <w:rPr>
          <w:rFonts w:cs="Arial"/>
          <w:lang w:eastAsia="en-AU"/>
        </w:rPr>
        <w:t xml:space="preserve">a </w:t>
      </w:r>
      <w:r w:rsidR="0055471C">
        <w:rPr>
          <w:rFonts w:cs="Arial"/>
          <w:lang w:eastAsia="en-AU"/>
        </w:rPr>
        <w:t>t</w:t>
      </w:r>
      <w:r>
        <w:rPr>
          <w:rFonts w:cs="Arial"/>
          <w:lang w:eastAsia="en-AU"/>
        </w:rPr>
        <w:t>ribunal</w:t>
      </w:r>
      <w:r w:rsidR="0042504A">
        <w:rPr>
          <w:rFonts w:cs="Arial"/>
          <w:lang w:eastAsia="en-AU"/>
        </w:rPr>
        <w:t xml:space="preserve"> for determination</w:t>
      </w:r>
      <w:r w:rsidR="005F5A1A">
        <w:rPr>
          <w:rFonts w:cs="Arial"/>
          <w:lang w:eastAsia="en-AU"/>
        </w:rPr>
        <w:t>.</w:t>
      </w:r>
      <w:r>
        <w:rPr>
          <w:rStyle w:val="FootnoteReference"/>
          <w:rFonts w:cs="Arial"/>
          <w:lang w:eastAsia="en-AU"/>
        </w:rPr>
        <w:footnoteReference w:id="25"/>
      </w:r>
    </w:p>
    <w:p w14:paraId="3F593F0D" w14:textId="36956391" w:rsidR="00400A55" w:rsidRPr="00400A55" w:rsidRDefault="00400A55" w:rsidP="002051EB">
      <w:pPr>
        <w:pStyle w:val="Heading4"/>
      </w:pPr>
      <w:bookmarkStart w:id="14" w:name="_Toc194913970"/>
      <w:r>
        <w:t xml:space="preserve">Enhancing the effectiveness of </w:t>
      </w:r>
      <w:r w:rsidR="001D299B">
        <w:t xml:space="preserve">civil and criminal legal </w:t>
      </w:r>
      <w:r w:rsidR="006A5D15">
        <w:t>protections</w:t>
      </w:r>
      <w:r w:rsidR="001D299B">
        <w:t xml:space="preserve"> </w:t>
      </w:r>
      <w:r w:rsidR="002051EB">
        <w:t>– taking a preventative approach</w:t>
      </w:r>
      <w:r w:rsidR="001D299B">
        <w:t xml:space="preserve"> to discrimination</w:t>
      </w:r>
      <w:bookmarkEnd w:id="14"/>
      <w:r w:rsidR="001D299B">
        <w:t xml:space="preserve"> </w:t>
      </w:r>
    </w:p>
    <w:p w14:paraId="4D7401EA" w14:textId="177CBCE2" w:rsidR="006E13E9" w:rsidRPr="006E13E9" w:rsidRDefault="006E13E9" w:rsidP="006E13E9">
      <w:pPr>
        <w:pStyle w:val="ListParagraph"/>
        <w:numPr>
          <w:ilvl w:val="0"/>
          <w:numId w:val="35"/>
        </w:numPr>
        <w:rPr>
          <w:rFonts w:cs="Arial"/>
          <w:lang w:eastAsia="en-AU"/>
        </w:rPr>
      </w:pPr>
      <w:r>
        <w:rPr>
          <w:rFonts w:cs="Arial"/>
          <w:lang w:eastAsia="en-AU"/>
        </w:rPr>
        <w:t>As described above, the current approach</w:t>
      </w:r>
      <w:r w:rsidR="008D24ED">
        <w:rPr>
          <w:rFonts w:cs="Arial"/>
          <w:lang w:eastAsia="en-AU"/>
        </w:rPr>
        <w:t xml:space="preserve"> to combatting discrimination, including </w:t>
      </w:r>
      <w:r w:rsidR="005D2DFE">
        <w:rPr>
          <w:rFonts w:cs="Arial"/>
          <w:lang w:eastAsia="en-AU"/>
        </w:rPr>
        <w:t>discrimination based on age (ageism)</w:t>
      </w:r>
      <w:r w:rsidR="008D24ED">
        <w:rPr>
          <w:rFonts w:cs="Arial"/>
          <w:lang w:eastAsia="en-AU"/>
        </w:rPr>
        <w:t>,</w:t>
      </w:r>
      <w:r>
        <w:rPr>
          <w:rFonts w:cs="Arial"/>
          <w:lang w:eastAsia="en-AU"/>
        </w:rPr>
        <w:t xml:space="preserve"> relies on </w:t>
      </w:r>
      <w:r w:rsidR="005D2DFE">
        <w:rPr>
          <w:rFonts w:cs="Arial"/>
          <w:lang w:eastAsia="en-AU"/>
        </w:rPr>
        <w:t>the</w:t>
      </w:r>
      <w:r w:rsidR="00D72B25">
        <w:rPr>
          <w:rFonts w:cs="Arial"/>
          <w:lang w:eastAsia="en-AU"/>
        </w:rPr>
        <w:t xml:space="preserve"> resolution of</w:t>
      </w:r>
      <w:r w:rsidRPr="006E13E9">
        <w:rPr>
          <w:rFonts w:cs="Arial"/>
          <w:lang w:eastAsia="en-AU"/>
        </w:rPr>
        <w:t xml:space="preserve"> complaints made by individual people </w:t>
      </w:r>
      <w:r w:rsidR="008449A6">
        <w:rPr>
          <w:rFonts w:cs="Arial"/>
          <w:lang w:eastAsia="en-AU"/>
        </w:rPr>
        <w:t xml:space="preserve">or groups </w:t>
      </w:r>
      <w:r w:rsidRPr="006E13E9">
        <w:rPr>
          <w:rFonts w:cs="Arial"/>
          <w:lang w:eastAsia="en-AU"/>
        </w:rPr>
        <w:t>about conduct that has already happened</w:t>
      </w:r>
      <w:r w:rsidR="005D2DFE">
        <w:rPr>
          <w:rFonts w:cs="Arial"/>
          <w:lang w:eastAsia="en-AU"/>
        </w:rPr>
        <w:t>. Many</w:t>
      </w:r>
      <w:r w:rsidR="00D72B25">
        <w:rPr>
          <w:rFonts w:cs="Arial"/>
          <w:lang w:eastAsia="en-AU"/>
        </w:rPr>
        <w:t xml:space="preserve"> older </w:t>
      </w:r>
      <w:r w:rsidR="0055471C">
        <w:rPr>
          <w:rFonts w:cs="Arial"/>
          <w:lang w:eastAsia="en-AU"/>
        </w:rPr>
        <w:t xml:space="preserve">people </w:t>
      </w:r>
      <w:r w:rsidR="00D72B25">
        <w:rPr>
          <w:rFonts w:cs="Arial"/>
          <w:lang w:eastAsia="en-AU"/>
        </w:rPr>
        <w:t xml:space="preserve">find it difficult to make a complaint. This </w:t>
      </w:r>
      <w:r w:rsidR="0055471C">
        <w:rPr>
          <w:rFonts w:cs="Arial"/>
          <w:lang w:eastAsia="en-AU"/>
        </w:rPr>
        <w:t xml:space="preserve">may </w:t>
      </w:r>
      <w:r w:rsidR="00D72B25">
        <w:rPr>
          <w:rFonts w:cs="Arial"/>
          <w:lang w:eastAsia="en-AU"/>
        </w:rPr>
        <w:t>be because of limited access to support to make a complaint, or a lack of understanding about the protections available. These barriers limit the</w:t>
      </w:r>
      <w:r w:rsidRPr="006E13E9">
        <w:rPr>
          <w:rFonts w:cs="Arial"/>
          <w:lang w:eastAsia="en-AU"/>
        </w:rPr>
        <w:t xml:space="preserve"> effectiveness of the </w:t>
      </w:r>
      <w:r w:rsidR="00D72B25">
        <w:rPr>
          <w:rFonts w:cs="Arial"/>
          <w:lang w:eastAsia="en-AU"/>
        </w:rPr>
        <w:t xml:space="preserve">Anti-Discrimination </w:t>
      </w:r>
      <w:r w:rsidRPr="006E13E9">
        <w:rPr>
          <w:rFonts w:cs="Arial"/>
          <w:lang w:eastAsia="en-AU"/>
        </w:rPr>
        <w:t xml:space="preserve">Act </w:t>
      </w:r>
      <w:r w:rsidR="00D72B25">
        <w:rPr>
          <w:rFonts w:cs="Arial"/>
          <w:lang w:eastAsia="en-AU"/>
        </w:rPr>
        <w:t>in combatting ageism</w:t>
      </w:r>
      <w:r w:rsidRPr="006E13E9">
        <w:rPr>
          <w:rFonts w:cs="Arial"/>
          <w:lang w:eastAsia="en-AU"/>
        </w:rPr>
        <w:t>.</w:t>
      </w:r>
      <w:r>
        <w:rPr>
          <w:rStyle w:val="FootnoteReference"/>
          <w:rFonts w:cs="Arial"/>
          <w:lang w:eastAsia="en-AU"/>
        </w:rPr>
        <w:footnoteReference w:id="26"/>
      </w:r>
      <w:r w:rsidRPr="006E13E9">
        <w:rPr>
          <w:rFonts w:cs="Arial"/>
          <w:lang w:eastAsia="en-AU"/>
        </w:rPr>
        <w:t xml:space="preserve"> </w:t>
      </w:r>
    </w:p>
    <w:p w14:paraId="47827092" w14:textId="2192E508" w:rsidR="00EE1E4F" w:rsidRPr="007309E7" w:rsidRDefault="007301A2" w:rsidP="00F74BB5">
      <w:pPr>
        <w:pStyle w:val="ListParagraph"/>
        <w:numPr>
          <w:ilvl w:val="0"/>
          <w:numId w:val="35"/>
        </w:numPr>
        <w:rPr>
          <w:rFonts w:cs="Arial"/>
          <w:lang w:eastAsia="en-AU"/>
        </w:rPr>
      </w:pPr>
      <w:r w:rsidRPr="007309E7">
        <w:rPr>
          <w:rFonts w:cs="Arial"/>
          <w:lang w:eastAsia="en-AU"/>
        </w:rPr>
        <w:t xml:space="preserve">The </w:t>
      </w:r>
      <w:r w:rsidRPr="0054582C">
        <w:rPr>
          <w:rFonts w:cs="Arial"/>
          <w:i/>
          <w:iCs/>
          <w:lang w:eastAsia="en-AU"/>
        </w:rPr>
        <w:t>Building Belonging</w:t>
      </w:r>
      <w:r w:rsidR="009C3FF6" w:rsidRPr="0054582C">
        <w:rPr>
          <w:rFonts w:cs="Arial"/>
          <w:i/>
          <w:iCs/>
          <w:lang w:eastAsia="en-AU"/>
        </w:rPr>
        <w:t>: Review of Queensland’s Anti-Discrimination Act 1991</w:t>
      </w:r>
      <w:r w:rsidR="00EE1E4F" w:rsidRPr="007309E7">
        <w:rPr>
          <w:rFonts w:cs="Arial"/>
          <w:lang w:eastAsia="en-AU"/>
        </w:rPr>
        <w:t xml:space="preserve"> report</w:t>
      </w:r>
      <w:r w:rsidR="003E0FD0">
        <w:rPr>
          <w:rFonts w:cs="Arial"/>
          <w:lang w:eastAsia="en-AU"/>
        </w:rPr>
        <w:t xml:space="preserve"> (</w:t>
      </w:r>
      <w:r w:rsidR="003E0FD0" w:rsidRPr="003E0FD0">
        <w:rPr>
          <w:rFonts w:cs="Arial"/>
          <w:b/>
          <w:bCs/>
          <w:lang w:eastAsia="en-AU"/>
        </w:rPr>
        <w:t>Building Belonging report</w:t>
      </w:r>
      <w:r w:rsidR="003E0FD0">
        <w:rPr>
          <w:rFonts w:cs="Arial"/>
          <w:lang w:eastAsia="en-AU"/>
        </w:rPr>
        <w:t>)</w:t>
      </w:r>
      <w:r w:rsidR="00EE1E4F" w:rsidRPr="007309E7">
        <w:rPr>
          <w:rFonts w:cs="Arial"/>
          <w:lang w:eastAsia="en-AU"/>
        </w:rPr>
        <w:t xml:space="preserve"> recommended that the Queensland Government take a preventative approach to eliminating discrimination in Queensland </w:t>
      </w:r>
      <w:r w:rsidR="003E0FD0">
        <w:rPr>
          <w:rFonts w:cs="Arial"/>
          <w:lang w:eastAsia="en-AU"/>
        </w:rPr>
        <w:t>by amending the Anti-Discrimination Act</w:t>
      </w:r>
      <w:r w:rsidR="00723050">
        <w:rPr>
          <w:rFonts w:cs="Arial"/>
          <w:lang w:eastAsia="en-AU"/>
        </w:rPr>
        <w:t xml:space="preserve"> to</w:t>
      </w:r>
      <w:r w:rsidR="003E0FD0">
        <w:rPr>
          <w:rFonts w:cs="Arial"/>
          <w:lang w:eastAsia="en-AU"/>
        </w:rPr>
        <w:t xml:space="preserve"> </w:t>
      </w:r>
      <w:r w:rsidR="00EE1E4F" w:rsidRPr="007309E7">
        <w:rPr>
          <w:rFonts w:cs="Arial"/>
          <w:lang w:eastAsia="en-AU"/>
        </w:rPr>
        <w:t>includ</w:t>
      </w:r>
      <w:r w:rsidR="00723050">
        <w:rPr>
          <w:rFonts w:cs="Arial"/>
          <w:lang w:eastAsia="en-AU"/>
        </w:rPr>
        <w:t>e</w:t>
      </w:r>
      <w:r w:rsidR="00EE1E4F" w:rsidRPr="007309E7">
        <w:rPr>
          <w:rFonts w:cs="Arial"/>
          <w:lang w:eastAsia="en-AU"/>
        </w:rPr>
        <w:t xml:space="preserve"> </w:t>
      </w:r>
      <w:r w:rsidR="00723050">
        <w:rPr>
          <w:rFonts w:cs="Arial"/>
          <w:lang w:eastAsia="en-AU"/>
        </w:rPr>
        <w:t>a</w:t>
      </w:r>
      <w:r w:rsidR="00EE1E4F" w:rsidRPr="007309E7">
        <w:rPr>
          <w:rFonts w:cs="Arial"/>
          <w:lang w:eastAsia="en-AU"/>
        </w:rPr>
        <w:t xml:space="preserve"> positive duty for duty holders to take reasonable steps to eliminat</w:t>
      </w:r>
      <w:r w:rsidR="00F32E9B">
        <w:rPr>
          <w:rFonts w:cs="Arial"/>
          <w:lang w:eastAsia="en-AU"/>
        </w:rPr>
        <w:t>e</w:t>
      </w:r>
      <w:r w:rsidR="00EE1E4F" w:rsidRPr="007309E7">
        <w:rPr>
          <w:rFonts w:cs="Arial"/>
          <w:lang w:eastAsia="en-AU"/>
        </w:rPr>
        <w:t xml:space="preserve"> discrimination.</w:t>
      </w:r>
      <w:r w:rsidR="00F32E9B">
        <w:rPr>
          <w:rStyle w:val="FootnoteReference"/>
          <w:rFonts w:cs="Arial"/>
          <w:lang w:eastAsia="en-AU"/>
        </w:rPr>
        <w:footnoteReference w:id="27"/>
      </w:r>
      <w:r w:rsidR="00EE1E4F" w:rsidRPr="007309E7">
        <w:rPr>
          <w:rFonts w:cs="Arial"/>
          <w:lang w:eastAsia="en-AU"/>
        </w:rPr>
        <w:t xml:space="preserve"> </w:t>
      </w:r>
    </w:p>
    <w:p w14:paraId="541BF2BA" w14:textId="01E1B1A2" w:rsidR="009C3FF6" w:rsidRPr="007309E7" w:rsidRDefault="003E0FD0" w:rsidP="00F74BB5">
      <w:pPr>
        <w:pStyle w:val="ListParagraph"/>
        <w:numPr>
          <w:ilvl w:val="0"/>
          <w:numId w:val="35"/>
        </w:numPr>
        <w:rPr>
          <w:rFonts w:cs="Arial"/>
          <w:lang w:eastAsia="en-AU"/>
        </w:rPr>
      </w:pPr>
      <w:r>
        <w:rPr>
          <w:rFonts w:cs="Arial"/>
          <w:lang w:eastAsia="en-AU"/>
        </w:rPr>
        <w:t>Rather than responding to instances of discrimination via complaints, a</w:t>
      </w:r>
      <w:r w:rsidR="009C3FF6" w:rsidRPr="007309E7">
        <w:rPr>
          <w:rFonts w:cs="Arial"/>
          <w:lang w:eastAsia="en-AU"/>
        </w:rPr>
        <w:t xml:space="preserve"> positive duty would </w:t>
      </w:r>
      <w:r w:rsidR="00723050">
        <w:rPr>
          <w:rFonts w:cs="Arial"/>
          <w:lang w:eastAsia="en-AU"/>
        </w:rPr>
        <w:t xml:space="preserve">proactively </w:t>
      </w:r>
      <w:r>
        <w:rPr>
          <w:rFonts w:cs="Arial"/>
          <w:lang w:eastAsia="en-AU"/>
        </w:rPr>
        <w:t xml:space="preserve">prevent discrimination by requiring duty holders to take steps to </w:t>
      </w:r>
      <w:r w:rsidR="009F56E0">
        <w:rPr>
          <w:rFonts w:cs="Arial"/>
          <w:lang w:eastAsia="en-AU"/>
        </w:rPr>
        <w:t xml:space="preserve">prevent </w:t>
      </w:r>
      <w:r>
        <w:rPr>
          <w:rFonts w:cs="Arial"/>
          <w:lang w:eastAsia="en-AU"/>
        </w:rPr>
        <w:t>discrimination before it occurs.</w:t>
      </w:r>
      <w:r w:rsidR="007467EB">
        <w:rPr>
          <w:rFonts w:cs="Arial"/>
          <w:lang w:eastAsia="en-AU"/>
        </w:rPr>
        <w:t xml:space="preserve"> </w:t>
      </w:r>
      <w:r w:rsidR="009F56E0">
        <w:rPr>
          <w:rFonts w:cs="Arial"/>
          <w:lang w:eastAsia="en-AU"/>
        </w:rPr>
        <w:t>The requirement to take</w:t>
      </w:r>
      <w:r w:rsidR="007467EB">
        <w:rPr>
          <w:rFonts w:cs="Arial"/>
          <w:lang w:eastAsia="en-AU"/>
        </w:rPr>
        <w:t xml:space="preserve"> steps may also promote a better understanding of the causes and impacts of discrimination</w:t>
      </w:r>
      <w:r w:rsidR="005D2DFE">
        <w:rPr>
          <w:rFonts w:cs="Arial"/>
          <w:lang w:eastAsia="en-AU"/>
        </w:rPr>
        <w:t>,</w:t>
      </w:r>
      <w:r w:rsidR="007467EB">
        <w:rPr>
          <w:rFonts w:cs="Arial"/>
          <w:lang w:eastAsia="en-AU"/>
        </w:rPr>
        <w:t xml:space="preserve"> having a further preventative effect.</w:t>
      </w:r>
      <w:r w:rsidR="007467EB">
        <w:rPr>
          <w:rStyle w:val="FootnoteReference"/>
          <w:rFonts w:cs="Arial"/>
          <w:lang w:eastAsia="en-AU"/>
        </w:rPr>
        <w:footnoteReference w:id="28"/>
      </w:r>
    </w:p>
    <w:p w14:paraId="659B0353" w14:textId="2F8A0A26" w:rsidR="003E0FD0" w:rsidRPr="003E0FD0" w:rsidRDefault="003E0FD0" w:rsidP="00F74BB5">
      <w:pPr>
        <w:pStyle w:val="ListParagraph"/>
        <w:numPr>
          <w:ilvl w:val="0"/>
          <w:numId w:val="35"/>
        </w:numPr>
        <w:rPr>
          <w:rFonts w:cs="Arial"/>
          <w:lang w:eastAsia="en-AU"/>
        </w:rPr>
      </w:pPr>
      <w:r>
        <w:rPr>
          <w:rFonts w:cs="Arial"/>
          <w:lang w:eastAsia="en-AU"/>
        </w:rPr>
        <w:t xml:space="preserve">In 2024, the Queensland Parliament passed the </w:t>
      </w:r>
      <w:r w:rsidR="006575E4">
        <w:rPr>
          <w:rFonts w:cs="Arial"/>
          <w:lang w:eastAsia="en-AU"/>
        </w:rPr>
        <w:t xml:space="preserve">Respect at Work Act </w:t>
      </w:r>
      <w:r>
        <w:rPr>
          <w:rFonts w:cs="Arial"/>
          <w:lang w:eastAsia="en-AU"/>
        </w:rPr>
        <w:t xml:space="preserve">which </w:t>
      </w:r>
      <w:r w:rsidR="009C3FF6" w:rsidRPr="007309E7">
        <w:rPr>
          <w:rFonts w:cs="Arial"/>
          <w:lang w:eastAsia="en-AU"/>
        </w:rPr>
        <w:t xml:space="preserve">contains a positive duty </w:t>
      </w:r>
      <w:r>
        <w:rPr>
          <w:rFonts w:cs="Arial"/>
          <w:lang w:eastAsia="en-AU"/>
        </w:rPr>
        <w:t>requiring</w:t>
      </w:r>
      <w:r w:rsidR="00EC4A0C" w:rsidRPr="007309E7">
        <w:rPr>
          <w:rFonts w:cs="Arial"/>
          <w:lang w:eastAsia="en-AU"/>
        </w:rPr>
        <w:t xml:space="preserve"> duty holders</w:t>
      </w:r>
      <w:r w:rsidR="009C3FF6" w:rsidRPr="007309E7">
        <w:rPr>
          <w:rFonts w:cs="Arial"/>
          <w:lang w:eastAsia="en-AU"/>
        </w:rPr>
        <w:t xml:space="preserve"> (persons conducting a business or undertaking)</w:t>
      </w:r>
      <w:r w:rsidR="00EC4A0C" w:rsidRPr="007309E7">
        <w:rPr>
          <w:rFonts w:cs="Arial"/>
          <w:lang w:eastAsia="en-AU"/>
        </w:rPr>
        <w:t xml:space="preserve"> to take reasonable and proportionate measures to eliminate discrimination, sexual </w:t>
      </w:r>
      <w:r w:rsidR="00EC4A0C" w:rsidRPr="007309E7">
        <w:rPr>
          <w:rFonts w:cs="Arial"/>
          <w:lang w:eastAsia="en-AU"/>
        </w:rPr>
        <w:lastRenderedPageBreak/>
        <w:t>harassment, harassment on the basis of sex</w:t>
      </w:r>
      <w:r w:rsidR="00963C5D">
        <w:rPr>
          <w:rFonts w:cs="Arial"/>
          <w:lang w:eastAsia="en-AU"/>
        </w:rPr>
        <w:t>,</w:t>
      </w:r>
      <w:r w:rsidR="00EC4A0C" w:rsidRPr="007309E7">
        <w:rPr>
          <w:rFonts w:cs="Arial"/>
          <w:lang w:eastAsia="en-AU"/>
        </w:rPr>
        <w:t xml:space="preserve"> and other objectionable conduct as far as possible.</w:t>
      </w:r>
      <w:r w:rsidR="008D24ED">
        <w:rPr>
          <w:rStyle w:val="FootnoteReference"/>
          <w:rFonts w:cs="Arial"/>
          <w:lang w:eastAsia="en-AU"/>
        </w:rPr>
        <w:footnoteReference w:id="29"/>
      </w:r>
      <w:r w:rsidR="00124B9E" w:rsidRPr="007309E7">
        <w:rPr>
          <w:rFonts w:cs="Arial"/>
        </w:rPr>
        <w:t xml:space="preserve"> </w:t>
      </w:r>
    </w:p>
    <w:p w14:paraId="79E4775C" w14:textId="13FCF574" w:rsidR="003E0FD0" w:rsidRDefault="003E0FD0" w:rsidP="00F74BB5">
      <w:pPr>
        <w:pStyle w:val="ListParagraph"/>
        <w:numPr>
          <w:ilvl w:val="0"/>
          <w:numId w:val="35"/>
        </w:numPr>
        <w:rPr>
          <w:rFonts w:cs="Arial"/>
          <w:lang w:eastAsia="en-AU"/>
        </w:rPr>
      </w:pPr>
      <w:r>
        <w:rPr>
          <w:rFonts w:cs="Arial"/>
          <w:lang w:eastAsia="en-AU"/>
        </w:rPr>
        <w:t>However, on 14 March 2025, the Queensland Government announced the commencement of the Respect at Work Act would be paused indefinitely owing to concerns about discrete clauses in the Act.</w:t>
      </w:r>
      <w:r w:rsidR="00696212">
        <w:rPr>
          <w:rStyle w:val="FootnoteReference"/>
          <w:rFonts w:cs="Arial"/>
          <w:lang w:eastAsia="en-AU"/>
        </w:rPr>
        <w:footnoteReference w:id="30"/>
      </w:r>
    </w:p>
    <w:p w14:paraId="3727659A" w14:textId="7C19C6D2" w:rsidR="003E0FD0" w:rsidRPr="003E0FD0" w:rsidRDefault="003E0FD0" w:rsidP="00F74BB5">
      <w:pPr>
        <w:pStyle w:val="ListParagraph"/>
        <w:numPr>
          <w:ilvl w:val="0"/>
          <w:numId w:val="35"/>
        </w:numPr>
        <w:rPr>
          <w:rFonts w:cs="Arial"/>
          <w:lang w:eastAsia="en-AU"/>
        </w:rPr>
      </w:pPr>
      <w:bookmarkStart w:id="15" w:name="_Hlk194682809"/>
      <w:r>
        <w:rPr>
          <w:rFonts w:cs="Arial"/>
          <w:lang w:eastAsia="en-AU"/>
        </w:rPr>
        <w:t xml:space="preserve">The </w:t>
      </w:r>
      <w:r w:rsidR="00AB2C1A">
        <w:rPr>
          <w:rFonts w:cs="Arial"/>
          <w:lang w:eastAsia="en-AU"/>
        </w:rPr>
        <w:t xml:space="preserve">Committee should recommend that </w:t>
      </w:r>
      <w:r>
        <w:rPr>
          <w:rFonts w:cs="Arial"/>
          <w:lang w:eastAsia="en-AU"/>
        </w:rPr>
        <w:t>Governmen</w:t>
      </w:r>
      <w:r w:rsidR="00AB2C1A">
        <w:rPr>
          <w:rFonts w:cs="Arial"/>
          <w:lang w:eastAsia="en-AU"/>
        </w:rPr>
        <w:t>t</w:t>
      </w:r>
      <w:r>
        <w:rPr>
          <w:rFonts w:cs="Arial"/>
          <w:lang w:eastAsia="en-AU"/>
        </w:rPr>
        <w:t xml:space="preserve"> commence the positive duty</w:t>
      </w:r>
      <w:r w:rsidR="005D2DFE">
        <w:rPr>
          <w:rFonts w:cs="Arial"/>
          <w:lang w:eastAsia="en-AU"/>
        </w:rPr>
        <w:t xml:space="preserve"> provisions in the Respect at Work Act</w:t>
      </w:r>
      <w:r>
        <w:rPr>
          <w:rFonts w:cs="Arial"/>
          <w:lang w:eastAsia="en-AU"/>
        </w:rPr>
        <w:t xml:space="preserve"> to </w:t>
      </w:r>
      <w:r w:rsidR="00FC21A3">
        <w:rPr>
          <w:rFonts w:cs="Arial"/>
          <w:lang w:eastAsia="en-AU"/>
        </w:rPr>
        <w:t xml:space="preserve">better prevent </w:t>
      </w:r>
      <w:r>
        <w:rPr>
          <w:rFonts w:cs="Arial"/>
          <w:lang w:eastAsia="en-AU"/>
        </w:rPr>
        <w:t xml:space="preserve">ageism </w:t>
      </w:r>
      <w:r w:rsidR="00963C5D">
        <w:rPr>
          <w:rFonts w:cs="Arial"/>
          <w:lang w:eastAsia="en-AU"/>
        </w:rPr>
        <w:t xml:space="preserve">and </w:t>
      </w:r>
      <w:r w:rsidR="00C15194">
        <w:rPr>
          <w:rFonts w:cs="Arial"/>
          <w:lang w:eastAsia="en-AU"/>
        </w:rPr>
        <w:t>address a key driver of the</w:t>
      </w:r>
      <w:r>
        <w:rPr>
          <w:rFonts w:cs="Arial"/>
          <w:lang w:eastAsia="en-AU"/>
        </w:rPr>
        <w:t xml:space="preserve"> abuse of </w:t>
      </w:r>
      <w:r w:rsidR="00C15194">
        <w:rPr>
          <w:rFonts w:cs="Arial"/>
          <w:lang w:eastAsia="en-AU"/>
        </w:rPr>
        <w:t>o</w:t>
      </w:r>
      <w:r>
        <w:rPr>
          <w:rFonts w:cs="Arial"/>
          <w:lang w:eastAsia="en-AU"/>
        </w:rPr>
        <w:t xml:space="preserve">lder </w:t>
      </w:r>
      <w:r w:rsidR="00963C5D">
        <w:rPr>
          <w:rFonts w:cs="Arial"/>
          <w:lang w:eastAsia="en-AU"/>
        </w:rPr>
        <w:t xml:space="preserve">people in </w:t>
      </w:r>
      <w:r>
        <w:rPr>
          <w:rFonts w:cs="Arial"/>
          <w:lang w:eastAsia="en-AU"/>
        </w:rPr>
        <w:t>Queensland</w:t>
      </w:r>
      <w:r w:rsidR="00963C5D">
        <w:rPr>
          <w:rFonts w:cs="Arial"/>
          <w:lang w:eastAsia="en-AU"/>
        </w:rPr>
        <w:t>.</w:t>
      </w:r>
      <w:r w:rsidR="00FC21A3">
        <w:rPr>
          <w:rFonts w:cs="Arial"/>
          <w:lang w:eastAsia="en-AU"/>
        </w:rPr>
        <w:t xml:space="preserve"> (</w:t>
      </w:r>
      <w:r w:rsidR="00FC21A3" w:rsidRPr="00FC21A3">
        <w:rPr>
          <w:rFonts w:cs="Arial"/>
          <w:b/>
          <w:bCs/>
          <w:lang w:eastAsia="en-AU"/>
        </w:rPr>
        <w:t>R</w:t>
      </w:r>
      <w:r w:rsidR="00C15194">
        <w:rPr>
          <w:rFonts w:cs="Arial"/>
          <w:b/>
          <w:bCs/>
          <w:lang w:eastAsia="en-AU"/>
        </w:rPr>
        <w:t>ECOMMENDATION</w:t>
      </w:r>
      <w:r w:rsidR="00FC21A3" w:rsidRPr="00FC21A3">
        <w:rPr>
          <w:rFonts w:cs="Arial"/>
          <w:b/>
          <w:bCs/>
          <w:lang w:eastAsia="en-AU"/>
        </w:rPr>
        <w:t xml:space="preserve"> </w:t>
      </w:r>
      <w:r w:rsidR="00993A28">
        <w:rPr>
          <w:rFonts w:cs="Arial"/>
          <w:b/>
          <w:bCs/>
          <w:lang w:eastAsia="en-AU"/>
        </w:rPr>
        <w:t>3</w:t>
      </w:r>
      <w:r w:rsidR="00FC21A3">
        <w:rPr>
          <w:rFonts w:cs="Arial"/>
          <w:lang w:eastAsia="en-AU"/>
        </w:rPr>
        <w:t>)</w:t>
      </w:r>
    </w:p>
    <w:p w14:paraId="1101CD05" w14:textId="44288807" w:rsidR="002051EB" w:rsidRPr="00400A55" w:rsidRDefault="00DA4E63" w:rsidP="002051EB">
      <w:pPr>
        <w:pStyle w:val="Heading4"/>
      </w:pPr>
      <w:bookmarkStart w:id="16" w:name="_Toc194913971"/>
      <w:bookmarkEnd w:id="15"/>
      <w:r w:rsidRPr="00DA4E63">
        <w:t>Enhancing the effectiveness of civil and criminal legal</w:t>
      </w:r>
      <w:r w:rsidR="006A5D15">
        <w:t xml:space="preserve"> protections</w:t>
      </w:r>
      <w:r w:rsidRPr="00DA4E63">
        <w:t xml:space="preserve"> </w:t>
      </w:r>
      <w:r w:rsidR="002051EB">
        <w:t>– improving protections against vilification</w:t>
      </w:r>
      <w:bookmarkEnd w:id="16"/>
      <w:r w:rsidR="002051EB">
        <w:t xml:space="preserve"> </w:t>
      </w:r>
    </w:p>
    <w:p w14:paraId="05E0446B" w14:textId="2F1FF2EB" w:rsidR="00637A50" w:rsidRPr="00064A66" w:rsidRDefault="00637A50" w:rsidP="00064A66">
      <w:pPr>
        <w:pStyle w:val="ListParagraph"/>
        <w:numPr>
          <w:ilvl w:val="0"/>
          <w:numId w:val="35"/>
        </w:numPr>
        <w:rPr>
          <w:rFonts w:cs="Arial"/>
          <w:lang w:eastAsia="en-AU"/>
        </w:rPr>
      </w:pPr>
      <w:r w:rsidRPr="007309E7">
        <w:rPr>
          <w:rFonts w:cs="Arial"/>
          <w:lang w:eastAsia="en-AU"/>
        </w:rPr>
        <w:t>Civil vilification occurs where a person commits a public act that incites hatred towards, severe ridicule of, or serious contempt for a person or group because of a protected attribute.</w:t>
      </w:r>
      <w:r w:rsidR="00696212">
        <w:rPr>
          <w:rStyle w:val="FootnoteReference"/>
          <w:rFonts w:cs="Arial"/>
          <w:lang w:eastAsia="en-AU"/>
        </w:rPr>
        <w:footnoteReference w:id="31"/>
      </w:r>
      <w:r w:rsidRPr="007309E7">
        <w:rPr>
          <w:rFonts w:cs="Arial"/>
          <w:lang w:eastAsia="en-AU"/>
        </w:rPr>
        <w:t xml:space="preserve"> </w:t>
      </w:r>
      <w:r w:rsidR="00064A66" w:rsidRPr="007309E7">
        <w:rPr>
          <w:rFonts w:cs="Arial"/>
          <w:lang w:eastAsia="en-AU"/>
        </w:rPr>
        <w:t>Criminal vilification occurs where that public act involves a threat of harm to a person or their property, or inciting others to threaten physical harm to a person or their property.</w:t>
      </w:r>
      <w:r w:rsidR="00064A66" w:rsidRPr="007309E7">
        <w:rPr>
          <w:rStyle w:val="FootnoteReference"/>
          <w:rFonts w:cs="Arial"/>
          <w:lang w:eastAsia="en-AU"/>
        </w:rPr>
        <w:footnoteReference w:id="32"/>
      </w:r>
    </w:p>
    <w:p w14:paraId="4ADB21FF" w14:textId="7EA22C72" w:rsidR="00637A50" w:rsidRDefault="00637A50" w:rsidP="00F74BB5">
      <w:pPr>
        <w:pStyle w:val="ListParagraph"/>
        <w:numPr>
          <w:ilvl w:val="0"/>
          <w:numId w:val="35"/>
        </w:numPr>
        <w:rPr>
          <w:rFonts w:cs="Arial"/>
          <w:lang w:eastAsia="en-AU"/>
        </w:rPr>
      </w:pPr>
      <w:r w:rsidRPr="007309E7">
        <w:rPr>
          <w:rFonts w:cs="Arial"/>
          <w:lang w:eastAsia="en-AU"/>
        </w:rPr>
        <w:t>Currently, civil</w:t>
      </w:r>
      <w:r w:rsidR="00064A66">
        <w:rPr>
          <w:rFonts w:cs="Arial"/>
          <w:lang w:eastAsia="en-AU"/>
        </w:rPr>
        <w:t xml:space="preserve"> and criminal</w:t>
      </w:r>
      <w:r w:rsidRPr="007309E7">
        <w:rPr>
          <w:rFonts w:cs="Arial"/>
          <w:lang w:eastAsia="en-AU"/>
        </w:rPr>
        <w:t xml:space="preserve"> vilification </w:t>
      </w:r>
      <w:r w:rsidR="0055471C">
        <w:rPr>
          <w:rFonts w:cs="Arial"/>
          <w:lang w:eastAsia="en-AU"/>
        </w:rPr>
        <w:t>are</w:t>
      </w:r>
      <w:r w:rsidR="0055471C" w:rsidRPr="007309E7">
        <w:rPr>
          <w:rFonts w:cs="Arial"/>
          <w:lang w:eastAsia="en-AU"/>
        </w:rPr>
        <w:t xml:space="preserve"> </w:t>
      </w:r>
      <w:r w:rsidRPr="007309E7">
        <w:rPr>
          <w:rFonts w:cs="Arial"/>
          <w:lang w:eastAsia="en-AU"/>
        </w:rPr>
        <w:t>prohibited on the bas</w:t>
      </w:r>
      <w:r w:rsidR="006E398C">
        <w:rPr>
          <w:rFonts w:cs="Arial"/>
          <w:lang w:eastAsia="en-AU"/>
        </w:rPr>
        <w:t>i</w:t>
      </w:r>
      <w:r w:rsidRPr="007309E7">
        <w:rPr>
          <w:rFonts w:cs="Arial"/>
          <w:lang w:eastAsia="en-AU"/>
        </w:rPr>
        <w:t>s of race, religion, sexuality, and gender identity</w:t>
      </w:r>
      <w:r w:rsidR="00064A66">
        <w:rPr>
          <w:rFonts w:cs="Arial"/>
          <w:lang w:eastAsia="en-AU"/>
        </w:rPr>
        <w:t xml:space="preserve">. Civil vilification is also prohibited on the basis of </w:t>
      </w:r>
      <w:r w:rsidR="00AB2C1A">
        <w:rPr>
          <w:rFonts w:cs="Arial"/>
          <w:lang w:eastAsia="en-AU"/>
        </w:rPr>
        <w:t>sex characteristics.</w:t>
      </w:r>
      <w:r w:rsidR="00F97F4C">
        <w:rPr>
          <w:rStyle w:val="FootnoteReference"/>
          <w:rFonts w:cs="Arial"/>
          <w:lang w:eastAsia="en-AU"/>
        </w:rPr>
        <w:footnoteReference w:id="33"/>
      </w:r>
      <w:r w:rsidRPr="007309E7">
        <w:rPr>
          <w:rFonts w:cs="Arial"/>
          <w:lang w:eastAsia="en-AU"/>
        </w:rPr>
        <w:t xml:space="preserve"> </w:t>
      </w:r>
      <w:r w:rsidR="00A75225">
        <w:rPr>
          <w:rFonts w:cs="Arial"/>
          <w:lang w:eastAsia="en-AU"/>
        </w:rPr>
        <w:t>V</w:t>
      </w:r>
      <w:r w:rsidRPr="007309E7">
        <w:rPr>
          <w:rFonts w:cs="Arial"/>
          <w:lang w:eastAsia="en-AU"/>
        </w:rPr>
        <w:t>ilification</w:t>
      </w:r>
      <w:r w:rsidR="00A75225">
        <w:rPr>
          <w:rFonts w:cs="Arial"/>
          <w:lang w:eastAsia="en-AU"/>
        </w:rPr>
        <w:t xml:space="preserve"> </w:t>
      </w:r>
      <w:r w:rsidRPr="007309E7">
        <w:rPr>
          <w:rFonts w:cs="Arial"/>
          <w:lang w:eastAsia="en-AU"/>
        </w:rPr>
        <w:t xml:space="preserve">on the basis of age is not prohibited. </w:t>
      </w:r>
    </w:p>
    <w:p w14:paraId="2809B0CA" w14:textId="561EAEA0" w:rsidR="00064A66" w:rsidRPr="00064A66" w:rsidRDefault="00064A66" w:rsidP="00064A66">
      <w:pPr>
        <w:pStyle w:val="ListParagraph"/>
        <w:numPr>
          <w:ilvl w:val="0"/>
          <w:numId w:val="35"/>
        </w:numPr>
        <w:rPr>
          <w:rFonts w:cs="Arial"/>
          <w:lang w:eastAsia="en-AU"/>
        </w:rPr>
      </w:pPr>
      <w:r w:rsidRPr="007309E7">
        <w:rPr>
          <w:rFonts w:cs="Arial"/>
          <w:lang w:eastAsia="en-AU"/>
        </w:rPr>
        <w:t xml:space="preserve">In </w:t>
      </w:r>
      <w:r>
        <w:rPr>
          <w:rFonts w:cs="Arial"/>
          <w:lang w:eastAsia="en-AU"/>
        </w:rPr>
        <w:t xml:space="preserve">June </w:t>
      </w:r>
      <w:r w:rsidRPr="007309E7">
        <w:rPr>
          <w:rFonts w:cs="Arial"/>
          <w:lang w:eastAsia="en-AU"/>
        </w:rPr>
        <w:t>202</w:t>
      </w:r>
      <w:r>
        <w:rPr>
          <w:rFonts w:cs="Arial"/>
          <w:lang w:eastAsia="en-AU"/>
        </w:rPr>
        <w:t>3,</w:t>
      </w:r>
      <w:r w:rsidRPr="007309E7">
        <w:rPr>
          <w:rFonts w:cs="Arial"/>
          <w:lang w:eastAsia="en-AU"/>
        </w:rPr>
        <w:t xml:space="preserve"> the then Legal Affairs and Safety Committee, recommended that </w:t>
      </w:r>
      <w:r w:rsidR="00C10000">
        <w:rPr>
          <w:rFonts w:cs="Arial"/>
          <w:lang w:eastAsia="en-AU"/>
        </w:rPr>
        <w:t>legislation</w:t>
      </w:r>
      <w:r w:rsidR="00C10000" w:rsidRPr="007309E7">
        <w:rPr>
          <w:rFonts w:cs="Arial"/>
          <w:lang w:eastAsia="en-AU"/>
        </w:rPr>
        <w:t xml:space="preserve"> </w:t>
      </w:r>
      <w:r w:rsidRPr="007309E7">
        <w:rPr>
          <w:rFonts w:cs="Arial"/>
          <w:lang w:eastAsia="en-AU"/>
        </w:rPr>
        <w:t>prohibit civil vilification on the basis of age.</w:t>
      </w:r>
      <w:r>
        <w:rPr>
          <w:rStyle w:val="FootnoteReference"/>
          <w:rFonts w:cs="Arial"/>
          <w:lang w:eastAsia="en-AU"/>
        </w:rPr>
        <w:footnoteReference w:id="34"/>
      </w:r>
    </w:p>
    <w:p w14:paraId="42A958F6" w14:textId="0B975E9B" w:rsidR="007A382D" w:rsidRDefault="007A382D" w:rsidP="007A382D">
      <w:pPr>
        <w:pStyle w:val="ListParagraph"/>
        <w:numPr>
          <w:ilvl w:val="0"/>
          <w:numId w:val="35"/>
        </w:numPr>
        <w:rPr>
          <w:rFonts w:cs="Arial"/>
          <w:lang w:eastAsia="en-AU"/>
        </w:rPr>
      </w:pPr>
      <w:r w:rsidRPr="007309E7">
        <w:rPr>
          <w:rFonts w:cs="Arial"/>
          <w:lang w:eastAsia="en-AU"/>
        </w:rPr>
        <w:t>The Respect at Work Act introduced amendments to prohibit civil and criminal vilification on the basis of age.</w:t>
      </w:r>
      <w:r>
        <w:rPr>
          <w:rStyle w:val="FootnoteReference"/>
          <w:rFonts w:cs="Arial"/>
          <w:lang w:eastAsia="en-AU"/>
        </w:rPr>
        <w:footnoteReference w:id="35"/>
      </w:r>
      <w:r w:rsidRPr="007309E7">
        <w:rPr>
          <w:rFonts w:cs="Arial"/>
          <w:lang w:eastAsia="en-AU"/>
        </w:rPr>
        <w:t xml:space="preserve"> However, as noted above, the commencement of these amendments has been indefinitely paused.</w:t>
      </w:r>
      <w:r w:rsidR="00E45D5F">
        <w:rPr>
          <w:rStyle w:val="FootnoteReference"/>
          <w:rFonts w:cs="Arial"/>
          <w:lang w:eastAsia="en-AU"/>
        </w:rPr>
        <w:footnoteReference w:id="36"/>
      </w:r>
    </w:p>
    <w:p w14:paraId="3F597B70" w14:textId="171A76A6" w:rsidR="00977CE6" w:rsidRPr="00962ACA" w:rsidRDefault="00962ACA" w:rsidP="00962ACA">
      <w:pPr>
        <w:pStyle w:val="ListParagraph"/>
        <w:numPr>
          <w:ilvl w:val="0"/>
          <w:numId w:val="35"/>
        </w:numPr>
        <w:rPr>
          <w:rFonts w:cs="Arial"/>
          <w:lang w:eastAsia="en-AU"/>
        </w:rPr>
      </w:pPr>
      <w:r w:rsidRPr="00962ACA">
        <w:rPr>
          <w:rFonts w:cs="Arial"/>
          <w:lang w:eastAsia="en-AU"/>
        </w:rPr>
        <w:t xml:space="preserve">Failing to prohibit </w:t>
      </w:r>
      <w:r w:rsidR="001B783B">
        <w:rPr>
          <w:rFonts w:cs="Arial"/>
          <w:lang w:eastAsia="en-AU"/>
        </w:rPr>
        <w:t xml:space="preserve">civil and criminal </w:t>
      </w:r>
      <w:r w:rsidRPr="00962ACA">
        <w:rPr>
          <w:rFonts w:cs="Arial"/>
          <w:lang w:eastAsia="en-AU"/>
        </w:rPr>
        <w:t>vilification</w:t>
      </w:r>
      <w:r w:rsidR="001B783B">
        <w:rPr>
          <w:rFonts w:cs="Arial"/>
          <w:lang w:eastAsia="en-AU"/>
        </w:rPr>
        <w:t xml:space="preserve"> on the basis of age</w:t>
      </w:r>
      <w:r w:rsidRPr="00962ACA">
        <w:rPr>
          <w:rFonts w:cs="Arial"/>
          <w:lang w:eastAsia="en-AU"/>
        </w:rPr>
        <w:t xml:space="preserve"> could lead to older </w:t>
      </w:r>
      <w:r w:rsidR="006E398C">
        <w:rPr>
          <w:rFonts w:cs="Arial"/>
          <w:lang w:eastAsia="en-AU"/>
        </w:rPr>
        <w:t>people</w:t>
      </w:r>
      <w:r w:rsidR="006E398C" w:rsidRPr="00962ACA">
        <w:rPr>
          <w:rFonts w:cs="Arial"/>
          <w:lang w:eastAsia="en-AU"/>
        </w:rPr>
        <w:t xml:space="preserve"> </w:t>
      </w:r>
      <w:r w:rsidRPr="00962ACA">
        <w:rPr>
          <w:rFonts w:cs="Arial"/>
          <w:lang w:eastAsia="en-AU"/>
        </w:rPr>
        <w:t xml:space="preserve">withdrawing from </w:t>
      </w:r>
      <w:r w:rsidR="006E398C">
        <w:rPr>
          <w:rFonts w:cs="Arial"/>
          <w:lang w:eastAsia="en-AU"/>
        </w:rPr>
        <w:t xml:space="preserve">the </w:t>
      </w:r>
      <w:r w:rsidRPr="00962ACA">
        <w:rPr>
          <w:rFonts w:cs="Arial"/>
          <w:lang w:eastAsia="en-AU"/>
        </w:rPr>
        <w:t xml:space="preserve">community and becoming isolated. </w:t>
      </w:r>
      <w:r w:rsidR="00C06F9C">
        <w:rPr>
          <w:rFonts w:cs="Arial"/>
          <w:lang w:eastAsia="en-AU"/>
        </w:rPr>
        <w:t>Failing to prohibit vilification could</w:t>
      </w:r>
      <w:r w:rsidRPr="00962ACA">
        <w:rPr>
          <w:rFonts w:cs="Arial"/>
          <w:lang w:eastAsia="en-AU"/>
        </w:rPr>
        <w:t xml:space="preserve"> </w:t>
      </w:r>
      <w:r>
        <w:rPr>
          <w:rFonts w:cs="Arial"/>
          <w:lang w:eastAsia="en-AU"/>
        </w:rPr>
        <w:t xml:space="preserve">also </w:t>
      </w:r>
      <w:r w:rsidRPr="00962ACA">
        <w:rPr>
          <w:rFonts w:cs="Arial"/>
          <w:lang w:eastAsia="en-AU"/>
        </w:rPr>
        <w:t>embolden community members’ ageist belief</w:t>
      </w:r>
      <w:r w:rsidR="00C06F9C">
        <w:rPr>
          <w:rFonts w:cs="Arial"/>
          <w:lang w:eastAsia="en-AU"/>
        </w:rPr>
        <w:t xml:space="preserve">s </w:t>
      </w:r>
      <w:r w:rsidR="006E398C">
        <w:rPr>
          <w:rFonts w:cs="Arial"/>
          <w:lang w:eastAsia="en-AU"/>
        </w:rPr>
        <w:t xml:space="preserve">and </w:t>
      </w:r>
      <w:r w:rsidRPr="00962ACA">
        <w:rPr>
          <w:rFonts w:cs="Arial"/>
          <w:lang w:eastAsia="en-AU"/>
        </w:rPr>
        <w:t>creat</w:t>
      </w:r>
      <w:r w:rsidR="006E398C">
        <w:rPr>
          <w:rFonts w:cs="Arial"/>
          <w:lang w:eastAsia="en-AU"/>
        </w:rPr>
        <w:t>e</w:t>
      </w:r>
      <w:r w:rsidRPr="00962ACA">
        <w:rPr>
          <w:rFonts w:cs="Arial"/>
          <w:lang w:eastAsia="en-AU"/>
        </w:rPr>
        <w:t xml:space="preserve"> circumstances in which the </w:t>
      </w:r>
      <w:r w:rsidR="00637A50" w:rsidRPr="00962ACA">
        <w:rPr>
          <w:rFonts w:cs="Arial"/>
          <w:lang w:eastAsia="en-AU"/>
        </w:rPr>
        <w:t>abuse of older persons</w:t>
      </w:r>
      <w:r w:rsidRPr="00962ACA">
        <w:rPr>
          <w:rFonts w:cs="Arial"/>
          <w:lang w:eastAsia="en-AU"/>
        </w:rPr>
        <w:t xml:space="preserve"> is more common and tolerated. </w:t>
      </w:r>
    </w:p>
    <w:p w14:paraId="248F80DC" w14:textId="77280E4D" w:rsidR="00AB2C1A" w:rsidRPr="007309E7" w:rsidRDefault="00AB2C1A" w:rsidP="00F74BB5">
      <w:pPr>
        <w:pStyle w:val="ListParagraph"/>
        <w:numPr>
          <w:ilvl w:val="0"/>
          <w:numId w:val="35"/>
        </w:numPr>
        <w:rPr>
          <w:rFonts w:cs="Arial"/>
          <w:lang w:eastAsia="en-AU"/>
        </w:rPr>
      </w:pPr>
      <w:bookmarkStart w:id="17" w:name="_Hlk194684388"/>
      <w:r>
        <w:rPr>
          <w:rFonts w:cs="Arial"/>
          <w:lang w:eastAsia="en-AU"/>
        </w:rPr>
        <w:lastRenderedPageBreak/>
        <w:t xml:space="preserve">The Committee should recommend that </w:t>
      </w:r>
      <w:r w:rsidR="001B783B">
        <w:rPr>
          <w:rFonts w:cs="Arial"/>
          <w:lang w:eastAsia="en-AU"/>
        </w:rPr>
        <w:t xml:space="preserve">the Queensland </w:t>
      </w:r>
      <w:r>
        <w:rPr>
          <w:rFonts w:cs="Arial"/>
          <w:lang w:eastAsia="en-AU"/>
        </w:rPr>
        <w:t xml:space="preserve">Government commence the </w:t>
      </w:r>
      <w:r w:rsidR="00146BE8">
        <w:rPr>
          <w:rFonts w:cs="Arial"/>
          <w:lang w:eastAsia="en-AU"/>
        </w:rPr>
        <w:t xml:space="preserve">amendments relating to </w:t>
      </w:r>
      <w:r>
        <w:rPr>
          <w:rFonts w:cs="Arial"/>
          <w:lang w:eastAsia="en-AU"/>
        </w:rPr>
        <w:t>vilificatio</w:t>
      </w:r>
      <w:r w:rsidR="00146BE8">
        <w:rPr>
          <w:rFonts w:cs="Arial"/>
          <w:lang w:eastAsia="en-AU"/>
        </w:rPr>
        <w:t>n</w:t>
      </w:r>
      <w:r>
        <w:rPr>
          <w:rFonts w:cs="Arial"/>
          <w:lang w:eastAsia="en-AU"/>
        </w:rPr>
        <w:t xml:space="preserve"> </w:t>
      </w:r>
      <w:r w:rsidR="00146BE8">
        <w:rPr>
          <w:rFonts w:cs="Arial"/>
          <w:lang w:eastAsia="en-AU"/>
        </w:rPr>
        <w:t>in</w:t>
      </w:r>
      <w:r>
        <w:rPr>
          <w:rFonts w:cs="Arial"/>
          <w:lang w:eastAsia="en-AU"/>
        </w:rPr>
        <w:t xml:space="preserve"> the Respect at Work Act to prohibit </w:t>
      </w:r>
      <w:r w:rsidR="00146BE8">
        <w:rPr>
          <w:rFonts w:cs="Arial"/>
          <w:lang w:eastAsia="en-AU"/>
        </w:rPr>
        <w:t xml:space="preserve">civil and criminal </w:t>
      </w:r>
      <w:r>
        <w:rPr>
          <w:rFonts w:cs="Arial"/>
          <w:lang w:eastAsia="en-AU"/>
        </w:rPr>
        <w:t>vilification on the basis of age</w:t>
      </w:r>
      <w:r w:rsidR="006E398C">
        <w:rPr>
          <w:rFonts w:cs="Arial"/>
          <w:lang w:eastAsia="en-AU"/>
        </w:rPr>
        <w:t>.</w:t>
      </w:r>
      <w:r>
        <w:rPr>
          <w:rFonts w:cs="Arial"/>
          <w:lang w:eastAsia="en-AU"/>
        </w:rPr>
        <w:t xml:space="preserve"> (</w:t>
      </w:r>
      <w:r w:rsidRPr="00AB2C1A">
        <w:rPr>
          <w:rFonts w:cs="Arial"/>
          <w:b/>
          <w:bCs/>
          <w:lang w:eastAsia="en-AU"/>
        </w:rPr>
        <w:t>R</w:t>
      </w:r>
      <w:r w:rsidR="00D558CF">
        <w:rPr>
          <w:rFonts w:cs="Arial"/>
          <w:b/>
          <w:bCs/>
          <w:lang w:eastAsia="en-AU"/>
        </w:rPr>
        <w:t>ECOMMENDATION</w:t>
      </w:r>
      <w:r w:rsidRPr="00AB2C1A">
        <w:rPr>
          <w:rFonts w:cs="Arial"/>
          <w:b/>
          <w:bCs/>
          <w:lang w:eastAsia="en-AU"/>
        </w:rPr>
        <w:t xml:space="preserve"> </w:t>
      </w:r>
      <w:r w:rsidR="003B1ECB">
        <w:rPr>
          <w:rFonts w:cs="Arial"/>
          <w:b/>
          <w:bCs/>
          <w:lang w:eastAsia="en-AU"/>
        </w:rPr>
        <w:t>4</w:t>
      </w:r>
      <w:r>
        <w:rPr>
          <w:rFonts w:cs="Arial"/>
          <w:lang w:eastAsia="en-AU"/>
        </w:rPr>
        <w:t>)</w:t>
      </w:r>
    </w:p>
    <w:p w14:paraId="64295609" w14:textId="59AD9105" w:rsidR="00EF7430" w:rsidRPr="00EF7430" w:rsidRDefault="009D03B5" w:rsidP="009D03B5">
      <w:pPr>
        <w:pStyle w:val="Heading4"/>
      </w:pPr>
      <w:bookmarkStart w:id="18" w:name="_Toc194913972"/>
      <w:bookmarkEnd w:id="17"/>
      <w:r>
        <w:t>Enhancing the effectiveness of c</w:t>
      </w:r>
      <w:r w:rsidR="00707429">
        <w:t xml:space="preserve">ivil and criminal </w:t>
      </w:r>
      <w:r w:rsidR="006A5D15">
        <w:t xml:space="preserve">legal </w:t>
      </w:r>
      <w:r w:rsidR="00707429">
        <w:t xml:space="preserve">protections - </w:t>
      </w:r>
      <w:r w:rsidR="00EE7E18">
        <w:t>i</w:t>
      </w:r>
      <w:r w:rsidR="002051EB">
        <w:t xml:space="preserve">mproving the regulation of </w:t>
      </w:r>
      <w:r w:rsidR="00EF7430">
        <w:t>restrictive practices</w:t>
      </w:r>
      <w:bookmarkEnd w:id="18"/>
      <w:r w:rsidR="00EF7430">
        <w:t xml:space="preserve">  </w:t>
      </w:r>
    </w:p>
    <w:p w14:paraId="26C73F98" w14:textId="3C7010BB" w:rsidR="002722F3" w:rsidRPr="00D059DD" w:rsidRDefault="002722F3" w:rsidP="002722F3">
      <w:pPr>
        <w:pStyle w:val="ListParagraph"/>
        <w:numPr>
          <w:ilvl w:val="0"/>
          <w:numId w:val="35"/>
        </w:numPr>
        <w:rPr>
          <w:rFonts w:cs="Arial"/>
          <w:lang w:eastAsia="en-AU"/>
        </w:rPr>
      </w:pPr>
      <w:r>
        <w:rPr>
          <w:rFonts w:cs="Arial"/>
          <w:lang w:eastAsia="en-AU"/>
        </w:rPr>
        <w:t xml:space="preserve">The regulation of the use of restrictive practices in Queensland varies depending on the sector in which the practice is deployed. </w:t>
      </w:r>
      <w:r w:rsidRPr="00D059DD">
        <w:rPr>
          <w:rFonts w:cs="Arial"/>
          <w:lang w:eastAsia="en-AU"/>
        </w:rPr>
        <w:t>This sector</w:t>
      </w:r>
      <w:r w:rsidR="006E398C">
        <w:rPr>
          <w:rFonts w:cs="Arial"/>
          <w:lang w:eastAsia="en-AU"/>
        </w:rPr>
        <w:t>-</w:t>
      </w:r>
      <w:r w:rsidRPr="00D059DD">
        <w:rPr>
          <w:rFonts w:cs="Arial"/>
          <w:lang w:eastAsia="en-AU"/>
        </w:rPr>
        <w:t xml:space="preserve">specific and inconsistent approach to regulation creates a range of problems. For example, the </w:t>
      </w:r>
      <w:r>
        <w:rPr>
          <w:rFonts w:cs="Arial"/>
          <w:lang w:eastAsia="en-AU"/>
        </w:rPr>
        <w:t xml:space="preserve">Queensland </w:t>
      </w:r>
      <w:r w:rsidRPr="00D059DD">
        <w:rPr>
          <w:rFonts w:cs="Arial"/>
          <w:lang w:eastAsia="en-AU"/>
        </w:rPr>
        <w:t>Public Advocate has identified that the sector</w:t>
      </w:r>
      <w:r w:rsidR="006344BF">
        <w:rPr>
          <w:rFonts w:cs="Arial"/>
          <w:lang w:eastAsia="en-AU"/>
        </w:rPr>
        <w:t>-</w:t>
      </w:r>
      <w:r w:rsidRPr="00D059DD">
        <w:rPr>
          <w:rFonts w:cs="Arial"/>
          <w:lang w:eastAsia="en-AU"/>
        </w:rPr>
        <w:t>specific approach:</w:t>
      </w:r>
    </w:p>
    <w:p w14:paraId="44DF7F1D" w14:textId="5727E7A9" w:rsidR="002722F3" w:rsidRDefault="002722F3" w:rsidP="002722F3">
      <w:pPr>
        <w:pStyle w:val="ListParagraph"/>
        <w:numPr>
          <w:ilvl w:val="1"/>
          <w:numId w:val="47"/>
        </w:numPr>
        <w:rPr>
          <w:rFonts w:cs="Arial"/>
          <w:lang w:eastAsia="en-AU"/>
        </w:rPr>
      </w:pPr>
      <w:r>
        <w:rPr>
          <w:rFonts w:cs="Arial"/>
          <w:lang w:eastAsia="en-AU"/>
        </w:rPr>
        <w:t>makes compliance difficult</w:t>
      </w:r>
    </w:p>
    <w:p w14:paraId="4D1C4DA8" w14:textId="514ADA9A" w:rsidR="002722F3" w:rsidRDefault="002722F3" w:rsidP="002722F3">
      <w:pPr>
        <w:pStyle w:val="ListParagraph"/>
        <w:numPr>
          <w:ilvl w:val="1"/>
          <w:numId w:val="47"/>
        </w:numPr>
        <w:rPr>
          <w:rFonts w:cs="Arial"/>
          <w:lang w:eastAsia="en-AU"/>
        </w:rPr>
      </w:pPr>
      <w:r>
        <w:rPr>
          <w:rFonts w:cs="Arial"/>
          <w:lang w:eastAsia="en-AU"/>
        </w:rPr>
        <w:t xml:space="preserve">results in unauthorised usage and underreporting </w:t>
      </w:r>
    </w:p>
    <w:p w14:paraId="51DC02DE" w14:textId="77777777" w:rsidR="002722F3" w:rsidRDefault="002722F3" w:rsidP="002722F3">
      <w:pPr>
        <w:pStyle w:val="ListParagraph"/>
        <w:numPr>
          <w:ilvl w:val="1"/>
          <w:numId w:val="47"/>
        </w:numPr>
        <w:rPr>
          <w:rFonts w:cs="Arial"/>
          <w:lang w:eastAsia="en-AU"/>
        </w:rPr>
      </w:pPr>
      <w:r>
        <w:rPr>
          <w:rFonts w:cs="Arial"/>
          <w:lang w:eastAsia="en-AU"/>
        </w:rPr>
        <w:t>inhibits broad expertise-led approaches to minimising or eliminating the use of restrictive practices.</w:t>
      </w:r>
      <w:r>
        <w:rPr>
          <w:rStyle w:val="FootnoteReference"/>
          <w:rFonts w:cs="Arial"/>
          <w:lang w:eastAsia="en-AU"/>
        </w:rPr>
        <w:footnoteReference w:id="37"/>
      </w:r>
    </w:p>
    <w:p w14:paraId="0066DA84" w14:textId="14710F8E" w:rsidR="002722F3" w:rsidRPr="009451B1" w:rsidRDefault="002722F3" w:rsidP="002722F3">
      <w:pPr>
        <w:pStyle w:val="ListParagraph"/>
        <w:numPr>
          <w:ilvl w:val="0"/>
          <w:numId w:val="35"/>
        </w:numPr>
        <w:rPr>
          <w:rFonts w:cs="Arial"/>
          <w:lang w:eastAsia="en-AU"/>
        </w:rPr>
      </w:pPr>
      <w:r>
        <w:rPr>
          <w:rFonts w:cs="Arial"/>
          <w:lang w:eastAsia="en-AU"/>
        </w:rPr>
        <w:t>In particular, the regulation of restrictive practices in aged care has been described as ‘extraordinarily complex’ and ‘flawed’</w:t>
      </w:r>
      <w:r w:rsidR="005775FC">
        <w:rPr>
          <w:rFonts w:cs="Arial"/>
          <w:lang w:eastAsia="en-AU"/>
        </w:rPr>
        <w:t>,</w:t>
      </w:r>
      <w:r>
        <w:rPr>
          <w:rStyle w:val="FootnoteReference"/>
          <w:rFonts w:cs="Arial"/>
          <w:lang w:eastAsia="en-AU"/>
        </w:rPr>
        <w:footnoteReference w:id="38"/>
      </w:r>
      <w:r>
        <w:rPr>
          <w:rFonts w:cs="Arial"/>
          <w:lang w:eastAsia="en-AU"/>
        </w:rPr>
        <w:t xml:space="preserve"> </w:t>
      </w:r>
      <w:r w:rsidR="005775FC">
        <w:rPr>
          <w:rFonts w:cs="Arial"/>
          <w:lang w:eastAsia="en-AU"/>
        </w:rPr>
        <w:t xml:space="preserve">and </w:t>
      </w:r>
      <w:r w:rsidR="005775FC">
        <w:rPr>
          <w:rFonts w:cs="Arial"/>
        </w:rPr>
        <w:t>t</w:t>
      </w:r>
      <w:r w:rsidRPr="00F74BB5">
        <w:rPr>
          <w:rFonts w:cs="Arial"/>
        </w:rPr>
        <w:t>he inappropriate use of restrictive practices has been identified as a problem in aged care for several decades.</w:t>
      </w:r>
      <w:r w:rsidRPr="00F74BB5">
        <w:rPr>
          <w:vertAlign w:val="superscript"/>
        </w:rPr>
        <w:footnoteReference w:id="39"/>
      </w:r>
    </w:p>
    <w:p w14:paraId="211871A5" w14:textId="023DB251" w:rsidR="00AD4168" w:rsidRPr="00474262" w:rsidRDefault="00577462" w:rsidP="00F74BB5">
      <w:pPr>
        <w:pStyle w:val="ListParagraph"/>
        <w:numPr>
          <w:ilvl w:val="0"/>
          <w:numId w:val="35"/>
        </w:numPr>
        <w:rPr>
          <w:rFonts w:cs="Arial"/>
          <w:lang w:eastAsia="en-AU"/>
        </w:rPr>
      </w:pPr>
      <w:r>
        <w:rPr>
          <w:rFonts w:cs="Arial"/>
          <w:lang w:eastAsia="en-AU"/>
        </w:rPr>
        <w:t>A</w:t>
      </w:r>
      <w:r w:rsidR="006344BF">
        <w:rPr>
          <w:rFonts w:cs="Arial"/>
          <w:lang w:eastAsia="en-AU"/>
        </w:rPr>
        <w:t xml:space="preserve"> consistent, multi-sector </w:t>
      </w:r>
      <w:r>
        <w:rPr>
          <w:rFonts w:cs="Arial"/>
          <w:lang w:eastAsia="en-AU"/>
        </w:rPr>
        <w:t xml:space="preserve">approach to </w:t>
      </w:r>
      <w:r w:rsidR="00AD4168" w:rsidRPr="00474262">
        <w:rPr>
          <w:rFonts w:cs="Arial"/>
          <w:lang w:eastAsia="en-AU"/>
        </w:rPr>
        <w:t xml:space="preserve">regulation </w:t>
      </w:r>
      <w:r w:rsidR="00D059DD">
        <w:rPr>
          <w:rFonts w:cs="Arial"/>
          <w:lang w:eastAsia="en-AU"/>
        </w:rPr>
        <w:t xml:space="preserve">of restrictive practices </w:t>
      </w:r>
      <w:r>
        <w:rPr>
          <w:rFonts w:cs="Arial"/>
          <w:lang w:eastAsia="en-AU"/>
        </w:rPr>
        <w:t xml:space="preserve">is urgently needed </w:t>
      </w:r>
      <w:r w:rsidR="00AD4168" w:rsidRPr="00474262">
        <w:rPr>
          <w:rFonts w:cs="Arial"/>
          <w:lang w:eastAsia="en-AU"/>
        </w:rPr>
        <w:t xml:space="preserve">to </w:t>
      </w:r>
      <w:r>
        <w:rPr>
          <w:rFonts w:cs="Arial"/>
          <w:lang w:eastAsia="en-AU"/>
        </w:rPr>
        <w:t xml:space="preserve">ensure restrictive practices are not being used </w:t>
      </w:r>
      <w:r w:rsidR="00321A0A">
        <w:rPr>
          <w:rFonts w:cs="Arial"/>
          <w:lang w:eastAsia="en-AU"/>
        </w:rPr>
        <w:t>in</w:t>
      </w:r>
      <w:r>
        <w:rPr>
          <w:rFonts w:cs="Arial"/>
          <w:lang w:eastAsia="en-AU"/>
        </w:rPr>
        <w:t>appropriately</w:t>
      </w:r>
      <w:r w:rsidR="005775FC">
        <w:rPr>
          <w:rFonts w:cs="Arial"/>
          <w:lang w:eastAsia="en-AU"/>
        </w:rPr>
        <w:t>,</w:t>
      </w:r>
      <w:r>
        <w:rPr>
          <w:rFonts w:cs="Arial"/>
          <w:lang w:eastAsia="en-AU"/>
        </w:rPr>
        <w:t xml:space="preserve"> and to facilitate </w:t>
      </w:r>
      <w:r w:rsidR="00B75168">
        <w:rPr>
          <w:rFonts w:cs="Arial"/>
          <w:lang w:eastAsia="en-AU"/>
        </w:rPr>
        <w:t>compliance</w:t>
      </w:r>
      <w:r w:rsidR="00321A0A">
        <w:rPr>
          <w:rFonts w:cs="Arial"/>
          <w:lang w:eastAsia="en-AU"/>
        </w:rPr>
        <w:t xml:space="preserve"> with appropriate standards</w:t>
      </w:r>
      <w:r>
        <w:rPr>
          <w:rFonts w:cs="Arial"/>
          <w:lang w:eastAsia="en-AU"/>
        </w:rPr>
        <w:t xml:space="preserve">. </w:t>
      </w:r>
      <w:r w:rsidR="006344BF">
        <w:rPr>
          <w:rFonts w:cs="Arial"/>
          <w:lang w:eastAsia="en-AU"/>
        </w:rPr>
        <w:t>It</w:t>
      </w:r>
      <w:r w:rsidR="00B75168">
        <w:rPr>
          <w:rFonts w:cs="Arial"/>
          <w:lang w:eastAsia="en-AU"/>
        </w:rPr>
        <w:t xml:space="preserve"> would also</w:t>
      </w:r>
      <w:r>
        <w:rPr>
          <w:rFonts w:cs="Arial"/>
          <w:lang w:eastAsia="en-AU"/>
        </w:rPr>
        <w:t xml:space="preserve"> </w:t>
      </w:r>
      <w:r w:rsidRPr="00474262">
        <w:rPr>
          <w:rFonts w:cs="Arial"/>
          <w:lang w:eastAsia="en-AU"/>
        </w:rPr>
        <w:t>support older Queenslanders (and other persons</w:t>
      </w:r>
      <w:r>
        <w:rPr>
          <w:rFonts w:cs="Arial"/>
          <w:lang w:eastAsia="en-AU"/>
        </w:rPr>
        <w:t xml:space="preserve"> subject to restrictive practices</w:t>
      </w:r>
      <w:r w:rsidRPr="00474262">
        <w:rPr>
          <w:rFonts w:cs="Arial"/>
          <w:lang w:eastAsia="en-AU"/>
        </w:rPr>
        <w:t>)</w:t>
      </w:r>
      <w:r>
        <w:rPr>
          <w:rFonts w:cs="Arial"/>
          <w:lang w:eastAsia="en-AU"/>
        </w:rPr>
        <w:t xml:space="preserve"> to understand and access safeguards</w:t>
      </w:r>
      <w:r w:rsidR="00B75168">
        <w:rPr>
          <w:rFonts w:cs="Arial"/>
          <w:lang w:eastAsia="en-AU"/>
        </w:rPr>
        <w:t xml:space="preserve"> and</w:t>
      </w:r>
      <w:r w:rsidR="00474262">
        <w:rPr>
          <w:rFonts w:cs="Arial"/>
          <w:lang w:eastAsia="en-AU"/>
        </w:rPr>
        <w:t xml:space="preserve"> facilitate </w:t>
      </w:r>
      <w:r>
        <w:rPr>
          <w:rFonts w:cs="Arial"/>
          <w:lang w:eastAsia="en-AU"/>
        </w:rPr>
        <w:t xml:space="preserve">the </w:t>
      </w:r>
      <w:r w:rsidR="00474262">
        <w:rPr>
          <w:rFonts w:cs="Arial"/>
          <w:lang w:eastAsia="en-AU"/>
        </w:rPr>
        <w:t xml:space="preserve">development of cross-sector expertise </w:t>
      </w:r>
      <w:r w:rsidR="00B75168">
        <w:rPr>
          <w:rFonts w:cs="Arial"/>
          <w:lang w:eastAsia="en-AU"/>
        </w:rPr>
        <w:t>on</w:t>
      </w:r>
      <w:r w:rsidR="00474262">
        <w:rPr>
          <w:rFonts w:cs="Arial"/>
          <w:lang w:eastAsia="en-AU"/>
        </w:rPr>
        <w:t xml:space="preserve"> minimising or eliminating use of restrictive practices.</w:t>
      </w:r>
      <w:r w:rsidR="00321A0A">
        <w:rPr>
          <w:rStyle w:val="FootnoteReference"/>
          <w:rFonts w:cs="Arial"/>
          <w:lang w:eastAsia="en-AU"/>
        </w:rPr>
        <w:footnoteReference w:id="40"/>
      </w:r>
      <w:r w:rsidR="00474262">
        <w:rPr>
          <w:rFonts w:cs="Arial"/>
          <w:lang w:eastAsia="en-AU"/>
        </w:rPr>
        <w:t xml:space="preserve"> </w:t>
      </w:r>
    </w:p>
    <w:p w14:paraId="156ECC79" w14:textId="25247244" w:rsidR="00915E97" w:rsidRDefault="00AD4168" w:rsidP="00F74BB5">
      <w:pPr>
        <w:pStyle w:val="ListParagraph"/>
        <w:numPr>
          <w:ilvl w:val="0"/>
          <w:numId w:val="35"/>
        </w:numPr>
        <w:rPr>
          <w:rFonts w:cs="Arial"/>
          <w:lang w:eastAsia="en-AU"/>
        </w:rPr>
      </w:pPr>
      <w:r>
        <w:rPr>
          <w:rFonts w:cs="Arial"/>
          <w:lang w:eastAsia="en-AU"/>
        </w:rPr>
        <w:t xml:space="preserve">In 2024, the former Queensland Government introduced </w:t>
      </w:r>
      <w:r w:rsidR="00E504E0">
        <w:rPr>
          <w:rFonts w:cs="Arial"/>
          <w:lang w:eastAsia="en-AU"/>
        </w:rPr>
        <w:t xml:space="preserve">the </w:t>
      </w:r>
      <w:r w:rsidR="00E504E0" w:rsidRPr="00E504E0">
        <w:rPr>
          <w:rFonts w:cs="Arial"/>
          <w:lang w:eastAsia="en-AU"/>
        </w:rPr>
        <w:t>Disability Services (Restrictive Practices) and Other Legislation Amendments Bill 2024</w:t>
      </w:r>
      <w:r w:rsidR="00E504E0">
        <w:rPr>
          <w:rFonts w:cs="Arial"/>
          <w:lang w:eastAsia="en-AU"/>
        </w:rPr>
        <w:t xml:space="preserve"> </w:t>
      </w:r>
      <w:r w:rsidR="00AA244C">
        <w:rPr>
          <w:rFonts w:cs="Arial"/>
          <w:lang w:eastAsia="en-AU"/>
        </w:rPr>
        <w:t>(</w:t>
      </w:r>
      <w:r w:rsidR="00AA244C" w:rsidRPr="00AA244C">
        <w:rPr>
          <w:rFonts w:cs="Arial"/>
          <w:b/>
          <w:bCs/>
          <w:lang w:eastAsia="en-AU"/>
        </w:rPr>
        <w:t>Disability Services Bill</w:t>
      </w:r>
      <w:r w:rsidR="00AA244C">
        <w:rPr>
          <w:rFonts w:cs="Arial"/>
          <w:lang w:eastAsia="en-AU"/>
        </w:rPr>
        <w:t xml:space="preserve">) </w:t>
      </w:r>
      <w:r w:rsidR="00E504E0">
        <w:rPr>
          <w:rFonts w:cs="Arial"/>
          <w:lang w:eastAsia="en-AU"/>
        </w:rPr>
        <w:t xml:space="preserve">which proposed to introduce a ‘senior practitioner’ model, whereby a </w:t>
      </w:r>
      <w:r w:rsidR="00915E97">
        <w:rPr>
          <w:rFonts w:cs="Arial"/>
          <w:lang w:eastAsia="en-AU"/>
        </w:rPr>
        <w:t xml:space="preserve">senior practitioner would authorise </w:t>
      </w:r>
      <w:r w:rsidR="00EE0AE9">
        <w:rPr>
          <w:rFonts w:cs="Arial"/>
          <w:lang w:eastAsia="en-AU"/>
        </w:rPr>
        <w:t xml:space="preserve">the </w:t>
      </w:r>
      <w:r w:rsidR="00915E97">
        <w:rPr>
          <w:rFonts w:cs="Arial"/>
          <w:lang w:eastAsia="en-AU"/>
        </w:rPr>
        <w:t xml:space="preserve">use of restrictive practices for </w:t>
      </w:r>
      <w:r w:rsidR="00CE547E">
        <w:rPr>
          <w:rFonts w:cs="Arial"/>
          <w:lang w:eastAsia="en-AU"/>
        </w:rPr>
        <w:t xml:space="preserve">recipients of </w:t>
      </w:r>
      <w:r w:rsidR="00FA6B0E">
        <w:rPr>
          <w:rFonts w:cs="Arial"/>
          <w:lang w:eastAsia="en-AU"/>
        </w:rPr>
        <w:t>NDIS</w:t>
      </w:r>
      <w:r w:rsidR="00CE547E">
        <w:rPr>
          <w:rFonts w:cs="Arial"/>
          <w:lang w:eastAsia="en-AU"/>
        </w:rPr>
        <w:t xml:space="preserve"> supports or disability services</w:t>
      </w:r>
      <w:r w:rsidR="00915E97">
        <w:rPr>
          <w:rFonts w:cs="Arial"/>
          <w:lang w:eastAsia="en-AU"/>
        </w:rPr>
        <w:t xml:space="preserve">. </w:t>
      </w:r>
      <w:r w:rsidR="00CE547E">
        <w:rPr>
          <w:rFonts w:cs="Arial"/>
          <w:lang w:eastAsia="en-AU"/>
        </w:rPr>
        <w:t>The model also provid</w:t>
      </w:r>
      <w:r w:rsidR="00561C78">
        <w:rPr>
          <w:rFonts w:cs="Arial"/>
          <w:lang w:eastAsia="en-AU"/>
        </w:rPr>
        <w:t xml:space="preserve">ed for the monitoring and </w:t>
      </w:r>
      <w:r w:rsidR="00CE547E">
        <w:rPr>
          <w:rFonts w:cs="Arial"/>
          <w:lang w:eastAsia="en-AU"/>
        </w:rPr>
        <w:t xml:space="preserve">management of complaints about the use of restrictive practices. </w:t>
      </w:r>
    </w:p>
    <w:p w14:paraId="6E3E7C7A" w14:textId="33A84E9C" w:rsidR="00915E97" w:rsidRPr="00915E97" w:rsidRDefault="00EE0AE9" w:rsidP="00F74BB5">
      <w:pPr>
        <w:pStyle w:val="ListParagraph"/>
        <w:numPr>
          <w:ilvl w:val="0"/>
          <w:numId w:val="35"/>
        </w:numPr>
        <w:rPr>
          <w:rFonts w:cs="Arial"/>
          <w:lang w:eastAsia="en-AU"/>
        </w:rPr>
      </w:pPr>
      <w:r>
        <w:rPr>
          <w:rFonts w:cs="Arial"/>
          <w:lang w:eastAsia="en-AU"/>
        </w:rPr>
        <w:t>Noting the value of this model, t</w:t>
      </w:r>
      <w:r w:rsidR="00915E97">
        <w:rPr>
          <w:rFonts w:cs="Arial"/>
          <w:lang w:eastAsia="en-AU"/>
        </w:rPr>
        <w:t>he Commission</w:t>
      </w:r>
      <w:r w:rsidR="00561C78">
        <w:rPr>
          <w:rFonts w:cs="Arial"/>
          <w:lang w:eastAsia="en-AU"/>
        </w:rPr>
        <w:t>, along with</w:t>
      </w:r>
      <w:r w:rsidR="00915E97">
        <w:rPr>
          <w:rFonts w:cs="Arial"/>
          <w:lang w:eastAsia="en-AU"/>
        </w:rPr>
        <w:t xml:space="preserve"> a number of</w:t>
      </w:r>
      <w:r w:rsidR="00561C78">
        <w:rPr>
          <w:rFonts w:cs="Arial"/>
          <w:lang w:eastAsia="en-AU"/>
        </w:rPr>
        <w:t xml:space="preserve"> organisations </w:t>
      </w:r>
      <w:r w:rsidR="002A0FB8">
        <w:rPr>
          <w:rFonts w:cs="Arial"/>
          <w:lang w:eastAsia="en-AU"/>
        </w:rPr>
        <w:t xml:space="preserve">that </w:t>
      </w:r>
      <w:r w:rsidR="00561C78">
        <w:rPr>
          <w:rFonts w:cs="Arial"/>
          <w:lang w:eastAsia="en-AU"/>
        </w:rPr>
        <w:t xml:space="preserve">made submissions </w:t>
      </w:r>
      <w:r w:rsidR="00915E97">
        <w:rPr>
          <w:rFonts w:cs="Arial"/>
          <w:lang w:eastAsia="en-AU"/>
        </w:rPr>
        <w:t xml:space="preserve">on the Bill </w:t>
      </w:r>
      <w:r w:rsidR="00561C78">
        <w:rPr>
          <w:rFonts w:cs="Arial"/>
          <w:lang w:eastAsia="en-AU"/>
        </w:rPr>
        <w:t xml:space="preserve">during </w:t>
      </w:r>
      <w:r w:rsidR="00351EE1">
        <w:rPr>
          <w:rFonts w:cs="Arial"/>
          <w:lang w:eastAsia="en-AU"/>
        </w:rPr>
        <w:t xml:space="preserve">to the Community Support and Services </w:t>
      </w:r>
      <w:r w:rsidR="00351EE1">
        <w:rPr>
          <w:rFonts w:cs="Arial"/>
          <w:lang w:eastAsia="en-AU"/>
        </w:rPr>
        <w:lastRenderedPageBreak/>
        <w:t>Committee</w:t>
      </w:r>
      <w:r w:rsidR="002A0FB8">
        <w:rPr>
          <w:rFonts w:cs="Arial"/>
          <w:lang w:eastAsia="en-AU"/>
        </w:rPr>
        <w:t>,</w:t>
      </w:r>
      <w:r w:rsidR="00561C78">
        <w:rPr>
          <w:rFonts w:cs="Arial"/>
          <w:lang w:eastAsia="en-AU"/>
        </w:rPr>
        <w:t xml:space="preserve"> </w:t>
      </w:r>
      <w:r w:rsidR="00915E97">
        <w:rPr>
          <w:rFonts w:cs="Arial"/>
          <w:lang w:eastAsia="en-AU"/>
        </w:rPr>
        <w:t>argued that the scope of the Bill should be extended to additional sectors.</w:t>
      </w:r>
      <w:r w:rsidR="00CE547E">
        <w:rPr>
          <w:rStyle w:val="FootnoteReference"/>
          <w:rFonts w:cs="Arial"/>
          <w:lang w:eastAsia="en-AU"/>
        </w:rPr>
        <w:footnoteReference w:id="41"/>
      </w:r>
      <w:r w:rsidR="00915E97">
        <w:rPr>
          <w:rFonts w:cs="Arial"/>
          <w:lang w:eastAsia="en-AU"/>
        </w:rPr>
        <w:t xml:space="preserve"> </w:t>
      </w:r>
      <w:r w:rsidR="00321A0A">
        <w:rPr>
          <w:rFonts w:cs="Arial"/>
          <w:lang w:eastAsia="en-AU"/>
        </w:rPr>
        <w:t>T</w:t>
      </w:r>
      <w:r w:rsidR="00915E97">
        <w:rPr>
          <w:rFonts w:cs="Arial"/>
          <w:lang w:eastAsia="en-AU"/>
        </w:rPr>
        <w:t xml:space="preserve">he Bill lapsed prior to the 2024 State election. </w:t>
      </w:r>
    </w:p>
    <w:p w14:paraId="4363C4ED" w14:textId="5391C16B" w:rsidR="00990AD9" w:rsidRPr="00990AD9" w:rsidRDefault="00915E97" w:rsidP="00F74BB5">
      <w:pPr>
        <w:pStyle w:val="ListParagraph"/>
        <w:numPr>
          <w:ilvl w:val="0"/>
          <w:numId w:val="35"/>
        </w:numPr>
        <w:rPr>
          <w:rFonts w:cs="Arial"/>
          <w:lang w:eastAsia="en-AU"/>
        </w:rPr>
      </w:pPr>
      <w:r>
        <w:rPr>
          <w:rFonts w:cs="Arial"/>
          <w:lang w:eastAsia="en-AU"/>
        </w:rPr>
        <w:t>In 2025, the Queensland Public Advocate released a discussion paper advocating for a similar ‘senior practitioner’</w:t>
      </w:r>
      <w:r w:rsidR="00990AD9">
        <w:rPr>
          <w:rFonts w:cs="Arial"/>
          <w:lang w:eastAsia="en-AU"/>
        </w:rPr>
        <w:t xml:space="preserve"> model</w:t>
      </w:r>
      <w:r w:rsidR="00D3245D">
        <w:rPr>
          <w:rFonts w:cs="Arial"/>
          <w:lang w:eastAsia="en-AU"/>
        </w:rPr>
        <w:t xml:space="preserve"> whereby a senior practitioner (supported by local authorisers) would approve, guide and monitor the use of restrictive practices across aged care, disability services, health services, education</w:t>
      </w:r>
      <w:r w:rsidR="002A0FB8">
        <w:rPr>
          <w:rFonts w:cs="Arial"/>
          <w:lang w:eastAsia="en-AU"/>
        </w:rPr>
        <w:t>,</w:t>
      </w:r>
      <w:r w:rsidR="00D3245D">
        <w:rPr>
          <w:rFonts w:cs="Arial"/>
          <w:lang w:eastAsia="en-AU"/>
        </w:rPr>
        <w:t xml:space="preserve"> and out-of-home care</w:t>
      </w:r>
      <w:r w:rsidR="00990AD9">
        <w:rPr>
          <w:rFonts w:cs="Arial"/>
          <w:lang w:eastAsia="en-AU"/>
        </w:rPr>
        <w:t>.</w:t>
      </w:r>
      <w:r w:rsidR="00351EE1" w:rsidRPr="00351EE1">
        <w:rPr>
          <w:rStyle w:val="FootnoteReference"/>
          <w:rFonts w:cs="Arial"/>
          <w:lang w:eastAsia="en-AU"/>
        </w:rPr>
        <w:t xml:space="preserve"> </w:t>
      </w:r>
      <w:r w:rsidR="00351EE1">
        <w:rPr>
          <w:rStyle w:val="FootnoteReference"/>
          <w:rFonts w:cs="Arial"/>
          <w:lang w:eastAsia="en-AU"/>
        </w:rPr>
        <w:footnoteReference w:id="42"/>
      </w:r>
      <w:r w:rsidR="00990AD9">
        <w:rPr>
          <w:rFonts w:cs="Arial"/>
          <w:lang w:eastAsia="en-AU"/>
        </w:rPr>
        <w:t xml:space="preserve"> The Public Advocate’s proposal notes Victoria, Australian Capital Territory</w:t>
      </w:r>
      <w:r w:rsidR="00D3245D">
        <w:rPr>
          <w:rFonts w:cs="Arial"/>
          <w:lang w:eastAsia="en-AU"/>
        </w:rPr>
        <w:t>,</w:t>
      </w:r>
      <w:r w:rsidR="00990AD9">
        <w:rPr>
          <w:rFonts w:cs="Arial"/>
          <w:lang w:eastAsia="en-AU"/>
        </w:rPr>
        <w:t xml:space="preserve"> and Tasmania have established variations of </w:t>
      </w:r>
      <w:r w:rsidR="00B530F3">
        <w:rPr>
          <w:rFonts w:cs="Arial"/>
          <w:lang w:eastAsia="en-AU"/>
        </w:rPr>
        <w:t>a</w:t>
      </w:r>
      <w:r w:rsidR="00990AD9">
        <w:rPr>
          <w:rFonts w:cs="Arial"/>
          <w:lang w:eastAsia="en-AU"/>
        </w:rPr>
        <w:t xml:space="preserve"> senior practitioner model</w:t>
      </w:r>
      <w:r w:rsidR="00056B1A" w:rsidRPr="00990AD9">
        <w:rPr>
          <w:rFonts w:cs="Arial"/>
          <w:lang w:eastAsia="en-AU"/>
        </w:rPr>
        <w:t>.</w:t>
      </w:r>
    </w:p>
    <w:p w14:paraId="70F3EBFF" w14:textId="25DB304C" w:rsidR="00915E97" w:rsidRDefault="00915E97" w:rsidP="00F74BB5">
      <w:pPr>
        <w:pStyle w:val="ListParagraph"/>
        <w:numPr>
          <w:ilvl w:val="0"/>
          <w:numId w:val="35"/>
        </w:numPr>
        <w:rPr>
          <w:rFonts w:cs="Arial"/>
          <w:lang w:eastAsia="en-AU"/>
        </w:rPr>
      </w:pPr>
      <w:bookmarkStart w:id="19" w:name="_Hlk194685488"/>
      <w:r>
        <w:rPr>
          <w:rFonts w:cs="Arial"/>
          <w:lang w:eastAsia="en-AU"/>
        </w:rPr>
        <w:t xml:space="preserve">The Committee should recommend that </w:t>
      </w:r>
      <w:r w:rsidR="00351EE1">
        <w:rPr>
          <w:rFonts w:cs="Arial"/>
          <w:lang w:eastAsia="en-AU"/>
        </w:rPr>
        <w:t xml:space="preserve">the Queensland </w:t>
      </w:r>
      <w:r>
        <w:rPr>
          <w:rFonts w:cs="Arial"/>
          <w:lang w:eastAsia="en-AU"/>
        </w:rPr>
        <w:t>Government urgently develop a consistent</w:t>
      </w:r>
      <w:r w:rsidR="007B66BD">
        <w:rPr>
          <w:rFonts w:cs="Arial"/>
          <w:lang w:eastAsia="en-AU"/>
        </w:rPr>
        <w:t>, multi-sector</w:t>
      </w:r>
      <w:r>
        <w:rPr>
          <w:rFonts w:cs="Arial"/>
          <w:lang w:eastAsia="en-AU"/>
        </w:rPr>
        <w:t xml:space="preserve"> approach to the regulation of restrictive practices in Queensland. </w:t>
      </w:r>
      <w:r w:rsidR="00AA244C">
        <w:rPr>
          <w:rFonts w:cs="Arial"/>
          <w:lang w:eastAsia="en-AU"/>
        </w:rPr>
        <w:t xml:space="preserve">The </w:t>
      </w:r>
      <w:r w:rsidR="002A0FB8">
        <w:rPr>
          <w:rFonts w:cs="Arial"/>
          <w:lang w:eastAsia="en-AU"/>
        </w:rPr>
        <w:t>g</w:t>
      </w:r>
      <w:r w:rsidR="00AA244C">
        <w:rPr>
          <w:rFonts w:cs="Arial"/>
          <w:lang w:eastAsia="en-AU"/>
        </w:rPr>
        <w:t xml:space="preserve">overnment should consider the approach taken in the </w:t>
      </w:r>
      <w:r w:rsidR="000D0A44">
        <w:rPr>
          <w:rFonts w:cs="Arial"/>
          <w:lang w:eastAsia="en-AU"/>
        </w:rPr>
        <w:t xml:space="preserve">Disability Services Bill and recommended by the Queensland Public Advocate. </w:t>
      </w:r>
      <w:r>
        <w:rPr>
          <w:rFonts w:cs="Arial"/>
          <w:lang w:eastAsia="en-AU"/>
        </w:rPr>
        <w:t xml:space="preserve">Any regulatory approach should place </w:t>
      </w:r>
      <w:r w:rsidR="002A0FB8">
        <w:rPr>
          <w:rFonts w:cs="Arial"/>
          <w:lang w:eastAsia="en-AU"/>
        </w:rPr>
        <w:t xml:space="preserve">respect for human rights </w:t>
      </w:r>
      <w:r>
        <w:rPr>
          <w:rFonts w:cs="Arial"/>
          <w:lang w:eastAsia="en-AU"/>
        </w:rPr>
        <w:t>at its centre</w:t>
      </w:r>
      <w:r w:rsidR="002A0FB8">
        <w:rPr>
          <w:rFonts w:cs="Arial"/>
          <w:lang w:eastAsia="en-AU"/>
        </w:rPr>
        <w:t>.</w:t>
      </w:r>
      <w:r>
        <w:rPr>
          <w:rFonts w:cs="Arial"/>
          <w:lang w:eastAsia="en-AU"/>
        </w:rPr>
        <w:t xml:space="preserve"> (</w:t>
      </w:r>
      <w:r>
        <w:rPr>
          <w:rFonts w:cs="Arial"/>
          <w:b/>
          <w:bCs/>
          <w:lang w:eastAsia="en-AU"/>
        </w:rPr>
        <w:t>R</w:t>
      </w:r>
      <w:r w:rsidR="00ED5294">
        <w:rPr>
          <w:rFonts w:cs="Arial"/>
          <w:b/>
          <w:bCs/>
          <w:lang w:eastAsia="en-AU"/>
        </w:rPr>
        <w:t>ECOMMENDATION</w:t>
      </w:r>
      <w:r w:rsidRPr="00915E97">
        <w:rPr>
          <w:rFonts w:cs="Arial"/>
          <w:b/>
          <w:bCs/>
          <w:lang w:eastAsia="en-AU"/>
        </w:rPr>
        <w:t xml:space="preserve"> </w:t>
      </w:r>
      <w:r w:rsidR="003B1ECB">
        <w:rPr>
          <w:rFonts w:cs="Arial"/>
          <w:b/>
          <w:bCs/>
          <w:lang w:eastAsia="en-AU"/>
        </w:rPr>
        <w:t>5</w:t>
      </w:r>
      <w:r>
        <w:rPr>
          <w:rFonts w:cs="Arial"/>
          <w:lang w:eastAsia="en-AU"/>
        </w:rPr>
        <w:t>)</w:t>
      </w:r>
    </w:p>
    <w:bookmarkEnd w:id="19"/>
    <w:p w14:paraId="7AF7C287" w14:textId="5FEDCF29" w:rsidR="00105479" w:rsidRPr="007309E7" w:rsidRDefault="00105479" w:rsidP="00105479">
      <w:pPr>
        <w:rPr>
          <w:rFonts w:cs="Arial"/>
          <w:lang w:eastAsia="en-AU"/>
        </w:rPr>
      </w:pPr>
    </w:p>
    <w:p w14:paraId="4EC02D7B" w14:textId="77777777" w:rsidR="00C6392B" w:rsidRPr="007309E7" w:rsidRDefault="00C6392B" w:rsidP="00C6392B">
      <w:pPr>
        <w:rPr>
          <w:rFonts w:cs="Arial"/>
          <w:lang w:eastAsia="en-AU"/>
        </w:rPr>
      </w:pPr>
    </w:p>
    <w:p w14:paraId="619B36C0" w14:textId="77777777" w:rsidR="00C6392B" w:rsidRPr="007309E7" w:rsidRDefault="00C6392B" w:rsidP="00C6392B">
      <w:pPr>
        <w:rPr>
          <w:rFonts w:cs="Arial"/>
          <w:lang w:eastAsia="en-AU"/>
        </w:rPr>
      </w:pPr>
    </w:p>
    <w:p w14:paraId="2B2D14CE" w14:textId="77777777" w:rsidR="00C6392B" w:rsidRPr="007309E7" w:rsidRDefault="00C6392B" w:rsidP="00C6392B">
      <w:pPr>
        <w:rPr>
          <w:rFonts w:cs="Arial"/>
          <w:lang w:eastAsia="en-AU"/>
        </w:rPr>
      </w:pPr>
    </w:p>
    <w:p w14:paraId="27BBF529" w14:textId="77777777" w:rsidR="00C6392B" w:rsidRPr="007309E7" w:rsidRDefault="00C6392B" w:rsidP="00C6392B">
      <w:pPr>
        <w:rPr>
          <w:rFonts w:cs="Arial"/>
          <w:lang w:eastAsia="en-AU"/>
        </w:rPr>
      </w:pPr>
    </w:p>
    <w:p w14:paraId="5E9920B7" w14:textId="77777777" w:rsidR="00C6392B" w:rsidRPr="007309E7" w:rsidRDefault="00C6392B" w:rsidP="00C6392B">
      <w:pPr>
        <w:rPr>
          <w:rFonts w:cs="Arial"/>
          <w:lang w:eastAsia="en-AU"/>
        </w:rPr>
      </w:pPr>
    </w:p>
    <w:sectPr w:rsidR="00C6392B" w:rsidRPr="007309E7" w:rsidSect="00E0148A">
      <w:headerReference w:type="default" r:id="rId12"/>
      <w:footerReference w:type="default" r:id="rId13"/>
      <w:headerReference w:type="first" r:id="rId14"/>
      <w:footerReference w:type="first" r:id="rId15"/>
      <w:pgSz w:w="11906" w:h="16838"/>
      <w:pgMar w:top="1440" w:right="1440" w:bottom="1440" w:left="1440" w:header="680" w:footer="9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08A55" w14:textId="77777777" w:rsidR="002B1D25" w:rsidRDefault="002B1D25" w:rsidP="00304408">
      <w:pPr>
        <w:spacing w:after="0" w:line="240" w:lineRule="auto"/>
      </w:pPr>
      <w:r>
        <w:separator/>
      </w:r>
    </w:p>
  </w:endnote>
  <w:endnote w:type="continuationSeparator" w:id="0">
    <w:p w14:paraId="54EF0DCA" w14:textId="77777777" w:rsidR="002B1D25" w:rsidRDefault="002B1D25" w:rsidP="00304408">
      <w:pPr>
        <w:spacing w:after="0" w:line="240" w:lineRule="auto"/>
      </w:pPr>
      <w:r>
        <w:continuationSeparator/>
      </w:r>
    </w:p>
  </w:endnote>
  <w:endnote w:type="continuationNotice" w:id="1">
    <w:p w14:paraId="3F2839F1" w14:textId="77777777" w:rsidR="002B1D25" w:rsidRDefault="002B1D2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24C5A" w14:textId="18710707" w:rsidR="006C221E" w:rsidRPr="00C6392B" w:rsidRDefault="4BDF7F5C" w:rsidP="006C221E">
    <w:pPr>
      <w:pStyle w:val="Footer"/>
      <w:jc w:val="right"/>
      <w:rPr>
        <w:rFonts w:cs="Arial"/>
        <w:color w:val="404040" w:themeColor="text1" w:themeTint="BF"/>
      </w:rPr>
    </w:pPr>
    <w:r>
      <w:tab/>
    </w:r>
    <w:r>
      <w:tab/>
    </w:r>
    <w:r w:rsidRPr="00C6392B">
      <w:rPr>
        <w:rFonts w:cs="Arial"/>
        <w:color w:val="404040" w:themeColor="text1" w:themeTint="BF"/>
      </w:rPr>
      <w:fldChar w:fldCharType="begin"/>
    </w:r>
    <w:r w:rsidRPr="00C6392B">
      <w:rPr>
        <w:rFonts w:cs="Arial"/>
        <w:color w:val="404040" w:themeColor="text1" w:themeTint="BF"/>
      </w:rPr>
      <w:instrText xml:space="preserve"> PAGE   \* MERGEFORMAT </w:instrText>
    </w:r>
    <w:r w:rsidRPr="00C6392B">
      <w:rPr>
        <w:rFonts w:cs="Arial"/>
        <w:color w:val="404040" w:themeColor="text1" w:themeTint="BF"/>
      </w:rPr>
      <w:fldChar w:fldCharType="separate"/>
    </w:r>
    <w:r w:rsidR="386D2A89" w:rsidRPr="00C6392B">
      <w:rPr>
        <w:rFonts w:cs="Arial"/>
        <w:noProof/>
        <w:color w:val="404040" w:themeColor="text1" w:themeTint="BF"/>
      </w:rPr>
      <w:t>17</w:t>
    </w:r>
    <w:r w:rsidRPr="00C6392B">
      <w:rPr>
        <w:rFonts w:cs="Arial"/>
        <w:noProof/>
        <w:color w:val="404040" w:themeColor="text1" w:themeTint="BF"/>
      </w:rPr>
      <w:fldChar w:fldCharType="end"/>
    </w:r>
  </w:p>
  <w:p w14:paraId="4C62031E" w14:textId="27A486E7" w:rsidR="00BC7248" w:rsidRDefault="00BC7248" w:rsidP="00911F7B">
    <w:pPr>
      <w:pStyle w:val="Footer"/>
      <w:tabs>
        <w:tab w:val="clear" w:pos="4513"/>
        <w:tab w:val="clear" w:pos="9026"/>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7658"/>
      <w:docPartObj>
        <w:docPartGallery w:val="Page Numbers (Bottom of Page)"/>
        <w:docPartUnique/>
      </w:docPartObj>
    </w:sdtPr>
    <w:sdtEndPr>
      <w:rPr>
        <w:noProof/>
      </w:rPr>
    </w:sdtEndPr>
    <w:sdtContent>
      <w:p w14:paraId="4A372AB3" w14:textId="569DD2F6" w:rsidR="00E7328B" w:rsidRDefault="00E7328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7625C2" w14:textId="695703BC" w:rsidR="00BC7248" w:rsidRPr="00254AD1" w:rsidRDefault="00BC7248" w:rsidP="006F3890">
    <w:pPr>
      <w:pStyle w:val="Footer"/>
      <w:tabs>
        <w:tab w:val="clear" w:pos="4513"/>
        <w:tab w:val="clear" w:pos="9026"/>
      </w:tabs>
      <w:spacing w:before="0"/>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24E50" w14:textId="77777777" w:rsidR="002B1D25" w:rsidRDefault="002B1D25" w:rsidP="00304408">
      <w:pPr>
        <w:spacing w:after="0" w:line="240" w:lineRule="auto"/>
      </w:pPr>
      <w:r>
        <w:separator/>
      </w:r>
    </w:p>
  </w:footnote>
  <w:footnote w:type="continuationSeparator" w:id="0">
    <w:p w14:paraId="7ADE75FD" w14:textId="77777777" w:rsidR="002B1D25" w:rsidRDefault="002B1D25" w:rsidP="00304408">
      <w:pPr>
        <w:spacing w:after="0" w:line="240" w:lineRule="auto"/>
      </w:pPr>
      <w:r>
        <w:continuationSeparator/>
      </w:r>
    </w:p>
  </w:footnote>
  <w:footnote w:type="continuationNotice" w:id="1">
    <w:p w14:paraId="0BA1C5EC" w14:textId="77777777" w:rsidR="002B1D25" w:rsidRDefault="002B1D25">
      <w:pPr>
        <w:spacing w:before="0" w:after="0" w:line="240" w:lineRule="auto"/>
      </w:pPr>
    </w:p>
  </w:footnote>
  <w:footnote w:id="2">
    <w:p w14:paraId="1D5AFA8E" w14:textId="4C39EAF1" w:rsidR="00280DD2" w:rsidRPr="00280DD2" w:rsidRDefault="00280DD2">
      <w:pPr>
        <w:pStyle w:val="FootnoteText"/>
        <w:rPr>
          <w:lang w:val="en-GB"/>
        </w:rPr>
      </w:pPr>
      <w:r>
        <w:rPr>
          <w:rStyle w:val="FootnoteReference"/>
        </w:rPr>
        <w:footnoteRef/>
      </w:r>
      <w:r>
        <w:t xml:space="preserve"> </w:t>
      </w:r>
      <w:r w:rsidR="00081AF1">
        <w:t xml:space="preserve">See for example: </w:t>
      </w:r>
      <w:r w:rsidR="00FF4840">
        <w:t>A Gillbard</w:t>
      </w:r>
      <w:r w:rsidR="00081AF1" w:rsidRPr="006669EB">
        <w:t xml:space="preserve">, </w:t>
      </w:r>
      <w:r w:rsidR="00081AF1" w:rsidRPr="006669EB">
        <w:rPr>
          <w:i/>
          <w:iCs/>
        </w:rPr>
        <w:t>Elder Abuse Statistics in Queensland: Year in Review 20</w:t>
      </w:r>
      <w:r w:rsidR="00D42EDC">
        <w:rPr>
          <w:i/>
          <w:iCs/>
        </w:rPr>
        <w:t>23–</w:t>
      </w:r>
      <w:r w:rsidR="00081AF1" w:rsidRPr="006669EB">
        <w:rPr>
          <w:i/>
          <w:iCs/>
        </w:rPr>
        <w:t>24</w:t>
      </w:r>
      <w:r w:rsidR="00081AF1" w:rsidRPr="006669EB">
        <w:t xml:space="preserve"> (</w:t>
      </w:r>
      <w:r w:rsidR="00FF4840">
        <w:t>Elder Abuse Prevention Unit, Uniting Care</w:t>
      </w:r>
      <w:r w:rsidR="00081AF1" w:rsidRPr="006669EB">
        <w:t>, 2024)</w:t>
      </w:r>
      <w:r w:rsidR="00081AF1">
        <w:t xml:space="preserve">; </w:t>
      </w:r>
      <w:r w:rsidR="000C7FA0" w:rsidRPr="0000383B">
        <w:t xml:space="preserve">Lixia Qu et al, </w:t>
      </w:r>
      <w:r w:rsidR="000C7FA0" w:rsidRPr="0000383B">
        <w:rPr>
          <w:i/>
          <w:iCs/>
        </w:rPr>
        <w:t>National Elder Abuse Prevalence Study: Final Report</w:t>
      </w:r>
      <w:r w:rsidR="000C7FA0" w:rsidRPr="0000383B">
        <w:t xml:space="preserve"> (Research Report, Australian Institute of Family Studies, </w:t>
      </w:r>
      <w:r w:rsidR="00781B8D">
        <w:t>July</w:t>
      </w:r>
      <w:r w:rsidR="00781B8D" w:rsidRPr="0000383B">
        <w:t xml:space="preserve"> </w:t>
      </w:r>
      <w:r w:rsidR="000C7FA0" w:rsidRPr="0000383B">
        <w:t>2021)</w:t>
      </w:r>
      <w:r w:rsidR="000C7FA0">
        <w:t>.</w:t>
      </w:r>
    </w:p>
  </w:footnote>
  <w:footnote w:id="3">
    <w:p w14:paraId="49316E79" w14:textId="4040D550" w:rsidR="00081AF1" w:rsidRPr="006669EB" w:rsidRDefault="00081AF1" w:rsidP="00081AF1">
      <w:pPr>
        <w:pStyle w:val="FootnoteText"/>
        <w:rPr>
          <w:lang w:val="en-GB"/>
        </w:rPr>
      </w:pPr>
      <w:r>
        <w:rPr>
          <w:rStyle w:val="FootnoteReference"/>
        </w:rPr>
        <w:footnoteRef/>
      </w:r>
      <w:r>
        <w:t xml:space="preserve"> </w:t>
      </w:r>
      <w:r w:rsidR="00FF4840" w:rsidRPr="00FF4840">
        <w:t xml:space="preserve"> </w:t>
      </w:r>
      <w:r w:rsidR="00FF4840">
        <w:t>A Gillbard</w:t>
      </w:r>
      <w:r w:rsidR="00FF4840" w:rsidRPr="006669EB">
        <w:t xml:space="preserve">, </w:t>
      </w:r>
      <w:r w:rsidR="00FF4840" w:rsidRPr="006669EB">
        <w:rPr>
          <w:i/>
          <w:iCs/>
        </w:rPr>
        <w:t>Elder Abuse Statistics in Queensland: Year in Review 20</w:t>
      </w:r>
      <w:r w:rsidR="00FF4840">
        <w:rPr>
          <w:i/>
          <w:iCs/>
        </w:rPr>
        <w:t>23–</w:t>
      </w:r>
      <w:r w:rsidR="00FF4840" w:rsidRPr="006669EB">
        <w:rPr>
          <w:i/>
          <w:iCs/>
        </w:rPr>
        <w:t>24</w:t>
      </w:r>
      <w:r w:rsidR="00FF4840" w:rsidRPr="006669EB">
        <w:t xml:space="preserve"> (</w:t>
      </w:r>
      <w:r w:rsidR="00FF4840">
        <w:t>Elder Abuse Prevention Unit, Uniting Care</w:t>
      </w:r>
      <w:r w:rsidR="00FF4840" w:rsidRPr="006669EB">
        <w:t>, 2024)</w:t>
      </w:r>
      <w:r w:rsidR="00FF4840">
        <w:t xml:space="preserve"> 5.</w:t>
      </w:r>
    </w:p>
  </w:footnote>
  <w:footnote w:id="4">
    <w:p w14:paraId="239A7D90" w14:textId="2E5A8CEC" w:rsidR="00081AF1" w:rsidRPr="00081AF1" w:rsidRDefault="00081AF1">
      <w:pPr>
        <w:pStyle w:val="FootnoteText"/>
        <w:rPr>
          <w:lang w:val="en-GB"/>
        </w:rPr>
      </w:pPr>
      <w:r>
        <w:rPr>
          <w:rStyle w:val="FootnoteReference"/>
        </w:rPr>
        <w:footnoteRef/>
      </w:r>
      <w:r>
        <w:t xml:space="preserve"> </w:t>
      </w:r>
      <w:r w:rsidR="00FF4840">
        <w:t>A Gillbard</w:t>
      </w:r>
      <w:r w:rsidR="00FF4840" w:rsidRPr="006669EB">
        <w:t xml:space="preserve">, </w:t>
      </w:r>
      <w:r w:rsidR="00FF4840" w:rsidRPr="006669EB">
        <w:rPr>
          <w:i/>
          <w:iCs/>
        </w:rPr>
        <w:t>Elder Abuse Statistics in Queensland: Year in Review 20</w:t>
      </w:r>
      <w:r w:rsidR="00FF4840">
        <w:rPr>
          <w:i/>
          <w:iCs/>
        </w:rPr>
        <w:t>23–</w:t>
      </w:r>
      <w:r w:rsidR="00FF4840" w:rsidRPr="006669EB">
        <w:rPr>
          <w:i/>
          <w:iCs/>
        </w:rPr>
        <w:t>24</w:t>
      </w:r>
      <w:r w:rsidR="00FF4840" w:rsidRPr="006669EB">
        <w:t xml:space="preserve"> (</w:t>
      </w:r>
      <w:r w:rsidR="00FF4840">
        <w:t>Elder Abuse Prevention Unit, Uniting Care</w:t>
      </w:r>
      <w:r w:rsidR="00FF4840" w:rsidRPr="006669EB">
        <w:t>, 2024)</w:t>
      </w:r>
      <w:r w:rsidR="00FF4840">
        <w:t>.</w:t>
      </w:r>
      <w:r w:rsidR="00EA5370">
        <w:t xml:space="preserve"> 6.</w:t>
      </w:r>
    </w:p>
  </w:footnote>
  <w:footnote w:id="5">
    <w:p w14:paraId="54609D2B" w14:textId="0C99C19A" w:rsidR="0072399D" w:rsidRPr="0072399D" w:rsidRDefault="0072399D">
      <w:pPr>
        <w:pStyle w:val="FootnoteText"/>
        <w:rPr>
          <w:lang w:val="en-GB"/>
        </w:rPr>
      </w:pPr>
      <w:r>
        <w:rPr>
          <w:rStyle w:val="FootnoteReference"/>
        </w:rPr>
        <w:footnoteRef/>
      </w:r>
      <w:r>
        <w:t xml:space="preserve"> </w:t>
      </w:r>
      <w:r>
        <w:rPr>
          <w:lang w:val="en-GB"/>
        </w:rPr>
        <w:t xml:space="preserve">See for example: </w:t>
      </w:r>
      <w:r w:rsidRPr="00A67DC2">
        <w:rPr>
          <w:i/>
          <w:iCs/>
        </w:rPr>
        <w:t>Royal Commission into Aged Care Quality and Safety</w:t>
      </w:r>
      <w:r w:rsidRPr="00A67DC2">
        <w:t xml:space="preserve">, </w:t>
      </w:r>
      <w:r>
        <w:t>(</w:t>
      </w:r>
      <w:r w:rsidRPr="00A67DC2">
        <w:t>Final Repor</w:t>
      </w:r>
      <w:r>
        <w:t xml:space="preserve">t, </w:t>
      </w:r>
      <w:r w:rsidR="00A362C8">
        <w:t>2021</w:t>
      </w:r>
      <w:r>
        <w:t>)</w:t>
      </w:r>
      <w:r w:rsidRPr="00A67DC2">
        <w:t xml:space="preserve"> </w:t>
      </w:r>
      <w:r>
        <w:t>vol 2</w:t>
      </w:r>
      <w:r w:rsidR="00460756">
        <w:t>: The current system 217</w:t>
      </w:r>
      <w:r>
        <w:t xml:space="preserve">; </w:t>
      </w:r>
      <w:r w:rsidRPr="006669EB">
        <w:rPr>
          <w:i/>
          <w:iCs/>
        </w:rPr>
        <w:t>National Plan to End the Abuse and Mistreatment of Older People 2024-2034</w:t>
      </w:r>
      <w:r w:rsidRPr="006669EB">
        <w:t xml:space="preserve"> (</w:t>
      </w:r>
      <w:r w:rsidR="004F1FD7">
        <w:t xml:space="preserve">Public </w:t>
      </w:r>
      <w:r>
        <w:t xml:space="preserve">Consultation </w:t>
      </w:r>
      <w:r w:rsidR="004F1FD7">
        <w:t>Draft</w:t>
      </w:r>
      <w:r w:rsidRPr="006669EB">
        <w:t>, 2024)</w:t>
      </w:r>
      <w:r w:rsidR="00460756">
        <w:t xml:space="preserve"> 22</w:t>
      </w:r>
      <w:r>
        <w:t>.</w:t>
      </w:r>
    </w:p>
  </w:footnote>
  <w:footnote w:id="6">
    <w:p w14:paraId="08272159" w14:textId="13493822" w:rsidR="00A92597" w:rsidRPr="00A92597" w:rsidRDefault="00A92597">
      <w:pPr>
        <w:pStyle w:val="FootnoteText"/>
        <w:rPr>
          <w:lang w:val="en-GB"/>
        </w:rPr>
      </w:pPr>
      <w:r>
        <w:rPr>
          <w:rStyle w:val="FootnoteReference"/>
        </w:rPr>
        <w:footnoteRef/>
      </w:r>
      <w:r>
        <w:t xml:space="preserve"> </w:t>
      </w:r>
      <w:r w:rsidR="006669EB" w:rsidRPr="006669EB">
        <w:rPr>
          <w:i/>
          <w:iCs/>
        </w:rPr>
        <w:t>Draft National Plan to End the Abuse and Mistreatment of Older People 2024-2034</w:t>
      </w:r>
      <w:r w:rsidR="006669EB" w:rsidRPr="006669EB">
        <w:t xml:space="preserve"> (</w:t>
      </w:r>
      <w:r w:rsidR="00A362C8">
        <w:t xml:space="preserve">Public </w:t>
      </w:r>
      <w:r w:rsidR="006669EB">
        <w:t xml:space="preserve">Consultation </w:t>
      </w:r>
      <w:r w:rsidR="00A362C8">
        <w:t>Draft</w:t>
      </w:r>
      <w:r w:rsidR="006669EB" w:rsidRPr="006669EB">
        <w:t>, 2024)</w:t>
      </w:r>
      <w:r w:rsidR="00B76E41">
        <w:t xml:space="preserve"> 22</w:t>
      </w:r>
      <w:r w:rsidR="006669EB">
        <w:t>.</w:t>
      </w:r>
    </w:p>
  </w:footnote>
  <w:footnote w:id="7">
    <w:p w14:paraId="32C60F10" w14:textId="166206F1" w:rsidR="006669EB" w:rsidRPr="006669EB" w:rsidRDefault="006669EB">
      <w:pPr>
        <w:pStyle w:val="FootnoteText"/>
        <w:rPr>
          <w:lang w:val="en-GB"/>
        </w:rPr>
      </w:pPr>
      <w:r>
        <w:rPr>
          <w:rStyle w:val="FootnoteReference"/>
        </w:rPr>
        <w:footnoteRef/>
      </w:r>
      <w:r>
        <w:t xml:space="preserve"> </w:t>
      </w:r>
      <w:r w:rsidRPr="006669EB">
        <w:t xml:space="preserve">World Health Organization, </w:t>
      </w:r>
      <w:r>
        <w:rPr>
          <w:i/>
          <w:iCs/>
        </w:rPr>
        <w:t>Global Report on Ageism</w:t>
      </w:r>
      <w:r w:rsidRPr="006669EB">
        <w:t xml:space="preserve"> (World Health Organization, 2015)</w:t>
      </w:r>
      <w:r w:rsidR="00FC5E3C">
        <w:t xml:space="preserve"> xvi.</w:t>
      </w:r>
    </w:p>
  </w:footnote>
  <w:footnote w:id="8">
    <w:p w14:paraId="71B8A0DC" w14:textId="7B0AABB1" w:rsidR="00C5356C" w:rsidRPr="00C5356C" w:rsidRDefault="00C5356C">
      <w:pPr>
        <w:pStyle w:val="FootnoteText"/>
        <w:rPr>
          <w:lang w:val="en-GB"/>
        </w:rPr>
      </w:pPr>
      <w:r>
        <w:rPr>
          <w:rStyle w:val="FootnoteReference"/>
        </w:rPr>
        <w:footnoteRef/>
      </w:r>
      <w:r>
        <w:t xml:space="preserve"> </w:t>
      </w:r>
      <w:r w:rsidR="000028AC" w:rsidRPr="000028AC">
        <w:t xml:space="preserve">A Gillbard, </w:t>
      </w:r>
      <w:r w:rsidR="000028AC" w:rsidRPr="000028AC">
        <w:rPr>
          <w:i/>
          <w:iCs/>
        </w:rPr>
        <w:t>Elder Abuse Statistics in Queensland: Year in Review 2023–24</w:t>
      </w:r>
      <w:r w:rsidR="000028AC" w:rsidRPr="000028AC">
        <w:t xml:space="preserve"> (Elder Abuse Prevention Unit, Uniting Care, 2024). 6</w:t>
      </w:r>
      <w:r w:rsidR="000028AC">
        <w:t xml:space="preserve">; </w:t>
      </w:r>
      <w:r w:rsidR="008449A6" w:rsidRPr="006669EB">
        <w:rPr>
          <w:i/>
          <w:iCs/>
        </w:rPr>
        <w:t>Draft National Plan to End the Abuse and Mistreatment of Older People 2024-2034</w:t>
      </w:r>
      <w:r w:rsidR="008449A6" w:rsidRPr="006669EB">
        <w:t xml:space="preserve"> (</w:t>
      </w:r>
      <w:r w:rsidR="008449A6">
        <w:t>Public Consultation Draft</w:t>
      </w:r>
      <w:r w:rsidR="008449A6" w:rsidRPr="006669EB">
        <w:t>, 2024)</w:t>
      </w:r>
      <w:r w:rsidR="008449A6">
        <w:t xml:space="preserve"> 22.</w:t>
      </w:r>
    </w:p>
  </w:footnote>
  <w:footnote w:id="9">
    <w:p w14:paraId="30B3348A" w14:textId="2B1B122B" w:rsidR="00D45D03" w:rsidRPr="00D45D03" w:rsidRDefault="00D45D03">
      <w:pPr>
        <w:pStyle w:val="FootnoteText"/>
        <w:rPr>
          <w:lang w:val="en-GB"/>
        </w:rPr>
      </w:pPr>
      <w:r>
        <w:rPr>
          <w:rStyle w:val="FootnoteReference"/>
        </w:rPr>
        <w:footnoteRef/>
      </w:r>
      <w:r>
        <w:t xml:space="preserve"> </w:t>
      </w:r>
      <w:r w:rsidR="0000383B" w:rsidRPr="0000383B">
        <w:t xml:space="preserve">Lixia Qu et al, </w:t>
      </w:r>
      <w:r w:rsidR="0000383B" w:rsidRPr="0000383B">
        <w:rPr>
          <w:i/>
          <w:iCs/>
        </w:rPr>
        <w:t>National Elder Abuse Prevalence Study: Final Report</w:t>
      </w:r>
      <w:r w:rsidR="0000383B" w:rsidRPr="0000383B">
        <w:t xml:space="preserve"> (Research Report, Australian Institute of Family Studies, </w:t>
      </w:r>
      <w:r w:rsidR="003A605A">
        <w:t>July</w:t>
      </w:r>
      <w:r w:rsidR="003A605A" w:rsidRPr="0000383B">
        <w:t xml:space="preserve"> </w:t>
      </w:r>
      <w:r w:rsidR="0000383B" w:rsidRPr="0000383B">
        <w:t>2021)</w:t>
      </w:r>
      <w:r w:rsidR="0000383B">
        <w:t>.</w:t>
      </w:r>
    </w:p>
  </w:footnote>
  <w:footnote w:id="10">
    <w:p w14:paraId="0F7CB37A" w14:textId="5628C75B" w:rsidR="00A67DC2" w:rsidRPr="00A67DC2" w:rsidRDefault="00A67DC2">
      <w:pPr>
        <w:pStyle w:val="FootnoteText"/>
        <w:rPr>
          <w:lang w:val="en-GB"/>
        </w:rPr>
      </w:pPr>
      <w:r>
        <w:rPr>
          <w:rStyle w:val="FootnoteReference"/>
        </w:rPr>
        <w:footnoteRef/>
      </w:r>
      <w:r>
        <w:t xml:space="preserve"> </w:t>
      </w:r>
      <w:r w:rsidRPr="00A67DC2">
        <w:rPr>
          <w:i/>
          <w:iCs/>
        </w:rPr>
        <w:t>Royal Commission into Aged Care Quality and Safety</w:t>
      </w:r>
      <w:r w:rsidRPr="00A67DC2">
        <w:t xml:space="preserve">, </w:t>
      </w:r>
      <w:r>
        <w:t>(</w:t>
      </w:r>
      <w:r w:rsidRPr="00A67DC2">
        <w:t>Final Repor</w:t>
      </w:r>
      <w:r>
        <w:t>t, 202</w:t>
      </w:r>
      <w:r w:rsidR="00A73D61">
        <w:t>1</w:t>
      </w:r>
      <w:r>
        <w:t>)</w:t>
      </w:r>
      <w:r w:rsidRPr="00A67DC2">
        <w:t xml:space="preserve"> </w:t>
      </w:r>
      <w:r>
        <w:t xml:space="preserve">vol </w:t>
      </w:r>
      <w:r w:rsidR="0000383B">
        <w:t>2</w:t>
      </w:r>
      <w:r w:rsidR="00A73D61">
        <w:t>:The current system</w:t>
      </w:r>
      <w:r>
        <w:t>.</w:t>
      </w:r>
    </w:p>
  </w:footnote>
  <w:footnote w:id="11">
    <w:p w14:paraId="7F4C54C8" w14:textId="23413295" w:rsidR="00DD6D4E" w:rsidRPr="00DD6D4E" w:rsidRDefault="00DD6D4E">
      <w:pPr>
        <w:pStyle w:val="FootnoteText"/>
        <w:rPr>
          <w:lang w:val="en-GB"/>
        </w:rPr>
      </w:pPr>
      <w:r>
        <w:rPr>
          <w:rStyle w:val="FootnoteReference"/>
        </w:rPr>
        <w:footnoteRef/>
      </w:r>
      <w:r>
        <w:t xml:space="preserve"> </w:t>
      </w:r>
      <w:r w:rsidRPr="00A67DC2">
        <w:rPr>
          <w:i/>
          <w:iCs/>
        </w:rPr>
        <w:t>Royal Commission into Aged Care Quality and Safety</w:t>
      </w:r>
      <w:r w:rsidRPr="00A67DC2">
        <w:t xml:space="preserve">, </w:t>
      </w:r>
      <w:r>
        <w:t>(</w:t>
      </w:r>
      <w:r w:rsidRPr="00A67DC2">
        <w:t>Final Repor</w:t>
      </w:r>
      <w:r>
        <w:t>t, 202</w:t>
      </w:r>
      <w:r w:rsidR="00A73D61">
        <w:t>1</w:t>
      </w:r>
      <w:r>
        <w:t>)</w:t>
      </w:r>
      <w:r w:rsidRPr="00A67DC2">
        <w:t xml:space="preserve"> </w:t>
      </w:r>
      <w:r>
        <w:t>vol 2</w:t>
      </w:r>
      <w:r w:rsidR="00A73D61">
        <w:t>: The current system</w:t>
      </w:r>
      <w:r>
        <w:t xml:space="preserve">, 99. </w:t>
      </w:r>
    </w:p>
  </w:footnote>
  <w:footnote w:id="12">
    <w:p w14:paraId="454F97D5" w14:textId="7D30C9E2" w:rsidR="006866DE" w:rsidRPr="006866DE" w:rsidRDefault="006866DE">
      <w:pPr>
        <w:pStyle w:val="FootnoteText"/>
        <w:rPr>
          <w:lang w:val="en-GB"/>
        </w:rPr>
      </w:pPr>
      <w:r>
        <w:rPr>
          <w:rStyle w:val="FootnoteReference"/>
        </w:rPr>
        <w:footnoteRef/>
      </w:r>
      <w:r>
        <w:t xml:space="preserve"> </w:t>
      </w:r>
      <w:r>
        <w:rPr>
          <w:lang w:val="en-GB"/>
        </w:rPr>
        <w:t xml:space="preserve">See for example: </w:t>
      </w:r>
      <w:r w:rsidRPr="006866DE">
        <w:rPr>
          <w:i/>
          <w:iCs/>
        </w:rPr>
        <w:t>National Disability Insurance Scheme Act 2013</w:t>
      </w:r>
      <w:r>
        <w:rPr>
          <w:b/>
          <w:bCs/>
          <w:i/>
          <w:iCs/>
        </w:rPr>
        <w:t xml:space="preserve"> </w:t>
      </w:r>
      <w:r w:rsidRPr="006866DE">
        <w:t>(Cth)</w:t>
      </w:r>
      <w:r>
        <w:t xml:space="preserve"> s</w:t>
      </w:r>
      <w:r w:rsidR="00A73D61">
        <w:t xml:space="preserve"> </w:t>
      </w:r>
      <w:r>
        <w:t xml:space="preserve">9. </w:t>
      </w:r>
    </w:p>
  </w:footnote>
  <w:footnote w:id="13">
    <w:p w14:paraId="727689E4" w14:textId="33CD3A21" w:rsidR="004D74EE" w:rsidRPr="007017CD" w:rsidRDefault="004D74EE" w:rsidP="004D74EE">
      <w:pPr>
        <w:pStyle w:val="FootnoteText"/>
        <w:rPr>
          <w:lang w:val="en-GB"/>
        </w:rPr>
      </w:pPr>
      <w:r>
        <w:rPr>
          <w:rStyle w:val="FootnoteReference"/>
        </w:rPr>
        <w:footnoteRef/>
      </w:r>
      <w:r>
        <w:t xml:space="preserve"> </w:t>
      </w:r>
      <w:r w:rsidR="00DF54DC" w:rsidRPr="006866DE">
        <w:rPr>
          <w:i/>
          <w:iCs/>
        </w:rPr>
        <w:t>Royal Commission into Aged Care Quality and Safety</w:t>
      </w:r>
      <w:r w:rsidR="00DF54DC" w:rsidRPr="006866DE">
        <w:t xml:space="preserve">, (Final Report, </w:t>
      </w:r>
      <w:r w:rsidR="00A73D61">
        <w:t>2021</w:t>
      </w:r>
      <w:r w:rsidR="00DF54DC" w:rsidRPr="006866DE">
        <w:t>) vol 2</w:t>
      </w:r>
      <w:r w:rsidR="00A73D61">
        <w:t>: The current system</w:t>
      </w:r>
      <w:r w:rsidR="00004459">
        <w:t>, 97</w:t>
      </w:r>
      <w:r w:rsidR="00DF54DC" w:rsidRPr="006866DE">
        <w:t>.</w:t>
      </w:r>
    </w:p>
  </w:footnote>
  <w:footnote w:id="14">
    <w:p w14:paraId="0D1EC586" w14:textId="36B51B2A" w:rsidR="00B4337B" w:rsidRPr="00B4337B" w:rsidRDefault="00B4337B">
      <w:pPr>
        <w:pStyle w:val="FootnoteText"/>
        <w:rPr>
          <w:lang w:val="en-GB"/>
        </w:rPr>
      </w:pPr>
      <w:r>
        <w:rPr>
          <w:rStyle w:val="FootnoteReference"/>
        </w:rPr>
        <w:footnoteRef/>
      </w:r>
      <w:r>
        <w:t xml:space="preserve"> </w:t>
      </w:r>
      <w:r w:rsidR="00F51A15" w:rsidRPr="00A44A8C">
        <w:rPr>
          <w:i/>
          <w:iCs/>
          <w:lang w:val="en-US"/>
        </w:rPr>
        <w:t>Human Rights Act 2019</w:t>
      </w:r>
      <w:r w:rsidR="00F51A15">
        <w:rPr>
          <w:lang w:val="en-US"/>
        </w:rPr>
        <w:t xml:space="preserve"> (Qld) s</w:t>
      </w:r>
      <w:r w:rsidR="00384946">
        <w:rPr>
          <w:lang w:val="en-US"/>
        </w:rPr>
        <w:t xml:space="preserve"> </w:t>
      </w:r>
      <w:r w:rsidR="00F51A15">
        <w:rPr>
          <w:lang w:val="en-US"/>
        </w:rPr>
        <w:t>58.</w:t>
      </w:r>
    </w:p>
  </w:footnote>
  <w:footnote w:id="15">
    <w:p w14:paraId="06131C05" w14:textId="445EC416" w:rsidR="002221CD" w:rsidRPr="00C26E1C" w:rsidRDefault="002221CD" w:rsidP="002221CD">
      <w:pPr>
        <w:pStyle w:val="FootnoteText"/>
        <w:rPr>
          <w:lang w:val="en-US"/>
        </w:rPr>
      </w:pPr>
      <w:r>
        <w:rPr>
          <w:rStyle w:val="FootnoteReference"/>
        </w:rPr>
        <w:footnoteRef/>
      </w:r>
      <w:r>
        <w:t xml:space="preserve"> </w:t>
      </w:r>
      <w:r w:rsidRPr="00A44A8C">
        <w:rPr>
          <w:i/>
          <w:iCs/>
          <w:lang w:val="en-US"/>
        </w:rPr>
        <w:t>Human Rights Act 2019</w:t>
      </w:r>
      <w:r>
        <w:rPr>
          <w:lang w:val="en-US"/>
        </w:rPr>
        <w:t xml:space="preserve"> (Qld) s</w:t>
      </w:r>
      <w:r w:rsidR="00384946">
        <w:rPr>
          <w:lang w:val="en-US"/>
        </w:rPr>
        <w:t xml:space="preserve"> </w:t>
      </w:r>
      <w:r>
        <w:rPr>
          <w:lang w:val="en-US"/>
        </w:rPr>
        <w:t>48.</w:t>
      </w:r>
    </w:p>
  </w:footnote>
  <w:footnote w:id="16">
    <w:p w14:paraId="3A5522CE" w14:textId="163EDF61" w:rsidR="00B4337B" w:rsidRPr="00B4337B" w:rsidRDefault="00B4337B">
      <w:pPr>
        <w:pStyle w:val="FootnoteText"/>
        <w:rPr>
          <w:lang w:val="en-GB"/>
        </w:rPr>
      </w:pPr>
      <w:r>
        <w:rPr>
          <w:rStyle w:val="FootnoteReference"/>
        </w:rPr>
        <w:footnoteRef/>
      </w:r>
      <w:r w:rsidR="00F51A15">
        <w:t xml:space="preserve"> </w:t>
      </w:r>
      <w:r w:rsidR="00F51A15" w:rsidRPr="00A44A8C">
        <w:rPr>
          <w:i/>
          <w:iCs/>
          <w:lang w:val="en-US"/>
        </w:rPr>
        <w:t>Human Rights Act 2019</w:t>
      </w:r>
      <w:r w:rsidR="00F51A15">
        <w:rPr>
          <w:lang w:val="en-US"/>
        </w:rPr>
        <w:t xml:space="preserve"> (Qld) </w:t>
      </w:r>
      <w:r w:rsidR="00384946">
        <w:rPr>
          <w:lang w:val="en-US"/>
        </w:rPr>
        <w:t>s</w:t>
      </w:r>
      <w:r w:rsidR="00F71A40">
        <w:rPr>
          <w:lang w:val="en-US"/>
        </w:rPr>
        <w:t>s</w:t>
      </w:r>
      <w:r w:rsidR="00384946">
        <w:rPr>
          <w:lang w:val="en-US"/>
        </w:rPr>
        <w:t xml:space="preserve"> </w:t>
      </w:r>
      <w:r w:rsidR="00F71A40">
        <w:rPr>
          <w:lang w:val="en-US"/>
        </w:rPr>
        <w:t>38-47.</w:t>
      </w:r>
    </w:p>
  </w:footnote>
  <w:footnote w:id="17">
    <w:p w14:paraId="3B3554E5" w14:textId="2964E9CD" w:rsidR="00B4337B" w:rsidRPr="00B4337B" w:rsidRDefault="00B4337B">
      <w:pPr>
        <w:pStyle w:val="FootnoteText"/>
        <w:rPr>
          <w:lang w:val="en-GB"/>
        </w:rPr>
      </w:pPr>
      <w:r>
        <w:rPr>
          <w:rStyle w:val="FootnoteReference"/>
        </w:rPr>
        <w:footnoteRef/>
      </w:r>
      <w:r>
        <w:t xml:space="preserve"> </w:t>
      </w:r>
      <w:r w:rsidR="00F51A15" w:rsidRPr="00A44A8C">
        <w:rPr>
          <w:i/>
          <w:iCs/>
          <w:lang w:val="en-US"/>
        </w:rPr>
        <w:t>Human Rights Act 2019</w:t>
      </w:r>
      <w:r w:rsidR="00F51A15">
        <w:rPr>
          <w:lang w:val="en-US"/>
        </w:rPr>
        <w:t xml:space="preserve"> (Qld)</w:t>
      </w:r>
      <w:r w:rsidR="00F71A40">
        <w:rPr>
          <w:lang w:val="en-US"/>
        </w:rPr>
        <w:t xml:space="preserve"> s</w:t>
      </w:r>
      <w:r w:rsidR="00384946">
        <w:rPr>
          <w:lang w:val="en-US"/>
        </w:rPr>
        <w:t xml:space="preserve"> </w:t>
      </w:r>
      <w:r w:rsidR="00F71A40">
        <w:rPr>
          <w:lang w:val="en-US"/>
        </w:rPr>
        <w:t>77(2)(e).</w:t>
      </w:r>
    </w:p>
  </w:footnote>
  <w:footnote w:id="18">
    <w:p w14:paraId="14C8D728" w14:textId="607BDE2F" w:rsidR="00984879" w:rsidRPr="00984879" w:rsidRDefault="00984879">
      <w:pPr>
        <w:pStyle w:val="FootnoteText"/>
        <w:rPr>
          <w:lang w:val="en-GB"/>
        </w:rPr>
      </w:pPr>
      <w:r>
        <w:rPr>
          <w:rStyle w:val="FootnoteReference"/>
        </w:rPr>
        <w:footnoteRef/>
      </w:r>
      <w:r>
        <w:t xml:space="preserve"> </w:t>
      </w:r>
      <w:r w:rsidRPr="00A44A8C">
        <w:rPr>
          <w:i/>
          <w:iCs/>
          <w:lang w:val="en-US"/>
        </w:rPr>
        <w:t>Human Rights Act 2019</w:t>
      </w:r>
      <w:r>
        <w:rPr>
          <w:lang w:val="en-US"/>
        </w:rPr>
        <w:t xml:space="preserve"> (Qld) s</w:t>
      </w:r>
      <w:r w:rsidR="00384946">
        <w:rPr>
          <w:lang w:val="en-US"/>
        </w:rPr>
        <w:t xml:space="preserve"> </w:t>
      </w:r>
      <w:r>
        <w:rPr>
          <w:lang w:val="en-US"/>
        </w:rPr>
        <w:t xml:space="preserve">59(4). </w:t>
      </w:r>
    </w:p>
  </w:footnote>
  <w:footnote w:id="19">
    <w:p w14:paraId="270B7910" w14:textId="6BE03CDF" w:rsidR="003551BB" w:rsidRPr="003551BB" w:rsidRDefault="003551BB">
      <w:pPr>
        <w:pStyle w:val="FootnoteText"/>
        <w:rPr>
          <w:lang w:val="en-GB"/>
        </w:rPr>
      </w:pPr>
      <w:r>
        <w:rPr>
          <w:rStyle w:val="FootnoteReference"/>
        </w:rPr>
        <w:footnoteRef/>
      </w:r>
      <w:r>
        <w:t xml:space="preserve"> </w:t>
      </w:r>
      <w:r w:rsidRPr="003551BB">
        <w:rPr>
          <w:i/>
          <w:iCs/>
          <w:lang w:val="en-GB"/>
        </w:rPr>
        <w:t>Human Rights Act 2019</w:t>
      </w:r>
      <w:r>
        <w:rPr>
          <w:lang w:val="en-GB"/>
        </w:rPr>
        <w:t xml:space="preserve"> (Qld) s</w:t>
      </w:r>
      <w:r w:rsidR="00384946">
        <w:rPr>
          <w:lang w:val="en-GB"/>
        </w:rPr>
        <w:t xml:space="preserve"> </w:t>
      </w:r>
      <w:r>
        <w:rPr>
          <w:lang w:val="en-GB"/>
        </w:rPr>
        <w:t>9.</w:t>
      </w:r>
    </w:p>
  </w:footnote>
  <w:footnote w:id="20">
    <w:p w14:paraId="707BC484" w14:textId="56268FB5" w:rsidR="003551BB" w:rsidRPr="003551BB" w:rsidRDefault="003551BB">
      <w:pPr>
        <w:pStyle w:val="FootnoteText"/>
        <w:rPr>
          <w:lang w:val="en-GB"/>
        </w:rPr>
      </w:pPr>
      <w:r>
        <w:rPr>
          <w:rStyle w:val="FootnoteReference"/>
        </w:rPr>
        <w:footnoteRef/>
      </w:r>
      <w:r>
        <w:t xml:space="preserve"> </w:t>
      </w:r>
      <w:r w:rsidRPr="003551BB">
        <w:rPr>
          <w:i/>
          <w:iCs/>
          <w:lang w:val="en-GB"/>
        </w:rPr>
        <w:t>Human Rights Act 2019</w:t>
      </w:r>
      <w:r>
        <w:rPr>
          <w:lang w:val="en-GB"/>
        </w:rPr>
        <w:t xml:space="preserve"> (Qld) s</w:t>
      </w:r>
      <w:r w:rsidR="00384946">
        <w:rPr>
          <w:lang w:val="en-GB"/>
        </w:rPr>
        <w:t xml:space="preserve"> </w:t>
      </w:r>
      <w:r>
        <w:rPr>
          <w:lang w:val="en-GB"/>
        </w:rPr>
        <w:t>9(1)(j).</w:t>
      </w:r>
    </w:p>
  </w:footnote>
  <w:footnote w:id="21">
    <w:p w14:paraId="5D4357A6" w14:textId="0830B68F" w:rsidR="003551BB" w:rsidRPr="003551BB" w:rsidRDefault="003551BB">
      <w:pPr>
        <w:pStyle w:val="FootnoteText"/>
        <w:rPr>
          <w:lang w:val="en-GB"/>
        </w:rPr>
      </w:pPr>
      <w:r>
        <w:rPr>
          <w:rStyle w:val="FootnoteReference"/>
        </w:rPr>
        <w:footnoteRef/>
      </w:r>
      <w:r>
        <w:t xml:space="preserve"> </w:t>
      </w:r>
      <w:r w:rsidRPr="003551BB">
        <w:rPr>
          <w:i/>
          <w:iCs/>
          <w:lang w:val="en-GB"/>
        </w:rPr>
        <w:t>Human Rights Act 2019</w:t>
      </w:r>
      <w:r>
        <w:rPr>
          <w:lang w:val="en-GB"/>
        </w:rPr>
        <w:t xml:space="preserve"> (Qld) s</w:t>
      </w:r>
      <w:r w:rsidR="00F30EF0">
        <w:rPr>
          <w:lang w:val="en-GB"/>
        </w:rPr>
        <w:t>s</w:t>
      </w:r>
      <w:r w:rsidR="00384946">
        <w:rPr>
          <w:lang w:val="en-GB"/>
        </w:rPr>
        <w:t xml:space="preserve"> </w:t>
      </w:r>
      <w:r>
        <w:rPr>
          <w:lang w:val="en-GB"/>
        </w:rPr>
        <w:t xml:space="preserve">9(2)(a) and (5). </w:t>
      </w:r>
    </w:p>
  </w:footnote>
  <w:footnote w:id="22">
    <w:p w14:paraId="7C3B2E28" w14:textId="057E7C99" w:rsidR="00D67314" w:rsidRPr="00D67314" w:rsidRDefault="00D67314">
      <w:pPr>
        <w:pStyle w:val="FootnoteText"/>
        <w:rPr>
          <w:lang w:val="en-GB"/>
        </w:rPr>
      </w:pPr>
      <w:r>
        <w:rPr>
          <w:rStyle w:val="FootnoteReference"/>
        </w:rPr>
        <w:footnoteRef/>
      </w:r>
      <w:r>
        <w:t xml:space="preserve"> </w:t>
      </w:r>
      <w:r w:rsidR="001969DB" w:rsidRPr="001969DB">
        <w:t xml:space="preserve">Susan Harris Rimmer, </w:t>
      </w:r>
      <w:r w:rsidR="001969DB" w:rsidRPr="001969DB">
        <w:rPr>
          <w:i/>
          <w:iCs/>
        </w:rPr>
        <w:t>Placing People at the Heart of Policy: First Independent Review of the Human Rights Act 2019</w:t>
      </w:r>
      <w:r w:rsidR="001969DB" w:rsidRPr="001969DB">
        <w:t xml:space="preserve"> (Qld) Final Report (</w:t>
      </w:r>
      <w:r w:rsidR="001969DB">
        <w:t>Statutory Review</w:t>
      </w:r>
      <w:r w:rsidR="001969DB" w:rsidRPr="001969DB">
        <w:t>, 30 September 2024)</w:t>
      </w:r>
      <w:r w:rsidR="001969DB">
        <w:t>.</w:t>
      </w:r>
    </w:p>
  </w:footnote>
  <w:footnote w:id="23">
    <w:p w14:paraId="67D6FE67" w14:textId="6A5A5698" w:rsidR="007812A0" w:rsidRPr="007812A0" w:rsidRDefault="007812A0">
      <w:pPr>
        <w:pStyle w:val="FootnoteText"/>
        <w:rPr>
          <w:lang w:val="en-GB"/>
        </w:rPr>
      </w:pPr>
      <w:r>
        <w:rPr>
          <w:rStyle w:val="FootnoteReference"/>
        </w:rPr>
        <w:footnoteRef/>
      </w:r>
      <w:r>
        <w:t xml:space="preserve"> </w:t>
      </w:r>
      <w:r w:rsidR="00AF180B" w:rsidRPr="007309E7">
        <w:rPr>
          <w:rFonts w:cs="Arial"/>
          <w:lang w:eastAsia="en-AU"/>
        </w:rPr>
        <w:t xml:space="preserve">There are </w:t>
      </w:r>
      <w:r w:rsidR="00AF180B">
        <w:rPr>
          <w:rFonts w:cs="Arial"/>
          <w:lang w:eastAsia="en-AU"/>
        </w:rPr>
        <w:t>limited</w:t>
      </w:r>
      <w:r w:rsidR="00AF180B" w:rsidRPr="007309E7">
        <w:rPr>
          <w:rFonts w:cs="Arial"/>
          <w:lang w:eastAsia="en-AU"/>
        </w:rPr>
        <w:t xml:space="preserve"> exceptions </w:t>
      </w:r>
      <w:r w:rsidR="00AF180B">
        <w:rPr>
          <w:rFonts w:cs="Arial"/>
          <w:lang w:eastAsia="en-AU"/>
        </w:rPr>
        <w:t xml:space="preserve">to this prohibition </w:t>
      </w:r>
      <w:r w:rsidR="00AF180B" w:rsidRPr="007309E7">
        <w:rPr>
          <w:rFonts w:cs="Arial"/>
          <w:lang w:eastAsia="en-AU"/>
        </w:rPr>
        <w:t xml:space="preserve">which permit discrimination on the basis of age </w:t>
      </w:r>
      <w:r w:rsidR="00AF180B">
        <w:rPr>
          <w:rFonts w:cs="Arial"/>
          <w:lang w:eastAsia="en-AU"/>
        </w:rPr>
        <w:t xml:space="preserve">including </w:t>
      </w:r>
      <w:r w:rsidR="00AF180B" w:rsidRPr="007309E7">
        <w:rPr>
          <w:rFonts w:cs="Arial"/>
          <w:lang w:eastAsia="en-AU"/>
        </w:rPr>
        <w:t>where there is a genuine occupational requirement for someone of a particular age to fulfill the duties of a job effectively (e.g., a role in a play might require a person of a particular age)</w:t>
      </w:r>
      <w:r w:rsidR="00AF180B">
        <w:rPr>
          <w:rFonts w:cs="Arial"/>
          <w:lang w:eastAsia="en-AU"/>
        </w:rPr>
        <w:t xml:space="preserve">. </w:t>
      </w:r>
      <w:r w:rsidR="00251E34">
        <w:rPr>
          <w:rFonts w:cs="Arial"/>
          <w:lang w:eastAsia="en-AU"/>
        </w:rPr>
        <w:t>Also</w:t>
      </w:r>
      <w:r w:rsidR="00AF180B">
        <w:rPr>
          <w:rFonts w:cs="Arial"/>
          <w:lang w:eastAsia="en-AU"/>
        </w:rPr>
        <w:t>,</w:t>
      </w:r>
      <w:r w:rsidR="00AF180B" w:rsidRPr="007309E7">
        <w:rPr>
          <w:rFonts w:cs="Arial"/>
          <w:lang w:eastAsia="en-AU"/>
        </w:rPr>
        <w:t xml:space="preserve"> certain professions can be required to retire at a specified age.</w:t>
      </w:r>
      <w:r w:rsidR="002E1389">
        <w:rPr>
          <w:rFonts w:cs="Arial"/>
          <w:lang w:eastAsia="en-AU"/>
        </w:rPr>
        <w:t xml:space="preserve"> See </w:t>
      </w:r>
      <w:r w:rsidR="002E1389" w:rsidRPr="002E1389">
        <w:rPr>
          <w:rFonts w:cs="Arial"/>
          <w:i/>
          <w:iCs/>
          <w:lang w:eastAsia="en-AU"/>
        </w:rPr>
        <w:t>Anti-Discrimination Act 1991</w:t>
      </w:r>
      <w:r w:rsidR="002E1389">
        <w:rPr>
          <w:rFonts w:cs="Arial"/>
          <w:lang w:eastAsia="en-AU"/>
        </w:rPr>
        <w:t xml:space="preserve"> (Qld) s7(f), Part 4, s</w:t>
      </w:r>
      <w:r w:rsidR="00251E34">
        <w:rPr>
          <w:rFonts w:cs="Arial"/>
          <w:lang w:eastAsia="en-AU"/>
        </w:rPr>
        <w:t xml:space="preserve">s </w:t>
      </w:r>
      <w:r w:rsidR="002E1389">
        <w:rPr>
          <w:rFonts w:cs="Arial"/>
          <w:lang w:eastAsia="en-AU"/>
        </w:rPr>
        <w:t>25, 32, 106A.</w:t>
      </w:r>
    </w:p>
  </w:footnote>
  <w:footnote w:id="24">
    <w:p w14:paraId="49A38C52" w14:textId="23930ED0" w:rsidR="002E1389" w:rsidRPr="002E1389" w:rsidRDefault="002E1389">
      <w:pPr>
        <w:pStyle w:val="FootnoteText"/>
        <w:rPr>
          <w:lang w:val="en-GB"/>
        </w:rPr>
      </w:pPr>
      <w:r>
        <w:rPr>
          <w:rStyle w:val="FootnoteReference"/>
        </w:rPr>
        <w:footnoteRef/>
      </w:r>
      <w:r>
        <w:t xml:space="preserve"> </w:t>
      </w:r>
      <w:r w:rsidRPr="002E1389">
        <w:rPr>
          <w:rFonts w:cs="Arial"/>
          <w:i/>
          <w:iCs/>
          <w:lang w:eastAsia="en-AU"/>
        </w:rPr>
        <w:t>Anti-Discrimination Act 1991</w:t>
      </w:r>
      <w:r>
        <w:rPr>
          <w:rFonts w:cs="Arial"/>
          <w:lang w:eastAsia="en-AU"/>
        </w:rPr>
        <w:t xml:space="preserve"> (Qld) s</w:t>
      </w:r>
      <w:r w:rsidR="00251E34">
        <w:rPr>
          <w:rFonts w:cs="Arial"/>
          <w:lang w:eastAsia="en-AU"/>
        </w:rPr>
        <w:t xml:space="preserve">s </w:t>
      </w:r>
      <w:r>
        <w:rPr>
          <w:rFonts w:cs="Arial"/>
          <w:lang w:eastAsia="en-AU"/>
        </w:rPr>
        <w:t>134, 158.</w:t>
      </w:r>
    </w:p>
  </w:footnote>
  <w:footnote w:id="25">
    <w:p w14:paraId="744909AF" w14:textId="40653605" w:rsidR="002E1389" w:rsidRPr="002E1389" w:rsidRDefault="002E1389">
      <w:pPr>
        <w:pStyle w:val="FootnoteText"/>
        <w:rPr>
          <w:lang w:val="en-GB"/>
        </w:rPr>
      </w:pPr>
      <w:r>
        <w:rPr>
          <w:rStyle w:val="FootnoteReference"/>
        </w:rPr>
        <w:footnoteRef/>
      </w:r>
      <w:r>
        <w:t xml:space="preserve"> </w:t>
      </w:r>
      <w:r w:rsidRPr="002E1389">
        <w:rPr>
          <w:rFonts w:cs="Arial"/>
          <w:i/>
          <w:iCs/>
          <w:lang w:eastAsia="en-AU"/>
        </w:rPr>
        <w:t>Anti-Discrimination Act 1991</w:t>
      </w:r>
      <w:r>
        <w:rPr>
          <w:rFonts w:cs="Arial"/>
          <w:lang w:eastAsia="en-AU"/>
        </w:rPr>
        <w:t xml:space="preserve"> (Qld) s164A.</w:t>
      </w:r>
    </w:p>
  </w:footnote>
  <w:footnote w:id="26">
    <w:p w14:paraId="777F5739" w14:textId="257FCAE5" w:rsidR="006E13E9" w:rsidRPr="006E13E9" w:rsidRDefault="006E13E9">
      <w:pPr>
        <w:pStyle w:val="FootnoteText"/>
        <w:rPr>
          <w:lang w:val="en-GB"/>
        </w:rPr>
      </w:pPr>
      <w:r>
        <w:rPr>
          <w:rStyle w:val="FootnoteReference"/>
        </w:rPr>
        <w:footnoteRef/>
      </w:r>
      <w:r>
        <w:t xml:space="preserve"> </w:t>
      </w:r>
      <w:r w:rsidRPr="006E13E9">
        <w:t xml:space="preserve">Queensland Human Rights Commission, </w:t>
      </w:r>
      <w:r w:rsidRPr="006E13E9">
        <w:rPr>
          <w:i/>
          <w:iCs/>
        </w:rPr>
        <w:t>Building Belonging: Review of Queensland's Anti-Discrimination Act 1991</w:t>
      </w:r>
      <w:r w:rsidRPr="006E13E9">
        <w:t xml:space="preserve"> (Report, July 2022)</w:t>
      </w:r>
      <w:r>
        <w:t xml:space="preserve"> 215.</w:t>
      </w:r>
    </w:p>
  </w:footnote>
  <w:footnote w:id="27">
    <w:p w14:paraId="49A5B87B" w14:textId="3A7C1DD7" w:rsidR="00F32E9B" w:rsidRPr="00F32E9B" w:rsidRDefault="00F32E9B">
      <w:pPr>
        <w:pStyle w:val="FootnoteText"/>
        <w:rPr>
          <w:lang w:val="en-GB"/>
        </w:rPr>
      </w:pPr>
      <w:r>
        <w:rPr>
          <w:rStyle w:val="FootnoteReference"/>
        </w:rPr>
        <w:footnoteRef/>
      </w:r>
      <w:r>
        <w:t xml:space="preserve"> </w:t>
      </w:r>
      <w:r w:rsidR="006E13E9" w:rsidRPr="006E13E9">
        <w:t xml:space="preserve">Queensland Human Rights Commission, </w:t>
      </w:r>
      <w:r w:rsidR="006E13E9" w:rsidRPr="006E13E9">
        <w:rPr>
          <w:i/>
          <w:iCs/>
        </w:rPr>
        <w:t>Building Belonging: Review of Queensland's Anti-Discrimination Act 1991</w:t>
      </w:r>
      <w:r w:rsidR="006E13E9" w:rsidRPr="006E13E9">
        <w:t xml:space="preserve"> (Report, July 2022)</w:t>
      </w:r>
      <w:r w:rsidR="006E13E9">
        <w:t xml:space="preserve"> 214-227.</w:t>
      </w:r>
    </w:p>
  </w:footnote>
  <w:footnote w:id="28">
    <w:p w14:paraId="7425C38C" w14:textId="293BF936" w:rsidR="007467EB" w:rsidRPr="007467EB" w:rsidRDefault="007467EB">
      <w:pPr>
        <w:pStyle w:val="FootnoteText"/>
        <w:rPr>
          <w:lang w:val="en-GB"/>
        </w:rPr>
      </w:pPr>
      <w:r>
        <w:rPr>
          <w:rStyle w:val="FootnoteReference"/>
        </w:rPr>
        <w:footnoteRef/>
      </w:r>
      <w:r>
        <w:t xml:space="preserve"> </w:t>
      </w:r>
      <w:r w:rsidRPr="006E13E9">
        <w:t xml:space="preserve">Queensland Human Rights Commission, </w:t>
      </w:r>
      <w:r w:rsidRPr="006E13E9">
        <w:rPr>
          <w:i/>
          <w:iCs/>
        </w:rPr>
        <w:t>Building Belonging: Review of Queensland's Anti-Discrimination Act 1991</w:t>
      </w:r>
      <w:r w:rsidRPr="006E13E9">
        <w:t xml:space="preserve"> (Report, July 2022)</w:t>
      </w:r>
      <w:r>
        <w:t xml:space="preserve"> 217.</w:t>
      </w:r>
    </w:p>
  </w:footnote>
  <w:footnote w:id="29">
    <w:p w14:paraId="2B0E9188" w14:textId="3345F5F2" w:rsidR="008D24ED" w:rsidRPr="008D24ED" w:rsidRDefault="008D24ED">
      <w:pPr>
        <w:pStyle w:val="FootnoteText"/>
        <w:rPr>
          <w:lang w:val="en-GB"/>
        </w:rPr>
      </w:pPr>
      <w:r>
        <w:rPr>
          <w:rStyle w:val="FootnoteReference"/>
        </w:rPr>
        <w:footnoteRef/>
      </w:r>
      <w:r>
        <w:t xml:space="preserve"> </w:t>
      </w:r>
      <w:r w:rsidRPr="0054582C">
        <w:rPr>
          <w:rFonts w:cs="Arial"/>
          <w:i/>
          <w:iCs/>
          <w:lang w:eastAsia="en-AU"/>
        </w:rPr>
        <w:t>Respect at Work and Other Legislation Amendment Act 2024</w:t>
      </w:r>
      <w:r>
        <w:rPr>
          <w:rFonts w:cs="Arial"/>
          <w:i/>
          <w:iCs/>
          <w:lang w:eastAsia="en-AU"/>
        </w:rPr>
        <w:t xml:space="preserve"> </w:t>
      </w:r>
      <w:r>
        <w:rPr>
          <w:rFonts w:cs="Arial"/>
          <w:lang w:eastAsia="en-AU"/>
        </w:rPr>
        <w:t>(Qld) s</w:t>
      </w:r>
      <w:r w:rsidR="00963C5D">
        <w:rPr>
          <w:rFonts w:cs="Arial"/>
          <w:lang w:eastAsia="en-AU"/>
        </w:rPr>
        <w:t xml:space="preserve"> </w:t>
      </w:r>
      <w:r>
        <w:rPr>
          <w:rFonts w:cs="Arial"/>
          <w:lang w:eastAsia="en-AU"/>
        </w:rPr>
        <w:t xml:space="preserve">25. </w:t>
      </w:r>
    </w:p>
  </w:footnote>
  <w:footnote w:id="30">
    <w:p w14:paraId="46D50954" w14:textId="6886870C" w:rsidR="00696212" w:rsidRPr="00696212" w:rsidRDefault="00696212">
      <w:pPr>
        <w:pStyle w:val="FootnoteText"/>
        <w:rPr>
          <w:lang w:val="en-GB"/>
        </w:rPr>
      </w:pPr>
      <w:r>
        <w:rPr>
          <w:rStyle w:val="FootnoteReference"/>
        </w:rPr>
        <w:footnoteRef/>
      </w:r>
      <w:r>
        <w:t xml:space="preserve"> </w:t>
      </w:r>
      <w:r w:rsidR="008D24ED" w:rsidRPr="008D24ED">
        <w:t>Deb Frecklington, Attorney-General and Minister for Justice and Minister for Integrity, Queensland Government, 'Crisafulli Government to Consult on Anti-Discrimination Laws' (Media Release, 14 March 2025) https://statements.qld.gov.au/statements/102168​.​</w:t>
      </w:r>
    </w:p>
  </w:footnote>
  <w:footnote w:id="31">
    <w:p w14:paraId="1F592FE3" w14:textId="68433659" w:rsidR="00696212" w:rsidRPr="00696212" w:rsidRDefault="00696212">
      <w:pPr>
        <w:pStyle w:val="FootnoteText"/>
        <w:rPr>
          <w:lang w:val="en-GB"/>
        </w:rPr>
      </w:pPr>
      <w:r>
        <w:rPr>
          <w:rStyle w:val="FootnoteReference"/>
        </w:rPr>
        <w:footnoteRef/>
      </w:r>
      <w:r>
        <w:t xml:space="preserve"> </w:t>
      </w:r>
      <w:r w:rsidR="00425DB6" w:rsidRPr="00425DB6">
        <w:rPr>
          <w:i/>
          <w:iCs/>
        </w:rPr>
        <w:t>Anti-Discrimination Act 1991</w:t>
      </w:r>
      <w:r w:rsidR="00425DB6">
        <w:t xml:space="preserve"> (Qld) s</w:t>
      </w:r>
      <w:r w:rsidR="00963C5D">
        <w:t xml:space="preserve"> </w:t>
      </w:r>
      <w:r w:rsidR="00425DB6">
        <w:t xml:space="preserve">124A. </w:t>
      </w:r>
    </w:p>
  </w:footnote>
  <w:footnote w:id="32">
    <w:p w14:paraId="1456D93F" w14:textId="77777777" w:rsidR="00064A66" w:rsidRPr="00637A50" w:rsidRDefault="00064A66" w:rsidP="00064A66">
      <w:pPr>
        <w:pStyle w:val="FootnoteText"/>
        <w:rPr>
          <w:lang w:val="en-GB"/>
        </w:rPr>
      </w:pPr>
      <w:r>
        <w:rPr>
          <w:rStyle w:val="FootnoteReference"/>
        </w:rPr>
        <w:footnoteRef/>
      </w:r>
      <w:r>
        <w:t xml:space="preserve"> </w:t>
      </w:r>
      <w:r w:rsidRPr="00425DB6">
        <w:rPr>
          <w:i/>
          <w:iCs/>
        </w:rPr>
        <w:t>Criminal Code Act 1899</w:t>
      </w:r>
      <w:r>
        <w:t xml:space="preserve"> (Qld) s </w:t>
      </w:r>
      <w:r>
        <w:rPr>
          <w:lang w:val="en-GB"/>
        </w:rPr>
        <w:t>52A.</w:t>
      </w:r>
    </w:p>
  </w:footnote>
  <w:footnote w:id="33">
    <w:p w14:paraId="7F026F6D" w14:textId="201DDE3F" w:rsidR="00F97F4C" w:rsidRPr="00F97F4C" w:rsidRDefault="00F97F4C">
      <w:pPr>
        <w:pStyle w:val="FootnoteText"/>
        <w:rPr>
          <w:lang w:val="en-GB"/>
        </w:rPr>
      </w:pPr>
      <w:r>
        <w:rPr>
          <w:rStyle w:val="FootnoteReference"/>
        </w:rPr>
        <w:footnoteRef/>
      </w:r>
      <w:r>
        <w:t xml:space="preserve"> </w:t>
      </w:r>
      <w:r w:rsidRPr="00425DB6">
        <w:rPr>
          <w:i/>
          <w:iCs/>
        </w:rPr>
        <w:t>Anti-Discrimination Act 1991</w:t>
      </w:r>
      <w:r>
        <w:t xml:space="preserve"> (Qld) s</w:t>
      </w:r>
      <w:r w:rsidR="006E398C">
        <w:t xml:space="preserve"> </w:t>
      </w:r>
      <w:r>
        <w:t xml:space="preserve">124A; </w:t>
      </w:r>
      <w:r w:rsidRPr="00425DB6">
        <w:rPr>
          <w:i/>
          <w:iCs/>
        </w:rPr>
        <w:t>Criminal Code Act 1899</w:t>
      </w:r>
      <w:r>
        <w:t xml:space="preserve"> (Qld) s </w:t>
      </w:r>
      <w:r>
        <w:rPr>
          <w:lang w:val="en-GB"/>
        </w:rPr>
        <w:t>52A.</w:t>
      </w:r>
    </w:p>
  </w:footnote>
  <w:footnote w:id="34">
    <w:p w14:paraId="46609554" w14:textId="77777777" w:rsidR="00064A66" w:rsidRPr="00696212" w:rsidRDefault="00064A66" w:rsidP="00064A66">
      <w:pPr>
        <w:pStyle w:val="FootnoteText"/>
        <w:rPr>
          <w:lang w:val="en-GB"/>
        </w:rPr>
      </w:pPr>
      <w:r>
        <w:rPr>
          <w:rStyle w:val="FootnoteReference"/>
        </w:rPr>
        <w:footnoteRef/>
      </w:r>
      <w:r>
        <w:t xml:space="preserve"> </w:t>
      </w:r>
      <w:r w:rsidRPr="008D24ED">
        <w:t>Legal Affairs and Community Safety Committee, Parliament of Queensland, Criminal Code (Serious Vilification and Hate Crimes) and Other Legislation Amendment Bill 2023 (Report No 49, 2023)</w:t>
      </w:r>
      <w:r>
        <w:t xml:space="preserve"> 9.</w:t>
      </w:r>
    </w:p>
  </w:footnote>
  <w:footnote w:id="35">
    <w:p w14:paraId="5FEFA2B7" w14:textId="79502A56" w:rsidR="007A382D" w:rsidRPr="007A382D" w:rsidRDefault="007A382D">
      <w:pPr>
        <w:pStyle w:val="FootnoteText"/>
        <w:rPr>
          <w:lang w:val="en-GB"/>
        </w:rPr>
      </w:pPr>
      <w:r>
        <w:rPr>
          <w:rStyle w:val="FootnoteReference"/>
        </w:rPr>
        <w:footnoteRef/>
      </w:r>
      <w:r>
        <w:t xml:space="preserve"> </w:t>
      </w:r>
      <w:r w:rsidRPr="007A382D">
        <w:rPr>
          <w:i/>
          <w:iCs/>
          <w:lang w:val="en-GB"/>
        </w:rPr>
        <w:t xml:space="preserve">Respect at Work and Other Legislation Amendment Act 2024 </w:t>
      </w:r>
      <w:r>
        <w:rPr>
          <w:lang w:val="en-GB"/>
        </w:rPr>
        <w:t>(Qld) s</w:t>
      </w:r>
      <w:r w:rsidR="006E398C">
        <w:rPr>
          <w:lang w:val="en-GB"/>
        </w:rPr>
        <w:t xml:space="preserve">s </w:t>
      </w:r>
      <w:r>
        <w:rPr>
          <w:lang w:val="en-GB"/>
        </w:rPr>
        <w:t>21</w:t>
      </w:r>
      <w:r w:rsidR="006E398C">
        <w:rPr>
          <w:lang w:val="en-GB"/>
        </w:rPr>
        <w:t>,</w:t>
      </w:r>
      <w:r>
        <w:rPr>
          <w:lang w:val="en-GB"/>
        </w:rPr>
        <w:t xml:space="preserve"> 57.</w:t>
      </w:r>
    </w:p>
  </w:footnote>
  <w:footnote w:id="36">
    <w:p w14:paraId="495DDF3F" w14:textId="77777777" w:rsidR="00E45D5F" w:rsidRPr="00696212" w:rsidRDefault="00E45D5F" w:rsidP="00E45D5F">
      <w:pPr>
        <w:pStyle w:val="FootnoteText"/>
        <w:rPr>
          <w:lang w:val="en-GB"/>
        </w:rPr>
      </w:pPr>
      <w:r>
        <w:rPr>
          <w:rStyle w:val="FootnoteReference"/>
        </w:rPr>
        <w:footnoteRef/>
      </w:r>
      <w:r>
        <w:t xml:space="preserve"> </w:t>
      </w:r>
      <w:r w:rsidRPr="008D24ED">
        <w:t>Deb Frecklington, Attorney-General and Minister for Justice and Minister for Integrity, Queensland Government, 'Crisafulli Government to Consult on Anti-Discrimination Laws' (Media Release, 14 March 2025) https://statements.qld.gov.au/statements/102168​.​</w:t>
      </w:r>
    </w:p>
  </w:footnote>
  <w:footnote w:id="37">
    <w:p w14:paraId="04D9A198" w14:textId="02845BAD" w:rsidR="002722F3" w:rsidRPr="00D059DD" w:rsidRDefault="002722F3" w:rsidP="002722F3">
      <w:pPr>
        <w:pStyle w:val="FootnoteText"/>
        <w:rPr>
          <w:lang w:val="en-GB"/>
        </w:rPr>
      </w:pPr>
      <w:r>
        <w:rPr>
          <w:rStyle w:val="FootnoteReference"/>
        </w:rPr>
        <w:footnoteRef/>
      </w:r>
      <w:r>
        <w:t xml:space="preserve"> </w:t>
      </w:r>
      <w:r w:rsidR="00321A0A" w:rsidRPr="00321A0A">
        <w:rPr>
          <w:lang w:val="en-GB"/>
        </w:rPr>
        <w:t xml:space="preserve">John Chesterman, </w:t>
      </w:r>
      <w:r w:rsidR="00321A0A" w:rsidRPr="008449A6">
        <w:rPr>
          <w:i/>
          <w:iCs/>
          <w:lang w:val="en-GB"/>
        </w:rPr>
        <w:t>Proposal for the Future Regulation (and Reduction in the Use) of Restrictive Practices in Queensland: Discussion Paper</w:t>
      </w:r>
      <w:r w:rsidR="00321A0A" w:rsidRPr="00321A0A">
        <w:rPr>
          <w:lang w:val="en-GB"/>
        </w:rPr>
        <w:t xml:space="preserve"> (Discussion Paper, March 2025)</w:t>
      </w:r>
      <w:r w:rsidR="00321A0A">
        <w:rPr>
          <w:lang w:val="en-GB"/>
        </w:rPr>
        <w:t xml:space="preserve"> 1. </w:t>
      </w:r>
    </w:p>
  </w:footnote>
  <w:footnote w:id="38">
    <w:p w14:paraId="2C18FB12" w14:textId="0ECA7151" w:rsidR="002722F3" w:rsidRPr="00D059DD" w:rsidRDefault="002722F3" w:rsidP="002722F3">
      <w:pPr>
        <w:pStyle w:val="FootnoteText"/>
        <w:rPr>
          <w:lang w:val="en-GB"/>
        </w:rPr>
      </w:pPr>
      <w:r>
        <w:rPr>
          <w:rStyle w:val="FootnoteReference"/>
        </w:rPr>
        <w:footnoteRef/>
      </w:r>
      <w:r>
        <w:t xml:space="preserve"> </w:t>
      </w:r>
      <w:r w:rsidR="00321A0A" w:rsidRPr="00321A0A">
        <w:t xml:space="preserve">John Chesterman, </w:t>
      </w:r>
      <w:r w:rsidR="00321A0A" w:rsidRPr="008449A6">
        <w:rPr>
          <w:i/>
          <w:iCs/>
        </w:rPr>
        <w:t>Proposal for the Future Regulation (and Reduction in the Use) of Restrictive Practices in Queensland: Discussion Paper</w:t>
      </w:r>
      <w:r w:rsidR="00321A0A" w:rsidRPr="00321A0A">
        <w:t xml:space="preserve"> (Discussion Paper, March 2025)</w:t>
      </w:r>
      <w:r w:rsidR="00321A0A">
        <w:t xml:space="preserve"> 7.</w:t>
      </w:r>
    </w:p>
  </w:footnote>
  <w:footnote w:id="39">
    <w:p w14:paraId="5564A1E3" w14:textId="3D96AF9E" w:rsidR="002722F3" w:rsidRPr="006866DE" w:rsidRDefault="002722F3" w:rsidP="002722F3">
      <w:pPr>
        <w:pStyle w:val="FootnoteText"/>
        <w:rPr>
          <w:lang w:val="en-GB"/>
        </w:rPr>
      </w:pPr>
      <w:r>
        <w:rPr>
          <w:rStyle w:val="FootnoteReference"/>
        </w:rPr>
        <w:footnoteRef/>
      </w:r>
      <w:r>
        <w:t xml:space="preserve"> </w:t>
      </w:r>
      <w:r w:rsidRPr="006866DE">
        <w:rPr>
          <w:i/>
          <w:iCs/>
        </w:rPr>
        <w:t>Royal Commission into Aged Care Quality and Safety</w:t>
      </w:r>
      <w:r w:rsidRPr="006866DE">
        <w:t>, (Final Report, 202</w:t>
      </w:r>
      <w:r w:rsidR="005775FC">
        <w:t>1</w:t>
      </w:r>
      <w:r w:rsidRPr="006866DE">
        <w:t>) vol 2</w:t>
      </w:r>
      <w:r w:rsidR="005775FC">
        <w:t>: The current system.</w:t>
      </w:r>
    </w:p>
  </w:footnote>
  <w:footnote w:id="40">
    <w:p w14:paraId="568489A2" w14:textId="6F4B65F5" w:rsidR="00321A0A" w:rsidRPr="00321A0A" w:rsidRDefault="00321A0A">
      <w:pPr>
        <w:pStyle w:val="FootnoteText"/>
        <w:rPr>
          <w:lang w:val="en-GB"/>
        </w:rPr>
      </w:pPr>
      <w:r>
        <w:rPr>
          <w:rStyle w:val="FootnoteReference"/>
        </w:rPr>
        <w:footnoteRef/>
      </w:r>
      <w:r>
        <w:t xml:space="preserve"> </w:t>
      </w:r>
      <w:r w:rsidRPr="00321A0A">
        <w:t>John Chesterman</w:t>
      </w:r>
      <w:r w:rsidRPr="008449A6">
        <w:rPr>
          <w:i/>
          <w:iCs/>
        </w:rPr>
        <w:t>, Proposal for the Future Regulation (and Reduction in the Use) of Restrictive Practices in Queensland: Discussion Paper</w:t>
      </w:r>
      <w:r w:rsidRPr="00321A0A">
        <w:t xml:space="preserve"> (Discussion Paper, March 2025)</w:t>
      </w:r>
      <w:r>
        <w:t xml:space="preserve"> 1. </w:t>
      </w:r>
    </w:p>
  </w:footnote>
  <w:footnote w:id="41">
    <w:p w14:paraId="38723FB1" w14:textId="68620DD2" w:rsidR="00CE547E" w:rsidRPr="00CE547E" w:rsidRDefault="00CE547E">
      <w:pPr>
        <w:pStyle w:val="FootnoteText"/>
        <w:rPr>
          <w:lang w:val="en-GB"/>
        </w:rPr>
      </w:pPr>
      <w:r>
        <w:rPr>
          <w:rStyle w:val="FootnoteReference"/>
        </w:rPr>
        <w:footnoteRef/>
      </w:r>
      <w:r>
        <w:t xml:space="preserve"> </w:t>
      </w:r>
      <w:r w:rsidR="00321A0A" w:rsidRPr="00321A0A">
        <w:rPr>
          <w:lang w:val="en-GB"/>
        </w:rPr>
        <w:t>Community Support and Services Committee, Parliament of Queensland, Disability Services (Restrictive Practices) and Other Legislation Amendment Bill 2024 (Report No 48, 57th Parliament, July 2024)</w:t>
      </w:r>
      <w:r w:rsidR="00321A0A">
        <w:rPr>
          <w:lang w:val="en-GB"/>
        </w:rPr>
        <w:t>.</w:t>
      </w:r>
    </w:p>
  </w:footnote>
  <w:footnote w:id="42">
    <w:p w14:paraId="0A46E571" w14:textId="77777777" w:rsidR="00351EE1" w:rsidRPr="00990AD9" w:rsidRDefault="00351EE1" w:rsidP="00351EE1">
      <w:pPr>
        <w:pStyle w:val="FootnoteText"/>
      </w:pPr>
      <w:r>
        <w:rPr>
          <w:rStyle w:val="FootnoteReference"/>
        </w:rPr>
        <w:footnoteRef/>
      </w:r>
      <w:r>
        <w:t xml:space="preserve"> The Queensland Public Advocate’s model proposes:</w:t>
      </w:r>
    </w:p>
    <w:p w14:paraId="5CDCE1FC" w14:textId="77777777" w:rsidR="00351EE1" w:rsidRPr="00990AD9" w:rsidRDefault="00351EE1" w:rsidP="00351EE1">
      <w:pPr>
        <w:pStyle w:val="FootnoteText"/>
        <w:numPr>
          <w:ilvl w:val="1"/>
          <w:numId w:val="35"/>
        </w:numPr>
      </w:pPr>
      <w:r w:rsidRPr="00990AD9">
        <w:t xml:space="preserve">local authorisers would be registered with a Senior Practitioner; </w:t>
      </w:r>
    </w:p>
    <w:p w14:paraId="20D67AC2" w14:textId="77777777" w:rsidR="00351EE1" w:rsidRPr="00990AD9" w:rsidRDefault="00351EE1" w:rsidP="00351EE1">
      <w:pPr>
        <w:pStyle w:val="FootnoteText"/>
        <w:numPr>
          <w:ilvl w:val="1"/>
          <w:numId w:val="35"/>
        </w:numPr>
      </w:pPr>
      <w:r w:rsidRPr="00990AD9">
        <w:t>all non-emergency usage of restrictive practices would need to be authorised by these local authorisers or by the Senior Practitioner;</w:t>
      </w:r>
    </w:p>
    <w:p w14:paraId="5F3021C4" w14:textId="77777777" w:rsidR="00351EE1" w:rsidRPr="00990AD9" w:rsidRDefault="00351EE1" w:rsidP="00351EE1">
      <w:pPr>
        <w:pStyle w:val="FootnoteText"/>
        <w:numPr>
          <w:ilvl w:val="1"/>
          <w:numId w:val="35"/>
        </w:numPr>
      </w:pPr>
      <w:r w:rsidRPr="00990AD9">
        <w:t>any usage beyond one-off or very short-term usage (which the office of the Senior Practitioner would be responsible for defining) would need to be accompanied by a Behaviour Support Plan, lodged with the Senior Practitioner;</w:t>
      </w:r>
    </w:p>
    <w:p w14:paraId="548C4C5F" w14:textId="77777777" w:rsidR="00351EE1" w:rsidRDefault="00351EE1" w:rsidP="00351EE1">
      <w:pPr>
        <w:pStyle w:val="FootnoteText"/>
        <w:numPr>
          <w:ilvl w:val="1"/>
          <w:numId w:val="35"/>
        </w:numPr>
      </w:pPr>
      <w:r w:rsidRPr="00990AD9">
        <w:t xml:space="preserve">there would be specific requirements for the use of restrictive practices in emergency scenarios, which must be reported to the Senior Practitioner; and </w:t>
      </w:r>
    </w:p>
    <w:p w14:paraId="255AAF21" w14:textId="77777777" w:rsidR="00351EE1" w:rsidRDefault="00351EE1" w:rsidP="00351EE1">
      <w:pPr>
        <w:pStyle w:val="FootnoteText"/>
        <w:numPr>
          <w:ilvl w:val="1"/>
          <w:numId w:val="35"/>
        </w:numPr>
      </w:pPr>
      <w:r w:rsidRPr="00990AD9">
        <w:t>the Senior Practitioner would (amongst other things) collate data and publicly report on the use of restrictive practices and provide practical guidance</w:t>
      </w:r>
    </w:p>
    <w:p w14:paraId="22FD5DEE" w14:textId="77777777" w:rsidR="00351EE1" w:rsidRPr="008B1629" w:rsidRDefault="00351EE1" w:rsidP="00351EE1">
      <w:pPr>
        <w:pStyle w:val="FootnoteText"/>
      </w:pPr>
      <w:r>
        <w:t xml:space="preserve">See: </w:t>
      </w:r>
      <w:r w:rsidRPr="008B1629">
        <w:t xml:space="preserve">John Chesterman, </w:t>
      </w:r>
      <w:r w:rsidRPr="008B1629">
        <w:rPr>
          <w:i/>
          <w:iCs/>
        </w:rPr>
        <w:t>Proposal for the Future Regulation (and Reduction in the Use) of Restrictive Practices in Queensland</w:t>
      </w:r>
      <w:r w:rsidRPr="008B1629">
        <w:t xml:space="preserve"> (Discussion Paper, March 2025) </w:t>
      </w:r>
      <w:r>
        <w:t>11</w:t>
      </w:r>
      <w:r w:rsidRPr="008B162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58320" w14:textId="06796890" w:rsidR="00C6392B" w:rsidRPr="00C6392B" w:rsidRDefault="009F7526">
    <w:pPr>
      <w:pStyle w:val="Header"/>
      <w:rPr>
        <w:lang w:val="en-GB"/>
      </w:rPr>
    </w:pPr>
    <w:r>
      <w:rPr>
        <w:lang w:val="en-GB"/>
      </w:rPr>
      <w:t xml:space="preserve">Submission – Inquiry into elder abuse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56AEB" w14:textId="7C5C5312" w:rsidR="00BC7248" w:rsidRDefault="00BC7248" w:rsidP="000C13C7">
    <w:pPr>
      <w:pStyle w:val="Header"/>
      <w:tabs>
        <w:tab w:val="clear" w:pos="4513"/>
        <w:tab w:val="clear" w:pos="9026"/>
      </w:tabs>
    </w:pPr>
    <w:r>
      <w:rPr>
        <w:noProof/>
        <w:lang w:eastAsia="en-AU"/>
      </w:rPr>
      <w:drawing>
        <wp:inline distT="0" distB="0" distL="0" distR="0" wp14:anchorId="32ABC6D1" wp14:editId="2984891A">
          <wp:extent cx="2042160" cy="852034"/>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HRC LOGO.png"/>
                  <pic:cNvPicPr/>
                </pic:nvPicPr>
                <pic:blipFill rotWithShape="1">
                  <a:blip r:embed="rId1">
                    <a:extLst>
                      <a:ext uri="{28A0092B-C50C-407E-A947-70E740481C1C}">
                        <a14:useLocalDpi xmlns:a14="http://schemas.microsoft.com/office/drawing/2010/main" val="0"/>
                      </a:ext>
                    </a:extLst>
                  </a:blip>
                  <a:srcRect l="4518"/>
                  <a:stretch/>
                </pic:blipFill>
                <pic:spPr bwMode="auto">
                  <a:xfrm>
                    <a:off x="0" y="0"/>
                    <a:ext cx="2047455" cy="85424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C41"/>
    <w:multiLevelType w:val="hybridMultilevel"/>
    <w:tmpl w:val="31DC4A3E"/>
    <w:lvl w:ilvl="0" w:tplc="AEBA9CDC">
      <w:start w:val="1"/>
      <w:numFmt w:val="decimal"/>
      <w:pStyle w:val="Style2"/>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0250E7E"/>
    <w:multiLevelType w:val="multilevel"/>
    <w:tmpl w:val="87B6B7B2"/>
    <w:lvl w:ilvl="0">
      <w:start w:val="1"/>
      <w:numFmt w:val="decimal"/>
      <w:pStyle w:val="Numberedparagraph"/>
      <w:lvlText w:val="%1."/>
      <w:lvlJc w:val="left"/>
      <w:pPr>
        <w:ind w:left="567" w:hanging="567"/>
      </w:pPr>
      <w:rPr>
        <w:rFonts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5274" w:hanging="113"/>
      </w:pPr>
      <w:rPr>
        <w:rFonts w:ascii="Symbol" w:hAnsi="Symbol" w:hint="default"/>
      </w:rPr>
    </w:lvl>
    <w:lvl w:ilvl="3">
      <w:start w:val="1"/>
      <w:numFmt w:val="decimal"/>
      <w:lvlText w:val="%4."/>
      <w:lvlJc w:val="left"/>
      <w:pPr>
        <w:ind w:left="-5093" w:hanging="357"/>
      </w:pPr>
      <w:rPr>
        <w:rFonts w:hint="default"/>
      </w:rPr>
    </w:lvl>
    <w:lvl w:ilvl="4">
      <w:start w:val="1"/>
      <w:numFmt w:val="lowerLetter"/>
      <w:lvlText w:val="%5."/>
      <w:lvlJc w:val="left"/>
      <w:pPr>
        <w:ind w:left="-4736" w:hanging="357"/>
      </w:pPr>
      <w:rPr>
        <w:rFonts w:hint="default"/>
      </w:rPr>
    </w:lvl>
    <w:lvl w:ilvl="5">
      <w:start w:val="1"/>
      <w:numFmt w:val="lowerRoman"/>
      <w:lvlText w:val="%6."/>
      <w:lvlJc w:val="right"/>
      <w:pPr>
        <w:ind w:left="-4379" w:hanging="357"/>
      </w:pPr>
      <w:rPr>
        <w:rFonts w:hint="default"/>
      </w:rPr>
    </w:lvl>
    <w:lvl w:ilvl="6">
      <w:start w:val="1"/>
      <w:numFmt w:val="decimal"/>
      <w:lvlText w:val="%7."/>
      <w:lvlJc w:val="left"/>
      <w:pPr>
        <w:ind w:left="-4022" w:hanging="357"/>
      </w:pPr>
      <w:rPr>
        <w:rFonts w:hint="default"/>
      </w:rPr>
    </w:lvl>
    <w:lvl w:ilvl="7">
      <w:start w:val="1"/>
      <w:numFmt w:val="lowerLetter"/>
      <w:lvlText w:val="%8."/>
      <w:lvlJc w:val="left"/>
      <w:pPr>
        <w:ind w:left="-3665" w:hanging="357"/>
      </w:pPr>
      <w:rPr>
        <w:rFonts w:hint="default"/>
      </w:rPr>
    </w:lvl>
    <w:lvl w:ilvl="8">
      <w:start w:val="1"/>
      <w:numFmt w:val="lowerRoman"/>
      <w:lvlText w:val="%9."/>
      <w:lvlJc w:val="right"/>
      <w:pPr>
        <w:ind w:left="-3308" w:hanging="357"/>
      </w:pPr>
      <w:rPr>
        <w:rFonts w:hint="default"/>
      </w:rPr>
    </w:lvl>
  </w:abstractNum>
  <w:abstractNum w:abstractNumId="2" w15:restartNumberingAfterBreak="0">
    <w:nsid w:val="10E14D01"/>
    <w:multiLevelType w:val="hybridMultilevel"/>
    <w:tmpl w:val="CB12F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A5571A"/>
    <w:multiLevelType w:val="hybridMultilevel"/>
    <w:tmpl w:val="AFD89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0F25A3"/>
    <w:multiLevelType w:val="hybridMultilevel"/>
    <w:tmpl w:val="2F3EA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EE1DDF"/>
    <w:multiLevelType w:val="hybridMultilevel"/>
    <w:tmpl w:val="17C8D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5B72B4"/>
    <w:multiLevelType w:val="hybridMultilevel"/>
    <w:tmpl w:val="AF70F1DC"/>
    <w:lvl w:ilvl="0" w:tplc="FFFFFFFF">
      <w:start w:val="1"/>
      <w:numFmt w:val="decimal"/>
      <w:lvlText w:val="%1."/>
      <w:lvlJc w:val="left"/>
      <w:pPr>
        <w:ind w:left="360" w:hanging="360"/>
      </w:pPr>
    </w:lvl>
    <w:lvl w:ilvl="1" w:tplc="0C090001">
      <w:start w:val="1"/>
      <w:numFmt w:val="bullet"/>
      <w:lvlText w:val=""/>
      <w:lvlJc w:val="left"/>
      <w:pPr>
        <w:ind w:left="786" w:hanging="360"/>
      </w:pPr>
      <w:rPr>
        <w:rFonts w:ascii="Symbol" w:hAnsi="Symbol" w:hint="default"/>
      </w:rPr>
    </w:lvl>
    <w:lvl w:ilvl="2" w:tplc="0C090003">
      <w:start w:val="1"/>
      <w:numFmt w:val="bullet"/>
      <w:lvlText w:val="o"/>
      <w:lvlJc w:val="left"/>
      <w:pPr>
        <w:ind w:left="1980" w:hanging="360"/>
      </w:pPr>
      <w:rPr>
        <w:rFonts w:ascii="Courier New" w:hAnsi="Courier New" w:cs="Courier New"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0A6374E"/>
    <w:multiLevelType w:val="hybridMultilevel"/>
    <w:tmpl w:val="7B6C4082"/>
    <w:lvl w:ilvl="0" w:tplc="FFFFFFFF">
      <w:start w:val="1"/>
      <w:numFmt w:val="decimal"/>
      <w:lvlText w:val="%1."/>
      <w:lvlJc w:val="left"/>
      <w:pPr>
        <w:ind w:left="360" w:hanging="360"/>
      </w:pPr>
    </w:lvl>
    <w:lvl w:ilvl="1" w:tplc="0C090001">
      <w:start w:val="1"/>
      <w:numFmt w:val="bullet"/>
      <w:lvlText w:val=""/>
      <w:lvlJc w:val="left"/>
      <w:pPr>
        <w:ind w:left="785"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2F703AD"/>
    <w:multiLevelType w:val="hybridMultilevel"/>
    <w:tmpl w:val="7F3CA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5A723E"/>
    <w:multiLevelType w:val="hybridMultilevel"/>
    <w:tmpl w:val="F904B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DF4DDB"/>
    <w:multiLevelType w:val="hybridMultilevel"/>
    <w:tmpl w:val="E3B09792"/>
    <w:lvl w:ilvl="0" w:tplc="37262A3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C25B44"/>
    <w:multiLevelType w:val="hybridMultilevel"/>
    <w:tmpl w:val="3B9A0EFA"/>
    <w:lvl w:ilvl="0" w:tplc="4794889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E74F4F"/>
    <w:multiLevelType w:val="hybridMultilevel"/>
    <w:tmpl w:val="7D7A122E"/>
    <w:lvl w:ilvl="0" w:tplc="FFFFFFFF">
      <w:start w:val="1"/>
      <w:numFmt w:val="decimal"/>
      <w:lvlText w:val="%1."/>
      <w:lvlJc w:val="left"/>
      <w:pPr>
        <w:ind w:left="360" w:hanging="360"/>
      </w:pPr>
    </w:lvl>
    <w:lvl w:ilvl="1" w:tplc="0C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3130DAB"/>
    <w:multiLevelType w:val="hybridMultilevel"/>
    <w:tmpl w:val="F472607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36D372CC"/>
    <w:multiLevelType w:val="hybridMultilevel"/>
    <w:tmpl w:val="811A5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21097C"/>
    <w:multiLevelType w:val="hybridMultilevel"/>
    <w:tmpl w:val="243A3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BD64AA"/>
    <w:multiLevelType w:val="hybridMultilevel"/>
    <w:tmpl w:val="407E9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F7097E"/>
    <w:multiLevelType w:val="hybridMultilevel"/>
    <w:tmpl w:val="A0B84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6237A6"/>
    <w:multiLevelType w:val="hybridMultilevel"/>
    <w:tmpl w:val="F6269EB6"/>
    <w:lvl w:ilvl="0" w:tplc="4FF869E4">
      <w:start w:val="1"/>
      <w:numFmt w:val="decimal"/>
      <w:lvlText w:val="%1."/>
      <w:lvlJc w:val="left"/>
      <w:pPr>
        <w:ind w:left="360" w:hanging="360"/>
      </w:pPr>
      <w:rPr>
        <w:b w:val="0"/>
        <w:bCs w:val="0"/>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CAD68DC"/>
    <w:multiLevelType w:val="hybridMultilevel"/>
    <w:tmpl w:val="0B761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763F9A"/>
    <w:multiLevelType w:val="hybridMultilevel"/>
    <w:tmpl w:val="577C8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3892484"/>
    <w:multiLevelType w:val="hybridMultilevel"/>
    <w:tmpl w:val="2FDEB44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2" w15:restartNumberingAfterBreak="0">
    <w:nsid w:val="44B92284"/>
    <w:multiLevelType w:val="hybridMultilevel"/>
    <w:tmpl w:val="BAB421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76C41EA"/>
    <w:multiLevelType w:val="hybridMultilevel"/>
    <w:tmpl w:val="E1425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56B2C5B"/>
    <w:multiLevelType w:val="hybridMultilevel"/>
    <w:tmpl w:val="CF22F158"/>
    <w:lvl w:ilvl="0" w:tplc="FFFFFFFF">
      <w:start w:val="1"/>
      <w:numFmt w:val="decimal"/>
      <w:lvlText w:val="%1."/>
      <w:lvlJc w:val="left"/>
      <w:pPr>
        <w:ind w:left="360" w:hanging="360"/>
      </w:p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7842AF1"/>
    <w:multiLevelType w:val="hybridMultilevel"/>
    <w:tmpl w:val="2B1AE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7F808A4"/>
    <w:multiLevelType w:val="hybridMultilevel"/>
    <w:tmpl w:val="71289A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9C34853"/>
    <w:multiLevelType w:val="hybridMultilevel"/>
    <w:tmpl w:val="D33C5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E262565"/>
    <w:multiLevelType w:val="hybridMultilevel"/>
    <w:tmpl w:val="3DD0B3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069" w:hanging="360"/>
      </w:pPr>
      <w:rPr>
        <w:rFonts w:ascii="Courier New" w:hAnsi="Courier New" w:cs="Courier New" w:hint="default"/>
      </w:rPr>
    </w:lvl>
    <w:lvl w:ilvl="2" w:tplc="0C090005">
      <w:start w:val="1"/>
      <w:numFmt w:val="bullet"/>
      <w:lvlText w:val=""/>
      <w:lvlJc w:val="left"/>
      <w:pPr>
        <w:ind w:left="1494" w:hanging="360"/>
      </w:pPr>
      <w:rPr>
        <w:rFonts w:ascii="Wingdings" w:hAnsi="Wingdings" w:hint="default"/>
      </w:rPr>
    </w:lvl>
    <w:lvl w:ilvl="3" w:tplc="0C090001">
      <w:start w:val="1"/>
      <w:numFmt w:val="bullet"/>
      <w:lvlText w:val=""/>
      <w:lvlJc w:val="left"/>
      <w:pPr>
        <w:ind w:left="1919"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15F40B1"/>
    <w:multiLevelType w:val="hybridMultilevel"/>
    <w:tmpl w:val="33DCDD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75911DD"/>
    <w:multiLevelType w:val="hybridMultilevel"/>
    <w:tmpl w:val="C8249B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3846197"/>
    <w:multiLevelType w:val="hybridMultilevel"/>
    <w:tmpl w:val="99BE92E6"/>
    <w:lvl w:ilvl="0" w:tplc="FFB8CE36">
      <w:start w:val="1"/>
      <w:numFmt w:val="decimal"/>
      <w:lvlText w:val="%1."/>
      <w:lvlJc w:val="left"/>
      <w:pPr>
        <w:ind w:left="360" w:hanging="360"/>
      </w:pPr>
      <w:rPr>
        <w:b w:val="0"/>
        <w:bCs w:val="0"/>
        <w:i w:val="0"/>
        <w:iCs w:val="0"/>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7471526E"/>
    <w:multiLevelType w:val="hybridMultilevel"/>
    <w:tmpl w:val="CFEE7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59479CD"/>
    <w:multiLevelType w:val="hybridMultilevel"/>
    <w:tmpl w:val="00A0750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8F52293"/>
    <w:multiLevelType w:val="hybridMultilevel"/>
    <w:tmpl w:val="30826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2E37D3"/>
    <w:multiLevelType w:val="hybridMultilevel"/>
    <w:tmpl w:val="4CE693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95892870">
    <w:abstractNumId w:val="0"/>
  </w:num>
  <w:num w:numId="2" w16cid:durableId="1260866680">
    <w:abstractNumId w:val="1"/>
  </w:num>
  <w:num w:numId="3" w16cid:durableId="1740517172">
    <w:abstractNumId w:val="26"/>
  </w:num>
  <w:num w:numId="4" w16cid:durableId="1330788257">
    <w:abstractNumId w:val="35"/>
  </w:num>
  <w:num w:numId="5" w16cid:durableId="1752777512">
    <w:abstractNumId w:val="19"/>
  </w:num>
  <w:num w:numId="6" w16cid:durableId="1359310085">
    <w:abstractNumId w:val="15"/>
  </w:num>
  <w:num w:numId="7" w16cid:durableId="1427653078">
    <w:abstractNumId w:val="32"/>
  </w:num>
  <w:num w:numId="8" w16cid:durableId="392046377">
    <w:abstractNumId w:val="27"/>
  </w:num>
  <w:num w:numId="9" w16cid:durableId="462768360">
    <w:abstractNumId w:val="5"/>
  </w:num>
  <w:num w:numId="10" w16cid:durableId="326398176">
    <w:abstractNumId w:val="14"/>
  </w:num>
  <w:num w:numId="11" w16cid:durableId="1670792221">
    <w:abstractNumId w:val="21"/>
  </w:num>
  <w:num w:numId="12" w16cid:durableId="2144957188">
    <w:abstractNumId w:val="1"/>
  </w:num>
  <w:num w:numId="13" w16cid:durableId="1748188150">
    <w:abstractNumId w:val="1"/>
  </w:num>
  <w:num w:numId="14" w16cid:durableId="188372389">
    <w:abstractNumId w:val="1"/>
  </w:num>
  <w:num w:numId="15" w16cid:durableId="1956710205">
    <w:abstractNumId w:val="1"/>
  </w:num>
  <w:num w:numId="16" w16cid:durableId="1722821830">
    <w:abstractNumId w:val="1"/>
  </w:num>
  <w:num w:numId="17" w16cid:durableId="122624642">
    <w:abstractNumId w:val="1"/>
  </w:num>
  <w:num w:numId="18" w16cid:durableId="825784699">
    <w:abstractNumId w:val="1"/>
  </w:num>
  <w:num w:numId="19" w16cid:durableId="591013720">
    <w:abstractNumId w:val="1"/>
  </w:num>
  <w:num w:numId="20" w16cid:durableId="917521418">
    <w:abstractNumId w:val="1"/>
  </w:num>
  <w:num w:numId="21" w16cid:durableId="1633751927">
    <w:abstractNumId w:val="25"/>
  </w:num>
  <w:num w:numId="22" w16cid:durableId="1119110141">
    <w:abstractNumId w:val="16"/>
  </w:num>
  <w:num w:numId="23" w16cid:durableId="1440293199">
    <w:abstractNumId w:val="34"/>
  </w:num>
  <w:num w:numId="24" w16cid:durableId="1593665616">
    <w:abstractNumId w:val="8"/>
  </w:num>
  <w:num w:numId="25" w16cid:durableId="322241523">
    <w:abstractNumId w:val="2"/>
  </w:num>
  <w:num w:numId="26" w16cid:durableId="120542491">
    <w:abstractNumId w:val="1"/>
  </w:num>
  <w:num w:numId="27" w16cid:durableId="1159806174">
    <w:abstractNumId w:val="13"/>
  </w:num>
  <w:num w:numId="28" w16cid:durableId="1264146464">
    <w:abstractNumId w:val="1"/>
  </w:num>
  <w:num w:numId="29" w16cid:durableId="940525009">
    <w:abstractNumId w:val="20"/>
  </w:num>
  <w:num w:numId="30" w16cid:durableId="1824470974">
    <w:abstractNumId w:val="3"/>
  </w:num>
  <w:num w:numId="31" w16cid:durableId="1548489474">
    <w:abstractNumId w:val="11"/>
  </w:num>
  <w:num w:numId="32" w16cid:durableId="2049988324">
    <w:abstractNumId w:val="9"/>
  </w:num>
  <w:num w:numId="33" w16cid:durableId="1990547789">
    <w:abstractNumId w:val="17"/>
  </w:num>
  <w:num w:numId="34" w16cid:durableId="1570380318">
    <w:abstractNumId w:val="4"/>
  </w:num>
  <w:num w:numId="35" w16cid:durableId="1284965397">
    <w:abstractNumId w:val="18"/>
  </w:num>
  <w:num w:numId="36" w16cid:durableId="1891383982">
    <w:abstractNumId w:val="30"/>
  </w:num>
  <w:num w:numId="37" w16cid:durableId="1880586203">
    <w:abstractNumId w:val="22"/>
  </w:num>
  <w:num w:numId="38" w16cid:durableId="1765759643">
    <w:abstractNumId w:val="23"/>
  </w:num>
  <w:num w:numId="39" w16cid:durableId="898980880">
    <w:abstractNumId w:val="10"/>
  </w:num>
  <w:num w:numId="40" w16cid:durableId="1841507727">
    <w:abstractNumId w:val="33"/>
  </w:num>
  <w:num w:numId="41" w16cid:durableId="1841771119">
    <w:abstractNumId w:val="29"/>
  </w:num>
  <w:num w:numId="42" w16cid:durableId="1051727211">
    <w:abstractNumId w:val="6"/>
  </w:num>
  <w:num w:numId="43" w16cid:durableId="651179820">
    <w:abstractNumId w:val="28"/>
  </w:num>
  <w:num w:numId="44" w16cid:durableId="1091437512">
    <w:abstractNumId w:val="12"/>
  </w:num>
  <w:num w:numId="45" w16cid:durableId="1962102913">
    <w:abstractNumId w:val="7"/>
  </w:num>
  <w:num w:numId="46" w16cid:durableId="965618789">
    <w:abstractNumId w:val="31"/>
  </w:num>
  <w:num w:numId="47" w16cid:durableId="1680961280">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408"/>
    <w:rsid w:val="00001C99"/>
    <w:rsid w:val="00001D7F"/>
    <w:rsid w:val="00001ED0"/>
    <w:rsid w:val="000028AC"/>
    <w:rsid w:val="000031A4"/>
    <w:rsid w:val="0000383B"/>
    <w:rsid w:val="00003CBE"/>
    <w:rsid w:val="00004459"/>
    <w:rsid w:val="000046C8"/>
    <w:rsid w:val="00006019"/>
    <w:rsid w:val="000068C1"/>
    <w:rsid w:val="0000708D"/>
    <w:rsid w:val="00010517"/>
    <w:rsid w:val="00011C2C"/>
    <w:rsid w:val="000123D2"/>
    <w:rsid w:val="0001271C"/>
    <w:rsid w:val="00013160"/>
    <w:rsid w:val="000140CF"/>
    <w:rsid w:val="00015994"/>
    <w:rsid w:val="00015BD8"/>
    <w:rsid w:val="00015FFE"/>
    <w:rsid w:val="000170D4"/>
    <w:rsid w:val="000172E0"/>
    <w:rsid w:val="000176F1"/>
    <w:rsid w:val="00017A18"/>
    <w:rsid w:val="000208D7"/>
    <w:rsid w:val="00020D8D"/>
    <w:rsid w:val="000224DA"/>
    <w:rsid w:val="0002263D"/>
    <w:rsid w:val="00023237"/>
    <w:rsid w:val="00023525"/>
    <w:rsid w:val="00025316"/>
    <w:rsid w:val="000257E4"/>
    <w:rsid w:val="00025F78"/>
    <w:rsid w:val="000262C4"/>
    <w:rsid w:val="000262F8"/>
    <w:rsid w:val="000264BD"/>
    <w:rsid w:val="000266F0"/>
    <w:rsid w:val="000301EC"/>
    <w:rsid w:val="00030DAB"/>
    <w:rsid w:val="00031014"/>
    <w:rsid w:val="000311C4"/>
    <w:rsid w:val="00031203"/>
    <w:rsid w:val="00032045"/>
    <w:rsid w:val="00032F45"/>
    <w:rsid w:val="00036A02"/>
    <w:rsid w:val="00036CD3"/>
    <w:rsid w:val="000403D7"/>
    <w:rsid w:val="000415AD"/>
    <w:rsid w:val="00041697"/>
    <w:rsid w:val="00041954"/>
    <w:rsid w:val="00042431"/>
    <w:rsid w:val="00042C79"/>
    <w:rsid w:val="000433B6"/>
    <w:rsid w:val="00045199"/>
    <w:rsid w:val="00045746"/>
    <w:rsid w:val="0004617E"/>
    <w:rsid w:val="0005064A"/>
    <w:rsid w:val="00051DB7"/>
    <w:rsid w:val="0005256A"/>
    <w:rsid w:val="00052585"/>
    <w:rsid w:val="00052734"/>
    <w:rsid w:val="0005335E"/>
    <w:rsid w:val="0005368E"/>
    <w:rsid w:val="0005470C"/>
    <w:rsid w:val="0005492D"/>
    <w:rsid w:val="000558B4"/>
    <w:rsid w:val="00056B1A"/>
    <w:rsid w:val="00056CE4"/>
    <w:rsid w:val="00056F37"/>
    <w:rsid w:val="000601BC"/>
    <w:rsid w:val="00062453"/>
    <w:rsid w:val="00062623"/>
    <w:rsid w:val="000628FC"/>
    <w:rsid w:val="0006329E"/>
    <w:rsid w:val="000643C4"/>
    <w:rsid w:val="00064A66"/>
    <w:rsid w:val="0006662D"/>
    <w:rsid w:val="00071BFF"/>
    <w:rsid w:val="00071F5D"/>
    <w:rsid w:val="0007286C"/>
    <w:rsid w:val="00075091"/>
    <w:rsid w:val="00075EA8"/>
    <w:rsid w:val="00076B2F"/>
    <w:rsid w:val="00080429"/>
    <w:rsid w:val="000807DF"/>
    <w:rsid w:val="00080BC2"/>
    <w:rsid w:val="00081783"/>
    <w:rsid w:val="00081AF1"/>
    <w:rsid w:val="00081E78"/>
    <w:rsid w:val="000820E4"/>
    <w:rsid w:val="000828BA"/>
    <w:rsid w:val="00083185"/>
    <w:rsid w:val="00083C46"/>
    <w:rsid w:val="00084791"/>
    <w:rsid w:val="00084DF8"/>
    <w:rsid w:val="00084F36"/>
    <w:rsid w:val="000854B3"/>
    <w:rsid w:val="00085AD9"/>
    <w:rsid w:val="0009085F"/>
    <w:rsid w:val="00091CF4"/>
    <w:rsid w:val="0009224C"/>
    <w:rsid w:val="00093A37"/>
    <w:rsid w:val="00094607"/>
    <w:rsid w:val="000946D7"/>
    <w:rsid w:val="000950BD"/>
    <w:rsid w:val="00095219"/>
    <w:rsid w:val="000A0031"/>
    <w:rsid w:val="000A17C2"/>
    <w:rsid w:val="000A1A04"/>
    <w:rsid w:val="000A31AE"/>
    <w:rsid w:val="000A34B0"/>
    <w:rsid w:val="000A4103"/>
    <w:rsid w:val="000A4C5A"/>
    <w:rsid w:val="000A5283"/>
    <w:rsid w:val="000A6AF9"/>
    <w:rsid w:val="000A6F79"/>
    <w:rsid w:val="000A79B0"/>
    <w:rsid w:val="000A7B3B"/>
    <w:rsid w:val="000B01E5"/>
    <w:rsid w:val="000B0F97"/>
    <w:rsid w:val="000B10EE"/>
    <w:rsid w:val="000B142A"/>
    <w:rsid w:val="000B278D"/>
    <w:rsid w:val="000B37D3"/>
    <w:rsid w:val="000B4724"/>
    <w:rsid w:val="000B495A"/>
    <w:rsid w:val="000B52AD"/>
    <w:rsid w:val="000B5F71"/>
    <w:rsid w:val="000B731B"/>
    <w:rsid w:val="000B78CE"/>
    <w:rsid w:val="000B7D68"/>
    <w:rsid w:val="000B7EC7"/>
    <w:rsid w:val="000C0AD9"/>
    <w:rsid w:val="000C13C7"/>
    <w:rsid w:val="000C185E"/>
    <w:rsid w:val="000C1AD9"/>
    <w:rsid w:val="000C1D43"/>
    <w:rsid w:val="000C1D9B"/>
    <w:rsid w:val="000C2815"/>
    <w:rsid w:val="000C2EF8"/>
    <w:rsid w:val="000C3046"/>
    <w:rsid w:val="000C3440"/>
    <w:rsid w:val="000C4F74"/>
    <w:rsid w:val="000C591E"/>
    <w:rsid w:val="000C6566"/>
    <w:rsid w:val="000C7F87"/>
    <w:rsid w:val="000C7FA0"/>
    <w:rsid w:val="000D0955"/>
    <w:rsid w:val="000D0A44"/>
    <w:rsid w:val="000D23DC"/>
    <w:rsid w:val="000D4478"/>
    <w:rsid w:val="000D4725"/>
    <w:rsid w:val="000D49CD"/>
    <w:rsid w:val="000D6566"/>
    <w:rsid w:val="000D6E69"/>
    <w:rsid w:val="000D74A1"/>
    <w:rsid w:val="000E073E"/>
    <w:rsid w:val="000E0B9C"/>
    <w:rsid w:val="000E1034"/>
    <w:rsid w:val="000E3724"/>
    <w:rsid w:val="000E6536"/>
    <w:rsid w:val="000E681F"/>
    <w:rsid w:val="000E757A"/>
    <w:rsid w:val="000E7F91"/>
    <w:rsid w:val="000F0D1F"/>
    <w:rsid w:val="000F1E70"/>
    <w:rsid w:val="000F2A93"/>
    <w:rsid w:val="000F31ED"/>
    <w:rsid w:val="000F4356"/>
    <w:rsid w:val="000F45DB"/>
    <w:rsid w:val="000F6C5C"/>
    <w:rsid w:val="000F7592"/>
    <w:rsid w:val="000F7D7D"/>
    <w:rsid w:val="001001ED"/>
    <w:rsid w:val="00102F93"/>
    <w:rsid w:val="00103877"/>
    <w:rsid w:val="00103965"/>
    <w:rsid w:val="001053B8"/>
    <w:rsid w:val="00105479"/>
    <w:rsid w:val="00106C63"/>
    <w:rsid w:val="00107296"/>
    <w:rsid w:val="001102F8"/>
    <w:rsid w:val="00114770"/>
    <w:rsid w:val="001157C9"/>
    <w:rsid w:val="00115F4F"/>
    <w:rsid w:val="001167BC"/>
    <w:rsid w:val="00117446"/>
    <w:rsid w:val="00117C58"/>
    <w:rsid w:val="00120073"/>
    <w:rsid w:val="00120E37"/>
    <w:rsid w:val="00121022"/>
    <w:rsid w:val="00123867"/>
    <w:rsid w:val="00124665"/>
    <w:rsid w:val="00124B9E"/>
    <w:rsid w:val="00125B1C"/>
    <w:rsid w:val="001264DC"/>
    <w:rsid w:val="001268F4"/>
    <w:rsid w:val="00126FA4"/>
    <w:rsid w:val="0012725D"/>
    <w:rsid w:val="0012775B"/>
    <w:rsid w:val="001301AB"/>
    <w:rsid w:val="00130BE3"/>
    <w:rsid w:val="001336D4"/>
    <w:rsid w:val="00133C72"/>
    <w:rsid w:val="0013438D"/>
    <w:rsid w:val="00134406"/>
    <w:rsid w:val="00135CA5"/>
    <w:rsid w:val="00137BCA"/>
    <w:rsid w:val="00140168"/>
    <w:rsid w:val="00140799"/>
    <w:rsid w:val="001419C7"/>
    <w:rsid w:val="00141EB4"/>
    <w:rsid w:val="00145282"/>
    <w:rsid w:val="001463EA"/>
    <w:rsid w:val="00146BE8"/>
    <w:rsid w:val="00146E25"/>
    <w:rsid w:val="00146EAC"/>
    <w:rsid w:val="001474A3"/>
    <w:rsid w:val="00147AC4"/>
    <w:rsid w:val="0015034E"/>
    <w:rsid w:val="001516BE"/>
    <w:rsid w:val="0015183D"/>
    <w:rsid w:val="001518BB"/>
    <w:rsid w:val="00151B5F"/>
    <w:rsid w:val="001523FA"/>
    <w:rsid w:val="001531F1"/>
    <w:rsid w:val="00154D0C"/>
    <w:rsid w:val="00155799"/>
    <w:rsid w:val="00157983"/>
    <w:rsid w:val="00162530"/>
    <w:rsid w:val="00164152"/>
    <w:rsid w:val="001646C2"/>
    <w:rsid w:val="001649D5"/>
    <w:rsid w:val="00164C62"/>
    <w:rsid w:val="001653AE"/>
    <w:rsid w:val="00166342"/>
    <w:rsid w:val="001663A7"/>
    <w:rsid w:val="00167744"/>
    <w:rsid w:val="00167A26"/>
    <w:rsid w:val="001701BE"/>
    <w:rsid w:val="00171338"/>
    <w:rsid w:val="00171528"/>
    <w:rsid w:val="00172CA2"/>
    <w:rsid w:val="001732DA"/>
    <w:rsid w:val="00173CF0"/>
    <w:rsid w:val="00174370"/>
    <w:rsid w:val="00174680"/>
    <w:rsid w:val="001762E1"/>
    <w:rsid w:val="00176975"/>
    <w:rsid w:val="00177441"/>
    <w:rsid w:val="001809DF"/>
    <w:rsid w:val="0018131E"/>
    <w:rsid w:val="001818F5"/>
    <w:rsid w:val="00182088"/>
    <w:rsid w:val="00182133"/>
    <w:rsid w:val="00183435"/>
    <w:rsid w:val="00184163"/>
    <w:rsid w:val="00184222"/>
    <w:rsid w:val="00184CFE"/>
    <w:rsid w:val="0019055A"/>
    <w:rsid w:val="00190EA1"/>
    <w:rsid w:val="001925BC"/>
    <w:rsid w:val="00193198"/>
    <w:rsid w:val="0019385B"/>
    <w:rsid w:val="00193B43"/>
    <w:rsid w:val="00194119"/>
    <w:rsid w:val="0019534E"/>
    <w:rsid w:val="00196239"/>
    <w:rsid w:val="001969DB"/>
    <w:rsid w:val="00196FF1"/>
    <w:rsid w:val="00197581"/>
    <w:rsid w:val="00197DE1"/>
    <w:rsid w:val="001A0D4E"/>
    <w:rsid w:val="001A1DB1"/>
    <w:rsid w:val="001A1EBF"/>
    <w:rsid w:val="001A28AE"/>
    <w:rsid w:val="001A2EDD"/>
    <w:rsid w:val="001A3C8B"/>
    <w:rsid w:val="001A5456"/>
    <w:rsid w:val="001A55A1"/>
    <w:rsid w:val="001A5B31"/>
    <w:rsid w:val="001A5FA8"/>
    <w:rsid w:val="001A6BD5"/>
    <w:rsid w:val="001A7E7E"/>
    <w:rsid w:val="001B142E"/>
    <w:rsid w:val="001B15D2"/>
    <w:rsid w:val="001B1DA8"/>
    <w:rsid w:val="001B3567"/>
    <w:rsid w:val="001B372A"/>
    <w:rsid w:val="001B3881"/>
    <w:rsid w:val="001B6FB0"/>
    <w:rsid w:val="001B734E"/>
    <w:rsid w:val="001B783B"/>
    <w:rsid w:val="001C0493"/>
    <w:rsid w:val="001C0DA0"/>
    <w:rsid w:val="001C15C9"/>
    <w:rsid w:val="001C2C80"/>
    <w:rsid w:val="001C5015"/>
    <w:rsid w:val="001C56D5"/>
    <w:rsid w:val="001C6394"/>
    <w:rsid w:val="001C7354"/>
    <w:rsid w:val="001D0111"/>
    <w:rsid w:val="001D0754"/>
    <w:rsid w:val="001D0A19"/>
    <w:rsid w:val="001D148E"/>
    <w:rsid w:val="001D1574"/>
    <w:rsid w:val="001D208E"/>
    <w:rsid w:val="001D27B6"/>
    <w:rsid w:val="001D299B"/>
    <w:rsid w:val="001D3977"/>
    <w:rsid w:val="001D4F6A"/>
    <w:rsid w:val="001D530A"/>
    <w:rsid w:val="001D5DC1"/>
    <w:rsid w:val="001D5EE0"/>
    <w:rsid w:val="001D63E9"/>
    <w:rsid w:val="001D73E3"/>
    <w:rsid w:val="001D7CAA"/>
    <w:rsid w:val="001E0C4E"/>
    <w:rsid w:val="001E1FA9"/>
    <w:rsid w:val="001E2965"/>
    <w:rsid w:val="001E42B8"/>
    <w:rsid w:val="001E5FDE"/>
    <w:rsid w:val="001E66AD"/>
    <w:rsid w:val="001E6AE9"/>
    <w:rsid w:val="001E6FF7"/>
    <w:rsid w:val="001E7453"/>
    <w:rsid w:val="001E79FA"/>
    <w:rsid w:val="001F00D8"/>
    <w:rsid w:val="001F00DA"/>
    <w:rsid w:val="001F0137"/>
    <w:rsid w:val="001F12B1"/>
    <w:rsid w:val="001F1308"/>
    <w:rsid w:val="001F1F9E"/>
    <w:rsid w:val="001F202D"/>
    <w:rsid w:val="001F3B40"/>
    <w:rsid w:val="001F3D3A"/>
    <w:rsid w:val="001F4AB7"/>
    <w:rsid w:val="001F61B5"/>
    <w:rsid w:val="001F6373"/>
    <w:rsid w:val="001F7249"/>
    <w:rsid w:val="001F7C08"/>
    <w:rsid w:val="001F7D46"/>
    <w:rsid w:val="0020043D"/>
    <w:rsid w:val="00201AD0"/>
    <w:rsid w:val="00201F8C"/>
    <w:rsid w:val="00203611"/>
    <w:rsid w:val="002051EB"/>
    <w:rsid w:val="00205E37"/>
    <w:rsid w:val="00207666"/>
    <w:rsid w:val="00207B29"/>
    <w:rsid w:val="0021023A"/>
    <w:rsid w:val="00210F99"/>
    <w:rsid w:val="002126F5"/>
    <w:rsid w:val="002127E1"/>
    <w:rsid w:val="00213371"/>
    <w:rsid w:val="00213BA2"/>
    <w:rsid w:val="00214091"/>
    <w:rsid w:val="0021548E"/>
    <w:rsid w:val="00215766"/>
    <w:rsid w:val="00215D41"/>
    <w:rsid w:val="00216106"/>
    <w:rsid w:val="00217F25"/>
    <w:rsid w:val="00220FDC"/>
    <w:rsid w:val="002221CD"/>
    <w:rsid w:val="00222236"/>
    <w:rsid w:val="00223932"/>
    <w:rsid w:val="0022426C"/>
    <w:rsid w:val="00225896"/>
    <w:rsid w:val="00225F4B"/>
    <w:rsid w:val="002267F4"/>
    <w:rsid w:val="002314A0"/>
    <w:rsid w:val="0023208F"/>
    <w:rsid w:val="002323A7"/>
    <w:rsid w:val="00232F17"/>
    <w:rsid w:val="00233002"/>
    <w:rsid w:val="002334EE"/>
    <w:rsid w:val="00235F22"/>
    <w:rsid w:val="00240CFD"/>
    <w:rsid w:val="00241CB8"/>
    <w:rsid w:val="0024211A"/>
    <w:rsid w:val="002428E1"/>
    <w:rsid w:val="00242ADE"/>
    <w:rsid w:val="00242DD0"/>
    <w:rsid w:val="00243179"/>
    <w:rsid w:val="00243627"/>
    <w:rsid w:val="00243D79"/>
    <w:rsid w:val="00244B8E"/>
    <w:rsid w:val="002451B7"/>
    <w:rsid w:val="00246887"/>
    <w:rsid w:val="002468DE"/>
    <w:rsid w:val="00247165"/>
    <w:rsid w:val="00250310"/>
    <w:rsid w:val="00250841"/>
    <w:rsid w:val="002508A4"/>
    <w:rsid w:val="00250F38"/>
    <w:rsid w:val="00251E34"/>
    <w:rsid w:val="00253F0C"/>
    <w:rsid w:val="00254AD1"/>
    <w:rsid w:val="002559BD"/>
    <w:rsid w:val="00256DC5"/>
    <w:rsid w:val="00260CD0"/>
    <w:rsid w:val="00262C2E"/>
    <w:rsid w:val="00263700"/>
    <w:rsid w:val="00263F92"/>
    <w:rsid w:val="0026452E"/>
    <w:rsid w:val="00265FA6"/>
    <w:rsid w:val="00266AD2"/>
    <w:rsid w:val="00267038"/>
    <w:rsid w:val="00267AD2"/>
    <w:rsid w:val="00267F39"/>
    <w:rsid w:val="00270544"/>
    <w:rsid w:val="00271194"/>
    <w:rsid w:val="00271E32"/>
    <w:rsid w:val="002722F3"/>
    <w:rsid w:val="00272F6F"/>
    <w:rsid w:val="002734F4"/>
    <w:rsid w:val="00274D77"/>
    <w:rsid w:val="0027617C"/>
    <w:rsid w:val="002764F3"/>
    <w:rsid w:val="00276D21"/>
    <w:rsid w:val="00276DBA"/>
    <w:rsid w:val="00277D80"/>
    <w:rsid w:val="00280303"/>
    <w:rsid w:val="00280DD2"/>
    <w:rsid w:val="002815A9"/>
    <w:rsid w:val="0028265D"/>
    <w:rsid w:val="002843CD"/>
    <w:rsid w:val="002849CD"/>
    <w:rsid w:val="00287B53"/>
    <w:rsid w:val="00291320"/>
    <w:rsid w:val="00291C51"/>
    <w:rsid w:val="00291DC3"/>
    <w:rsid w:val="00291F67"/>
    <w:rsid w:val="002929F1"/>
    <w:rsid w:val="00295444"/>
    <w:rsid w:val="00295718"/>
    <w:rsid w:val="00295A3C"/>
    <w:rsid w:val="00295DDB"/>
    <w:rsid w:val="002970EA"/>
    <w:rsid w:val="002A0FB8"/>
    <w:rsid w:val="002A1EDD"/>
    <w:rsid w:val="002A281A"/>
    <w:rsid w:val="002A29E9"/>
    <w:rsid w:val="002A2ED5"/>
    <w:rsid w:val="002A31E2"/>
    <w:rsid w:val="002A368E"/>
    <w:rsid w:val="002A4BF8"/>
    <w:rsid w:val="002A5644"/>
    <w:rsid w:val="002A59FC"/>
    <w:rsid w:val="002A6D64"/>
    <w:rsid w:val="002A6F47"/>
    <w:rsid w:val="002A787D"/>
    <w:rsid w:val="002A7CA5"/>
    <w:rsid w:val="002A7DAE"/>
    <w:rsid w:val="002B1D25"/>
    <w:rsid w:val="002B1EA2"/>
    <w:rsid w:val="002B36A2"/>
    <w:rsid w:val="002B4B73"/>
    <w:rsid w:val="002B55FC"/>
    <w:rsid w:val="002B5E30"/>
    <w:rsid w:val="002B670B"/>
    <w:rsid w:val="002C322C"/>
    <w:rsid w:val="002C33C5"/>
    <w:rsid w:val="002C5BBA"/>
    <w:rsid w:val="002C5EF7"/>
    <w:rsid w:val="002C62CE"/>
    <w:rsid w:val="002D1264"/>
    <w:rsid w:val="002D1276"/>
    <w:rsid w:val="002D1424"/>
    <w:rsid w:val="002D18C1"/>
    <w:rsid w:val="002D215F"/>
    <w:rsid w:val="002D33FD"/>
    <w:rsid w:val="002D3F0D"/>
    <w:rsid w:val="002D519E"/>
    <w:rsid w:val="002D5753"/>
    <w:rsid w:val="002D5E4C"/>
    <w:rsid w:val="002D5F93"/>
    <w:rsid w:val="002D6990"/>
    <w:rsid w:val="002D775E"/>
    <w:rsid w:val="002D7A8B"/>
    <w:rsid w:val="002E0E89"/>
    <w:rsid w:val="002E1389"/>
    <w:rsid w:val="002E1E23"/>
    <w:rsid w:val="002E277E"/>
    <w:rsid w:val="002E27CD"/>
    <w:rsid w:val="002E496A"/>
    <w:rsid w:val="002E4D6D"/>
    <w:rsid w:val="002E5207"/>
    <w:rsid w:val="002F170D"/>
    <w:rsid w:val="002F36E9"/>
    <w:rsid w:val="002F4FF8"/>
    <w:rsid w:val="002F513E"/>
    <w:rsid w:val="002F5E57"/>
    <w:rsid w:val="002F63CD"/>
    <w:rsid w:val="002F6C74"/>
    <w:rsid w:val="002F6FCC"/>
    <w:rsid w:val="002F740D"/>
    <w:rsid w:val="002F751A"/>
    <w:rsid w:val="002F7907"/>
    <w:rsid w:val="00300122"/>
    <w:rsid w:val="003006C7"/>
    <w:rsid w:val="00300732"/>
    <w:rsid w:val="00300DA2"/>
    <w:rsid w:val="003012EB"/>
    <w:rsid w:val="00301EF1"/>
    <w:rsid w:val="0030259A"/>
    <w:rsid w:val="00303AB4"/>
    <w:rsid w:val="00304276"/>
    <w:rsid w:val="00304325"/>
    <w:rsid w:val="00304408"/>
    <w:rsid w:val="003049DF"/>
    <w:rsid w:val="00305A57"/>
    <w:rsid w:val="003060C6"/>
    <w:rsid w:val="00306FB3"/>
    <w:rsid w:val="00310539"/>
    <w:rsid w:val="0031116A"/>
    <w:rsid w:val="0031199E"/>
    <w:rsid w:val="00311E88"/>
    <w:rsid w:val="003134D9"/>
    <w:rsid w:val="003135F7"/>
    <w:rsid w:val="00313637"/>
    <w:rsid w:val="0031505C"/>
    <w:rsid w:val="00315D02"/>
    <w:rsid w:val="00316FE0"/>
    <w:rsid w:val="003174D2"/>
    <w:rsid w:val="0031793A"/>
    <w:rsid w:val="003201B6"/>
    <w:rsid w:val="00321296"/>
    <w:rsid w:val="00321A0A"/>
    <w:rsid w:val="00321E67"/>
    <w:rsid w:val="00323CF0"/>
    <w:rsid w:val="00324474"/>
    <w:rsid w:val="0032468A"/>
    <w:rsid w:val="003246B8"/>
    <w:rsid w:val="003253F3"/>
    <w:rsid w:val="003256A6"/>
    <w:rsid w:val="00325C62"/>
    <w:rsid w:val="00325D8F"/>
    <w:rsid w:val="0032625C"/>
    <w:rsid w:val="003262B5"/>
    <w:rsid w:val="003303A2"/>
    <w:rsid w:val="003311FC"/>
    <w:rsid w:val="003315FA"/>
    <w:rsid w:val="00333777"/>
    <w:rsid w:val="00334065"/>
    <w:rsid w:val="00334386"/>
    <w:rsid w:val="00334E2B"/>
    <w:rsid w:val="00335EF0"/>
    <w:rsid w:val="00336911"/>
    <w:rsid w:val="0033735C"/>
    <w:rsid w:val="00340645"/>
    <w:rsid w:val="00341316"/>
    <w:rsid w:val="00343FBC"/>
    <w:rsid w:val="003442E7"/>
    <w:rsid w:val="00345276"/>
    <w:rsid w:val="003452A1"/>
    <w:rsid w:val="003452E5"/>
    <w:rsid w:val="003457AF"/>
    <w:rsid w:val="00346EE7"/>
    <w:rsid w:val="00351EE1"/>
    <w:rsid w:val="00353A58"/>
    <w:rsid w:val="003543F9"/>
    <w:rsid w:val="00354511"/>
    <w:rsid w:val="003546EA"/>
    <w:rsid w:val="003551BB"/>
    <w:rsid w:val="00355CE0"/>
    <w:rsid w:val="00356337"/>
    <w:rsid w:val="003566E6"/>
    <w:rsid w:val="0035724E"/>
    <w:rsid w:val="00357356"/>
    <w:rsid w:val="0035786D"/>
    <w:rsid w:val="00360AAA"/>
    <w:rsid w:val="00363198"/>
    <w:rsid w:val="00363866"/>
    <w:rsid w:val="00363A9B"/>
    <w:rsid w:val="0036491F"/>
    <w:rsid w:val="00364B56"/>
    <w:rsid w:val="00364DFD"/>
    <w:rsid w:val="00366232"/>
    <w:rsid w:val="003664DF"/>
    <w:rsid w:val="003674EE"/>
    <w:rsid w:val="00367578"/>
    <w:rsid w:val="003678DD"/>
    <w:rsid w:val="00367AA9"/>
    <w:rsid w:val="0037018E"/>
    <w:rsid w:val="003707A6"/>
    <w:rsid w:val="0037090A"/>
    <w:rsid w:val="00370DB0"/>
    <w:rsid w:val="003716FA"/>
    <w:rsid w:val="003717AD"/>
    <w:rsid w:val="003725B8"/>
    <w:rsid w:val="003738FA"/>
    <w:rsid w:val="00374EFA"/>
    <w:rsid w:val="0037560A"/>
    <w:rsid w:val="00375C83"/>
    <w:rsid w:val="0037622D"/>
    <w:rsid w:val="00377190"/>
    <w:rsid w:val="00380759"/>
    <w:rsid w:val="00381282"/>
    <w:rsid w:val="00381857"/>
    <w:rsid w:val="00382157"/>
    <w:rsid w:val="00383061"/>
    <w:rsid w:val="00383B79"/>
    <w:rsid w:val="00384432"/>
    <w:rsid w:val="0038443D"/>
    <w:rsid w:val="00384946"/>
    <w:rsid w:val="00385A66"/>
    <w:rsid w:val="00385B53"/>
    <w:rsid w:val="003865C1"/>
    <w:rsid w:val="0038709E"/>
    <w:rsid w:val="003921E0"/>
    <w:rsid w:val="003928DD"/>
    <w:rsid w:val="0039393B"/>
    <w:rsid w:val="00393D6A"/>
    <w:rsid w:val="00394ADC"/>
    <w:rsid w:val="00394F39"/>
    <w:rsid w:val="003955B0"/>
    <w:rsid w:val="00397798"/>
    <w:rsid w:val="003A0CDE"/>
    <w:rsid w:val="003A12B6"/>
    <w:rsid w:val="003A1CAD"/>
    <w:rsid w:val="003A4422"/>
    <w:rsid w:val="003A4907"/>
    <w:rsid w:val="003A50B1"/>
    <w:rsid w:val="003A605A"/>
    <w:rsid w:val="003A63B6"/>
    <w:rsid w:val="003A7136"/>
    <w:rsid w:val="003B1024"/>
    <w:rsid w:val="003B1ECB"/>
    <w:rsid w:val="003B2DBD"/>
    <w:rsid w:val="003B51D5"/>
    <w:rsid w:val="003B5EC7"/>
    <w:rsid w:val="003B6077"/>
    <w:rsid w:val="003B6A7C"/>
    <w:rsid w:val="003B71B8"/>
    <w:rsid w:val="003B7ED0"/>
    <w:rsid w:val="003B7F20"/>
    <w:rsid w:val="003C1DDE"/>
    <w:rsid w:val="003C3B97"/>
    <w:rsid w:val="003C4C08"/>
    <w:rsid w:val="003C4D8A"/>
    <w:rsid w:val="003C4E27"/>
    <w:rsid w:val="003C65D2"/>
    <w:rsid w:val="003C6752"/>
    <w:rsid w:val="003C724F"/>
    <w:rsid w:val="003D0356"/>
    <w:rsid w:val="003D09A4"/>
    <w:rsid w:val="003D09B0"/>
    <w:rsid w:val="003D0FFA"/>
    <w:rsid w:val="003D40EE"/>
    <w:rsid w:val="003D4C73"/>
    <w:rsid w:val="003D4F38"/>
    <w:rsid w:val="003D64A4"/>
    <w:rsid w:val="003D68F4"/>
    <w:rsid w:val="003D78CF"/>
    <w:rsid w:val="003E0739"/>
    <w:rsid w:val="003E08CF"/>
    <w:rsid w:val="003E0FD0"/>
    <w:rsid w:val="003E169D"/>
    <w:rsid w:val="003E1A03"/>
    <w:rsid w:val="003E20C8"/>
    <w:rsid w:val="003E29CB"/>
    <w:rsid w:val="003E3390"/>
    <w:rsid w:val="003E3685"/>
    <w:rsid w:val="003E39AA"/>
    <w:rsid w:val="003E4CF7"/>
    <w:rsid w:val="003E4D39"/>
    <w:rsid w:val="003E4D57"/>
    <w:rsid w:val="003E52D2"/>
    <w:rsid w:val="003E6192"/>
    <w:rsid w:val="003E7ACF"/>
    <w:rsid w:val="003F0A6D"/>
    <w:rsid w:val="003F1B0A"/>
    <w:rsid w:val="003F2885"/>
    <w:rsid w:val="003F2CA2"/>
    <w:rsid w:val="003F4F09"/>
    <w:rsid w:val="003F5234"/>
    <w:rsid w:val="003F5A21"/>
    <w:rsid w:val="003F5EBA"/>
    <w:rsid w:val="003F76C0"/>
    <w:rsid w:val="003F7FB0"/>
    <w:rsid w:val="00400A55"/>
    <w:rsid w:val="0040110F"/>
    <w:rsid w:val="004012EE"/>
    <w:rsid w:val="00402628"/>
    <w:rsid w:val="004027DE"/>
    <w:rsid w:val="00402ED2"/>
    <w:rsid w:val="0040359F"/>
    <w:rsid w:val="00405210"/>
    <w:rsid w:val="00405B4D"/>
    <w:rsid w:val="00405E65"/>
    <w:rsid w:val="0040718E"/>
    <w:rsid w:val="00407C6A"/>
    <w:rsid w:val="00410249"/>
    <w:rsid w:val="00410382"/>
    <w:rsid w:val="0041084E"/>
    <w:rsid w:val="0041085D"/>
    <w:rsid w:val="004135AF"/>
    <w:rsid w:val="00413CD8"/>
    <w:rsid w:val="00414473"/>
    <w:rsid w:val="00414ABC"/>
    <w:rsid w:val="00414D3F"/>
    <w:rsid w:val="00415156"/>
    <w:rsid w:val="004157C2"/>
    <w:rsid w:val="00415C05"/>
    <w:rsid w:val="00416285"/>
    <w:rsid w:val="0041642E"/>
    <w:rsid w:val="00417096"/>
    <w:rsid w:val="00417359"/>
    <w:rsid w:val="00417787"/>
    <w:rsid w:val="00417C1E"/>
    <w:rsid w:val="00420A22"/>
    <w:rsid w:val="00420A8F"/>
    <w:rsid w:val="004211AA"/>
    <w:rsid w:val="0042504A"/>
    <w:rsid w:val="00425DB6"/>
    <w:rsid w:val="00427287"/>
    <w:rsid w:val="00427D43"/>
    <w:rsid w:val="00430D7C"/>
    <w:rsid w:val="00430F1B"/>
    <w:rsid w:val="00431595"/>
    <w:rsid w:val="004319EF"/>
    <w:rsid w:val="00432929"/>
    <w:rsid w:val="0043294D"/>
    <w:rsid w:val="0043375A"/>
    <w:rsid w:val="00433EB0"/>
    <w:rsid w:val="00433F39"/>
    <w:rsid w:val="0043409D"/>
    <w:rsid w:val="00435730"/>
    <w:rsid w:val="00435BBE"/>
    <w:rsid w:val="004416E5"/>
    <w:rsid w:val="00441C6C"/>
    <w:rsid w:val="0044276F"/>
    <w:rsid w:val="00443067"/>
    <w:rsid w:val="00444231"/>
    <w:rsid w:val="00445514"/>
    <w:rsid w:val="00445A58"/>
    <w:rsid w:val="00446822"/>
    <w:rsid w:val="004478FB"/>
    <w:rsid w:val="004501D5"/>
    <w:rsid w:val="0045273C"/>
    <w:rsid w:val="00452B47"/>
    <w:rsid w:val="0045309D"/>
    <w:rsid w:val="00453AC2"/>
    <w:rsid w:val="00455AED"/>
    <w:rsid w:val="00455C8F"/>
    <w:rsid w:val="0046055A"/>
    <w:rsid w:val="00460756"/>
    <w:rsid w:val="0046129C"/>
    <w:rsid w:val="004616AB"/>
    <w:rsid w:val="00461F58"/>
    <w:rsid w:val="00463C8D"/>
    <w:rsid w:val="00464F95"/>
    <w:rsid w:val="00465993"/>
    <w:rsid w:val="00465CB6"/>
    <w:rsid w:val="0046698F"/>
    <w:rsid w:val="00466AB0"/>
    <w:rsid w:val="00467EC2"/>
    <w:rsid w:val="004701BF"/>
    <w:rsid w:val="004708F4"/>
    <w:rsid w:val="00471876"/>
    <w:rsid w:val="00471EB0"/>
    <w:rsid w:val="0047289C"/>
    <w:rsid w:val="00472F87"/>
    <w:rsid w:val="00474262"/>
    <w:rsid w:val="0047465A"/>
    <w:rsid w:val="004746EC"/>
    <w:rsid w:val="00475A3B"/>
    <w:rsid w:val="00475F36"/>
    <w:rsid w:val="00476569"/>
    <w:rsid w:val="00476815"/>
    <w:rsid w:val="00477E1A"/>
    <w:rsid w:val="00477FF8"/>
    <w:rsid w:val="00480028"/>
    <w:rsid w:val="0048113A"/>
    <w:rsid w:val="004832C5"/>
    <w:rsid w:val="00483913"/>
    <w:rsid w:val="00485A6C"/>
    <w:rsid w:val="00485AA7"/>
    <w:rsid w:val="00485B6B"/>
    <w:rsid w:val="00487871"/>
    <w:rsid w:val="004906EA"/>
    <w:rsid w:val="004909C8"/>
    <w:rsid w:val="00490EDC"/>
    <w:rsid w:val="0049168B"/>
    <w:rsid w:val="004934F4"/>
    <w:rsid w:val="00493688"/>
    <w:rsid w:val="004948B9"/>
    <w:rsid w:val="0049493C"/>
    <w:rsid w:val="004958A7"/>
    <w:rsid w:val="00495ED4"/>
    <w:rsid w:val="00496227"/>
    <w:rsid w:val="00496941"/>
    <w:rsid w:val="00497B0E"/>
    <w:rsid w:val="004A07B3"/>
    <w:rsid w:val="004A085F"/>
    <w:rsid w:val="004A0944"/>
    <w:rsid w:val="004A2857"/>
    <w:rsid w:val="004A5249"/>
    <w:rsid w:val="004A6057"/>
    <w:rsid w:val="004A6320"/>
    <w:rsid w:val="004B0B33"/>
    <w:rsid w:val="004B25C7"/>
    <w:rsid w:val="004B3054"/>
    <w:rsid w:val="004B3DCD"/>
    <w:rsid w:val="004B3DDA"/>
    <w:rsid w:val="004B4976"/>
    <w:rsid w:val="004B49B4"/>
    <w:rsid w:val="004B4BD6"/>
    <w:rsid w:val="004B50A8"/>
    <w:rsid w:val="004B5634"/>
    <w:rsid w:val="004B606A"/>
    <w:rsid w:val="004B6272"/>
    <w:rsid w:val="004B67E5"/>
    <w:rsid w:val="004B6B4D"/>
    <w:rsid w:val="004C1AB4"/>
    <w:rsid w:val="004C2A7F"/>
    <w:rsid w:val="004C31FE"/>
    <w:rsid w:val="004C366F"/>
    <w:rsid w:val="004C39E4"/>
    <w:rsid w:val="004C3D15"/>
    <w:rsid w:val="004C4730"/>
    <w:rsid w:val="004C5110"/>
    <w:rsid w:val="004C5953"/>
    <w:rsid w:val="004C5C49"/>
    <w:rsid w:val="004C5C90"/>
    <w:rsid w:val="004C5E89"/>
    <w:rsid w:val="004C6240"/>
    <w:rsid w:val="004C6978"/>
    <w:rsid w:val="004C6A0F"/>
    <w:rsid w:val="004C6E7E"/>
    <w:rsid w:val="004C70CD"/>
    <w:rsid w:val="004C7FEF"/>
    <w:rsid w:val="004D1E97"/>
    <w:rsid w:val="004D2121"/>
    <w:rsid w:val="004D3005"/>
    <w:rsid w:val="004D454C"/>
    <w:rsid w:val="004D48C5"/>
    <w:rsid w:val="004D5865"/>
    <w:rsid w:val="004D5A01"/>
    <w:rsid w:val="004D74EE"/>
    <w:rsid w:val="004D7661"/>
    <w:rsid w:val="004E11F6"/>
    <w:rsid w:val="004E2320"/>
    <w:rsid w:val="004E2C2C"/>
    <w:rsid w:val="004E339B"/>
    <w:rsid w:val="004E342D"/>
    <w:rsid w:val="004E3793"/>
    <w:rsid w:val="004E3A15"/>
    <w:rsid w:val="004E3A2A"/>
    <w:rsid w:val="004E3ED8"/>
    <w:rsid w:val="004E44E7"/>
    <w:rsid w:val="004E4C78"/>
    <w:rsid w:val="004E4DA9"/>
    <w:rsid w:val="004E6536"/>
    <w:rsid w:val="004E6DCA"/>
    <w:rsid w:val="004E6F29"/>
    <w:rsid w:val="004E7692"/>
    <w:rsid w:val="004F0471"/>
    <w:rsid w:val="004F0CFB"/>
    <w:rsid w:val="004F1245"/>
    <w:rsid w:val="004F163B"/>
    <w:rsid w:val="004F1F01"/>
    <w:rsid w:val="004F1FD7"/>
    <w:rsid w:val="004F1FF8"/>
    <w:rsid w:val="004F2C09"/>
    <w:rsid w:val="004F350F"/>
    <w:rsid w:val="004F4B32"/>
    <w:rsid w:val="004F63C2"/>
    <w:rsid w:val="004F728B"/>
    <w:rsid w:val="00501D9E"/>
    <w:rsid w:val="005026EB"/>
    <w:rsid w:val="0050288B"/>
    <w:rsid w:val="00502FAF"/>
    <w:rsid w:val="0050372C"/>
    <w:rsid w:val="00503800"/>
    <w:rsid w:val="005044C1"/>
    <w:rsid w:val="00504576"/>
    <w:rsid w:val="005046A2"/>
    <w:rsid w:val="00505E23"/>
    <w:rsid w:val="005106A7"/>
    <w:rsid w:val="005109FA"/>
    <w:rsid w:val="00510FC8"/>
    <w:rsid w:val="00512243"/>
    <w:rsid w:val="00514450"/>
    <w:rsid w:val="00514594"/>
    <w:rsid w:val="00515BD1"/>
    <w:rsid w:val="0051659C"/>
    <w:rsid w:val="00516CBC"/>
    <w:rsid w:val="005175F3"/>
    <w:rsid w:val="0051798E"/>
    <w:rsid w:val="00520551"/>
    <w:rsid w:val="005210BA"/>
    <w:rsid w:val="005211D0"/>
    <w:rsid w:val="00521CF5"/>
    <w:rsid w:val="00521E1F"/>
    <w:rsid w:val="005225B5"/>
    <w:rsid w:val="00523BC7"/>
    <w:rsid w:val="005260DC"/>
    <w:rsid w:val="005322BA"/>
    <w:rsid w:val="00533E97"/>
    <w:rsid w:val="00535597"/>
    <w:rsid w:val="0053630C"/>
    <w:rsid w:val="005372FB"/>
    <w:rsid w:val="00537AF3"/>
    <w:rsid w:val="00537C64"/>
    <w:rsid w:val="0054009E"/>
    <w:rsid w:val="00540382"/>
    <w:rsid w:val="00540850"/>
    <w:rsid w:val="00540DD2"/>
    <w:rsid w:val="00541A68"/>
    <w:rsid w:val="00543DD6"/>
    <w:rsid w:val="00543F31"/>
    <w:rsid w:val="0054582C"/>
    <w:rsid w:val="005459E3"/>
    <w:rsid w:val="00545EDF"/>
    <w:rsid w:val="00547606"/>
    <w:rsid w:val="0055054F"/>
    <w:rsid w:val="0055096C"/>
    <w:rsid w:val="005516AF"/>
    <w:rsid w:val="005532C3"/>
    <w:rsid w:val="0055471C"/>
    <w:rsid w:val="0055495E"/>
    <w:rsid w:val="0055524C"/>
    <w:rsid w:val="0055549E"/>
    <w:rsid w:val="005554F8"/>
    <w:rsid w:val="0055657F"/>
    <w:rsid w:val="005570EF"/>
    <w:rsid w:val="005577E0"/>
    <w:rsid w:val="005612D1"/>
    <w:rsid w:val="0056196D"/>
    <w:rsid w:val="00561C78"/>
    <w:rsid w:val="00562E7C"/>
    <w:rsid w:val="00563B55"/>
    <w:rsid w:val="00563F0A"/>
    <w:rsid w:val="0056475E"/>
    <w:rsid w:val="0056640A"/>
    <w:rsid w:val="00567797"/>
    <w:rsid w:val="005709F3"/>
    <w:rsid w:val="005711AD"/>
    <w:rsid w:val="005714A5"/>
    <w:rsid w:val="005721E9"/>
    <w:rsid w:val="005727C7"/>
    <w:rsid w:val="005729F9"/>
    <w:rsid w:val="005732D9"/>
    <w:rsid w:val="0057447D"/>
    <w:rsid w:val="005746D7"/>
    <w:rsid w:val="00576658"/>
    <w:rsid w:val="00576BFD"/>
    <w:rsid w:val="00576D9A"/>
    <w:rsid w:val="00576EB2"/>
    <w:rsid w:val="00577462"/>
    <w:rsid w:val="005775FC"/>
    <w:rsid w:val="005801BB"/>
    <w:rsid w:val="00581E9B"/>
    <w:rsid w:val="005824D1"/>
    <w:rsid w:val="00583A80"/>
    <w:rsid w:val="00583DAF"/>
    <w:rsid w:val="00583F8F"/>
    <w:rsid w:val="00587B5E"/>
    <w:rsid w:val="00590375"/>
    <w:rsid w:val="00594290"/>
    <w:rsid w:val="00596504"/>
    <w:rsid w:val="005967E0"/>
    <w:rsid w:val="00597857"/>
    <w:rsid w:val="00597E3B"/>
    <w:rsid w:val="005A08FC"/>
    <w:rsid w:val="005A1C73"/>
    <w:rsid w:val="005A3081"/>
    <w:rsid w:val="005A38ED"/>
    <w:rsid w:val="005A3B16"/>
    <w:rsid w:val="005A42CB"/>
    <w:rsid w:val="005A658F"/>
    <w:rsid w:val="005B06DA"/>
    <w:rsid w:val="005B06F2"/>
    <w:rsid w:val="005B0E87"/>
    <w:rsid w:val="005B13A9"/>
    <w:rsid w:val="005B3820"/>
    <w:rsid w:val="005B4F5E"/>
    <w:rsid w:val="005B5282"/>
    <w:rsid w:val="005B6811"/>
    <w:rsid w:val="005B69FD"/>
    <w:rsid w:val="005B739B"/>
    <w:rsid w:val="005B75CC"/>
    <w:rsid w:val="005B76C4"/>
    <w:rsid w:val="005C0241"/>
    <w:rsid w:val="005C36E0"/>
    <w:rsid w:val="005C3C74"/>
    <w:rsid w:val="005C403E"/>
    <w:rsid w:val="005C5963"/>
    <w:rsid w:val="005C5EEF"/>
    <w:rsid w:val="005C63A6"/>
    <w:rsid w:val="005C656F"/>
    <w:rsid w:val="005C6EAB"/>
    <w:rsid w:val="005C7C03"/>
    <w:rsid w:val="005D0963"/>
    <w:rsid w:val="005D1449"/>
    <w:rsid w:val="005D15AD"/>
    <w:rsid w:val="005D1BF8"/>
    <w:rsid w:val="005D1D97"/>
    <w:rsid w:val="005D20D7"/>
    <w:rsid w:val="005D25D7"/>
    <w:rsid w:val="005D2C19"/>
    <w:rsid w:val="005D2DFE"/>
    <w:rsid w:val="005D49B3"/>
    <w:rsid w:val="005D4E6C"/>
    <w:rsid w:val="005D5624"/>
    <w:rsid w:val="005D5C12"/>
    <w:rsid w:val="005D60AC"/>
    <w:rsid w:val="005D668A"/>
    <w:rsid w:val="005E01D5"/>
    <w:rsid w:val="005E1497"/>
    <w:rsid w:val="005E1C63"/>
    <w:rsid w:val="005E22C9"/>
    <w:rsid w:val="005E2B0D"/>
    <w:rsid w:val="005E2CDF"/>
    <w:rsid w:val="005E2D99"/>
    <w:rsid w:val="005E36A4"/>
    <w:rsid w:val="005E3DA6"/>
    <w:rsid w:val="005E44E5"/>
    <w:rsid w:val="005E5844"/>
    <w:rsid w:val="005E5E79"/>
    <w:rsid w:val="005E5FB6"/>
    <w:rsid w:val="005E6021"/>
    <w:rsid w:val="005E6559"/>
    <w:rsid w:val="005E6584"/>
    <w:rsid w:val="005F05D9"/>
    <w:rsid w:val="005F08B5"/>
    <w:rsid w:val="005F2932"/>
    <w:rsid w:val="005F2B22"/>
    <w:rsid w:val="005F3753"/>
    <w:rsid w:val="005F442E"/>
    <w:rsid w:val="005F4EF2"/>
    <w:rsid w:val="005F5A1A"/>
    <w:rsid w:val="006001F7"/>
    <w:rsid w:val="0060069A"/>
    <w:rsid w:val="0060136F"/>
    <w:rsid w:val="00601C47"/>
    <w:rsid w:val="00601E2D"/>
    <w:rsid w:val="006024FC"/>
    <w:rsid w:val="006034AF"/>
    <w:rsid w:val="00603796"/>
    <w:rsid w:val="00606A45"/>
    <w:rsid w:val="00606D09"/>
    <w:rsid w:val="00606F89"/>
    <w:rsid w:val="00607868"/>
    <w:rsid w:val="00607BCF"/>
    <w:rsid w:val="006109B0"/>
    <w:rsid w:val="00611AE4"/>
    <w:rsid w:val="00611BE2"/>
    <w:rsid w:val="006129E9"/>
    <w:rsid w:val="0061520E"/>
    <w:rsid w:val="00615766"/>
    <w:rsid w:val="0061756A"/>
    <w:rsid w:val="0062140E"/>
    <w:rsid w:val="00621DD9"/>
    <w:rsid w:val="006222D7"/>
    <w:rsid w:val="0062332F"/>
    <w:rsid w:val="00623A83"/>
    <w:rsid w:val="006248E9"/>
    <w:rsid w:val="006249FE"/>
    <w:rsid w:val="00625071"/>
    <w:rsid w:val="006264D2"/>
    <w:rsid w:val="00626736"/>
    <w:rsid w:val="00627996"/>
    <w:rsid w:val="0063134D"/>
    <w:rsid w:val="00631E02"/>
    <w:rsid w:val="00631EEA"/>
    <w:rsid w:val="00633ADA"/>
    <w:rsid w:val="006344BF"/>
    <w:rsid w:val="00634583"/>
    <w:rsid w:val="00637A50"/>
    <w:rsid w:val="0064055A"/>
    <w:rsid w:val="0064140D"/>
    <w:rsid w:val="0064194B"/>
    <w:rsid w:val="00642276"/>
    <w:rsid w:val="0064306A"/>
    <w:rsid w:val="006432C6"/>
    <w:rsid w:val="0064387F"/>
    <w:rsid w:val="00643A6E"/>
    <w:rsid w:val="00643F91"/>
    <w:rsid w:val="00645073"/>
    <w:rsid w:val="0064575E"/>
    <w:rsid w:val="00645AAF"/>
    <w:rsid w:val="00647216"/>
    <w:rsid w:val="006472F1"/>
    <w:rsid w:val="006504DB"/>
    <w:rsid w:val="0065097B"/>
    <w:rsid w:val="006510DC"/>
    <w:rsid w:val="0065275F"/>
    <w:rsid w:val="0065317D"/>
    <w:rsid w:val="00653E2E"/>
    <w:rsid w:val="006547F9"/>
    <w:rsid w:val="00654BFC"/>
    <w:rsid w:val="006550DC"/>
    <w:rsid w:val="006556CD"/>
    <w:rsid w:val="00655841"/>
    <w:rsid w:val="00655D25"/>
    <w:rsid w:val="0065699C"/>
    <w:rsid w:val="006575E4"/>
    <w:rsid w:val="00657688"/>
    <w:rsid w:val="0066050B"/>
    <w:rsid w:val="00661A68"/>
    <w:rsid w:val="00662840"/>
    <w:rsid w:val="0066290A"/>
    <w:rsid w:val="0066373A"/>
    <w:rsid w:val="00663A48"/>
    <w:rsid w:val="00663FA2"/>
    <w:rsid w:val="006641B4"/>
    <w:rsid w:val="00664631"/>
    <w:rsid w:val="0066698E"/>
    <w:rsid w:val="006669EB"/>
    <w:rsid w:val="00667DD5"/>
    <w:rsid w:val="00667E72"/>
    <w:rsid w:val="00667FAC"/>
    <w:rsid w:val="006709D0"/>
    <w:rsid w:val="006713F2"/>
    <w:rsid w:val="00671D52"/>
    <w:rsid w:val="00671E73"/>
    <w:rsid w:val="0067255B"/>
    <w:rsid w:val="00672BAF"/>
    <w:rsid w:val="00672E27"/>
    <w:rsid w:val="0067303C"/>
    <w:rsid w:val="00674FD2"/>
    <w:rsid w:val="00675151"/>
    <w:rsid w:val="00675398"/>
    <w:rsid w:val="00675EEC"/>
    <w:rsid w:val="00676E0B"/>
    <w:rsid w:val="00676F65"/>
    <w:rsid w:val="006801F4"/>
    <w:rsid w:val="0068069B"/>
    <w:rsid w:val="006808A8"/>
    <w:rsid w:val="00682AB9"/>
    <w:rsid w:val="00683CFF"/>
    <w:rsid w:val="006843EF"/>
    <w:rsid w:val="006845A1"/>
    <w:rsid w:val="00684883"/>
    <w:rsid w:val="006853B5"/>
    <w:rsid w:val="006866DE"/>
    <w:rsid w:val="00686EB1"/>
    <w:rsid w:val="0068712C"/>
    <w:rsid w:val="006901E1"/>
    <w:rsid w:val="00690A6E"/>
    <w:rsid w:val="006910B1"/>
    <w:rsid w:val="0069299E"/>
    <w:rsid w:val="0069423C"/>
    <w:rsid w:val="006945BC"/>
    <w:rsid w:val="00694D81"/>
    <w:rsid w:val="00694DBB"/>
    <w:rsid w:val="006956E9"/>
    <w:rsid w:val="00696212"/>
    <w:rsid w:val="00696ADA"/>
    <w:rsid w:val="00696F78"/>
    <w:rsid w:val="00696FFC"/>
    <w:rsid w:val="00697207"/>
    <w:rsid w:val="00697F84"/>
    <w:rsid w:val="006A2B0B"/>
    <w:rsid w:val="006A3879"/>
    <w:rsid w:val="006A5210"/>
    <w:rsid w:val="006A560D"/>
    <w:rsid w:val="006A5D15"/>
    <w:rsid w:val="006A6039"/>
    <w:rsid w:val="006A66BB"/>
    <w:rsid w:val="006A66E9"/>
    <w:rsid w:val="006A6787"/>
    <w:rsid w:val="006A6842"/>
    <w:rsid w:val="006A7CC8"/>
    <w:rsid w:val="006B1CD0"/>
    <w:rsid w:val="006B20B7"/>
    <w:rsid w:val="006B272D"/>
    <w:rsid w:val="006B279E"/>
    <w:rsid w:val="006B2FEA"/>
    <w:rsid w:val="006B37B9"/>
    <w:rsid w:val="006B4916"/>
    <w:rsid w:val="006B5512"/>
    <w:rsid w:val="006B5C3B"/>
    <w:rsid w:val="006B69AA"/>
    <w:rsid w:val="006C0F27"/>
    <w:rsid w:val="006C1294"/>
    <w:rsid w:val="006C1BA7"/>
    <w:rsid w:val="006C1EF1"/>
    <w:rsid w:val="006C221E"/>
    <w:rsid w:val="006C2BDB"/>
    <w:rsid w:val="006C51B9"/>
    <w:rsid w:val="006C7497"/>
    <w:rsid w:val="006C7781"/>
    <w:rsid w:val="006C79CF"/>
    <w:rsid w:val="006D082F"/>
    <w:rsid w:val="006D1121"/>
    <w:rsid w:val="006D2861"/>
    <w:rsid w:val="006D3288"/>
    <w:rsid w:val="006D4694"/>
    <w:rsid w:val="006D54CD"/>
    <w:rsid w:val="006D54D7"/>
    <w:rsid w:val="006D5EBC"/>
    <w:rsid w:val="006D7C5A"/>
    <w:rsid w:val="006E13E9"/>
    <w:rsid w:val="006E1571"/>
    <w:rsid w:val="006E2382"/>
    <w:rsid w:val="006E2E49"/>
    <w:rsid w:val="006E398C"/>
    <w:rsid w:val="006E3A0C"/>
    <w:rsid w:val="006E3DB8"/>
    <w:rsid w:val="006E49EA"/>
    <w:rsid w:val="006E530C"/>
    <w:rsid w:val="006E5CD0"/>
    <w:rsid w:val="006E7246"/>
    <w:rsid w:val="006E7E7A"/>
    <w:rsid w:val="006F00EE"/>
    <w:rsid w:val="006F0E42"/>
    <w:rsid w:val="006F0FA5"/>
    <w:rsid w:val="006F3890"/>
    <w:rsid w:val="006F47AF"/>
    <w:rsid w:val="006F496C"/>
    <w:rsid w:val="006F4D3C"/>
    <w:rsid w:val="006F6163"/>
    <w:rsid w:val="006F6451"/>
    <w:rsid w:val="006F7293"/>
    <w:rsid w:val="006F7C09"/>
    <w:rsid w:val="00701762"/>
    <w:rsid w:val="007017CD"/>
    <w:rsid w:val="007017FF"/>
    <w:rsid w:val="007030F7"/>
    <w:rsid w:val="00703D81"/>
    <w:rsid w:val="00704B18"/>
    <w:rsid w:val="00705E2D"/>
    <w:rsid w:val="00706E17"/>
    <w:rsid w:val="00707209"/>
    <w:rsid w:val="007072EA"/>
    <w:rsid w:val="00707429"/>
    <w:rsid w:val="00710518"/>
    <w:rsid w:val="00710680"/>
    <w:rsid w:val="00710A25"/>
    <w:rsid w:val="0071161E"/>
    <w:rsid w:val="007123CE"/>
    <w:rsid w:val="00712C2C"/>
    <w:rsid w:val="00712C7D"/>
    <w:rsid w:val="007145CE"/>
    <w:rsid w:val="00714D84"/>
    <w:rsid w:val="00716660"/>
    <w:rsid w:val="00716690"/>
    <w:rsid w:val="00717E8D"/>
    <w:rsid w:val="00720F72"/>
    <w:rsid w:val="00721228"/>
    <w:rsid w:val="00721A5B"/>
    <w:rsid w:val="00721DA0"/>
    <w:rsid w:val="00722F27"/>
    <w:rsid w:val="00723050"/>
    <w:rsid w:val="007232D4"/>
    <w:rsid w:val="007235CE"/>
    <w:rsid w:val="0072399D"/>
    <w:rsid w:val="00723DC8"/>
    <w:rsid w:val="007246BE"/>
    <w:rsid w:val="00724757"/>
    <w:rsid w:val="00724CD7"/>
    <w:rsid w:val="00725577"/>
    <w:rsid w:val="00725C0F"/>
    <w:rsid w:val="00726137"/>
    <w:rsid w:val="00726687"/>
    <w:rsid w:val="00726AC0"/>
    <w:rsid w:val="00726AD5"/>
    <w:rsid w:val="00726AD9"/>
    <w:rsid w:val="00727E63"/>
    <w:rsid w:val="007301A2"/>
    <w:rsid w:val="00730584"/>
    <w:rsid w:val="007307A1"/>
    <w:rsid w:val="007309E7"/>
    <w:rsid w:val="0073409B"/>
    <w:rsid w:val="00734B45"/>
    <w:rsid w:val="007353A2"/>
    <w:rsid w:val="007354AF"/>
    <w:rsid w:val="007356E9"/>
    <w:rsid w:val="00735A15"/>
    <w:rsid w:val="00735C99"/>
    <w:rsid w:val="007360A9"/>
    <w:rsid w:val="00737066"/>
    <w:rsid w:val="007376D0"/>
    <w:rsid w:val="007418A1"/>
    <w:rsid w:val="00741BBB"/>
    <w:rsid w:val="00741CDC"/>
    <w:rsid w:val="00743606"/>
    <w:rsid w:val="00744327"/>
    <w:rsid w:val="00744E32"/>
    <w:rsid w:val="00745E17"/>
    <w:rsid w:val="00746775"/>
    <w:rsid w:val="007467EB"/>
    <w:rsid w:val="00746A7E"/>
    <w:rsid w:val="00746E4A"/>
    <w:rsid w:val="00746EA1"/>
    <w:rsid w:val="0075036A"/>
    <w:rsid w:val="00751344"/>
    <w:rsid w:val="00751393"/>
    <w:rsid w:val="00752596"/>
    <w:rsid w:val="007540A3"/>
    <w:rsid w:val="007541FB"/>
    <w:rsid w:val="00761DE5"/>
    <w:rsid w:val="00763567"/>
    <w:rsid w:val="00765292"/>
    <w:rsid w:val="00765A0F"/>
    <w:rsid w:val="007706DB"/>
    <w:rsid w:val="00772203"/>
    <w:rsid w:val="00772506"/>
    <w:rsid w:val="00772516"/>
    <w:rsid w:val="00773EF9"/>
    <w:rsid w:val="0077487A"/>
    <w:rsid w:val="007748AD"/>
    <w:rsid w:val="00774D90"/>
    <w:rsid w:val="00776CD2"/>
    <w:rsid w:val="00776E2A"/>
    <w:rsid w:val="00777CE9"/>
    <w:rsid w:val="007812A0"/>
    <w:rsid w:val="007818F7"/>
    <w:rsid w:val="00781B8D"/>
    <w:rsid w:val="00784A26"/>
    <w:rsid w:val="00786C58"/>
    <w:rsid w:val="00790ADA"/>
    <w:rsid w:val="007935D8"/>
    <w:rsid w:val="0079388E"/>
    <w:rsid w:val="00793AFD"/>
    <w:rsid w:val="00794A49"/>
    <w:rsid w:val="00794D71"/>
    <w:rsid w:val="00795536"/>
    <w:rsid w:val="0079586C"/>
    <w:rsid w:val="00796426"/>
    <w:rsid w:val="00796E19"/>
    <w:rsid w:val="00797489"/>
    <w:rsid w:val="0079763E"/>
    <w:rsid w:val="00797A84"/>
    <w:rsid w:val="00797AA8"/>
    <w:rsid w:val="00797DA4"/>
    <w:rsid w:val="007A0344"/>
    <w:rsid w:val="007A0B36"/>
    <w:rsid w:val="007A0D15"/>
    <w:rsid w:val="007A0FFF"/>
    <w:rsid w:val="007A2686"/>
    <w:rsid w:val="007A382D"/>
    <w:rsid w:val="007A5170"/>
    <w:rsid w:val="007A5854"/>
    <w:rsid w:val="007A5EA3"/>
    <w:rsid w:val="007A7209"/>
    <w:rsid w:val="007A7A06"/>
    <w:rsid w:val="007B1F5A"/>
    <w:rsid w:val="007B3307"/>
    <w:rsid w:val="007B54CA"/>
    <w:rsid w:val="007B66BD"/>
    <w:rsid w:val="007B67E8"/>
    <w:rsid w:val="007B74DA"/>
    <w:rsid w:val="007C10E0"/>
    <w:rsid w:val="007C17E9"/>
    <w:rsid w:val="007C1943"/>
    <w:rsid w:val="007C2AC0"/>
    <w:rsid w:val="007C4302"/>
    <w:rsid w:val="007C47A9"/>
    <w:rsid w:val="007C7838"/>
    <w:rsid w:val="007C7A3E"/>
    <w:rsid w:val="007C7D28"/>
    <w:rsid w:val="007D04B3"/>
    <w:rsid w:val="007D05A2"/>
    <w:rsid w:val="007D1B94"/>
    <w:rsid w:val="007D1D9F"/>
    <w:rsid w:val="007D2575"/>
    <w:rsid w:val="007D3B68"/>
    <w:rsid w:val="007D3E16"/>
    <w:rsid w:val="007D568F"/>
    <w:rsid w:val="007D61FB"/>
    <w:rsid w:val="007D7379"/>
    <w:rsid w:val="007E0345"/>
    <w:rsid w:val="007E0426"/>
    <w:rsid w:val="007E1215"/>
    <w:rsid w:val="007E2248"/>
    <w:rsid w:val="007E2567"/>
    <w:rsid w:val="007E278C"/>
    <w:rsid w:val="007E2A39"/>
    <w:rsid w:val="007E5A28"/>
    <w:rsid w:val="007E5B3B"/>
    <w:rsid w:val="007E62F7"/>
    <w:rsid w:val="007E7840"/>
    <w:rsid w:val="007E7C64"/>
    <w:rsid w:val="007E7EF9"/>
    <w:rsid w:val="007F027E"/>
    <w:rsid w:val="007F02B4"/>
    <w:rsid w:val="007F02D5"/>
    <w:rsid w:val="007F0C8B"/>
    <w:rsid w:val="007F1648"/>
    <w:rsid w:val="007F1E32"/>
    <w:rsid w:val="007F2668"/>
    <w:rsid w:val="007F2F3D"/>
    <w:rsid w:val="007F3B15"/>
    <w:rsid w:val="007F3C7E"/>
    <w:rsid w:val="007F4768"/>
    <w:rsid w:val="007F52D0"/>
    <w:rsid w:val="007F6020"/>
    <w:rsid w:val="007F6A51"/>
    <w:rsid w:val="007F758A"/>
    <w:rsid w:val="00801541"/>
    <w:rsid w:val="00801A16"/>
    <w:rsid w:val="008024A3"/>
    <w:rsid w:val="00802DA9"/>
    <w:rsid w:val="00802EA8"/>
    <w:rsid w:val="008038AA"/>
    <w:rsid w:val="008040AB"/>
    <w:rsid w:val="008047F1"/>
    <w:rsid w:val="008050BB"/>
    <w:rsid w:val="00805E43"/>
    <w:rsid w:val="00805EE7"/>
    <w:rsid w:val="00806206"/>
    <w:rsid w:val="00810061"/>
    <w:rsid w:val="0081042E"/>
    <w:rsid w:val="00810E61"/>
    <w:rsid w:val="008130EB"/>
    <w:rsid w:val="00813100"/>
    <w:rsid w:val="00813199"/>
    <w:rsid w:val="008133F9"/>
    <w:rsid w:val="0081368D"/>
    <w:rsid w:val="00813A2C"/>
    <w:rsid w:val="00814929"/>
    <w:rsid w:val="00815D14"/>
    <w:rsid w:val="008202EB"/>
    <w:rsid w:val="00820438"/>
    <w:rsid w:val="00821590"/>
    <w:rsid w:val="00821FD2"/>
    <w:rsid w:val="008221E7"/>
    <w:rsid w:val="008222A6"/>
    <w:rsid w:val="00822D95"/>
    <w:rsid w:val="0082358B"/>
    <w:rsid w:val="00823955"/>
    <w:rsid w:val="00823B73"/>
    <w:rsid w:val="00824127"/>
    <w:rsid w:val="008249D5"/>
    <w:rsid w:val="00825B45"/>
    <w:rsid w:val="00827944"/>
    <w:rsid w:val="00830885"/>
    <w:rsid w:val="00830ED4"/>
    <w:rsid w:val="00830F2C"/>
    <w:rsid w:val="00831214"/>
    <w:rsid w:val="0083134C"/>
    <w:rsid w:val="008316A4"/>
    <w:rsid w:val="00833E50"/>
    <w:rsid w:val="00834793"/>
    <w:rsid w:val="00834B52"/>
    <w:rsid w:val="00834E9C"/>
    <w:rsid w:val="008350DE"/>
    <w:rsid w:val="008362D3"/>
    <w:rsid w:val="00840EF8"/>
    <w:rsid w:val="008418A1"/>
    <w:rsid w:val="00841A88"/>
    <w:rsid w:val="0084318B"/>
    <w:rsid w:val="00843C50"/>
    <w:rsid w:val="00844435"/>
    <w:rsid w:val="008449A6"/>
    <w:rsid w:val="0084582A"/>
    <w:rsid w:val="00846232"/>
    <w:rsid w:val="00846B39"/>
    <w:rsid w:val="008470BE"/>
    <w:rsid w:val="00853B44"/>
    <w:rsid w:val="00853BCE"/>
    <w:rsid w:val="00854F7D"/>
    <w:rsid w:val="00855A02"/>
    <w:rsid w:val="00856A97"/>
    <w:rsid w:val="00857275"/>
    <w:rsid w:val="00857EE1"/>
    <w:rsid w:val="00860CBA"/>
    <w:rsid w:val="00860D7E"/>
    <w:rsid w:val="00861079"/>
    <w:rsid w:val="008612A0"/>
    <w:rsid w:val="0086181B"/>
    <w:rsid w:val="00861D2B"/>
    <w:rsid w:val="008629EE"/>
    <w:rsid w:val="00862A47"/>
    <w:rsid w:val="008639F2"/>
    <w:rsid w:val="00864739"/>
    <w:rsid w:val="00870368"/>
    <w:rsid w:val="00870A26"/>
    <w:rsid w:val="008712D6"/>
    <w:rsid w:val="00871318"/>
    <w:rsid w:val="008718B9"/>
    <w:rsid w:val="00871A4A"/>
    <w:rsid w:val="00871D49"/>
    <w:rsid w:val="0087357F"/>
    <w:rsid w:val="00873F7F"/>
    <w:rsid w:val="008743EF"/>
    <w:rsid w:val="00874EC0"/>
    <w:rsid w:val="00874F65"/>
    <w:rsid w:val="00875353"/>
    <w:rsid w:val="00875E6A"/>
    <w:rsid w:val="00875ED4"/>
    <w:rsid w:val="00876150"/>
    <w:rsid w:val="008764F1"/>
    <w:rsid w:val="00877930"/>
    <w:rsid w:val="00877967"/>
    <w:rsid w:val="00877AF8"/>
    <w:rsid w:val="00877BCC"/>
    <w:rsid w:val="00877F98"/>
    <w:rsid w:val="008809A5"/>
    <w:rsid w:val="008809DB"/>
    <w:rsid w:val="00880E0C"/>
    <w:rsid w:val="008813EE"/>
    <w:rsid w:val="00883F7F"/>
    <w:rsid w:val="00884407"/>
    <w:rsid w:val="00884928"/>
    <w:rsid w:val="00884FAF"/>
    <w:rsid w:val="008856F8"/>
    <w:rsid w:val="008863E2"/>
    <w:rsid w:val="0088781F"/>
    <w:rsid w:val="008906D3"/>
    <w:rsid w:val="00890892"/>
    <w:rsid w:val="0089118E"/>
    <w:rsid w:val="00892116"/>
    <w:rsid w:val="008923C9"/>
    <w:rsid w:val="00894663"/>
    <w:rsid w:val="008962C6"/>
    <w:rsid w:val="00896AD9"/>
    <w:rsid w:val="0089716C"/>
    <w:rsid w:val="008973E1"/>
    <w:rsid w:val="008A0672"/>
    <w:rsid w:val="008A1316"/>
    <w:rsid w:val="008A1AEC"/>
    <w:rsid w:val="008A277D"/>
    <w:rsid w:val="008A42B0"/>
    <w:rsid w:val="008A451C"/>
    <w:rsid w:val="008A5DD8"/>
    <w:rsid w:val="008A654B"/>
    <w:rsid w:val="008A6760"/>
    <w:rsid w:val="008A6DD1"/>
    <w:rsid w:val="008A6EA1"/>
    <w:rsid w:val="008A73E3"/>
    <w:rsid w:val="008B0582"/>
    <w:rsid w:val="008B07A1"/>
    <w:rsid w:val="008B15C6"/>
    <w:rsid w:val="008B160C"/>
    <w:rsid w:val="008B1629"/>
    <w:rsid w:val="008B184B"/>
    <w:rsid w:val="008B283C"/>
    <w:rsid w:val="008B2925"/>
    <w:rsid w:val="008B2DB4"/>
    <w:rsid w:val="008B3698"/>
    <w:rsid w:val="008B42B5"/>
    <w:rsid w:val="008B4CCB"/>
    <w:rsid w:val="008B6B7B"/>
    <w:rsid w:val="008B7591"/>
    <w:rsid w:val="008B76C7"/>
    <w:rsid w:val="008B7D1A"/>
    <w:rsid w:val="008C0185"/>
    <w:rsid w:val="008C06FE"/>
    <w:rsid w:val="008C12EF"/>
    <w:rsid w:val="008C188B"/>
    <w:rsid w:val="008C21D1"/>
    <w:rsid w:val="008C2404"/>
    <w:rsid w:val="008C2407"/>
    <w:rsid w:val="008C2B0D"/>
    <w:rsid w:val="008C42B8"/>
    <w:rsid w:val="008C4B9A"/>
    <w:rsid w:val="008C5402"/>
    <w:rsid w:val="008C5A66"/>
    <w:rsid w:val="008C5B7A"/>
    <w:rsid w:val="008C7BA2"/>
    <w:rsid w:val="008D1717"/>
    <w:rsid w:val="008D2351"/>
    <w:rsid w:val="008D24ED"/>
    <w:rsid w:val="008D2CB9"/>
    <w:rsid w:val="008D2E90"/>
    <w:rsid w:val="008D36FA"/>
    <w:rsid w:val="008D40D5"/>
    <w:rsid w:val="008D4178"/>
    <w:rsid w:val="008D4EE7"/>
    <w:rsid w:val="008D6DBF"/>
    <w:rsid w:val="008D71F8"/>
    <w:rsid w:val="008D75D6"/>
    <w:rsid w:val="008D7744"/>
    <w:rsid w:val="008D777E"/>
    <w:rsid w:val="008E007E"/>
    <w:rsid w:val="008E051E"/>
    <w:rsid w:val="008E0737"/>
    <w:rsid w:val="008E139E"/>
    <w:rsid w:val="008E153D"/>
    <w:rsid w:val="008E20DD"/>
    <w:rsid w:val="008E2135"/>
    <w:rsid w:val="008E2471"/>
    <w:rsid w:val="008E2E76"/>
    <w:rsid w:val="008E3556"/>
    <w:rsid w:val="008E3B26"/>
    <w:rsid w:val="008E3D1F"/>
    <w:rsid w:val="008E3FCC"/>
    <w:rsid w:val="008E5586"/>
    <w:rsid w:val="008E587D"/>
    <w:rsid w:val="008E58CF"/>
    <w:rsid w:val="008E5E9A"/>
    <w:rsid w:val="008E7432"/>
    <w:rsid w:val="008E76CD"/>
    <w:rsid w:val="008F01F5"/>
    <w:rsid w:val="008F268A"/>
    <w:rsid w:val="008F3169"/>
    <w:rsid w:val="008F4A78"/>
    <w:rsid w:val="008F5DDC"/>
    <w:rsid w:val="008F60E2"/>
    <w:rsid w:val="008F6B66"/>
    <w:rsid w:val="008F6CEE"/>
    <w:rsid w:val="0090036A"/>
    <w:rsid w:val="009034F5"/>
    <w:rsid w:val="009038FD"/>
    <w:rsid w:val="009043BC"/>
    <w:rsid w:val="00904894"/>
    <w:rsid w:val="00905FAF"/>
    <w:rsid w:val="009061A4"/>
    <w:rsid w:val="00906243"/>
    <w:rsid w:val="009063EF"/>
    <w:rsid w:val="009068E1"/>
    <w:rsid w:val="00910922"/>
    <w:rsid w:val="00911129"/>
    <w:rsid w:val="009118D9"/>
    <w:rsid w:val="00911F7B"/>
    <w:rsid w:val="00911FA1"/>
    <w:rsid w:val="00911FDA"/>
    <w:rsid w:val="00915804"/>
    <w:rsid w:val="009158EB"/>
    <w:rsid w:val="00915E97"/>
    <w:rsid w:val="009176D6"/>
    <w:rsid w:val="0092115E"/>
    <w:rsid w:val="0092147E"/>
    <w:rsid w:val="009221AC"/>
    <w:rsid w:val="0092238A"/>
    <w:rsid w:val="0092419F"/>
    <w:rsid w:val="00924B9B"/>
    <w:rsid w:val="009255B5"/>
    <w:rsid w:val="009255C0"/>
    <w:rsid w:val="009255CD"/>
    <w:rsid w:val="009260D2"/>
    <w:rsid w:val="009264ED"/>
    <w:rsid w:val="00926929"/>
    <w:rsid w:val="00927415"/>
    <w:rsid w:val="00927A07"/>
    <w:rsid w:val="0093093C"/>
    <w:rsid w:val="0093178B"/>
    <w:rsid w:val="00932D84"/>
    <w:rsid w:val="00933625"/>
    <w:rsid w:val="00933DFA"/>
    <w:rsid w:val="009345CD"/>
    <w:rsid w:val="00937CF4"/>
    <w:rsid w:val="0094002B"/>
    <w:rsid w:val="00940746"/>
    <w:rsid w:val="00941062"/>
    <w:rsid w:val="00941EAA"/>
    <w:rsid w:val="00942403"/>
    <w:rsid w:val="009432BC"/>
    <w:rsid w:val="009433FB"/>
    <w:rsid w:val="0094394F"/>
    <w:rsid w:val="00944632"/>
    <w:rsid w:val="009446DA"/>
    <w:rsid w:val="00944B0E"/>
    <w:rsid w:val="009451B1"/>
    <w:rsid w:val="00945437"/>
    <w:rsid w:val="0094636E"/>
    <w:rsid w:val="00946401"/>
    <w:rsid w:val="00950594"/>
    <w:rsid w:val="0095385A"/>
    <w:rsid w:val="00953B24"/>
    <w:rsid w:val="009542EC"/>
    <w:rsid w:val="009547D7"/>
    <w:rsid w:val="00954F3B"/>
    <w:rsid w:val="00954F67"/>
    <w:rsid w:val="009553E5"/>
    <w:rsid w:val="00955EAE"/>
    <w:rsid w:val="0095641C"/>
    <w:rsid w:val="00957653"/>
    <w:rsid w:val="0096029A"/>
    <w:rsid w:val="00960838"/>
    <w:rsid w:val="009612A3"/>
    <w:rsid w:val="00961894"/>
    <w:rsid w:val="009619CE"/>
    <w:rsid w:val="009628E6"/>
    <w:rsid w:val="00962ACA"/>
    <w:rsid w:val="00963C5D"/>
    <w:rsid w:val="00965098"/>
    <w:rsid w:val="00965765"/>
    <w:rsid w:val="00965839"/>
    <w:rsid w:val="009664D5"/>
    <w:rsid w:val="00967696"/>
    <w:rsid w:val="00970209"/>
    <w:rsid w:val="00970AA4"/>
    <w:rsid w:val="009712F6"/>
    <w:rsid w:val="0097169C"/>
    <w:rsid w:val="00972173"/>
    <w:rsid w:val="009733B9"/>
    <w:rsid w:val="00973BE4"/>
    <w:rsid w:val="00974975"/>
    <w:rsid w:val="009749E6"/>
    <w:rsid w:val="00976F8F"/>
    <w:rsid w:val="009778C1"/>
    <w:rsid w:val="00977CE6"/>
    <w:rsid w:val="00981D82"/>
    <w:rsid w:val="00982D11"/>
    <w:rsid w:val="009836DA"/>
    <w:rsid w:val="00983724"/>
    <w:rsid w:val="0098455F"/>
    <w:rsid w:val="009846CD"/>
    <w:rsid w:val="00984879"/>
    <w:rsid w:val="0098528C"/>
    <w:rsid w:val="00985632"/>
    <w:rsid w:val="00985C6E"/>
    <w:rsid w:val="00986F5C"/>
    <w:rsid w:val="00990AD9"/>
    <w:rsid w:val="0099249D"/>
    <w:rsid w:val="00992946"/>
    <w:rsid w:val="00993A28"/>
    <w:rsid w:val="00993BFE"/>
    <w:rsid w:val="00994457"/>
    <w:rsid w:val="009949B8"/>
    <w:rsid w:val="00994C7C"/>
    <w:rsid w:val="00994F64"/>
    <w:rsid w:val="00994FCF"/>
    <w:rsid w:val="009953DF"/>
    <w:rsid w:val="00996A02"/>
    <w:rsid w:val="00997883"/>
    <w:rsid w:val="009A1267"/>
    <w:rsid w:val="009A1677"/>
    <w:rsid w:val="009A1D44"/>
    <w:rsid w:val="009A274E"/>
    <w:rsid w:val="009A3240"/>
    <w:rsid w:val="009A3994"/>
    <w:rsid w:val="009A45B9"/>
    <w:rsid w:val="009A4878"/>
    <w:rsid w:val="009A6C66"/>
    <w:rsid w:val="009A7708"/>
    <w:rsid w:val="009B04C7"/>
    <w:rsid w:val="009B2A45"/>
    <w:rsid w:val="009B449A"/>
    <w:rsid w:val="009B4587"/>
    <w:rsid w:val="009B53DC"/>
    <w:rsid w:val="009B586C"/>
    <w:rsid w:val="009B5AD9"/>
    <w:rsid w:val="009B5DA6"/>
    <w:rsid w:val="009B612C"/>
    <w:rsid w:val="009B68F0"/>
    <w:rsid w:val="009B6E36"/>
    <w:rsid w:val="009B7A73"/>
    <w:rsid w:val="009B7F18"/>
    <w:rsid w:val="009C0753"/>
    <w:rsid w:val="009C3944"/>
    <w:rsid w:val="009C3FF6"/>
    <w:rsid w:val="009C509A"/>
    <w:rsid w:val="009C5279"/>
    <w:rsid w:val="009C52E1"/>
    <w:rsid w:val="009C6E48"/>
    <w:rsid w:val="009C7FB5"/>
    <w:rsid w:val="009D03B5"/>
    <w:rsid w:val="009D04D9"/>
    <w:rsid w:val="009D1F42"/>
    <w:rsid w:val="009D2DC6"/>
    <w:rsid w:val="009D3B61"/>
    <w:rsid w:val="009D5474"/>
    <w:rsid w:val="009D6847"/>
    <w:rsid w:val="009D6C5D"/>
    <w:rsid w:val="009D7650"/>
    <w:rsid w:val="009E1036"/>
    <w:rsid w:val="009E1ABC"/>
    <w:rsid w:val="009E21AF"/>
    <w:rsid w:val="009E230A"/>
    <w:rsid w:val="009E5D26"/>
    <w:rsid w:val="009F05B1"/>
    <w:rsid w:val="009F105D"/>
    <w:rsid w:val="009F2E88"/>
    <w:rsid w:val="009F4908"/>
    <w:rsid w:val="009F4B08"/>
    <w:rsid w:val="009F56E0"/>
    <w:rsid w:val="009F612E"/>
    <w:rsid w:val="009F7526"/>
    <w:rsid w:val="00A00440"/>
    <w:rsid w:val="00A00F72"/>
    <w:rsid w:val="00A01D2B"/>
    <w:rsid w:val="00A02607"/>
    <w:rsid w:val="00A02F6B"/>
    <w:rsid w:val="00A06262"/>
    <w:rsid w:val="00A06994"/>
    <w:rsid w:val="00A07850"/>
    <w:rsid w:val="00A07D44"/>
    <w:rsid w:val="00A07F87"/>
    <w:rsid w:val="00A101DC"/>
    <w:rsid w:val="00A102DD"/>
    <w:rsid w:val="00A1041A"/>
    <w:rsid w:val="00A1058B"/>
    <w:rsid w:val="00A10CC2"/>
    <w:rsid w:val="00A10DDE"/>
    <w:rsid w:val="00A14052"/>
    <w:rsid w:val="00A1598C"/>
    <w:rsid w:val="00A16F73"/>
    <w:rsid w:val="00A173E9"/>
    <w:rsid w:val="00A17B48"/>
    <w:rsid w:val="00A209E3"/>
    <w:rsid w:val="00A24694"/>
    <w:rsid w:val="00A249EF"/>
    <w:rsid w:val="00A275EC"/>
    <w:rsid w:val="00A27CDD"/>
    <w:rsid w:val="00A3000F"/>
    <w:rsid w:val="00A30DB8"/>
    <w:rsid w:val="00A31697"/>
    <w:rsid w:val="00A31DC0"/>
    <w:rsid w:val="00A330F4"/>
    <w:rsid w:val="00A3485C"/>
    <w:rsid w:val="00A35AE9"/>
    <w:rsid w:val="00A362C8"/>
    <w:rsid w:val="00A36C26"/>
    <w:rsid w:val="00A40A1F"/>
    <w:rsid w:val="00A41BD4"/>
    <w:rsid w:val="00A41CE7"/>
    <w:rsid w:val="00A4248A"/>
    <w:rsid w:val="00A433FC"/>
    <w:rsid w:val="00A43D24"/>
    <w:rsid w:val="00A45005"/>
    <w:rsid w:val="00A454B6"/>
    <w:rsid w:val="00A454F0"/>
    <w:rsid w:val="00A471DB"/>
    <w:rsid w:val="00A5040B"/>
    <w:rsid w:val="00A517DF"/>
    <w:rsid w:val="00A519CD"/>
    <w:rsid w:val="00A5275D"/>
    <w:rsid w:val="00A527A4"/>
    <w:rsid w:val="00A542B2"/>
    <w:rsid w:val="00A54C20"/>
    <w:rsid w:val="00A55A05"/>
    <w:rsid w:val="00A567AB"/>
    <w:rsid w:val="00A61FC8"/>
    <w:rsid w:val="00A621DF"/>
    <w:rsid w:val="00A62227"/>
    <w:rsid w:val="00A62E1C"/>
    <w:rsid w:val="00A62E36"/>
    <w:rsid w:val="00A63C41"/>
    <w:rsid w:val="00A64128"/>
    <w:rsid w:val="00A64BBE"/>
    <w:rsid w:val="00A651D9"/>
    <w:rsid w:val="00A655C2"/>
    <w:rsid w:val="00A657A7"/>
    <w:rsid w:val="00A65ACF"/>
    <w:rsid w:val="00A65B3B"/>
    <w:rsid w:val="00A67683"/>
    <w:rsid w:val="00A67B59"/>
    <w:rsid w:val="00A67DC2"/>
    <w:rsid w:val="00A70C26"/>
    <w:rsid w:val="00A71F3F"/>
    <w:rsid w:val="00A72665"/>
    <w:rsid w:val="00A73723"/>
    <w:rsid w:val="00A737D6"/>
    <w:rsid w:val="00A73C4C"/>
    <w:rsid w:val="00A73D61"/>
    <w:rsid w:val="00A74DFE"/>
    <w:rsid w:val="00A75225"/>
    <w:rsid w:val="00A757D4"/>
    <w:rsid w:val="00A75D32"/>
    <w:rsid w:val="00A773D6"/>
    <w:rsid w:val="00A77FD8"/>
    <w:rsid w:val="00A8011B"/>
    <w:rsid w:val="00A8032F"/>
    <w:rsid w:val="00A80B04"/>
    <w:rsid w:val="00A80FC7"/>
    <w:rsid w:val="00A81A90"/>
    <w:rsid w:val="00A81C1F"/>
    <w:rsid w:val="00A82159"/>
    <w:rsid w:val="00A8250C"/>
    <w:rsid w:val="00A8362E"/>
    <w:rsid w:val="00A83AA4"/>
    <w:rsid w:val="00A83FCD"/>
    <w:rsid w:val="00A903E5"/>
    <w:rsid w:val="00A907D1"/>
    <w:rsid w:val="00A90C23"/>
    <w:rsid w:val="00A90C4E"/>
    <w:rsid w:val="00A91F2D"/>
    <w:rsid w:val="00A92597"/>
    <w:rsid w:val="00A93B23"/>
    <w:rsid w:val="00A93E9C"/>
    <w:rsid w:val="00A9438C"/>
    <w:rsid w:val="00A94515"/>
    <w:rsid w:val="00A9466E"/>
    <w:rsid w:val="00A94873"/>
    <w:rsid w:val="00A9787C"/>
    <w:rsid w:val="00A97B53"/>
    <w:rsid w:val="00AA0009"/>
    <w:rsid w:val="00AA0097"/>
    <w:rsid w:val="00AA032C"/>
    <w:rsid w:val="00AA080C"/>
    <w:rsid w:val="00AA1D46"/>
    <w:rsid w:val="00AA244C"/>
    <w:rsid w:val="00AA261C"/>
    <w:rsid w:val="00AA280A"/>
    <w:rsid w:val="00AA41BC"/>
    <w:rsid w:val="00AA426B"/>
    <w:rsid w:val="00AA432D"/>
    <w:rsid w:val="00AA49A2"/>
    <w:rsid w:val="00AA5209"/>
    <w:rsid w:val="00AA52D4"/>
    <w:rsid w:val="00AB1AEA"/>
    <w:rsid w:val="00AB1F2E"/>
    <w:rsid w:val="00AB2486"/>
    <w:rsid w:val="00AB28BD"/>
    <w:rsid w:val="00AB2A7A"/>
    <w:rsid w:val="00AB2C1A"/>
    <w:rsid w:val="00AB3799"/>
    <w:rsid w:val="00AB4B52"/>
    <w:rsid w:val="00AB4F49"/>
    <w:rsid w:val="00AB5A71"/>
    <w:rsid w:val="00AB6165"/>
    <w:rsid w:val="00AC072E"/>
    <w:rsid w:val="00AC0F5D"/>
    <w:rsid w:val="00AC110F"/>
    <w:rsid w:val="00AC14D0"/>
    <w:rsid w:val="00AC16F3"/>
    <w:rsid w:val="00AC336C"/>
    <w:rsid w:val="00AC3B2B"/>
    <w:rsid w:val="00AC434C"/>
    <w:rsid w:val="00AC458E"/>
    <w:rsid w:val="00AC65D6"/>
    <w:rsid w:val="00AC7CA4"/>
    <w:rsid w:val="00AC7CC6"/>
    <w:rsid w:val="00AC7DF5"/>
    <w:rsid w:val="00AD1AFD"/>
    <w:rsid w:val="00AD260D"/>
    <w:rsid w:val="00AD273A"/>
    <w:rsid w:val="00AD314B"/>
    <w:rsid w:val="00AD32D3"/>
    <w:rsid w:val="00AD3808"/>
    <w:rsid w:val="00AD3B26"/>
    <w:rsid w:val="00AD4168"/>
    <w:rsid w:val="00AD5ABC"/>
    <w:rsid w:val="00AD643D"/>
    <w:rsid w:val="00AD66AB"/>
    <w:rsid w:val="00AD7132"/>
    <w:rsid w:val="00AD7584"/>
    <w:rsid w:val="00AD7F7E"/>
    <w:rsid w:val="00AE07DE"/>
    <w:rsid w:val="00AE07DF"/>
    <w:rsid w:val="00AE0970"/>
    <w:rsid w:val="00AE0AC3"/>
    <w:rsid w:val="00AE0E80"/>
    <w:rsid w:val="00AE1026"/>
    <w:rsid w:val="00AE1209"/>
    <w:rsid w:val="00AE120B"/>
    <w:rsid w:val="00AE14E9"/>
    <w:rsid w:val="00AE237B"/>
    <w:rsid w:val="00AE2B2C"/>
    <w:rsid w:val="00AE2E8F"/>
    <w:rsid w:val="00AE33C0"/>
    <w:rsid w:val="00AE39D8"/>
    <w:rsid w:val="00AE3A93"/>
    <w:rsid w:val="00AE4B34"/>
    <w:rsid w:val="00AE4F65"/>
    <w:rsid w:val="00AE5DA9"/>
    <w:rsid w:val="00AF180B"/>
    <w:rsid w:val="00AF28B4"/>
    <w:rsid w:val="00AF2958"/>
    <w:rsid w:val="00AF2F5E"/>
    <w:rsid w:val="00AF4047"/>
    <w:rsid w:val="00AF5054"/>
    <w:rsid w:val="00AF528A"/>
    <w:rsid w:val="00AF5993"/>
    <w:rsid w:val="00B00AE4"/>
    <w:rsid w:val="00B00FCD"/>
    <w:rsid w:val="00B022BB"/>
    <w:rsid w:val="00B02D41"/>
    <w:rsid w:val="00B0372D"/>
    <w:rsid w:val="00B0394A"/>
    <w:rsid w:val="00B05B2D"/>
    <w:rsid w:val="00B07304"/>
    <w:rsid w:val="00B10330"/>
    <w:rsid w:val="00B103AE"/>
    <w:rsid w:val="00B128EB"/>
    <w:rsid w:val="00B131C6"/>
    <w:rsid w:val="00B1386D"/>
    <w:rsid w:val="00B14E2D"/>
    <w:rsid w:val="00B1535E"/>
    <w:rsid w:val="00B179A7"/>
    <w:rsid w:val="00B201B9"/>
    <w:rsid w:val="00B2097C"/>
    <w:rsid w:val="00B20F73"/>
    <w:rsid w:val="00B2178E"/>
    <w:rsid w:val="00B21B4F"/>
    <w:rsid w:val="00B230D6"/>
    <w:rsid w:val="00B2511A"/>
    <w:rsid w:val="00B25BD2"/>
    <w:rsid w:val="00B25E3D"/>
    <w:rsid w:val="00B2618E"/>
    <w:rsid w:val="00B272F7"/>
    <w:rsid w:val="00B27434"/>
    <w:rsid w:val="00B27A05"/>
    <w:rsid w:val="00B27E24"/>
    <w:rsid w:val="00B30277"/>
    <w:rsid w:val="00B305A5"/>
    <w:rsid w:val="00B30ACD"/>
    <w:rsid w:val="00B30C54"/>
    <w:rsid w:val="00B314B4"/>
    <w:rsid w:val="00B32312"/>
    <w:rsid w:val="00B328BD"/>
    <w:rsid w:val="00B32B76"/>
    <w:rsid w:val="00B32CE1"/>
    <w:rsid w:val="00B33A2F"/>
    <w:rsid w:val="00B3477F"/>
    <w:rsid w:val="00B34D15"/>
    <w:rsid w:val="00B35B20"/>
    <w:rsid w:val="00B362DC"/>
    <w:rsid w:val="00B37D42"/>
    <w:rsid w:val="00B4234C"/>
    <w:rsid w:val="00B42664"/>
    <w:rsid w:val="00B427A5"/>
    <w:rsid w:val="00B42E3D"/>
    <w:rsid w:val="00B42F04"/>
    <w:rsid w:val="00B4337B"/>
    <w:rsid w:val="00B43553"/>
    <w:rsid w:val="00B44A17"/>
    <w:rsid w:val="00B44A58"/>
    <w:rsid w:val="00B44AC1"/>
    <w:rsid w:val="00B45889"/>
    <w:rsid w:val="00B46E13"/>
    <w:rsid w:val="00B47201"/>
    <w:rsid w:val="00B516A9"/>
    <w:rsid w:val="00B5253F"/>
    <w:rsid w:val="00B52EC1"/>
    <w:rsid w:val="00B530F3"/>
    <w:rsid w:val="00B53203"/>
    <w:rsid w:val="00B53216"/>
    <w:rsid w:val="00B53460"/>
    <w:rsid w:val="00B53EA4"/>
    <w:rsid w:val="00B546D9"/>
    <w:rsid w:val="00B54950"/>
    <w:rsid w:val="00B55101"/>
    <w:rsid w:val="00B5544D"/>
    <w:rsid w:val="00B57120"/>
    <w:rsid w:val="00B57B05"/>
    <w:rsid w:val="00B609F6"/>
    <w:rsid w:val="00B60C41"/>
    <w:rsid w:val="00B61406"/>
    <w:rsid w:val="00B619CF"/>
    <w:rsid w:val="00B63E80"/>
    <w:rsid w:val="00B63FFD"/>
    <w:rsid w:val="00B644F3"/>
    <w:rsid w:val="00B64A99"/>
    <w:rsid w:val="00B64AEF"/>
    <w:rsid w:val="00B65871"/>
    <w:rsid w:val="00B6649E"/>
    <w:rsid w:val="00B67E6D"/>
    <w:rsid w:val="00B700CD"/>
    <w:rsid w:val="00B709F2"/>
    <w:rsid w:val="00B70F4B"/>
    <w:rsid w:val="00B7477D"/>
    <w:rsid w:val="00B7511C"/>
    <w:rsid w:val="00B75168"/>
    <w:rsid w:val="00B75319"/>
    <w:rsid w:val="00B756DA"/>
    <w:rsid w:val="00B75BD4"/>
    <w:rsid w:val="00B75CE9"/>
    <w:rsid w:val="00B7617D"/>
    <w:rsid w:val="00B76E41"/>
    <w:rsid w:val="00B76E8D"/>
    <w:rsid w:val="00B777B3"/>
    <w:rsid w:val="00B80E4C"/>
    <w:rsid w:val="00B81E31"/>
    <w:rsid w:val="00B82566"/>
    <w:rsid w:val="00B82A47"/>
    <w:rsid w:val="00B82ABE"/>
    <w:rsid w:val="00B831BC"/>
    <w:rsid w:val="00B83D23"/>
    <w:rsid w:val="00B84148"/>
    <w:rsid w:val="00B8428C"/>
    <w:rsid w:val="00B84512"/>
    <w:rsid w:val="00B846A2"/>
    <w:rsid w:val="00B85268"/>
    <w:rsid w:val="00B86466"/>
    <w:rsid w:val="00B87EF7"/>
    <w:rsid w:val="00B90E31"/>
    <w:rsid w:val="00B91C9E"/>
    <w:rsid w:val="00B92984"/>
    <w:rsid w:val="00B92B71"/>
    <w:rsid w:val="00B92CA9"/>
    <w:rsid w:val="00B9369C"/>
    <w:rsid w:val="00B941DD"/>
    <w:rsid w:val="00B951B3"/>
    <w:rsid w:val="00B955DD"/>
    <w:rsid w:val="00B96ACA"/>
    <w:rsid w:val="00B97119"/>
    <w:rsid w:val="00B971E1"/>
    <w:rsid w:val="00BA0FB5"/>
    <w:rsid w:val="00BA2AE0"/>
    <w:rsid w:val="00BA30CE"/>
    <w:rsid w:val="00BA34F0"/>
    <w:rsid w:val="00BA560E"/>
    <w:rsid w:val="00BA57AA"/>
    <w:rsid w:val="00BA6142"/>
    <w:rsid w:val="00BA633F"/>
    <w:rsid w:val="00BA69DA"/>
    <w:rsid w:val="00BA6BC6"/>
    <w:rsid w:val="00BA72AB"/>
    <w:rsid w:val="00BA7826"/>
    <w:rsid w:val="00BB003A"/>
    <w:rsid w:val="00BB0166"/>
    <w:rsid w:val="00BB02FE"/>
    <w:rsid w:val="00BB3E70"/>
    <w:rsid w:val="00BB4A8C"/>
    <w:rsid w:val="00BB5EF7"/>
    <w:rsid w:val="00BB6289"/>
    <w:rsid w:val="00BB683E"/>
    <w:rsid w:val="00BB7018"/>
    <w:rsid w:val="00BB7F38"/>
    <w:rsid w:val="00BC11A9"/>
    <w:rsid w:val="00BC11C8"/>
    <w:rsid w:val="00BC257F"/>
    <w:rsid w:val="00BC2CDE"/>
    <w:rsid w:val="00BC3AC3"/>
    <w:rsid w:val="00BC3FD7"/>
    <w:rsid w:val="00BC4649"/>
    <w:rsid w:val="00BC56EF"/>
    <w:rsid w:val="00BC615A"/>
    <w:rsid w:val="00BC7248"/>
    <w:rsid w:val="00BC73E0"/>
    <w:rsid w:val="00BC7596"/>
    <w:rsid w:val="00BC7C5A"/>
    <w:rsid w:val="00BC7DFF"/>
    <w:rsid w:val="00BC7E58"/>
    <w:rsid w:val="00BD0716"/>
    <w:rsid w:val="00BD23CA"/>
    <w:rsid w:val="00BD2A90"/>
    <w:rsid w:val="00BD4BC2"/>
    <w:rsid w:val="00BD4FF0"/>
    <w:rsid w:val="00BD53C5"/>
    <w:rsid w:val="00BD6ECF"/>
    <w:rsid w:val="00BE070A"/>
    <w:rsid w:val="00BE09D1"/>
    <w:rsid w:val="00BE0F10"/>
    <w:rsid w:val="00BE12B0"/>
    <w:rsid w:val="00BE1AAA"/>
    <w:rsid w:val="00BE5D4D"/>
    <w:rsid w:val="00BE6394"/>
    <w:rsid w:val="00BE7205"/>
    <w:rsid w:val="00BE723F"/>
    <w:rsid w:val="00BE733E"/>
    <w:rsid w:val="00BF0DBD"/>
    <w:rsid w:val="00BF25B5"/>
    <w:rsid w:val="00BF2CCC"/>
    <w:rsid w:val="00BF3C97"/>
    <w:rsid w:val="00BF3E26"/>
    <w:rsid w:val="00BF4AF9"/>
    <w:rsid w:val="00BF4F25"/>
    <w:rsid w:val="00BF5435"/>
    <w:rsid w:val="00BF54F8"/>
    <w:rsid w:val="00BF5C06"/>
    <w:rsid w:val="00BF5C47"/>
    <w:rsid w:val="00BF602A"/>
    <w:rsid w:val="00BF71E6"/>
    <w:rsid w:val="00BF7D6D"/>
    <w:rsid w:val="00C003EF"/>
    <w:rsid w:val="00C009DF"/>
    <w:rsid w:val="00C01A11"/>
    <w:rsid w:val="00C029EA"/>
    <w:rsid w:val="00C03015"/>
    <w:rsid w:val="00C0484B"/>
    <w:rsid w:val="00C051FE"/>
    <w:rsid w:val="00C0582B"/>
    <w:rsid w:val="00C05E3D"/>
    <w:rsid w:val="00C0629F"/>
    <w:rsid w:val="00C06F9C"/>
    <w:rsid w:val="00C0735D"/>
    <w:rsid w:val="00C079BF"/>
    <w:rsid w:val="00C10000"/>
    <w:rsid w:val="00C10EB2"/>
    <w:rsid w:val="00C1109F"/>
    <w:rsid w:val="00C114D1"/>
    <w:rsid w:val="00C11BDB"/>
    <w:rsid w:val="00C136FA"/>
    <w:rsid w:val="00C13F2E"/>
    <w:rsid w:val="00C15194"/>
    <w:rsid w:val="00C1610E"/>
    <w:rsid w:val="00C16DAE"/>
    <w:rsid w:val="00C16E3A"/>
    <w:rsid w:val="00C210D5"/>
    <w:rsid w:val="00C21174"/>
    <w:rsid w:val="00C22F5F"/>
    <w:rsid w:val="00C2304E"/>
    <w:rsid w:val="00C24952"/>
    <w:rsid w:val="00C26325"/>
    <w:rsid w:val="00C26881"/>
    <w:rsid w:val="00C26D1F"/>
    <w:rsid w:val="00C27B02"/>
    <w:rsid w:val="00C30B50"/>
    <w:rsid w:val="00C33C48"/>
    <w:rsid w:val="00C36339"/>
    <w:rsid w:val="00C36B7D"/>
    <w:rsid w:val="00C36F4C"/>
    <w:rsid w:val="00C4142D"/>
    <w:rsid w:val="00C42C04"/>
    <w:rsid w:val="00C4390B"/>
    <w:rsid w:val="00C43BDD"/>
    <w:rsid w:val="00C446BD"/>
    <w:rsid w:val="00C45149"/>
    <w:rsid w:val="00C51A74"/>
    <w:rsid w:val="00C51AFE"/>
    <w:rsid w:val="00C524CD"/>
    <w:rsid w:val="00C5356C"/>
    <w:rsid w:val="00C545B6"/>
    <w:rsid w:val="00C57DE2"/>
    <w:rsid w:val="00C614EF"/>
    <w:rsid w:val="00C61B88"/>
    <w:rsid w:val="00C6392B"/>
    <w:rsid w:val="00C64F51"/>
    <w:rsid w:val="00C653E0"/>
    <w:rsid w:val="00C65561"/>
    <w:rsid w:val="00C669E3"/>
    <w:rsid w:val="00C674D0"/>
    <w:rsid w:val="00C676C8"/>
    <w:rsid w:val="00C70623"/>
    <w:rsid w:val="00C72CB5"/>
    <w:rsid w:val="00C73114"/>
    <w:rsid w:val="00C736A5"/>
    <w:rsid w:val="00C75243"/>
    <w:rsid w:val="00C75AAF"/>
    <w:rsid w:val="00C7606C"/>
    <w:rsid w:val="00C765EE"/>
    <w:rsid w:val="00C771C2"/>
    <w:rsid w:val="00C772C1"/>
    <w:rsid w:val="00C8115A"/>
    <w:rsid w:val="00C814F5"/>
    <w:rsid w:val="00C8193F"/>
    <w:rsid w:val="00C82467"/>
    <w:rsid w:val="00C83BE4"/>
    <w:rsid w:val="00C83C56"/>
    <w:rsid w:val="00C84971"/>
    <w:rsid w:val="00C84B2B"/>
    <w:rsid w:val="00C84D5D"/>
    <w:rsid w:val="00C84DA7"/>
    <w:rsid w:val="00C851E2"/>
    <w:rsid w:val="00C8586F"/>
    <w:rsid w:val="00C85A5F"/>
    <w:rsid w:val="00C86B31"/>
    <w:rsid w:val="00C87A78"/>
    <w:rsid w:val="00C87F2C"/>
    <w:rsid w:val="00C90449"/>
    <w:rsid w:val="00C90D55"/>
    <w:rsid w:val="00C90F2C"/>
    <w:rsid w:val="00C90F6A"/>
    <w:rsid w:val="00C92281"/>
    <w:rsid w:val="00C92404"/>
    <w:rsid w:val="00C9368C"/>
    <w:rsid w:val="00C93F73"/>
    <w:rsid w:val="00C9535B"/>
    <w:rsid w:val="00C9558A"/>
    <w:rsid w:val="00C96C68"/>
    <w:rsid w:val="00C96D04"/>
    <w:rsid w:val="00C979B1"/>
    <w:rsid w:val="00CA0296"/>
    <w:rsid w:val="00CA120F"/>
    <w:rsid w:val="00CA1739"/>
    <w:rsid w:val="00CA1F21"/>
    <w:rsid w:val="00CA26AB"/>
    <w:rsid w:val="00CA5F49"/>
    <w:rsid w:val="00CA6575"/>
    <w:rsid w:val="00CA6D4D"/>
    <w:rsid w:val="00CA7B60"/>
    <w:rsid w:val="00CB6359"/>
    <w:rsid w:val="00CB65FE"/>
    <w:rsid w:val="00CB7436"/>
    <w:rsid w:val="00CB7BDE"/>
    <w:rsid w:val="00CC1720"/>
    <w:rsid w:val="00CC23C4"/>
    <w:rsid w:val="00CC3AF9"/>
    <w:rsid w:val="00CC3E04"/>
    <w:rsid w:val="00CC3F77"/>
    <w:rsid w:val="00CC56D4"/>
    <w:rsid w:val="00CC7575"/>
    <w:rsid w:val="00CD0AF5"/>
    <w:rsid w:val="00CD0D3A"/>
    <w:rsid w:val="00CD13DA"/>
    <w:rsid w:val="00CD470B"/>
    <w:rsid w:val="00CD4AE4"/>
    <w:rsid w:val="00CD62C8"/>
    <w:rsid w:val="00CD6D87"/>
    <w:rsid w:val="00CE1236"/>
    <w:rsid w:val="00CE1309"/>
    <w:rsid w:val="00CE2DCE"/>
    <w:rsid w:val="00CE3D94"/>
    <w:rsid w:val="00CE402E"/>
    <w:rsid w:val="00CE547E"/>
    <w:rsid w:val="00CE55D0"/>
    <w:rsid w:val="00CE56EA"/>
    <w:rsid w:val="00CE5C19"/>
    <w:rsid w:val="00CE6E3C"/>
    <w:rsid w:val="00CE74F7"/>
    <w:rsid w:val="00CE780F"/>
    <w:rsid w:val="00CF02E2"/>
    <w:rsid w:val="00CF07C7"/>
    <w:rsid w:val="00CF08F9"/>
    <w:rsid w:val="00CF0A53"/>
    <w:rsid w:val="00CF13BA"/>
    <w:rsid w:val="00CF1FD8"/>
    <w:rsid w:val="00CF26DD"/>
    <w:rsid w:val="00CF3951"/>
    <w:rsid w:val="00CF3DC0"/>
    <w:rsid w:val="00CF4965"/>
    <w:rsid w:val="00CF6236"/>
    <w:rsid w:val="00CF6F5C"/>
    <w:rsid w:val="00CF757B"/>
    <w:rsid w:val="00CF7D57"/>
    <w:rsid w:val="00D00978"/>
    <w:rsid w:val="00D00E61"/>
    <w:rsid w:val="00D00FFC"/>
    <w:rsid w:val="00D0161C"/>
    <w:rsid w:val="00D01DEC"/>
    <w:rsid w:val="00D025F7"/>
    <w:rsid w:val="00D028FE"/>
    <w:rsid w:val="00D02B65"/>
    <w:rsid w:val="00D03061"/>
    <w:rsid w:val="00D031A6"/>
    <w:rsid w:val="00D03791"/>
    <w:rsid w:val="00D03D63"/>
    <w:rsid w:val="00D04CD4"/>
    <w:rsid w:val="00D059DD"/>
    <w:rsid w:val="00D0636B"/>
    <w:rsid w:val="00D068DE"/>
    <w:rsid w:val="00D078D5"/>
    <w:rsid w:val="00D102D9"/>
    <w:rsid w:val="00D1033B"/>
    <w:rsid w:val="00D105BD"/>
    <w:rsid w:val="00D10721"/>
    <w:rsid w:val="00D116F7"/>
    <w:rsid w:val="00D120E8"/>
    <w:rsid w:val="00D121A5"/>
    <w:rsid w:val="00D125B9"/>
    <w:rsid w:val="00D13631"/>
    <w:rsid w:val="00D14A90"/>
    <w:rsid w:val="00D14E4D"/>
    <w:rsid w:val="00D152C9"/>
    <w:rsid w:val="00D161D5"/>
    <w:rsid w:val="00D16E79"/>
    <w:rsid w:val="00D176CB"/>
    <w:rsid w:val="00D17C21"/>
    <w:rsid w:val="00D201BE"/>
    <w:rsid w:val="00D203E4"/>
    <w:rsid w:val="00D24396"/>
    <w:rsid w:val="00D2485F"/>
    <w:rsid w:val="00D251AB"/>
    <w:rsid w:val="00D253BA"/>
    <w:rsid w:val="00D25524"/>
    <w:rsid w:val="00D25838"/>
    <w:rsid w:val="00D25BE7"/>
    <w:rsid w:val="00D27445"/>
    <w:rsid w:val="00D305FD"/>
    <w:rsid w:val="00D31AB5"/>
    <w:rsid w:val="00D3245D"/>
    <w:rsid w:val="00D329FA"/>
    <w:rsid w:val="00D32AE5"/>
    <w:rsid w:val="00D34136"/>
    <w:rsid w:val="00D34784"/>
    <w:rsid w:val="00D34DFE"/>
    <w:rsid w:val="00D34F6F"/>
    <w:rsid w:val="00D35317"/>
    <w:rsid w:val="00D35A8C"/>
    <w:rsid w:val="00D35AA2"/>
    <w:rsid w:val="00D35B49"/>
    <w:rsid w:val="00D40075"/>
    <w:rsid w:val="00D418C7"/>
    <w:rsid w:val="00D41A0F"/>
    <w:rsid w:val="00D41EA0"/>
    <w:rsid w:val="00D42762"/>
    <w:rsid w:val="00D42948"/>
    <w:rsid w:val="00D42A99"/>
    <w:rsid w:val="00D42EDC"/>
    <w:rsid w:val="00D4417C"/>
    <w:rsid w:val="00D44533"/>
    <w:rsid w:val="00D448D9"/>
    <w:rsid w:val="00D449D0"/>
    <w:rsid w:val="00D45392"/>
    <w:rsid w:val="00D455BE"/>
    <w:rsid w:val="00D45D03"/>
    <w:rsid w:val="00D462B1"/>
    <w:rsid w:val="00D476BF"/>
    <w:rsid w:val="00D47EE5"/>
    <w:rsid w:val="00D500FA"/>
    <w:rsid w:val="00D5018C"/>
    <w:rsid w:val="00D507AC"/>
    <w:rsid w:val="00D51721"/>
    <w:rsid w:val="00D51E45"/>
    <w:rsid w:val="00D51EA7"/>
    <w:rsid w:val="00D5237D"/>
    <w:rsid w:val="00D52562"/>
    <w:rsid w:val="00D52C50"/>
    <w:rsid w:val="00D52E98"/>
    <w:rsid w:val="00D52EDC"/>
    <w:rsid w:val="00D5361A"/>
    <w:rsid w:val="00D551E5"/>
    <w:rsid w:val="00D558CF"/>
    <w:rsid w:val="00D56104"/>
    <w:rsid w:val="00D56B59"/>
    <w:rsid w:val="00D570F5"/>
    <w:rsid w:val="00D5766A"/>
    <w:rsid w:val="00D57885"/>
    <w:rsid w:val="00D616FE"/>
    <w:rsid w:val="00D61FBF"/>
    <w:rsid w:val="00D638CD"/>
    <w:rsid w:val="00D643D5"/>
    <w:rsid w:val="00D65043"/>
    <w:rsid w:val="00D6554F"/>
    <w:rsid w:val="00D668DC"/>
    <w:rsid w:val="00D67314"/>
    <w:rsid w:val="00D67668"/>
    <w:rsid w:val="00D70E17"/>
    <w:rsid w:val="00D7204F"/>
    <w:rsid w:val="00D721FC"/>
    <w:rsid w:val="00D72B25"/>
    <w:rsid w:val="00D72B5B"/>
    <w:rsid w:val="00D72CAD"/>
    <w:rsid w:val="00D72FBF"/>
    <w:rsid w:val="00D73F4D"/>
    <w:rsid w:val="00D74778"/>
    <w:rsid w:val="00D75B10"/>
    <w:rsid w:val="00D7687A"/>
    <w:rsid w:val="00D76E98"/>
    <w:rsid w:val="00D777F4"/>
    <w:rsid w:val="00D82053"/>
    <w:rsid w:val="00D846CC"/>
    <w:rsid w:val="00D859F4"/>
    <w:rsid w:val="00D86BD0"/>
    <w:rsid w:val="00D86E29"/>
    <w:rsid w:val="00D8760B"/>
    <w:rsid w:val="00D900CD"/>
    <w:rsid w:val="00D911B7"/>
    <w:rsid w:val="00D912B7"/>
    <w:rsid w:val="00D913CA"/>
    <w:rsid w:val="00D9235C"/>
    <w:rsid w:val="00D927BF"/>
    <w:rsid w:val="00D92DDE"/>
    <w:rsid w:val="00D939E6"/>
    <w:rsid w:val="00D96B87"/>
    <w:rsid w:val="00DA0811"/>
    <w:rsid w:val="00DA1DA2"/>
    <w:rsid w:val="00DA2FC7"/>
    <w:rsid w:val="00DA3656"/>
    <w:rsid w:val="00DA3F8A"/>
    <w:rsid w:val="00DA40A8"/>
    <w:rsid w:val="00DA42B3"/>
    <w:rsid w:val="00DA488C"/>
    <w:rsid w:val="00DA49E4"/>
    <w:rsid w:val="00DA4E63"/>
    <w:rsid w:val="00DA7ED2"/>
    <w:rsid w:val="00DB0D03"/>
    <w:rsid w:val="00DB1DF7"/>
    <w:rsid w:val="00DB1E8F"/>
    <w:rsid w:val="00DB1FAB"/>
    <w:rsid w:val="00DB265C"/>
    <w:rsid w:val="00DB2CA9"/>
    <w:rsid w:val="00DB3E8D"/>
    <w:rsid w:val="00DB6AA1"/>
    <w:rsid w:val="00DB6B27"/>
    <w:rsid w:val="00DC07BB"/>
    <w:rsid w:val="00DC1C4A"/>
    <w:rsid w:val="00DC2148"/>
    <w:rsid w:val="00DC2AA0"/>
    <w:rsid w:val="00DC3041"/>
    <w:rsid w:val="00DC34F2"/>
    <w:rsid w:val="00DC399B"/>
    <w:rsid w:val="00DC39C3"/>
    <w:rsid w:val="00DC3C3C"/>
    <w:rsid w:val="00DC57BF"/>
    <w:rsid w:val="00DC6B68"/>
    <w:rsid w:val="00DC7DC4"/>
    <w:rsid w:val="00DD1E40"/>
    <w:rsid w:val="00DD3D95"/>
    <w:rsid w:val="00DD3E8B"/>
    <w:rsid w:val="00DD4AC1"/>
    <w:rsid w:val="00DD4C71"/>
    <w:rsid w:val="00DD5548"/>
    <w:rsid w:val="00DD5D53"/>
    <w:rsid w:val="00DD6D4E"/>
    <w:rsid w:val="00DD7288"/>
    <w:rsid w:val="00DD762C"/>
    <w:rsid w:val="00DD7B91"/>
    <w:rsid w:val="00DD7F2A"/>
    <w:rsid w:val="00DE06D4"/>
    <w:rsid w:val="00DE0C26"/>
    <w:rsid w:val="00DE0E85"/>
    <w:rsid w:val="00DE1F66"/>
    <w:rsid w:val="00DE2AAF"/>
    <w:rsid w:val="00DE37B7"/>
    <w:rsid w:val="00DE3F53"/>
    <w:rsid w:val="00DE53D1"/>
    <w:rsid w:val="00DE73FF"/>
    <w:rsid w:val="00DE7B45"/>
    <w:rsid w:val="00DF1381"/>
    <w:rsid w:val="00DF2B4A"/>
    <w:rsid w:val="00DF33A6"/>
    <w:rsid w:val="00DF39BD"/>
    <w:rsid w:val="00DF49B6"/>
    <w:rsid w:val="00DF54DC"/>
    <w:rsid w:val="00DF605C"/>
    <w:rsid w:val="00DF7C4A"/>
    <w:rsid w:val="00DFAC6D"/>
    <w:rsid w:val="00E00D9E"/>
    <w:rsid w:val="00E00EA5"/>
    <w:rsid w:val="00E0148A"/>
    <w:rsid w:val="00E01906"/>
    <w:rsid w:val="00E01CB9"/>
    <w:rsid w:val="00E04DA7"/>
    <w:rsid w:val="00E05063"/>
    <w:rsid w:val="00E0768D"/>
    <w:rsid w:val="00E10766"/>
    <w:rsid w:val="00E1141D"/>
    <w:rsid w:val="00E11FE6"/>
    <w:rsid w:val="00E12118"/>
    <w:rsid w:val="00E12D6A"/>
    <w:rsid w:val="00E14794"/>
    <w:rsid w:val="00E14A09"/>
    <w:rsid w:val="00E15819"/>
    <w:rsid w:val="00E162DE"/>
    <w:rsid w:val="00E16DCC"/>
    <w:rsid w:val="00E1740B"/>
    <w:rsid w:val="00E206C7"/>
    <w:rsid w:val="00E20C51"/>
    <w:rsid w:val="00E21348"/>
    <w:rsid w:val="00E21987"/>
    <w:rsid w:val="00E22ED7"/>
    <w:rsid w:val="00E22EF8"/>
    <w:rsid w:val="00E23523"/>
    <w:rsid w:val="00E237C9"/>
    <w:rsid w:val="00E25FD4"/>
    <w:rsid w:val="00E26E73"/>
    <w:rsid w:val="00E26FBA"/>
    <w:rsid w:val="00E2785F"/>
    <w:rsid w:val="00E279B3"/>
    <w:rsid w:val="00E30603"/>
    <w:rsid w:val="00E3116E"/>
    <w:rsid w:val="00E312CE"/>
    <w:rsid w:val="00E31355"/>
    <w:rsid w:val="00E32EC8"/>
    <w:rsid w:val="00E348D4"/>
    <w:rsid w:val="00E35663"/>
    <w:rsid w:val="00E35A55"/>
    <w:rsid w:val="00E36EFA"/>
    <w:rsid w:val="00E36FFA"/>
    <w:rsid w:val="00E373D9"/>
    <w:rsid w:val="00E37CC8"/>
    <w:rsid w:val="00E40B3E"/>
    <w:rsid w:val="00E41321"/>
    <w:rsid w:val="00E41445"/>
    <w:rsid w:val="00E4258C"/>
    <w:rsid w:val="00E4320E"/>
    <w:rsid w:val="00E44253"/>
    <w:rsid w:val="00E44E54"/>
    <w:rsid w:val="00E45D5F"/>
    <w:rsid w:val="00E464C0"/>
    <w:rsid w:val="00E47352"/>
    <w:rsid w:val="00E4754F"/>
    <w:rsid w:val="00E47BEF"/>
    <w:rsid w:val="00E504E0"/>
    <w:rsid w:val="00E50F34"/>
    <w:rsid w:val="00E5251A"/>
    <w:rsid w:val="00E54F30"/>
    <w:rsid w:val="00E55695"/>
    <w:rsid w:val="00E55770"/>
    <w:rsid w:val="00E5635F"/>
    <w:rsid w:val="00E5650C"/>
    <w:rsid w:val="00E566B1"/>
    <w:rsid w:val="00E57586"/>
    <w:rsid w:val="00E57A62"/>
    <w:rsid w:val="00E57C24"/>
    <w:rsid w:val="00E57E04"/>
    <w:rsid w:val="00E602FC"/>
    <w:rsid w:val="00E60340"/>
    <w:rsid w:val="00E612B6"/>
    <w:rsid w:val="00E62E48"/>
    <w:rsid w:val="00E63272"/>
    <w:rsid w:val="00E666BA"/>
    <w:rsid w:val="00E670A8"/>
    <w:rsid w:val="00E67279"/>
    <w:rsid w:val="00E67C23"/>
    <w:rsid w:val="00E7238D"/>
    <w:rsid w:val="00E7328B"/>
    <w:rsid w:val="00E743B4"/>
    <w:rsid w:val="00E74662"/>
    <w:rsid w:val="00E76607"/>
    <w:rsid w:val="00E766DD"/>
    <w:rsid w:val="00E770EE"/>
    <w:rsid w:val="00E77B8E"/>
    <w:rsid w:val="00E804AD"/>
    <w:rsid w:val="00E80BB5"/>
    <w:rsid w:val="00E81CB6"/>
    <w:rsid w:val="00E81D86"/>
    <w:rsid w:val="00E82429"/>
    <w:rsid w:val="00E82583"/>
    <w:rsid w:val="00E83134"/>
    <w:rsid w:val="00E83D58"/>
    <w:rsid w:val="00E85C1B"/>
    <w:rsid w:val="00E9059F"/>
    <w:rsid w:val="00E90673"/>
    <w:rsid w:val="00E90C48"/>
    <w:rsid w:val="00E910CD"/>
    <w:rsid w:val="00E922F7"/>
    <w:rsid w:val="00E944A9"/>
    <w:rsid w:val="00E96361"/>
    <w:rsid w:val="00E96F4E"/>
    <w:rsid w:val="00E9761F"/>
    <w:rsid w:val="00EA04D9"/>
    <w:rsid w:val="00EA06F7"/>
    <w:rsid w:val="00EA0DD8"/>
    <w:rsid w:val="00EA1634"/>
    <w:rsid w:val="00EA2A93"/>
    <w:rsid w:val="00EA4981"/>
    <w:rsid w:val="00EA4B0B"/>
    <w:rsid w:val="00EA4F34"/>
    <w:rsid w:val="00EA5370"/>
    <w:rsid w:val="00EA5419"/>
    <w:rsid w:val="00EA66FF"/>
    <w:rsid w:val="00EA70C5"/>
    <w:rsid w:val="00EA7232"/>
    <w:rsid w:val="00EB0E25"/>
    <w:rsid w:val="00EB16B8"/>
    <w:rsid w:val="00EB16E3"/>
    <w:rsid w:val="00EB185B"/>
    <w:rsid w:val="00EB1EFE"/>
    <w:rsid w:val="00EB2849"/>
    <w:rsid w:val="00EB4B3F"/>
    <w:rsid w:val="00EB5241"/>
    <w:rsid w:val="00EB5536"/>
    <w:rsid w:val="00EB5A22"/>
    <w:rsid w:val="00EB6488"/>
    <w:rsid w:val="00EB6ED2"/>
    <w:rsid w:val="00EC0124"/>
    <w:rsid w:val="00EC0C60"/>
    <w:rsid w:val="00EC0D5D"/>
    <w:rsid w:val="00EC0EF2"/>
    <w:rsid w:val="00EC1314"/>
    <w:rsid w:val="00EC16EE"/>
    <w:rsid w:val="00EC316B"/>
    <w:rsid w:val="00EC4A0C"/>
    <w:rsid w:val="00EC4D19"/>
    <w:rsid w:val="00EC4EA5"/>
    <w:rsid w:val="00EC4F34"/>
    <w:rsid w:val="00EC5B80"/>
    <w:rsid w:val="00EC7205"/>
    <w:rsid w:val="00EC7C8A"/>
    <w:rsid w:val="00ED011E"/>
    <w:rsid w:val="00ED04DB"/>
    <w:rsid w:val="00ED0581"/>
    <w:rsid w:val="00ED0E33"/>
    <w:rsid w:val="00ED2683"/>
    <w:rsid w:val="00ED2C5A"/>
    <w:rsid w:val="00ED3250"/>
    <w:rsid w:val="00ED3F31"/>
    <w:rsid w:val="00ED41F2"/>
    <w:rsid w:val="00ED5294"/>
    <w:rsid w:val="00ED6147"/>
    <w:rsid w:val="00ED669F"/>
    <w:rsid w:val="00ED7444"/>
    <w:rsid w:val="00EE01A6"/>
    <w:rsid w:val="00EE0AE9"/>
    <w:rsid w:val="00EE0D83"/>
    <w:rsid w:val="00EE0F12"/>
    <w:rsid w:val="00EE1E4F"/>
    <w:rsid w:val="00EE2632"/>
    <w:rsid w:val="00EE350F"/>
    <w:rsid w:val="00EE3649"/>
    <w:rsid w:val="00EE3F4F"/>
    <w:rsid w:val="00EE44E1"/>
    <w:rsid w:val="00EE4609"/>
    <w:rsid w:val="00EE4E34"/>
    <w:rsid w:val="00EE5E23"/>
    <w:rsid w:val="00EE63C2"/>
    <w:rsid w:val="00EE69E3"/>
    <w:rsid w:val="00EE7A36"/>
    <w:rsid w:val="00EE7E18"/>
    <w:rsid w:val="00EF32DC"/>
    <w:rsid w:val="00EF3CD9"/>
    <w:rsid w:val="00EF438B"/>
    <w:rsid w:val="00EF4751"/>
    <w:rsid w:val="00EF526B"/>
    <w:rsid w:val="00EF600F"/>
    <w:rsid w:val="00EF7430"/>
    <w:rsid w:val="00EF7808"/>
    <w:rsid w:val="00EF7A37"/>
    <w:rsid w:val="00F00B3B"/>
    <w:rsid w:val="00F01657"/>
    <w:rsid w:val="00F019C5"/>
    <w:rsid w:val="00F01BE2"/>
    <w:rsid w:val="00F01DE8"/>
    <w:rsid w:val="00F02158"/>
    <w:rsid w:val="00F03153"/>
    <w:rsid w:val="00F04E2E"/>
    <w:rsid w:val="00F060F0"/>
    <w:rsid w:val="00F0696F"/>
    <w:rsid w:val="00F069FA"/>
    <w:rsid w:val="00F074FC"/>
    <w:rsid w:val="00F117D2"/>
    <w:rsid w:val="00F11A14"/>
    <w:rsid w:val="00F1273D"/>
    <w:rsid w:val="00F1278E"/>
    <w:rsid w:val="00F13034"/>
    <w:rsid w:val="00F13886"/>
    <w:rsid w:val="00F14375"/>
    <w:rsid w:val="00F15F4F"/>
    <w:rsid w:val="00F1610E"/>
    <w:rsid w:val="00F16782"/>
    <w:rsid w:val="00F209DC"/>
    <w:rsid w:val="00F221E9"/>
    <w:rsid w:val="00F22D08"/>
    <w:rsid w:val="00F2358C"/>
    <w:rsid w:val="00F2457B"/>
    <w:rsid w:val="00F26C99"/>
    <w:rsid w:val="00F2787E"/>
    <w:rsid w:val="00F278B6"/>
    <w:rsid w:val="00F303E7"/>
    <w:rsid w:val="00F30EF0"/>
    <w:rsid w:val="00F31777"/>
    <w:rsid w:val="00F3265D"/>
    <w:rsid w:val="00F32E9B"/>
    <w:rsid w:val="00F32EBA"/>
    <w:rsid w:val="00F32F6B"/>
    <w:rsid w:val="00F33DFA"/>
    <w:rsid w:val="00F33EE2"/>
    <w:rsid w:val="00F347F6"/>
    <w:rsid w:val="00F348D4"/>
    <w:rsid w:val="00F35043"/>
    <w:rsid w:val="00F35936"/>
    <w:rsid w:val="00F35A0D"/>
    <w:rsid w:val="00F35B85"/>
    <w:rsid w:val="00F35C2F"/>
    <w:rsid w:val="00F3640F"/>
    <w:rsid w:val="00F36D08"/>
    <w:rsid w:val="00F36EF2"/>
    <w:rsid w:val="00F37120"/>
    <w:rsid w:val="00F40498"/>
    <w:rsid w:val="00F419C8"/>
    <w:rsid w:val="00F41CA0"/>
    <w:rsid w:val="00F41D79"/>
    <w:rsid w:val="00F42280"/>
    <w:rsid w:val="00F44F48"/>
    <w:rsid w:val="00F46523"/>
    <w:rsid w:val="00F46E09"/>
    <w:rsid w:val="00F4723E"/>
    <w:rsid w:val="00F50D1E"/>
    <w:rsid w:val="00F511CB"/>
    <w:rsid w:val="00F5148C"/>
    <w:rsid w:val="00F5166F"/>
    <w:rsid w:val="00F519C9"/>
    <w:rsid w:val="00F51A15"/>
    <w:rsid w:val="00F52008"/>
    <w:rsid w:val="00F5221C"/>
    <w:rsid w:val="00F523AD"/>
    <w:rsid w:val="00F524ED"/>
    <w:rsid w:val="00F52651"/>
    <w:rsid w:val="00F533DE"/>
    <w:rsid w:val="00F54842"/>
    <w:rsid w:val="00F5570E"/>
    <w:rsid w:val="00F55EB6"/>
    <w:rsid w:val="00F567FE"/>
    <w:rsid w:val="00F5778B"/>
    <w:rsid w:val="00F6019C"/>
    <w:rsid w:val="00F61E86"/>
    <w:rsid w:val="00F61FBE"/>
    <w:rsid w:val="00F62036"/>
    <w:rsid w:val="00F62C4C"/>
    <w:rsid w:val="00F630BF"/>
    <w:rsid w:val="00F6327D"/>
    <w:rsid w:val="00F64660"/>
    <w:rsid w:val="00F6484E"/>
    <w:rsid w:val="00F6531C"/>
    <w:rsid w:val="00F65D49"/>
    <w:rsid w:val="00F65F46"/>
    <w:rsid w:val="00F66BC6"/>
    <w:rsid w:val="00F66ED5"/>
    <w:rsid w:val="00F700B2"/>
    <w:rsid w:val="00F70713"/>
    <w:rsid w:val="00F71A40"/>
    <w:rsid w:val="00F72429"/>
    <w:rsid w:val="00F727A6"/>
    <w:rsid w:val="00F7319F"/>
    <w:rsid w:val="00F7428E"/>
    <w:rsid w:val="00F74BB5"/>
    <w:rsid w:val="00F75978"/>
    <w:rsid w:val="00F75F81"/>
    <w:rsid w:val="00F762D8"/>
    <w:rsid w:val="00F77F82"/>
    <w:rsid w:val="00F80019"/>
    <w:rsid w:val="00F801BB"/>
    <w:rsid w:val="00F81377"/>
    <w:rsid w:val="00F82A7E"/>
    <w:rsid w:val="00F83422"/>
    <w:rsid w:val="00F83F86"/>
    <w:rsid w:val="00F84C3A"/>
    <w:rsid w:val="00F85A26"/>
    <w:rsid w:val="00F85D97"/>
    <w:rsid w:val="00F85F1C"/>
    <w:rsid w:val="00F86BEC"/>
    <w:rsid w:val="00F87F9D"/>
    <w:rsid w:val="00F9063B"/>
    <w:rsid w:val="00F909BF"/>
    <w:rsid w:val="00F910F9"/>
    <w:rsid w:val="00F92168"/>
    <w:rsid w:val="00F94509"/>
    <w:rsid w:val="00F95A40"/>
    <w:rsid w:val="00F96B31"/>
    <w:rsid w:val="00F977FE"/>
    <w:rsid w:val="00F97F4C"/>
    <w:rsid w:val="00FA00A8"/>
    <w:rsid w:val="00FA0CC5"/>
    <w:rsid w:val="00FA0FC9"/>
    <w:rsid w:val="00FA3957"/>
    <w:rsid w:val="00FA3FD7"/>
    <w:rsid w:val="00FA4D9D"/>
    <w:rsid w:val="00FA628A"/>
    <w:rsid w:val="00FA6B0E"/>
    <w:rsid w:val="00FA6DA2"/>
    <w:rsid w:val="00FA74F7"/>
    <w:rsid w:val="00FB0BB6"/>
    <w:rsid w:val="00FB14B1"/>
    <w:rsid w:val="00FB1D97"/>
    <w:rsid w:val="00FB1DDE"/>
    <w:rsid w:val="00FB315B"/>
    <w:rsid w:val="00FB3401"/>
    <w:rsid w:val="00FB382C"/>
    <w:rsid w:val="00FB3AC5"/>
    <w:rsid w:val="00FB49AA"/>
    <w:rsid w:val="00FB58B3"/>
    <w:rsid w:val="00FB6856"/>
    <w:rsid w:val="00FB6C2B"/>
    <w:rsid w:val="00FB72FB"/>
    <w:rsid w:val="00FB7B98"/>
    <w:rsid w:val="00FB7D54"/>
    <w:rsid w:val="00FC0671"/>
    <w:rsid w:val="00FC0749"/>
    <w:rsid w:val="00FC099E"/>
    <w:rsid w:val="00FC15B6"/>
    <w:rsid w:val="00FC1A01"/>
    <w:rsid w:val="00FC21A3"/>
    <w:rsid w:val="00FC3308"/>
    <w:rsid w:val="00FC3436"/>
    <w:rsid w:val="00FC3928"/>
    <w:rsid w:val="00FC413B"/>
    <w:rsid w:val="00FC530C"/>
    <w:rsid w:val="00FC5893"/>
    <w:rsid w:val="00FC5E3C"/>
    <w:rsid w:val="00FC6CD1"/>
    <w:rsid w:val="00FC777C"/>
    <w:rsid w:val="00FC7F9C"/>
    <w:rsid w:val="00FD125E"/>
    <w:rsid w:val="00FD1F88"/>
    <w:rsid w:val="00FD23AE"/>
    <w:rsid w:val="00FD2562"/>
    <w:rsid w:val="00FD3184"/>
    <w:rsid w:val="00FD3D60"/>
    <w:rsid w:val="00FD3D61"/>
    <w:rsid w:val="00FD42F6"/>
    <w:rsid w:val="00FD57D2"/>
    <w:rsid w:val="00FD6A22"/>
    <w:rsid w:val="00FD70F6"/>
    <w:rsid w:val="00FD715E"/>
    <w:rsid w:val="00FE061E"/>
    <w:rsid w:val="00FE26AA"/>
    <w:rsid w:val="00FE30B0"/>
    <w:rsid w:val="00FE33F6"/>
    <w:rsid w:val="00FE3AAA"/>
    <w:rsid w:val="00FE3C38"/>
    <w:rsid w:val="00FE3D4D"/>
    <w:rsid w:val="00FE4AEC"/>
    <w:rsid w:val="00FE5ECC"/>
    <w:rsid w:val="00FE7231"/>
    <w:rsid w:val="00FE73A5"/>
    <w:rsid w:val="00FE7446"/>
    <w:rsid w:val="00FF1025"/>
    <w:rsid w:val="00FF1570"/>
    <w:rsid w:val="00FF1F82"/>
    <w:rsid w:val="00FF3D59"/>
    <w:rsid w:val="00FF4840"/>
    <w:rsid w:val="00FF4A8F"/>
    <w:rsid w:val="00FF7055"/>
    <w:rsid w:val="01FF2242"/>
    <w:rsid w:val="026890BC"/>
    <w:rsid w:val="02ED6935"/>
    <w:rsid w:val="033FBF3A"/>
    <w:rsid w:val="052B8867"/>
    <w:rsid w:val="07B9583E"/>
    <w:rsid w:val="07EA6A35"/>
    <w:rsid w:val="08AA6ECE"/>
    <w:rsid w:val="0B5B490E"/>
    <w:rsid w:val="0CDFFB70"/>
    <w:rsid w:val="11A7E427"/>
    <w:rsid w:val="11CF1FE2"/>
    <w:rsid w:val="1465711C"/>
    <w:rsid w:val="17668233"/>
    <w:rsid w:val="17790246"/>
    <w:rsid w:val="1809A100"/>
    <w:rsid w:val="195DF9A6"/>
    <w:rsid w:val="19A57161"/>
    <w:rsid w:val="1D01941C"/>
    <w:rsid w:val="1E3AA930"/>
    <w:rsid w:val="1F3E9090"/>
    <w:rsid w:val="205817FC"/>
    <w:rsid w:val="210A896D"/>
    <w:rsid w:val="21975AE9"/>
    <w:rsid w:val="23214F51"/>
    <w:rsid w:val="235E36C6"/>
    <w:rsid w:val="238F5AD2"/>
    <w:rsid w:val="25AF1B4F"/>
    <w:rsid w:val="27B1D4E2"/>
    <w:rsid w:val="27E06D10"/>
    <w:rsid w:val="28D2CCDA"/>
    <w:rsid w:val="29F4B450"/>
    <w:rsid w:val="2B5E8F01"/>
    <w:rsid w:val="2D28D653"/>
    <w:rsid w:val="2E962FC3"/>
    <w:rsid w:val="2F914191"/>
    <w:rsid w:val="32F35899"/>
    <w:rsid w:val="34CAD19D"/>
    <w:rsid w:val="35BB733F"/>
    <w:rsid w:val="36DF18BE"/>
    <w:rsid w:val="37FAA40B"/>
    <w:rsid w:val="386D2A89"/>
    <w:rsid w:val="389A3ED3"/>
    <w:rsid w:val="3918C5B9"/>
    <w:rsid w:val="3993B272"/>
    <w:rsid w:val="3A8154CF"/>
    <w:rsid w:val="3C463428"/>
    <w:rsid w:val="3C93D876"/>
    <w:rsid w:val="3D417EFF"/>
    <w:rsid w:val="3D8E954A"/>
    <w:rsid w:val="3F1CB467"/>
    <w:rsid w:val="4265FF3F"/>
    <w:rsid w:val="4431E4B7"/>
    <w:rsid w:val="45328534"/>
    <w:rsid w:val="4BDF7F5C"/>
    <w:rsid w:val="4C2B7C72"/>
    <w:rsid w:val="4C98CADE"/>
    <w:rsid w:val="4CC594F0"/>
    <w:rsid w:val="4E01117A"/>
    <w:rsid w:val="4FFA3EB7"/>
    <w:rsid w:val="50D37DAE"/>
    <w:rsid w:val="53C875A2"/>
    <w:rsid w:val="569E3F24"/>
    <w:rsid w:val="56F6A3D8"/>
    <w:rsid w:val="5A2619EA"/>
    <w:rsid w:val="5A75E947"/>
    <w:rsid w:val="5AF95E72"/>
    <w:rsid w:val="5BE4BC26"/>
    <w:rsid w:val="5D3AF567"/>
    <w:rsid w:val="5D95C36D"/>
    <w:rsid w:val="6062D3A5"/>
    <w:rsid w:val="643CD07E"/>
    <w:rsid w:val="6464336E"/>
    <w:rsid w:val="647E763D"/>
    <w:rsid w:val="691C3B8A"/>
    <w:rsid w:val="69220249"/>
    <w:rsid w:val="698CA525"/>
    <w:rsid w:val="699A36E2"/>
    <w:rsid w:val="71D5E92B"/>
    <w:rsid w:val="74F1A87E"/>
    <w:rsid w:val="76ED224D"/>
    <w:rsid w:val="7987868A"/>
    <w:rsid w:val="79EE7D79"/>
    <w:rsid w:val="7A9AEEDA"/>
    <w:rsid w:val="7AC81F2D"/>
    <w:rsid w:val="7D74E84A"/>
    <w:rsid w:val="7EE8E6F1"/>
    <w:rsid w:val="7F8C1AE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84252"/>
  <w15:chartTrackingRefBased/>
  <w15:docId w15:val="{8E58CC35-0380-49C7-A2A4-9F75C84F6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80F"/>
    <w:pPr>
      <w:spacing w:before="120" w:after="120"/>
    </w:pPr>
    <w:rPr>
      <w:rFonts w:ascii="Arial" w:hAnsi="Arial"/>
    </w:rPr>
  </w:style>
  <w:style w:type="paragraph" w:styleId="Heading1">
    <w:name w:val="heading 1"/>
    <w:basedOn w:val="Normal"/>
    <w:link w:val="Heading1Char"/>
    <w:uiPriority w:val="9"/>
    <w:qFormat/>
    <w:rsid w:val="00F03153"/>
    <w:pPr>
      <w:spacing w:before="100" w:beforeAutospacing="1" w:after="100" w:afterAutospacing="1" w:line="240" w:lineRule="auto"/>
      <w:outlineLvl w:val="0"/>
    </w:pPr>
    <w:rPr>
      <w:rFonts w:eastAsia="Times New Roman" w:cs="Times New Roman"/>
      <w:bCs/>
      <w:color w:val="000000" w:themeColor="text1"/>
      <w:kern w:val="36"/>
      <w:sz w:val="32"/>
      <w:szCs w:val="48"/>
      <w:lang w:eastAsia="en-AU"/>
    </w:rPr>
  </w:style>
  <w:style w:type="paragraph" w:styleId="Heading2">
    <w:name w:val="heading 2"/>
    <w:basedOn w:val="Normal"/>
    <w:link w:val="Heading2Char"/>
    <w:uiPriority w:val="9"/>
    <w:qFormat/>
    <w:rsid w:val="0021548E"/>
    <w:pPr>
      <w:spacing w:before="100" w:beforeAutospacing="1" w:after="100" w:afterAutospacing="1" w:line="240" w:lineRule="auto"/>
      <w:outlineLvl w:val="1"/>
    </w:pPr>
    <w:rPr>
      <w:rFonts w:eastAsia="Times New Roman" w:cs="Times New Roman"/>
      <w:bCs/>
      <w:color w:val="004270"/>
      <w:sz w:val="28"/>
      <w:szCs w:val="36"/>
      <w:lang w:eastAsia="en-AU"/>
    </w:rPr>
  </w:style>
  <w:style w:type="paragraph" w:styleId="Heading3">
    <w:name w:val="heading 3"/>
    <w:basedOn w:val="Normal"/>
    <w:next w:val="Normal"/>
    <w:link w:val="Heading3Char"/>
    <w:uiPriority w:val="9"/>
    <w:unhideWhenUsed/>
    <w:qFormat/>
    <w:rsid w:val="0021548E"/>
    <w:pPr>
      <w:keepNext/>
      <w:keepLines/>
      <w:spacing w:before="240" w:after="240"/>
      <w:outlineLvl w:val="2"/>
    </w:pPr>
    <w:rPr>
      <w:rFonts w:eastAsiaTheme="majorEastAsia" w:cstheme="majorBidi"/>
      <w:color w:val="004270"/>
      <w:sz w:val="24"/>
      <w:szCs w:val="24"/>
    </w:rPr>
  </w:style>
  <w:style w:type="paragraph" w:styleId="Heading4">
    <w:name w:val="heading 4"/>
    <w:basedOn w:val="Heading3"/>
    <w:next w:val="Normal"/>
    <w:link w:val="Heading4Char"/>
    <w:uiPriority w:val="9"/>
    <w:unhideWhenUsed/>
    <w:qFormat/>
    <w:rsid w:val="009953DF"/>
    <w:pPr>
      <w:outlineLvl w:val="3"/>
    </w:pPr>
    <w:rPr>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126FA4"/>
    <w:rPr>
      <w:sz w:val="32"/>
    </w:rPr>
  </w:style>
  <w:style w:type="paragraph" w:styleId="Header">
    <w:name w:val="header"/>
    <w:basedOn w:val="Normal"/>
    <w:link w:val="HeaderChar"/>
    <w:uiPriority w:val="99"/>
    <w:unhideWhenUsed/>
    <w:rsid w:val="003044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408"/>
  </w:style>
  <w:style w:type="paragraph" w:styleId="Footer">
    <w:name w:val="footer"/>
    <w:basedOn w:val="Normal"/>
    <w:link w:val="FooterChar"/>
    <w:uiPriority w:val="99"/>
    <w:unhideWhenUsed/>
    <w:rsid w:val="003044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408"/>
  </w:style>
  <w:style w:type="character" w:customStyle="1" w:styleId="Heading1Char">
    <w:name w:val="Heading 1 Char"/>
    <w:basedOn w:val="DefaultParagraphFont"/>
    <w:link w:val="Heading1"/>
    <w:uiPriority w:val="9"/>
    <w:rsid w:val="00F03153"/>
    <w:rPr>
      <w:rFonts w:ascii="Arial" w:eastAsia="Times New Roman" w:hAnsi="Arial" w:cs="Times New Roman"/>
      <w:bCs/>
      <w:color w:val="000000" w:themeColor="text1"/>
      <w:kern w:val="36"/>
      <w:sz w:val="32"/>
      <w:szCs w:val="48"/>
      <w:lang w:eastAsia="en-AU"/>
    </w:rPr>
  </w:style>
  <w:style w:type="character" w:customStyle="1" w:styleId="Heading2Char">
    <w:name w:val="Heading 2 Char"/>
    <w:basedOn w:val="DefaultParagraphFont"/>
    <w:link w:val="Heading2"/>
    <w:uiPriority w:val="9"/>
    <w:rsid w:val="0021548E"/>
    <w:rPr>
      <w:rFonts w:ascii="Arial" w:eastAsia="Times New Roman" w:hAnsi="Arial" w:cs="Times New Roman"/>
      <w:bCs/>
      <w:color w:val="004270"/>
      <w:sz w:val="28"/>
      <w:szCs w:val="36"/>
      <w:lang w:eastAsia="en-AU"/>
    </w:rPr>
  </w:style>
  <w:style w:type="paragraph" w:customStyle="1" w:styleId="visuallyhidden">
    <w:name w:val="visuallyhidden"/>
    <w:basedOn w:val="Normal"/>
    <w:rsid w:val="008F5DDC"/>
    <w:pPr>
      <w:spacing w:before="100" w:beforeAutospacing="1" w:after="100" w:afterAutospacing="1" w:line="240" w:lineRule="auto"/>
    </w:pPr>
    <w:rPr>
      <w:rFonts w:ascii="Times New Roman" w:eastAsia="Times New Roman" w:hAnsi="Times New Roman" w:cs="Times New Roman"/>
      <w:szCs w:val="24"/>
      <w:lang w:eastAsia="en-AU"/>
    </w:rPr>
  </w:style>
  <w:style w:type="character" w:styleId="Hyperlink">
    <w:name w:val="Hyperlink"/>
    <w:basedOn w:val="DefaultParagraphFont"/>
    <w:uiPriority w:val="99"/>
    <w:unhideWhenUsed/>
    <w:rsid w:val="008F5DDC"/>
    <w:rPr>
      <w:color w:val="0000FF"/>
      <w:u w:val="single"/>
    </w:rPr>
  </w:style>
  <w:style w:type="character" w:customStyle="1" w:styleId="clear-row">
    <w:name w:val="clear-row"/>
    <w:basedOn w:val="DefaultParagraphFont"/>
    <w:rsid w:val="008F5DDC"/>
  </w:style>
  <w:style w:type="character" w:customStyle="1" w:styleId="visuallyhidden1">
    <w:name w:val="visuallyhidden1"/>
    <w:basedOn w:val="DefaultParagraphFont"/>
    <w:rsid w:val="008F5DDC"/>
  </w:style>
  <w:style w:type="character" w:customStyle="1" w:styleId="abbr">
    <w:name w:val="abbr"/>
    <w:basedOn w:val="DefaultParagraphFont"/>
    <w:rsid w:val="008F5DDC"/>
  </w:style>
  <w:style w:type="paragraph" w:styleId="z-TopofForm">
    <w:name w:val="HTML Top of Form"/>
    <w:basedOn w:val="Normal"/>
    <w:next w:val="Normal"/>
    <w:link w:val="z-TopofFormChar"/>
    <w:hidden/>
    <w:uiPriority w:val="99"/>
    <w:semiHidden/>
    <w:unhideWhenUsed/>
    <w:rsid w:val="008F5DDC"/>
    <w:pPr>
      <w:pBdr>
        <w:bottom w:val="single" w:sz="6" w:space="1" w:color="auto"/>
      </w:pBdr>
      <w:spacing w:after="0" w:line="240" w:lineRule="auto"/>
      <w:jc w:val="center"/>
    </w:pPr>
    <w:rPr>
      <w:rFonts w:eastAsia="Times New Roman" w:cs="Arial"/>
      <w:vanish/>
      <w:sz w:val="16"/>
      <w:szCs w:val="16"/>
      <w:lang w:eastAsia="en-AU"/>
    </w:rPr>
  </w:style>
  <w:style w:type="character" w:customStyle="1" w:styleId="z-TopofFormChar">
    <w:name w:val="z-Top of Form Char"/>
    <w:basedOn w:val="DefaultParagraphFont"/>
    <w:link w:val="z-TopofForm"/>
    <w:uiPriority w:val="99"/>
    <w:semiHidden/>
    <w:rsid w:val="008F5DDC"/>
    <w:rPr>
      <w:rFonts w:ascii="Arial" w:eastAsia="Times New Roman" w:hAnsi="Arial" w:cs="Arial"/>
      <w:vanish/>
      <w:sz w:val="16"/>
      <w:szCs w:val="16"/>
      <w:lang w:eastAsia="en-AU"/>
    </w:rPr>
  </w:style>
  <w:style w:type="paragraph" w:styleId="z-BottomofForm">
    <w:name w:val="HTML Bottom of Form"/>
    <w:basedOn w:val="Normal"/>
    <w:next w:val="Normal"/>
    <w:link w:val="z-BottomofFormChar"/>
    <w:hidden/>
    <w:uiPriority w:val="99"/>
    <w:semiHidden/>
    <w:unhideWhenUsed/>
    <w:rsid w:val="008F5DDC"/>
    <w:pPr>
      <w:pBdr>
        <w:top w:val="single" w:sz="6" w:space="1" w:color="auto"/>
      </w:pBdr>
      <w:spacing w:after="0" w:line="240" w:lineRule="auto"/>
      <w:jc w:val="center"/>
    </w:pPr>
    <w:rPr>
      <w:rFonts w:eastAsia="Times New Roman" w:cs="Arial"/>
      <w:vanish/>
      <w:sz w:val="16"/>
      <w:szCs w:val="16"/>
      <w:lang w:eastAsia="en-AU"/>
    </w:rPr>
  </w:style>
  <w:style w:type="character" w:customStyle="1" w:styleId="z-BottomofFormChar">
    <w:name w:val="z-Bottom of Form Char"/>
    <w:basedOn w:val="DefaultParagraphFont"/>
    <w:link w:val="z-BottomofForm"/>
    <w:uiPriority w:val="99"/>
    <w:semiHidden/>
    <w:rsid w:val="008F5DDC"/>
    <w:rPr>
      <w:rFonts w:ascii="Arial" w:eastAsia="Times New Roman" w:hAnsi="Arial" w:cs="Arial"/>
      <w:vanish/>
      <w:sz w:val="16"/>
      <w:szCs w:val="16"/>
      <w:lang w:eastAsia="en-AU"/>
    </w:rPr>
  </w:style>
  <w:style w:type="paragraph" w:styleId="NormalWeb">
    <w:name w:val="Normal (Web)"/>
    <w:basedOn w:val="Normal"/>
    <w:uiPriority w:val="99"/>
    <w:semiHidden/>
    <w:unhideWhenUsed/>
    <w:rsid w:val="008F5DDC"/>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file-summary-info">
    <w:name w:val="file-summary-info"/>
    <w:basedOn w:val="DefaultParagraphFont"/>
    <w:rsid w:val="008F5DDC"/>
  </w:style>
  <w:style w:type="character" w:styleId="HTMLCite">
    <w:name w:val="HTML Cite"/>
    <w:basedOn w:val="DefaultParagraphFont"/>
    <w:uiPriority w:val="99"/>
    <w:semiHidden/>
    <w:unhideWhenUsed/>
    <w:rsid w:val="008F5DDC"/>
    <w:rPr>
      <w:i/>
      <w:iCs/>
    </w:rPr>
  </w:style>
  <w:style w:type="character" w:styleId="Emphasis">
    <w:name w:val="Emphasis"/>
    <w:basedOn w:val="DefaultParagraphFont"/>
    <w:uiPriority w:val="20"/>
    <w:rsid w:val="008F5DDC"/>
    <w:rPr>
      <w:i/>
      <w:iCs/>
    </w:rPr>
  </w:style>
  <w:style w:type="character" w:customStyle="1" w:styleId="social-footerlabel">
    <w:name w:val="social-footer__label"/>
    <w:basedOn w:val="DefaultParagraphFont"/>
    <w:rsid w:val="008F5DDC"/>
  </w:style>
  <w:style w:type="character" w:customStyle="1" w:styleId="Heading3Char">
    <w:name w:val="Heading 3 Char"/>
    <w:basedOn w:val="DefaultParagraphFont"/>
    <w:link w:val="Heading3"/>
    <w:uiPriority w:val="9"/>
    <w:rsid w:val="0021548E"/>
    <w:rPr>
      <w:rFonts w:ascii="Arial" w:eastAsiaTheme="majorEastAsia" w:hAnsi="Arial" w:cstheme="majorBidi"/>
      <w:color w:val="004270"/>
      <w:sz w:val="24"/>
      <w:szCs w:val="24"/>
    </w:rPr>
  </w:style>
  <w:style w:type="paragraph" w:styleId="Quote">
    <w:name w:val="Quote"/>
    <w:basedOn w:val="Normal"/>
    <w:next w:val="Normal"/>
    <w:link w:val="QuoteChar"/>
    <w:uiPriority w:val="29"/>
    <w:qFormat/>
    <w:rsid w:val="006E3DB8"/>
    <w:pPr>
      <w:spacing w:before="200" w:after="160"/>
      <w:ind w:left="864" w:right="864"/>
    </w:pPr>
    <w:rPr>
      <w:b/>
      <w:iCs/>
      <w:color w:val="347B9F"/>
    </w:rPr>
  </w:style>
  <w:style w:type="character" w:customStyle="1" w:styleId="QuoteChar">
    <w:name w:val="Quote Char"/>
    <w:basedOn w:val="DefaultParagraphFont"/>
    <w:link w:val="Quote"/>
    <w:uiPriority w:val="29"/>
    <w:rsid w:val="006E3DB8"/>
    <w:rPr>
      <w:rFonts w:ascii="Arial" w:hAnsi="Arial"/>
      <w:b/>
      <w:iCs/>
      <w:color w:val="347B9F"/>
    </w:rPr>
  </w:style>
  <w:style w:type="paragraph" w:styleId="ListParagraph">
    <w:name w:val="List Paragraph"/>
    <w:basedOn w:val="Normal"/>
    <w:link w:val="ListParagraphChar"/>
    <w:uiPriority w:val="34"/>
    <w:qFormat/>
    <w:rsid w:val="00AD7F7E"/>
    <w:pPr>
      <w:ind w:left="720"/>
    </w:pPr>
  </w:style>
  <w:style w:type="paragraph" w:customStyle="1" w:styleId="Style2">
    <w:name w:val="Style2"/>
    <w:basedOn w:val="ListParagraph"/>
    <w:link w:val="Style2Char"/>
    <w:qFormat/>
    <w:rsid w:val="002B36A2"/>
    <w:pPr>
      <w:numPr>
        <w:numId w:val="1"/>
      </w:numPr>
      <w:spacing w:line="360" w:lineRule="auto"/>
    </w:pPr>
    <w:rPr>
      <w:rFonts w:eastAsiaTheme="minorEastAsia" w:cs="Arial"/>
      <w:szCs w:val="24"/>
    </w:rPr>
  </w:style>
  <w:style w:type="paragraph" w:customStyle="1" w:styleId="Numberedparagraph">
    <w:name w:val="Numbered paragraph"/>
    <w:basedOn w:val="ListParagraph"/>
    <w:link w:val="NumberedparagraphChar"/>
    <w:qFormat/>
    <w:rsid w:val="00D13631"/>
    <w:pPr>
      <w:numPr>
        <w:numId w:val="2"/>
      </w:numPr>
      <w:spacing w:after="240"/>
    </w:pPr>
    <w:rPr>
      <w:rFonts w:eastAsiaTheme="minorEastAsia" w:cs="Arial"/>
      <w:szCs w:val="24"/>
    </w:rPr>
  </w:style>
  <w:style w:type="character" w:customStyle="1" w:styleId="ListParagraphChar">
    <w:name w:val="List Paragraph Char"/>
    <w:basedOn w:val="DefaultParagraphFont"/>
    <w:link w:val="ListParagraph"/>
    <w:uiPriority w:val="34"/>
    <w:rsid w:val="00AD7F7E"/>
    <w:rPr>
      <w:rFonts w:ascii="Arial" w:hAnsi="Arial"/>
    </w:rPr>
  </w:style>
  <w:style w:type="character" w:customStyle="1" w:styleId="Style2Char">
    <w:name w:val="Style2 Char"/>
    <w:basedOn w:val="ListParagraphChar"/>
    <w:link w:val="Style2"/>
    <w:rsid w:val="002B36A2"/>
    <w:rPr>
      <w:rFonts w:ascii="Arial" w:eastAsiaTheme="minorEastAsia" w:hAnsi="Arial" w:cs="Arial"/>
      <w:sz w:val="24"/>
      <w:szCs w:val="24"/>
    </w:rPr>
  </w:style>
  <w:style w:type="character" w:customStyle="1" w:styleId="NumberedparagraphChar">
    <w:name w:val="Numbered paragraph Char"/>
    <w:basedOn w:val="ListParagraphChar"/>
    <w:link w:val="Numberedparagraph"/>
    <w:rsid w:val="00D13631"/>
    <w:rPr>
      <w:rFonts w:ascii="Arial" w:eastAsiaTheme="minorEastAsia" w:hAnsi="Arial" w:cs="Arial"/>
      <w:szCs w:val="24"/>
    </w:rPr>
  </w:style>
  <w:style w:type="paragraph" w:styleId="FootnoteText">
    <w:name w:val="footnote text"/>
    <w:aliases w:val="5_G,Footnote Text2,Footnote Text Char Char,Footnote Text Char1 Char Char,Footnote Text Char Char Char Char,Footnote Text Char Char Char Char Char Char Char Char Char Char Char Char,Text,Tex,Footnote Text Char1 Char,Footnote Text Char2 Char"/>
    <w:basedOn w:val="Normal"/>
    <w:link w:val="FootnoteTextChar"/>
    <w:uiPriority w:val="99"/>
    <w:unhideWhenUsed/>
    <w:qFormat/>
    <w:rsid w:val="003566E6"/>
    <w:pPr>
      <w:spacing w:after="0" w:line="240" w:lineRule="auto"/>
    </w:pPr>
    <w:rPr>
      <w:sz w:val="20"/>
      <w:szCs w:val="20"/>
    </w:rPr>
  </w:style>
  <w:style w:type="character" w:customStyle="1" w:styleId="FootnoteTextChar">
    <w:name w:val="Footnote Text Char"/>
    <w:aliases w:val="5_G Char,Footnote Text2 Char,Footnote Text Char Char Char,Footnote Text Char1 Char Char Char,Footnote Text Char Char Char Char Char,Footnote Text Char Char Char Char Char Char Char Char Char Char Char Char Char,Text Char,Tex Char"/>
    <w:basedOn w:val="DefaultParagraphFont"/>
    <w:link w:val="FootnoteText"/>
    <w:uiPriority w:val="99"/>
    <w:rsid w:val="003566E6"/>
    <w:rPr>
      <w:rFonts w:ascii="Arial" w:hAnsi="Arial"/>
      <w:sz w:val="20"/>
      <w:szCs w:val="20"/>
    </w:rPr>
  </w:style>
  <w:style w:type="character" w:styleId="FootnoteReference">
    <w:name w:val="footnote reference"/>
    <w:aliases w:val="4_G,Footnote number,Footnotes refss,Footnote,Stinking Styles,Footnotes refss Char Char1,4_G Char Char Char1 Char Char Char Char Char Char,Footnote Reference1 Char Char Char1 Char Char Char Char Char Char,Texto de nota al pie,BVI fnr,f"/>
    <w:basedOn w:val="DefaultParagraphFont"/>
    <w:uiPriority w:val="99"/>
    <w:unhideWhenUsed/>
    <w:qFormat/>
    <w:rsid w:val="003566E6"/>
    <w:rPr>
      <w:vertAlign w:val="superscript"/>
    </w:rPr>
  </w:style>
  <w:style w:type="character" w:customStyle="1" w:styleId="UnresolvedMention1">
    <w:name w:val="Unresolved Mention1"/>
    <w:basedOn w:val="DefaultParagraphFont"/>
    <w:uiPriority w:val="99"/>
    <w:semiHidden/>
    <w:unhideWhenUsed/>
    <w:rsid w:val="00BE070A"/>
    <w:rPr>
      <w:color w:val="605E5C"/>
      <w:shd w:val="clear" w:color="auto" w:fill="E1DFDD"/>
    </w:rPr>
  </w:style>
  <w:style w:type="table" w:styleId="TableGrid">
    <w:name w:val="Table Grid"/>
    <w:basedOn w:val="TableNormal"/>
    <w:uiPriority w:val="59"/>
    <w:rsid w:val="00151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51B5F"/>
    <w:rPr>
      <w:color w:val="800080" w:themeColor="followedHyperlink"/>
      <w:u w:val="single"/>
    </w:rPr>
  </w:style>
  <w:style w:type="character" w:styleId="CommentReference">
    <w:name w:val="annotation reference"/>
    <w:basedOn w:val="DefaultParagraphFont"/>
    <w:uiPriority w:val="99"/>
    <w:semiHidden/>
    <w:unhideWhenUsed/>
    <w:rsid w:val="006264D2"/>
    <w:rPr>
      <w:sz w:val="16"/>
      <w:szCs w:val="16"/>
    </w:rPr>
  </w:style>
  <w:style w:type="paragraph" w:styleId="CommentText">
    <w:name w:val="annotation text"/>
    <w:basedOn w:val="Normal"/>
    <w:link w:val="CommentTextChar"/>
    <w:uiPriority w:val="99"/>
    <w:unhideWhenUsed/>
    <w:rsid w:val="006264D2"/>
    <w:pPr>
      <w:spacing w:line="240" w:lineRule="auto"/>
    </w:pPr>
    <w:rPr>
      <w:sz w:val="20"/>
      <w:szCs w:val="20"/>
    </w:rPr>
  </w:style>
  <w:style w:type="character" w:customStyle="1" w:styleId="CommentTextChar">
    <w:name w:val="Comment Text Char"/>
    <w:basedOn w:val="DefaultParagraphFont"/>
    <w:link w:val="CommentText"/>
    <w:uiPriority w:val="99"/>
    <w:rsid w:val="006264D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264D2"/>
    <w:rPr>
      <w:b/>
      <w:bCs/>
    </w:rPr>
  </w:style>
  <w:style w:type="character" w:customStyle="1" w:styleId="CommentSubjectChar">
    <w:name w:val="Comment Subject Char"/>
    <w:basedOn w:val="CommentTextChar"/>
    <w:link w:val="CommentSubject"/>
    <w:uiPriority w:val="99"/>
    <w:semiHidden/>
    <w:rsid w:val="006264D2"/>
    <w:rPr>
      <w:rFonts w:ascii="Arial" w:hAnsi="Arial"/>
      <w:b/>
      <w:bCs/>
      <w:sz w:val="20"/>
      <w:szCs w:val="20"/>
    </w:rPr>
  </w:style>
  <w:style w:type="paragraph" w:styleId="BalloonText">
    <w:name w:val="Balloon Text"/>
    <w:basedOn w:val="Normal"/>
    <w:link w:val="BalloonTextChar"/>
    <w:uiPriority w:val="99"/>
    <w:semiHidden/>
    <w:unhideWhenUsed/>
    <w:rsid w:val="006264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4D2"/>
    <w:rPr>
      <w:rFonts w:ascii="Segoe UI" w:hAnsi="Segoe UI" w:cs="Segoe UI"/>
      <w:sz w:val="18"/>
      <w:szCs w:val="18"/>
    </w:rPr>
  </w:style>
  <w:style w:type="character" w:customStyle="1" w:styleId="Heading4Char">
    <w:name w:val="Heading 4 Char"/>
    <w:basedOn w:val="DefaultParagraphFont"/>
    <w:link w:val="Heading4"/>
    <w:uiPriority w:val="9"/>
    <w:rsid w:val="00841A88"/>
    <w:rPr>
      <w:rFonts w:ascii="Arial" w:eastAsiaTheme="majorEastAsia" w:hAnsi="Arial" w:cstheme="majorBidi"/>
      <w:b/>
      <w:iCs/>
      <w:color w:val="004270"/>
      <w:sz w:val="24"/>
      <w:szCs w:val="24"/>
    </w:rPr>
  </w:style>
  <w:style w:type="paragraph" w:styleId="Revision">
    <w:name w:val="Revision"/>
    <w:hidden/>
    <w:uiPriority w:val="99"/>
    <w:semiHidden/>
    <w:rsid w:val="00201F8C"/>
    <w:pPr>
      <w:spacing w:after="0" w:line="240" w:lineRule="auto"/>
    </w:pPr>
    <w:rPr>
      <w:rFonts w:ascii="Arial" w:hAnsi="Arial"/>
    </w:rPr>
  </w:style>
  <w:style w:type="character" w:styleId="UnresolvedMention">
    <w:name w:val="Unresolved Mention"/>
    <w:basedOn w:val="DefaultParagraphFont"/>
    <w:uiPriority w:val="99"/>
    <w:semiHidden/>
    <w:unhideWhenUsed/>
    <w:rsid w:val="00E57A62"/>
    <w:rPr>
      <w:color w:val="605E5C"/>
      <w:shd w:val="clear" w:color="auto" w:fill="E1DFDD"/>
    </w:rPr>
  </w:style>
  <w:style w:type="character" w:styleId="PlaceholderText">
    <w:name w:val="Placeholder Text"/>
    <w:basedOn w:val="DefaultParagraphFont"/>
    <w:uiPriority w:val="99"/>
    <w:semiHidden/>
    <w:rsid w:val="00471876"/>
    <w:rPr>
      <w:color w:val="808080"/>
    </w:rPr>
  </w:style>
  <w:style w:type="paragraph" w:customStyle="1" w:styleId="Popoutquote">
    <w:name w:val="Pop out quote"/>
    <w:basedOn w:val="Normal"/>
    <w:link w:val="PopoutquoteChar"/>
    <w:rsid w:val="00DE1F66"/>
    <w:rPr>
      <w:lang w:eastAsia="en-AU"/>
    </w:rPr>
  </w:style>
  <w:style w:type="character" w:customStyle="1" w:styleId="PopoutquoteChar">
    <w:name w:val="Pop out quote Char"/>
    <w:basedOn w:val="DefaultParagraphFont"/>
    <w:link w:val="Popoutquote"/>
    <w:rsid w:val="00DE1F66"/>
    <w:rPr>
      <w:rFonts w:ascii="Arial" w:hAnsi="Arial"/>
      <w:lang w:eastAsia="en-AU"/>
    </w:rPr>
  </w:style>
  <w:style w:type="paragraph" w:styleId="TOCHeading">
    <w:name w:val="TOC Heading"/>
    <w:basedOn w:val="Heading1"/>
    <w:next w:val="Normal"/>
    <w:uiPriority w:val="39"/>
    <w:unhideWhenUsed/>
    <w:qFormat/>
    <w:rsid w:val="007309E7"/>
    <w:pPr>
      <w:keepNext/>
      <w:keepLines/>
      <w:spacing w:before="240" w:beforeAutospacing="0" w:after="0" w:afterAutospacing="0" w:line="259" w:lineRule="auto"/>
      <w:outlineLvl w:val="9"/>
    </w:pPr>
    <w:rPr>
      <w:rFonts w:asciiTheme="majorHAnsi" w:eastAsiaTheme="majorEastAsia" w:hAnsiTheme="majorHAnsi" w:cstheme="majorBidi"/>
      <w:bCs w:val="0"/>
      <w:color w:val="365F91" w:themeColor="accent1" w:themeShade="BF"/>
      <w:kern w:val="0"/>
      <w:szCs w:val="32"/>
    </w:rPr>
  </w:style>
  <w:style w:type="paragraph" w:styleId="TOC1">
    <w:name w:val="toc 1"/>
    <w:basedOn w:val="Normal"/>
    <w:next w:val="Normal"/>
    <w:autoRedefine/>
    <w:uiPriority w:val="39"/>
    <w:unhideWhenUsed/>
    <w:rsid w:val="007309E7"/>
    <w:pPr>
      <w:spacing w:after="100"/>
    </w:pPr>
  </w:style>
  <w:style w:type="paragraph" w:styleId="TOC2">
    <w:name w:val="toc 2"/>
    <w:basedOn w:val="Normal"/>
    <w:next w:val="Normal"/>
    <w:autoRedefine/>
    <w:uiPriority w:val="39"/>
    <w:unhideWhenUsed/>
    <w:rsid w:val="007309E7"/>
    <w:pPr>
      <w:spacing w:after="100"/>
      <w:ind w:left="220"/>
    </w:pPr>
  </w:style>
  <w:style w:type="paragraph" w:styleId="TOC3">
    <w:name w:val="toc 3"/>
    <w:basedOn w:val="Normal"/>
    <w:next w:val="Normal"/>
    <w:autoRedefine/>
    <w:uiPriority w:val="39"/>
    <w:unhideWhenUsed/>
    <w:rsid w:val="007309E7"/>
    <w:pPr>
      <w:spacing w:after="100"/>
      <w:ind w:left="440"/>
    </w:pPr>
  </w:style>
  <w:style w:type="paragraph" w:styleId="Title">
    <w:name w:val="Title"/>
    <w:basedOn w:val="Normal"/>
    <w:next w:val="Normal"/>
    <w:link w:val="TitleChar"/>
    <w:uiPriority w:val="10"/>
    <w:qFormat/>
    <w:rsid w:val="001531F1"/>
    <w:pPr>
      <w:pBdr>
        <w:bottom w:val="single" w:sz="8" w:space="12" w:color="004270"/>
      </w:pBdr>
      <w:spacing w:before="0" w:after="240" w:line="240" w:lineRule="auto"/>
      <w:contextualSpacing/>
    </w:pPr>
    <w:rPr>
      <w:rFonts w:eastAsiaTheme="majorEastAsia" w:cstheme="majorBidi"/>
      <w:color w:val="004270"/>
      <w:spacing w:val="-10"/>
      <w:kern w:val="28"/>
      <w:sz w:val="60"/>
      <w:szCs w:val="56"/>
    </w:rPr>
  </w:style>
  <w:style w:type="character" w:customStyle="1" w:styleId="TitleChar">
    <w:name w:val="Title Char"/>
    <w:basedOn w:val="DefaultParagraphFont"/>
    <w:link w:val="Title"/>
    <w:uiPriority w:val="10"/>
    <w:rsid w:val="001531F1"/>
    <w:rPr>
      <w:rFonts w:ascii="Arial" w:eastAsiaTheme="majorEastAsia" w:hAnsi="Arial" w:cstheme="majorBidi"/>
      <w:color w:val="004270"/>
      <w:spacing w:val="-10"/>
      <w:kern w:val="28"/>
      <w:sz w:val="60"/>
      <w:szCs w:val="56"/>
    </w:rPr>
  </w:style>
  <w:style w:type="paragraph" w:styleId="TOC4">
    <w:name w:val="toc 4"/>
    <w:basedOn w:val="Normal"/>
    <w:next w:val="Normal"/>
    <w:autoRedefine/>
    <w:uiPriority w:val="39"/>
    <w:unhideWhenUsed/>
    <w:rsid w:val="003E4D57"/>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99053">
      <w:bodyDiv w:val="1"/>
      <w:marLeft w:val="0"/>
      <w:marRight w:val="0"/>
      <w:marTop w:val="0"/>
      <w:marBottom w:val="0"/>
      <w:divBdr>
        <w:top w:val="none" w:sz="0" w:space="0" w:color="auto"/>
        <w:left w:val="none" w:sz="0" w:space="0" w:color="auto"/>
        <w:bottom w:val="none" w:sz="0" w:space="0" w:color="auto"/>
        <w:right w:val="none" w:sz="0" w:space="0" w:color="auto"/>
      </w:divBdr>
    </w:div>
    <w:div w:id="134414604">
      <w:bodyDiv w:val="1"/>
      <w:marLeft w:val="0"/>
      <w:marRight w:val="0"/>
      <w:marTop w:val="0"/>
      <w:marBottom w:val="0"/>
      <w:divBdr>
        <w:top w:val="none" w:sz="0" w:space="0" w:color="auto"/>
        <w:left w:val="none" w:sz="0" w:space="0" w:color="auto"/>
        <w:bottom w:val="none" w:sz="0" w:space="0" w:color="auto"/>
        <w:right w:val="none" w:sz="0" w:space="0" w:color="auto"/>
      </w:divBdr>
    </w:div>
    <w:div w:id="220872417">
      <w:bodyDiv w:val="1"/>
      <w:marLeft w:val="0"/>
      <w:marRight w:val="0"/>
      <w:marTop w:val="0"/>
      <w:marBottom w:val="0"/>
      <w:divBdr>
        <w:top w:val="none" w:sz="0" w:space="0" w:color="auto"/>
        <w:left w:val="none" w:sz="0" w:space="0" w:color="auto"/>
        <w:bottom w:val="none" w:sz="0" w:space="0" w:color="auto"/>
        <w:right w:val="none" w:sz="0" w:space="0" w:color="auto"/>
      </w:divBdr>
    </w:div>
    <w:div w:id="227032993">
      <w:bodyDiv w:val="1"/>
      <w:marLeft w:val="0"/>
      <w:marRight w:val="0"/>
      <w:marTop w:val="0"/>
      <w:marBottom w:val="0"/>
      <w:divBdr>
        <w:top w:val="none" w:sz="0" w:space="0" w:color="auto"/>
        <w:left w:val="none" w:sz="0" w:space="0" w:color="auto"/>
        <w:bottom w:val="none" w:sz="0" w:space="0" w:color="auto"/>
        <w:right w:val="none" w:sz="0" w:space="0" w:color="auto"/>
      </w:divBdr>
    </w:div>
    <w:div w:id="617567737">
      <w:bodyDiv w:val="1"/>
      <w:marLeft w:val="0"/>
      <w:marRight w:val="0"/>
      <w:marTop w:val="0"/>
      <w:marBottom w:val="0"/>
      <w:divBdr>
        <w:top w:val="none" w:sz="0" w:space="0" w:color="auto"/>
        <w:left w:val="none" w:sz="0" w:space="0" w:color="auto"/>
        <w:bottom w:val="none" w:sz="0" w:space="0" w:color="auto"/>
        <w:right w:val="none" w:sz="0" w:space="0" w:color="auto"/>
      </w:divBdr>
      <w:divsChild>
        <w:div w:id="249974394">
          <w:marLeft w:val="0"/>
          <w:marRight w:val="0"/>
          <w:marTop w:val="0"/>
          <w:marBottom w:val="0"/>
          <w:divBdr>
            <w:top w:val="none" w:sz="0" w:space="0" w:color="auto"/>
            <w:left w:val="none" w:sz="0" w:space="0" w:color="auto"/>
            <w:bottom w:val="none" w:sz="0" w:space="0" w:color="auto"/>
            <w:right w:val="none" w:sz="0" w:space="0" w:color="auto"/>
          </w:divBdr>
          <w:divsChild>
            <w:div w:id="157577652">
              <w:marLeft w:val="0"/>
              <w:marRight w:val="0"/>
              <w:marTop w:val="0"/>
              <w:marBottom w:val="0"/>
              <w:divBdr>
                <w:top w:val="none" w:sz="0" w:space="0" w:color="auto"/>
                <w:left w:val="none" w:sz="0" w:space="0" w:color="auto"/>
                <w:bottom w:val="none" w:sz="0" w:space="0" w:color="auto"/>
                <w:right w:val="none" w:sz="0" w:space="0" w:color="auto"/>
              </w:divBdr>
              <w:divsChild>
                <w:div w:id="1490173132">
                  <w:marLeft w:val="0"/>
                  <w:marRight w:val="0"/>
                  <w:marTop w:val="0"/>
                  <w:marBottom w:val="0"/>
                  <w:divBdr>
                    <w:top w:val="none" w:sz="0" w:space="0" w:color="auto"/>
                    <w:left w:val="none" w:sz="0" w:space="0" w:color="auto"/>
                    <w:bottom w:val="none" w:sz="0" w:space="0" w:color="auto"/>
                    <w:right w:val="none" w:sz="0" w:space="0" w:color="auto"/>
                  </w:divBdr>
                </w:div>
              </w:divsChild>
            </w:div>
            <w:div w:id="645356884">
              <w:marLeft w:val="0"/>
              <w:marRight w:val="0"/>
              <w:marTop w:val="0"/>
              <w:marBottom w:val="0"/>
              <w:divBdr>
                <w:top w:val="none" w:sz="0" w:space="0" w:color="auto"/>
                <w:left w:val="none" w:sz="0" w:space="0" w:color="auto"/>
                <w:bottom w:val="none" w:sz="0" w:space="0" w:color="auto"/>
                <w:right w:val="none" w:sz="0" w:space="0" w:color="auto"/>
              </w:divBdr>
            </w:div>
            <w:div w:id="1159150442">
              <w:marLeft w:val="0"/>
              <w:marRight w:val="0"/>
              <w:marTop w:val="0"/>
              <w:marBottom w:val="0"/>
              <w:divBdr>
                <w:top w:val="none" w:sz="0" w:space="0" w:color="auto"/>
                <w:left w:val="none" w:sz="0" w:space="0" w:color="auto"/>
                <w:bottom w:val="none" w:sz="0" w:space="0" w:color="auto"/>
                <w:right w:val="none" w:sz="0" w:space="0" w:color="auto"/>
              </w:divBdr>
              <w:divsChild>
                <w:div w:id="519393170">
                  <w:marLeft w:val="375"/>
                  <w:marRight w:val="0"/>
                  <w:marTop w:val="375"/>
                  <w:marBottom w:val="0"/>
                  <w:divBdr>
                    <w:top w:val="none" w:sz="0" w:space="0" w:color="auto"/>
                    <w:left w:val="none" w:sz="0" w:space="0" w:color="auto"/>
                    <w:bottom w:val="none" w:sz="0" w:space="0" w:color="auto"/>
                    <w:right w:val="none" w:sz="0" w:space="0" w:color="auto"/>
                  </w:divBdr>
                </w:div>
                <w:div w:id="794450430">
                  <w:marLeft w:val="0"/>
                  <w:marRight w:val="0"/>
                  <w:marTop w:val="0"/>
                  <w:marBottom w:val="0"/>
                  <w:divBdr>
                    <w:top w:val="none" w:sz="0" w:space="0" w:color="auto"/>
                    <w:left w:val="none" w:sz="0" w:space="0" w:color="auto"/>
                    <w:bottom w:val="none" w:sz="0" w:space="0" w:color="auto"/>
                    <w:right w:val="none" w:sz="0" w:space="0" w:color="auto"/>
                  </w:divBdr>
                </w:div>
                <w:div w:id="2002006961">
                  <w:marLeft w:val="750"/>
                  <w:marRight w:val="0"/>
                  <w:marTop w:val="375"/>
                  <w:marBottom w:val="0"/>
                  <w:divBdr>
                    <w:top w:val="none" w:sz="0" w:space="0" w:color="auto"/>
                    <w:left w:val="none" w:sz="0" w:space="0" w:color="auto"/>
                    <w:bottom w:val="none" w:sz="0" w:space="0" w:color="auto"/>
                    <w:right w:val="none" w:sz="0" w:space="0" w:color="auto"/>
                  </w:divBdr>
                </w:div>
              </w:divsChild>
            </w:div>
            <w:div w:id="1241673590">
              <w:marLeft w:val="0"/>
              <w:marRight w:val="0"/>
              <w:marTop w:val="0"/>
              <w:marBottom w:val="0"/>
              <w:divBdr>
                <w:top w:val="none" w:sz="0" w:space="0" w:color="auto"/>
                <w:left w:val="none" w:sz="0" w:space="0" w:color="auto"/>
                <w:bottom w:val="single" w:sz="6" w:space="0" w:color="EAEAEA"/>
                <w:right w:val="none" w:sz="0" w:space="0" w:color="auto"/>
              </w:divBdr>
              <w:divsChild>
                <w:div w:id="791942988">
                  <w:marLeft w:val="0"/>
                  <w:marRight w:val="0"/>
                  <w:marTop w:val="0"/>
                  <w:marBottom w:val="0"/>
                  <w:divBdr>
                    <w:top w:val="none" w:sz="0" w:space="0" w:color="auto"/>
                    <w:left w:val="none" w:sz="0" w:space="0" w:color="auto"/>
                    <w:bottom w:val="none" w:sz="0" w:space="0" w:color="auto"/>
                    <w:right w:val="none" w:sz="0" w:space="0" w:color="auto"/>
                  </w:divBdr>
                </w:div>
              </w:divsChild>
            </w:div>
            <w:div w:id="1719433243">
              <w:marLeft w:val="0"/>
              <w:marRight w:val="0"/>
              <w:marTop w:val="0"/>
              <w:marBottom w:val="0"/>
              <w:divBdr>
                <w:top w:val="none" w:sz="0" w:space="0" w:color="auto"/>
                <w:left w:val="none" w:sz="0" w:space="0" w:color="auto"/>
                <w:bottom w:val="none" w:sz="0" w:space="0" w:color="auto"/>
                <w:right w:val="none" w:sz="0" w:space="0" w:color="auto"/>
              </w:divBdr>
              <w:divsChild>
                <w:div w:id="444621797">
                  <w:marLeft w:val="0"/>
                  <w:marRight w:val="0"/>
                  <w:marTop w:val="0"/>
                  <w:marBottom w:val="0"/>
                  <w:divBdr>
                    <w:top w:val="none" w:sz="0" w:space="0" w:color="auto"/>
                    <w:left w:val="none" w:sz="0" w:space="0" w:color="auto"/>
                    <w:bottom w:val="none" w:sz="0" w:space="0" w:color="auto"/>
                    <w:right w:val="none" w:sz="0" w:space="0" w:color="auto"/>
                  </w:divBdr>
                  <w:divsChild>
                    <w:div w:id="160702324">
                      <w:marLeft w:val="0"/>
                      <w:marRight w:val="0"/>
                      <w:marTop w:val="0"/>
                      <w:marBottom w:val="0"/>
                      <w:divBdr>
                        <w:top w:val="none" w:sz="0" w:space="0" w:color="auto"/>
                        <w:left w:val="none" w:sz="0" w:space="0" w:color="auto"/>
                        <w:bottom w:val="none" w:sz="0" w:space="0" w:color="auto"/>
                        <w:right w:val="none" w:sz="0" w:space="0" w:color="auto"/>
                      </w:divBdr>
                    </w:div>
                    <w:div w:id="1460732176">
                      <w:marLeft w:val="0"/>
                      <w:marRight w:val="0"/>
                      <w:marTop w:val="600"/>
                      <w:marBottom w:val="450"/>
                      <w:divBdr>
                        <w:top w:val="none" w:sz="0" w:space="0" w:color="auto"/>
                        <w:left w:val="none" w:sz="0" w:space="0" w:color="auto"/>
                        <w:bottom w:val="none" w:sz="0" w:space="0" w:color="auto"/>
                        <w:right w:val="none" w:sz="0" w:space="0" w:color="auto"/>
                      </w:divBdr>
                      <w:divsChild>
                        <w:div w:id="706879672">
                          <w:marLeft w:val="0"/>
                          <w:marRight w:val="0"/>
                          <w:marTop w:val="0"/>
                          <w:marBottom w:val="0"/>
                          <w:divBdr>
                            <w:top w:val="none" w:sz="0" w:space="0" w:color="auto"/>
                            <w:left w:val="none" w:sz="0" w:space="0" w:color="auto"/>
                            <w:bottom w:val="none" w:sz="0" w:space="0" w:color="auto"/>
                            <w:right w:val="none" w:sz="0" w:space="0" w:color="auto"/>
                          </w:divBdr>
                          <w:divsChild>
                            <w:div w:id="1066881554">
                              <w:marLeft w:val="0"/>
                              <w:marRight w:val="0"/>
                              <w:marTop w:val="0"/>
                              <w:marBottom w:val="0"/>
                              <w:divBdr>
                                <w:top w:val="none" w:sz="0" w:space="0" w:color="auto"/>
                                <w:left w:val="none" w:sz="0" w:space="0" w:color="auto"/>
                                <w:bottom w:val="none" w:sz="0" w:space="0" w:color="auto"/>
                                <w:right w:val="none" w:sz="0" w:space="0" w:color="auto"/>
                              </w:divBdr>
                              <w:divsChild>
                                <w:div w:id="3959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077274">
                      <w:marLeft w:val="0"/>
                      <w:marRight w:val="0"/>
                      <w:marTop w:val="450"/>
                      <w:marBottom w:val="450"/>
                      <w:divBdr>
                        <w:top w:val="none" w:sz="0" w:space="0" w:color="auto"/>
                        <w:left w:val="single" w:sz="6" w:space="23" w:color="EAEAEA"/>
                        <w:bottom w:val="none" w:sz="0" w:space="0" w:color="auto"/>
                        <w:right w:val="none" w:sz="0" w:space="0" w:color="auto"/>
                      </w:divBdr>
                      <w:divsChild>
                        <w:div w:id="881988913">
                          <w:marLeft w:val="0"/>
                          <w:marRight w:val="0"/>
                          <w:marTop w:val="0"/>
                          <w:marBottom w:val="0"/>
                          <w:divBdr>
                            <w:top w:val="none" w:sz="0" w:space="0" w:color="auto"/>
                            <w:left w:val="none" w:sz="0" w:space="0" w:color="auto"/>
                            <w:bottom w:val="none" w:sz="0" w:space="0" w:color="auto"/>
                            <w:right w:val="none" w:sz="0" w:space="0" w:color="auto"/>
                          </w:divBdr>
                          <w:divsChild>
                            <w:div w:id="194753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810442">
              <w:marLeft w:val="0"/>
              <w:marRight w:val="0"/>
              <w:marTop w:val="0"/>
              <w:marBottom w:val="0"/>
              <w:divBdr>
                <w:top w:val="none" w:sz="0" w:space="0" w:color="auto"/>
                <w:left w:val="none" w:sz="0" w:space="0" w:color="auto"/>
                <w:bottom w:val="none" w:sz="0" w:space="0" w:color="auto"/>
                <w:right w:val="none" w:sz="0" w:space="0" w:color="auto"/>
              </w:divBdr>
            </w:div>
          </w:divsChild>
        </w:div>
        <w:div w:id="1109470018">
          <w:marLeft w:val="0"/>
          <w:marRight w:val="0"/>
          <w:marTop w:val="0"/>
          <w:marBottom w:val="0"/>
          <w:divBdr>
            <w:top w:val="none" w:sz="0" w:space="0" w:color="auto"/>
            <w:left w:val="none" w:sz="0" w:space="0" w:color="auto"/>
            <w:bottom w:val="none" w:sz="0" w:space="0" w:color="auto"/>
            <w:right w:val="none" w:sz="0" w:space="0" w:color="auto"/>
          </w:divBdr>
        </w:div>
      </w:divsChild>
    </w:div>
    <w:div w:id="914778668">
      <w:bodyDiv w:val="1"/>
      <w:marLeft w:val="0"/>
      <w:marRight w:val="0"/>
      <w:marTop w:val="0"/>
      <w:marBottom w:val="0"/>
      <w:divBdr>
        <w:top w:val="none" w:sz="0" w:space="0" w:color="auto"/>
        <w:left w:val="none" w:sz="0" w:space="0" w:color="auto"/>
        <w:bottom w:val="none" w:sz="0" w:space="0" w:color="auto"/>
        <w:right w:val="none" w:sz="0" w:space="0" w:color="auto"/>
      </w:divBdr>
    </w:div>
    <w:div w:id="1183788636">
      <w:bodyDiv w:val="1"/>
      <w:marLeft w:val="0"/>
      <w:marRight w:val="0"/>
      <w:marTop w:val="0"/>
      <w:marBottom w:val="0"/>
      <w:divBdr>
        <w:top w:val="none" w:sz="0" w:space="0" w:color="auto"/>
        <w:left w:val="none" w:sz="0" w:space="0" w:color="auto"/>
        <w:bottom w:val="none" w:sz="0" w:space="0" w:color="auto"/>
        <w:right w:val="none" w:sz="0" w:space="0" w:color="auto"/>
      </w:divBdr>
    </w:div>
    <w:div w:id="1204518181">
      <w:bodyDiv w:val="1"/>
      <w:marLeft w:val="0"/>
      <w:marRight w:val="0"/>
      <w:marTop w:val="0"/>
      <w:marBottom w:val="0"/>
      <w:divBdr>
        <w:top w:val="none" w:sz="0" w:space="0" w:color="auto"/>
        <w:left w:val="none" w:sz="0" w:space="0" w:color="auto"/>
        <w:bottom w:val="none" w:sz="0" w:space="0" w:color="auto"/>
        <w:right w:val="none" w:sz="0" w:space="0" w:color="auto"/>
      </w:divBdr>
    </w:div>
    <w:div w:id="211539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a9ec758c-7b29-4bbd-836f-c599af6fef2b">CS3F356C3TDS-1011335364-7678</_dlc_DocId>
    <_dlc_DocIdUrl xmlns="a9ec758c-7b29-4bbd-836f-c599af6fef2b">
      <Url>https://qldhrc.sharepoint.com/sites/LegalResearchandPolicy/_layouts/15/DocIdRedir.aspx?ID=CS3F356C3TDS-1011335364-7678</Url>
      <Description>CS3F356C3TDS-1011335364-7678</Description>
    </_dlc_DocIdUrl>
    <Filenumber xmlns="a9ec758c-7b29-4bbd-836f-c599af6fef2b" xsi:nil="true"/>
    <Sarahssubs xmlns="9ce53bef-e5d1-4308-a048-986453adcb2d">
      <UserInfo>
        <DisplayName/>
        <AccountId xsi:nil="true"/>
        <AccountType/>
      </UserInfo>
    </Sarahssubs>
    <SubmissionTo xmlns="9ce53bef-e5d1-4308-a048-986453adcb2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FF9340CB8F7EB4997B2DB42177774D5" ma:contentTypeVersion="7" ma:contentTypeDescription="Create a new document." ma:contentTypeScope="" ma:versionID="900330af0b0d62e2245479181b598da9">
  <xsd:schema xmlns:xsd="http://www.w3.org/2001/XMLSchema" xmlns:xs="http://www.w3.org/2001/XMLSchema" xmlns:p="http://schemas.microsoft.com/office/2006/metadata/properties" xmlns:ns2="a9ec758c-7b29-4bbd-836f-c599af6fef2b" xmlns:ns3="9ce53bef-e5d1-4308-a048-986453adcb2d" targetNamespace="http://schemas.microsoft.com/office/2006/metadata/properties" ma:root="true" ma:fieldsID="67d8de1576043efac6e41853bebce522" ns2:_="" ns3:_="">
    <xsd:import namespace="a9ec758c-7b29-4bbd-836f-c599af6fef2b"/>
    <xsd:import namespace="9ce53bef-e5d1-4308-a048-986453adcb2d"/>
    <xsd:element name="properties">
      <xsd:complexType>
        <xsd:sequence>
          <xsd:element name="documentManagement">
            <xsd:complexType>
              <xsd:all>
                <xsd:element ref="ns2:_dlc_DocId" minOccurs="0"/>
                <xsd:element ref="ns2:_dlc_DocIdUrl" minOccurs="0"/>
                <xsd:element ref="ns2:_dlc_DocIdPersistId" minOccurs="0"/>
                <xsd:element ref="ns2:Filenumber" minOccurs="0"/>
                <xsd:element ref="ns3:MediaServiceMetadata" minOccurs="0"/>
                <xsd:element ref="ns3:MediaServiceFastMetadata" minOccurs="0"/>
                <xsd:element ref="ns3:MediaServiceSearchProperties" minOccurs="0"/>
                <xsd:element ref="ns3:MediaServiceObjectDetectorVersions" minOccurs="0"/>
                <xsd:element ref="ns3:SubmissionTo" minOccurs="0"/>
                <xsd:element ref="ns3:Sarahssub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758c-7b29-4bbd-836f-c599af6fef2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ilenumber" ma:index="11" nillable="true" ma:displayName="File number" ma:internalName="Filenumb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e53bef-e5d1-4308-a048-986453adcb2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SubmissionTo" ma:index="16" nillable="true" ma:displayName="Submission to" ma:format="Dropdown" ma:internalName="SubmissionTo">
      <xsd:simpleType>
        <xsd:restriction base="dms:Text">
          <xsd:maxLength value="255"/>
        </xsd:restriction>
      </xsd:simpleType>
    </xsd:element>
    <xsd:element name="Sarahssubs" ma:index="17" nillable="true" ma:displayName="Sarah's subs" ma:format="Dropdown" ma:list="UserInfo" ma:SharePointGroup="0" ma:internalName="Sarahssub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906A3-413D-4BBC-A8EC-7D667CA4F809}">
  <ds:schemaRefs>
    <ds:schemaRef ds:uri="http://schemas.microsoft.com/sharepoint/v3/contenttype/forms"/>
  </ds:schemaRefs>
</ds:datastoreItem>
</file>

<file path=customXml/itemProps2.xml><?xml version="1.0" encoding="utf-8"?>
<ds:datastoreItem xmlns:ds="http://schemas.openxmlformats.org/officeDocument/2006/customXml" ds:itemID="{5C1622A9-4921-46B0-A457-5406C3ED67FB}">
  <ds:schemaRefs>
    <ds:schemaRef ds:uri="http://schemas.microsoft.com/sharepoint/events"/>
  </ds:schemaRefs>
</ds:datastoreItem>
</file>

<file path=customXml/itemProps3.xml><?xml version="1.0" encoding="utf-8"?>
<ds:datastoreItem xmlns:ds="http://schemas.openxmlformats.org/officeDocument/2006/customXml" ds:itemID="{7D3FCC79-4BA3-43C0-9FFD-8374BD27A8A0}">
  <ds:schemaRefs>
    <ds:schemaRef ds:uri="http://purl.org/dc/terms/"/>
    <ds:schemaRef ds:uri="http://purl.org/dc/dcmitype/"/>
    <ds:schemaRef ds:uri="http://schemas.microsoft.com/office/2006/metadata/properties"/>
    <ds:schemaRef ds:uri="http://schemas.microsoft.com/office/infopath/2007/PartnerControls"/>
    <ds:schemaRef ds:uri="http://schemas.microsoft.com/office/2006/documentManagement/types"/>
    <ds:schemaRef ds:uri="http://purl.org/dc/elements/1.1/"/>
    <ds:schemaRef ds:uri="a9ec758c-7b29-4bbd-836f-c599af6fef2b"/>
    <ds:schemaRef ds:uri="http://schemas.openxmlformats.org/package/2006/metadata/core-properties"/>
    <ds:schemaRef ds:uri="9ce53bef-e5d1-4308-a048-986453adcb2d"/>
    <ds:schemaRef ds:uri="http://www.w3.org/XML/1998/namespace"/>
  </ds:schemaRefs>
</ds:datastoreItem>
</file>

<file path=customXml/itemProps4.xml><?xml version="1.0" encoding="utf-8"?>
<ds:datastoreItem xmlns:ds="http://schemas.openxmlformats.org/officeDocument/2006/customXml" ds:itemID="{2B1A4235-F805-4C0E-A607-FA89173FBB30}"/>
</file>

<file path=customXml/itemProps5.xml><?xml version="1.0" encoding="utf-8"?>
<ds:datastoreItem xmlns:ds="http://schemas.openxmlformats.org/officeDocument/2006/customXml" ds:itemID="{A30C8B95-F95F-4C41-8F2B-0AFAB5022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3655</Words>
  <Characters>20836</Characters>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2023-01-27T07:29:00Z</cp:lastPrinted>
  <dcterms:created xsi:type="dcterms:W3CDTF">2025-04-10T03:27:00Z</dcterms:created>
  <dcterms:modified xsi:type="dcterms:W3CDTF">2025-04-10T03:53:00Z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0x0101008FF9340CB8F7EB4997B2DB42177774D5</vt:lpwstr>
  </property>
  <property fmtid="{D5CDD505-2E9C-101B-9397-08002B2CF9AE}" pid="3" name="ComplianceAssetId">
    <vt:lpwstr/>
  </property>
  <property fmtid="{D5CDD505-2E9C-101B-9397-08002B2CF9AE}" pid="4" name="_ExtendedDescription">
    <vt:lpwstr/>
  </property>
  <property fmtid="{D5CDD505-2E9C-101B-9397-08002B2CF9AE}" pid="5" name="SharedWithUsers">
    <vt:lpwstr>75;#Deborah Keenan</vt:lpwstr>
  </property>
  <property fmtid="{D5CDD505-2E9C-101B-9397-08002B2CF9AE}" pid="6" name="MediaServiceImageTags">
    <vt:lpwstr/>
  </property>
  <property fmtid="{D5CDD505-2E9C-101B-9397-08002B2CF9AE}" pid="7" name="Order">
    <vt:r8>413600</vt:r8>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y fmtid="{D5CDD505-2E9C-101B-9397-08002B2CF9AE}" pid="11" name="TriggerFlowInfo">
    <vt:lpwstr/>
  </property>
  <property fmtid="{D5CDD505-2E9C-101B-9397-08002B2CF9AE}" pid="12" name="_dlc_DocIdItemGuid">
    <vt:lpwstr>02af91e5-f61d-40c1-b7c0-f22ecc13db59</vt:lpwstr>
  </property>
  <property fmtid="{D5CDD505-2E9C-101B-9397-08002B2CF9AE}" pid="13" name="DocumentType">
    <vt:lpwstr>2;#Template|aaf00d10-84d3-4180-ba8b-d16ef7e37900</vt:lpwstr>
  </property>
</Properties>
</file>