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BD56" w14:textId="1F76969A" w:rsidR="007D5963" w:rsidRDefault="007D5963" w:rsidP="007F14ED"/>
    <w:p w14:paraId="237C5A7A" w14:textId="10CA22B6" w:rsidR="007D5963" w:rsidRDefault="007D5963" w:rsidP="007F14ED"/>
    <w:p w14:paraId="35A26BDF" w14:textId="331115FD" w:rsidR="007D5963" w:rsidRDefault="007D5963">
      <w:pPr>
        <w:rPr>
          <w:lang w:val="en-US"/>
        </w:rPr>
      </w:pPr>
    </w:p>
    <w:p w14:paraId="31856BCB" w14:textId="66851F43" w:rsidR="007D5963" w:rsidRDefault="007D5963">
      <w:pPr>
        <w:rPr>
          <w:lang w:val="en-US"/>
        </w:rPr>
      </w:pPr>
    </w:p>
    <w:p w14:paraId="1C0D4959" w14:textId="44C3A669" w:rsidR="007D5963" w:rsidRDefault="007D5963">
      <w:pPr>
        <w:rPr>
          <w:lang w:val="en-US"/>
        </w:rPr>
      </w:pPr>
    </w:p>
    <w:p w14:paraId="20D3E423" w14:textId="7BE3CBF5" w:rsidR="007D5963" w:rsidRDefault="007D5963">
      <w:pPr>
        <w:rPr>
          <w:lang w:val="en-US"/>
        </w:rPr>
      </w:pPr>
    </w:p>
    <w:p w14:paraId="6D146D83" w14:textId="43BA3001" w:rsidR="007D5963" w:rsidRDefault="007D5963">
      <w:pPr>
        <w:rPr>
          <w:lang w:val="en-US"/>
        </w:rPr>
      </w:pPr>
    </w:p>
    <w:p w14:paraId="58D0621D" w14:textId="77777777" w:rsidR="007D5963" w:rsidRDefault="007D5963">
      <w:pPr>
        <w:rPr>
          <w:lang w:val="en-US"/>
        </w:rPr>
      </w:pPr>
    </w:p>
    <w:p w14:paraId="648605F2" w14:textId="5CD91B99" w:rsidR="007D5963" w:rsidRDefault="007D5963">
      <w:pPr>
        <w:rPr>
          <w:lang w:val="en-US"/>
        </w:rPr>
      </w:pPr>
      <w:r w:rsidRPr="000E6FAE">
        <w:rPr>
          <w:noProof/>
          <w:lang w:eastAsia="en-AU"/>
        </w:rPr>
        <w:drawing>
          <wp:inline distT="0" distB="0" distL="0" distR="0" wp14:anchorId="62C9964C" wp14:editId="6A97CE7A">
            <wp:extent cx="3259015" cy="1066800"/>
            <wp:effectExtent l="0" t="0" r="0" b="0"/>
            <wp:docPr id="4" name="Picture 4"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004B166" w14:textId="02476DB6" w:rsidR="007D5963" w:rsidRDefault="007D5963">
      <w:pPr>
        <w:rPr>
          <w:lang w:val="en-US"/>
        </w:rPr>
      </w:pPr>
    </w:p>
    <w:p w14:paraId="09489D50" w14:textId="41C7B066" w:rsidR="007D5963" w:rsidRDefault="007D5963">
      <w:pPr>
        <w:rPr>
          <w:lang w:val="en-US"/>
        </w:rPr>
      </w:pPr>
    </w:p>
    <w:p w14:paraId="24C71B94" w14:textId="0579C1DA" w:rsidR="007D5963" w:rsidRDefault="007D5963">
      <w:pPr>
        <w:rPr>
          <w:lang w:val="en-US"/>
        </w:rPr>
      </w:pPr>
    </w:p>
    <w:p w14:paraId="4A75116B" w14:textId="4D50E4E0" w:rsidR="007D5963" w:rsidRDefault="007D5963">
      <w:pPr>
        <w:rPr>
          <w:lang w:val="en-US"/>
        </w:rPr>
      </w:pPr>
    </w:p>
    <w:p w14:paraId="33694642" w14:textId="68B9267E" w:rsidR="007D5963" w:rsidRDefault="007D5963">
      <w:pPr>
        <w:rPr>
          <w:lang w:val="en-US"/>
        </w:rPr>
      </w:pPr>
    </w:p>
    <w:p w14:paraId="2206ABC8" w14:textId="74F8E2BB" w:rsidR="007D5963" w:rsidRDefault="007D5963">
      <w:pPr>
        <w:rPr>
          <w:lang w:val="en-US"/>
        </w:rPr>
      </w:pPr>
    </w:p>
    <w:p w14:paraId="0B1F204A" w14:textId="44267034" w:rsidR="007D5963" w:rsidRDefault="007D5963">
      <w:pPr>
        <w:rPr>
          <w:lang w:val="en-US"/>
        </w:rPr>
      </w:pPr>
    </w:p>
    <w:p w14:paraId="11AB5302" w14:textId="749C3E94" w:rsidR="007D5963" w:rsidRDefault="007D5963">
      <w:pPr>
        <w:rPr>
          <w:lang w:val="en-US"/>
        </w:rPr>
      </w:pPr>
    </w:p>
    <w:p w14:paraId="29199F37" w14:textId="058B499C" w:rsidR="007D5963" w:rsidRPr="007F14ED" w:rsidRDefault="007C5B42" w:rsidP="00A6318E">
      <w:pPr>
        <w:pStyle w:val="Heading1"/>
        <w:rPr>
          <w:lang w:val="en-US"/>
        </w:rPr>
      </w:pPr>
      <w:r>
        <w:rPr>
          <w:noProof/>
        </w:rPr>
        <mc:AlternateContent>
          <mc:Choice Requires="wps">
            <w:drawing>
              <wp:anchor distT="0" distB="0" distL="114300" distR="114300" simplePos="0" relativeHeight="251659264" behindDoc="0" locked="0" layoutInCell="1" allowOverlap="1" wp14:anchorId="4B7CFB40" wp14:editId="05978527">
                <wp:simplePos x="0" y="0"/>
                <wp:positionH relativeFrom="column">
                  <wp:posOffset>11430</wp:posOffset>
                </wp:positionH>
                <wp:positionV relativeFrom="paragraph">
                  <wp:posOffset>566420</wp:posOffset>
                </wp:positionV>
                <wp:extent cx="5010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010150" cy="0"/>
                        </a:xfrm>
                        <a:prstGeom prst="line">
                          <a:avLst/>
                        </a:prstGeom>
                        <a:ln w="19050">
                          <a:solidFill>
                            <a:srgbClr val="00427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DBD4FF"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44.6pt" to="395.4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" strokecolor="#004270" strokeweight="1.5pt"/>
            </w:pict>
          </mc:Fallback>
        </mc:AlternateContent>
      </w:r>
      <w:r w:rsidRPr="007F14ED">
        <w:rPr>
          <w:lang w:val="en-US"/>
        </w:rPr>
        <w:t xml:space="preserve">Visitor access to prisons </w:t>
      </w:r>
    </w:p>
    <w:p w14:paraId="213D9932" w14:textId="64686C13" w:rsidR="00260847" w:rsidRPr="000E6FAE" w:rsidRDefault="000C10D2" w:rsidP="00A6318E">
      <w:pPr>
        <w:pStyle w:val="Heading2"/>
        <w:rPr>
          <w:i/>
        </w:rPr>
      </w:pPr>
      <w:r w:rsidRPr="000E6FAE">
        <w:t xml:space="preserve">Unresolved complaint report under </w:t>
      </w:r>
      <w:r w:rsidR="007F14ED">
        <w:br/>
      </w:r>
      <w:r w:rsidRPr="000E6FAE">
        <w:t xml:space="preserve">s 88 </w:t>
      </w:r>
      <w:r w:rsidRPr="000E6FAE">
        <w:rPr>
          <w:i/>
        </w:rPr>
        <w:t>Human Rights Act 2019</w:t>
      </w:r>
    </w:p>
    <w:p w14:paraId="532AD420" w14:textId="29D19D5D" w:rsidR="000C10D2" w:rsidRPr="000E6FAE" w:rsidRDefault="00A6318E" w:rsidP="00A6318E">
      <w:pPr>
        <w:pStyle w:val="Heading2"/>
      </w:pPr>
      <w:r>
        <w:t>26</w:t>
      </w:r>
      <w:r w:rsidR="000507FF" w:rsidRPr="000E6FAE">
        <w:t xml:space="preserve"> </w:t>
      </w:r>
      <w:r w:rsidR="0050553D">
        <w:t>October</w:t>
      </w:r>
      <w:r w:rsidR="00C16A4F" w:rsidRPr="000E6FAE">
        <w:t xml:space="preserve"> </w:t>
      </w:r>
      <w:r w:rsidR="00B7296B" w:rsidRPr="000E6FAE">
        <w:t>202</w:t>
      </w:r>
      <w:r w:rsidR="0085049F" w:rsidRPr="000E6FAE">
        <w:t>2</w:t>
      </w:r>
    </w:p>
    <w:p w14:paraId="471D0A09" w14:textId="77777777" w:rsidR="007D5963" w:rsidRDefault="007D5963" w:rsidP="007F14ED"/>
    <w:p w14:paraId="6E8572C1" w14:textId="4B939BD8" w:rsidR="007D5963" w:rsidRDefault="007D5963"/>
    <w:p w14:paraId="78CE93D1" w14:textId="77777777" w:rsidR="007C5B42" w:rsidRDefault="007C5B42"/>
    <w:p w14:paraId="1D1DCD09" w14:textId="228898BD" w:rsidR="007C5B42" w:rsidRPr="008C5604" w:rsidRDefault="00F815C0" w:rsidP="007F14ED">
      <w:pPr>
        <w:jc w:val="center"/>
        <w:rPr>
          <w:rFonts w:ascii="Times New Roman" w:eastAsia="Times New Roman" w:hAnsi="Times New Roman" w:cs="Times New Roman"/>
          <w:b/>
          <w:bCs/>
          <w:snapToGrid w:val="0"/>
          <w:color w:val="000000"/>
          <w:w w:val="0"/>
          <w:u w:color="000000"/>
          <w:bdr w:val="none" w:sz="0" w:space="0" w:color="000000"/>
          <w:shd w:val="clear" w:color="000000" w:fill="000000"/>
          <w:lang w:val="x-none" w:eastAsia="x-none" w:bidi="x-none"/>
        </w:rPr>
      </w:pPr>
      <w:r>
        <w:rPr>
          <w:b/>
          <w:bCs/>
        </w:rPr>
        <w:t>For</w:t>
      </w:r>
      <w:r w:rsidR="007D5963" w:rsidRPr="008C5604">
        <w:rPr>
          <w:b/>
          <w:bCs/>
        </w:rPr>
        <w:t xml:space="preserve"> public release</w:t>
      </w:r>
    </w:p>
    <w:p w14:paraId="5E45CCA9" w14:textId="562C9764" w:rsidR="007C5B42" w:rsidRDefault="00260847" w:rsidP="00EF3E47">
      <w:pPr>
        <w:pStyle w:val="Heading1"/>
      </w:pPr>
      <w:r w:rsidRPr="007F14ED">
        <w:rPr>
          <w:sz w:val="28"/>
        </w:rPr>
        <w:br w:type="page"/>
      </w:r>
    </w:p>
    <w:p w14:paraId="28F00BF6" w14:textId="3FB46AD3" w:rsidR="00B82CE9" w:rsidRPr="00A6318E" w:rsidRDefault="000C10D2" w:rsidP="00A6318E">
      <w:pPr>
        <w:pStyle w:val="Heading1"/>
      </w:pPr>
      <w:r w:rsidRPr="00A6318E">
        <w:lastRenderedPageBreak/>
        <w:t>Introduction</w:t>
      </w:r>
    </w:p>
    <w:p w14:paraId="3037C5B6" w14:textId="4AA6DFE8" w:rsidR="00F512B2" w:rsidRPr="000E6FAE" w:rsidRDefault="005E210B" w:rsidP="007F14ED">
      <w:pPr>
        <w:pStyle w:val="Numberedparagraph"/>
        <w:rPr>
          <w:lang w:val="en-US"/>
        </w:rPr>
      </w:pPr>
      <w:r w:rsidRPr="000E6FAE">
        <w:rPr>
          <w:lang w:val="en-US"/>
        </w:rPr>
        <w:t>The Commission received a complaint from an individual who</w:t>
      </w:r>
      <w:r w:rsidR="00114AB7">
        <w:rPr>
          <w:lang w:val="en-US"/>
        </w:rPr>
        <w:t xml:space="preserve">se application for access approval to visit a corrective services facility was not approved </w:t>
      </w:r>
      <w:r w:rsidRPr="000E6FAE">
        <w:rPr>
          <w:lang w:val="en-US"/>
        </w:rPr>
        <w:t>by Queensland Corrective Services (</w:t>
      </w:r>
      <w:r w:rsidRPr="000E6FAE">
        <w:rPr>
          <w:b/>
          <w:bCs/>
          <w:lang w:val="en-US"/>
        </w:rPr>
        <w:t>QCS</w:t>
      </w:r>
      <w:r w:rsidRPr="000E6FAE">
        <w:rPr>
          <w:lang w:val="en-US"/>
        </w:rPr>
        <w:t>).</w:t>
      </w:r>
      <w:r w:rsidR="00114AB7">
        <w:rPr>
          <w:lang w:val="en-US"/>
        </w:rPr>
        <w:t xml:space="preserve"> As a result</w:t>
      </w:r>
      <w:r w:rsidR="007E2071">
        <w:rPr>
          <w:lang w:val="en-US"/>
        </w:rPr>
        <w:t xml:space="preserve"> of QCS’s decisions</w:t>
      </w:r>
      <w:r w:rsidR="00114AB7">
        <w:rPr>
          <w:lang w:val="en-US"/>
        </w:rPr>
        <w:t xml:space="preserve">, the complainant was unable to visit his son in prison. </w:t>
      </w:r>
    </w:p>
    <w:p w14:paraId="47D88EBE" w14:textId="219B3BEE" w:rsidR="00F512B2" w:rsidRPr="000E6FAE" w:rsidRDefault="00F512B2">
      <w:pPr>
        <w:pStyle w:val="Numberedparagraph"/>
        <w:rPr>
          <w:lang w:val="en-US"/>
        </w:rPr>
      </w:pPr>
      <w:r w:rsidRPr="000E6FAE">
        <w:rPr>
          <w:lang w:val="en-US"/>
        </w:rPr>
        <w:t xml:space="preserve">The complaint was accepted for resolution under the </w:t>
      </w:r>
      <w:r w:rsidRPr="000E6FAE">
        <w:rPr>
          <w:i/>
          <w:iCs/>
          <w:lang w:val="en-US"/>
        </w:rPr>
        <w:t>Human Rights Act 2019</w:t>
      </w:r>
      <w:r w:rsidRPr="000E6FAE">
        <w:rPr>
          <w:lang w:val="en-US"/>
        </w:rPr>
        <w:t xml:space="preserve"> (Qld) (</w:t>
      </w:r>
      <w:r w:rsidRPr="000E6FAE">
        <w:rPr>
          <w:b/>
          <w:bCs/>
          <w:lang w:val="en-US"/>
        </w:rPr>
        <w:t>HR Act</w:t>
      </w:r>
      <w:r w:rsidRPr="000E6FAE">
        <w:rPr>
          <w:lang w:val="en-US"/>
        </w:rPr>
        <w:t>). The complaint was unable to be resolved.</w:t>
      </w:r>
    </w:p>
    <w:p w14:paraId="4C861C43" w14:textId="1B0A2CFD" w:rsidR="005E210B" w:rsidRPr="000E6FAE" w:rsidRDefault="00F512B2">
      <w:pPr>
        <w:pStyle w:val="Numberedparagraph"/>
        <w:rPr>
          <w:lang w:val="en-US"/>
        </w:rPr>
      </w:pPr>
      <w:r w:rsidRPr="000E6FAE">
        <w:rPr>
          <w:lang w:val="en-US"/>
        </w:rPr>
        <w:t>In accordance with section 88 of the HR Act, this repor</w:t>
      </w:r>
      <w:r w:rsidR="005126A4" w:rsidRPr="000E6FAE">
        <w:rPr>
          <w:lang w:val="en-US"/>
        </w:rPr>
        <w:t>t contains:</w:t>
      </w:r>
    </w:p>
    <w:p w14:paraId="553555FE" w14:textId="345CD224" w:rsidR="000C10D2" w:rsidRPr="000E6FAE" w:rsidRDefault="000507FF" w:rsidP="007F14ED">
      <w:pPr>
        <w:pStyle w:val="Numberedparagraph"/>
        <w:numPr>
          <w:ilvl w:val="1"/>
          <w:numId w:val="13"/>
        </w:numPr>
      </w:pPr>
      <w:r w:rsidRPr="000E6FAE">
        <w:t xml:space="preserve">the </w:t>
      </w:r>
      <w:r w:rsidR="000C10D2" w:rsidRPr="000E6FAE">
        <w:t>substance of the complaint;</w:t>
      </w:r>
    </w:p>
    <w:p w14:paraId="7A30CA36" w14:textId="21C897A7" w:rsidR="00502924" w:rsidRPr="000E6FAE" w:rsidRDefault="000C10D2">
      <w:pPr>
        <w:pStyle w:val="Numberedparagraph"/>
        <w:numPr>
          <w:ilvl w:val="1"/>
          <w:numId w:val="13"/>
        </w:numPr>
      </w:pPr>
      <w:r w:rsidRPr="000E6FAE">
        <w:t xml:space="preserve">actions taken by the Commission to </w:t>
      </w:r>
      <w:r w:rsidR="008901F0" w:rsidRPr="000E6FAE">
        <w:t xml:space="preserve">attempt </w:t>
      </w:r>
      <w:r w:rsidRPr="000E6FAE">
        <w:t>to resolve the complaint; and</w:t>
      </w:r>
    </w:p>
    <w:p w14:paraId="3CCA6AC2" w14:textId="1FEC80F5" w:rsidR="000C10D2" w:rsidRPr="000E6FAE" w:rsidRDefault="008D0DA3">
      <w:pPr>
        <w:pStyle w:val="Numberedparagraph"/>
        <w:numPr>
          <w:ilvl w:val="1"/>
          <w:numId w:val="13"/>
        </w:numPr>
      </w:pPr>
      <w:r w:rsidRPr="000E6FAE">
        <w:t>d</w:t>
      </w:r>
      <w:r w:rsidR="000C10D2" w:rsidRPr="000E6FAE">
        <w:t xml:space="preserve">etails of action the Commissioner considers </w:t>
      </w:r>
      <w:r w:rsidR="000507FF" w:rsidRPr="000E6FAE">
        <w:t>QCS</w:t>
      </w:r>
      <w:r w:rsidR="000C10D2" w:rsidRPr="000E6FAE">
        <w:t>, as respondent to the complaint, should take to ensure its acts and decisions are compatible with human rights.</w:t>
      </w:r>
    </w:p>
    <w:p w14:paraId="3C6E791B" w14:textId="7EE8B3C6" w:rsidR="002B7EC6" w:rsidRPr="000E6FAE" w:rsidRDefault="001F2EE8" w:rsidP="007F14ED">
      <w:pPr>
        <w:pStyle w:val="Numberedparagraph"/>
      </w:pPr>
      <w:r w:rsidRPr="000E6FAE">
        <w:t xml:space="preserve">The </w:t>
      </w:r>
      <w:r w:rsidR="008901F0" w:rsidRPr="000E6FAE">
        <w:t>QCS was</w:t>
      </w:r>
      <w:r w:rsidRPr="000E6FAE">
        <w:t xml:space="preserve"> given an opportunity to make submissions in response to the recommendations contained in this report. </w:t>
      </w:r>
      <w:r w:rsidR="00B26F20" w:rsidRPr="000E6FAE">
        <w:t xml:space="preserve">The </w:t>
      </w:r>
      <w:r w:rsidR="000507FF" w:rsidRPr="000E6FAE">
        <w:t xml:space="preserve">QCS’s </w:t>
      </w:r>
      <w:r w:rsidR="004B51A4" w:rsidRPr="000E6FAE">
        <w:t xml:space="preserve">submissions by letter dated </w:t>
      </w:r>
      <w:r w:rsidR="009C1C5F">
        <w:t>10 October 2022</w:t>
      </w:r>
      <w:r w:rsidR="000507FF" w:rsidRPr="000E6FAE">
        <w:t xml:space="preserve"> </w:t>
      </w:r>
      <w:r w:rsidR="000C10D2" w:rsidRPr="000E6FAE">
        <w:t xml:space="preserve">have been incorporated into this final report. </w:t>
      </w:r>
    </w:p>
    <w:p w14:paraId="7528D879" w14:textId="77777777" w:rsidR="000C10D2" w:rsidRPr="000E6FAE" w:rsidRDefault="002B7EC6">
      <w:pPr>
        <w:pStyle w:val="Numberedparagraph"/>
      </w:pPr>
      <w:r w:rsidRPr="000E6FAE">
        <w:t xml:space="preserve">A copy of this report has been provided to all the parties, who must agree before it can be used in any proceeding in relation to </w:t>
      </w:r>
      <w:r w:rsidR="001949AF" w:rsidRPr="000E6FAE">
        <w:t xml:space="preserve">a </w:t>
      </w:r>
      <w:r w:rsidRPr="000E6FAE">
        <w:t>contravention of the HR Act.</w:t>
      </w:r>
    </w:p>
    <w:p w14:paraId="3B0587BA" w14:textId="77777777" w:rsidR="002B7EC6" w:rsidRPr="000E6FAE" w:rsidRDefault="002B7EC6">
      <w:pPr>
        <w:pStyle w:val="Numberedparagraph"/>
      </w:pPr>
      <w:r w:rsidRPr="000E6FAE">
        <w:t>It is intended that the Commissioner will publish this report under section 90 of the HR Act.</w:t>
      </w:r>
    </w:p>
    <w:p w14:paraId="2786E7E9" w14:textId="78F47A4A" w:rsidR="00F309DC" w:rsidRPr="000E6FAE" w:rsidRDefault="00F309DC" w:rsidP="00A6318E">
      <w:pPr>
        <w:pStyle w:val="Heading1"/>
      </w:pPr>
      <w:r w:rsidRPr="000E6FAE">
        <w:t>Summary of recommendations</w:t>
      </w:r>
    </w:p>
    <w:p w14:paraId="6082D4FD" w14:textId="77777777" w:rsidR="00762A08" w:rsidRPr="000E6FAE" w:rsidRDefault="00762A08" w:rsidP="007F14ED">
      <w:pPr>
        <w:pStyle w:val="Numberedparagraph"/>
      </w:pPr>
      <w:r w:rsidRPr="000E6FAE">
        <w:t>QCS’s actions and decisions which prevented the complainant from visiting his son in prison potentially limited the complainant’s rights to:</w:t>
      </w:r>
    </w:p>
    <w:p w14:paraId="1631DF21" w14:textId="08F995E6" w:rsidR="00762A08" w:rsidRPr="000E6FAE" w:rsidRDefault="00762A08" w:rsidP="007F14ED">
      <w:pPr>
        <w:pStyle w:val="Numberedparagraph"/>
        <w:numPr>
          <w:ilvl w:val="1"/>
          <w:numId w:val="13"/>
        </w:numPr>
      </w:pPr>
      <w:r w:rsidRPr="000E6FAE">
        <w:t>Protection of families (s 26</w:t>
      </w:r>
      <w:r w:rsidR="00194A8E">
        <w:t xml:space="preserve"> of the HR Act</w:t>
      </w:r>
      <w:r w:rsidRPr="000E6FAE">
        <w:t>)</w:t>
      </w:r>
      <w:r w:rsidR="00194A8E">
        <w:t>;</w:t>
      </w:r>
    </w:p>
    <w:p w14:paraId="1249BA13" w14:textId="461F4A1E" w:rsidR="00762A08" w:rsidRPr="000E6FAE" w:rsidRDefault="00762A08">
      <w:pPr>
        <w:pStyle w:val="Numberedparagraph"/>
        <w:numPr>
          <w:ilvl w:val="1"/>
          <w:numId w:val="13"/>
        </w:numPr>
      </w:pPr>
      <w:r w:rsidRPr="000E6FAE">
        <w:t>Privacy and reputation (s 25</w:t>
      </w:r>
      <w:r w:rsidR="00194A8E" w:rsidRPr="00194A8E">
        <w:t xml:space="preserve"> </w:t>
      </w:r>
      <w:r w:rsidR="00194A8E">
        <w:t>of the HR Act</w:t>
      </w:r>
      <w:r w:rsidRPr="000E6FAE">
        <w:t>)</w:t>
      </w:r>
      <w:r w:rsidR="00194A8E">
        <w:t>;</w:t>
      </w:r>
    </w:p>
    <w:p w14:paraId="31743083" w14:textId="5FB3CD9C" w:rsidR="00762A08" w:rsidRPr="000E6FAE" w:rsidRDefault="00762A08">
      <w:pPr>
        <w:pStyle w:val="Numberedparagraph"/>
        <w:numPr>
          <w:ilvl w:val="1"/>
          <w:numId w:val="13"/>
        </w:numPr>
      </w:pPr>
      <w:r w:rsidRPr="000E6FAE">
        <w:t>Cultural rights – Aboriginal peoples and Torres strait Islander peoples (s 28</w:t>
      </w:r>
      <w:r w:rsidR="00194A8E">
        <w:t xml:space="preserve"> of the HR Act</w:t>
      </w:r>
      <w:r w:rsidRPr="000E6FAE">
        <w:t>).</w:t>
      </w:r>
    </w:p>
    <w:p w14:paraId="5175E19D" w14:textId="465316D1" w:rsidR="00762A08" w:rsidRPr="000E6FAE" w:rsidRDefault="00D37F12" w:rsidP="007F14ED">
      <w:pPr>
        <w:pStyle w:val="Numberedparagraph"/>
      </w:pPr>
      <w:r w:rsidRPr="000E6FAE">
        <w:t xml:space="preserve">The prisoner also </w:t>
      </w:r>
      <w:r w:rsidR="00421DA9" w:rsidRPr="000E6FAE">
        <w:t>has</w:t>
      </w:r>
      <w:r w:rsidRPr="000E6FAE">
        <w:t xml:space="preserve"> these rights</w:t>
      </w:r>
      <w:r w:rsidR="00762A08" w:rsidRPr="000E6FAE">
        <w:t xml:space="preserve">, </w:t>
      </w:r>
      <w:r w:rsidRPr="000E6FAE">
        <w:t xml:space="preserve">with the addition of </w:t>
      </w:r>
      <w:r w:rsidR="00762A08" w:rsidRPr="000E6FAE">
        <w:t>humane treatment when deprived of liberty (s 30</w:t>
      </w:r>
      <w:r w:rsidR="00194A8E">
        <w:t xml:space="preserve"> of the HR Act</w:t>
      </w:r>
      <w:r w:rsidR="00762A08" w:rsidRPr="000E6FAE">
        <w:t>)</w:t>
      </w:r>
      <w:r w:rsidR="00194A8E">
        <w:t>.</w:t>
      </w:r>
    </w:p>
    <w:p w14:paraId="064D3720" w14:textId="71B4182C" w:rsidR="0003523C" w:rsidRPr="000E6FAE" w:rsidRDefault="0003523C">
      <w:pPr>
        <w:pStyle w:val="Numberedparagraph"/>
      </w:pPr>
      <w:r w:rsidRPr="000E6FAE">
        <w:t>Limitations on rights can still be compatible with human rights if they are demonstrably justified.</w:t>
      </w:r>
      <w:r w:rsidR="0097342A" w:rsidRPr="000E6FAE">
        <w:t xml:space="preserve"> QCS, as a public entity, has obligations to act and decide </w:t>
      </w:r>
      <w:r w:rsidR="0097342A" w:rsidRPr="000E6FAE">
        <w:lastRenderedPageBreak/>
        <w:t>compatibly with human rights, and give proper consideration to relevant human rights when making a decision.</w:t>
      </w:r>
    </w:p>
    <w:p w14:paraId="325D1D93" w14:textId="06BCED9E" w:rsidR="00762A08" w:rsidRPr="000E6FAE" w:rsidRDefault="000E6FAE">
      <w:pPr>
        <w:pStyle w:val="Numberedparagraph"/>
      </w:pPr>
      <w:r>
        <w:t xml:space="preserve">There are many aspects of the governing legislation and </w:t>
      </w:r>
      <w:r w:rsidR="00A33CEF">
        <w:t xml:space="preserve">the </w:t>
      </w:r>
      <w:r>
        <w:t xml:space="preserve">QCS </w:t>
      </w:r>
      <w:r w:rsidR="00194A8E">
        <w:t xml:space="preserve">Custodial Operation </w:t>
      </w:r>
      <w:r w:rsidR="00A33CEF">
        <w:t xml:space="preserve">Practice Directive </w:t>
      </w:r>
      <w:r w:rsidR="00F805D0">
        <w:t xml:space="preserve">that help to </w:t>
      </w:r>
      <w:r>
        <w:t xml:space="preserve">ensure human rights are considered and respected in </w:t>
      </w:r>
      <w:r w:rsidR="00F805D0">
        <w:t xml:space="preserve">the framework for allowing visitors into QCS facilities. However, based on the allegations made in this complaint, the Commission recommends QCS takes the following action to ensure </w:t>
      </w:r>
      <w:r w:rsidR="00421DA9" w:rsidRPr="000E6FAE">
        <w:t>its actions and decisions are compatible with human rights</w:t>
      </w:r>
      <w:r w:rsidR="00762A08" w:rsidRPr="000E6FAE">
        <w:t xml:space="preserve">: </w:t>
      </w:r>
    </w:p>
    <w:p w14:paraId="3095B039" w14:textId="5371105A" w:rsidR="00A17906" w:rsidRDefault="00F805D0" w:rsidP="007F14ED">
      <w:pPr>
        <w:pStyle w:val="Numberedparagraph"/>
        <w:numPr>
          <w:ilvl w:val="1"/>
          <w:numId w:val="13"/>
        </w:numPr>
      </w:pPr>
      <w:bookmarkStart w:id="0" w:name="_Hlk114228505"/>
      <w:r>
        <w:t xml:space="preserve">Ensure </w:t>
      </w:r>
      <w:r w:rsidR="00A33CEF">
        <w:t xml:space="preserve">decision-making is in accordance with the </w:t>
      </w:r>
      <w:r w:rsidR="00A33CEF" w:rsidRPr="00A33CEF">
        <w:rPr>
          <w:i/>
          <w:iCs/>
        </w:rPr>
        <w:t>Corrective Services Act 2006</w:t>
      </w:r>
      <w:r w:rsidR="00A33CEF">
        <w:t xml:space="preserve"> (Qld), for example, only suspending access approval if a decision for access approval has first been made</w:t>
      </w:r>
      <w:r w:rsidR="00541047">
        <w:t xml:space="preserve"> and specifying a timeframe for the suspension.</w:t>
      </w:r>
    </w:p>
    <w:p w14:paraId="5D4669B1" w14:textId="7FB92A78" w:rsidR="00A33CEF" w:rsidRDefault="00A33CEF">
      <w:pPr>
        <w:pStyle w:val="Numberedparagraph"/>
        <w:numPr>
          <w:ilvl w:val="1"/>
          <w:numId w:val="13"/>
        </w:numPr>
      </w:pPr>
      <w:r>
        <w:t xml:space="preserve">Ensure requests for reconsideration under the </w:t>
      </w:r>
      <w:r w:rsidRPr="00A33CEF">
        <w:rPr>
          <w:i/>
          <w:iCs/>
        </w:rPr>
        <w:t>Corrective Services Act 2006</w:t>
      </w:r>
      <w:r>
        <w:t xml:space="preserve"> (Qld) are carried out in accordance with that Act, and that </w:t>
      </w:r>
      <w:r w:rsidR="00541047">
        <w:t xml:space="preserve">applicants for access approval are </w:t>
      </w:r>
      <w:r>
        <w:t>advised of their rights to reconsideration and how to access them.</w:t>
      </w:r>
    </w:p>
    <w:p w14:paraId="316DE859" w14:textId="3E4EBA00" w:rsidR="00A33CEF" w:rsidRDefault="00A33CEF">
      <w:pPr>
        <w:pStyle w:val="Numberedparagraph"/>
        <w:numPr>
          <w:ilvl w:val="1"/>
          <w:numId w:val="13"/>
        </w:numPr>
      </w:pPr>
      <w:r>
        <w:t>Mitigate against undue delay and distress caused by the need to obtain a criminal history check, including giving applicants an estimated timeframe for processing applications, provid</w:t>
      </w:r>
      <w:r w:rsidR="00541047">
        <w:t>ing</w:t>
      </w:r>
      <w:r>
        <w:t xml:space="preserve"> guidance on the exercise of discretion to give interim approval for a visitor while they are awaiting a decision, and reinforc</w:t>
      </w:r>
      <w:r w:rsidR="00541047">
        <w:t>ing</w:t>
      </w:r>
      <w:r>
        <w:t xml:space="preserve"> the requirement to give procedural fairness to applicants against whom adverse decisions are made on the basis of their criminal history check.</w:t>
      </w:r>
    </w:p>
    <w:p w14:paraId="093E326C" w14:textId="2A26AE64" w:rsidR="00A33CEF" w:rsidRDefault="00A33CEF">
      <w:pPr>
        <w:pStyle w:val="Numberedparagraph"/>
        <w:numPr>
          <w:ilvl w:val="1"/>
          <w:numId w:val="13"/>
        </w:numPr>
      </w:pPr>
      <w:r>
        <w:t>In the course of the application process, obtain information from applicants about any accommodation they may need to participate in the application process or visit the prisoner.</w:t>
      </w:r>
    </w:p>
    <w:p w14:paraId="28FD08F2" w14:textId="7D6150B5" w:rsidR="00A33CEF" w:rsidRPr="000E6FAE" w:rsidRDefault="00CF5746">
      <w:pPr>
        <w:pStyle w:val="Numberedparagraph"/>
        <w:numPr>
          <w:ilvl w:val="1"/>
          <w:numId w:val="13"/>
        </w:numPr>
      </w:pPr>
      <w:r>
        <w:t xml:space="preserve">In making a decision regarding visitor access that limits rights, include human rights considerations in the decision letter. </w:t>
      </w:r>
    </w:p>
    <w:bookmarkEnd w:id="0"/>
    <w:p w14:paraId="1558304E" w14:textId="6096B0D9" w:rsidR="009C1C5F" w:rsidRDefault="009C1C5F" w:rsidP="00A6318E">
      <w:pPr>
        <w:pStyle w:val="Heading1"/>
      </w:pPr>
      <w:r>
        <w:t>Summary of QCS’s response</w:t>
      </w:r>
    </w:p>
    <w:p w14:paraId="5DDB3B83" w14:textId="4D0CF010" w:rsidR="007F3E8C" w:rsidRDefault="009C1C5F" w:rsidP="007F14ED">
      <w:pPr>
        <w:pStyle w:val="Numberedparagraph"/>
      </w:pPr>
      <w:r>
        <w:t>QCS acknowledges that as a public entity, it has obligations to act and make decisions which are compatible with human rights, and to give proper consideration to human rights when making a decision. QCS</w:t>
      </w:r>
      <w:r w:rsidR="007F3E8C">
        <w:t xml:space="preserve"> says it</w:t>
      </w:r>
      <w:r>
        <w:t xml:space="preserve"> </w:t>
      </w:r>
      <w:r w:rsidR="007F3E8C">
        <w:t xml:space="preserve">currently </w:t>
      </w:r>
      <w:r>
        <w:t xml:space="preserve">takes steps to ensure that </w:t>
      </w:r>
      <w:r w:rsidR="002B6D93">
        <w:t xml:space="preserve">these </w:t>
      </w:r>
      <w:r>
        <w:t xml:space="preserve">decisions are compatible with human rights, in the sense that any limitations are demonstrably justifiable. </w:t>
      </w:r>
    </w:p>
    <w:p w14:paraId="100B6CCC" w14:textId="588E64D3" w:rsidR="009C1C5F" w:rsidRDefault="007F3E8C">
      <w:pPr>
        <w:pStyle w:val="Numberedparagraph"/>
      </w:pPr>
      <w:r>
        <w:t>In relation to the specific issue of access approval to visit a prison, QCS says:</w:t>
      </w:r>
    </w:p>
    <w:p w14:paraId="5A4D9A6C" w14:textId="6735959B" w:rsidR="00B82A4A" w:rsidRPr="007933E8" w:rsidRDefault="00B82A4A" w:rsidP="00D24CA9">
      <w:pPr>
        <w:pStyle w:val="Numberedparagraph"/>
        <w:numPr>
          <w:ilvl w:val="0"/>
          <w:numId w:val="0"/>
        </w:numPr>
        <w:spacing w:line="240" w:lineRule="auto"/>
        <w:ind w:left="720" w:right="720"/>
        <w:rPr>
          <w:sz w:val="20"/>
          <w:szCs w:val="20"/>
        </w:rPr>
      </w:pPr>
      <w:r w:rsidRPr="007933E8">
        <w:rPr>
          <w:sz w:val="20"/>
          <w:szCs w:val="20"/>
        </w:rPr>
        <w:t>QCS is committed to the critical role of community safety and crime prevention through the humane containment, supervision and rehabilitation of offenders. QCS understands the importance of prisoners maintain</w:t>
      </w:r>
      <w:r w:rsidR="00194A8E">
        <w:rPr>
          <w:sz w:val="20"/>
          <w:szCs w:val="20"/>
        </w:rPr>
        <w:t>ing</w:t>
      </w:r>
      <w:r w:rsidRPr="007933E8">
        <w:rPr>
          <w:sz w:val="20"/>
          <w:szCs w:val="20"/>
        </w:rPr>
        <w:t xml:space="preserve"> meaningful connections with family members while they are in custody in a corrective </w:t>
      </w:r>
      <w:r w:rsidRPr="007933E8">
        <w:rPr>
          <w:sz w:val="20"/>
          <w:szCs w:val="20"/>
        </w:rPr>
        <w:lastRenderedPageBreak/>
        <w:t xml:space="preserve">services facility, and that maintaining such connections </w:t>
      </w:r>
      <w:r w:rsidR="00EF79CA" w:rsidRPr="007933E8">
        <w:rPr>
          <w:sz w:val="20"/>
          <w:szCs w:val="20"/>
        </w:rPr>
        <w:t xml:space="preserve">is an aspect of that humane containment and rehabilitation. </w:t>
      </w:r>
    </w:p>
    <w:p w14:paraId="3184A45A" w14:textId="223838D5" w:rsidR="00EF79CA" w:rsidRPr="007933E8" w:rsidRDefault="00EF79CA" w:rsidP="00D24CA9">
      <w:pPr>
        <w:pStyle w:val="Numberedparagraph"/>
        <w:numPr>
          <w:ilvl w:val="0"/>
          <w:numId w:val="0"/>
        </w:numPr>
        <w:spacing w:line="240" w:lineRule="auto"/>
        <w:ind w:left="720" w:right="720"/>
        <w:rPr>
          <w:sz w:val="20"/>
          <w:szCs w:val="20"/>
        </w:rPr>
      </w:pPr>
      <w:r w:rsidRPr="007933E8">
        <w:rPr>
          <w:sz w:val="20"/>
          <w:szCs w:val="20"/>
        </w:rPr>
        <w:t>It must be acknowledged that QCS is a true front line public safety agency and our business has a complexity unmatched by many other areas of public administration. It is noted that prisoners are entitled to receive a visit from a personal visit once a week, subject to any limitations imposed, pursuant to the [</w:t>
      </w:r>
      <w:r w:rsidRPr="007933E8">
        <w:rPr>
          <w:i/>
          <w:iCs/>
          <w:sz w:val="20"/>
          <w:szCs w:val="20"/>
        </w:rPr>
        <w:t>Corrective Services Act 2006</w:t>
      </w:r>
      <w:r w:rsidRPr="007933E8">
        <w:rPr>
          <w:sz w:val="20"/>
          <w:szCs w:val="20"/>
        </w:rPr>
        <w:t xml:space="preserve">]. That a prisoner is entitled to receive such a visit does not mean that a visitor is automatically entitled to visit, or that the prisoner would like to accept such a visit.’ </w:t>
      </w:r>
    </w:p>
    <w:p w14:paraId="61E915F3" w14:textId="2BC2825E" w:rsidR="00114AB7" w:rsidRDefault="00114AB7">
      <w:pPr>
        <w:pStyle w:val="Numberedparagraph"/>
      </w:pPr>
      <w:r>
        <w:t xml:space="preserve">QCS maintains that their actions taken in response to events occurring were justified. </w:t>
      </w:r>
    </w:p>
    <w:p w14:paraId="60101921" w14:textId="6F883A1E" w:rsidR="00114AB7" w:rsidRDefault="00114AB7">
      <w:pPr>
        <w:pStyle w:val="Numberedparagraph"/>
      </w:pPr>
      <w:r>
        <w:t xml:space="preserve">Notwithstanding, </w:t>
      </w:r>
      <w:r w:rsidR="007F3E8C">
        <w:t>in relation to this report’s recommendations</w:t>
      </w:r>
      <w:r w:rsidR="00DE6D6A">
        <w:t>, QCS:</w:t>
      </w:r>
    </w:p>
    <w:p w14:paraId="0DE8F747" w14:textId="35B03645" w:rsidR="00DE6D6A" w:rsidRDefault="0008605F" w:rsidP="007F14ED">
      <w:pPr>
        <w:pStyle w:val="Numberedparagraph"/>
        <w:numPr>
          <w:ilvl w:val="1"/>
          <w:numId w:val="13"/>
        </w:numPr>
      </w:pPr>
      <w:r>
        <w:t>a</w:t>
      </w:r>
      <w:r w:rsidR="00DE6D6A">
        <w:t xml:space="preserve">cknowledges that its decisions were not clearly communicated to C and referenced incorrect provisions of the </w:t>
      </w:r>
      <w:r w:rsidR="00DE6D6A" w:rsidRPr="00550C68">
        <w:rPr>
          <w:i/>
          <w:iCs/>
        </w:rPr>
        <w:t>Corrective Services Act 2006</w:t>
      </w:r>
      <w:r w:rsidR="00DE6D6A">
        <w:t>;</w:t>
      </w:r>
    </w:p>
    <w:p w14:paraId="745045F4" w14:textId="63B82C7E" w:rsidR="00501412" w:rsidRDefault="0008605F">
      <w:pPr>
        <w:pStyle w:val="Numberedparagraph"/>
        <w:numPr>
          <w:ilvl w:val="1"/>
          <w:numId w:val="13"/>
        </w:numPr>
      </w:pPr>
      <w:r>
        <w:t>a</w:t>
      </w:r>
      <w:r w:rsidR="00501412">
        <w:t xml:space="preserve">grees that a request for reconsideration </w:t>
      </w:r>
      <w:r w:rsidR="00194A8E">
        <w:t xml:space="preserve">of </w:t>
      </w:r>
      <w:r w:rsidR="00501412">
        <w:t xml:space="preserve">a suspension decision should be properly investigated and </w:t>
      </w:r>
      <w:r w:rsidR="0079682F">
        <w:t xml:space="preserve">determined in accordance with </w:t>
      </w:r>
      <w:r w:rsidR="00501412">
        <w:t xml:space="preserve">the </w:t>
      </w:r>
      <w:r w:rsidR="00501412" w:rsidRPr="00550C68">
        <w:rPr>
          <w:i/>
          <w:iCs/>
        </w:rPr>
        <w:t>Corrective Services Act 2006</w:t>
      </w:r>
      <w:r w:rsidR="007F3E8C">
        <w:t>, and a</w:t>
      </w:r>
      <w:r w:rsidR="00501412">
        <w:t>grees that the applicant should be advised of their rights of review and how to access them</w:t>
      </w:r>
      <w:r w:rsidR="003778E2">
        <w:t>;</w:t>
      </w:r>
    </w:p>
    <w:p w14:paraId="7E896713" w14:textId="6F5BB9AE" w:rsidR="0008605F" w:rsidRDefault="00913E67">
      <w:pPr>
        <w:pStyle w:val="Numberedparagraph"/>
        <w:numPr>
          <w:ilvl w:val="1"/>
          <w:numId w:val="13"/>
        </w:numPr>
      </w:pPr>
      <w:r>
        <w:t xml:space="preserve">does not agree that providing </w:t>
      </w:r>
      <w:r w:rsidR="0008605F">
        <w:t>specific guidance on the exercise of discretion to give interim approval for a visitor</w:t>
      </w:r>
      <w:r>
        <w:t xml:space="preserve"> is appropriate</w:t>
      </w:r>
      <w:r w:rsidR="0008605F">
        <w:t>, although it will consider includ</w:t>
      </w:r>
      <w:r w:rsidR="00194A8E">
        <w:t>ing</w:t>
      </w:r>
      <w:r w:rsidR="0008605F">
        <w:t xml:space="preserve"> natural justice considerations in the personal visitors section of the QCS</w:t>
      </w:r>
      <w:r w:rsidR="0079682F" w:rsidRPr="0079682F">
        <w:rPr>
          <w:lang w:val="en-US"/>
        </w:rPr>
        <w:t xml:space="preserve"> </w:t>
      </w:r>
      <w:r w:rsidR="0079682F" w:rsidRPr="000E6FAE">
        <w:rPr>
          <w:lang w:val="en-US"/>
        </w:rPr>
        <w:t>Custodial Operations Practice Directive</w:t>
      </w:r>
      <w:r>
        <w:t>;</w:t>
      </w:r>
    </w:p>
    <w:p w14:paraId="11240995" w14:textId="1611793A" w:rsidR="00676E12" w:rsidRDefault="00913E67">
      <w:pPr>
        <w:pStyle w:val="Numberedparagraph"/>
        <w:numPr>
          <w:ilvl w:val="1"/>
          <w:numId w:val="13"/>
        </w:numPr>
      </w:pPr>
      <w:r>
        <w:t xml:space="preserve">is open to amending the approved </w:t>
      </w:r>
      <w:r w:rsidR="00194A8E">
        <w:t xml:space="preserve">access approval </w:t>
      </w:r>
      <w:r>
        <w:t>application form to note that if the applicant needs to discuss the form, they may contact the relevant corrective services facility</w:t>
      </w:r>
      <w:r w:rsidR="0079682F">
        <w:t xml:space="preserve">, which </w:t>
      </w:r>
      <w:r>
        <w:t>each have dedicated visits processing staff; and</w:t>
      </w:r>
    </w:p>
    <w:p w14:paraId="6297F911" w14:textId="6F11D6FB" w:rsidR="00913E67" w:rsidRDefault="00913E67">
      <w:pPr>
        <w:pStyle w:val="Numberedparagraph"/>
        <w:numPr>
          <w:ilvl w:val="1"/>
          <w:numId w:val="13"/>
        </w:numPr>
      </w:pPr>
      <w:r>
        <w:t>will consider including human rights considerations in decision letters to applicants.</w:t>
      </w:r>
    </w:p>
    <w:p w14:paraId="5E34C874" w14:textId="5D1F504B" w:rsidR="002B7EC6" w:rsidRPr="000E6FAE" w:rsidRDefault="002B7EC6" w:rsidP="00A6318E">
      <w:pPr>
        <w:pStyle w:val="Heading1"/>
      </w:pPr>
      <w:r w:rsidRPr="000E6FAE">
        <w:t>Substance of the complaint</w:t>
      </w:r>
    </w:p>
    <w:p w14:paraId="4CBC94C3" w14:textId="2A207E51" w:rsidR="00876AF0" w:rsidRDefault="00876AF0" w:rsidP="007F14ED">
      <w:pPr>
        <w:pStyle w:val="Numberedparagraph"/>
      </w:pPr>
      <w:bookmarkStart w:id="1" w:name="_Hlk114664772"/>
      <w:r>
        <w:t>The complaint material outlines the substance of the complaint as follows:</w:t>
      </w:r>
    </w:p>
    <w:p w14:paraId="5D37C9BA" w14:textId="6EB2643E" w:rsidR="00492071" w:rsidRPr="000E6FAE" w:rsidRDefault="00AF3321" w:rsidP="007F14ED">
      <w:pPr>
        <w:pStyle w:val="Numberedparagraph"/>
        <w:numPr>
          <w:ilvl w:val="1"/>
          <w:numId w:val="13"/>
        </w:numPr>
      </w:pPr>
      <w:r w:rsidRPr="000E6FAE">
        <w:t>T</w:t>
      </w:r>
      <w:r w:rsidR="001949AF" w:rsidRPr="000E6FAE">
        <w:t>he complainan</w:t>
      </w:r>
      <w:r w:rsidRPr="000E6FAE">
        <w:t>t</w:t>
      </w:r>
      <w:r w:rsidR="001949AF" w:rsidRPr="000E6FAE">
        <w:t xml:space="preserve"> (</w:t>
      </w:r>
      <w:r w:rsidR="001949AF" w:rsidRPr="000E6FAE">
        <w:rPr>
          <w:b/>
        </w:rPr>
        <w:t>C</w:t>
      </w:r>
      <w:r w:rsidR="001949AF" w:rsidRPr="000E6FAE">
        <w:t>)</w:t>
      </w:r>
      <w:r w:rsidRPr="000E6FAE">
        <w:t xml:space="preserve"> is an </w:t>
      </w:r>
      <w:r w:rsidR="00492071" w:rsidRPr="000E6FAE">
        <w:t>A</w:t>
      </w:r>
      <w:r w:rsidRPr="000E6FAE">
        <w:t>boriginal man with a criminal history.</w:t>
      </w:r>
      <w:r w:rsidR="00A45747" w:rsidRPr="000E6FAE">
        <w:t xml:space="preserve"> </w:t>
      </w:r>
      <w:r w:rsidR="00492071" w:rsidRPr="000E6FAE">
        <w:t xml:space="preserve">C identifies </w:t>
      </w:r>
      <w:r w:rsidR="00A45747" w:rsidRPr="000E6FAE">
        <w:t>that he is deaf in one ear and has an acute</w:t>
      </w:r>
      <w:r w:rsidR="00492071" w:rsidRPr="000E6FAE">
        <w:t xml:space="preserve"> </w:t>
      </w:r>
      <w:r w:rsidR="00A45747" w:rsidRPr="000E6FAE">
        <w:t>brain injury.</w:t>
      </w:r>
      <w:r w:rsidR="00091EB7" w:rsidRPr="000E6FAE">
        <w:t xml:space="preserve"> </w:t>
      </w:r>
    </w:p>
    <w:p w14:paraId="7691A746" w14:textId="06B6C7DA" w:rsidR="00492071" w:rsidRPr="000E6FAE" w:rsidRDefault="00FF3C79">
      <w:pPr>
        <w:pStyle w:val="Numberedparagraph"/>
        <w:numPr>
          <w:ilvl w:val="1"/>
          <w:numId w:val="13"/>
        </w:numPr>
      </w:pPr>
      <w:r w:rsidRPr="000E6FAE">
        <w:t xml:space="preserve">On 12 May 2021, </w:t>
      </w:r>
      <w:r w:rsidR="00492071" w:rsidRPr="000E6FAE">
        <w:t xml:space="preserve">C applied for access approval to visit his son </w:t>
      </w:r>
      <w:r w:rsidR="00CA58AD" w:rsidRPr="000E6FAE">
        <w:t xml:space="preserve">who was being detained </w:t>
      </w:r>
      <w:r w:rsidR="00492071" w:rsidRPr="000E6FAE">
        <w:t>at Arthur Gorrie Correctional Centre (</w:t>
      </w:r>
      <w:r w:rsidR="00492071" w:rsidRPr="000E6FAE">
        <w:rPr>
          <w:b/>
          <w:bCs/>
        </w:rPr>
        <w:t>AGCC</w:t>
      </w:r>
      <w:r w:rsidR="00492071" w:rsidRPr="000E6FAE">
        <w:t>)</w:t>
      </w:r>
      <w:r w:rsidR="00CA58AD" w:rsidRPr="000E6FAE">
        <w:t>.</w:t>
      </w:r>
      <w:r w:rsidR="00800A18" w:rsidRPr="000E6FAE">
        <w:t xml:space="preserve"> </w:t>
      </w:r>
      <w:r w:rsidR="001E621B" w:rsidRPr="000E6FAE">
        <w:t xml:space="preserve">C </w:t>
      </w:r>
      <w:r w:rsidR="003E4793" w:rsidRPr="000E6FAE">
        <w:t xml:space="preserve">says he </w:t>
      </w:r>
      <w:r w:rsidR="001E621B" w:rsidRPr="000E6FAE">
        <w:t>was particularly concerned for his son’s mental health and wanted to provide him with support.</w:t>
      </w:r>
    </w:p>
    <w:p w14:paraId="29C7A251" w14:textId="2B87999F" w:rsidR="00CA58AD" w:rsidRPr="000E6FAE" w:rsidRDefault="00FF3C79">
      <w:pPr>
        <w:pStyle w:val="Numberedparagraph"/>
        <w:numPr>
          <w:ilvl w:val="1"/>
          <w:numId w:val="13"/>
        </w:numPr>
      </w:pPr>
      <w:r w:rsidRPr="000E6FAE">
        <w:lastRenderedPageBreak/>
        <w:t>Also o</w:t>
      </w:r>
      <w:r w:rsidR="00CA58AD" w:rsidRPr="000E6FAE">
        <w:t>n 12 May 2021</w:t>
      </w:r>
      <w:r w:rsidR="00C46C4D" w:rsidRPr="000E6FAE">
        <w:t xml:space="preserve">, C attended AGCC. </w:t>
      </w:r>
      <w:r w:rsidR="00CA58AD" w:rsidRPr="000E6FAE">
        <w:t xml:space="preserve">C was directed to leave following alleged threats to cause damage </w:t>
      </w:r>
      <w:r w:rsidR="00091EB7" w:rsidRPr="000E6FAE">
        <w:t xml:space="preserve">C </w:t>
      </w:r>
      <w:r w:rsidR="00CA58AD" w:rsidRPr="000E6FAE">
        <w:t xml:space="preserve">made to QCS visit booking staff.  </w:t>
      </w:r>
      <w:r w:rsidR="00091EB7" w:rsidRPr="000E6FAE">
        <w:t>C believes his words were taken wrongly and misunderstood.</w:t>
      </w:r>
    </w:p>
    <w:p w14:paraId="2C7F4DA1" w14:textId="7F2E2AA5" w:rsidR="00CA58AD" w:rsidRPr="000E6FAE" w:rsidRDefault="00FF3C79">
      <w:pPr>
        <w:pStyle w:val="Numberedparagraph"/>
        <w:numPr>
          <w:ilvl w:val="1"/>
          <w:numId w:val="13"/>
        </w:numPr>
      </w:pPr>
      <w:r w:rsidRPr="000E6FAE">
        <w:t xml:space="preserve">By letter dated </w:t>
      </w:r>
      <w:r w:rsidR="00CA58AD" w:rsidRPr="000E6FAE">
        <w:t xml:space="preserve">17 May 2021, C was advised by the Deputy General Manager of AGCC that his </w:t>
      </w:r>
      <w:r w:rsidR="00C46C4D" w:rsidRPr="000E6FAE">
        <w:t>‘</w:t>
      </w:r>
      <w:r w:rsidR="00CA58AD" w:rsidRPr="000E6FAE">
        <w:t xml:space="preserve">access approval </w:t>
      </w:r>
      <w:r w:rsidRPr="000E6FAE">
        <w:t xml:space="preserve">[had] been suspended under section 157 of the </w:t>
      </w:r>
      <w:r w:rsidRPr="000E6FAE">
        <w:rPr>
          <w:i/>
          <w:iCs/>
        </w:rPr>
        <w:t>Corrective Services Act 2006</w:t>
      </w:r>
      <w:r w:rsidRPr="000E6FAE">
        <w:t xml:space="preserve">’ </w:t>
      </w:r>
      <w:r w:rsidR="00CA58AD" w:rsidRPr="000E6FAE">
        <w:t xml:space="preserve">as a result of the incident on 12 May 2021. </w:t>
      </w:r>
      <w:r w:rsidRPr="000E6FAE">
        <w:t>The letter advised that the incident had been forwarded to the Corrective Services Investigation Unit (</w:t>
      </w:r>
      <w:r w:rsidRPr="000E6FAE">
        <w:rPr>
          <w:b/>
          <w:bCs/>
        </w:rPr>
        <w:t>CSIU</w:t>
      </w:r>
      <w:r w:rsidRPr="000E6FAE">
        <w:t xml:space="preserve">) and that C’s access </w:t>
      </w:r>
      <w:r w:rsidR="00EE3D04" w:rsidRPr="000E6FAE">
        <w:t xml:space="preserve">to AGCC </w:t>
      </w:r>
      <w:r w:rsidRPr="000E6FAE">
        <w:t xml:space="preserve">would be suspended for three months and until the CSIU </w:t>
      </w:r>
      <w:r w:rsidR="00EE3D04" w:rsidRPr="000E6FAE">
        <w:t xml:space="preserve">have finalised their investigation. </w:t>
      </w:r>
      <w:r w:rsidR="00CA58AD" w:rsidRPr="000E6FAE">
        <w:t xml:space="preserve">C </w:t>
      </w:r>
      <w:r w:rsidR="00AD3853" w:rsidRPr="000E6FAE">
        <w:t xml:space="preserve">was advised that he </w:t>
      </w:r>
      <w:r w:rsidR="00CA58AD" w:rsidRPr="000E6FAE">
        <w:t xml:space="preserve">could access virtual visits during </w:t>
      </w:r>
      <w:r w:rsidR="00EE3D04" w:rsidRPr="000E6FAE">
        <w:t xml:space="preserve">this time. </w:t>
      </w:r>
    </w:p>
    <w:p w14:paraId="44FBF255" w14:textId="1CD496DE" w:rsidR="00054D29" w:rsidRPr="000E6FAE" w:rsidRDefault="00054D29">
      <w:pPr>
        <w:pStyle w:val="Numberedparagraph"/>
        <w:numPr>
          <w:ilvl w:val="1"/>
          <w:numId w:val="13"/>
        </w:numPr>
      </w:pPr>
      <w:r w:rsidRPr="000E6FAE">
        <w:t xml:space="preserve">By letter dated 8 June 2021, C was advised by QCS that his son had been relocated to Woodford Correctional Centre </w:t>
      </w:r>
      <w:r w:rsidR="009F4492" w:rsidRPr="000E6FAE">
        <w:t>(</w:t>
      </w:r>
      <w:r w:rsidR="009F4492" w:rsidRPr="000E6FAE">
        <w:rPr>
          <w:b/>
          <w:bCs/>
        </w:rPr>
        <w:t>WCC</w:t>
      </w:r>
      <w:r w:rsidR="009F4492" w:rsidRPr="000E6FAE">
        <w:t xml:space="preserve">) </w:t>
      </w:r>
      <w:r w:rsidRPr="000E6FAE">
        <w:t xml:space="preserve">and that C was required to complete a new Form 27 – Application to </w:t>
      </w:r>
      <w:r w:rsidR="003E4793" w:rsidRPr="000E6FAE">
        <w:t>V</w:t>
      </w:r>
      <w:r w:rsidRPr="000E6FAE">
        <w:t xml:space="preserve">isit. </w:t>
      </w:r>
      <w:r w:rsidR="00965C4A" w:rsidRPr="000E6FAE">
        <w:t>The letter</w:t>
      </w:r>
      <w:r w:rsidR="00BA7E67" w:rsidRPr="000E6FAE">
        <w:t xml:space="preserve"> note</w:t>
      </w:r>
      <w:r w:rsidR="00C16A4F" w:rsidRPr="000E6FAE">
        <w:t>d</w:t>
      </w:r>
      <w:r w:rsidR="00BA7E67" w:rsidRPr="000E6FAE">
        <w:t xml:space="preserve"> that C had requested a review of the decision </w:t>
      </w:r>
      <w:r w:rsidR="005B1A22" w:rsidRPr="000E6FAE">
        <w:t xml:space="preserve">to suspend his visit access and that </w:t>
      </w:r>
      <w:r w:rsidR="00965C4A" w:rsidRPr="000E6FAE">
        <w:t xml:space="preserve">the review ‘has now been finalised’. </w:t>
      </w:r>
    </w:p>
    <w:p w14:paraId="18A4CE3D" w14:textId="2926FC85" w:rsidR="00E15D10" w:rsidRPr="000E6FAE" w:rsidRDefault="00542BDB">
      <w:pPr>
        <w:pStyle w:val="Numberedparagraph"/>
        <w:numPr>
          <w:ilvl w:val="1"/>
          <w:numId w:val="13"/>
        </w:numPr>
      </w:pPr>
      <w:r w:rsidRPr="000E6FAE">
        <w:t>By email</w:t>
      </w:r>
      <w:r w:rsidR="005B1A22" w:rsidRPr="000E6FAE">
        <w:t xml:space="preserve"> dated 9 June 2021</w:t>
      </w:r>
      <w:r w:rsidRPr="000E6FAE">
        <w:t xml:space="preserve">, </w:t>
      </w:r>
      <w:r w:rsidR="006F6D96" w:rsidRPr="000E6FAE">
        <w:t xml:space="preserve">C </w:t>
      </w:r>
      <w:r w:rsidR="000C73A5" w:rsidRPr="000E6FAE">
        <w:t xml:space="preserve">raised with QCS his </w:t>
      </w:r>
      <w:r w:rsidR="006F6D96" w:rsidRPr="000E6FAE">
        <w:t xml:space="preserve">concerns about the difficulties of driving to Woodford to complete a new Form 27 in person and </w:t>
      </w:r>
      <w:r w:rsidR="000C73A5" w:rsidRPr="000E6FAE">
        <w:t xml:space="preserve">to again submit to the </w:t>
      </w:r>
      <w:r w:rsidR="006F6D96" w:rsidRPr="000E6FAE">
        <w:t>long process of criminal history checks</w:t>
      </w:r>
      <w:r w:rsidR="000C73A5" w:rsidRPr="000E6FAE">
        <w:t>.</w:t>
      </w:r>
      <w:r w:rsidRPr="000E6FAE">
        <w:t xml:space="preserve"> </w:t>
      </w:r>
      <w:r w:rsidR="00965C4A" w:rsidRPr="000E6FAE">
        <w:t xml:space="preserve">In response, QCS </w:t>
      </w:r>
      <w:r w:rsidR="00C95F65" w:rsidRPr="000E6FAE">
        <w:t xml:space="preserve">initially </w:t>
      </w:r>
      <w:r w:rsidR="00965C4A" w:rsidRPr="000E6FAE">
        <w:t xml:space="preserve">told </w:t>
      </w:r>
      <w:r w:rsidR="00C95F65" w:rsidRPr="000E6FAE">
        <w:t xml:space="preserve">C </w:t>
      </w:r>
      <w:r w:rsidR="00965C4A" w:rsidRPr="000E6FAE">
        <w:t>there was no need to complete a new form</w:t>
      </w:r>
      <w:r w:rsidR="009F4492" w:rsidRPr="000E6FAE">
        <w:t>.</w:t>
      </w:r>
      <w:r w:rsidR="00965C4A" w:rsidRPr="000E6FAE">
        <w:t xml:space="preserve"> </w:t>
      </w:r>
      <w:r w:rsidR="009F4492" w:rsidRPr="000E6FAE">
        <w:t>However, on 20 July 2021, it appears when C directly contacted WCC he was told he would need to re-apply ‘based on [his] conduct at’ AGCC</w:t>
      </w:r>
      <w:r w:rsidR="00C95F65" w:rsidRPr="000E6FAE">
        <w:t>.</w:t>
      </w:r>
      <w:r w:rsidR="008D5DB5" w:rsidRPr="000E6FAE">
        <w:t xml:space="preserve"> It is alleged that C again became verbally irate with QCS staff.</w:t>
      </w:r>
      <w:r w:rsidR="003821DF" w:rsidRPr="000E6FAE">
        <w:rPr>
          <w:rStyle w:val="FootnoteReference"/>
        </w:rPr>
        <w:footnoteReference w:id="1"/>
      </w:r>
      <w:r w:rsidR="008D5DB5" w:rsidRPr="000E6FAE">
        <w:t xml:space="preserve"> </w:t>
      </w:r>
    </w:p>
    <w:p w14:paraId="7A81CD74" w14:textId="27055233" w:rsidR="00712529" w:rsidRPr="000E6FAE" w:rsidRDefault="00117FAC">
      <w:pPr>
        <w:pStyle w:val="Numberedparagraph"/>
        <w:numPr>
          <w:ilvl w:val="1"/>
          <w:numId w:val="13"/>
        </w:numPr>
      </w:pPr>
      <w:r w:rsidRPr="000E6FAE">
        <w:t>I</w:t>
      </w:r>
      <w:r w:rsidR="004E4E12" w:rsidRPr="000E6FAE">
        <w:t xml:space="preserve">t appears </w:t>
      </w:r>
      <w:r w:rsidRPr="000E6FAE">
        <w:t xml:space="preserve">C </w:t>
      </w:r>
      <w:r w:rsidR="00BF783A" w:rsidRPr="000E6FAE">
        <w:t xml:space="preserve">did not make a further application, but that WCC used their discretion to process C’s </w:t>
      </w:r>
      <w:r w:rsidR="00AD3853" w:rsidRPr="000E6FAE">
        <w:t>earlier application for access approval made to AGCC</w:t>
      </w:r>
      <w:r w:rsidR="00AE38AF" w:rsidRPr="000E6FAE">
        <w:t>.</w:t>
      </w:r>
      <w:r w:rsidR="00AD3853" w:rsidRPr="000E6FAE">
        <w:t xml:space="preserve"> </w:t>
      </w:r>
      <w:r w:rsidR="00AE38AF" w:rsidRPr="000E6FAE">
        <w:t xml:space="preserve">A </w:t>
      </w:r>
      <w:r w:rsidR="004E4E12" w:rsidRPr="000E6FAE">
        <w:t xml:space="preserve">criminal history check </w:t>
      </w:r>
      <w:r w:rsidR="00194A8E">
        <w:t xml:space="preserve">was </w:t>
      </w:r>
      <w:r w:rsidR="004E4E12" w:rsidRPr="000E6FAE">
        <w:t xml:space="preserve">obtained. By letter dated 16 August 2021, the </w:t>
      </w:r>
      <w:r w:rsidR="00712529" w:rsidRPr="000E6FAE">
        <w:t>Acting Chief Superintendent, General Manager of WCC made a decision under s</w:t>
      </w:r>
      <w:r w:rsidR="00194A8E">
        <w:t>ection</w:t>
      </w:r>
      <w:r w:rsidR="00712529" w:rsidRPr="000E6FAE">
        <w:t xml:space="preserve"> 157(2) of the </w:t>
      </w:r>
      <w:r w:rsidR="00712529" w:rsidRPr="000E6FAE">
        <w:rPr>
          <w:i/>
          <w:iCs/>
        </w:rPr>
        <w:t>Corrective Services Act 2006</w:t>
      </w:r>
      <w:r w:rsidR="00712529" w:rsidRPr="000E6FAE">
        <w:t xml:space="preserve"> that C poses ‘a risk to the security and good order of the facility and you are not permitted access to the Woodford Correctional Centre.’ However virtual visits were approved. The reasons given for the decision </w:t>
      </w:r>
      <w:r w:rsidR="004E4E12" w:rsidRPr="000E6FAE">
        <w:t>was C’s ‘</w:t>
      </w:r>
      <w:r w:rsidR="008D5DB5" w:rsidRPr="000E6FAE">
        <w:t xml:space="preserve">behaviour on 12 May 2021 at Arthur Gorrie Correctional Centre and </w:t>
      </w:r>
      <w:r w:rsidR="00712529" w:rsidRPr="000E6FAE">
        <w:t xml:space="preserve">continued irate behaviour towards QCS staff at </w:t>
      </w:r>
      <w:r w:rsidR="008D5DB5" w:rsidRPr="000E6FAE">
        <w:t>Woodford Correctional Centre</w:t>
      </w:r>
      <w:r w:rsidR="004E4E12" w:rsidRPr="000E6FAE">
        <w:t>’</w:t>
      </w:r>
      <w:r w:rsidR="00712529" w:rsidRPr="000E6FAE">
        <w:t>.</w:t>
      </w:r>
      <w:r w:rsidR="004E4E12" w:rsidRPr="000E6FAE">
        <w:t xml:space="preserve"> The letter also indicates consideration </w:t>
      </w:r>
      <w:r w:rsidR="00CB0E44" w:rsidRPr="000E6FAE">
        <w:t xml:space="preserve">of </w:t>
      </w:r>
      <w:r w:rsidR="004E4E12" w:rsidRPr="000E6FAE">
        <w:t xml:space="preserve">C’s </w:t>
      </w:r>
      <w:r w:rsidR="00CB0E44" w:rsidRPr="000E6FAE">
        <w:t>‘</w:t>
      </w:r>
      <w:r w:rsidR="004E4E12" w:rsidRPr="000E6FAE">
        <w:t>extensive criminal history that includes violence related offences in particular numerous drug possession convictions with [the] most recent being 2018’.</w:t>
      </w:r>
    </w:p>
    <w:p w14:paraId="6FEDB6A8" w14:textId="1C9D744E" w:rsidR="008D5DB5" w:rsidRDefault="00631947">
      <w:pPr>
        <w:pStyle w:val="Numberedparagraph"/>
        <w:numPr>
          <w:ilvl w:val="1"/>
          <w:numId w:val="13"/>
        </w:numPr>
      </w:pPr>
      <w:r w:rsidRPr="000E6FAE">
        <w:t xml:space="preserve">C’s complaint to the Commission was </w:t>
      </w:r>
      <w:r w:rsidR="00FE1DBA" w:rsidRPr="000E6FAE">
        <w:t>lodged on 27 July 2021</w:t>
      </w:r>
      <w:r w:rsidR="00C44951" w:rsidRPr="000E6FAE">
        <w:t xml:space="preserve">. C’s grievances include the requirement to have criminal history checks in order to visit prisons, the delays criminal history checks cause to the process, and </w:t>
      </w:r>
      <w:r w:rsidR="00FF46E6" w:rsidRPr="000E6FAE">
        <w:t xml:space="preserve">the </w:t>
      </w:r>
      <w:r w:rsidR="00C44951" w:rsidRPr="000E6FAE">
        <w:lastRenderedPageBreak/>
        <w:t>impact</w:t>
      </w:r>
      <w:r w:rsidR="00FF46E6" w:rsidRPr="000E6FAE">
        <w:t>, particularly the mental health impact,</w:t>
      </w:r>
      <w:r w:rsidR="00C44951" w:rsidRPr="000E6FAE">
        <w:t xml:space="preserve"> this has on </w:t>
      </w:r>
      <w:r w:rsidR="00FF46E6" w:rsidRPr="000E6FAE">
        <w:t>prisoners and their families.</w:t>
      </w:r>
    </w:p>
    <w:p w14:paraId="39156D0D" w14:textId="122F3736" w:rsidR="00BA51C0" w:rsidRDefault="00876AF0" w:rsidP="007F14ED">
      <w:pPr>
        <w:pStyle w:val="Numberedparagraph"/>
      </w:pPr>
      <w:r>
        <w:t xml:space="preserve">In its submissions, QCS sets out its position in relation to the incident occurring at AGCC </w:t>
      </w:r>
      <w:r w:rsidR="00BA51C0">
        <w:t xml:space="preserve">on 12 May 2021. This position includes that C was made aware by QCS staff that his behaviour was unacceptable and </w:t>
      </w:r>
      <w:r w:rsidR="001A63E0">
        <w:t xml:space="preserve">was </w:t>
      </w:r>
      <w:r w:rsidR="00BA51C0">
        <w:t>given several opportunities to de-escalate which w</w:t>
      </w:r>
      <w:r w:rsidR="001A63E0">
        <w:t>ere</w:t>
      </w:r>
      <w:r w:rsidR="00BA51C0">
        <w:t xml:space="preserve"> declined. QCS submits that in the circumstances, the actions taken in response to the AGCC incident were justified. </w:t>
      </w:r>
    </w:p>
    <w:p w14:paraId="5F839DCD" w14:textId="73E41BBB" w:rsidR="00876AF0" w:rsidRPr="000E6FAE" w:rsidRDefault="00BA51C0">
      <w:pPr>
        <w:pStyle w:val="Numberedparagraph"/>
      </w:pPr>
      <w:r>
        <w:t>Given that this report</w:t>
      </w:r>
      <w:r w:rsidR="007E2071">
        <w:t xml:space="preserve"> is concerned with process</w:t>
      </w:r>
      <w:r w:rsidR="001A63E0">
        <w:t xml:space="preserve"> issues</w:t>
      </w:r>
      <w:r w:rsidR="007E2071">
        <w:t>, and</w:t>
      </w:r>
      <w:r>
        <w:t xml:space="preserve"> makes no findings or recommendations in relation to </w:t>
      </w:r>
      <w:r w:rsidR="00A44534">
        <w:t xml:space="preserve">whether the </w:t>
      </w:r>
      <w:r w:rsidR="003D1F46">
        <w:t>effect</w:t>
      </w:r>
      <w:r w:rsidR="00A44534">
        <w:t xml:space="preserve"> of QCS’s response to the AGCC incident was proportionate or warranted, it has not been necessary to set out QCS’s position on this issue in full. </w:t>
      </w:r>
    </w:p>
    <w:bookmarkEnd w:id="1"/>
    <w:p w14:paraId="37AF2ADE" w14:textId="27329612" w:rsidR="002B7EC6" w:rsidRPr="000E6FAE" w:rsidRDefault="002B7EC6" w:rsidP="00A6318E">
      <w:pPr>
        <w:pStyle w:val="Heading1"/>
      </w:pPr>
      <w:r w:rsidRPr="000E6FAE">
        <w:t>Actions taken to try and resolve the complaint</w:t>
      </w:r>
    </w:p>
    <w:p w14:paraId="560C5BB1" w14:textId="556AB373" w:rsidR="002B7EC6" w:rsidRPr="000E6FAE" w:rsidRDefault="002B7EC6" w:rsidP="007F14ED">
      <w:pPr>
        <w:pStyle w:val="Numberedparagraph"/>
      </w:pPr>
      <w:r w:rsidRPr="000E6FAE">
        <w:t xml:space="preserve">The Commission attempted to resolve the complaint between the parties through </w:t>
      </w:r>
      <w:r w:rsidR="001E621B" w:rsidRPr="000E6FAE">
        <w:t xml:space="preserve">conducting a conciliation conference. </w:t>
      </w:r>
    </w:p>
    <w:p w14:paraId="56125AB7" w14:textId="3BD95701" w:rsidR="002B7EC6" w:rsidRPr="000E6FAE" w:rsidRDefault="00194A8E">
      <w:pPr>
        <w:pStyle w:val="Numberedparagraph"/>
      </w:pPr>
      <w:r>
        <w:t>C</w:t>
      </w:r>
      <w:r w:rsidR="001E621B" w:rsidRPr="000E6FAE">
        <w:t xml:space="preserve"> remained unsatisfied by the outcome of discussions. </w:t>
      </w:r>
    </w:p>
    <w:p w14:paraId="74E62FE7" w14:textId="0A2B8D81" w:rsidR="00117FAC" w:rsidRPr="00A6318E" w:rsidRDefault="00117FAC" w:rsidP="00A6318E">
      <w:pPr>
        <w:pStyle w:val="Heading1"/>
      </w:pPr>
      <w:bookmarkStart w:id="2" w:name="_Toc28073513"/>
      <w:bookmarkStart w:id="3" w:name="_Hlk106720335"/>
      <w:r w:rsidRPr="00A6318E">
        <w:t>Legal framework for visiting a corrective services facility</w:t>
      </w:r>
    </w:p>
    <w:p w14:paraId="26778C9C" w14:textId="77CFA31B" w:rsidR="00117FAC" w:rsidRPr="000E6FAE" w:rsidRDefault="00117FAC" w:rsidP="007F14ED">
      <w:pPr>
        <w:pStyle w:val="Numberedparagraph"/>
      </w:pPr>
      <w:r w:rsidRPr="000E6FAE">
        <w:t xml:space="preserve">The </w:t>
      </w:r>
      <w:r w:rsidRPr="000E6FAE">
        <w:rPr>
          <w:i/>
          <w:iCs/>
        </w:rPr>
        <w:t>Corrective Services Act 2006</w:t>
      </w:r>
      <w:r w:rsidR="00184B11" w:rsidRPr="000E6FAE">
        <w:rPr>
          <w:i/>
          <w:iCs/>
        </w:rPr>
        <w:t xml:space="preserve"> </w:t>
      </w:r>
      <w:r w:rsidR="00184B11" w:rsidRPr="000E6FAE">
        <w:t>(Qld)</w:t>
      </w:r>
      <w:r w:rsidR="00184B11" w:rsidRPr="000E6FAE">
        <w:rPr>
          <w:i/>
          <w:iCs/>
        </w:rPr>
        <w:t xml:space="preserve"> </w:t>
      </w:r>
      <w:r w:rsidR="00184B11" w:rsidRPr="000E6FAE">
        <w:t>(</w:t>
      </w:r>
      <w:r w:rsidR="00184B11" w:rsidRPr="000E6FAE">
        <w:rPr>
          <w:b/>
          <w:bCs/>
        </w:rPr>
        <w:t>CS Act</w:t>
      </w:r>
      <w:r w:rsidR="00184B11" w:rsidRPr="000E6FAE">
        <w:t>)</w:t>
      </w:r>
      <w:r w:rsidRPr="000E6FAE">
        <w:t xml:space="preserve"> sets out requirements for visiting corrective services facilities. </w:t>
      </w:r>
    </w:p>
    <w:p w14:paraId="3CBD8F36" w14:textId="77777777" w:rsidR="00117FAC" w:rsidRPr="00A6318E" w:rsidRDefault="00117FAC" w:rsidP="00A6318E">
      <w:pPr>
        <w:pStyle w:val="Heading2"/>
      </w:pPr>
      <w:r w:rsidRPr="00A6318E">
        <w:t xml:space="preserve">Access approvals </w:t>
      </w:r>
    </w:p>
    <w:p w14:paraId="37A37365" w14:textId="5E665D4B" w:rsidR="00312109" w:rsidRDefault="00117FAC" w:rsidP="007F14ED">
      <w:pPr>
        <w:pStyle w:val="Numberedparagraph"/>
      </w:pPr>
      <w:r w:rsidRPr="000E6FAE">
        <w:t>Before visiting a corrective services facility for the first time, a visitor must apply for ‘access approval’ from the chief executive in the approved form. The chief executive may grant access approval if satisfied that the visitor ‘does not pose a risk to the security or good order’ of the facility. Access approval may be given subject to conditions, such as only to visit a particular prisoner or at a particular facility.</w:t>
      </w:r>
      <w:r w:rsidR="00184B11" w:rsidRPr="000E6FAE">
        <w:rPr>
          <w:rStyle w:val="FootnoteReference"/>
        </w:rPr>
        <w:footnoteReference w:id="2"/>
      </w:r>
      <w:r w:rsidRPr="000E6FAE">
        <w:t xml:space="preserve">  </w:t>
      </w:r>
    </w:p>
    <w:p w14:paraId="48FDD019" w14:textId="30315E05" w:rsidR="00117FAC" w:rsidRPr="000E6FAE" w:rsidRDefault="00117FAC">
      <w:pPr>
        <w:pStyle w:val="Numberedparagraph"/>
      </w:pPr>
      <w:r w:rsidRPr="000E6FAE">
        <w:t>While waiting for access approval, the chief executive may give the visitor interim access approval to visit a corrective services facility</w:t>
      </w:r>
      <w:r w:rsidR="007B0933" w:rsidRPr="000E6FAE">
        <w:t xml:space="preserve"> if satisfied it is appropriate in the circumstances</w:t>
      </w:r>
      <w:r w:rsidRPr="000E6FAE">
        <w:t>.</w:t>
      </w:r>
      <w:r w:rsidR="00065FE2" w:rsidRPr="000E6FAE">
        <w:rPr>
          <w:rStyle w:val="FootnoteReference"/>
        </w:rPr>
        <w:footnoteReference w:id="3"/>
      </w:r>
      <w:r w:rsidRPr="000E6FAE">
        <w:t xml:space="preserve"> </w:t>
      </w:r>
    </w:p>
    <w:p w14:paraId="4771E4FC" w14:textId="64404E94" w:rsidR="00117FAC" w:rsidRPr="000E6FAE" w:rsidRDefault="00117FAC">
      <w:pPr>
        <w:pStyle w:val="Numberedparagraph"/>
      </w:pPr>
      <w:r w:rsidRPr="000E6FAE">
        <w:t xml:space="preserve">If the chief executive refuses access approval, </w:t>
      </w:r>
      <w:r w:rsidR="00FB4C35" w:rsidRPr="000E6FAE">
        <w:t xml:space="preserve">he or she may order that the visitor not make a further application for a stated period, </w:t>
      </w:r>
      <w:r w:rsidR="00AB27BD" w:rsidRPr="000E6FAE">
        <w:t xml:space="preserve">which cannot be more </w:t>
      </w:r>
      <w:r w:rsidR="00FB4C35" w:rsidRPr="000E6FAE">
        <w:t>than one year</w:t>
      </w:r>
      <w:r w:rsidRPr="000E6FAE">
        <w:t xml:space="preserve">. The visitor can seek a review of the decision to refuse access </w:t>
      </w:r>
      <w:r w:rsidRPr="000E6FAE">
        <w:lastRenderedPageBreak/>
        <w:t>approval. The chief executive must advise the visitor of the reconsidered decision.</w:t>
      </w:r>
      <w:r w:rsidR="00065FE2" w:rsidRPr="000E6FAE">
        <w:rPr>
          <w:rStyle w:val="FootnoteReference"/>
        </w:rPr>
        <w:footnoteReference w:id="4"/>
      </w:r>
      <w:r w:rsidRPr="000E6FAE">
        <w:t xml:space="preserve">  </w:t>
      </w:r>
    </w:p>
    <w:p w14:paraId="4B1682EB" w14:textId="77777777" w:rsidR="00117FAC" w:rsidRPr="000E6FAE" w:rsidRDefault="00117FAC" w:rsidP="00A6318E">
      <w:pPr>
        <w:pStyle w:val="Heading2"/>
      </w:pPr>
      <w:r w:rsidRPr="000E6FAE">
        <w:t xml:space="preserve">Criminal history </w:t>
      </w:r>
    </w:p>
    <w:p w14:paraId="3049962F" w14:textId="6D3698E2" w:rsidR="00117FAC" w:rsidRPr="000E6FAE" w:rsidRDefault="00117FAC" w:rsidP="007F14ED">
      <w:pPr>
        <w:pStyle w:val="Numberedparagraph"/>
      </w:pPr>
      <w:r w:rsidRPr="000E6FAE">
        <w:t xml:space="preserve">In making a decision on an application for access approval, the </w:t>
      </w:r>
      <w:r w:rsidR="003356D8" w:rsidRPr="000E6FAE">
        <w:t>c</w:t>
      </w:r>
      <w:r w:rsidRPr="000E6FAE">
        <w:t xml:space="preserve">hief </w:t>
      </w:r>
      <w:r w:rsidR="003356D8" w:rsidRPr="000E6FAE">
        <w:t>e</w:t>
      </w:r>
      <w:r w:rsidRPr="000E6FAE">
        <w:t>xecutive must consider certain matters, including whether the visitor has been convicted for offences relating to escape from custody or while they were visiting a prison</w:t>
      </w:r>
      <w:r w:rsidR="00065FE2" w:rsidRPr="000E6FAE">
        <w:rPr>
          <w:rStyle w:val="FootnoteReference"/>
        </w:rPr>
        <w:footnoteReference w:id="5"/>
      </w:r>
      <w:r w:rsidRPr="000E6FAE">
        <w:t xml:space="preserve"> In order to inform themselves, the chief executive may ask the Queensland Police Service (</w:t>
      </w:r>
      <w:r w:rsidRPr="000E6FAE">
        <w:rPr>
          <w:b/>
          <w:bCs/>
        </w:rPr>
        <w:t>QPS</w:t>
      </w:r>
      <w:r w:rsidRPr="000E6FAE">
        <w:t>) Commissioner to give him or her a written report about the person’s criminal history and a brief description of the circumstances of a conviction or charge mentioned in the person’s criminal history</w:t>
      </w:r>
      <w:r w:rsidR="007016FC">
        <w:t>.</w:t>
      </w:r>
      <w:r w:rsidR="00065FE2" w:rsidRPr="000E6FAE">
        <w:rPr>
          <w:rStyle w:val="FootnoteReference"/>
        </w:rPr>
        <w:footnoteReference w:id="6"/>
      </w:r>
      <w:r w:rsidRPr="000E6FAE">
        <w:t xml:space="preserve"> </w:t>
      </w:r>
    </w:p>
    <w:p w14:paraId="0C7BC00C" w14:textId="3C98868D" w:rsidR="00117FAC" w:rsidRPr="000E6FAE" w:rsidRDefault="00117FAC">
      <w:pPr>
        <w:pStyle w:val="Numberedparagraph"/>
      </w:pPr>
      <w:r w:rsidRPr="000E6FAE">
        <w:t xml:space="preserve">If the information is to be used by the </w:t>
      </w:r>
      <w:r w:rsidR="003356D8" w:rsidRPr="000E6FAE">
        <w:t>c</w:t>
      </w:r>
      <w:r w:rsidRPr="000E6FAE">
        <w:t xml:space="preserve">hief </w:t>
      </w:r>
      <w:r w:rsidR="003356D8" w:rsidRPr="000E6FAE">
        <w:t>e</w:t>
      </w:r>
      <w:r w:rsidRPr="000E6FAE">
        <w:t>xecutive to form a decision, the visitor must be given a reasonable opportunity to know and respond to that information</w:t>
      </w:r>
      <w:r w:rsidR="00065FE2" w:rsidRPr="000E6FAE">
        <w:t>.</w:t>
      </w:r>
      <w:r w:rsidR="00065FE2" w:rsidRPr="000E6FAE">
        <w:rPr>
          <w:rStyle w:val="FootnoteReference"/>
        </w:rPr>
        <w:footnoteReference w:id="7"/>
      </w:r>
      <w:r w:rsidRPr="000E6FAE">
        <w:t xml:space="preserve">  </w:t>
      </w:r>
    </w:p>
    <w:p w14:paraId="5C6E12DA" w14:textId="41BEED73" w:rsidR="00117FAC" w:rsidRPr="000E6FAE" w:rsidRDefault="00117FAC" w:rsidP="00A6318E">
      <w:pPr>
        <w:pStyle w:val="Heading2"/>
      </w:pPr>
      <w:r w:rsidRPr="000E6FAE">
        <w:t xml:space="preserve">Suspension </w:t>
      </w:r>
      <w:r w:rsidR="003356D8" w:rsidRPr="000E6FAE">
        <w:t xml:space="preserve">of or changes to </w:t>
      </w:r>
      <w:r w:rsidRPr="000E6FAE">
        <w:t xml:space="preserve">access approvals </w:t>
      </w:r>
    </w:p>
    <w:p w14:paraId="420AB804" w14:textId="24855DEE" w:rsidR="003356D8" w:rsidRPr="000E6FAE" w:rsidRDefault="00117FAC" w:rsidP="007F14ED">
      <w:pPr>
        <w:pStyle w:val="Numberedparagraph"/>
      </w:pPr>
      <w:r w:rsidRPr="000E6FAE">
        <w:t>The chief executive can suspend a visitor’s access approval in certain circumstances, including if the chief executive reasonably believes the suspension is necessary to preserve the security or good order of the corrective services facility. Generally, a suspension can be up to a year.</w:t>
      </w:r>
      <w:r w:rsidR="003356D8" w:rsidRPr="000E6FAE">
        <w:rPr>
          <w:rStyle w:val="FootnoteReference"/>
        </w:rPr>
        <w:footnoteReference w:id="8"/>
      </w:r>
      <w:r w:rsidRPr="000E6FAE">
        <w:t xml:space="preserve"> </w:t>
      </w:r>
    </w:p>
    <w:p w14:paraId="2B71383F" w14:textId="2AF971B2" w:rsidR="003356D8" w:rsidRPr="000E6FAE" w:rsidRDefault="003356D8">
      <w:pPr>
        <w:pStyle w:val="Numberedparagraph"/>
      </w:pPr>
      <w:r w:rsidRPr="000E6FAE">
        <w:t>The chief executive can also amend or revoke access approval if, because of a change in the visitor’s circumstances, the visitor poses a risk to the security or good order of the corrective services facility.</w:t>
      </w:r>
      <w:r w:rsidRPr="000E6FAE">
        <w:rPr>
          <w:rStyle w:val="FootnoteReference"/>
        </w:rPr>
        <w:footnoteReference w:id="9"/>
      </w:r>
      <w:r w:rsidRPr="000E6FAE">
        <w:t xml:space="preserve"> </w:t>
      </w:r>
    </w:p>
    <w:p w14:paraId="781D42CA" w14:textId="5ABA8DB4" w:rsidR="00117FAC" w:rsidRPr="000E6FAE" w:rsidRDefault="003356D8">
      <w:pPr>
        <w:pStyle w:val="Numberedparagraph"/>
      </w:pPr>
      <w:r w:rsidRPr="000E6FAE">
        <w:t>In both cases</w:t>
      </w:r>
      <w:r w:rsidR="00117FAC" w:rsidRPr="000E6FAE">
        <w:t xml:space="preserve">, </w:t>
      </w:r>
      <w:r w:rsidR="00EB0A49" w:rsidRPr="000E6FAE">
        <w:t xml:space="preserve">the visitor can ask for reconsideration of </w:t>
      </w:r>
      <w:r w:rsidR="00117FAC" w:rsidRPr="000E6FAE">
        <w:t xml:space="preserve">the </w:t>
      </w:r>
      <w:r w:rsidRPr="000E6FAE">
        <w:t>chief executive’s decision</w:t>
      </w:r>
      <w:r w:rsidR="00EB0A49" w:rsidRPr="000E6FAE">
        <w:t>.</w:t>
      </w:r>
    </w:p>
    <w:p w14:paraId="3D1FFFA8" w14:textId="341346FD" w:rsidR="00CD062D" w:rsidRPr="000E6FAE" w:rsidRDefault="005379BA" w:rsidP="00A6318E">
      <w:pPr>
        <w:pStyle w:val="Heading1"/>
      </w:pPr>
      <w:r w:rsidRPr="000E6FAE">
        <w:t>Obligations under the Human Rights Act</w:t>
      </w:r>
    </w:p>
    <w:p w14:paraId="1843F7AF" w14:textId="564A2D0F" w:rsidR="00CD062D" w:rsidRPr="000E6FAE" w:rsidRDefault="00CD062D" w:rsidP="007F14ED">
      <w:pPr>
        <w:pStyle w:val="Numberedparagraph"/>
      </w:pPr>
      <w:r w:rsidRPr="000E6FAE">
        <w:t xml:space="preserve">QCS is a public entity under the HR Act with obligations to: </w:t>
      </w:r>
    </w:p>
    <w:p w14:paraId="0281C4FA" w14:textId="77777777" w:rsidR="00CD062D" w:rsidRPr="000E6FAE" w:rsidRDefault="00CD062D" w:rsidP="007F14ED">
      <w:pPr>
        <w:pStyle w:val="Numberedparagraph"/>
        <w:numPr>
          <w:ilvl w:val="1"/>
          <w:numId w:val="13"/>
        </w:numPr>
      </w:pPr>
      <w:r w:rsidRPr="000E6FAE">
        <w:t xml:space="preserve">Make sure that decisions and actions are compatible with human rights; and </w:t>
      </w:r>
    </w:p>
    <w:p w14:paraId="476E5A79" w14:textId="2E68CF2C" w:rsidR="00CD062D" w:rsidRPr="000E6FAE" w:rsidRDefault="00CD062D">
      <w:pPr>
        <w:pStyle w:val="Numberedparagraph"/>
        <w:numPr>
          <w:ilvl w:val="1"/>
          <w:numId w:val="13"/>
        </w:numPr>
      </w:pPr>
      <w:r w:rsidRPr="000E6FAE">
        <w:t>Give proper consideration to human rights when making the decision.</w:t>
      </w:r>
      <w:r w:rsidR="00F309DC" w:rsidRPr="000E6FAE">
        <w:rPr>
          <w:rStyle w:val="FootnoteReference"/>
        </w:rPr>
        <w:footnoteReference w:id="10"/>
      </w:r>
      <w:r w:rsidRPr="000E6FAE">
        <w:t xml:space="preserve">  </w:t>
      </w:r>
    </w:p>
    <w:p w14:paraId="6F91C1E0" w14:textId="77777777" w:rsidR="00CD062D" w:rsidRPr="000E6FAE" w:rsidRDefault="00CD062D" w:rsidP="007F14ED">
      <w:pPr>
        <w:pStyle w:val="Numberedparagraph"/>
      </w:pPr>
      <w:r w:rsidRPr="000E6FAE">
        <w:lastRenderedPageBreak/>
        <w:t>To be compatible with human rights, a decision or action that limits human rights must be reasonable and demonstrably justifiable. That is, the limitation must be:</w:t>
      </w:r>
    </w:p>
    <w:p w14:paraId="45C7B120" w14:textId="77777777" w:rsidR="00CD062D" w:rsidRPr="000E6FAE" w:rsidRDefault="00CD062D" w:rsidP="007F14ED">
      <w:pPr>
        <w:pStyle w:val="Numberedparagraph"/>
        <w:numPr>
          <w:ilvl w:val="1"/>
          <w:numId w:val="13"/>
        </w:numPr>
      </w:pPr>
      <w:r w:rsidRPr="000E6FAE">
        <w:t>lawful; and</w:t>
      </w:r>
    </w:p>
    <w:p w14:paraId="18E2F11E" w14:textId="77777777" w:rsidR="00CD062D" w:rsidRPr="000E6FAE" w:rsidRDefault="00CD062D">
      <w:pPr>
        <w:pStyle w:val="Numberedparagraph"/>
        <w:numPr>
          <w:ilvl w:val="1"/>
          <w:numId w:val="13"/>
        </w:numPr>
      </w:pPr>
      <w:r w:rsidRPr="000E6FAE">
        <w:t>for a legitimate purpose; and</w:t>
      </w:r>
    </w:p>
    <w:p w14:paraId="5548D33B" w14:textId="77777777" w:rsidR="00CD062D" w:rsidRPr="000E6FAE" w:rsidRDefault="00CD062D">
      <w:pPr>
        <w:pStyle w:val="Numberedparagraph"/>
        <w:numPr>
          <w:ilvl w:val="1"/>
          <w:numId w:val="13"/>
        </w:numPr>
      </w:pPr>
      <w:r w:rsidRPr="000E6FAE">
        <w:t>necessary and proportionate to achieve that purpose; and</w:t>
      </w:r>
    </w:p>
    <w:p w14:paraId="65DC5546" w14:textId="77777777" w:rsidR="00CD062D" w:rsidRPr="000E6FAE" w:rsidRDefault="00CD062D">
      <w:pPr>
        <w:pStyle w:val="Numberedparagraph"/>
        <w:numPr>
          <w:ilvl w:val="1"/>
          <w:numId w:val="13"/>
        </w:numPr>
      </w:pPr>
      <w:r w:rsidRPr="000E6FAE">
        <w:t>strike the appropriate balance between preserving the human right and achieving the purpose of the limitation.</w:t>
      </w:r>
      <w:r w:rsidRPr="000E6FAE">
        <w:rPr>
          <w:rStyle w:val="FootnoteReference"/>
        </w:rPr>
        <w:footnoteReference w:id="11"/>
      </w:r>
      <w:r w:rsidRPr="000E6FAE">
        <w:t xml:space="preserve"> </w:t>
      </w:r>
    </w:p>
    <w:p w14:paraId="50C04C46" w14:textId="77777777" w:rsidR="00CD062D" w:rsidRPr="000E6FAE" w:rsidRDefault="00CD062D" w:rsidP="007F14ED">
      <w:pPr>
        <w:pStyle w:val="Numberedparagraph"/>
      </w:pPr>
      <w:r w:rsidRPr="000E6FAE">
        <w:t>Proper consideration requires:</w:t>
      </w:r>
    </w:p>
    <w:p w14:paraId="7C3AFE34" w14:textId="11BB587F" w:rsidR="00CD062D" w:rsidRPr="000E6FAE" w:rsidRDefault="00B505EE" w:rsidP="007F14ED">
      <w:pPr>
        <w:pStyle w:val="Numberedparagraph"/>
        <w:numPr>
          <w:ilvl w:val="1"/>
          <w:numId w:val="13"/>
        </w:numPr>
      </w:pPr>
      <w:r w:rsidRPr="000E6FAE">
        <w:t>i</w:t>
      </w:r>
      <w:r w:rsidR="00CD062D" w:rsidRPr="000E6FAE">
        <w:t>dentifying human rights that may be affected by the decision; and</w:t>
      </w:r>
    </w:p>
    <w:p w14:paraId="7E371CDA" w14:textId="5B3EC645" w:rsidR="00CD062D" w:rsidRPr="000E6FAE" w:rsidRDefault="00B505EE">
      <w:pPr>
        <w:pStyle w:val="Numberedparagraph"/>
        <w:numPr>
          <w:ilvl w:val="1"/>
          <w:numId w:val="13"/>
        </w:numPr>
      </w:pPr>
      <w:r w:rsidRPr="000E6FAE">
        <w:t>c</w:t>
      </w:r>
      <w:r w:rsidR="00CD062D" w:rsidRPr="000E6FAE">
        <w:t>onsidering whether the decision would be compatible with human rights.</w:t>
      </w:r>
      <w:r w:rsidR="00CD062D" w:rsidRPr="000E6FAE">
        <w:rPr>
          <w:rStyle w:val="FootnoteReference"/>
        </w:rPr>
        <w:footnoteReference w:id="12"/>
      </w:r>
      <w:r w:rsidR="00CD062D" w:rsidRPr="000E6FAE">
        <w:t xml:space="preserve"> </w:t>
      </w:r>
    </w:p>
    <w:p w14:paraId="192EFA92" w14:textId="0572E54F" w:rsidR="002B7EC6" w:rsidRPr="000E6FAE" w:rsidRDefault="00DD120D" w:rsidP="00A6318E">
      <w:pPr>
        <w:pStyle w:val="Heading1"/>
      </w:pPr>
      <w:r w:rsidRPr="000E6FAE">
        <w:t>Discussion and recommendations</w:t>
      </w:r>
    </w:p>
    <w:p w14:paraId="0A005293" w14:textId="57ACAD12" w:rsidR="00CD062D" w:rsidRPr="000E6FAE" w:rsidRDefault="00CD062D" w:rsidP="00A6318E">
      <w:pPr>
        <w:pStyle w:val="Heading2"/>
      </w:pPr>
      <w:r w:rsidRPr="000E6FAE">
        <w:t>Human rights limited</w:t>
      </w:r>
    </w:p>
    <w:p w14:paraId="58BD7462" w14:textId="77777777" w:rsidR="00CD062D" w:rsidRPr="000E6FAE" w:rsidRDefault="00CD062D" w:rsidP="007F14ED">
      <w:pPr>
        <w:pStyle w:val="Numberedparagraph"/>
      </w:pPr>
      <w:r w:rsidRPr="000E6FAE">
        <w:t>The complaint alleges that C was unable to visit his son in prison due to decisions made by QCS.  According to the Explanatory Notes to the Corrective Services Bill 2006: ‘Visits provide an opportunity for prisoners to maintain contact with family and friends. Visits with family members provide a mechanism for prisoners to maintain family relationships, particularly between incarcerated parents and children.’</w:t>
      </w:r>
      <w:r w:rsidRPr="000E6FAE">
        <w:rPr>
          <w:rStyle w:val="FootnoteReference"/>
        </w:rPr>
        <w:footnoteReference w:id="13"/>
      </w:r>
    </w:p>
    <w:p w14:paraId="7726C3B1" w14:textId="12491F82" w:rsidR="00CD062D" w:rsidRPr="000E6FAE" w:rsidRDefault="00CD062D">
      <w:pPr>
        <w:pStyle w:val="Numberedparagraph"/>
      </w:pPr>
      <w:r w:rsidRPr="000E6FAE">
        <w:t xml:space="preserve">C’s access to visit family members </w:t>
      </w:r>
      <w:r w:rsidR="00560C44" w:rsidRPr="000E6FAE">
        <w:t xml:space="preserve">who are </w:t>
      </w:r>
      <w:r w:rsidRPr="000E6FAE">
        <w:t xml:space="preserve">in prison is protected under the HR Act by:  </w:t>
      </w:r>
    </w:p>
    <w:p w14:paraId="252E5351" w14:textId="77777777" w:rsidR="00CD062D" w:rsidRPr="000E6FAE" w:rsidRDefault="00CD062D" w:rsidP="007F14ED">
      <w:pPr>
        <w:pStyle w:val="Numberedparagraph"/>
        <w:numPr>
          <w:ilvl w:val="1"/>
          <w:numId w:val="13"/>
        </w:numPr>
      </w:pPr>
      <w:r w:rsidRPr="000E6FAE">
        <w:t>The right to protection of families as a fundamental group unit of society.</w:t>
      </w:r>
      <w:r w:rsidRPr="000E6FAE">
        <w:rPr>
          <w:rStyle w:val="FootnoteReference"/>
        </w:rPr>
        <w:footnoteReference w:id="14"/>
      </w:r>
      <w:r w:rsidRPr="000E6FAE">
        <w:t xml:space="preserve"> </w:t>
      </w:r>
    </w:p>
    <w:p w14:paraId="7D3F0132" w14:textId="77777777" w:rsidR="00CD062D" w:rsidRPr="000E6FAE" w:rsidRDefault="00CD062D">
      <w:pPr>
        <w:pStyle w:val="Numberedparagraph"/>
        <w:numPr>
          <w:ilvl w:val="1"/>
          <w:numId w:val="13"/>
        </w:numPr>
      </w:pPr>
      <w:r w:rsidRPr="000E6FAE">
        <w:t>The right to not have a person’s privacy or family unlawfully or arbitrarily interfered with.</w:t>
      </w:r>
      <w:r w:rsidRPr="000E6FAE">
        <w:rPr>
          <w:rStyle w:val="FootnoteReference"/>
        </w:rPr>
        <w:footnoteReference w:id="15"/>
      </w:r>
      <w:r w:rsidRPr="000E6FAE">
        <w:t xml:space="preserve">. </w:t>
      </w:r>
    </w:p>
    <w:p w14:paraId="751DD2E6" w14:textId="77777777" w:rsidR="00CD062D" w:rsidRPr="000E6FAE" w:rsidRDefault="00CD062D">
      <w:pPr>
        <w:pStyle w:val="Numberedparagraph"/>
        <w:numPr>
          <w:ilvl w:val="1"/>
          <w:numId w:val="13"/>
        </w:numPr>
      </w:pPr>
      <w:r w:rsidRPr="000E6FAE">
        <w:t>As an Aboriginal person, the right not to be denied cultural rights, including to enjoy, maintain, control, protect and develop kinship ties.</w:t>
      </w:r>
      <w:r w:rsidRPr="000E6FAE">
        <w:rPr>
          <w:rStyle w:val="FootnoteReference"/>
        </w:rPr>
        <w:footnoteReference w:id="16"/>
      </w:r>
      <w:r w:rsidRPr="000E6FAE">
        <w:t xml:space="preserve"> </w:t>
      </w:r>
    </w:p>
    <w:p w14:paraId="1430A596" w14:textId="5EF6B5D2" w:rsidR="00CD062D" w:rsidRPr="000E6FAE" w:rsidRDefault="000B1C49" w:rsidP="007F14ED">
      <w:pPr>
        <w:pStyle w:val="Numberedparagraph"/>
      </w:pPr>
      <w:r w:rsidRPr="000E6FAE">
        <w:lastRenderedPageBreak/>
        <w:t>C’s son</w:t>
      </w:r>
      <w:r w:rsidR="00560C44" w:rsidRPr="000E6FAE">
        <w:t>’s rights</w:t>
      </w:r>
      <w:r w:rsidRPr="000E6FAE">
        <w:t xml:space="preserve"> </w:t>
      </w:r>
      <w:r w:rsidR="00CB0E44" w:rsidRPr="000E6FAE">
        <w:t>are</w:t>
      </w:r>
      <w:r w:rsidR="00CD062D" w:rsidRPr="000E6FAE">
        <w:t xml:space="preserve"> </w:t>
      </w:r>
      <w:r w:rsidR="00560C44" w:rsidRPr="000E6FAE">
        <w:t xml:space="preserve">similarly </w:t>
      </w:r>
      <w:r w:rsidR="00CD062D" w:rsidRPr="000E6FAE">
        <w:t>affected. Although human rights for prisoners are more limited, there are still minimum standards that need to be met to ensure a prisoner’s humane treatment when deprived of liberty.</w:t>
      </w:r>
      <w:r w:rsidR="00CD062D" w:rsidRPr="000E6FAE">
        <w:rPr>
          <w:rStyle w:val="FootnoteReference"/>
        </w:rPr>
        <w:footnoteReference w:id="17"/>
      </w:r>
      <w:r w:rsidR="00CD062D" w:rsidRPr="000E6FAE">
        <w:t xml:space="preserve">  This includes reasonable access to visits and communication with family, cultural rights, and support for mental health.  </w:t>
      </w:r>
    </w:p>
    <w:p w14:paraId="294D31DA" w14:textId="3051F80B" w:rsidR="00CD062D" w:rsidRPr="000E6FAE" w:rsidRDefault="00560C44">
      <w:pPr>
        <w:pStyle w:val="Numberedparagraph"/>
      </w:pPr>
      <w:r w:rsidRPr="000E6FAE">
        <w:t>T</w:t>
      </w:r>
      <w:r w:rsidR="00CD062D" w:rsidRPr="000E6FAE">
        <w:t xml:space="preserve">he </w:t>
      </w:r>
      <w:r w:rsidRPr="000E6FAE">
        <w:t xml:space="preserve">legislative </w:t>
      </w:r>
      <w:r w:rsidR="00CD062D" w:rsidRPr="000E6FAE">
        <w:t xml:space="preserve">criteria for granting access approval for prison visitors indicates the purpose </w:t>
      </w:r>
      <w:r w:rsidRPr="000E6FAE">
        <w:t xml:space="preserve">of </w:t>
      </w:r>
      <w:r w:rsidR="00CD062D" w:rsidRPr="000E6FAE">
        <w:t xml:space="preserve">the limitation of rights, that is, to preserve the security or good order of the corrective services facility. </w:t>
      </w:r>
    </w:p>
    <w:p w14:paraId="2963EB70" w14:textId="1D2DDC0B" w:rsidR="001E621B" w:rsidRPr="000E6FAE" w:rsidRDefault="000B1C49" w:rsidP="00A6318E">
      <w:pPr>
        <w:pStyle w:val="Heading2"/>
      </w:pPr>
      <w:r w:rsidRPr="000E6FAE">
        <w:t xml:space="preserve">Access approval </w:t>
      </w:r>
      <w:r w:rsidR="003F7F6D" w:rsidRPr="000E6FAE">
        <w:t xml:space="preserve">must </w:t>
      </w:r>
      <w:r w:rsidR="0072465A" w:rsidRPr="000E6FAE">
        <w:t xml:space="preserve">be given before it can be </w:t>
      </w:r>
      <w:r w:rsidR="00A25B34" w:rsidRPr="000E6FAE">
        <w:t>suspend</w:t>
      </w:r>
      <w:r w:rsidR="0072465A" w:rsidRPr="000E6FAE">
        <w:t>ed</w:t>
      </w:r>
    </w:p>
    <w:p w14:paraId="5A68F0A2" w14:textId="23185A21" w:rsidR="00B44B6E" w:rsidRPr="000E6FAE" w:rsidRDefault="00E375D7" w:rsidP="007F14ED">
      <w:pPr>
        <w:pStyle w:val="Numberedparagraph"/>
      </w:pPr>
      <w:r w:rsidRPr="000E6FAE">
        <w:t xml:space="preserve">QCS’s </w:t>
      </w:r>
      <w:r w:rsidR="00B44B6E" w:rsidRPr="000E6FAE">
        <w:t xml:space="preserve">decisions of both 17 May 2021 and 16 August 2021 both </w:t>
      </w:r>
      <w:r w:rsidR="00EE22DC" w:rsidRPr="000E6FAE">
        <w:t xml:space="preserve">purport </w:t>
      </w:r>
      <w:r w:rsidR="00B44B6E" w:rsidRPr="000E6FAE">
        <w:t>to be decisions under s</w:t>
      </w:r>
      <w:r w:rsidRPr="000E6FAE">
        <w:t>ection</w:t>
      </w:r>
      <w:r w:rsidR="00B44B6E" w:rsidRPr="000E6FAE">
        <w:t xml:space="preserve"> 157 </w:t>
      </w:r>
      <w:r w:rsidRPr="000E6FAE">
        <w:t xml:space="preserve">of the </w:t>
      </w:r>
      <w:r w:rsidR="00B44B6E" w:rsidRPr="000E6FAE">
        <w:t>CS</w:t>
      </w:r>
      <w:r w:rsidRPr="000E6FAE">
        <w:t xml:space="preserve"> </w:t>
      </w:r>
      <w:r w:rsidR="00B44B6E" w:rsidRPr="000E6FAE">
        <w:t>A</w:t>
      </w:r>
      <w:r w:rsidRPr="000E6FAE">
        <w:t>ct</w:t>
      </w:r>
      <w:r w:rsidR="00B44B6E" w:rsidRPr="000E6FAE">
        <w:t xml:space="preserve">, that is, decisions to ‘suspend’ C’s access approval. </w:t>
      </w:r>
    </w:p>
    <w:p w14:paraId="047ED3DC" w14:textId="3A410C30" w:rsidR="00B44B6E" w:rsidRPr="000E6FAE" w:rsidRDefault="00B44B6E">
      <w:pPr>
        <w:pStyle w:val="Numberedparagraph"/>
      </w:pPr>
      <w:r w:rsidRPr="000E6FAE">
        <w:t xml:space="preserve">However, there is no indication of access approval first being granted, in order to </w:t>
      </w:r>
      <w:r w:rsidR="00F04341" w:rsidRPr="000E6FAE">
        <w:t xml:space="preserve">then </w:t>
      </w:r>
      <w:r w:rsidRPr="000E6FAE">
        <w:t xml:space="preserve">be suspended. If such a decision was made, then it was not clearly communicated to the C. </w:t>
      </w:r>
    </w:p>
    <w:p w14:paraId="3A79B73D" w14:textId="65D6D7B0" w:rsidR="004949E9" w:rsidRDefault="00B44B6E">
      <w:pPr>
        <w:pStyle w:val="Numberedparagraph"/>
      </w:pPr>
      <w:r w:rsidRPr="000E6FAE">
        <w:t>Further, the decision of 16 August 2021 does not indicate the length of the suspension</w:t>
      </w:r>
      <w:r w:rsidR="004949E9">
        <w:t>. Section 157(2) of the CS Act provides:</w:t>
      </w:r>
    </w:p>
    <w:p w14:paraId="56B258C5" w14:textId="22F183E9" w:rsidR="00B44B6E" w:rsidRPr="007016FC" w:rsidRDefault="004949E9" w:rsidP="007016FC">
      <w:pPr>
        <w:pStyle w:val="Numberedparagraph"/>
        <w:numPr>
          <w:ilvl w:val="0"/>
          <w:numId w:val="0"/>
        </w:numPr>
        <w:ind w:left="720"/>
        <w:rPr>
          <w:sz w:val="20"/>
          <w:szCs w:val="20"/>
        </w:rPr>
      </w:pPr>
      <w:r w:rsidRPr="007016FC">
        <w:rPr>
          <w:sz w:val="20"/>
          <w:szCs w:val="20"/>
        </w:rPr>
        <w:t>The suspension may be –</w:t>
      </w:r>
    </w:p>
    <w:p w14:paraId="719A663B" w14:textId="2C23B1EA" w:rsidR="004949E9" w:rsidRPr="007016FC" w:rsidRDefault="004949E9" w:rsidP="007016FC">
      <w:pPr>
        <w:pStyle w:val="Numberedparagraph"/>
        <w:numPr>
          <w:ilvl w:val="0"/>
          <w:numId w:val="38"/>
        </w:numPr>
        <w:ind w:left="1233"/>
        <w:rPr>
          <w:sz w:val="20"/>
          <w:szCs w:val="20"/>
        </w:rPr>
      </w:pPr>
      <w:r w:rsidRPr="007016FC">
        <w:rPr>
          <w:sz w:val="20"/>
          <w:szCs w:val="20"/>
        </w:rPr>
        <w:t>If paragraph (b) does not apply – for a period of up to 1 year; or</w:t>
      </w:r>
    </w:p>
    <w:p w14:paraId="706D2590" w14:textId="5BAB6B22" w:rsidR="004949E9" w:rsidRPr="007016FC" w:rsidRDefault="004949E9" w:rsidP="007016FC">
      <w:pPr>
        <w:pStyle w:val="Numberedparagraph"/>
        <w:numPr>
          <w:ilvl w:val="0"/>
          <w:numId w:val="38"/>
        </w:numPr>
        <w:ind w:left="1233"/>
        <w:rPr>
          <w:sz w:val="20"/>
          <w:szCs w:val="20"/>
        </w:rPr>
      </w:pPr>
      <w:r w:rsidRPr="007016FC">
        <w:rPr>
          <w:sz w:val="20"/>
          <w:szCs w:val="20"/>
        </w:rPr>
        <w:t>If the visitor is charged with an offence allegedly committed in a corrective services facility – until the end of the proceedings for the offence.</w:t>
      </w:r>
    </w:p>
    <w:p w14:paraId="2C45F82A" w14:textId="055AA0AC" w:rsidR="00B44B6E" w:rsidRPr="000E6FAE" w:rsidRDefault="00B44B6E" w:rsidP="007F14ED">
      <w:pPr>
        <w:pStyle w:val="Numberedparagraph"/>
      </w:pPr>
      <w:r w:rsidRPr="000E6FAE">
        <w:t>An unlawful decision cannot be justified and is not compatible with human rights. An indefinite suspension of visitation rights is not provided for under the CS</w:t>
      </w:r>
      <w:r w:rsidR="008B189F" w:rsidRPr="000E6FAE">
        <w:t xml:space="preserve"> </w:t>
      </w:r>
      <w:r w:rsidRPr="000E6FAE">
        <w:t>A</w:t>
      </w:r>
      <w:r w:rsidR="008B189F" w:rsidRPr="000E6FAE">
        <w:t>ct</w:t>
      </w:r>
      <w:r w:rsidRPr="000E6FAE">
        <w:t xml:space="preserve">. </w:t>
      </w:r>
    </w:p>
    <w:p w14:paraId="08DF8548" w14:textId="0208E005" w:rsidR="009B40A7" w:rsidRDefault="00B44B6E" w:rsidP="007F14ED">
      <w:pPr>
        <w:pStyle w:val="recommendation"/>
      </w:pPr>
      <w:bookmarkStart w:id="4" w:name="_Hlk110951703"/>
      <w:r w:rsidRPr="007F14ED">
        <w:rPr>
          <w:rStyle w:val="Heading3Char"/>
        </w:rPr>
        <w:t>Recommendation</w:t>
      </w:r>
      <w:r w:rsidR="007E2071" w:rsidRPr="007F14ED">
        <w:rPr>
          <w:rStyle w:val="Heading3Char"/>
        </w:rPr>
        <w:t xml:space="preserve"> 1</w:t>
      </w:r>
      <w:r w:rsidRPr="007F14ED">
        <w:rPr>
          <w:rStyle w:val="Heading3Char"/>
        </w:rPr>
        <w:t>:</w:t>
      </w:r>
      <w:r w:rsidRPr="000E6FAE">
        <w:t xml:space="preserve"> </w:t>
      </w:r>
      <w:bookmarkStart w:id="5" w:name="_Hlk114227642"/>
      <w:r w:rsidRPr="000E6FAE">
        <w:t>A decision under s</w:t>
      </w:r>
      <w:r w:rsidR="00F04341" w:rsidRPr="000E6FAE">
        <w:t>ection</w:t>
      </w:r>
      <w:r w:rsidRPr="000E6FAE">
        <w:t xml:space="preserve"> 157</w:t>
      </w:r>
      <w:r w:rsidR="00AA3BE0" w:rsidRPr="000E6FAE">
        <w:t xml:space="preserve"> of the CS Act</w:t>
      </w:r>
      <w:r w:rsidRPr="000E6FAE">
        <w:t xml:space="preserve"> to suspend access approval must be preceded by a </w:t>
      </w:r>
      <w:r w:rsidRPr="007F14ED">
        <w:t>decision</w:t>
      </w:r>
      <w:r w:rsidRPr="000E6FAE">
        <w:t xml:space="preserve"> to grant access approval</w:t>
      </w:r>
      <w:r w:rsidR="00AA3BE0" w:rsidRPr="000E6FAE">
        <w:t>.</w:t>
      </w:r>
      <w:r w:rsidR="00F04341" w:rsidRPr="000E6FAE">
        <w:t xml:space="preserve"> A suspension decision must specify a timeframe for the suspension</w:t>
      </w:r>
      <w:r w:rsidR="00300E93">
        <w:t xml:space="preserve"> which,</w:t>
      </w:r>
      <w:r w:rsidR="00726CC3" w:rsidRPr="000E6FAE">
        <w:t xml:space="preserve"> in accordance with section 157(2) of the CS Act</w:t>
      </w:r>
      <w:r w:rsidR="00300E93">
        <w:t>, cannot usually exceed 12 months</w:t>
      </w:r>
      <w:r w:rsidR="00726CC3" w:rsidRPr="000E6FAE">
        <w:t xml:space="preserve">. </w:t>
      </w:r>
      <w:r w:rsidR="00F04341" w:rsidRPr="000E6FAE">
        <w:t xml:space="preserve"> </w:t>
      </w:r>
      <w:bookmarkEnd w:id="5"/>
    </w:p>
    <w:p w14:paraId="42C7A2FA" w14:textId="77777777" w:rsidR="009B40A7" w:rsidRDefault="007E2071">
      <w:pPr>
        <w:pStyle w:val="Heading3-response"/>
      </w:pPr>
      <w:r w:rsidRPr="00550C68">
        <w:t>QCS response:</w:t>
      </w:r>
      <w:r w:rsidR="004949E9">
        <w:t xml:space="preserve"> </w:t>
      </w:r>
    </w:p>
    <w:p w14:paraId="2D7CBCBC" w14:textId="280E2C56" w:rsidR="007E2071" w:rsidRDefault="004949E9" w:rsidP="007F14ED">
      <w:pPr>
        <w:pStyle w:val="response"/>
      </w:pPr>
      <w:r>
        <w:t>QCS agrees that a decision to suspe</w:t>
      </w:r>
      <w:r w:rsidR="004263BB">
        <w:t>nd</w:t>
      </w:r>
      <w:r>
        <w:t xml:space="preserve"> access approval under section 157 of the CS Act must be preceded by a decision to grant access approval. QCS does not consider that a suspension must specify the timeframe, as the requirement under section 157(2) </w:t>
      </w:r>
      <w:r w:rsidR="001A63E0">
        <w:t>is</w:t>
      </w:r>
      <w:r>
        <w:t xml:space="preserve"> that the suspension </w:t>
      </w:r>
      <w:r w:rsidR="004263BB">
        <w:t xml:space="preserve">‘may’ be for a period of time. QCS acknowledges that practically, as a matter of course, an applicant would be provided with this time limit in the event a suspension decision is made. </w:t>
      </w:r>
    </w:p>
    <w:p w14:paraId="1131A3B9" w14:textId="28087661" w:rsidR="006C2AFE" w:rsidRDefault="006C2AFE">
      <w:pPr>
        <w:pStyle w:val="response"/>
      </w:pPr>
      <w:r>
        <w:lastRenderedPageBreak/>
        <w:t xml:space="preserve">QCS notes that an interim decision for access approval under section 156A of the CS Act can only apply where a decision has not yet been made under section 156 of the CS Act for access approval. </w:t>
      </w:r>
    </w:p>
    <w:p w14:paraId="4F5F2583" w14:textId="05B98433" w:rsidR="006C2AFE" w:rsidRDefault="0034442F">
      <w:pPr>
        <w:pStyle w:val="response"/>
      </w:pPr>
      <w:r>
        <w:t>In relation to the decision made on 17 May 2021, QCS says:</w:t>
      </w:r>
    </w:p>
    <w:p w14:paraId="2626F3C0" w14:textId="7B1627A6" w:rsidR="0034442F" w:rsidRPr="0004211F" w:rsidRDefault="007D7931" w:rsidP="007D7931">
      <w:pPr>
        <w:pStyle w:val="response"/>
        <w:spacing w:after="0"/>
        <w:ind w:left="1004" w:right="720" w:hanging="720"/>
        <w:rPr>
          <w:sz w:val="20"/>
          <w:szCs w:val="20"/>
        </w:rPr>
      </w:pPr>
      <w:r>
        <w:rPr>
          <w:sz w:val="20"/>
          <w:szCs w:val="20"/>
        </w:rPr>
        <w:t xml:space="preserve">     </w:t>
      </w:r>
      <w:r w:rsidR="00A87D7F">
        <w:rPr>
          <w:sz w:val="20"/>
          <w:szCs w:val="20"/>
        </w:rPr>
        <w:t>a.</w:t>
      </w:r>
      <w:r w:rsidR="00A87D7F">
        <w:rPr>
          <w:sz w:val="20"/>
          <w:szCs w:val="20"/>
        </w:rPr>
        <w:tab/>
      </w:r>
      <w:r w:rsidR="00300E93" w:rsidRPr="0004211F">
        <w:rPr>
          <w:sz w:val="20"/>
          <w:szCs w:val="20"/>
        </w:rPr>
        <w:t>i</w:t>
      </w:r>
      <w:r w:rsidR="0034442F" w:rsidRPr="0004211F">
        <w:rPr>
          <w:sz w:val="20"/>
          <w:szCs w:val="20"/>
        </w:rPr>
        <w:t xml:space="preserve">t was the intention of the delegate of the chief executive to have suspended, pursuant to section 157 of the CS Act, the interim access approval which the delegate had the power to grant to C under section 156A; </w:t>
      </w:r>
    </w:p>
    <w:p w14:paraId="24255AD4" w14:textId="31A91CF0" w:rsidR="0034442F" w:rsidRPr="0004211F" w:rsidRDefault="007D7931" w:rsidP="00A87D7F">
      <w:pPr>
        <w:pStyle w:val="response"/>
        <w:spacing w:after="0"/>
        <w:ind w:left="1004" w:right="720" w:hanging="720"/>
        <w:rPr>
          <w:sz w:val="20"/>
          <w:szCs w:val="20"/>
        </w:rPr>
      </w:pPr>
      <w:r>
        <w:rPr>
          <w:sz w:val="20"/>
          <w:szCs w:val="20"/>
        </w:rPr>
        <w:t xml:space="preserve">     b. </w:t>
      </w:r>
      <w:r>
        <w:rPr>
          <w:sz w:val="20"/>
          <w:szCs w:val="20"/>
        </w:rPr>
        <w:tab/>
      </w:r>
      <w:r w:rsidR="00300E93" w:rsidRPr="0004211F">
        <w:rPr>
          <w:sz w:val="20"/>
          <w:szCs w:val="20"/>
        </w:rPr>
        <w:t>i</w:t>
      </w:r>
      <w:r w:rsidR="0034442F" w:rsidRPr="0004211F">
        <w:rPr>
          <w:sz w:val="20"/>
          <w:szCs w:val="20"/>
        </w:rPr>
        <w:t xml:space="preserve">t is acknowledged that this was not clearly communicated to C; </w:t>
      </w:r>
    </w:p>
    <w:p w14:paraId="6826AAF9" w14:textId="3F4564D3" w:rsidR="0034442F" w:rsidRPr="0004211F" w:rsidRDefault="007D7931" w:rsidP="00A87D7F">
      <w:pPr>
        <w:pStyle w:val="response"/>
        <w:ind w:left="1004" w:right="720" w:hanging="720"/>
        <w:rPr>
          <w:sz w:val="20"/>
          <w:szCs w:val="20"/>
        </w:rPr>
      </w:pPr>
      <w:r>
        <w:rPr>
          <w:sz w:val="20"/>
          <w:szCs w:val="20"/>
        </w:rPr>
        <w:t xml:space="preserve">     c.</w:t>
      </w:r>
      <w:r>
        <w:rPr>
          <w:sz w:val="20"/>
          <w:szCs w:val="20"/>
        </w:rPr>
        <w:tab/>
      </w:r>
      <w:r w:rsidR="00300E93" w:rsidRPr="0004211F">
        <w:rPr>
          <w:sz w:val="20"/>
          <w:szCs w:val="20"/>
        </w:rPr>
        <w:t>i</w:t>
      </w:r>
      <w:r w:rsidR="0034442F" w:rsidRPr="0004211F">
        <w:rPr>
          <w:sz w:val="20"/>
          <w:szCs w:val="20"/>
        </w:rPr>
        <w:t>t is acknowledged that the decision as communicated to C referenced the incorrect provision of the CS Act.</w:t>
      </w:r>
    </w:p>
    <w:p w14:paraId="30A91CAE" w14:textId="70286D14" w:rsidR="0034442F" w:rsidRDefault="0034442F">
      <w:pPr>
        <w:pStyle w:val="response"/>
      </w:pPr>
      <w:r>
        <w:t>In relation to the decision made on 16 August 2021</w:t>
      </w:r>
      <w:r w:rsidR="0004211F">
        <w:t>, QCS says</w:t>
      </w:r>
      <w:r>
        <w:t>:</w:t>
      </w:r>
    </w:p>
    <w:p w14:paraId="52B27093" w14:textId="62A91AFC" w:rsidR="0034442F" w:rsidRPr="0004211F" w:rsidRDefault="007D7931" w:rsidP="007D7931">
      <w:pPr>
        <w:pStyle w:val="response"/>
        <w:spacing w:after="0"/>
        <w:ind w:left="1004" w:right="720" w:hanging="720"/>
        <w:rPr>
          <w:sz w:val="20"/>
          <w:szCs w:val="20"/>
        </w:rPr>
      </w:pPr>
      <w:r>
        <w:rPr>
          <w:sz w:val="20"/>
          <w:szCs w:val="20"/>
        </w:rPr>
        <w:t xml:space="preserve">     a.</w:t>
      </w:r>
      <w:r>
        <w:rPr>
          <w:sz w:val="20"/>
          <w:szCs w:val="20"/>
        </w:rPr>
        <w:tab/>
      </w:r>
      <w:r w:rsidR="00300E93" w:rsidRPr="0004211F">
        <w:rPr>
          <w:sz w:val="20"/>
          <w:szCs w:val="20"/>
        </w:rPr>
        <w:t>i</w:t>
      </w:r>
      <w:r w:rsidR="0034442F" w:rsidRPr="0004211F">
        <w:rPr>
          <w:sz w:val="20"/>
          <w:szCs w:val="20"/>
        </w:rPr>
        <w:t xml:space="preserve">t was the intention of the delegate of the chief executive to have refused C access to Woodford Correctional Centre pursuant </w:t>
      </w:r>
      <w:r w:rsidR="00DE6D6A" w:rsidRPr="0004211F">
        <w:rPr>
          <w:sz w:val="20"/>
          <w:szCs w:val="20"/>
        </w:rPr>
        <w:t>to</w:t>
      </w:r>
      <w:r w:rsidR="0034442F" w:rsidRPr="0004211F">
        <w:rPr>
          <w:sz w:val="20"/>
          <w:szCs w:val="20"/>
        </w:rPr>
        <w:t xml:space="preserve"> section 156(1) </w:t>
      </w:r>
      <w:r w:rsidR="00300E93" w:rsidRPr="0004211F">
        <w:rPr>
          <w:sz w:val="20"/>
          <w:szCs w:val="20"/>
        </w:rPr>
        <w:t xml:space="preserve">of </w:t>
      </w:r>
      <w:r w:rsidR="0034442F" w:rsidRPr="0004211F">
        <w:rPr>
          <w:sz w:val="20"/>
          <w:szCs w:val="20"/>
        </w:rPr>
        <w:t>the CS Act;</w:t>
      </w:r>
    </w:p>
    <w:p w14:paraId="2F9D6BD3" w14:textId="08504657" w:rsidR="0034442F" w:rsidRPr="0004211F" w:rsidRDefault="007D7931" w:rsidP="007D7931">
      <w:pPr>
        <w:pStyle w:val="response"/>
        <w:spacing w:after="0"/>
        <w:ind w:left="1004" w:right="720" w:hanging="720"/>
        <w:rPr>
          <w:sz w:val="20"/>
          <w:szCs w:val="20"/>
        </w:rPr>
      </w:pPr>
      <w:r>
        <w:rPr>
          <w:sz w:val="20"/>
          <w:szCs w:val="20"/>
        </w:rPr>
        <w:t xml:space="preserve">     b.</w:t>
      </w:r>
      <w:r>
        <w:rPr>
          <w:sz w:val="20"/>
          <w:szCs w:val="20"/>
        </w:rPr>
        <w:tab/>
      </w:r>
      <w:r w:rsidR="00300E93" w:rsidRPr="0004211F">
        <w:rPr>
          <w:sz w:val="20"/>
          <w:szCs w:val="20"/>
        </w:rPr>
        <w:t>i</w:t>
      </w:r>
      <w:r w:rsidR="0034442F" w:rsidRPr="0004211F">
        <w:rPr>
          <w:sz w:val="20"/>
          <w:szCs w:val="20"/>
        </w:rPr>
        <w:t>t is acknowledged that this was not clearly communicated to C; and</w:t>
      </w:r>
    </w:p>
    <w:p w14:paraId="7D688E5E" w14:textId="2FBB7433" w:rsidR="0034442F" w:rsidRPr="0004211F" w:rsidRDefault="007D7931" w:rsidP="007D7931">
      <w:pPr>
        <w:pStyle w:val="response"/>
        <w:ind w:left="1004" w:right="720" w:hanging="720"/>
        <w:rPr>
          <w:sz w:val="20"/>
          <w:szCs w:val="20"/>
        </w:rPr>
      </w:pPr>
      <w:r>
        <w:rPr>
          <w:sz w:val="20"/>
          <w:szCs w:val="20"/>
        </w:rPr>
        <w:t xml:space="preserve">     c.</w:t>
      </w:r>
      <w:r>
        <w:rPr>
          <w:sz w:val="20"/>
          <w:szCs w:val="20"/>
        </w:rPr>
        <w:tab/>
      </w:r>
      <w:r w:rsidR="00300E93" w:rsidRPr="0004211F">
        <w:rPr>
          <w:sz w:val="20"/>
          <w:szCs w:val="20"/>
        </w:rPr>
        <w:t>i</w:t>
      </w:r>
      <w:r w:rsidR="0034442F" w:rsidRPr="0004211F">
        <w:rPr>
          <w:sz w:val="20"/>
          <w:szCs w:val="20"/>
        </w:rPr>
        <w:t xml:space="preserve">t is acknowledged that the decision as communicated to C referenced the incorrect provision of the CS Act. </w:t>
      </w:r>
    </w:p>
    <w:p w14:paraId="64B5DE6D" w14:textId="2864FD20" w:rsidR="0034442F" w:rsidRDefault="0034442F">
      <w:pPr>
        <w:pStyle w:val="response"/>
      </w:pPr>
      <w:r>
        <w:t>QCS acknowledges and agrees with the statement at paragraph 39 of this report.</w:t>
      </w:r>
    </w:p>
    <w:p w14:paraId="454F7942" w14:textId="77777777" w:rsidR="009B40A7" w:rsidRPr="00550C68" w:rsidRDefault="009B40A7" w:rsidP="009B40A7"/>
    <w:bookmarkEnd w:id="4"/>
    <w:p w14:paraId="73E0B6B0" w14:textId="6187C6C3" w:rsidR="00B44B6E" w:rsidRPr="000E6FAE" w:rsidRDefault="00394C81" w:rsidP="00A6318E">
      <w:pPr>
        <w:pStyle w:val="Heading2"/>
      </w:pPr>
      <w:r w:rsidRPr="000E6FAE">
        <w:t>Request for reconsideration should be properly dealt with</w:t>
      </w:r>
    </w:p>
    <w:p w14:paraId="7D4A52CA" w14:textId="75E91011" w:rsidR="00B44B6E" w:rsidRPr="000E6FAE" w:rsidRDefault="00B44B6E" w:rsidP="007F14ED">
      <w:pPr>
        <w:pStyle w:val="Numberedparagraph"/>
      </w:pPr>
      <w:r w:rsidRPr="000E6FAE">
        <w:t xml:space="preserve">C sought a review of the decision dated 17 May 2021, which was ‘finalised’ when C’s son was transferred to WCC. </w:t>
      </w:r>
      <w:r w:rsidR="00726CC3" w:rsidRPr="000E6FAE">
        <w:t xml:space="preserve">AGCC also indicated that the incident of 12 May 2022 had been referred to the CSIU for investigation but the outcome of that investigation was never communicated to the C. </w:t>
      </w:r>
    </w:p>
    <w:p w14:paraId="505CF211" w14:textId="44CC8EE6" w:rsidR="00B44B6E" w:rsidRPr="000E6FAE" w:rsidRDefault="00B44B6E">
      <w:pPr>
        <w:pStyle w:val="Numberedparagraph"/>
      </w:pPr>
      <w:r w:rsidRPr="000E6FAE">
        <w:t>The C was entitled to reconsideration of the suspension decision</w:t>
      </w:r>
      <w:r w:rsidR="008557B0" w:rsidRPr="000E6FAE">
        <w:rPr>
          <w:rStyle w:val="FootnoteReference"/>
        </w:rPr>
        <w:footnoteReference w:id="18"/>
      </w:r>
      <w:r w:rsidR="00726CC3" w:rsidRPr="000E6FAE">
        <w:t xml:space="preserve"> and to procedural fairness in relation to any adverse findings as a result of the CSIU investigation. </w:t>
      </w:r>
      <w:r w:rsidRPr="000E6FAE">
        <w:t xml:space="preserve"> Had that </w:t>
      </w:r>
      <w:r w:rsidR="00726CC3" w:rsidRPr="000E6FAE">
        <w:t>occurred</w:t>
      </w:r>
      <w:r w:rsidRPr="000E6FAE">
        <w:t xml:space="preserve">: </w:t>
      </w:r>
    </w:p>
    <w:p w14:paraId="7E031FE8" w14:textId="7B317177" w:rsidR="00B44B6E" w:rsidRPr="000E6FAE" w:rsidRDefault="00B44B6E" w:rsidP="007F14ED">
      <w:pPr>
        <w:pStyle w:val="Numberedparagraph"/>
        <w:numPr>
          <w:ilvl w:val="1"/>
          <w:numId w:val="13"/>
        </w:numPr>
      </w:pPr>
      <w:r w:rsidRPr="000E6FAE">
        <w:t xml:space="preserve">Any error in suspending </w:t>
      </w:r>
      <w:r w:rsidR="00F7253E" w:rsidRPr="000E6FAE">
        <w:t xml:space="preserve">access approval </w:t>
      </w:r>
      <w:r w:rsidRPr="000E6FAE">
        <w:t xml:space="preserve">without a grant of access approval </w:t>
      </w:r>
      <w:r w:rsidR="00F7253E" w:rsidRPr="000E6FAE">
        <w:t xml:space="preserve">first being made </w:t>
      </w:r>
      <w:r w:rsidRPr="000E6FAE">
        <w:t xml:space="preserve">might have been identified; </w:t>
      </w:r>
    </w:p>
    <w:p w14:paraId="71B1542C" w14:textId="77777777" w:rsidR="00B44B6E" w:rsidRPr="000E6FAE" w:rsidRDefault="00B44B6E">
      <w:pPr>
        <w:pStyle w:val="Numberedparagraph"/>
        <w:numPr>
          <w:ilvl w:val="1"/>
          <w:numId w:val="13"/>
        </w:numPr>
      </w:pPr>
      <w:r w:rsidRPr="000E6FAE">
        <w:t xml:space="preserve">The distress caused by the confusion of whether C had to make a further access application might have been avoided; </w:t>
      </w:r>
    </w:p>
    <w:p w14:paraId="352C4D52" w14:textId="3C549070" w:rsidR="00B44B6E" w:rsidRPr="000E6FAE" w:rsidRDefault="00B44B6E">
      <w:pPr>
        <w:pStyle w:val="Numberedparagraph"/>
        <w:numPr>
          <w:ilvl w:val="1"/>
          <w:numId w:val="13"/>
        </w:numPr>
      </w:pPr>
      <w:r w:rsidRPr="000E6FAE">
        <w:t>The C’s concerns that he had been misunderstood regarding the alleged incident at AG</w:t>
      </w:r>
      <w:r w:rsidR="00AB6C31" w:rsidRPr="000E6FAE">
        <w:t>C</w:t>
      </w:r>
      <w:r w:rsidRPr="000E6FAE">
        <w:t>C on 12 May 2021 would have been</w:t>
      </w:r>
      <w:r w:rsidR="00F7253E" w:rsidRPr="000E6FAE">
        <w:t xml:space="preserve"> properly considered</w:t>
      </w:r>
      <w:r w:rsidR="00EB0A49" w:rsidRPr="000E6FAE">
        <w:t>.</w:t>
      </w:r>
    </w:p>
    <w:p w14:paraId="149BCF5D" w14:textId="1EA5B432" w:rsidR="00B44B6E" w:rsidRPr="000E6FAE" w:rsidRDefault="00B44B6E" w:rsidP="007F14ED">
      <w:pPr>
        <w:pStyle w:val="Numberedparagraph"/>
      </w:pPr>
      <w:r w:rsidRPr="000E6FAE">
        <w:t xml:space="preserve">The decision letter of 16 August 2021 also does not refer to C’s rights of review under s 157.  </w:t>
      </w:r>
      <w:r w:rsidR="00BE5DFB">
        <w:t>The decision letter dated 17 May 2021 contains a reference t</w:t>
      </w:r>
      <w:r w:rsidR="00DC4527">
        <w:t>o</w:t>
      </w:r>
      <w:r w:rsidR="00BE5DFB">
        <w:t xml:space="preserve"> the visitor’s rights to review the decision made in that instance. </w:t>
      </w:r>
    </w:p>
    <w:p w14:paraId="10B6C7A7" w14:textId="77777777" w:rsidR="00B44B6E" w:rsidRPr="000E6FAE" w:rsidRDefault="00B44B6E">
      <w:pPr>
        <w:pStyle w:val="Numberedparagraph"/>
      </w:pPr>
      <w:r w:rsidRPr="000E6FAE">
        <w:lastRenderedPageBreak/>
        <w:t xml:space="preserve">Meaningful and accessible review rights form an important consideration as to whether a decision that limits human rights is least restrictive and therefore justified.   </w:t>
      </w:r>
    </w:p>
    <w:p w14:paraId="5251CBBF" w14:textId="0EC197BE" w:rsidR="00AB6C31" w:rsidRDefault="00B44B6E" w:rsidP="007F14ED">
      <w:pPr>
        <w:pStyle w:val="recommendation"/>
      </w:pPr>
      <w:bookmarkStart w:id="6" w:name="_Hlk110951711"/>
      <w:r w:rsidRPr="007F14ED">
        <w:rPr>
          <w:rStyle w:val="Heading3Char"/>
        </w:rPr>
        <w:t>Recommendation</w:t>
      </w:r>
      <w:r w:rsidR="003778E2" w:rsidRPr="007F14ED">
        <w:rPr>
          <w:rStyle w:val="Heading3Char"/>
        </w:rPr>
        <w:t xml:space="preserve"> 2</w:t>
      </w:r>
      <w:r w:rsidRPr="007F14ED">
        <w:rPr>
          <w:rStyle w:val="Heading3Char"/>
        </w:rPr>
        <w:t>:</w:t>
      </w:r>
      <w:r w:rsidRPr="000E6FAE">
        <w:t xml:space="preserve"> </w:t>
      </w:r>
      <w:bookmarkStart w:id="7" w:name="_Hlk114227652"/>
      <w:r w:rsidRPr="000E6FAE">
        <w:t>A request for reconsideration of a suspension decision</w:t>
      </w:r>
      <w:r w:rsidR="00602961" w:rsidRPr="000E6FAE">
        <w:t xml:space="preserve"> </w:t>
      </w:r>
      <w:r w:rsidR="00CB4066" w:rsidRPr="000E6FAE">
        <w:t xml:space="preserve">should </w:t>
      </w:r>
      <w:r w:rsidRPr="000E6FAE">
        <w:t>be</w:t>
      </w:r>
      <w:r w:rsidR="005A5073" w:rsidRPr="000E6FAE">
        <w:t xml:space="preserve"> properly investigated</w:t>
      </w:r>
      <w:r w:rsidRPr="000E6FAE">
        <w:t xml:space="preserve"> and the decision confirmed, amended or cancelled as </w:t>
      </w:r>
      <w:r w:rsidR="00CB4066" w:rsidRPr="000E6FAE">
        <w:t xml:space="preserve">provided for </w:t>
      </w:r>
      <w:r w:rsidRPr="000E6FAE">
        <w:t>under the CS</w:t>
      </w:r>
      <w:r w:rsidR="00602961" w:rsidRPr="000E6FAE">
        <w:t xml:space="preserve"> </w:t>
      </w:r>
      <w:r w:rsidRPr="000E6FAE">
        <w:t>A</w:t>
      </w:r>
      <w:r w:rsidR="00602961" w:rsidRPr="000E6FAE">
        <w:t>ct</w:t>
      </w:r>
      <w:r w:rsidRPr="000E6FAE">
        <w:t xml:space="preserve">. Further, </w:t>
      </w:r>
      <w:r w:rsidR="00AB6C31" w:rsidRPr="000E6FAE">
        <w:t xml:space="preserve">the </w:t>
      </w:r>
      <w:r w:rsidR="00CF5746">
        <w:t xml:space="preserve">applicant </w:t>
      </w:r>
      <w:r w:rsidRPr="000E6FAE">
        <w:t>should be advised of their rights of review and how to access them.</w:t>
      </w:r>
      <w:bookmarkEnd w:id="7"/>
    </w:p>
    <w:p w14:paraId="4F6127EC" w14:textId="77777777" w:rsidR="00177DE2" w:rsidRPr="007F14ED" w:rsidRDefault="00BE5DFB">
      <w:pPr>
        <w:pStyle w:val="Heading3-response"/>
      </w:pPr>
      <w:r w:rsidRPr="007F14ED">
        <w:t xml:space="preserve">QCS response: </w:t>
      </w:r>
    </w:p>
    <w:p w14:paraId="4CE063CB" w14:textId="1FCB2542" w:rsidR="00BE5DFB" w:rsidRDefault="00BE5DFB" w:rsidP="007F14ED">
      <w:pPr>
        <w:pStyle w:val="response"/>
        <w:rPr>
          <w:b/>
          <w:bCs/>
        </w:rPr>
      </w:pPr>
      <w:r w:rsidRPr="00550C68">
        <w:t>QCS acknowledges</w:t>
      </w:r>
      <w:r>
        <w:rPr>
          <w:b/>
          <w:bCs/>
        </w:rPr>
        <w:t xml:space="preserve"> </w:t>
      </w:r>
      <w:r w:rsidRPr="00550C68">
        <w:t>and agrees with this recommendation and</w:t>
      </w:r>
      <w:r w:rsidR="00DC4527">
        <w:t xml:space="preserve"> says it</w:t>
      </w:r>
      <w:r w:rsidRPr="00550C68">
        <w:t xml:space="preserve"> has already</w:t>
      </w:r>
      <w:r>
        <w:t xml:space="preserve"> </w:t>
      </w:r>
      <w:r w:rsidRPr="00550C68">
        <w:t>addressed this in its current policies and procedures.</w:t>
      </w:r>
      <w:r>
        <w:rPr>
          <w:b/>
          <w:bCs/>
        </w:rPr>
        <w:t xml:space="preserve"> </w:t>
      </w:r>
    </w:p>
    <w:p w14:paraId="412191FF" w14:textId="1243CA1A" w:rsidR="00BE5DFB" w:rsidRPr="00550C68" w:rsidRDefault="00BE5DFB">
      <w:pPr>
        <w:pStyle w:val="response"/>
      </w:pPr>
      <w:r>
        <w:t xml:space="preserve">QCS advises that there is a letter for use by delegates which sets out an applicant’s rights of review in such decisions and how to access them. This is to be used as a guide and is not intended to take the place of proper investigation and decision making. </w:t>
      </w:r>
    </w:p>
    <w:p w14:paraId="694D846B" w14:textId="027C9B08" w:rsidR="00BE5DFB" w:rsidRDefault="00BE5DFB">
      <w:pPr>
        <w:pStyle w:val="response"/>
      </w:pPr>
      <w:r>
        <w:t xml:space="preserve">QCS acknowledges and agrees with the report’s statement </w:t>
      </w:r>
      <w:r w:rsidRPr="00550C68">
        <w:t>at paragraph 43.</w:t>
      </w:r>
      <w:r>
        <w:t xml:space="preserve"> </w:t>
      </w:r>
    </w:p>
    <w:p w14:paraId="01543862" w14:textId="77777777" w:rsidR="00177DE2" w:rsidRPr="00BE5DFB" w:rsidRDefault="00177DE2" w:rsidP="007F14ED"/>
    <w:bookmarkEnd w:id="6"/>
    <w:p w14:paraId="1D89BFD8" w14:textId="53DDF9A0" w:rsidR="00AB6C31" w:rsidRPr="000E6FAE" w:rsidRDefault="00400D03" w:rsidP="00A6318E">
      <w:pPr>
        <w:pStyle w:val="Heading2"/>
      </w:pPr>
      <w:r w:rsidRPr="000E6FAE">
        <w:t>Mitigate against undue delay and distress caused by criminal histor</w:t>
      </w:r>
      <w:r w:rsidR="00E43BC8" w:rsidRPr="000E6FAE">
        <w:t>y checks</w:t>
      </w:r>
    </w:p>
    <w:p w14:paraId="45CA252E" w14:textId="102B7583" w:rsidR="00AB6C31" w:rsidRPr="000E6FAE" w:rsidRDefault="00AB6C31" w:rsidP="007F14ED">
      <w:pPr>
        <w:pStyle w:val="Numberedparagraph"/>
      </w:pPr>
      <w:r w:rsidRPr="000E6FAE">
        <w:rPr>
          <w:lang w:val="en-US"/>
        </w:rPr>
        <w:t xml:space="preserve">C alleges that he experienced unnecessary delay in receiving a decision regarding his access approval application because of the need to obtain a criminal history. </w:t>
      </w:r>
      <w:r w:rsidR="00094CFE" w:rsidRPr="000E6FAE">
        <w:rPr>
          <w:lang w:val="en-US"/>
        </w:rPr>
        <w:t>He felt the process was additionally delayed</w:t>
      </w:r>
      <w:r w:rsidR="00E94FDA" w:rsidRPr="000E6FAE">
        <w:rPr>
          <w:lang w:val="en-US"/>
        </w:rPr>
        <w:t xml:space="preserve"> because of the requirement to make a second application for access approval </w:t>
      </w:r>
      <w:r w:rsidR="008F0D1B" w:rsidRPr="000E6FAE">
        <w:rPr>
          <w:lang w:val="en-US"/>
        </w:rPr>
        <w:t xml:space="preserve">when his son was transferred, </w:t>
      </w:r>
      <w:r w:rsidR="00E94FDA" w:rsidRPr="000E6FAE">
        <w:rPr>
          <w:lang w:val="en-US"/>
        </w:rPr>
        <w:t xml:space="preserve">and his understanding that this would again </w:t>
      </w:r>
      <w:r w:rsidR="008C4AC1" w:rsidRPr="000E6FAE">
        <w:rPr>
          <w:lang w:val="en-US"/>
        </w:rPr>
        <w:t>re</w:t>
      </w:r>
      <w:r w:rsidR="00E94FDA" w:rsidRPr="000E6FAE">
        <w:rPr>
          <w:lang w:val="en-US"/>
        </w:rPr>
        <w:t xml:space="preserve">start the process </w:t>
      </w:r>
      <w:r w:rsidR="008C4AC1" w:rsidRPr="000E6FAE">
        <w:rPr>
          <w:lang w:val="en-US"/>
        </w:rPr>
        <w:t xml:space="preserve">of obtaining a </w:t>
      </w:r>
      <w:r w:rsidR="00E94FDA" w:rsidRPr="000E6FAE">
        <w:rPr>
          <w:lang w:val="en-US"/>
        </w:rPr>
        <w:t>criminal history.</w:t>
      </w:r>
      <w:r w:rsidR="00094CFE" w:rsidRPr="000E6FAE">
        <w:rPr>
          <w:lang w:val="en-US"/>
        </w:rPr>
        <w:t xml:space="preserve"> </w:t>
      </w:r>
      <w:r w:rsidR="00ED5EB6" w:rsidRPr="000E6FAE">
        <w:rPr>
          <w:lang w:val="en-US"/>
        </w:rPr>
        <w:t>Unreasonable or unnecessary delay will amount to a</w:t>
      </w:r>
      <w:r w:rsidR="008D3D89" w:rsidRPr="000E6FAE">
        <w:rPr>
          <w:lang w:val="en-US"/>
        </w:rPr>
        <w:t>n</w:t>
      </w:r>
      <w:r w:rsidR="00ED5EB6" w:rsidRPr="000E6FAE">
        <w:rPr>
          <w:lang w:val="en-US"/>
        </w:rPr>
        <w:t xml:space="preserve"> unjustified limitation of rights. </w:t>
      </w:r>
    </w:p>
    <w:p w14:paraId="10349A5B" w14:textId="549F6486" w:rsidR="00ED5EB6" w:rsidRPr="000E6FAE" w:rsidRDefault="00AB6C31">
      <w:pPr>
        <w:pStyle w:val="Numberedparagraph"/>
        <w:rPr>
          <w:lang w:val="en-US"/>
        </w:rPr>
      </w:pPr>
      <w:r w:rsidRPr="000E6FAE">
        <w:rPr>
          <w:lang w:val="en-US"/>
        </w:rPr>
        <w:t xml:space="preserve">The Commission acknowledges that criminal histories will generally be </w:t>
      </w:r>
      <w:r w:rsidR="00B64A7B" w:rsidRPr="000E6FAE">
        <w:rPr>
          <w:lang w:val="en-US"/>
        </w:rPr>
        <w:t xml:space="preserve">necessary </w:t>
      </w:r>
      <w:r w:rsidRPr="000E6FAE">
        <w:rPr>
          <w:lang w:val="en-US"/>
        </w:rPr>
        <w:t>to make a decision on an application for access approval</w:t>
      </w:r>
      <w:r w:rsidR="00B64A7B" w:rsidRPr="000E6FAE">
        <w:rPr>
          <w:lang w:val="en-US"/>
        </w:rPr>
        <w:t xml:space="preserve"> and that delay can be the result of QPS processes</w:t>
      </w:r>
      <w:r w:rsidRPr="000E6FAE">
        <w:rPr>
          <w:lang w:val="en-US"/>
        </w:rPr>
        <w:t xml:space="preserve">. </w:t>
      </w:r>
      <w:r w:rsidR="00534C7E" w:rsidRPr="000E6FAE">
        <w:rPr>
          <w:lang w:val="en-US"/>
        </w:rPr>
        <w:t xml:space="preserve"> </w:t>
      </w:r>
    </w:p>
    <w:p w14:paraId="3CCF6934" w14:textId="71E48D98" w:rsidR="00AB6C31" w:rsidRPr="000E6FAE" w:rsidRDefault="00ED5EB6">
      <w:pPr>
        <w:pStyle w:val="Numberedparagraph"/>
        <w:rPr>
          <w:lang w:val="en-US"/>
        </w:rPr>
      </w:pPr>
      <w:r w:rsidRPr="000E6FAE">
        <w:rPr>
          <w:lang w:val="en-US"/>
        </w:rPr>
        <w:t xml:space="preserve">The </w:t>
      </w:r>
      <w:r w:rsidR="00782848" w:rsidRPr="000E6FAE">
        <w:rPr>
          <w:lang w:val="en-US"/>
        </w:rPr>
        <w:t xml:space="preserve">current </w:t>
      </w:r>
      <w:r w:rsidRPr="000E6FAE">
        <w:rPr>
          <w:lang w:val="en-US"/>
        </w:rPr>
        <w:t>Custodial Operations Practice Directive,</w:t>
      </w:r>
      <w:r w:rsidR="008D3634" w:rsidRPr="000E6FAE">
        <w:rPr>
          <w:lang w:val="en-US"/>
        </w:rPr>
        <w:t xml:space="preserve"> Visitors to a Facility – Visits Process (</w:t>
      </w:r>
      <w:r w:rsidR="008D3634" w:rsidRPr="000E6FAE">
        <w:rPr>
          <w:b/>
          <w:bCs/>
          <w:lang w:val="en-US"/>
        </w:rPr>
        <w:t xml:space="preserve">the </w:t>
      </w:r>
      <w:r w:rsidR="00AA3BE0" w:rsidRPr="000E6FAE">
        <w:rPr>
          <w:b/>
          <w:bCs/>
          <w:lang w:val="en-US"/>
        </w:rPr>
        <w:t>QCS D</w:t>
      </w:r>
      <w:r w:rsidR="008D3634" w:rsidRPr="000E6FAE">
        <w:rPr>
          <w:b/>
          <w:bCs/>
          <w:lang w:val="en-US"/>
        </w:rPr>
        <w:t>irective</w:t>
      </w:r>
      <w:r w:rsidR="008D3634" w:rsidRPr="000E6FAE">
        <w:rPr>
          <w:lang w:val="en-US"/>
        </w:rPr>
        <w:t xml:space="preserve">) </w:t>
      </w:r>
      <w:r w:rsidRPr="000E6FAE">
        <w:rPr>
          <w:lang w:val="en-US"/>
        </w:rPr>
        <w:t>published 7 July 2022</w:t>
      </w:r>
      <w:r w:rsidR="00237691" w:rsidRPr="000E6FAE">
        <w:rPr>
          <w:rStyle w:val="FootnoteReference"/>
          <w:lang w:val="en-US"/>
        </w:rPr>
        <w:footnoteReference w:id="19"/>
      </w:r>
      <w:r w:rsidRPr="000E6FAE">
        <w:rPr>
          <w:lang w:val="en-US"/>
        </w:rPr>
        <w:t xml:space="preserve"> </w:t>
      </w:r>
      <w:r w:rsidR="00534C7E" w:rsidRPr="000E6FAE">
        <w:rPr>
          <w:lang w:val="en-US"/>
        </w:rPr>
        <w:t>has the following provisions relevant to mitigating delay:</w:t>
      </w:r>
    </w:p>
    <w:p w14:paraId="353B001C" w14:textId="5E8AA92D" w:rsidR="00ED5EB6" w:rsidRPr="000E6FAE" w:rsidRDefault="00ED5EB6" w:rsidP="007F14ED">
      <w:pPr>
        <w:pStyle w:val="Numberedparagraph"/>
        <w:numPr>
          <w:ilvl w:val="1"/>
          <w:numId w:val="13"/>
        </w:numPr>
        <w:rPr>
          <w:rStyle w:val="normaltextrun"/>
          <w:lang w:val="en-US"/>
        </w:rPr>
      </w:pPr>
      <w:r w:rsidRPr="000E6FAE">
        <w:rPr>
          <w:rStyle w:val="normaltextrun"/>
          <w:lang w:val="en-US"/>
        </w:rPr>
        <w:t>Each corrective services facility must nominate a person to be responsible for coordinating criminal history checks of visitors to the facility</w:t>
      </w:r>
      <w:r w:rsidR="00540580" w:rsidRPr="000E6FAE">
        <w:rPr>
          <w:rStyle w:val="normaltextrun"/>
          <w:lang w:val="en-US"/>
        </w:rPr>
        <w:t>.</w:t>
      </w:r>
      <w:r w:rsidR="005379BA" w:rsidRPr="000E6FAE">
        <w:rPr>
          <w:rStyle w:val="FootnoteReference"/>
          <w:lang w:val="en-US"/>
        </w:rPr>
        <w:footnoteReference w:id="20"/>
      </w:r>
      <w:r w:rsidRPr="000E6FAE">
        <w:rPr>
          <w:rStyle w:val="normaltextrun"/>
          <w:lang w:val="en-US"/>
        </w:rPr>
        <w:t xml:space="preserve"> </w:t>
      </w:r>
    </w:p>
    <w:p w14:paraId="4A530CD3" w14:textId="119853C2" w:rsidR="00ED5EB6" w:rsidRPr="000E6FAE" w:rsidRDefault="00ED5EB6">
      <w:pPr>
        <w:pStyle w:val="Numberedparagraph"/>
        <w:numPr>
          <w:ilvl w:val="1"/>
          <w:numId w:val="13"/>
        </w:numPr>
      </w:pPr>
      <w:r w:rsidRPr="000E6FAE">
        <w:rPr>
          <w:rStyle w:val="normaltextrun"/>
          <w:color w:val="000000"/>
          <w:shd w:val="clear" w:color="auto" w:fill="FFFFFF"/>
        </w:rPr>
        <w:lastRenderedPageBreak/>
        <w:t xml:space="preserve">Where a criminal history check has been completed and a visitor has been </w:t>
      </w:r>
      <w:r w:rsidRPr="000E6FAE">
        <w:t>approved to visit a prisoner at a corrective services facility in Queensland, the visitor is not required to undertake another criminal history check (other than a twelve monthly update) before being approved to visit a prisoner at another corrective services facility.</w:t>
      </w:r>
      <w:r w:rsidR="00540580" w:rsidRPr="000E6FAE">
        <w:rPr>
          <w:rStyle w:val="FootnoteReference"/>
        </w:rPr>
        <w:footnoteReference w:id="21"/>
      </w:r>
    </w:p>
    <w:p w14:paraId="76E210FB" w14:textId="6818967C" w:rsidR="007B0933" w:rsidRPr="000E6FAE" w:rsidRDefault="00540580">
      <w:pPr>
        <w:pStyle w:val="Numberedparagraph"/>
        <w:numPr>
          <w:ilvl w:val="1"/>
          <w:numId w:val="13"/>
        </w:numPr>
        <w:rPr>
          <w:rStyle w:val="eop"/>
          <w:lang w:val="en-US"/>
        </w:rPr>
      </w:pPr>
      <w:r w:rsidRPr="000E6FAE">
        <w:rPr>
          <w:rStyle w:val="eop"/>
          <w:color w:val="000000"/>
          <w:shd w:val="clear" w:color="auto" w:fill="FFFFFF"/>
        </w:rPr>
        <w:t xml:space="preserve">A separate </w:t>
      </w:r>
      <w:r w:rsidR="007B0933" w:rsidRPr="000E6FAE">
        <w:rPr>
          <w:rStyle w:val="eop"/>
          <w:color w:val="000000"/>
          <w:shd w:val="clear" w:color="auto" w:fill="FFFFFF"/>
        </w:rPr>
        <w:t>process for Elders who have historical criminal offences</w:t>
      </w:r>
      <w:r w:rsidRPr="000E6FAE">
        <w:rPr>
          <w:rStyle w:val="eop"/>
          <w:color w:val="000000"/>
          <w:shd w:val="clear" w:color="auto" w:fill="FFFFFF"/>
        </w:rPr>
        <w:t>.</w:t>
      </w:r>
      <w:r w:rsidR="00AA3BE0" w:rsidRPr="000E6FAE">
        <w:rPr>
          <w:rStyle w:val="FootnoteReference"/>
          <w:color w:val="000000"/>
          <w:shd w:val="clear" w:color="auto" w:fill="FFFFFF"/>
        </w:rPr>
        <w:footnoteReference w:id="22"/>
      </w:r>
      <w:r w:rsidR="007B0933" w:rsidRPr="000E6FAE">
        <w:rPr>
          <w:rStyle w:val="eop"/>
          <w:color w:val="000000"/>
          <w:shd w:val="clear" w:color="auto" w:fill="FFFFFF"/>
        </w:rPr>
        <w:t xml:space="preserve"> </w:t>
      </w:r>
    </w:p>
    <w:p w14:paraId="1DB1EDCF" w14:textId="7CC1B580" w:rsidR="007B0933" w:rsidRPr="000E6FAE" w:rsidRDefault="00540580">
      <w:pPr>
        <w:pStyle w:val="Numberedparagraph"/>
        <w:numPr>
          <w:ilvl w:val="1"/>
          <w:numId w:val="13"/>
        </w:numPr>
        <w:rPr>
          <w:rStyle w:val="eop"/>
          <w:lang w:val="en-US"/>
        </w:rPr>
      </w:pPr>
      <w:r w:rsidRPr="000E6FAE">
        <w:rPr>
          <w:rStyle w:val="eop"/>
          <w:color w:val="000000"/>
          <w:shd w:val="clear" w:color="auto" w:fill="FFFFFF"/>
        </w:rPr>
        <w:t>Reference to the</w:t>
      </w:r>
      <w:r w:rsidR="00D22B4C" w:rsidRPr="000E6FAE">
        <w:rPr>
          <w:rStyle w:val="eop"/>
          <w:color w:val="000000"/>
          <w:shd w:val="clear" w:color="auto" w:fill="FFFFFF"/>
        </w:rPr>
        <w:t xml:space="preserve"> chief executive</w:t>
      </w:r>
      <w:r w:rsidRPr="000E6FAE">
        <w:rPr>
          <w:rStyle w:val="eop"/>
          <w:color w:val="000000"/>
          <w:shd w:val="clear" w:color="auto" w:fill="FFFFFF"/>
        </w:rPr>
        <w:t>’s</w:t>
      </w:r>
      <w:r w:rsidR="00D22B4C" w:rsidRPr="000E6FAE">
        <w:rPr>
          <w:rStyle w:val="eop"/>
          <w:color w:val="000000"/>
          <w:shd w:val="clear" w:color="auto" w:fill="FFFFFF"/>
        </w:rPr>
        <w:t xml:space="preserve"> </w:t>
      </w:r>
      <w:r w:rsidRPr="000E6FAE">
        <w:rPr>
          <w:rStyle w:val="eop"/>
          <w:color w:val="000000"/>
          <w:shd w:val="clear" w:color="auto" w:fill="FFFFFF"/>
        </w:rPr>
        <w:t xml:space="preserve">power </w:t>
      </w:r>
      <w:r w:rsidR="007B0933" w:rsidRPr="000E6FAE">
        <w:rPr>
          <w:rStyle w:val="eop"/>
          <w:color w:val="000000"/>
          <w:shd w:val="clear" w:color="auto" w:fill="FFFFFF"/>
        </w:rPr>
        <w:t xml:space="preserve">to grant interim access approval </w:t>
      </w:r>
      <w:r w:rsidR="00D22B4C" w:rsidRPr="000E6FAE">
        <w:rPr>
          <w:rStyle w:val="eop"/>
          <w:color w:val="000000"/>
          <w:shd w:val="clear" w:color="auto" w:fill="FFFFFF"/>
        </w:rPr>
        <w:t xml:space="preserve">while an application for access approval is being considered </w:t>
      </w:r>
      <w:r w:rsidR="007B0933" w:rsidRPr="000E6FAE">
        <w:rPr>
          <w:rStyle w:val="eop"/>
          <w:color w:val="000000"/>
          <w:shd w:val="clear" w:color="auto" w:fill="FFFFFF"/>
        </w:rPr>
        <w:t>under s</w:t>
      </w:r>
      <w:r w:rsidRPr="000E6FAE">
        <w:rPr>
          <w:rStyle w:val="eop"/>
          <w:color w:val="000000"/>
          <w:shd w:val="clear" w:color="auto" w:fill="FFFFFF"/>
        </w:rPr>
        <w:t>ection</w:t>
      </w:r>
      <w:r w:rsidR="007B0933" w:rsidRPr="000E6FAE">
        <w:rPr>
          <w:rStyle w:val="eop"/>
          <w:color w:val="000000"/>
          <w:shd w:val="clear" w:color="auto" w:fill="FFFFFF"/>
        </w:rPr>
        <w:t xml:space="preserve"> 156A of the CSA.</w:t>
      </w:r>
      <w:r w:rsidR="00AA3BE0" w:rsidRPr="000E6FAE">
        <w:rPr>
          <w:rStyle w:val="FootnoteReference"/>
          <w:color w:val="000000"/>
          <w:shd w:val="clear" w:color="auto" w:fill="FFFFFF"/>
        </w:rPr>
        <w:footnoteReference w:id="23"/>
      </w:r>
      <w:r w:rsidR="007B0933" w:rsidRPr="000E6FAE">
        <w:rPr>
          <w:rStyle w:val="eop"/>
          <w:color w:val="000000"/>
          <w:shd w:val="clear" w:color="auto" w:fill="FFFFFF"/>
        </w:rPr>
        <w:t xml:space="preserve"> </w:t>
      </w:r>
    </w:p>
    <w:p w14:paraId="79383601" w14:textId="6DC9B383" w:rsidR="00534C7E" w:rsidRPr="000E6FAE" w:rsidRDefault="00534C7E" w:rsidP="007F14ED">
      <w:pPr>
        <w:pStyle w:val="Numberedparagraph"/>
        <w:rPr>
          <w:lang w:val="en-US"/>
        </w:rPr>
      </w:pPr>
      <w:r w:rsidRPr="000E6FAE">
        <w:rPr>
          <w:lang w:val="en-US"/>
        </w:rPr>
        <w:t xml:space="preserve">In this case, </w:t>
      </w:r>
      <w:r w:rsidR="009033C4" w:rsidRPr="000E6FAE">
        <w:rPr>
          <w:lang w:val="en-US"/>
        </w:rPr>
        <w:t xml:space="preserve">C </w:t>
      </w:r>
      <w:r w:rsidR="008F5927" w:rsidRPr="000E6FAE">
        <w:rPr>
          <w:lang w:val="en-US"/>
        </w:rPr>
        <w:t xml:space="preserve">first made an application to visit AGCC on 12 May 2021.  On 17 May 2021, that process was suspended for 3 months, until 17 August 2021. On 8 June 2021, C was advised his son had moved to WCC and </w:t>
      </w:r>
      <w:r w:rsidR="00E43BC8" w:rsidRPr="000E6FAE">
        <w:rPr>
          <w:lang w:val="en-US"/>
        </w:rPr>
        <w:t xml:space="preserve">was later given </w:t>
      </w:r>
      <w:r w:rsidR="00587379" w:rsidRPr="000E6FAE">
        <w:rPr>
          <w:lang w:val="en-US"/>
        </w:rPr>
        <w:t xml:space="preserve">conflicting information about whether </w:t>
      </w:r>
      <w:r w:rsidR="008F5927" w:rsidRPr="000E6FAE">
        <w:rPr>
          <w:lang w:val="en-US"/>
        </w:rPr>
        <w:t xml:space="preserve">he would have to </w:t>
      </w:r>
      <w:r w:rsidR="00587379" w:rsidRPr="000E6FAE">
        <w:rPr>
          <w:lang w:val="en-US"/>
        </w:rPr>
        <w:t>make a fresh application</w:t>
      </w:r>
      <w:r w:rsidR="008F5927" w:rsidRPr="000E6FAE">
        <w:rPr>
          <w:lang w:val="en-US"/>
        </w:rPr>
        <w:t xml:space="preserve">. Ultimately, C did not make a further application and a decision regarding access to WCC was made on </w:t>
      </w:r>
      <w:r w:rsidR="009033C4" w:rsidRPr="000E6FAE">
        <w:rPr>
          <w:lang w:val="en-US"/>
        </w:rPr>
        <w:t>16 August 2021</w:t>
      </w:r>
      <w:r w:rsidR="008F5927" w:rsidRPr="000E6FAE">
        <w:rPr>
          <w:lang w:val="en-US"/>
        </w:rPr>
        <w:t>.</w:t>
      </w:r>
      <w:r w:rsidR="009033C4" w:rsidRPr="000E6FAE">
        <w:rPr>
          <w:lang w:val="en-US"/>
        </w:rPr>
        <w:t xml:space="preserve"> </w:t>
      </w:r>
    </w:p>
    <w:p w14:paraId="68FC466F" w14:textId="62639BDB" w:rsidR="00D22B4C" w:rsidRPr="000E6FAE" w:rsidRDefault="00A41847">
      <w:pPr>
        <w:pStyle w:val="Numberedparagraph"/>
        <w:rPr>
          <w:lang w:val="en-US"/>
        </w:rPr>
      </w:pPr>
      <w:r w:rsidRPr="000E6FAE">
        <w:rPr>
          <w:lang w:val="en-US"/>
        </w:rPr>
        <w:t>Interim approval under s</w:t>
      </w:r>
      <w:r w:rsidR="00540580" w:rsidRPr="000E6FAE">
        <w:rPr>
          <w:lang w:val="en-US"/>
        </w:rPr>
        <w:t>ection</w:t>
      </w:r>
      <w:r w:rsidRPr="000E6FAE">
        <w:rPr>
          <w:lang w:val="en-US"/>
        </w:rPr>
        <w:t xml:space="preserve"> 156A</w:t>
      </w:r>
      <w:r w:rsidR="00540580" w:rsidRPr="000E6FAE">
        <w:rPr>
          <w:lang w:val="en-US"/>
        </w:rPr>
        <w:t xml:space="preserve"> of the CS Act</w:t>
      </w:r>
      <w:r w:rsidRPr="000E6FAE">
        <w:rPr>
          <w:lang w:val="en-US"/>
        </w:rPr>
        <w:t xml:space="preserve"> is an important mechanism</w:t>
      </w:r>
      <w:r w:rsidR="005C4C40" w:rsidRPr="000E6FAE">
        <w:rPr>
          <w:lang w:val="en-US"/>
        </w:rPr>
        <w:t xml:space="preserve"> to ensure delays in certain circumstances are not unreasonable</w:t>
      </w:r>
      <w:r w:rsidRPr="000E6FAE">
        <w:rPr>
          <w:lang w:val="en-US"/>
        </w:rPr>
        <w:t xml:space="preserve">, however, there is no publicly available criteria about when this </w:t>
      </w:r>
      <w:r w:rsidR="0088668E" w:rsidRPr="000E6FAE">
        <w:rPr>
          <w:lang w:val="en-US"/>
        </w:rPr>
        <w:t>discretion is applied.</w:t>
      </w:r>
    </w:p>
    <w:p w14:paraId="63BDD218" w14:textId="6818F4A8" w:rsidR="0088668E" w:rsidRPr="000E6FAE" w:rsidRDefault="0088668E">
      <w:pPr>
        <w:pStyle w:val="Numberedparagraph"/>
        <w:rPr>
          <w:lang w:val="en-US"/>
        </w:rPr>
      </w:pPr>
      <w:r w:rsidRPr="000E6FAE">
        <w:rPr>
          <w:lang w:val="en-US"/>
        </w:rPr>
        <w:t>The CS</w:t>
      </w:r>
      <w:r w:rsidR="00540580" w:rsidRPr="000E6FAE">
        <w:rPr>
          <w:lang w:val="en-US"/>
        </w:rPr>
        <w:t xml:space="preserve"> </w:t>
      </w:r>
      <w:r w:rsidRPr="000E6FAE">
        <w:rPr>
          <w:lang w:val="en-US"/>
        </w:rPr>
        <w:t>A</w:t>
      </w:r>
      <w:r w:rsidR="00540580" w:rsidRPr="000E6FAE">
        <w:rPr>
          <w:lang w:val="en-US"/>
        </w:rPr>
        <w:t>ct</w:t>
      </w:r>
      <w:r w:rsidRPr="000E6FAE">
        <w:rPr>
          <w:lang w:val="en-US"/>
        </w:rPr>
        <w:t xml:space="preserve"> </w:t>
      </w:r>
      <w:r w:rsidR="007D53C2" w:rsidRPr="000E6FAE">
        <w:rPr>
          <w:lang w:val="en-US"/>
        </w:rPr>
        <w:t xml:space="preserve">also provides that persons about whom criminal </w:t>
      </w:r>
      <w:r w:rsidR="00E43BC8" w:rsidRPr="000E6FAE">
        <w:rPr>
          <w:lang w:val="en-US"/>
        </w:rPr>
        <w:t xml:space="preserve">history checks </w:t>
      </w:r>
      <w:r w:rsidR="007D53C2" w:rsidRPr="000E6FAE">
        <w:rPr>
          <w:lang w:val="en-US"/>
        </w:rPr>
        <w:t xml:space="preserve">are obtained be afforded natural justice, and </w:t>
      </w:r>
      <w:r w:rsidR="00F36EB5" w:rsidRPr="000E6FAE">
        <w:rPr>
          <w:lang w:val="en-US"/>
        </w:rPr>
        <w:t>that they have an opportunity to respond to information contained in their criminal histories.</w:t>
      </w:r>
      <w:r w:rsidR="00E04531" w:rsidRPr="000E6FAE">
        <w:rPr>
          <w:lang w:val="en-US"/>
        </w:rPr>
        <w:t xml:space="preserve"> This is not dealt with in the </w:t>
      </w:r>
      <w:r w:rsidR="00540580" w:rsidRPr="000E6FAE">
        <w:rPr>
          <w:lang w:val="en-US"/>
        </w:rPr>
        <w:t xml:space="preserve">QCS </w:t>
      </w:r>
      <w:r w:rsidR="00E04531" w:rsidRPr="000E6FAE">
        <w:rPr>
          <w:lang w:val="en-US"/>
        </w:rPr>
        <w:t>Directive in relation to personal visitors</w:t>
      </w:r>
      <w:r w:rsidR="00540580" w:rsidRPr="000E6FAE">
        <w:rPr>
          <w:lang w:val="en-US"/>
        </w:rPr>
        <w:t xml:space="preserve">, although </w:t>
      </w:r>
      <w:r w:rsidR="00E04531" w:rsidRPr="000E6FAE">
        <w:rPr>
          <w:lang w:val="en-US"/>
        </w:rPr>
        <w:t xml:space="preserve">it does </w:t>
      </w:r>
      <w:r w:rsidR="00540580" w:rsidRPr="000E6FAE">
        <w:rPr>
          <w:lang w:val="en-US"/>
        </w:rPr>
        <w:t>in relation to</w:t>
      </w:r>
      <w:r w:rsidR="00E04531" w:rsidRPr="000E6FAE">
        <w:rPr>
          <w:lang w:val="en-US"/>
        </w:rPr>
        <w:t xml:space="preserve"> non-personal visitors</w:t>
      </w:r>
      <w:r w:rsidR="00540580" w:rsidRPr="000E6FAE">
        <w:rPr>
          <w:lang w:val="en-US"/>
        </w:rPr>
        <w:t>.</w:t>
      </w:r>
      <w:r w:rsidR="00540580" w:rsidRPr="000E6FAE">
        <w:rPr>
          <w:rStyle w:val="FootnoteReference"/>
          <w:lang w:val="en-US"/>
        </w:rPr>
        <w:footnoteReference w:id="24"/>
      </w:r>
      <w:r w:rsidR="00E04531" w:rsidRPr="000E6FAE">
        <w:rPr>
          <w:lang w:val="en-US"/>
        </w:rPr>
        <w:t xml:space="preserve"> </w:t>
      </w:r>
    </w:p>
    <w:p w14:paraId="172435F9" w14:textId="42B5788D" w:rsidR="000B4BF6" w:rsidRPr="000E6FAE" w:rsidRDefault="00E04531" w:rsidP="007F14ED">
      <w:pPr>
        <w:pStyle w:val="recommendation"/>
        <w:spacing w:before="0" w:after="120"/>
      </w:pPr>
      <w:bookmarkStart w:id="8" w:name="_Hlk110951723"/>
      <w:r w:rsidRPr="007F14ED">
        <w:rPr>
          <w:rStyle w:val="Heading3Char"/>
        </w:rPr>
        <w:t>Recommendation</w:t>
      </w:r>
      <w:bookmarkStart w:id="9" w:name="_Hlk114227665"/>
      <w:r w:rsidR="003778E2" w:rsidRPr="007F14ED">
        <w:rPr>
          <w:rStyle w:val="Heading3Char"/>
        </w:rPr>
        <w:t xml:space="preserve"> 3</w:t>
      </w:r>
      <w:r w:rsidRPr="007F14ED">
        <w:rPr>
          <w:rStyle w:val="Heading3Char"/>
        </w:rPr>
        <w:t>:</w:t>
      </w:r>
      <w:r w:rsidRPr="000E6FAE">
        <w:rPr>
          <w:b/>
          <w:lang w:val="en-US"/>
        </w:rPr>
        <w:t xml:space="preserve"> </w:t>
      </w:r>
      <w:r w:rsidR="00CF5746">
        <w:rPr>
          <w:lang w:val="en-US"/>
        </w:rPr>
        <w:t>M</w:t>
      </w:r>
      <w:r w:rsidR="000B4BF6" w:rsidRPr="000E6FAE">
        <w:rPr>
          <w:lang w:val="en-US"/>
        </w:rPr>
        <w:t xml:space="preserve">itigate against undue delay and distress caused by </w:t>
      </w:r>
      <w:r w:rsidR="00AE38AF" w:rsidRPr="000E6FAE">
        <w:rPr>
          <w:lang w:val="en-US"/>
        </w:rPr>
        <w:t xml:space="preserve">the need to obtain </w:t>
      </w:r>
      <w:r w:rsidR="000B4BF6" w:rsidRPr="000E6FAE">
        <w:rPr>
          <w:lang w:val="en-US"/>
        </w:rPr>
        <w:t xml:space="preserve">criminal </w:t>
      </w:r>
      <w:r w:rsidR="00CF5746">
        <w:rPr>
          <w:lang w:val="en-US"/>
        </w:rPr>
        <w:t>history checks by</w:t>
      </w:r>
      <w:r w:rsidR="000B4BF6" w:rsidRPr="000E6FAE">
        <w:rPr>
          <w:lang w:val="en-US"/>
        </w:rPr>
        <w:t>:</w:t>
      </w:r>
    </w:p>
    <w:p w14:paraId="312F11BC" w14:textId="49E39267" w:rsidR="000372BE" w:rsidRPr="000E6FAE" w:rsidRDefault="000B4BF6" w:rsidP="007F14ED">
      <w:pPr>
        <w:pStyle w:val="recommendation"/>
        <w:numPr>
          <w:ilvl w:val="0"/>
          <w:numId w:val="43"/>
        </w:numPr>
        <w:spacing w:before="0" w:after="120"/>
        <w:rPr>
          <w:lang w:val="en-US"/>
        </w:rPr>
      </w:pPr>
      <w:r w:rsidRPr="000E6FAE">
        <w:rPr>
          <w:lang w:val="en-US"/>
        </w:rPr>
        <w:t>giv</w:t>
      </w:r>
      <w:r w:rsidR="00CF5746">
        <w:rPr>
          <w:lang w:val="en-US"/>
        </w:rPr>
        <w:t>ing</w:t>
      </w:r>
      <w:r w:rsidRPr="000E6FAE">
        <w:rPr>
          <w:lang w:val="en-US"/>
        </w:rPr>
        <w:t xml:space="preserve"> visitors </w:t>
      </w:r>
      <w:r w:rsidR="000372BE" w:rsidRPr="000E6FAE">
        <w:rPr>
          <w:lang w:val="en-US"/>
        </w:rPr>
        <w:t>estimated timeframes for processing access</w:t>
      </w:r>
      <w:r w:rsidR="0037712C" w:rsidRPr="000E6FAE">
        <w:rPr>
          <w:lang w:val="en-US"/>
        </w:rPr>
        <w:t xml:space="preserve"> approval</w:t>
      </w:r>
      <w:r w:rsidR="000372BE" w:rsidRPr="000E6FAE">
        <w:rPr>
          <w:lang w:val="en-US"/>
        </w:rPr>
        <w:t xml:space="preserve"> applications to </w:t>
      </w:r>
      <w:r w:rsidR="0037712C" w:rsidRPr="000E6FAE">
        <w:rPr>
          <w:lang w:val="en-US"/>
        </w:rPr>
        <w:t xml:space="preserve">avoid frustration and </w:t>
      </w:r>
      <w:r w:rsidR="00A9229F" w:rsidRPr="000E6FAE">
        <w:rPr>
          <w:lang w:val="en-US"/>
        </w:rPr>
        <w:t>manage expectations;</w:t>
      </w:r>
    </w:p>
    <w:p w14:paraId="719A6422" w14:textId="6CA70950" w:rsidR="008C4AC1" w:rsidRPr="000E6FAE" w:rsidRDefault="00A02C18" w:rsidP="007F14ED">
      <w:pPr>
        <w:pStyle w:val="recommendation"/>
        <w:numPr>
          <w:ilvl w:val="0"/>
          <w:numId w:val="43"/>
        </w:numPr>
        <w:spacing w:before="0" w:after="120"/>
        <w:rPr>
          <w:lang w:val="en-US"/>
        </w:rPr>
      </w:pPr>
      <w:r w:rsidRPr="000E6FAE">
        <w:rPr>
          <w:lang w:val="en-US"/>
        </w:rPr>
        <w:t>giv</w:t>
      </w:r>
      <w:r w:rsidR="00CF5746">
        <w:rPr>
          <w:lang w:val="en-US"/>
        </w:rPr>
        <w:t>ing</w:t>
      </w:r>
      <w:r w:rsidRPr="000E6FAE">
        <w:rPr>
          <w:lang w:val="en-US"/>
        </w:rPr>
        <w:t xml:space="preserve"> </w:t>
      </w:r>
      <w:r w:rsidR="00250998" w:rsidRPr="000E6FAE">
        <w:rPr>
          <w:lang w:val="en-US"/>
        </w:rPr>
        <w:t>guidance</w:t>
      </w:r>
      <w:r w:rsidR="00CF5746">
        <w:rPr>
          <w:lang w:val="en-US"/>
        </w:rPr>
        <w:t xml:space="preserve"> in the QCS Directive</w:t>
      </w:r>
      <w:r w:rsidR="00250998" w:rsidRPr="000E6FAE">
        <w:rPr>
          <w:lang w:val="en-US"/>
        </w:rPr>
        <w:t xml:space="preserve"> </w:t>
      </w:r>
      <w:r w:rsidR="008C4AC1" w:rsidRPr="000E6FAE">
        <w:rPr>
          <w:lang w:val="en-US"/>
        </w:rPr>
        <w:t>for the exercise of discretion to give interim approval for a visitor</w:t>
      </w:r>
      <w:r w:rsidR="00A9229F" w:rsidRPr="000E6FAE">
        <w:rPr>
          <w:lang w:val="en-US"/>
        </w:rPr>
        <w:t xml:space="preserve">, including consideration of human rights, and corresponding </w:t>
      </w:r>
      <w:r w:rsidR="000B4BF6" w:rsidRPr="000E6FAE">
        <w:rPr>
          <w:lang w:val="en-US"/>
        </w:rPr>
        <w:t xml:space="preserve">amendment to the application form to allow the applicant to provide relevant information; </w:t>
      </w:r>
    </w:p>
    <w:p w14:paraId="555F6101" w14:textId="2E904351" w:rsidR="00250998" w:rsidRDefault="000B4BF6" w:rsidP="007016FC">
      <w:pPr>
        <w:pStyle w:val="recommendation"/>
        <w:numPr>
          <w:ilvl w:val="0"/>
          <w:numId w:val="43"/>
        </w:numPr>
        <w:spacing w:before="0"/>
        <w:rPr>
          <w:lang w:val="en-US"/>
        </w:rPr>
      </w:pPr>
      <w:r w:rsidRPr="000E6FAE">
        <w:rPr>
          <w:lang w:val="en-US"/>
        </w:rPr>
        <w:t>reinfor</w:t>
      </w:r>
      <w:r w:rsidR="00A02C18" w:rsidRPr="000E6FAE">
        <w:rPr>
          <w:lang w:val="en-US"/>
        </w:rPr>
        <w:t>c</w:t>
      </w:r>
      <w:r w:rsidR="00CF5746">
        <w:rPr>
          <w:lang w:val="en-US"/>
        </w:rPr>
        <w:t>ing</w:t>
      </w:r>
      <w:r w:rsidRPr="000E6FAE">
        <w:rPr>
          <w:lang w:val="en-US"/>
        </w:rPr>
        <w:t xml:space="preserve"> </w:t>
      </w:r>
      <w:r w:rsidR="00CF5746">
        <w:rPr>
          <w:lang w:val="en-US"/>
        </w:rPr>
        <w:t xml:space="preserve">in the QCS Directive </w:t>
      </w:r>
      <w:r w:rsidRPr="000E6FAE">
        <w:rPr>
          <w:lang w:val="en-US"/>
        </w:rPr>
        <w:t xml:space="preserve">the </w:t>
      </w:r>
      <w:r w:rsidR="00250998" w:rsidRPr="000E6FAE">
        <w:rPr>
          <w:lang w:val="en-US"/>
        </w:rPr>
        <w:t>requirement that a visitor be given an opportunity to respond to criminal histories</w:t>
      </w:r>
      <w:r w:rsidRPr="000E6FAE">
        <w:rPr>
          <w:lang w:val="en-US"/>
        </w:rPr>
        <w:t xml:space="preserve">, where they </w:t>
      </w:r>
      <w:r w:rsidR="00250998" w:rsidRPr="000E6FAE">
        <w:rPr>
          <w:lang w:val="en-US"/>
        </w:rPr>
        <w:t xml:space="preserve">will be relied upon by the </w:t>
      </w:r>
      <w:r w:rsidRPr="000E6FAE">
        <w:rPr>
          <w:lang w:val="en-US"/>
        </w:rPr>
        <w:t>c</w:t>
      </w:r>
      <w:r w:rsidR="00250998" w:rsidRPr="000E6FAE">
        <w:rPr>
          <w:lang w:val="en-US"/>
        </w:rPr>
        <w:t xml:space="preserve">hief </w:t>
      </w:r>
      <w:r w:rsidRPr="000E6FAE">
        <w:rPr>
          <w:lang w:val="en-US"/>
        </w:rPr>
        <w:t>e</w:t>
      </w:r>
      <w:r w:rsidR="00250998" w:rsidRPr="000E6FAE">
        <w:rPr>
          <w:lang w:val="en-US"/>
        </w:rPr>
        <w:t xml:space="preserve">xecutive to refuse or limit access approval. </w:t>
      </w:r>
    </w:p>
    <w:p w14:paraId="20ABC8E2" w14:textId="77777777" w:rsidR="00177DE2" w:rsidRPr="007F14ED" w:rsidRDefault="00676E12" w:rsidP="007F14ED">
      <w:pPr>
        <w:pStyle w:val="Heading3-response"/>
        <w:rPr>
          <w:lang w:val="en-US"/>
        </w:rPr>
      </w:pPr>
      <w:r w:rsidRPr="007F14ED">
        <w:rPr>
          <w:lang w:val="en-US"/>
        </w:rPr>
        <w:lastRenderedPageBreak/>
        <w:t xml:space="preserve">QCS Response: </w:t>
      </w:r>
    </w:p>
    <w:p w14:paraId="658846D1" w14:textId="5038734A" w:rsidR="00B81B0D" w:rsidRDefault="00B81B0D" w:rsidP="007F14ED">
      <w:pPr>
        <w:pStyle w:val="response"/>
        <w:rPr>
          <w:b/>
          <w:bCs/>
          <w:lang w:val="en-US"/>
        </w:rPr>
      </w:pPr>
      <w:r w:rsidRPr="00550C68">
        <w:rPr>
          <w:lang w:val="en-US"/>
        </w:rPr>
        <w:t xml:space="preserve">QCS only agrees </w:t>
      </w:r>
      <w:r>
        <w:rPr>
          <w:lang w:val="en-US"/>
        </w:rPr>
        <w:t>to consider</w:t>
      </w:r>
      <w:r w:rsidRPr="00550C68">
        <w:rPr>
          <w:lang w:val="en-US"/>
        </w:rPr>
        <w:t xml:space="preserve"> the third point of </w:t>
      </w:r>
      <w:r>
        <w:rPr>
          <w:lang w:val="en-US"/>
        </w:rPr>
        <w:t xml:space="preserve">this </w:t>
      </w:r>
      <w:r w:rsidRPr="00550C68">
        <w:rPr>
          <w:lang w:val="en-US"/>
        </w:rPr>
        <w:t>recommendation.</w:t>
      </w:r>
      <w:r>
        <w:rPr>
          <w:b/>
          <w:bCs/>
          <w:lang w:val="en-US"/>
        </w:rPr>
        <w:t xml:space="preserve"> </w:t>
      </w:r>
    </w:p>
    <w:p w14:paraId="7AE558FD" w14:textId="4DB47067" w:rsidR="002B0111" w:rsidRDefault="002B0111">
      <w:pPr>
        <w:pStyle w:val="response"/>
        <w:rPr>
          <w:lang w:val="en-US"/>
        </w:rPr>
      </w:pPr>
      <w:r>
        <w:rPr>
          <w:lang w:val="en-US"/>
        </w:rPr>
        <w:t>In response</w:t>
      </w:r>
      <w:r w:rsidR="00B81B0D">
        <w:rPr>
          <w:lang w:val="en-US"/>
        </w:rPr>
        <w:t xml:space="preserve"> to the provision of decision making guidance for interim approvals</w:t>
      </w:r>
      <w:r>
        <w:rPr>
          <w:lang w:val="en-US"/>
        </w:rPr>
        <w:t xml:space="preserve">, QCS says: </w:t>
      </w:r>
    </w:p>
    <w:p w14:paraId="3D8D248D" w14:textId="5563E6A8" w:rsidR="002B0111" w:rsidRPr="0004211F" w:rsidRDefault="00D24CA9" w:rsidP="00D24CA9">
      <w:pPr>
        <w:pStyle w:val="response"/>
        <w:ind w:left="1004" w:right="985" w:hanging="720"/>
        <w:rPr>
          <w:sz w:val="20"/>
          <w:szCs w:val="20"/>
          <w:lang w:val="en-US"/>
        </w:rPr>
      </w:pPr>
      <w:r>
        <w:rPr>
          <w:sz w:val="20"/>
          <w:szCs w:val="20"/>
          <w:lang w:val="en-US"/>
        </w:rPr>
        <w:tab/>
      </w:r>
      <w:r w:rsidR="002B0111" w:rsidRPr="0004211F">
        <w:rPr>
          <w:sz w:val="20"/>
          <w:szCs w:val="20"/>
          <w:lang w:val="en-US"/>
        </w:rPr>
        <w:t xml:space="preserve">It is noted that section 156A of the CS Act makes provisions for interim access approval in circumstances where the chief executive (or delegate) is satisfied that it is </w:t>
      </w:r>
      <w:r w:rsidR="002B0111" w:rsidRPr="0004211F">
        <w:rPr>
          <w:b/>
          <w:bCs/>
          <w:sz w:val="20"/>
          <w:szCs w:val="20"/>
          <w:lang w:val="en-US"/>
        </w:rPr>
        <w:t>appropriate in the circumstance</w:t>
      </w:r>
      <w:r w:rsidR="002B0111" w:rsidRPr="0004211F">
        <w:rPr>
          <w:sz w:val="20"/>
          <w:szCs w:val="20"/>
          <w:lang w:val="en-US"/>
        </w:rPr>
        <w:t>. Whether or not interim access approval will be appropriate in the circumstance is something which the delegate will consider, based on the facts of the matter at hand.</w:t>
      </w:r>
    </w:p>
    <w:p w14:paraId="12C61B8B" w14:textId="7494A367" w:rsidR="002B0111" w:rsidRPr="0004211F" w:rsidRDefault="00D24CA9" w:rsidP="00D24CA9">
      <w:pPr>
        <w:pStyle w:val="response"/>
        <w:ind w:left="1004" w:right="985" w:hanging="720"/>
        <w:rPr>
          <w:sz w:val="20"/>
          <w:szCs w:val="20"/>
          <w:lang w:val="en-US"/>
        </w:rPr>
      </w:pPr>
      <w:r>
        <w:rPr>
          <w:sz w:val="20"/>
          <w:szCs w:val="20"/>
          <w:lang w:val="en-US"/>
        </w:rPr>
        <w:tab/>
      </w:r>
      <w:r w:rsidR="002B0111" w:rsidRPr="0004211F">
        <w:rPr>
          <w:sz w:val="20"/>
          <w:szCs w:val="20"/>
          <w:lang w:val="en-US"/>
        </w:rPr>
        <w:t>…It is noted in the COPD [QCS Directive] that:</w:t>
      </w:r>
    </w:p>
    <w:p w14:paraId="0EF574BE" w14:textId="054DA799" w:rsidR="002B0111" w:rsidRPr="0004211F" w:rsidRDefault="00D24CA9" w:rsidP="00D24CA9">
      <w:pPr>
        <w:pStyle w:val="response"/>
        <w:ind w:left="1004" w:right="985" w:hanging="720"/>
        <w:rPr>
          <w:i/>
          <w:iCs/>
          <w:sz w:val="20"/>
          <w:szCs w:val="20"/>
          <w:lang w:val="en-US"/>
        </w:rPr>
      </w:pPr>
      <w:r>
        <w:rPr>
          <w:i/>
          <w:iCs/>
          <w:sz w:val="20"/>
          <w:szCs w:val="20"/>
          <w:lang w:val="en-US"/>
        </w:rPr>
        <w:tab/>
      </w:r>
      <w:r w:rsidR="002B0111" w:rsidRPr="0004211F">
        <w:rPr>
          <w:i/>
          <w:iCs/>
          <w:sz w:val="20"/>
          <w:szCs w:val="20"/>
          <w:lang w:val="en-US"/>
        </w:rPr>
        <w:t>“The access approval process can take a significant amount of time therefore the Chief superintendent (or delegate) should consider granting an interim access approval after an application is made.</w:t>
      </w:r>
    </w:p>
    <w:p w14:paraId="338CD0B3" w14:textId="3B849A7E" w:rsidR="002B0111" w:rsidRPr="0004211F" w:rsidRDefault="00D24CA9" w:rsidP="00D24CA9">
      <w:pPr>
        <w:pStyle w:val="response"/>
        <w:ind w:left="1004" w:right="985" w:hanging="720"/>
        <w:rPr>
          <w:i/>
          <w:iCs/>
          <w:sz w:val="20"/>
          <w:szCs w:val="20"/>
          <w:lang w:val="en-US"/>
        </w:rPr>
      </w:pPr>
      <w:r>
        <w:rPr>
          <w:i/>
          <w:iCs/>
          <w:sz w:val="20"/>
          <w:szCs w:val="20"/>
          <w:lang w:val="en-US"/>
        </w:rPr>
        <w:tab/>
      </w:r>
      <w:r w:rsidR="002B0111" w:rsidRPr="0004211F">
        <w:rPr>
          <w:i/>
          <w:iCs/>
          <w:sz w:val="20"/>
          <w:szCs w:val="20"/>
          <w:lang w:val="en-US"/>
        </w:rPr>
        <w:t xml:space="preserve">This access should be facilitated wherever possible and only withheld where there is information which indicates the applicant is a threat to the security and good order of the centre. This information </w:t>
      </w:r>
      <w:r w:rsidR="00C432BD" w:rsidRPr="0004211F">
        <w:rPr>
          <w:i/>
          <w:iCs/>
          <w:sz w:val="20"/>
          <w:szCs w:val="20"/>
          <w:lang w:val="en-US"/>
        </w:rPr>
        <w:t xml:space="preserve">can be sourced through, but not limited to, a review of IOMS and/or an Intel check, refer </w:t>
      </w:r>
      <w:r w:rsidR="007016FC">
        <w:rPr>
          <w:i/>
          <w:iCs/>
          <w:sz w:val="20"/>
          <w:szCs w:val="20"/>
          <w:lang w:val="en-US"/>
        </w:rPr>
        <w:br/>
      </w:r>
      <w:r w:rsidR="00C432BD" w:rsidRPr="0004211F">
        <w:rPr>
          <w:i/>
          <w:iCs/>
          <w:sz w:val="20"/>
          <w:szCs w:val="20"/>
          <w:lang w:val="en-US"/>
        </w:rPr>
        <w:t>s 156A of the CSA.</w:t>
      </w:r>
    </w:p>
    <w:p w14:paraId="5AE3AF83" w14:textId="5904234B" w:rsidR="00C432BD" w:rsidRPr="0004211F" w:rsidRDefault="00D24CA9" w:rsidP="00D24CA9">
      <w:pPr>
        <w:pStyle w:val="response"/>
        <w:ind w:left="1004" w:right="985" w:hanging="720"/>
        <w:rPr>
          <w:i/>
          <w:iCs/>
          <w:sz w:val="20"/>
          <w:szCs w:val="20"/>
          <w:lang w:val="en-US"/>
        </w:rPr>
      </w:pPr>
      <w:r>
        <w:rPr>
          <w:i/>
          <w:iCs/>
          <w:sz w:val="20"/>
          <w:szCs w:val="20"/>
          <w:lang w:val="en-US"/>
        </w:rPr>
        <w:tab/>
      </w:r>
      <w:r w:rsidR="00C432BD" w:rsidRPr="0004211F">
        <w:rPr>
          <w:i/>
          <w:iCs/>
          <w:sz w:val="20"/>
          <w:szCs w:val="20"/>
          <w:lang w:val="en-US"/>
        </w:rPr>
        <w:t>A personal visit under the interim access approval must be a non-contact visit unless it is impracticable having regard to the facilities at the correctional centre.”</w:t>
      </w:r>
    </w:p>
    <w:p w14:paraId="6F733804" w14:textId="69279569" w:rsidR="00676E12" w:rsidRPr="0004211F" w:rsidRDefault="00D24CA9" w:rsidP="00D24CA9">
      <w:pPr>
        <w:pStyle w:val="response"/>
        <w:ind w:left="1004" w:right="985" w:hanging="720"/>
        <w:rPr>
          <w:sz w:val="20"/>
          <w:szCs w:val="20"/>
          <w:lang w:val="en-US"/>
        </w:rPr>
      </w:pPr>
      <w:r>
        <w:rPr>
          <w:sz w:val="20"/>
          <w:szCs w:val="20"/>
          <w:lang w:val="en-US"/>
        </w:rPr>
        <w:tab/>
      </w:r>
      <w:r w:rsidR="00C432BD" w:rsidRPr="0004211F">
        <w:rPr>
          <w:sz w:val="20"/>
          <w:szCs w:val="20"/>
          <w:lang w:val="en-US"/>
        </w:rPr>
        <w:t>As granting interim access approval is a matter for the Chief Superintendent or delegate, it is not considered appropriate to provide specific guidance in the COPD as to the exercise of the Chief Superintends (sic) discretion. By not providing such guidance – which may be in the form of step-by-step considerations as an example – QCS ensures that the decision-maker exercises their power independently and based on the circumstances at hand. At an operational level, Chief Superintendents or delegates may contact a superior officer within QCS Head Office for guidance if it is required. This approach is considered and allows flexibility.</w:t>
      </w:r>
    </w:p>
    <w:p w14:paraId="3FACBB25" w14:textId="1A4534A2" w:rsidR="00C432BD" w:rsidRDefault="00C432BD">
      <w:pPr>
        <w:pStyle w:val="response"/>
        <w:rPr>
          <w:lang w:val="en-US"/>
        </w:rPr>
      </w:pPr>
      <w:r>
        <w:rPr>
          <w:lang w:val="en-US"/>
        </w:rPr>
        <w:t xml:space="preserve">QCS further notes that C was permitted to have virtual visits and phone calls with his son. </w:t>
      </w:r>
      <w:r w:rsidR="00762DC1">
        <w:rPr>
          <w:lang w:val="en-US"/>
        </w:rPr>
        <w:t>QCS considers t</w:t>
      </w:r>
      <w:r>
        <w:rPr>
          <w:lang w:val="en-US"/>
        </w:rPr>
        <w:t xml:space="preserve">he addition of virtual visits </w:t>
      </w:r>
      <w:r w:rsidR="00762DC1">
        <w:rPr>
          <w:lang w:val="en-US"/>
        </w:rPr>
        <w:t xml:space="preserve">as an important step taken in recent years to ensure the familiar connection is maintained for prisoners and to support their associated human rights. </w:t>
      </w:r>
    </w:p>
    <w:p w14:paraId="6C00D82E" w14:textId="59ED7AA5" w:rsidR="00762DC1" w:rsidRDefault="00762DC1">
      <w:pPr>
        <w:pStyle w:val="response"/>
        <w:rPr>
          <w:lang w:val="en-US"/>
        </w:rPr>
      </w:pPr>
      <w:r>
        <w:rPr>
          <w:lang w:val="en-US"/>
        </w:rPr>
        <w:t xml:space="preserve">QCS says it will consider taking steps to include natural justice considerations in the personal visitors section of the QCS Directive. At an operational level, QCS advise that there are dedicated visits staff at each corrective services facility and if there are any questions in relation to the criminal history of an applicant, QCS staff may contact an applicant if considered appropriate. </w:t>
      </w:r>
    </w:p>
    <w:p w14:paraId="0686F8D1" w14:textId="77777777" w:rsidR="0004211F" w:rsidRPr="00676E12" w:rsidRDefault="0004211F" w:rsidP="0004211F">
      <w:pPr>
        <w:rPr>
          <w:lang w:val="en-US"/>
        </w:rPr>
      </w:pPr>
    </w:p>
    <w:bookmarkEnd w:id="8"/>
    <w:bookmarkEnd w:id="9"/>
    <w:p w14:paraId="12F4CEE9" w14:textId="309C7DA3" w:rsidR="00AB6C31" w:rsidRPr="000E6FAE" w:rsidRDefault="00400D03" w:rsidP="00A6318E">
      <w:pPr>
        <w:pStyle w:val="Heading2"/>
      </w:pPr>
      <w:r w:rsidRPr="000E6FAE">
        <w:lastRenderedPageBreak/>
        <w:t>Make reasonable</w:t>
      </w:r>
      <w:r w:rsidR="000B4BF6" w:rsidRPr="000E6FAE">
        <w:t xml:space="preserve"> </w:t>
      </w:r>
      <w:r w:rsidR="005139B8" w:rsidRPr="000E6FAE">
        <w:t>accommodations</w:t>
      </w:r>
      <w:r w:rsidRPr="000E6FAE">
        <w:t xml:space="preserve"> for visitors</w:t>
      </w:r>
    </w:p>
    <w:p w14:paraId="7DB3EDB1" w14:textId="4BB1E226" w:rsidR="00417CCB" w:rsidRPr="000E6FAE" w:rsidRDefault="005139B8" w:rsidP="007F14ED">
      <w:pPr>
        <w:pStyle w:val="Numberedparagraph"/>
      </w:pPr>
      <w:r w:rsidRPr="000E6FAE">
        <w:rPr>
          <w:lang w:val="en-US"/>
        </w:rPr>
        <w:t xml:space="preserve">C indicates in the complaint material that he has a hearing impairment and a brain injury. Had this been known by </w:t>
      </w:r>
      <w:r w:rsidR="00400D03" w:rsidRPr="000E6FAE">
        <w:rPr>
          <w:lang w:val="en-US"/>
        </w:rPr>
        <w:t xml:space="preserve">QCS </w:t>
      </w:r>
      <w:r w:rsidRPr="000E6FAE">
        <w:rPr>
          <w:lang w:val="en-US"/>
        </w:rPr>
        <w:t xml:space="preserve">staff and decision makers, </w:t>
      </w:r>
      <w:r w:rsidR="005C5F3C" w:rsidRPr="000E6FAE">
        <w:rPr>
          <w:lang w:val="en-US"/>
        </w:rPr>
        <w:t xml:space="preserve">reasonable </w:t>
      </w:r>
      <w:r w:rsidRPr="000E6FAE">
        <w:rPr>
          <w:lang w:val="en-US"/>
        </w:rPr>
        <w:t>accommodations might have been made to avoid C’s rising frustration</w:t>
      </w:r>
      <w:r w:rsidR="0095017B" w:rsidRPr="000E6FAE">
        <w:rPr>
          <w:lang w:val="en-US"/>
        </w:rPr>
        <w:t xml:space="preserve"> at the application process</w:t>
      </w:r>
      <w:r w:rsidRPr="000E6FAE">
        <w:rPr>
          <w:lang w:val="en-US"/>
        </w:rPr>
        <w:t xml:space="preserve"> and alleged behaviour.</w:t>
      </w:r>
    </w:p>
    <w:p w14:paraId="78726550" w14:textId="10F768E7" w:rsidR="005139B8" w:rsidRPr="000E6FAE" w:rsidRDefault="0095017B">
      <w:pPr>
        <w:pStyle w:val="Numberedparagraph"/>
      </w:pPr>
      <w:r w:rsidRPr="000E6FAE">
        <w:rPr>
          <w:lang w:val="en-US"/>
        </w:rPr>
        <w:t>Further, i</w:t>
      </w:r>
      <w:r w:rsidR="00417CCB" w:rsidRPr="000E6FAE">
        <w:rPr>
          <w:lang w:val="en-US"/>
        </w:rPr>
        <w:t xml:space="preserve">nformation about any </w:t>
      </w:r>
      <w:r w:rsidR="005C5F3C" w:rsidRPr="000E6FAE">
        <w:rPr>
          <w:lang w:val="en-US"/>
        </w:rPr>
        <w:t xml:space="preserve">reasonable </w:t>
      </w:r>
      <w:r w:rsidR="00417CCB" w:rsidRPr="000E6FAE">
        <w:rPr>
          <w:lang w:val="en-US"/>
        </w:rPr>
        <w:t xml:space="preserve">accommodations C might need to access visits will facilitate a successful visit and </w:t>
      </w:r>
      <w:r w:rsidR="00417CCB" w:rsidRPr="000E6FAE">
        <w:t>preserve the security or good order of the corrective services facility.</w:t>
      </w:r>
    </w:p>
    <w:p w14:paraId="383BEF70" w14:textId="70F9A7EF" w:rsidR="005C4C40" w:rsidRPr="000E6FAE" w:rsidRDefault="005C4C40">
      <w:pPr>
        <w:pStyle w:val="Numberedparagraph"/>
      </w:pPr>
      <w:r w:rsidRPr="000E6FAE">
        <w:t>Obtaining information of this nature further assists in protecting people’s rights to equality and ensuring people are treated without discrimination, directly or indirectly.</w:t>
      </w:r>
    </w:p>
    <w:p w14:paraId="504F8E1E" w14:textId="60F97E4C" w:rsidR="00F452EA" w:rsidRDefault="00417CCB" w:rsidP="007F14ED">
      <w:pPr>
        <w:pStyle w:val="recommendation"/>
      </w:pPr>
      <w:bookmarkStart w:id="10" w:name="_Hlk110951730"/>
      <w:r w:rsidRPr="007F14ED">
        <w:rPr>
          <w:rStyle w:val="Heading3Char"/>
        </w:rPr>
        <w:t>Recommendation</w:t>
      </w:r>
      <w:r w:rsidR="003778E2" w:rsidRPr="007F14ED">
        <w:rPr>
          <w:rStyle w:val="Heading3Char"/>
        </w:rPr>
        <w:t xml:space="preserve"> 4</w:t>
      </w:r>
      <w:r w:rsidRPr="007F14ED">
        <w:rPr>
          <w:rStyle w:val="Heading3Char"/>
        </w:rPr>
        <w:t>:</w:t>
      </w:r>
      <w:r w:rsidRPr="000E6FAE">
        <w:rPr>
          <w:b/>
        </w:rPr>
        <w:t xml:space="preserve"> </w:t>
      </w:r>
      <w:bookmarkStart w:id="11" w:name="_Hlk114227672"/>
      <w:r w:rsidRPr="000E6FAE">
        <w:t>Amend the application form for approval access</w:t>
      </w:r>
      <w:r w:rsidR="00FA0FD3" w:rsidRPr="000E6FAE">
        <w:t xml:space="preserve">, or incorporate into the information gathering process, the ability for </w:t>
      </w:r>
      <w:r w:rsidRPr="000E6FAE">
        <w:t>visitor</w:t>
      </w:r>
      <w:r w:rsidR="00FA0FD3" w:rsidRPr="000E6FAE">
        <w:t>s</w:t>
      </w:r>
      <w:r w:rsidRPr="000E6FAE">
        <w:t xml:space="preserve"> </w:t>
      </w:r>
      <w:r w:rsidR="00FA0FD3" w:rsidRPr="000E6FAE">
        <w:t xml:space="preserve">to </w:t>
      </w:r>
      <w:r w:rsidRPr="000E6FAE">
        <w:t xml:space="preserve">indicate any accommodation they may need to </w:t>
      </w:r>
      <w:r w:rsidR="00400D03" w:rsidRPr="000E6FAE">
        <w:t xml:space="preserve">participate in </w:t>
      </w:r>
      <w:r w:rsidRPr="000E6FAE">
        <w:t>the application process or visit the prison</w:t>
      </w:r>
      <w:r w:rsidR="00400D03" w:rsidRPr="000E6FAE">
        <w:t>er</w:t>
      </w:r>
      <w:r w:rsidRPr="000E6FAE">
        <w:t>.</w:t>
      </w:r>
      <w:bookmarkEnd w:id="11"/>
    </w:p>
    <w:p w14:paraId="2DCF18CC" w14:textId="77777777" w:rsidR="00177DE2" w:rsidRPr="00177DE2" w:rsidRDefault="0008605F">
      <w:pPr>
        <w:pStyle w:val="Heading3-response"/>
      </w:pPr>
      <w:r w:rsidRPr="007F14ED">
        <w:t>QCS response:</w:t>
      </w:r>
      <w:r w:rsidRPr="00177DE2">
        <w:t xml:space="preserve"> </w:t>
      </w:r>
    </w:p>
    <w:p w14:paraId="01D0E649" w14:textId="184F1B18" w:rsidR="0008605F" w:rsidRPr="00550C68" w:rsidRDefault="0008605F" w:rsidP="007F14ED">
      <w:pPr>
        <w:pStyle w:val="response"/>
        <w:rPr>
          <w:lang w:val="en-US"/>
        </w:rPr>
      </w:pPr>
      <w:r w:rsidRPr="00550C68">
        <w:t xml:space="preserve">QCS </w:t>
      </w:r>
      <w:r w:rsidRPr="003778E2">
        <w:t>notes that it has dedicated visits processing staff who can assist vi</w:t>
      </w:r>
      <w:r w:rsidRPr="007F3E8C">
        <w:t>sitors with enquiries and completing forms, and also has fact</w:t>
      </w:r>
      <w:r w:rsidRPr="0079682F">
        <w:t xml:space="preserve"> sheets at each corrective services </w:t>
      </w:r>
      <w:r w:rsidRPr="00300E93">
        <w:t>facility and online resources</w:t>
      </w:r>
      <w:r w:rsidR="003778E2" w:rsidRPr="00300E93">
        <w:t xml:space="preserve"> as to the visits process.</w:t>
      </w:r>
      <w:r w:rsidR="003778E2" w:rsidRPr="00DC4527">
        <w:t xml:space="preserve"> QCS</w:t>
      </w:r>
      <w:r w:rsidR="003778E2" w:rsidRPr="006943BB">
        <w:t xml:space="preserve"> says it</w:t>
      </w:r>
      <w:r w:rsidR="003778E2" w:rsidRPr="003778E2">
        <w:t xml:space="preserve"> </w:t>
      </w:r>
      <w:r w:rsidRPr="00550C68">
        <w:t xml:space="preserve">is open to amending the approved form to note that if an applicant needs to discuss the form, </w:t>
      </w:r>
      <w:r w:rsidR="003778E2" w:rsidRPr="00550C68">
        <w:t>they may contact the relevant corrective services facility.</w:t>
      </w:r>
    </w:p>
    <w:bookmarkEnd w:id="10"/>
    <w:p w14:paraId="300594A2" w14:textId="77777777" w:rsidR="00177DE2" w:rsidRDefault="00177DE2" w:rsidP="007F14ED"/>
    <w:p w14:paraId="422E3F2C" w14:textId="7CF722F9" w:rsidR="00F452EA" w:rsidRPr="000E6FAE" w:rsidRDefault="00400D03" w:rsidP="00A6318E">
      <w:pPr>
        <w:pStyle w:val="Heading2"/>
      </w:pPr>
      <w:r w:rsidRPr="000E6FAE">
        <w:t>Give proper consideration to human rights</w:t>
      </w:r>
    </w:p>
    <w:p w14:paraId="2471E3C1" w14:textId="2EB4162D" w:rsidR="001E621B" w:rsidRPr="000E6FAE" w:rsidRDefault="008D3634" w:rsidP="007F14ED">
      <w:pPr>
        <w:pStyle w:val="Numberedparagraph"/>
      </w:pPr>
      <w:r w:rsidRPr="000E6FAE">
        <w:t>Human rights</w:t>
      </w:r>
      <w:r w:rsidR="00170AE7" w:rsidRPr="000E6FAE">
        <w:t xml:space="preserve">, and the human rights obligations of </w:t>
      </w:r>
      <w:r w:rsidR="00400D03" w:rsidRPr="000E6FAE">
        <w:t>Q</w:t>
      </w:r>
      <w:r w:rsidR="00170AE7" w:rsidRPr="000E6FAE">
        <w:t>CS,</w:t>
      </w:r>
      <w:r w:rsidRPr="000E6FAE">
        <w:t xml:space="preserve"> </w:t>
      </w:r>
      <w:r w:rsidR="00170AE7" w:rsidRPr="000E6FAE">
        <w:t xml:space="preserve">are </w:t>
      </w:r>
      <w:r w:rsidR="00F452EA" w:rsidRPr="000E6FAE">
        <w:t xml:space="preserve">set out at the </w:t>
      </w:r>
      <w:r w:rsidR="00170AE7" w:rsidRPr="000E6FAE">
        <w:t xml:space="preserve">beginning </w:t>
      </w:r>
      <w:r w:rsidR="00F452EA" w:rsidRPr="000E6FAE">
        <w:t xml:space="preserve">of the </w:t>
      </w:r>
      <w:r w:rsidRPr="000E6FAE">
        <w:t>QCS Directive</w:t>
      </w:r>
      <w:r w:rsidR="00170AE7" w:rsidRPr="000E6FAE">
        <w:t>. The requirement to consider human rights are reinforced through</w:t>
      </w:r>
      <w:r w:rsidR="007016FC">
        <w:t>out</w:t>
      </w:r>
      <w:r w:rsidR="00170AE7" w:rsidRPr="000E6FAE">
        <w:t xml:space="preserve"> the QCS directive when making decisions:</w:t>
      </w:r>
    </w:p>
    <w:p w14:paraId="505D11E7" w14:textId="7C570445" w:rsidR="00170AE7" w:rsidRPr="000E6FAE" w:rsidRDefault="00E52B03" w:rsidP="007F14ED">
      <w:pPr>
        <w:pStyle w:val="Numberedparagraph"/>
        <w:numPr>
          <w:ilvl w:val="1"/>
          <w:numId w:val="13"/>
        </w:numPr>
      </w:pPr>
      <w:r w:rsidRPr="000E6FAE">
        <w:t>t</w:t>
      </w:r>
      <w:r w:rsidR="00170AE7" w:rsidRPr="000E6FAE">
        <w:t>o grant access approval</w:t>
      </w:r>
      <w:r w:rsidR="00400D03" w:rsidRPr="000E6FAE">
        <w:t>;</w:t>
      </w:r>
      <w:r w:rsidR="00400D03" w:rsidRPr="000E6FAE">
        <w:rPr>
          <w:rStyle w:val="FootnoteReference"/>
        </w:rPr>
        <w:footnoteReference w:id="25"/>
      </w:r>
      <w:r w:rsidR="00170AE7" w:rsidRPr="000E6FAE">
        <w:t xml:space="preserve"> </w:t>
      </w:r>
    </w:p>
    <w:p w14:paraId="4EC78340" w14:textId="5F469092" w:rsidR="00170AE7" w:rsidRPr="000E6FAE" w:rsidRDefault="00E52B03">
      <w:pPr>
        <w:pStyle w:val="Numberedparagraph"/>
        <w:numPr>
          <w:ilvl w:val="1"/>
          <w:numId w:val="13"/>
        </w:numPr>
      </w:pPr>
      <w:r w:rsidRPr="000E6FAE">
        <w:t>t</w:t>
      </w:r>
      <w:r w:rsidR="00170AE7" w:rsidRPr="000E6FAE">
        <w:t>o refuse access approval</w:t>
      </w:r>
      <w:r w:rsidR="007016FC">
        <w:t>;</w:t>
      </w:r>
      <w:r w:rsidR="00400D03" w:rsidRPr="000E6FAE">
        <w:rPr>
          <w:rStyle w:val="FootnoteReference"/>
        </w:rPr>
        <w:footnoteReference w:id="26"/>
      </w:r>
      <w:r w:rsidR="00170AE7" w:rsidRPr="000E6FAE">
        <w:t xml:space="preserve"> </w:t>
      </w:r>
    </w:p>
    <w:p w14:paraId="438FDFAA" w14:textId="777DB01F" w:rsidR="00170AE7" w:rsidRPr="000E6FAE" w:rsidRDefault="00E52B03">
      <w:pPr>
        <w:pStyle w:val="Numberedparagraph"/>
        <w:numPr>
          <w:ilvl w:val="1"/>
          <w:numId w:val="13"/>
        </w:numPr>
      </w:pPr>
      <w:r w:rsidRPr="000E6FAE">
        <w:t>t</w:t>
      </w:r>
      <w:r w:rsidR="00170AE7" w:rsidRPr="000E6FAE">
        <w:t>o suspend access approval</w:t>
      </w:r>
      <w:r w:rsidR="007016FC">
        <w:t>;</w:t>
      </w:r>
      <w:r w:rsidR="00400D03" w:rsidRPr="000E6FAE">
        <w:rPr>
          <w:rStyle w:val="FootnoteReference"/>
        </w:rPr>
        <w:footnoteReference w:id="27"/>
      </w:r>
      <w:r w:rsidR="00170AE7" w:rsidRPr="000E6FAE">
        <w:t xml:space="preserve"> </w:t>
      </w:r>
    </w:p>
    <w:p w14:paraId="32E5C146" w14:textId="3AE0011F" w:rsidR="00170AE7" w:rsidRPr="000E6FAE" w:rsidRDefault="00E52B03">
      <w:pPr>
        <w:pStyle w:val="Numberedparagraph"/>
        <w:numPr>
          <w:ilvl w:val="1"/>
          <w:numId w:val="13"/>
        </w:numPr>
      </w:pPr>
      <w:r w:rsidRPr="000E6FAE">
        <w:t>t</w:t>
      </w:r>
      <w:r w:rsidR="00170AE7" w:rsidRPr="000E6FAE">
        <w:t>o revoke access approval.</w:t>
      </w:r>
      <w:r w:rsidR="00400D03" w:rsidRPr="000E6FAE">
        <w:rPr>
          <w:rStyle w:val="FootnoteReference"/>
        </w:rPr>
        <w:footnoteReference w:id="28"/>
      </w:r>
    </w:p>
    <w:p w14:paraId="3093B9A7" w14:textId="04BF4F57" w:rsidR="00170AE7" w:rsidRPr="000E6FAE" w:rsidRDefault="00170AE7" w:rsidP="007F14ED">
      <w:pPr>
        <w:pStyle w:val="Numberedparagraph"/>
      </w:pPr>
      <w:r w:rsidRPr="000E6FAE">
        <w:lastRenderedPageBreak/>
        <w:t xml:space="preserve">Under the QCS Directive, the consideration of human rights in making the decision must be recorded on IOMS. </w:t>
      </w:r>
    </w:p>
    <w:p w14:paraId="1A1807A7" w14:textId="6CA5C462" w:rsidR="00031875" w:rsidRPr="000E6FAE" w:rsidRDefault="00031875">
      <w:pPr>
        <w:pStyle w:val="Numberedparagraph"/>
        <w:rPr>
          <w:lang w:val="en-US"/>
        </w:rPr>
      </w:pPr>
      <w:r w:rsidRPr="000E6FAE">
        <w:t xml:space="preserve">In the case of </w:t>
      </w:r>
      <w:r w:rsidRPr="000E6FAE">
        <w:rPr>
          <w:i/>
          <w:iCs/>
          <w:lang w:val="en-US"/>
        </w:rPr>
        <w:t xml:space="preserve">Owen-D’Arcy v Chief Executive, Queensland Corrective Services </w:t>
      </w:r>
      <w:r w:rsidRPr="000E6FAE">
        <w:rPr>
          <w:lang w:val="en-US"/>
        </w:rPr>
        <w:t xml:space="preserve">[2021] QCS 273, </w:t>
      </w:r>
      <w:r w:rsidR="00DF37C5" w:rsidRPr="000E6FAE">
        <w:rPr>
          <w:lang w:val="en-US"/>
        </w:rPr>
        <w:t>the court held that proper consideration be approached in a common sense and practical way</w:t>
      </w:r>
      <w:r w:rsidR="00E52B03" w:rsidRPr="000E6FAE">
        <w:rPr>
          <w:lang w:val="en-US"/>
        </w:rPr>
        <w:t>,</w:t>
      </w:r>
      <w:r w:rsidR="00DF37C5" w:rsidRPr="000E6FAE">
        <w:rPr>
          <w:lang w:val="en-US"/>
        </w:rPr>
        <w:t xml:space="preserve"> and </w:t>
      </w:r>
      <w:r w:rsidRPr="000E6FAE">
        <w:rPr>
          <w:lang w:val="en-US"/>
        </w:rPr>
        <w:t>involve</w:t>
      </w:r>
      <w:r w:rsidR="00DF37C5" w:rsidRPr="000E6FAE">
        <w:rPr>
          <w:lang w:val="en-US"/>
        </w:rPr>
        <w:t>s</w:t>
      </w:r>
      <w:r w:rsidRPr="000E6FAE">
        <w:rPr>
          <w:lang w:val="en-US"/>
        </w:rPr>
        <w:t>:</w:t>
      </w:r>
    </w:p>
    <w:p w14:paraId="40B703B7" w14:textId="3D2FED95" w:rsidR="00031875" w:rsidRPr="000E6FAE" w:rsidRDefault="00E52B03" w:rsidP="007F14ED">
      <w:pPr>
        <w:pStyle w:val="Numberedparagraph"/>
        <w:numPr>
          <w:ilvl w:val="1"/>
          <w:numId w:val="13"/>
        </w:numPr>
        <w:rPr>
          <w:shd w:val="clear" w:color="auto" w:fill="FFFFFF"/>
        </w:rPr>
      </w:pPr>
      <w:r w:rsidRPr="000E6FAE">
        <w:rPr>
          <w:shd w:val="clear" w:color="auto" w:fill="FFFFFF"/>
        </w:rPr>
        <w:t>i</w:t>
      </w:r>
      <w:r w:rsidR="00031875" w:rsidRPr="000E6FAE">
        <w:rPr>
          <w:shd w:val="clear" w:color="auto" w:fill="FFFFFF"/>
        </w:rPr>
        <w:t xml:space="preserve">dentifying which rights of the person may be affected by the decision; </w:t>
      </w:r>
    </w:p>
    <w:p w14:paraId="48164F02" w14:textId="6D97FCE7" w:rsidR="00031875" w:rsidRPr="000E6FAE" w:rsidRDefault="00E52B03">
      <w:pPr>
        <w:pStyle w:val="Numberedparagraph"/>
        <w:numPr>
          <w:ilvl w:val="1"/>
          <w:numId w:val="13"/>
        </w:numPr>
        <w:rPr>
          <w:shd w:val="clear" w:color="auto" w:fill="FFFFFF"/>
        </w:rPr>
      </w:pPr>
      <w:r w:rsidRPr="000E6FAE">
        <w:rPr>
          <w:shd w:val="clear" w:color="auto" w:fill="FFFFFF"/>
        </w:rPr>
        <w:t>s</w:t>
      </w:r>
      <w:r w:rsidR="00031875" w:rsidRPr="000E6FAE">
        <w:rPr>
          <w:shd w:val="clear" w:color="auto" w:fill="FFFFFF"/>
        </w:rPr>
        <w:t>eriously consider</w:t>
      </w:r>
      <w:r w:rsidR="00DF37C5" w:rsidRPr="000E6FAE">
        <w:rPr>
          <w:shd w:val="clear" w:color="auto" w:fill="FFFFFF"/>
        </w:rPr>
        <w:t>ing</w:t>
      </w:r>
      <w:r w:rsidR="00031875" w:rsidRPr="000E6FAE">
        <w:rPr>
          <w:shd w:val="clear" w:color="auto" w:fill="FFFFFF"/>
        </w:rPr>
        <w:t xml:space="preserve"> the impact of the decision on human rights;</w:t>
      </w:r>
    </w:p>
    <w:p w14:paraId="1AE1DD2A" w14:textId="4E4687F3" w:rsidR="00031875" w:rsidRPr="000E6FAE" w:rsidRDefault="00E52B03">
      <w:pPr>
        <w:pStyle w:val="Numberedparagraph"/>
        <w:numPr>
          <w:ilvl w:val="1"/>
          <w:numId w:val="13"/>
        </w:numPr>
        <w:rPr>
          <w:shd w:val="clear" w:color="auto" w:fill="FFFFFF"/>
        </w:rPr>
      </w:pPr>
      <w:r w:rsidRPr="000E6FAE">
        <w:rPr>
          <w:shd w:val="clear" w:color="auto" w:fill="FFFFFF"/>
        </w:rPr>
        <w:t>i</w:t>
      </w:r>
      <w:r w:rsidR="00031875" w:rsidRPr="000E6FAE">
        <w:rPr>
          <w:shd w:val="clear" w:color="auto" w:fill="FFFFFF"/>
        </w:rPr>
        <w:t>dentify</w:t>
      </w:r>
      <w:r w:rsidR="00DF37C5" w:rsidRPr="000E6FAE">
        <w:rPr>
          <w:shd w:val="clear" w:color="auto" w:fill="FFFFFF"/>
        </w:rPr>
        <w:t>ing</w:t>
      </w:r>
      <w:r w:rsidR="00031875" w:rsidRPr="000E6FAE">
        <w:rPr>
          <w:shd w:val="clear" w:color="auto" w:fill="FFFFFF"/>
        </w:rPr>
        <w:t xml:space="preserve"> counterveiling interests or obligations</w:t>
      </w:r>
      <w:r w:rsidR="0051543F">
        <w:rPr>
          <w:shd w:val="clear" w:color="auto" w:fill="FFFFFF"/>
        </w:rPr>
        <w:t>;</w:t>
      </w:r>
      <w:r w:rsidR="00031875" w:rsidRPr="000E6FAE">
        <w:rPr>
          <w:shd w:val="clear" w:color="auto" w:fill="FFFFFF"/>
        </w:rPr>
        <w:t xml:space="preserve"> </w:t>
      </w:r>
    </w:p>
    <w:p w14:paraId="65EE5B23" w14:textId="28C83C84" w:rsidR="00031875" w:rsidRPr="000E6FAE" w:rsidRDefault="00E52B03">
      <w:pPr>
        <w:pStyle w:val="Numberedparagraph"/>
        <w:numPr>
          <w:ilvl w:val="1"/>
          <w:numId w:val="13"/>
        </w:numPr>
        <w:rPr>
          <w:shd w:val="clear" w:color="auto" w:fill="FFFFFF"/>
        </w:rPr>
      </w:pPr>
      <w:r w:rsidRPr="000E6FAE">
        <w:rPr>
          <w:shd w:val="clear" w:color="auto" w:fill="FFFFFF"/>
        </w:rPr>
        <w:t>b</w:t>
      </w:r>
      <w:r w:rsidR="00031875" w:rsidRPr="000E6FAE">
        <w:rPr>
          <w:shd w:val="clear" w:color="auto" w:fill="FFFFFF"/>
        </w:rPr>
        <w:t>alanc</w:t>
      </w:r>
      <w:r w:rsidR="00DF37C5" w:rsidRPr="000E6FAE">
        <w:rPr>
          <w:shd w:val="clear" w:color="auto" w:fill="FFFFFF"/>
        </w:rPr>
        <w:t>ing</w:t>
      </w:r>
      <w:r w:rsidR="00031875" w:rsidRPr="000E6FAE">
        <w:rPr>
          <w:shd w:val="clear" w:color="auto" w:fill="FFFFFF"/>
        </w:rPr>
        <w:t xml:space="preserve"> competing private and public interests.</w:t>
      </w:r>
    </w:p>
    <w:p w14:paraId="6B2D99C6" w14:textId="7E308C2A" w:rsidR="0025495F" w:rsidRPr="000E6FAE" w:rsidRDefault="0025495F" w:rsidP="007F14ED">
      <w:pPr>
        <w:pStyle w:val="Numberedparagraph"/>
      </w:pPr>
      <w:r w:rsidRPr="000E6FAE">
        <w:t xml:space="preserve">The decision letters included with the complaint material, dated 8 June 2021 and 16 August 2021, do not include any reference to human rights. </w:t>
      </w:r>
    </w:p>
    <w:p w14:paraId="40347BF3" w14:textId="5A1F464C" w:rsidR="00622D1B" w:rsidRPr="000E6FAE" w:rsidRDefault="00622D1B">
      <w:pPr>
        <w:pStyle w:val="Numberedparagraph"/>
      </w:pPr>
      <w:r w:rsidRPr="000E6FAE">
        <w:t xml:space="preserve">While there is no requirement under the HR Act to inform the applicant of the consideration given human rights by the decision maker, the Commission considers this to be best practice. It both fulfils the objects of the Act, including to build a culture of human rights, </w:t>
      </w:r>
      <w:r w:rsidR="00ED0452" w:rsidRPr="000E6FAE">
        <w:t>supports transparent and accountable decision making</w:t>
      </w:r>
      <w:r w:rsidR="00E52B03" w:rsidRPr="000E6FAE">
        <w:t>,</w:t>
      </w:r>
      <w:r w:rsidR="00ED0452" w:rsidRPr="000E6FAE">
        <w:t xml:space="preserve"> and is </w:t>
      </w:r>
      <w:r w:rsidR="000B5D72" w:rsidRPr="000E6FAE">
        <w:t>consistent with the right to receive information under s</w:t>
      </w:r>
      <w:r w:rsidR="00E52B03" w:rsidRPr="000E6FAE">
        <w:t>ection</w:t>
      </w:r>
      <w:r w:rsidR="000B5D72" w:rsidRPr="000E6FAE">
        <w:t xml:space="preserve"> 21(2) of the HR Act. </w:t>
      </w:r>
    </w:p>
    <w:p w14:paraId="4101141A" w14:textId="66458908" w:rsidR="000E1F27" w:rsidRDefault="00622D1B" w:rsidP="007F14ED">
      <w:pPr>
        <w:pStyle w:val="recommendation"/>
      </w:pPr>
      <w:bookmarkStart w:id="12" w:name="_Hlk110951742"/>
      <w:r w:rsidRPr="007F14ED">
        <w:rPr>
          <w:rStyle w:val="Heading3Char"/>
        </w:rPr>
        <w:t>Recommendation</w:t>
      </w:r>
      <w:r w:rsidR="003778E2" w:rsidRPr="007F14ED">
        <w:rPr>
          <w:rStyle w:val="Heading3Char"/>
        </w:rPr>
        <w:t xml:space="preserve"> 5</w:t>
      </w:r>
      <w:r w:rsidRPr="007F14ED">
        <w:rPr>
          <w:rStyle w:val="Heading3Char"/>
        </w:rPr>
        <w:t>:</w:t>
      </w:r>
      <w:r w:rsidRPr="000E6FAE">
        <w:rPr>
          <w:b/>
        </w:rPr>
        <w:t xml:space="preserve"> </w:t>
      </w:r>
      <w:bookmarkStart w:id="13" w:name="_Hlk114227679"/>
      <w:r w:rsidRPr="000E6FAE">
        <w:t>In making a decision regarding visitor access</w:t>
      </w:r>
      <w:r w:rsidR="00A668BB">
        <w:t xml:space="preserve"> that limits rights</w:t>
      </w:r>
      <w:r w:rsidRPr="000E6FAE">
        <w:t xml:space="preserve">, </w:t>
      </w:r>
      <w:r w:rsidR="00A668BB">
        <w:t xml:space="preserve">include human rights considerations in the decision letter to the applicant. </w:t>
      </w:r>
      <w:bookmarkEnd w:id="13"/>
    </w:p>
    <w:p w14:paraId="6D8AE72D" w14:textId="77777777" w:rsidR="00177DE2" w:rsidRPr="007F14ED" w:rsidRDefault="003778E2">
      <w:pPr>
        <w:pStyle w:val="Heading3-response"/>
      </w:pPr>
      <w:r w:rsidRPr="007F14ED">
        <w:t xml:space="preserve">QCS response:  </w:t>
      </w:r>
    </w:p>
    <w:p w14:paraId="5F5BFBE5" w14:textId="35829495" w:rsidR="003778E2" w:rsidRDefault="003778E2" w:rsidP="007F14ED">
      <w:pPr>
        <w:pStyle w:val="response"/>
      </w:pPr>
      <w:r w:rsidRPr="00550C68">
        <w:t>QCS says</w:t>
      </w:r>
      <w:r>
        <w:t xml:space="preserve"> that it will consider including </w:t>
      </w:r>
      <w:r w:rsidR="00EF2F8D">
        <w:t xml:space="preserve">human rights considerations </w:t>
      </w:r>
      <w:r>
        <w:t xml:space="preserve">in correspondence issued on this point. </w:t>
      </w:r>
    </w:p>
    <w:p w14:paraId="13C4E78C" w14:textId="25F85E92" w:rsidR="003778E2" w:rsidRPr="003778E2" w:rsidRDefault="003778E2">
      <w:pPr>
        <w:pStyle w:val="response"/>
        <w:rPr>
          <w:b/>
          <w:bCs/>
        </w:rPr>
      </w:pPr>
      <w:r>
        <w:t>QCS clarifies that the fact that the letters issued in this case did not include such statements does not, on its face, indicate that human rights were not considered.</w:t>
      </w:r>
      <w:bookmarkEnd w:id="2"/>
      <w:bookmarkEnd w:id="3"/>
      <w:bookmarkEnd w:id="12"/>
    </w:p>
    <w:sectPr w:rsidR="003778E2" w:rsidRPr="003778E2" w:rsidSect="003E7ED6">
      <w:footerReference w:type="default" r:id="rId10"/>
      <w:pgSz w:w="11900" w:h="16840" w:code="9"/>
      <w:pgMar w:top="1440" w:right="1701" w:bottom="1361" w:left="170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E43B" w14:textId="77777777" w:rsidR="00A3629D" w:rsidRDefault="00A3629D" w:rsidP="0023707F">
      <w:r>
        <w:separator/>
      </w:r>
    </w:p>
    <w:p w14:paraId="7BC52A93" w14:textId="77777777" w:rsidR="00D2002F" w:rsidRDefault="00D2002F" w:rsidP="00177DE2"/>
  </w:endnote>
  <w:endnote w:type="continuationSeparator" w:id="0">
    <w:p w14:paraId="7CC326C5" w14:textId="77777777" w:rsidR="00A3629D" w:rsidRDefault="00A3629D" w:rsidP="002668C6">
      <w:r>
        <w:continuationSeparator/>
      </w:r>
    </w:p>
    <w:p w14:paraId="0310980A" w14:textId="77777777" w:rsidR="00D2002F" w:rsidRDefault="00D2002F" w:rsidP="00266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07F1" w14:textId="2C773224" w:rsidR="007C5B42" w:rsidRPr="007F14ED" w:rsidRDefault="002668C6">
    <w:pPr>
      <w:pStyle w:val="Footer"/>
      <w:rPr>
        <w:color w:val="004270"/>
        <w:sz w:val="20"/>
        <w:szCs w:val="20"/>
        <w:lang w:val="en-US"/>
      </w:rPr>
    </w:pPr>
    <w:r w:rsidRPr="007F14ED">
      <w:rPr>
        <w:color w:val="004270"/>
        <w:sz w:val="20"/>
        <w:szCs w:val="20"/>
        <w:lang w:val="en-US"/>
      </w:rPr>
      <w:t xml:space="preserve">Queensland Human Rights Commission | </w:t>
    </w:r>
    <w:r w:rsidRPr="007F14ED">
      <w:rPr>
        <w:color w:val="004270"/>
        <w:sz w:val="20"/>
        <w:szCs w:val="20"/>
      </w:rPr>
      <w:t>www.qhrc.qld.gov.au</w:t>
    </w:r>
    <w:r w:rsidRPr="007F14ED">
      <w:rPr>
        <w:color w:val="004270"/>
        <w:sz w:val="20"/>
        <w:szCs w:val="20"/>
        <w:lang w:val="en-US"/>
      </w:rPr>
      <w:tab/>
    </w:r>
    <w:r w:rsidRPr="007F14ED">
      <w:rPr>
        <w:color w:val="004270"/>
        <w:sz w:val="20"/>
        <w:szCs w:val="20"/>
        <w:lang w:val="en-US"/>
      </w:rPr>
      <w:fldChar w:fldCharType="begin"/>
    </w:r>
    <w:r w:rsidRPr="007F14ED">
      <w:rPr>
        <w:color w:val="004270"/>
        <w:sz w:val="20"/>
        <w:szCs w:val="20"/>
        <w:lang w:val="en-US"/>
      </w:rPr>
      <w:instrText xml:space="preserve"> PAGE   \* MERGEFORMAT </w:instrText>
    </w:r>
    <w:r w:rsidRPr="007F14ED">
      <w:rPr>
        <w:color w:val="004270"/>
        <w:sz w:val="20"/>
        <w:szCs w:val="20"/>
        <w:lang w:val="en-US"/>
      </w:rPr>
      <w:fldChar w:fldCharType="separate"/>
    </w:r>
    <w:r w:rsidRPr="007F14ED">
      <w:rPr>
        <w:noProof/>
        <w:color w:val="004270"/>
        <w:sz w:val="20"/>
        <w:szCs w:val="20"/>
        <w:lang w:val="en-US"/>
      </w:rPr>
      <w:t>1</w:t>
    </w:r>
    <w:r w:rsidRPr="007F14ED">
      <w:rPr>
        <w:noProof/>
        <w:color w:val="004270"/>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0815" w14:textId="77777777" w:rsidR="00A3629D" w:rsidRDefault="00A3629D" w:rsidP="00C378CC">
      <w:r>
        <w:separator/>
      </w:r>
    </w:p>
  </w:footnote>
  <w:footnote w:type="continuationSeparator" w:id="0">
    <w:p w14:paraId="16449B81" w14:textId="77777777" w:rsidR="00A3629D" w:rsidRDefault="00A3629D" w:rsidP="009B40A7">
      <w:r>
        <w:continuationSeparator/>
      </w:r>
    </w:p>
    <w:p w14:paraId="5AB67667" w14:textId="77777777" w:rsidR="00D2002F" w:rsidRDefault="00D2002F" w:rsidP="009B40A7"/>
  </w:footnote>
  <w:footnote w:id="1">
    <w:p w14:paraId="3F408A10" w14:textId="3865CD70" w:rsidR="003821DF" w:rsidRPr="009B5547" w:rsidRDefault="003821DF" w:rsidP="007933E8">
      <w:pPr>
        <w:pStyle w:val="FootnoteText"/>
        <w:spacing w:after="0"/>
        <w:rPr>
          <w:lang w:val="en-US"/>
        </w:rPr>
      </w:pPr>
      <w:r>
        <w:rPr>
          <w:rStyle w:val="FootnoteReference"/>
        </w:rPr>
        <w:footnoteRef/>
      </w:r>
      <w:r>
        <w:t xml:space="preserve"> </w:t>
      </w:r>
      <w:r>
        <w:rPr>
          <w:lang w:val="en-US"/>
        </w:rPr>
        <w:t>As per letter from WCC to C dated 16 August 2021.</w:t>
      </w:r>
    </w:p>
  </w:footnote>
  <w:footnote w:id="2">
    <w:p w14:paraId="3FBE04EA" w14:textId="25D2399C" w:rsidR="00184B11" w:rsidRPr="00184B11" w:rsidRDefault="00184B11" w:rsidP="007933E8">
      <w:pPr>
        <w:pStyle w:val="FootnoteText"/>
        <w:spacing w:after="0"/>
        <w:rPr>
          <w:lang w:val="en-US"/>
        </w:rPr>
      </w:pPr>
      <w:r>
        <w:rPr>
          <w:rStyle w:val="FootnoteReference"/>
        </w:rPr>
        <w:footnoteRef/>
      </w:r>
      <w:r>
        <w:t xml:space="preserve"> </w:t>
      </w:r>
      <w:r w:rsidR="00065FE2" w:rsidRPr="007933E8">
        <w:rPr>
          <w:i/>
          <w:iCs/>
        </w:rPr>
        <w:t>Corrective Services Act 2006</w:t>
      </w:r>
      <w:r w:rsidR="00065FE2">
        <w:t xml:space="preserve"> </w:t>
      </w:r>
      <w:r w:rsidR="00065FE2" w:rsidRPr="00184B11">
        <w:t>(Qld)</w:t>
      </w:r>
      <w:r w:rsidR="00065FE2">
        <w:t xml:space="preserve"> ss 155 – 156.</w:t>
      </w:r>
    </w:p>
  </w:footnote>
  <w:footnote w:id="3">
    <w:p w14:paraId="43D2D43B" w14:textId="6511C995" w:rsidR="00065FE2" w:rsidRPr="00065FE2" w:rsidRDefault="00065FE2" w:rsidP="007933E8">
      <w:pPr>
        <w:pStyle w:val="FootnoteText"/>
        <w:spacing w:after="0"/>
        <w:rPr>
          <w:lang w:val="en-US"/>
        </w:rPr>
      </w:pPr>
      <w:r>
        <w:rPr>
          <w:rStyle w:val="FootnoteReference"/>
        </w:rPr>
        <w:footnoteRef/>
      </w:r>
      <w:r>
        <w:t xml:space="preserve"> </w:t>
      </w:r>
      <w:r w:rsidR="00195845" w:rsidRPr="007933E8">
        <w:rPr>
          <w:i/>
          <w:iCs/>
        </w:rPr>
        <w:t>Corrective Services Act 2006</w:t>
      </w:r>
      <w:r w:rsidR="00195845">
        <w:t xml:space="preserve"> </w:t>
      </w:r>
      <w:r w:rsidR="00195845" w:rsidRPr="00184B11">
        <w:t>(Qld)</w:t>
      </w:r>
      <w:r w:rsidR="00195845">
        <w:t xml:space="preserve"> </w:t>
      </w:r>
      <w:r>
        <w:t>s 156A</w:t>
      </w:r>
      <w:r w:rsidR="00195845">
        <w:t>.</w:t>
      </w:r>
    </w:p>
  </w:footnote>
  <w:footnote w:id="4">
    <w:p w14:paraId="4907CC4C" w14:textId="48EFC50D" w:rsidR="00065FE2" w:rsidRPr="00065FE2" w:rsidRDefault="00065FE2" w:rsidP="007933E8">
      <w:pPr>
        <w:pStyle w:val="FootnoteText"/>
        <w:spacing w:after="0"/>
        <w:rPr>
          <w:lang w:val="en-US"/>
        </w:rPr>
      </w:pPr>
      <w:r>
        <w:rPr>
          <w:rStyle w:val="FootnoteReference"/>
        </w:rPr>
        <w:footnoteRef/>
      </w:r>
      <w:r>
        <w:t xml:space="preserve"> </w:t>
      </w:r>
      <w:r w:rsidR="00195845" w:rsidRPr="007933E8">
        <w:rPr>
          <w:i/>
          <w:iCs/>
        </w:rPr>
        <w:t>Corrective Services Act 2006</w:t>
      </w:r>
      <w:r w:rsidR="00195845">
        <w:t xml:space="preserve"> </w:t>
      </w:r>
      <w:r w:rsidR="00195845" w:rsidRPr="00184B11">
        <w:t>(Qld)</w:t>
      </w:r>
      <w:r w:rsidR="00195845">
        <w:t xml:space="preserve"> </w:t>
      </w:r>
      <w:r>
        <w:t>s 156(6) – (11)</w:t>
      </w:r>
      <w:r w:rsidR="00195845">
        <w:t>.</w:t>
      </w:r>
    </w:p>
  </w:footnote>
  <w:footnote w:id="5">
    <w:p w14:paraId="24441B90" w14:textId="7D74CD67" w:rsidR="00065FE2" w:rsidRPr="00065FE2" w:rsidRDefault="00065FE2" w:rsidP="007933E8">
      <w:pPr>
        <w:pStyle w:val="FootnoteText"/>
        <w:spacing w:after="0"/>
        <w:rPr>
          <w:lang w:val="en-US"/>
        </w:rPr>
      </w:pPr>
      <w:r>
        <w:rPr>
          <w:rStyle w:val="FootnoteReference"/>
        </w:rPr>
        <w:footnoteRef/>
      </w:r>
      <w:r>
        <w:t xml:space="preserve"> </w:t>
      </w:r>
      <w:r w:rsidR="00195845" w:rsidRPr="007933E8">
        <w:rPr>
          <w:i/>
          <w:iCs/>
        </w:rPr>
        <w:t>Corrective Services Act 2006</w:t>
      </w:r>
      <w:r w:rsidR="00195845">
        <w:t xml:space="preserve"> </w:t>
      </w:r>
      <w:r w:rsidR="00195845" w:rsidRPr="00184B11">
        <w:t>(Qld)</w:t>
      </w:r>
      <w:r w:rsidR="00195845">
        <w:t xml:space="preserve"> </w:t>
      </w:r>
      <w:r>
        <w:t>s 156(2)</w:t>
      </w:r>
      <w:r w:rsidR="00195845">
        <w:t>.</w:t>
      </w:r>
    </w:p>
  </w:footnote>
  <w:footnote w:id="6">
    <w:p w14:paraId="2E058034" w14:textId="62170C33" w:rsidR="00065FE2" w:rsidRPr="00065FE2" w:rsidRDefault="00065FE2" w:rsidP="007933E8">
      <w:pPr>
        <w:pStyle w:val="FootnoteText"/>
        <w:spacing w:after="0"/>
        <w:rPr>
          <w:lang w:val="en-US"/>
        </w:rPr>
      </w:pPr>
      <w:r>
        <w:rPr>
          <w:rStyle w:val="FootnoteReference"/>
        </w:rPr>
        <w:footnoteRef/>
      </w:r>
      <w:r>
        <w:t xml:space="preserve"> </w:t>
      </w:r>
      <w:r w:rsidR="00195845" w:rsidRPr="007933E8">
        <w:rPr>
          <w:i/>
          <w:iCs/>
        </w:rPr>
        <w:t>Corrective Services Act 2006</w:t>
      </w:r>
      <w:r w:rsidR="00195845">
        <w:t xml:space="preserve"> </w:t>
      </w:r>
      <w:r w:rsidR="00195845" w:rsidRPr="00184B11">
        <w:t>(Qld)</w:t>
      </w:r>
      <w:r w:rsidR="00195845">
        <w:t xml:space="preserve"> </w:t>
      </w:r>
      <w:r>
        <w:t>s 334</w:t>
      </w:r>
      <w:r w:rsidR="00195845">
        <w:t>.</w:t>
      </w:r>
    </w:p>
  </w:footnote>
  <w:footnote w:id="7">
    <w:p w14:paraId="7AFCC9D2" w14:textId="46879DCC" w:rsidR="00065FE2" w:rsidRPr="00065FE2" w:rsidRDefault="00065FE2" w:rsidP="007933E8">
      <w:pPr>
        <w:pStyle w:val="FootnoteText"/>
        <w:spacing w:after="0"/>
        <w:rPr>
          <w:lang w:val="en-US"/>
        </w:rPr>
      </w:pPr>
      <w:r>
        <w:rPr>
          <w:rStyle w:val="FootnoteReference"/>
        </w:rPr>
        <w:footnoteRef/>
      </w:r>
      <w:r>
        <w:t xml:space="preserve"> </w:t>
      </w:r>
      <w:r w:rsidR="00195845" w:rsidRPr="007933E8">
        <w:rPr>
          <w:i/>
          <w:iCs/>
        </w:rPr>
        <w:t>Corrective Services Act 2006</w:t>
      </w:r>
      <w:r w:rsidR="00195845">
        <w:t xml:space="preserve"> </w:t>
      </w:r>
      <w:r w:rsidR="00195845" w:rsidRPr="00184B11">
        <w:t>(Qld)</w:t>
      </w:r>
      <w:r w:rsidR="00195845">
        <w:t xml:space="preserve"> </w:t>
      </w:r>
      <w:r>
        <w:t>s 337</w:t>
      </w:r>
      <w:r w:rsidR="00195845">
        <w:t>.</w:t>
      </w:r>
    </w:p>
  </w:footnote>
  <w:footnote w:id="8">
    <w:p w14:paraId="5EADDB04" w14:textId="77777777" w:rsidR="003356D8" w:rsidRPr="00065FE2" w:rsidRDefault="003356D8" w:rsidP="007933E8">
      <w:pPr>
        <w:pStyle w:val="FootnoteText"/>
        <w:spacing w:after="0"/>
        <w:rPr>
          <w:lang w:val="en-US"/>
        </w:rPr>
      </w:pPr>
      <w:r>
        <w:rPr>
          <w:rStyle w:val="FootnoteReference"/>
        </w:rPr>
        <w:footnoteRef/>
      </w:r>
      <w:r>
        <w:t xml:space="preserve"> </w:t>
      </w:r>
      <w:r w:rsidRPr="007933E8">
        <w:rPr>
          <w:i/>
          <w:iCs/>
        </w:rPr>
        <w:t>Corrective Services Act 2006</w:t>
      </w:r>
      <w:r>
        <w:t xml:space="preserve"> </w:t>
      </w:r>
      <w:r w:rsidRPr="00184B11">
        <w:t>(Qld)</w:t>
      </w:r>
      <w:r>
        <w:t xml:space="preserve"> s 157.</w:t>
      </w:r>
    </w:p>
  </w:footnote>
  <w:footnote w:id="9">
    <w:p w14:paraId="3E8B796E" w14:textId="50D7FEE8" w:rsidR="003356D8" w:rsidRPr="003356D8" w:rsidRDefault="003356D8" w:rsidP="007933E8">
      <w:pPr>
        <w:pStyle w:val="FootnoteText"/>
        <w:spacing w:after="0"/>
        <w:rPr>
          <w:lang w:val="en-US"/>
        </w:rPr>
      </w:pPr>
      <w:r>
        <w:rPr>
          <w:rStyle w:val="FootnoteReference"/>
        </w:rPr>
        <w:footnoteRef/>
      </w:r>
      <w:r>
        <w:t xml:space="preserve"> </w:t>
      </w:r>
      <w:r w:rsidRPr="007933E8">
        <w:rPr>
          <w:i/>
          <w:iCs/>
        </w:rPr>
        <w:t>Corrective Services Act 2006</w:t>
      </w:r>
      <w:r>
        <w:t xml:space="preserve"> </w:t>
      </w:r>
      <w:r w:rsidRPr="00184B11">
        <w:t>(Qld)</w:t>
      </w:r>
      <w:r>
        <w:t xml:space="preserve"> s 157A.</w:t>
      </w:r>
    </w:p>
  </w:footnote>
  <w:footnote w:id="10">
    <w:p w14:paraId="44A10EDF" w14:textId="7B38001A" w:rsidR="00F309DC" w:rsidRPr="00F309DC" w:rsidRDefault="00F309DC" w:rsidP="007933E8">
      <w:pPr>
        <w:pStyle w:val="FootnoteText"/>
        <w:spacing w:after="0"/>
        <w:rPr>
          <w:lang w:val="en-US"/>
        </w:rPr>
      </w:pPr>
      <w:r>
        <w:rPr>
          <w:rStyle w:val="FootnoteReference"/>
        </w:rPr>
        <w:footnoteRef/>
      </w:r>
      <w:r>
        <w:t xml:space="preserve"> </w:t>
      </w:r>
      <w:r w:rsidRPr="007933E8">
        <w:rPr>
          <w:i/>
          <w:iCs/>
        </w:rPr>
        <w:t>Human Rights Act 2019</w:t>
      </w:r>
      <w:r>
        <w:t xml:space="preserve"> (Qld) s 58(1).</w:t>
      </w:r>
    </w:p>
  </w:footnote>
  <w:footnote w:id="11">
    <w:p w14:paraId="235AE317" w14:textId="77777777" w:rsidR="00CD062D" w:rsidRPr="00195845" w:rsidRDefault="00CD062D" w:rsidP="007933E8">
      <w:pPr>
        <w:pStyle w:val="FootnoteText"/>
        <w:spacing w:after="0"/>
        <w:rPr>
          <w:lang w:val="en-US"/>
        </w:rPr>
      </w:pPr>
      <w:r>
        <w:rPr>
          <w:rStyle w:val="FootnoteReference"/>
        </w:rPr>
        <w:footnoteRef/>
      </w:r>
      <w:r>
        <w:t xml:space="preserve"> </w:t>
      </w:r>
      <w:r w:rsidRPr="00195845">
        <w:rPr>
          <w:i/>
          <w:iCs/>
        </w:rPr>
        <w:t>Human Rights Act 2019</w:t>
      </w:r>
      <w:r>
        <w:t xml:space="preserve"> (Qld) ss 8 and 13. </w:t>
      </w:r>
    </w:p>
  </w:footnote>
  <w:footnote w:id="12">
    <w:p w14:paraId="70C6A1A0" w14:textId="77777777" w:rsidR="00CD062D" w:rsidRPr="00195845" w:rsidRDefault="00CD062D" w:rsidP="007933E8">
      <w:pPr>
        <w:pStyle w:val="FootnoteText"/>
        <w:spacing w:after="0"/>
        <w:rPr>
          <w:lang w:val="en-US"/>
        </w:rPr>
      </w:pPr>
      <w:r>
        <w:rPr>
          <w:rStyle w:val="FootnoteReference"/>
        </w:rPr>
        <w:footnoteRef/>
      </w:r>
      <w:r>
        <w:t xml:space="preserve"> </w:t>
      </w:r>
      <w:r w:rsidRPr="007933E8">
        <w:rPr>
          <w:i/>
          <w:iCs/>
        </w:rPr>
        <w:t>Human Rights Act 2019</w:t>
      </w:r>
      <w:r>
        <w:t xml:space="preserve"> (Qld) s 58(5).</w:t>
      </w:r>
    </w:p>
  </w:footnote>
  <w:footnote w:id="13">
    <w:p w14:paraId="117E412E" w14:textId="77777777" w:rsidR="00CD062D" w:rsidRPr="00065FE2" w:rsidRDefault="00CD062D" w:rsidP="007933E8">
      <w:pPr>
        <w:pStyle w:val="FootnoteText"/>
        <w:spacing w:after="0"/>
        <w:rPr>
          <w:lang w:val="en-US"/>
        </w:rPr>
      </w:pPr>
      <w:r>
        <w:rPr>
          <w:rStyle w:val="FootnoteReference"/>
        </w:rPr>
        <w:footnoteRef/>
      </w:r>
      <w:r>
        <w:t xml:space="preserve"> Explanatory Notes, Corrective Services Bill 2006 (Qld) 13.</w:t>
      </w:r>
    </w:p>
  </w:footnote>
  <w:footnote w:id="14">
    <w:p w14:paraId="3397320A" w14:textId="77777777" w:rsidR="00CD062D" w:rsidRPr="00195845" w:rsidRDefault="00CD062D" w:rsidP="007933E8">
      <w:pPr>
        <w:pStyle w:val="FootnoteText"/>
        <w:spacing w:after="0"/>
        <w:rPr>
          <w:lang w:val="en-US"/>
        </w:rPr>
      </w:pPr>
      <w:r>
        <w:rPr>
          <w:rStyle w:val="FootnoteReference"/>
        </w:rPr>
        <w:footnoteRef/>
      </w:r>
      <w:r>
        <w:t xml:space="preserve"> </w:t>
      </w:r>
      <w:r w:rsidRPr="007933E8">
        <w:rPr>
          <w:i/>
          <w:iCs/>
        </w:rPr>
        <w:t>Human Rights Act 2019</w:t>
      </w:r>
      <w:r>
        <w:t xml:space="preserve"> (Qld) s 26.</w:t>
      </w:r>
    </w:p>
  </w:footnote>
  <w:footnote w:id="15">
    <w:p w14:paraId="4A67898A" w14:textId="77777777" w:rsidR="00CD062D" w:rsidRPr="00195845" w:rsidRDefault="00CD062D" w:rsidP="007933E8">
      <w:pPr>
        <w:pStyle w:val="FootnoteText"/>
        <w:spacing w:after="0"/>
        <w:rPr>
          <w:lang w:val="en-US"/>
        </w:rPr>
      </w:pPr>
      <w:r>
        <w:rPr>
          <w:rStyle w:val="FootnoteReference"/>
        </w:rPr>
        <w:footnoteRef/>
      </w:r>
      <w:r>
        <w:t xml:space="preserve"> </w:t>
      </w:r>
      <w:r w:rsidRPr="007933E8">
        <w:rPr>
          <w:i/>
          <w:iCs/>
        </w:rPr>
        <w:t>Human Rights Act 2019</w:t>
      </w:r>
      <w:r>
        <w:t xml:space="preserve"> (Qld) s 25.</w:t>
      </w:r>
    </w:p>
  </w:footnote>
  <w:footnote w:id="16">
    <w:p w14:paraId="01146028" w14:textId="77777777" w:rsidR="00CD062D" w:rsidRPr="00195845" w:rsidRDefault="00CD062D" w:rsidP="007933E8">
      <w:pPr>
        <w:pStyle w:val="FootnoteText"/>
        <w:spacing w:after="0"/>
        <w:rPr>
          <w:lang w:val="en-US"/>
        </w:rPr>
      </w:pPr>
      <w:r>
        <w:rPr>
          <w:rStyle w:val="FootnoteReference"/>
        </w:rPr>
        <w:footnoteRef/>
      </w:r>
      <w:r>
        <w:t xml:space="preserve"> </w:t>
      </w:r>
      <w:r w:rsidRPr="007933E8">
        <w:rPr>
          <w:i/>
          <w:iCs/>
        </w:rPr>
        <w:t>Human Rights Act 2019</w:t>
      </w:r>
      <w:r>
        <w:t xml:space="preserve"> (Qld) </w:t>
      </w:r>
      <w:r>
        <w:rPr>
          <w:lang w:val="en-US"/>
        </w:rPr>
        <w:t>28.</w:t>
      </w:r>
    </w:p>
  </w:footnote>
  <w:footnote w:id="17">
    <w:p w14:paraId="05B99D06" w14:textId="77777777" w:rsidR="00CD062D" w:rsidRPr="00195845" w:rsidRDefault="00CD062D" w:rsidP="007933E8">
      <w:pPr>
        <w:pStyle w:val="FootnoteText"/>
        <w:spacing w:after="0"/>
        <w:rPr>
          <w:lang w:val="en-US"/>
        </w:rPr>
      </w:pPr>
      <w:r>
        <w:rPr>
          <w:rStyle w:val="FootnoteReference"/>
        </w:rPr>
        <w:footnoteRef/>
      </w:r>
      <w:r>
        <w:t xml:space="preserve"> </w:t>
      </w:r>
      <w:r w:rsidRPr="007933E8">
        <w:rPr>
          <w:i/>
          <w:iCs/>
        </w:rPr>
        <w:t>Human Rights Act 2019</w:t>
      </w:r>
      <w:r>
        <w:t xml:space="preserve"> (Qld) s 30.</w:t>
      </w:r>
    </w:p>
  </w:footnote>
  <w:footnote w:id="18">
    <w:p w14:paraId="7D11AA78" w14:textId="563A809D" w:rsidR="008557B0" w:rsidRPr="008557B0" w:rsidRDefault="008557B0" w:rsidP="007933E8">
      <w:pPr>
        <w:pStyle w:val="FootnoteText"/>
        <w:spacing w:after="0"/>
        <w:rPr>
          <w:lang w:val="en-US"/>
        </w:rPr>
      </w:pPr>
      <w:r>
        <w:rPr>
          <w:rStyle w:val="FootnoteReference"/>
        </w:rPr>
        <w:footnoteRef/>
      </w:r>
      <w:r>
        <w:t xml:space="preserve"> </w:t>
      </w:r>
      <w:r w:rsidRPr="007933E8">
        <w:rPr>
          <w:i/>
          <w:iCs/>
          <w:lang w:val="en-US"/>
        </w:rPr>
        <w:t>Corrective Services Act 2006</w:t>
      </w:r>
      <w:r>
        <w:rPr>
          <w:lang w:val="en-US"/>
        </w:rPr>
        <w:t xml:space="preserve"> (Qld) s 157(6)-(8)</w:t>
      </w:r>
      <w:r w:rsidR="00EB0A49">
        <w:rPr>
          <w:lang w:val="en-US"/>
        </w:rPr>
        <w:t>.</w:t>
      </w:r>
      <w:r>
        <w:rPr>
          <w:lang w:val="en-US"/>
        </w:rPr>
        <w:t xml:space="preserve"> </w:t>
      </w:r>
    </w:p>
  </w:footnote>
  <w:footnote w:id="19">
    <w:p w14:paraId="1FB0235E" w14:textId="7A2C5407" w:rsidR="00237691" w:rsidRPr="009B5547" w:rsidRDefault="00237691" w:rsidP="007933E8">
      <w:pPr>
        <w:pStyle w:val="FootnoteText"/>
        <w:spacing w:after="0"/>
        <w:rPr>
          <w:lang w:val="en-US"/>
        </w:rPr>
      </w:pPr>
      <w:r>
        <w:rPr>
          <w:rStyle w:val="FootnoteReference"/>
        </w:rPr>
        <w:footnoteRef/>
      </w:r>
      <w:r>
        <w:t xml:space="preserve"> </w:t>
      </w:r>
      <w:r w:rsidR="00191D0C" w:rsidRPr="00191D0C">
        <w:t>Queensland Corrective Services</w:t>
      </w:r>
      <w:r w:rsidR="00191D0C" w:rsidRPr="000E6FAE">
        <w:rPr>
          <w:i/>
          <w:iCs/>
        </w:rPr>
        <w:t>, Custodial Operations Practice Directive: Visitors to a Facility – Visits Process</w:t>
      </w:r>
      <w:r w:rsidR="00191D0C" w:rsidRPr="00191D0C">
        <w:t>, version 08, 07/07/2022.</w:t>
      </w:r>
      <w:r w:rsidR="00191D0C">
        <w:t xml:space="preserve"> </w:t>
      </w:r>
      <w:r w:rsidR="00A17906" w:rsidRPr="006E42E5">
        <w:t>Versions of the Practice Directive in place at the time the complaint allegations took place contain similar provisions.</w:t>
      </w:r>
    </w:p>
  </w:footnote>
  <w:footnote w:id="20">
    <w:p w14:paraId="5CFD88B0" w14:textId="676B4C98" w:rsidR="005379BA" w:rsidRPr="005379BA" w:rsidRDefault="005379BA" w:rsidP="007933E8">
      <w:pPr>
        <w:pStyle w:val="FootnoteText"/>
        <w:spacing w:after="0"/>
        <w:rPr>
          <w:lang w:val="en-US"/>
        </w:rPr>
      </w:pPr>
      <w:r>
        <w:rPr>
          <w:rStyle w:val="FootnoteReference"/>
        </w:rPr>
        <w:footnoteRef/>
      </w:r>
      <w:r>
        <w:t xml:space="preserve"> </w:t>
      </w:r>
      <w:r w:rsidR="00AE38AF">
        <w:t xml:space="preserve">Ibid </w:t>
      </w:r>
      <w:r w:rsidR="00AA3BE0">
        <w:t>7</w:t>
      </w:r>
      <w:r w:rsidR="00AE38AF">
        <w:t>.</w:t>
      </w:r>
    </w:p>
  </w:footnote>
  <w:footnote w:id="21">
    <w:p w14:paraId="1F7B8D33" w14:textId="3AEB1401" w:rsidR="00540580" w:rsidRPr="00540580" w:rsidRDefault="00540580" w:rsidP="007933E8">
      <w:pPr>
        <w:pStyle w:val="FootnoteText"/>
        <w:spacing w:after="0"/>
        <w:rPr>
          <w:lang w:val="en-US"/>
        </w:rPr>
      </w:pPr>
      <w:r>
        <w:rPr>
          <w:rStyle w:val="FootnoteReference"/>
        </w:rPr>
        <w:footnoteRef/>
      </w:r>
      <w:r>
        <w:t xml:space="preserve"> </w:t>
      </w:r>
      <w:r w:rsidR="00AE38AF">
        <w:t xml:space="preserve">Ibid </w:t>
      </w:r>
      <w:r>
        <w:t>7</w:t>
      </w:r>
      <w:r w:rsidR="00AE38AF">
        <w:t>.</w:t>
      </w:r>
    </w:p>
  </w:footnote>
  <w:footnote w:id="22">
    <w:p w14:paraId="337465E8" w14:textId="1477B391" w:rsidR="00AA3BE0" w:rsidRPr="00AA3BE0" w:rsidRDefault="00AA3BE0" w:rsidP="007933E8">
      <w:pPr>
        <w:pStyle w:val="FootnoteText"/>
        <w:spacing w:after="0"/>
        <w:rPr>
          <w:lang w:val="en-US"/>
        </w:rPr>
      </w:pPr>
      <w:r>
        <w:rPr>
          <w:rStyle w:val="FootnoteReference"/>
        </w:rPr>
        <w:footnoteRef/>
      </w:r>
      <w:r>
        <w:t xml:space="preserve"> </w:t>
      </w:r>
      <w:r w:rsidR="00AE38AF">
        <w:t>Ibid</w:t>
      </w:r>
      <w:r w:rsidR="00AE38AF" w:rsidRPr="00D22B4C" w:rsidDel="00AE38AF">
        <w:rPr>
          <w:rStyle w:val="eop"/>
          <w:color w:val="000000"/>
          <w:shd w:val="clear" w:color="auto" w:fill="FFFFFF"/>
        </w:rPr>
        <w:t xml:space="preserve"> </w:t>
      </w:r>
      <w:r w:rsidRPr="00D22B4C">
        <w:rPr>
          <w:rStyle w:val="eop"/>
          <w:color w:val="000000"/>
          <w:shd w:val="clear" w:color="auto" w:fill="FFFFFF"/>
        </w:rPr>
        <w:t>8-9</w:t>
      </w:r>
      <w:r w:rsidR="00AE38AF">
        <w:rPr>
          <w:rStyle w:val="eop"/>
          <w:color w:val="000000"/>
          <w:shd w:val="clear" w:color="auto" w:fill="FFFFFF"/>
        </w:rPr>
        <w:t>.</w:t>
      </w:r>
    </w:p>
  </w:footnote>
  <w:footnote w:id="23">
    <w:p w14:paraId="1542F613" w14:textId="11B7A315" w:rsidR="00AA3BE0" w:rsidRPr="00AA3BE0" w:rsidRDefault="00AA3BE0" w:rsidP="007933E8">
      <w:pPr>
        <w:pStyle w:val="FootnoteText"/>
        <w:spacing w:after="0"/>
        <w:rPr>
          <w:lang w:val="en-US"/>
        </w:rPr>
      </w:pPr>
      <w:r>
        <w:rPr>
          <w:rStyle w:val="FootnoteReference"/>
        </w:rPr>
        <w:footnoteRef/>
      </w:r>
      <w:r>
        <w:t xml:space="preserve"> </w:t>
      </w:r>
      <w:r w:rsidR="00AE38AF">
        <w:t>Ibid</w:t>
      </w:r>
      <w:r w:rsidR="00AE38AF" w:rsidDel="00AE38AF">
        <w:rPr>
          <w:rStyle w:val="eop"/>
          <w:color w:val="000000"/>
          <w:shd w:val="clear" w:color="auto" w:fill="FFFFFF"/>
        </w:rPr>
        <w:t xml:space="preserve"> </w:t>
      </w:r>
      <w:r>
        <w:rPr>
          <w:rStyle w:val="eop"/>
          <w:color w:val="000000"/>
          <w:shd w:val="clear" w:color="auto" w:fill="FFFFFF"/>
        </w:rPr>
        <w:t>25-26</w:t>
      </w:r>
      <w:r w:rsidR="00AE38AF">
        <w:rPr>
          <w:rStyle w:val="eop"/>
          <w:color w:val="000000"/>
          <w:shd w:val="clear" w:color="auto" w:fill="FFFFFF"/>
        </w:rPr>
        <w:t>.</w:t>
      </w:r>
    </w:p>
  </w:footnote>
  <w:footnote w:id="24">
    <w:p w14:paraId="7AD3A795" w14:textId="727E281E" w:rsidR="00540580" w:rsidRPr="00540580" w:rsidRDefault="00540580" w:rsidP="007933E8">
      <w:pPr>
        <w:pStyle w:val="FootnoteText"/>
        <w:spacing w:after="0"/>
        <w:rPr>
          <w:lang w:val="en-US"/>
        </w:rPr>
      </w:pPr>
      <w:r>
        <w:rPr>
          <w:rStyle w:val="FootnoteReference"/>
        </w:rPr>
        <w:footnoteRef/>
      </w:r>
      <w:r>
        <w:t xml:space="preserve"> </w:t>
      </w:r>
      <w:r w:rsidR="006E42E5">
        <w:t xml:space="preserve">Ibid </w:t>
      </w:r>
      <w:r>
        <w:rPr>
          <w:lang w:val="en-US"/>
        </w:rPr>
        <w:t>18</w:t>
      </w:r>
      <w:r w:rsidR="006E42E5">
        <w:rPr>
          <w:lang w:val="en-US"/>
        </w:rPr>
        <w:t>.</w:t>
      </w:r>
    </w:p>
  </w:footnote>
  <w:footnote w:id="25">
    <w:p w14:paraId="36CEFC91" w14:textId="5652589C" w:rsidR="00400D03" w:rsidRPr="00400D03" w:rsidRDefault="00400D03" w:rsidP="007933E8">
      <w:pPr>
        <w:pStyle w:val="FootnoteText"/>
        <w:spacing w:after="0"/>
        <w:rPr>
          <w:lang w:val="en-US"/>
        </w:rPr>
      </w:pPr>
      <w:r>
        <w:rPr>
          <w:rStyle w:val="FootnoteReference"/>
        </w:rPr>
        <w:footnoteRef/>
      </w:r>
      <w:r>
        <w:t xml:space="preserve"> </w:t>
      </w:r>
      <w:r w:rsidR="006E42E5">
        <w:t>Ibid</w:t>
      </w:r>
      <w:r>
        <w:t xml:space="preserve"> 19</w:t>
      </w:r>
      <w:r w:rsidR="006E42E5">
        <w:t>.</w:t>
      </w:r>
    </w:p>
  </w:footnote>
  <w:footnote w:id="26">
    <w:p w14:paraId="7BB8C3BE" w14:textId="08C971EF" w:rsidR="00400D03" w:rsidRPr="00400D03" w:rsidRDefault="00400D03" w:rsidP="007933E8">
      <w:pPr>
        <w:pStyle w:val="FootnoteText"/>
        <w:spacing w:after="0"/>
        <w:rPr>
          <w:lang w:val="en-US"/>
        </w:rPr>
      </w:pPr>
      <w:r>
        <w:rPr>
          <w:rStyle w:val="FootnoteReference"/>
        </w:rPr>
        <w:footnoteRef/>
      </w:r>
      <w:r>
        <w:t xml:space="preserve"> </w:t>
      </w:r>
      <w:r w:rsidR="006E42E5">
        <w:t xml:space="preserve">Ibid </w:t>
      </w:r>
      <w:r>
        <w:t>21</w:t>
      </w:r>
      <w:r w:rsidR="006E42E5">
        <w:t>.</w:t>
      </w:r>
    </w:p>
  </w:footnote>
  <w:footnote w:id="27">
    <w:p w14:paraId="04CDB392" w14:textId="492269E1" w:rsidR="00400D03" w:rsidRPr="00400D03" w:rsidRDefault="00400D03" w:rsidP="007933E8">
      <w:pPr>
        <w:pStyle w:val="FootnoteText"/>
        <w:spacing w:after="0"/>
        <w:rPr>
          <w:lang w:val="en-US"/>
        </w:rPr>
      </w:pPr>
      <w:r>
        <w:rPr>
          <w:rStyle w:val="FootnoteReference"/>
        </w:rPr>
        <w:footnoteRef/>
      </w:r>
      <w:r>
        <w:t xml:space="preserve"> </w:t>
      </w:r>
      <w:r w:rsidR="006E42E5">
        <w:t xml:space="preserve">Ibid </w:t>
      </w:r>
      <w:r>
        <w:t>22</w:t>
      </w:r>
      <w:r w:rsidR="006E42E5">
        <w:t>.</w:t>
      </w:r>
    </w:p>
  </w:footnote>
  <w:footnote w:id="28">
    <w:p w14:paraId="6F52650D" w14:textId="25C14EB0" w:rsidR="00400D03" w:rsidRPr="00400D03" w:rsidRDefault="00400D03" w:rsidP="007933E8">
      <w:pPr>
        <w:pStyle w:val="FootnoteText"/>
        <w:spacing w:after="0"/>
        <w:rPr>
          <w:lang w:val="en-US"/>
        </w:rPr>
      </w:pPr>
      <w:r>
        <w:rPr>
          <w:rStyle w:val="FootnoteReference"/>
        </w:rPr>
        <w:footnoteRef/>
      </w:r>
      <w:r>
        <w:t xml:space="preserve"> </w:t>
      </w:r>
      <w:r w:rsidR="006E42E5">
        <w:t xml:space="preserve">Ibid </w:t>
      </w:r>
      <w:r>
        <w:t>22</w:t>
      </w:r>
      <w:r w:rsidR="006E42E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CC"/>
    <w:multiLevelType w:val="hybridMultilevel"/>
    <w:tmpl w:val="F8E04742"/>
    <w:lvl w:ilvl="0" w:tplc="D090DF3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06B1BD5"/>
    <w:multiLevelType w:val="hybridMultilevel"/>
    <w:tmpl w:val="E336492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 w15:restartNumberingAfterBreak="0">
    <w:nsid w:val="121B4D1D"/>
    <w:multiLevelType w:val="hybridMultilevel"/>
    <w:tmpl w:val="88CA5896"/>
    <w:lvl w:ilvl="0" w:tplc="FFFFFFFF">
      <w:start w:val="1"/>
      <w:numFmt w:val="lowerLetter"/>
      <w:lvlText w:val="%1."/>
      <w:lvlJc w:val="left"/>
      <w:pPr>
        <w:ind w:left="720" w:hanging="360"/>
      </w:pPr>
      <w:rPr>
        <w:rFonts w:ascii="Arial" w:eastAsiaTheme="minorEastAsia"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6C1671"/>
    <w:multiLevelType w:val="hybridMultilevel"/>
    <w:tmpl w:val="5E6E3F08"/>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21E214F6"/>
    <w:multiLevelType w:val="hybridMultilevel"/>
    <w:tmpl w:val="B208861E"/>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7" w15:restartNumberingAfterBreak="0">
    <w:nsid w:val="23397A66"/>
    <w:multiLevelType w:val="hybridMultilevel"/>
    <w:tmpl w:val="A8B26030"/>
    <w:lvl w:ilvl="0" w:tplc="2B641262">
      <w:start w:val="1"/>
      <w:numFmt w:val="decimal"/>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8" w15:restartNumberingAfterBreak="0">
    <w:nsid w:val="235F1FC5"/>
    <w:multiLevelType w:val="hybridMultilevel"/>
    <w:tmpl w:val="045814FE"/>
    <w:lvl w:ilvl="0" w:tplc="FA3A4DCC">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9" w15:restartNumberingAfterBreak="0">
    <w:nsid w:val="27B87386"/>
    <w:multiLevelType w:val="hybridMultilevel"/>
    <w:tmpl w:val="D74AE34C"/>
    <w:lvl w:ilvl="0" w:tplc="F86836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35361315"/>
    <w:multiLevelType w:val="hybridMultilevel"/>
    <w:tmpl w:val="74EACF12"/>
    <w:lvl w:ilvl="0" w:tplc="17AC9952">
      <w:numFmt w:val="bullet"/>
      <w:lvlText w:val=""/>
      <w:lvlJc w:val="left"/>
      <w:pPr>
        <w:ind w:left="720" w:hanging="360"/>
      </w:pPr>
      <w:rPr>
        <w:rFonts w:ascii="Symbol" w:eastAsiaTheme="minorEastAsia" w:hAnsi="Symbo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C5457B"/>
    <w:multiLevelType w:val="hybridMultilevel"/>
    <w:tmpl w:val="69E4A73C"/>
    <w:lvl w:ilvl="0" w:tplc="FFFFFFFF">
      <w:start w:val="1"/>
      <w:numFmt w:val="lowerRoman"/>
      <w:lvlText w:val="%1."/>
      <w:lvlJc w:val="right"/>
      <w:pPr>
        <w:ind w:left="927" w:hanging="360"/>
      </w:pPr>
    </w:lvl>
    <w:lvl w:ilvl="1" w:tplc="0C090001">
      <w:start w:val="1"/>
      <w:numFmt w:val="bullet"/>
      <w:lvlText w:val=""/>
      <w:lvlJc w:val="left"/>
      <w:pPr>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C024974"/>
    <w:multiLevelType w:val="hybridMultilevel"/>
    <w:tmpl w:val="556ED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1F597E"/>
    <w:multiLevelType w:val="hybridMultilevel"/>
    <w:tmpl w:val="2366610A"/>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423F1C90"/>
    <w:multiLevelType w:val="hybridMultilevel"/>
    <w:tmpl w:val="88CA5896"/>
    <w:lvl w:ilvl="0" w:tplc="CBC037C0">
      <w:start w:val="1"/>
      <w:numFmt w:val="lowerLetter"/>
      <w:lvlText w:val="%1."/>
      <w:lvlJc w:val="left"/>
      <w:pPr>
        <w:ind w:left="720"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B66904"/>
    <w:multiLevelType w:val="hybridMultilevel"/>
    <w:tmpl w:val="00204932"/>
    <w:lvl w:ilvl="0" w:tplc="93602F9A">
      <w:numFmt w:val="bullet"/>
      <w:lvlText w:val=""/>
      <w:lvlJc w:val="left"/>
      <w:pPr>
        <w:ind w:left="1987" w:hanging="360"/>
      </w:pPr>
      <w:rPr>
        <w:rFonts w:ascii="Symbol" w:eastAsiaTheme="minorEastAsia" w:hAnsi="Symbol" w:cs="Aria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7" w15:restartNumberingAfterBreak="0">
    <w:nsid w:val="45AD38D3"/>
    <w:multiLevelType w:val="multilevel"/>
    <w:tmpl w:val="8B8850F4"/>
    <w:lvl w:ilvl="0">
      <w:start w:val="1"/>
      <w:numFmt w:val="decimal"/>
      <w:lvlText w:val="%1."/>
      <w:lvlJc w:val="left"/>
      <w:pPr>
        <w:ind w:left="567" w:hanging="567"/>
      </w:pPr>
      <w:rPr>
        <w:rFonts w:hint="default"/>
        <w:b w:val="0"/>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8"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F5E1AA4"/>
    <w:multiLevelType w:val="hybridMultilevel"/>
    <w:tmpl w:val="C5840852"/>
    <w:lvl w:ilvl="0" w:tplc="718A50DA">
      <w:start w:val="1"/>
      <w:numFmt w:val="lowerLetter"/>
      <w:lvlText w:val="(%1)"/>
      <w:lvlJc w:val="left"/>
      <w:pPr>
        <w:ind w:left="927" w:hanging="360"/>
      </w:pPr>
      <w:rPr>
        <w:rFonts w:ascii="Arial" w:hAnsi="Arial" w:cs="Aria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4454FA"/>
    <w:multiLevelType w:val="multilevel"/>
    <w:tmpl w:val="A79A5EBE"/>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5" w15:restartNumberingAfterBreak="0">
    <w:nsid w:val="5C6F4B1E"/>
    <w:multiLevelType w:val="hybridMultilevel"/>
    <w:tmpl w:val="02389F72"/>
    <w:lvl w:ilvl="0" w:tplc="0C09001B">
      <w:start w:val="1"/>
      <w:numFmt w:val="lowerRoman"/>
      <w:lvlText w:val="%1."/>
      <w:lvlJc w:val="right"/>
      <w:pPr>
        <w:ind w:left="927" w:hanging="360"/>
      </w:p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5F773635"/>
    <w:multiLevelType w:val="hybridMultilevel"/>
    <w:tmpl w:val="F33AB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A4641D"/>
    <w:multiLevelType w:val="multilevel"/>
    <w:tmpl w:val="574EB5E4"/>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Times New Roman" w:hAnsi="Times New Roman" w:hint="default"/>
        <w:sz w:val="20"/>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9551D"/>
    <w:multiLevelType w:val="hybridMultilevel"/>
    <w:tmpl w:val="B2B097C8"/>
    <w:lvl w:ilvl="0" w:tplc="93602F9A">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56B0573"/>
    <w:multiLevelType w:val="hybridMultilevel"/>
    <w:tmpl w:val="2C701AF0"/>
    <w:lvl w:ilvl="0" w:tplc="7908CD78">
      <w:start w:val="27"/>
      <w:numFmt w:val="bullet"/>
      <w:lvlText w:val=""/>
      <w:lvlJc w:val="left"/>
      <w:pPr>
        <w:ind w:left="927" w:hanging="360"/>
      </w:pPr>
      <w:rPr>
        <w:rFonts w:ascii="Symbol" w:eastAsiaTheme="minorHAnsi" w:hAnsi="Symbol"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1"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4"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6" w15:restartNumberingAfterBreak="0">
    <w:nsid w:val="722243D5"/>
    <w:multiLevelType w:val="hybridMultilevel"/>
    <w:tmpl w:val="F3F25216"/>
    <w:lvl w:ilvl="0" w:tplc="ED883BA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75DD6991"/>
    <w:multiLevelType w:val="hybridMultilevel"/>
    <w:tmpl w:val="8EA0F83A"/>
    <w:lvl w:ilvl="0" w:tplc="E0581F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87F69D4"/>
    <w:multiLevelType w:val="hybridMultilevel"/>
    <w:tmpl w:val="69F0A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35"/>
  </w:num>
  <w:num w:numId="4">
    <w:abstractNumId w:val="19"/>
  </w:num>
  <w:num w:numId="5">
    <w:abstractNumId w:val="23"/>
  </w:num>
  <w:num w:numId="6">
    <w:abstractNumId w:val="31"/>
  </w:num>
  <w:num w:numId="7">
    <w:abstractNumId w:val="1"/>
  </w:num>
  <w:num w:numId="8">
    <w:abstractNumId w:val="20"/>
  </w:num>
  <w:num w:numId="9">
    <w:abstractNumId w:val="34"/>
  </w:num>
  <w:num w:numId="10">
    <w:abstractNumId w:val="37"/>
  </w:num>
  <w:num w:numId="11">
    <w:abstractNumId w:val="32"/>
  </w:num>
  <w:num w:numId="12">
    <w:abstractNumId w:val="22"/>
  </w:num>
  <w:num w:numId="13">
    <w:abstractNumId w:val="2"/>
  </w:num>
  <w:num w:numId="14">
    <w:abstractNumId w:val="10"/>
  </w:num>
  <w:num w:numId="15">
    <w:abstractNumId w:val="19"/>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3"/>
  </w:num>
  <w:num w:numId="17">
    <w:abstractNumId w:val="9"/>
  </w:num>
  <w:num w:numId="18">
    <w:abstractNumId w:val="7"/>
  </w:num>
  <w:num w:numId="19">
    <w:abstractNumId w:val="26"/>
  </w:num>
  <w:num w:numId="20">
    <w:abstractNumId w:val="13"/>
  </w:num>
  <w:num w:numId="21">
    <w:abstractNumId w:val="27"/>
  </w:num>
  <w:num w:numId="22">
    <w:abstractNumId w:val="24"/>
  </w:num>
  <w:num w:numId="23">
    <w:abstractNumId w:val="8"/>
  </w:num>
  <w:num w:numId="24">
    <w:abstractNumId w:val="3"/>
  </w:num>
  <w:num w:numId="25">
    <w:abstractNumId w:val="6"/>
  </w:num>
  <w:num w:numId="26">
    <w:abstractNumId w:val="29"/>
  </w:num>
  <w:num w:numId="27">
    <w:abstractNumId w:val="16"/>
  </w:num>
  <w:num w:numId="28">
    <w:abstractNumId w:val="0"/>
  </w:num>
  <w:num w:numId="29">
    <w:abstractNumId w:val="21"/>
  </w:num>
  <w:num w:numId="30">
    <w:abstractNumId w:val="2"/>
  </w:num>
  <w:num w:numId="31">
    <w:abstractNumId w:val="11"/>
  </w:num>
  <w:num w:numId="32">
    <w:abstractNumId w:val="36"/>
  </w:num>
  <w:num w:numId="33">
    <w:abstractNumId w:val="17"/>
  </w:num>
  <w:num w:numId="34">
    <w:abstractNumId w:val="30"/>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2"/>
  </w:num>
  <w:num w:numId="38">
    <w:abstractNumId w:val="38"/>
  </w:num>
  <w:num w:numId="39">
    <w:abstractNumId w:val="15"/>
  </w:num>
  <w:num w:numId="40">
    <w:abstractNumId w:val="4"/>
  </w:num>
  <w:num w:numId="41">
    <w:abstractNumId w:val="14"/>
  </w:num>
  <w:num w:numId="42">
    <w:abstractNumId w:val="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0F"/>
    <w:rsid w:val="00002F05"/>
    <w:rsid w:val="00005B2A"/>
    <w:rsid w:val="00007AD0"/>
    <w:rsid w:val="00007F0E"/>
    <w:rsid w:val="00011E25"/>
    <w:rsid w:val="00016E59"/>
    <w:rsid w:val="0002351E"/>
    <w:rsid w:val="000247DE"/>
    <w:rsid w:val="00024A67"/>
    <w:rsid w:val="00031875"/>
    <w:rsid w:val="0003523C"/>
    <w:rsid w:val="000372BE"/>
    <w:rsid w:val="00040E51"/>
    <w:rsid w:val="00041E58"/>
    <w:rsid w:val="0004211F"/>
    <w:rsid w:val="00044A7F"/>
    <w:rsid w:val="00045B46"/>
    <w:rsid w:val="00047427"/>
    <w:rsid w:val="00047983"/>
    <w:rsid w:val="000507FF"/>
    <w:rsid w:val="00051D40"/>
    <w:rsid w:val="00054120"/>
    <w:rsid w:val="00054D29"/>
    <w:rsid w:val="00056960"/>
    <w:rsid w:val="00057023"/>
    <w:rsid w:val="00057D21"/>
    <w:rsid w:val="00057F75"/>
    <w:rsid w:val="00063EDF"/>
    <w:rsid w:val="00065FE2"/>
    <w:rsid w:val="000725AD"/>
    <w:rsid w:val="00072CE6"/>
    <w:rsid w:val="000731D3"/>
    <w:rsid w:val="00075AB0"/>
    <w:rsid w:val="0007682B"/>
    <w:rsid w:val="00085B7F"/>
    <w:rsid w:val="0008605F"/>
    <w:rsid w:val="00090B61"/>
    <w:rsid w:val="00091EB7"/>
    <w:rsid w:val="00094CFE"/>
    <w:rsid w:val="00095FBB"/>
    <w:rsid w:val="00096517"/>
    <w:rsid w:val="00097688"/>
    <w:rsid w:val="000A201B"/>
    <w:rsid w:val="000A4EA5"/>
    <w:rsid w:val="000A5FEC"/>
    <w:rsid w:val="000B1C49"/>
    <w:rsid w:val="000B4BF6"/>
    <w:rsid w:val="000B5D72"/>
    <w:rsid w:val="000B6C72"/>
    <w:rsid w:val="000B794F"/>
    <w:rsid w:val="000C10D2"/>
    <w:rsid w:val="000C2994"/>
    <w:rsid w:val="000C5DA8"/>
    <w:rsid w:val="000C73A5"/>
    <w:rsid w:val="000D0590"/>
    <w:rsid w:val="000D0FFC"/>
    <w:rsid w:val="000D2C2C"/>
    <w:rsid w:val="000D49A5"/>
    <w:rsid w:val="000D6D4F"/>
    <w:rsid w:val="000E1039"/>
    <w:rsid w:val="000E1F26"/>
    <w:rsid w:val="000E1F27"/>
    <w:rsid w:val="000E2E5E"/>
    <w:rsid w:val="000E6FAE"/>
    <w:rsid w:val="000F0BC1"/>
    <w:rsid w:val="000F4098"/>
    <w:rsid w:val="000F6C2F"/>
    <w:rsid w:val="00105217"/>
    <w:rsid w:val="001066BD"/>
    <w:rsid w:val="00114AB7"/>
    <w:rsid w:val="00116E0B"/>
    <w:rsid w:val="00117FAC"/>
    <w:rsid w:val="0012026F"/>
    <w:rsid w:val="00121E6F"/>
    <w:rsid w:val="00123744"/>
    <w:rsid w:val="00124A35"/>
    <w:rsid w:val="001304EE"/>
    <w:rsid w:val="001312F8"/>
    <w:rsid w:val="00131A76"/>
    <w:rsid w:val="001329F4"/>
    <w:rsid w:val="00156F7E"/>
    <w:rsid w:val="00170AE7"/>
    <w:rsid w:val="0017346F"/>
    <w:rsid w:val="00174065"/>
    <w:rsid w:val="00177DE2"/>
    <w:rsid w:val="001825CB"/>
    <w:rsid w:val="00182865"/>
    <w:rsid w:val="00182E06"/>
    <w:rsid w:val="00184B11"/>
    <w:rsid w:val="001916E4"/>
    <w:rsid w:val="00191D0C"/>
    <w:rsid w:val="0019203A"/>
    <w:rsid w:val="001949AF"/>
    <w:rsid w:val="00194A8E"/>
    <w:rsid w:val="00195845"/>
    <w:rsid w:val="00195E9F"/>
    <w:rsid w:val="001A12BD"/>
    <w:rsid w:val="001A63E0"/>
    <w:rsid w:val="001B1A27"/>
    <w:rsid w:val="001B5470"/>
    <w:rsid w:val="001B57C6"/>
    <w:rsid w:val="001C01FD"/>
    <w:rsid w:val="001C1055"/>
    <w:rsid w:val="001C127F"/>
    <w:rsid w:val="001C5177"/>
    <w:rsid w:val="001C5F0F"/>
    <w:rsid w:val="001C6225"/>
    <w:rsid w:val="001D25DA"/>
    <w:rsid w:val="001D50C0"/>
    <w:rsid w:val="001D7758"/>
    <w:rsid w:val="001E3A26"/>
    <w:rsid w:val="001E5637"/>
    <w:rsid w:val="001E621B"/>
    <w:rsid w:val="001E71A2"/>
    <w:rsid w:val="001F2EE8"/>
    <w:rsid w:val="001F3F19"/>
    <w:rsid w:val="001F5F4B"/>
    <w:rsid w:val="001F79FF"/>
    <w:rsid w:val="002015C4"/>
    <w:rsid w:val="00205E85"/>
    <w:rsid w:val="00206ABD"/>
    <w:rsid w:val="00212648"/>
    <w:rsid w:val="002134F7"/>
    <w:rsid w:val="00213545"/>
    <w:rsid w:val="0021722D"/>
    <w:rsid w:val="002216E3"/>
    <w:rsid w:val="00225CC0"/>
    <w:rsid w:val="00227178"/>
    <w:rsid w:val="00230C51"/>
    <w:rsid w:val="00233F52"/>
    <w:rsid w:val="00235527"/>
    <w:rsid w:val="0023707F"/>
    <w:rsid w:val="00237691"/>
    <w:rsid w:val="00240EF9"/>
    <w:rsid w:val="0024194E"/>
    <w:rsid w:val="00250998"/>
    <w:rsid w:val="00253B42"/>
    <w:rsid w:val="0025495F"/>
    <w:rsid w:val="002573AF"/>
    <w:rsid w:val="00260847"/>
    <w:rsid w:val="00265049"/>
    <w:rsid w:val="002668C6"/>
    <w:rsid w:val="00273FEC"/>
    <w:rsid w:val="002758C6"/>
    <w:rsid w:val="00276274"/>
    <w:rsid w:val="00280E8F"/>
    <w:rsid w:val="00283D88"/>
    <w:rsid w:val="0028487D"/>
    <w:rsid w:val="00284FF0"/>
    <w:rsid w:val="00292C50"/>
    <w:rsid w:val="00294EFD"/>
    <w:rsid w:val="002A03F1"/>
    <w:rsid w:val="002B0111"/>
    <w:rsid w:val="002B18D7"/>
    <w:rsid w:val="002B2D33"/>
    <w:rsid w:val="002B65D4"/>
    <w:rsid w:val="002B6D93"/>
    <w:rsid w:val="002B7EC6"/>
    <w:rsid w:val="002C292B"/>
    <w:rsid w:val="002D46A2"/>
    <w:rsid w:val="002D79C9"/>
    <w:rsid w:val="002E13DE"/>
    <w:rsid w:val="002E2806"/>
    <w:rsid w:val="002E433B"/>
    <w:rsid w:val="002E6C78"/>
    <w:rsid w:val="002F389D"/>
    <w:rsid w:val="003000F9"/>
    <w:rsid w:val="00300E93"/>
    <w:rsid w:val="003049BE"/>
    <w:rsid w:val="00304DF1"/>
    <w:rsid w:val="00310CB2"/>
    <w:rsid w:val="00312109"/>
    <w:rsid w:val="00312C2A"/>
    <w:rsid w:val="003146C2"/>
    <w:rsid w:val="003175C3"/>
    <w:rsid w:val="003204FA"/>
    <w:rsid w:val="00321445"/>
    <w:rsid w:val="00324C06"/>
    <w:rsid w:val="0032516B"/>
    <w:rsid w:val="0033216F"/>
    <w:rsid w:val="003356D8"/>
    <w:rsid w:val="0034134D"/>
    <w:rsid w:val="0034442F"/>
    <w:rsid w:val="00344F59"/>
    <w:rsid w:val="00350D39"/>
    <w:rsid w:val="0035654D"/>
    <w:rsid w:val="00361CC3"/>
    <w:rsid w:val="003620B5"/>
    <w:rsid w:val="00365E51"/>
    <w:rsid w:val="00367B10"/>
    <w:rsid w:val="00370336"/>
    <w:rsid w:val="00372AF9"/>
    <w:rsid w:val="0037552A"/>
    <w:rsid w:val="0037712C"/>
    <w:rsid w:val="003778E2"/>
    <w:rsid w:val="00380793"/>
    <w:rsid w:val="003821DF"/>
    <w:rsid w:val="00383399"/>
    <w:rsid w:val="003847F0"/>
    <w:rsid w:val="0038484A"/>
    <w:rsid w:val="00392522"/>
    <w:rsid w:val="00394C81"/>
    <w:rsid w:val="00395332"/>
    <w:rsid w:val="003A10D9"/>
    <w:rsid w:val="003A666E"/>
    <w:rsid w:val="003B197E"/>
    <w:rsid w:val="003C2709"/>
    <w:rsid w:val="003C443B"/>
    <w:rsid w:val="003C6A61"/>
    <w:rsid w:val="003C77EE"/>
    <w:rsid w:val="003D1F46"/>
    <w:rsid w:val="003D3AAC"/>
    <w:rsid w:val="003D625C"/>
    <w:rsid w:val="003E4793"/>
    <w:rsid w:val="003E7ED6"/>
    <w:rsid w:val="003F487E"/>
    <w:rsid w:val="003F6F7E"/>
    <w:rsid w:val="003F7F6D"/>
    <w:rsid w:val="00400D03"/>
    <w:rsid w:val="004121EE"/>
    <w:rsid w:val="004163D3"/>
    <w:rsid w:val="00417CCB"/>
    <w:rsid w:val="00417F14"/>
    <w:rsid w:val="00421429"/>
    <w:rsid w:val="00421DA9"/>
    <w:rsid w:val="004263BB"/>
    <w:rsid w:val="00430516"/>
    <w:rsid w:val="00431D51"/>
    <w:rsid w:val="0043613A"/>
    <w:rsid w:val="0044127A"/>
    <w:rsid w:val="004418EC"/>
    <w:rsid w:val="004424F3"/>
    <w:rsid w:val="00451416"/>
    <w:rsid w:val="0045296C"/>
    <w:rsid w:val="004538FC"/>
    <w:rsid w:val="00454458"/>
    <w:rsid w:val="0045765D"/>
    <w:rsid w:val="00460E19"/>
    <w:rsid w:val="00463BEF"/>
    <w:rsid w:val="00466216"/>
    <w:rsid w:val="00474CDA"/>
    <w:rsid w:val="00482BAB"/>
    <w:rsid w:val="00492071"/>
    <w:rsid w:val="004949E9"/>
    <w:rsid w:val="0049528E"/>
    <w:rsid w:val="004A1630"/>
    <w:rsid w:val="004A2375"/>
    <w:rsid w:val="004A31D2"/>
    <w:rsid w:val="004A6391"/>
    <w:rsid w:val="004A6F71"/>
    <w:rsid w:val="004B0599"/>
    <w:rsid w:val="004B51A4"/>
    <w:rsid w:val="004B71ED"/>
    <w:rsid w:val="004C17FC"/>
    <w:rsid w:val="004C2463"/>
    <w:rsid w:val="004C2886"/>
    <w:rsid w:val="004D3B4B"/>
    <w:rsid w:val="004D46BB"/>
    <w:rsid w:val="004E3D6B"/>
    <w:rsid w:val="004E4E12"/>
    <w:rsid w:val="004E58C1"/>
    <w:rsid w:val="004E6208"/>
    <w:rsid w:val="004E6F4A"/>
    <w:rsid w:val="004F2CB8"/>
    <w:rsid w:val="004F4CB1"/>
    <w:rsid w:val="004F69BD"/>
    <w:rsid w:val="004F7FBA"/>
    <w:rsid w:val="005009D5"/>
    <w:rsid w:val="00501412"/>
    <w:rsid w:val="00501C95"/>
    <w:rsid w:val="00501D0E"/>
    <w:rsid w:val="00501F65"/>
    <w:rsid w:val="00502924"/>
    <w:rsid w:val="00505286"/>
    <w:rsid w:val="0050553D"/>
    <w:rsid w:val="005126A4"/>
    <w:rsid w:val="005139B8"/>
    <w:rsid w:val="0051543F"/>
    <w:rsid w:val="00515D7C"/>
    <w:rsid w:val="00516283"/>
    <w:rsid w:val="00517D74"/>
    <w:rsid w:val="00523459"/>
    <w:rsid w:val="00527ED2"/>
    <w:rsid w:val="005308F7"/>
    <w:rsid w:val="00532B19"/>
    <w:rsid w:val="00534C7E"/>
    <w:rsid w:val="005379BA"/>
    <w:rsid w:val="00537E64"/>
    <w:rsid w:val="00540580"/>
    <w:rsid w:val="00541047"/>
    <w:rsid w:val="00542BDB"/>
    <w:rsid w:val="00547DD5"/>
    <w:rsid w:val="00550C68"/>
    <w:rsid w:val="0055162D"/>
    <w:rsid w:val="00551E25"/>
    <w:rsid w:val="005559E4"/>
    <w:rsid w:val="005572AD"/>
    <w:rsid w:val="00557766"/>
    <w:rsid w:val="00560C44"/>
    <w:rsid w:val="00563ECE"/>
    <w:rsid w:val="00564635"/>
    <w:rsid w:val="00575558"/>
    <w:rsid w:val="00576D1E"/>
    <w:rsid w:val="00580083"/>
    <w:rsid w:val="00587379"/>
    <w:rsid w:val="005916EB"/>
    <w:rsid w:val="005954FC"/>
    <w:rsid w:val="005A5073"/>
    <w:rsid w:val="005A76C8"/>
    <w:rsid w:val="005A7A47"/>
    <w:rsid w:val="005B1A22"/>
    <w:rsid w:val="005B404C"/>
    <w:rsid w:val="005B7E50"/>
    <w:rsid w:val="005C05FD"/>
    <w:rsid w:val="005C0629"/>
    <w:rsid w:val="005C3FB8"/>
    <w:rsid w:val="005C4C40"/>
    <w:rsid w:val="005C5F3C"/>
    <w:rsid w:val="005D5A16"/>
    <w:rsid w:val="005E210B"/>
    <w:rsid w:val="005E452A"/>
    <w:rsid w:val="005E5159"/>
    <w:rsid w:val="005F0F47"/>
    <w:rsid w:val="005F1574"/>
    <w:rsid w:val="00602961"/>
    <w:rsid w:val="00610F65"/>
    <w:rsid w:val="006134EA"/>
    <w:rsid w:val="00617E4F"/>
    <w:rsid w:val="00622D1B"/>
    <w:rsid w:val="00627334"/>
    <w:rsid w:val="00631947"/>
    <w:rsid w:val="006335BE"/>
    <w:rsid w:val="00634B1A"/>
    <w:rsid w:val="006371C4"/>
    <w:rsid w:val="00644DAA"/>
    <w:rsid w:val="00644E93"/>
    <w:rsid w:val="006466AD"/>
    <w:rsid w:val="00661EDB"/>
    <w:rsid w:val="00670555"/>
    <w:rsid w:val="006769BF"/>
    <w:rsid w:val="00676E12"/>
    <w:rsid w:val="00694221"/>
    <w:rsid w:val="006943BB"/>
    <w:rsid w:val="006A36BF"/>
    <w:rsid w:val="006A39A0"/>
    <w:rsid w:val="006A7B3A"/>
    <w:rsid w:val="006B2859"/>
    <w:rsid w:val="006B640D"/>
    <w:rsid w:val="006B742D"/>
    <w:rsid w:val="006C024A"/>
    <w:rsid w:val="006C2AFE"/>
    <w:rsid w:val="006D0CD6"/>
    <w:rsid w:val="006D78C2"/>
    <w:rsid w:val="006E09D7"/>
    <w:rsid w:val="006E42E5"/>
    <w:rsid w:val="006E7ACA"/>
    <w:rsid w:val="006F0979"/>
    <w:rsid w:val="006F1EFD"/>
    <w:rsid w:val="006F1F8D"/>
    <w:rsid w:val="006F6D96"/>
    <w:rsid w:val="007016FC"/>
    <w:rsid w:val="00701BE5"/>
    <w:rsid w:val="0070388C"/>
    <w:rsid w:val="007056E2"/>
    <w:rsid w:val="007069A1"/>
    <w:rsid w:val="00706A05"/>
    <w:rsid w:val="00712529"/>
    <w:rsid w:val="00713358"/>
    <w:rsid w:val="0072465A"/>
    <w:rsid w:val="00726CC3"/>
    <w:rsid w:val="00730224"/>
    <w:rsid w:val="00735BA1"/>
    <w:rsid w:val="007401D9"/>
    <w:rsid w:val="0074744E"/>
    <w:rsid w:val="00751AE0"/>
    <w:rsid w:val="00760BD0"/>
    <w:rsid w:val="007619FB"/>
    <w:rsid w:val="00761CC5"/>
    <w:rsid w:val="00762A08"/>
    <w:rsid w:val="00762DC1"/>
    <w:rsid w:val="00763604"/>
    <w:rsid w:val="00782848"/>
    <w:rsid w:val="00785545"/>
    <w:rsid w:val="007871FA"/>
    <w:rsid w:val="007933E8"/>
    <w:rsid w:val="0079682F"/>
    <w:rsid w:val="007A45D7"/>
    <w:rsid w:val="007B0933"/>
    <w:rsid w:val="007B538A"/>
    <w:rsid w:val="007C47D8"/>
    <w:rsid w:val="007C510E"/>
    <w:rsid w:val="007C5B42"/>
    <w:rsid w:val="007C62E7"/>
    <w:rsid w:val="007D0694"/>
    <w:rsid w:val="007D0AF8"/>
    <w:rsid w:val="007D53C2"/>
    <w:rsid w:val="007D5963"/>
    <w:rsid w:val="007D7931"/>
    <w:rsid w:val="007E0FC5"/>
    <w:rsid w:val="007E2071"/>
    <w:rsid w:val="007F14ED"/>
    <w:rsid w:val="007F3E8C"/>
    <w:rsid w:val="007F4F44"/>
    <w:rsid w:val="007F7563"/>
    <w:rsid w:val="00800A18"/>
    <w:rsid w:val="0080290B"/>
    <w:rsid w:val="008037F9"/>
    <w:rsid w:val="00805768"/>
    <w:rsid w:val="008101EC"/>
    <w:rsid w:val="00817F88"/>
    <w:rsid w:val="00827429"/>
    <w:rsid w:val="00837C87"/>
    <w:rsid w:val="008415CD"/>
    <w:rsid w:val="008457C8"/>
    <w:rsid w:val="008466FB"/>
    <w:rsid w:val="008470F3"/>
    <w:rsid w:val="00850155"/>
    <w:rsid w:val="0085049F"/>
    <w:rsid w:val="008541A4"/>
    <w:rsid w:val="008557B0"/>
    <w:rsid w:val="0086071F"/>
    <w:rsid w:val="0086439D"/>
    <w:rsid w:val="00867AFD"/>
    <w:rsid w:val="00870455"/>
    <w:rsid w:val="00871324"/>
    <w:rsid w:val="0087275E"/>
    <w:rsid w:val="00873ADA"/>
    <w:rsid w:val="00876AF0"/>
    <w:rsid w:val="008829A7"/>
    <w:rsid w:val="0088668E"/>
    <w:rsid w:val="00886FFE"/>
    <w:rsid w:val="008901F0"/>
    <w:rsid w:val="00890DA8"/>
    <w:rsid w:val="0089200A"/>
    <w:rsid w:val="0089208D"/>
    <w:rsid w:val="008930A1"/>
    <w:rsid w:val="008970A8"/>
    <w:rsid w:val="00897EB6"/>
    <w:rsid w:val="008B0352"/>
    <w:rsid w:val="008B189F"/>
    <w:rsid w:val="008B3191"/>
    <w:rsid w:val="008C3D59"/>
    <w:rsid w:val="008C4AC1"/>
    <w:rsid w:val="008C5604"/>
    <w:rsid w:val="008C6189"/>
    <w:rsid w:val="008D0DA3"/>
    <w:rsid w:val="008D29B3"/>
    <w:rsid w:val="008D3634"/>
    <w:rsid w:val="008D3D89"/>
    <w:rsid w:val="008D4D8D"/>
    <w:rsid w:val="008D5DB5"/>
    <w:rsid w:val="008E0D43"/>
    <w:rsid w:val="008E2FB8"/>
    <w:rsid w:val="008E304C"/>
    <w:rsid w:val="008E792D"/>
    <w:rsid w:val="008F0D1B"/>
    <w:rsid w:val="008F5927"/>
    <w:rsid w:val="00900D05"/>
    <w:rsid w:val="0090102E"/>
    <w:rsid w:val="009033C4"/>
    <w:rsid w:val="00905A21"/>
    <w:rsid w:val="0091113E"/>
    <w:rsid w:val="009116DC"/>
    <w:rsid w:val="00912E7D"/>
    <w:rsid w:val="00913E67"/>
    <w:rsid w:val="00914828"/>
    <w:rsid w:val="009202B5"/>
    <w:rsid w:val="00927691"/>
    <w:rsid w:val="009351EA"/>
    <w:rsid w:val="009434B9"/>
    <w:rsid w:val="0095017B"/>
    <w:rsid w:val="009513DF"/>
    <w:rsid w:val="00960B60"/>
    <w:rsid w:val="0096134A"/>
    <w:rsid w:val="00963ADE"/>
    <w:rsid w:val="00965C4A"/>
    <w:rsid w:val="009660DD"/>
    <w:rsid w:val="009706AF"/>
    <w:rsid w:val="0097342A"/>
    <w:rsid w:val="009741C3"/>
    <w:rsid w:val="009746DD"/>
    <w:rsid w:val="00987057"/>
    <w:rsid w:val="009A5221"/>
    <w:rsid w:val="009A556B"/>
    <w:rsid w:val="009A7295"/>
    <w:rsid w:val="009B40A7"/>
    <w:rsid w:val="009B5547"/>
    <w:rsid w:val="009C0BDF"/>
    <w:rsid w:val="009C1C5F"/>
    <w:rsid w:val="009D1BFB"/>
    <w:rsid w:val="009D3109"/>
    <w:rsid w:val="009D3B40"/>
    <w:rsid w:val="009E082D"/>
    <w:rsid w:val="009E0D77"/>
    <w:rsid w:val="009E5E00"/>
    <w:rsid w:val="009E7A37"/>
    <w:rsid w:val="009F3E8A"/>
    <w:rsid w:val="009F4492"/>
    <w:rsid w:val="009F69C5"/>
    <w:rsid w:val="009F7150"/>
    <w:rsid w:val="00A0082F"/>
    <w:rsid w:val="00A023C1"/>
    <w:rsid w:val="00A02C18"/>
    <w:rsid w:val="00A16356"/>
    <w:rsid w:val="00A17906"/>
    <w:rsid w:val="00A2138E"/>
    <w:rsid w:val="00A25B34"/>
    <w:rsid w:val="00A27EB7"/>
    <w:rsid w:val="00A30198"/>
    <w:rsid w:val="00A301DE"/>
    <w:rsid w:val="00A33CEF"/>
    <w:rsid w:val="00A35BBA"/>
    <w:rsid w:val="00A3629D"/>
    <w:rsid w:val="00A41847"/>
    <w:rsid w:val="00A44534"/>
    <w:rsid w:val="00A45369"/>
    <w:rsid w:val="00A45747"/>
    <w:rsid w:val="00A51BB4"/>
    <w:rsid w:val="00A53D1F"/>
    <w:rsid w:val="00A6318E"/>
    <w:rsid w:val="00A64195"/>
    <w:rsid w:val="00A668BB"/>
    <w:rsid w:val="00A70E36"/>
    <w:rsid w:val="00A753B5"/>
    <w:rsid w:val="00A80137"/>
    <w:rsid w:val="00A87D7F"/>
    <w:rsid w:val="00A90373"/>
    <w:rsid w:val="00A904EC"/>
    <w:rsid w:val="00A9229F"/>
    <w:rsid w:val="00A96C8B"/>
    <w:rsid w:val="00AA2A04"/>
    <w:rsid w:val="00AA3BE0"/>
    <w:rsid w:val="00AA50B7"/>
    <w:rsid w:val="00AB198A"/>
    <w:rsid w:val="00AB27BD"/>
    <w:rsid w:val="00AB6C31"/>
    <w:rsid w:val="00AC66D2"/>
    <w:rsid w:val="00AD3853"/>
    <w:rsid w:val="00AD412D"/>
    <w:rsid w:val="00AE176D"/>
    <w:rsid w:val="00AE2083"/>
    <w:rsid w:val="00AE2DCD"/>
    <w:rsid w:val="00AE38AF"/>
    <w:rsid w:val="00AE3A61"/>
    <w:rsid w:val="00AF0BDD"/>
    <w:rsid w:val="00AF1820"/>
    <w:rsid w:val="00AF3321"/>
    <w:rsid w:val="00AF359B"/>
    <w:rsid w:val="00AF3F3B"/>
    <w:rsid w:val="00B03079"/>
    <w:rsid w:val="00B13EEB"/>
    <w:rsid w:val="00B14A1E"/>
    <w:rsid w:val="00B17672"/>
    <w:rsid w:val="00B17F25"/>
    <w:rsid w:val="00B26F20"/>
    <w:rsid w:val="00B360EA"/>
    <w:rsid w:val="00B40B89"/>
    <w:rsid w:val="00B41356"/>
    <w:rsid w:val="00B4273E"/>
    <w:rsid w:val="00B44B6E"/>
    <w:rsid w:val="00B45893"/>
    <w:rsid w:val="00B46BAB"/>
    <w:rsid w:val="00B505EE"/>
    <w:rsid w:val="00B50F67"/>
    <w:rsid w:val="00B64A7B"/>
    <w:rsid w:val="00B67E6E"/>
    <w:rsid w:val="00B71457"/>
    <w:rsid w:val="00B7296B"/>
    <w:rsid w:val="00B81B0D"/>
    <w:rsid w:val="00B82A4A"/>
    <w:rsid w:val="00B82CE9"/>
    <w:rsid w:val="00B83AE9"/>
    <w:rsid w:val="00B8743D"/>
    <w:rsid w:val="00B87FB4"/>
    <w:rsid w:val="00B91EA6"/>
    <w:rsid w:val="00B933A9"/>
    <w:rsid w:val="00B95C5A"/>
    <w:rsid w:val="00B9721A"/>
    <w:rsid w:val="00BA0521"/>
    <w:rsid w:val="00BA51C0"/>
    <w:rsid w:val="00BA7E67"/>
    <w:rsid w:val="00BB0B80"/>
    <w:rsid w:val="00BB2F50"/>
    <w:rsid w:val="00BD28C5"/>
    <w:rsid w:val="00BD28D1"/>
    <w:rsid w:val="00BD4EB7"/>
    <w:rsid w:val="00BE0EBC"/>
    <w:rsid w:val="00BE121C"/>
    <w:rsid w:val="00BE5DFB"/>
    <w:rsid w:val="00BF783A"/>
    <w:rsid w:val="00C04C8E"/>
    <w:rsid w:val="00C13C6F"/>
    <w:rsid w:val="00C1473D"/>
    <w:rsid w:val="00C14F5E"/>
    <w:rsid w:val="00C16A4F"/>
    <w:rsid w:val="00C20F09"/>
    <w:rsid w:val="00C235D4"/>
    <w:rsid w:val="00C255F9"/>
    <w:rsid w:val="00C33416"/>
    <w:rsid w:val="00C35743"/>
    <w:rsid w:val="00C378CC"/>
    <w:rsid w:val="00C4116E"/>
    <w:rsid w:val="00C418FD"/>
    <w:rsid w:val="00C432BD"/>
    <w:rsid w:val="00C44951"/>
    <w:rsid w:val="00C46C4D"/>
    <w:rsid w:val="00C526DC"/>
    <w:rsid w:val="00C56FE7"/>
    <w:rsid w:val="00C627FD"/>
    <w:rsid w:val="00C641D7"/>
    <w:rsid w:val="00C66E1D"/>
    <w:rsid w:val="00C72BD2"/>
    <w:rsid w:val="00C7416C"/>
    <w:rsid w:val="00C82DB2"/>
    <w:rsid w:val="00C8564F"/>
    <w:rsid w:val="00C8674A"/>
    <w:rsid w:val="00C95F65"/>
    <w:rsid w:val="00C9716F"/>
    <w:rsid w:val="00CA162B"/>
    <w:rsid w:val="00CA23CF"/>
    <w:rsid w:val="00CA4879"/>
    <w:rsid w:val="00CA4C3D"/>
    <w:rsid w:val="00CA58AD"/>
    <w:rsid w:val="00CB0BBF"/>
    <w:rsid w:val="00CB0E44"/>
    <w:rsid w:val="00CB4066"/>
    <w:rsid w:val="00CB6F7A"/>
    <w:rsid w:val="00CC2E5C"/>
    <w:rsid w:val="00CD062D"/>
    <w:rsid w:val="00CD3B3D"/>
    <w:rsid w:val="00CD7704"/>
    <w:rsid w:val="00CE14AA"/>
    <w:rsid w:val="00CE4544"/>
    <w:rsid w:val="00CF5746"/>
    <w:rsid w:val="00D028FE"/>
    <w:rsid w:val="00D07620"/>
    <w:rsid w:val="00D102EC"/>
    <w:rsid w:val="00D13E5E"/>
    <w:rsid w:val="00D15839"/>
    <w:rsid w:val="00D2002F"/>
    <w:rsid w:val="00D21103"/>
    <w:rsid w:val="00D21CA5"/>
    <w:rsid w:val="00D22B4C"/>
    <w:rsid w:val="00D24CA9"/>
    <w:rsid w:val="00D25F69"/>
    <w:rsid w:val="00D31F6D"/>
    <w:rsid w:val="00D32D3D"/>
    <w:rsid w:val="00D33110"/>
    <w:rsid w:val="00D33FEE"/>
    <w:rsid w:val="00D35B0E"/>
    <w:rsid w:val="00D37F12"/>
    <w:rsid w:val="00D44123"/>
    <w:rsid w:val="00D51B24"/>
    <w:rsid w:val="00D61B81"/>
    <w:rsid w:val="00D6241A"/>
    <w:rsid w:val="00D71950"/>
    <w:rsid w:val="00D74335"/>
    <w:rsid w:val="00D76F2A"/>
    <w:rsid w:val="00D851CF"/>
    <w:rsid w:val="00D86386"/>
    <w:rsid w:val="00DA2086"/>
    <w:rsid w:val="00DC0A10"/>
    <w:rsid w:val="00DC0EDF"/>
    <w:rsid w:val="00DC1927"/>
    <w:rsid w:val="00DC4527"/>
    <w:rsid w:val="00DC553C"/>
    <w:rsid w:val="00DC7280"/>
    <w:rsid w:val="00DD120D"/>
    <w:rsid w:val="00DD2998"/>
    <w:rsid w:val="00DD4168"/>
    <w:rsid w:val="00DD4F03"/>
    <w:rsid w:val="00DD5B86"/>
    <w:rsid w:val="00DD7883"/>
    <w:rsid w:val="00DE62F6"/>
    <w:rsid w:val="00DE68CB"/>
    <w:rsid w:val="00DE6D6A"/>
    <w:rsid w:val="00DE7C5A"/>
    <w:rsid w:val="00DF37C5"/>
    <w:rsid w:val="00DF3868"/>
    <w:rsid w:val="00DF53F7"/>
    <w:rsid w:val="00DF5AE3"/>
    <w:rsid w:val="00E0178B"/>
    <w:rsid w:val="00E024D2"/>
    <w:rsid w:val="00E02BF6"/>
    <w:rsid w:val="00E04531"/>
    <w:rsid w:val="00E10C1A"/>
    <w:rsid w:val="00E15D10"/>
    <w:rsid w:val="00E15E88"/>
    <w:rsid w:val="00E1631A"/>
    <w:rsid w:val="00E24129"/>
    <w:rsid w:val="00E27626"/>
    <w:rsid w:val="00E3053F"/>
    <w:rsid w:val="00E33F2E"/>
    <w:rsid w:val="00E375D7"/>
    <w:rsid w:val="00E43BC8"/>
    <w:rsid w:val="00E4462E"/>
    <w:rsid w:val="00E47DC1"/>
    <w:rsid w:val="00E52B03"/>
    <w:rsid w:val="00E536F6"/>
    <w:rsid w:val="00E544E0"/>
    <w:rsid w:val="00E54B68"/>
    <w:rsid w:val="00E615D2"/>
    <w:rsid w:val="00E6776E"/>
    <w:rsid w:val="00E75D6A"/>
    <w:rsid w:val="00E771C3"/>
    <w:rsid w:val="00E7746A"/>
    <w:rsid w:val="00E91A9E"/>
    <w:rsid w:val="00E940D7"/>
    <w:rsid w:val="00E94FDA"/>
    <w:rsid w:val="00E96B29"/>
    <w:rsid w:val="00EA0FB4"/>
    <w:rsid w:val="00EA1FD9"/>
    <w:rsid w:val="00EA20CB"/>
    <w:rsid w:val="00EA4066"/>
    <w:rsid w:val="00EA6C63"/>
    <w:rsid w:val="00EB0A49"/>
    <w:rsid w:val="00EB3433"/>
    <w:rsid w:val="00EB5211"/>
    <w:rsid w:val="00EB6445"/>
    <w:rsid w:val="00EB7E3E"/>
    <w:rsid w:val="00EC3A37"/>
    <w:rsid w:val="00EC4641"/>
    <w:rsid w:val="00ED0452"/>
    <w:rsid w:val="00ED0709"/>
    <w:rsid w:val="00ED3AEF"/>
    <w:rsid w:val="00ED426F"/>
    <w:rsid w:val="00ED52DF"/>
    <w:rsid w:val="00ED5EB6"/>
    <w:rsid w:val="00ED6006"/>
    <w:rsid w:val="00EE163E"/>
    <w:rsid w:val="00EE20D8"/>
    <w:rsid w:val="00EE22DC"/>
    <w:rsid w:val="00EE3D04"/>
    <w:rsid w:val="00EF2725"/>
    <w:rsid w:val="00EF2CD3"/>
    <w:rsid w:val="00EF2F8D"/>
    <w:rsid w:val="00EF3E47"/>
    <w:rsid w:val="00EF79CA"/>
    <w:rsid w:val="00F03675"/>
    <w:rsid w:val="00F04341"/>
    <w:rsid w:val="00F05763"/>
    <w:rsid w:val="00F121FE"/>
    <w:rsid w:val="00F12660"/>
    <w:rsid w:val="00F165AA"/>
    <w:rsid w:val="00F20789"/>
    <w:rsid w:val="00F309DC"/>
    <w:rsid w:val="00F35CB5"/>
    <w:rsid w:val="00F36EB5"/>
    <w:rsid w:val="00F4420D"/>
    <w:rsid w:val="00F452EA"/>
    <w:rsid w:val="00F512B2"/>
    <w:rsid w:val="00F552D1"/>
    <w:rsid w:val="00F558ED"/>
    <w:rsid w:val="00F55DEB"/>
    <w:rsid w:val="00F64513"/>
    <w:rsid w:val="00F7253E"/>
    <w:rsid w:val="00F73546"/>
    <w:rsid w:val="00F805D0"/>
    <w:rsid w:val="00F815C0"/>
    <w:rsid w:val="00F83651"/>
    <w:rsid w:val="00FA0FD3"/>
    <w:rsid w:val="00FA5E9F"/>
    <w:rsid w:val="00FA6E08"/>
    <w:rsid w:val="00FB4C35"/>
    <w:rsid w:val="00FB4D15"/>
    <w:rsid w:val="00FB7040"/>
    <w:rsid w:val="00FC17EB"/>
    <w:rsid w:val="00FC4E59"/>
    <w:rsid w:val="00FD093A"/>
    <w:rsid w:val="00FD4014"/>
    <w:rsid w:val="00FE1DBA"/>
    <w:rsid w:val="00FE6ECC"/>
    <w:rsid w:val="00FE7FE2"/>
    <w:rsid w:val="00FF0DAF"/>
    <w:rsid w:val="00FF3C79"/>
    <w:rsid w:val="00FF46E6"/>
    <w:rsid w:val="00FF5061"/>
    <w:rsid w:val="00FF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405E79"/>
  <w14:defaultImageDpi w14:val="300"/>
  <w15:docId w15:val="{3650060C-5507-4A77-A66B-B760EDD6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A7"/>
    <w:pPr>
      <w:spacing w:after="120" w:line="276" w:lineRule="auto"/>
    </w:pPr>
    <w:rPr>
      <w:rFonts w:ascii="Arial" w:hAnsi="Arial" w:cs="Arial"/>
      <w:sz w:val="22"/>
      <w:szCs w:val="22"/>
      <w:lang w:val="en-AU"/>
    </w:rPr>
  </w:style>
  <w:style w:type="paragraph" w:styleId="Heading1">
    <w:name w:val="heading 1"/>
    <w:basedOn w:val="Normal"/>
    <w:next w:val="Normal"/>
    <w:link w:val="Heading1Char"/>
    <w:uiPriority w:val="9"/>
    <w:qFormat/>
    <w:rsid w:val="00A6318E"/>
    <w:pPr>
      <w:keepNext/>
      <w:keepLines/>
      <w:spacing w:before="360" w:after="240"/>
      <w:outlineLvl w:val="0"/>
    </w:pPr>
    <w:rPr>
      <w:rFonts w:eastAsiaTheme="majorEastAsia" w:cstheme="majorBidi"/>
      <w:color w:val="004270"/>
      <w:sz w:val="40"/>
      <w:szCs w:val="40"/>
    </w:rPr>
  </w:style>
  <w:style w:type="paragraph" w:styleId="Heading2">
    <w:name w:val="heading 2"/>
    <w:basedOn w:val="Normal"/>
    <w:next w:val="Normal"/>
    <w:link w:val="Heading2Char"/>
    <w:uiPriority w:val="9"/>
    <w:unhideWhenUsed/>
    <w:qFormat/>
    <w:rsid w:val="00A6318E"/>
    <w:pPr>
      <w:keepNext/>
      <w:keepLines/>
      <w:spacing w:after="240"/>
      <w:outlineLvl w:val="1"/>
    </w:pPr>
    <w:rPr>
      <w:rFonts w:eastAsiaTheme="majorEastAsia" w:cstheme="majorBidi"/>
      <w:color w:val="004270"/>
      <w:sz w:val="32"/>
      <w:szCs w:val="32"/>
      <w:lang w:val="en-US"/>
    </w:rPr>
  </w:style>
  <w:style w:type="paragraph" w:styleId="Heading3">
    <w:name w:val="heading 3"/>
    <w:basedOn w:val="Normal"/>
    <w:next w:val="Normal"/>
    <w:link w:val="Heading3Char"/>
    <w:uiPriority w:val="9"/>
    <w:unhideWhenUsed/>
    <w:qFormat/>
    <w:rsid w:val="009B40A7"/>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A6318E"/>
    <w:rPr>
      <w:rFonts w:ascii="Arial" w:eastAsiaTheme="majorEastAsia" w:hAnsi="Arial" w:cstheme="majorBidi"/>
      <w:color w:val="004270"/>
      <w:sz w:val="40"/>
      <w:szCs w:val="40"/>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2668C6"/>
    <w:pPr>
      <w:pBdr>
        <w:top w:val="single" w:sz="8" w:space="1" w:color="004270"/>
      </w:pBdr>
      <w:tabs>
        <w:tab w:val="center" w:pos="4513"/>
        <w:tab w:val="right" w:pos="9026"/>
      </w:tabs>
    </w:pPr>
  </w:style>
  <w:style w:type="character" w:customStyle="1" w:styleId="FooterChar">
    <w:name w:val="Footer Char"/>
    <w:basedOn w:val="DefaultParagraphFont"/>
    <w:link w:val="Footer"/>
    <w:uiPriority w:val="99"/>
    <w:rsid w:val="002668C6"/>
    <w:rPr>
      <w:rFonts w:ascii="Arial" w:hAnsi="Arial" w:cs="Arial"/>
      <w:sz w:val="22"/>
      <w:szCs w:val="22"/>
      <w:lang w:val="en-AU"/>
    </w:rPr>
  </w:style>
  <w:style w:type="character" w:customStyle="1" w:styleId="Heading2Char">
    <w:name w:val="Heading 2 Char"/>
    <w:basedOn w:val="DefaultParagraphFont"/>
    <w:link w:val="Heading2"/>
    <w:uiPriority w:val="9"/>
    <w:rsid w:val="00A6318E"/>
    <w:rPr>
      <w:rFonts w:ascii="Arial" w:eastAsiaTheme="majorEastAsia" w:hAnsi="Arial" w:cstheme="majorBidi"/>
      <w:color w:val="004270"/>
      <w:sz w:val="32"/>
      <w:szCs w:val="32"/>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uiPriority w:val="5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9B40A7"/>
    <w:rPr>
      <w:rFonts w:ascii="Arial" w:eastAsiaTheme="majorEastAsia" w:hAnsi="Arial" w:cstheme="majorBidi"/>
      <w:color w:val="004270"/>
      <w:sz w:val="28"/>
      <w:szCs w:val="22"/>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280E8F"/>
    <w:pPr>
      <w:numPr>
        <w:numId w:val="13"/>
      </w:numPr>
      <w:spacing w:before="120" w:after="240"/>
      <w:contextualSpacing w:val="0"/>
    </w:pPr>
  </w:style>
  <w:style w:type="paragraph" w:styleId="Quote">
    <w:name w:val="Quote"/>
    <w:basedOn w:val="Normal"/>
    <w:next w:val="Normal"/>
    <w:link w:val="QuoteChar"/>
    <w:uiPriority w:val="29"/>
    <w:qFormat/>
    <w:rsid w:val="003C2709"/>
    <w:pPr>
      <w:spacing w:before="240" w:after="240"/>
      <w:ind w:left="907" w:right="843"/>
    </w:pPr>
    <w:rPr>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280E8F"/>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style>
  <w:style w:type="paragraph" w:customStyle="1" w:styleId="Default">
    <w:name w:val="Default"/>
    <w:rsid w:val="002B7EC6"/>
    <w:pPr>
      <w:autoSpaceDE w:val="0"/>
      <w:autoSpaceDN w:val="0"/>
      <w:adjustRightInd w:val="0"/>
    </w:pPr>
    <w:rPr>
      <w:rFonts w:ascii="Arial" w:eastAsiaTheme="minorHAnsi" w:hAnsi="Arial" w:cs="Arial"/>
      <w:color w:val="000000"/>
      <w:lang w:val="en-AU"/>
    </w:rPr>
  </w:style>
  <w:style w:type="paragraph" w:styleId="Subtitle">
    <w:name w:val="Subtitle"/>
    <w:basedOn w:val="Normal"/>
    <w:next w:val="Normal"/>
    <w:link w:val="SubtitleChar"/>
    <w:uiPriority w:val="11"/>
    <w:qFormat/>
    <w:rsid w:val="00F03675"/>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03675"/>
    <w:rPr>
      <w:color w:val="5A5A5A" w:themeColor="text1" w:themeTint="A5"/>
      <w:spacing w:val="15"/>
      <w:sz w:val="22"/>
      <w:szCs w:val="22"/>
      <w:lang w:val="en-AU"/>
    </w:rPr>
  </w:style>
  <w:style w:type="character" w:styleId="FollowedHyperlink">
    <w:name w:val="FollowedHyperlink"/>
    <w:basedOn w:val="DefaultParagraphFont"/>
    <w:uiPriority w:val="99"/>
    <w:semiHidden/>
    <w:unhideWhenUsed/>
    <w:rsid w:val="00372AF9"/>
    <w:rPr>
      <w:color w:val="800080" w:themeColor="followedHyperlink"/>
      <w:u w:val="single"/>
    </w:rPr>
  </w:style>
  <w:style w:type="character" w:styleId="Emphasis">
    <w:name w:val="Emphasis"/>
    <w:basedOn w:val="DefaultParagraphFont"/>
    <w:uiPriority w:val="20"/>
    <w:qFormat/>
    <w:rsid w:val="009D1BFB"/>
    <w:rPr>
      <w:i/>
      <w:iCs/>
    </w:rPr>
  </w:style>
  <w:style w:type="character" w:customStyle="1" w:styleId="normaltextrun">
    <w:name w:val="normaltextrun"/>
    <w:basedOn w:val="DefaultParagraphFont"/>
    <w:rsid w:val="00ED5EB6"/>
  </w:style>
  <w:style w:type="character" w:customStyle="1" w:styleId="eop">
    <w:name w:val="eop"/>
    <w:basedOn w:val="DefaultParagraphFont"/>
    <w:rsid w:val="00ED5EB6"/>
  </w:style>
  <w:style w:type="character" w:styleId="UnresolvedMention">
    <w:name w:val="Unresolved Mention"/>
    <w:basedOn w:val="DefaultParagraphFont"/>
    <w:uiPriority w:val="99"/>
    <w:semiHidden/>
    <w:unhideWhenUsed/>
    <w:rsid w:val="003175C3"/>
    <w:rPr>
      <w:color w:val="605E5C"/>
      <w:shd w:val="clear" w:color="auto" w:fill="E1DFDD"/>
    </w:rPr>
  </w:style>
  <w:style w:type="paragraph" w:customStyle="1" w:styleId="recommendation">
    <w:name w:val="recommendation"/>
    <w:basedOn w:val="Normal"/>
    <w:qFormat/>
    <w:rsid w:val="0023707F"/>
    <w:pPr>
      <w:spacing w:before="360" w:after="360"/>
    </w:pPr>
    <w:rPr>
      <w:bCs/>
      <w:color w:val="004270"/>
    </w:rPr>
  </w:style>
  <w:style w:type="paragraph" w:customStyle="1" w:styleId="response">
    <w:name w:val="response"/>
    <w:basedOn w:val="Normal"/>
    <w:qFormat/>
    <w:rsid w:val="009B40A7"/>
    <w:pPr>
      <w:pBdr>
        <w:left w:val="single" w:sz="18" w:space="4" w:color="004270"/>
      </w:pBdr>
      <w:ind w:left="284"/>
    </w:pPr>
  </w:style>
  <w:style w:type="paragraph" w:customStyle="1" w:styleId="Heading3-response">
    <w:name w:val="Heading 3 - response"/>
    <w:basedOn w:val="Heading3"/>
    <w:qFormat/>
    <w:rsid w:val="0023707F"/>
    <w:pPr>
      <w:pBdr>
        <w:left w:val="single" w:sz="18" w:space="4" w:color="004270"/>
      </w:pBd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3987">
      <w:bodyDiv w:val="1"/>
      <w:marLeft w:val="0"/>
      <w:marRight w:val="0"/>
      <w:marTop w:val="0"/>
      <w:marBottom w:val="0"/>
      <w:divBdr>
        <w:top w:val="none" w:sz="0" w:space="0" w:color="auto"/>
        <w:left w:val="none" w:sz="0" w:space="0" w:color="auto"/>
        <w:bottom w:val="none" w:sz="0" w:space="0" w:color="auto"/>
        <w:right w:val="none" w:sz="0" w:space="0" w:color="auto"/>
      </w:divBdr>
    </w:div>
    <w:div w:id="684743733">
      <w:bodyDiv w:val="1"/>
      <w:marLeft w:val="0"/>
      <w:marRight w:val="0"/>
      <w:marTop w:val="0"/>
      <w:marBottom w:val="0"/>
      <w:divBdr>
        <w:top w:val="none" w:sz="0" w:space="0" w:color="auto"/>
        <w:left w:val="none" w:sz="0" w:space="0" w:color="auto"/>
        <w:bottom w:val="none" w:sz="0" w:space="0" w:color="auto"/>
        <w:right w:val="none" w:sz="0" w:space="0" w:color="auto"/>
      </w:divBdr>
    </w:div>
    <w:div w:id="719787948">
      <w:bodyDiv w:val="1"/>
      <w:marLeft w:val="0"/>
      <w:marRight w:val="0"/>
      <w:marTop w:val="0"/>
      <w:marBottom w:val="0"/>
      <w:divBdr>
        <w:top w:val="none" w:sz="0" w:space="0" w:color="auto"/>
        <w:left w:val="none" w:sz="0" w:space="0" w:color="auto"/>
        <w:bottom w:val="none" w:sz="0" w:space="0" w:color="auto"/>
        <w:right w:val="none" w:sz="0" w:space="0" w:color="auto"/>
      </w:divBdr>
      <w:divsChild>
        <w:div w:id="1629313043">
          <w:marLeft w:val="0"/>
          <w:marRight w:val="0"/>
          <w:marTop w:val="0"/>
          <w:marBottom w:val="0"/>
          <w:divBdr>
            <w:top w:val="none" w:sz="0" w:space="0" w:color="auto"/>
            <w:left w:val="none" w:sz="0" w:space="0" w:color="auto"/>
            <w:bottom w:val="none" w:sz="0" w:space="0" w:color="auto"/>
            <w:right w:val="none" w:sz="0" w:space="0" w:color="auto"/>
          </w:divBdr>
        </w:div>
        <w:div w:id="1957180511">
          <w:marLeft w:val="0"/>
          <w:marRight w:val="0"/>
          <w:marTop w:val="0"/>
          <w:marBottom w:val="0"/>
          <w:divBdr>
            <w:top w:val="none" w:sz="0" w:space="0" w:color="auto"/>
            <w:left w:val="none" w:sz="0" w:space="0" w:color="auto"/>
            <w:bottom w:val="none" w:sz="0" w:space="0" w:color="auto"/>
            <w:right w:val="none" w:sz="0" w:space="0" w:color="auto"/>
          </w:divBdr>
        </w:div>
        <w:div w:id="1139499450">
          <w:marLeft w:val="0"/>
          <w:marRight w:val="0"/>
          <w:marTop w:val="0"/>
          <w:marBottom w:val="0"/>
          <w:divBdr>
            <w:top w:val="none" w:sz="0" w:space="0" w:color="auto"/>
            <w:left w:val="none" w:sz="0" w:space="0" w:color="auto"/>
            <w:bottom w:val="none" w:sz="0" w:space="0" w:color="auto"/>
            <w:right w:val="none" w:sz="0" w:space="0" w:color="auto"/>
          </w:divBdr>
        </w:div>
        <w:div w:id="1046182728">
          <w:marLeft w:val="0"/>
          <w:marRight w:val="0"/>
          <w:marTop w:val="0"/>
          <w:marBottom w:val="0"/>
          <w:divBdr>
            <w:top w:val="none" w:sz="0" w:space="0" w:color="auto"/>
            <w:left w:val="none" w:sz="0" w:space="0" w:color="auto"/>
            <w:bottom w:val="none" w:sz="0" w:space="0" w:color="auto"/>
            <w:right w:val="none" w:sz="0" w:space="0" w:color="auto"/>
          </w:divBdr>
        </w:div>
        <w:div w:id="509370486">
          <w:marLeft w:val="0"/>
          <w:marRight w:val="0"/>
          <w:marTop w:val="0"/>
          <w:marBottom w:val="0"/>
          <w:divBdr>
            <w:top w:val="none" w:sz="0" w:space="0" w:color="auto"/>
            <w:left w:val="none" w:sz="0" w:space="0" w:color="auto"/>
            <w:bottom w:val="none" w:sz="0" w:space="0" w:color="auto"/>
            <w:right w:val="none" w:sz="0" w:space="0" w:color="auto"/>
          </w:divBdr>
        </w:div>
        <w:div w:id="871915671">
          <w:marLeft w:val="0"/>
          <w:marRight w:val="0"/>
          <w:marTop w:val="0"/>
          <w:marBottom w:val="0"/>
          <w:divBdr>
            <w:top w:val="none" w:sz="0" w:space="0" w:color="auto"/>
            <w:left w:val="none" w:sz="0" w:space="0" w:color="auto"/>
            <w:bottom w:val="none" w:sz="0" w:space="0" w:color="auto"/>
            <w:right w:val="none" w:sz="0" w:space="0" w:color="auto"/>
          </w:divBdr>
        </w:div>
        <w:div w:id="681859665">
          <w:marLeft w:val="0"/>
          <w:marRight w:val="0"/>
          <w:marTop w:val="0"/>
          <w:marBottom w:val="0"/>
          <w:divBdr>
            <w:top w:val="none" w:sz="0" w:space="0" w:color="auto"/>
            <w:left w:val="none" w:sz="0" w:space="0" w:color="auto"/>
            <w:bottom w:val="none" w:sz="0" w:space="0" w:color="auto"/>
            <w:right w:val="none" w:sz="0" w:space="0" w:color="auto"/>
          </w:divBdr>
        </w:div>
        <w:div w:id="149830085">
          <w:marLeft w:val="0"/>
          <w:marRight w:val="0"/>
          <w:marTop w:val="0"/>
          <w:marBottom w:val="0"/>
          <w:divBdr>
            <w:top w:val="none" w:sz="0" w:space="0" w:color="auto"/>
            <w:left w:val="none" w:sz="0" w:space="0" w:color="auto"/>
            <w:bottom w:val="none" w:sz="0" w:space="0" w:color="auto"/>
            <w:right w:val="none" w:sz="0" w:space="0" w:color="auto"/>
          </w:divBdr>
        </w:div>
        <w:div w:id="1086146006">
          <w:marLeft w:val="0"/>
          <w:marRight w:val="0"/>
          <w:marTop w:val="0"/>
          <w:marBottom w:val="0"/>
          <w:divBdr>
            <w:top w:val="none" w:sz="0" w:space="0" w:color="auto"/>
            <w:left w:val="none" w:sz="0" w:space="0" w:color="auto"/>
            <w:bottom w:val="none" w:sz="0" w:space="0" w:color="auto"/>
            <w:right w:val="none" w:sz="0" w:space="0" w:color="auto"/>
          </w:divBdr>
        </w:div>
        <w:div w:id="1788501462">
          <w:marLeft w:val="0"/>
          <w:marRight w:val="0"/>
          <w:marTop w:val="0"/>
          <w:marBottom w:val="0"/>
          <w:divBdr>
            <w:top w:val="none" w:sz="0" w:space="0" w:color="auto"/>
            <w:left w:val="none" w:sz="0" w:space="0" w:color="auto"/>
            <w:bottom w:val="none" w:sz="0" w:space="0" w:color="auto"/>
            <w:right w:val="none" w:sz="0" w:space="0" w:color="auto"/>
          </w:divBdr>
        </w:div>
        <w:div w:id="2096171832">
          <w:marLeft w:val="0"/>
          <w:marRight w:val="0"/>
          <w:marTop w:val="0"/>
          <w:marBottom w:val="0"/>
          <w:divBdr>
            <w:top w:val="none" w:sz="0" w:space="0" w:color="auto"/>
            <w:left w:val="none" w:sz="0" w:space="0" w:color="auto"/>
            <w:bottom w:val="none" w:sz="0" w:space="0" w:color="auto"/>
            <w:right w:val="none" w:sz="0" w:space="0" w:color="auto"/>
          </w:divBdr>
        </w:div>
        <w:div w:id="1952740781">
          <w:marLeft w:val="0"/>
          <w:marRight w:val="0"/>
          <w:marTop w:val="0"/>
          <w:marBottom w:val="0"/>
          <w:divBdr>
            <w:top w:val="none" w:sz="0" w:space="0" w:color="auto"/>
            <w:left w:val="none" w:sz="0" w:space="0" w:color="auto"/>
            <w:bottom w:val="none" w:sz="0" w:space="0" w:color="auto"/>
            <w:right w:val="none" w:sz="0" w:space="0" w:color="auto"/>
          </w:divBdr>
        </w:div>
        <w:div w:id="640961916">
          <w:marLeft w:val="0"/>
          <w:marRight w:val="0"/>
          <w:marTop w:val="0"/>
          <w:marBottom w:val="0"/>
          <w:divBdr>
            <w:top w:val="none" w:sz="0" w:space="0" w:color="auto"/>
            <w:left w:val="none" w:sz="0" w:space="0" w:color="auto"/>
            <w:bottom w:val="none" w:sz="0" w:space="0" w:color="auto"/>
            <w:right w:val="none" w:sz="0" w:space="0" w:color="auto"/>
          </w:divBdr>
        </w:div>
      </w:divsChild>
    </w:div>
    <w:div w:id="919024477">
      <w:bodyDiv w:val="1"/>
      <w:marLeft w:val="0"/>
      <w:marRight w:val="0"/>
      <w:marTop w:val="0"/>
      <w:marBottom w:val="0"/>
      <w:divBdr>
        <w:top w:val="none" w:sz="0" w:space="0" w:color="auto"/>
        <w:left w:val="none" w:sz="0" w:space="0" w:color="auto"/>
        <w:bottom w:val="none" w:sz="0" w:space="0" w:color="auto"/>
        <w:right w:val="none" w:sz="0" w:space="0" w:color="auto"/>
      </w:divBdr>
    </w:div>
    <w:div w:id="923417928">
      <w:bodyDiv w:val="1"/>
      <w:marLeft w:val="0"/>
      <w:marRight w:val="0"/>
      <w:marTop w:val="0"/>
      <w:marBottom w:val="0"/>
      <w:divBdr>
        <w:top w:val="none" w:sz="0" w:space="0" w:color="auto"/>
        <w:left w:val="none" w:sz="0" w:space="0" w:color="auto"/>
        <w:bottom w:val="none" w:sz="0" w:space="0" w:color="auto"/>
        <w:right w:val="none" w:sz="0" w:space="0" w:color="auto"/>
      </w:divBdr>
      <w:divsChild>
        <w:div w:id="416245724">
          <w:blockQuote w:val="1"/>
          <w:marLeft w:val="600"/>
          <w:marRight w:val="0"/>
          <w:marTop w:val="120"/>
          <w:marBottom w:val="120"/>
          <w:divBdr>
            <w:top w:val="none" w:sz="0" w:space="0" w:color="auto"/>
            <w:left w:val="none" w:sz="0" w:space="0" w:color="auto"/>
            <w:bottom w:val="none" w:sz="0" w:space="0" w:color="auto"/>
            <w:right w:val="none" w:sz="0" w:space="0" w:color="auto"/>
          </w:divBdr>
        </w:div>
        <w:div w:id="137693790">
          <w:blockQuote w:val="1"/>
          <w:marLeft w:val="600"/>
          <w:marRight w:val="0"/>
          <w:marTop w:val="120"/>
          <w:marBottom w:val="120"/>
          <w:divBdr>
            <w:top w:val="none" w:sz="0" w:space="0" w:color="auto"/>
            <w:left w:val="none" w:sz="0" w:space="0" w:color="auto"/>
            <w:bottom w:val="none" w:sz="0" w:space="0" w:color="auto"/>
            <w:right w:val="none" w:sz="0" w:space="0" w:color="auto"/>
          </w:divBdr>
        </w:div>
        <w:div w:id="11625477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18579879">
      <w:bodyDiv w:val="1"/>
      <w:marLeft w:val="0"/>
      <w:marRight w:val="0"/>
      <w:marTop w:val="0"/>
      <w:marBottom w:val="0"/>
      <w:divBdr>
        <w:top w:val="none" w:sz="0" w:space="0" w:color="auto"/>
        <w:left w:val="none" w:sz="0" w:space="0" w:color="auto"/>
        <w:bottom w:val="none" w:sz="0" w:space="0" w:color="auto"/>
        <w:right w:val="none" w:sz="0" w:space="0" w:color="auto"/>
      </w:divBdr>
      <w:divsChild>
        <w:div w:id="117912774">
          <w:blockQuote w:val="1"/>
          <w:marLeft w:val="600"/>
          <w:marRight w:val="0"/>
          <w:marTop w:val="120"/>
          <w:marBottom w:val="120"/>
          <w:divBdr>
            <w:top w:val="none" w:sz="0" w:space="0" w:color="auto"/>
            <w:left w:val="none" w:sz="0" w:space="0" w:color="auto"/>
            <w:bottom w:val="none" w:sz="0" w:space="0" w:color="auto"/>
            <w:right w:val="none" w:sz="0" w:space="0" w:color="auto"/>
          </w:divBdr>
        </w:div>
        <w:div w:id="9074955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75132340">
      <w:bodyDiv w:val="1"/>
      <w:marLeft w:val="0"/>
      <w:marRight w:val="0"/>
      <w:marTop w:val="0"/>
      <w:marBottom w:val="0"/>
      <w:divBdr>
        <w:top w:val="none" w:sz="0" w:space="0" w:color="auto"/>
        <w:left w:val="none" w:sz="0" w:space="0" w:color="auto"/>
        <w:bottom w:val="none" w:sz="0" w:space="0" w:color="auto"/>
        <w:right w:val="none" w:sz="0" w:space="0" w:color="auto"/>
      </w:divBdr>
    </w:div>
    <w:div w:id="1161042146">
      <w:bodyDiv w:val="1"/>
      <w:marLeft w:val="0"/>
      <w:marRight w:val="0"/>
      <w:marTop w:val="0"/>
      <w:marBottom w:val="0"/>
      <w:divBdr>
        <w:top w:val="none" w:sz="0" w:space="0" w:color="auto"/>
        <w:left w:val="none" w:sz="0" w:space="0" w:color="auto"/>
        <w:bottom w:val="none" w:sz="0" w:space="0" w:color="auto"/>
        <w:right w:val="none" w:sz="0" w:space="0" w:color="auto"/>
      </w:divBdr>
    </w:div>
    <w:div w:id="1248805921">
      <w:bodyDiv w:val="1"/>
      <w:marLeft w:val="0"/>
      <w:marRight w:val="0"/>
      <w:marTop w:val="0"/>
      <w:marBottom w:val="0"/>
      <w:divBdr>
        <w:top w:val="none" w:sz="0" w:space="0" w:color="auto"/>
        <w:left w:val="none" w:sz="0" w:space="0" w:color="auto"/>
        <w:bottom w:val="none" w:sz="0" w:space="0" w:color="auto"/>
        <w:right w:val="none" w:sz="0" w:space="0" w:color="auto"/>
      </w:divBdr>
    </w:div>
    <w:div w:id="1252659751">
      <w:bodyDiv w:val="1"/>
      <w:marLeft w:val="0"/>
      <w:marRight w:val="0"/>
      <w:marTop w:val="0"/>
      <w:marBottom w:val="0"/>
      <w:divBdr>
        <w:top w:val="none" w:sz="0" w:space="0" w:color="auto"/>
        <w:left w:val="none" w:sz="0" w:space="0" w:color="auto"/>
        <w:bottom w:val="none" w:sz="0" w:space="0" w:color="auto"/>
        <w:right w:val="none" w:sz="0" w:space="0" w:color="auto"/>
      </w:divBdr>
    </w:div>
    <w:div w:id="1489009962">
      <w:bodyDiv w:val="1"/>
      <w:marLeft w:val="0"/>
      <w:marRight w:val="0"/>
      <w:marTop w:val="0"/>
      <w:marBottom w:val="0"/>
      <w:divBdr>
        <w:top w:val="none" w:sz="0" w:space="0" w:color="auto"/>
        <w:left w:val="none" w:sz="0" w:space="0" w:color="auto"/>
        <w:bottom w:val="none" w:sz="0" w:space="0" w:color="auto"/>
        <w:right w:val="none" w:sz="0" w:space="0" w:color="auto"/>
      </w:divBdr>
    </w:div>
    <w:div w:id="2038389621">
      <w:bodyDiv w:val="1"/>
      <w:marLeft w:val="0"/>
      <w:marRight w:val="0"/>
      <w:marTop w:val="0"/>
      <w:marBottom w:val="0"/>
      <w:divBdr>
        <w:top w:val="none" w:sz="0" w:space="0" w:color="auto"/>
        <w:left w:val="none" w:sz="0" w:space="0" w:color="auto"/>
        <w:bottom w:val="none" w:sz="0" w:space="0" w:color="auto"/>
        <w:right w:val="none" w:sz="0" w:space="0" w:color="auto"/>
      </w:divBdr>
    </w:div>
    <w:div w:id="2107311754">
      <w:bodyDiv w:val="1"/>
      <w:marLeft w:val="0"/>
      <w:marRight w:val="0"/>
      <w:marTop w:val="0"/>
      <w:marBottom w:val="0"/>
      <w:divBdr>
        <w:top w:val="none" w:sz="0" w:space="0" w:color="auto"/>
        <w:left w:val="none" w:sz="0" w:space="0" w:color="auto"/>
        <w:bottom w:val="none" w:sz="0" w:space="0" w:color="auto"/>
        <w:right w:val="none" w:sz="0" w:space="0" w:color="auto"/>
      </w:divBdr>
      <w:divsChild>
        <w:div w:id="1404521165">
          <w:marLeft w:val="0"/>
          <w:marRight w:val="0"/>
          <w:marTop w:val="0"/>
          <w:marBottom w:val="0"/>
          <w:divBdr>
            <w:top w:val="none" w:sz="0" w:space="0" w:color="auto"/>
            <w:left w:val="none" w:sz="0" w:space="0" w:color="auto"/>
            <w:bottom w:val="none" w:sz="0" w:space="0" w:color="auto"/>
            <w:right w:val="none" w:sz="0" w:space="0" w:color="auto"/>
          </w:divBdr>
        </w:div>
        <w:div w:id="1136411292">
          <w:marLeft w:val="0"/>
          <w:marRight w:val="0"/>
          <w:marTop w:val="0"/>
          <w:marBottom w:val="0"/>
          <w:divBdr>
            <w:top w:val="none" w:sz="0" w:space="0" w:color="auto"/>
            <w:left w:val="none" w:sz="0" w:space="0" w:color="auto"/>
            <w:bottom w:val="none" w:sz="0" w:space="0" w:color="auto"/>
            <w:right w:val="none" w:sz="0" w:space="0" w:color="auto"/>
          </w:divBdr>
        </w:div>
        <w:div w:id="107816499">
          <w:marLeft w:val="0"/>
          <w:marRight w:val="0"/>
          <w:marTop w:val="0"/>
          <w:marBottom w:val="0"/>
          <w:divBdr>
            <w:top w:val="none" w:sz="0" w:space="0" w:color="auto"/>
            <w:left w:val="none" w:sz="0" w:space="0" w:color="auto"/>
            <w:bottom w:val="none" w:sz="0" w:space="0" w:color="auto"/>
            <w:right w:val="none" w:sz="0" w:space="0" w:color="auto"/>
          </w:divBdr>
        </w:div>
        <w:div w:id="415857672">
          <w:marLeft w:val="0"/>
          <w:marRight w:val="0"/>
          <w:marTop w:val="0"/>
          <w:marBottom w:val="0"/>
          <w:divBdr>
            <w:top w:val="none" w:sz="0" w:space="0" w:color="auto"/>
            <w:left w:val="none" w:sz="0" w:space="0" w:color="auto"/>
            <w:bottom w:val="none" w:sz="0" w:space="0" w:color="auto"/>
            <w:right w:val="none" w:sz="0" w:space="0" w:color="auto"/>
          </w:divBdr>
        </w:div>
        <w:div w:id="1772503471">
          <w:marLeft w:val="0"/>
          <w:marRight w:val="0"/>
          <w:marTop w:val="0"/>
          <w:marBottom w:val="0"/>
          <w:divBdr>
            <w:top w:val="none" w:sz="0" w:space="0" w:color="auto"/>
            <w:left w:val="none" w:sz="0" w:space="0" w:color="auto"/>
            <w:bottom w:val="none" w:sz="0" w:space="0" w:color="auto"/>
            <w:right w:val="none" w:sz="0" w:space="0" w:color="auto"/>
          </w:divBdr>
        </w:div>
        <w:div w:id="1690832388">
          <w:marLeft w:val="0"/>
          <w:marRight w:val="0"/>
          <w:marTop w:val="0"/>
          <w:marBottom w:val="0"/>
          <w:divBdr>
            <w:top w:val="none" w:sz="0" w:space="0" w:color="auto"/>
            <w:left w:val="none" w:sz="0" w:space="0" w:color="auto"/>
            <w:bottom w:val="none" w:sz="0" w:space="0" w:color="auto"/>
            <w:right w:val="none" w:sz="0" w:space="0" w:color="auto"/>
          </w:divBdr>
        </w:div>
        <w:div w:id="984091044">
          <w:marLeft w:val="0"/>
          <w:marRight w:val="0"/>
          <w:marTop w:val="0"/>
          <w:marBottom w:val="0"/>
          <w:divBdr>
            <w:top w:val="none" w:sz="0" w:space="0" w:color="auto"/>
            <w:left w:val="none" w:sz="0" w:space="0" w:color="auto"/>
            <w:bottom w:val="none" w:sz="0" w:space="0" w:color="auto"/>
            <w:right w:val="none" w:sz="0" w:space="0" w:color="auto"/>
          </w:divBdr>
        </w:div>
        <w:div w:id="1432242949">
          <w:marLeft w:val="0"/>
          <w:marRight w:val="0"/>
          <w:marTop w:val="0"/>
          <w:marBottom w:val="0"/>
          <w:divBdr>
            <w:top w:val="none" w:sz="0" w:space="0" w:color="auto"/>
            <w:left w:val="none" w:sz="0" w:space="0" w:color="auto"/>
            <w:bottom w:val="none" w:sz="0" w:space="0" w:color="auto"/>
            <w:right w:val="none" w:sz="0" w:space="0" w:color="auto"/>
          </w:divBdr>
        </w:div>
        <w:div w:id="734622983">
          <w:marLeft w:val="0"/>
          <w:marRight w:val="0"/>
          <w:marTop w:val="0"/>
          <w:marBottom w:val="0"/>
          <w:divBdr>
            <w:top w:val="none" w:sz="0" w:space="0" w:color="auto"/>
            <w:left w:val="none" w:sz="0" w:space="0" w:color="auto"/>
            <w:bottom w:val="none" w:sz="0" w:space="0" w:color="auto"/>
            <w:right w:val="none" w:sz="0" w:space="0" w:color="auto"/>
          </w:divBdr>
        </w:div>
        <w:div w:id="738670375">
          <w:marLeft w:val="0"/>
          <w:marRight w:val="0"/>
          <w:marTop w:val="0"/>
          <w:marBottom w:val="0"/>
          <w:divBdr>
            <w:top w:val="none" w:sz="0" w:space="0" w:color="auto"/>
            <w:left w:val="none" w:sz="0" w:space="0" w:color="auto"/>
            <w:bottom w:val="none" w:sz="0" w:space="0" w:color="auto"/>
            <w:right w:val="none" w:sz="0" w:space="0" w:color="auto"/>
          </w:divBdr>
        </w:div>
        <w:div w:id="1983346695">
          <w:marLeft w:val="0"/>
          <w:marRight w:val="0"/>
          <w:marTop w:val="0"/>
          <w:marBottom w:val="0"/>
          <w:divBdr>
            <w:top w:val="none" w:sz="0" w:space="0" w:color="auto"/>
            <w:left w:val="none" w:sz="0" w:space="0" w:color="auto"/>
            <w:bottom w:val="none" w:sz="0" w:space="0" w:color="auto"/>
            <w:right w:val="none" w:sz="0" w:space="0" w:color="auto"/>
          </w:divBdr>
        </w:div>
        <w:div w:id="1518151630">
          <w:marLeft w:val="0"/>
          <w:marRight w:val="0"/>
          <w:marTop w:val="0"/>
          <w:marBottom w:val="0"/>
          <w:divBdr>
            <w:top w:val="none" w:sz="0" w:space="0" w:color="auto"/>
            <w:left w:val="none" w:sz="0" w:space="0" w:color="auto"/>
            <w:bottom w:val="none" w:sz="0" w:space="0" w:color="auto"/>
            <w:right w:val="none" w:sz="0" w:space="0" w:color="auto"/>
          </w:divBdr>
        </w:div>
        <w:div w:id="2811525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D42F4-6835-4B93-B08E-112B72CE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15</Pages>
  <Words>4396</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Visitor access to prisons</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access to prisons</dc:title>
  <dc:subject/>
  <dc:creator>Rebekah Leong</dc:creator>
  <cp:keywords/>
  <dc:description/>
  <cp:lastModifiedBy>Rebekah Leong</cp:lastModifiedBy>
  <cp:revision>30</cp:revision>
  <cp:lastPrinted>2022-09-21T05:05:00Z</cp:lastPrinted>
  <dcterms:created xsi:type="dcterms:W3CDTF">2022-09-05T06:26:00Z</dcterms:created>
  <dcterms:modified xsi:type="dcterms:W3CDTF">2022-10-26T06:58:00Z</dcterms:modified>
</cp:coreProperties>
</file>