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Cs/>
          <w:sz w:val="40"/>
          <w:szCs w:val="40"/>
          <w:lang w:val="en-AU"/>
        </w:rPr>
        <w:id w:val="2067608509"/>
        <w:docPartObj>
          <w:docPartGallery w:val="Cover Pages"/>
          <w:docPartUnique/>
        </w:docPartObj>
      </w:sdtPr>
      <w:sdtEndPr>
        <w:rPr>
          <w:rFonts w:asciiTheme="minorHAnsi" w:hAnsiTheme="minorHAnsi" w:cstheme="minorBidi"/>
          <w:bCs w:val="0"/>
          <w:color w:val="1F497D" w:themeColor="text2"/>
          <w:sz w:val="16"/>
          <w:szCs w:val="16"/>
        </w:rPr>
      </w:sdtEndPr>
      <w:sdtContent>
        <w:p w14:paraId="4C6FCF2F" w14:textId="58ECB457" w:rsidR="00E67C03" w:rsidRDefault="00E67C03" w:rsidP="00260847">
          <w:pPr>
            <w:pStyle w:val="NoSpacing"/>
            <w:spacing w:before="120" w:after="120"/>
            <w:rPr>
              <w:rFonts w:ascii="Arial" w:hAnsi="Arial" w:cs="Arial"/>
              <w:bCs/>
              <w:sz w:val="40"/>
              <w:szCs w:val="40"/>
              <w:lang w:val="en-AU"/>
            </w:rPr>
          </w:pPr>
        </w:p>
        <w:p w14:paraId="66FAD0E0" w14:textId="77777777" w:rsidR="00E67C03" w:rsidRDefault="00E67C03" w:rsidP="00260847">
          <w:pPr>
            <w:pStyle w:val="NoSpacing"/>
            <w:spacing w:before="120" w:after="120"/>
            <w:rPr>
              <w:rFonts w:ascii="Arial" w:hAnsi="Arial" w:cs="Arial"/>
              <w:bCs/>
              <w:sz w:val="40"/>
              <w:szCs w:val="40"/>
              <w:lang w:val="en-AU"/>
            </w:rPr>
          </w:pPr>
        </w:p>
        <w:p w14:paraId="175C671E" w14:textId="6B8EDCBA" w:rsidR="00E67C03" w:rsidRDefault="00E67C03" w:rsidP="00260847">
          <w:pPr>
            <w:pStyle w:val="NoSpacing"/>
            <w:spacing w:before="120" w:after="120"/>
            <w:rPr>
              <w:rFonts w:ascii="Arial" w:hAnsi="Arial" w:cs="Arial"/>
              <w:bCs/>
              <w:sz w:val="40"/>
              <w:szCs w:val="40"/>
              <w:lang w:val="en-AU"/>
            </w:rPr>
          </w:pPr>
          <w:r w:rsidRPr="00DC2D4B">
            <w:rPr>
              <w:noProof/>
              <w:lang w:val="en-AU" w:eastAsia="en-AU"/>
            </w:rPr>
            <w:drawing>
              <wp:inline distT="0" distB="0" distL="0" distR="0" wp14:anchorId="62B6B1EC" wp14:editId="15D4895F">
                <wp:extent cx="3259015" cy="1066800"/>
                <wp:effectExtent l="0" t="0" r="0" b="0"/>
                <wp:docPr id="3" name="Picture 3" descr="H:\QHRC-logo-rgb-for-digital-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QHRC-logo-rgb-for-digital-use.png"/>
                        <pic:cNvPicPr>
                          <a:picLocks noChangeAspect="1" noChangeArrowheads="1"/>
                        </pic:cNvPicPr>
                      </pic:nvPicPr>
                      <pic:blipFill rotWithShape="1">
                        <a:blip r:embed="rId9">
                          <a:extLst>
                            <a:ext uri="{28A0092B-C50C-407E-A947-70E740481C1C}">
                              <a14:useLocalDpi xmlns:a14="http://schemas.microsoft.com/office/drawing/2010/main" val="0"/>
                            </a:ext>
                          </a:extLst>
                        </a:blip>
                        <a:srcRect l="4903" t="13919" r="4207" b="11569"/>
                        <a:stretch/>
                      </pic:blipFill>
                      <pic:spPr bwMode="auto">
                        <a:xfrm>
                          <a:off x="0" y="0"/>
                          <a:ext cx="3303563" cy="1081382"/>
                        </a:xfrm>
                        <a:prstGeom prst="rect">
                          <a:avLst/>
                        </a:prstGeom>
                        <a:noFill/>
                        <a:ln>
                          <a:noFill/>
                        </a:ln>
                        <a:extLst>
                          <a:ext uri="{53640926-AAD7-44D8-BBD7-CCE9431645EC}">
                            <a14:shadowObscured xmlns:a14="http://schemas.microsoft.com/office/drawing/2010/main"/>
                          </a:ext>
                        </a:extLst>
                      </pic:spPr>
                    </pic:pic>
                  </a:graphicData>
                </a:graphic>
              </wp:inline>
            </w:drawing>
          </w:r>
        </w:p>
        <w:p w14:paraId="68E22093" w14:textId="4723B773" w:rsidR="00E67C03" w:rsidRDefault="00E67C03" w:rsidP="00260847">
          <w:pPr>
            <w:pStyle w:val="NoSpacing"/>
            <w:spacing w:before="120" w:after="120"/>
            <w:rPr>
              <w:rFonts w:ascii="Arial" w:hAnsi="Arial" w:cs="Arial"/>
              <w:bCs/>
              <w:sz w:val="40"/>
              <w:szCs w:val="40"/>
              <w:lang w:val="en-AU"/>
            </w:rPr>
          </w:pPr>
        </w:p>
        <w:p w14:paraId="40418753" w14:textId="51B3A58B" w:rsidR="00E67C03" w:rsidRDefault="00E67C03" w:rsidP="00260847">
          <w:pPr>
            <w:pStyle w:val="NoSpacing"/>
            <w:spacing w:before="120" w:after="120"/>
            <w:rPr>
              <w:rFonts w:ascii="Arial" w:hAnsi="Arial" w:cs="Arial"/>
              <w:bCs/>
              <w:sz w:val="40"/>
              <w:szCs w:val="40"/>
              <w:lang w:val="en-AU"/>
            </w:rPr>
          </w:pPr>
        </w:p>
        <w:p w14:paraId="73E29FEF" w14:textId="581E76E1" w:rsidR="00E67C03" w:rsidRDefault="00E67C03" w:rsidP="00260847">
          <w:pPr>
            <w:pStyle w:val="NoSpacing"/>
            <w:spacing w:before="120" w:after="120"/>
            <w:rPr>
              <w:rFonts w:ascii="Arial" w:hAnsi="Arial" w:cs="Arial"/>
              <w:bCs/>
              <w:sz w:val="40"/>
              <w:szCs w:val="40"/>
              <w:lang w:val="en-AU"/>
            </w:rPr>
          </w:pPr>
        </w:p>
        <w:p w14:paraId="23C374AD" w14:textId="1C5FC9A5" w:rsidR="00E67C03" w:rsidRDefault="00E67C03" w:rsidP="00260847">
          <w:pPr>
            <w:pStyle w:val="NoSpacing"/>
            <w:spacing w:before="120" w:after="120"/>
            <w:rPr>
              <w:rFonts w:ascii="Arial" w:hAnsi="Arial" w:cs="Arial"/>
              <w:bCs/>
              <w:sz w:val="40"/>
              <w:szCs w:val="40"/>
              <w:lang w:val="en-AU"/>
            </w:rPr>
          </w:pPr>
        </w:p>
        <w:p w14:paraId="21C78CA5" w14:textId="7F6B5746" w:rsidR="00E67C03" w:rsidRDefault="00E67C03" w:rsidP="00260847">
          <w:pPr>
            <w:pStyle w:val="NoSpacing"/>
            <w:spacing w:before="120" w:after="120"/>
            <w:rPr>
              <w:rFonts w:ascii="Arial" w:hAnsi="Arial" w:cs="Arial"/>
              <w:bCs/>
              <w:sz w:val="40"/>
              <w:szCs w:val="40"/>
              <w:lang w:val="en-AU"/>
            </w:rPr>
          </w:pPr>
        </w:p>
        <w:p w14:paraId="5400279E" w14:textId="77777777" w:rsidR="00E67C03" w:rsidRDefault="00E67C03" w:rsidP="00260847">
          <w:pPr>
            <w:pStyle w:val="NoSpacing"/>
            <w:spacing w:before="120" w:after="120"/>
            <w:rPr>
              <w:rFonts w:ascii="Arial" w:hAnsi="Arial" w:cs="Arial"/>
              <w:bCs/>
              <w:sz w:val="40"/>
              <w:szCs w:val="40"/>
              <w:lang w:val="en-AU"/>
            </w:rPr>
          </w:pPr>
        </w:p>
        <w:p w14:paraId="54A57BE5" w14:textId="77777777" w:rsidR="00E67C03" w:rsidRDefault="00E67C03" w:rsidP="00260847">
          <w:pPr>
            <w:pStyle w:val="NoSpacing"/>
            <w:spacing w:before="120" w:after="120"/>
            <w:rPr>
              <w:rFonts w:ascii="Arial" w:hAnsi="Arial" w:cs="Arial"/>
              <w:bCs/>
              <w:sz w:val="40"/>
              <w:szCs w:val="40"/>
              <w:lang w:val="en-AU"/>
            </w:rPr>
          </w:pPr>
        </w:p>
        <w:p w14:paraId="2D18DABF" w14:textId="4608A4C2" w:rsidR="00601DE2" w:rsidRPr="00E67C03" w:rsidRDefault="00601DE2" w:rsidP="00260847">
          <w:pPr>
            <w:pStyle w:val="NoSpacing"/>
            <w:spacing w:before="120" w:after="120"/>
            <w:rPr>
              <w:rFonts w:ascii="Arial" w:hAnsi="Arial" w:cs="Arial"/>
              <w:bCs/>
              <w:color w:val="1F497D" w:themeColor="text2"/>
              <w:sz w:val="40"/>
              <w:szCs w:val="40"/>
              <w:lang w:val="en-AU"/>
            </w:rPr>
          </w:pPr>
          <w:r w:rsidRPr="00E67C03">
            <w:rPr>
              <w:rFonts w:ascii="Arial" w:hAnsi="Arial" w:cs="Arial"/>
              <w:bCs/>
              <w:color w:val="1F497D" w:themeColor="text2"/>
              <w:sz w:val="40"/>
              <w:szCs w:val="40"/>
              <w:lang w:val="en-AU"/>
            </w:rPr>
            <w:t>Prisoner accommodation and medication</w:t>
          </w:r>
        </w:p>
        <w:p w14:paraId="635CBD3C" w14:textId="6D6F2E61" w:rsidR="00E67C03" w:rsidRPr="00E67C03" w:rsidRDefault="00E67C03" w:rsidP="00260847">
          <w:pPr>
            <w:pStyle w:val="NoSpacing"/>
            <w:spacing w:before="120" w:after="120"/>
            <w:rPr>
              <w:rFonts w:ascii="Arial" w:hAnsi="Arial" w:cs="Arial"/>
              <w:bCs/>
              <w:color w:val="1F497D" w:themeColor="text2"/>
              <w:sz w:val="32"/>
              <w:szCs w:val="24"/>
              <w:lang w:val="en-AU"/>
            </w:rPr>
          </w:pPr>
          <w:r>
            <w:rPr>
              <w:rFonts w:ascii="Arial" w:hAnsi="Arial" w:cs="Arial"/>
              <w:bCs/>
              <w:noProof/>
              <w:color w:val="1F497D" w:themeColor="text2"/>
              <w:sz w:val="32"/>
              <w:szCs w:val="24"/>
              <w:lang w:val="en-AU"/>
            </w:rPr>
            <mc:AlternateContent>
              <mc:Choice Requires="wps">
                <w:drawing>
                  <wp:anchor distT="0" distB="0" distL="114300" distR="114300" simplePos="0" relativeHeight="251660288" behindDoc="0" locked="0" layoutInCell="1" allowOverlap="1" wp14:anchorId="5D531FAB" wp14:editId="21C2E5FC">
                    <wp:simplePos x="0" y="0"/>
                    <wp:positionH relativeFrom="column">
                      <wp:posOffset>11429</wp:posOffset>
                    </wp:positionH>
                    <wp:positionV relativeFrom="paragraph">
                      <wp:posOffset>120015</wp:posOffset>
                    </wp:positionV>
                    <wp:extent cx="458152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4581525" cy="0"/>
                            </a:xfrm>
                            <a:prstGeom prst="line">
                              <a:avLst/>
                            </a:prstGeom>
                            <a:ln w="12700">
                              <a:solidFill>
                                <a:srgbClr val="004270"/>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00AEFBC"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9.45pt" to="361.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" strokecolor="#004270" strokeweight="1pt"/>
                </w:pict>
              </mc:Fallback>
            </mc:AlternateContent>
          </w:r>
        </w:p>
        <w:p w14:paraId="213D9932" w14:textId="7B7AC237" w:rsidR="00260847" w:rsidRPr="00E67C03" w:rsidRDefault="001C3B62" w:rsidP="00260847">
          <w:pPr>
            <w:pStyle w:val="NoSpacing"/>
            <w:spacing w:before="120" w:after="120"/>
            <w:rPr>
              <w:rFonts w:ascii="Arial" w:hAnsi="Arial" w:cs="Arial"/>
              <w:bCs/>
              <w:i/>
              <w:color w:val="1F497D" w:themeColor="text2"/>
              <w:sz w:val="32"/>
              <w:szCs w:val="24"/>
              <w:lang w:val="en-AU"/>
            </w:rPr>
          </w:pPr>
          <w:r>
            <w:rPr>
              <w:rFonts w:ascii="Arial" w:hAnsi="Arial" w:cs="Arial"/>
              <w:bCs/>
              <w:color w:val="1F497D" w:themeColor="text2"/>
              <w:sz w:val="32"/>
              <w:szCs w:val="24"/>
              <w:lang w:val="en-AU"/>
            </w:rPr>
            <w:t>Summary of u</w:t>
          </w:r>
          <w:r w:rsidR="000C10D2" w:rsidRPr="00E67C03">
            <w:rPr>
              <w:rFonts w:ascii="Arial" w:hAnsi="Arial" w:cs="Arial"/>
              <w:bCs/>
              <w:color w:val="1F497D" w:themeColor="text2"/>
              <w:sz w:val="32"/>
              <w:szCs w:val="24"/>
              <w:lang w:val="en-AU"/>
            </w:rPr>
            <w:t xml:space="preserve">nresolved complaint report under </w:t>
          </w:r>
          <w:r w:rsidR="000C10D2" w:rsidRPr="00E67C03">
            <w:rPr>
              <w:rFonts w:ascii="Arial" w:hAnsi="Arial" w:cs="Arial"/>
              <w:bCs/>
              <w:color w:val="1F497D" w:themeColor="text2"/>
              <w:sz w:val="32"/>
              <w:szCs w:val="24"/>
              <w:lang w:val="en-AU"/>
            </w:rPr>
            <w:br/>
            <w:t xml:space="preserve">section 88 </w:t>
          </w:r>
          <w:r w:rsidR="000C10D2" w:rsidRPr="00E67C03">
            <w:rPr>
              <w:rFonts w:ascii="Arial" w:hAnsi="Arial" w:cs="Arial"/>
              <w:bCs/>
              <w:i/>
              <w:color w:val="1F497D" w:themeColor="text2"/>
              <w:sz w:val="32"/>
              <w:szCs w:val="24"/>
              <w:lang w:val="en-AU"/>
            </w:rPr>
            <w:t>Human Rights Act 2019</w:t>
          </w:r>
        </w:p>
        <w:p w14:paraId="532AD420" w14:textId="1CC0127A" w:rsidR="000C10D2" w:rsidRPr="00E67C03" w:rsidRDefault="001C3B62" w:rsidP="00260847">
          <w:pPr>
            <w:pStyle w:val="NoSpacing"/>
            <w:spacing w:before="120" w:after="120"/>
            <w:rPr>
              <w:rFonts w:ascii="Arial" w:hAnsi="Arial" w:cs="Arial"/>
              <w:bCs/>
              <w:color w:val="1F497D" w:themeColor="text2"/>
              <w:sz w:val="28"/>
              <w:lang w:val="en-AU"/>
            </w:rPr>
          </w:pPr>
          <w:r>
            <w:rPr>
              <w:rFonts w:ascii="Arial" w:hAnsi="Arial" w:cs="Arial"/>
              <w:bCs/>
              <w:color w:val="1F497D" w:themeColor="text2"/>
              <w:sz w:val="28"/>
              <w:lang w:val="en-AU"/>
            </w:rPr>
            <w:t>June</w:t>
          </w:r>
          <w:r w:rsidR="00CE316F" w:rsidRPr="00E67C03">
            <w:rPr>
              <w:rFonts w:ascii="Arial" w:hAnsi="Arial" w:cs="Arial"/>
              <w:bCs/>
              <w:color w:val="1F497D" w:themeColor="text2"/>
              <w:sz w:val="28"/>
              <w:lang w:val="en-AU"/>
            </w:rPr>
            <w:t xml:space="preserve"> 2023</w:t>
          </w:r>
        </w:p>
        <w:p w14:paraId="2D18BBF9" w14:textId="77777777" w:rsidR="004A2375" w:rsidRPr="00E67C03" w:rsidRDefault="00260847">
          <w:pPr>
            <w:rPr>
              <w:rFonts w:ascii="Arial" w:hAnsi="Arial" w:cs="Arial"/>
              <w:bCs/>
              <w:color w:val="1F497D" w:themeColor="text2"/>
              <w:sz w:val="28"/>
              <w:szCs w:val="22"/>
            </w:rPr>
            <w:sectPr w:rsidR="004A2375" w:rsidRPr="00E67C03" w:rsidSect="00A16356">
              <w:footerReference w:type="default" r:id="rId10"/>
              <w:headerReference w:type="first" r:id="rId11"/>
              <w:pgSz w:w="11900" w:h="16840" w:code="9"/>
              <w:pgMar w:top="1440" w:right="1797" w:bottom="1440" w:left="1797" w:header="709" w:footer="709" w:gutter="0"/>
              <w:pgNumType w:start="0"/>
              <w:cols w:space="708"/>
              <w:titlePg/>
              <w:docGrid w:linePitch="360"/>
            </w:sectPr>
          </w:pPr>
          <w:r w:rsidRPr="00E67C03">
            <w:rPr>
              <w:rFonts w:ascii="Arial" w:hAnsi="Arial" w:cs="Arial"/>
              <w:bCs/>
              <w:color w:val="1F497D" w:themeColor="text2"/>
              <w:sz w:val="28"/>
            </w:rPr>
            <w:br w:type="page"/>
          </w:r>
        </w:p>
      </w:sdtContent>
    </w:sdt>
    <w:p w14:paraId="5A747ECF" w14:textId="42E148CB" w:rsidR="00A165DE" w:rsidRDefault="00A165DE">
      <w:pPr>
        <w:rPr>
          <w:rFonts w:ascii="Arial" w:eastAsiaTheme="majorEastAsia" w:hAnsi="Arial" w:cstheme="majorBidi"/>
          <w:color w:val="004270"/>
          <w:sz w:val="36"/>
          <w:szCs w:val="36"/>
        </w:rPr>
      </w:pPr>
      <w:r>
        <w:rPr>
          <w:rFonts w:ascii="Arial" w:eastAsiaTheme="majorEastAsia" w:hAnsi="Arial" w:cstheme="majorBidi"/>
          <w:noProof/>
          <w:color w:val="004270"/>
          <w:sz w:val="36"/>
          <w:szCs w:val="36"/>
        </w:rPr>
        <w:lastRenderedPageBreak/>
        <mc:AlternateContent>
          <mc:Choice Requires="wps">
            <w:drawing>
              <wp:anchor distT="45720" distB="45720" distL="114300" distR="114300" simplePos="0" relativeHeight="251659264" behindDoc="0" locked="0" layoutInCell="1" allowOverlap="1" wp14:anchorId="50B1A660" wp14:editId="3DCDA180">
                <wp:simplePos x="0" y="0"/>
                <wp:positionH relativeFrom="column">
                  <wp:posOffset>186690</wp:posOffset>
                </wp:positionH>
                <wp:positionV relativeFrom="paragraph">
                  <wp:posOffset>171450</wp:posOffset>
                </wp:positionV>
                <wp:extent cx="5010150" cy="1404620"/>
                <wp:effectExtent l="0" t="0" r="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1404620"/>
                        </a:xfrm>
                        <a:prstGeom prst="rect">
                          <a:avLst/>
                        </a:prstGeom>
                        <a:solidFill>
                          <a:srgbClr val="004270"/>
                        </a:solidFill>
                        <a:ln w="9525">
                          <a:noFill/>
                          <a:miter lim="800000"/>
                          <a:headEnd/>
                          <a:tailEnd/>
                        </a:ln>
                      </wps:spPr>
                      <wps:txbx>
                        <w:txbxContent>
                          <w:p w14:paraId="608E845D" w14:textId="77777777" w:rsidR="00A165DE" w:rsidRPr="00503C29" w:rsidRDefault="00A165DE" w:rsidP="00A165DE">
                            <w:pPr>
                              <w:pStyle w:val="Heading1"/>
                              <w:rPr>
                                <w:color w:val="FFFFFF" w:themeColor="background1"/>
                              </w:rPr>
                            </w:pPr>
                            <w:r w:rsidRPr="00503C29">
                              <w:rPr>
                                <w:color w:val="FFFFFF" w:themeColor="background1"/>
                              </w:rPr>
                              <w:t>About this report</w:t>
                            </w:r>
                          </w:p>
                          <w:p w14:paraId="2F0DE18C" w14:textId="464B5384" w:rsidR="006946F5" w:rsidRPr="006946F5" w:rsidRDefault="006946F5" w:rsidP="006946F5">
                            <w:pPr>
                              <w:spacing w:after="240" w:line="276" w:lineRule="auto"/>
                              <w:rPr>
                                <w:rFonts w:ascii="Arial" w:hAnsi="Arial" w:cs="Arial"/>
                              </w:rPr>
                            </w:pPr>
                            <w:r w:rsidRPr="006946F5">
                              <w:rPr>
                                <w:rFonts w:ascii="Arial" w:hAnsi="Arial" w:cs="Arial"/>
                              </w:rPr>
                              <w:t xml:space="preserve">This is </w:t>
                            </w:r>
                            <w:r w:rsidR="001C3B62">
                              <w:rPr>
                                <w:rFonts w:ascii="Arial" w:hAnsi="Arial" w:cs="Arial"/>
                              </w:rPr>
                              <w:t xml:space="preserve">a summary of </w:t>
                            </w:r>
                            <w:r w:rsidRPr="006946F5">
                              <w:rPr>
                                <w:rFonts w:ascii="Arial" w:hAnsi="Arial" w:cs="Arial"/>
                              </w:rPr>
                              <w:t xml:space="preserve">an unresolved complaint report for a complaint made to the Queensland Human Rights Commission (Commission) under the </w:t>
                            </w:r>
                            <w:r w:rsidRPr="001C3B62">
                              <w:rPr>
                                <w:rFonts w:ascii="Arial" w:hAnsi="Arial" w:cs="Arial"/>
                                <w:i/>
                                <w:iCs/>
                              </w:rPr>
                              <w:t>Human Rights Act 2019</w:t>
                            </w:r>
                            <w:r w:rsidRPr="006946F5">
                              <w:rPr>
                                <w:rFonts w:ascii="Arial" w:hAnsi="Arial" w:cs="Arial"/>
                              </w:rPr>
                              <w:t xml:space="preserve"> (HR Act). Under section 88 of the HR Act, the report may include details of actions the Commissioner considers the respondent should take to ensure its acts and decisions are compatible with human rights.</w:t>
                            </w:r>
                          </w:p>
                          <w:p w14:paraId="42927779" w14:textId="77777777" w:rsidR="006946F5" w:rsidRPr="006946F5" w:rsidRDefault="006946F5" w:rsidP="006946F5">
                            <w:pPr>
                              <w:spacing w:after="240" w:line="276" w:lineRule="auto"/>
                              <w:rPr>
                                <w:rFonts w:ascii="Arial" w:hAnsi="Arial" w:cs="Arial"/>
                              </w:rPr>
                            </w:pPr>
                            <w:r w:rsidRPr="006946F5">
                              <w:rPr>
                                <w:rFonts w:ascii="Arial" w:hAnsi="Arial" w:cs="Arial"/>
                              </w:rPr>
                              <w:t xml:space="preserve">The approach to human rights under the HR Act favours discussion, awareness raising and education about human rights. The Commission has a dispute resolution function which aims to provide the community with an accessible and independent avenue to raise human rights concerns with public entities. </w:t>
                            </w:r>
                          </w:p>
                          <w:p w14:paraId="07FE3EF8" w14:textId="6E521E39" w:rsidR="006946F5" w:rsidRPr="006946F5" w:rsidRDefault="006946F5" w:rsidP="006946F5">
                            <w:pPr>
                              <w:spacing w:after="240" w:line="276" w:lineRule="auto"/>
                              <w:rPr>
                                <w:rFonts w:ascii="Arial" w:hAnsi="Arial" w:cs="Arial"/>
                              </w:rPr>
                            </w:pPr>
                            <w:r w:rsidRPr="006946F5">
                              <w:rPr>
                                <w:rFonts w:ascii="Arial" w:hAnsi="Arial" w:cs="Arial"/>
                              </w:rPr>
                              <w:t xml:space="preserve">The goal of conciliation is to reach meaningful resolution of complaints in a way that is relatively informal. </w:t>
                            </w:r>
                            <w:r w:rsidR="00235472" w:rsidRPr="00235472">
                              <w:rPr>
                                <w:rFonts w:ascii="Arial" w:hAnsi="Arial" w:cs="Arial"/>
                              </w:rPr>
                              <w:t>The Commission cannot settle or determine disputes of fact</w:t>
                            </w:r>
                            <w:r w:rsidR="00235472">
                              <w:rPr>
                                <w:rFonts w:ascii="Arial" w:hAnsi="Arial" w:cs="Arial"/>
                              </w:rPr>
                              <w:t>.</w:t>
                            </w:r>
                          </w:p>
                          <w:p w14:paraId="3FC253AF" w14:textId="77777777" w:rsidR="006946F5" w:rsidRPr="006946F5" w:rsidRDefault="006946F5" w:rsidP="006946F5">
                            <w:pPr>
                              <w:spacing w:after="240" w:line="276" w:lineRule="auto"/>
                              <w:rPr>
                                <w:rFonts w:ascii="Arial" w:hAnsi="Arial" w:cs="Arial"/>
                              </w:rPr>
                            </w:pPr>
                            <w:r w:rsidRPr="006946F5">
                              <w:rPr>
                                <w:rFonts w:ascii="Arial" w:hAnsi="Arial" w:cs="Arial"/>
                              </w:rPr>
                              <w:t>Complaints that cannot be resolved do not get referred for determination by a Tribunal, although nothing prevents a complainant from commencing other legal proceedings against the public entity respondent in another court or tribunal and attaching human rights allegations to that claim.</w:t>
                            </w:r>
                          </w:p>
                          <w:p w14:paraId="1D114521" w14:textId="77777777" w:rsidR="006946F5" w:rsidRPr="006946F5" w:rsidRDefault="006946F5" w:rsidP="006946F5">
                            <w:pPr>
                              <w:spacing w:after="240" w:line="276" w:lineRule="auto"/>
                              <w:rPr>
                                <w:rFonts w:ascii="Arial" w:hAnsi="Arial" w:cs="Arial"/>
                              </w:rPr>
                            </w:pPr>
                            <w:r w:rsidRPr="006946F5">
                              <w:rPr>
                                <w:rFonts w:ascii="Arial" w:hAnsi="Arial" w:cs="Arial"/>
                              </w:rPr>
                              <w:t>The Commissioner must prepare a report about all unresolved complaints. The report must include the substance of the complaint and actions taken to try and resolve the complaint.</w:t>
                            </w:r>
                          </w:p>
                          <w:p w14:paraId="3A95D3B0" w14:textId="77777777" w:rsidR="006946F5" w:rsidRPr="006946F5" w:rsidRDefault="006946F5" w:rsidP="006946F5">
                            <w:pPr>
                              <w:spacing w:after="240" w:line="276" w:lineRule="auto"/>
                              <w:rPr>
                                <w:rFonts w:ascii="Arial" w:hAnsi="Arial" w:cs="Arial"/>
                              </w:rPr>
                            </w:pPr>
                            <w:r w:rsidRPr="006946F5">
                              <w:rPr>
                                <w:rFonts w:ascii="Arial" w:hAnsi="Arial" w:cs="Arial"/>
                              </w:rPr>
                              <w:t>At the discretion of the Commissioner, the report may also include details of actions the Commissioner considers the respondent to the complaint should take to ensure its acts and decisions are compatible with human rights.</w:t>
                            </w:r>
                          </w:p>
                          <w:p w14:paraId="0CE681E3" w14:textId="20E6D278" w:rsidR="00A165DE" w:rsidRPr="006946F5" w:rsidRDefault="006946F5" w:rsidP="006946F5">
                            <w:pPr>
                              <w:spacing w:after="240" w:line="276" w:lineRule="auto"/>
                              <w:rPr>
                                <w:rFonts w:ascii="Arial" w:hAnsi="Arial" w:cs="Arial"/>
                              </w:rPr>
                            </w:pPr>
                            <w:r w:rsidRPr="006946F5">
                              <w:rPr>
                                <w:rFonts w:ascii="Arial" w:hAnsi="Arial" w:cs="Arial"/>
                              </w:rPr>
                              <w:t>A recommendation does not necessarily mean that rights have been unlawfully limited. Unresolved complaint reports aim to assist public entities to comply with their obligations, build a culture in the Queensland public sector that respects and promotes human rights, and to promote a dialogue about the nature, meaning and scope of human rights. The report is not admissible in a proceeding unless the parties otherwise agree.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B1A660" id="_x0000_t202" coordsize="21600,21600" o:spt="202" path="m,l,21600r21600,l21600,xe">
                <v:stroke joinstyle="miter"/>
                <v:path gradientshapeok="t" o:connecttype="rect"/>
              </v:shapetype>
              <v:shape id="Text Box 2" o:spid="_x0000_s1026" type="#_x0000_t202" style="position:absolute;margin-left:14.7pt;margin-top:13.5pt;width:394.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" fillcolor="#004270" stroked="f">
                <v:textbox style="mso-fit-shape-to-text:t">
                  <w:txbxContent>
                    <w:p w14:paraId="608E845D" w14:textId="77777777" w:rsidR="00A165DE" w:rsidRPr="00503C29" w:rsidRDefault="00A165DE" w:rsidP="00A165DE">
                      <w:pPr>
                        <w:pStyle w:val="Heading1"/>
                        <w:rPr>
                          <w:color w:val="FFFFFF" w:themeColor="background1"/>
                        </w:rPr>
                      </w:pPr>
                      <w:r w:rsidRPr="00503C29">
                        <w:rPr>
                          <w:color w:val="FFFFFF" w:themeColor="background1"/>
                        </w:rPr>
                        <w:t>About this report</w:t>
                      </w:r>
                    </w:p>
                    <w:p w14:paraId="2F0DE18C" w14:textId="464B5384" w:rsidR="006946F5" w:rsidRPr="006946F5" w:rsidRDefault="006946F5" w:rsidP="006946F5">
                      <w:pPr>
                        <w:spacing w:after="240" w:line="276" w:lineRule="auto"/>
                        <w:rPr>
                          <w:rFonts w:ascii="Arial" w:hAnsi="Arial" w:cs="Arial"/>
                        </w:rPr>
                      </w:pPr>
                      <w:r w:rsidRPr="006946F5">
                        <w:rPr>
                          <w:rFonts w:ascii="Arial" w:hAnsi="Arial" w:cs="Arial"/>
                        </w:rPr>
                        <w:t xml:space="preserve">This is </w:t>
                      </w:r>
                      <w:r w:rsidR="001C3B62">
                        <w:rPr>
                          <w:rFonts w:ascii="Arial" w:hAnsi="Arial" w:cs="Arial"/>
                        </w:rPr>
                        <w:t xml:space="preserve">a summary of </w:t>
                      </w:r>
                      <w:r w:rsidRPr="006946F5">
                        <w:rPr>
                          <w:rFonts w:ascii="Arial" w:hAnsi="Arial" w:cs="Arial"/>
                        </w:rPr>
                        <w:t xml:space="preserve">an unresolved complaint report for a complaint made to the Queensland Human Rights Commission (Commission) under the </w:t>
                      </w:r>
                      <w:r w:rsidRPr="001C3B62">
                        <w:rPr>
                          <w:rFonts w:ascii="Arial" w:hAnsi="Arial" w:cs="Arial"/>
                          <w:i/>
                          <w:iCs/>
                        </w:rPr>
                        <w:t>Human Rights Act 2019</w:t>
                      </w:r>
                      <w:r w:rsidRPr="006946F5">
                        <w:rPr>
                          <w:rFonts w:ascii="Arial" w:hAnsi="Arial" w:cs="Arial"/>
                        </w:rPr>
                        <w:t xml:space="preserve"> (HR Act). Under section 88 of the HR Act, the report may include details of actions the Commissioner considers the respondent should take to ensure its acts and decisions are compatible with human rights.</w:t>
                      </w:r>
                    </w:p>
                    <w:p w14:paraId="42927779" w14:textId="77777777" w:rsidR="006946F5" w:rsidRPr="006946F5" w:rsidRDefault="006946F5" w:rsidP="006946F5">
                      <w:pPr>
                        <w:spacing w:after="240" w:line="276" w:lineRule="auto"/>
                        <w:rPr>
                          <w:rFonts w:ascii="Arial" w:hAnsi="Arial" w:cs="Arial"/>
                        </w:rPr>
                      </w:pPr>
                      <w:r w:rsidRPr="006946F5">
                        <w:rPr>
                          <w:rFonts w:ascii="Arial" w:hAnsi="Arial" w:cs="Arial"/>
                        </w:rPr>
                        <w:t xml:space="preserve">The approach to human rights under the HR Act favours discussion, awareness raising and education about human rights. The Commission has a dispute resolution function which aims to provide the community with an accessible and independent avenue to raise human rights concerns with public entities. </w:t>
                      </w:r>
                    </w:p>
                    <w:p w14:paraId="07FE3EF8" w14:textId="6E521E39" w:rsidR="006946F5" w:rsidRPr="006946F5" w:rsidRDefault="006946F5" w:rsidP="006946F5">
                      <w:pPr>
                        <w:spacing w:after="240" w:line="276" w:lineRule="auto"/>
                        <w:rPr>
                          <w:rFonts w:ascii="Arial" w:hAnsi="Arial" w:cs="Arial"/>
                        </w:rPr>
                      </w:pPr>
                      <w:r w:rsidRPr="006946F5">
                        <w:rPr>
                          <w:rFonts w:ascii="Arial" w:hAnsi="Arial" w:cs="Arial"/>
                        </w:rPr>
                        <w:t xml:space="preserve">The goal of conciliation is to reach meaningful resolution of complaints in a way that is relatively informal. </w:t>
                      </w:r>
                      <w:r w:rsidR="00235472" w:rsidRPr="00235472">
                        <w:rPr>
                          <w:rFonts w:ascii="Arial" w:hAnsi="Arial" w:cs="Arial"/>
                        </w:rPr>
                        <w:t>The Commission cannot settle or determine disputes of fact</w:t>
                      </w:r>
                      <w:r w:rsidR="00235472">
                        <w:rPr>
                          <w:rFonts w:ascii="Arial" w:hAnsi="Arial" w:cs="Arial"/>
                        </w:rPr>
                        <w:t>.</w:t>
                      </w:r>
                    </w:p>
                    <w:p w14:paraId="3FC253AF" w14:textId="77777777" w:rsidR="006946F5" w:rsidRPr="006946F5" w:rsidRDefault="006946F5" w:rsidP="006946F5">
                      <w:pPr>
                        <w:spacing w:after="240" w:line="276" w:lineRule="auto"/>
                        <w:rPr>
                          <w:rFonts w:ascii="Arial" w:hAnsi="Arial" w:cs="Arial"/>
                        </w:rPr>
                      </w:pPr>
                      <w:r w:rsidRPr="006946F5">
                        <w:rPr>
                          <w:rFonts w:ascii="Arial" w:hAnsi="Arial" w:cs="Arial"/>
                        </w:rPr>
                        <w:t>Complaints that cannot be resolved do not get referred for determination by a Tribunal, although nothing prevents a complainant from commencing other legal proceedings against the public entity respondent in another court or tribunal and attaching human rights allegations to that claim.</w:t>
                      </w:r>
                    </w:p>
                    <w:p w14:paraId="1D114521" w14:textId="77777777" w:rsidR="006946F5" w:rsidRPr="006946F5" w:rsidRDefault="006946F5" w:rsidP="006946F5">
                      <w:pPr>
                        <w:spacing w:after="240" w:line="276" w:lineRule="auto"/>
                        <w:rPr>
                          <w:rFonts w:ascii="Arial" w:hAnsi="Arial" w:cs="Arial"/>
                        </w:rPr>
                      </w:pPr>
                      <w:r w:rsidRPr="006946F5">
                        <w:rPr>
                          <w:rFonts w:ascii="Arial" w:hAnsi="Arial" w:cs="Arial"/>
                        </w:rPr>
                        <w:t>The Commissioner must prepare a report about all unresolved complaints. The report must include the substance of the complaint and actions taken to try and resolve the complaint.</w:t>
                      </w:r>
                    </w:p>
                    <w:p w14:paraId="3A95D3B0" w14:textId="77777777" w:rsidR="006946F5" w:rsidRPr="006946F5" w:rsidRDefault="006946F5" w:rsidP="006946F5">
                      <w:pPr>
                        <w:spacing w:after="240" w:line="276" w:lineRule="auto"/>
                        <w:rPr>
                          <w:rFonts w:ascii="Arial" w:hAnsi="Arial" w:cs="Arial"/>
                        </w:rPr>
                      </w:pPr>
                      <w:r w:rsidRPr="006946F5">
                        <w:rPr>
                          <w:rFonts w:ascii="Arial" w:hAnsi="Arial" w:cs="Arial"/>
                        </w:rPr>
                        <w:t>At the discretion of the Commissioner, the report may also include details of actions the Commissioner considers the respondent to the complaint should take to ensure its acts and decisions are compatible with human rights.</w:t>
                      </w:r>
                    </w:p>
                    <w:p w14:paraId="0CE681E3" w14:textId="20E6D278" w:rsidR="00A165DE" w:rsidRPr="006946F5" w:rsidRDefault="006946F5" w:rsidP="006946F5">
                      <w:pPr>
                        <w:spacing w:after="240" w:line="276" w:lineRule="auto"/>
                        <w:rPr>
                          <w:rFonts w:ascii="Arial" w:hAnsi="Arial" w:cs="Arial"/>
                        </w:rPr>
                      </w:pPr>
                      <w:r w:rsidRPr="006946F5">
                        <w:rPr>
                          <w:rFonts w:ascii="Arial" w:hAnsi="Arial" w:cs="Arial"/>
                        </w:rPr>
                        <w:t>A recommendation does not necessarily mean that rights have been unlawfully limited. Unresolved complaint reports aim to assist public entities to comply with their obligations, build a culture in the Queensland public sector that respects and promotes human rights, and to promote a dialogue about the nature, meaning and scope of human rights. The report is not admissible in a proceeding unless the parties otherwise agree.</w:t>
                      </w:r>
                    </w:p>
                  </w:txbxContent>
                </v:textbox>
                <w10:wrap type="square"/>
              </v:shape>
            </w:pict>
          </mc:Fallback>
        </mc:AlternateContent>
      </w:r>
      <w:r>
        <w:br w:type="page"/>
      </w:r>
    </w:p>
    <w:p w14:paraId="0FED352A" w14:textId="4D389DBA" w:rsidR="002A4597" w:rsidRDefault="0021666B" w:rsidP="00503C29">
      <w:pPr>
        <w:pStyle w:val="Heading1"/>
      </w:pPr>
      <w:r>
        <w:lastRenderedPageBreak/>
        <w:t>Introduction</w:t>
      </w:r>
    </w:p>
    <w:p w14:paraId="3F7DC563" w14:textId="0E8B19C6" w:rsidR="00CE316F" w:rsidRPr="004F1FD7" w:rsidRDefault="005E210B" w:rsidP="002240CE">
      <w:pPr>
        <w:pStyle w:val="Numberedparagraph"/>
      </w:pPr>
      <w:r w:rsidRPr="004F1FD7">
        <w:t>The Commission received a complaint from an individual</w:t>
      </w:r>
      <w:r w:rsidR="0052657C" w:rsidRPr="004F1FD7">
        <w:t xml:space="preserve"> </w:t>
      </w:r>
      <w:r w:rsidR="006709E3">
        <w:t>(</w:t>
      </w:r>
      <w:r w:rsidR="006709E3" w:rsidRPr="006B3458">
        <w:rPr>
          <w:b/>
          <w:bCs/>
        </w:rPr>
        <w:t>C</w:t>
      </w:r>
      <w:r w:rsidR="006709E3">
        <w:t xml:space="preserve">) </w:t>
      </w:r>
      <w:r w:rsidR="0052657C" w:rsidRPr="004F1FD7">
        <w:t>involving</w:t>
      </w:r>
      <w:r w:rsidR="00CE316F" w:rsidRPr="004F1FD7">
        <w:t xml:space="preserve"> </w:t>
      </w:r>
      <w:r w:rsidR="00914BA3" w:rsidRPr="004F1FD7">
        <w:t>various allegations</w:t>
      </w:r>
      <w:r w:rsidR="008765A7">
        <w:t xml:space="preserve"> against </w:t>
      </w:r>
      <w:r w:rsidR="00503C29">
        <w:t xml:space="preserve">a </w:t>
      </w:r>
      <w:r w:rsidR="008765A7" w:rsidRPr="00FD195C">
        <w:t>Hospital and Health Service</w:t>
      </w:r>
      <w:r w:rsidR="008765A7" w:rsidRPr="00DC2D4B">
        <w:t xml:space="preserve"> </w:t>
      </w:r>
      <w:r w:rsidR="008765A7">
        <w:t>(</w:t>
      </w:r>
      <w:r w:rsidR="00503C29" w:rsidRPr="00503C29">
        <w:rPr>
          <w:b/>
          <w:bCs/>
        </w:rPr>
        <w:t>H</w:t>
      </w:r>
      <w:r w:rsidR="008765A7" w:rsidRPr="00357DEC">
        <w:rPr>
          <w:b/>
          <w:bCs/>
        </w:rPr>
        <w:t>HS</w:t>
      </w:r>
      <w:r w:rsidR="008765A7">
        <w:t>)</w:t>
      </w:r>
      <w:r w:rsidR="008765A7" w:rsidRPr="00BF759F">
        <w:t xml:space="preserve"> and</w:t>
      </w:r>
      <w:r w:rsidR="008765A7">
        <w:t xml:space="preserve"> Queensland Corrective Services</w:t>
      </w:r>
      <w:r w:rsidR="008765A7" w:rsidRPr="00BF759F">
        <w:t xml:space="preserve"> </w:t>
      </w:r>
      <w:r w:rsidR="00357DEC">
        <w:t>(</w:t>
      </w:r>
      <w:r w:rsidR="008765A7" w:rsidRPr="00357DEC">
        <w:rPr>
          <w:b/>
          <w:bCs/>
        </w:rPr>
        <w:t>QCS</w:t>
      </w:r>
      <w:r w:rsidR="00357DEC">
        <w:t>)</w:t>
      </w:r>
      <w:r w:rsidR="00914BA3" w:rsidRPr="004F1FD7">
        <w:t xml:space="preserve"> about his period of</w:t>
      </w:r>
      <w:r w:rsidR="00CE316F" w:rsidRPr="004F1FD7">
        <w:t xml:space="preserve"> incarceration</w:t>
      </w:r>
      <w:r w:rsidR="00914BA3" w:rsidRPr="004F1FD7">
        <w:t>, primarily concerning</w:t>
      </w:r>
      <w:r w:rsidR="00CE316F" w:rsidRPr="004F1FD7">
        <w:t>:</w:t>
      </w:r>
    </w:p>
    <w:p w14:paraId="446F38FB" w14:textId="79D963F3" w:rsidR="00CE316F" w:rsidRPr="004F1FD7" w:rsidRDefault="00C77E81" w:rsidP="008A0C9C">
      <w:pPr>
        <w:pStyle w:val="Numberedparagraph"/>
        <w:numPr>
          <w:ilvl w:val="1"/>
          <w:numId w:val="13"/>
        </w:numPr>
      </w:pPr>
      <w:r w:rsidRPr="004F1FD7">
        <w:t xml:space="preserve">A significant delay in his transfer to </w:t>
      </w:r>
      <w:r w:rsidR="00357DEC">
        <w:t xml:space="preserve">single cell accommodation in accordance with medical recommendation; </w:t>
      </w:r>
    </w:p>
    <w:p w14:paraId="56AC336B" w14:textId="39C199FF" w:rsidR="0052657C" w:rsidRPr="004F1FD7" w:rsidRDefault="0052657C" w:rsidP="008A0C9C">
      <w:pPr>
        <w:pStyle w:val="Numberedparagraph"/>
        <w:numPr>
          <w:ilvl w:val="1"/>
          <w:numId w:val="13"/>
        </w:numPr>
      </w:pPr>
      <w:r w:rsidRPr="004F1FD7">
        <w:t xml:space="preserve">A failure to provide </w:t>
      </w:r>
      <w:r w:rsidR="00C77E81" w:rsidRPr="004F1FD7">
        <w:t>continuity</w:t>
      </w:r>
      <w:r w:rsidR="00444B5F">
        <w:t xml:space="preserve"> and equivalence</w:t>
      </w:r>
      <w:r w:rsidRPr="004F1FD7">
        <w:t xml:space="preserve"> of medical care</w:t>
      </w:r>
      <w:r w:rsidR="00444B5F">
        <w:t xml:space="preserve"> to that</w:t>
      </w:r>
      <w:r w:rsidR="00D07324">
        <w:t xml:space="preserve"> available</w:t>
      </w:r>
      <w:r w:rsidR="00444B5F">
        <w:t xml:space="preserve"> in the community</w:t>
      </w:r>
      <w:r w:rsidR="00C77E81" w:rsidRPr="004F1FD7">
        <w:t>, including</w:t>
      </w:r>
      <w:r w:rsidRPr="004F1FD7">
        <w:t xml:space="preserve"> a decision not to continue </w:t>
      </w:r>
      <w:r w:rsidR="00357DEC">
        <w:t xml:space="preserve">the </w:t>
      </w:r>
      <w:r w:rsidRPr="004F1FD7">
        <w:t>prescription</w:t>
      </w:r>
      <w:r w:rsidR="00C77E81" w:rsidRPr="004F1FD7">
        <w:t xml:space="preserve"> medication</w:t>
      </w:r>
      <w:r w:rsidR="00357DEC">
        <w:t xml:space="preserve"> that had been</w:t>
      </w:r>
      <w:r w:rsidRPr="004F1FD7">
        <w:t xml:space="preserve"> prescribed to him prior to admission</w:t>
      </w:r>
      <w:r w:rsidR="0009373C" w:rsidRPr="004F1FD7">
        <w:t xml:space="preserve"> to prison</w:t>
      </w:r>
      <w:r w:rsidRPr="004F1FD7">
        <w:t xml:space="preserve">.  </w:t>
      </w:r>
    </w:p>
    <w:p w14:paraId="3C6E791B" w14:textId="1007C94E" w:rsidR="002B7EC6" w:rsidRDefault="00A75B8B" w:rsidP="002240CE">
      <w:pPr>
        <w:pStyle w:val="Numberedparagraph"/>
      </w:pPr>
      <w:r w:rsidRPr="00DC2D4B">
        <w:t xml:space="preserve">The Commission is grateful for the submissions of the respondents which were received during the course of the </w:t>
      </w:r>
      <w:r w:rsidR="00824176" w:rsidRPr="00DC2D4B">
        <w:t>complaint and</w:t>
      </w:r>
      <w:r w:rsidRPr="00DC2D4B">
        <w:t xml:space="preserve"> </w:t>
      </w:r>
      <w:r w:rsidR="001D5556">
        <w:t xml:space="preserve">these </w:t>
      </w:r>
      <w:r w:rsidR="000C10D2" w:rsidRPr="00010267">
        <w:t xml:space="preserve">have been incorporated. </w:t>
      </w:r>
    </w:p>
    <w:p w14:paraId="6118C441" w14:textId="191861AC" w:rsidR="0021666B" w:rsidRDefault="0021666B" w:rsidP="0021666B">
      <w:pPr>
        <w:pStyle w:val="Heading1"/>
      </w:pPr>
      <w:r>
        <w:t>Summary of recommendations</w:t>
      </w:r>
    </w:p>
    <w:p w14:paraId="4593E7C7" w14:textId="3874CD85" w:rsidR="002A4597" w:rsidRDefault="00503C29" w:rsidP="0021666B">
      <w:pPr>
        <w:pStyle w:val="Numberedparagraph"/>
      </w:pPr>
      <w:r>
        <w:t>The</w:t>
      </w:r>
      <w:r w:rsidR="002A4597">
        <w:t xml:space="preserve"> </w:t>
      </w:r>
      <w:r w:rsidR="0084237B">
        <w:t xml:space="preserve">Commission recommends that the </w:t>
      </w:r>
      <w:r w:rsidR="002A4597">
        <w:t>Hospital and Health Service review whether its prison policies and procedures are compatible with rights in the Human Rights Act to ensure:</w:t>
      </w:r>
    </w:p>
    <w:p w14:paraId="562F9914" w14:textId="648B5176" w:rsidR="002A4597" w:rsidRPr="0021666B" w:rsidRDefault="002A4597" w:rsidP="0021666B">
      <w:pPr>
        <w:pStyle w:val="Subrec"/>
        <w:rPr>
          <w:color w:val="auto"/>
          <w:lang w:val="en-AU"/>
        </w:rPr>
      </w:pPr>
      <w:r w:rsidRPr="0021666B">
        <w:rPr>
          <w:color w:val="auto"/>
          <w:lang w:val="en-AU"/>
        </w:rPr>
        <w:t>Subject to the prisoner’s consent, medical recommendations about the accommodation of prisoners are communicated directly from the Hospital and Health Service to Queensland Corrective Services (QCS).</w:t>
      </w:r>
    </w:p>
    <w:p w14:paraId="7B1081A8" w14:textId="77777777" w:rsidR="002A4597" w:rsidRPr="0021666B" w:rsidRDefault="002A4597" w:rsidP="0021666B">
      <w:pPr>
        <w:pStyle w:val="Subrec"/>
        <w:rPr>
          <w:color w:val="auto"/>
          <w:lang w:val="en-AU"/>
        </w:rPr>
      </w:pPr>
      <w:r w:rsidRPr="0021666B">
        <w:rPr>
          <w:color w:val="auto"/>
          <w:lang w:val="en-AU"/>
        </w:rPr>
        <w:t xml:space="preserve">The consideration of factors such as risk of abuse and diversion in prescribing, ceasing and managing medication in prison are demonstrably justified. </w:t>
      </w:r>
    </w:p>
    <w:p w14:paraId="434B11BA" w14:textId="77777777" w:rsidR="002A4597" w:rsidRDefault="002A4597" w:rsidP="008E6356">
      <w:pPr>
        <w:pStyle w:val="Numberedparagraph"/>
        <w:numPr>
          <w:ilvl w:val="0"/>
          <w:numId w:val="0"/>
        </w:numPr>
        <w:ind w:left="984"/>
      </w:pPr>
      <w:r>
        <w:t xml:space="preserve">The Office of Prisoner Health and Wellbeing should be consulted as part of this review. </w:t>
      </w:r>
    </w:p>
    <w:p w14:paraId="31F3E49D" w14:textId="26C06320" w:rsidR="002A4597" w:rsidRDefault="002A4597" w:rsidP="008E6356">
      <w:pPr>
        <w:pStyle w:val="Numberedparagraph"/>
        <w:numPr>
          <w:ilvl w:val="0"/>
          <w:numId w:val="0"/>
        </w:numPr>
        <w:ind w:left="984"/>
      </w:pPr>
      <w:r>
        <w:t>Relevant QCS and</w:t>
      </w:r>
      <w:r w:rsidR="00503C29">
        <w:t xml:space="preserve"> HHS</w:t>
      </w:r>
      <w:r>
        <w:t xml:space="preserve"> agreements, policies and guidance material should be updated to reflect the outcome of this review and whenever possible, these should be publicly available. </w:t>
      </w:r>
    </w:p>
    <w:p w14:paraId="27154DC8" w14:textId="42D31D50" w:rsidR="003536E3" w:rsidRPr="000F5451" w:rsidRDefault="003536E3" w:rsidP="003536E3">
      <w:pPr>
        <w:pStyle w:val="Numberedparagraph"/>
      </w:pPr>
      <w:bookmarkStart w:id="0" w:name="_Hlk134697130"/>
      <w:r>
        <w:t xml:space="preserve">The Commission welcomes the response from QCS and </w:t>
      </w:r>
      <w:r w:rsidR="00503C29">
        <w:t>the HHS</w:t>
      </w:r>
      <w:r>
        <w:t xml:space="preserve"> that they are</w:t>
      </w:r>
      <w:r w:rsidRPr="00A868EC">
        <w:t xml:space="preserve"> prepared to accept the Commission’s recommendations and </w:t>
      </w:r>
      <w:r>
        <w:t xml:space="preserve">have already commenced implementation. This demonstrates a commitment to building a culture of human rights.  </w:t>
      </w:r>
    </w:p>
    <w:bookmarkEnd w:id="0"/>
    <w:p w14:paraId="7528D879" w14:textId="51E56FAA" w:rsidR="000C10D2" w:rsidRPr="00010267" w:rsidRDefault="00492341" w:rsidP="002240CE">
      <w:pPr>
        <w:pStyle w:val="Numberedparagraph"/>
      </w:pPr>
      <w:r w:rsidRPr="00010267">
        <w:t xml:space="preserve">The full </w:t>
      </w:r>
      <w:r w:rsidR="002B7EC6" w:rsidRPr="00010267">
        <w:t xml:space="preserve">copy of this report has been provided to all the parties, who must agree before it can be used in any proceeding in relation to </w:t>
      </w:r>
      <w:r w:rsidR="001949AF" w:rsidRPr="00010267">
        <w:t xml:space="preserve">a </w:t>
      </w:r>
      <w:r w:rsidR="002B7EC6" w:rsidRPr="00010267">
        <w:t>contravention of the HR Act.</w:t>
      </w:r>
    </w:p>
    <w:p w14:paraId="3B0587BA" w14:textId="1AD88EBE" w:rsidR="002B7EC6" w:rsidRPr="00010267" w:rsidRDefault="00CF033A" w:rsidP="002240CE">
      <w:pPr>
        <w:pStyle w:val="Numberedparagraph"/>
      </w:pPr>
      <w:r w:rsidRPr="00010267">
        <w:t>Th</w:t>
      </w:r>
      <w:r w:rsidR="00580797">
        <w:t>is</w:t>
      </w:r>
      <w:r w:rsidR="002B7EC6" w:rsidRPr="00010267">
        <w:t xml:space="preserve"> </w:t>
      </w:r>
      <w:r w:rsidR="00492341" w:rsidRPr="00010267">
        <w:t xml:space="preserve">summary </w:t>
      </w:r>
      <w:r w:rsidR="0037461E">
        <w:t>version is published</w:t>
      </w:r>
      <w:r w:rsidR="002B7EC6" w:rsidRPr="00010267">
        <w:t xml:space="preserve"> under section 90 of the HR Act.</w:t>
      </w:r>
    </w:p>
    <w:p w14:paraId="5E34C874" w14:textId="2588FB1D" w:rsidR="002B7EC6" w:rsidRPr="00DC2D4B" w:rsidRDefault="002B7EC6" w:rsidP="003E7ED6">
      <w:pPr>
        <w:pStyle w:val="Heading1"/>
      </w:pPr>
      <w:r w:rsidRPr="00DC2D4B">
        <w:lastRenderedPageBreak/>
        <w:t>Substance of the complaint</w:t>
      </w:r>
    </w:p>
    <w:p w14:paraId="4CBC94C3" w14:textId="512CFB26" w:rsidR="00876AF0" w:rsidRPr="00DC2D4B" w:rsidRDefault="00914BA3" w:rsidP="002240CE">
      <w:pPr>
        <w:pStyle w:val="Numberedparagraph"/>
      </w:pPr>
      <w:bookmarkStart w:id="1" w:name="_Hlk128668008"/>
      <w:bookmarkStart w:id="2" w:name="_Hlk114664772"/>
      <w:r w:rsidRPr="00DC2D4B">
        <w:t>Allegations made in the complaint include</w:t>
      </w:r>
      <w:r w:rsidR="00876AF0" w:rsidRPr="00DC2D4B">
        <w:t>:</w:t>
      </w:r>
    </w:p>
    <w:p w14:paraId="2F2D9481" w14:textId="1ECFB477" w:rsidR="00E75440" w:rsidRPr="00DC2D4B" w:rsidRDefault="00956E9A" w:rsidP="003C7FF4">
      <w:pPr>
        <w:pStyle w:val="Subrec"/>
      </w:pPr>
      <w:r w:rsidRPr="004165D4">
        <w:rPr>
          <w:color w:val="auto"/>
          <w:lang w:val="en-AU"/>
        </w:rPr>
        <w:t xml:space="preserve">Prior to entering prison, </w:t>
      </w:r>
      <w:r w:rsidR="00503840" w:rsidRPr="004165D4">
        <w:rPr>
          <w:color w:val="auto"/>
          <w:lang w:val="en-AU"/>
        </w:rPr>
        <w:t>C</w:t>
      </w:r>
      <w:r w:rsidRPr="004165D4">
        <w:rPr>
          <w:color w:val="auto"/>
          <w:lang w:val="en-AU"/>
        </w:rPr>
        <w:t xml:space="preserve"> injured his back in a car accident in which he also suffered significant burns on his body. He began a period </w:t>
      </w:r>
      <w:r w:rsidR="00F565F7">
        <w:rPr>
          <w:color w:val="auto"/>
          <w:lang w:val="en-AU"/>
        </w:rPr>
        <w:t xml:space="preserve">of </w:t>
      </w:r>
      <w:r w:rsidRPr="004165D4">
        <w:rPr>
          <w:color w:val="auto"/>
          <w:lang w:val="en-AU"/>
        </w:rPr>
        <w:t xml:space="preserve">incarceration </w:t>
      </w:r>
      <w:r w:rsidR="0009373C" w:rsidRPr="004165D4">
        <w:rPr>
          <w:color w:val="auto"/>
          <w:lang w:val="en-AU"/>
        </w:rPr>
        <w:t>on 1 May 2020, first</w:t>
      </w:r>
      <w:r w:rsidR="00CF747E">
        <w:rPr>
          <w:color w:val="auto"/>
          <w:lang w:val="en-AU"/>
        </w:rPr>
        <w:t>ly</w:t>
      </w:r>
      <w:r w:rsidR="0009373C" w:rsidRPr="004165D4">
        <w:rPr>
          <w:color w:val="auto"/>
          <w:lang w:val="en-AU"/>
        </w:rPr>
        <w:t xml:space="preserve"> at a watchhouse</w:t>
      </w:r>
      <w:r w:rsidR="00CF747E">
        <w:rPr>
          <w:color w:val="auto"/>
          <w:lang w:val="en-AU"/>
        </w:rPr>
        <w:t xml:space="preserve"> and</w:t>
      </w:r>
      <w:r w:rsidR="00E75440" w:rsidRPr="00CF747E">
        <w:rPr>
          <w:color w:val="auto"/>
          <w:lang w:val="en-AU"/>
        </w:rPr>
        <w:t xml:space="preserve"> the</w:t>
      </w:r>
      <w:r w:rsidR="00CF747E">
        <w:rPr>
          <w:color w:val="auto"/>
          <w:lang w:val="en-AU"/>
        </w:rPr>
        <w:t xml:space="preserve">n </w:t>
      </w:r>
      <w:r w:rsidR="00503C29">
        <w:rPr>
          <w:color w:val="auto"/>
          <w:lang w:val="en-AU"/>
        </w:rPr>
        <w:t>a</w:t>
      </w:r>
      <w:r w:rsidR="00E75440" w:rsidRPr="00CF747E">
        <w:rPr>
          <w:color w:val="auto"/>
          <w:lang w:val="en-AU"/>
        </w:rPr>
        <w:t xml:space="preserve"> </w:t>
      </w:r>
      <w:r w:rsidR="00503C29">
        <w:rPr>
          <w:color w:val="auto"/>
          <w:lang w:val="en-AU"/>
        </w:rPr>
        <w:t>c</w:t>
      </w:r>
      <w:r w:rsidR="00E75440" w:rsidRPr="00CF747E">
        <w:rPr>
          <w:color w:val="auto"/>
          <w:lang w:val="en-AU"/>
        </w:rPr>
        <w:t xml:space="preserve">orrectional </w:t>
      </w:r>
      <w:r w:rsidR="00503C29">
        <w:rPr>
          <w:color w:val="auto"/>
          <w:lang w:val="en-AU"/>
        </w:rPr>
        <w:t>facility</w:t>
      </w:r>
      <w:r w:rsidR="00E75440" w:rsidRPr="00CF747E">
        <w:rPr>
          <w:color w:val="auto"/>
          <w:lang w:val="en-AU"/>
        </w:rPr>
        <w:t>.</w:t>
      </w:r>
      <w:r w:rsidR="00E75440" w:rsidRPr="00DC2D4B">
        <w:t xml:space="preserve"> </w:t>
      </w:r>
    </w:p>
    <w:p w14:paraId="12C7A1F1" w14:textId="49A3B1C7" w:rsidR="00E75440" w:rsidRPr="00BF759F" w:rsidRDefault="00CF747E" w:rsidP="008A0C9C">
      <w:pPr>
        <w:pStyle w:val="Numberedparagraph"/>
        <w:numPr>
          <w:ilvl w:val="1"/>
          <w:numId w:val="13"/>
        </w:numPr>
      </w:pPr>
      <w:r>
        <w:t>Two and half months later</w:t>
      </w:r>
      <w:r w:rsidR="00E75440" w:rsidRPr="00DC2D4B">
        <w:t xml:space="preserve"> he was transferred to </w:t>
      </w:r>
      <w:r w:rsidR="00503C29">
        <w:t>another correctional centre (</w:t>
      </w:r>
      <w:bookmarkStart w:id="3" w:name="_Hlk134631457"/>
      <w:r w:rsidR="00503C29">
        <w:rPr>
          <w:b/>
          <w:bCs/>
        </w:rPr>
        <w:t xml:space="preserve">the centre) </w:t>
      </w:r>
      <w:r w:rsidR="00D66DDB">
        <w:t>and this report primarily considers C’s care from this time</w:t>
      </w:r>
      <w:bookmarkEnd w:id="3"/>
      <w:r w:rsidR="00034352" w:rsidRPr="00DC2D4B">
        <w:t xml:space="preserve">. </w:t>
      </w:r>
    </w:p>
    <w:p w14:paraId="2199E930" w14:textId="4ACA0150" w:rsidR="00956E9A" w:rsidRPr="00DC2D4B" w:rsidRDefault="00503840" w:rsidP="008A0C9C">
      <w:pPr>
        <w:pStyle w:val="Numberedparagraph"/>
        <w:numPr>
          <w:ilvl w:val="1"/>
          <w:numId w:val="13"/>
        </w:numPr>
      </w:pPr>
      <w:r>
        <w:t>C</w:t>
      </w:r>
      <w:r w:rsidRPr="00DC2D4B">
        <w:t xml:space="preserve"> </w:t>
      </w:r>
      <w:r w:rsidR="00956E9A" w:rsidRPr="00DC2D4B">
        <w:t xml:space="preserve">re-injured his back </w:t>
      </w:r>
      <w:r w:rsidR="0097323E" w:rsidRPr="00DC2D4B">
        <w:t xml:space="preserve">while incarcerated </w:t>
      </w:r>
      <w:r w:rsidR="00956E9A" w:rsidRPr="00DC2D4B">
        <w:t>and was unable to walk or sleep without being in pain.</w:t>
      </w:r>
    </w:p>
    <w:p w14:paraId="76CB9363" w14:textId="11D6E2A3" w:rsidR="00956E9A" w:rsidRPr="00DC2D4B" w:rsidRDefault="00956E9A" w:rsidP="008A0C9C">
      <w:pPr>
        <w:pStyle w:val="Numberedparagraph"/>
        <w:numPr>
          <w:ilvl w:val="1"/>
          <w:numId w:val="13"/>
        </w:numPr>
      </w:pPr>
      <w:r w:rsidRPr="00DC2D4B">
        <w:t>Prior to his incarceration, C was prescribed a number of medications for the pain from his burns, back injuries, and fractures</w:t>
      </w:r>
      <w:r w:rsidR="004165D4">
        <w:t xml:space="preserve"> including</w:t>
      </w:r>
      <w:r w:rsidR="00C174D4">
        <w:t xml:space="preserve"> </w:t>
      </w:r>
      <w:r w:rsidR="004165D4">
        <w:t>‘</w:t>
      </w:r>
      <w:r w:rsidR="00C174D4">
        <w:t>Lyrica</w:t>
      </w:r>
      <w:r w:rsidR="004165D4">
        <w:t>’</w:t>
      </w:r>
      <w:r w:rsidR="00C174D4">
        <w:t>.</w:t>
      </w:r>
    </w:p>
    <w:p w14:paraId="025DFC64" w14:textId="48700A2F" w:rsidR="00956E9A" w:rsidRPr="00DC2D4B" w:rsidRDefault="008167BB" w:rsidP="008A0C9C">
      <w:pPr>
        <w:pStyle w:val="Numberedparagraph"/>
        <w:numPr>
          <w:ilvl w:val="1"/>
          <w:numId w:val="13"/>
        </w:numPr>
      </w:pPr>
      <w:r>
        <w:t>C</w:t>
      </w:r>
      <w:r w:rsidR="006645CD" w:rsidRPr="00DC2D4B">
        <w:t xml:space="preserve"> was </w:t>
      </w:r>
      <w:r w:rsidR="00956E9A" w:rsidRPr="00DC2D4B">
        <w:t>n</w:t>
      </w:r>
      <w:r w:rsidR="004165D4">
        <w:t>ot</w:t>
      </w:r>
      <w:r w:rsidR="00956E9A" w:rsidRPr="00DC2D4B">
        <w:t xml:space="preserve"> prescribed </w:t>
      </w:r>
      <w:r w:rsidR="00C174D4">
        <w:t>Lyrica while incarcerated.</w:t>
      </w:r>
      <w:r w:rsidR="0037461E">
        <w:t xml:space="preserve"> </w:t>
      </w:r>
      <w:r w:rsidR="004B1B6B">
        <w:t>W</w:t>
      </w:r>
      <w:r w:rsidR="0037461E">
        <w:t xml:space="preserve">hile in the care of </w:t>
      </w:r>
      <w:r w:rsidR="00503C29">
        <w:t>the HHS</w:t>
      </w:r>
      <w:r w:rsidR="0037461E">
        <w:t xml:space="preserve"> at </w:t>
      </w:r>
      <w:r w:rsidR="00503C29">
        <w:t>the centre</w:t>
      </w:r>
      <w:r>
        <w:t xml:space="preserve"> he was </w:t>
      </w:r>
      <w:r w:rsidR="00407EDC">
        <w:t>prescribed</w:t>
      </w:r>
      <w:r w:rsidR="0086594A">
        <w:t xml:space="preserve"> </w:t>
      </w:r>
      <w:r w:rsidR="0037461E">
        <w:t>alternative medication</w:t>
      </w:r>
      <w:r w:rsidR="00956E9A" w:rsidRPr="00DC2D4B">
        <w:t xml:space="preserve">. </w:t>
      </w:r>
    </w:p>
    <w:p w14:paraId="5D920577" w14:textId="14CC4B30" w:rsidR="00956E9A" w:rsidRDefault="00956E9A" w:rsidP="008A0C9C">
      <w:pPr>
        <w:pStyle w:val="Numberedparagraph"/>
        <w:numPr>
          <w:ilvl w:val="1"/>
          <w:numId w:val="13"/>
        </w:numPr>
      </w:pPr>
      <w:r w:rsidRPr="00DC2D4B">
        <w:t>As a result of his pre-existing medical conditions, C sought accommodation in a single person cell</w:t>
      </w:r>
      <w:r w:rsidR="0009373C" w:rsidRPr="00DC2D4B">
        <w:t xml:space="preserve">, and </w:t>
      </w:r>
      <w:r w:rsidR="00503C29">
        <w:t>the HHS</w:t>
      </w:r>
      <w:r w:rsidR="0009373C" w:rsidRPr="00DC2D4B">
        <w:t xml:space="preserve"> </w:t>
      </w:r>
      <w:r w:rsidR="00AA19E6">
        <w:t xml:space="preserve">provided him with a medical certificate making that recommendation. </w:t>
      </w:r>
      <w:r w:rsidRPr="00DC2D4B">
        <w:t>C alleges he provided the medical certificate to</w:t>
      </w:r>
      <w:r w:rsidR="00503C29">
        <w:t xml:space="preserve"> QCS</w:t>
      </w:r>
      <w:r w:rsidRPr="00DC2D4B">
        <w:t xml:space="preserve"> staff, yet his request was not received by the </w:t>
      </w:r>
      <w:bookmarkEnd w:id="1"/>
      <w:r w:rsidRPr="00DC2D4B">
        <w:t>relevant staff for assessment and not granted until</w:t>
      </w:r>
      <w:r w:rsidR="00AA19E6">
        <w:t xml:space="preserve"> 4 </w:t>
      </w:r>
      <w:r w:rsidR="0014261C">
        <w:t>months and 20 days later</w:t>
      </w:r>
      <w:r w:rsidRPr="00DC2D4B">
        <w:t>.</w:t>
      </w:r>
    </w:p>
    <w:bookmarkEnd w:id="2"/>
    <w:p w14:paraId="4A01D035" w14:textId="07A8AE20" w:rsidR="00374E76" w:rsidRPr="00DC2D4B" w:rsidRDefault="006407DF" w:rsidP="00CE316F">
      <w:pPr>
        <w:pStyle w:val="Heading1"/>
      </w:pPr>
      <w:r w:rsidRPr="00DC2D4B">
        <w:t>Arrangement for health care in Queensland prisons</w:t>
      </w:r>
      <w:r w:rsidR="00A75B8B" w:rsidRPr="00DC2D4B">
        <w:t xml:space="preserve"> </w:t>
      </w:r>
    </w:p>
    <w:p w14:paraId="4CEF5BC4" w14:textId="78710261" w:rsidR="0098152A" w:rsidRPr="00DC2D4B" w:rsidRDefault="00B821E6" w:rsidP="002240CE">
      <w:pPr>
        <w:pStyle w:val="Numberedparagraph"/>
      </w:pPr>
      <w:r w:rsidRPr="00DC2D4B">
        <w:t xml:space="preserve">Under the </w:t>
      </w:r>
      <w:r w:rsidR="00936F25">
        <w:rPr>
          <w:i/>
          <w:iCs/>
        </w:rPr>
        <w:t xml:space="preserve">Corrective Services Act 2006 </w:t>
      </w:r>
      <w:r w:rsidR="00936F25">
        <w:t>(</w:t>
      </w:r>
      <w:r w:rsidR="00936F25">
        <w:rPr>
          <w:b/>
          <w:bCs/>
        </w:rPr>
        <w:t>CS Act)</w:t>
      </w:r>
      <w:r w:rsidR="00936F25">
        <w:rPr>
          <w:i/>
          <w:iCs/>
        </w:rPr>
        <w:t xml:space="preserve">, </w:t>
      </w:r>
      <w:r w:rsidRPr="00DC2D4B">
        <w:t xml:space="preserve">QCS is responsible for the humane containment, supervision and rehabilitation of </w:t>
      </w:r>
      <w:r w:rsidR="00572912">
        <w:t>p</w:t>
      </w:r>
      <w:r w:rsidRPr="00DC2D4B">
        <w:t>risoners</w:t>
      </w:r>
      <w:r w:rsidR="00936F25">
        <w:t>. Through a Memorandum of Understanding</w:t>
      </w:r>
      <w:r w:rsidR="000452F8" w:rsidRPr="00DC2D4B">
        <w:t xml:space="preserve"> </w:t>
      </w:r>
      <w:r w:rsidR="004F1FD7" w:rsidRPr="004F1FD7">
        <w:rPr>
          <w:b/>
          <w:bCs/>
        </w:rPr>
        <w:t>(</w:t>
      </w:r>
      <w:r w:rsidR="004F1FD7">
        <w:rPr>
          <w:b/>
          <w:bCs/>
        </w:rPr>
        <w:t xml:space="preserve">Health Services </w:t>
      </w:r>
      <w:r w:rsidR="000452F8" w:rsidRPr="004F1FD7">
        <w:rPr>
          <w:b/>
          <w:bCs/>
        </w:rPr>
        <w:t>MOU)</w:t>
      </w:r>
      <w:r w:rsidR="00596F9E" w:rsidRPr="00DC2D4B">
        <w:rPr>
          <w:rStyle w:val="FootnoteReference"/>
        </w:rPr>
        <w:footnoteReference w:id="1"/>
      </w:r>
      <w:r w:rsidR="00936F25">
        <w:t>, QCS engages</w:t>
      </w:r>
      <w:r w:rsidRPr="00DC2D4B">
        <w:t xml:space="preserve"> </w:t>
      </w:r>
      <w:r w:rsidR="0037183F">
        <w:t>Queensland Health (</w:t>
      </w:r>
      <w:r w:rsidR="0037183F">
        <w:rPr>
          <w:b/>
          <w:bCs/>
        </w:rPr>
        <w:t>Q</w:t>
      </w:r>
      <w:r w:rsidR="0037183F" w:rsidRPr="0037183F">
        <w:rPr>
          <w:b/>
          <w:bCs/>
        </w:rPr>
        <w:t>H</w:t>
      </w:r>
      <w:r w:rsidR="0037183F">
        <w:t>)</w:t>
      </w:r>
      <w:r w:rsidR="00572912">
        <w:t xml:space="preserve"> </w:t>
      </w:r>
      <w:r w:rsidR="00936F25">
        <w:t xml:space="preserve">to </w:t>
      </w:r>
      <w:r w:rsidRPr="0044030D">
        <w:t>deliver</w:t>
      </w:r>
      <w:r w:rsidRPr="00DC2D4B">
        <w:t xml:space="preserve"> </w:t>
      </w:r>
      <w:r w:rsidR="0009373C" w:rsidRPr="00DC2D4B">
        <w:t>h</w:t>
      </w:r>
      <w:r w:rsidRPr="00DC2D4B">
        <w:t xml:space="preserve">ealth </w:t>
      </w:r>
      <w:r w:rsidR="0009373C" w:rsidRPr="00DC2D4B">
        <w:t>s</w:t>
      </w:r>
      <w:r w:rsidRPr="00DC2D4B">
        <w:t xml:space="preserve">ervices for </w:t>
      </w:r>
      <w:r w:rsidR="00572912">
        <w:t>p</w:t>
      </w:r>
      <w:r w:rsidRPr="00DC2D4B">
        <w:t>risoners through</w:t>
      </w:r>
      <w:r w:rsidR="0098152A" w:rsidRPr="00DC2D4B">
        <w:t xml:space="preserve"> the relevant</w:t>
      </w:r>
      <w:r w:rsidRPr="00DC2D4B">
        <w:t xml:space="preserve"> H</w:t>
      </w:r>
      <w:r w:rsidR="0009373C" w:rsidRPr="00DC2D4B">
        <w:t>ospital and Health Service</w:t>
      </w:r>
      <w:r w:rsidR="00503C29">
        <w:t xml:space="preserve">. </w:t>
      </w:r>
      <w:r w:rsidRPr="0044030D">
        <w:t xml:space="preserve"> </w:t>
      </w:r>
    </w:p>
    <w:p w14:paraId="05EED7D8" w14:textId="3E5EBEDD" w:rsidR="005776A8" w:rsidRPr="00DC2D4B" w:rsidRDefault="00334822" w:rsidP="002240CE">
      <w:pPr>
        <w:pStyle w:val="Numberedparagraph"/>
      </w:pPr>
      <w:r w:rsidRPr="00DC2D4B">
        <w:t>Each</w:t>
      </w:r>
      <w:r w:rsidR="005776A8" w:rsidRPr="00DC2D4B">
        <w:t xml:space="preserve"> HHS has a dedicated prison health service based in health clinics in each correctional centre. These health clinics operate like general practice clinics in the community, providing assessment, diagnostics, treatment services and referral to specialist health services such as specialist outpatient services or in-patient treatment services.</w:t>
      </w:r>
      <w:r w:rsidR="006709E3">
        <w:rPr>
          <w:rStyle w:val="FootnoteReference"/>
        </w:rPr>
        <w:footnoteReference w:id="2"/>
      </w:r>
    </w:p>
    <w:p w14:paraId="17F93CAA" w14:textId="38185B7B" w:rsidR="00071969" w:rsidRPr="00DC2D4B" w:rsidRDefault="00936F25" w:rsidP="002240CE">
      <w:pPr>
        <w:pStyle w:val="Numberedparagraph"/>
      </w:pPr>
      <w:r>
        <w:lastRenderedPageBreak/>
        <w:t xml:space="preserve">Under the CS Act, </w:t>
      </w:r>
      <w:r w:rsidR="00A75B8B" w:rsidRPr="00DC2D4B">
        <w:t>watchhouses are the responsibility of the Queensland Police Service (</w:t>
      </w:r>
      <w:r w:rsidR="00A75B8B" w:rsidRPr="004F1FD7">
        <w:rPr>
          <w:b/>
          <w:bCs/>
        </w:rPr>
        <w:t>QPS</w:t>
      </w:r>
      <w:r w:rsidR="00A75B8B" w:rsidRPr="00DC2D4B">
        <w:t>)</w:t>
      </w:r>
      <w:r>
        <w:t xml:space="preserve"> Commissioner</w:t>
      </w:r>
      <w:r w:rsidR="00230E62">
        <w:t>.</w:t>
      </w:r>
      <w:r w:rsidR="007774EA" w:rsidRPr="00DC2D4B">
        <w:rPr>
          <w:rStyle w:val="FootnoteReference"/>
        </w:rPr>
        <w:footnoteReference w:id="3"/>
      </w:r>
      <w:r w:rsidR="00A75B8B" w:rsidRPr="00DC2D4B">
        <w:t xml:space="preserve"> </w:t>
      </w:r>
      <w:r w:rsidR="00230E62">
        <w:t>T</w:t>
      </w:r>
      <w:r w:rsidR="00A75B8B" w:rsidRPr="00DC2D4B">
        <w:t xml:space="preserve">he </w:t>
      </w:r>
      <w:r w:rsidR="004F1FD7" w:rsidRPr="004F1FD7">
        <w:t>Health Services MOU</w:t>
      </w:r>
      <w:r w:rsidR="00A75B8B" w:rsidRPr="00DC2D4B">
        <w:t xml:space="preserve"> does not address the provision of health services in watchhouses</w:t>
      </w:r>
      <w:r w:rsidR="004B1B6B">
        <w:t xml:space="preserve"> and the HHS was not responsible for health services at the watchhouse</w:t>
      </w:r>
      <w:r w:rsidR="00A75B8B" w:rsidRPr="00DC2D4B">
        <w:t>.</w:t>
      </w:r>
      <w:r w:rsidR="00071969" w:rsidRPr="00DC2D4B">
        <w:t xml:space="preserve"> </w:t>
      </w:r>
    </w:p>
    <w:p w14:paraId="7DAD229C" w14:textId="0CAD1832" w:rsidR="00CE316F" w:rsidRPr="00DC2D4B" w:rsidRDefault="00CE316F" w:rsidP="00CE316F">
      <w:pPr>
        <w:pStyle w:val="Heading1"/>
      </w:pPr>
      <w:r w:rsidRPr="00DC2D4B">
        <w:t xml:space="preserve">Summary of </w:t>
      </w:r>
      <w:r w:rsidR="00A40C45" w:rsidRPr="00DC2D4B">
        <w:t>response</w:t>
      </w:r>
    </w:p>
    <w:p w14:paraId="5E72CCD4" w14:textId="02E970FB" w:rsidR="00477417" w:rsidRPr="004F1FD7" w:rsidRDefault="00E920B9" w:rsidP="00477417">
      <w:pPr>
        <w:pStyle w:val="Heading2"/>
        <w:rPr>
          <w:lang w:val="en-AU"/>
        </w:rPr>
      </w:pPr>
      <w:r>
        <w:rPr>
          <w:lang w:val="en-AU"/>
        </w:rPr>
        <w:t>Health care</w:t>
      </w:r>
    </w:p>
    <w:p w14:paraId="1BF20C45" w14:textId="6666E33A" w:rsidR="005E24B2" w:rsidRDefault="00A40C45" w:rsidP="002240CE">
      <w:pPr>
        <w:pStyle w:val="Numberedparagraph"/>
      </w:pPr>
      <w:r w:rsidRPr="00DC2D4B">
        <w:t>In relation to C’s allegations concerning his health care</w:t>
      </w:r>
      <w:r w:rsidRPr="0044030D">
        <w:t xml:space="preserve">, </w:t>
      </w:r>
      <w:r w:rsidRPr="00DC2D4B">
        <w:t xml:space="preserve">QCS has no authority to provide medication to prisoners and the </w:t>
      </w:r>
      <w:r w:rsidR="0009373C" w:rsidRPr="00DC2D4B">
        <w:t>a</w:t>
      </w:r>
      <w:r w:rsidRPr="00DC2D4B">
        <w:t xml:space="preserve">gency’s role is limited to assisting </w:t>
      </w:r>
      <w:r w:rsidR="0009373C" w:rsidRPr="00DC2D4B">
        <w:t xml:space="preserve">QH </w:t>
      </w:r>
      <w:r w:rsidRPr="00DC2D4B">
        <w:t xml:space="preserve">in safely treating prisoners. </w:t>
      </w:r>
      <w:r w:rsidR="00491C30">
        <w:t>Unless a prisoner self-discloses</w:t>
      </w:r>
      <w:r w:rsidR="00866DB0">
        <w:t xml:space="preserve">, </w:t>
      </w:r>
      <w:r w:rsidRPr="00DC2D4B">
        <w:t>QCS</w:t>
      </w:r>
      <w:r w:rsidR="00866DB0">
        <w:t xml:space="preserve"> ordinarily</w:t>
      </w:r>
      <w:r w:rsidRPr="00DC2D4B">
        <w:t xml:space="preserve"> has no knowledge of the specific medication given to prisoners and QCS officers are there to provide security and to ensure prisoners do not attempt to divert medication</w:t>
      </w:r>
      <w:r w:rsidR="005E24B2" w:rsidRPr="00EE0BD5">
        <w:t>.</w:t>
      </w:r>
      <w:r w:rsidR="00936F25">
        <w:rPr>
          <w:rStyle w:val="FootnoteReference"/>
        </w:rPr>
        <w:footnoteReference w:id="4"/>
      </w:r>
      <w:r w:rsidR="005E24B2" w:rsidRPr="00EE0BD5">
        <w:t xml:space="preserve"> </w:t>
      </w:r>
      <w:r w:rsidR="00E920B9">
        <w:t>QCS does not have authority to approve medications.</w:t>
      </w:r>
    </w:p>
    <w:p w14:paraId="33F24ADE" w14:textId="1D039D9D" w:rsidR="002A3733" w:rsidRPr="00DC2D4B" w:rsidRDefault="00420AD1" w:rsidP="002240CE">
      <w:pPr>
        <w:pStyle w:val="Numberedparagraph"/>
      </w:pPr>
      <w:r>
        <w:t>T</w:t>
      </w:r>
      <w:r w:rsidR="00503C29">
        <w:t>he HHS</w:t>
      </w:r>
      <w:r w:rsidR="005E24B2" w:rsidRPr="00DC2D4B">
        <w:t xml:space="preserve"> </w:t>
      </w:r>
      <w:r w:rsidR="00E920B9">
        <w:t>state</w:t>
      </w:r>
      <w:r w:rsidR="002240CE">
        <w:t>s</w:t>
      </w:r>
      <w:r w:rsidR="002A3733" w:rsidRPr="00DC2D4B">
        <w:t xml:space="preserve"> that:</w:t>
      </w:r>
    </w:p>
    <w:p w14:paraId="609870E0" w14:textId="427641A0" w:rsidR="00E920B9" w:rsidRPr="00EF6EDA" w:rsidRDefault="00E920B9" w:rsidP="008A0C9C">
      <w:pPr>
        <w:pStyle w:val="Numberedparagraph"/>
        <w:numPr>
          <w:ilvl w:val="1"/>
          <w:numId w:val="13"/>
        </w:numPr>
      </w:pPr>
      <w:r w:rsidRPr="00DC2D4B">
        <w:t xml:space="preserve">Prisoners are subject to an individualised assessment upon their initial reception into custody and their medical needs (including medications) are assessed and individualised on the basis of this assessment. </w:t>
      </w:r>
    </w:p>
    <w:p w14:paraId="170C69F9" w14:textId="49447DF2" w:rsidR="00E920B9" w:rsidRDefault="00E920B9" w:rsidP="008A0C9C">
      <w:pPr>
        <w:pStyle w:val="Numberedparagraph"/>
        <w:numPr>
          <w:ilvl w:val="1"/>
          <w:numId w:val="13"/>
        </w:numPr>
      </w:pPr>
      <w:r w:rsidRPr="00DC2D4B">
        <w:t>The range of medications which can be prescribed in a custodial setting are constrained by the QH List of Approved Medications (</w:t>
      </w:r>
      <w:r w:rsidRPr="00DC2D4B">
        <w:rPr>
          <w:b/>
          <w:bCs/>
        </w:rPr>
        <w:t>LAM</w:t>
      </w:r>
      <w:r w:rsidRPr="00DC2D4B">
        <w:t xml:space="preserve">) and the necessary security parameters implemented by QCS to appropriately manage risk factors in the custodial setting. </w:t>
      </w:r>
    </w:p>
    <w:p w14:paraId="20C30743" w14:textId="06962351" w:rsidR="00E920B9" w:rsidRPr="00EE0BD5" w:rsidRDefault="00E920B9" w:rsidP="008A0C9C">
      <w:pPr>
        <w:pStyle w:val="Numberedparagraph"/>
        <w:numPr>
          <w:ilvl w:val="1"/>
          <w:numId w:val="13"/>
        </w:numPr>
      </w:pPr>
      <w:r w:rsidRPr="00DC2D4B">
        <w:t xml:space="preserve">The prescription of medicines, listed in the LAM, must be based on a proven medical condition and assessed as being clinically appropriate at the time of the prisoner’s reception into custody. While consideration is given to pre-existing prescriptions, </w:t>
      </w:r>
      <w:r w:rsidR="00503C29">
        <w:t>the HHS</w:t>
      </w:r>
      <w:r w:rsidRPr="00DC2D4B">
        <w:t xml:space="preserve"> must assess whether the prescription is required based on the assessment conducted at the time of the prisoner’s reception into the corrective services facility. </w:t>
      </w:r>
    </w:p>
    <w:p w14:paraId="315B3074" w14:textId="2C5A92FC" w:rsidR="00E920B9" w:rsidRPr="00DC2D4B" w:rsidRDefault="00E920B9" w:rsidP="008A0C9C">
      <w:pPr>
        <w:pStyle w:val="Numberedparagraph"/>
        <w:numPr>
          <w:ilvl w:val="1"/>
          <w:numId w:val="13"/>
        </w:numPr>
      </w:pPr>
      <w:r w:rsidRPr="00DC2D4B">
        <w:t xml:space="preserve">There is no presumption that a pre-existing prescription will automatically be continued in the custodial setting. In respect of medications such as Lyrica, </w:t>
      </w:r>
      <w:r w:rsidR="000201F3">
        <w:t>relevant information provided to prisoners</w:t>
      </w:r>
      <w:r w:rsidRPr="00DC2D4B">
        <w:t xml:space="preserve"> states: </w:t>
      </w:r>
    </w:p>
    <w:p w14:paraId="125E93C8" w14:textId="77777777" w:rsidR="00E920B9" w:rsidRPr="00DC2D4B" w:rsidRDefault="00E920B9" w:rsidP="00BC5693">
      <w:pPr>
        <w:pStyle w:val="Numberedparagraph"/>
        <w:numPr>
          <w:ilvl w:val="2"/>
          <w:numId w:val="13"/>
        </w:numPr>
      </w:pPr>
      <w:r w:rsidRPr="00DC2D4B">
        <w:t xml:space="preserve">These prescriptions will be ceased or weaned; </w:t>
      </w:r>
    </w:p>
    <w:p w14:paraId="515817A1" w14:textId="43CE674C" w:rsidR="00E920B9" w:rsidRPr="00DC2D4B" w:rsidRDefault="00E920B9" w:rsidP="00BC5693">
      <w:pPr>
        <w:pStyle w:val="Numberedparagraph"/>
        <w:numPr>
          <w:ilvl w:val="2"/>
          <w:numId w:val="13"/>
        </w:numPr>
      </w:pPr>
      <w:r w:rsidRPr="00DC2D4B">
        <w:t xml:space="preserve">The medication will only be prescribed if </w:t>
      </w:r>
      <w:r w:rsidR="00503C29">
        <w:t>the HHS</w:t>
      </w:r>
      <w:r w:rsidRPr="00DC2D4B">
        <w:t xml:space="preserve"> medical staff or a specialist from the Princess Alexandra Hospital deem it clinically appropriate in their independent opinion; and </w:t>
      </w:r>
    </w:p>
    <w:p w14:paraId="3B8F4944" w14:textId="77777777" w:rsidR="00E920B9" w:rsidRPr="00DC2D4B" w:rsidRDefault="00E920B9" w:rsidP="00BC5693">
      <w:pPr>
        <w:pStyle w:val="Numberedparagraph"/>
        <w:numPr>
          <w:ilvl w:val="2"/>
          <w:numId w:val="13"/>
        </w:numPr>
      </w:pPr>
      <w:r w:rsidRPr="00DC2D4B">
        <w:lastRenderedPageBreak/>
        <w:t xml:space="preserve">A prisoner’s prescription will be reviewed where a diversion of medication is detected. </w:t>
      </w:r>
    </w:p>
    <w:p w14:paraId="5BDA4F75" w14:textId="21604FC7" w:rsidR="00E920B9" w:rsidRPr="002240CE" w:rsidRDefault="00153386" w:rsidP="008A0C9C">
      <w:pPr>
        <w:pStyle w:val="Numberedparagraph"/>
        <w:numPr>
          <w:ilvl w:val="1"/>
          <w:numId w:val="13"/>
        </w:numPr>
      </w:pPr>
      <w:r>
        <w:t>This</w:t>
      </w:r>
      <w:r w:rsidR="00CF747E">
        <w:t xml:space="preserve"> approach is</w:t>
      </w:r>
      <w:r w:rsidR="00E920B9" w:rsidRPr="002240CE">
        <w:t xml:space="preserve"> consistent with community practice insofar as general practitioners in the community maintain autonomy in assessing a patient’s medical needs and providing treatment accordingly. By virtue of each practitioner’s discretion in assessing the patient’s medical needs in light of their other co-morbidities, whether in the community or in a custodial setting, prescribing practices may vary between practitioners.</w:t>
      </w:r>
    </w:p>
    <w:p w14:paraId="1478F8C0" w14:textId="10C8E78B" w:rsidR="00E920B9" w:rsidRDefault="00E920B9" w:rsidP="008A0C9C">
      <w:pPr>
        <w:pStyle w:val="Numberedparagraph"/>
        <w:numPr>
          <w:ilvl w:val="1"/>
          <w:numId w:val="13"/>
        </w:numPr>
      </w:pPr>
      <w:r w:rsidRPr="00DC2D4B">
        <w:rPr>
          <w:szCs w:val="22"/>
        </w:rPr>
        <w:t xml:space="preserve">In relation to </w:t>
      </w:r>
      <w:r>
        <w:rPr>
          <w:szCs w:val="22"/>
        </w:rPr>
        <w:t>C’s matter</w:t>
      </w:r>
      <w:r w:rsidRPr="00DC2D4B">
        <w:rPr>
          <w:szCs w:val="22"/>
        </w:rPr>
        <w:t xml:space="preserve"> specifically, </w:t>
      </w:r>
      <w:r w:rsidRPr="00DC2D4B">
        <w:t xml:space="preserve">based on his medical records, C’s last community prescription for Lyrica was issued several days prior to his admission to the </w:t>
      </w:r>
      <w:r w:rsidR="00C174D4">
        <w:t>w</w:t>
      </w:r>
      <w:r w:rsidRPr="00DC2D4B">
        <w:t xml:space="preserve">atchhouse. </w:t>
      </w:r>
      <w:r w:rsidR="00CF747E">
        <w:t>Two</w:t>
      </w:r>
      <w:r w:rsidR="00C50328" w:rsidRPr="00C50328">
        <w:t xml:space="preserve"> and a half months later, C was transferred to </w:t>
      </w:r>
      <w:r w:rsidR="00420AD1">
        <w:t>the centre</w:t>
      </w:r>
      <w:r w:rsidR="00C50328" w:rsidRPr="00C50328">
        <w:t xml:space="preserve">. In accordance with </w:t>
      </w:r>
      <w:r w:rsidR="00503C29">
        <w:t>the HHS</w:t>
      </w:r>
      <w:r w:rsidR="00C50328" w:rsidRPr="00C50328">
        <w:t xml:space="preserve"> policy, C’s medical needs, including the prescription of any pain medication, were assessed ‘afresh’ by a medical officer</w:t>
      </w:r>
      <w:r w:rsidR="00CF31FB">
        <w:t>.</w:t>
      </w:r>
    </w:p>
    <w:p w14:paraId="4BAF553D" w14:textId="5FA357F5" w:rsidR="004B1B6B" w:rsidRPr="00C50328" w:rsidRDefault="004B1B6B" w:rsidP="004B1B6B">
      <w:pPr>
        <w:pStyle w:val="Numberedparagraph"/>
        <w:numPr>
          <w:ilvl w:val="1"/>
          <w:numId w:val="13"/>
        </w:numPr>
      </w:pPr>
      <w:r w:rsidRPr="002240CE">
        <w:t>In this case, the custodial setting alone was not the sole determinative factor in the decision not to prescribe Lyrica for the management of C’s pain. Rather</w:t>
      </w:r>
      <w:r w:rsidR="001B6C5F">
        <w:t>,</w:t>
      </w:r>
      <w:r w:rsidRPr="002240CE">
        <w:t xml:space="preserve"> the decision to prescribe an alternative to Lyrica for pain management was informed by several relevant factors. </w:t>
      </w:r>
    </w:p>
    <w:p w14:paraId="0B9EB697" w14:textId="722552A8" w:rsidR="009E45C0" w:rsidRDefault="009E45C0" w:rsidP="008A0C9C">
      <w:pPr>
        <w:pStyle w:val="Numberedparagraph"/>
        <w:numPr>
          <w:ilvl w:val="1"/>
          <w:numId w:val="13"/>
        </w:numPr>
      </w:pPr>
      <w:r w:rsidRPr="00DC2D4B">
        <w:t>Pain management through medication is complex due to the type</w:t>
      </w:r>
      <w:r w:rsidR="00CE5DEE">
        <w:t xml:space="preserve"> and</w:t>
      </w:r>
      <w:r w:rsidRPr="00DC2D4B">
        <w:t xml:space="preserve"> range of medications, risk of dependency and abuse, and potential adverse reactions with other medications.</w:t>
      </w:r>
      <w:bookmarkStart w:id="4" w:name="_Hlk129352322"/>
      <w:r w:rsidR="00DC5A1D">
        <w:t xml:space="preserve"> </w:t>
      </w:r>
      <w:r w:rsidRPr="00DC2D4B">
        <w:t xml:space="preserve">During C’s incarceration at </w:t>
      </w:r>
      <w:r w:rsidR="00420AD1">
        <w:t>the centre</w:t>
      </w:r>
      <w:r w:rsidRPr="00DC2D4B">
        <w:t xml:space="preserve">, medical staff determined C’s back pain could be better managed using alternative medications </w:t>
      </w:r>
      <w:r w:rsidR="00390AD1" w:rsidRPr="00DC2D4B">
        <w:t xml:space="preserve">that </w:t>
      </w:r>
      <w:r w:rsidRPr="00DC2D4B">
        <w:t>are suitable to the correctional environment and mitigate the risks associated with the high prevalence of drug abuse in the custodial setting</w:t>
      </w:r>
      <w:bookmarkEnd w:id="4"/>
      <w:r w:rsidR="00C50328">
        <w:t xml:space="preserve"> </w:t>
      </w:r>
      <w:r w:rsidR="00C50328" w:rsidRPr="00C50328">
        <w:t>in accordance with specialist</w:t>
      </w:r>
      <w:r w:rsidR="00CE5DEE">
        <w:t xml:space="preserve"> advice</w:t>
      </w:r>
      <w:r w:rsidR="00C50328" w:rsidRPr="00C50328">
        <w:t xml:space="preserve">. </w:t>
      </w:r>
    </w:p>
    <w:p w14:paraId="73CE08AB" w14:textId="1B5BDB97" w:rsidR="00477417" w:rsidRPr="004F1FD7" w:rsidRDefault="00477417" w:rsidP="00477417">
      <w:pPr>
        <w:pStyle w:val="Heading2"/>
        <w:rPr>
          <w:lang w:val="en-AU"/>
        </w:rPr>
      </w:pPr>
      <w:r w:rsidRPr="004F1FD7">
        <w:rPr>
          <w:lang w:val="en-AU"/>
        </w:rPr>
        <w:t xml:space="preserve">Accommodation </w:t>
      </w:r>
      <w:r w:rsidR="00DD3400">
        <w:rPr>
          <w:lang w:val="en-AU"/>
        </w:rPr>
        <w:t xml:space="preserve">recommendation by </w:t>
      </w:r>
      <w:r w:rsidR="00503C29">
        <w:rPr>
          <w:lang w:val="en-AU"/>
        </w:rPr>
        <w:t>the HHS</w:t>
      </w:r>
    </w:p>
    <w:p w14:paraId="1287A557" w14:textId="6668C339" w:rsidR="00A40C45" w:rsidRPr="00DC2D4B" w:rsidRDefault="00A40C45" w:rsidP="002240CE">
      <w:pPr>
        <w:pStyle w:val="Numberedparagraph"/>
      </w:pPr>
      <w:r w:rsidRPr="00DC2D4B">
        <w:t xml:space="preserve">In </w:t>
      </w:r>
      <w:r w:rsidRPr="002240CE">
        <w:t>relation</w:t>
      </w:r>
      <w:r w:rsidRPr="00DC2D4B">
        <w:t xml:space="preserve"> to </w:t>
      </w:r>
      <w:r w:rsidRPr="00F95A4D">
        <w:t xml:space="preserve">the allegations regarding C’s accommodation in a single cell, </w:t>
      </w:r>
      <w:r w:rsidRPr="00DC2D4B">
        <w:rPr>
          <w:szCs w:val="22"/>
        </w:rPr>
        <w:t xml:space="preserve">QCS and </w:t>
      </w:r>
      <w:r w:rsidR="00503C29">
        <w:t>the HHS</w:t>
      </w:r>
      <w:r w:rsidRPr="00DC2D4B">
        <w:t xml:space="preserve"> state </w:t>
      </w:r>
      <w:r w:rsidR="00D43E62" w:rsidRPr="00DC2D4B">
        <w:t xml:space="preserve">that </w:t>
      </w:r>
      <w:r w:rsidRPr="00DC2D4B">
        <w:t>if the relevant health service makes a medical recommendation about a person’s placement, it is the responsibility of the prisoner to ensure that the written medical recommendation certificate reaches the correct person at QCS to assess the recommendation</w:t>
      </w:r>
      <w:r w:rsidR="00D43E62" w:rsidRPr="00DC2D4B">
        <w:t>.</w:t>
      </w:r>
    </w:p>
    <w:p w14:paraId="47D3D608" w14:textId="5EB55578" w:rsidR="004E3418" w:rsidRPr="00DC2D4B" w:rsidRDefault="00A40C45" w:rsidP="002240CE">
      <w:pPr>
        <w:pStyle w:val="Numberedparagraph"/>
        <w:rPr>
          <w:szCs w:val="22"/>
        </w:rPr>
      </w:pPr>
      <w:r w:rsidRPr="00DC2D4B">
        <w:t xml:space="preserve">Further, </w:t>
      </w:r>
      <w:r w:rsidR="004E3418" w:rsidRPr="00DC2D4B">
        <w:t>QCS</w:t>
      </w:r>
      <w:r w:rsidRPr="00DC2D4B">
        <w:t xml:space="preserve"> </w:t>
      </w:r>
      <w:r w:rsidR="00772B3B">
        <w:t>say</w:t>
      </w:r>
      <w:r w:rsidR="00772B3B" w:rsidRPr="00DC2D4B">
        <w:t xml:space="preserve"> </w:t>
      </w:r>
      <w:r w:rsidRPr="00DC2D4B">
        <w:t>that</w:t>
      </w:r>
      <w:r w:rsidR="004E3418" w:rsidRPr="00F95A4D">
        <w:t>:</w:t>
      </w:r>
    </w:p>
    <w:p w14:paraId="58F6BBBF" w14:textId="514DDADF" w:rsidR="00A4740E" w:rsidRPr="00A4740E" w:rsidRDefault="00A4740E" w:rsidP="008A0C9C">
      <w:pPr>
        <w:pStyle w:val="Numberedparagraph"/>
        <w:numPr>
          <w:ilvl w:val="1"/>
          <w:numId w:val="13"/>
        </w:numPr>
        <w:rPr>
          <w:szCs w:val="22"/>
        </w:rPr>
      </w:pPr>
      <w:r w:rsidRPr="00A4740E">
        <w:t>Prisoners in corrective service facilities are placed in suitable accommodation and consideration is given to their needs</w:t>
      </w:r>
      <w:r w:rsidR="00BC76DE">
        <w:t xml:space="preserve"> and risks</w:t>
      </w:r>
      <w:r w:rsidRPr="00A4740E">
        <w:t>. Where practical, each prison in a corrective services facility must be provided with his or her own cell. Due to capacity issues and high prisoner numbers, this is not always achievable, and prisoners may be required to share cells</w:t>
      </w:r>
      <w:r>
        <w:t>.</w:t>
      </w:r>
    </w:p>
    <w:p w14:paraId="68D3A3F7" w14:textId="70A3C7CE" w:rsidR="00A4740E" w:rsidRDefault="00A4740E" w:rsidP="008A0C9C">
      <w:pPr>
        <w:pStyle w:val="Numberedparagraph"/>
        <w:numPr>
          <w:ilvl w:val="1"/>
          <w:numId w:val="13"/>
        </w:numPr>
      </w:pPr>
      <w:r>
        <w:t>All reasonable efforts are made to ensure that shared cell accommodation placements do not impact adversely on safety or security, or reduce prisoners</w:t>
      </w:r>
      <w:r w:rsidR="001B6C5F">
        <w:t>’</w:t>
      </w:r>
      <w:r>
        <w:t xml:space="preserve"> access to amenities, cell access, visits and progression opportunities. Consideration of shared cell accommodation is also </w:t>
      </w:r>
      <w:r>
        <w:lastRenderedPageBreak/>
        <w:t>individually assessed and recorded. Physical impairments are not an automatic criterion for a prisoner to be placed in their own cell. QCS continually monitors and reviews shared cell accommodation to identify any concerns in relation to prisoner’s placements.</w:t>
      </w:r>
    </w:p>
    <w:p w14:paraId="1A46182B" w14:textId="77777777" w:rsidR="00A4740E" w:rsidRPr="00EF6EDA" w:rsidRDefault="00A4740E" w:rsidP="008A0C9C">
      <w:pPr>
        <w:pStyle w:val="Numberedparagraph"/>
        <w:numPr>
          <w:ilvl w:val="1"/>
          <w:numId w:val="13"/>
        </w:numPr>
      </w:pPr>
      <w:r>
        <w:t xml:space="preserve">Prisoners are given the opportunity to liaise with unit staff as to any concerns they may have with their shared cell arrangements </w:t>
      </w:r>
    </w:p>
    <w:p w14:paraId="14334AFB" w14:textId="73462DE1" w:rsidR="004E3418" w:rsidRPr="008E6356" w:rsidRDefault="00A40C45" w:rsidP="007A56D8">
      <w:pPr>
        <w:pStyle w:val="Numberedparagraph"/>
        <w:numPr>
          <w:ilvl w:val="1"/>
          <w:numId w:val="13"/>
        </w:numPr>
        <w:rPr>
          <w:szCs w:val="22"/>
        </w:rPr>
      </w:pPr>
      <w:r w:rsidRPr="00DC2D4B">
        <w:t xml:space="preserve">C was </w:t>
      </w:r>
      <w:r w:rsidR="00CE5DEE">
        <w:t xml:space="preserve">asked </w:t>
      </w:r>
      <w:r w:rsidR="00866DB0">
        <w:t>many</w:t>
      </w:r>
      <w:r w:rsidRPr="00DC2D4B">
        <w:t xml:space="preserve"> times whether he had any concerns about sharing a cell and did not raise any concerns</w:t>
      </w:r>
      <w:r w:rsidR="00866DB0">
        <w:t xml:space="preserve">. </w:t>
      </w:r>
      <w:r w:rsidR="00CD4C1E">
        <w:t>N</w:t>
      </w:r>
      <w:r w:rsidRPr="00DC2D4B">
        <w:t xml:space="preserve">o evidence has been located to confirm </w:t>
      </w:r>
      <w:r w:rsidR="00D43E62" w:rsidRPr="00DC2D4B">
        <w:t xml:space="preserve">that C gave </w:t>
      </w:r>
      <w:r w:rsidRPr="00DC2D4B">
        <w:t>th</w:t>
      </w:r>
      <w:r w:rsidR="00634521">
        <w:t xml:space="preserve">e relevant documentation </w:t>
      </w:r>
      <w:r w:rsidRPr="00DC2D4B">
        <w:t>to QCS staff</w:t>
      </w:r>
      <w:r w:rsidR="00491C30">
        <w:t xml:space="preserve"> in September 2020</w:t>
      </w:r>
      <w:r w:rsidRPr="00DC2D4B">
        <w:t>.</w:t>
      </w:r>
      <w:r w:rsidR="00491C30">
        <w:t xml:space="preserve"> </w:t>
      </w:r>
    </w:p>
    <w:p w14:paraId="0B67ED22" w14:textId="1369FFB6" w:rsidR="00A62B17" w:rsidRPr="00DC2D4B" w:rsidRDefault="00A62B17" w:rsidP="00A62B17">
      <w:pPr>
        <w:pStyle w:val="Heading1"/>
      </w:pPr>
      <w:r w:rsidRPr="00DC2D4B">
        <w:t>Human Rights Act</w:t>
      </w:r>
      <w:r w:rsidR="00161BFE" w:rsidRPr="00DC2D4B">
        <w:t xml:space="preserve"> obligations</w:t>
      </w:r>
    </w:p>
    <w:p w14:paraId="2D00E0EF" w14:textId="5C47B7E9" w:rsidR="00A62B17" w:rsidRPr="00DC2D4B" w:rsidRDefault="00A62B17" w:rsidP="002240CE">
      <w:pPr>
        <w:pStyle w:val="Numberedparagraph"/>
      </w:pPr>
      <w:r w:rsidRPr="00DC2D4B">
        <w:t xml:space="preserve">QCS and </w:t>
      </w:r>
      <w:r w:rsidR="00503C29">
        <w:t>the HHS</w:t>
      </w:r>
      <w:r w:rsidRPr="00DC2D4B">
        <w:t xml:space="preserve"> are public entities under the HR Act with obligations to: </w:t>
      </w:r>
    </w:p>
    <w:p w14:paraId="15C1F16A" w14:textId="4186C44C" w:rsidR="00A62B17" w:rsidRPr="00DC2D4B" w:rsidRDefault="00161BFE" w:rsidP="008A0C9C">
      <w:pPr>
        <w:pStyle w:val="Numberedparagraph"/>
        <w:numPr>
          <w:ilvl w:val="1"/>
          <w:numId w:val="13"/>
        </w:numPr>
      </w:pPr>
      <w:r w:rsidRPr="00DC2D4B">
        <w:t>act and make decisions in a way that is compatible with human rights</w:t>
      </w:r>
      <w:r w:rsidR="00A62B17" w:rsidRPr="00DC2D4B">
        <w:t xml:space="preserve">; and </w:t>
      </w:r>
    </w:p>
    <w:p w14:paraId="607D4FE3" w14:textId="69989CC8" w:rsidR="00161BFE" w:rsidRPr="00F95A4D" w:rsidRDefault="00D86FF3" w:rsidP="008A0C9C">
      <w:pPr>
        <w:pStyle w:val="Numberedparagraph"/>
        <w:numPr>
          <w:ilvl w:val="1"/>
          <w:numId w:val="13"/>
        </w:numPr>
      </w:pPr>
      <w:r w:rsidRPr="00DC2D4B">
        <w:t xml:space="preserve">give </w:t>
      </w:r>
      <w:r w:rsidR="00A62B17" w:rsidRPr="00DC2D4B">
        <w:t>proper consideration to human rights when making</w:t>
      </w:r>
      <w:r w:rsidR="0014261C">
        <w:t xml:space="preserve"> a</w:t>
      </w:r>
      <w:r w:rsidR="00A62B17" w:rsidRPr="00DC2D4B">
        <w:t xml:space="preserve"> decision.</w:t>
      </w:r>
      <w:r w:rsidR="00A62B17" w:rsidRPr="00DC2D4B">
        <w:rPr>
          <w:rStyle w:val="FootnoteReference"/>
        </w:rPr>
        <w:footnoteReference w:id="5"/>
      </w:r>
      <w:r w:rsidR="00A62B17" w:rsidRPr="00DC2D4B">
        <w:t xml:space="preserve">  </w:t>
      </w:r>
    </w:p>
    <w:p w14:paraId="7CAB9696" w14:textId="7BE5FA40" w:rsidR="00161BFE" w:rsidRPr="00F95A4D" w:rsidRDefault="00161BFE" w:rsidP="002240CE">
      <w:pPr>
        <w:pStyle w:val="Numberedparagraph"/>
      </w:pPr>
      <w:r w:rsidRPr="00DC2D4B">
        <w:t xml:space="preserve">A decision or action is compatible with human rights if it does not limit any human </w:t>
      </w:r>
      <w:r w:rsidR="00D86FF3" w:rsidRPr="00DC2D4B">
        <w:t>rights or</w:t>
      </w:r>
      <w:r w:rsidRPr="00DC2D4B">
        <w:t xml:space="preserve"> limits a human right only to the extent that is reasonably and demonstrably justifiable.</w:t>
      </w:r>
      <w:r w:rsidRPr="00DC2D4B">
        <w:rPr>
          <w:rStyle w:val="FootnoteReference"/>
        </w:rPr>
        <w:footnoteReference w:id="6"/>
      </w:r>
      <w:r w:rsidRPr="00DC2D4B">
        <w:t xml:space="preserve"> </w:t>
      </w:r>
    </w:p>
    <w:p w14:paraId="0EB0E0FA" w14:textId="11700312" w:rsidR="000452F8" w:rsidRPr="004F1FD7" w:rsidRDefault="00066B30" w:rsidP="002240CE">
      <w:pPr>
        <w:pStyle w:val="Numberedparagraph"/>
      </w:pPr>
      <w:bookmarkStart w:id="5" w:name="_Toc28073513"/>
      <w:bookmarkStart w:id="6" w:name="_Hlk106720335"/>
      <w:r w:rsidRPr="004F1FD7">
        <w:t>The Health Services MOU</w:t>
      </w:r>
      <w:r w:rsidRPr="00DC2D4B">
        <w:t xml:space="preserve"> </w:t>
      </w:r>
      <w:r>
        <w:t>acknowledges</w:t>
      </w:r>
      <w:r w:rsidRPr="004F1FD7">
        <w:t xml:space="preserve"> several rights under the HR Act including the right to </w:t>
      </w:r>
      <w:r w:rsidRPr="00CC3D0E">
        <w:rPr>
          <w:b/>
          <w:bCs/>
        </w:rPr>
        <w:t>humane treatment when deprived of liberty</w:t>
      </w:r>
      <w:r w:rsidRPr="004F1FD7">
        <w:t xml:space="preserve">.  </w:t>
      </w:r>
      <w:r w:rsidR="00DF4A35" w:rsidRPr="004F1FD7">
        <w:t>Th</w:t>
      </w:r>
      <w:r>
        <w:t xml:space="preserve">is right </w:t>
      </w:r>
      <w:r w:rsidR="00DF4A35" w:rsidRPr="004F1FD7">
        <w:t>requires that</w:t>
      </w:r>
      <w:r w:rsidR="00DF4A35" w:rsidRPr="00066B30">
        <w:rPr>
          <w:b/>
          <w:bCs/>
        </w:rPr>
        <w:t xml:space="preserve"> </w:t>
      </w:r>
      <w:r w:rsidR="000452F8" w:rsidRPr="004F1FD7">
        <w:t>persons deprived of liberty must be treated with humanity and with respect for the inherent dignity of the human person.</w:t>
      </w:r>
      <w:r w:rsidR="00D11560">
        <w:rPr>
          <w:rStyle w:val="FootnoteReference"/>
        </w:rPr>
        <w:footnoteReference w:id="7"/>
      </w:r>
    </w:p>
    <w:p w14:paraId="4A83511E" w14:textId="60B89D4D" w:rsidR="000452F8" w:rsidRPr="004F1FD7" w:rsidRDefault="000452F8" w:rsidP="002240CE">
      <w:pPr>
        <w:pStyle w:val="Numberedparagraph"/>
      </w:pPr>
      <w:r w:rsidRPr="004F1FD7">
        <w:t xml:space="preserve">The </w:t>
      </w:r>
      <w:r w:rsidRPr="00DC2D4B">
        <w:t>right</w:t>
      </w:r>
      <w:r w:rsidRPr="004F1FD7">
        <w:t xml:space="preserve"> creates a positive obligation on public entities to treat persons in detention with humanity and respect for dignity</w:t>
      </w:r>
      <w:r w:rsidR="00D86FF3" w:rsidRPr="004F1FD7">
        <w:t>.</w:t>
      </w:r>
      <w:r w:rsidRPr="004F1FD7">
        <w:t xml:space="preserve"> </w:t>
      </w:r>
      <w:r w:rsidR="00D86FF3" w:rsidRPr="004F1FD7">
        <w:t xml:space="preserve">It </w:t>
      </w:r>
      <w:r w:rsidRPr="004F1FD7">
        <w:t>complements the prohibition on torture and cruel, inhuman or degrading treatment,</w:t>
      </w:r>
      <w:r w:rsidRPr="004F1FD7">
        <w:rPr>
          <w:rStyle w:val="FootnoteReference"/>
        </w:rPr>
        <w:footnoteReference w:id="8"/>
      </w:r>
      <w:r w:rsidRPr="004F1FD7">
        <w:t xml:space="preserve"> although the latter is a more general protection for all people against the worst forms of conduct.</w:t>
      </w:r>
      <w:r w:rsidRPr="004F1FD7">
        <w:rPr>
          <w:rStyle w:val="FootnoteReference"/>
        </w:rPr>
        <w:footnoteReference w:id="9"/>
      </w:r>
    </w:p>
    <w:p w14:paraId="1A1A1A7B" w14:textId="2F6A4903" w:rsidR="00951731" w:rsidRPr="004F1FD7" w:rsidRDefault="00951731" w:rsidP="002240CE">
      <w:pPr>
        <w:pStyle w:val="Numberedparagraph"/>
      </w:pPr>
      <w:r w:rsidRPr="004F1FD7">
        <w:t xml:space="preserve">The </w:t>
      </w:r>
      <w:r w:rsidRPr="004F1FD7">
        <w:rPr>
          <w:i/>
        </w:rPr>
        <w:t>United Nations Standard Minimum Rules for the Treatment of Prisoners</w:t>
      </w:r>
      <w:r w:rsidRPr="004F1FD7">
        <w:t xml:space="preserve"> (</w:t>
      </w:r>
      <w:r w:rsidRPr="004F1FD7">
        <w:rPr>
          <w:b/>
          <w:bCs/>
        </w:rPr>
        <w:t>Mandela Rules</w:t>
      </w:r>
      <w:r w:rsidRPr="004F1FD7">
        <w:t>) are considered the international standard for the humane treatment of prisoners.</w:t>
      </w:r>
      <w:r w:rsidRPr="004F1FD7">
        <w:rPr>
          <w:rStyle w:val="FootnoteReference"/>
        </w:rPr>
        <w:footnoteReference w:id="10"/>
      </w:r>
      <w:r w:rsidRPr="004F1FD7">
        <w:t xml:space="preserve"> The parties to the </w:t>
      </w:r>
      <w:r w:rsidR="004F1FD7" w:rsidRPr="004F1FD7">
        <w:t>Health Services MOU</w:t>
      </w:r>
      <w:r w:rsidRPr="004F1FD7">
        <w:t xml:space="preserve"> agree that the Mandela Rules provide a strong foundation for the humane treatment of </w:t>
      </w:r>
      <w:r w:rsidR="00066B30">
        <w:t>p</w:t>
      </w:r>
      <w:r w:rsidRPr="004F1FD7">
        <w:t xml:space="preserve">risoners and </w:t>
      </w:r>
      <w:r w:rsidR="004F70D6" w:rsidRPr="004F1FD7">
        <w:t xml:space="preserve">commit to </w:t>
      </w:r>
      <w:r w:rsidRPr="004F1FD7">
        <w:t xml:space="preserve">work with each other to ensure adherence to these rules as far as possible. Without limiting the application of other Mandela Rules, </w:t>
      </w:r>
      <w:r w:rsidR="00DC2D4B" w:rsidRPr="004F1FD7">
        <w:t xml:space="preserve">QH and QCS </w:t>
      </w:r>
      <w:r w:rsidRPr="004F1FD7">
        <w:t xml:space="preserve">specially acknowledge </w:t>
      </w:r>
      <w:r w:rsidR="00DC2D4B" w:rsidRPr="004F1FD7">
        <w:t xml:space="preserve">in the </w:t>
      </w:r>
      <w:r w:rsidR="004F1FD7" w:rsidRPr="004F1FD7">
        <w:t>Health Services MOU</w:t>
      </w:r>
      <w:r w:rsidR="00DC2D4B" w:rsidRPr="004F1FD7">
        <w:t xml:space="preserve"> </w:t>
      </w:r>
      <w:r w:rsidRPr="004F1FD7">
        <w:t>that:</w:t>
      </w:r>
    </w:p>
    <w:p w14:paraId="7676AB76" w14:textId="30D472C2" w:rsidR="00951731" w:rsidRPr="004F1FD7" w:rsidRDefault="00951731" w:rsidP="00420AD1">
      <w:pPr>
        <w:pStyle w:val="Quote"/>
      </w:pPr>
      <w:r w:rsidRPr="004F1FD7">
        <w:lastRenderedPageBreak/>
        <w:t>Prisoners should enjoy the same standards of health care that are available in the community and should have access to necessary health care services free of charge without discrimination on the grounds of their legal status. (Rule 24 (1))</w:t>
      </w:r>
      <w:r w:rsidR="00ED60B9" w:rsidRPr="004F1FD7">
        <w:rPr>
          <w:rStyle w:val="FootnoteReference"/>
        </w:rPr>
        <w:footnoteReference w:id="11"/>
      </w:r>
    </w:p>
    <w:p w14:paraId="51B8BB1C" w14:textId="7B7CB9ED" w:rsidR="008A0302" w:rsidRDefault="008A0302" w:rsidP="002240CE">
      <w:pPr>
        <w:pStyle w:val="Numberedparagraph"/>
      </w:pPr>
      <w:r>
        <w:t xml:space="preserve">The principle of equivalency of care is also protected by the </w:t>
      </w:r>
      <w:r w:rsidRPr="00043551">
        <w:rPr>
          <w:b/>
          <w:bCs/>
        </w:rPr>
        <w:t xml:space="preserve">right to access health services </w:t>
      </w:r>
      <w:r w:rsidR="00CC3D0E">
        <w:t>in</w:t>
      </w:r>
      <w:r>
        <w:t xml:space="preserve"> the HR Act, and is reflected in both the</w:t>
      </w:r>
      <w:r w:rsidR="006B2189">
        <w:t xml:space="preserve"> QH</w:t>
      </w:r>
      <w:r>
        <w:t xml:space="preserve"> </w:t>
      </w:r>
      <w:r w:rsidR="0037183F">
        <w:rPr>
          <w:i/>
          <w:iCs/>
        </w:rPr>
        <w:t>M</w:t>
      </w:r>
      <w:r w:rsidR="0037183F" w:rsidRPr="00BF759F">
        <w:rPr>
          <w:i/>
          <w:iCs/>
        </w:rPr>
        <w:t>edication formulary and prescribing practices</w:t>
      </w:r>
      <w:r w:rsidR="0037183F">
        <w:rPr>
          <w:i/>
          <w:iCs/>
        </w:rPr>
        <w:t xml:space="preserve"> for prison health services </w:t>
      </w:r>
      <w:r w:rsidR="0037183F">
        <w:t>guideline</w:t>
      </w:r>
      <w:r w:rsidR="000674DD">
        <w:t xml:space="preserve"> (</w:t>
      </w:r>
      <w:r w:rsidR="000674DD">
        <w:rPr>
          <w:b/>
          <w:bCs/>
        </w:rPr>
        <w:t>medica</w:t>
      </w:r>
      <w:r w:rsidR="0095349E">
        <w:rPr>
          <w:b/>
          <w:bCs/>
        </w:rPr>
        <w:t>tion</w:t>
      </w:r>
      <w:r w:rsidR="000674DD">
        <w:rPr>
          <w:b/>
          <w:bCs/>
        </w:rPr>
        <w:t xml:space="preserve"> guideline)</w:t>
      </w:r>
      <w:r w:rsidR="006B2189" w:rsidRPr="006B2189">
        <w:t>,</w:t>
      </w:r>
      <w:r w:rsidR="00C23415" w:rsidRPr="006B2189">
        <w:rPr>
          <w:rStyle w:val="FootnoteReference"/>
        </w:rPr>
        <w:footnoteReference w:id="12"/>
      </w:r>
      <w:r w:rsidR="006B2189" w:rsidRPr="006B2189">
        <w:t xml:space="preserve"> </w:t>
      </w:r>
      <w:r w:rsidRPr="006B2189">
        <w:t xml:space="preserve">and </w:t>
      </w:r>
      <w:r w:rsidR="00B86435" w:rsidRPr="006B2189">
        <w:t>t</w:t>
      </w:r>
      <w:r w:rsidRPr="006B2189">
        <w:t xml:space="preserve">he </w:t>
      </w:r>
      <w:r w:rsidRPr="00F2244C">
        <w:rPr>
          <w:i/>
          <w:iCs/>
        </w:rPr>
        <w:t>Queensland Prisoner Health and Wellbeing Strategy 2020-2025</w:t>
      </w:r>
      <w:r w:rsidRPr="006B2189">
        <w:t>.</w:t>
      </w:r>
      <w:r>
        <w:t xml:space="preserve"> </w:t>
      </w:r>
    </w:p>
    <w:p w14:paraId="632144A7" w14:textId="6475C643" w:rsidR="00072672" w:rsidRPr="004F1FD7" w:rsidRDefault="00DF4A35" w:rsidP="00072672">
      <w:pPr>
        <w:pStyle w:val="Heading2"/>
        <w:rPr>
          <w:lang w:val="en-AU"/>
        </w:rPr>
      </w:pPr>
      <w:r w:rsidRPr="004F1FD7">
        <w:rPr>
          <w:lang w:val="en-AU"/>
        </w:rPr>
        <w:t>Provision of health care</w:t>
      </w:r>
    </w:p>
    <w:p w14:paraId="2D2C620D" w14:textId="06E13F4B" w:rsidR="00DF4A35" w:rsidRPr="00BF759F" w:rsidRDefault="00DF4A35" w:rsidP="002240CE">
      <w:pPr>
        <w:pStyle w:val="Numberedparagraph"/>
      </w:pPr>
      <w:r w:rsidRPr="00DC2D4B">
        <w:t xml:space="preserve">Many of C’s allegations concern decisions by health professionals regarding his clinical care. There are also significant disputes of fact between the parties about the prisoner’s health care while detained. </w:t>
      </w:r>
      <w:r w:rsidR="00CC3D0E">
        <w:t>The Commission does not reach any concluded position on these matters</w:t>
      </w:r>
      <w:r w:rsidR="00D432E5">
        <w:t xml:space="preserve"> and the Commission does not seek to review clinical decisions made by </w:t>
      </w:r>
      <w:r w:rsidR="00503C29">
        <w:t>the HHS</w:t>
      </w:r>
      <w:r w:rsidR="00D432E5">
        <w:t xml:space="preserve"> staff</w:t>
      </w:r>
      <w:r w:rsidR="00CC3D0E">
        <w:t>.</w:t>
      </w:r>
      <w:r w:rsidR="00D432E5">
        <w:t xml:space="preserve"> </w:t>
      </w:r>
    </w:p>
    <w:p w14:paraId="5590AE08" w14:textId="21A0FC15" w:rsidR="00CF4089" w:rsidRDefault="0044030D" w:rsidP="002240CE">
      <w:pPr>
        <w:pStyle w:val="Numberedparagraph"/>
      </w:pPr>
      <w:r>
        <w:t>However</w:t>
      </w:r>
      <w:r w:rsidR="00DF4A35" w:rsidRPr="0044030D">
        <w:t>, the Commission is concerned about the potential limitation on rights that may eventuate from the current arrangements for health care in custo</w:t>
      </w:r>
      <w:r w:rsidR="00DF4A35" w:rsidRPr="00DC2D4B">
        <w:t>dial settings</w:t>
      </w:r>
      <w:r w:rsidR="00CF4089">
        <w:t xml:space="preserve"> whereby different providers are responsible for health care as a prisoner is transferred from watchhouses to prisons</w:t>
      </w:r>
      <w:r w:rsidR="00DF4A35" w:rsidRPr="00DC2D4B">
        <w:t>.</w:t>
      </w:r>
      <w:r w:rsidR="00C23415" w:rsidRPr="00C23415">
        <w:t xml:space="preserve"> </w:t>
      </w:r>
      <w:r w:rsidR="00C23415">
        <w:t>These arrangements may result in a prisoner’s</w:t>
      </w:r>
      <w:r w:rsidR="00DD3400">
        <w:t xml:space="preserve"> no longer having</w:t>
      </w:r>
      <w:r w:rsidR="00C23415" w:rsidRPr="00DC2D4B">
        <w:t xml:space="preserve"> access to prescription medication by virtue of their incarceration at several facilitie</w:t>
      </w:r>
      <w:r w:rsidR="00C23415" w:rsidRPr="00BF759F">
        <w:t>s over a period of time. Depending on the medication, such cessation may cause significant side effects including pain and discomfort.</w:t>
      </w:r>
      <w:r w:rsidR="00C23415">
        <w:t xml:space="preserve"> The Commission will continue to monitor this issue. </w:t>
      </w:r>
    </w:p>
    <w:p w14:paraId="1FBBBA96" w14:textId="7AF5A01F" w:rsidR="00A4740E" w:rsidRPr="0037461E" w:rsidRDefault="00CF4089" w:rsidP="002240CE">
      <w:pPr>
        <w:pStyle w:val="Numberedparagraph"/>
      </w:pPr>
      <w:r>
        <w:t xml:space="preserve">Further, </w:t>
      </w:r>
      <w:r w:rsidR="00D432E5">
        <w:t xml:space="preserve">at a systemic level, </w:t>
      </w:r>
      <w:r>
        <w:t xml:space="preserve">the material provided by </w:t>
      </w:r>
      <w:r w:rsidR="00503C29">
        <w:t>the HHS</w:t>
      </w:r>
      <w:r>
        <w:t xml:space="preserve"> indicates its policies and procedures may be inconsistent with </w:t>
      </w:r>
      <w:r w:rsidR="00802A3F">
        <w:t>QH</w:t>
      </w:r>
      <w:r w:rsidR="00C23415">
        <w:t xml:space="preserve"> policies</w:t>
      </w:r>
      <w:r w:rsidR="00821C2E">
        <w:t xml:space="preserve">, and in particular the relevant </w:t>
      </w:r>
      <w:r w:rsidR="000674DD">
        <w:t xml:space="preserve">QH </w:t>
      </w:r>
      <w:r w:rsidR="00821C2E">
        <w:t>medication guideline</w:t>
      </w:r>
      <w:r w:rsidR="00C23415">
        <w:t xml:space="preserve">. </w:t>
      </w:r>
      <w:r w:rsidR="00A4740E">
        <w:t xml:space="preserve">The Commission notes that QCS are responsible for determining the </w:t>
      </w:r>
      <w:r w:rsidR="00A4740E" w:rsidRPr="00DC2D4B">
        <w:rPr>
          <w:color w:val="000000"/>
          <w:szCs w:val="22"/>
        </w:rPr>
        <w:t>necessary security parameters to appropriately manage risk factors in the custodial setting</w:t>
      </w:r>
      <w:r w:rsidR="00A4740E">
        <w:rPr>
          <w:color w:val="000000"/>
          <w:szCs w:val="22"/>
        </w:rPr>
        <w:t>. QCS may discipline detainees for breaches under the CS Act and relevant policies</w:t>
      </w:r>
      <w:r w:rsidR="00A4740E" w:rsidRPr="00DC2D4B">
        <w:rPr>
          <w:color w:val="000000"/>
          <w:szCs w:val="22"/>
        </w:rPr>
        <w:t>.</w:t>
      </w:r>
      <w:r w:rsidR="00A4740E">
        <w:rPr>
          <w:rStyle w:val="FootnoteReference"/>
          <w:color w:val="000000"/>
          <w:szCs w:val="22"/>
        </w:rPr>
        <w:footnoteReference w:id="13"/>
      </w:r>
      <w:r w:rsidR="00A4740E">
        <w:rPr>
          <w:color w:val="000000"/>
          <w:szCs w:val="22"/>
        </w:rPr>
        <w:t xml:space="preserve"> </w:t>
      </w:r>
    </w:p>
    <w:p w14:paraId="606EEDC8" w14:textId="77777777" w:rsidR="00A4740E" w:rsidRDefault="00DF4A35" w:rsidP="002240CE">
      <w:pPr>
        <w:pStyle w:val="Numberedparagraph"/>
      </w:pPr>
      <w:r w:rsidRPr="00BF759F">
        <w:t>The Commission</w:t>
      </w:r>
      <w:r w:rsidRPr="00DC2D4B">
        <w:t xml:space="preserve"> </w:t>
      </w:r>
      <w:r w:rsidR="00CC3D0E">
        <w:t xml:space="preserve">agrees </w:t>
      </w:r>
      <w:r w:rsidRPr="00DC2D4B">
        <w:t>that each health professional charged with treating persons in custody must form their own opinion about the most appropriate care</w:t>
      </w:r>
      <w:r w:rsidR="003C2B43">
        <w:t xml:space="preserve"> and that </w:t>
      </w:r>
      <w:r w:rsidRPr="00DC2D4B">
        <w:t xml:space="preserve">a decision to cease or wean medication should be made by a health professional with full knowledge of the prisoner’s medical history. </w:t>
      </w:r>
    </w:p>
    <w:p w14:paraId="5F6165DF" w14:textId="6B90033A" w:rsidR="009C1E50" w:rsidRPr="008A0C9C" w:rsidRDefault="009C1E50" w:rsidP="008A0C9C">
      <w:pPr>
        <w:pStyle w:val="Numberedparagraph"/>
      </w:pPr>
      <w:r>
        <w:t>The Commission accepts that b</w:t>
      </w:r>
      <w:r w:rsidRPr="00D432E5">
        <w:t xml:space="preserve">y </w:t>
      </w:r>
      <w:r w:rsidR="00CE5DEE">
        <w:t>their</w:t>
      </w:r>
      <w:r w:rsidRPr="00D432E5">
        <w:t xml:space="preserve"> very nature, </w:t>
      </w:r>
      <w:r w:rsidR="00BF276E">
        <w:t>medication g</w:t>
      </w:r>
      <w:r w:rsidRPr="00D432E5">
        <w:t>uideline</w:t>
      </w:r>
      <w:r w:rsidR="00691D88">
        <w:t>s</w:t>
      </w:r>
      <w:r w:rsidRPr="00D432E5">
        <w:t xml:space="preserve"> </w:t>
      </w:r>
      <w:r w:rsidR="00691D88">
        <w:t>are</w:t>
      </w:r>
      <w:r w:rsidRPr="00D432E5">
        <w:t xml:space="preserve"> to be used by </w:t>
      </w:r>
      <w:r w:rsidR="00503C29">
        <w:t>the HHS</w:t>
      </w:r>
      <w:r w:rsidRPr="00D432E5">
        <w:t xml:space="preserve"> practitioners as a guide in relation to prescribing practices. The </w:t>
      </w:r>
      <w:r w:rsidR="00471D1F">
        <w:t>medication g</w:t>
      </w:r>
      <w:r w:rsidRPr="00D432E5">
        <w:t xml:space="preserve">uideline does not impose a standardised approach nor specific </w:t>
      </w:r>
      <w:r w:rsidRPr="00D432E5">
        <w:lastRenderedPageBreak/>
        <w:t>requirements regarding the prescription of medication to persons entering custody with pre-existing prescriptions obtained in the com</w:t>
      </w:r>
      <w:r w:rsidRPr="008A0C9C">
        <w:t>munity.</w:t>
      </w:r>
    </w:p>
    <w:p w14:paraId="45D18339" w14:textId="6D11E169" w:rsidR="00043551" w:rsidRDefault="00492341" w:rsidP="002240CE">
      <w:pPr>
        <w:pStyle w:val="Numberedparagraph"/>
      </w:pPr>
      <w:r>
        <w:t>T</w:t>
      </w:r>
      <w:r w:rsidR="00BA3E3E">
        <w:t xml:space="preserve">he Commission reaches no conclusions about the </w:t>
      </w:r>
      <w:r w:rsidR="00840CDF">
        <w:t>adequacy or equivalence of health care provided to C,</w:t>
      </w:r>
      <w:r>
        <w:t xml:space="preserve"> and recognises the risks of diversion and abuse in a prison environment. Nonetheless,</w:t>
      </w:r>
      <w:r w:rsidR="00840CDF">
        <w:t xml:space="preserve"> the material considered indicates </w:t>
      </w:r>
      <w:r w:rsidR="005E20C9">
        <w:t xml:space="preserve">that current practices and policies </w:t>
      </w:r>
      <w:r w:rsidR="00FB6882">
        <w:t>should be reviewed to ensure they are</w:t>
      </w:r>
      <w:r w:rsidR="005E20C9">
        <w:t xml:space="preserve"> consistent with relevant human rights, </w:t>
      </w:r>
      <w:r w:rsidR="00FB6882">
        <w:t xml:space="preserve">and </w:t>
      </w:r>
      <w:r w:rsidR="005E20C9">
        <w:t xml:space="preserve">material published by </w:t>
      </w:r>
      <w:r w:rsidR="0037183F">
        <w:t>QH</w:t>
      </w:r>
      <w:r w:rsidR="00A12F8C">
        <w:t>;</w:t>
      </w:r>
      <w:r w:rsidR="0092526B">
        <w:t xml:space="preserve"> </w:t>
      </w:r>
      <w:r w:rsidR="0059520D">
        <w:t>i</w:t>
      </w:r>
      <w:r w:rsidR="0092526B">
        <w:t xml:space="preserve">n particular, to justify references to treatment being based on security measures (such as alleged diversion) or risk of abuse. </w:t>
      </w:r>
      <w:r>
        <w:t xml:space="preserve">  </w:t>
      </w:r>
    </w:p>
    <w:p w14:paraId="4B690402" w14:textId="1A7E5EB8" w:rsidR="00DF4A35" w:rsidRPr="004F1FD7" w:rsidRDefault="00DF4A35" w:rsidP="00DF4A35">
      <w:pPr>
        <w:pStyle w:val="Heading2"/>
        <w:rPr>
          <w:lang w:val="en-AU"/>
        </w:rPr>
      </w:pPr>
      <w:r w:rsidRPr="004F1FD7">
        <w:rPr>
          <w:lang w:val="en-AU"/>
        </w:rPr>
        <w:t>Accommodation based on health needs</w:t>
      </w:r>
    </w:p>
    <w:p w14:paraId="451E8D89" w14:textId="71D3A1EB" w:rsidR="00826CCE" w:rsidRDefault="00E74858" w:rsidP="00E74858">
      <w:pPr>
        <w:pStyle w:val="Numberedparagraph"/>
      </w:pPr>
      <w:r>
        <w:rPr>
          <w:noProof/>
        </w:rPr>
        <mc:AlternateContent>
          <mc:Choice Requires="wps">
            <w:drawing>
              <wp:anchor distT="45720" distB="45720" distL="114300" distR="114300" simplePos="0" relativeHeight="251666432" behindDoc="0" locked="0" layoutInCell="1" allowOverlap="1" wp14:anchorId="1732C4F8" wp14:editId="6C0EB95E">
                <wp:simplePos x="0" y="0"/>
                <wp:positionH relativeFrom="margin">
                  <wp:posOffset>24765</wp:posOffset>
                </wp:positionH>
                <wp:positionV relativeFrom="paragraph">
                  <wp:posOffset>975360</wp:posOffset>
                </wp:positionV>
                <wp:extent cx="5391150" cy="241935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419350"/>
                        </a:xfrm>
                        <a:prstGeom prst="rect">
                          <a:avLst/>
                        </a:prstGeom>
                        <a:solidFill>
                          <a:srgbClr val="004270"/>
                        </a:solidFill>
                        <a:ln w="9525">
                          <a:noFill/>
                          <a:miter lim="800000"/>
                          <a:headEnd/>
                          <a:tailEnd/>
                        </a:ln>
                      </wps:spPr>
                      <wps:txbx>
                        <w:txbxContent>
                          <w:p w14:paraId="3F1EFBBA" w14:textId="77777777" w:rsidR="00E74858" w:rsidRPr="00E74858" w:rsidRDefault="00E74858" w:rsidP="00E74858">
                            <w:pPr>
                              <w:pStyle w:val="Heading3"/>
                              <w:spacing w:after="0"/>
                              <w:ind w:left="0"/>
                              <w:rPr>
                                <w:color w:val="FFFFFF" w:themeColor="background1"/>
                              </w:rPr>
                            </w:pPr>
                            <w:r w:rsidRPr="00E74858">
                              <w:rPr>
                                <w:rStyle w:val="Heading3Char"/>
                                <w:color w:val="FFFFFF" w:themeColor="background1"/>
                              </w:rPr>
                              <w:t xml:space="preserve">Recommendation 1: </w:t>
                            </w:r>
                            <w:r w:rsidRPr="00E74858">
                              <w:rPr>
                                <w:color w:val="FFFFFF" w:themeColor="background1"/>
                                <w:sz w:val="22"/>
                                <w:lang w:val="en-US"/>
                              </w:rPr>
                              <w:t>The Hospital and Health Service review whether its prison policies and procedures are compatible with rights in the Human Rights Act to ensure:</w:t>
                            </w:r>
                          </w:p>
                          <w:p w14:paraId="22ABD23C" w14:textId="575FB9AE" w:rsidR="00E74858" w:rsidRDefault="00E74858" w:rsidP="00E74858">
                            <w:pPr>
                              <w:pStyle w:val="Subrec"/>
                              <w:rPr>
                                <w:color w:val="FFFFFF" w:themeColor="background1"/>
                              </w:rPr>
                            </w:pPr>
                            <w:r w:rsidRPr="00E74858">
                              <w:rPr>
                                <w:color w:val="FFFFFF" w:themeColor="background1"/>
                              </w:rPr>
                              <w:t xml:space="preserve">Subject to the prisoner’s consent, medical recommendations about the accommodation of prisoners are communicated directly from the Hospital and Health Service to QCS. </w:t>
                            </w:r>
                          </w:p>
                          <w:p w14:paraId="0C493C75" w14:textId="70A11670" w:rsidR="00E74858" w:rsidRPr="00E74858" w:rsidRDefault="00E74858" w:rsidP="00E74858">
                            <w:pPr>
                              <w:pStyle w:val="Subrec"/>
                              <w:rPr>
                                <w:color w:val="FFFFFF" w:themeColor="background1"/>
                              </w:rPr>
                            </w:pPr>
                            <w:r>
                              <w:rPr>
                                <w:color w:val="FFFFFF" w:themeColor="background1"/>
                              </w:rPr>
                              <w:t>T</w:t>
                            </w:r>
                            <w:r w:rsidRPr="00E74858">
                              <w:rPr>
                                <w:color w:val="FFFFFF" w:themeColor="background1"/>
                              </w:rPr>
                              <w:t xml:space="preserve">he consideration of factors such as risk of abuse and diversion in prescribing, ceasing and managing medication in prison are demonstrably justified. </w:t>
                            </w:r>
                          </w:p>
                          <w:p w14:paraId="0E63232D" w14:textId="77777777" w:rsidR="00E74858" w:rsidRPr="00E74858" w:rsidRDefault="00E74858" w:rsidP="00E74858">
                            <w:pPr>
                              <w:pStyle w:val="Subrec"/>
                              <w:numPr>
                                <w:ilvl w:val="0"/>
                                <w:numId w:val="0"/>
                              </w:numPr>
                              <w:ind w:left="984"/>
                              <w:rPr>
                                <w:color w:val="FFFFFF" w:themeColor="background1"/>
                              </w:rPr>
                            </w:pPr>
                          </w:p>
                          <w:p w14:paraId="69E7E839" w14:textId="77777777" w:rsidR="00826CCE" w:rsidRPr="00E74858" w:rsidRDefault="00826CCE" w:rsidP="00826CCE">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32C4F8" id="_x0000_s1027" type="#_x0000_t202" style="position:absolute;left:0;text-align:left;margin-left:1.95pt;margin-top:76.8pt;width:424.5pt;height:190.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" fillcolor="#004270" stroked="f">
                <v:textbox>
                  <w:txbxContent>
                    <w:p w14:paraId="3F1EFBBA" w14:textId="77777777" w:rsidR="00E74858" w:rsidRPr="00E74858" w:rsidRDefault="00E74858" w:rsidP="00E74858">
                      <w:pPr>
                        <w:pStyle w:val="Heading3"/>
                        <w:spacing w:after="0"/>
                        <w:ind w:left="0"/>
                        <w:rPr>
                          <w:color w:val="FFFFFF" w:themeColor="background1"/>
                        </w:rPr>
                      </w:pPr>
                      <w:r w:rsidRPr="00E74858">
                        <w:rPr>
                          <w:rStyle w:val="Heading3Char"/>
                          <w:color w:val="FFFFFF" w:themeColor="background1"/>
                        </w:rPr>
                        <w:t xml:space="preserve">Recommendation 1: </w:t>
                      </w:r>
                      <w:r w:rsidRPr="00E74858">
                        <w:rPr>
                          <w:color w:val="FFFFFF" w:themeColor="background1"/>
                          <w:sz w:val="22"/>
                          <w:lang w:val="en-US"/>
                        </w:rPr>
                        <w:t>The Hospital and Health Service review whether its prison policies and procedures are compatible with rights in the Human Rights Act to ensure:</w:t>
                      </w:r>
                    </w:p>
                    <w:p w14:paraId="22ABD23C" w14:textId="575FB9AE" w:rsidR="00E74858" w:rsidRDefault="00E74858" w:rsidP="00E74858">
                      <w:pPr>
                        <w:pStyle w:val="Subrec"/>
                        <w:rPr>
                          <w:color w:val="FFFFFF" w:themeColor="background1"/>
                        </w:rPr>
                      </w:pPr>
                      <w:r w:rsidRPr="00E74858">
                        <w:rPr>
                          <w:color w:val="FFFFFF" w:themeColor="background1"/>
                        </w:rPr>
                        <w:t xml:space="preserve">Subject to the prisoner’s consent, medical recommendations about the accommodation of prisoners are communicated directly from the Hospital and Health Service to QCS. </w:t>
                      </w:r>
                    </w:p>
                    <w:p w14:paraId="0C493C75" w14:textId="70A11670" w:rsidR="00E74858" w:rsidRPr="00E74858" w:rsidRDefault="00E74858" w:rsidP="00E74858">
                      <w:pPr>
                        <w:pStyle w:val="Subrec"/>
                        <w:rPr>
                          <w:color w:val="FFFFFF" w:themeColor="background1"/>
                        </w:rPr>
                      </w:pPr>
                      <w:r>
                        <w:rPr>
                          <w:color w:val="FFFFFF" w:themeColor="background1"/>
                        </w:rPr>
                        <w:t>T</w:t>
                      </w:r>
                      <w:r w:rsidRPr="00E74858">
                        <w:rPr>
                          <w:color w:val="FFFFFF" w:themeColor="background1"/>
                        </w:rPr>
                        <w:t xml:space="preserve">he consideration of factors such as risk of abuse and diversion in prescribing, </w:t>
                      </w:r>
                      <w:proofErr w:type="gramStart"/>
                      <w:r w:rsidRPr="00E74858">
                        <w:rPr>
                          <w:color w:val="FFFFFF" w:themeColor="background1"/>
                        </w:rPr>
                        <w:t>ceasing</w:t>
                      </w:r>
                      <w:proofErr w:type="gramEnd"/>
                      <w:r w:rsidRPr="00E74858">
                        <w:rPr>
                          <w:color w:val="FFFFFF" w:themeColor="background1"/>
                        </w:rPr>
                        <w:t xml:space="preserve"> and managing medication in prison are demonstrably justified. </w:t>
                      </w:r>
                    </w:p>
                    <w:p w14:paraId="0E63232D" w14:textId="77777777" w:rsidR="00E74858" w:rsidRPr="00E74858" w:rsidRDefault="00E74858" w:rsidP="00E74858">
                      <w:pPr>
                        <w:pStyle w:val="Subrec"/>
                        <w:numPr>
                          <w:ilvl w:val="0"/>
                          <w:numId w:val="0"/>
                        </w:numPr>
                        <w:ind w:left="984"/>
                        <w:rPr>
                          <w:color w:val="FFFFFF" w:themeColor="background1"/>
                        </w:rPr>
                      </w:pPr>
                    </w:p>
                    <w:p w14:paraId="69E7E839" w14:textId="77777777" w:rsidR="00826CCE" w:rsidRPr="00E74858" w:rsidRDefault="00826CCE" w:rsidP="00826CCE">
                      <w:pPr>
                        <w:rPr>
                          <w:color w:val="FFFFFF" w:themeColor="background1"/>
                        </w:rPr>
                      </w:pPr>
                    </w:p>
                  </w:txbxContent>
                </v:textbox>
                <w10:wrap type="square" anchorx="margin"/>
              </v:shape>
            </w:pict>
          </mc:Fallback>
        </mc:AlternateContent>
      </w:r>
      <w:r w:rsidR="00BC76DE">
        <w:t>T</w:t>
      </w:r>
      <w:r w:rsidR="00BC5693">
        <w:t>he Commission concludes t</w:t>
      </w:r>
      <w:r w:rsidR="00073007">
        <w:t xml:space="preserve">he delay in transferring C to single cell </w:t>
      </w:r>
      <w:r w:rsidR="00CA0D40">
        <w:t>accommodation</w:t>
      </w:r>
      <w:r w:rsidR="004871CA">
        <w:t xml:space="preserve"> </w:t>
      </w:r>
      <w:r w:rsidR="00A97733" w:rsidRPr="000674DD">
        <w:rPr>
          <w:i/>
          <w:iCs/>
        </w:rPr>
        <w:t>may</w:t>
      </w:r>
      <w:r w:rsidR="00A97733">
        <w:t xml:space="preserve"> have been avoided, or </w:t>
      </w:r>
      <w:r w:rsidR="004871CA">
        <w:t xml:space="preserve">otherwise justified, had </w:t>
      </w:r>
      <w:r w:rsidR="003A4D09">
        <w:t>QH share</w:t>
      </w:r>
      <w:r w:rsidR="00711A54">
        <w:t>d the</w:t>
      </w:r>
      <w:r w:rsidR="003A4D09">
        <w:t xml:space="preserve"> </w:t>
      </w:r>
      <w:r w:rsidR="003C2B43">
        <w:t xml:space="preserve">medical recommendation regarding accommodation directly to QCS for processing, rather than relying on the prisoner to provide that material to QCS. </w:t>
      </w:r>
      <w:bookmarkStart w:id="7" w:name="_Hlk134694882"/>
    </w:p>
    <w:bookmarkEnd w:id="7"/>
    <w:p w14:paraId="3E19DB24" w14:textId="5EF7A01E" w:rsidR="00691D88" w:rsidRPr="00DB4D74" w:rsidRDefault="0095349E" w:rsidP="00E67C03">
      <w:pPr>
        <w:pStyle w:val="Response-title"/>
      </w:pPr>
      <w:r>
        <w:t>H</w:t>
      </w:r>
      <w:r w:rsidR="00503C29">
        <w:t>HS</w:t>
      </w:r>
      <w:r w:rsidR="006F0E75" w:rsidRPr="00DB4D74">
        <w:t xml:space="preserve"> R</w:t>
      </w:r>
      <w:r w:rsidR="005B3B2F" w:rsidRPr="00DB4D74">
        <w:t>esponse:</w:t>
      </w:r>
    </w:p>
    <w:p w14:paraId="4D0853AF" w14:textId="3F4142B6" w:rsidR="006A43C4" w:rsidRPr="00EF6EDA" w:rsidRDefault="0095349E" w:rsidP="006A43C4">
      <w:pPr>
        <w:pStyle w:val="Response"/>
      </w:pPr>
      <w:r>
        <w:t>T</w:t>
      </w:r>
      <w:r w:rsidR="00503C29">
        <w:t>he HHS</w:t>
      </w:r>
      <w:r w:rsidR="006A43C4" w:rsidRPr="00EF6EDA">
        <w:t xml:space="preserve"> has commenced an internal review of the compatibility of </w:t>
      </w:r>
      <w:r w:rsidR="00503C29">
        <w:t>the HHS</w:t>
      </w:r>
      <w:r w:rsidR="006A43C4" w:rsidRPr="00EF6EDA">
        <w:t xml:space="preserve">’ policies and procedures (relevant to the administration of </w:t>
      </w:r>
      <w:r>
        <w:t>health services at the centre</w:t>
      </w:r>
      <w:r w:rsidR="006A43C4" w:rsidRPr="00EF6EDA">
        <w:t xml:space="preserve">) with human rights in respect of the communication of medical recommendations about the accommodation of prisoners directly from </w:t>
      </w:r>
      <w:r w:rsidR="00503C29">
        <w:t>the HHS</w:t>
      </w:r>
      <w:r w:rsidR="006A43C4" w:rsidRPr="00EF6EDA">
        <w:t xml:space="preserve"> to QCS</w:t>
      </w:r>
      <w:r w:rsidR="00B925AF">
        <w:t>,</w:t>
      </w:r>
      <w:r w:rsidR="006A43C4" w:rsidRPr="00EF6EDA">
        <w:t xml:space="preserve"> and in respect of the equivalence of health care provided to persons in custody and the consideration of non-clinical factors in the provision of health care to persons in custody.</w:t>
      </w:r>
    </w:p>
    <w:p w14:paraId="16D2A3C2" w14:textId="0E798D64" w:rsidR="006A43C4" w:rsidRDefault="002F3D4B" w:rsidP="006A43C4">
      <w:pPr>
        <w:pStyle w:val="Response"/>
      </w:pPr>
      <w:r>
        <w:t>T</w:t>
      </w:r>
      <w:r w:rsidR="00503C29">
        <w:t>he HHS</w:t>
      </w:r>
      <w:r w:rsidR="006A43C4" w:rsidRPr="00EF6EDA">
        <w:t xml:space="preserve"> will continue this review until all </w:t>
      </w:r>
      <w:r w:rsidR="00503C29">
        <w:t>the HHS</w:t>
      </w:r>
      <w:r w:rsidR="006A43C4" w:rsidRPr="00EF6EDA">
        <w:t xml:space="preserve"> policies and procedures relevant to the administration of </w:t>
      </w:r>
      <w:r w:rsidR="0095349E">
        <w:t xml:space="preserve">health services </w:t>
      </w:r>
      <w:r w:rsidR="006A43C4" w:rsidRPr="00EF6EDA">
        <w:t xml:space="preserve">at </w:t>
      </w:r>
      <w:r w:rsidR="0095349E">
        <w:t>centre</w:t>
      </w:r>
      <w:r w:rsidR="006A43C4" w:rsidRPr="00EF6EDA">
        <w:t xml:space="preserve"> have been reviewed. </w:t>
      </w:r>
    </w:p>
    <w:p w14:paraId="243A4A30" w14:textId="6EFEC774" w:rsidR="00A868EC" w:rsidRPr="00142AC3" w:rsidRDefault="006A43C4" w:rsidP="006A43C4">
      <w:pPr>
        <w:pStyle w:val="Response"/>
        <w:rPr>
          <w:rStyle w:val="Heading3Char"/>
          <w:rFonts w:eastAsiaTheme="minorEastAsia" w:cs="Arial"/>
          <w:color w:val="auto"/>
        </w:rPr>
      </w:pPr>
      <w:r w:rsidRPr="00EF6EDA">
        <w:t xml:space="preserve">Within three months </w:t>
      </w:r>
      <w:r w:rsidR="00503C29">
        <w:t>the HHS</w:t>
      </w:r>
      <w:r w:rsidRPr="00EF6EDA">
        <w:t xml:space="preserve"> will engage with QCS in relation to the review to ascertain whether a procedure can be developed in collaboration with QCS whereby </w:t>
      </w:r>
      <w:r w:rsidR="00503C29">
        <w:t>the HHS</w:t>
      </w:r>
      <w:r w:rsidRPr="00EF6EDA">
        <w:t xml:space="preserve"> communicates any medical recommendations regarding accommodation directly to QCS.</w:t>
      </w:r>
      <w:r w:rsidR="0095349E">
        <w:t xml:space="preserve"> </w:t>
      </w:r>
      <w:r w:rsidR="00503C29">
        <w:t>the HHS</w:t>
      </w:r>
      <w:r w:rsidR="00A868EC" w:rsidRPr="006D044F">
        <w:t xml:space="preserve"> will continue this review until all </w:t>
      </w:r>
      <w:r w:rsidR="00503C29">
        <w:t>the HHS</w:t>
      </w:r>
      <w:r w:rsidR="00A868EC" w:rsidRPr="006D044F">
        <w:t xml:space="preserve"> policies and procedures relevant to the administration of the </w:t>
      </w:r>
      <w:r w:rsidR="0095349E">
        <w:t>health services at the centre</w:t>
      </w:r>
      <w:r w:rsidR="00A868EC" w:rsidRPr="006D044F">
        <w:t xml:space="preserve"> have been reviewed.</w:t>
      </w:r>
      <w:r w:rsidR="00A868EC" w:rsidRPr="00142AC3">
        <w:rPr>
          <w:rStyle w:val="Heading3Char"/>
          <w:rFonts w:eastAsiaTheme="minorEastAsia" w:cs="Arial"/>
          <w:color w:val="auto"/>
        </w:rPr>
        <w:t xml:space="preserve"> </w:t>
      </w:r>
    </w:p>
    <w:p w14:paraId="1DE5276C" w14:textId="0F2C1C0C" w:rsidR="00A868EC" w:rsidRPr="00DB4D74" w:rsidRDefault="00823727" w:rsidP="00BE4407">
      <w:pPr>
        <w:pStyle w:val="Response-title"/>
      </w:pPr>
      <w:r w:rsidRPr="00DB4D74">
        <w:lastRenderedPageBreak/>
        <w:t xml:space="preserve">QCS </w:t>
      </w:r>
      <w:r w:rsidRPr="00BE4407">
        <w:t>Response</w:t>
      </w:r>
      <w:r w:rsidRPr="00DB4D74">
        <w:t>:</w:t>
      </w:r>
    </w:p>
    <w:p w14:paraId="2A3CAE9C" w14:textId="7C49F3CC" w:rsidR="00823727" w:rsidRPr="006A43C4" w:rsidRDefault="00823727" w:rsidP="006A43C4">
      <w:pPr>
        <w:pStyle w:val="Response"/>
      </w:pPr>
      <w:r w:rsidRPr="006A43C4">
        <w:t xml:space="preserve">Consideration is given to various factors in making </w:t>
      </w:r>
      <w:r w:rsidR="00C83A51" w:rsidRPr="006A43C4">
        <w:t>accommodation decisions. Physical impairments are not an automatic criterion for a prisoner to be placed in their own cell, however recommendations from Queensland Health are considered when assessing a prisoner’s accommodation, subject to QCS being aware of the recommendation.</w:t>
      </w:r>
    </w:p>
    <w:p w14:paraId="612B7BDA" w14:textId="1B1A1C55" w:rsidR="00C83A51" w:rsidRPr="006A43C4" w:rsidRDefault="00C83A51" w:rsidP="006A43C4">
      <w:pPr>
        <w:pStyle w:val="Response"/>
      </w:pPr>
      <w:r w:rsidRPr="006A43C4">
        <w:t xml:space="preserve">QCS is open to assisting where possible in such a review and is committed to continuing to work collaboratively with Queensland Health and </w:t>
      </w:r>
      <w:r w:rsidR="0016307C">
        <w:t xml:space="preserve">the </w:t>
      </w:r>
      <w:r w:rsidRPr="006A43C4">
        <w:t xml:space="preserve">Hospital and Health Service to improve the delivery of services to promote and support prisoners’ health and wellbeing in QCS custody. </w:t>
      </w:r>
    </w:p>
    <w:p w14:paraId="1EDAD7BD" w14:textId="14FAEB85" w:rsidR="00826CCE" w:rsidRPr="00826CCE" w:rsidRDefault="00E74858" w:rsidP="00826CCE">
      <w:r>
        <w:rPr>
          <w:noProof/>
        </w:rPr>
        <mc:AlternateContent>
          <mc:Choice Requires="wps">
            <w:drawing>
              <wp:anchor distT="45720" distB="45720" distL="114300" distR="114300" simplePos="0" relativeHeight="251664384" behindDoc="0" locked="0" layoutInCell="1" allowOverlap="1" wp14:anchorId="43DA7AFA" wp14:editId="0339A163">
                <wp:simplePos x="0" y="0"/>
                <wp:positionH relativeFrom="margin">
                  <wp:posOffset>24130</wp:posOffset>
                </wp:positionH>
                <wp:positionV relativeFrom="paragraph">
                  <wp:posOffset>260985</wp:posOffset>
                </wp:positionV>
                <wp:extent cx="5391150" cy="962025"/>
                <wp:effectExtent l="0" t="0" r="0" b="95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962025"/>
                        </a:xfrm>
                        <a:prstGeom prst="rect">
                          <a:avLst/>
                        </a:prstGeom>
                        <a:solidFill>
                          <a:srgbClr val="004270"/>
                        </a:solidFill>
                        <a:ln w="9525">
                          <a:noFill/>
                          <a:miter lim="800000"/>
                          <a:headEnd/>
                          <a:tailEnd/>
                        </a:ln>
                      </wps:spPr>
                      <wps:txbx>
                        <w:txbxContent>
                          <w:p w14:paraId="088C6B9D" w14:textId="77777777" w:rsidR="00826CCE" w:rsidRPr="00826CCE" w:rsidRDefault="00826CCE" w:rsidP="00826CCE">
                            <w:pPr>
                              <w:pStyle w:val="Heading3"/>
                              <w:spacing w:before="360" w:after="360"/>
                              <w:ind w:left="0"/>
                              <w:rPr>
                                <w:color w:val="FFFFFF" w:themeColor="background1"/>
                              </w:rPr>
                            </w:pPr>
                            <w:r w:rsidRPr="00826CCE">
                              <w:rPr>
                                <w:rStyle w:val="Heading3Char"/>
                                <w:color w:val="FFFFFF" w:themeColor="background1"/>
                              </w:rPr>
                              <w:t>Recommendation 2:</w:t>
                            </w:r>
                            <w:r w:rsidRPr="00826CCE">
                              <w:rPr>
                                <w:color w:val="FFFFFF" w:themeColor="background1"/>
                              </w:rPr>
                              <w:t xml:space="preserve"> </w:t>
                            </w:r>
                            <w:r w:rsidRPr="00826CCE">
                              <w:rPr>
                                <w:color w:val="FFFFFF" w:themeColor="background1"/>
                                <w:sz w:val="22"/>
                              </w:rPr>
                              <w:t>The Office of Prisoner Health and Wellbeing should be consulted as part of this review.</w:t>
                            </w:r>
                            <w:r w:rsidRPr="00826CCE">
                              <w:rPr>
                                <w:color w:val="FFFFFF" w:themeColor="background1"/>
                              </w:rPr>
                              <w:t xml:space="preserve"> </w:t>
                            </w:r>
                          </w:p>
                          <w:p w14:paraId="47F17945" w14:textId="77777777" w:rsidR="00826CCE" w:rsidRPr="00826CCE" w:rsidRDefault="00826CCE" w:rsidP="00826CCE">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DA7AFA" id="_x0000_s1028" type="#_x0000_t202" style="position:absolute;margin-left:1.9pt;margin-top:20.55pt;width:424.5pt;height:75.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" fillcolor="#004270" stroked="f">
                <v:textbox>
                  <w:txbxContent>
                    <w:p w14:paraId="088C6B9D" w14:textId="77777777" w:rsidR="00826CCE" w:rsidRPr="00826CCE" w:rsidRDefault="00826CCE" w:rsidP="00826CCE">
                      <w:pPr>
                        <w:pStyle w:val="Heading3"/>
                        <w:spacing w:before="360" w:after="360"/>
                        <w:ind w:left="0"/>
                        <w:rPr>
                          <w:color w:val="FFFFFF" w:themeColor="background1"/>
                        </w:rPr>
                      </w:pPr>
                      <w:r w:rsidRPr="00826CCE">
                        <w:rPr>
                          <w:rStyle w:val="Heading3Char"/>
                          <w:color w:val="FFFFFF" w:themeColor="background1"/>
                        </w:rPr>
                        <w:t>Recommendation 2:</w:t>
                      </w:r>
                      <w:r w:rsidRPr="00826CCE">
                        <w:rPr>
                          <w:color w:val="FFFFFF" w:themeColor="background1"/>
                        </w:rPr>
                        <w:t xml:space="preserve"> </w:t>
                      </w:r>
                      <w:r w:rsidRPr="00826CCE">
                        <w:rPr>
                          <w:color w:val="FFFFFF" w:themeColor="background1"/>
                          <w:sz w:val="22"/>
                        </w:rPr>
                        <w:t>The Office of Prisoner Health and Wellbeing should be consulted as part of this review.</w:t>
                      </w:r>
                      <w:r w:rsidRPr="00826CCE">
                        <w:rPr>
                          <w:color w:val="FFFFFF" w:themeColor="background1"/>
                        </w:rPr>
                        <w:t xml:space="preserve"> </w:t>
                      </w:r>
                    </w:p>
                    <w:p w14:paraId="47F17945" w14:textId="77777777" w:rsidR="00826CCE" w:rsidRPr="00826CCE" w:rsidRDefault="00826CCE" w:rsidP="00826CCE">
                      <w:pPr>
                        <w:rPr>
                          <w:color w:val="FFFFFF" w:themeColor="background1"/>
                        </w:rPr>
                      </w:pPr>
                    </w:p>
                  </w:txbxContent>
                </v:textbox>
                <w10:wrap type="square" anchorx="margin"/>
              </v:shape>
            </w:pict>
          </mc:Fallback>
        </mc:AlternateContent>
      </w:r>
    </w:p>
    <w:p w14:paraId="76AD46B3" w14:textId="04A57FEB" w:rsidR="006F0E75" w:rsidRPr="00DB4D74" w:rsidRDefault="00503C29" w:rsidP="00BE4407">
      <w:pPr>
        <w:pStyle w:val="Response-title"/>
      </w:pPr>
      <w:r>
        <w:t>HHS</w:t>
      </w:r>
      <w:r w:rsidR="006F0E75" w:rsidRPr="00DB4D74">
        <w:t xml:space="preserve"> Response: </w:t>
      </w:r>
    </w:p>
    <w:p w14:paraId="7166252E" w14:textId="35CABAA6" w:rsidR="006F0E75" w:rsidRDefault="002F3D4B" w:rsidP="006D044F">
      <w:pPr>
        <w:pStyle w:val="Response"/>
      </w:pPr>
      <w:r>
        <w:t>T</w:t>
      </w:r>
      <w:r w:rsidR="00503C29">
        <w:t>he HHS</w:t>
      </w:r>
      <w:r w:rsidR="00A868EC" w:rsidRPr="0037461E">
        <w:t xml:space="preserve"> will consult the Office of the Prisoner Health and Wellbeing in conducting the internal reviews outlined above in respect of Recommendations 1(</w:t>
      </w:r>
      <w:proofErr w:type="spellStart"/>
      <w:r w:rsidR="00A868EC" w:rsidRPr="0037461E">
        <w:t>i</w:t>
      </w:r>
      <w:proofErr w:type="spellEnd"/>
      <w:r w:rsidR="00A868EC" w:rsidRPr="0037461E">
        <w:t>) and 1(ii).</w:t>
      </w:r>
    </w:p>
    <w:p w14:paraId="0349D598" w14:textId="3EF753AE" w:rsidR="00826CCE" w:rsidRDefault="00826CCE" w:rsidP="00826CCE">
      <w:r>
        <w:rPr>
          <w:noProof/>
        </w:rPr>
        <mc:AlternateContent>
          <mc:Choice Requires="wps">
            <w:drawing>
              <wp:anchor distT="45720" distB="45720" distL="114300" distR="114300" simplePos="0" relativeHeight="251662336" behindDoc="0" locked="0" layoutInCell="1" allowOverlap="1" wp14:anchorId="7883C5BB" wp14:editId="7ED2F4AA">
                <wp:simplePos x="0" y="0"/>
                <wp:positionH relativeFrom="margin">
                  <wp:align>right</wp:align>
                </wp:positionH>
                <wp:positionV relativeFrom="paragraph">
                  <wp:posOffset>267970</wp:posOffset>
                </wp:positionV>
                <wp:extent cx="5391150" cy="109283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092835"/>
                        </a:xfrm>
                        <a:prstGeom prst="rect">
                          <a:avLst/>
                        </a:prstGeom>
                        <a:solidFill>
                          <a:srgbClr val="004270"/>
                        </a:solidFill>
                        <a:ln w="9525">
                          <a:noFill/>
                          <a:miter lim="800000"/>
                          <a:headEnd/>
                          <a:tailEnd/>
                        </a:ln>
                      </wps:spPr>
                      <wps:txbx>
                        <w:txbxContent>
                          <w:p w14:paraId="6E38F799" w14:textId="25D8B7D4" w:rsidR="00826CCE" w:rsidRPr="00826CCE" w:rsidRDefault="00826CCE" w:rsidP="00826CCE">
                            <w:pPr>
                              <w:pStyle w:val="Heading3"/>
                              <w:spacing w:before="360" w:after="360"/>
                              <w:ind w:left="0"/>
                              <w:rPr>
                                <w:color w:val="FFFFFF" w:themeColor="background1"/>
                              </w:rPr>
                            </w:pPr>
                            <w:r w:rsidRPr="00826CCE">
                              <w:rPr>
                                <w:rStyle w:val="Heading3Char"/>
                                <w:color w:val="FFFFFF" w:themeColor="background1"/>
                                <w:szCs w:val="28"/>
                              </w:rPr>
                              <w:t>Recommendation</w:t>
                            </w:r>
                            <w:r w:rsidRPr="00826CCE">
                              <w:rPr>
                                <w:color w:val="FFFFFF" w:themeColor="background1"/>
                              </w:rPr>
                              <w:t xml:space="preserve"> </w:t>
                            </w:r>
                            <w:r w:rsidRPr="00826CCE">
                              <w:rPr>
                                <w:rStyle w:val="Heading3Char"/>
                                <w:color w:val="FFFFFF" w:themeColor="background1"/>
                                <w:szCs w:val="28"/>
                              </w:rPr>
                              <w:t>3:</w:t>
                            </w:r>
                            <w:r w:rsidRPr="00826CCE">
                              <w:rPr>
                                <w:color w:val="FFFFFF" w:themeColor="background1"/>
                              </w:rPr>
                              <w:t xml:space="preserve"> </w:t>
                            </w:r>
                            <w:r w:rsidRPr="00826CCE">
                              <w:rPr>
                                <w:color w:val="FFFFFF" w:themeColor="background1"/>
                                <w:sz w:val="22"/>
                              </w:rPr>
                              <w:t xml:space="preserve">Relevant QCS and the HHS agreements, policies and guidance material should be updated to reflect the outcome of this review and whenever possible, these should be publicly available. </w:t>
                            </w:r>
                          </w:p>
                          <w:p w14:paraId="5DD36F83" w14:textId="3CCD2A33" w:rsidR="00826CCE" w:rsidRPr="00826CCE" w:rsidRDefault="00826CCE">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83C5BB" id="_x0000_s1029" type="#_x0000_t202" style="position:absolute;margin-left:373.3pt;margin-top:21.1pt;width:424.5pt;height:86.0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" fillcolor="#004270" stroked="f">
                <v:textbox>
                  <w:txbxContent>
                    <w:p w14:paraId="6E38F799" w14:textId="25D8B7D4" w:rsidR="00826CCE" w:rsidRPr="00826CCE" w:rsidRDefault="00826CCE" w:rsidP="00826CCE">
                      <w:pPr>
                        <w:pStyle w:val="Heading3"/>
                        <w:spacing w:before="360" w:after="360"/>
                        <w:ind w:left="0"/>
                        <w:rPr>
                          <w:color w:val="FFFFFF" w:themeColor="background1"/>
                        </w:rPr>
                      </w:pPr>
                      <w:r w:rsidRPr="00826CCE">
                        <w:rPr>
                          <w:rStyle w:val="Heading3Char"/>
                          <w:color w:val="FFFFFF" w:themeColor="background1"/>
                          <w:szCs w:val="28"/>
                        </w:rPr>
                        <w:t>Recommendation</w:t>
                      </w:r>
                      <w:r w:rsidRPr="00826CCE">
                        <w:rPr>
                          <w:color w:val="FFFFFF" w:themeColor="background1"/>
                        </w:rPr>
                        <w:t xml:space="preserve"> </w:t>
                      </w:r>
                      <w:r w:rsidRPr="00826CCE">
                        <w:rPr>
                          <w:rStyle w:val="Heading3Char"/>
                          <w:color w:val="FFFFFF" w:themeColor="background1"/>
                          <w:szCs w:val="28"/>
                        </w:rPr>
                        <w:t>3:</w:t>
                      </w:r>
                      <w:r w:rsidRPr="00826CCE">
                        <w:rPr>
                          <w:color w:val="FFFFFF" w:themeColor="background1"/>
                        </w:rPr>
                        <w:t xml:space="preserve"> </w:t>
                      </w:r>
                      <w:r w:rsidRPr="00826CCE">
                        <w:rPr>
                          <w:color w:val="FFFFFF" w:themeColor="background1"/>
                          <w:sz w:val="22"/>
                        </w:rPr>
                        <w:t xml:space="preserve">Relevant QCS and the HHS agreements, policies and guidance material should be updated to reflect the outcome of this review and whenever possible, these should be publicly available. </w:t>
                      </w:r>
                    </w:p>
                    <w:p w14:paraId="5DD36F83" w14:textId="3CCD2A33" w:rsidR="00826CCE" w:rsidRPr="00826CCE" w:rsidRDefault="00826CCE">
                      <w:pPr>
                        <w:rPr>
                          <w:color w:val="FFFFFF" w:themeColor="background1"/>
                        </w:rPr>
                      </w:pPr>
                    </w:p>
                  </w:txbxContent>
                </v:textbox>
                <w10:wrap type="square" anchorx="margin"/>
              </v:shape>
            </w:pict>
          </mc:Fallback>
        </mc:AlternateContent>
      </w:r>
    </w:p>
    <w:p w14:paraId="44A2245E" w14:textId="29DD32D5" w:rsidR="006D044F" w:rsidRDefault="00503C29" w:rsidP="00BE4407">
      <w:pPr>
        <w:pStyle w:val="Response-title"/>
      </w:pPr>
      <w:r>
        <w:t>HHS</w:t>
      </w:r>
      <w:r w:rsidR="006F0E75">
        <w:t xml:space="preserve"> R</w:t>
      </w:r>
      <w:r w:rsidR="006F0E75" w:rsidRPr="005B3B2F">
        <w:t>esponse</w:t>
      </w:r>
      <w:r w:rsidR="006F0E75" w:rsidRPr="00550C68">
        <w:t>:</w:t>
      </w:r>
    </w:p>
    <w:p w14:paraId="3D0BFFF4" w14:textId="563CCEDF" w:rsidR="006F0E75" w:rsidRDefault="00A868EC" w:rsidP="00BE4407">
      <w:pPr>
        <w:pStyle w:val="Response"/>
      </w:pPr>
      <w:r w:rsidRPr="004D11A3">
        <w:t xml:space="preserve">Where, in conducting the above reviews, </w:t>
      </w:r>
      <w:r w:rsidR="00503C29">
        <w:t>the HHS</w:t>
      </w:r>
      <w:r w:rsidRPr="004D11A3">
        <w:t xml:space="preserve"> identifies an inconsistency in its policies and </w:t>
      </w:r>
      <w:r w:rsidRPr="00BE4407">
        <w:t>procedures</w:t>
      </w:r>
      <w:r w:rsidRPr="004D11A3">
        <w:t xml:space="preserve"> with human rights which </w:t>
      </w:r>
      <w:r w:rsidR="00503C29">
        <w:t>the HHS</w:t>
      </w:r>
      <w:r w:rsidRPr="00142AC3">
        <w:t xml:space="preserve"> considers is not reasonable or demonstrably justifiable, </w:t>
      </w:r>
      <w:r w:rsidR="00503C29">
        <w:t>the HHS</w:t>
      </w:r>
      <w:r w:rsidRPr="00142AC3">
        <w:t xml:space="preserve"> will update its policies and procedures in relation to the outcome of the above reviews</w:t>
      </w:r>
      <w:r w:rsidRPr="00A868EC">
        <w:t>.</w:t>
      </w:r>
      <w:r w:rsidR="006F0E75">
        <w:t xml:space="preserve"> </w:t>
      </w:r>
    </w:p>
    <w:p w14:paraId="65CE044C" w14:textId="77777777" w:rsidR="006D044F" w:rsidRDefault="00311688" w:rsidP="00BE4407">
      <w:pPr>
        <w:pStyle w:val="Response-title"/>
      </w:pPr>
      <w:r>
        <w:t>QCS Response:</w:t>
      </w:r>
    </w:p>
    <w:p w14:paraId="6C72CAF5" w14:textId="7DD02785" w:rsidR="00311688" w:rsidRDefault="006E00B8" w:rsidP="006D044F">
      <w:pPr>
        <w:pStyle w:val="Response"/>
      </w:pPr>
      <w:r w:rsidRPr="006E00B8">
        <w:t xml:space="preserve">Should Queensland Health or the </w:t>
      </w:r>
      <w:r w:rsidR="00311688">
        <w:t>Hospital and Health Service wish to implement or amend their policies in light of the proposed review, QCS is willing to engage in necessary discussions to assist the continued safe treatment of prisoners and to improve, promote and support health and wellbeing for those in QCS custody.</w:t>
      </w:r>
      <w:r w:rsidR="00B925AF">
        <w:t xml:space="preserve"> </w:t>
      </w:r>
      <w:r w:rsidR="00311688">
        <w:t>QCS is open to considering any recommendations directed to the agency as a result of the review and agrees to consider updating any operational policies, directives or agreements flowing from the review</w:t>
      </w:r>
    </w:p>
    <w:p w14:paraId="361ACBDF" w14:textId="228F0294" w:rsidR="006F0E75" w:rsidRDefault="00311688" w:rsidP="00B925AF">
      <w:pPr>
        <w:pStyle w:val="Response"/>
      </w:pPr>
      <w:r>
        <w:t xml:space="preserve">QCS is committed to the highest levels of transparency, accountability and integrity. QCS makes its operational practice directives publicly available, subject to any </w:t>
      </w:r>
      <w:r>
        <w:lastRenderedPageBreak/>
        <w:t xml:space="preserve">concerns that the release of the information may pose a risk to the security, safety or good order of facilities or the management of prisoners and offenders. Should any relevant operational practice directives be amended as a result of the proposed review, these will be made publicly available, subject to abovementioned safety, security or management concerns. </w:t>
      </w:r>
      <w:bookmarkEnd w:id="5"/>
      <w:bookmarkEnd w:id="6"/>
    </w:p>
    <w:sectPr w:rsidR="006F0E75" w:rsidSect="003E7ED6">
      <w:headerReference w:type="even" r:id="rId12"/>
      <w:headerReference w:type="default" r:id="rId13"/>
      <w:footerReference w:type="default" r:id="rId14"/>
      <w:headerReference w:type="first" r:id="rId15"/>
      <w:pgSz w:w="11900" w:h="16840" w:code="9"/>
      <w:pgMar w:top="1440" w:right="1701" w:bottom="1361" w:left="1701" w:header="709"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AD50B" w14:textId="77777777" w:rsidR="005F14B1" w:rsidRDefault="005F14B1" w:rsidP="0034134D">
      <w:r>
        <w:separator/>
      </w:r>
    </w:p>
  </w:endnote>
  <w:endnote w:type="continuationSeparator" w:id="0">
    <w:p w14:paraId="4F1A8ACD" w14:textId="77777777" w:rsidR="005F14B1" w:rsidRDefault="005F14B1" w:rsidP="00341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D7772" w14:textId="037FCE5B" w:rsidR="00206ABD" w:rsidRPr="00260847" w:rsidRDefault="00206ABD" w:rsidP="006D0CD6">
    <w:pPr>
      <w:pStyle w:val="Footer"/>
      <w:jc w:val="right"/>
      <w:rPr>
        <w:rFonts w:ascii="Arial" w:hAnsi="Arial" w:cs="Arial"/>
        <w:color w:val="404040" w:themeColor="text1" w:themeTint="BF"/>
        <w:sz w:val="16"/>
        <w:szCs w:val="20"/>
      </w:rPr>
    </w:pPr>
    <w:r w:rsidRPr="00260847">
      <w:rPr>
        <w:rFonts w:ascii="Arial" w:hAnsi="Arial" w:cs="Arial"/>
        <w:noProof/>
        <w:sz w:val="20"/>
        <w:szCs w:val="20"/>
        <w:vertAlign w:val="subscript"/>
        <w:lang w:eastAsia="en-AU"/>
      </w:rPr>
      <w:drawing>
        <wp:inline distT="0" distB="0" distL="0" distR="0" wp14:anchorId="1B760F6F" wp14:editId="1B3AC8CD">
          <wp:extent cx="5296278" cy="465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bar - thin cmyk.png"/>
                  <pic:cNvPicPr/>
                </pic:nvPicPr>
                <pic:blipFill>
                  <a:blip r:embed="rId1">
                    <a:extLst>
                      <a:ext uri="{28A0092B-C50C-407E-A947-70E740481C1C}">
                        <a14:useLocalDpi xmlns:a14="http://schemas.microsoft.com/office/drawing/2010/main" val="0"/>
                      </a:ext>
                    </a:extLst>
                  </a:blip>
                  <a:stretch>
                    <a:fillRect/>
                  </a:stretch>
                </pic:blipFill>
                <pic:spPr>
                  <a:xfrm>
                    <a:off x="0" y="0"/>
                    <a:ext cx="16283241" cy="143135"/>
                  </a:xfrm>
                  <a:prstGeom prst="rect">
                    <a:avLst/>
                  </a:prstGeom>
                </pic:spPr>
              </pic:pic>
            </a:graphicData>
          </a:graphic>
        </wp:inline>
      </w:drawing>
    </w:r>
    <w:r w:rsidRPr="00260847">
      <w:rPr>
        <w:rFonts w:ascii="Arial" w:hAnsi="Arial" w:cs="Arial"/>
        <w:color w:val="404040" w:themeColor="text1" w:themeTint="BF"/>
        <w:sz w:val="16"/>
        <w:szCs w:val="20"/>
      </w:rPr>
      <w:t>Queensland Human Rights Commission | www.qhrc.qld.gov.au</w:t>
    </w:r>
    <w:r>
      <w:rPr>
        <w:rFonts w:ascii="Arial" w:hAnsi="Arial" w:cs="Arial"/>
        <w:color w:val="404040" w:themeColor="text1" w:themeTint="BF"/>
        <w:sz w:val="16"/>
        <w:szCs w:val="20"/>
      </w:rPr>
      <w:tab/>
    </w:r>
    <w:r w:rsidRPr="00260847">
      <w:rPr>
        <w:rFonts w:ascii="Arial" w:hAnsi="Arial" w:cs="Arial"/>
        <w:color w:val="404040" w:themeColor="text1" w:themeTint="BF"/>
        <w:sz w:val="16"/>
        <w:szCs w:val="20"/>
      </w:rPr>
      <w:tab/>
    </w:r>
    <w:r w:rsidRPr="00260847">
      <w:rPr>
        <w:rFonts w:ascii="Arial" w:hAnsi="Arial" w:cs="Arial"/>
        <w:color w:val="404040" w:themeColor="text1" w:themeTint="BF"/>
        <w:sz w:val="16"/>
        <w:szCs w:val="20"/>
      </w:rPr>
      <w:fldChar w:fldCharType="begin"/>
    </w:r>
    <w:r w:rsidRPr="00260847">
      <w:rPr>
        <w:rFonts w:ascii="Arial" w:hAnsi="Arial" w:cs="Arial"/>
        <w:color w:val="404040" w:themeColor="text1" w:themeTint="BF"/>
        <w:sz w:val="16"/>
        <w:szCs w:val="20"/>
      </w:rPr>
      <w:instrText xml:space="preserve"> PAGE   \* MERGEFORMAT </w:instrText>
    </w:r>
    <w:r w:rsidRPr="00260847">
      <w:rPr>
        <w:rFonts w:ascii="Arial" w:hAnsi="Arial" w:cs="Arial"/>
        <w:color w:val="404040" w:themeColor="text1" w:themeTint="BF"/>
        <w:sz w:val="16"/>
        <w:szCs w:val="20"/>
      </w:rPr>
      <w:fldChar w:fldCharType="separate"/>
    </w:r>
    <w:r>
      <w:rPr>
        <w:rFonts w:ascii="Arial" w:hAnsi="Arial" w:cs="Arial"/>
        <w:noProof/>
        <w:color w:val="404040" w:themeColor="text1" w:themeTint="BF"/>
        <w:sz w:val="16"/>
        <w:szCs w:val="20"/>
      </w:rPr>
      <w:t>1</w:t>
    </w:r>
    <w:r w:rsidRPr="00260847">
      <w:rPr>
        <w:rFonts w:ascii="Arial" w:hAnsi="Arial" w:cs="Arial"/>
        <w:noProof/>
        <w:color w:val="404040" w:themeColor="text1" w:themeTint="BF"/>
        <w:sz w:val="16"/>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013FD" w14:textId="6DC46D79" w:rsidR="00206ABD" w:rsidRPr="00260847" w:rsidRDefault="00206ABD" w:rsidP="006D0CD6">
    <w:pPr>
      <w:pStyle w:val="Footer"/>
      <w:jc w:val="right"/>
      <w:rPr>
        <w:rFonts w:ascii="Arial" w:hAnsi="Arial" w:cs="Arial"/>
        <w:color w:val="404040" w:themeColor="text1" w:themeTint="BF"/>
        <w:sz w:val="16"/>
        <w:szCs w:val="20"/>
      </w:rPr>
    </w:pPr>
    <w:r w:rsidRPr="00260847">
      <w:rPr>
        <w:rFonts w:ascii="Arial" w:hAnsi="Arial" w:cs="Arial"/>
        <w:noProof/>
        <w:sz w:val="20"/>
        <w:szCs w:val="20"/>
        <w:vertAlign w:val="subscript"/>
        <w:lang w:eastAsia="en-AU"/>
      </w:rPr>
      <w:drawing>
        <wp:inline distT="0" distB="0" distL="0" distR="0" wp14:anchorId="69BBB4B6" wp14:editId="78523B56">
          <wp:extent cx="5429250" cy="47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bar - thin cmyk.png"/>
                  <pic:cNvPicPr/>
                </pic:nvPicPr>
                <pic:blipFill>
                  <a:blip r:embed="rId1">
                    <a:extLst>
                      <a:ext uri="{28A0092B-C50C-407E-A947-70E740481C1C}">
                        <a14:useLocalDpi xmlns:a14="http://schemas.microsoft.com/office/drawing/2010/main" val="0"/>
                      </a:ext>
                    </a:extLst>
                  </a:blip>
                  <a:stretch>
                    <a:fillRect/>
                  </a:stretch>
                </pic:blipFill>
                <pic:spPr>
                  <a:xfrm>
                    <a:off x="0" y="0"/>
                    <a:ext cx="18752088" cy="164837"/>
                  </a:xfrm>
                  <a:prstGeom prst="rect">
                    <a:avLst/>
                  </a:prstGeom>
                </pic:spPr>
              </pic:pic>
            </a:graphicData>
          </a:graphic>
        </wp:inline>
      </w:drawing>
    </w:r>
    <w:r w:rsidRPr="00260847">
      <w:rPr>
        <w:rFonts w:ascii="Arial" w:hAnsi="Arial" w:cs="Arial"/>
        <w:color w:val="404040" w:themeColor="text1" w:themeTint="BF"/>
        <w:sz w:val="16"/>
        <w:szCs w:val="20"/>
      </w:rPr>
      <w:t>Queensland Human Rights Commission | www.qhrc.qld.gov.au</w:t>
    </w:r>
    <w:r>
      <w:rPr>
        <w:rFonts w:ascii="Arial" w:hAnsi="Arial" w:cs="Arial"/>
        <w:color w:val="404040" w:themeColor="text1" w:themeTint="BF"/>
        <w:sz w:val="16"/>
        <w:szCs w:val="20"/>
      </w:rPr>
      <w:tab/>
    </w:r>
    <w:r w:rsidRPr="00260847">
      <w:rPr>
        <w:rFonts w:ascii="Arial" w:hAnsi="Arial" w:cs="Arial"/>
        <w:color w:val="404040" w:themeColor="text1" w:themeTint="BF"/>
        <w:sz w:val="16"/>
        <w:szCs w:val="20"/>
      </w:rPr>
      <w:tab/>
    </w:r>
    <w:r w:rsidRPr="00260847">
      <w:rPr>
        <w:rFonts w:ascii="Arial" w:hAnsi="Arial" w:cs="Arial"/>
        <w:color w:val="404040" w:themeColor="text1" w:themeTint="BF"/>
        <w:sz w:val="16"/>
        <w:szCs w:val="20"/>
      </w:rPr>
      <w:fldChar w:fldCharType="begin"/>
    </w:r>
    <w:r w:rsidRPr="00260847">
      <w:rPr>
        <w:rFonts w:ascii="Arial" w:hAnsi="Arial" w:cs="Arial"/>
        <w:color w:val="404040" w:themeColor="text1" w:themeTint="BF"/>
        <w:sz w:val="16"/>
        <w:szCs w:val="20"/>
      </w:rPr>
      <w:instrText xml:space="preserve"> PAGE   \* MERGEFORMAT </w:instrText>
    </w:r>
    <w:r w:rsidRPr="00260847">
      <w:rPr>
        <w:rFonts w:ascii="Arial" w:hAnsi="Arial" w:cs="Arial"/>
        <w:color w:val="404040" w:themeColor="text1" w:themeTint="BF"/>
        <w:sz w:val="16"/>
        <w:szCs w:val="20"/>
      </w:rPr>
      <w:fldChar w:fldCharType="separate"/>
    </w:r>
    <w:r w:rsidR="009706AF">
      <w:rPr>
        <w:rFonts w:ascii="Arial" w:hAnsi="Arial" w:cs="Arial"/>
        <w:noProof/>
        <w:color w:val="404040" w:themeColor="text1" w:themeTint="BF"/>
        <w:sz w:val="16"/>
        <w:szCs w:val="20"/>
      </w:rPr>
      <w:t>1</w:t>
    </w:r>
    <w:r w:rsidRPr="00260847">
      <w:rPr>
        <w:rFonts w:ascii="Arial" w:hAnsi="Arial" w:cs="Arial"/>
        <w:noProof/>
        <w:color w:val="404040" w:themeColor="text1" w:themeTint="BF"/>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12D10" w14:textId="77777777" w:rsidR="005F14B1" w:rsidRDefault="005F14B1" w:rsidP="0034134D">
      <w:r>
        <w:separator/>
      </w:r>
    </w:p>
  </w:footnote>
  <w:footnote w:type="continuationSeparator" w:id="0">
    <w:p w14:paraId="0124B961" w14:textId="77777777" w:rsidR="005F14B1" w:rsidRDefault="005F14B1" w:rsidP="0034134D">
      <w:r>
        <w:continuationSeparator/>
      </w:r>
    </w:p>
  </w:footnote>
  <w:footnote w:id="1">
    <w:p w14:paraId="71D2843F" w14:textId="5A7FAA53" w:rsidR="00596F9E" w:rsidRPr="00596F9E" w:rsidRDefault="00596F9E">
      <w:pPr>
        <w:pStyle w:val="FootnoteText"/>
        <w:rPr>
          <w:lang w:val="en-US"/>
        </w:rPr>
      </w:pPr>
      <w:r>
        <w:rPr>
          <w:rStyle w:val="FootnoteReference"/>
        </w:rPr>
        <w:footnoteRef/>
      </w:r>
      <w:r>
        <w:t xml:space="preserve"> </w:t>
      </w:r>
      <w:r w:rsidR="004A6CD9" w:rsidRPr="004A6CD9">
        <w:rPr>
          <w:i/>
          <w:iCs/>
          <w:lang w:val="en-US"/>
        </w:rPr>
        <w:t>Corrective Services Act 2006</w:t>
      </w:r>
      <w:r w:rsidR="003538FA">
        <w:rPr>
          <w:i/>
          <w:iCs/>
          <w:lang w:val="en-US"/>
        </w:rPr>
        <w:t xml:space="preserve"> </w:t>
      </w:r>
      <w:r w:rsidR="003538FA">
        <w:t xml:space="preserve">(Qld) </w:t>
      </w:r>
      <w:r w:rsidR="00936F25">
        <w:rPr>
          <w:lang w:val="en-US"/>
        </w:rPr>
        <w:t>s 3.</w:t>
      </w:r>
      <w:r w:rsidR="004A6CD9">
        <w:rPr>
          <w:lang w:val="en-US"/>
        </w:rPr>
        <w:t xml:space="preserve"> </w:t>
      </w:r>
      <w:r w:rsidR="00257F6C">
        <w:rPr>
          <w:lang w:val="en-US"/>
        </w:rPr>
        <w:t xml:space="preserve">See also </w:t>
      </w:r>
      <w:r w:rsidR="004A6CD9">
        <w:rPr>
          <w:i/>
          <w:iCs/>
          <w:lang w:val="en-US"/>
        </w:rPr>
        <w:t xml:space="preserve">Memorandum of Understanding (Prisoner Health Services) between State of Queensland acting through Queensland Health and State of Queensland acting through Queensland Corrective Services </w:t>
      </w:r>
      <w:r w:rsidR="004A6CD9">
        <w:rPr>
          <w:lang w:val="en-US"/>
        </w:rPr>
        <w:t>&lt;</w:t>
      </w:r>
      <w:hyperlink r:id="rId1" w:history="1">
        <w:r w:rsidR="004A6CD9" w:rsidRPr="00844BE0">
          <w:rPr>
            <w:rStyle w:val="Hyperlink"/>
            <w:lang w:val="en-US"/>
          </w:rPr>
          <w:t>https://clinicalexcellence.qld.gov.au/sites/default/files/docs/priority-area/service-improvement/offender-health-project/prisoner-health-service-mou.pdf</w:t>
        </w:r>
      </w:hyperlink>
      <w:r w:rsidR="004A6CD9">
        <w:rPr>
          <w:lang w:val="en-US"/>
        </w:rPr>
        <w:t>&gt;</w:t>
      </w:r>
      <w:r>
        <w:rPr>
          <w:lang w:val="en-US"/>
        </w:rPr>
        <w:t xml:space="preserve"> </w:t>
      </w:r>
    </w:p>
  </w:footnote>
  <w:footnote w:id="2">
    <w:p w14:paraId="53CD00AC" w14:textId="189E5E4C" w:rsidR="006709E3" w:rsidRPr="00E2563D" w:rsidRDefault="006709E3">
      <w:pPr>
        <w:pStyle w:val="FootnoteText"/>
        <w:rPr>
          <w:lang w:val="en-US"/>
        </w:rPr>
      </w:pPr>
      <w:r>
        <w:rPr>
          <w:rStyle w:val="FootnoteReference"/>
        </w:rPr>
        <w:footnoteRef/>
      </w:r>
      <w:r>
        <w:t xml:space="preserve"> </w:t>
      </w:r>
      <w:r w:rsidR="00E2563D">
        <w:t xml:space="preserve">Queensland Health (Office for Prisoner Health and Wellbeing), </w:t>
      </w:r>
      <w:r w:rsidR="00E2563D" w:rsidRPr="006B3458">
        <w:rPr>
          <w:i/>
          <w:iCs/>
        </w:rPr>
        <w:t>Prisoner Health Services factsheet</w:t>
      </w:r>
      <w:r w:rsidR="00E2563D">
        <w:rPr>
          <w:i/>
          <w:iCs/>
        </w:rPr>
        <w:t xml:space="preserve"> </w:t>
      </w:r>
      <w:r w:rsidR="00E2563D" w:rsidRPr="006B3458">
        <w:t xml:space="preserve">(Web </w:t>
      </w:r>
      <w:r w:rsidR="00E2563D">
        <w:t>P</w:t>
      </w:r>
      <w:r w:rsidR="00E2563D" w:rsidRPr="006B3458">
        <w:t>age)</w:t>
      </w:r>
      <w:r w:rsidR="00E2563D">
        <w:t xml:space="preserve"> &lt;</w:t>
      </w:r>
      <w:r w:rsidR="00E2563D" w:rsidRPr="00E2563D">
        <w:t>https://clinicalexcellence.qld.gov.au/sites/default/files/docs/about-us/what-we-do/office-prisoner-health-and-wellbeing/phs-factsheet.pdf</w:t>
      </w:r>
      <w:r w:rsidR="00E2563D">
        <w:t>&gt;</w:t>
      </w:r>
    </w:p>
  </w:footnote>
  <w:footnote w:id="3">
    <w:p w14:paraId="48D46C64" w14:textId="12FE3C51" w:rsidR="007774EA" w:rsidRPr="007774EA" w:rsidRDefault="007774EA">
      <w:pPr>
        <w:pStyle w:val="FootnoteText"/>
        <w:rPr>
          <w:lang w:val="en-US"/>
        </w:rPr>
      </w:pPr>
      <w:r>
        <w:rPr>
          <w:rStyle w:val="FootnoteReference"/>
        </w:rPr>
        <w:footnoteRef/>
      </w:r>
      <w:r>
        <w:t xml:space="preserve"> </w:t>
      </w:r>
      <w:r w:rsidR="004A6CD9" w:rsidRPr="004A6CD9">
        <w:rPr>
          <w:i/>
          <w:iCs/>
          <w:lang w:val="en-US"/>
        </w:rPr>
        <w:t>Corrective Services Act 2006</w:t>
      </w:r>
      <w:r w:rsidR="003538FA">
        <w:rPr>
          <w:i/>
          <w:iCs/>
          <w:lang w:val="en-US"/>
        </w:rPr>
        <w:t xml:space="preserve"> </w:t>
      </w:r>
      <w:r w:rsidR="003538FA">
        <w:t xml:space="preserve">(Qld) </w:t>
      </w:r>
      <w:r w:rsidR="004A6CD9">
        <w:rPr>
          <w:lang w:val="en-US"/>
        </w:rPr>
        <w:t xml:space="preserve">s </w:t>
      </w:r>
      <w:r w:rsidR="003538FA">
        <w:rPr>
          <w:lang w:val="en-US"/>
        </w:rPr>
        <w:t>8</w:t>
      </w:r>
      <w:r w:rsidR="00936F25">
        <w:rPr>
          <w:lang w:val="en-US"/>
        </w:rPr>
        <w:t>. See also the</w:t>
      </w:r>
      <w:r>
        <w:rPr>
          <w:lang w:val="en-US"/>
        </w:rPr>
        <w:t xml:space="preserve"> OPM Issue 91, effective 9 December 2022, Chapter 16</w:t>
      </w:r>
      <w:r w:rsidR="00C4005F">
        <w:rPr>
          <w:lang w:val="en-US"/>
        </w:rPr>
        <w:t xml:space="preserve"> &lt;</w:t>
      </w:r>
      <w:r w:rsidRPr="007774EA">
        <w:rPr>
          <w:lang w:val="en-US"/>
        </w:rPr>
        <w:t>https://www.police.qld.gov.au/sites/default/files/2022-12/OPM-ch.16-Custody_0.pdf</w:t>
      </w:r>
      <w:r w:rsidR="00C4005F">
        <w:rPr>
          <w:lang w:val="en-US"/>
        </w:rPr>
        <w:t>&gt;</w:t>
      </w:r>
    </w:p>
  </w:footnote>
  <w:footnote w:id="4">
    <w:p w14:paraId="5C39E9B0" w14:textId="605CA026" w:rsidR="00936F25" w:rsidRPr="004F1FD7" w:rsidRDefault="00936F25">
      <w:pPr>
        <w:pStyle w:val="FootnoteText"/>
        <w:rPr>
          <w:lang w:val="en-US"/>
        </w:rPr>
      </w:pPr>
      <w:r>
        <w:rPr>
          <w:rStyle w:val="FootnoteReference"/>
        </w:rPr>
        <w:footnoteRef/>
      </w:r>
      <w:r>
        <w:t xml:space="preserve"> </w:t>
      </w:r>
      <w:r w:rsidRPr="003538FA">
        <w:rPr>
          <w:lang w:val="en-US"/>
        </w:rPr>
        <w:t xml:space="preserve">Diversion is </w:t>
      </w:r>
      <w:r w:rsidR="003538FA" w:rsidRPr="003538FA">
        <w:rPr>
          <w:lang w:val="en-US"/>
        </w:rPr>
        <w:t>the practice of a prisoner</w:t>
      </w:r>
      <w:r w:rsidR="003538FA">
        <w:rPr>
          <w:lang w:val="en-US"/>
        </w:rPr>
        <w:t xml:space="preserve"> secretly </w:t>
      </w:r>
      <w:r w:rsidR="003538FA" w:rsidRPr="003538FA">
        <w:rPr>
          <w:lang w:val="en-US"/>
        </w:rPr>
        <w:t>giving their prescription medication to another prisoner</w:t>
      </w:r>
      <w:r w:rsidR="003538FA">
        <w:rPr>
          <w:lang w:val="en-US"/>
        </w:rPr>
        <w:t xml:space="preserve">. </w:t>
      </w:r>
    </w:p>
  </w:footnote>
  <w:footnote w:id="5">
    <w:p w14:paraId="27F74763" w14:textId="77777777" w:rsidR="00A62B17" w:rsidRPr="00F309DC" w:rsidRDefault="00A62B17" w:rsidP="00A62B17">
      <w:pPr>
        <w:pStyle w:val="FootnoteText"/>
        <w:rPr>
          <w:lang w:val="en-US"/>
        </w:rPr>
      </w:pPr>
      <w:r>
        <w:rPr>
          <w:rStyle w:val="FootnoteReference"/>
        </w:rPr>
        <w:footnoteRef/>
      </w:r>
      <w:r>
        <w:t xml:space="preserve"> </w:t>
      </w:r>
      <w:r w:rsidRPr="00195845">
        <w:rPr>
          <w:i/>
          <w:iCs/>
        </w:rPr>
        <w:t>Human Rights Act 2019</w:t>
      </w:r>
      <w:r>
        <w:t xml:space="preserve"> (Qld) s 58(1).</w:t>
      </w:r>
    </w:p>
  </w:footnote>
  <w:footnote w:id="6">
    <w:p w14:paraId="5ABB2085" w14:textId="4E8661A1" w:rsidR="00161BFE" w:rsidRPr="00161BFE" w:rsidRDefault="00161BFE">
      <w:pPr>
        <w:pStyle w:val="FootnoteText"/>
        <w:rPr>
          <w:lang w:val="en-US"/>
        </w:rPr>
      </w:pPr>
      <w:r>
        <w:rPr>
          <w:rStyle w:val="FootnoteReference"/>
        </w:rPr>
        <w:footnoteRef/>
      </w:r>
      <w:r>
        <w:t xml:space="preserve"> </w:t>
      </w:r>
      <w:r w:rsidRPr="00BE0659">
        <w:rPr>
          <w:i/>
          <w:iCs/>
        </w:rPr>
        <w:t>Human Rights Act</w:t>
      </w:r>
      <w:r w:rsidRPr="00161BFE">
        <w:t xml:space="preserve"> 2019 (Qld) ss 8 and 13</w:t>
      </w:r>
    </w:p>
  </w:footnote>
  <w:footnote w:id="7">
    <w:p w14:paraId="5A156943" w14:textId="4B71D6D4" w:rsidR="00D11560" w:rsidRPr="00043551" w:rsidRDefault="00D11560">
      <w:pPr>
        <w:pStyle w:val="FootnoteText"/>
        <w:rPr>
          <w:lang w:val="en-US"/>
        </w:rPr>
      </w:pPr>
      <w:r>
        <w:rPr>
          <w:rStyle w:val="FootnoteReference"/>
        </w:rPr>
        <w:footnoteRef/>
      </w:r>
      <w:r>
        <w:t xml:space="preserve"> </w:t>
      </w:r>
      <w:r w:rsidRPr="00BE0659">
        <w:rPr>
          <w:i/>
          <w:iCs/>
        </w:rPr>
        <w:t>Human Rights Act</w:t>
      </w:r>
      <w:r w:rsidRPr="00161BFE">
        <w:t xml:space="preserve"> 2019 (Qld) </w:t>
      </w:r>
      <w:r>
        <w:t>s 30.</w:t>
      </w:r>
    </w:p>
  </w:footnote>
  <w:footnote w:id="8">
    <w:p w14:paraId="34585E92" w14:textId="6DFC921E" w:rsidR="000452F8" w:rsidRPr="007A275A" w:rsidRDefault="000452F8" w:rsidP="000452F8">
      <w:pPr>
        <w:pStyle w:val="FootnoteText"/>
        <w:rPr>
          <w:lang w:val="en-US"/>
        </w:rPr>
      </w:pPr>
      <w:r>
        <w:rPr>
          <w:rStyle w:val="FootnoteReference"/>
        </w:rPr>
        <w:footnoteRef/>
      </w:r>
      <w:r>
        <w:t xml:space="preserve"> </w:t>
      </w:r>
      <w:r w:rsidRPr="00E44790">
        <w:rPr>
          <w:i/>
          <w:lang w:val="en-US"/>
        </w:rPr>
        <w:t>Human Rights Act 2019</w:t>
      </w:r>
      <w:r w:rsidR="003538FA">
        <w:rPr>
          <w:i/>
          <w:lang w:val="en-US"/>
        </w:rPr>
        <w:t xml:space="preserve"> </w:t>
      </w:r>
      <w:r w:rsidR="003538FA">
        <w:t xml:space="preserve">(Qld) </w:t>
      </w:r>
      <w:r>
        <w:rPr>
          <w:lang w:val="en-US"/>
        </w:rPr>
        <w:t xml:space="preserve"> s 17.</w:t>
      </w:r>
    </w:p>
  </w:footnote>
  <w:footnote w:id="9">
    <w:p w14:paraId="3D30CE99" w14:textId="77777777" w:rsidR="000452F8" w:rsidRPr="007A275A" w:rsidRDefault="000452F8" w:rsidP="000452F8">
      <w:pPr>
        <w:pStyle w:val="FootnoteText"/>
        <w:rPr>
          <w:lang w:val="en-US"/>
        </w:rPr>
      </w:pPr>
      <w:r>
        <w:rPr>
          <w:rStyle w:val="FootnoteReference"/>
        </w:rPr>
        <w:footnoteRef/>
      </w:r>
      <w:r>
        <w:t xml:space="preserve"> </w:t>
      </w:r>
      <w:r w:rsidRPr="00E44790">
        <w:rPr>
          <w:i/>
        </w:rPr>
        <w:t>Castles v Secretary to the Department of Justice</w:t>
      </w:r>
      <w:r w:rsidRPr="007A275A">
        <w:t xml:space="preserve"> (2010)</w:t>
      </w:r>
      <w:r>
        <w:t xml:space="preserve"> 28 VR 141; [2010] VSC 310 [99].</w:t>
      </w:r>
    </w:p>
  </w:footnote>
  <w:footnote w:id="10">
    <w:p w14:paraId="7A0BD0D1" w14:textId="77777777" w:rsidR="00951731" w:rsidRPr="007E12B7" w:rsidRDefault="00951731" w:rsidP="00951731">
      <w:pPr>
        <w:pStyle w:val="FootnoteText"/>
        <w:rPr>
          <w:i/>
        </w:rPr>
      </w:pPr>
      <w:r>
        <w:rPr>
          <w:rStyle w:val="FootnoteReference"/>
        </w:rPr>
        <w:footnoteRef/>
      </w:r>
      <w:r>
        <w:t xml:space="preserve"> </w:t>
      </w:r>
      <w:r w:rsidRPr="00E8717C">
        <w:t>United Nations</w:t>
      </w:r>
      <w:r>
        <w:t>,</w:t>
      </w:r>
      <w:r w:rsidRPr="007E12B7">
        <w:rPr>
          <w:i/>
        </w:rPr>
        <w:t xml:space="preserve"> Standard Minimum Rules for the Treatment of Prisoners</w:t>
      </w:r>
      <w:r>
        <w:t xml:space="preserve"> (30 August 1955)</w:t>
      </w:r>
      <w:r w:rsidRPr="00E8717C">
        <w:t xml:space="preserve">; </w:t>
      </w:r>
      <w:r w:rsidRPr="007E12B7">
        <w:rPr>
          <w:i/>
        </w:rPr>
        <w:t>United Nations Standard Minimum Rules for the Treatment of Prisoners (the Nelson</w:t>
      </w:r>
    </w:p>
    <w:p w14:paraId="3256D312" w14:textId="77777777" w:rsidR="00951731" w:rsidRDefault="00951731" w:rsidP="00951731">
      <w:pPr>
        <w:pStyle w:val="FootnoteText"/>
      </w:pPr>
      <w:r w:rsidRPr="007E12B7">
        <w:rPr>
          <w:i/>
        </w:rPr>
        <w:t xml:space="preserve">Mandela Rules), </w:t>
      </w:r>
      <w:r w:rsidRPr="00E8717C">
        <w:t>GA Res 70/175, UN Doc A/RES/70/175 (17 December 2015)</w:t>
      </w:r>
    </w:p>
  </w:footnote>
  <w:footnote w:id="11">
    <w:p w14:paraId="61433EA3" w14:textId="55D17DCF" w:rsidR="00ED60B9" w:rsidRPr="00ED60B9" w:rsidRDefault="00ED60B9">
      <w:pPr>
        <w:pStyle w:val="FootnoteText"/>
        <w:rPr>
          <w:lang w:val="en-US"/>
        </w:rPr>
      </w:pPr>
      <w:r>
        <w:rPr>
          <w:rStyle w:val="FootnoteReference"/>
        </w:rPr>
        <w:footnoteRef/>
      </w:r>
      <w:r>
        <w:t xml:space="preserve"> </w:t>
      </w:r>
      <w:r>
        <w:rPr>
          <w:lang w:val="en-US"/>
        </w:rPr>
        <w:t xml:space="preserve">This is also included in principle 41.4 of the </w:t>
      </w:r>
      <w:r>
        <w:rPr>
          <w:i/>
          <w:iCs/>
          <w:lang w:val="en-US"/>
        </w:rPr>
        <w:t xml:space="preserve">Guiding Principles for Corrections in Australia, </w:t>
      </w:r>
    </w:p>
  </w:footnote>
  <w:footnote w:id="12">
    <w:p w14:paraId="0130A3C2" w14:textId="4A9CBBC1" w:rsidR="00C23415" w:rsidRPr="006B3458" w:rsidRDefault="00C23415">
      <w:pPr>
        <w:pStyle w:val="FootnoteText"/>
        <w:rPr>
          <w:lang w:val="en-US"/>
        </w:rPr>
      </w:pPr>
      <w:r>
        <w:rPr>
          <w:rStyle w:val="FootnoteReference"/>
        </w:rPr>
        <w:footnoteRef/>
      </w:r>
      <w:r>
        <w:t xml:space="preserve"> </w:t>
      </w:r>
      <w:r w:rsidR="00F548A6">
        <w:t xml:space="preserve">Queensland Health, </w:t>
      </w:r>
      <w:r w:rsidR="00F548A6" w:rsidRPr="00F548A6">
        <w:rPr>
          <w:i/>
          <w:iCs/>
        </w:rPr>
        <w:t>Medication formulary and prescribing practices for prison health services</w:t>
      </w:r>
      <w:r w:rsidR="00F548A6">
        <w:t>, Guideline number: QH-GDL-501:2022 (7 November 2022) &lt;</w:t>
      </w:r>
      <w:r w:rsidRPr="00C23415">
        <w:t>https://www.health.qld.gov.au/system-governance/policies-standards/guidelines/medication-formulary-and-prescribing-practices-for-prison-health-services</w:t>
      </w:r>
      <w:r w:rsidR="00F548A6">
        <w:t>&gt;</w:t>
      </w:r>
    </w:p>
  </w:footnote>
  <w:footnote w:id="13">
    <w:p w14:paraId="795E3341" w14:textId="77777777" w:rsidR="00A4740E" w:rsidRPr="00442DE3" w:rsidRDefault="00A4740E" w:rsidP="00A4740E">
      <w:pPr>
        <w:pStyle w:val="FootnoteText"/>
        <w:rPr>
          <w:lang w:val="en-US"/>
        </w:rPr>
      </w:pPr>
      <w:r>
        <w:rPr>
          <w:rStyle w:val="FootnoteReference"/>
        </w:rPr>
        <w:footnoteRef/>
      </w:r>
      <w:r>
        <w:t xml:space="preserve"> </w:t>
      </w:r>
      <w:r w:rsidRPr="004A6CD9">
        <w:rPr>
          <w:i/>
          <w:iCs/>
          <w:lang w:val="en-US"/>
        </w:rPr>
        <w:t>Corrective Services Act 2006</w:t>
      </w:r>
      <w:r>
        <w:rPr>
          <w:i/>
          <w:iCs/>
          <w:lang w:val="en-US"/>
        </w:rPr>
        <w:t xml:space="preserve"> </w:t>
      </w:r>
      <w:r>
        <w:t>(Qld) Chapter 3 and</w:t>
      </w:r>
      <w:r>
        <w:rPr>
          <w:lang w:val="en-US"/>
        </w:rPr>
        <w:t xml:space="preserve"> Queensland Corrective Services, </w:t>
      </w:r>
      <w:r>
        <w:rPr>
          <w:i/>
          <w:iCs/>
          <w:lang w:val="en-US"/>
        </w:rPr>
        <w:t xml:space="preserve">Custodial Operations Practice Directive: Breaches of Discipline </w:t>
      </w:r>
      <w:r>
        <w:rPr>
          <w:lang w:val="en-US"/>
        </w:rPr>
        <w:t xml:space="preserve">(19 May 2022).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FD982" w14:textId="11FAEF53" w:rsidR="00206ABD" w:rsidRDefault="00206ABD" w:rsidP="00260847">
    <w:pPr>
      <w:pStyle w:val="Header"/>
      <w:tabs>
        <w:tab w:val="clear" w:pos="4513"/>
        <w:tab w:val="clear" w:pos="9026"/>
      </w:tabs>
      <w:spacing w:before="240"/>
    </w:pPr>
  </w:p>
  <w:p w14:paraId="551812FD" w14:textId="77777777" w:rsidR="00206ABD" w:rsidRDefault="00206A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784EA" w14:textId="424DE1B9" w:rsidR="00FF6593" w:rsidRDefault="00FF65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F32BF" w14:textId="40D946C1" w:rsidR="00FF6593" w:rsidRDefault="00FF65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E646B" w14:textId="59378749" w:rsidR="00FF6593" w:rsidRDefault="00FF65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3A0F"/>
    <w:multiLevelType w:val="hybridMultilevel"/>
    <w:tmpl w:val="2C983D0C"/>
    <w:lvl w:ilvl="0" w:tplc="FA3A4DC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1B071CC"/>
    <w:multiLevelType w:val="hybridMultilevel"/>
    <w:tmpl w:val="F8E04742"/>
    <w:lvl w:ilvl="0" w:tplc="D090DF3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68D6E33"/>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250E7E"/>
    <w:multiLevelType w:val="multilevel"/>
    <w:tmpl w:val="DB98F65C"/>
    <w:lvl w:ilvl="0">
      <w:start w:val="1"/>
      <w:numFmt w:val="decimal"/>
      <w:pStyle w:val="Numberedparagraph"/>
      <w:lvlText w:val="%1."/>
      <w:lvlJc w:val="left"/>
      <w:pPr>
        <w:ind w:left="1702" w:hanging="567"/>
      </w:pPr>
      <w:rPr>
        <w:rFonts w:hint="default"/>
      </w:rPr>
    </w:lvl>
    <w:lvl w:ilvl="1">
      <w:start w:val="1"/>
      <w:numFmt w:val="lowerLetter"/>
      <w:pStyle w:val="Subrec"/>
      <w:lvlText w:val="%2)"/>
      <w:lvlJc w:val="left"/>
      <w:pPr>
        <w:ind w:left="984" w:hanging="360"/>
      </w:pPr>
      <w:rPr>
        <w:color w:val="auto"/>
      </w:rPr>
    </w:lvl>
    <w:lvl w:ilvl="2">
      <w:start w:val="1"/>
      <w:numFmt w:val="lowerRoman"/>
      <w:lvlText w:val="%3."/>
      <w:lvlJc w:val="right"/>
      <w:pPr>
        <w:ind w:left="1494" w:hanging="360"/>
      </w:p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4" w15:restartNumberingAfterBreak="0">
    <w:nsid w:val="106B1BD5"/>
    <w:multiLevelType w:val="hybridMultilevel"/>
    <w:tmpl w:val="E3364920"/>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5" w15:restartNumberingAfterBreak="0">
    <w:nsid w:val="11C02A69"/>
    <w:multiLevelType w:val="hybridMultilevel"/>
    <w:tmpl w:val="C1D2501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21B4D1D"/>
    <w:multiLevelType w:val="hybridMultilevel"/>
    <w:tmpl w:val="88CA5896"/>
    <w:lvl w:ilvl="0" w:tplc="FFFFFFFF">
      <w:start w:val="1"/>
      <w:numFmt w:val="lowerLetter"/>
      <w:lvlText w:val="%1."/>
      <w:lvlJc w:val="left"/>
      <w:pPr>
        <w:ind w:left="720" w:hanging="360"/>
      </w:pPr>
      <w:rPr>
        <w:rFonts w:ascii="Arial" w:eastAsiaTheme="minorEastAsia"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1E214F6"/>
    <w:multiLevelType w:val="hybridMultilevel"/>
    <w:tmpl w:val="B208861E"/>
    <w:lvl w:ilvl="0" w:tplc="0C090001">
      <w:start w:val="1"/>
      <w:numFmt w:val="bullet"/>
      <w:lvlText w:val=""/>
      <w:lvlJc w:val="left"/>
      <w:pPr>
        <w:ind w:left="1627" w:hanging="360"/>
      </w:pPr>
      <w:rPr>
        <w:rFonts w:ascii="Symbol" w:hAnsi="Symbol" w:hint="default"/>
      </w:rPr>
    </w:lvl>
    <w:lvl w:ilvl="1" w:tplc="0C090003" w:tentative="1">
      <w:start w:val="1"/>
      <w:numFmt w:val="bullet"/>
      <w:lvlText w:val="o"/>
      <w:lvlJc w:val="left"/>
      <w:pPr>
        <w:ind w:left="2347" w:hanging="360"/>
      </w:pPr>
      <w:rPr>
        <w:rFonts w:ascii="Courier New" w:hAnsi="Courier New" w:cs="Courier New" w:hint="default"/>
      </w:rPr>
    </w:lvl>
    <w:lvl w:ilvl="2" w:tplc="0C090005" w:tentative="1">
      <w:start w:val="1"/>
      <w:numFmt w:val="bullet"/>
      <w:lvlText w:val=""/>
      <w:lvlJc w:val="left"/>
      <w:pPr>
        <w:ind w:left="3067" w:hanging="360"/>
      </w:pPr>
      <w:rPr>
        <w:rFonts w:ascii="Wingdings" w:hAnsi="Wingdings" w:hint="default"/>
      </w:rPr>
    </w:lvl>
    <w:lvl w:ilvl="3" w:tplc="0C090001" w:tentative="1">
      <w:start w:val="1"/>
      <w:numFmt w:val="bullet"/>
      <w:lvlText w:val=""/>
      <w:lvlJc w:val="left"/>
      <w:pPr>
        <w:ind w:left="3787" w:hanging="360"/>
      </w:pPr>
      <w:rPr>
        <w:rFonts w:ascii="Symbol" w:hAnsi="Symbol" w:hint="default"/>
      </w:rPr>
    </w:lvl>
    <w:lvl w:ilvl="4" w:tplc="0C090003" w:tentative="1">
      <w:start w:val="1"/>
      <w:numFmt w:val="bullet"/>
      <w:lvlText w:val="o"/>
      <w:lvlJc w:val="left"/>
      <w:pPr>
        <w:ind w:left="4507" w:hanging="360"/>
      </w:pPr>
      <w:rPr>
        <w:rFonts w:ascii="Courier New" w:hAnsi="Courier New" w:cs="Courier New" w:hint="default"/>
      </w:rPr>
    </w:lvl>
    <w:lvl w:ilvl="5" w:tplc="0C090005" w:tentative="1">
      <w:start w:val="1"/>
      <w:numFmt w:val="bullet"/>
      <w:lvlText w:val=""/>
      <w:lvlJc w:val="left"/>
      <w:pPr>
        <w:ind w:left="5227" w:hanging="360"/>
      </w:pPr>
      <w:rPr>
        <w:rFonts w:ascii="Wingdings" w:hAnsi="Wingdings" w:hint="default"/>
      </w:rPr>
    </w:lvl>
    <w:lvl w:ilvl="6" w:tplc="0C090001" w:tentative="1">
      <w:start w:val="1"/>
      <w:numFmt w:val="bullet"/>
      <w:lvlText w:val=""/>
      <w:lvlJc w:val="left"/>
      <w:pPr>
        <w:ind w:left="5947" w:hanging="360"/>
      </w:pPr>
      <w:rPr>
        <w:rFonts w:ascii="Symbol" w:hAnsi="Symbol" w:hint="default"/>
      </w:rPr>
    </w:lvl>
    <w:lvl w:ilvl="7" w:tplc="0C090003" w:tentative="1">
      <w:start w:val="1"/>
      <w:numFmt w:val="bullet"/>
      <w:lvlText w:val="o"/>
      <w:lvlJc w:val="left"/>
      <w:pPr>
        <w:ind w:left="6667" w:hanging="360"/>
      </w:pPr>
      <w:rPr>
        <w:rFonts w:ascii="Courier New" w:hAnsi="Courier New" w:cs="Courier New" w:hint="default"/>
      </w:rPr>
    </w:lvl>
    <w:lvl w:ilvl="8" w:tplc="0C090005" w:tentative="1">
      <w:start w:val="1"/>
      <w:numFmt w:val="bullet"/>
      <w:lvlText w:val=""/>
      <w:lvlJc w:val="left"/>
      <w:pPr>
        <w:ind w:left="7387" w:hanging="360"/>
      </w:pPr>
      <w:rPr>
        <w:rFonts w:ascii="Wingdings" w:hAnsi="Wingdings" w:hint="default"/>
      </w:rPr>
    </w:lvl>
  </w:abstractNum>
  <w:abstractNum w:abstractNumId="8" w15:restartNumberingAfterBreak="0">
    <w:nsid w:val="23397A66"/>
    <w:multiLevelType w:val="hybridMultilevel"/>
    <w:tmpl w:val="A8B26030"/>
    <w:lvl w:ilvl="0" w:tplc="2B641262">
      <w:start w:val="1"/>
      <w:numFmt w:val="decimal"/>
      <w:lvlText w:val="(%1)"/>
      <w:lvlJc w:val="left"/>
      <w:pPr>
        <w:ind w:left="1267" w:hanging="360"/>
      </w:pPr>
      <w:rPr>
        <w:rFonts w:hint="default"/>
      </w:rPr>
    </w:lvl>
    <w:lvl w:ilvl="1" w:tplc="0C090019" w:tentative="1">
      <w:start w:val="1"/>
      <w:numFmt w:val="lowerLetter"/>
      <w:lvlText w:val="%2."/>
      <w:lvlJc w:val="left"/>
      <w:pPr>
        <w:ind w:left="1987" w:hanging="360"/>
      </w:pPr>
    </w:lvl>
    <w:lvl w:ilvl="2" w:tplc="0C09001B" w:tentative="1">
      <w:start w:val="1"/>
      <w:numFmt w:val="lowerRoman"/>
      <w:lvlText w:val="%3."/>
      <w:lvlJc w:val="right"/>
      <w:pPr>
        <w:ind w:left="2707" w:hanging="180"/>
      </w:pPr>
    </w:lvl>
    <w:lvl w:ilvl="3" w:tplc="0C09000F" w:tentative="1">
      <w:start w:val="1"/>
      <w:numFmt w:val="decimal"/>
      <w:lvlText w:val="%4."/>
      <w:lvlJc w:val="left"/>
      <w:pPr>
        <w:ind w:left="3427" w:hanging="360"/>
      </w:pPr>
    </w:lvl>
    <w:lvl w:ilvl="4" w:tplc="0C090019" w:tentative="1">
      <w:start w:val="1"/>
      <w:numFmt w:val="lowerLetter"/>
      <w:lvlText w:val="%5."/>
      <w:lvlJc w:val="left"/>
      <w:pPr>
        <w:ind w:left="4147" w:hanging="360"/>
      </w:pPr>
    </w:lvl>
    <w:lvl w:ilvl="5" w:tplc="0C09001B" w:tentative="1">
      <w:start w:val="1"/>
      <w:numFmt w:val="lowerRoman"/>
      <w:lvlText w:val="%6."/>
      <w:lvlJc w:val="right"/>
      <w:pPr>
        <w:ind w:left="4867" w:hanging="180"/>
      </w:pPr>
    </w:lvl>
    <w:lvl w:ilvl="6" w:tplc="0C09000F" w:tentative="1">
      <w:start w:val="1"/>
      <w:numFmt w:val="decimal"/>
      <w:lvlText w:val="%7."/>
      <w:lvlJc w:val="left"/>
      <w:pPr>
        <w:ind w:left="5587" w:hanging="360"/>
      </w:pPr>
    </w:lvl>
    <w:lvl w:ilvl="7" w:tplc="0C090019" w:tentative="1">
      <w:start w:val="1"/>
      <w:numFmt w:val="lowerLetter"/>
      <w:lvlText w:val="%8."/>
      <w:lvlJc w:val="left"/>
      <w:pPr>
        <w:ind w:left="6307" w:hanging="360"/>
      </w:pPr>
    </w:lvl>
    <w:lvl w:ilvl="8" w:tplc="0C09001B" w:tentative="1">
      <w:start w:val="1"/>
      <w:numFmt w:val="lowerRoman"/>
      <w:lvlText w:val="%9."/>
      <w:lvlJc w:val="right"/>
      <w:pPr>
        <w:ind w:left="7027" w:hanging="180"/>
      </w:pPr>
    </w:lvl>
  </w:abstractNum>
  <w:abstractNum w:abstractNumId="9" w15:restartNumberingAfterBreak="0">
    <w:nsid w:val="235F1FC5"/>
    <w:multiLevelType w:val="hybridMultilevel"/>
    <w:tmpl w:val="045814FE"/>
    <w:lvl w:ilvl="0" w:tplc="FA3A4DCC">
      <w:start w:val="1"/>
      <w:numFmt w:val="lowerLetter"/>
      <w:lvlText w:val="(%1)"/>
      <w:lvlJc w:val="left"/>
      <w:pPr>
        <w:ind w:left="1627" w:hanging="360"/>
      </w:pPr>
      <w:rPr>
        <w:rFonts w:hint="default"/>
      </w:rPr>
    </w:lvl>
    <w:lvl w:ilvl="1" w:tplc="0C090019" w:tentative="1">
      <w:start w:val="1"/>
      <w:numFmt w:val="lowerLetter"/>
      <w:lvlText w:val="%2."/>
      <w:lvlJc w:val="left"/>
      <w:pPr>
        <w:ind w:left="2347" w:hanging="360"/>
      </w:pPr>
    </w:lvl>
    <w:lvl w:ilvl="2" w:tplc="0C09001B" w:tentative="1">
      <w:start w:val="1"/>
      <w:numFmt w:val="lowerRoman"/>
      <w:lvlText w:val="%3."/>
      <w:lvlJc w:val="right"/>
      <w:pPr>
        <w:ind w:left="3067" w:hanging="180"/>
      </w:pPr>
    </w:lvl>
    <w:lvl w:ilvl="3" w:tplc="0C09000F" w:tentative="1">
      <w:start w:val="1"/>
      <w:numFmt w:val="decimal"/>
      <w:lvlText w:val="%4."/>
      <w:lvlJc w:val="left"/>
      <w:pPr>
        <w:ind w:left="3787" w:hanging="360"/>
      </w:pPr>
    </w:lvl>
    <w:lvl w:ilvl="4" w:tplc="0C090019" w:tentative="1">
      <w:start w:val="1"/>
      <w:numFmt w:val="lowerLetter"/>
      <w:lvlText w:val="%5."/>
      <w:lvlJc w:val="left"/>
      <w:pPr>
        <w:ind w:left="4507" w:hanging="360"/>
      </w:pPr>
    </w:lvl>
    <w:lvl w:ilvl="5" w:tplc="0C09001B" w:tentative="1">
      <w:start w:val="1"/>
      <w:numFmt w:val="lowerRoman"/>
      <w:lvlText w:val="%6."/>
      <w:lvlJc w:val="right"/>
      <w:pPr>
        <w:ind w:left="5227" w:hanging="180"/>
      </w:pPr>
    </w:lvl>
    <w:lvl w:ilvl="6" w:tplc="0C09000F" w:tentative="1">
      <w:start w:val="1"/>
      <w:numFmt w:val="decimal"/>
      <w:lvlText w:val="%7."/>
      <w:lvlJc w:val="left"/>
      <w:pPr>
        <w:ind w:left="5947" w:hanging="360"/>
      </w:pPr>
    </w:lvl>
    <w:lvl w:ilvl="7" w:tplc="0C090019" w:tentative="1">
      <w:start w:val="1"/>
      <w:numFmt w:val="lowerLetter"/>
      <w:lvlText w:val="%8."/>
      <w:lvlJc w:val="left"/>
      <w:pPr>
        <w:ind w:left="6667" w:hanging="360"/>
      </w:pPr>
    </w:lvl>
    <w:lvl w:ilvl="8" w:tplc="0C09001B" w:tentative="1">
      <w:start w:val="1"/>
      <w:numFmt w:val="lowerRoman"/>
      <w:lvlText w:val="%9."/>
      <w:lvlJc w:val="right"/>
      <w:pPr>
        <w:ind w:left="7387" w:hanging="180"/>
      </w:pPr>
    </w:lvl>
  </w:abstractNum>
  <w:abstractNum w:abstractNumId="10" w15:restartNumberingAfterBreak="0">
    <w:nsid w:val="27B87386"/>
    <w:multiLevelType w:val="hybridMultilevel"/>
    <w:tmpl w:val="D74AE34C"/>
    <w:lvl w:ilvl="0" w:tplc="F86836B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2DF2624F"/>
    <w:multiLevelType w:val="multilevel"/>
    <w:tmpl w:val="4918A2D8"/>
    <w:lvl w:ilvl="0">
      <w:start w:val="1"/>
      <w:numFmt w:val="decimal"/>
      <w:lvlText w:val="%1."/>
      <w:lvlJc w:val="left"/>
      <w:pPr>
        <w:ind w:left="357" w:hanging="357"/>
      </w:pPr>
      <w:rPr>
        <w:rFonts w:hint="default"/>
      </w:rPr>
    </w:lvl>
    <w:lvl w:ilvl="1">
      <w:start w:val="1"/>
      <w:numFmt w:val="lowerLetter"/>
      <w:lvlText w:val="(%2)"/>
      <w:lvlJc w:val="left"/>
      <w:pPr>
        <w:ind w:left="714" w:hanging="357"/>
      </w:pPr>
      <w:rPr>
        <w:rFonts w:ascii="Arial" w:hAnsi="Arial" w:hint="default"/>
        <w:b w:val="0"/>
        <w:i w:val="0"/>
        <w:sz w:val="24"/>
      </w:rPr>
    </w:lvl>
    <w:lvl w:ilvl="2">
      <w:start w:val="1"/>
      <w:numFmt w:val="lowerRoman"/>
      <w:lvlText w:val="(%3)"/>
      <w:lvlJc w:val="left"/>
      <w:pPr>
        <w:ind w:left="1134" w:hanging="420"/>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2" w15:restartNumberingAfterBreak="0">
    <w:nsid w:val="35361315"/>
    <w:multiLevelType w:val="hybridMultilevel"/>
    <w:tmpl w:val="74EACF12"/>
    <w:lvl w:ilvl="0" w:tplc="17AC9952">
      <w:numFmt w:val="bullet"/>
      <w:lvlText w:val=""/>
      <w:lvlJc w:val="left"/>
      <w:pPr>
        <w:ind w:left="720" w:hanging="360"/>
      </w:pPr>
      <w:rPr>
        <w:rFonts w:ascii="Symbol" w:eastAsiaTheme="minorEastAsia" w:hAnsi="Symbol" w:cs="Arial"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AE2BCC"/>
    <w:multiLevelType w:val="hybridMultilevel"/>
    <w:tmpl w:val="2CD2E182"/>
    <w:lvl w:ilvl="0" w:tplc="0C090001">
      <w:start w:val="1"/>
      <w:numFmt w:val="bullet"/>
      <w:lvlText w:val=""/>
      <w:lvlJc w:val="left"/>
      <w:pPr>
        <w:ind w:left="785" w:hanging="360"/>
      </w:pPr>
      <w:rPr>
        <w:rFonts w:ascii="Symbol" w:hAnsi="Symbol" w:hint="default"/>
      </w:rPr>
    </w:lvl>
    <w:lvl w:ilvl="1" w:tplc="0C090003">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4" w15:restartNumberingAfterBreak="0">
    <w:nsid w:val="3BC5457B"/>
    <w:multiLevelType w:val="hybridMultilevel"/>
    <w:tmpl w:val="69E4A73C"/>
    <w:lvl w:ilvl="0" w:tplc="FFFFFFFF">
      <w:start w:val="1"/>
      <w:numFmt w:val="lowerRoman"/>
      <w:lvlText w:val="%1."/>
      <w:lvlJc w:val="right"/>
      <w:pPr>
        <w:ind w:left="927" w:hanging="360"/>
      </w:pPr>
    </w:lvl>
    <w:lvl w:ilvl="1" w:tplc="0C090001">
      <w:start w:val="1"/>
      <w:numFmt w:val="bullet"/>
      <w:lvlText w:val=""/>
      <w:lvlJc w:val="left"/>
      <w:pPr>
        <w:ind w:left="1647" w:hanging="360"/>
      </w:pPr>
      <w:rPr>
        <w:rFonts w:ascii="Symbol" w:hAnsi="Symbol"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3BDB08DC"/>
    <w:multiLevelType w:val="hybridMultilevel"/>
    <w:tmpl w:val="6AB661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024974"/>
    <w:multiLevelType w:val="hybridMultilevel"/>
    <w:tmpl w:val="556EDF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23F1C90"/>
    <w:multiLevelType w:val="hybridMultilevel"/>
    <w:tmpl w:val="88CA5896"/>
    <w:lvl w:ilvl="0" w:tplc="CBC037C0">
      <w:start w:val="1"/>
      <w:numFmt w:val="lowerLetter"/>
      <w:lvlText w:val="%1."/>
      <w:lvlJc w:val="left"/>
      <w:pPr>
        <w:ind w:left="720" w:hanging="360"/>
      </w:pPr>
      <w:rPr>
        <w:rFonts w:ascii="Arial" w:eastAsiaTheme="minorEastAsia" w:hAnsi="Arial" w:cs="Arial"/>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B66904"/>
    <w:multiLevelType w:val="hybridMultilevel"/>
    <w:tmpl w:val="00204932"/>
    <w:lvl w:ilvl="0" w:tplc="93602F9A">
      <w:numFmt w:val="bullet"/>
      <w:lvlText w:val=""/>
      <w:lvlJc w:val="left"/>
      <w:pPr>
        <w:ind w:left="1987" w:hanging="360"/>
      </w:pPr>
      <w:rPr>
        <w:rFonts w:ascii="Symbol" w:eastAsiaTheme="minorEastAsia" w:hAnsi="Symbol" w:cs="Arial" w:hint="default"/>
      </w:rPr>
    </w:lvl>
    <w:lvl w:ilvl="1" w:tplc="0C090003" w:tentative="1">
      <w:start w:val="1"/>
      <w:numFmt w:val="bullet"/>
      <w:lvlText w:val="o"/>
      <w:lvlJc w:val="left"/>
      <w:pPr>
        <w:ind w:left="2347" w:hanging="360"/>
      </w:pPr>
      <w:rPr>
        <w:rFonts w:ascii="Courier New" w:hAnsi="Courier New" w:cs="Courier New" w:hint="default"/>
      </w:rPr>
    </w:lvl>
    <w:lvl w:ilvl="2" w:tplc="0C090005" w:tentative="1">
      <w:start w:val="1"/>
      <w:numFmt w:val="bullet"/>
      <w:lvlText w:val=""/>
      <w:lvlJc w:val="left"/>
      <w:pPr>
        <w:ind w:left="3067" w:hanging="360"/>
      </w:pPr>
      <w:rPr>
        <w:rFonts w:ascii="Wingdings" w:hAnsi="Wingdings" w:hint="default"/>
      </w:rPr>
    </w:lvl>
    <w:lvl w:ilvl="3" w:tplc="0C090001" w:tentative="1">
      <w:start w:val="1"/>
      <w:numFmt w:val="bullet"/>
      <w:lvlText w:val=""/>
      <w:lvlJc w:val="left"/>
      <w:pPr>
        <w:ind w:left="3787" w:hanging="360"/>
      </w:pPr>
      <w:rPr>
        <w:rFonts w:ascii="Symbol" w:hAnsi="Symbol" w:hint="default"/>
      </w:rPr>
    </w:lvl>
    <w:lvl w:ilvl="4" w:tplc="0C090003" w:tentative="1">
      <w:start w:val="1"/>
      <w:numFmt w:val="bullet"/>
      <w:lvlText w:val="o"/>
      <w:lvlJc w:val="left"/>
      <w:pPr>
        <w:ind w:left="4507" w:hanging="360"/>
      </w:pPr>
      <w:rPr>
        <w:rFonts w:ascii="Courier New" w:hAnsi="Courier New" w:cs="Courier New" w:hint="default"/>
      </w:rPr>
    </w:lvl>
    <w:lvl w:ilvl="5" w:tplc="0C090005" w:tentative="1">
      <w:start w:val="1"/>
      <w:numFmt w:val="bullet"/>
      <w:lvlText w:val=""/>
      <w:lvlJc w:val="left"/>
      <w:pPr>
        <w:ind w:left="5227" w:hanging="360"/>
      </w:pPr>
      <w:rPr>
        <w:rFonts w:ascii="Wingdings" w:hAnsi="Wingdings" w:hint="default"/>
      </w:rPr>
    </w:lvl>
    <w:lvl w:ilvl="6" w:tplc="0C090001" w:tentative="1">
      <w:start w:val="1"/>
      <w:numFmt w:val="bullet"/>
      <w:lvlText w:val=""/>
      <w:lvlJc w:val="left"/>
      <w:pPr>
        <w:ind w:left="5947" w:hanging="360"/>
      </w:pPr>
      <w:rPr>
        <w:rFonts w:ascii="Symbol" w:hAnsi="Symbol" w:hint="default"/>
      </w:rPr>
    </w:lvl>
    <w:lvl w:ilvl="7" w:tplc="0C090003" w:tentative="1">
      <w:start w:val="1"/>
      <w:numFmt w:val="bullet"/>
      <w:lvlText w:val="o"/>
      <w:lvlJc w:val="left"/>
      <w:pPr>
        <w:ind w:left="6667" w:hanging="360"/>
      </w:pPr>
      <w:rPr>
        <w:rFonts w:ascii="Courier New" w:hAnsi="Courier New" w:cs="Courier New" w:hint="default"/>
      </w:rPr>
    </w:lvl>
    <w:lvl w:ilvl="8" w:tplc="0C090005" w:tentative="1">
      <w:start w:val="1"/>
      <w:numFmt w:val="bullet"/>
      <w:lvlText w:val=""/>
      <w:lvlJc w:val="left"/>
      <w:pPr>
        <w:ind w:left="7387" w:hanging="360"/>
      </w:pPr>
      <w:rPr>
        <w:rFonts w:ascii="Wingdings" w:hAnsi="Wingdings" w:hint="default"/>
      </w:rPr>
    </w:lvl>
  </w:abstractNum>
  <w:abstractNum w:abstractNumId="19" w15:restartNumberingAfterBreak="0">
    <w:nsid w:val="45AD38D3"/>
    <w:multiLevelType w:val="multilevel"/>
    <w:tmpl w:val="8B8850F4"/>
    <w:lvl w:ilvl="0">
      <w:start w:val="1"/>
      <w:numFmt w:val="decimal"/>
      <w:lvlText w:val="%1."/>
      <w:lvlJc w:val="left"/>
      <w:pPr>
        <w:ind w:left="567" w:hanging="567"/>
      </w:pPr>
      <w:rPr>
        <w:rFonts w:hint="default"/>
        <w:b w:val="0"/>
      </w:rPr>
    </w:lvl>
    <w:lvl w:ilvl="1">
      <w:start w:val="1"/>
      <w:numFmt w:val="bullet"/>
      <w:lvlText w:val=""/>
      <w:lvlJc w:val="left"/>
      <w:pPr>
        <w:ind w:left="907" w:hanging="283"/>
      </w:pPr>
      <w:rPr>
        <w:rFonts w:ascii="Symbol" w:hAnsi="Symbol"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20" w15:restartNumberingAfterBreak="0">
    <w:nsid w:val="487F77D8"/>
    <w:multiLevelType w:val="multilevel"/>
    <w:tmpl w:val="88BE498E"/>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DB14587"/>
    <w:multiLevelType w:val="hybridMultilevel"/>
    <w:tmpl w:val="949A464C"/>
    <w:lvl w:ilvl="0" w:tplc="40928A58">
      <w:start w:val="1"/>
      <w:numFmt w:val="decimal"/>
      <w:lvlText w:val="%1."/>
      <w:lvlJc w:val="left"/>
      <w:pPr>
        <w:ind w:left="1077" w:hanging="360"/>
      </w:pPr>
    </w:lvl>
    <w:lvl w:ilvl="1" w:tplc="7098FF66">
      <w:start w:val="1"/>
      <w:numFmt w:val="lowerLetter"/>
      <w:lvlText w:val="(%2)"/>
      <w:lvlJc w:val="left"/>
      <w:pPr>
        <w:ind w:left="1797" w:hanging="360"/>
      </w:pPr>
      <w:rPr>
        <w:rFonts w:ascii="Arial" w:hAnsi="Arial" w:hint="default"/>
        <w:b w:val="0"/>
        <w:i w:val="0"/>
        <w:sz w:val="24"/>
      </w:rPr>
    </w:lvl>
    <w:lvl w:ilvl="2" w:tplc="B908F1CC">
      <w:start w:val="1"/>
      <w:numFmt w:val="lowerRoman"/>
      <w:lvlText w:val="(%3)"/>
      <w:lvlJc w:val="right"/>
      <w:pPr>
        <w:ind w:left="2517" w:hanging="180"/>
      </w:pPr>
      <w:rPr>
        <w:rFonts w:hint="default"/>
      </w:r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2" w15:restartNumberingAfterBreak="0">
    <w:nsid w:val="4E5F5D97"/>
    <w:multiLevelType w:val="hybridMultilevel"/>
    <w:tmpl w:val="8030149C"/>
    <w:lvl w:ilvl="0" w:tplc="5F944412">
      <w:start w:val="1"/>
      <w:numFmt w:val="bullet"/>
      <w:lvlText w:val=""/>
      <w:lvlJc w:val="left"/>
      <w:pPr>
        <w:ind w:left="1440" w:hanging="360"/>
      </w:pPr>
      <w:rPr>
        <w:rFonts w:ascii="Wingdings" w:hAnsi="Wingdings" w:hint="default"/>
        <w:sz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4F5E1AA4"/>
    <w:multiLevelType w:val="hybridMultilevel"/>
    <w:tmpl w:val="C5840852"/>
    <w:lvl w:ilvl="0" w:tplc="718A50DA">
      <w:start w:val="1"/>
      <w:numFmt w:val="lowerLetter"/>
      <w:lvlText w:val="(%1)"/>
      <w:lvlJc w:val="left"/>
      <w:pPr>
        <w:ind w:left="927" w:hanging="360"/>
      </w:pPr>
      <w:rPr>
        <w:rFonts w:ascii="Arial" w:hAnsi="Arial" w:cs="Arial"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4" w15:restartNumberingAfterBreak="0">
    <w:nsid w:val="4FB80E0A"/>
    <w:multiLevelType w:val="hybridMultilevel"/>
    <w:tmpl w:val="6518AFD2"/>
    <w:lvl w:ilvl="0" w:tplc="59FC7D9C">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25" w15:restartNumberingAfterBreak="0">
    <w:nsid w:val="50657E41"/>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0E06826"/>
    <w:multiLevelType w:val="multilevel"/>
    <w:tmpl w:val="779CFB92"/>
    <w:lvl w:ilvl="0">
      <w:start w:val="1"/>
      <w:numFmt w:val="decimal"/>
      <w:lvlText w:val="%1."/>
      <w:lvlJc w:val="left"/>
      <w:pPr>
        <w:ind w:left="567" w:hanging="567"/>
      </w:pPr>
      <w:rPr>
        <w:rFonts w:hint="default"/>
      </w:rPr>
    </w:lvl>
    <w:lvl w:ilvl="1">
      <w:start w:val="1"/>
      <w:numFmt w:val="bullet"/>
      <w:lvlText w:val=""/>
      <w:lvlJc w:val="left"/>
      <w:pPr>
        <w:ind w:left="984" w:hanging="360"/>
      </w:pPr>
      <w:rPr>
        <w:rFonts w:ascii="Symbol" w:hAnsi="Symbol" w:hint="default"/>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27" w15:restartNumberingAfterBreak="0">
    <w:nsid w:val="554454FA"/>
    <w:multiLevelType w:val="multilevel"/>
    <w:tmpl w:val="A79A5EBE"/>
    <w:lvl w:ilvl="0">
      <w:start w:val="1"/>
      <w:numFmt w:val="decimal"/>
      <w:lvlText w:val="%1."/>
      <w:lvlJc w:val="left"/>
      <w:pPr>
        <w:ind w:left="567" w:hanging="567"/>
      </w:pPr>
      <w:rPr>
        <w:rFonts w:hint="default"/>
      </w:rPr>
    </w:lvl>
    <w:lvl w:ilvl="1">
      <w:start w:val="1"/>
      <w:numFmt w:val="lowerLetter"/>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28" w15:restartNumberingAfterBreak="0">
    <w:nsid w:val="59A37A15"/>
    <w:multiLevelType w:val="hybridMultilevel"/>
    <w:tmpl w:val="BB6EF4D0"/>
    <w:lvl w:ilvl="0" w:tplc="F07C49A6">
      <w:start w:val="1"/>
      <w:numFmt w:val="decimal"/>
      <w:lvlText w:val="%1)"/>
      <w:lvlJc w:val="left"/>
      <w:pPr>
        <w:ind w:left="1080" w:hanging="36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5C6F4B1E"/>
    <w:multiLevelType w:val="hybridMultilevel"/>
    <w:tmpl w:val="02389F72"/>
    <w:lvl w:ilvl="0" w:tplc="0C09001B">
      <w:start w:val="1"/>
      <w:numFmt w:val="lowerRoman"/>
      <w:lvlText w:val="%1."/>
      <w:lvlJc w:val="right"/>
      <w:pPr>
        <w:ind w:left="927" w:hanging="360"/>
      </w:p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0" w15:restartNumberingAfterBreak="0">
    <w:nsid w:val="5F773635"/>
    <w:multiLevelType w:val="hybridMultilevel"/>
    <w:tmpl w:val="F33AB8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FA4641D"/>
    <w:multiLevelType w:val="multilevel"/>
    <w:tmpl w:val="574EB5E4"/>
    <w:lvl w:ilvl="0">
      <w:start w:val="1"/>
      <w:numFmt w:val="decimal"/>
      <w:lvlText w:val="%1."/>
      <w:lvlJc w:val="left"/>
      <w:pPr>
        <w:tabs>
          <w:tab w:val="num" w:pos="454"/>
        </w:tabs>
        <w:ind w:left="454" w:hanging="454"/>
      </w:pPr>
      <w:rPr>
        <w:rFonts w:ascii="Times New Roman" w:hAnsi="Times New Roman" w:hint="default"/>
        <w:sz w:val="20"/>
      </w:rPr>
    </w:lvl>
    <w:lvl w:ilvl="1">
      <w:start w:val="1"/>
      <w:numFmt w:val="lowerLetter"/>
      <w:lvlText w:val="(%2)"/>
      <w:lvlJc w:val="left"/>
      <w:pPr>
        <w:tabs>
          <w:tab w:val="num" w:pos="907"/>
        </w:tabs>
        <w:ind w:left="907" w:hanging="453"/>
      </w:pPr>
      <w:rPr>
        <w:rFonts w:ascii="Times New Roman" w:hAnsi="Times New Roman" w:hint="default"/>
        <w:sz w:val="20"/>
      </w:rPr>
    </w:lvl>
    <w:lvl w:ilvl="2">
      <w:start w:val="1"/>
      <w:numFmt w:val="lowerRoman"/>
      <w:lvlText w:val="(%3)"/>
      <w:lvlJc w:val="left"/>
      <w:pPr>
        <w:tabs>
          <w:tab w:val="num" w:pos="1361"/>
        </w:tabs>
        <w:ind w:left="1361" w:hanging="454"/>
      </w:pPr>
      <w:rPr>
        <w:rFonts w:ascii="Times New Roman" w:hAnsi="Times New Roman" w:hint="default"/>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2AE01D7"/>
    <w:multiLevelType w:val="hybridMultilevel"/>
    <w:tmpl w:val="88BE498E"/>
    <w:lvl w:ilvl="0" w:tplc="7CC885D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89551D"/>
    <w:multiLevelType w:val="hybridMultilevel"/>
    <w:tmpl w:val="B2B097C8"/>
    <w:lvl w:ilvl="0" w:tplc="93602F9A">
      <w:numFmt w:val="bullet"/>
      <w:lvlText w:val=""/>
      <w:lvlJc w:val="left"/>
      <w:pPr>
        <w:ind w:left="1080" w:hanging="360"/>
      </w:pPr>
      <w:rPr>
        <w:rFonts w:ascii="Symbol" w:eastAsiaTheme="minorEastAsia" w:hAnsi="Symbo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656B0573"/>
    <w:multiLevelType w:val="hybridMultilevel"/>
    <w:tmpl w:val="2C701AF0"/>
    <w:lvl w:ilvl="0" w:tplc="7908CD78">
      <w:start w:val="27"/>
      <w:numFmt w:val="bullet"/>
      <w:lvlText w:val=""/>
      <w:lvlJc w:val="left"/>
      <w:pPr>
        <w:ind w:left="927" w:hanging="360"/>
      </w:pPr>
      <w:rPr>
        <w:rFonts w:ascii="Symbol" w:eastAsiaTheme="minorHAnsi" w:hAnsi="Symbol" w:cstheme="minorBidi"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5" w15:restartNumberingAfterBreak="0">
    <w:nsid w:val="658E4DE9"/>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65D5C79"/>
    <w:multiLevelType w:val="hybridMultilevel"/>
    <w:tmpl w:val="14A6805C"/>
    <w:lvl w:ilvl="0" w:tplc="7DCC613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15:restartNumberingAfterBreak="0">
    <w:nsid w:val="680E217B"/>
    <w:multiLevelType w:val="multilevel"/>
    <w:tmpl w:val="97A06F3E"/>
    <w:lvl w:ilvl="0">
      <w:start w:val="1"/>
      <w:numFmt w:val="bullet"/>
      <w:pStyle w:val="Bulletedlis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38" w15:restartNumberingAfterBreak="0">
    <w:nsid w:val="6ABC7826"/>
    <w:multiLevelType w:val="hybridMultilevel"/>
    <w:tmpl w:val="A86E13A4"/>
    <w:lvl w:ilvl="0" w:tplc="E94248AE">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9" w15:restartNumberingAfterBreak="0">
    <w:nsid w:val="721C5E17"/>
    <w:multiLevelType w:val="hybridMultilevel"/>
    <w:tmpl w:val="9F448C52"/>
    <w:lvl w:ilvl="0" w:tplc="13620EE4">
      <w:start w:val="1"/>
      <w:numFmt w:val="bullet"/>
      <w:lvlText w:val=""/>
      <w:lvlJc w:val="left"/>
      <w:pPr>
        <w:ind w:left="2030" w:hanging="360"/>
      </w:pPr>
      <w:rPr>
        <w:rFonts w:ascii="Wingdings" w:hAnsi="Wingdings" w:hint="default"/>
      </w:rPr>
    </w:lvl>
    <w:lvl w:ilvl="1" w:tplc="04090003" w:tentative="1">
      <w:start w:val="1"/>
      <w:numFmt w:val="bullet"/>
      <w:lvlText w:val="o"/>
      <w:lvlJc w:val="left"/>
      <w:pPr>
        <w:ind w:left="2750" w:hanging="360"/>
      </w:pPr>
      <w:rPr>
        <w:rFonts w:ascii="Courier New" w:hAnsi="Courier New" w:hint="default"/>
      </w:rPr>
    </w:lvl>
    <w:lvl w:ilvl="2" w:tplc="04090005" w:tentative="1">
      <w:start w:val="1"/>
      <w:numFmt w:val="bullet"/>
      <w:lvlText w:val=""/>
      <w:lvlJc w:val="left"/>
      <w:pPr>
        <w:ind w:left="3470" w:hanging="360"/>
      </w:pPr>
      <w:rPr>
        <w:rFonts w:ascii="Wingdings" w:hAnsi="Wingdings" w:hint="default"/>
      </w:rPr>
    </w:lvl>
    <w:lvl w:ilvl="3" w:tplc="04090001" w:tentative="1">
      <w:start w:val="1"/>
      <w:numFmt w:val="bullet"/>
      <w:lvlText w:val=""/>
      <w:lvlJc w:val="left"/>
      <w:pPr>
        <w:ind w:left="4190" w:hanging="360"/>
      </w:pPr>
      <w:rPr>
        <w:rFonts w:ascii="Symbol" w:hAnsi="Symbol" w:hint="default"/>
      </w:rPr>
    </w:lvl>
    <w:lvl w:ilvl="4" w:tplc="04090003" w:tentative="1">
      <w:start w:val="1"/>
      <w:numFmt w:val="bullet"/>
      <w:lvlText w:val="o"/>
      <w:lvlJc w:val="left"/>
      <w:pPr>
        <w:ind w:left="4910" w:hanging="360"/>
      </w:pPr>
      <w:rPr>
        <w:rFonts w:ascii="Courier New" w:hAnsi="Courier New" w:hint="default"/>
      </w:rPr>
    </w:lvl>
    <w:lvl w:ilvl="5" w:tplc="04090005" w:tentative="1">
      <w:start w:val="1"/>
      <w:numFmt w:val="bullet"/>
      <w:lvlText w:val=""/>
      <w:lvlJc w:val="left"/>
      <w:pPr>
        <w:ind w:left="5630" w:hanging="360"/>
      </w:pPr>
      <w:rPr>
        <w:rFonts w:ascii="Wingdings" w:hAnsi="Wingdings" w:hint="default"/>
      </w:rPr>
    </w:lvl>
    <w:lvl w:ilvl="6" w:tplc="04090001" w:tentative="1">
      <w:start w:val="1"/>
      <w:numFmt w:val="bullet"/>
      <w:lvlText w:val=""/>
      <w:lvlJc w:val="left"/>
      <w:pPr>
        <w:ind w:left="6350" w:hanging="360"/>
      </w:pPr>
      <w:rPr>
        <w:rFonts w:ascii="Symbol" w:hAnsi="Symbol" w:hint="default"/>
      </w:rPr>
    </w:lvl>
    <w:lvl w:ilvl="7" w:tplc="04090003" w:tentative="1">
      <w:start w:val="1"/>
      <w:numFmt w:val="bullet"/>
      <w:lvlText w:val="o"/>
      <w:lvlJc w:val="left"/>
      <w:pPr>
        <w:ind w:left="7070" w:hanging="360"/>
      </w:pPr>
      <w:rPr>
        <w:rFonts w:ascii="Courier New" w:hAnsi="Courier New" w:hint="default"/>
      </w:rPr>
    </w:lvl>
    <w:lvl w:ilvl="8" w:tplc="04090005" w:tentative="1">
      <w:start w:val="1"/>
      <w:numFmt w:val="bullet"/>
      <w:lvlText w:val=""/>
      <w:lvlJc w:val="left"/>
      <w:pPr>
        <w:ind w:left="7790" w:hanging="360"/>
      </w:pPr>
      <w:rPr>
        <w:rFonts w:ascii="Wingdings" w:hAnsi="Wingdings" w:hint="default"/>
      </w:rPr>
    </w:lvl>
  </w:abstractNum>
  <w:abstractNum w:abstractNumId="40" w15:restartNumberingAfterBreak="0">
    <w:nsid w:val="722243D5"/>
    <w:multiLevelType w:val="hybridMultilevel"/>
    <w:tmpl w:val="F3F25216"/>
    <w:lvl w:ilvl="0" w:tplc="ED883BAE">
      <w:start w:val="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45E0806"/>
    <w:multiLevelType w:val="hybridMultilevel"/>
    <w:tmpl w:val="BCEA0F00"/>
    <w:lvl w:ilvl="0" w:tplc="02885366">
      <w:start w:val="1"/>
      <w:numFmt w:val="decimal"/>
      <w:lvlText w:val="(%1)"/>
      <w:lvlJc w:val="left"/>
      <w:pPr>
        <w:ind w:left="1800" w:hanging="360"/>
      </w:pPr>
      <w:rPr>
        <w:rFonts w:hint="default"/>
      </w:rPr>
    </w:lvl>
    <w:lvl w:ilvl="1" w:tplc="9DE4B894">
      <w:start w:val="1"/>
      <w:numFmt w:val="low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2" w15:restartNumberingAfterBreak="0">
    <w:nsid w:val="75DD6991"/>
    <w:multiLevelType w:val="hybridMultilevel"/>
    <w:tmpl w:val="8EA0F83A"/>
    <w:lvl w:ilvl="0" w:tplc="E0581F4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32"/>
  </w:num>
  <w:num w:numId="2">
    <w:abstractNumId w:val="20"/>
  </w:num>
  <w:num w:numId="3">
    <w:abstractNumId w:val="39"/>
  </w:num>
  <w:num w:numId="4">
    <w:abstractNumId w:val="21"/>
  </w:num>
  <w:num w:numId="5">
    <w:abstractNumId w:val="25"/>
  </w:num>
  <w:num w:numId="6">
    <w:abstractNumId w:val="35"/>
  </w:num>
  <w:num w:numId="7">
    <w:abstractNumId w:val="2"/>
  </w:num>
  <w:num w:numId="8">
    <w:abstractNumId w:val="22"/>
  </w:num>
  <w:num w:numId="9">
    <w:abstractNumId w:val="38"/>
  </w:num>
  <w:num w:numId="10">
    <w:abstractNumId w:val="41"/>
  </w:num>
  <w:num w:numId="11">
    <w:abstractNumId w:val="36"/>
  </w:num>
  <w:num w:numId="12">
    <w:abstractNumId w:val="24"/>
  </w:num>
  <w:num w:numId="13">
    <w:abstractNumId w:val="3"/>
  </w:num>
  <w:num w:numId="14">
    <w:abstractNumId w:val="11"/>
  </w:num>
  <w:num w:numId="15">
    <w:abstractNumId w:val="21"/>
    <w:lvlOverride w:ilvl="0">
      <w:lvl w:ilvl="0" w:tplc="40928A58">
        <w:start w:val="1"/>
        <w:numFmt w:val="decimal"/>
        <w:lvlText w:val="%1."/>
        <w:lvlJc w:val="left"/>
        <w:pPr>
          <w:ind w:left="720" w:hanging="360"/>
        </w:pPr>
        <w:rPr>
          <w:rFonts w:hint="default"/>
        </w:rPr>
      </w:lvl>
    </w:lvlOverride>
    <w:lvlOverride w:ilvl="1">
      <w:lvl w:ilvl="1" w:tplc="7098FF66">
        <w:start w:val="1"/>
        <w:numFmt w:val="lowerLetter"/>
        <w:lvlText w:val="(%2)"/>
        <w:lvlJc w:val="left"/>
        <w:pPr>
          <w:ind w:left="1440" w:hanging="1083"/>
        </w:pPr>
        <w:rPr>
          <w:rFonts w:ascii="Arial" w:hAnsi="Arial" w:hint="default"/>
          <w:b w:val="0"/>
          <w:i w:val="0"/>
          <w:sz w:val="24"/>
        </w:rPr>
      </w:lvl>
    </w:lvlOverride>
    <w:lvlOverride w:ilvl="2">
      <w:lvl w:ilvl="2" w:tplc="B908F1CC">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16">
    <w:abstractNumId w:val="37"/>
  </w:num>
  <w:num w:numId="17">
    <w:abstractNumId w:val="10"/>
  </w:num>
  <w:num w:numId="18">
    <w:abstractNumId w:val="8"/>
  </w:num>
  <w:num w:numId="19">
    <w:abstractNumId w:val="30"/>
  </w:num>
  <w:num w:numId="20">
    <w:abstractNumId w:val="16"/>
  </w:num>
  <w:num w:numId="21">
    <w:abstractNumId w:val="31"/>
  </w:num>
  <w:num w:numId="22">
    <w:abstractNumId w:val="27"/>
  </w:num>
  <w:num w:numId="23">
    <w:abstractNumId w:val="9"/>
  </w:num>
  <w:num w:numId="24">
    <w:abstractNumId w:val="4"/>
  </w:num>
  <w:num w:numId="25">
    <w:abstractNumId w:val="7"/>
  </w:num>
  <w:num w:numId="26">
    <w:abstractNumId w:val="33"/>
  </w:num>
  <w:num w:numId="27">
    <w:abstractNumId w:val="18"/>
  </w:num>
  <w:num w:numId="28">
    <w:abstractNumId w:val="1"/>
  </w:num>
  <w:num w:numId="29">
    <w:abstractNumId w:val="23"/>
  </w:num>
  <w:num w:numId="30">
    <w:abstractNumId w:val="3"/>
  </w:num>
  <w:num w:numId="31">
    <w:abstractNumId w:val="12"/>
  </w:num>
  <w:num w:numId="32">
    <w:abstractNumId w:val="40"/>
  </w:num>
  <w:num w:numId="33">
    <w:abstractNumId w:val="19"/>
  </w:num>
  <w:num w:numId="34">
    <w:abstractNumId w:val="34"/>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14"/>
  </w:num>
  <w:num w:numId="38">
    <w:abstractNumId w:val="42"/>
  </w:num>
  <w:num w:numId="39">
    <w:abstractNumId w:val="17"/>
  </w:num>
  <w:num w:numId="40">
    <w:abstractNumId w:val="6"/>
  </w:num>
  <w:num w:numId="41">
    <w:abstractNumId w:val="0"/>
  </w:num>
  <w:num w:numId="42">
    <w:abstractNumId w:val="26"/>
  </w:num>
  <w:num w:numId="43">
    <w:abstractNumId w:val="13"/>
  </w:num>
  <w:num w:numId="44">
    <w:abstractNumId w:val="15"/>
  </w:num>
  <w:num w:numId="45">
    <w:abstractNumId w:val="5"/>
  </w:num>
  <w:num w:numId="46">
    <w:abstractNumId w:val="28"/>
  </w:num>
  <w:num w:numId="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F0F"/>
    <w:rsid w:val="00002F05"/>
    <w:rsid w:val="00005B2A"/>
    <w:rsid w:val="00007AD0"/>
    <w:rsid w:val="00007F0E"/>
    <w:rsid w:val="00010267"/>
    <w:rsid w:val="00011E25"/>
    <w:rsid w:val="00016E59"/>
    <w:rsid w:val="000201F3"/>
    <w:rsid w:val="0002351E"/>
    <w:rsid w:val="000247DE"/>
    <w:rsid w:val="00024A67"/>
    <w:rsid w:val="00026ADF"/>
    <w:rsid w:val="00031875"/>
    <w:rsid w:val="00034352"/>
    <w:rsid w:val="0003523C"/>
    <w:rsid w:val="000372BE"/>
    <w:rsid w:val="00040E51"/>
    <w:rsid w:val="00041E58"/>
    <w:rsid w:val="00043551"/>
    <w:rsid w:val="00044A7F"/>
    <w:rsid w:val="000452F8"/>
    <w:rsid w:val="00045B46"/>
    <w:rsid w:val="00047427"/>
    <w:rsid w:val="00047983"/>
    <w:rsid w:val="000507FF"/>
    <w:rsid w:val="00051D40"/>
    <w:rsid w:val="00054120"/>
    <w:rsid w:val="00054D29"/>
    <w:rsid w:val="00056960"/>
    <w:rsid w:val="00057023"/>
    <w:rsid w:val="00057D21"/>
    <w:rsid w:val="00057D69"/>
    <w:rsid w:val="00057F75"/>
    <w:rsid w:val="00063EDF"/>
    <w:rsid w:val="00065FE2"/>
    <w:rsid w:val="00066B30"/>
    <w:rsid w:val="000674DD"/>
    <w:rsid w:val="00071969"/>
    <w:rsid w:val="000725AD"/>
    <w:rsid w:val="00072672"/>
    <w:rsid w:val="00072CE6"/>
    <w:rsid w:val="00073007"/>
    <w:rsid w:val="000731D3"/>
    <w:rsid w:val="00075AB0"/>
    <w:rsid w:val="0007682B"/>
    <w:rsid w:val="000832D3"/>
    <w:rsid w:val="00085B7F"/>
    <w:rsid w:val="0008605F"/>
    <w:rsid w:val="00090B61"/>
    <w:rsid w:val="00091EB7"/>
    <w:rsid w:val="0009373C"/>
    <w:rsid w:val="00094CFE"/>
    <w:rsid w:val="00095FBB"/>
    <w:rsid w:val="00096517"/>
    <w:rsid w:val="00097688"/>
    <w:rsid w:val="000A201B"/>
    <w:rsid w:val="000A4EA5"/>
    <w:rsid w:val="000A5FEC"/>
    <w:rsid w:val="000B1C49"/>
    <w:rsid w:val="000B4A87"/>
    <w:rsid w:val="000B4BF6"/>
    <w:rsid w:val="000B5D72"/>
    <w:rsid w:val="000B6C72"/>
    <w:rsid w:val="000B794F"/>
    <w:rsid w:val="000C10D2"/>
    <w:rsid w:val="000C2994"/>
    <w:rsid w:val="000C5DA8"/>
    <w:rsid w:val="000C73A5"/>
    <w:rsid w:val="000D0590"/>
    <w:rsid w:val="000D0FFC"/>
    <w:rsid w:val="000D2C2C"/>
    <w:rsid w:val="000D49A5"/>
    <w:rsid w:val="000D6D4F"/>
    <w:rsid w:val="000E1039"/>
    <w:rsid w:val="000E1710"/>
    <w:rsid w:val="000E1F26"/>
    <w:rsid w:val="000E1F27"/>
    <w:rsid w:val="000E2E5E"/>
    <w:rsid w:val="000E6FAE"/>
    <w:rsid w:val="000F0BC1"/>
    <w:rsid w:val="000F4098"/>
    <w:rsid w:val="000F5451"/>
    <w:rsid w:val="000F6C2F"/>
    <w:rsid w:val="00105217"/>
    <w:rsid w:val="001066BD"/>
    <w:rsid w:val="00113EB0"/>
    <w:rsid w:val="00114AB7"/>
    <w:rsid w:val="00116E0B"/>
    <w:rsid w:val="00117FAC"/>
    <w:rsid w:val="0012026F"/>
    <w:rsid w:val="00121E6F"/>
    <w:rsid w:val="00122C79"/>
    <w:rsid w:val="00123744"/>
    <w:rsid w:val="00124A35"/>
    <w:rsid w:val="001304EE"/>
    <w:rsid w:val="001312F8"/>
    <w:rsid w:val="00131A76"/>
    <w:rsid w:val="001329F4"/>
    <w:rsid w:val="00136199"/>
    <w:rsid w:val="00142485"/>
    <w:rsid w:val="0014261C"/>
    <w:rsid w:val="00142AC3"/>
    <w:rsid w:val="001452E1"/>
    <w:rsid w:val="00153386"/>
    <w:rsid w:val="00156F7E"/>
    <w:rsid w:val="00160D2D"/>
    <w:rsid w:val="00161BFE"/>
    <w:rsid w:val="0016307C"/>
    <w:rsid w:val="00165722"/>
    <w:rsid w:val="00170AE7"/>
    <w:rsid w:val="0017346F"/>
    <w:rsid w:val="00174065"/>
    <w:rsid w:val="00174218"/>
    <w:rsid w:val="001825CB"/>
    <w:rsid w:val="00182865"/>
    <w:rsid w:val="00182E06"/>
    <w:rsid w:val="00184B11"/>
    <w:rsid w:val="001916E4"/>
    <w:rsid w:val="00191D0C"/>
    <w:rsid w:val="0019203A"/>
    <w:rsid w:val="0019385D"/>
    <w:rsid w:val="001949AF"/>
    <w:rsid w:val="00195638"/>
    <w:rsid w:val="00195845"/>
    <w:rsid w:val="00195E9F"/>
    <w:rsid w:val="001A12BD"/>
    <w:rsid w:val="001A241F"/>
    <w:rsid w:val="001A63E0"/>
    <w:rsid w:val="001B1A27"/>
    <w:rsid w:val="001B5470"/>
    <w:rsid w:val="001B57C6"/>
    <w:rsid w:val="001B6C5F"/>
    <w:rsid w:val="001C01FD"/>
    <w:rsid w:val="001C1055"/>
    <w:rsid w:val="001C127F"/>
    <w:rsid w:val="001C3B62"/>
    <w:rsid w:val="001C5177"/>
    <w:rsid w:val="001C5F0F"/>
    <w:rsid w:val="001C6225"/>
    <w:rsid w:val="001D25DA"/>
    <w:rsid w:val="001D2745"/>
    <w:rsid w:val="001D2D15"/>
    <w:rsid w:val="001D50C0"/>
    <w:rsid w:val="001D5556"/>
    <w:rsid w:val="001D7758"/>
    <w:rsid w:val="001E3A26"/>
    <w:rsid w:val="001E5637"/>
    <w:rsid w:val="001E621B"/>
    <w:rsid w:val="001F2EE8"/>
    <w:rsid w:val="001F3F19"/>
    <w:rsid w:val="001F5F4B"/>
    <w:rsid w:val="001F79FF"/>
    <w:rsid w:val="002015C4"/>
    <w:rsid w:val="00205E85"/>
    <w:rsid w:val="00206ABD"/>
    <w:rsid w:val="00212648"/>
    <w:rsid w:val="002134F7"/>
    <w:rsid w:val="00213545"/>
    <w:rsid w:val="0021666B"/>
    <w:rsid w:val="0021722D"/>
    <w:rsid w:val="002216E3"/>
    <w:rsid w:val="002240CE"/>
    <w:rsid w:val="00225CC0"/>
    <w:rsid w:val="00227178"/>
    <w:rsid w:val="00230C51"/>
    <w:rsid w:val="00230E62"/>
    <w:rsid w:val="00233F52"/>
    <w:rsid w:val="00235472"/>
    <w:rsid w:val="00235527"/>
    <w:rsid w:val="00237691"/>
    <w:rsid w:val="00240EF9"/>
    <w:rsid w:val="0024194E"/>
    <w:rsid w:val="00250998"/>
    <w:rsid w:val="00252434"/>
    <w:rsid w:val="00253B42"/>
    <w:rsid w:val="0025495F"/>
    <w:rsid w:val="002573AF"/>
    <w:rsid w:val="00257F6C"/>
    <w:rsid w:val="00260847"/>
    <w:rsid w:val="00265049"/>
    <w:rsid w:val="00273FEC"/>
    <w:rsid w:val="002758C6"/>
    <w:rsid w:val="00276274"/>
    <w:rsid w:val="00276D79"/>
    <w:rsid w:val="00280E8F"/>
    <w:rsid w:val="00283D88"/>
    <w:rsid w:val="0028487D"/>
    <w:rsid w:val="00284FF0"/>
    <w:rsid w:val="00292C50"/>
    <w:rsid w:val="00294EFD"/>
    <w:rsid w:val="002A03F1"/>
    <w:rsid w:val="002A3733"/>
    <w:rsid w:val="002A4597"/>
    <w:rsid w:val="002B0111"/>
    <w:rsid w:val="002B18D7"/>
    <w:rsid w:val="002B2D33"/>
    <w:rsid w:val="002B65D4"/>
    <w:rsid w:val="002B6D93"/>
    <w:rsid w:val="002B7EC6"/>
    <w:rsid w:val="002C292B"/>
    <w:rsid w:val="002D46A2"/>
    <w:rsid w:val="002D79C9"/>
    <w:rsid w:val="002E13DE"/>
    <w:rsid w:val="002E2806"/>
    <w:rsid w:val="002E433B"/>
    <w:rsid w:val="002E6C78"/>
    <w:rsid w:val="002F389D"/>
    <w:rsid w:val="002F3D4B"/>
    <w:rsid w:val="003000F9"/>
    <w:rsid w:val="00300E93"/>
    <w:rsid w:val="00302E41"/>
    <w:rsid w:val="00303EA6"/>
    <w:rsid w:val="00303F87"/>
    <w:rsid w:val="003049BE"/>
    <w:rsid w:val="00304DF1"/>
    <w:rsid w:val="00310A60"/>
    <w:rsid w:val="00310CB2"/>
    <w:rsid w:val="00311688"/>
    <w:rsid w:val="00312109"/>
    <w:rsid w:val="00312C2A"/>
    <w:rsid w:val="003146C2"/>
    <w:rsid w:val="0031715B"/>
    <w:rsid w:val="003175C3"/>
    <w:rsid w:val="003204FA"/>
    <w:rsid w:val="00321445"/>
    <w:rsid w:val="0032385F"/>
    <w:rsid w:val="00324C06"/>
    <w:rsid w:val="0032516B"/>
    <w:rsid w:val="0033216F"/>
    <w:rsid w:val="00333CCC"/>
    <w:rsid w:val="00333FE2"/>
    <w:rsid w:val="00334822"/>
    <w:rsid w:val="003356D8"/>
    <w:rsid w:val="003401FE"/>
    <w:rsid w:val="0034134D"/>
    <w:rsid w:val="0034442F"/>
    <w:rsid w:val="00344F59"/>
    <w:rsid w:val="00350D39"/>
    <w:rsid w:val="003536E3"/>
    <w:rsid w:val="003538FA"/>
    <w:rsid w:val="0035654D"/>
    <w:rsid w:val="00357DEC"/>
    <w:rsid w:val="00361514"/>
    <w:rsid w:val="00361CC3"/>
    <w:rsid w:val="003620B5"/>
    <w:rsid w:val="00365E51"/>
    <w:rsid w:val="00367B10"/>
    <w:rsid w:val="00370336"/>
    <w:rsid w:val="0037183F"/>
    <w:rsid w:val="00372AF9"/>
    <w:rsid w:val="0037461E"/>
    <w:rsid w:val="00374733"/>
    <w:rsid w:val="00374E76"/>
    <w:rsid w:val="0037552A"/>
    <w:rsid w:val="0037712C"/>
    <w:rsid w:val="003778E2"/>
    <w:rsid w:val="00380793"/>
    <w:rsid w:val="003821DF"/>
    <w:rsid w:val="00383399"/>
    <w:rsid w:val="003847F0"/>
    <w:rsid w:val="0038484A"/>
    <w:rsid w:val="00390AD1"/>
    <w:rsid w:val="003924A6"/>
    <w:rsid w:val="00392522"/>
    <w:rsid w:val="00394C81"/>
    <w:rsid w:val="00395332"/>
    <w:rsid w:val="003968FF"/>
    <w:rsid w:val="003A004D"/>
    <w:rsid w:val="003A10D9"/>
    <w:rsid w:val="003A27BD"/>
    <w:rsid w:val="003A3EDA"/>
    <w:rsid w:val="003A4D09"/>
    <w:rsid w:val="003A666E"/>
    <w:rsid w:val="003B197E"/>
    <w:rsid w:val="003C2709"/>
    <w:rsid w:val="003C2B43"/>
    <w:rsid w:val="003C443B"/>
    <w:rsid w:val="003C451F"/>
    <w:rsid w:val="003C6A61"/>
    <w:rsid w:val="003C77EE"/>
    <w:rsid w:val="003D188A"/>
    <w:rsid w:val="003D1F46"/>
    <w:rsid w:val="003D3AAC"/>
    <w:rsid w:val="003D4D10"/>
    <w:rsid w:val="003D625C"/>
    <w:rsid w:val="003E1A44"/>
    <w:rsid w:val="003E4793"/>
    <w:rsid w:val="003E788E"/>
    <w:rsid w:val="003E7ED6"/>
    <w:rsid w:val="003F0B2E"/>
    <w:rsid w:val="003F487E"/>
    <w:rsid w:val="003F6F7E"/>
    <w:rsid w:val="003F7F6D"/>
    <w:rsid w:val="00400D03"/>
    <w:rsid w:val="004043F7"/>
    <w:rsid w:val="0040460E"/>
    <w:rsid w:val="00407EDC"/>
    <w:rsid w:val="00410B64"/>
    <w:rsid w:val="004121EE"/>
    <w:rsid w:val="004163D3"/>
    <w:rsid w:val="004165D4"/>
    <w:rsid w:val="00417CCB"/>
    <w:rsid w:val="00417F14"/>
    <w:rsid w:val="00420AD1"/>
    <w:rsid w:val="00421429"/>
    <w:rsid w:val="00421DA9"/>
    <w:rsid w:val="00423E6D"/>
    <w:rsid w:val="004263BB"/>
    <w:rsid w:val="00430516"/>
    <w:rsid w:val="00431D51"/>
    <w:rsid w:val="004328B9"/>
    <w:rsid w:val="00433B15"/>
    <w:rsid w:val="00434BCB"/>
    <w:rsid w:val="0043613A"/>
    <w:rsid w:val="0044030D"/>
    <w:rsid w:val="0044127A"/>
    <w:rsid w:val="004418EC"/>
    <w:rsid w:val="004424F3"/>
    <w:rsid w:val="00442DE3"/>
    <w:rsid w:val="00444B5F"/>
    <w:rsid w:val="00451416"/>
    <w:rsid w:val="004538FC"/>
    <w:rsid w:val="00453F4C"/>
    <w:rsid w:val="00454458"/>
    <w:rsid w:val="0045765D"/>
    <w:rsid w:val="00460E19"/>
    <w:rsid w:val="00461D71"/>
    <w:rsid w:val="00463BEF"/>
    <w:rsid w:val="00466216"/>
    <w:rsid w:val="00471D1F"/>
    <w:rsid w:val="00474CDA"/>
    <w:rsid w:val="00477417"/>
    <w:rsid w:val="00482BAB"/>
    <w:rsid w:val="004871CA"/>
    <w:rsid w:val="00491C30"/>
    <w:rsid w:val="00491E7E"/>
    <w:rsid w:val="00492071"/>
    <w:rsid w:val="00492341"/>
    <w:rsid w:val="004949E9"/>
    <w:rsid w:val="0049528E"/>
    <w:rsid w:val="004A15BB"/>
    <w:rsid w:val="004A1630"/>
    <w:rsid w:val="004A2375"/>
    <w:rsid w:val="004A31D2"/>
    <w:rsid w:val="004A50CF"/>
    <w:rsid w:val="004A6391"/>
    <w:rsid w:val="004A6CD9"/>
    <w:rsid w:val="004A6F71"/>
    <w:rsid w:val="004B0599"/>
    <w:rsid w:val="004B1B6B"/>
    <w:rsid w:val="004B489B"/>
    <w:rsid w:val="004B51A4"/>
    <w:rsid w:val="004B6BFE"/>
    <w:rsid w:val="004B71ED"/>
    <w:rsid w:val="004C17FC"/>
    <w:rsid w:val="004C2463"/>
    <w:rsid w:val="004C2886"/>
    <w:rsid w:val="004C46F8"/>
    <w:rsid w:val="004D0F15"/>
    <w:rsid w:val="004D11A3"/>
    <w:rsid w:val="004D3B4B"/>
    <w:rsid w:val="004D46BB"/>
    <w:rsid w:val="004E3418"/>
    <w:rsid w:val="004E3D6B"/>
    <w:rsid w:val="004E4E12"/>
    <w:rsid w:val="004E58C1"/>
    <w:rsid w:val="004E6F4A"/>
    <w:rsid w:val="004F1FD7"/>
    <w:rsid w:val="004F2CB8"/>
    <w:rsid w:val="004F4CB1"/>
    <w:rsid w:val="004F69BD"/>
    <w:rsid w:val="004F70D6"/>
    <w:rsid w:val="004F7FBA"/>
    <w:rsid w:val="005009D5"/>
    <w:rsid w:val="00501412"/>
    <w:rsid w:val="00501C95"/>
    <w:rsid w:val="00501D0E"/>
    <w:rsid w:val="00501F65"/>
    <w:rsid w:val="00502924"/>
    <w:rsid w:val="00503840"/>
    <w:rsid w:val="00503C29"/>
    <w:rsid w:val="00505286"/>
    <w:rsid w:val="0050553D"/>
    <w:rsid w:val="005126A4"/>
    <w:rsid w:val="005136B1"/>
    <w:rsid w:val="005136D0"/>
    <w:rsid w:val="005139B8"/>
    <w:rsid w:val="00515D7C"/>
    <w:rsid w:val="00516283"/>
    <w:rsid w:val="00517D74"/>
    <w:rsid w:val="00523459"/>
    <w:rsid w:val="0052657C"/>
    <w:rsid w:val="00527ED2"/>
    <w:rsid w:val="005308F7"/>
    <w:rsid w:val="00532B19"/>
    <w:rsid w:val="00534C7E"/>
    <w:rsid w:val="005379BA"/>
    <w:rsid w:val="00537E64"/>
    <w:rsid w:val="00540580"/>
    <w:rsid w:val="00541047"/>
    <w:rsid w:val="00542BDB"/>
    <w:rsid w:val="00547DD5"/>
    <w:rsid w:val="0055162D"/>
    <w:rsid w:val="00551E25"/>
    <w:rsid w:val="005559E4"/>
    <w:rsid w:val="005572AD"/>
    <w:rsid w:val="00557766"/>
    <w:rsid w:val="00560C44"/>
    <w:rsid w:val="00563ECE"/>
    <w:rsid w:val="00564635"/>
    <w:rsid w:val="00572912"/>
    <w:rsid w:val="00575558"/>
    <w:rsid w:val="00576D1E"/>
    <w:rsid w:val="0057702E"/>
    <w:rsid w:val="005776A8"/>
    <w:rsid w:val="00580083"/>
    <w:rsid w:val="00580797"/>
    <w:rsid w:val="005809D6"/>
    <w:rsid w:val="00583E61"/>
    <w:rsid w:val="00587379"/>
    <w:rsid w:val="0058793B"/>
    <w:rsid w:val="005916EB"/>
    <w:rsid w:val="00592DC9"/>
    <w:rsid w:val="0059520D"/>
    <w:rsid w:val="005954FC"/>
    <w:rsid w:val="00596F9E"/>
    <w:rsid w:val="005A5073"/>
    <w:rsid w:val="005A76C8"/>
    <w:rsid w:val="005A7A47"/>
    <w:rsid w:val="005B1A22"/>
    <w:rsid w:val="005B3B2F"/>
    <w:rsid w:val="005B404C"/>
    <w:rsid w:val="005B7E50"/>
    <w:rsid w:val="005C05FD"/>
    <w:rsid w:val="005C0629"/>
    <w:rsid w:val="005C3FB8"/>
    <w:rsid w:val="005C4C40"/>
    <w:rsid w:val="005C5F3C"/>
    <w:rsid w:val="005C75D5"/>
    <w:rsid w:val="005D5A16"/>
    <w:rsid w:val="005D77E1"/>
    <w:rsid w:val="005E20C9"/>
    <w:rsid w:val="005E210B"/>
    <w:rsid w:val="005E24B2"/>
    <w:rsid w:val="005E452A"/>
    <w:rsid w:val="005E5159"/>
    <w:rsid w:val="005F0F47"/>
    <w:rsid w:val="005F14B1"/>
    <w:rsid w:val="005F1574"/>
    <w:rsid w:val="00601DE2"/>
    <w:rsid w:val="00602961"/>
    <w:rsid w:val="00610F65"/>
    <w:rsid w:val="0061208B"/>
    <w:rsid w:val="006134EA"/>
    <w:rsid w:val="006179E3"/>
    <w:rsid w:val="00617E4F"/>
    <w:rsid w:val="00622D1B"/>
    <w:rsid w:val="00627334"/>
    <w:rsid w:val="00631947"/>
    <w:rsid w:val="006335BE"/>
    <w:rsid w:val="00634521"/>
    <w:rsid w:val="00634B1A"/>
    <w:rsid w:val="006371C4"/>
    <w:rsid w:val="006407DF"/>
    <w:rsid w:val="00644DAA"/>
    <w:rsid w:val="00644E93"/>
    <w:rsid w:val="006466AD"/>
    <w:rsid w:val="006524B5"/>
    <w:rsid w:val="00661EDB"/>
    <w:rsid w:val="006645CD"/>
    <w:rsid w:val="00670555"/>
    <w:rsid w:val="006709E3"/>
    <w:rsid w:val="00672CEC"/>
    <w:rsid w:val="00675A82"/>
    <w:rsid w:val="006769BF"/>
    <w:rsid w:val="00676E12"/>
    <w:rsid w:val="006817A0"/>
    <w:rsid w:val="00691D88"/>
    <w:rsid w:val="00693EC6"/>
    <w:rsid w:val="00694221"/>
    <w:rsid w:val="006943BB"/>
    <w:rsid w:val="006946F5"/>
    <w:rsid w:val="006A36BF"/>
    <w:rsid w:val="006A39A0"/>
    <w:rsid w:val="006A43C4"/>
    <w:rsid w:val="006A7B3A"/>
    <w:rsid w:val="006B2189"/>
    <w:rsid w:val="006B2859"/>
    <w:rsid w:val="006B3458"/>
    <w:rsid w:val="006B640D"/>
    <w:rsid w:val="006B6578"/>
    <w:rsid w:val="006B742D"/>
    <w:rsid w:val="006C024A"/>
    <w:rsid w:val="006C2AFE"/>
    <w:rsid w:val="006D044F"/>
    <w:rsid w:val="006D0CD6"/>
    <w:rsid w:val="006D78C2"/>
    <w:rsid w:val="006E00B8"/>
    <w:rsid w:val="006E09D7"/>
    <w:rsid w:val="006E42E5"/>
    <w:rsid w:val="006E4F7A"/>
    <w:rsid w:val="006E7ACA"/>
    <w:rsid w:val="006F0979"/>
    <w:rsid w:val="006F0E75"/>
    <w:rsid w:val="006F1EFD"/>
    <w:rsid w:val="006F1F8D"/>
    <w:rsid w:val="006F3099"/>
    <w:rsid w:val="006F6D96"/>
    <w:rsid w:val="006F7A81"/>
    <w:rsid w:val="0070150C"/>
    <w:rsid w:val="00701BE5"/>
    <w:rsid w:val="0070388C"/>
    <w:rsid w:val="007056E2"/>
    <w:rsid w:val="007069A1"/>
    <w:rsid w:val="00706A05"/>
    <w:rsid w:val="00711A54"/>
    <w:rsid w:val="00712529"/>
    <w:rsid w:val="00713358"/>
    <w:rsid w:val="00723C8E"/>
    <w:rsid w:val="0072465A"/>
    <w:rsid w:val="007261EA"/>
    <w:rsid w:val="00726CC3"/>
    <w:rsid w:val="00730224"/>
    <w:rsid w:val="00735BA1"/>
    <w:rsid w:val="007401D9"/>
    <w:rsid w:val="0074744E"/>
    <w:rsid w:val="00751AE0"/>
    <w:rsid w:val="00751E5A"/>
    <w:rsid w:val="00760BD0"/>
    <w:rsid w:val="007619FB"/>
    <w:rsid w:val="00761CC5"/>
    <w:rsid w:val="00762A08"/>
    <w:rsid w:val="00762DC1"/>
    <w:rsid w:val="00763604"/>
    <w:rsid w:val="00772B3B"/>
    <w:rsid w:val="007774EA"/>
    <w:rsid w:val="00782848"/>
    <w:rsid w:val="00784224"/>
    <w:rsid w:val="00785545"/>
    <w:rsid w:val="007871FA"/>
    <w:rsid w:val="0079682F"/>
    <w:rsid w:val="007A45D7"/>
    <w:rsid w:val="007B0933"/>
    <w:rsid w:val="007B302A"/>
    <w:rsid w:val="007B538A"/>
    <w:rsid w:val="007C47D8"/>
    <w:rsid w:val="007C510E"/>
    <w:rsid w:val="007C62E7"/>
    <w:rsid w:val="007D0694"/>
    <w:rsid w:val="007D0AF8"/>
    <w:rsid w:val="007D53C2"/>
    <w:rsid w:val="007E0FC5"/>
    <w:rsid w:val="007E2071"/>
    <w:rsid w:val="007F3E8C"/>
    <w:rsid w:val="007F4F44"/>
    <w:rsid w:val="007F7563"/>
    <w:rsid w:val="00800A18"/>
    <w:rsid w:val="0080290B"/>
    <w:rsid w:val="00802A3F"/>
    <w:rsid w:val="008037F9"/>
    <w:rsid w:val="00805768"/>
    <w:rsid w:val="008101EC"/>
    <w:rsid w:val="008167BB"/>
    <w:rsid w:val="00817F88"/>
    <w:rsid w:val="00821C2E"/>
    <w:rsid w:val="00823727"/>
    <w:rsid w:val="00823CFE"/>
    <w:rsid w:val="00824176"/>
    <w:rsid w:val="00826CCE"/>
    <w:rsid w:val="00827429"/>
    <w:rsid w:val="00831A16"/>
    <w:rsid w:val="00837C87"/>
    <w:rsid w:val="00840CDF"/>
    <w:rsid w:val="008415CD"/>
    <w:rsid w:val="0084237B"/>
    <w:rsid w:val="008457C8"/>
    <w:rsid w:val="008466FB"/>
    <w:rsid w:val="008470F3"/>
    <w:rsid w:val="00850155"/>
    <w:rsid w:val="0085049F"/>
    <w:rsid w:val="008541A4"/>
    <w:rsid w:val="008557B0"/>
    <w:rsid w:val="0086071F"/>
    <w:rsid w:val="00861785"/>
    <w:rsid w:val="0086439D"/>
    <w:rsid w:val="0086594A"/>
    <w:rsid w:val="00866A1D"/>
    <w:rsid w:val="00866DB0"/>
    <w:rsid w:val="00867AFD"/>
    <w:rsid w:val="00870455"/>
    <w:rsid w:val="00871324"/>
    <w:rsid w:val="0087275E"/>
    <w:rsid w:val="00873ADA"/>
    <w:rsid w:val="008765A7"/>
    <w:rsid w:val="00876AF0"/>
    <w:rsid w:val="008829A7"/>
    <w:rsid w:val="008853C3"/>
    <w:rsid w:val="0088668E"/>
    <w:rsid w:val="00886FFE"/>
    <w:rsid w:val="008901F0"/>
    <w:rsid w:val="00890DA8"/>
    <w:rsid w:val="0089200A"/>
    <w:rsid w:val="0089208D"/>
    <w:rsid w:val="008930A1"/>
    <w:rsid w:val="008970A8"/>
    <w:rsid w:val="00897EB6"/>
    <w:rsid w:val="008A0302"/>
    <w:rsid w:val="008A0C9C"/>
    <w:rsid w:val="008B0352"/>
    <w:rsid w:val="008B189F"/>
    <w:rsid w:val="008B3191"/>
    <w:rsid w:val="008C3D59"/>
    <w:rsid w:val="008C4AC1"/>
    <w:rsid w:val="008C6189"/>
    <w:rsid w:val="008C7436"/>
    <w:rsid w:val="008D0DA3"/>
    <w:rsid w:val="008D29B3"/>
    <w:rsid w:val="008D3634"/>
    <w:rsid w:val="008D3D89"/>
    <w:rsid w:val="008D4D8D"/>
    <w:rsid w:val="008D5DB5"/>
    <w:rsid w:val="008E0D43"/>
    <w:rsid w:val="008E2FB8"/>
    <w:rsid w:val="008E304C"/>
    <w:rsid w:val="008E6271"/>
    <w:rsid w:val="008E6356"/>
    <w:rsid w:val="008E792D"/>
    <w:rsid w:val="008F0D1B"/>
    <w:rsid w:val="008F5927"/>
    <w:rsid w:val="00900D05"/>
    <w:rsid w:val="0090102E"/>
    <w:rsid w:val="009033C4"/>
    <w:rsid w:val="00905A21"/>
    <w:rsid w:val="0091113E"/>
    <w:rsid w:val="009116DC"/>
    <w:rsid w:val="00912E7D"/>
    <w:rsid w:val="00913E67"/>
    <w:rsid w:val="00914828"/>
    <w:rsid w:val="00914BA3"/>
    <w:rsid w:val="009202B5"/>
    <w:rsid w:val="0092526B"/>
    <w:rsid w:val="00927691"/>
    <w:rsid w:val="009351EA"/>
    <w:rsid w:val="00936F25"/>
    <w:rsid w:val="009370C5"/>
    <w:rsid w:val="0095017B"/>
    <w:rsid w:val="009513DF"/>
    <w:rsid w:val="00951731"/>
    <w:rsid w:val="0095349E"/>
    <w:rsid w:val="00956E9A"/>
    <w:rsid w:val="00960B60"/>
    <w:rsid w:val="0096134A"/>
    <w:rsid w:val="00963ADE"/>
    <w:rsid w:val="00965C4A"/>
    <w:rsid w:val="009660DD"/>
    <w:rsid w:val="009706AF"/>
    <w:rsid w:val="0097323E"/>
    <w:rsid w:val="0097342A"/>
    <w:rsid w:val="009741C3"/>
    <w:rsid w:val="009746DD"/>
    <w:rsid w:val="0098152A"/>
    <w:rsid w:val="00987057"/>
    <w:rsid w:val="009951D4"/>
    <w:rsid w:val="009A1952"/>
    <w:rsid w:val="009A5221"/>
    <w:rsid w:val="009A556B"/>
    <w:rsid w:val="009A7295"/>
    <w:rsid w:val="009B131E"/>
    <w:rsid w:val="009B5199"/>
    <w:rsid w:val="009B5547"/>
    <w:rsid w:val="009C0BDF"/>
    <w:rsid w:val="009C1C5F"/>
    <w:rsid w:val="009C1E50"/>
    <w:rsid w:val="009C6E1D"/>
    <w:rsid w:val="009D1BFB"/>
    <w:rsid w:val="009D3109"/>
    <w:rsid w:val="009D3B40"/>
    <w:rsid w:val="009E082D"/>
    <w:rsid w:val="009E0A84"/>
    <w:rsid w:val="009E0D77"/>
    <w:rsid w:val="009E45C0"/>
    <w:rsid w:val="009E5E00"/>
    <w:rsid w:val="009E7A37"/>
    <w:rsid w:val="009F3E8A"/>
    <w:rsid w:val="009F40AA"/>
    <w:rsid w:val="009F4492"/>
    <w:rsid w:val="009F69C5"/>
    <w:rsid w:val="009F7150"/>
    <w:rsid w:val="00A0082F"/>
    <w:rsid w:val="00A023C1"/>
    <w:rsid w:val="00A02C18"/>
    <w:rsid w:val="00A038EE"/>
    <w:rsid w:val="00A11DB6"/>
    <w:rsid w:val="00A12F8C"/>
    <w:rsid w:val="00A16356"/>
    <w:rsid w:val="00A165DE"/>
    <w:rsid w:val="00A17906"/>
    <w:rsid w:val="00A2138E"/>
    <w:rsid w:val="00A25B34"/>
    <w:rsid w:val="00A27EB7"/>
    <w:rsid w:val="00A30198"/>
    <w:rsid w:val="00A301DE"/>
    <w:rsid w:val="00A33CEF"/>
    <w:rsid w:val="00A35BBA"/>
    <w:rsid w:val="00A3629D"/>
    <w:rsid w:val="00A378A5"/>
    <w:rsid w:val="00A40C45"/>
    <w:rsid w:val="00A41847"/>
    <w:rsid w:val="00A43BD7"/>
    <w:rsid w:val="00A44534"/>
    <w:rsid w:val="00A45369"/>
    <w:rsid w:val="00A45747"/>
    <w:rsid w:val="00A4740E"/>
    <w:rsid w:val="00A51BB4"/>
    <w:rsid w:val="00A5398A"/>
    <w:rsid w:val="00A53D1F"/>
    <w:rsid w:val="00A62B17"/>
    <w:rsid w:val="00A64195"/>
    <w:rsid w:val="00A668BB"/>
    <w:rsid w:val="00A70E36"/>
    <w:rsid w:val="00A753B5"/>
    <w:rsid w:val="00A75B8B"/>
    <w:rsid w:val="00A80137"/>
    <w:rsid w:val="00A868EC"/>
    <w:rsid w:val="00A90373"/>
    <w:rsid w:val="00A903D6"/>
    <w:rsid w:val="00A904EC"/>
    <w:rsid w:val="00A9229F"/>
    <w:rsid w:val="00A96C8B"/>
    <w:rsid w:val="00A97733"/>
    <w:rsid w:val="00AA19E6"/>
    <w:rsid w:val="00AA2A04"/>
    <w:rsid w:val="00AA3BE0"/>
    <w:rsid w:val="00AA50B7"/>
    <w:rsid w:val="00AB179A"/>
    <w:rsid w:val="00AB198A"/>
    <w:rsid w:val="00AB27BD"/>
    <w:rsid w:val="00AB4D94"/>
    <w:rsid w:val="00AB6C31"/>
    <w:rsid w:val="00AC66D2"/>
    <w:rsid w:val="00AD3853"/>
    <w:rsid w:val="00AD3D29"/>
    <w:rsid w:val="00AD412D"/>
    <w:rsid w:val="00AE176D"/>
    <w:rsid w:val="00AE2083"/>
    <w:rsid w:val="00AE2DCD"/>
    <w:rsid w:val="00AE38AF"/>
    <w:rsid w:val="00AE3A61"/>
    <w:rsid w:val="00AF0BDD"/>
    <w:rsid w:val="00AF1820"/>
    <w:rsid w:val="00AF3321"/>
    <w:rsid w:val="00AF359B"/>
    <w:rsid w:val="00AF3F3B"/>
    <w:rsid w:val="00B03079"/>
    <w:rsid w:val="00B06D3A"/>
    <w:rsid w:val="00B13EEB"/>
    <w:rsid w:val="00B14A1E"/>
    <w:rsid w:val="00B17672"/>
    <w:rsid w:val="00B17F25"/>
    <w:rsid w:val="00B26F20"/>
    <w:rsid w:val="00B360EA"/>
    <w:rsid w:val="00B40B89"/>
    <w:rsid w:val="00B41356"/>
    <w:rsid w:val="00B4273E"/>
    <w:rsid w:val="00B43588"/>
    <w:rsid w:val="00B44B6E"/>
    <w:rsid w:val="00B45893"/>
    <w:rsid w:val="00B46BAB"/>
    <w:rsid w:val="00B505EE"/>
    <w:rsid w:val="00B50F67"/>
    <w:rsid w:val="00B64A7B"/>
    <w:rsid w:val="00B67E6E"/>
    <w:rsid w:val="00B71457"/>
    <w:rsid w:val="00B71A99"/>
    <w:rsid w:val="00B7296B"/>
    <w:rsid w:val="00B7401D"/>
    <w:rsid w:val="00B75B51"/>
    <w:rsid w:val="00B81B0D"/>
    <w:rsid w:val="00B82047"/>
    <w:rsid w:val="00B821E6"/>
    <w:rsid w:val="00B82A4A"/>
    <w:rsid w:val="00B82CE9"/>
    <w:rsid w:val="00B83AE9"/>
    <w:rsid w:val="00B86435"/>
    <w:rsid w:val="00B8743D"/>
    <w:rsid w:val="00B87FB4"/>
    <w:rsid w:val="00B91EA6"/>
    <w:rsid w:val="00B925AF"/>
    <w:rsid w:val="00B933A9"/>
    <w:rsid w:val="00B95C5A"/>
    <w:rsid w:val="00B9721A"/>
    <w:rsid w:val="00BA0521"/>
    <w:rsid w:val="00BA2D75"/>
    <w:rsid w:val="00BA3E3E"/>
    <w:rsid w:val="00BA51C0"/>
    <w:rsid w:val="00BA7B8F"/>
    <w:rsid w:val="00BA7E67"/>
    <w:rsid w:val="00BB0B80"/>
    <w:rsid w:val="00BB2F50"/>
    <w:rsid w:val="00BC46EF"/>
    <w:rsid w:val="00BC5693"/>
    <w:rsid w:val="00BC76DE"/>
    <w:rsid w:val="00BD28C5"/>
    <w:rsid w:val="00BD28D1"/>
    <w:rsid w:val="00BD4EB7"/>
    <w:rsid w:val="00BE0659"/>
    <w:rsid w:val="00BE081D"/>
    <w:rsid w:val="00BE0EBC"/>
    <w:rsid w:val="00BE121C"/>
    <w:rsid w:val="00BE4407"/>
    <w:rsid w:val="00BE5DFB"/>
    <w:rsid w:val="00BF2389"/>
    <w:rsid w:val="00BF276E"/>
    <w:rsid w:val="00BF5390"/>
    <w:rsid w:val="00BF759F"/>
    <w:rsid w:val="00BF783A"/>
    <w:rsid w:val="00C04C8E"/>
    <w:rsid w:val="00C07386"/>
    <w:rsid w:val="00C13C6F"/>
    <w:rsid w:val="00C1473D"/>
    <w:rsid w:val="00C14F5E"/>
    <w:rsid w:val="00C16A4F"/>
    <w:rsid w:val="00C174D4"/>
    <w:rsid w:val="00C20F09"/>
    <w:rsid w:val="00C23415"/>
    <w:rsid w:val="00C2356C"/>
    <w:rsid w:val="00C235D4"/>
    <w:rsid w:val="00C255F9"/>
    <w:rsid w:val="00C27AD3"/>
    <w:rsid w:val="00C33416"/>
    <w:rsid w:val="00C35138"/>
    <w:rsid w:val="00C35743"/>
    <w:rsid w:val="00C35C7C"/>
    <w:rsid w:val="00C3695A"/>
    <w:rsid w:val="00C4005F"/>
    <w:rsid w:val="00C4116E"/>
    <w:rsid w:val="00C418FD"/>
    <w:rsid w:val="00C432BD"/>
    <w:rsid w:val="00C4416C"/>
    <w:rsid w:val="00C44951"/>
    <w:rsid w:val="00C46C4D"/>
    <w:rsid w:val="00C50328"/>
    <w:rsid w:val="00C520B9"/>
    <w:rsid w:val="00C526DC"/>
    <w:rsid w:val="00C56FE7"/>
    <w:rsid w:val="00C57BCD"/>
    <w:rsid w:val="00C627FD"/>
    <w:rsid w:val="00C641D7"/>
    <w:rsid w:val="00C66E1D"/>
    <w:rsid w:val="00C701CF"/>
    <w:rsid w:val="00C72BD2"/>
    <w:rsid w:val="00C7416C"/>
    <w:rsid w:val="00C77E81"/>
    <w:rsid w:val="00C82DB2"/>
    <w:rsid w:val="00C83A51"/>
    <w:rsid w:val="00C8564F"/>
    <w:rsid w:val="00C8674A"/>
    <w:rsid w:val="00C95755"/>
    <w:rsid w:val="00C95F65"/>
    <w:rsid w:val="00C9716F"/>
    <w:rsid w:val="00CA0D40"/>
    <w:rsid w:val="00CA162B"/>
    <w:rsid w:val="00CA23CF"/>
    <w:rsid w:val="00CA4879"/>
    <w:rsid w:val="00CA4C3D"/>
    <w:rsid w:val="00CA58AD"/>
    <w:rsid w:val="00CA6EAC"/>
    <w:rsid w:val="00CB0BBF"/>
    <w:rsid w:val="00CB0E44"/>
    <w:rsid w:val="00CB4066"/>
    <w:rsid w:val="00CB6F7A"/>
    <w:rsid w:val="00CC2E5C"/>
    <w:rsid w:val="00CC3D0E"/>
    <w:rsid w:val="00CD062D"/>
    <w:rsid w:val="00CD3B3D"/>
    <w:rsid w:val="00CD4C1E"/>
    <w:rsid w:val="00CD5C13"/>
    <w:rsid w:val="00CD7704"/>
    <w:rsid w:val="00CE14AA"/>
    <w:rsid w:val="00CE316F"/>
    <w:rsid w:val="00CE4544"/>
    <w:rsid w:val="00CE5DEE"/>
    <w:rsid w:val="00CE727C"/>
    <w:rsid w:val="00CF033A"/>
    <w:rsid w:val="00CF31FB"/>
    <w:rsid w:val="00CF4089"/>
    <w:rsid w:val="00CF5746"/>
    <w:rsid w:val="00CF6BCB"/>
    <w:rsid w:val="00CF747E"/>
    <w:rsid w:val="00D028FE"/>
    <w:rsid w:val="00D07324"/>
    <w:rsid w:val="00D07620"/>
    <w:rsid w:val="00D102EC"/>
    <w:rsid w:val="00D11560"/>
    <w:rsid w:val="00D13E5E"/>
    <w:rsid w:val="00D15839"/>
    <w:rsid w:val="00D21103"/>
    <w:rsid w:val="00D21CA5"/>
    <w:rsid w:val="00D22B4C"/>
    <w:rsid w:val="00D25F69"/>
    <w:rsid w:val="00D31F6D"/>
    <w:rsid w:val="00D32D3D"/>
    <w:rsid w:val="00D33110"/>
    <w:rsid w:val="00D33FEE"/>
    <w:rsid w:val="00D35B0E"/>
    <w:rsid w:val="00D362BF"/>
    <w:rsid w:val="00D37F12"/>
    <w:rsid w:val="00D432E5"/>
    <w:rsid w:val="00D43E62"/>
    <w:rsid w:val="00D44123"/>
    <w:rsid w:val="00D45907"/>
    <w:rsid w:val="00D51B24"/>
    <w:rsid w:val="00D51D95"/>
    <w:rsid w:val="00D61B81"/>
    <w:rsid w:val="00D6241A"/>
    <w:rsid w:val="00D63D8B"/>
    <w:rsid w:val="00D66DDB"/>
    <w:rsid w:val="00D71950"/>
    <w:rsid w:val="00D74335"/>
    <w:rsid w:val="00D76F2A"/>
    <w:rsid w:val="00D851CF"/>
    <w:rsid w:val="00D86386"/>
    <w:rsid w:val="00D86FF3"/>
    <w:rsid w:val="00DA2086"/>
    <w:rsid w:val="00DB4D74"/>
    <w:rsid w:val="00DB6FF2"/>
    <w:rsid w:val="00DC0A10"/>
    <w:rsid w:val="00DC0EDF"/>
    <w:rsid w:val="00DC1927"/>
    <w:rsid w:val="00DC2D4B"/>
    <w:rsid w:val="00DC4527"/>
    <w:rsid w:val="00DC553C"/>
    <w:rsid w:val="00DC5A1D"/>
    <w:rsid w:val="00DC7280"/>
    <w:rsid w:val="00DD120D"/>
    <w:rsid w:val="00DD1B71"/>
    <w:rsid w:val="00DD2998"/>
    <w:rsid w:val="00DD3400"/>
    <w:rsid w:val="00DD4168"/>
    <w:rsid w:val="00DD4F03"/>
    <w:rsid w:val="00DD5B86"/>
    <w:rsid w:val="00DD7883"/>
    <w:rsid w:val="00DE5357"/>
    <w:rsid w:val="00DE62F6"/>
    <w:rsid w:val="00DE68CB"/>
    <w:rsid w:val="00DE6D6A"/>
    <w:rsid w:val="00DE7C5A"/>
    <w:rsid w:val="00DF0F44"/>
    <w:rsid w:val="00DF37C5"/>
    <w:rsid w:val="00DF3868"/>
    <w:rsid w:val="00DF4A35"/>
    <w:rsid w:val="00DF53F7"/>
    <w:rsid w:val="00DF5AE3"/>
    <w:rsid w:val="00E00821"/>
    <w:rsid w:val="00E0178B"/>
    <w:rsid w:val="00E021A4"/>
    <w:rsid w:val="00E024D2"/>
    <w:rsid w:val="00E02BF6"/>
    <w:rsid w:val="00E04531"/>
    <w:rsid w:val="00E10C1A"/>
    <w:rsid w:val="00E15D10"/>
    <w:rsid w:val="00E15E88"/>
    <w:rsid w:val="00E1631A"/>
    <w:rsid w:val="00E24129"/>
    <w:rsid w:val="00E2563D"/>
    <w:rsid w:val="00E27626"/>
    <w:rsid w:val="00E3053F"/>
    <w:rsid w:val="00E31880"/>
    <w:rsid w:val="00E33F2E"/>
    <w:rsid w:val="00E34F93"/>
    <w:rsid w:val="00E375D7"/>
    <w:rsid w:val="00E43BC8"/>
    <w:rsid w:val="00E4462E"/>
    <w:rsid w:val="00E47DC1"/>
    <w:rsid w:val="00E52B03"/>
    <w:rsid w:val="00E536F6"/>
    <w:rsid w:val="00E544E0"/>
    <w:rsid w:val="00E54B68"/>
    <w:rsid w:val="00E615D2"/>
    <w:rsid w:val="00E6776E"/>
    <w:rsid w:val="00E67C03"/>
    <w:rsid w:val="00E74858"/>
    <w:rsid w:val="00E75440"/>
    <w:rsid w:val="00E75D6A"/>
    <w:rsid w:val="00E771C3"/>
    <w:rsid w:val="00E7746A"/>
    <w:rsid w:val="00E91A9E"/>
    <w:rsid w:val="00E920B9"/>
    <w:rsid w:val="00E940D7"/>
    <w:rsid w:val="00E94FDA"/>
    <w:rsid w:val="00E96B29"/>
    <w:rsid w:val="00EA0FB4"/>
    <w:rsid w:val="00EA1FD9"/>
    <w:rsid w:val="00EA20CB"/>
    <w:rsid w:val="00EA4066"/>
    <w:rsid w:val="00EA6C63"/>
    <w:rsid w:val="00EB0A49"/>
    <w:rsid w:val="00EB3433"/>
    <w:rsid w:val="00EB5211"/>
    <w:rsid w:val="00EB6445"/>
    <w:rsid w:val="00EB7E3E"/>
    <w:rsid w:val="00EC4641"/>
    <w:rsid w:val="00EC7553"/>
    <w:rsid w:val="00ED0452"/>
    <w:rsid w:val="00ED0709"/>
    <w:rsid w:val="00ED16B2"/>
    <w:rsid w:val="00ED30B2"/>
    <w:rsid w:val="00ED3AEF"/>
    <w:rsid w:val="00ED426F"/>
    <w:rsid w:val="00ED52DF"/>
    <w:rsid w:val="00ED5EB6"/>
    <w:rsid w:val="00ED6006"/>
    <w:rsid w:val="00ED60B9"/>
    <w:rsid w:val="00EE0BD5"/>
    <w:rsid w:val="00EE163E"/>
    <w:rsid w:val="00EE20D8"/>
    <w:rsid w:val="00EE22DC"/>
    <w:rsid w:val="00EE3D04"/>
    <w:rsid w:val="00EF2725"/>
    <w:rsid w:val="00EF2CD3"/>
    <w:rsid w:val="00EF2F5E"/>
    <w:rsid w:val="00EF2F8D"/>
    <w:rsid w:val="00EF5115"/>
    <w:rsid w:val="00EF79CA"/>
    <w:rsid w:val="00F03675"/>
    <w:rsid w:val="00F04341"/>
    <w:rsid w:val="00F05763"/>
    <w:rsid w:val="00F121FE"/>
    <w:rsid w:val="00F12660"/>
    <w:rsid w:val="00F12874"/>
    <w:rsid w:val="00F165AA"/>
    <w:rsid w:val="00F20789"/>
    <w:rsid w:val="00F2244C"/>
    <w:rsid w:val="00F272FD"/>
    <w:rsid w:val="00F309DC"/>
    <w:rsid w:val="00F35CB5"/>
    <w:rsid w:val="00F36EB5"/>
    <w:rsid w:val="00F4420D"/>
    <w:rsid w:val="00F452EA"/>
    <w:rsid w:val="00F512B2"/>
    <w:rsid w:val="00F548A6"/>
    <w:rsid w:val="00F552D1"/>
    <w:rsid w:val="00F558ED"/>
    <w:rsid w:val="00F55DEB"/>
    <w:rsid w:val="00F565F7"/>
    <w:rsid w:val="00F64513"/>
    <w:rsid w:val="00F7253E"/>
    <w:rsid w:val="00F72C44"/>
    <w:rsid w:val="00F73546"/>
    <w:rsid w:val="00F75B6B"/>
    <w:rsid w:val="00F805D0"/>
    <w:rsid w:val="00F81D43"/>
    <w:rsid w:val="00F83651"/>
    <w:rsid w:val="00F95A4D"/>
    <w:rsid w:val="00F97FBA"/>
    <w:rsid w:val="00FA0FD3"/>
    <w:rsid w:val="00FA5E9F"/>
    <w:rsid w:val="00FA6E08"/>
    <w:rsid w:val="00FB16D5"/>
    <w:rsid w:val="00FB4729"/>
    <w:rsid w:val="00FB4C35"/>
    <w:rsid w:val="00FB4D15"/>
    <w:rsid w:val="00FB6882"/>
    <w:rsid w:val="00FB7040"/>
    <w:rsid w:val="00FB7DC8"/>
    <w:rsid w:val="00FC031E"/>
    <w:rsid w:val="00FC17EB"/>
    <w:rsid w:val="00FC4E59"/>
    <w:rsid w:val="00FD093A"/>
    <w:rsid w:val="00FD20FE"/>
    <w:rsid w:val="00FD4014"/>
    <w:rsid w:val="00FE1DBA"/>
    <w:rsid w:val="00FE6ECC"/>
    <w:rsid w:val="00FE7FE2"/>
    <w:rsid w:val="00FF0DAF"/>
    <w:rsid w:val="00FF3C79"/>
    <w:rsid w:val="00FF46E6"/>
    <w:rsid w:val="00FF5061"/>
    <w:rsid w:val="00FF65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405E79"/>
  <w14:defaultImageDpi w14:val="300"/>
  <w15:docId w15:val="{AF4DB42D-13A9-4232-9962-D28FC2AEA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A16"/>
    <w:rPr>
      <w:lang w:val="en-AU"/>
    </w:rPr>
  </w:style>
  <w:style w:type="paragraph" w:styleId="Heading1">
    <w:name w:val="heading 1"/>
    <w:basedOn w:val="Normal"/>
    <w:next w:val="Normal"/>
    <w:link w:val="Heading1Char"/>
    <w:uiPriority w:val="9"/>
    <w:qFormat/>
    <w:rsid w:val="003E7ED6"/>
    <w:pPr>
      <w:keepNext/>
      <w:keepLines/>
      <w:spacing w:before="240" w:after="240"/>
      <w:outlineLvl w:val="0"/>
    </w:pPr>
    <w:rPr>
      <w:rFonts w:ascii="Arial" w:eastAsiaTheme="majorEastAsia" w:hAnsi="Arial" w:cstheme="majorBidi"/>
      <w:color w:val="004270"/>
      <w:sz w:val="36"/>
      <w:szCs w:val="36"/>
    </w:rPr>
  </w:style>
  <w:style w:type="paragraph" w:styleId="Heading2">
    <w:name w:val="heading 2"/>
    <w:basedOn w:val="Normal"/>
    <w:next w:val="Normal"/>
    <w:link w:val="Heading2Char"/>
    <w:uiPriority w:val="9"/>
    <w:unhideWhenUsed/>
    <w:qFormat/>
    <w:rsid w:val="003E7ED6"/>
    <w:pPr>
      <w:keepNext/>
      <w:keepLines/>
      <w:spacing w:before="240" w:after="120"/>
      <w:outlineLvl w:val="1"/>
    </w:pPr>
    <w:rPr>
      <w:rFonts w:ascii="Arial" w:eastAsiaTheme="majorEastAsia" w:hAnsi="Arial" w:cstheme="majorBidi"/>
      <w:color w:val="004270"/>
      <w:sz w:val="28"/>
      <w:szCs w:val="28"/>
      <w:lang w:val="en-US"/>
    </w:rPr>
  </w:style>
  <w:style w:type="paragraph" w:styleId="Heading3">
    <w:name w:val="heading 3"/>
    <w:basedOn w:val="Normal"/>
    <w:next w:val="Normal"/>
    <w:link w:val="Heading3Char"/>
    <w:uiPriority w:val="9"/>
    <w:unhideWhenUsed/>
    <w:qFormat/>
    <w:rsid w:val="00DB4D74"/>
    <w:pPr>
      <w:keepNext/>
      <w:keepLines/>
      <w:spacing w:before="240" w:after="120" w:line="276" w:lineRule="auto"/>
      <w:ind w:left="284"/>
      <w:outlineLvl w:val="2"/>
    </w:pPr>
    <w:rPr>
      <w:rFonts w:ascii="Arial" w:eastAsiaTheme="majorEastAsia" w:hAnsi="Arial" w:cstheme="majorBidi"/>
      <w:color w:val="004270"/>
      <w:sz w:val="28"/>
      <w:szCs w:val="22"/>
    </w:rPr>
  </w:style>
  <w:style w:type="paragraph" w:styleId="Heading4">
    <w:name w:val="heading 4"/>
    <w:basedOn w:val="Normal"/>
    <w:next w:val="Normal"/>
    <w:link w:val="Heading4Char"/>
    <w:uiPriority w:val="9"/>
    <w:semiHidden/>
    <w:unhideWhenUsed/>
    <w:qFormat/>
    <w:rsid w:val="000452F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7"/>
    <w:qFormat/>
    <w:rsid w:val="00B82CE9"/>
    <w:pPr>
      <w:ind w:left="720"/>
      <w:contextualSpacing/>
    </w:pPr>
  </w:style>
  <w:style w:type="paragraph" w:styleId="FootnoteText">
    <w:name w:val="footnote text"/>
    <w:basedOn w:val="Normal"/>
    <w:link w:val="FootnoteTextChar"/>
    <w:uiPriority w:val="99"/>
    <w:unhideWhenUsed/>
    <w:rsid w:val="00C33416"/>
    <w:rPr>
      <w:rFonts w:ascii="Arial" w:hAnsi="Arial"/>
      <w:sz w:val="20"/>
    </w:rPr>
  </w:style>
  <w:style w:type="character" w:customStyle="1" w:styleId="FootnoteTextChar">
    <w:name w:val="Footnote Text Char"/>
    <w:basedOn w:val="DefaultParagraphFont"/>
    <w:link w:val="FootnoteText"/>
    <w:uiPriority w:val="99"/>
    <w:rsid w:val="00C33416"/>
    <w:rPr>
      <w:rFonts w:ascii="Arial" w:hAnsi="Arial"/>
      <w:sz w:val="20"/>
    </w:rPr>
  </w:style>
  <w:style w:type="character" w:styleId="FootnoteReference">
    <w:name w:val="footnote reference"/>
    <w:basedOn w:val="DefaultParagraphFont"/>
    <w:uiPriority w:val="99"/>
    <w:unhideWhenUsed/>
    <w:rsid w:val="0034134D"/>
    <w:rPr>
      <w:vertAlign w:val="superscript"/>
    </w:rPr>
  </w:style>
  <w:style w:type="character" w:customStyle="1" w:styleId="Heading1Char">
    <w:name w:val="Heading 1 Char"/>
    <w:basedOn w:val="DefaultParagraphFont"/>
    <w:link w:val="Heading1"/>
    <w:uiPriority w:val="9"/>
    <w:rsid w:val="003E7ED6"/>
    <w:rPr>
      <w:rFonts w:ascii="Arial" w:eastAsiaTheme="majorEastAsia" w:hAnsi="Arial" w:cstheme="majorBidi"/>
      <w:color w:val="004270"/>
      <w:sz w:val="36"/>
      <w:szCs w:val="36"/>
      <w:lang w:val="en-AU"/>
    </w:rPr>
  </w:style>
  <w:style w:type="paragraph" w:styleId="NoSpacing">
    <w:name w:val="No Spacing"/>
    <w:link w:val="NoSpacingChar"/>
    <w:uiPriority w:val="1"/>
    <w:qFormat/>
    <w:rsid w:val="00A16356"/>
    <w:rPr>
      <w:sz w:val="22"/>
      <w:szCs w:val="22"/>
    </w:rPr>
  </w:style>
  <w:style w:type="character" w:customStyle="1" w:styleId="NoSpacingChar">
    <w:name w:val="No Spacing Char"/>
    <w:basedOn w:val="DefaultParagraphFont"/>
    <w:link w:val="NoSpacing"/>
    <w:uiPriority w:val="1"/>
    <w:rsid w:val="00A16356"/>
    <w:rPr>
      <w:sz w:val="22"/>
      <w:szCs w:val="22"/>
    </w:rPr>
  </w:style>
  <w:style w:type="paragraph" w:styleId="TOCHeading">
    <w:name w:val="TOC Heading"/>
    <w:basedOn w:val="Heading1"/>
    <w:next w:val="Normal"/>
    <w:uiPriority w:val="39"/>
    <w:unhideWhenUsed/>
    <w:qFormat/>
    <w:rsid w:val="00A16356"/>
    <w:pPr>
      <w:spacing w:line="259" w:lineRule="auto"/>
      <w:outlineLvl w:val="9"/>
    </w:pPr>
    <w:rPr>
      <w:rFonts w:asciiTheme="majorHAnsi" w:hAnsiTheme="majorHAnsi"/>
      <w:b/>
      <w:sz w:val="32"/>
    </w:rPr>
  </w:style>
  <w:style w:type="paragraph" w:styleId="TOC1">
    <w:name w:val="toc 1"/>
    <w:basedOn w:val="Normal"/>
    <w:next w:val="Normal"/>
    <w:autoRedefine/>
    <w:uiPriority w:val="39"/>
    <w:unhideWhenUsed/>
    <w:rsid w:val="00A16356"/>
    <w:pPr>
      <w:spacing w:after="100"/>
    </w:pPr>
  </w:style>
  <w:style w:type="character" w:styleId="Hyperlink">
    <w:name w:val="Hyperlink"/>
    <w:basedOn w:val="DefaultParagraphFont"/>
    <w:uiPriority w:val="99"/>
    <w:unhideWhenUsed/>
    <w:rsid w:val="00A16356"/>
    <w:rPr>
      <w:color w:val="0000FF" w:themeColor="hyperlink"/>
      <w:u w:val="single"/>
    </w:rPr>
  </w:style>
  <w:style w:type="paragraph" w:styleId="Header">
    <w:name w:val="header"/>
    <w:basedOn w:val="Normal"/>
    <w:link w:val="HeaderChar"/>
    <w:uiPriority w:val="99"/>
    <w:unhideWhenUsed/>
    <w:rsid w:val="004A2375"/>
    <w:pPr>
      <w:tabs>
        <w:tab w:val="center" w:pos="4513"/>
        <w:tab w:val="right" w:pos="9026"/>
      </w:tabs>
    </w:pPr>
  </w:style>
  <w:style w:type="character" w:customStyle="1" w:styleId="HeaderChar">
    <w:name w:val="Header Char"/>
    <w:basedOn w:val="DefaultParagraphFont"/>
    <w:link w:val="Header"/>
    <w:uiPriority w:val="99"/>
    <w:rsid w:val="004A2375"/>
  </w:style>
  <w:style w:type="paragraph" w:styleId="Footer">
    <w:name w:val="footer"/>
    <w:basedOn w:val="Normal"/>
    <w:link w:val="FooterChar"/>
    <w:uiPriority w:val="99"/>
    <w:unhideWhenUsed/>
    <w:rsid w:val="004A2375"/>
    <w:pPr>
      <w:tabs>
        <w:tab w:val="center" w:pos="4513"/>
        <w:tab w:val="right" w:pos="9026"/>
      </w:tabs>
    </w:pPr>
  </w:style>
  <w:style w:type="character" w:customStyle="1" w:styleId="FooterChar">
    <w:name w:val="Footer Char"/>
    <w:basedOn w:val="DefaultParagraphFont"/>
    <w:link w:val="Footer"/>
    <w:uiPriority w:val="99"/>
    <w:rsid w:val="004A2375"/>
  </w:style>
  <w:style w:type="character" w:customStyle="1" w:styleId="Heading2Char">
    <w:name w:val="Heading 2 Char"/>
    <w:basedOn w:val="DefaultParagraphFont"/>
    <w:link w:val="Heading2"/>
    <w:uiPriority w:val="9"/>
    <w:rsid w:val="003E7ED6"/>
    <w:rPr>
      <w:rFonts w:ascii="Arial" w:eastAsiaTheme="majorEastAsia" w:hAnsi="Arial" w:cstheme="majorBidi"/>
      <w:color w:val="004270"/>
      <w:sz w:val="28"/>
      <w:szCs w:val="28"/>
    </w:rPr>
  </w:style>
  <w:style w:type="paragraph" w:styleId="TOC2">
    <w:name w:val="toc 2"/>
    <w:basedOn w:val="Normal"/>
    <w:next w:val="Normal"/>
    <w:autoRedefine/>
    <w:uiPriority w:val="39"/>
    <w:unhideWhenUsed/>
    <w:rsid w:val="00056960"/>
    <w:pPr>
      <w:tabs>
        <w:tab w:val="right" w:leader="dot" w:pos="8296"/>
      </w:tabs>
      <w:spacing w:before="120" w:after="120"/>
      <w:ind w:left="238"/>
    </w:pPr>
  </w:style>
  <w:style w:type="character" w:styleId="HTMLCite">
    <w:name w:val="HTML Cite"/>
    <w:uiPriority w:val="99"/>
    <w:unhideWhenUsed/>
    <w:rsid w:val="00D74335"/>
    <w:rPr>
      <w:i/>
      <w:iCs/>
    </w:rPr>
  </w:style>
  <w:style w:type="table" w:styleId="TableGrid">
    <w:name w:val="Table Grid"/>
    <w:basedOn w:val="TableNormal"/>
    <w:uiPriority w:val="59"/>
    <w:rsid w:val="00E7746A"/>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324"/>
    <w:rPr>
      <w:rFonts w:ascii="Segoe UI" w:hAnsi="Segoe UI" w:cs="Segoe UI"/>
      <w:sz w:val="18"/>
      <w:szCs w:val="18"/>
    </w:rPr>
  </w:style>
  <w:style w:type="character" w:customStyle="1" w:styleId="Heading3Char">
    <w:name w:val="Heading 3 Char"/>
    <w:basedOn w:val="DefaultParagraphFont"/>
    <w:link w:val="Heading3"/>
    <w:uiPriority w:val="9"/>
    <w:rsid w:val="00DB4D74"/>
    <w:rPr>
      <w:rFonts w:ascii="Arial" w:eastAsiaTheme="majorEastAsia" w:hAnsi="Arial" w:cstheme="majorBidi"/>
      <w:color w:val="004270"/>
      <w:sz w:val="28"/>
      <w:szCs w:val="22"/>
      <w:lang w:val="en-AU"/>
    </w:rPr>
  </w:style>
  <w:style w:type="paragraph" w:styleId="TOC3">
    <w:name w:val="toc 3"/>
    <w:basedOn w:val="Normal"/>
    <w:next w:val="Normal"/>
    <w:autoRedefine/>
    <w:uiPriority w:val="39"/>
    <w:unhideWhenUsed/>
    <w:rsid w:val="00041E58"/>
    <w:pPr>
      <w:spacing w:after="100"/>
      <w:ind w:left="480"/>
    </w:pPr>
  </w:style>
  <w:style w:type="character" w:styleId="CommentReference">
    <w:name w:val="annotation reference"/>
    <w:basedOn w:val="DefaultParagraphFont"/>
    <w:uiPriority w:val="99"/>
    <w:semiHidden/>
    <w:unhideWhenUsed/>
    <w:rsid w:val="00C526DC"/>
    <w:rPr>
      <w:sz w:val="16"/>
      <w:szCs w:val="16"/>
    </w:rPr>
  </w:style>
  <w:style w:type="paragraph" w:styleId="CommentText">
    <w:name w:val="annotation text"/>
    <w:basedOn w:val="Normal"/>
    <w:link w:val="CommentTextChar"/>
    <w:uiPriority w:val="99"/>
    <w:unhideWhenUsed/>
    <w:rsid w:val="00C526DC"/>
    <w:rPr>
      <w:sz w:val="20"/>
      <w:szCs w:val="20"/>
    </w:rPr>
  </w:style>
  <w:style w:type="character" w:customStyle="1" w:styleId="CommentTextChar">
    <w:name w:val="Comment Text Char"/>
    <w:basedOn w:val="DefaultParagraphFont"/>
    <w:link w:val="CommentText"/>
    <w:uiPriority w:val="99"/>
    <w:rsid w:val="00C526DC"/>
    <w:rPr>
      <w:sz w:val="20"/>
      <w:szCs w:val="20"/>
    </w:rPr>
  </w:style>
  <w:style w:type="paragraph" w:styleId="CommentSubject">
    <w:name w:val="annotation subject"/>
    <w:basedOn w:val="CommentText"/>
    <w:next w:val="CommentText"/>
    <w:link w:val="CommentSubjectChar"/>
    <w:uiPriority w:val="99"/>
    <w:semiHidden/>
    <w:unhideWhenUsed/>
    <w:rsid w:val="00C526DC"/>
    <w:rPr>
      <w:b/>
      <w:bCs/>
    </w:rPr>
  </w:style>
  <w:style w:type="character" w:customStyle="1" w:styleId="CommentSubjectChar">
    <w:name w:val="Comment Subject Char"/>
    <w:basedOn w:val="CommentTextChar"/>
    <w:link w:val="CommentSubject"/>
    <w:uiPriority w:val="99"/>
    <w:semiHidden/>
    <w:rsid w:val="00C526DC"/>
    <w:rPr>
      <w:b/>
      <w:bCs/>
      <w:sz w:val="20"/>
      <w:szCs w:val="20"/>
    </w:rPr>
  </w:style>
  <w:style w:type="paragraph" w:customStyle="1" w:styleId="Numberedparagraph">
    <w:name w:val="Numbered paragraph"/>
    <w:basedOn w:val="ListParagraph"/>
    <w:link w:val="NumberedparagraphChar"/>
    <w:qFormat/>
    <w:rsid w:val="002240CE"/>
    <w:pPr>
      <w:numPr>
        <w:numId w:val="13"/>
      </w:numPr>
      <w:spacing w:before="120" w:after="240" w:line="276" w:lineRule="auto"/>
      <w:ind w:left="567"/>
      <w:contextualSpacing w:val="0"/>
    </w:pPr>
    <w:rPr>
      <w:rFonts w:ascii="Arial" w:hAnsi="Arial" w:cs="Arial"/>
      <w:sz w:val="22"/>
    </w:rPr>
  </w:style>
  <w:style w:type="paragraph" w:styleId="Quote">
    <w:name w:val="Quote"/>
    <w:basedOn w:val="Normal"/>
    <w:next w:val="Normal"/>
    <w:link w:val="QuoteChar"/>
    <w:uiPriority w:val="29"/>
    <w:qFormat/>
    <w:rsid w:val="003C2709"/>
    <w:pPr>
      <w:spacing w:before="240" w:after="240" w:line="276" w:lineRule="auto"/>
      <w:ind w:left="907" w:right="843"/>
    </w:pPr>
    <w:rPr>
      <w:rFonts w:ascii="Arial" w:hAnsi="Arial" w:cs="Arial"/>
      <w:sz w:val="20"/>
      <w:szCs w:val="20"/>
    </w:rPr>
  </w:style>
  <w:style w:type="character" w:customStyle="1" w:styleId="ListParagraphChar">
    <w:name w:val="List Paragraph Char"/>
    <w:basedOn w:val="DefaultParagraphFont"/>
    <w:link w:val="ListParagraph"/>
    <w:uiPriority w:val="7"/>
    <w:rsid w:val="00502924"/>
  </w:style>
  <w:style w:type="character" w:customStyle="1" w:styleId="NumberedparagraphChar">
    <w:name w:val="Numbered paragraph Char"/>
    <w:basedOn w:val="ListParagraphChar"/>
    <w:link w:val="Numberedparagraph"/>
    <w:rsid w:val="002240CE"/>
    <w:rPr>
      <w:rFonts w:ascii="Arial" w:hAnsi="Arial" w:cs="Arial"/>
      <w:sz w:val="22"/>
      <w:lang w:val="en-AU"/>
    </w:rPr>
  </w:style>
  <w:style w:type="character" w:customStyle="1" w:styleId="QuoteChar">
    <w:name w:val="Quote Char"/>
    <w:basedOn w:val="DefaultParagraphFont"/>
    <w:link w:val="Quote"/>
    <w:uiPriority w:val="29"/>
    <w:rsid w:val="003C2709"/>
    <w:rPr>
      <w:rFonts w:ascii="Arial" w:hAnsi="Arial" w:cs="Arial"/>
      <w:sz w:val="20"/>
      <w:szCs w:val="20"/>
    </w:rPr>
  </w:style>
  <w:style w:type="paragraph" w:customStyle="1" w:styleId="Bulletedlist">
    <w:name w:val="Bulleted list"/>
    <w:basedOn w:val="ListParagraph"/>
    <w:qFormat/>
    <w:rsid w:val="00B71A99"/>
    <w:pPr>
      <w:numPr>
        <w:numId w:val="16"/>
      </w:numPr>
      <w:spacing w:after="120"/>
      <w:contextualSpacing w:val="0"/>
    </w:pPr>
    <w:rPr>
      <w:rFonts w:ascii="Arial" w:hAnsi="Arial" w:cs="Arial"/>
      <w:sz w:val="22"/>
    </w:rPr>
  </w:style>
  <w:style w:type="paragraph" w:customStyle="1" w:styleId="Default">
    <w:name w:val="Default"/>
    <w:rsid w:val="002B7EC6"/>
    <w:pPr>
      <w:autoSpaceDE w:val="0"/>
      <w:autoSpaceDN w:val="0"/>
      <w:adjustRightInd w:val="0"/>
    </w:pPr>
    <w:rPr>
      <w:rFonts w:ascii="Arial" w:eastAsiaTheme="minorHAnsi" w:hAnsi="Arial" w:cs="Arial"/>
      <w:color w:val="000000"/>
      <w:lang w:val="en-AU"/>
    </w:rPr>
  </w:style>
  <w:style w:type="paragraph" w:styleId="Subtitle">
    <w:name w:val="Subtitle"/>
    <w:basedOn w:val="Normal"/>
    <w:next w:val="Normal"/>
    <w:link w:val="SubtitleChar"/>
    <w:uiPriority w:val="11"/>
    <w:qFormat/>
    <w:rsid w:val="00F03675"/>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F03675"/>
    <w:rPr>
      <w:color w:val="5A5A5A" w:themeColor="text1" w:themeTint="A5"/>
      <w:spacing w:val="15"/>
      <w:sz w:val="22"/>
      <w:szCs w:val="22"/>
      <w:lang w:val="en-AU"/>
    </w:rPr>
  </w:style>
  <w:style w:type="character" w:styleId="FollowedHyperlink">
    <w:name w:val="FollowedHyperlink"/>
    <w:basedOn w:val="DefaultParagraphFont"/>
    <w:uiPriority w:val="99"/>
    <w:semiHidden/>
    <w:unhideWhenUsed/>
    <w:rsid w:val="00372AF9"/>
    <w:rPr>
      <w:color w:val="800080" w:themeColor="followedHyperlink"/>
      <w:u w:val="single"/>
    </w:rPr>
  </w:style>
  <w:style w:type="character" w:styleId="Emphasis">
    <w:name w:val="Emphasis"/>
    <w:basedOn w:val="DefaultParagraphFont"/>
    <w:uiPriority w:val="20"/>
    <w:qFormat/>
    <w:rsid w:val="009D1BFB"/>
    <w:rPr>
      <w:i/>
      <w:iCs/>
    </w:rPr>
  </w:style>
  <w:style w:type="character" w:customStyle="1" w:styleId="normaltextrun">
    <w:name w:val="normaltextrun"/>
    <w:basedOn w:val="DefaultParagraphFont"/>
    <w:rsid w:val="00ED5EB6"/>
  </w:style>
  <w:style w:type="character" w:customStyle="1" w:styleId="eop">
    <w:name w:val="eop"/>
    <w:basedOn w:val="DefaultParagraphFont"/>
    <w:rsid w:val="00ED5EB6"/>
  </w:style>
  <w:style w:type="character" w:styleId="UnresolvedMention">
    <w:name w:val="Unresolved Mention"/>
    <w:basedOn w:val="DefaultParagraphFont"/>
    <w:uiPriority w:val="99"/>
    <w:semiHidden/>
    <w:unhideWhenUsed/>
    <w:rsid w:val="003175C3"/>
    <w:rPr>
      <w:color w:val="605E5C"/>
      <w:shd w:val="clear" w:color="auto" w:fill="E1DFDD"/>
    </w:rPr>
  </w:style>
  <w:style w:type="character" w:customStyle="1" w:styleId="Heading4Char">
    <w:name w:val="Heading 4 Char"/>
    <w:basedOn w:val="DefaultParagraphFont"/>
    <w:link w:val="Heading4"/>
    <w:uiPriority w:val="9"/>
    <w:semiHidden/>
    <w:rsid w:val="000452F8"/>
    <w:rPr>
      <w:rFonts w:asciiTheme="majorHAnsi" w:eastAsiaTheme="majorEastAsia" w:hAnsiTheme="majorHAnsi" w:cstheme="majorBidi"/>
      <w:i/>
      <w:iCs/>
      <w:color w:val="365F91" w:themeColor="accent1" w:themeShade="BF"/>
      <w:lang w:val="en-AU"/>
    </w:rPr>
  </w:style>
  <w:style w:type="table" w:customStyle="1" w:styleId="TableGrid1">
    <w:name w:val="Table Grid1"/>
    <w:basedOn w:val="TableNormal"/>
    <w:uiPriority w:val="59"/>
    <w:rsid w:val="00CF6BCB"/>
    <w:rPr>
      <w:rFonts w:eastAsiaTheme="minorHAnsi"/>
      <w:sz w:val="22"/>
      <w:szCs w:val="22"/>
      <w:lang w:val="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response">
    <w:name w:val="Heading 3 - response"/>
    <w:basedOn w:val="Heading3"/>
    <w:qFormat/>
    <w:rsid w:val="00DB4D74"/>
    <w:pPr>
      <w:pBdr>
        <w:left w:val="single" w:sz="18" w:space="4" w:color="004270"/>
      </w:pBdr>
    </w:pPr>
  </w:style>
  <w:style w:type="paragraph" w:styleId="Revision">
    <w:name w:val="Revision"/>
    <w:hidden/>
    <w:uiPriority w:val="99"/>
    <w:semiHidden/>
    <w:rsid w:val="00D07324"/>
    <w:rPr>
      <w:lang w:val="en-AU"/>
    </w:rPr>
  </w:style>
  <w:style w:type="paragraph" w:customStyle="1" w:styleId="recdiscussion">
    <w:name w:val="rec discussion"/>
    <w:basedOn w:val="Numberedparagraph"/>
    <w:qFormat/>
    <w:rsid w:val="004D11A3"/>
    <w:pPr>
      <w:numPr>
        <w:numId w:val="0"/>
      </w:numPr>
      <w:pBdr>
        <w:left w:val="single" w:sz="24" w:space="4" w:color="1F497D" w:themeColor="text2"/>
      </w:pBdr>
      <w:ind w:left="567" w:hanging="567"/>
    </w:pPr>
  </w:style>
  <w:style w:type="paragraph" w:customStyle="1" w:styleId="Response">
    <w:name w:val="Response"/>
    <w:basedOn w:val="Normal"/>
    <w:qFormat/>
    <w:rsid w:val="00BE4407"/>
    <w:pPr>
      <w:pBdr>
        <w:left w:val="single" w:sz="18" w:space="4" w:color="004270"/>
      </w:pBdr>
      <w:spacing w:before="120" w:after="120" w:line="276" w:lineRule="auto"/>
      <w:ind w:left="284"/>
    </w:pPr>
    <w:rPr>
      <w:rFonts w:ascii="Arial" w:hAnsi="Arial" w:cs="Arial"/>
      <w:color w:val="004270"/>
      <w:sz w:val="22"/>
      <w:szCs w:val="22"/>
    </w:rPr>
  </w:style>
  <w:style w:type="paragraph" w:customStyle="1" w:styleId="Subrec">
    <w:name w:val="Sub rec"/>
    <w:basedOn w:val="Numberedparagraph"/>
    <w:qFormat/>
    <w:rsid w:val="00BC5693"/>
    <w:pPr>
      <w:numPr>
        <w:ilvl w:val="1"/>
      </w:numPr>
    </w:pPr>
    <w:rPr>
      <w:color w:val="1F497D" w:themeColor="text2"/>
      <w:lang w:val="en-US"/>
    </w:rPr>
  </w:style>
  <w:style w:type="paragraph" w:customStyle="1" w:styleId="Response-title">
    <w:name w:val="Response - title"/>
    <w:qFormat/>
    <w:rsid w:val="00826CCE"/>
    <w:pPr>
      <w:pBdr>
        <w:left w:val="single" w:sz="18" w:space="4" w:color="004270"/>
      </w:pBdr>
      <w:shd w:val="clear" w:color="auto" w:fill="004270"/>
      <w:spacing w:before="120"/>
      <w:ind w:left="284"/>
    </w:pPr>
    <w:rPr>
      <w:rFonts w:ascii="Arial" w:eastAsiaTheme="majorEastAsia" w:hAnsi="Arial" w:cstheme="majorBidi"/>
      <w:color w:val="FFFFFF" w:themeColor="background1"/>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08682">
      <w:bodyDiv w:val="1"/>
      <w:marLeft w:val="0"/>
      <w:marRight w:val="0"/>
      <w:marTop w:val="0"/>
      <w:marBottom w:val="0"/>
      <w:divBdr>
        <w:top w:val="none" w:sz="0" w:space="0" w:color="auto"/>
        <w:left w:val="none" w:sz="0" w:space="0" w:color="auto"/>
        <w:bottom w:val="none" w:sz="0" w:space="0" w:color="auto"/>
        <w:right w:val="none" w:sz="0" w:space="0" w:color="auto"/>
      </w:divBdr>
    </w:div>
    <w:div w:id="299771602">
      <w:bodyDiv w:val="1"/>
      <w:marLeft w:val="0"/>
      <w:marRight w:val="0"/>
      <w:marTop w:val="0"/>
      <w:marBottom w:val="0"/>
      <w:divBdr>
        <w:top w:val="none" w:sz="0" w:space="0" w:color="auto"/>
        <w:left w:val="none" w:sz="0" w:space="0" w:color="auto"/>
        <w:bottom w:val="none" w:sz="0" w:space="0" w:color="auto"/>
        <w:right w:val="none" w:sz="0" w:space="0" w:color="auto"/>
      </w:divBdr>
    </w:div>
    <w:div w:id="522091502">
      <w:bodyDiv w:val="1"/>
      <w:marLeft w:val="0"/>
      <w:marRight w:val="0"/>
      <w:marTop w:val="0"/>
      <w:marBottom w:val="0"/>
      <w:divBdr>
        <w:top w:val="none" w:sz="0" w:space="0" w:color="auto"/>
        <w:left w:val="none" w:sz="0" w:space="0" w:color="auto"/>
        <w:bottom w:val="none" w:sz="0" w:space="0" w:color="auto"/>
        <w:right w:val="none" w:sz="0" w:space="0" w:color="auto"/>
      </w:divBdr>
    </w:div>
    <w:div w:id="524173987">
      <w:bodyDiv w:val="1"/>
      <w:marLeft w:val="0"/>
      <w:marRight w:val="0"/>
      <w:marTop w:val="0"/>
      <w:marBottom w:val="0"/>
      <w:divBdr>
        <w:top w:val="none" w:sz="0" w:space="0" w:color="auto"/>
        <w:left w:val="none" w:sz="0" w:space="0" w:color="auto"/>
        <w:bottom w:val="none" w:sz="0" w:space="0" w:color="auto"/>
        <w:right w:val="none" w:sz="0" w:space="0" w:color="auto"/>
      </w:divBdr>
    </w:div>
    <w:div w:id="529026318">
      <w:bodyDiv w:val="1"/>
      <w:marLeft w:val="0"/>
      <w:marRight w:val="0"/>
      <w:marTop w:val="0"/>
      <w:marBottom w:val="0"/>
      <w:divBdr>
        <w:top w:val="none" w:sz="0" w:space="0" w:color="auto"/>
        <w:left w:val="none" w:sz="0" w:space="0" w:color="auto"/>
        <w:bottom w:val="none" w:sz="0" w:space="0" w:color="auto"/>
        <w:right w:val="none" w:sz="0" w:space="0" w:color="auto"/>
      </w:divBdr>
    </w:div>
    <w:div w:id="684743733">
      <w:bodyDiv w:val="1"/>
      <w:marLeft w:val="0"/>
      <w:marRight w:val="0"/>
      <w:marTop w:val="0"/>
      <w:marBottom w:val="0"/>
      <w:divBdr>
        <w:top w:val="none" w:sz="0" w:space="0" w:color="auto"/>
        <w:left w:val="none" w:sz="0" w:space="0" w:color="auto"/>
        <w:bottom w:val="none" w:sz="0" w:space="0" w:color="auto"/>
        <w:right w:val="none" w:sz="0" w:space="0" w:color="auto"/>
      </w:divBdr>
    </w:div>
    <w:div w:id="717245719">
      <w:bodyDiv w:val="1"/>
      <w:marLeft w:val="0"/>
      <w:marRight w:val="0"/>
      <w:marTop w:val="0"/>
      <w:marBottom w:val="0"/>
      <w:divBdr>
        <w:top w:val="none" w:sz="0" w:space="0" w:color="auto"/>
        <w:left w:val="none" w:sz="0" w:space="0" w:color="auto"/>
        <w:bottom w:val="none" w:sz="0" w:space="0" w:color="auto"/>
        <w:right w:val="none" w:sz="0" w:space="0" w:color="auto"/>
      </w:divBdr>
    </w:div>
    <w:div w:id="719787948">
      <w:bodyDiv w:val="1"/>
      <w:marLeft w:val="0"/>
      <w:marRight w:val="0"/>
      <w:marTop w:val="0"/>
      <w:marBottom w:val="0"/>
      <w:divBdr>
        <w:top w:val="none" w:sz="0" w:space="0" w:color="auto"/>
        <w:left w:val="none" w:sz="0" w:space="0" w:color="auto"/>
        <w:bottom w:val="none" w:sz="0" w:space="0" w:color="auto"/>
        <w:right w:val="none" w:sz="0" w:space="0" w:color="auto"/>
      </w:divBdr>
      <w:divsChild>
        <w:div w:id="149830085">
          <w:marLeft w:val="0"/>
          <w:marRight w:val="0"/>
          <w:marTop w:val="0"/>
          <w:marBottom w:val="0"/>
          <w:divBdr>
            <w:top w:val="none" w:sz="0" w:space="0" w:color="auto"/>
            <w:left w:val="none" w:sz="0" w:space="0" w:color="auto"/>
            <w:bottom w:val="none" w:sz="0" w:space="0" w:color="auto"/>
            <w:right w:val="none" w:sz="0" w:space="0" w:color="auto"/>
          </w:divBdr>
        </w:div>
        <w:div w:id="509370486">
          <w:marLeft w:val="0"/>
          <w:marRight w:val="0"/>
          <w:marTop w:val="0"/>
          <w:marBottom w:val="0"/>
          <w:divBdr>
            <w:top w:val="none" w:sz="0" w:space="0" w:color="auto"/>
            <w:left w:val="none" w:sz="0" w:space="0" w:color="auto"/>
            <w:bottom w:val="none" w:sz="0" w:space="0" w:color="auto"/>
            <w:right w:val="none" w:sz="0" w:space="0" w:color="auto"/>
          </w:divBdr>
        </w:div>
        <w:div w:id="640961916">
          <w:marLeft w:val="0"/>
          <w:marRight w:val="0"/>
          <w:marTop w:val="0"/>
          <w:marBottom w:val="0"/>
          <w:divBdr>
            <w:top w:val="none" w:sz="0" w:space="0" w:color="auto"/>
            <w:left w:val="none" w:sz="0" w:space="0" w:color="auto"/>
            <w:bottom w:val="none" w:sz="0" w:space="0" w:color="auto"/>
            <w:right w:val="none" w:sz="0" w:space="0" w:color="auto"/>
          </w:divBdr>
        </w:div>
        <w:div w:id="681859665">
          <w:marLeft w:val="0"/>
          <w:marRight w:val="0"/>
          <w:marTop w:val="0"/>
          <w:marBottom w:val="0"/>
          <w:divBdr>
            <w:top w:val="none" w:sz="0" w:space="0" w:color="auto"/>
            <w:left w:val="none" w:sz="0" w:space="0" w:color="auto"/>
            <w:bottom w:val="none" w:sz="0" w:space="0" w:color="auto"/>
            <w:right w:val="none" w:sz="0" w:space="0" w:color="auto"/>
          </w:divBdr>
        </w:div>
        <w:div w:id="871915671">
          <w:marLeft w:val="0"/>
          <w:marRight w:val="0"/>
          <w:marTop w:val="0"/>
          <w:marBottom w:val="0"/>
          <w:divBdr>
            <w:top w:val="none" w:sz="0" w:space="0" w:color="auto"/>
            <w:left w:val="none" w:sz="0" w:space="0" w:color="auto"/>
            <w:bottom w:val="none" w:sz="0" w:space="0" w:color="auto"/>
            <w:right w:val="none" w:sz="0" w:space="0" w:color="auto"/>
          </w:divBdr>
        </w:div>
        <w:div w:id="1046182728">
          <w:marLeft w:val="0"/>
          <w:marRight w:val="0"/>
          <w:marTop w:val="0"/>
          <w:marBottom w:val="0"/>
          <w:divBdr>
            <w:top w:val="none" w:sz="0" w:space="0" w:color="auto"/>
            <w:left w:val="none" w:sz="0" w:space="0" w:color="auto"/>
            <w:bottom w:val="none" w:sz="0" w:space="0" w:color="auto"/>
            <w:right w:val="none" w:sz="0" w:space="0" w:color="auto"/>
          </w:divBdr>
        </w:div>
        <w:div w:id="1086146006">
          <w:marLeft w:val="0"/>
          <w:marRight w:val="0"/>
          <w:marTop w:val="0"/>
          <w:marBottom w:val="0"/>
          <w:divBdr>
            <w:top w:val="none" w:sz="0" w:space="0" w:color="auto"/>
            <w:left w:val="none" w:sz="0" w:space="0" w:color="auto"/>
            <w:bottom w:val="none" w:sz="0" w:space="0" w:color="auto"/>
            <w:right w:val="none" w:sz="0" w:space="0" w:color="auto"/>
          </w:divBdr>
        </w:div>
        <w:div w:id="1139499450">
          <w:marLeft w:val="0"/>
          <w:marRight w:val="0"/>
          <w:marTop w:val="0"/>
          <w:marBottom w:val="0"/>
          <w:divBdr>
            <w:top w:val="none" w:sz="0" w:space="0" w:color="auto"/>
            <w:left w:val="none" w:sz="0" w:space="0" w:color="auto"/>
            <w:bottom w:val="none" w:sz="0" w:space="0" w:color="auto"/>
            <w:right w:val="none" w:sz="0" w:space="0" w:color="auto"/>
          </w:divBdr>
        </w:div>
        <w:div w:id="1629313043">
          <w:marLeft w:val="0"/>
          <w:marRight w:val="0"/>
          <w:marTop w:val="0"/>
          <w:marBottom w:val="0"/>
          <w:divBdr>
            <w:top w:val="none" w:sz="0" w:space="0" w:color="auto"/>
            <w:left w:val="none" w:sz="0" w:space="0" w:color="auto"/>
            <w:bottom w:val="none" w:sz="0" w:space="0" w:color="auto"/>
            <w:right w:val="none" w:sz="0" w:space="0" w:color="auto"/>
          </w:divBdr>
        </w:div>
        <w:div w:id="1788501462">
          <w:marLeft w:val="0"/>
          <w:marRight w:val="0"/>
          <w:marTop w:val="0"/>
          <w:marBottom w:val="0"/>
          <w:divBdr>
            <w:top w:val="none" w:sz="0" w:space="0" w:color="auto"/>
            <w:left w:val="none" w:sz="0" w:space="0" w:color="auto"/>
            <w:bottom w:val="none" w:sz="0" w:space="0" w:color="auto"/>
            <w:right w:val="none" w:sz="0" w:space="0" w:color="auto"/>
          </w:divBdr>
        </w:div>
        <w:div w:id="1952740781">
          <w:marLeft w:val="0"/>
          <w:marRight w:val="0"/>
          <w:marTop w:val="0"/>
          <w:marBottom w:val="0"/>
          <w:divBdr>
            <w:top w:val="none" w:sz="0" w:space="0" w:color="auto"/>
            <w:left w:val="none" w:sz="0" w:space="0" w:color="auto"/>
            <w:bottom w:val="none" w:sz="0" w:space="0" w:color="auto"/>
            <w:right w:val="none" w:sz="0" w:space="0" w:color="auto"/>
          </w:divBdr>
        </w:div>
        <w:div w:id="1957180511">
          <w:marLeft w:val="0"/>
          <w:marRight w:val="0"/>
          <w:marTop w:val="0"/>
          <w:marBottom w:val="0"/>
          <w:divBdr>
            <w:top w:val="none" w:sz="0" w:space="0" w:color="auto"/>
            <w:left w:val="none" w:sz="0" w:space="0" w:color="auto"/>
            <w:bottom w:val="none" w:sz="0" w:space="0" w:color="auto"/>
            <w:right w:val="none" w:sz="0" w:space="0" w:color="auto"/>
          </w:divBdr>
        </w:div>
        <w:div w:id="2096171832">
          <w:marLeft w:val="0"/>
          <w:marRight w:val="0"/>
          <w:marTop w:val="0"/>
          <w:marBottom w:val="0"/>
          <w:divBdr>
            <w:top w:val="none" w:sz="0" w:space="0" w:color="auto"/>
            <w:left w:val="none" w:sz="0" w:space="0" w:color="auto"/>
            <w:bottom w:val="none" w:sz="0" w:space="0" w:color="auto"/>
            <w:right w:val="none" w:sz="0" w:space="0" w:color="auto"/>
          </w:divBdr>
        </w:div>
      </w:divsChild>
    </w:div>
    <w:div w:id="919024477">
      <w:bodyDiv w:val="1"/>
      <w:marLeft w:val="0"/>
      <w:marRight w:val="0"/>
      <w:marTop w:val="0"/>
      <w:marBottom w:val="0"/>
      <w:divBdr>
        <w:top w:val="none" w:sz="0" w:space="0" w:color="auto"/>
        <w:left w:val="none" w:sz="0" w:space="0" w:color="auto"/>
        <w:bottom w:val="none" w:sz="0" w:space="0" w:color="auto"/>
        <w:right w:val="none" w:sz="0" w:space="0" w:color="auto"/>
      </w:divBdr>
    </w:div>
    <w:div w:id="923417928">
      <w:bodyDiv w:val="1"/>
      <w:marLeft w:val="0"/>
      <w:marRight w:val="0"/>
      <w:marTop w:val="0"/>
      <w:marBottom w:val="0"/>
      <w:divBdr>
        <w:top w:val="none" w:sz="0" w:space="0" w:color="auto"/>
        <w:left w:val="none" w:sz="0" w:space="0" w:color="auto"/>
        <w:bottom w:val="none" w:sz="0" w:space="0" w:color="auto"/>
        <w:right w:val="none" w:sz="0" w:space="0" w:color="auto"/>
      </w:divBdr>
      <w:divsChild>
        <w:div w:id="137693790">
          <w:blockQuote w:val="1"/>
          <w:marLeft w:val="600"/>
          <w:marRight w:val="0"/>
          <w:marTop w:val="120"/>
          <w:marBottom w:val="120"/>
          <w:divBdr>
            <w:top w:val="none" w:sz="0" w:space="0" w:color="auto"/>
            <w:left w:val="none" w:sz="0" w:space="0" w:color="auto"/>
            <w:bottom w:val="none" w:sz="0" w:space="0" w:color="auto"/>
            <w:right w:val="none" w:sz="0" w:space="0" w:color="auto"/>
          </w:divBdr>
        </w:div>
        <w:div w:id="416245724">
          <w:blockQuote w:val="1"/>
          <w:marLeft w:val="600"/>
          <w:marRight w:val="0"/>
          <w:marTop w:val="120"/>
          <w:marBottom w:val="120"/>
          <w:divBdr>
            <w:top w:val="none" w:sz="0" w:space="0" w:color="auto"/>
            <w:left w:val="none" w:sz="0" w:space="0" w:color="auto"/>
            <w:bottom w:val="none" w:sz="0" w:space="0" w:color="auto"/>
            <w:right w:val="none" w:sz="0" w:space="0" w:color="auto"/>
          </w:divBdr>
        </w:div>
        <w:div w:id="116254777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950166876">
      <w:bodyDiv w:val="1"/>
      <w:marLeft w:val="0"/>
      <w:marRight w:val="0"/>
      <w:marTop w:val="0"/>
      <w:marBottom w:val="0"/>
      <w:divBdr>
        <w:top w:val="none" w:sz="0" w:space="0" w:color="auto"/>
        <w:left w:val="none" w:sz="0" w:space="0" w:color="auto"/>
        <w:bottom w:val="none" w:sz="0" w:space="0" w:color="auto"/>
        <w:right w:val="none" w:sz="0" w:space="0" w:color="auto"/>
      </w:divBdr>
    </w:div>
    <w:div w:id="1018579879">
      <w:bodyDiv w:val="1"/>
      <w:marLeft w:val="0"/>
      <w:marRight w:val="0"/>
      <w:marTop w:val="0"/>
      <w:marBottom w:val="0"/>
      <w:divBdr>
        <w:top w:val="none" w:sz="0" w:space="0" w:color="auto"/>
        <w:left w:val="none" w:sz="0" w:space="0" w:color="auto"/>
        <w:bottom w:val="none" w:sz="0" w:space="0" w:color="auto"/>
        <w:right w:val="none" w:sz="0" w:space="0" w:color="auto"/>
      </w:divBdr>
      <w:divsChild>
        <w:div w:id="117912774">
          <w:blockQuote w:val="1"/>
          <w:marLeft w:val="600"/>
          <w:marRight w:val="0"/>
          <w:marTop w:val="120"/>
          <w:marBottom w:val="120"/>
          <w:divBdr>
            <w:top w:val="none" w:sz="0" w:space="0" w:color="auto"/>
            <w:left w:val="none" w:sz="0" w:space="0" w:color="auto"/>
            <w:bottom w:val="none" w:sz="0" w:space="0" w:color="auto"/>
            <w:right w:val="none" w:sz="0" w:space="0" w:color="auto"/>
          </w:divBdr>
        </w:div>
        <w:div w:id="90749554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075132340">
      <w:bodyDiv w:val="1"/>
      <w:marLeft w:val="0"/>
      <w:marRight w:val="0"/>
      <w:marTop w:val="0"/>
      <w:marBottom w:val="0"/>
      <w:divBdr>
        <w:top w:val="none" w:sz="0" w:space="0" w:color="auto"/>
        <w:left w:val="none" w:sz="0" w:space="0" w:color="auto"/>
        <w:bottom w:val="none" w:sz="0" w:space="0" w:color="auto"/>
        <w:right w:val="none" w:sz="0" w:space="0" w:color="auto"/>
      </w:divBdr>
    </w:div>
    <w:div w:id="1133520182">
      <w:bodyDiv w:val="1"/>
      <w:marLeft w:val="0"/>
      <w:marRight w:val="0"/>
      <w:marTop w:val="0"/>
      <w:marBottom w:val="0"/>
      <w:divBdr>
        <w:top w:val="none" w:sz="0" w:space="0" w:color="auto"/>
        <w:left w:val="none" w:sz="0" w:space="0" w:color="auto"/>
        <w:bottom w:val="none" w:sz="0" w:space="0" w:color="auto"/>
        <w:right w:val="none" w:sz="0" w:space="0" w:color="auto"/>
      </w:divBdr>
    </w:div>
    <w:div w:id="1161042146">
      <w:bodyDiv w:val="1"/>
      <w:marLeft w:val="0"/>
      <w:marRight w:val="0"/>
      <w:marTop w:val="0"/>
      <w:marBottom w:val="0"/>
      <w:divBdr>
        <w:top w:val="none" w:sz="0" w:space="0" w:color="auto"/>
        <w:left w:val="none" w:sz="0" w:space="0" w:color="auto"/>
        <w:bottom w:val="none" w:sz="0" w:space="0" w:color="auto"/>
        <w:right w:val="none" w:sz="0" w:space="0" w:color="auto"/>
      </w:divBdr>
    </w:div>
    <w:div w:id="1222407053">
      <w:bodyDiv w:val="1"/>
      <w:marLeft w:val="0"/>
      <w:marRight w:val="0"/>
      <w:marTop w:val="0"/>
      <w:marBottom w:val="0"/>
      <w:divBdr>
        <w:top w:val="none" w:sz="0" w:space="0" w:color="auto"/>
        <w:left w:val="none" w:sz="0" w:space="0" w:color="auto"/>
        <w:bottom w:val="none" w:sz="0" w:space="0" w:color="auto"/>
        <w:right w:val="none" w:sz="0" w:space="0" w:color="auto"/>
      </w:divBdr>
    </w:div>
    <w:div w:id="1248805921">
      <w:bodyDiv w:val="1"/>
      <w:marLeft w:val="0"/>
      <w:marRight w:val="0"/>
      <w:marTop w:val="0"/>
      <w:marBottom w:val="0"/>
      <w:divBdr>
        <w:top w:val="none" w:sz="0" w:space="0" w:color="auto"/>
        <w:left w:val="none" w:sz="0" w:space="0" w:color="auto"/>
        <w:bottom w:val="none" w:sz="0" w:space="0" w:color="auto"/>
        <w:right w:val="none" w:sz="0" w:space="0" w:color="auto"/>
      </w:divBdr>
    </w:div>
    <w:div w:id="1252659751">
      <w:bodyDiv w:val="1"/>
      <w:marLeft w:val="0"/>
      <w:marRight w:val="0"/>
      <w:marTop w:val="0"/>
      <w:marBottom w:val="0"/>
      <w:divBdr>
        <w:top w:val="none" w:sz="0" w:space="0" w:color="auto"/>
        <w:left w:val="none" w:sz="0" w:space="0" w:color="auto"/>
        <w:bottom w:val="none" w:sz="0" w:space="0" w:color="auto"/>
        <w:right w:val="none" w:sz="0" w:space="0" w:color="auto"/>
      </w:divBdr>
    </w:div>
    <w:div w:id="1489009962">
      <w:bodyDiv w:val="1"/>
      <w:marLeft w:val="0"/>
      <w:marRight w:val="0"/>
      <w:marTop w:val="0"/>
      <w:marBottom w:val="0"/>
      <w:divBdr>
        <w:top w:val="none" w:sz="0" w:space="0" w:color="auto"/>
        <w:left w:val="none" w:sz="0" w:space="0" w:color="auto"/>
        <w:bottom w:val="none" w:sz="0" w:space="0" w:color="auto"/>
        <w:right w:val="none" w:sz="0" w:space="0" w:color="auto"/>
      </w:divBdr>
    </w:div>
    <w:div w:id="1798065538">
      <w:bodyDiv w:val="1"/>
      <w:marLeft w:val="0"/>
      <w:marRight w:val="0"/>
      <w:marTop w:val="0"/>
      <w:marBottom w:val="0"/>
      <w:divBdr>
        <w:top w:val="none" w:sz="0" w:space="0" w:color="auto"/>
        <w:left w:val="none" w:sz="0" w:space="0" w:color="auto"/>
        <w:bottom w:val="none" w:sz="0" w:space="0" w:color="auto"/>
        <w:right w:val="none" w:sz="0" w:space="0" w:color="auto"/>
      </w:divBdr>
      <w:divsChild>
        <w:div w:id="437334306">
          <w:blockQuote w:val="1"/>
          <w:marLeft w:val="600"/>
          <w:marRight w:val="0"/>
          <w:marTop w:val="120"/>
          <w:marBottom w:val="120"/>
          <w:divBdr>
            <w:top w:val="none" w:sz="0" w:space="0" w:color="auto"/>
            <w:left w:val="none" w:sz="0" w:space="0" w:color="auto"/>
            <w:bottom w:val="none" w:sz="0" w:space="0" w:color="auto"/>
            <w:right w:val="none" w:sz="0" w:space="0" w:color="auto"/>
          </w:divBdr>
        </w:div>
        <w:div w:id="677855878">
          <w:blockQuote w:val="1"/>
          <w:marLeft w:val="600"/>
          <w:marRight w:val="0"/>
          <w:marTop w:val="120"/>
          <w:marBottom w:val="120"/>
          <w:divBdr>
            <w:top w:val="none" w:sz="0" w:space="0" w:color="auto"/>
            <w:left w:val="none" w:sz="0" w:space="0" w:color="auto"/>
            <w:bottom w:val="none" w:sz="0" w:space="0" w:color="auto"/>
            <w:right w:val="none" w:sz="0" w:space="0" w:color="auto"/>
          </w:divBdr>
        </w:div>
        <w:div w:id="1996714727">
          <w:blockQuote w:val="1"/>
          <w:marLeft w:val="600"/>
          <w:marRight w:val="0"/>
          <w:marTop w:val="120"/>
          <w:marBottom w:val="120"/>
          <w:divBdr>
            <w:top w:val="none" w:sz="0" w:space="0" w:color="auto"/>
            <w:left w:val="none" w:sz="0" w:space="0" w:color="auto"/>
            <w:bottom w:val="none" w:sz="0" w:space="0" w:color="auto"/>
            <w:right w:val="none" w:sz="0" w:space="0" w:color="auto"/>
          </w:divBdr>
        </w:div>
        <w:div w:id="209204788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2038389621">
      <w:bodyDiv w:val="1"/>
      <w:marLeft w:val="0"/>
      <w:marRight w:val="0"/>
      <w:marTop w:val="0"/>
      <w:marBottom w:val="0"/>
      <w:divBdr>
        <w:top w:val="none" w:sz="0" w:space="0" w:color="auto"/>
        <w:left w:val="none" w:sz="0" w:space="0" w:color="auto"/>
        <w:bottom w:val="none" w:sz="0" w:space="0" w:color="auto"/>
        <w:right w:val="none" w:sz="0" w:space="0" w:color="auto"/>
      </w:divBdr>
    </w:div>
    <w:div w:id="2107311754">
      <w:bodyDiv w:val="1"/>
      <w:marLeft w:val="0"/>
      <w:marRight w:val="0"/>
      <w:marTop w:val="0"/>
      <w:marBottom w:val="0"/>
      <w:divBdr>
        <w:top w:val="none" w:sz="0" w:space="0" w:color="auto"/>
        <w:left w:val="none" w:sz="0" w:space="0" w:color="auto"/>
        <w:bottom w:val="none" w:sz="0" w:space="0" w:color="auto"/>
        <w:right w:val="none" w:sz="0" w:space="0" w:color="auto"/>
      </w:divBdr>
      <w:divsChild>
        <w:div w:id="107816499">
          <w:marLeft w:val="0"/>
          <w:marRight w:val="0"/>
          <w:marTop w:val="0"/>
          <w:marBottom w:val="0"/>
          <w:divBdr>
            <w:top w:val="none" w:sz="0" w:space="0" w:color="auto"/>
            <w:left w:val="none" w:sz="0" w:space="0" w:color="auto"/>
            <w:bottom w:val="none" w:sz="0" w:space="0" w:color="auto"/>
            <w:right w:val="none" w:sz="0" w:space="0" w:color="auto"/>
          </w:divBdr>
        </w:div>
        <w:div w:id="281152559">
          <w:marLeft w:val="0"/>
          <w:marRight w:val="0"/>
          <w:marTop w:val="0"/>
          <w:marBottom w:val="0"/>
          <w:divBdr>
            <w:top w:val="none" w:sz="0" w:space="0" w:color="auto"/>
            <w:left w:val="none" w:sz="0" w:space="0" w:color="auto"/>
            <w:bottom w:val="none" w:sz="0" w:space="0" w:color="auto"/>
            <w:right w:val="none" w:sz="0" w:space="0" w:color="auto"/>
          </w:divBdr>
        </w:div>
        <w:div w:id="415857672">
          <w:marLeft w:val="0"/>
          <w:marRight w:val="0"/>
          <w:marTop w:val="0"/>
          <w:marBottom w:val="0"/>
          <w:divBdr>
            <w:top w:val="none" w:sz="0" w:space="0" w:color="auto"/>
            <w:left w:val="none" w:sz="0" w:space="0" w:color="auto"/>
            <w:bottom w:val="none" w:sz="0" w:space="0" w:color="auto"/>
            <w:right w:val="none" w:sz="0" w:space="0" w:color="auto"/>
          </w:divBdr>
        </w:div>
        <w:div w:id="734622983">
          <w:marLeft w:val="0"/>
          <w:marRight w:val="0"/>
          <w:marTop w:val="0"/>
          <w:marBottom w:val="0"/>
          <w:divBdr>
            <w:top w:val="none" w:sz="0" w:space="0" w:color="auto"/>
            <w:left w:val="none" w:sz="0" w:space="0" w:color="auto"/>
            <w:bottom w:val="none" w:sz="0" w:space="0" w:color="auto"/>
            <w:right w:val="none" w:sz="0" w:space="0" w:color="auto"/>
          </w:divBdr>
        </w:div>
        <w:div w:id="738670375">
          <w:marLeft w:val="0"/>
          <w:marRight w:val="0"/>
          <w:marTop w:val="0"/>
          <w:marBottom w:val="0"/>
          <w:divBdr>
            <w:top w:val="none" w:sz="0" w:space="0" w:color="auto"/>
            <w:left w:val="none" w:sz="0" w:space="0" w:color="auto"/>
            <w:bottom w:val="none" w:sz="0" w:space="0" w:color="auto"/>
            <w:right w:val="none" w:sz="0" w:space="0" w:color="auto"/>
          </w:divBdr>
        </w:div>
        <w:div w:id="984091044">
          <w:marLeft w:val="0"/>
          <w:marRight w:val="0"/>
          <w:marTop w:val="0"/>
          <w:marBottom w:val="0"/>
          <w:divBdr>
            <w:top w:val="none" w:sz="0" w:space="0" w:color="auto"/>
            <w:left w:val="none" w:sz="0" w:space="0" w:color="auto"/>
            <w:bottom w:val="none" w:sz="0" w:space="0" w:color="auto"/>
            <w:right w:val="none" w:sz="0" w:space="0" w:color="auto"/>
          </w:divBdr>
        </w:div>
        <w:div w:id="1136411292">
          <w:marLeft w:val="0"/>
          <w:marRight w:val="0"/>
          <w:marTop w:val="0"/>
          <w:marBottom w:val="0"/>
          <w:divBdr>
            <w:top w:val="none" w:sz="0" w:space="0" w:color="auto"/>
            <w:left w:val="none" w:sz="0" w:space="0" w:color="auto"/>
            <w:bottom w:val="none" w:sz="0" w:space="0" w:color="auto"/>
            <w:right w:val="none" w:sz="0" w:space="0" w:color="auto"/>
          </w:divBdr>
        </w:div>
        <w:div w:id="1404521165">
          <w:marLeft w:val="0"/>
          <w:marRight w:val="0"/>
          <w:marTop w:val="0"/>
          <w:marBottom w:val="0"/>
          <w:divBdr>
            <w:top w:val="none" w:sz="0" w:space="0" w:color="auto"/>
            <w:left w:val="none" w:sz="0" w:space="0" w:color="auto"/>
            <w:bottom w:val="none" w:sz="0" w:space="0" w:color="auto"/>
            <w:right w:val="none" w:sz="0" w:space="0" w:color="auto"/>
          </w:divBdr>
        </w:div>
        <w:div w:id="1432242949">
          <w:marLeft w:val="0"/>
          <w:marRight w:val="0"/>
          <w:marTop w:val="0"/>
          <w:marBottom w:val="0"/>
          <w:divBdr>
            <w:top w:val="none" w:sz="0" w:space="0" w:color="auto"/>
            <w:left w:val="none" w:sz="0" w:space="0" w:color="auto"/>
            <w:bottom w:val="none" w:sz="0" w:space="0" w:color="auto"/>
            <w:right w:val="none" w:sz="0" w:space="0" w:color="auto"/>
          </w:divBdr>
        </w:div>
        <w:div w:id="1518151630">
          <w:marLeft w:val="0"/>
          <w:marRight w:val="0"/>
          <w:marTop w:val="0"/>
          <w:marBottom w:val="0"/>
          <w:divBdr>
            <w:top w:val="none" w:sz="0" w:space="0" w:color="auto"/>
            <w:left w:val="none" w:sz="0" w:space="0" w:color="auto"/>
            <w:bottom w:val="none" w:sz="0" w:space="0" w:color="auto"/>
            <w:right w:val="none" w:sz="0" w:space="0" w:color="auto"/>
          </w:divBdr>
        </w:div>
        <w:div w:id="1690832388">
          <w:marLeft w:val="0"/>
          <w:marRight w:val="0"/>
          <w:marTop w:val="0"/>
          <w:marBottom w:val="0"/>
          <w:divBdr>
            <w:top w:val="none" w:sz="0" w:space="0" w:color="auto"/>
            <w:left w:val="none" w:sz="0" w:space="0" w:color="auto"/>
            <w:bottom w:val="none" w:sz="0" w:space="0" w:color="auto"/>
            <w:right w:val="none" w:sz="0" w:space="0" w:color="auto"/>
          </w:divBdr>
        </w:div>
        <w:div w:id="1772503471">
          <w:marLeft w:val="0"/>
          <w:marRight w:val="0"/>
          <w:marTop w:val="0"/>
          <w:marBottom w:val="0"/>
          <w:divBdr>
            <w:top w:val="none" w:sz="0" w:space="0" w:color="auto"/>
            <w:left w:val="none" w:sz="0" w:space="0" w:color="auto"/>
            <w:bottom w:val="none" w:sz="0" w:space="0" w:color="auto"/>
            <w:right w:val="none" w:sz="0" w:space="0" w:color="auto"/>
          </w:divBdr>
        </w:div>
        <w:div w:id="19833466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clinicalexcellence.qld.gov.au/sites/default/files/docs/priority-area/service-improvement/offender-health-project/prisoner-health-service-mou.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ED42F4-6835-4B93-B08E-112B72CEE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Pages>
  <Words>2669</Words>
  <Characters>15217</Characters>
  <DocSecurity>0</DocSecurity>
  <Lines>126</Lines>
  <Paragraphs>35</Paragraphs>
  <ScaleCrop>false</ScaleCrop>
  <HeadingPairs>
    <vt:vector size="2" baseType="variant">
      <vt:variant>
        <vt:lpstr>Title</vt:lpstr>
      </vt:variant>
      <vt:variant>
        <vt:i4>1</vt:i4>
      </vt:variant>
    </vt:vector>
  </HeadingPairs>
  <TitlesOfParts>
    <vt:vector size="1" baseType="lpstr">
      <vt:lpstr>Prisoner accommodation and medication</vt:lpstr>
    </vt:vector>
  </TitlesOfParts>
  <Company/>
  <LinksUpToDate>false</LinksUpToDate>
  <CharactersWithSpaces>17851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2023-06-08T03:46:00Z</cp:lastPrinted>
  <dcterms:created xsi:type="dcterms:W3CDTF">2023-05-26T05:33:00Z</dcterms:created>
  <dcterms:modified xsi:type="dcterms:W3CDTF">2023-06-08T03:48:00Z</dcterms:modified>
</cp:coreProperties>
</file>