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10" w:rsidRPr="00471BC5" w:rsidRDefault="009E4856" w:rsidP="009E4856">
      <w:pPr>
        <w:spacing w:before="3200"/>
        <w:jc w:val="center"/>
        <w:rPr>
          <w:rFonts w:cs="Arial"/>
          <w:b/>
          <w:sz w:val="48"/>
          <w:szCs w:val="48"/>
        </w:rPr>
      </w:pPr>
      <w:r>
        <w:rPr>
          <w:rFonts w:cs="Arial"/>
          <w:b/>
          <w:sz w:val="48"/>
          <w:szCs w:val="48"/>
        </w:rPr>
        <w:t>Submission</w:t>
      </w:r>
    </w:p>
    <w:p w:rsidR="007F6890" w:rsidRPr="008F0C10" w:rsidRDefault="007B63AD" w:rsidP="009E4856">
      <w:pPr>
        <w:spacing w:before="600" w:line="480" w:lineRule="auto"/>
        <w:jc w:val="center"/>
        <w:rPr>
          <w:rFonts w:cs="Arial"/>
          <w:b/>
          <w:sz w:val="32"/>
          <w:szCs w:val="32"/>
        </w:rPr>
      </w:pPr>
      <w:r w:rsidRPr="008F0C10">
        <w:rPr>
          <w:rFonts w:cs="Arial"/>
          <w:b/>
          <w:sz w:val="32"/>
          <w:szCs w:val="32"/>
        </w:rPr>
        <w:t xml:space="preserve">Forensic </w:t>
      </w:r>
      <w:r w:rsidR="007F6890" w:rsidRPr="008F0C10">
        <w:rPr>
          <w:rFonts w:cs="Arial"/>
          <w:b/>
          <w:sz w:val="32"/>
          <w:szCs w:val="32"/>
        </w:rPr>
        <w:t xml:space="preserve">Disability </w:t>
      </w:r>
      <w:r w:rsidRPr="008F0C10">
        <w:rPr>
          <w:rFonts w:cs="Arial"/>
          <w:b/>
          <w:sz w:val="32"/>
          <w:szCs w:val="32"/>
        </w:rPr>
        <w:t>Bill 2010 – Information Paper</w:t>
      </w:r>
    </w:p>
    <w:p w:rsidR="007F6890" w:rsidRPr="008F0C10" w:rsidRDefault="009E4856" w:rsidP="009E4856">
      <w:pPr>
        <w:spacing w:line="480" w:lineRule="auto"/>
        <w:jc w:val="center"/>
        <w:rPr>
          <w:rFonts w:cs="Arial"/>
          <w:b/>
          <w:sz w:val="32"/>
          <w:szCs w:val="32"/>
        </w:rPr>
      </w:pPr>
      <w:proofErr w:type="gramStart"/>
      <w:r>
        <w:rPr>
          <w:rFonts w:cs="Arial"/>
          <w:b/>
          <w:sz w:val="32"/>
          <w:szCs w:val="32"/>
        </w:rPr>
        <w:t>by</w:t>
      </w:r>
      <w:proofErr w:type="gramEnd"/>
    </w:p>
    <w:p w:rsidR="007F6890" w:rsidRPr="008F0C10" w:rsidRDefault="007F6890" w:rsidP="009E4856">
      <w:pPr>
        <w:spacing w:line="480" w:lineRule="auto"/>
        <w:jc w:val="center"/>
        <w:rPr>
          <w:rFonts w:cs="Arial"/>
          <w:b/>
          <w:sz w:val="32"/>
          <w:szCs w:val="32"/>
        </w:rPr>
      </w:pPr>
      <w:r w:rsidRPr="008F0C10">
        <w:rPr>
          <w:rFonts w:cs="Arial"/>
          <w:b/>
          <w:sz w:val="32"/>
          <w:szCs w:val="32"/>
        </w:rPr>
        <w:t xml:space="preserve">Anti-Discrimination Commission </w:t>
      </w:r>
      <w:smartTag w:uri="urn:schemas-microsoft-com:office:smarttags" w:element="place">
        <w:smartTag w:uri="urn:schemas-microsoft-com:office:smarttags" w:element="State">
          <w:r w:rsidRPr="008F0C10">
            <w:rPr>
              <w:rFonts w:cs="Arial"/>
              <w:b/>
              <w:sz w:val="32"/>
              <w:szCs w:val="32"/>
            </w:rPr>
            <w:t>Queensland</w:t>
          </w:r>
        </w:smartTag>
      </w:smartTag>
    </w:p>
    <w:p w:rsidR="009E4856" w:rsidRDefault="007B63AD" w:rsidP="009E4856">
      <w:pPr>
        <w:spacing w:before="3200" w:line="480" w:lineRule="auto"/>
        <w:jc w:val="center"/>
        <w:rPr>
          <w:rFonts w:cs="Arial"/>
          <w:b/>
          <w:sz w:val="32"/>
          <w:szCs w:val="32"/>
        </w:rPr>
      </w:pPr>
      <w:r w:rsidRPr="008F0C10">
        <w:rPr>
          <w:rFonts w:cs="Arial"/>
          <w:b/>
          <w:sz w:val="32"/>
          <w:szCs w:val="32"/>
        </w:rPr>
        <w:t>October</w:t>
      </w:r>
      <w:r w:rsidR="007F6890" w:rsidRPr="008F0C10">
        <w:rPr>
          <w:rFonts w:cs="Arial"/>
          <w:b/>
          <w:sz w:val="32"/>
          <w:szCs w:val="32"/>
        </w:rPr>
        <w:t xml:space="preserve"> 20</w:t>
      </w:r>
      <w:r w:rsidRPr="008F0C10">
        <w:rPr>
          <w:rFonts w:cs="Arial"/>
          <w:b/>
          <w:sz w:val="32"/>
          <w:szCs w:val="32"/>
        </w:rPr>
        <w:t>10</w:t>
      </w:r>
      <w:bookmarkStart w:id="0" w:name="_GoBack"/>
      <w:bookmarkEnd w:id="0"/>
    </w:p>
    <w:p w:rsidR="00263D88" w:rsidRPr="009568A4" w:rsidRDefault="00263D88" w:rsidP="009E4856">
      <w:pPr>
        <w:pageBreakBefore/>
        <w:spacing w:before="200" w:after="200"/>
      </w:pPr>
      <w:r w:rsidRPr="009568A4">
        <w:t xml:space="preserve">1. </w:t>
      </w:r>
      <w:r w:rsidRPr="009568A4">
        <w:tab/>
        <w:t xml:space="preserve">Introduction - </w:t>
      </w:r>
      <w:smartTag w:uri="urn:schemas-microsoft-com:office:smarttags" w:element="place">
        <w:smartTag w:uri="urn:schemas-microsoft-com:office:smarttags" w:element="State">
          <w:r w:rsidRPr="009568A4">
            <w:t>Queensland</w:t>
          </w:r>
        </w:smartTag>
      </w:smartTag>
      <w:r w:rsidRPr="009568A4">
        <w:t>’s International obligations</w:t>
      </w:r>
    </w:p>
    <w:p w:rsidR="00263D88" w:rsidRPr="008F0C10" w:rsidRDefault="004861E9" w:rsidP="009E4856">
      <w:pPr>
        <w:spacing w:before="200" w:after="200"/>
        <w:ind w:left="720" w:hanging="720"/>
        <w:jc w:val="both"/>
        <w:rPr>
          <w:rFonts w:cs="Arial"/>
          <w:sz w:val="24"/>
        </w:rPr>
      </w:pPr>
      <w:r w:rsidRPr="008F0C10">
        <w:rPr>
          <w:rFonts w:cs="Arial"/>
          <w:sz w:val="24"/>
        </w:rPr>
        <w:t>1.</w:t>
      </w:r>
      <w:r w:rsidR="00AC6032" w:rsidRPr="008F0C10">
        <w:rPr>
          <w:rFonts w:cs="Arial"/>
          <w:sz w:val="24"/>
        </w:rPr>
        <w:t>1</w:t>
      </w:r>
      <w:r w:rsidR="00263D88" w:rsidRPr="008F0C10">
        <w:rPr>
          <w:rFonts w:cs="Arial"/>
          <w:sz w:val="24"/>
        </w:rPr>
        <w:t xml:space="preserve"> </w:t>
      </w:r>
      <w:r w:rsidR="00263D88" w:rsidRPr="008F0C10">
        <w:rPr>
          <w:rFonts w:cs="Arial"/>
          <w:sz w:val="24"/>
        </w:rPr>
        <w:tab/>
        <w:t xml:space="preserve">The Anti Discrimination Commission (the </w:t>
      </w:r>
      <w:r w:rsidR="00263D88" w:rsidRPr="008F0C10">
        <w:rPr>
          <w:rFonts w:cs="Arial"/>
          <w:i/>
          <w:sz w:val="24"/>
        </w:rPr>
        <w:t>ADCQ</w:t>
      </w:r>
      <w:r w:rsidR="00263D88" w:rsidRPr="008F0C10">
        <w:rPr>
          <w:rFonts w:cs="Arial"/>
          <w:sz w:val="24"/>
        </w:rPr>
        <w:t xml:space="preserve">) is established under the </w:t>
      </w:r>
      <w:r w:rsidR="00263D88" w:rsidRPr="008F0C10">
        <w:rPr>
          <w:rFonts w:cs="Arial"/>
          <w:i/>
          <w:sz w:val="24"/>
        </w:rPr>
        <w:t>Anti-Discrimination Act 1991</w:t>
      </w:r>
      <w:r w:rsidR="008F0C10">
        <w:rPr>
          <w:rFonts w:cs="Arial"/>
          <w:i/>
          <w:sz w:val="24"/>
        </w:rPr>
        <w:t xml:space="preserve"> </w:t>
      </w:r>
      <w:r w:rsidR="008F0C10">
        <w:rPr>
          <w:rFonts w:cs="Arial"/>
          <w:sz w:val="24"/>
        </w:rPr>
        <w:t xml:space="preserve">(the </w:t>
      </w:r>
      <w:r w:rsidR="008F0C10" w:rsidRPr="008F0C10">
        <w:rPr>
          <w:rFonts w:cs="Arial"/>
          <w:i/>
          <w:sz w:val="24"/>
        </w:rPr>
        <w:t>AD Act</w:t>
      </w:r>
      <w:r w:rsidR="008F0C10">
        <w:rPr>
          <w:rFonts w:cs="Arial"/>
          <w:sz w:val="24"/>
        </w:rPr>
        <w:t>)</w:t>
      </w:r>
      <w:r w:rsidR="00263D88" w:rsidRPr="008F0C10">
        <w:rPr>
          <w:rFonts w:cs="Arial"/>
          <w:i/>
          <w:sz w:val="24"/>
        </w:rPr>
        <w:t>.</w:t>
      </w:r>
      <w:r w:rsidR="00263D88" w:rsidRPr="008F0C10">
        <w:rPr>
          <w:rFonts w:cs="Arial"/>
          <w:sz w:val="24"/>
        </w:rPr>
        <w:t xml:space="preserve">  One of the functions of the </w:t>
      </w:r>
      <w:r w:rsidR="00263D88" w:rsidRPr="008F0C10">
        <w:rPr>
          <w:rFonts w:cs="Arial"/>
          <w:i/>
          <w:sz w:val="24"/>
        </w:rPr>
        <w:t>ADCQ</w:t>
      </w:r>
      <w:r w:rsidR="00263D88" w:rsidRPr="008F0C10">
        <w:rPr>
          <w:rFonts w:cs="Arial"/>
          <w:sz w:val="24"/>
        </w:rPr>
        <w:t xml:space="preserve"> is to promote an understanding and acceptance, and the public discussion of human rights in </w:t>
      </w:r>
      <w:smartTag w:uri="urn:schemas-microsoft-com:office:smarttags" w:element="place">
        <w:smartTag w:uri="urn:schemas-microsoft-com:office:smarttags" w:element="State">
          <w:r w:rsidR="00263D88" w:rsidRPr="008F0C10">
            <w:rPr>
              <w:rFonts w:cs="Arial"/>
              <w:sz w:val="24"/>
            </w:rPr>
            <w:t>Queensland</w:t>
          </w:r>
        </w:smartTag>
      </w:smartTag>
      <w:r w:rsidR="00263D88" w:rsidRPr="008F0C10">
        <w:rPr>
          <w:rFonts w:cs="Arial"/>
          <w:sz w:val="24"/>
        </w:rPr>
        <w:t xml:space="preserve">. </w:t>
      </w:r>
    </w:p>
    <w:p w:rsidR="00F97AB6" w:rsidRPr="008F0C10" w:rsidRDefault="004861E9" w:rsidP="009E4856">
      <w:pPr>
        <w:spacing w:before="200" w:after="200"/>
        <w:ind w:left="720" w:hanging="720"/>
        <w:jc w:val="both"/>
        <w:rPr>
          <w:rFonts w:cs="Arial"/>
          <w:sz w:val="24"/>
        </w:rPr>
      </w:pPr>
      <w:r w:rsidRPr="008F0C10">
        <w:rPr>
          <w:rFonts w:cs="Arial"/>
          <w:sz w:val="24"/>
        </w:rPr>
        <w:t>1.</w:t>
      </w:r>
      <w:r w:rsidR="00F97AB6" w:rsidRPr="008F0C10">
        <w:rPr>
          <w:rFonts w:cs="Arial"/>
          <w:sz w:val="24"/>
        </w:rPr>
        <w:t xml:space="preserve">2 </w:t>
      </w:r>
      <w:r w:rsidR="00F97AB6" w:rsidRPr="008F0C10">
        <w:rPr>
          <w:rFonts w:cs="Arial"/>
          <w:sz w:val="24"/>
        </w:rPr>
        <w:tab/>
      </w:r>
      <w:r w:rsidR="00263D88" w:rsidRPr="008F0C10">
        <w:rPr>
          <w:rFonts w:cs="Arial"/>
          <w:sz w:val="24"/>
        </w:rPr>
        <w:t xml:space="preserve">A major purpose of the </w:t>
      </w:r>
      <w:r w:rsidR="00263D88" w:rsidRPr="008F0C10">
        <w:rPr>
          <w:rFonts w:cs="Arial"/>
          <w:i/>
          <w:sz w:val="24"/>
        </w:rPr>
        <w:t>AD</w:t>
      </w:r>
      <w:r w:rsidR="008F0C10" w:rsidRPr="008F0C10">
        <w:rPr>
          <w:rFonts w:cs="Arial"/>
          <w:i/>
          <w:sz w:val="24"/>
        </w:rPr>
        <w:t xml:space="preserve"> </w:t>
      </w:r>
      <w:r w:rsidR="00263D88" w:rsidRPr="008F0C10">
        <w:rPr>
          <w:rFonts w:cs="Arial"/>
          <w:i/>
          <w:sz w:val="24"/>
        </w:rPr>
        <w:t>A</w:t>
      </w:r>
      <w:r w:rsidR="008F0C10" w:rsidRPr="008F0C10">
        <w:rPr>
          <w:rFonts w:cs="Arial"/>
          <w:i/>
          <w:sz w:val="24"/>
        </w:rPr>
        <w:t>ct</w:t>
      </w:r>
      <w:r w:rsidR="00263D88" w:rsidRPr="008F0C10">
        <w:rPr>
          <w:rFonts w:cs="Arial"/>
          <w:sz w:val="24"/>
        </w:rPr>
        <w:t xml:space="preserve"> is to promote equality of opportunity for</w:t>
      </w:r>
      <w:r w:rsidR="005C6F58" w:rsidRPr="008F0C10">
        <w:rPr>
          <w:rFonts w:cs="Arial"/>
          <w:sz w:val="24"/>
        </w:rPr>
        <w:t xml:space="preserve"> everyone</w:t>
      </w:r>
      <w:r w:rsidR="00263D88" w:rsidRPr="008F0C10">
        <w:rPr>
          <w:rFonts w:cs="Arial"/>
          <w:sz w:val="24"/>
        </w:rPr>
        <w:t>, including people with intellectual and mental health impairments</w:t>
      </w:r>
      <w:r w:rsidR="005C6F58" w:rsidRPr="008F0C10">
        <w:rPr>
          <w:rFonts w:cs="Arial"/>
          <w:sz w:val="24"/>
        </w:rPr>
        <w:t>,</w:t>
      </w:r>
      <w:r w:rsidR="00263D88" w:rsidRPr="008F0C10">
        <w:rPr>
          <w:rFonts w:cs="Arial"/>
          <w:sz w:val="24"/>
        </w:rPr>
        <w:t xml:space="preserve"> by protecting them from unfair discrimination in the area</w:t>
      </w:r>
      <w:r w:rsidR="008F0C10">
        <w:rPr>
          <w:rFonts w:cs="Arial"/>
          <w:sz w:val="24"/>
        </w:rPr>
        <w:t>s</w:t>
      </w:r>
      <w:r w:rsidR="00263D88" w:rsidRPr="008F0C10">
        <w:rPr>
          <w:rFonts w:cs="Arial"/>
          <w:sz w:val="24"/>
        </w:rPr>
        <w:t xml:space="preserve"> </w:t>
      </w:r>
      <w:r w:rsidR="00471BC5" w:rsidRPr="008F0C10">
        <w:rPr>
          <w:rFonts w:cs="Arial"/>
          <w:sz w:val="24"/>
        </w:rPr>
        <w:t>of the</w:t>
      </w:r>
      <w:r w:rsidR="008F0C10">
        <w:rPr>
          <w:rFonts w:cs="Arial"/>
          <w:sz w:val="24"/>
        </w:rPr>
        <w:t xml:space="preserve"> provision of </w:t>
      </w:r>
      <w:r w:rsidR="00263D88" w:rsidRPr="008F0C10">
        <w:rPr>
          <w:rFonts w:cs="Arial"/>
          <w:sz w:val="24"/>
        </w:rPr>
        <w:t>goods and services</w:t>
      </w:r>
      <w:r w:rsidR="005C6F58" w:rsidRPr="008F0C10">
        <w:rPr>
          <w:rFonts w:cs="Arial"/>
          <w:sz w:val="24"/>
        </w:rPr>
        <w:t xml:space="preserve">, </w:t>
      </w:r>
      <w:r w:rsidR="00784386" w:rsidRPr="008F0C10">
        <w:rPr>
          <w:rFonts w:cs="Arial"/>
          <w:sz w:val="24"/>
        </w:rPr>
        <w:t>accommodation</w:t>
      </w:r>
      <w:r w:rsidR="008F0C10">
        <w:rPr>
          <w:rFonts w:cs="Arial"/>
          <w:sz w:val="24"/>
        </w:rPr>
        <w:t xml:space="preserve"> and the administration of S</w:t>
      </w:r>
      <w:r w:rsidR="005C6F58" w:rsidRPr="008F0C10">
        <w:rPr>
          <w:rFonts w:cs="Arial"/>
          <w:sz w:val="24"/>
        </w:rPr>
        <w:t>tate laws and programs.</w:t>
      </w:r>
    </w:p>
    <w:p w:rsidR="00263D88" w:rsidRPr="008F0C10" w:rsidRDefault="004861E9" w:rsidP="009E4856">
      <w:pPr>
        <w:spacing w:before="200" w:after="200"/>
        <w:ind w:left="720" w:hanging="720"/>
        <w:jc w:val="both"/>
        <w:rPr>
          <w:rFonts w:cs="Arial"/>
          <w:i/>
          <w:sz w:val="24"/>
        </w:rPr>
      </w:pPr>
      <w:r w:rsidRPr="008F0C10">
        <w:rPr>
          <w:rFonts w:cs="Arial"/>
          <w:sz w:val="24"/>
        </w:rPr>
        <w:t>1.</w:t>
      </w:r>
      <w:r w:rsidR="008F0C10">
        <w:rPr>
          <w:rFonts w:cs="Arial"/>
          <w:sz w:val="24"/>
        </w:rPr>
        <w:t>3</w:t>
      </w:r>
      <w:r w:rsidR="008F0C10">
        <w:rPr>
          <w:rFonts w:cs="Arial"/>
          <w:sz w:val="24"/>
        </w:rPr>
        <w:tab/>
        <w:t xml:space="preserve">In passing the </w:t>
      </w:r>
      <w:r w:rsidR="008F0C10" w:rsidRPr="001011A0">
        <w:rPr>
          <w:rFonts w:cs="Arial"/>
          <w:i/>
          <w:sz w:val="24"/>
        </w:rPr>
        <w:t>AD Act</w:t>
      </w:r>
      <w:r w:rsidR="008F0C10">
        <w:rPr>
          <w:rFonts w:cs="Arial"/>
          <w:sz w:val="24"/>
        </w:rPr>
        <w:t xml:space="preserve"> in 1991, t</w:t>
      </w:r>
      <w:r w:rsidR="00263D88" w:rsidRPr="008F0C10">
        <w:rPr>
          <w:rFonts w:cs="Arial"/>
          <w:sz w:val="24"/>
        </w:rPr>
        <w:t xml:space="preserve">he Queensland Parliament cited its support of the Commonwealth in ratifying a number of international instruments. </w:t>
      </w:r>
      <w:r w:rsidR="008F0C10">
        <w:rPr>
          <w:rFonts w:cs="Arial"/>
          <w:sz w:val="24"/>
        </w:rPr>
        <w:t xml:space="preserve"> </w:t>
      </w:r>
      <w:r w:rsidR="00263D88" w:rsidRPr="008F0C10">
        <w:rPr>
          <w:rFonts w:cs="Arial"/>
          <w:sz w:val="24"/>
        </w:rPr>
        <w:t xml:space="preserve">Those instruments include </w:t>
      </w:r>
      <w:r w:rsidR="005C6F58" w:rsidRPr="008F0C10">
        <w:rPr>
          <w:rFonts w:cs="Arial"/>
          <w:sz w:val="24"/>
        </w:rPr>
        <w:t xml:space="preserve">the </w:t>
      </w:r>
      <w:r w:rsidR="005C6F58" w:rsidRPr="008F0C10">
        <w:rPr>
          <w:rFonts w:cs="Arial"/>
          <w:i/>
          <w:sz w:val="24"/>
        </w:rPr>
        <w:t>Declaration on the Rights of Mentally Retarded Persons</w:t>
      </w:r>
      <w:r w:rsidR="00620C20" w:rsidRPr="008F0C10">
        <w:rPr>
          <w:rStyle w:val="FootnoteReference"/>
          <w:rFonts w:cs="Arial"/>
          <w:sz w:val="24"/>
        </w:rPr>
        <w:footnoteReference w:id="1"/>
      </w:r>
      <w:r w:rsidR="005C6F58" w:rsidRPr="008F0C10">
        <w:rPr>
          <w:rFonts w:cs="Arial"/>
          <w:sz w:val="24"/>
        </w:rPr>
        <w:t xml:space="preserve"> and the </w:t>
      </w:r>
      <w:r w:rsidR="005C6F58" w:rsidRPr="008F0C10">
        <w:rPr>
          <w:rFonts w:cs="Arial"/>
          <w:i/>
          <w:sz w:val="24"/>
        </w:rPr>
        <w:t>Declaration on the Rights of Disabled Persons.</w:t>
      </w:r>
      <w:r w:rsidR="00F97AB6" w:rsidRPr="00317DD8">
        <w:rPr>
          <w:rStyle w:val="FootnoteReference"/>
          <w:rFonts w:cs="Arial"/>
          <w:sz w:val="24"/>
        </w:rPr>
        <w:footnoteReference w:id="2"/>
      </w:r>
    </w:p>
    <w:p w:rsidR="00A30D02" w:rsidRPr="008F0C10" w:rsidRDefault="004861E9" w:rsidP="009E4856">
      <w:pPr>
        <w:spacing w:before="200" w:after="200"/>
        <w:ind w:left="720" w:hanging="720"/>
        <w:jc w:val="both"/>
        <w:rPr>
          <w:rFonts w:cs="Arial"/>
          <w:sz w:val="24"/>
        </w:rPr>
      </w:pPr>
      <w:r w:rsidRPr="008F0C10">
        <w:rPr>
          <w:rFonts w:cs="Arial"/>
          <w:sz w:val="24"/>
        </w:rPr>
        <w:t>1.</w:t>
      </w:r>
      <w:r w:rsidR="00A30D02" w:rsidRPr="008F0C10">
        <w:rPr>
          <w:rFonts w:cs="Arial"/>
          <w:sz w:val="24"/>
        </w:rPr>
        <w:t>4</w:t>
      </w:r>
      <w:r w:rsidR="006E54B3" w:rsidRPr="008F0C10">
        <w:rPr>
          <w:rFonts w:cs="Arial"/>
          <w:sz w:val="24"/>
        </w:rPr>
        <w:t xml:space="preserve"> </w:t>
      </w:r>
      <w:r w:rsidR="0072416F" w:rsidRPr="008F0C10">
        <w:rPr>
          <w:rFonts w:cs="Arial"/>
          <w:sz w:val="24"/>
        </w:rPr>
        <w:tab/>
      </w:r>
      <w:r w:rsidR="006E54B3" w:rsidRPr="008F0C10">
        <w:rPr>
          <w:rFonts w:cs="Arial"/>
          <w:sz w:val="24"/>
        </w:rPr>
        <w:t>On</w:t>
      </w:r>
      <w:r w:rsidR="00E418BB" w:rsidRPr="008F0C10">
        <w:rPr>
          <w:rFonts w:cs="Arial"/>
          <w:sz w:val="24"/>
        </w:rPr>
        <w:t xml:space="preserve"> 30 March 2007 the Australian Government signed the United Nations </w:t>
      </w:r>
      <w:r w:rsidR="00E418BB" w:rsidRPr="008F0C10">
        <w:rPr>
          <w:rFonts w:cs="Arial"/>
          <w:i/>
          <w:sz w:val="24"/>
        </w:rPr>
        <w:t xml:space="preserve">Convention on the Rights of Persons with </w:t>
      </w:r>
      <w:r w:rsidR="006E54B3" w:rsidRPr="008F0C10">
        <w:rPr>
          <w:rFonts w:cs="Arial"/>
          <w:i/>
          <w:sz w:val="24"/>
        </w:rPr>
        <w:t>Disabilities (</w:t>
      </w:r>
      <w:r w:rsidR="006E54B3" w:rsidRPr="008F0C10">
        <w:rPr>
          <w:rFonts w:cs="Arial"/>
          <w:sz w:val="24"/>
        </w:rPr>
        <w:t>the</w:t>
      </w:r>
      <w:r w:rsidR="008F0C10">
        <w:rPr>
          <w:rFonts w:cs="Arial"/>
          <w:i/>
          <w:sz w:val="24"/>
        </w:rPr>
        <w:t xml:space="preserve"> Convention</w:t>
      </w:r>
      <w:r w:rsidR="003275F3" w:rsidRPr="008F0C10">
        <w:rPr>
          <w:rFonts w:cs="Arial"/>
          <w:i/>
          <w:sz w:val="24"/>
        </w:rPr>
        <w:t>)</w:t>
      </w:r>
      <w:r w:rsidR="00DD4629">
        <w:rPr>
          <w:rFonts w:cs="Arial"/>
          <w:sz w:val="24"/>
        </w:rPr>
        <w:t xml:space="preserve"> and </w:t>
      </w:r>
      <w:r w:rsidR="00E418BB" w:rsidRPr="008F0C10">
        <w:rPr>
          <w:rFonts w:cs="Arial"/>
          <w:sz w:val="24"/>
        </w:rPr>
        <w:t xml:space="preserve">Australia </w:t>
      </w:r>
      <w:r w:rsidR="00DD4629">
        <w:rPr>
          <w:rFonts w:cs="Arial"/>
          <w:sz w:val="24"/>
        </w:rPr>
        <w:t xml:space="preserve">ratified the </w:t>
      </w:r>
      <w:r w:rsidR="00E418BB" w:rsidRPr="008F0C10">
        <w:rPr>
          <w:rFonts w:cs="Arial"/>
          <w:i/>
          <w:sz w:val="24"/>
        </w:rPr>
        <w:t>Convention</w:t>
      </w:r>
      <w:r w:rsidR="00DD4629">
        <w:rPr>
          <w:rFonts w:cs="Arial"/>
          <w:sz w:val="24"/>
        </w:rPr>
        <w:t xml:space="preserve">, with a reservation, on 17 July 2008.  On 21 August 2009 </w:t>
      </w:r>
      <w:smartTag w:uri="urn:schemas-microsoft-com:office:smarttags" w:element="place">
        <w:smartTag w:uri="urn:schemas-microsoft-com:office:smarttags" w:element="country-region">
          <w:r w:rsidR="00DD4629">
            <w:rPr>
              <w:rFonts w:cs="Arial"/>
              <w:sz w:val="24"/>
            </w:rPr>
            <w:t>Australia</w:t>
          </w:r>
        </w:smartTag>
      </w:smartTag>
      <w:r w:rsidR="00DD4629">
        <w:rPr>
          <w:rFonts w:cs="Arial"/>
          <w:sz w:val="24"/>
        </w:rPr>
        <w:t xml:space="preserve"> ratified the Optional Protocol to the </w:t>
      </w:r>
      <w:r w:rsidR="00DD4629" w:rsidRPr="00DD4629">
        <w:rPr>
          <w:rFonts w:cs="Arial"/>
          <w:i/>
          <w:sz w:val="24"/>
        </w:rPr>
        <w:t>Convention</w:t>
      </w:r>
      <w:r w:rsidR="00DD4629">
        <w:rPr>
          <w:rFonts w:cs="Arial"/>
          <w:sz w:val="24"/>
        </w:rPr>
        <w:t xml:space="preserve"> without reservation.</w:t>
      </w:r>
      <w:r w:rsidR="00AE21AE" w:rsidRPr="008F0C10">
        <w:rPr>
          <w:rFonts w:cs="Arial"/>
          <w:sz w:val="24"/>
        </w:rPr>
        <w:t xml:space="preserve"> </w:t>
      </w:r>
    </w:p>
    <w:p w:rsidR="006554F8" w:rsidRPr="008F0C10" w:rsidRDefault="004861E9" w:rsidP="009E4856">
      <w:pPr>
        <w:spacing w:before="200" w:after="200"/>
        <w:ind w:left="720" w:hanging="720"/>
        <w:jc w:val="both"/>
        <w:rPr>
          <w:rFonts w:cs="Arial"/>
          <w:sz w:val="24"/>
        </w:rPr>
      </w:pPr>
      <w:r w:rsidRPr="008F0C10">
        <w:rPr>
          <w:rFonts w:cs="Arial"/>
          <w:sz w:val="24"/>
        </w:rPr>
        <w:t>1.</w:t>
      </w:r>
      <w:r w:rsidR="00720729" w:rsidRPr="008F0C10">
        <w:rPr>
          <w:rFonts w:cs="Arial"/>
          <w:sz w:val="24"/>
        </w:rPr>
        <w:t>5</w:t>
      </w:r>
      <w:r w:rsidR="00A30D02" w:rsidRPr="008F0C10">
        <w:rPr>
          <w:rFonts w:cs="Arial"/>
          <w:sz w:val="24"/>
        </w:rPr>
        <w:t xml:space="preserve"> </w:t>
      </w:r>
      <w:r w:rsidR="0072416F" w:rsidRPr="008F0C10">
        <w:rPr>
          <w:rFonts w:cs="Arial"/>
          <w:sz w:val="24"/>
        </w:rPr>
        <w:tab/>
      </w:r>
      <w:r w:rsidR="00DD4629">
        <w:rPr>
          <w:rFonts w:cs="Arial"/>
          <w:sz w:val="24"/>
        </w:rPr>
        <w:t xml:space="preserve">Subject to the reservation, </w:t>
      </w:r>
      <w:r w:rsidR="00A30D02" w:rsidRPr="008F0C10">
        <w:rPr>
          <w:rFonts w:cs="Arial"/>
          <w:sz w:val="24"/>
        </w:rPr>
        <w:t>Australia has a duty to ensure that domestic laws</w:t>
      </w:r>
      <w:r w:rsidR="006045D9" w:rsidRPr="008F0C10">
        <w:rPr>
          <w:rFonts w:cs="Arial"/>
          <w:sz w:val="24"/>
        </w:rPr>
        <w:t xml:space="preserve"> conform to the obligations </w:t>
      </w:r>
      <w:r w:rsidR="00784386" w:rsidRPr="008F0C10">
        <w:rPr>
          <w:rFonts w:cs="Arial"/>
          <w:sz w:val="24"/>
        </w:rPr>
        <w:t>contained within</w:t>
      </w:r>
      <w:r w:rsidR="00AE21AE" w:rsidRPr="008F0C10">
        <w:rPr>
          <w:rFonts w:cs="Arial"/>
          <w:sz w:val="24"/>
        </w:rPr>
        <w:t xml:space="preserve"> the </w:t>
      </w:r>
      <w:r w:rsidR="00AE21AE" w:rsidRPr="008F0C10">
        <w:rPr>
          <w:rFonts w:cs="Arial"/>
          <w:i/>
          <w:sz w:val="24"/>
        </w:rPr>
        <w:t>Convention</w:t>
      </w:r>
      <w:r w:rsidR="006045D9" w:rsidRPr="008F0C10">
        <w:rPr>
          <w:rFonts w:cs="Arial"/>
          <w:sz w:val="24"/>
        </w:rPr>
        <w:t xml:space="preserve">. </w:t>
      </w:r>
      <w:r w:rsidR="008F0C10">
        <w:rPr>
          <w:rFonts w:cs="Arial"/>
          <w:sz w:val="24"/>
        </w:rPr>
        <w:t xml:space="preserve"> </w:t>
      </w:r>
      <w:r w:rsidR="00CD03FE" w:rsidRPr="008F0C10">
        <w:rPr>
          <w:rFonts w:cs="Arial"/>
          <w:sz w:val="24"/>
        </w:rPr>
        <w:t>This includes any laws passed by the Queensland Parliament.</w:t>
      </w:r>
    </w:p>
    <w:p w:rsidR="00F97AB6" w:rsidRPr="009568A4" w:rsidRDefault="006554F8" w:rsidP="009E4856">
      <w:pPr>
        <w:spacing w:before="200" w:after="200"/>
        <w:jc w:val="both"/>
        <w:rPr>
          <w:rFonts w:cs="Arial"/>
          <w:b/>
          <w:sz w:val="24"/>
        </w:rPr>
      </w:pPr>
      <w:r w:rsidRPr="009568A4">
        <w:rPr>
          <w:rFonts w:cs="Arial"/>
          <w:b/>
          <w:sz w:val="24"/>
        </w:rPr>
        <w:t>2.</w:t>
      </w:r>
      <w:r w:rsidR="0072416F" w:rsidRPr="009568A4">
        <w:rPr>
          <w:rFonts w:cs="Arial"/>
          <w:b/>
          <w:sz w:val="24"/>
        </w:rPr>
        <w:tab/>
      </w:r>
      <w:r w:rsidRPr="00F76A59">
        <w:rPr>
          <w:rFonts w:cs="Arial"/>
          <w:b/>
          <w:sz w:val="24"/>
        </w:rPr>
        <w:t>Convention on the Rights of Persons with Disabilities</w:t>
      </w:r>
      <w:r w:rsidR="009C7518">
        <w:rPr>
          <w:rFonts w:cs="Arial"/>
          <w:b/>
          <w:sz w:val="24"/>
        </w:rPr>
        <w:t xml:space="preserve"> Obligations</w:t>
      </w:r>
    </w:p>
    <w:p w:rsidR="00235B29" w:rsidRPr="008F0C10" w:rsidRDefault="004861E9" w:rsidP="009E4856">
      <w:pPr>
        <w:spacing w:before="200" w:after="200"/>
        <w:ind w:left="720" w:hanging="720"/>
        <w:jc w:val="both"/>
        <w:rPr>
          <w:rFonts w:cs="Arial"/>
          <w:sz w:val="24"/>
        </w:rPr>
      </w:pPr>
      <w:r w:rsidRPr="008F0C10">
        <w:rPr>
          <w:rFonts w:cs="Arial"/>
          <w:sz w:val="24"/>
        </w:rPr>
        <w:t>2.1</w:t>
      </w:r>
      <w:r w:rsidR="00235B29" w:rsidRPr="008F0C10">
        <w:rPr>
          <w:rFonts w:cs="Arial"/>
          <w:sz w:val="24"/>
        </w:rPr>
        <w:t xml:space="preserve"> </w:t>
      </w:r>
      <w:r w:rsidR="0072416F" w:rsidRPr="008F0C10">
        <w:rPr>
          <w:rFonts w:cs="Arial"/>
          <w:sz w:val="24"/>
        </w:rPr>
        <w:tab/>
      </w:r>
      <w:r w:rsidR="00235B29" w:rsidRPr="008F0C10">
        <w:rPr>
          <w:rFonts w:cs="Arial"/>
          <w:sz w:val="24"/>
        </w:rPr>
        <w:t xml:space="preserve">There are a number of Articles contained within the </w:t>
      </w:r>
      <w:r w:rsidR="00235B29" w:rsidRPr="008F0C10">
        <w:rPr>
          <w:rFonts w:cs="Arial"/>
          <w:i/>
          <w:sz w:val="24"/>
        </w:rPr>
        <w:t>Convention</w:t>
      </w:r>
      <w:r w:rsidR="00784386" w:rsidRPr="008F0C10">
        <w:rPr>
          <w:rFonts w:cs="Arial"/>
          <w:i/>
          <w:sz w:val="24"/>
        </w:rPr>
        <w:t xml:space="preserve"> </w:t>
      </w:r>
      <w:r w:rsidR="00235B29" w:rsidRPr="008F0C10">
        <w:rPr>
          <w:rFonts w:cs="Arial"/>
          <w:sz w:val="24"/>
        </w:rPr>
        <w:t xml:space="preserve">that have particular relevance in the context of the </w:t>
      </w:r>
      <w:r w:rsidR="00784386" w:rsidRPr="008F0C10">
        <w:rPr>
          <w:rFonts w:cs="Arial"/>
          <w:sz w:val="24"/>
        </w:rPr>
        <w:t>issues discussed</w:t>
      </w:r>
      <w:r w:rsidR="00235B29" w:rsidRPr="008F0C10">
        <w:rPr>
          <w:rFonts w:cs="Arial"/>
          <w:sz w:val="24"/>
        </w:rPr>
        <w:t xml:space="preserve"> in the report </w:t>
      </w:r>
      <w:r w:rsidR="00235B29" w:rsidRPr="008F0C10">
        <w:rPr>
          <w:rFonts w:cs="Arial"/>
          <w:i/>
          <w:sz w:val="24"/>
        </w:rPr>
        <w:t>‘Challenging Behaviour and Disability a Targeted Response’</w:t>
      </w:r>
      <w:r w:rsidR="00235B29" w:rsidRPr="008F0C10">
        <w:rPr>
          <w:rFonts w:cs="Arial"/>
          <w:sz w:val="24"/>
        </w:rPr>
        <w:t xml:space="preserve"> by the Hon. W.J. Carter QC</w:t>
      </w:r>
      <w:r w:rsidR="00CD03FE" w:rsidRPr="008F0C10">
        <w:rPr>
          <w:rFonts w:cs="Arial"/>
          <w:sz w:val="24"/>
        </w:rPr>
        <w:t>, and the Queensland Government’s response to that report.</w:t>
      </w:r>
    </w:p>
    <w:p w:rsidR="00784386" w:rsidRPr="008F0C10" w:rsidRDefault="004861E9" w:rsidP="009E4856">
      <w:pPr>
        <w:spacing w:before="200" w:after="200"/>
        <w:ind w:left="720" w:hanging="720"/>
        <w:jc w:val="both"/>
        <w:rPr>
          <w:rFonts w:cs="Arial"/>
          <w:sz w:val="24"/>
        </w:rPr>
      </w:pPr>
      <w:r w:rsidRPr="008F0C10">
        <w:rPr>
          <w:rFonts w:cs="Arial"/>
          <w:sz w:val="24"/>
        </w:rPr>
        <w:t>2.2</w:t>
      </w:r>
      <w:r w:rsidR="006E54B3" w:rsidRPr="008F0C10">
        <w:rPr>
          <w:rFonts w:cs="Arial"/>
          <w:sz w:val="24"/>
        </w:rPr>
        <w:t xml:space="preserve"> </w:t>
      </w:r>
      <w:r w:rsidR="0072416F" w:rsidRPr="008F0C10">
        <w:rPr>
          <w:rFonts w:cs="Arial"/>
          <w:sz w:val="24"/>
        </w:rPr>
        <w:tab/>
      </w:r>
      <w:r w:rsidR="006E54B3" w:rsidRPr="008F0C10">
        <w:rPr>
          <w:rFonts w:cs="Arial"/>
          <w:sz w:val="24"/>
        </w:rPr>
        <w:t>Those</w:t>
      </w:r>
      <w:r w:rsidR="00784386" w:rsidRPr="008F0C10">
        <w:rPr>
          <w:rFonts w:cs="Arial"/>
          <w:sz w:val="24"/>
        </w:rPr>
        <w:t xml:space="preserve"> articles with particular relevance are Articles 12</w:t>
      </w:r>
      <w:r w:rsidR="00A30D5D">
        <w:rPr>
          <w:rFonts w:cs="Arial"/>
          <w:sz w:val="24"/>
        </w:rPr>
        <w:t xml:space="preserve">, </w:t>
      </w:r>
      <w:r w:rsidR="006E54B3" w:rsidRPr="008F0C10">
        <w:rPr>
          <w:rFonts w:cs="Arial"/>
          <w:sz w:val="24"/>
        </w:rPr>
        <w:t>14,</w:t>
      </w:r>
      <w:r w:rsidR="00A30D5D">
        <w:rPr>
          <w:rFonts w:cs="Arial"/>
          <w:sz w:val="24"/>
        </w:rPr>
        <w:t xml:space="preserve"> </w:t>
      </w:r>
      <w:r w:rsidR="006E54B3" w:rsidRPr="008F0C10">
        <w:rPr>
          <w:rFonts w:cs="Arial"/>
          <w:sz w:val="24"/>
        </w:rPr>
        <w:t>15,</w:t>
      </w:r>
      <w:r w:rsidR="00A30D5D">
        <w:rPr>
          <w:rFonts w:cs="Arial"/>
          <w:sz w:val="24"/>
        </w:rPr>
        <w:t xml:space="preserve"> </w:t>
      </w:r>
      <w:r w:rsidR="006E54B3" w:rsidRPr="008F0C10">
        <w:rPr>
          <w:rFonts w:cs="Arial"/>
          <w:sz w:val="24"/>
        </w:rPr>
        <w:t>17,</w:t>
      </w:r>
      <w:r w:rsidR="00A30D5D">
        <w:rPr>
          <w:rFonts w:cs="Arial"/>
          <w:sz w:val="24"/>
        </w:rPr>
        <w:t xml:space="preserve"> </w:t>
      </w:r>
      <w:r w:rsidR="006E54B3" w:rsidRPr="008F0C10">
        <w:rPr>
          <w:rFonts w:cs="Arial"/>
          <w:sz w:val="24"/>
        </w:rPr>
        <w:t>19</w:t>
      </w:r>
      <w:r w:rsidR="00784386" w:rsidRPr="008F0C10">
        <w:rPr>
          <w:rFonts w:cs="Arial"/>
          <w:sz w:val="24"/>
        </w:rPr>
        <w:t xml:space="preserve"> and 26</w:t>
      </w:r>
      <w:r w:rsidR="00D47619" w:rsidRPr="008F0C10">
        <w:rPr>
          <w:rFonts w:cs="Arial"/>
          <w:sz w:val="24"/>
        </w:rPr>
        <w:t>.</w:t>
      </w:r>
    </w:p>
    <w:p w:rsidR="008611F9" w:rsidRPr="008F0C10" w:rsidRDefault="004861E9" w:rsidP="009E4856">
      <w:pPr>
        <w:spacing w:before="200" w:after="200"/>
        <w:ind w:left="720" w:hanging="720"/>
        <w:jc w:val="both"/>
        <w:rPr>
          <w:rFonts w:cs="Arial"/>
          <w:sz w:val="24"/>
        </w:rPr>
      </w:pPr>
      <w:r w:rsidRPr="008F0C10">
        <w:rPr>
          <w:rFonts w:cs="Arial"/>
          <w:sz w:val="24"/>
        </w:rPr>
        <w:t>2.3</w:t>
      </w:r>
      <w:r w:rsidR="008611F9" w:rsidRPr="008F0C10">
        <w:rPr>
          <w:rFonts w:cs="Arial"/>
          <w:sz w:val="24"/>
        </w:rPr>
        <w:t xml:space="preserve"> </w:t>
      </w:r>
      <w:r w:rsidR="0072416F" w:rsidRPr="008F0C10">
        <w:rPr>
          <w:rFonts w:cs="Arial"/>
          <w:sz w:val="24"/>
        </w:rPr>
        <w:tab/>
      </w:r>
      <w:r w:rsidR="008611F9" w:rsidRPr="008F0C10">
        <w:rPr>
          <w:rFonts w:cs="Arial"/>
          <w:sz w:val="24"/>
        </w:rPr>
        <w:t xml:space="preserve">Article 12 deals </w:t>
      </w:r>
      <w:r w:rsidR="004C3D49">
        <w:rPr>
          <w:rFonts w:cs="Arial"/>
          <w:sz w:val="24"/>
        </w:rPr>
        <w:t>with e</w:t>
      </w:r>
      <w:r w:rsidR="006E54B3" w:rsidRPr="008F0C10">
        <w:rPr>
          <w:rFonts w:cs="Arial"/>
          <w:sz w:val="24"/>
        </w:rPr>
        <w:t>qual</w:t>
      </w:r>
      <w:r w:rsidR="008611F9" w:rsidRPr="008F0C10">
        <w:rPr>
          <w:rFonts w:cs="Arial"/>
          <w:sz w:val="24"/>
        </w:rPr>
        <w:t xml:space="preserve"> recognition before the law and states</w:t>
      </w:r>
      <w:r w:rsidR="004C3D49">
        <w:rPr>
          <w:rFonts w:cs="Arial"/>
          <w:sz w:val="24"/>
        </w:rPr>
        <w:t>,</w:t>
      </w:r>
      <w:r w:rsidR="008611F9" w:rsidRPr="008F0C10">
        <w:rPr>
          <w:rFonts w:cs="Arial"/>
          <w:sz w:val="24"/>
        </w:rPr>
        <w:t xml:space="preserve"> inte</w:t>
      </w:r>
      <w:r w:rsidR="004C3D49">
        <w:rPr>
          <w:rFonts w:cs="Arial"/>
          <w:sz w:val="24"/>
        </w:rPr>
        <w:t>r alia:</w:t>
      </w:r>
    </w:p>
    <w:p w:rsidR="004C3D49" w:rsidRPr="004C3D49" w:rsidRDefault="00442EFC" w:rsidP="009E4856">
      <w:pPr>
        <w:pStyle w:val="NormalWeb1"/>
        <w:numPr>
          <w:ilvl w:val="0"/>
          <w:numId w:val="20"/>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Pr>
          <w:rFonts w:ascii="Arial" w:hAnsi="Arial" w:cs="Arial"/>
          <w:color w:val="000000"/>
          <w:sz w:val="22"/>
          <w:szCs w:val="22"/>
        </w:rPr>
        <w:t>State</w:t>
      </w:r>
      <w:r w:rsidR="00DD4629">
        <w:rPr>
          <w:rFonts w:ascii="Arial" w:hAnsi="Arial" w:cs="Arial"/>
          <w:color w:val="000000"/>
          <w:sz w:val="22"/>
          <w:szCs w:val="22"/>
        </w:rPr>
        <w:t>s</w:t>
      </w:r>
      <w:r w:rsidR="008611F9" w:rsidRPr="004C3D49">
        <w:rPr>
          <w:rFonts w:ascii="Arial" w:hAnsi="Arial" w:cs="Arial"/>
          <w:color w:val="000000"/>
          <w:sz w:val="22"/>
          <w:szCs w:val="22"/>
        </w:rPr>
        <w:t xml:space="preserve"> Parties reaffirm that persons with disabilities have the right to recognition everywhere as persons before the law. </w:t>
      </w:r>
    </w:p>
    <w:p w:rsidR="004C3D49" w:rsidRPr="004C3D49" w:rsidRDefault="00442EFC" w:rsidP="009E4856">
      <w:pPr>
        <w:pStyle w:val="NormalWeb1"/>
        <w:numPr>
          <w:ilvl w:val="0"/>
          <w:numId w:val="20"/>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Pr>
          <w:rFonts w:ascii="Arial" w:hAnsi="Arial" w:cs="Arial"/>
          <w:color w:val="000000"/>
          <w:sz w:val="22"/>
          <w:szCs w:val="22"/>
        </w:rPr>
        <w:t>State</w:t>
      </w:r>
      <w:r w:rsidR="00DD4629">
        <w:rPr>
          <w:rFonts w:ascii="Arial" w:hAnsi="Arial" w:cs="Arial"/>
          <w:color w:val="000000"/>
          <w:sz w:val="22"/>
          <w:szCs w:val="22"/>
        </w:rPr>
        <w:t>s</w:t>
      </w:r>
      <w:r w:rsidR="00DF7132" w:rsidRPr="004C3D49">
        <w:rPr>
          <w:rFonts w:ascii="Arial" w:hAnsi="Arial" w:cs="Arial"/>
          <w:color w:val="000000"/>
          <w:sz w:val="22"/>
          <w:szCs w:val="22"/>
        </w:rPr>
        <w:t xml:space="preserve"> Parties shall recognis</w:t>
      </w:r>
      <w:r w:rsidR="008611F9" w:rsidRPr="004C3D49">
        <w:rPr>
          <w:rFonts w:ascii="Arial" w:hAnsi="Arial" w:cs="Arial"/>
          <w:color w:val="000000"/>
          <w:sz w:val="22"/>
          <w:szCs w:val="22"/>
        </w:rPr>
        <w:t xml:space="preserve">e that persons with disabilities enjoy legal capacity on an equal basis with others in all aspects of life. </w:t>
      </w:r>
    </w:p>
    <w:p w:rsidR="00942967" w:rsidRPr="004C3D49" w:rsidRDefault="00442EFC" w:rsidP="009E4856">
      <w:pPr>
        <w:pStyle w:val="NormalWeb1"/>
        <w:numPr>
          <w:ilvl w:val="0"/>
          <w:numId w:val="20"/>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Pr>
          <w:rFonts w:ascii="Arial" w:hAnsi="Arial" w:cs="Arial"/>
          <w:color w:val="000000"/>
          <w:sz w:val="22"/>
          <w:szCs w:val="22"/>
        </w:rPr>
        <w:lastRenderedPageBreak/>
        <w:t>State</w:t>
      </w:r>
      <w:r w:rsidR="00DD4629">
        <w:rPr>
          <w:rFonts w:ascii="Arial" w:hAnsi="Arial" w:cs="Arial"/>
          <w:color w:val="000000"/>
          <w:sz w:val="22"/>
          <w:szCs w:val="22"/>
        </w:rPr>
        <w:t>s</w:t>
      </w:r>
      <w:r w:rsidR="008611F9" w:rsidRPr="004C3D49">
        <w:rPr>
          <w:rFonts w:ascii="Arial" w:hAnsi="Arial" w:cs="Arial"/>
          <w:color w:val="000000"/>
          <w:sz w:val="22"/>
          <w:szCs w:val="22"/>
        </w:rPr>
        <w:t xml:space="preserve"> Parties shall take appropriate measures to provide access by persons with disabilities to the support they may require in exercising their legal capacity. </w:t>
      </w:r>
    </w:p>
    <w:p w:rsidR="008611F9" w:rsidRPr="004C3D49" w:rsidRDefault="00442EFC" w:rsidP="009E4856">
      <w:pPr>
        <w:pStyle w:val="NormalWeb1"/>
        <w:numPr>
          <w:ilvl w:val="0"/>
          <w:numId w:val="20"/>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Pr>
          <w:rFonts w:ascii="Arial" w:hAnsi="Arial" w:cs="Arial"/>
          <w:color w:val="000000"/>
          <w:sz w:val="22"/>
          <w:szCs w:val="22"/>
        </w:rPr>
        <w:t>State</w:t>
      </w:r>
      <w:r w:rsidR="00DD4629">
        <w:rPr>
          <w:rFonts w:ascii="Arial" w:hAnsi="Arial" w:cs="Arial"/>
          <w:color w:val="000000"/>
          <w:sz w:val="22"/>
          <w:szCs w:val="22"/>
        </w:rPr>
        <w:t>s</w:t>
      </w:r>
      <w:r w:rsidR="008611F9" w:rsidRPr="004C3D49">
        <w:rPr>
          <w:rFonts w:ascii="Arial" w:hAnsi="Arial" w:cs="Arial"/>
          <w:color w:val="000000"/>
          <w:sz w:val="22"/>
          <w:szCs w:val="22"/>
        </w:rPr>
        <w:t xml:space="preserve"> Parties shall ensure that all measures that relate to the exercise of legal capacity provide for appropriate and effective safeguards to prevent abuse in accordance with international human rights law. </w:t>
      </w:r>
      <w:r>
        <w:rPr>
          <w:rFonts w:ascii="Arial" w:hAnsi="Arial" w:cs="Arial"/>
          <w:color w:val="000000"/>
          <w:sz w:val="22"/>
          <w:szCs w:val="22"/>
        </w:rPr>
        <w:t xml:space="preserve"> </w:t>
      </w:r>
      <w:r w:rsidR="008611F9" w:rsidRPr="004C3D49">
        <w:rPr>
          <w:rFonts w:ascii="Arial" w:hAnsi="Arial" w:cs="Arial"/>
          <w:color w:val="000000"/>
          <w:sz w:val="22"/>
          <w:szCs w:val="22"/>
        </w:rPr>
        <w:t xml:space="preserve">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w:t>
      </w:r>
      <w:r>
        <w:rPr>
          <w:rFonts w:ascii="Arial" w:hAnsi="Arial" w:cs="Arial"/>
          <w:color w:val="000000"/>
          <w:sz w:val="22"/>
          <w:szCs w:val="22"/>
        </w:rPr>
        <w:t xml:space="preserve"> </w:t>
      </w:r>
      <w:r w:rsidR="008611F9" w:rsidRPr="004C3D49">
        <w:rPr>
          <w:rFonts w:ascii="Arial" w:hAnsi="Arial" w:cs="Arial"/>
          <w:color w:val="000000"/>
          <w:sz w:val="22"/>
          <w:szCs w:val="22"/>
        </w:rPr>
        <w:t>The safeguards shall be proportional to the degree to which such measures affect the p</w:t>
      </w:r>
      <w:r w:rsidR="00942967" w:rsidRPr="004C3D49">
        <w:rPr>
          <w:rFonts w:ascii="Arial" w:hAnsi="Arial" w:cs="Arial"/>
          <w:color w:val="000000"/>
          <w:sz w:val="22"/>
          <w:szCs w:val="22"/>
        </w:rPr>
        <w:t xml:space="preserve">erson’s rights and interests. </w:t>
      </w:r>
    </w:p>
    <w:p w:rsidR="008611F9" w:rsidRPr="008F0C10" w:rsidRDefault="004861E9" w:rsidP="009E4856">
      <w:pPr>
        <w:pStyle w:val="Heading31"/>
        <w:shd w:val="clear" w:color="auto" w:fill="FFFFFF"/>
        <w:spacing w:before="200" w:beforeAutospacing="0" w:after="200" w:afterAutospacing="0"/>
        <w:jc w:val="both"/>
        <w:textAlignment w:val="top"/>
        <w:rPr>
          <w:rFonts w:ascii="Arial" w:hAnsi="Arial" w:cs="Arial"/>
          <w:b w:val="0"/>
          <w:color w:val="auto"/>
        </w:rPr>
      </w:pPr>
      <w:r w:rsidRPr="008F0C10">
        <w:rPr>
          <w:rFonts w:ascii="Arial" w:hAnsi="Arial" w:cs="Arial"/>
          <w:b w:val="0"/>
          <w:color w:val="auto"/>
        </w:rPr>
        <w:t>2.4</w:t>
      </w:r>
      <w:r w:rsidR="008611F9" w:rsidRPr="008F0C10">
        <w:rPr>
          <w:rFonts w:ascii="Arial" w:hAnsi="Arial" w:cs="Arial"/>
          <w:b w:val="0"/>
          <w:color w:val="auto"/>
        </w:rPr>
        <w:t xml:space="preserve"> </w:t>
      </w:r>
      <w:r w:rsidR="00942967" w:rsidRPr="008F0C10">
        <w:rPr>
          <w:rFonts w:ascii="Arial" w:hAnsi="Arial" w:cs="Arial"/>
          <w:b w:val="0"/>
          <w:color w:val="auto"/>
        </w:rPr>
        <w:tab/>
      </w:r>
      <w:r w:rsidR="004C3D49">
        <w:rPr>
          <w:rFonts w:ascii="Arial" w:hAnsi="Arial" w:cs="Arial"/>
          <w:b w:val="0"/>
          <w:color w:val="auto"/>
        </w:rPr>
        <w:t>Article 14 deals with l</w:t>
      </w:r>
      <w:r w:rsidR="008611F9" w:rsidRPr="008F0C10">
        <w:rPr>
          <w:rFonts w:ascii="Arial" w:hAnsi="Arial" w:cs="Arial"/>
          <w:b w:val="0"/>
          <w:color w:val="auto"/>
        </w:rPr>
        <w:t>iberty and se</w:t>
      </w:r>
      <w:r w:rsidR="007B63AD" w:rsidRPr="008F0C10">
        <w:rPr>
          <w:rFonts w:ascii="Arial" w:hAnsi="Arial" w:cs="Arial"/>
          <w:b w:val="0"/>
          <w:color w:val="auto"/>
        </w:rPr>
        <w:t>curity of the person and states:</w:t>
      </w:r>
    </w:p>
    <w:p w:rsidR="008611F9" w:rsidRPr="00C87DF9" w:rsidRDefault="00442EFC" w:rsidP="009E4856">
      <w:pPr>
        <w:pStyle w:val="NormalWeb1"/>
        <w:numPr>
          <w:ilvl w:val="0"/>
          <w:numId w:val="21"/>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sidRPr="00C87DF9">
        <w:rPr>
          <w:rFonts w:ascii="Arial" w:hAnsi="Arial" w:cs="Arial"/>
          <w:color w:val="000000"/>
          <w:sz w:val="22"/>
          <w:szCs w:val="22"/>
        </w:rPr>
        <w:t>State</w:t>
      </w:r>
      <w:r w:rsidR="00DD4629" w:rsidRPr="00C87DF9">
        <w:rPr>
          <w:rFonts w:ascii="Arial" w:hAnsi="Arial" w:cs="Arial"/>
          <w:color w:val="000000"/>
          <w:sz w:val="22"/>
          <w:szCs w:val="22"/>
        </w:rPr>
        <w:t>s</w:t>
      </w:r>
      <w:r w:rsidR="008611F9" w:rsidRPr="00C87DF9">
        <w:rPr>
          <w:rFonts w:ascii="Arial" w:hAnsi="Arial" w:cs="Arial"/>
          <w:color w:val="000000"/>
          <w:sz w:val="22"/>
          <w:szCs w:val="22"/>
        </w:rPr>
        <w:t xml:space="preserve"> Parties shall ensure that persons with disabilities, on an equal basis with others:</w:t>
      </w:r>
    </w:p>
    <w:p w:rsidR="008611F9" w:rsidRPr="008F0C10" w:rsidRDefault="008611F9" w:rsidP="009E4856">
      <w:pPr>
        <w:numPr>
          <w:ilvl w:val="0"/>
          <w:numId w:val="23"/>
        </w:numPr>
        <w:shd w:val="clear" w:color="auto" w:fill="FFFFFF"/>
        <w:tabs>
          <w:tab w:val="clear" w:pos="2130"/>
          <w:tab w:val="num" w:pos="1560"/>
        </w:tabs>
        <w:spacing w:before="200" w:after="200"/>
        <w:ind w:left="1560" w:hanging="426"/>
        <w:jc w:val="both"/>
        <w:textAlignment w:val="top"/>
        <w:rPr>
          <w:rFonts w:cs="Arial"/>
          <w:color w:val="000000"/>
          <w:szCs w:val="22"/>
        </w:rPr>
      </w:pPr>
      <w:r w:rsidRPr="008F0C10">
        <w:rPr>
          <w:rFonts w:cs="Arial"/>
          <w:color w:val="000000"/>
          <w:szCs w:val="22"/>
        </w:rPr>
        <w:t xml:space="preserve">Enjoy the right to liberty and security of person; </w:t>
      </w:r>
    </w:p>
    <w:p w:rsidR="008611F9" w:rsidRPr="008F0C10" w:rsidRDefault="008611F9" w:rsidP="009E4856">
      <w:pPr>
        <w:numPr>
          <w:ilvl w:val="0"/>
          <w:numId w:val="23"/>
        </w:numPr>
        <w:shd w:val="clear" w:color="auto" w:fill="FFFFFF"/>
        <w:tabs>
          <w:tab w:val="clear" w:pos="2130"/>
          <w:tab w:val="num" w:pos="1560"/>
        </w:tabs>
        <w:spacing w:before="200" w:after="200"/>
        <w:ind w:left="1560" w:hanging="426"/>
        <w:jc w:val="both"/>
        <w:textAlignment w:val="top"/>
        <w:rPr>
          <w:rFonts w:cs="Arial"/>
          <w:color w:val="000000"/>
          <w:szCs w:val="22"/>
        </w:rPr>
      </w:pPr>
      <w:r w:rsidRPr="008F0C10">
        <w:rPr>
          <w:rFonts w:cs="Arial"/>
          <w:color w:val="000000"/>
          <w:szCs w:val="22"/>
        </w:rPr>
        <w:t xml:space="preserve">Are not deprived of their liberty unlawfully or arbitrarily, and that any deprivation of liberty is in conformity with the law, and that the existence of a disability shall in no case justify a deprivation of liberty. </w:t>
      </w:r>
    </w:p>
    <w:p w:rsidR="008611F9" w:rsidRPr="00C87DF9" w:rsidRDefault="00442EFC" w:rsidP="009E4856">
      <w:pPr>
        <w:pStyle w:val="NormalWeb1"/>
        <w:numPr>
          <w:ilvl w:val="0"/>
          <w:numId w:val="21"/>
        </w:numPr>
        <w:shd w:val="clear" w:color="auto" w:fill="FFFFFF"/>
        <w:tabs>
          <w:tab w:val="left" w:pos="1134"/>
        </w:tabs>
        <w:spacing w:before="200" w:beforeAutospacing="0" w:after="200" w:afterAutospacing="0"/>
        <w:ind w:left="1134" w:hanging="425"/>
        <w:jc w:val="both"/>
        <w:textAlignment w:val="top"/>
        <w:rPr>
          <w:rFonts w:ascii="Arial" w:hAnsi="Arial" w:cs="Arial"/>
          <w:color w:val="000000"/>
          <w:sz w:val="22"/>
          <w:szCs w:val="22"/>
        </w:rPr>
      </w:pPr>
      <w:r w:rsidRPr="00C87DF9">
        <w:rPr>
          <w:rFonts w:ascii="Arial" w:hAnsi="Arial" w:cs="Arial"/>
          <w:color w:val="000000"/>
          <w:sz w:val="22"/>
          <w:szCs w:val="22"/>
        </w:rPr>
        <w:t>State</w:t>
      </w:r>
      <w:r w:rsidR="00DD4629" w:rsidRPr="00C87DF9">
        <w:rPr>
          <w:rFonts w:ascii="Arial" w:hAnsi="Arial" w:cs="Arial"/>
          <w:color w:val="000000"/>
          <w:sz w:val="22"/>
          <w:szCs w:val="22"/>
        </w:rPr>
        <w:t>s</w:t>
      </w:r>
      <w:r w:rsidR="008611F9" w:rsidRPr="00C87DF9">
        <w:rPr>
          <w:rFonts w:ascii="Arial" w:hAnsi="Arial" w:cs="Arial"/>
          <w:color w:val="000000"/>
          <w:sz w:val="22"/>
          <w:szCs w:val="22"/>
        </w:rPr>
        <w:t xml:space="preserve">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this Convention, including by provision of reasonable accommodation.</w:t>
      </w:r>
    </w:p>
    <w:p w:rsidR="00D47619" w:rsidRPr="00C87DF9" w:rsidRDefault="004861E9" w:rsidP="009E4856">
      <w:pPr>
        <w:pStyle w:val="Heading31"/>
        <w:shd w:val="clear" w:color="auto" w:fill="FFFFFF"/>
        <w:spacing w:before="200" w:beforeAutospacing="0" w:after="200" w:afterAutospacing="0"/>
        <w:ind w:left="709" w:hanging="709"/>
        <w:jc w:val="both"/>
        <w:textAlignment w:val="top"/>
        <w:rPr>
          <w:rFonts w:ascii="Arial" w:hAnsi="Arial" w:cs="Arial"/>
          <w:b w:val="0"/>
          <w:color w:val="auto"/>
        </w:rPr>
      </w:pPr>
      <w:r w:rsidRPr="00C87DF9">
        <w:rPr>
          <w:rFonts w:ascii="Arial" w:hAnsi="Arial" w:cs="Arial"/>
          <w:b w:val="0"/>
          <w:color w:val="auto"/>
        </w:rPr>
        <w:t>2.5</w:t>
      </w:r>
      <w:r w:rsidR="00D47619" w:rsidRPr="00C87DF9">
        <w:rPr>
          <w:rFonts w:ascii="Arial" w:hAnsi="Arial" w:cs="Arial"/>
          <w:b w:val="0"/>
          <w:color w:val="auto"/>
        </w:rPr>
        <w:t xml:space="preserve"> </w:t>
      </w:r>
      <w:r w:rsidR="00942967" w:rsidRPr="00C87DF9">
        <w:rPr>
          <w:rFonts w:ascii="Arial" w:hAnsi="Arial" w:cs="Arial"/>
          <w:b w:val="0"/>
          <w:color w:val="auto"/>
        </w:rPr>
        <w:tab/>
      </w:r>
      <w:r w:rsidR="00D47619" w:rsidRPr="00C87DF9">
        <w:rPr>
          <w:rFonts w:ascii="Arial" w:hAnsi="Arial" w:cs="Arial"/>
          <w:b w:val="0"/>
          <w:color w:val="auto"/>
        </w:rPr>
        <w:t xml:space="preserve">Article 15 deals with </w:t>
      </w:r>
      <w:r w:rsidR="004C3D49" w:rsidRPr="00C87DF9">
        <w:rPr>
          <w:rFonts w:ascii="Arial" w:hAnsi="Arial" w:cs="Arial"/>
          <w:b w:val="0"/>
          <w:color w:val="auto"/>
        </w:rPr>
        <w:t>f</w:t>
      </w:r>
      <w:r w:rsidR="00D47619" w:rsidRPr="00C87DF9">
        <w:rPr>
          <w:rFonts w:ascii="Arial" w:hAnsi="Arial" w:cs="Arial"/>
          <w:b w:val="0"/>
          <w:color w:val="auto"/>
        </w:rPr>
        <w:t xml:space="preserve">reedom from torture or cruel, inhuman or degrading treatment or punishment and </w:t>
      </w:r>
      <w:r w:rsidR="004C3D49" w:rsidRPr="00C87DF9">
        <w:rPr>
          <w:rFonts w:ascii="Arial" w:hAnsi="Arial" w:cs="Arial"/>
          <w:b w:val="0"/>
          <w:color w:val="auto"/>
        </w:rPr>
        <w:t>states:</w:t>
      </w:r>
    </w:p>
    <w:p w:rsidR="00914251" w:rsidRDefault="00D47619" w:rsidP="009E4856">
      <w:pPr>
        <w:pStyle w:val="NormalWeb1"/>
        <w:numPr>
          <w:ilvl w:val="0"/>
          <w:numId w:val="24"/>
        </w:numPr>
        <w:shd w:val="clear" w:color="auto" w:fill="FFFFFF"/>
        <w:tabs>
          <w:tab w:val="left" w:pos="1134"/>
        </w:tabs>
        <w:spacing w:before="200" w:beforeAutospacing="0" w:after="200" w:afterAutospacing="0"/>
        <w:ind w:left="1134" w:hanging="414"/>
        <w:jc w:val="both"/>
        <w:textAlignment w:val="top"/>
        <w:rPr>
          <w:rFonts w:ascii="Arial" w:hAnsi="Arial" w:cs="Arial"/>
          <w:color w:val="000000"/>
          <w:sz w:val="22"/>
          <w:szCs w:val="22"/>
        </w:rPr>
      </w:pPr>
      <w:r w:rsidRPr="008F0C10">
        <w:rPr>
          <w:rFonts w:ascii="Arial" w:hAnsi="Arial" w:cs="Arial"/>
          <w:color w:val="000000"/>
          <w:sz w:val="22"/>
          <w:szCs w:val="22"/>
        </w:rPr>
        <w:t xml:space="preserve">No one shall be subjected to torture or to cruel, inhuman or degrading treatment or punishment. </w:t>
      </w:r>
      <w:r w:rsidR="00442EFC">
        <w:rPr>
          <w:rFonts w:ascii="Arial" w:hAnsi="Arial" w:cs="Arial"/>
          <w:color w:val="000000"/>
          <w:sz w:val="22"/>
          <w:szCs w:val="22"/>
        </w:rPr>
        <w:t xml:space="preserve"> </w:t>
      </w:r>
      <w:r w:rsidRPr="008F0C10">
        <w:rPr>
          <w:rFonts w:ascii="Arial" w:hAnsi="Arial" w:cs="Arial"/>
          <w:color w:val="000000"/>
          <w:sz w:val="22"/>
          <w:szCs w:val="22"/>
        </w:rPr>
        <w:t>In particular, no one shall be subjected without his or her free consent to medical or scient</w:t>
      </w:r>
      <w:r w:rsidR="00442EFC">
        <w:rPr>
          <w:rFonts w:ascii="Arial" w:hAnsi="Arial" w:cs="Arial"/>
          <w:color w:val="000000"/>
          <w:sz w:val="22"/>
          <w:szCs w:val="22"/>
        </w:rPr>
        <w:t>ific experimentation.</w:t>
      </w:r>
    </w:p>
    <w:p w:rsidR="00D47619" w:rsidRPr="008F0C10" w:rsidRDefault="00442EFC" w:rsidP="009E4856">
      <w:pPr>
        <w:pStyle w:val="NormalWeb1"/>
        <w:numPr>
          <w:ilvl w:val="0"/>
          <w:numId w:val="24"/>
        </w:numPr>
        <w:shd w:val="clear" w:color="auto" w:fill="FFFFFF"/>
        <w:tabs>
          <w:tab w:val="left" w:pos="1134"/>
        </w:tabs>
        <w:spacing w:before="200" w:beforeAutospacing="0" w:after="200" w:afterAutospacing="0"/>
        <w:ind w:left="1134" w:hanging="414"/>
        <w:jc w:val="both"/>
        <w:textAlignment w:val="top"/>
        <w:rPr>
          <w:rFonts w:ascii="Arial" w:hAnsi="Arial" w:cs="Arial"/>
          <w:color w:val="000000"/>
          <w:sz w:val="22"/>
          <w:szCs w:val="22"/>
        </w:rPr>
      </w:pPr>
      <w:r>
        <w:rPr>
          <w:rFonts w:ascii="Arial" w:hAnsi="Arial" w:cs="Arial"/>
          <w:color w:val="000000"/>
          <w:sz w:val="22"/>
          <w:szCs w:val="22"/>
        </w:rPr>
        <w:t>State</w:t>
      </w:r>
      <w:r w:rsidR="00DD4629">
        <w:rPr>
          <w:rFonts w:ascii="Arial" w:hAnsi="Arial" w:cs="Arial"/>
          <w:color w:val="000000"/>
          <w:sz w:val="22"/>
          <w:szCs w:val="22"/>
        </w:rPr>
        <w:t>s</w:t>
      </w:r>
      <w:r w:rsidR="00D47619" w:rsidRPr="008F0C10">
        <w:rPr>
          <w:rFonts w:ascii="Arial" w:hAnsi="Arial" w:cs="Arial"/>
          <w:color w:val="000000"/>
          <w:sz w:val="22"/>
          <w:szCs w:val="22"/>
        </w:rPr>
        <w:t xml:space="preserve"> Parties shall take all effective legislative, administrative, judicial or other measures to prevent persons with disabilities, on an equal basis with others, from being subjected to torture or cruel, inhuman or degrading treatment or punishment.</w:t>
      </w:r>
    </w:p>
    <w:p w:rsidR="00CD03FE" w:rsidRPr="008F0C10" w:rsidRDefault="004861E9" w:rsidP="009E4856">
      <w:pPr>
        <w:pStyle w:val="Heading31"/>
        <w:shd w:val="clear" w:color="auto" w:fill="FFFFFF"/>
        <w:spacing w:before="200" w:beforeAutospacing="0" w:after="200" w:afterAutospacing="0"/>
        <w:ind w:left="709" w:hanging="709"/>
        <w:jc w:val="both"/>
        <w:textAlignment w:val="top"/>
        <w:rPr>
          <w:rFonts w:ascii="Arial" w:hAnsi="Arial" w:cs="Arial"/>
          <w:b w:val="0"/>
          <w:color w:val="auto"/>
        </w:rPr>
      </w:pPr>
      <w:r w:rsidRPr="008F0C10">
        <w:rPr>
          <w:rFonts w:ascii="Arial" w:hAnsi="Arial" w:cs="Arial"/>
          <w:b w:val="0"/>
          <w:color w:val="auto"/>
        </w:rPr>
        <w:t>2.6</w:t>
      </w:r>
      <w:r w:rsidR="00942967" w:rsidRPr="008F0C10">
        <w:rPr>
          <w:rFonts w:ascii="Arial" w:hAnsi="Arial" w:cs="Arial"/>
          <w:b w:val="0"/>
          <w:color w:val="auto"/>
        </w:rPr>
        <w:tab/>
      </w:r>
      <w:r w:rsidR="00784386" w:rsidRPr="008F0C10">
        <w:rPr>
          <w:rFonts w:ascii="Arial" w:hAnsi="Arial" w:cs="Arial"/>
          <w:b w:val="0"/>
          <w:color w:val="auto"/>
        </w:rPr>
        <w:t>Article 17 deals with protecting the int</w:t>
      </w:r>
      <w:r w:rsidR="004C3D49">
        <w:rPr>
          <w:rFonts w:ascii="Arial" w:hAnsi="Arial" w:cs="Arial"/>
          <w:b w:val="0"/>
          <w:color w:val="auto"/>
        </w:rPr>
        <w:t>egrity of the person and states:</w:t>
      </w:r>
    </w:p>
    <w:p w:rsidR="00784386" w:rsidRPr="008F0C10" w:rsidRDefault="00784386" w:rsidP="009E4856">
      <w:pPr>
        <w:pStyle w:val="Heading31"/>
        <w:shd w:val="clear" w:color="auto" w:fill="FFFFFF"/>
        <w:spacing w:before="200" w:beforeAutospacing="0" w:after="200" w:afterAutospacing="0"/>
        <w:ind w:left="720"/>
        <w:jc w:val="both"/>
        <w:textAlignment w:val="top"/>
        <w:rPr>
          <w:rFonts w:ascii="Arial" w:hAnsi="Arial" w:cs="Arial"/>
          <w:b w:val="0"/>
          <w:color w:val="auto"/>
          <w:sz w:val="22"/>
          <w:szCs w:val="22"/>
        </w:rPr>
      </w:pPr>
      <w:r w:rsidRPr="008F0C10">
        <w:rPr>
          <w:rFonts w:ascii="Arial" w:hAnsi="Arial" w:cs="Arial"/>
          <w:b w:val="0"/>
          <w:color w:val="auto"/>
          <w:sz w:val="22"/>
          <w:szCs w:val="22"/>
        </w:rPr>
        <w:t>Every person with disabilities has a right to respect for his or her physical and mental integrity on an equal basis with others.</w:t>
      </w:r>
    </w:p>
    <w:p w:rsidR="005C505A" w:rsidRPr="002E04D9" w:rsidRDefault="004861E9" w:rsidP="009E4856">
      <w:pPr>
        <w:pStyle w:val="Heading31"/>
        <w:shd w:val="clear" w:color="auto" w:fill="FFFFFF"/>
        <w:spacing w:before="200" w:beforeAutospacing="0" w:after="200" w:afterAutospacing="0"/>
        <w:ind w:left="709" w:hanging="709"/>
        <w:jc w:val="both"/>
        <w:textAlignment w:val="top"/>
        <w:rPr>
          <w:rFonts w:ascii="Arial" w:hAnsi="Arial" w:cs="Arial"/>
          <w:b w:val="0"/>
          <w:color w:val="auto"/>
        </w:rPr>
      </w:pPr>
      <w:r w:rsidRPr="002E04D9">
        <w:rPr>
          <w:rFonts w:ascii="Arial" w:hAnsi="Arial" w:cs="Arial"/>
          <w:b w:val="0"/>
          <w:color w:val="auto"/>
        </w:rPr>
        <w:t>2.7</w:t>
      </w:r>
      <w:r w:rsidR="005C505A" w:rsidRPr="002E04D9">
        <w:rPr>
          <w:rFonts w:ascii="Arial" w:hAnsi="Arial" w:cs="Arial"/>
          <w:b w:val="0"/>
          <w:color w:val="auto"/>
        </w:rPr>
        <w:t xml:space="preserve"> </w:t>
      </w:r>
      <w:r w:rsidR="00942967" w:rsidRPr="002E04D9">
        <w:rPr>
          <w:rFonts w:ascii="Arial" w:hAnsi="Arial" w:cs="Arial"/>
          <w:b w:val="0"/>
          <w:color w:val="auto"/>
        </w:rPr>
        <w:tab/>
      </w:r>
      <w:r w:rsidR="004C3D49" w:rsidRPr="002E04D9">
        <w:rPr>
          <w:rFonts w:ascii="Arial" w:hAnsi="Arial" w:cs="Arial"/>
          <w:b w:val="0"/>
          <w:color w:val="auto"/>
        </w:rPr>
        <w:t>Article 19 deals with l</w:t>
      </w:r>
      <w:r w:rsidR="005C505A" w:rsidRPr="002E04D9">
        <w:rPr>
          <w:rFonts w:ascii="Arial" w:hAnsi="Arial" w:cs="Arial"/>
          <w:b w:val="0"/>
          <w:color w:val="auto"/>
        </w:rPr>
        <w:t>iving independently and being inclu</w:t>
      </w:r>
      <w:r w:rsidR="007B63AD" w:rsidRPr="002E04D9">
        <w:rPr>
          <w:rFonts w:ascii="Arial" w:hAnsi="Arial" w:cs="Arial"/>
          <w:b w:val="0"/>
          <w:color w:val="auto"/>
        </w:rPr>
        <w:t>ded in the community and states:</w:t>
      </w:r>
    </w:p>
    <w:p w:rsidR="005C505A" w:rsidRPr="008F0C10" w:rsidRDefault="00442EFC" w:rsidP="009E4856">
      <w:pPr>
        <w:shd w:val="clear" w:color="auto" w:fill="FFFFFF"/>
        <w:spacing w:before="200" w:after="200"/>
        <w:ind w:left="1080"/>
        <w:jc w:val="both"/>
        <w:textAlignment w:val="top"/>
        <w:rPr>
          <w:rFonts w:cs="Arial"/>
          <w:color w:val="000000"/>
          <w:szCs w:val="22"/>
        </w:rPr>
      </w:pPr>
      <w:r>
        <w:rPr>
          <w:rFonts w:cs="Arial"/>
          <w:color w:val="000000"/>
          <w:szCs w:val="22"/>
        </w:rPr>
        <w:t>State</w:t>
      </w:r>
      <w:r w:rsidR="00DD4629">
        <w:rPr>
          <w:rFonts w:cs="Arial"/>
          <w:color w:val="000000"/>
          <w:szCs w:val="22"/>
        </w:rPr>
        <w:t>s</w:t>
      </w:r>
      <w:r w:rsidR="005C505A" w:rsidRPr="008F0C10">
        <w:rPr>
          <w:rFonts w:cs="Arial"/>
          <w:color w:val="000000"/>
          <w:szCs w:val="22"/>
        </w:rPr>
        <w:t xml:space="preserve"> Parties to this Convention </w:t>
      </w:r>
      <w:r w:rsidR="00DF7132" w:rsidRPr="008F0C10">
        <w:rPr>
          <w:rFonts w:cs="Arial"/>
          <w:color w:val="000000"/>
          <w:szCs w:val="22"/>
        </w:rPr>
        <w:t>recognise</w:t>
      </w:r>
      <w:r w:rsidR="005C505A" w:rsidRPr="008F0C10">
        <w:rPr>
          <w:rFonts w:cs="Arial"/>
          <w:color w:val="000000"/>
          <w:szCs w:val="22"/>
        </w:rPr>
        <w:t xml:space="preserve"> the equal right of all persons with disabilities to live in the community, with choices equal to others, and shall take effective and appropriate measures to facilitate full enjoyment </w:t>
      </w:r>
      <w:r w:rsidR="005C505A" w:rsidRPr="008F0C10">
        <w:rPr>
          <w:rFonts w:cs="Arial"/>
          <w:color w:val="000000"/>
          <w:szCs w:val="22"/>
        </w:rPr>
        <w:lastRenderedPageBreak/>
        <w:t>by persons with disabilities of this right and their full inclusion and participation in the community, including by ensuring that:</w:t>
      </w:r>
    </w:p>
    <w:p w:rsidR="005C505A" w:rsidRPr="008F0C10" w:rsidRDefault="005C505A" w:rsidP="009E4856">
      <w:pPr>
        <w:numPr>
          <w:ilvl w:val="0"/>
          <w:numId w:val="6"/>
        </w:numPr>
        <w:shd w:val="clear" w:color="auto" w:fill="FFFFFF"/>
        <w:tabs>
          <w:tab w:val="clear" w:pos="720"/>
          <w:tab w:val="num" w:pos="1440"/>
        </w:tabs>
        <w:spacing w:before="200" w:after="200"/>
        <w:ind w:left="1434" w:hanging="357"/>
        <w:jc w:val="both"/>
        <w:textAlignment w:val="top"/>
        <w:rPr>
          <w:rFonts w:cs="Arial"/>
          <w:color w:val="000000"/>
          <w:szCs w:val="22"/>
        </w:rPr>
      </w:pPr>
      <w:r w:rsidRPr="008F0C10">
        <w:rPr>
          <w:rFonts w:cs="Arial"/>
          <w:color w:val="000000"/>
          <w:szCs w:val="22"/>
        </w:rPr>
        <w:t xml:space="preserve">Persons with disabilities have the opportunity to choose their place of residence and where and with whom they live on an equal basis with others and are not obliged to live in a particular living arrangement; </w:t>
      </w:r>
    </w:p>
    <w:p w:rsidR="005C505A" w:rsidRPr="008F0C10" w:rsidRDefault="005C505A" w:rsidP="009E4856">
      <w:pPr>
        <w:numPr>
          <w:ilvl w:val="0"/>
          <w:numId w:val="6"/>
        </w:numPr>
        <w:shd w:val="clear" w:color="auto" w:fill="FFFFFF"/>
        <w:tabs>
          <w:tab w:val="clear" w:pos="720"/>
          <w:tab w:val="num" w:pos="1440"/>
        </w:tabs>
        <w:spacing w:before="200" w:after="200"/>
        <w:ind w:left="1434" w:hanging="357"/>
        <w:jc w:val="both"/>
        <w:textAlignment w:val="top"/>
        <w:rPr>
          <w:rFonts w:cs="Arial"/>
          <w:color w:val="000000"/>
          <w:szCs w:val="22"/>
        </w:rPr>
      </w:pPr>
      <w:r w:rsidRPr="008F0C10">
        <w:rPr>
          <w:rFonts w:cs="Arial"/>
          <w:color w:val="000000"/>
          <w:szCs w:val="22"/>
        </w:rPr>
        <w:t xml:space="preserve">Persons with disabilities have access to a range of in-home, residential and other community support services, including personal assistance necessary to support living and inclusion in the community, and to prevent isolation or segregation from the community; </w:t>
      </w:r>
    </w:p>
    <w:p w:rsidR="005C505A" w:rsidRPr="008F0C10" w:rsidRDefault="005C505A" w:rsidP="009E4856">
      <w:pPr>
        <w:numPr>
          <w:ilvl w:val="0"/>
          <w:numId w:val="6"/>
        </w:numPr>
        <w:shd w:val="clear" w:color="auto" w:fill="FFFFFF"/>
        <w:tabs>
          <w:tab w:val="clear" w:pos="720"/>
          <w:tab w:val="num" w:pos="1440"/>
        </w:tabs>
        <w:spacing w:before="200" w:after="200"/>
        <w:ind w:left="1434" w:hanging="357"/>
        <w:jc w:val="both"/>
        <w:textAlignment w:val="top"/>
        <w:rPr>
          <w:rFonts w:cs="Arial"/>
          <w:color w:val="000000"/>
          <w:szCs w:val="22"/>
        </w:rPr>
      </w:pPr>
      <w:r w:rsidRPr="008F0C10">
        <w:rPr>
          <w:rFonts w:cs="Arial"/>
          <w:color w:val="000000"/>
          <w:szCs w:val="22"/>
        </w:rPr>
        <w:t>Community services and facilities for the general population are available on an equal basis to persons with disabilities and are responsive to their needs.</w:t>
      </w:r>
    </w:p>
    <w:p w:rsidR="005C505A" w:rsidRPr="008F0C10" w:rsidRDefault="004861E9" w:rsidP="009E4856">
      <w:pPr>
        <w:pStyle w:val="Heading31"/>
        <w:shd w:val="clear" w:color="auto" w:fill="FFFFFF"/>
        <w:spacing w:before="200" w:beforeAutospacing="0" w:after="200" w:afterAutospacing="0"/>
        <w:ind w:left="709" w:hanging="709"/>
        <w:jc w:val="both"/>
        <w:textAlignment w:val="top"/>
        <w:rPr>
          <w:rFonts w:ascii="Arial" w:hAnsi="Arial" w:cs="Arial"/>
          <w:b w:val="0"/>
          <w:color w:val="auto"/>
        </w:rPr>
      </w:pPr>
      <w:r w:rsidRPr="008F0C10">
        <w:rPr>
          <w:rFonts w:ascii="Arial" w:hAnsi="Arial" w:cs="Arial"/>
          <w:b w:val="0"/>
          <w:color w:val="auto"/>
        </w:rPr>
        <w:t>2.8</w:t>
      </w:r>
      <w:r w:rsidR="005C505A" w:rsidRPr="008F0C10">
        <w:rPr>
          <w:rFonts w:ascii="Arial" w:hAnsi="Arial" w:cs="Arial"/>
          <w:b w:val="0"/>
          <w:color w:val="auto"/>
        </w:rPr>
        <w:t xml:space="preserve"> </w:t>
      </w:r>
      <w:r w:rsidR="00942967" w:rsidRPr="008F0C10">
        <w:rPr>
          <w:rFonts w:ascii="Arial" w:hAnsi="Arial" w:cs="Arial"/>
          <w:b w:val="0"/>
          <w:color w:val="auto"/>
        </w:rPr>
        <w:tab/>
      </w:r>
      <w:r w:rsidR="005C505A" w:rsidRPr="008F0C10">
        <w:rPr>
          <w:rFonts w:ascii="Arial" w:hAnsi="Arial" w:cs="Arial"/>
          <w:b w:val="0"/>
          <w:color w:val="auto"/>
        </w:rPr>
        <w:t xml:space="preserve">Article 26 deals with </w:t>
      </w:r>
      <w:r w:rsidR="00942967" w:rsidRPr="008F0C10">
        <w:rPr>
          <w:rFonts w:ascii="Arial" w:hAnsi="Arial" w:cs="Arial"/>
          <w:b w:val="0"/>
          <w:color w:val="auto"/>
        </w:rPr>
        <w:t>h</w:t>
      </w:r>
      <w:r w:rsidR="005C505A" w:rsidRPr="008F0C10">
        <w:rPr>
          <w:rFonts w:ascii="Arial" w:hAnsi="Arial" w:cs="Arial"/>
          <w:b w:val="0"/>
          <w:color w:val="auto"/>
        </w:rPr>
        <w:t>abilitatio</w:t>
      </w:r>
      <w:r w:rsidR="004C3D49">
        <w:rPr>
          <w:rFonts w:ascii="Arial" w:hAnsi="Arial" w:cs="Arial"/>
          <w:b w:val="0"/>
          <w:color w:val="auto"/>
        </w:rPr>
        <w:t>n and rehabilitation and states:</w:t>
      </w:r>
    </w:p>
    <w:p w:rsidR="005C505A" w:rsidRPr="006D270D" w:rsidRDefault="00442EFC" w:rsidP="009E4856">
      <w:pPr>
        <w:pStyle w:val="NormalWeb1"/>
        <w:numPr>
          <w:ilvl w:val="0"/>
          <w:numId w:val="25"/>
        </w:numPr>
        <w:shd w:val="clear" w:color="auto" w:fill="FFFFFF"/>
        <w:tabs>
          <w:tab w:val="left" w:pos="1134"/>
        </w:tabs>
        <w:spacing w:before="200" w:beforeAutospacing="0" w:after="200" w:afterAutospacing="0"/>
        <w:ind w:left="1134" w:hanging="414"/>
        <w:jc w:val="both"/>
        <w:textAlignment w:val="top"/>
        <w:rPr>
          <w:rFonts w:ascii="Arial" w:hAnsi="Arial" w:cs="Arial"/>
          <w:color w:val="000000"/>
          <w:sz w:val="22"/>
          <w:szCs w:val="22"/>
        </w:rPr>
      </w:pPr>
      <w:r w:rsidRPr="006D270D">
        <w:rPr>
          <w:rFonts w:ascii="Arial" w:hAnsi="Arial" w:cs="Arial"/>
          <w:color w:val="000000"/>
          <w:sz w:val="22"/>
          <w:szCs w:val="22"/>
        </w:rPr>
        <w:t>State</w:t>
      </w:r>
      <w:r w:rsidR="00DD4629" w:rsidRPr="006D270D">
        <w:rPr>
          <w:rFonts w:ascii="Arial" w:hAnsi="Arial" w:cs="Arial"/>
          <w:color w:val="000000"/>
          <w:sz w:val="22"/>
          <w:szCs w:val="22"/>
        </w:rPr>
        <w:t>s</w:t>
      </w:r>
      <w:r w:rsidR="005C505A" w:rsidRPr="006D270D">
        <w:rPr>
          <w:rFonts w:ascii="Arial" w:hAnsi="Arial" w:cs="Arial"/>
          <w:color w:val="000000"/>
          <w:sz w:val="22"/>
          <w:szCs w:val="22"/>
        </w:rPr>
        <w:t xml:space="preserve"> Parties shall take effective and appropriate measures, including through peer support, to enable persons with disabilities to attain and maintain maximum independence, full physical, mental, social and vocational ability, and full inclusion and participation in all aspects of life.</w:t>
      </w:r>
      <w:r w:rsidRPr="006D270D">
        <w:rPr>
          <w:rFonts w:ascii="Arial" w:hAnsi="Arial" w:cs="Arial"/>
          <w:color w:val="000000"/>
          <w:sz w:val="22"/>
          <w:szCs w:val="22"/>
        </w:rPr>
        <w:t xml:space="preserve"> </w:t>
      </w:r>
      <w:r w:rsidR="005C505A" w:rsidRPr="006D270D">
        <w:rPr>
          <w:rFonts w:ascii="Arial" w:hAnsi="Arial" w:cs="Arial"/>
          <w:color w:val="000000"/>
          <w:sz w:val="22"/>
          <w:szCs w:val="22"/>
        </w:rPr>
        <w:t xml:space="preserve"> To that end, States Parties shall organize, strengthen and extend comprehensive habilitation and rehabilitation services and programmes, particularly in the areas of health, employment, education and social services, in such a way that these services and programmes:</w:t>
      </w:r>
    </w:p>
    <w:p w:rsidR="005C505A" w:rsidRPr="008F0C10" w:rsidRDefault="005C505A" w:rsidP="009E4856">
      <w:pPr>
        <w:numPr>
          <w:ilvl w:val="0"/>
          <w:numId w:val="27"/>
        </w:numPr>
        <w:shd w:val="clear" w:color="auto" w:fill="FFFFFF"/>
        <w:tabs>
          <w:tab w:val="clear" w:pos="1437"/>
        </w:tabs>
        <w:spacing w:before="200" w:after="200"/>
        <w:ind w:hanging="303"/>
        <w:jc w:val="both"/>
        <w:textAlignment w:val="top"/>
        <w:rPr>
          <w:rFonts w:cs="Arial"/>
          <w:color w:val="000000"/>
          <w:szCs w:val="22"/>
        </w:rPr>
      </w:pPr>
      <w:r w:rsidRPr="008F0C10">
        <w:rPr>
          <w:rFonts w:cs="Arial"/>
          <w:color w:val="000000"/>
          <w:szCs w:val="22"/>
        </w:rPr>
        <w:t xml:space="preserve">Begin at the earliest possible stage, and are based on the multidisciplinary assessment of individual needs and strengths; </w:t>
      </w:r>
    </w:p>
    <w:p w:rsidR="005C505A" w:rsidRPr="008F0C10" w:rsidRDefault="005C505A" w:rsidP="009E4856">
      <w:pPr>
        <w:numPr>
          <w:ilvl w:val="0"/>
          <w:numId w:val="27"/>
        </w:numPr>
        <w:shd w:val="clear" w:color="auto" w:fill="FFFFFF"/>
        <w:tabs>
          <w:tab w:val="clear" w:pos="1437"/>
        </w:tabs>
        <w:spacing w:before="200" w:after="200"/>
        <w:ind w:hanging="303"/>
        <w:jc w:val="both"/>
        <w:textAlignment w:val="top"/>
        <w:rPr>
          <w:rFonts w:cs="Arial"/>
          <w:color w:val="000000"/>
          <w:szCs w:val="22"/>
        </w:rPr>
      </w:pPr>
      <w:r w:rsidRPr="008F0C10">
        <w:rPr>
          <w:rFonts w:cs="Arial"/>
          <w:color w:val="000000"/>
          <w:szCs w:val="22"/>
        </w:rPr>
        <w:t xml:space="preserve">Support participation and inclusion in the community and all aspects of society, are voluntary, and are available to persons with disabilities as close as possible to their own communities, including in rural areas. </w:t>
      </w:r>
    </w:p>
    <w:p w:rsidR="00757A25" w:rsidRDefault="005C505A" w:rsidP="009E4856">
      <w:pPr>
        <w:pStyle w:val="NormalWeb1"/>
        <w:numPr>
          <w:ilvl w:val="0"/>
          <w:numId w:val="25"/>
        </w:numPr>
        <w:shd w:val="clear" w:color="auto" w:fill="FFFFFF"/>
        <w:tabs>
          <w:tab w:val="left" w:pos="1134"/>
        </w:tabs>
        <w:spacing w:before="200" w:beforeAutospacing="0" w:after="200" w:afterAutospacing="0"/>
        <w:ind w:left="1134" w:hanging="414"/>
        <w:jc w:val="both"/>
        <w:textAlignment w:val="top"/>
        <w:rPr>
          <w:rFonts w:ascii="Arial" w:hAnsi="Arial" w:cs="Arial"/>
          <w:color w:val="000000"/>
          <w:sz w:val="22"/>
          <w:szCs w:val="22"/>
        </w:rPr>
      </w:pPr>
      <w:r w:rsidRPr="00757A25">
        <w:rPr>
          <w:rFonts w:ascii="Arial" w:hAnsi="Arial" w:cs="Arial"/>
          <w:color w:val="000000"/>
          <w:sz w:val="22"/>
          <w:szCs w:val="22"/>
        </w:rPr>
        <w:t>State</w:t>
      </w:r>
      <w:r w:rsidR="00DD4629" w:rsidRPr="00757A25">
        <w:rPr>
          <w:rFonts w:ascii="Arial" w:hAnsi="Arial" w:cs="Arial"/>
          <w:color w:val="000000"/>
          <w:sz w:val="22"/>
          <w:szCs w:val="22"/>
        </w:rPr>
        <w:t>s</w:t>
      </w:r>
      <w:r w:rsidRPr="00757A25">
        <w:rPr>
          <w:rFonts w:ascii="Arial" w:hAnsi="Arial" w:cs="Arial"/>
          <w:color w:val="000000"/>
          <w:sz w:val="22"/>
          <w:szCs w:val="22"/>
        </w:rPr>
        <w:t xml:space="preserve"> Parties shall promote the development of initial and continuing training for professionals and staff working in habilitation and reh</w:t>
      </w:r>
      <w:r w:rsidR="00442EFC" w:rsidRPr="00757A25">
        <w:rPr>
          <w:rFonts w:ascii="Arial" w:hAnsi="Arial" w:cs="Arial"/>
          <w:color w:val="000000"/>
          <w:sz w:val="22"/>
          <w:szCs w:val="22"/>
        </w:rPr>
        <w:t>abilitation services.</w:t>
      </w:r>
    </w:p>
    <w:p w:rsidR="005C505A" w:rsidRPr="00757A25" w:rsidRDefault="00442EFC" w:rsidP="009E4856">
      <w:pPr>
        <w:pStyle w:val="NormalWeb1"/>
        <w:numPr>
          <w:ilvl w:val="0"/>
          <w:numId w:val="25"/>
        </w:numPr>
        <w:shd w:val="clear" w:color="auto" w:fill="FFFFFF"/>
        <w:tabs>
          <w:tab w:val="left" w:pos="1134"/>
        </w:tabs>
        <w:spacing w:before="200" w:beforeAutospacing="0" w:after="200" w:afterAutospacing="0"/>
        <w:ind w:left="1134" w:hanging="414"/>
        <w:jc w:val="both"/>
        <w:textAlignment w:val="top"/>
        <w:rPr>
          <w:rFonts w:ascii="Arial" w:hAnsi="Arial" w:cs="Arial"/>
          <w:color w:val="000000"/>
          <w:sz w:val="22"/>
          <w:szCs w:val="22"/>
        </w:rPr>
      </w:pPr>
      <w:r w:rsidRPr="00757A25">
        <w:rPr>
          <w:rFonts w:ascii="Arial" w:hAnsi="Arial" w:cs="Arial"/>
          <w:color w:val="000000"/>
          <w:sz w:val="22"/>
          <w:szCs w:val="22"/>
        </w:rPr>
        <w:t>State</w:t>
      </w:r>
      <w:r w:rsidR="00DD4629" w:rsidRPr="00757A25">
        <w:rPr>
          <w:rFonts w:ascii="Arial" w:hAnsi="Arial" w:cs="Arial"/>
          <w:color w:val="000000"/>
          <w:sz w:val="22"/>
          <w:szCs w:val="22"/>
        </w:rPr>
        <w:t>s</w:t>
      </w:r>
      <w:r w:rsidR="005C505A" w:rsidRPr="00757A25">
        <w:rPr>
          <w:rFonts w:ascii="Arial" w:hAnsi="Arial" w:cs="Arial"/>
          <w:color w:val="000000"/>
          <w:sz w:val="22"/>
          <w:szCs w:val="22"/>
        </w:rPr>
        <w:t xml:space="preserve"> Parties shall promote the availability, knowledge and use of assistive devices and technologies, designed for persons with disabilities, as they relate to habilitation and rehabilitation.</w:t>
      </w:r>
    </w:p>
    <w:p w:rsidR="00744503" w:rsidRPr="00BD5811" w:rsidRDefault="00744503" w:rsidP="009E4856">
      <w:pPr>
        <w:pStyle w:val="Heading31"/>
        <w:shd w:val="clear" w:color="auto" w:fill="FFFFFF"/>
        <w:spacing w:before="200" w:beforeAutospacing="0" w:after="200" w:afterAutospacing="0"/>
        <w:ind w:left="709" w:hanging="709"/>
        <w:jc w:val="both"/>
        <w:textAlignment w:val="top"/>
        <w:rPr>
          <w:rFonts w:ascii="Arial" w:hAnsi="Arial" w:cs="Arial"/>
          <w:b w:val="0"/>
          <w:color w:val="auto"/>
        </w:rPr>
      </w:pPr>
      <w:r w:rsidRPr="00BD5811">
        <w:rPr>
          <w:rFonts w:ascii="Arial" w:hAnsi="Arial" w:cs="Arial"/>
          <w:b w:val="0"/>
          <w:color w:val="auto"/>
        </w:rPr>
        <w:t>2.9</w:t>
      </w:r>
      <w:r w:rsidRPr="00BD5811">
        <w:rPr>
          <w:rFonts w:ascii="Arial" w:hAnsi="Arial" w:cs="Arial"/>
          <w:b w:val="0"/>
          <w:color w:val="auto"/>
        </w:rPr>
        <w:tab/>
      </w:r>
      <w:smartTag w:uri="urn:schemas-microsoft-com:office:smarttags" w:element="place">
        <w:smartTag w:uri="urn:schemas-microsoft-com:office:smarttags" w:element="country-region">
          <w:r w:rsidRPr="00BD5811">
            <w:rPr>
              <w:rFonts w:ascii="Arial" w:hAnsi="Arial" w:cs="Arial"/>
              <w:b w:val="0"/>
              <w:color w:val="auto"/>
            </w:rPr>
            <w:t>Australia</w:t>
          </w:r>
        </w:smartTag>
      </w:smartTag>
      <w:r w:rsidRPr="00BD5811">
        <w:rPr>
          <w:rFonts w:ascii="Arial" w:hAnsi="Arial" w:cs="Arial"/>
          <w:b w:val="0"/>
          <w:color w:val="auto"/>
        </w:rPr>
        <w:t>'s reservation provides:</w:t>
      </w:r>
    </w:p>
    <w:p w:rsidR="00744503" w:rsidRDefault="00744503" w:rsidP="009E4856">
      <w:pPr>
        <w:autoSpaceDE w:val="0"/>
        <w:autoSpaceDN w:val="0"/>
        <w:adjustRightInd w:val="0"/>
        <w:spacing w:before="200" w:after="200"/>
        <w:ind w:left="720"/>
        <w:jc w:val="both"/>
        <w:rPr>
          <w:rFonts w:cs="Arial"/>
          <w:szCs w:val="22"/>
          <w:lang w:eastAsia="en-US"/>
        </w:rPr>
      </w:pPr>
      <w:r w:rsidRPr="00744503">
        <w:rPr>
          <w:rFonts w:cs="Arial"/>
          <w:szCs w:val="22"/>
          <w:lang w:eastAsia="en-US"/>
        </w:rPr>
        <w:t>Australia recognizes that persons with disability enjoy legal capacity on an equal basis with others in all aspects of life.  Australia declares its understanding that the Convention allows for fully supported or substituted decision-making arrangements, which provide for decisions to be made on behalf of a person, only where such arrangements are necessary, as a last resort and subject to safeguards;</w:t>
      </w:r>
    </w:p>
    <w:p w:rsidR="00744503" w:rsidRPr="00744503" w:rsidRDefault="00744503" w:rsidP="009E4856">
      <w:pPr>
        <w:autoSpaceDE w:val="0"/>
        <w:autoSpaceDN w:val="0"/>
        <w:adjustRightInd w:val="0"/>
        <w:spacing w:before="200" w:after="200"/>
        <w:ind w:left="720"/>
        <w:jc w:val="both"/>
        <w:rPr>
          <w:rFonts w:cs="Arial"/>
          <w:szCs w:val="22"/>
          <w:lang w:eastAsia="en-US"/>
        </w:rPr>
      </w:pPr>
    </w:p>
    <w:p w:rsidR="00744503" w:rsidRPr="00744503" w:rsidRDefault="00744503" w:rsidP="009E4856">
      <w:pPr>
        <w:autoSpaceDE w:val="0"/>
        <w:autoSpaceDN w:val="0"/>
        <w:adjustRightInd w:val="0"/>
        <w:spacing w:before="200" w:after="200"/>
        <w:ind w:left="720"/>
        <w:jc w:val="both"/>
        <w:rPr>
          <w:rFonts w:cs="Arial"/>
          <w:szCs w:val="22"/>
          <w:lang w:eastAsia="en-US"/>
        </w:rPr>
      </w:pPr>
      <w:r w:rsidRPr="00744503">
        <w:rPr>
          <w:rFonts w:cs="Arial"/>
          <w:szCs w:val="22"/>
          <w:lang w:eastAsia="en-US"/>
        </w:rPr>
        <w:t>Australia recognizes that every person with disability has a right to respect for his or her physical and mental integrity on an equal basis with others.  Australia further declares its understanding that the Convention allows for compulsory assistance or treatment of persons, including measures taken for the treatment of mental disability, where such treatment is necessary, as a last resort and subject to safeguards;</w:t>
      </w:r>
    </w:p>
    <w:p w:rsidR="00744503" w:rsidRDefault="00744503" w:rsidP="009E4856">
      <w:pPr>
        <w:autoSpaceDE w:val="0"/>
        <w:autoSpaceDN w:val="0"/>
        <w:adjustRightInd w:val="0"/>
        <w:spacing w:before="200" w:after="200"/>
        <w:ind w:left="720"/>
        <w:jc w:val="both"/>
        <w:rPr>
          <w:rFonts w:cs="Arial"/>
          <w:szCs w:val="22"/>
          <w:lang w:eastAsia="en-US"/>
        </w:rPr>
      </w:pPr>
      <w:r w:rsidRPr="00744503">
        <w:rPr>
          <w:rFonts w:cs="Arial"/>
          <w:szCs w:val="22"/>
          <w:lang w:eastAsia="en-US"/>
        </w:rPr>
        <w:lastRenderedPageBreak/>
        <w:t xml:space="preserve">Australia recognizes the rights of persons with disability to liberty of movement, to freedom to choose their residence and to a nationality, on an equal basis with others.  </w:t>
      </w:r>
      <w:smartTag w:uri="urn:schemas-microsoft-com:office:smarttags" w:element="country-region">
        <w:r w:rsidRPr="00744503">
          <w:rPr>
            <w:rFonts w:cs="Arial"/>
            <w:szCs w:val="22"/>
            <w:lang w:eastAsia="en-US"/>
          </w:rPr>
          <w:t>Australia</w:t>
        </w:r>
      </w:smartTag>
      <w:r w:rsidRPr="00744503">
        <w:rPr>
          <w:rFonts w:cs="Arial"/>
          <w:szCs w:val="22"/>
          <w:lang w:eastAsia="en-US"/>
        </w:rPr>
        <w:t xml:space="preserve"> further declares its understanding that the Convention does not create a right for a person to enter or remain in a country of which he or she is not a national, nor impact on </w:t>
      </w:r>
      <w:smartTag w:uri="urn:schemas-microsoft-com:office:smarttags" w:element="country-region">
        <w:r w:rsidRPr="00744503">
          <w:rPr>
            <w:rFonts w:cs="Arial"/>
            <w:szCs w:val="22"/>
            <w:lang w:eastAsia="en-US"/>
          </w:rPr>
          <w:t>Australia</w:t>
        </w:r>
      </w:smartTag>
      <w:r w:rsidRPr="00744503">
        <w:rPr>
          <w:rFonts w:cs="Arial"/>
          <w:szCs w:val="22"/>
          <w:lang w:eastAsia="en-US"/>
        </w:rPr>
        <w:t xml:space="preserve">’s health requirements for non-nationals seeking to enter or remain in </w:t>
      </w:r>
      <w:smartTag w:uri="urn:schemas-microsoft-com:office:smarttags" w:element="place">
        <w:smartTag w:uri="urn:schemas-microsoft-com:office:smarttags" w:element="country-region">
          <w:r w:rsidRPr="00744503">
            <w:rPr>
              <w:rFonts w:cs="Arial"/>
              <w:szCs w:val="22"/>
              <w:lang w:eastAsia="en-US"/>
            </w:rPr>
            <w:t>Australia</w:t>
          </w:r>
        </w:smartTag>
      </w:smartTag>
      <w:r w:rsidRPr="00744503">
        <w:rPr>
          <w:rFonts w:cs="Arial"/>
          <w:szCs w:val="22"/>
          <w:lang w:eastAsia="en-US"/>
        </w:rPr>
        <w:t>, where these requirements are based on legitimate, objective and reasonable criteria.</w:t>
      </w:r>
    </w:p>
    <w:p w:rsidR="007762D6" w:rsidRDefault="007762D6" w:rsidP="009E4856">
      <w:pPr>
        <w:spacing w:before="200" w:after="200"/>
        <w:jc w:val="both"/>
        <w:rPr>
          <w:rFonts w:cs="Arial"/>
          <w:b/>
          <w:sz w:val="24"/>
        </w:rPr>
      </w:pPr>
      <w:r w:rsidRPr="00F76A59">
        <w:rPr>
          <w:rFonts w:cs="Arial"/>
          <w:b/>
          <w:sz w:val="24"/>
        </w:rPr>
        <w:t>3</w:t>
      </w:r>
      <w:r w:rsidR="001F7698" w:rsidRPr="00F76A59">
        <w:rPr>
          <w:rFonts w:cs="Arial"/>
          <w:b/>
          <w:sz w:val="24"/>
        </w:rPr>
        <w:t>.</w:t>
      </w:r>
      <w:r w:rsidRPr="00F76A59">
        <w:rPr>
          <w:rFonts w:cs="Arial"/>
          <w:b/>
          <w:sz w:val="24"/>
        </w:rPr>
        <w:t xml:space="preserve"> </w:t>
      </w:r>
      <w:r w:rsidR="001F7698" w:rsidRPr="00F76A59">
        <w:rPr>
          <w:rFonts w:cs="Arial"/>
          <w:b/>
          <w:sz w:val="24"/>
        </w:rPr>
        <w:tab/>
      </w:r>
      <w:r w:rsidRPr="00F76A59">
        <w:rPr>
          <w:rFonts w:cs="Arial"/>
          <w:b/>
          <w:sz w:val="24"/>
        </w:rPr>
        <w:t xml:space="preserve">The Proposed Legislative </w:t>
      </w:r>
      <w:r w:rsidR="009568A4" w:rsidRPr="00F76A59">
        <w:rPr>
          <w:rFonts w:cs="Arial"/>
          <w:b/>
          <w:sz w:val="24"/>
        </w:rPr>
        <w:t>Model</w:t>
      </w:r>
    </w:p>
    <w:p w:rsidR="00A77059" w:rsidRPr="00BC5B44" w:rsidRDefault="00A77059" w:rsidP="009E4856">
      <w:pPr>
        <w:spacing w:before="200" w:after="200"/>
        <w:ind w:left="720" w:hanging="720"/>
        <w:jc w:val="both"/>
        <w:rPr>
          <w:rFonts w:cs="Arial"/>
          <w:b/>
          <w:i/>
          <w:color w:val="000000"/>
          <w:szCs w:val="22"/>
        </w:rPr>
      </w:pPr>
      <w:r w:rsidRPr="00BC5B44">
        <w:rPr>
          <w:rFonts w:cs="Arial"/>
          <w:b/>
          <w:i/>
          <w:color w:val="000000"/>
          <w:szCs w:val="22"/>
        </w:rPr>
        <w:t>General Principles</w:t>
      </w:r>
    </w:p>
    <w:p w:rsidR="00A77059" w:rsidRDefault="0005273F" w:rsidP="009E4856">
      <w:pPr>
        <w:numPr>
          <w:ilvl w:val="1"/>
          <w:numId w:val="25"/>
        </w:numPr>
        <w:spacing w:before="200" w:after="200"/>
        <w:ind w:left="709" w:hanging="709"/>
        <w:jc w:val="both"/>
        <w:rPr>
          <w:rFonts w:cs="Arial"/>
          <w:color w:val="000000"/>
          <w:sz w:val="24"/>
        </w:rPr>
      </w:pPr>
      <w:r w:rsidRPr="00A77059">
        <w:rPr>
          <w:rFonts w:cs="Arial"/>
          <w:color w:val="000000"/>
          <w:sz w:val="24"/>
        </w:rPr>
        <w:t xml:space="preserve">The ADCQ makes the following comments only upon the information contained within the Forensic Disability Bill 2010 Information Paper.  The comments are of a general nature only. </w:t>
      </w:r>
      <w:r w:rsidR="00054DF0" w:rsidRPr="00A77059">
        <w:rPr>
          <w:rFonts w:cs="Arial"/>
          <w:color w:val="000000"/>
          <w:sz w:val="24"/>
        </w:rPr>
        <w:t>At the appropriate time t</w:t>
      </w:r>
      <w:r w:rsidRPr="00A77059">
        <w:rPr>
          <w:rFonts w:cs="Arial"/>
          <w:color w:val="000000"/>
          <w:sz w:val="24"/>
        </w:rPr>
        <w:t xml:space="preserve">he </w:t>
      </w:r>
      <w:r w:rsidR="00943A24" w:rsidRPr="00A77059">
        <w:rPr>
          <w:rFonts w:cs="Arial"/>
          <w:color w:val="000000"/>
          <w:sz w:val="24"/>
        </w:rPr>
        <w:t xml:space="preserve">ADCQ </w:t>
      </w:r>
      <w:r w:rsidR="00A77059" w:rsidRPr="00A77059">
        <w:rPr>
          <w:rFonts w:cs="Arial"/>
          <w:color w:val="000000"/>
          <w:sz w:val="24"/>
        </w:rPr>
        <w:t>requests to</w:t>
      </w:r>
      <w:r w:rsidRPr="00A77059">
        <w:rPr>
          <w:rFonts w:cs="Arial"/>
          <w:color w:val="000000"/>
          <w:sz w:val="24"/>
        </w:rPr>
        <w:t xml:space="preserve"> be given an opportunity to comment on </w:t>
      </w:r>
      <w:r w:rsidR="00A77059" w:rsidRPr="00A77059">
        <w:rPr>
          <w:rFonts w:cs="Arial"/>
          <w:color w:val="000000"/>
          <w:sz w:val="24"/>
        </w:rPr>
        <w:t>the draft</w:t>
      </w:r>
      <w:r w:rsidRPr="00A77059">
        <w:rPr>
          <w:rFonts w:cs="Arial"/>
          <w:color w:val="000000"/>
          <w:sz w:val="24"/>
        </w:rPr>
        <w:t xml:space="preserve"> Bill which attempts to implement the objectives contained within the information paper</w:t>
      </w:r>
      <w:r w:rsidR="00A77059">
        <w:rPr>
          <w:rFonts w:cs="Arial"/>
          <w:color w:val="000000"/>
          <w:sz w:val="24"/>
        </w:rPr>
        <w:t>.</w:t>
      </w:r>
    </w:p>
    <w:p w:rsidR="009568A4" w:rsidRPr="00A77059" w:rsidRDefault="00FF0927" w:rsidP="009E4856">
      <w:pPr>
        <w:numPr>
          <w:ilvl w:val="1"/>
          <w:numId w:val="25"/>
        </w:numPr>
        <w:spacing w:before="200" w:after="200"/>
        <w:ind w:left="709" w:hanging="709"/>
        <w:jc w:val="both"/>
        <w:rPr>
          <w:rFonts w:cs="Arial"/>
          <w:color w:val="000000"/>
          <w:sz w:val="24"/>
        </w:rPr>
      </w:pPr>
      <w:r w:rsidRPr="00A77059">
        <w:rPr>
          <w:rFonts w:cs="Arial"/>
          <w:color w:val="000000"/>
          <w:sz w:val="24"/>
        </w:rPr>
        <w:t>The information paper states that the general principles to guide the administration of the Bill will ensure the forensic disability service model provided for by the Bill:</w:t>
      </w:r>
    </w:p>
    <w:p w:rsidR="00FF0927" w:rsidRPr="00A77059" w:rsidRDefault="00FF0927" w:rsidP="009E4856">
      <w:pPr>
        <w:numPr>
          <w:ilvl w:val="2"/>
          <w:numId w:val="35"/>
        </w:numPr>
        <w:spacing w:before="200" w:after="200"/>
        <w:ind w:left="1134" w:hanging="414"/>
        <w:jc w:val="both"/>
        <w:rPr>
          <w:rFonts w:cs="Arial"/>
          <w:color w:val="000000"/>
          <w:szCs w:val="22"/>
        </w:rPr>
      </w:pPr>
      <w:r w:rsidRPr="00A77059">
        <w:rPr>
          <w:rFonts w:cs="Arial"/>
          <w:color w:val="000000"/>
          <w:szCs w:val="22"/>
        </w:rPr>
        <w:t>reflects contemporary values concerning the rights of people with a disability;</w:t>
      </w:r>
    </w:p>
    <w:p w:rsidR="00FF0927" w:rsidRPr="00A77059" w:rsidRDefault="00FF0927" w:rsidP="009E4856">
      <w:pPr>
        <w:numPr>
          <w:ilvl w:val="2"/>
          <w:numId w:val="35"/>
        </w:numPr>
        <w:spacing w:before="200" w:after="200"/>
        <w:ind w:left="1134" w:hanging="414"/>
        <w:jc w:val="both"/>
        <w:rPr>
          <w:rFonts w:cs="Arial"/>
          <w:color w:val="000000"/>
          <w:szCs w:val="22"/>
        </w:rPr>
      </w:pPr>
      <w:r w:rsidRPr="00A77059">
        <w:rPr>
          <w:rFonts w:cs="Arial"/>
          <w:color w:val="000000"/>
          <w:szCs w:val="22"/>
        </w:rPr>
        <w:t>supports a contemporary and appropriate model of care; and</w:t>
      </w:r>
    </w:p>
    <w:p w:rsidR="00FF0927" w:rsidRPr="009568A4" w:rsidRDefault="00FF0927" w:rsidP="009E4856">
      <w:pPr>
        <w:numPr>
          <w:ilvl w:val="2"/>
          <w:numId w:val="35"/>
        </w:numPr>
        <w:spacing w:before="200" w:after="200"/>
        <w:ind w:left="1134" w:hanging="414"/>
        <w:jc w:val="both"/>
        <w:rPr>
          <w:rFonts w:cs="Arial"/>
          <w:color w:val="000000"/>
          <w:sz w:val="24"/>
        </w:rPr>
      </w:pPr>
      <w:proofErr w:type="gramStart"/>
      <w:r w:rsidRPr="00A77059">
        <w:rPr>
          <w:rFonts w:cs="Arial"/>
          <w:color w:val="000000"/>
          <w:szCs w:val="22"/>
        </w:rPr>
        <w:t>acknowledges</w:t>
      </w:r>
      <w:proofErr w:type="gramEnd"/>
      <w:r w:rsidRPr="00A77059">
        <w:rPr>
          <w:rFonts w:cs="Arial"/>
          <w:color w:val="000000"/>
          <w:szCs w:val="22"/>
        </w:rPr>
        <w:t xml:space="preserve"> there is a need to balance the rights and needs of individuals with the needs of victims and the protection of the community</w:t>
      </w:r>
      <w:r>
        <w:rPr>
          <w:rFonts w:cs="Arial"/>
          <w:color w:val="000000"/>
          <w:sz w:val="24"/>
        </w:rPr>
        <w:t>, more generally.</w:t>
      </w:r>
    </w:p>
    <w:p w:rsidR="00FF0927" w:rsidRDefault="00F718A2" w:rsidP="009E4856">
      <w:pPr>
        <w:numPr>
          <w:ilvl w:val="1"/>
          <w:numId w:val="25"/>
        </w:numPr>
        <w:spacing w:before="200" w:after="200"/>
        <w:ind w:left="709" w:hanging="709"/>
        <w:jc w:val="both"/>
        <w:rPr>
          <w:rFonts w:cs="Arial"/>
          <w:color w:val="000000"/>
          <w:sz w:val="24"/>
        </w:rPr>
      </w:pPr>
      <w:r>
        <w:rPr>
          <w:rFonts w:cs="Arial"/>
          <w:color w:val="000000"/>
          <w:sz w:val="24"/>
        </w:rPr>
        <w:t>I</w:t>
      </w:r>
      <w:r w:rsidR="008D087A">
        <w:rPr>
          <w:rFonts w:cs="Arial"/>
          <w:color w:val="000000"/>
          <w:sz w:val="24"/>
        </w:rPr>
        <w:t>t is important to note that persons the subject of a forensic order have not been convicted of an offence.</w:t>
      </w:r>
      <w:r w:rsidR="008D087A" w:rsidRPr="00317DD8">
        <w:rPr>
          <w:rStyle w:val="FootnoteReference"/>
        </w:rPr>
        <w:footnoteReference w:id="3"/>
      </w:r>
      <w:r w:rsidR="001011A0" w:rsidRPr="00317DD8">
        <w:rPr>
          <w:rStyle w:val="FootnoteReference"/>
        </w:rPr>
        <w:t xml:space="preserve"> </w:t>
      </w:r>
      <w:r>
        <w:rPr>
          <w:rFonts w:cs="Arial"/>
          <w:color w:val="000000"/>
          <w:sz w:val="24"/>
        </w:rPr>
        <w:t xml:space="preserve">While the Mental Health Court must not make a determination that a person is of unsound mind if the court is satisfied there is reasonable doubt the person committed an alleged offence, those persons who are the subject of forensic orders are not convicted ‘offenders’, and are still </w:t>
      </w:r>
      <w:r w:rsidR="00464F6D">
        <w:rPr>
          <w:rFonts w:cs="Arial"/>
          <w:color w:val="000000"/>
          <w:sz w:val="24"/>
        </w:rPr>
        <w:t xml:space="preserve">entitled to the presumption of innocence.  </w:t>
      </w:r>
      <w:r>
        <w:rPr>
          <w:rFonts w:cs="Arial"/>
          <w:color w:val="000000"/>
          <w:sz w:val="24"/>
        </w:rPr>
        <w:t xml:space="preserve">Further, a person the subject of a forensic order has not been </w:t>
      </w:r>
      <w:r w:rsidR="00943A24">
        <w:rPr>
          <w:rFonts w:cs="Arial"/>
          <w:color w:val="000000"/>
          <w:sz w:val="24"/>
        </w:rPr>
        <w:t>found guilty of an offence and has not been sentenced to</w:t>
      </w:r>
      <w:r>
        <w:rPr>
          <w:rFonts w:cs="Arial"/>
          <w:color w:val="000000"/>
          <w:sz w:val="24"/>
        </w:rPr>
        <w:t xml:space="preserve"> a defined period of detention. </w:t>
      </w:r>
      <w:r w:rsidR="00D96D21">
        <w:rPr>
          <w:rFonts w:cs="Arial"/>
          <w:color w:val="000000"/>
          <w:sz w:val="24"/>
        </w:rPr>
        <w:t>However, t</w:t>
      </w:r>
      <w:r w:rsidR="00943A24">
        <w:rPr>
          <w:rFonts w:cs="Arial"/>
          <w:color w:val="000000"/>
          <w:sz w:val="24"/>
        </w:rPr>
        <w:t xml:space="preserve">he Forensic order may remain in place indefinitely, and possibly for a period much longer than the term of a sentence had the person faced a court and been found guilty of the alleged offence. </w:t>
      </w:r>
      <w:r w:rsidR="001011A0">
        <w:rPr>
          <w:rFonts w:cs="Arial"/>
          <w:color w:val="000000"/>
          <w:sz w:val="24"/>
        </w:rPr>
        <w:t>The involuntary</w:t>
      </w:r>
      <w:r w:rsidR="00943A24">
        <w:rPr>
          <w:rFonts w:cs="Arial"/>
          <w:color w:val="000000"/>
          <w:sz w:val="24"/>
        </w:rPr>
        <w:t xml:space="preserve"> and indefinite</w:t>
      </w:r>
      <w:r w:rsidR="001011A0">
        <w:rPr>
          <w:rFonts w:cs="Arial"/>
          <w:color w:val="000000"/>
          <w:sz w:val="24"/>
        </w:rPr>
        <w:t xml:space="preserve"> detention</w:t>
      </w:r>
      <w:r w:rsidR="0037753B">
        <w:rPr>
          <w:rFonts w:cs="Arial"/>
          <w:color w:val="000000"/>
          <w:sz w:val="24"/>
        </w:rPr>
        <w:t xml:space="preserve"> of persons who have not been convicted of an offence is thus a </w:t>
      </w:r>
      <w:r w:rsidR="0037753B" w:rsidRPr="00A77059">
        <w:rPr>
          <w:rFonts w:cs="Arial"/>
          <w:color w:val="000000"/>
          <w:sz w:val="24"/>
        </w:rPr>
        <w:t>prima facie</w:t>
      </w:r>
      <w:r w:rsidR="0037753B">
        <w:rPr>
          <w:rFonts w:cs="Arial"/>
          <w:color w:val="000000"/>
          <w:sz w:val="24"/>
        </w:rPr>
        <w:t xml:space="preserve"> breach of the fundamental human right to liberty</w:t>
      </w:r>
      <w:r w:rsidR="0037753B" w:rsidRPr="00317DD8">
        <w:rPr>
          <w:rStyle w:val="FootnoteReference"/>
        </w:rPr>
        <w:footnoteReference w:id="4"/>
      </w:r>
      <w:r w:rsidR="0037753B">
        <w:rPr>
          <w:rFonts w:cs="Arial"/>
          <w:color w:val="000000"/>
          <w:sz w:val="24"/>
        </w:rPr>
        <w:t>.</w:t>
      </w:r>
    </w:p>
    <w:p w:rsidR="007762D6" w:rsidRPr="00A77059" w:rsidRDefault="007762D6" w:rsidP="009E4856">
      <w:pPr>
        <w:numPr>
          <w:ilvl w:val="1"/>
          <w:numId w:val="25"/>
        </w:numPr>
        <w:spacing w:before="200" w:after="200"/>
        <w:ind w:left="709" w:hanging="709"/>
        <w:jc w:val="both"/>
        <w:rPr>
          <w:rFonts w:cs="Arial"/>
          <w:color w:val="000000"/>
          <w:sz w:val="24"/>
        </w:rPr>
      </w:pPr>
      <w:r w:rsidRPr="008F0C10">
        <w:rPr>
          <w:rFonts w:cs="Arial"/>
          <w:color w:val="000000"/>
          <w:sz w:val="24"/>
        </w:rPr>
        <w:t xml:space="preserve">The </w:t>
      </w:r>
      <w:r w:rsidRPr="00A77059">
        <w:rPr>
          <w:rFonts w:cs="Arial"/>
          <w:color w:val="000000"/>
          <w:sz w:val="24"/>
        </w:rPr>
        <w:t>Disability Services Act 2006</w:t>
      </w:r>
      <w:r w:rsidR="006D04ED" w:rsidRPr="008F0C10">
        <w:rPr>
          <w:rFonts w:cs="Arial"/>
          <w:color w:val="000000"/>
          <w:sz w:val="24"/>
        </w:rPr>
        <w:t xml:space="preserve"> </w:t>
      </w:r>
      <w:r w:rsidR="0037753B">
        <w:rPr>
          <w:rFonts w:cs="Arial"/>
          <w:color w:val="000000"/>
          <w:sz w:val="24"/>
        </w:rPr>
        <w:t xml:space="preserve">contains a </w:t>
      </w:r>
      <w:r w:rsidR="0037753B" w:rsidRPr="00A77059">
        <w:rPr>
          <w:rFonts w:cs="Arial"/>
          <w:color w:val="000000"/>
          <w:sz w:val="24"/>
        </w:rPr>
        <w:t>human rights principle</w:t>
      </w:r>
      <w:r w:rsidR="0037753B">
        <w:rPr>
          <w:rFonts w:cs="Arial"/>
          <w:color w:val="000000"/>
          <w:sz w:val="24"/>
        </w:rPr>
        <w:t xml:space="preserve"> which</w:t>
      </w:r>
      <w:r w:rsidRPr="008F0C10">
        <w:rPr>
          <w:rFonts w:cs="Arial"/>
          <w:color w:val="000000"/>
          <w:sz w:val="24"/>
        </w:rPr>
        <w:t xml:space="preserve"> states that </w:t>
      </w:r>
      <w:r w:rsidRPr="00A77059">
        <w:rPr>
          <w:rFonts w:cs="Arial"/>
          <w:color w:val="000000"/>
          <w:sz w:val="24"/>
        </w:rPr>
        <w:t>people with a disability have the same human rights as other members of society and should be empo</w:t>
      </w:r>
      <w:r w:rsidR="0037753B" w:rsidRPr="00A77059">
        <w:rPr>
          <w:rFonts w:cs="Arial"/>
          <w:color w:val="000000"/>
          <w:sz w:val="24"/>
        </w:rPr>
        <w:t>wered to exercise their rights.</w:t>
      </w:r>
    </w:p>
    <w:p w:rsidR="007762D6" w:rsidRPr="008F0C10" w:rsidRDefault="007762D6" w:rsidP="009E4856">
      <w:pPr>
        <w:spacing w:before="200" w:after="200"/>
        <w:ind w:left="720"/>
        <w:jc w:val="both"/>
        <w:rPr>
          <w:rFonts w:cs="Arial"/>
          <w:sz w:val="24"/>
        </w:rPr>
      </w:pPr>
      <w:r w:rsidRPr="008F0C10">
        <w:rPr>
          <w:rFonts w:cs="Arial"/>
          <w:sz w:val="24"/>
        </w:rPr>
        <w:lastRenderedPageBreak/>
        <w:t>It further states that people with a</w:t>
      </w:r>
      <w:r w:rsidR="007B63AD" w:rsidRPr="008F0C10">
        <w:rPr>
          <w:rFonts w:cs="Arial"/>
          <w:sz w:val="24"/>
        </w:rPr>
        <w:t xml:space="preserve"> disability have the right to:</w:t>
      </w:r>
    </w:p>
    <w:p w:rsidR="007762D6" w:rsidRPr="008F0C10" w:rsidRDefault="007762D6" w:rsidP="009E4856">
      <w:pPr>
        <w:spacing w:before="200" w:after="200"/>
        <w:ind w:left="720"/>
        <w:jc w:val="both"/>
        <w:rPr>
          <w:rFonts w:cs="Arial"/>
          <w:sz w:val="24"/>
        </w:rPr>
      </w:pPr>
      <w:r w:rsidRPr="008F0C10">
        <w:rPr>
          <w:rFonts w:cs="Arial"/>
          <w:sz w:val="24"/>
        </w:rPr>
        <w:t xml:space="preserve">(a) </w:t>
      </w:r>
      <w:r w:rsidR="007B63AD" w:rsidRPr="008F0C10">
        <w:rPr>
          <w:rFonts w:cs="Arial"/>
          <w:sz w:val="24"/>
        </w:rPr>
        <w:tab/>
      </w:r>
      <w:proofErr w:type="gramStart"/>
      <w:r w:rsidRPr="008F0C10">
        <w:rPr>
          <w:rFonts w:cs="Arial"/>
          <w:sz w:val="24"/>
        </w:rPr>
        <w:t>respect</w:t>
      </w:r>
      <w:proofErr w:type="gramEnd"/>
      <w:r w:rsidRPr="008F0C10">
        <w:rPr>
          <w:rFonts w:cs="Arial"/>
          <w:sz w:val="24"/>
        </w:rPr>
        <w:t xml:space="preserve"> for their human worth and dignity as individuals;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(b) </w:t>
      </w:r>
      <w:r w:rsidR="007B63AD" w:rsidRPr="008F0C10">
        <w:rPr>
          <w:rFonts w:cs="Arial"/>
          <w:sz w:val="24"/>
        </w:rPr>
        <w:tab/>
      </w:r>
      <w:proofErr w:type="gramStart"/>
      <w:r w:rsidRPr="008F0C10">
        <w:rPr>
          <w:rFonts w:cs="Arial"/>
          <w:sz w:val="24"/>
        </w:rPr>
        <w:t>realise</w:t>
      </w:r>
      <w:proofErr w:type="gramEnd"/>
      <w:r w:rsidRPr="008F0C10">
        <w:rPr>
          <w:rFonts w:cs="Arial"/>
          <w:sz w:val="24"/>
        </w:rPr>
        <w:t xml:space="preserve"> their individual capacities for physical, social, emotional, cultural, religious and intellectual development;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(c) </w:t>
      </w:r>
      <w:r w:rsidR="007B63AD" w:rsidRPr="008F0C10">
        <w:rPr>
          <w:rFonts w:cs="Arial"/>
          <w:sz w:val="24"/>
        </w:rPr>
        <w:tab/>
      </w:r>
      <w:proofErr w:type="gramStart"/>
      <w:r w:rsidRPr="008F0C10">
        <w:rPr>
          <w:rFonts w:cs="Arial"/>
          <w:sz w:val="24"/>
        </w:rPr>
        <w:t>live</w:t>
      </w:r>
      <w:proofErr w:type="gramEnd"/>
      <w:r w:rsidRPr="008F0C10">
        <w:rPr>
          <w:rFonts w:cs="Arial"/>
          <w:sz w:val="24"/>
        </w:rPr>
        <w:t xml:space="preserve"> lives free from abuse, neglect or exploitation;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(d) </w:t>
      </w:r>
      <w:r w:rsidR="007B63AD" w:rsidRPr="008F0C10">
        <w:rPr>
          <w:rFonts w:cs="Arial"/>
          <w:sz w:val="24"/>
        </w:rPr>
        <w:tab/>
      </w:r>
      <w:proofErr w:type="gramStart"/>
      <w:r w:rsidRPr="008F0C10">
        <w:rPr>
          <w:rFonts w:cs="Arial"/>
          <w:sz w:val="24"/>
        </w:rPr>
        <w:t>participate</w:t>
      </w:r>
      <w:proofErr w:type="gramEnd"/>
      <w:r w:rsidRPr="008F0C10">
        <w:rPr>
          <w:rFonts w:cs="Arial"/>
          <w:sz w:val="24"/>
        </w:rPr>
        <w:t xml:space="preserve"> actively in decisions affecting their lives, including the development of disability policies, programs and services. </w:t>
      </w:r>
    </w:p>
    <w:p w:rsidR="007762D6" w:rsidRPr="008F0C10" w:rsidRDefault="007762D6" w:rsidP="009E4856">
      <w:pPr>
        <w:spacing w:before="200" w:after="200"/>
        <w:ind w:left="720"/>
        <w:jc w:val="both"/>
        <w:rPr>
          <w:rFonts w:cs="Arial"/>
          <w:sz w:val="24"/>
        </w:rPr>
      </w:pPr>
      <w:r w:rsidRPr="008F0C10">
        <w:rPr>
          <w:rFonts w:cs="Arial"/>
          <w:sz w:val="24"/>
        </w:rPr>
        <w:t>When using disability services people with</w:t>
      </w:r>
      <w:r w:rsidR="007B63AD" w:rsidRPr="008F0C10">
        <w:rPr>
          <w:rFonts w:cs="Arial"/>
          <w:sz w:val="24"/>
        </w:rPr>
        <w:t xml:space="preserve"> a disability have the right to:</w:t>
      </w:r>
    </w:p>
    <w:p w:rsidR="007762D6" w:rsidRPr="008F0C10" w:rsidRDefault="007762D6" w:rsidP="009E4856">
      <w:pPr>
        <w:spacing w:before="200" w:after="200"/>
        <w:ind w:left="1440" w:hanging="720"/>
        <w:jc w:val="both"/>
        <w:rPr>
          <w:rFonts w:cs="Arial"/>
          <w:sz w:val="24"/>
        </w:rPr>
      </w:pPr>
      <w:r w:rsidRPr="008F0C10">
        <w:rPr>
          <w:rFonts w:cs="Arial"/>
          <w:sz w:val="24"/>
        </w:rPr>
        <w:t xml:space="preserve">(a) </w:t>
      </w:r>
      <w:r w:rsidR="007B63AD" w:rsidRPr="008F0C10">
        <w:rPr>
          <w:rFonts w:cs="Arial"/>
          <w:sz w:val="24"/>
        </w:rPr>
        <w:tab/>
      </w:r>
      <w:proofErr w:type="gramStart"/>
      <w:r w:rsidRPr="008F0C10">
        <w:rPr>
          <w:rFonts w:cs="Arial"/>
          <w:sz w:val="24"/>
        </w:rPr>
        <w:t>services</w:t>
      </w:r>
      <w:proofErr w:type="gramEnd"/>
      <w:r w:rsidRPr="008F0C10">
        <w:rPr>
          <w:rFonts w:cs="Arial"/>
          <w:sz w:val="24"/>
        </w:rPr>
        <w:t xml:space="preserve"> supporting their achieving quality of life in a way that supports their family unit and their full participation in society;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(b) </w:t>
      </w:r>
      <w:r w:rsidR="007B63AD" w:rsidRPr="008F0C10">
        <w:rPr>
          <w:rFonts w:cs="Arial"/>
          <w:sz w:val="24"/>
        </w:rPr>
        <w:tab/>
      </w:r>
      <w:proofErr w:type="gramStart"/>
      <w:r w:rsidRPr="008F0C10">
        <w:rPr>
          <w:rFonts w:cs="Arial"/>
          <w:sz w:val="24"/>
        </w:rPr>
        <w:t>receive</w:t>
      </w:r>
      <w:proofErr w:type="gramEnd"/>
      <w:r w:rsidRPr="008F0C10">
        <w:rPr>
          <w:rFonts w:cs="Arial"/>
          <w:sz w:val="24"/>
        </w:rPr>
        <w:t xml:space="preserve"> services in a way that results in the minimum restriction of their rights and opportunities;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(c) </w:t>
      </w:r>
      <w:r w:rsidR="007B63AD" w:rsidRPr="008F0C10">
        <w:rPr>
          <w:rFonts w:cs="Arial"/>
          <w:sz w:val="24"/>
        </w:rPr>
        <w:tab/>
      </w:r>
      <w:proofErr w:type="gramStart"/>
      <w:r w:rsidRPr="008F0C10">
        <w:rPr>
          <w:rFonts w:cs="Arial"/>
          <w:sz w:val="24"/>
        </w:rPr>
        <w:t>receive</w:t>
      </w:r>
      <w:proofErr w:type="gramEnd"/>
      <w:r w:rsidRPr="008F0C10">
        <w:rPr>
          <w:rFonts w:cs="Arial"/>
          <w:sz w:val="24"/>
        </w:rPr>
        <w:t xml:space="preserve"> services in a way that respects the confidentiality of their information;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(d) </w:t>
      </w:r>
      <w:r w:rsidR="007B63AD" w:rsidRPr="008F0C10">
        <w:rPr>
          <w:rFonts w:cs="Arial"/>
          <w:sz w:val="24"/>
        </w:rPr>
        <w:tab/>
      </w:r>
      <w:proofErr w:type="gramStart"/>
      <w:r w:rsidRPr="008F0C10">
        <w:rPr>
          <w:rFonts w:cs="Arial"/>
          <w:sz w:val="24"/>
        </w:rPr>
        <w:t>receive</w:t>
      </w:r>
      <w:proofErr w:type="gramEnd"/>
      <w:r w:rsidRPr="008F0C10">
        <w:rPr>
          <w:rFonts w:cs="Arial"/>
          <w:sz w:val="24"/>
        </w:rPr>
        <w:t xml:space="preserve"> services in a safe, accessible built environment appropriate to their needs;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(e) </w:t>
      </w:r>
      <w:r w:rsidR="007B63AD" w:rsidRPr="008F0C10">
        <w:rPr>
          <w:rFonts w:cs="Arial"/>
          <w:sz w:val="24"/>
        </w:rPr>
        <w:tab/>
      </w:r>
      <w:proofErr w:type="gramStart"/>
      <w:r w:rsidRPr="008F0C10">
        <w:rPr>
          <w:rFonts w:cs="Arial"/>
          <w:sz w:val="24"/>
        </w:rPr>
        <w:t>pursue</w:t>
      </w:r>
      <w:proofErr w:type="gramEnd"/>
      <w:r w:rsidRPr="008F0C10">
        <w:rPr>
          <w:rFonts w:cs="Arial"/>
          <w:sz w:val="24"/>
        </w:rPr>
        <w:t xml:space="preserve"> grievances about services without fear of the services being discontinued or recrimination from service providers; and </w:t>
      </w:r>
    </w:p>
    <w:p w:rsidR="007762D6" w:rsidRPr="008F0C10" w:rsidRDefault="007762D6" w:rsidP="009E4856">
      <w:pPr>
        <w:spacing w:before="200" w:after="200"/>
        <w:ind w:left="1440" w:hanging="720"/>
        <w:jc w:val="both"/>
        <w:rPr>
          <w:rFonts w:cs="Arial"/>
          <w:sz w:val="24"/>
        </w:rPr>
      </w:pPr>
      <w:r w:rsidRPr="008F0C10">
        <w:rPr>
          <w:rFonts w:cs="Arial"/>
          <w:sz w:val="24"/>
        </w:rPr>
        <w:t xml:space="preserve">(f) </w:t>
      </w:r>
      <w:r w:rsidR="007B63AD" w:rsidRPr="008F0C10">
        <w:rPr>
          <w:rFonts w:cs="Arial"/>
          <w:sz w:val="24"/>
        </w:rPr>
        <w:tab/>
      </w:r>
      <w:proofErr w:type="gramStart"/>
      <w:r w:rsidRPr="008F0C10">
        <w:rPr>
          <w:rFonts w:cs="Arial"/>
          <w:sz w:val="24"/>
        </w:rPr>
        <w:t>support</w:t>
      </w:r>
      <w:proofErr w:type="gramEnd"/>
      <w:r w:rsidRPr="008F0C10">
        <w:rPr>
          <w:rFonts w:cs="Arial"/>
          <w:sz w:val="24"/>
        </w:rPr>
        <w:t xml:space="preserve"> to enable them to pursue grievances about services; and </w:t>
      </w:r>
    </w:p>
    <w:p w:rsidR="007762D6" w:rsidRPr="008F0C10" w:rsidRDefault="00DA7B5A" w:rsidP="009E4856">
      <w:pPr>
        <w:spacing w:before="200" w:after="200"/>
        <w:ind w:left="1440" w:hanging="720"/>
        <w:jc w:val="both"/>
        <w:rPr>
          <w:rFonts w:cs="Arial"/>
          <w:sz w:val="24"/>
        </w:rPr>
      </w:pPr>
      <w:r w:rsidRPr="008F0C10">
        <w:rPr>
          <w:rFonts w:cs="Arial"/>
          <w:sz w:val="24"/>
        </w:rPr>
        <w:t xml:space="preserve">(g) </w:t>
      </w:r>
      <w:r w:rsidR="007B63AD" w:rsidRPr="008F0C10">
        <w:rPr>
          <w:rFonts w:cs="Arial"/>
          <w:sz w:val="24"/>
        </w:rPr>
        <w:tab/>
      </w:r>
      <w:proofErr w:type="gramStart"/>
      <w:r w:rsidRPr="008F0C10">
        <w:rPr>
          <w:rFonts w:cs="Arial"/>
          <w:sz w:val="24"/>
        </w:rPr>
        <w:t>support</w:t>
      </w:r>
      <w:proofErr w:type="gramEnd"/>
      <w:r w:rsidR="007762D6" w:rsidRPr="008F0C10">
        <w:rPr>
          <w:rFonts w:cs="Arial"/>
          <w:sz w:val="24"/>
        </w:rPr>
        <w:t xml:space="preserve"> and access to information, to enable them to participate in decisions affecting their lives. </w:t>
      </w:r>
    </w:p>
    <w:p w:rsidR="007762D6" w:rsidRPr="008F0C10" w:rsidRDefault="007762D6" w:rsidP="009E4856">
      <w:pPr>
        <w:pStyle w:val="NormalWeb"/>
        <w:spacing w:before="200" w:beforeAutospacing="0" w:after="200" w:afterAutospacing="0"/>
        <w:ind w:left="720"/>
        <w:jc w:val="both"/>
        <w:rPr>
          <w:rFonts w:ascii="Arial" w:hAnsi="Arial" w:cs="Arial"/>
        </w:rPr>
      </w:pPr>
      <w:r w:rsidRPr="008F0C10">
        <w:rPr>
          <w:rFonts w:ascii="Arial" w:hAnsi="Arial" w:cs="Arial"/>
        </w:rPr>
        <w:t xml:space="preserve">The </w:t>
      </w:r>
      <w:r w:rsidRPr="008F0C10">
        <w:rPr>
          <w:rFonts w:ascii="Arial" w:hAnsi="Arial" w:cs="Arial"/>
          <w:i/>
        </w:rPr>
        <w:t xml:space="preserve">Disability Services Act 2006 </w:t>
      </w:r>
      <w:r w:rsidRPr="008F0C10">
        <w:rPr>
          <w:rFonts w:ascii="Arial" w:hAnsi="Arial" w:cs="Arial"/>
        </w:rPr>
        <w:t>states that persons are encouraged to have regard to the human rights principle in matters relating to people with a dis</w:t>
      </w:r>
      <w:r w:rsidR="00C31808">
        <w:rPr>
          <w:rFonts w:ascii="Arial" w:hAnsi="Arial" w:cs="Arial"/>
        </w:rPr>
        <w:t>ability</w:t>
      </w:r>
      <w:r w:rsidR="00C31808">
        <w:rPr>
          <w:rStyle w:val="FootnoteReference"/>
          <w:rFonts w:ascii="Arial" w:hAnsi="Arial" w:cs="Arial"/>
        </w:rPr>
        <w:footnoteReference w:id="5"/>
      </w:r>
      <w:r w:rsidR="00C31808">
        <w:rPr>
          <w:rFonts w:ascii="Arial" w:hAnsi="Arial" w:cs="Arial"/>
        </w:rPr>
        <w:t>, and requires a person performing a function or exercising a power in relation to the use of restrictive practices to have regard to the human rights principle</w:t>
      </w:r>
      <w:r w:rsidR="00C31808">
        <w:rPr>
          <w:rStyle w:val="FootnoteReference"/>
          <w:rFonts w:ascii="Arial" w:hAnsi="Arial" w:cs="Arial"/>
        </w:rPr>
        <w:footnoteReference w:id="6"/>
      </w:r>
      <w:r w:rsidR="00C31808">
        <w:rPr>
          <w:rFonts w:ascii="Arial" w:hAnsi="Arial" w:cs="Arial"/>
        </w:rPr>
        <w:t>.</w:t>
      </w:r>
    </w:p>
    <w:p w:rsidR="00C31808" w:rsidRPr="00E512E8" w:rsidRDefault="004C3D49" w:rsidP="009E4856">
      <w:pPr>
        <w:numPr>
          <w:ilvl w:val="1"/>
          <w:numId w:val="25"/>
        </w:numPr>
        <w:spacing w:before="200" w:after="200"/>
        <w:ind w:left="709" w:hanging="709"/>
        <w:jc w:val="both"/>
        <w:rPr>
          <w:rFonts w:cs="Arial"/>
          <w:color w:val="000000"/>
          <w:sz w:val="24"/>
        </w:rPr>
      </w:pPr>
      <w:r w:rsidRPr="00E512E8">
        <w:rPr>
          <w:rFonts w:cs="Arial"/>
          <w:color w:val="000000"/>
          <w:sz w:val="24"/>
        </w:rPr>
        <w:t xml:space="preserve">The </w:t>
      </w:r>
      <w:r w:rsidR="00006B84" w:rsidRPr="00E512E8">
        <w:rPr>
          <w:rFonts w:cs="Arial"/>
          <w:color w:val="000000"/>
          <w:sz w:val="24"/>
        </w:rPr>
        <w:t xml:space="preserve">ADCQ </w:t>
      </w:r>
      <w:r w:rsidR="0005273F" w:rsidRPr="00E512E8">
        <w:rPr>
          <w:rFonts w:cs="Arial"/>
          <w:color w:val="000000"/>
          <w:sz w:val="24"/>
        </w:rPr>
        <w:t xml:space="preserve">suggests </w:t>
      </w:r>
      <w:r w:rsidR="00C31808" w:rsidRPr="00E512E8">
        <w:rPr>
          <w:rFonts w:cs="Arial"/>
          <w:color w:val="000000"/>
          <w:sz w:val="24"/>
        </w:rPr>
        <w:t>the Forensic Disability Bill include a human rights principle in similar terms to the principle in the Disability Services Act 2006.</w:t>
      </w:r>
    </w:p>
    <w:p w:rsidR="00430B46" w:rsidRPr="00BC5B44" w:rsidRDefault="00D96D21" w:rsidP="009E4856">
      <w:pPr>
        <w:spacing w:before="200" w:after="200"/>
        <w:ind w:left="720" w:hanging="720"/>
        <w:jc w:val="both"/>
        <w:rPr>
          <w:rFonts w:cs="Arial"/>
          <w:b/>
          <w:i/>
          <w:color w:val="000000"/>
          <w:szCs w:val="22"/>
        </w:rPr>
      </w:pPr>
      <w:r w:rsidRPr="00BC5B44">
        <w:rPr>
          <w:rFonts w:cs="Arial"/>
          <w:b/>
          <w:i/>
          <w:color w:val="000000"/>
          <w:szCs w:val="22"/>
        </w:rPr>
        <w:t>F</w:t>
      </w:r>
      <w:r w:rsidR="00430B46" w:rsidRPr="00BC5B44">
        <w:rPr>
          <w:rFonts w:cs="Arial"/>
          <w:b/>
          <w:i/>
          <w:color w:val="000000"/>
          <w:szCs w:val="22"/>
        </w:rPr>
        <w:t>orensic disability service</w:t>
      </w:r>
      <w:r w:rsidRPr="00BC5B44">
        <w:rPr>
          <w:rFonts w:cs="Arial"/>
          <w:b/>
          <w:i/>
          <w:color w:val="000000"/>
          <w:szCs w:val="22"/>
        </w:rPr>
        <w:t xml:space="preserve"> model</w:t>
      </w:r>
    </w:p>
    <w:p w:rsidR="00D96D21" w:rsidRPr="00E512E8" w:rsidRDefault="00BB6D34" w:rsidP="009E4856">
      <w:pPr>
        <w:numPr>
          <w:ilvl w:val="1"/>
          <w:numId w:val="25"/>
        </w:numPr>
        <w:spacing w:before="200" w:after="200"/>
        <w:ind w:left="709" w:hanging="709"/>
        <w:jc w:val="both"/>
        <w:rPr>
          <w:rFonts w:cs="Arial"/>
          <w:color w:val="000000"/>
          <w:sz w:val="24"/>
        </w:rPr>
      </w:pPr>
      <w:r w:rsidRPr="00E512E8">
        <w:rPr>
          <w:rFonts w:cs="Arial"/>
          <w:color w:val="000000"/>
          <w:sz w:val="24"/>
        </w:rPr>
        <w:t xml:space="preserve">The Information Paper </w:t>
      </w:r>
      <w:r w:rsidR="009228EA" w:rsidRPr="00E512E8">
        <w:rPr>
          <w:rFonts w:cs="Arial"/>
          <w:color w:val="000000"/>
          <w:sz w:val="24"/>
        </w:rPr>
        <w:t>is premised on</w:t>
      </w:r>
      <w:r w:rsidR="00D96D21" w:rsidRPr="00E512E8">
        <w:rPr>
          <w:rFonts w:cs="Arial"/>
          <w:color w:val="000000"/>
          <w:sz w:val="24"/>
        </w:rPr>
        <w:t xml:space="preserve"> there be</w:t>
      </w:r>
      <w:r w:rsidR="009228EA" w:rsidRPr="00E512E8">
        <w:rPr>
          <w:rFonts w:cs="Arial"/>
          <w:color w:val="000000"/>
          <w:sz w:val="24"/>
        </w:rPr>
        <w:t>ing</w:t>
      </w:r>
      <w:r w:rsidR="00D96D21" w:rsidRPr="00E512E8">
        <w:rPr>
          <w:rFonts w:cs="Arial"/>
          <w:color w:val="000000"/>
          <w:sz w:val="24"/>
        </w:rPr>
        <w:t xml:space="preserve"> an alternative place of involuntary detention and care for people with a disability on a forensic order. The information paper </w:t>
      </w:r>
      <w:r w:rsidRPr="00E512E8">
        <w:rPr>
          <w:rFonts w:cs="Arial"/>
          <w:color w:val="000000"/>
          <w:sz w:val="24"/>
        </w:rPr>
        <w:t xml:space="preserve">indicates that there </w:t>
      </w:r>
      <w:r w:rsidR="00D96D21" w:rsidRPr="00E512E8">
        <w:rPr>
          <w:rFonts w:cs="Arial"/>
          <w:color w:val="000000"/>
          <w:sz w:val="24"/>
        </w:rPr>
        <w:t xml:space="preserve">will be </w:t>
      </w:r>
      <w:r w:rsidRPr="00E512E8">
        <w:rPr>
          <w:rFonts w:cs="Arial"/>
          <w:color w:val="000000"/>
          <w:sz w:val="24"/>
        </w:rPr>
        <w:t xml:space="preserve">one facility intended to be declared as an authorised forensic disability service – a 10 bed facility at Wacol in </w:t>
      </w:r>
      <w:smartTag w:uri="urn:schemas-microsoft-com:office:smarttags" w:element="place">
        <w:smartTag w:uri="urn:schemas-microsoft-com:office:smarttags" w:element="City">
          <w:r w:rsidRPr="00E512E8">
            <w:rPr>
              <w:rFonts w:cs="Arial"/>
              <w:color w:val="000000"/>
              <w:sz w:val="24"/>
            </w:rPr>
            <w:t>Brisbane</w:t>
          </w:r>
        </w:smartTag>
      </w:smartTag>
      <w:r w:rsidRPr="00E512E8">
        <w:rPr>
          <w:rFonts w:cs="Arial"/>
          <w:color w:val="000000"/>
          <w:sz w:val="24"/>
        </w:rPr>
        <w:t>.</w:t>
      </w:r>
      <w:r w:rsidR="009345B1" w:rsidRPr="00E512E8">
        <w:rPr>
          <w:rFonts w:cs="Arial"/>
          <w:color w:val="000000"/>
          <w:sz w:val="24"/>
        </w:rPr>
        <w:t xml:space="preserve"> </w:t>
      </w:r>
    </w:p>
    <w:p w:rsidR="00205F25" w:rsidRPr="00E512E8" w:rsidRDefault="00D96D21" w:rsidP="009E4856">
      <w:pPr>
        <w:numPr>
          <w:ilvl w:val="1"/>
          <w:numId w:val="25"/>
        </w:numPr>
        <w:spacing w:before="200" w:after="200"/>
        <w:ind w:left="709" w:hanging="709"/>
        <w:jc w:val="both"/>
        <w:rPr>
          <w:rFonts w:cs="Arial"/>
          <w:color w:val="000000"/>
          <w:sz w:val="24"/>
        </w:rPr>
      </w:pPr>
      <w:r w:rsidRPr="00E512E8">
        <w:rPr>
          <w:rFonts w:cs="Arial"/>
          <w:color w:val="000000"/>
          <w:sz w:val="24"/>
        </w:rPr>
        <w:lastRenderedPageBreak/>
        <w:t xml:space="preserve">The </w:t>
      </w:r>
      <w:r w:rsidRPr="00317DD8">
        <w:rPr>
          <w:rFonts w:cs="Arial"/>
          <w:color w:val="000000"/>
          <w:sz w:val="24"/>
        </w:rPr>
        <w:t>AD</w:t>
      </w:r>
      <w:r w:rsidR="003B6E74" w:rsidRPr="00317DD8">
        <w:rPr>
          <w:rFonts w:cs="Arial"/>
          <w:color w:val="000000"/>
          <w:sz w:val="24"/>
        </w:rPr>
        <w:t>CQ</w:t>
      </w:r>
      <w:r w:rsidR="003B6E74" w:rsidRPr="00E512E8">
        <w:rPr>
          <w:rFonts w:cs="Arial"/>
          <w:color w:val="000000"/>
          <w:sz w:val="24"/>
        </w:rPr>
        <w:t xml:space="preserve"> </w:t>
      </w:r>
      <w:r w:rsidRPr="00E512E8">
        <w:rPr>
          <w:rFonts w:cs="Arial"/>
          <w:color w:val="000000"/>
          <w:sz w:val="24"/>
        </w:rPr>
        <w:t xml:space="preserve">is concerned that the model </w:t>
      </w:r>
      <w:r w:rsidR="003B6E74" w:rsidRPr="00E512E8">
        <w:rPr>
          <w:rFonts w:cs="Arial"/>
          <w:color w:val="000000"/>
          <w:sz w:val="24"/>
        </w:rPr>
        <w:t xml:space="preserve">appears to </w:t>
      </w:r>
      <w:r w:rsidRPr="00E512E8">
        <w:rPr>
          <w:rFonts w:cs="Arial"/>
          <w:color w:val="000000"/>
          <w:sz w:val="24"/>
        </w:rPr>
        <w:t xml:space="preserve">primarily </w:t>
      </w:r>
      <w:proofErr w:type="gramStart"/>
      <w:r w:rsidRPr="00E512E8">
        <w:rPr>
          <w:rFonts w:cs="Arial"/>
          <w:color w:val="000000"/>
          <w:sz w:val="24"/>
        </w:rPr>
        <w:t>based</w:t>
      </w:r>
      <w:proofErr w:type="gramEnd"/>
      <w:r w:rsidRPr="00E512E8">
        <w:rPr>
          <w:rFonts w:cs="Arial"/>
          <w:color w:val="000000"/>
          <w:sz w:val="24"/>
        </w:rPr>
        <w:t xml:space="preserve"> upon </w:t>
      </w:r>
      <w:r w:rsidR="003B6E74" w:rsidRPr="00E512E8">
        <w:rPr>
          <w:rFonts w:cs="Arial"/>
          <w:color w:val="000000"/>
          <w:sz w:val="24"/>
        </w:rPr>
        <w:t>the creation of an intensive</w:t>
      </w:r>
      <w:r w:rsidRPr="00E512E8">
        <w:rPr>
          <w:rFonts w:cs="Arial"/>
          <w:color w:val="000000"/>
          <w:sz w:val="24"/>
        </w:rPr>
        <w:t xml:space="preserve">, residential rehabilitation and care service in a secure facility.  The </w:t>
      </w:r>
      <w:r w:rsidRPr="00317DD8">
        <w:rPr>
          <w:rFonts w:cs="Arial"/>
          <w:color w:val="000000"/>
          <w:sz w:val="24"/>
        </w:rPr>
        <w:t>ADCQ’S</w:t>
      </w:r>
      <w:r w:rsidRPr="00E512E8">
        <w:rPr>
          <w:rFonts w:cs="Arial"/>
          <w:color w:val="000000"/>
          <w:sz w:val="24"/>
        </w:rPr>
        <w:t xml:space="preserve"> understanding of the </w:t>
      </w:r>
      <w:r w:rsidR="003B6E74" w:rsidRPr="00E512E8">
        <w:rPr>
          <w:rFonts w:cs="Arial"/>
          <w:color w:val="000000"/>
          <w:sz w:val="24"/>
        </w:rPr>
        <w:t>principles</w:t>
      </w:r>
      <w:r w:rsidRPr="00E512E8">
        <w:rPr>
          <w:rFonts w:cs="Arial"/>
          <w:color w:val="000000"/>
          <w:sz w:val="24"/>
        </w:rPr>
        <w:t xml:space="preserve"> outlined in the Carter report</w:t>
      </w:r>
      <w:r w:rsidR="003B6E74" w:rsidRPr="00E512E8">
        <w:rPr>
          <w:rFonts w:cs="Arial"/>
          <w:color w:val="000000"/>
          <w:sz w:val="24"/>
        </w:rPr>
        <w:t xml:space="preserve"> is </w:t>
      </w:r>
      <w:r w:rsidRPr="00E512E8">
        <w:rPr>
          <w:rFonts w:cs="Arial"/>
          <w:color w:val="000000"/>
          <w:sz w:val="24"/>
        </w:rPr>
        <w:t>that best practice should be based</w:t>
      </w:r>
      <w:r w:rsidR="003B6E74" w:rsidRPr="00E512E8">
        <w:rPr>
          <w:rFonts w:cs="Arial"/>
          <w:color w:val="000000"/>
          <w:sz w:val="24"/>
        </w:rPr>
        <w:t xml:space="preserve"> upon </w:t>
      </w:r>
      <w:r w:rsidRPr="00E512E8">
        <w:rPr>
          <w:rFonts w:cs="Arial"/>
          <w:color w:val="000000"/>
          <w:sz w:val="24"/>
        </w:rPr>
        <w:t xml:space="preserve">the premise that detention and institutionalisation of this cohort of people with intellectual disabilities </w:t>
      </w:r>
      <w:r w:rsidR="003B6E74" w:rsidRPr="00E512E8">
        <w:rPr>
          <w:rFonts w:cs="Arial"/>
          <w:color w:val="000000"/>
          <w:sz w:val="24"/>
        </w:rPr>
        <w:t>in a</w:t>
      </w:r>
      <w:r w:rsidRPr="00E512E8">
        <w:rPr>
          <w:rFonts w:cs="Arial"/>
          <w:color w:val="000000"/>
          <w:sz w:val="24"/>
        </w:rPr>
        <w:t xml:space="preserve"> facility that has a number of references similar to a </w:t>
      </w:r>
      <w:proofErr w:type="gramStart"/>
      <w:r w:rsidR="00205F25" w:rsidRPr="00E512E8">
        <w:rPr>
          <w:rFonts w:cs="Arial"/>
          <w:color w:val="000000"/>
          <w:sz w:val="24"/>
        </w:rPr>
        <w:t>prison</w:t>
      </w:r>
      <w:r w:rsidR="004F5B61" w:rsidRPr="00E512E8">
        <w:rPr>
          <w:rFonts w:cs="Arial"/>
          <w:color w:val="000000"/>
          <w:sz w:val="24"/>
        </w:rPr>
        <w:t>,</w:t>
      </w:r>
      <w:proofErr w:type="gramEnd"/>
      <w:r w:rsidRPr="00E512E8">
        <w:rPr>
          <w:rFonts w:cs="Arial"/>
          <w:color w:val="000000"/>
          <w:sz w:val="24"/>
        </w:rPr>
        <w:t xml:space="preserve"> should be a last resort.</w:t>
      </w:r>
      <w:r w:rsidR="00C1096D" w:rsidRPr="00317DD8">
        <w:rPr>
          <w:rStyle w:val="FootnoteReference"/>
        </w:rPr>
        <w:footnoteReference w:id="7"/>
      </w:r>
      <w:r w:rsidRPr="00E512E8">
        <w:rPr>
          <w:rFonts w:cs="Arial"/>
          <w:color w:val="000000"/>
          <w:sz w:val="24"/>
        </w:rPr>
        <w:t xml:space="preserve"> </w:t>
      </w:r>
      <w:r w:rsidR="00C1096D" w:rsidRPr="00E512E8">
        <w:rPr>
          <w:rFonts w:cs="Arial"/>
          <w:color w:val="000000"/>
          <w:sz w:val="24"/>
        </w:rPr>
        <w:t xml:space="preserve"> The Carter Report states</w:t>
      </w:r>
      <w:r w:rsidR="009228EA" w:rsidRPr="00E512E8">
        <w:rPr>
          <w:rFonts w:cs="Arial"/>
          <w:color w:val="000000"/>
          <w:sz w:val="24"/>
        </w:rPr>
        <w:t>:</w:t>
      </w:r>
    </w:p>
    <w:p w:rsidR="00C1096D" w:rsidRPr="00A15CE1" w:rsidRDefault="00C1096D" w:rsidP="009E4856">
      <w:pPr>
        <w:autoSpaceDE w:val="0"/>
        <w:autoSpaceDN w:val="0"/>
        <w:adjustRightInd w:val="0"/>
        <w:spacing w:before="200" w:after="200"/>
        <w:ind w:left="1440"/>
        <w:jc w:val="both"/>
        <w:rPr>
          <w:rFonts w:cs="Arial"/>
          <w:szCs w:val="22"/>
        </w:rPr>
      </w:pPr>
      <w:r>
        <w:rPr>
          <w:rFonts w:cs="Arial"/>
          <w:szCs w:val="22"/>
        </w:rPr>
        <w:t>The fact is that those in the cohort have individual needs that have to be addressed if</w:t>
      </w:r>
      <w:r w:rsidR="00496BFF">
        <w:rPr>
          <w:rFonts w:cs="Arial"/>
          <w:szCs w:val="22"/>
        </w:rPr>
        <w:t xml:space="preserve"> </w:t>
      </w:r>
      <w:r>
        <w:rPr>
          <w:rFonts w:cs="Arial"/>
          <w:szCs w:val="22"/>
        </w:rPr>
        <w:t>the proper development of the person is to be optimally supported. It was said earlier</w:t>
      </w:r>
      <w:r w:rsidR="00496BFF">
        <w:rPr>
          <w:rFonts w:cs="Arial"/>
          <w:szCs w:val="22"/>
        </w:rPr>
        <w:t xml:space="preserve"> </w:t>
      </w:r>
      <w:r>
        <w:rPr>
          <w:rFonts w:cs="Arial"/>
          <w:szCs w:val="22"/>
        </w:rPr>
        <w:t>that these persons are not in terms of their personal characteristics, static and</w:t>
      </w:r>
      <w:r w:rsidR="00496BFF">
        <w:rPr>
          <w:rFonts w:cs="Arial"/>
          <w:szCs w:val="22"/>
        </w:rPr>
        <w:t xml:space="preserve"> </w:t>
      </w:r>
      <w:r>
        <w:rPr>
          <w:rFonts w:cs="Arial"/>
          <w:szCs w:val="22"/>
        </w:rPr>
        <w:t>intransigent and once categorised are then able to be the subject of a common</w:t>
      </w:r>
      <w:r w:rsidR="00496BFF">
        <w:rPr>
          <w:rFonts w:cs="Arial"/>
          <w:szCs w:val="22"/>
        </w:rPr>
        <w:t xml:space="preserve"> </w:t>
      </w:r>
      <w:r>
        <w:rPr>
          <w:rFonts w:cs="Arial"/>
          <w:szCs w:val="22"/>
        </w:rPr>
        <w:t>management plan. Rather each needs to be supported in a way which individualises</w:t>
      </w:r>
      <w:r w:rsidR="00496BFF">
        <w:rPr>
          <w:rFonts w:cs="Arial"/>
          <w:szCs w:val="22"/>
        </w:rPr>
        <w:t xml:space="preserve"> </w:t>
      </w:r>
      <w:r>
        <w:rPr>
          <w:rFonts w:cs="Arial"/>
          <w:szCs w:val="22"/>
        </w:rPr>
        <w:t>their needs and provides an individual response. Flexibility is therefore an essential</w:t>
      </w:r>
      <w:r w:rsidR="00496BFF">
        <w:rPr>
          <w:rFonts w:cs="Arial"/>
          <w:szCs w:val="22"/>
        </w:rPr>
        <w:t xml:space="preserve"> </w:t>
      </w:r>
      <w:r>
        <w:rPr>
          <w:rFonts w:cs="Arial"/>
          <w:szCs w:val="22"/>
        </w:rPr>
        <w:t xml:space="preserve">requirement which in turn requires a specialised </w:t>
      </w:r>
      <w:r w:rsidR="00A15CE1">
        <w:rPr>
          <w:rFonts w:cs="Arial"/>
          <w:szCs w:val="22"/>
        </w:rPr>
        <w:t>and comprehensive assessment of</w:t>
      </w:r>
      <w:r w:rsidR="00496BFF">
        <w:rPr>
          <w:rFonts w:cs="Arial"/>
          <w:szCs w:val="22"/>
        </w:rPr>
        <w:t xml:space="preserve"> </w:t>
      </w:r>
      <w:r>
        <w:rPr>
          <w:rFonts w:cs="Arial"/>
          <w:szCs w:val="22"/>
        </w:rPr>
        <w:t>the person and his/her needs. It is presently not available.</w:t>
      </w:r>
    </w:p>
    <w:p w:rsidR="001D7594" w:rsidRPr="00E512E8" w:rsidRDefault="003B6E74" w:rsidP="009E4856">
      <w:pPr>
        <w:numPr>
          <w:ilvl w:val="1"/>
          <w:numId w:val="25"/>
        </w:numPr>
        <w:spacing w:before="200" w:after="200"/>
        <w:ind w:left="709" w:hanging="709"/>
        <w:jc w:val="both"/>
        <w:rPr>
          <w:rFonts w:cs="Arial"/>
          <w:color w:val="000000"/>
          <w:sz w:val="24"/>
        </w:rPr>
      </w:pPr>
      <w:r w:rsidRPr="00E512E8">
        <w:rPr>
          <w:rFonts w:cs="Arial"/>
          <w:color w:val="000000"/>
          <w:sz w:val="24"/>
        </w:rPr>
        <w:t xml:space="preserve">The </w:t>
      </w:r>
      <w:r w:rsidRPr="00317DD8">
        <w:rPr>
          <w:rFonts w:cs="Arial"/>
          <w:color w:val="000000"/>
          <w:sz w:val="24"/>
        </w:rPr>
        <w:t>ADCQ</w:t>
      </w:r>
      <w:r w:rsidRPr="00E512E8">
        <w:rPr>
          <w:rFonts w:cs="Arial"/>
          <w:color w:val="000000"/>
          <w:sz w:val="24"/>
        </w:rPr>
        <w:t xml:space="preserve"> suggests that as a starting point, the model should</w:t>
      </w:r>
      <w:r w:rsidR="00205F25" w:rsidRPr="00E512E8">
        <w:rPr>
          <w:rFonts w:cs="Arial"/>
          <w:color w:val="000000"/>
          <w:sz w:val="24"/>
        </w:rPr>
        <w:t xml:space="preserve"> be based on the premise that </w:t>
      </w:r>
      <w:r w:rsidR="00C1096D" w:rsidRPr="00E512E8">
        <w:rPr>
          <w:rFonts w:cs="Arial"/>
          <w:color w:val="000000"/>
          <w:sz w:val="24"/>
        </w:rPr>
        <w:t xml:space="preserve">services and facilities will be established which </w:t>
      </w:r>
      <w:r w:rsidR="00205F25" w:rsidRPr="00E512E8">
        <w:rPr>
          <w:rFonts w:cs="Arial"/>
          <w:color w:val="000000"/>
          <w:sz w:val="24"/>
        </w:rPr>
        <w:t xml:space="preserve">would give capacity for the Mental Health Act to </w:t>
      </w:r>
      <w:r w:rsidR="004F5B61" w:rsidRPr="00E512E8">
        <w:rPr>
          <w:rFonts w:cs="Arial"/>
          <w:color w:val="000000"/>
          <w:sz w:val="24"/>
        </w:rPr>
        <w:t>direct the</w:t>
      </w:r>
      <w:r w:rsidRPr="00E512E8">
        <w:rPr>
          <w:rFonts w:cs="Arial"/>
          <w:color w:val="000000"/>
          <w:sz w:val="24"/>
        </w:rPr>
        <w:t xml:space="preserve"> Mental Health Court</w:t>
      </w:r>
      <w:r w:rsidR="00205F25" w:rsidRPr="00E512E8">
        <w:rPr>
          <w:rFonts w:cs="Arial"/>
          <w:color w:val="000000"/>
          <w:sz w:val="24"/>
        </w:rPr>
        <w:t xml:space="preserve"> </w:t>
      </w:r>
      <w:r w:rsidRPr="00E512E8">
        <w:rPr>
          <w:rFonts w:cs="Arial"/>
          <w:color w:val="000000"/>
          <w:sz w:val="24"/>
        </w:rPr>
        <w:t>to consider</w:t>
      </w:r>
      <w:r w:rsidR="00205F25" w:rsidRPr="00E512E8">
        <w:rPr>
          <w:rFonts w:cs="Arial"/>
          <w:color w:val="000000"/>
          <w:sz w:val="24"/>
        </w:rPr>
        <w:t xml:space="preserve"> as a first option,</w:t>
      </w:r>
      <w:r w:rsidRPr="00E512E8">
        <w:rPr>
          <w:rFonts w:cs="Arial"/>
          <w:color w:val="000000"/>
          <w:sz w:val="24"/>
        </w:rPr>
        <w:t xml:space="preserve"> </w:t>
      </w:r>
      <w:r w:rsidR="00205F25" w:rsidRPr="00E512E8">
        <w:rPr>
          <w:rFonts w:cs="Arial"/>
          <w:color w:val="000000"/>
          <w:sz w:val="24"/>
        </w:rPr>
        <w:t xml:space="preserve">a properly supported community placement. </w:t>
      </w:r>
      <w:r w:rsidR="009228EA" w:rsidRPr="00E512E8">
        <w:rPr>
          <w:rFonts w:cs="Arial"/>
          <w:color w:val="000000"/>
          <w:sz w:val="24"/>
        </w:rPr>
        <w:t xml:space="preserve"> </w:t>
      </w:r>
      <w:r w:rsidR="00205F25" w:rsidRPr="00E512E8">
        <w:rPr>
          <w:rFonts w:cs="Arial"/>
          <w:color w:val="000000"/>
          <w:sz w:val="24"/>
        </w:rPr>
        <w:t>The</w:t>
      </w:r>
      <w:r w:rsidRPr="00E512E8">
        <w:rPr>
          <w:rFonts w:cs="Arial"/>
          <w:color w:val="000000"/>
          <w:sz w:val="24"/>
        </w:rPr>
        <w:t xml:space="preserve"> placing a person in an institutionalised setting</w:t>
      </w:r>
      <w:r w:rsidR="00205F25" w:rsidRPr="00E512E8">
        <w:rPr>
          <w:rFonts w:cs="Arial"/>
          <w:color w:val="000000"/>
          <w:sz w:val="24"/>
        </w:rPr>
        <w:t xml:space="preserve"> should only become an option </w:t>
      </w:r>
      <w:r w:rsidR="004F5B61" w:rsidRPr="00E512E8">
        <w:rPr>
          <w:rFonts w:cs="Arial"/>
          <w:color w:val="000000"/>
          <w:sz w:val="24"/>
        </w:rPr>
        <w:t>for the Court</w:t>
      </w:r>
      <w:r w:rsidRPr="00E512E8">
        <w:rPr>
          <w:rFonts w:cs="Arial"/>
          <w:color w:val="000000"/>
          <w:sz w:val="24"/>
        </w:rPr>
        <w:t xml:space="preserve"> if having regard to the person</w:t>
      </w:r>
      <w:r w:rsidR="004F5B61" w:rsidRPr="00E512E8">
        <w:rPr>
          <w:rFonts w:cs="Arial"/>
          <w:color w:val="000000"/>
          <w:sz w:val="24"/>
        </w:rPr>
        <w:t>’</w:t>
      </w:r>
      <w:r w:rsidRPr="00E512E8">
        <w:rPr>
          <w:rFonts w:cs="Arial"/>
          <w:color w:val="000000"/>
          <w:sz w:val="24"/>
        </w:rPr>
        <w:t>s intellectual disability</w:t>
      </w:r>
      <w:r w:rsidR="00205F25" w:rsidRPr="00E512E8">
        <w:rPr>
          <w:rFonts w:cs="Arial"/>
          <w:color w:val="000000"/>
          <w:sz w:val="24"/>
        </w:rPr>
        <w:t xml:space="preserve">, </w:t>
      </w:r>
      <w:r w:rsidR="00C1096D" w:rsidRPr="00E512E8">
        <w:rPr>
          <w:rFonts w:cs="Arial"/>
          <w:color w:val="000000"/>
          <w:sz w:val="24"/>
        </w:rPr>
        <w:t xml:space="preserve">their placement </w:t>
      </w:r>
      <w:r w:rsidR="00205F25" w:rsidRPr="00E512E8">
        <w:rPr>
          <w:rFonts w:cs="Arial"/>
          <w:color w:val="000000"/>
          <w:sz w:val="24"/>
        </w:rPr>
        <w:t>in a well supported community</w:t>
      </w:r>
      <w:r w:rsidR="00C1096D" w:rsidRPr="00E512E8">
        <w:rPr>
          <w:rFonts w:cs="Arial"/>
          <w:color w:val="000000"/>
          <w:sz w:val="24"/>
        </w:rPr>
        <w:t xml:space="preserve"> situation </w:t>
      </w:r>
      <w:r w:rsidRPr="00E512E8">
        <w:rPr>
          <w:rFonts w:cs="Arial"/>
          <w:color w:val="000000"/>
          <w:sz w:val="24"/>
        </w:rPr>
        <w:t xml:space="preserve">represents an unacceptable risk to the safety of themselves or others.  </w:t>
      </w:r>
    </w:p>
    <w:p w:rsidR="00430B46" w:rsidRPr="00E512E8" w:rsidRDefault="009345B1" w:rsidP="009E4856">
      <w:pPr>
        <w:numPr>
          <w:ilvl w:val="1"/>
          <w:numId w:val="25"/>
        </w:numPr>
        <w:spacing w:before="200" w:after="200"/>
        <w:ind w:left="709" w:hanging="709"/>
        <w:jc w:val="both"/>
        <w:rPr>
          <w:rFonts w:cs="Arial"/>
          <w:color w:val="000000"/>
          <w:sz w:val="24"/>
        </w:rPr>
      </w:pPr>
      <w:r w:rsidRPr="00E512E8">
        <w:rPr>
          <w:rFonts w:cs="Arial"/>
          <w:color w:val="000000"/>
          <w:sz w:val="24"/>
        </w:rPr>
        <w:t>According to the Review of the Queensland Mental Health Act 2000 Final Report – December 2006 (the Butler Report), as at 30 June 2006 23 patients on forensic orders had a sole diagnosis of intellectual disability and 12 patients had a dual diagnosis</w:t>
      </w:r>
      <w:r w:rsidRPr="00317DD8">
        <w:rPr>
          <w:rStyle w:val="FootnoteReference"/>
        </w:rPr>
        <w:footnoteReference w:id="8"/>
      </w:r>
      <w:r w:rsidR="00317DD8">
        <w:rPr>
          <w:rFonts w:cs="Arial"/>
          <w:color w:val="000000"/>
          <w:sz w:val="24"/>
        </w:rPr>
        <w:t>.</w:t>
      </w:r>
      <w:r w:rsidRPr="00E512E8">
        <w:rPr>
          <w:rFonts w:cs="Arial"/>
          <w:color w:val="000000"/>
          <w:sz w:val="24"/>
        </w:rPr>
        <w:t xml:space="preserve"> The ADCQ is not aware of the </w:t>
      </w:r>
      <w:r w:rsidR="001D7594" w:rsidRPr="00E512E8">
        <w:rPr>
          <w:rFonts w:cs="Arial"/>
          <w:color w:val="000000"/>
          <w:sz w:val="24"/>
        </w:rPr>
        <w:t xml:space="preserve">current </w:t>
      </w:r>
      <w:r w:rsidRPr="00E512E8">
        <w:rPr>
          <w:rFonts w:cs="Arial"/>
          <w:color w:val="000000"/>
          <w:sz w:val="24"/>
        </w:rPr>
        <w:t>number of such patients</w:t>
      </w:r>
      <w:r w:rsidR="001D7594" w:rsidRPr="00E512E8">
        <w:rPr>
          <w:rFonts w:cs="Arial"/>
          <w:color w:val="000000"/>
          <w:sz w:val="24"/>
        </w:rPr>
        <w:t>, however t</w:t>
      </w:r>
      <w:r w:rsidRPr="00E512E8">
        <w:rPr>
          <w:rFonts w:cs="Arial"/>
          <w:color w:val="000000"/>
          <w:sz w:val="24"/>
        </w:rPr>
        <w:t xml:space="preserve">he Mental Health Review Tribunal </w:t>
      </w:r>
      <w:r w:rsidR="001D7594" w:rsidRPr="00E512E8">
        <w:rPr>
          <w:rFonts w:cs="Arial"/>
          <w:color w:val="000000"/>
          <w:sz w:val="24"/>
        </w:rPr>
        <w:t xml:space="preserve">reports in its </w:t>
      </w:r>
      <w:r w:rsidRPr="00E512E8">
        <w:rPr>
          <w:rFonts w:cs="Arial"/>
          <w:color w:val="000000"/>
          <w:sz w:val="24"/>
        </w:rPr>
        <w:t xml:space="preserve">2008-2009 </w:t>
      </w:r>
      <w:r w:rsidR="001D7594" w:rsidRPr="00E512E8">
        <w:rPr>
          <w:rFonts w:cs="Arial"/>
          <w:color w:val="000000"/>
          <w:sz w:val="24"/>
        </w:rPr>
        <w:t>Annual Report</w:t>
      </w:r>
      <w:r w:rsidRPr="00E512E8">
        <w:rPr>
          <w:rFonts w:cs="Arial"/>
          <w:color w:val="000000"/>
          <w:sz w:val="24"/>
        </w:rPr>
        <w:t>:</w:t>
      </w:r>
    </w:p>
    <w:p w:rsidR="009345B1" w:rsidRPr="009345B1" w:rsidRDefault="009345B1" w:rsidP="009E4856">
      <w:pPr>
        <w:spacing w:before="200" w:after="200"/>
        <w:ind w:left="1440"/>
        <w:jc w:val="both"/>
        <w:rPr>
          <w:rFonts w:cs="Arial"/>
          <w:szCs w:val="22"/>
        </w:rPr>
      </w:pPr>
      <w:r>
        <w:rPr>
          <w:rFonts w:cs="Arial"/>
          <w:szCs w:val="22"/>
        </w:rPr>
        <w:t xml:space="preserve">The number of individual patients subject to an FO is increasing, and this may reflect the additional workload undertaken by the </w:t>
      </w:r>
      <w:smartTag w:uri="urn:schemas-microsoft-com:office:smarttags" w:element="Street">
        <w:smartTag w:uri="urn:schemas-microsoft-com:office:smarttags" w:element="address">
          <w:r>
            <w:rPr>
              <w:rFonts w:cs="Arial"/>
              <w:szCs w:val="22"/>
            </w:rPr>
            <w:t>Mental Health Court</w:t>
          </w:r>
        </w:smartTag>
      </w:smartTag>
      <w:r>
        <w:rPr>
          <w:rFonts w:cs="Arial"/>
          <w:szCs w:val="22"/>
        </w:rPr>
        <w:t xml:space="preserve"> since 2006, as well as the fact that revocation of FOs has slowed.</w:t>
      </w:r>
    </w:p>
    <w:p w:rsidR="00430B46" w:rsidRDefault="001D7594" w:rsidP="009E4856">
      <w:pPr>
        <w:spacing w:before="200" w:after="200"/>
        <w:ind w:left="720"/>
        <w:jc w:val="both"/>
        <w:rPr>
          <w:rFonts w:cs="Arial"/>
          <w:sz w:val="24"/>
        </w:rPr>
      </w:pPr>
      <w:r>
        <w:rPr>
          <w:rFonts w:cs="Arial"/>
          <w:sz w:val="24"/>
        </w:rPr>
        <w:t xml:space="preserve">The same Annual Report also indicates that during 2008-2009 the </w:t>
      </w:r>
      <w:smartTag w:uri="urn:schemas-microsoft-com:office:smarttags" w:element="Street">
        <w:smartTag w:uri="urn:schemas-microsoft-com:office:smarttags" w:element="address">
          <w:r>
            <w:rPr>
              <w:rFonts w:cs="Arial"/>
              <w:sz w:val="24"/>
            </w:rPr>
            <w:t>Mental Health Court</w:t>
          </w:r>
        </w:smartTag>
      </w:smartTag>
      <w:r>
        <w:rPr>
          <w:rFonts w:cs="Arial"/>
          <w:sz w:val="24"/>
        </w:rPr>
        <w:t xml:space="preserve"> made 91 forensic orders</w:t>
      </w:r>
      <w:r w:rsidR="003272BD">
        <w:rPr>
          <w:rFonts w:cs="Arial"/>
          <w:sz w:val="24"/>
        </w:rPr>
        <w:t>, however the number of those orders for patients with a sole or dual diagnosis of intellectual disability is not provided.</w:t>
      </w:r>
    </w:p>
    <w:p w:rsidR="003272BD" w:rsidRDefault="003272BD" w:rsidP="009E4856">
      <w:pPr>
        <w:spacing w:before="200" w:after="200"/>
        <w:ind w:left="720"/>
        <w:jc w:val="both"/>
        <w:rPr>
          <w:rFonts w:cs="Arial"/>
          <w:sz w:val="24"/>
        </w:rPr>
      </w:pPr>
      <w:r>
        <w:rPr>
          <w:rFonts w:cs="Arial"/>
          <w:sz w:val="24"/>
        </w:rPr>
        <w:t xml:space="preserve">The </w:t>
      </w:r>
      <w:r w:rsidRPr="001A13D9">
        <w:rPr>
          <w:rFonts w:cs="Arial"/>
          <w:i/>
          <w:sz w:val="24"/>
        </w:rPr>
        <w:t>ADCQ</w:t>
      </w:r>
      <w:r>
        <w:rPr>
          <w:rFonts w:cs="Arial"/>
          <w:sz w:val="24"/>
        </w:rPr>
        <w:t xml:space="preserve"> is also unaware of any statistics showing the location of the patients subject to forensic orders who have a sole or dual diagnosis of intellectual disability.</w:t>
      </w:r>
    </w:p>
    <w:p w:rsidR="003272BD" w:rsidRPr="00E512E8" w:rsidRDefault="003272BD" w:rsidP="009E4856">
      <w:pPr>
        <w:numPr>
          <w:ilvl w:val="1"/>
          <w:numId w:val="25"/>
        </w:numPr>
        <w:spacing w:before="200" w:after="200"/>
        <w:ind w:left="709" w:hanging="709"/>
        <w:jc w:val="both"/>
        <w:rPr>
          <w:rFonts w:cs="Arial"/>
          <w:color w:val="000000"/>
          <w:sz w:val="24"/>
        </w:rPr>
      </w:pPr>
      <w:r w:rsidRPr="00E512E8">
        <w:rPr>
          <w:rFonts w:cs="Arial"/>
          <w:color w:val="000000"/>
          <w:sz w:val="24"/>
        </w:rPr>
        <w:lastRenderedPageBreak/>
        <w:t>It would appear that at any given time there may be more than 10</w:t>
      </w:r>
      <w:r w:rsidR="009228EA" w:rsidRPr="00E512E8">
        <w:rPr>
          <w:rFonts w:cs="Arial"/>
          <w:color w:val="000000"/>
          <w:sz w:val="24"/>
        </w:rPr>
        <w:t> </w:t>
      </w:r>
      <w:r w:rsidRPr="00E512E8">
        <w:rPr>
          <w:rFonts w:cs="Arial"/>
          <w:color w:val="000000"/>
          <w:sz w:val="24"/>
        </w:rPr>
        <w:t>people with an intellectual disability who ar</w:t>
      </w:r>
      <w:r w:rsidR="00562A80" w:rsidRPr="00E512E8">
        <w:rPr>
          <w:rFonts w:cs="Arial"/>
          <w:color w:val="000000"/>
          <w:sz w:val="24"/>
        </w:rPr>
        <w:t>e subject to a forensic order.</w:t>
      </w:r>
      <w:r w:rsidRPr="00E512E8">
        <w:rPr>
          <w:rFonts w:cs="Arial"/>
          <w:color w:val="000000"/>
          <w:sz w:val="24"/>
        </w:rPr>
        <w:t xml:space="preserve">  It is also likely that </w:t>
      </w:r>
      <w:r w:rsidR="00E40952" w:rsidRPr="00E512E8">
        <w:rPr>
          <w:rFonts w:cs="Arial"/>
          <w:color w:val="000000"/>
          <w:sz w:val="24"/>
        </w:rPr>
        <w:t xml:space="preserve">some of the patients may be from regions or areas other than </w:t>
      </w:r>
      <w:smartTag w:uri="urn:schemas-microsoft-com:office:smarttags" w:element="City">
        <w:r w:rsidR="00E40952" w:rsidRPr="00E512E8">
          <w:rPr>
            <w:rFonts w:cs="Arial"/>
            <w:color w:val="000000"/>
            <w:sz w:val="24"/>
          </w:rPr>
          <w:t>Brisbane</w:t>
        </w:r>
      </w:smartTag>
      <w:r w:rsidR="00E40952" w:rsidRPr="00E512E8">
        <w:rPr>
          <w:rFonts w:cs="Arial"/>
          <w:color w:val="000000"/>
          <w:sz w:val="24"/>
        </w:rPr>
        <w:t xml:space="preserve"> or </w:t>
      </w:r>
      <w:smartTag w:uri="urn:schemas-microsoft-com:office:smarttags" w:element="place">
        <w:r w:rsidR="00E40952" w:rsidRPr="00E512E8">
          <w:rPr>
            <w:rFonts w:cs="Arial"/>
            <w:color w:val="000000"/>
            <w:sz w:val="24"/>
          </w:rPr>
          <w:t>South-East Queensland</w:t>
        </w:r>
      </w:smartTag>
      <w:r w:rsidR="00E40952" w:rsidRPr="00E512E8">
        <w:rPr>
          <w:rFonts w:cs="Arial"/>
          <w:color w:val="000000"/>
          <w:sz w:val="24"/>
        </w:rPr>
        <w:t>.</w:t>
      </w:r>
    </w:p>
    <w:p w:rsidR="00E40952" w:rsidRDefault="00E40952" w:rsidP="009E4856">
      <w:pPr>
        <w:numPr>
          <w:ilvl w:val="1"/>
          <w:numId w:val="25"/>
        </w:numPr>
        <w:spacing w:before="200" w:after="200"/>
        <w:ind w:left="709" w:hanging="709"/>
        <w:jc w:val="both"/>
        <w:rPr>
          <w:rFonts w:cs="Arial"/>
          <w:sz w:val="24"/>
        </w:rPr>
      </w:pPr>
      <w:r w:rsidRPr="00E512E8">
        <w:rPr>
          <w:rFonts w:cs="Arial"/>
          <w:color w:val="000000"/>
          <w:sz w:val="24"/>
        </w:rPr>
        <w:t xml:space="preserve">The ADCQ </w:t>
      </w:r>
      <w:r w:rsidR="00562A80" w:rsidRPr="00E512E8">
        <w:rPr>
          <w:rFonts w:cs="Arial"/>
          <w:color w:val="000000"/>
          <w:sz w:val="24"/>
        </w:rPr>
        <w:t xml:space="preserve">suggests </w:t>
      </w:r>
      <w:r w:rsidRPr="00E512E8">
        <w:rPr>
          <w:rFonts w:cs="Arial"/>
          <w:color w:val="000000"/>
          <w:sz w:val="24"/>
        </w:rPr>
        <w:t xml:space="preserve">the </w:t>
      </w:r>
      <w:r w:rsidR="004F5B61" w:rsidRPr="00E512E8">
        <w:rPr>
          <w:rFonts w:cs="Arial"/>
          <w:color w:val="000000"/>
          <w:sz w:val="24"/>
        </w:rPr>
        <w:t xml:space="preserve">forensic disability services model </w:t>
      </w:r>
      <w:r w:rsidR="00562A80" w:rsidRPr="00E512E8">
        <w:rPr>
          <w:rFonts w:cs="Arial"/>
          <w:color w:val="000000"/>
          <w:sz w:val="24"/>
        </w:rPr>
        <w:t xml:space="preserve">that is adopted should </w:t>
      </w:r>
      <w:r w:rsidRPr="00E512E8">
        <w:rPr>
          <w:rFonts w:cs="Arial"/>
          <w:color w:val="000000"/>
          <w:sz w:val="24"/>
        </w:rPr>
        <w:t xml:space="preserve">enable </w:t>
      </w:r>
      <w:r w:rsidR="004F5B61" w:rsidRPr="00E512E8">
        <w:rPr>
          <w:rFonts w:cs="Arial"/>
          <w:color w:val="000000"/>
          <w:sz w:val="24"/>
        </w:rPr>
        <w:t xml:space="preserve">the establishment of properly supported community based services and facilities </w:t>
      </w:r>
      <w:r w:rsidRPr="00E512E8">
        <w:rPr>
          <w:rFonts w:cs="Arial"/>
          <w:color w:val="000000"/>
          <w:sz w:val="24"/>
        </w:rPr>
        <w:t xml:space="preserve">to be </w:t>
      </w:r>
      <w:r w:rsidR="004F5B61" w:rsidRPr="00E512E8">
        <w:rPr>
          <w:rFonts w:cs="Arial"/>
          <w:color w:val="000000"/>
          <w:sz w:val="24"/>
        </w:rPr>
        <w:t xml:space="preserve">utilised as </w:t>
      </w:r>
      <w:r w:rsidRPr="00E512E8">
        <w:rPr>
          <w:rFonts w:cs="Arial"/>
          <w:color w:val="000000"/>
          <w:sz w:val="24"/>
        </w:rPr>
        <w:t>authorised forensic disability service</w:t>
      </w:r>
      <w:r w:rsidR="004F5B61" w:rsidRPr="00E512E8">
        <w:rPr>
          <w:rFonts w:cs="Arial"/>
          <w:color w:val="000000"/>
          <w:sz w:val="24"/>
        </w:rPr>
        <w:t>s</w:t>
      </w:r>
      <w:r w:rsidRPr="00E512E8">
        <w:rPr>
          <w:rFonts w:cs="Arial"/>
          <w:color w:val="000000"/>
          <w:sz w:val="24"/>
        </w:rPr>
        <w:t xml:space="preserve">, in </w:t>
      </w:r>
      <w:r w:rsidR="00562A80" w:rsidRPr="00E512E8">
        <w:rPr>
          <w:rFonts w:cs="Arial"/>
          <w:color w:val="000000"/>
          <w:sz w:val="24"/>
        </w:rPr>
        <w:t xml:space="preserve">the South East </w:t>
      </w:r>
      <w:r w:rsidR="009228EA" w:rsidRPr="00E512E8">
        <w:rPr>
          <w:rFonts w:cs="Arial"/>
          <w:color w:val="000000"/>
          <w:sz w:val="24"/>
        </w:rPr>
        <w:t xml:space="preserve">as well as </w:t>
      </w:r>
      <w:r w:rsidRPr="00E512E8">
        <w:rPr>
          <w:rFonts w:cs="Arial"/>
          <w:color w:val="000000"/>
          <w:sz w:val="24"/>
        </w:rPr>
        <w:t>other areas of Queensland.</w:t>
      </w:r>
      <w:r w:rsidR="009228EA" w:rsidRPr="00E512E8">
        <w:rPr>
          <w:rFonts w:cs="Arial"/>
          <w:color w:val="000000"/>
          <w:sz w:val="24"/>
        </w:rPr>
        <w:t xml:space="preserve"> </w:t>
      </w:r>
      <w:r w:rsidR="00562A80" w:rsidRPr="00E512E8">
        <w:rPr>
          <w:rFonts w:cs="Arial"/>
          <w:color w:val="000000"/>
          <w:sz w:val="24"/>
        </w:rPr>
        <w:t xml:space="preserve"> These </w:t>
      </w:r>
      <w:r w:rsidR="000C59B9" w:rsidRPr="00E512E8">
        <w:rPr>
          <w:rFonts w:cs="Arial"/>
          <w:color w:val="000000"/>
          <w:sz w:val="24"/>
        </w:rPr>
        <w:t xml:space="preserve">should </w:t>
      </w:r>
      <w:r w:rsidR="00562A80" w:rsidRPr="00E512E8">
        <w:rPr>
          <w:rFonts w:cs="Arial"/>
          <w:color w:val="000000"/>
          <w:sz w:val="24"/>
        </w:rPr>
        <w:t>be mandated as the first option</w:t>
      </w:r>
      <w:r w:rsidR="00562A80">
        <w:rPr>
          <w:rFonts w:cs="Arial"/>
          <w:sz w:val="24"/>
        </w:rPr>
        <w:t xml:space="preserve"> placement for persons with intellectual disabilities the subject of forensic orders, as discussed in paragraph 3</w:t>
      </w:r>
      <w:r w:rsidR="00317DD8">
        <w:rPr>
          <w:rFonts w:cs="Arial"/>
          <w:sz w:val="24"/>
        </w:rPr>
        <w:t>.8</w:t>
      </w:r>
      <w:r w:rsidR="00562A80">
        <w:rPr>
          <w:rFonts w:cs="Arial"/>
          <w:sz w:val="24"/>
        </w:rPr>
        <w:t xml:space="preserve"> above.</w:t>
      </w:r>
    </w:p>
    <w:p w:rsidR="00487BA9" w:rsidRPr="00BC5B44" w:rsidRDefault="00487BA9" w:rsidP="009E4856">
      <w:pPr>
        <w:spacing w:before="200" w:after="200"/>
        <w:ind w:left="720" w:hanging="720"/>
        <w:jc w:val="both"/>
        <w:rPr>
          <w:rFonts w:cs="Arial"/>
          <w:b/>
          <w:i/>
          <w:color w:val="000000"/>
          <w:szCs w:val="22"/>
        </w:rPr>
      </w:pPr>
      <w:r w:rsidRPr="00BC5B44">
        <w:rPr>
          <w:rFonts w:cs="Arial"/>
          <w:b/>
          <w:i/>
          <w:color w:val="000000"/>
          <w:szCs w:val="22"/>
        </w:rPr>
        <w:t>Placement and Transfers</w:t>
      </w:r>
    </w:p>
    <w:p w:rsidR="006A49EC" w:rsidRPr="00E512E8" w:rsidRDefault="003B41A9" w:rsidP="009E4856">
      <w:pPr>
        <w:numPr>
          <w:ilvl w:val="1"/>
          <w:numId w:val="25"/>
        </w:numPr>
        <w:spacing w:before="200" w:after="200"/>
        <w:ind w:left="709" w:hanging="709"/>
        <w:jc w:val="both"/>
        <w:rPr>
          <w:rFonts w:cs="Arial"/>
          <w:color w:val="000000"/>
          <w:sz w:val="24"/>
        </w:rPr>
      </w:pPr>
      <w:r w:rsidRPr="00E512E8">
        <w:rPr>
          <w:rFonts w:cs="Arial"/>
          <w:color w:val="000000"/>
          <w:sz w:val="24"/>
        </w:rPr>
        <w:t>It is well recognised that vulnerable persons and persons subjected to involuntary detention have better outcomes with support mechanisms that include family, friends, culture and community.  Placing persons in facilities away from their support can result in unlawful discrimination on the attributes such as race, religion, and family responsibilities.</w:t>
      </w:r>
    </w:p>
    <w:p w:rsidR="003B41A9" w:rsidRPr="00E512E8" w:rsidRDefault="003B41A9" w:rsidP="009E4856">
      <w:pPr>
        <w:numPr>
          <w:ilvl w:val="1"/>
          <w:numId w:val="25"/>
        </w:numPr>
        <w:spacing w:before="200" w:after="200"/>
        <w:ind w:left="709" w:hanging="709"/>
        <w:jc w:val="both"/>
        <w:rPr>
          <w:rFonts w:cs="Arial"/>
          <w:color w:val="000000"/>
          <w:sz w:val="24"/>
        </w:rPr>
      </w:pPr>
      <w:r w:rsidRPr="00E512E8">
        <w:rPr>
          <w:rFonts w:cs="Arial"/>
          <w:color w:val="000000"/>
          <w:sz w:val="24"/>
        </w:rPr>
        <w:t>The ADCQ recommends that the criteria for placing in an authorised forensic disability service include considerations relating to the person's support mechanisms in their current location, and have due regard to the persons cultural, religious and family needs and supports.</w:t>
      </w:r>
    </w:p>
    <w:p w:rsidR="003B41A9" w:rsidRDefault="003B41A9" w:rsidP="009E4856">
      <w:pPr>
        <w:numPr>
          <w:ilvl w:val="1"/>
          <w:numId w:val="25"/>
        </w:numPr>
        <w:spacing w:before="200" w:after="200"/>
        <w:ind w:left="709" w:hanging="709"/>
        <w:jc w:val="both"/>
        <w:rPr>
          <w:rFonts w:cs="Arial"/>
          <w:sz w:val="24"/>
        </w:rPr>
      </w:pPr>
      <w:r w:rsidRPr="00E512E8">
        <w:rPr>
          <w:rFonts w:cs="Arial"/>
          <w:color w:val="000000"/>
          <w:sz w:val="24"/>
        </w:rPr>
        <w:t>The ADCQ recommends that criteria for transferring patients between an authorised forensic disability service and an authorised mental health service also include considerations relating to the person's support mechanisms in their current location, and have due regard to</w:t>
      </w:r>
      <w:r>
        <w:rPr>
          <w:rFonts w:cs="Arial"/>
          <w:sz w:val="24"/>
        </w:rPr>
        <w:t xml:space="preserve"> the persons cultural, religious and family needs and supports.</w:t>
      </w:r>
    </w:p>
    <w:p w:rsidR="000C59B9" w:rsidRPr="00BC5B44" w:rsidRDefault="000C59B9" w:rsidP="009E4856">
      <w:pPr>
        <w:spacing w:before="200" w:after="200"/>
        <w:ind w:left="720" w:hanging="720"/>
        <w:jc w:val="both"/>
        <w:rPr>
          <w:rFonts w:cs="Arial"/>
          <w:b/>
          <w:i/>
          <w:color w:val="000000"/>
          <w:szCs w:val="22"/>
        </w:rPr>
      </w:pPr>
      <w:r w:rsidRPr="00BC5B44">
        <w:rPr>
          <w:rFonts w:cs="Arial"/>
          <w:b/>
          <w:i/>
          <w:color w:val="000000"/>
          <w:szCs w:val="22"/>
        </w:rPr>
        <w:t>Director of Forensic Disability</w:t>
      </w:r>
    </w:p>
    <w:p w:rsidR="005E6343" w:rsidRPr="00E512E8" w:rsidRDefault="00E41211" w:rsidP="009E4856">
      <w:pPr>
        <w:numPr>
          <w:ilvl w:val="1"/>
          <w:numId w:val="25"/>
        </w:numPr>
        <w:spacing w:before="200" w:after="200"/>
        <w:ind w:left="709" w:hanging="709"/>
        <w:jc w:val="both"/>
        <w:rPr>
          <w:rFonts w:cs="Arial"/>
          <w:color w:val="000000"/>
          <w:sz w:val="24"/>
        </w:rPr>
      </w:pPr>
      <w:r w:rsidRPr="00E512E8">
        <w:rPr>
          <w:rFonts w:cs="Arial"/>
          <w:color w:val="000000"/>
          <w:sz w:val="24"/>
        </w:rPr>
        <w:t xml:space="preserve">The </w:t>
      </w:r>
      <w:r w:rsidRPr="00317DD8">
        <w:rPr>
          <w:rFonts w:cs="Arial"/>
          <w:color w:val="000000"/>
          <w:sz w:val="24"/>
        </w:rPr>
        <w:t>ADCQ</w:t>
      </w:r>
      <w:r w:rsidRPr="00E512E8">
        <w:rPr>
          <w:rFonts w:cs="Arial"/>
          <w:color w:val="000000"/>
          <w:sz w:val="24"/>
        </w:rPr>
        <w:t xml:space="preserve"> has a number of concerns about the roles and powers of the proposed position of Director of Forensic Disability.  The </w:t>
      </w:r>
      <w:r w:rsidRPr="00317DD8">
        <w:rPr>
          <w:rFonts w:cs="Arial"/>
          <w:color w:val="000000"/>
          <w:sz w:val="24"/>
        </w:rPr>
        <w:t>ADCQ</w:t>
      </w:r>
      <w:r w:rsidRPr="00E512E8">
        <w:rPr>
          <w:rFonts w:cs="Arial"/>
          <w:color w:val="000000"/>
          <w:sz w:val="24"/>
        </w:rPr>
        <w:t xml:space="preserve"> is of the view that there must be a clear delineation of the administrative and operative role associated with </w:t>
      </w:r>
      <w:r w:rsidR="009228EA" w:rsidRPr="00E512E8">
        <w:rPr>
          <w:rFonts w:cs="Arial"/>
          <w:color w:val="000000"/>
          <w:sz w:val="24"/>
        </w:rPr>
        <w:t xml:space="preserve">overseeing </w:t>
      </w:r>
      <w:r w:rsidRPr="00E512E8">
        <w:rPr>
          <w:rFonts w:cs="Arial"/>
          <w:color w:val="000000"/>
          <w:sz w:val="24"/>
        </w:rPr>
        <w:t xml:space="preserve">the routine management of persons covered by the proposed legislation, and the person who ought to have the role of independently scrutinising the operations and ensuring that the rights of persons are protected. </w:t>
      </w:r>
    </w:p>
    <w:p w:rsidR="005E6343" w:rsidRDefault="00E41211" w:rsidP="009E4856">
      <w:pPr>
        <w:numPr>
          <w:ilvl w:val="1"/>
          <w:numId w:val="25"/>
        </w:numPr>
        <w:spacing w:before="200" w:after="200"/>
        <w:ind w:left="709" w:hanging="709"/>
        <w:jc w:val="both"/>
        <w:rPr>
          <w:rFonts w:cs="Arial"/>
          <w:sz w:val="24"/>
        </w:rPr>
      </w:pPr>
      <w:r w:rsidRPr="00E512E8">
        <w:rPr>
          <w:rFonts w:cs="Arial"/>
          <w:color w:val="000000"/>
          <w:sz w:val="24"/>
        </w:rPr>
        <w:t>To ensure the independence of the role of the person responsible for scrutinising the operations proscribed by the legislation, the person should be a</w:t>
      </w:r>
      <w:r w:rsidR="005E6343" w:rsidRPr="00E512E8">
        <w:rPr>
          <w:rFonts w:cs="Arial"/>
          <w:color w:val="000000"/>
          <w:sz w:val="24"/>
        </w:rPr>
        <w:t>ppointed by Governor in Council</w:t>
      </w:r>
      <w:r w:rsidRPr="00E512E8">
        <w:rPr>
          <w:rFonts w:cs="Arial"/>
          <w:color w:val="000000"/>
          <w:sz w:val="24"/>
        </w:rPr>
        <w:t xml:space="preserve">. </w:t>
      </w:r>
      <w:r w:rsidR="009228EA" w:rsidRPr="00E512E8">
        <w:rPr>
          <w:rFonts w:cs="Arial"/>
          <w:color w:val="000000"/>
          <w:sz w:val="24"/>
        </w:rPr>
        <w:t xml:space="preserve"> </w:t>
      </w:r>
      <w:r w:rsidRPr="00E512E8">
        <w:rPr>
          <w:rFonts w:cs="Arial"/>
          <w:color w:val="000000"/>
          <w:sz w:val="24"/>
        </w:rPr>
        <w:t>The reporting function should not be</w:t>
      </w:r>
      <w:r>
        <w:rPr>
          <w:rFonts w:cs="Arial"/>
          <w:sz w:val="24"/>
        </w:rPr>
        <w:t xml:space="preserve"> to the Minister for Disability Services and Multicultural Affairs</w:t>
      </w:r>
      <w:r w:rsidR="005E6343">
        <w:rPr>
          <w:rFonts w:cs="Arial"/>
          <w:sz w:val="24"/>
        </w:rPr>
        <w:t xml:space="preserve">, but rather to the Parliament. </w:t>
      </w:r>
      <w:r>
        <w:rPr>
          <w:rFonts w:cs="Arial"/>
          <w:sz w:val="24"/>
        </w:rPr>
        <w:t xml:space="preserve"> The</w:t>
      </w:r>
      <w:r w:rsidR="005E6343">
        <w:rPr>
          <w:rFonts w:cs="Arial"/>
          <w:sz w:val="24"/>
        </w:rPr>
        <w:t xml:space="preserve"> person appointed to </w:t>
      </w:r>
      <w:r w:rsidR="009228EA">
        <w:rPr>
          <w:rFonts w:cs="Arial"/>
          <w:sz w:val="24"/>
        </w:rPr>
        <w:t>oversee</w:t>
      </w:r>
      <w:r w:rsidR="002E18EF">
        <w:rPr>
          <w:rFonts w:cs="Arial"/>
          <w:sz w:val="24"/>
        </w:rPr>
        <w:t xml:space="preserve"> </w:t>
      </w:r>
      <w:r w:rsidR="005E6343">
        <w:rPr>
          <w:rFonts w:cs="Arial"/>
          <w:sz w:val="24"/>
        </w:rPr>
        <w:t xml:space="preserve">role should have </w:t>
      </w:r>
      <w:r>
        <w:rPr>
          <w:rFonts w:cs="Arial"/>
          <w:sz w:val="24"/>
        </w:rPr>
        <w:t>all the functions and powers similar to</w:t>
      </w:r>
      <w:r w:rsidR="005E6343">
        <w:rPr>
          <w:rFonts w:cs="Arial"/>
          <w:sz w:val="24"/>
        </w:rPr>
        <w:t xml:space="preserve"> an independent </w:t>
      </w:r>
      <w:r>
        <w:rPr>
          <w:rFonts w:cs="Arial"/>
          <w:sz w:val="24"/>
        </w:rPr>
        <w:t>Chief Inspector of Pr</w:t>
      </w:r>
      <w:r w:rsidR="005E6343">
        <w:rPr>
          <w:rFonts w:cs="Arial"/>
          <w:sz w:val="24"/>
        </w:rPr>
        <w:t>isons,</w:t>
      </w:r>
      <w:r>
        <w:rPr>
          <w:rFonts w:cs="Arial"/>
          <w:sz w:val="24"/>
        </w:rPr>
        <w:t xml:space="preserve"> </w:t>
      </w:r>
      <w:r w:rsidR="005E6343">
        <w:rPr>
          <w:rFonts w:cs="Arial"/>
          <w:sz w:val="24"/>
        </w:rPr>
        <w:t xml:space="preserve">including </w:t>
      </w:r>
      <w:r>
        <w:rPr>
          <w:rFonts w:cs="Arial"/>
          <w:sz w:val="24"/>
        </w:rPr>
        <w:t>th</w:t>
      </w:r>
      <w:r w:rsidR="005E6343">
        <w:rPr>
          <w:rFonts w:cs="Arial"/>
          <w:sz w:val="24"/>
        </w:rPr>
        <w:t>e</w:t>
      </w:r>
      <w:r>
        <w:rPr>
          <w:rFonts w:cs="Arial"/>
          <w:sz w:val="24"/>
        </w:rPr>
        <w:t xml:space="preserve"> power to perform unannounced visits to the </w:t>
      </w:r>
      <w:r w:rsidR="005E6343">
        <w:rPr>
          <w:rFonts w:cs="Arial"/>
          <w:sz w:val="24"/>
        </w:rPr>
        <w:t>facilities utilised for the placement of this cohort of persons under a forensic order.</w:t>
      </w:r>
      <w:r w:rsidR="005E6343">
        <w:rPr>
          <w:rStyle w:val="FootnoteReference"/>
          <w:rFonts w:cs="Arial"/>
          <w:sz w:val="24"/>
        </w:rPr>
        <w:footnoteReference w:id="9"/>
      </w:r>
      <w:r w:rsidR="005E6343">
        <w:rPr>
          <w:rFonts w:cs="Arial"/>
          <w:sz w:val="24"/>
        </w:rPr>
        <w:t xml:space="preserve"> </w:t>
      </w:r>
      <w:r w:rsidR="009228EA">
        <w:rPr>
          <w:rFonts w:cs="Arial"/>
          <w:sz w:val="24"/>
        </w:rPr>
        <w:t xml:space="preserve"> </w:t>
      </w:r>
      <w:r w:rsidR="005E6343">
        <w:rPr>
          <w:rFonts w:cs="Arial"/>
          <w:sz w:val="24"/>
        </w:rPr>
        <w:t xml:space="preserve">How this person’s role </w:t>
      </w:r>
      <w:r w:rsidR="005E6343">
        <w:rPr>
          <w:rFonts w:cs="Arial"/>
          <w:sz w:val="24"/>
        </w:rPr>
        <w:lastRenderedPageBreak/>
        <w:t xml:space="preserve">interrelates with the role of the Mental Health Review Tribunal needs to be clearly defined </w:t>
      </w:r>
    </w:p>
    <w:p w:rsidR="00C31808" w:rsidRPr="00BC5B44" w:rsidRDefault="00430B46" w:rsidP="009E4856">
      <w:pPr>
        <w:spacing w:before="200" w:after="200"/>
        <w:ind w:left="720" w:hanging="720"/>
        <w:jc w:val="both"/>
        <w:rPr>
          <w:rFonts w:cs="Arial"/>
          <w:b/>
          <w:i/>
          <w:color w:val="000000"/>
          <w:szCs w:val="22"/>
        </w:rPr>
      </w:pPr>
      <w:r w:rsidRPr="00BC5B44">
        <w:rPr>
          <w:rFonts w:cs="Arial"/>
          <w:b/>
          <w:i/>
          <w:color w:val="000000"/>
          <w:szCs w:val="22"/>
        </w:rPr>
        <w:t>Care Plans and Restrictive Practices</w:t>
      </w:r>
    </w:p>
    <w:p w:rsidR="00430B46" w:rsidRPr="001D5961" w:rsidRDefault="00D74BF3" w:rsidP="009E4856">
      <w:pPr>
        <w:numPr>
          <w:ilvl w:val="1"/>
          <w:numId w:val="25"/>
        </w:numPr>
        <w:spacing w:before="200" w:after="200"/>
        <w:ind w:left="709" w:hanging="709"/>
        <w:jc w:val="both"/>
        <w:rPr>
          <w:rFonts w:cs="Arial"/>
          <w:color w:val="000000"/>
          <w:sz w:val="24"/>
        </w:rPr>
      </w:pPr>
      <w:r w:rsidRPr="001D5961">
        <w:rPr>
          <w:rFonts w:cs="Arial"/>
          <w:color w:val="000000"/>
          <w:sz w:val="24"/>
        </w:rPr>
        <w:t>It is noted that the Bill will require each person to have an individualised care plan that must include, inter alia, strategies that may be used to manage challenging behaviour, including when seclusion or mechanical re</w:t>
      </w:r>
      <w:r w:rsidR="00A7176D" w:rsidRPr="001D5961">
        <w:rPr>
          <w:rFonts w:cs="Arial"/>
          <w:color w:val="000000"/>
          <w:sz w:val="24"/>
        </w:rPr>
        <w:t>straint may be used as the least</w:t>
      </w:r>
      <w:r w:rsidRPr="001D5961">
        <w:rPr>
          <w:rFonts w:cs="Arial"/>
          <w:color w:val="000000"/>
          <w:sz w:val="24"/>
        </w:rPr>
        <w:t xml:space="preserve"> restrictive way of ensuring the safety of the person or others.</w:t>
      </w:r>
    </w:p>
    <w:p w:rsidR="000953A4" w:rsidRPr="001D5961" w:rsidRDefault="009163C6" w:rsidP="009E4856">
      <w:pPr>
        <w:numPr>
          <w:ilvl w:val="1"/>
          <w:numId w:val="25"/>
        </w:numPr>
        <w:spacing w:before="200" w:after="200"/>
        <w:ind w:left="709" w:hanging="709"/>
        <w:jc w:val="both"/>
        <w:rPr>
          <w:rFonts w:cs="Arial"/>
          <w:color w:val="000000"/>
          <w:sz w:val="24"/>
        </w:rPr>
      </w:pPr>
      <w:r w:rsidRPr="001D5961">
        <w:rPr>
          <w:rFonts w:cs="Arial"/>
          <w:color w:val="000000"/>
          <w:sz w:val="24"/>
        </w:rPr>
        <w:t xml:space="preserve">The ADCQ </w:t>
      </w:r>
      <w:r w:rsidR="00006B84" w:rsidRPr="001D5961">
        <w:rPr>
          <w:rFonts w:cs="Arial"/>
          <w:color w:val="000000"/>
          <w:sz w:val="24"/>
        </w:rPr>
        <w:t>agrees with the views expressed by the Hon W. Carter</w:t>
      </w:r>
      <w:r w:rsidRPr="00317DD8">
        <w:rPr>
          <w:rStyle w:val="FootnoteReference"/>
        </w:rPr>
        <w:footnoteReference w:id="10"/>
      </w:r>
      <w:r w:rsidR="00006B84" w:rsidRPr="001D5961">
        <w:rPr>
          <w:rFonts w:cs="Arial"/>
          <w:color w:val="000000"/>
          <w:sz w:val="24"/>
        </w:rPr>
        <w:t xml:space="preserve"> that </w:t>
      </w:r>
      <w:r w:rsidR="008C01AF" w:rsidRPr="001D5961">
        <w:rPr>
          <w:rFonts w:cs="Arial"/>
          <w:color w:val="000000"/>
          <w:sz w:val="24"/>
        </w:rPr>
        <w:t>persons with intellectual disabilities who exhibit ‘challenging behaviours’ are vulnerable persons, and that compliance with the legislated human rights principle contained within the Disability Services Act</w:t>
      </w:r>
      <w:r w:rsidR="006A49EC" w:rsidRPr="001D5961">
        <w:rPr>
          <w:rFonts w:cs="Arial"/>
          <w:color w:val="000000"/>
          <w:sz w:val="24"/>
        </w:rPr>
        <w:t xml:space="preserve"> </w:t>
      </w:r>
      <w:r w:rsidR="008C01AF" w:rsidRPr="001D5961">
        <w:rPr>
          <w:rFonts w:cs="Arial"/>
          <w:color w:val="000000"/>
          <w:sz w:val="24"/>
        </w:rPr>
        <w:t xml:space="preserve">is not negotiable. </w:t>
      </w:r>
      <w:r w:rsidR="00D96530" w:rsidRPr="001D5961">
        <w:rPr>
          <w:rFonts w:cs="Arial"/>
          <w:color w:val="000000"/>
          <w:sz w:val="24"/>
        </w:rPr>
        <w:t xml:space="preserve"> </w:t>
      </w:r>
      <w:r w:rsidR="00625744" w:rsidRPr="001D5961">
        <w:rPr>
          <w:rFonts w:cs="Arial"/>
          <w:color w:val="000000"/>
          <w:sz w:val="24"/>
        </w:rPr>
        <w:t>P</w:t>
      </w:r>
      <w:r w:rsidR="000953A4" w:rsidRPr="001D5961">
        <w:rPr>
          <w:rFonts w:cs="Arial"/>
          <w:color w:val="000000"/>
          <w:sz w:val="24"/>
        </w:rPr>
        <w:t>ermitting restrictive practices that impact on an individual’s human rights should occur only as a</w:t>
      </w:r>
      <w:r w:rsidR="00625744" w:rsidRPr="001D5961">
        <w:rPr>
          <w:rFonts w:cs="Arial"/>
          <w:color w:val="000000"/>
          <w:sz w:val="24"/>
        </w:rPr>
        <w:t xml:space="preserve"> very </w:t>
      </w:r>
      <w:r w:rsidR="000953A4" w:rsidRPr="001D5961">
        <w:rPr>
          <w:rFonts w:cs="Arial"/>
          <w:color w:val="000000"/>
          <w:sz w:val="24"/>
        </w:rPr>
        <w:t>last resort.</w:t>
      </w:r>
    </w:p>
    <w:p w:rsidR="009163C6" w:rsidRPr="001D5961" w:rsidRDefault="009163C6" w:rsidP="009E4856">
      <w:pPr>
        <w:numPr>
          <w:ilvl w:val="1"/>
          <w:numId w:val="25"/>
        </w:numPr>
        <w:spacing w:before="200" w:after="200"/>
        <w:ind w:left="709" w:hanging="709"/>
        <w:jc w:val="both"/>
        <w:rPr>
          <w:rFonts w:cs="Arial"/>
          <w:color w:val="000000"/>
          <w:sz w:val="24"/>
        </w:rPr>
      </w:pPr>
      <w:r w:rsidRPr="001D5961">
        <w:rPr>
          <w:rFonts w:cs="Arial"/>
          <w:color w:val="000000"/>
          <w:sz w:val="24"/>
        </w:rPr>
        <w:t xml:space="preserve">An important human rights principle is that an individual should not be deprived of their liberty unlawfully or arbitrarily.  The process of creating positive behaviour support plans, and having any proposed further deprivation of liberty through the imposition of restrictive practices on an individual scrutinised by an independent entity, are mechanisms for ensuring the upholding of this principle.  </w:t>
      </w:r>
    </w:p>
    <w:p w:rsidR="009163C6" w:rsidRDefault="009163C6" w:rsidP="009E4856">
      <w:pPr>
        <w:numPr>
          <w:ilvl w:val="1"/>
          <w:numId w:val="25"/>
        </w:numPr>
        <w:spacing w:before="200" w:after="200"/>
        <w:ind w:left="709" w:hanging="709"/>
        <w:jc w:val="both"/>
        <w:rPr>
          <w:rFonts w:cs="Arial"/>
          <w:color w:val="000000"/>
          <w:sz w:val="24"/>
        </w:rPr>
      </w:pPr>
      <w:r w:rsidRPr="008F0C10">
        <w:rPr>
          <w:rFonts w:cs="Arial"/>
          <w:color w:val="000000"/>
          <w:sz w:val="24"/>
        </w:rPr>
        <w:t xml:space="preserve">The </w:t>
      </w:r>
      <w:r w:rsidRPr="001D5961">
        <w:rPr>
          <w:rFonts w:cs="Arial"/>
          <w:color w:val="000000"/>
          <w:sz w:val="24"/>
        </w:rPr>
        <w:t>ADCQ</w:t>
      </w:r>
      <w:r w:rsidRPr="008F0C10">
        <w:rPr>
          <w:rFonts w:cs="Arial"/>
          <w:color w:val="000000"/>
          <w:sz w:val="24"/>
        </w:rPr>
        <w:t xml:space="preserve"> </w:t>
      </w:r>
      <w:r w:rsidR="006A49EC">
        <w:rPr>
          <w:rFonts w:cs="Arial"/>
          <w:color w:val="000000"/>
          <w:sz w:val="24"/>
        </w:rPr>
        <w:t xml:space="preserve">recommends </w:t>
      </w:r>
      <w:r w:rsidRPr="008F0C10">
        <w:rPr>
          <w:rFonts w:cs="Arial"/>
          <w:color w:val="000000"/>
          <w:sz w:val="24"/>
        </w:rPr>
        <w:t xml:space="preserve">that </w:t>
      </w:r>
      <w:r w:rsidR="006A49EC">
        <w:rPr>
          <w:rFonts w:cs="Arial"/>
          <w:color w:val="000000"/>
          <w:sz w:val="24"/>
        </w:rPr>
        <w:t>the</w:t>
      </w:r>
      <w:r w:rsidRPr="008F0C10">
        <w:rPr>
          <w:rFonts w:cs="Arial"/>
          <w:color w:val="000000"/>
          <w:sz w:val="24"/>
        </w:rPr>
        <w:t xml:space="preserve"> use </w:t>
      </w:r>
      <w:r w:rsidR="006A49EC">
        <w:rPr>
          <w:rFonts w:cs="Arial"/>
          <w:color w:val="000000"/>
          <w:sz w:val="24"/>
        </w:rPr>
        <w:t xml:space="preserve">of </w:t>
      </w:r>
      <w:r w:rsidRPr="008F0C10">
        <w:rPr>
          <w:rFonts w:cs="Arial"/>
          <w:color w:val="000000"/>
          <w:sz w:val="24"/>
        </w:rPr>
        <w:t xml:space="preserve">restrictive practices </w:t>
      </w:r>
      <w:r w:rsidR="006A49EC">
        <w:rPr>
          <w:rFonts w:cs="Arial"/>
          <w:color w:val="000000"/>
          <w:sz w:val="24"/>
        </w:rPr>
        <w:t>should not be a compulsory inclusion in a person's individualised care plan, and that</w:t>
      </w:r>
      <w:r w:rsidRPr="008F0C10">
        <w:rPr>
          <w:rFonts w:cs="Arial"/>
          <w:color w:val="000000"/>
          <w:sz w:val="24"/>
        </w:rPr>
        <w:t xml:space="preserve"> there must be an independent process and decision maker to scrutinise, and where appropriate approve the </w:t>
      </w:r>
      <w:r w:rsidR="006A49EC">
        <w:rPr>
          <w:rFonts w:cs="Arial"/>
          <w:color w:val="000000"/>
          <w:sz w:val="24"/>
        </w:rPr>
        <w:t>use of restrictive practices for a person</w:t>
      </w:r>
      <w:r w:rsidRPr="008F0C10">
        <w:rPr>
          <w:rFonts w:cs="Arial"/>
          <w:color w:val="000000"/>
          <w:sz w:val="24"/>
        </w:rPr>
        <w:t>.</w:t>
      </w:r>
    </w:p>
    <w:p w:rsidR="00347B3F" w:rsidRPr="008F0C10" w:rsidRDefault="00347B3F" w:rsidP="009E4856">
      <w:pPr>
        <w:numPr>
          <w:ilvl w:val="1"/>
          <w:numId w:val="25"/>
        </w:numPr>
        <w:spacing w:before="200" w:after="200"/>
        <w:ind w:left="709" w:hanging="709"/>
        <w:jc w:val="both"/>
        <w:rPr>
          <w:rFonts w:cs="Arial"/>
          <w:color w:val="000000"/>
          <w:sz w:val="24"/>
        </w:rPr>
      </w:pPr>
      <w:r>
        <w:rPr>
          <w:rFonts w:cs="Arial"/>
          <w:color w:val="000000"/>
          <w:sz w:val="24"/>
        </w:rPr>
        <w:t xml:space="preserve">In the Information paper it appears that 2 regimes will </w:t>
      </w:r>
      <w:r w:rsidR="000C59B9">
        <w:rPr>
          <w:rFonts w:cs="Arial"/>
          <w:color w:val="000000"/>
          <w:sz w:val="24"/>
        </w:rPr>
        <w:t>regulate prohibited</w:t>
      </w:r>
      <w:r w:rsidR="004E2F6E">
        <w:rPr>
          <w:rFonts w:cs="Arial"/>
          <w:color w:val="000000"/>
          <w:sz w:val="24"/>
        </w:rPr>
        <w:t xml:space="preserve"> seclusion and mechanical restraint- depending on whethe</w:t>
      </w:r>
      <w:r w:rsidR="000C59B9">
        <w:rPr>
          <w:rFonts w:cs="Arial"/>
          <w:color w:val="000000"/>
          <w:sz w:val="24"/>
        </w:rPr>
        <w:t xml:space="preserve">r the facility is regulated by </w:t>
      </w:r>
      <w:r w:rsidR="004E2F6E">
        <w:rPr>
          <w:rFonts w:cs="Arial"/>
          <w:color w:val="000000"/>
          <w:sz w:val="24"/>
        </w:rPr>
        <w:t>the Mental Health Act, or by the Disability Services Act.</w:t>
      </w:r>
      <w:r>
        <w:rPr>
          <w:rFonts w:cs="Arial"/>
          <w:color w:val="000000"/>
          <w:sz w:val="24"/>
        </w:rPr>
        <w:t xml:space="preserve"> </w:t>
      </w:r>
      <w:r w:rsidR="0006157B">
        <w:rPr>
          <w:rFonts w:cs="Arial"/>
          <w:color w:val="000000"/>
          <w:sz w:val="24"/>
        </w:rPr>
        <w:t xml:space="preserve"> The </w:t>
      </w:r>
      <w:r w:rsidR="0006157B" w:rsidRPr="001D5961">
        <w:rPr>
          <w:rFonts w:cs="Arial"/>
          <w:color w:val="000000"/>
          <w:sz w:val="24"/>
        </w:rPr>
        <w:t>ADCQ</w:t>
      </w:r>
      <w:r w:rsidR="0006157B">
        <w:rPr>
          <w:rFonts w:cs="Arial"/>
          <w:color w:val="000000"/>
          <w:sz w:val="24"/>
        </w:rPr>
        <w:t xml:space="preserve"> </w:t>
      </w:r>
      <w:r w:rsidR="004E2F6E">
        <w:rPr>
          <w:rFonts w:cs="Arial"/>
          <w:color w:val="000000"/>
          <w:sz w:val="24"/>
        </w:rPr>
        <w:t>submits that having two regulatory regimes for such practices is less than ideal</w:t>
      </w:r>
      <w:r w:rsidR="000C59B9">
        <w:rPr>
          <w:rFonts w:cs="Arial"/>
          <w:color w:val="000000"/>
          <w:sz w:val="24"/>
        </w:rPr>
        <w:t xml:space="preserve">. </w:t>
      </w:r>
      <w:r w:rsidR="009228EA">
        <w:rPr>
          <w:rFonts w:cs="Arial"/>
          <w:color w:val="000000"/>
          <w:sz w:val="24"/>
        </w:rPr>
        <w:t xml:space="preserve"> </w:t>
      </w:r>
      <w:r w:rsidR="000C59B9">
        <w:rPr>
          <w:rFonts w:cs="Arial"/>
          <w:color w:val="000000"/>
          <w:sz w:val="24"/>
        </w:rPr>
        <w:t>I</w:t>
      </w:r>
      <w:r w:rsidR="004E2F6E">
        <w:rPr>
          <w:rFonts w:cs="Arial"/>
          <w:color w:val="000000"/>
          <w:sz w:val="24"/>
        </w:rPr>
        <w:t xml:space="preserve">f possible the </w:t>
      </w:r>
      <w:r w:rsidR="0006157B">
        <w:rPr>
          <w:rFonts w:cs="Arial"/>
          <w:color w:val="000000"/>
          <w:sz w:val="24"/>
        </w:rPr>
        <w:t xml:space="preserve">Disability Services Act </w:t>
      </w:r>
      <w:r w:rsidR="00BC5B44">
        <w:rPr>
          <w:rFonts w:cs="Arial"/>
          <w:color w:val="000000"/>
          <w:sz w:val="24"/>
        </w:rPr>
        <w:t>scheme that</w:t>
      </w:r>
      <w:r w:rsidR="000C59B9">
        <w:rPr>
          <w:rFonts w:cs="Arial"/>
          <w:color w:val="000000"/>
          <w:sz w:val="24"/>
        </w:rPr>
        <w:t xml:space="preserve"> enables QCAT to approve and review restrictive practices should be the only scheme that applies to persons subjected to forensic orders who have an intellectual disability.</w:t>
      </w:r>
      <w:r w:rsidR="004E2F6E">
        <w:rPr>
          <w:rFonts w:cs="Arial"/>
          <w:color w:val="000000"/>
          <w:sz w:val="24"/>
        </w:rPr>
        <w:t xml:space="preserve"> </w:t>
      </w:r>
      <w:r>
        <w:rPr>
          <w:rFonts w:cs="Arial"/>
          <w:color w:val="000000"/>
          <w:sz w:val="24"/>
        </w:rPr>
        <w:t xml:space="preserve"> </w:t>
      </w:r>
    </w:p>
    <w:p w:rsidR="00976C37" w:rsidRPr="001D5961" w:rsidRDefault="000328EF" w:rsidP="009E4856">
      <w:pPr>
        <w:numPr>
          <w:ilvl w:val="1"/>
          <w:numId w:val="25"/>
        </w:numPr>
        <w:spacing w:before="200" w:after="200"/>
        <w:ind w:left="709" w:hanging="709"/>
        <w:jc w:val="both"/>
        <w:rPr>
          <w:rFonts w:cs="Arial"/>
          <w:color w:val="000000"/>
          <w:sz w:val="24"/>
        </w:rPr>
      </w:pPr>
      <w:r w:rsidRPr="001D5961">
        <w:rPr>
          <w:rFonts w:cs="Arial"/>
          <w:color w:val="000000"/>
          <w:sz w:val="24"/>
        </w:rPr>
        <w:t>T</w:t>
      </w:r>
      <w:r w:rsidR="005E278B" w:rsidRPr="001D5961">
        <w:rPr>
          <w:rFonts w:cs="Arial"/>
          <w:color w:val="000000"/>
          <w:sz w:val="24"/>
        </w:rPr>
        <w:t xml:space="preserve">he ADCQ </w:t>
      </w:r>
      <w:r w:rsidR="006A49EC" w:rsidRPr="001D5961">
        <w:rPr>
          <w:rFonts w:cs="Arial"/>
          <w:color w:val="000000"/>
          <w:sz w:val="24"/>
        </w:rPr>
        <w:t xml:space="preserve">also recommends that </w:t>
      </w:r>
      <w:r w:rsidR="005E278B" w:rsidRPr="001D5961">
        <w:rPr>
          <w:rFonts w:cs="Arial"/>
          <w:color w:val="000000"/>
          <w:sz w:val="24"/>
        </w:rPr>
        <w:t>mandatory record keeping and reporting about the number of approvals granted permitting the imposition of restrictive practices upon individuals</w:t>
      </w:r>
      <w:r w:rsidRPr="001D5961">
        <w:rPr>
          <w:rFonts w:cs="Arial"/>
          <w:color w:val="000000"/>
          <w:sz w:val="24"/>
        </w:rPr>
        <w:t xml:space="preserve"> in a given year.</w:t>
      </w:r>
      <w:r w:rsidR="006A49EC" w:rsidRPr="001D5961">
        <w:rPr>
          <w:rFonts w:cs="Arial"/>
          <w:color w:val="000000"/>
          <w:sz w:val="24"/>
        </w:rPr>
        <w:t xml:space="preserve"> </w:t>
      </w:r>
      <w:r w:rsidRPr="001D5961">
        <w:rPr>
          <w:rFonts w:cs="Arial"/>
          <w:color w:val="000000"/>
          <w:sz w:val="24"/>
        </w:rPr>
        <w:t xml:space="preserve"> </w:t>
      </w:r>
    </w:p>
    <w:p w:rsidR="002E18EF" w:rsidRPr="006A49EC" w:rsidRDefault="002E18EF" w:rsidP="009E4856">
      <w:pPr>
        <w:shd w:val="clear" w:color="auto" w:fill="FFFFFF"/>
        <w:spacing w:before="200" w:after="200"/>
        <w:jc w:val="both"/>
        <w:textAlignment w:val="top"/>
        <w:rPr>
          <w:rFonts w:cs="Arial"/>
          <w:color w:val="000000"/>
          <w:sz w:val="24"/>
        </w:rPr>
      </w:pPr>
      <w:r>
        <w:rPr>
          <w:rFonts w:cs="Arial"/>
          <w:sz w:val="24"/>
        </w:rPr>
        <w:t>The ADCQ thanks the Department of Communities for the opportunity to comment on the Forensic Disability Information Paper</w:t>
      </w:r>
    </w:p>
    <w:sectPr w:rsidR="002E18EF" w:rsidRPr="006A49EC" w:rsidSect="009E4856">
      <w:headerReference w:type="even" r:id="rId9"/>
      <w:headerReference w:type="default" r:id="rId10"/>
      <w:footerReference w:type="even" r:id="rId11"/>
      <w:footerReference w:type="default" r:id="rId12"/>
      <w:headerReference w:type="first" r:id="rId13"/>
      <w:pgSz w:w="11906" w:h="16838" w:code="9"/>
      <w:pgMar w:top="1440" w:right="1797" w:bottom="1440" w:left="1797"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87" w:rsidRDefault="00040687">
      <w:r>
        <w:separator/>
      </w:r>
    </w:p>
  </w:endnote>
  <w:endnote w:type="continuationSeparator" w:id="0">
    <w:p w:rsidR="00040687" w:rsidRDefault="0004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318709276"/>
      <w:docPartObj>
        <w:docPartGallery w:val="Page Numbers (Bottom of Page)"/>
        <w:docPartUnique/>
      </w:docPartObj>
    </w:sdtPr>
    <w:sdtEndPr>
      <w:rPr>
        <w:color w:val="808080" w:themeColor="background1" w:themeShade="80"/>
        <w:spacing w:val="60"/>
      </w:rPr>
    </w:sdtEndPr>
    <w:sdtContent>
      <w:p w:rsidR="009E4856" w:rsidRPr="009E4856" w:rsidRDefault="009E4856" w:rsidP="009E4856">
        <w:pPr>
          <w:pStyle w:val="Footer"/>
          <w:pBdr>
            <w:top w:val="single" w:sz="4" w:space="1" w:color="D9D9D9" w:themeColor="background1" w:themeShade="D9"/>
          </w:pBdr>
          <w:rPr>
            <w:b/>
            <w:bCs/>
            <w:sz w:val="18"/>
          </w:rPr>
        </w:pPr>
        <w:r w:rsidRPr="009E4856">
          <w:rPr>
            <w:sz w:val="18"/>
          </w:rPr>
          <w:fldChar w:fldCharType="begin"/>
        </w:r>
        <w:r w:rsidRPr="009E4856">
          <w:rPr>
            <w:sz w:val="18"/>
          </w:rPr>
          <w:instrText xml:space="preserve"> PAGE   \* MERGEFORMAT </w:instrText>
        </w:r>
        <w:r w:rsidRPr="009E4856">
          <w:rPr>
            <w:sz w:val="18"/>
          </w:rPr>
          <w:fldChar w:fldCharType="separate"/>
        </w:r>
        <w:r w:rsidR="004938F9" w:rsidRPr="004938F9">
          <w:rPr>
            <w:b/>
            <w:bCs/>
            <w:noProof/>
            <w:sz w:val="18"/>
          </w:rPr>
          <w:t>2</w:t>
        </w:r>
        <w:r w:rsidRPr="009E4856">
          <w:rPr>
            <w:b/>
            <w:bCs/>
            <w:noProof/>
            <w:sz w:val="18"/>
          </w:rPr>
          <w:fldChar w:fldCharType="end"/>
        </w:r>
        <w:r w:rsidRPr="009E4856">
          <w:rPr>
            <w:b/>
            <w:bCs/>
            <w:sz w:val="18"/>
          </w:rPr>
          <w:t xml:space="preserve"> | </w:t>
        </w:r>
        <w:r w:rsidRPr="009E4856">
          <w:rPr>
            <w:color w:val="808080" w:themeColor="background1" w:themeShade="80"/>
            <w:spacing w:val="60"/>
            <w:sz w:val="18"/>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636092103"/>
      <w:docPartObj>
        <w:docPartGallery w:val="Page Numbers (Bottom of Page)"/>
        <w:docPartUnique/>
      </w:docPartObj>
    </w:sdtPr>
    <w:sdtEndPr>
      <w:rPr>
        <w:color w:val="808080" w:themeColor="background1" w:themeShade="80"/>
        <w:spacing w:val="60"/>
      </w:rPr>
    </w:sdtEndPr>
    <w:sdtContent>
      <w:p w:rsidR="0006157B" w:rsidRPr="009E4856" w:rsidRDefault="009E4856" w:rsidP="009E4856">
        <w:pPr>
          <w:pStyle w:val="Footer"/>
          <w:pBdr>
            <w:top w:val="single" w:sz="4" w:space="1" w:color="D9D9D9" w:themeColor="background1" w:themeShade="D9"/>
          </w:pBdr>
          <w:jc w:val="right"/>
          <w:rPr>
            <w:sz w:val="18"/>
          </w:rPr>
        </w:pPr>
        <w:r w:rsidRPr="009E4856">
          <w:rPr>
            <w:sz w:val="18"/>
          </w:rPr>
          <w:fldChar w:fldCharType="begin"/>
        </w:r>
        <w:r w:rsidRPr="009E4856">
          <w:rPr>
            <w:sz w:val="18"/>
          </w:rPr>
          <w:instrText xml:space="preserve"> PAGE   \* MERGEFORMAT </w:instrText>
        </w:r>
        <w:r w:rsidRPr="009E4856">
          <w:rPr>
            <w:sz w:val="18"/>
          </w:rPr>
          <w:fldChar w:fldCharType="separate"/>
        </w:r>
        <w:r w:rsidR="004938F9">
          <w:rPr>
            <w:noProof/>
            <w:sz w:val="18"/>
          </w:rPr>
          <w:t>3</w:t>
        </w:r>
        <w:r w:rsidRPr="009E4856">
          <w:rPr>
            <w:noProof/>
            <w:sz w:val="18"/>
          </w:rPr>
          <w:fldChar w:fldCharType="end"/>
        </w:r>
        <w:r w:rsidRPr="009E4856">
          <w:rPr>
            <w:sz w:val="18"/>
          </w:rPr>
          <w:t xml:space="preserve"> | </w:t>
        </w:r>
        <w:r w:rsidRPr="009E4856">
          <w:rPr>
            <w:color w:val="808080" w:themeColor="background1" w:themeShade="80"/>
            <w:spacing w:val="60"/>
            <w:sz w:val="18"/>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87" w:rsidRDefault="00040687">
      <w:r>
        <w:separator/>
      </w:r>
    </w:p>
  </w:footnote>
  <w:footnote w:type="continuationSeparator" w:id="0">
    <w:p w:rsidR="00040687" w:rsidRDefault="00040687">
      <w:r>
        <w:continuationSeparator/>
      </w:r>
    </w:p>
  </w:footnote>
  <w:footnote w:id="1">
    <w:p w:rsidR="0006157B" w:rsidRPr="009163C6" w:rsidRDefault="0006157B">
      <w:pPr>
        <w:pStyle w:val="FootnoteText"/>
      </w:pPr>
      <w:r w:rsidRPr="009163C6">
        <w:rPr>
          <w:rStyle w:val="FootnoteReference"/>
        </w:rPr>
        <w:footnoteRef/>
      </w:r>
      <w:r w:rsidRPr="009163C6">
        <w:t xml:space="preserve"> </w:t>
      </w:r>
      <w:proofErr w:type="gramStart"/>
      <w:r w:rsidRPr="009163C6">
        <w:t>Proclaimed by the UN General Assembly in 1971.</w:t>
      </w:r>
      <w:proofErr w:type="gramEnd"/>
    </w:p>
  </w:footnote>
  <w:footnote w:id="2">
    <w:p w:rsidR="0006157B" w:rsidRPr="009163C6" w:rsidRDefault="0006157B">
      <w:pPr>
        <w:pStyle w:val="FootnoteText"/>
      </w:pPr>
      <w:r w:rsidRPr="009163C6">
        <w:rPr>
          <w:rStyle w:val="FootnoteReference"/>
        </w:rPr>
        <w:footnoteRef/>
      </w:r>
      <w:r w:rsidRPr="009163C6">
        <w:t xml:space="preserve"> Declaration of the UN General Assembly made on 9 December 1975.</w:t>
      </w:r>
    </w:p>
  </w:footnote>
  <w:footnote w:id="3">
    <w:p w:rsidR="0006157B" w:rsidRDefault="0006157B">
      <w:pPr>
        <w:pStyle w:val="FootnoteText"/>
      </w:pPr>
      <w:r>
        <w:rPr>
          <w:rStyle w:val="FootnoteReference"/>
        </w:rPr>
        <w:footnoteRef/>
      </w:r>
      <w:r>
        <w:t xml:space="preserve"> Section 268 Mental Health Act 2000</w:t>
      </w:r>
    </w:p>
  </w:footnote>
  <w:footnote w:id="4">
    <w:p w:rsidR="0006157B" w:rsidRPr="009163C6" w:rsidRDefault="0006157B">
      <w:pPr>
        <w:pStyle w:val="FootnoteText"/>
      </w:pPr>
      <w:r w:rsidRPr="009163C6">
        <w:rPr>
          <w:rStyle w:val="FootnoteReference"/>
        </w:rPr>
        <w:footnoteRef/>
      </w:r>
      <w:r w:rsidRPr="009163C6">
        <w:t xml:space="preserve"> </w:t>
      </w:r>
      <w:r w:rsidRPr="009163C6">
        <w:rPr>
          <w:i/>
        </w:rPr>
        <w:t>Universal Declaration of Human Rights</w:t>
      </w:r>
      <w:r w:rsidRPr="009163C6">
        <w:t>, article 3</w:t>
      </w:r>
    </w:p>
  </w:footnote>
  <w:footnote w:id="5">
    <w:p w:rsidR="0006157B" w:rsidRPr="009163C6" w:rsidRDefault="0006157B">
      <w:pPr>
        <w:pStyle w:val="FootnoteText"/>
      </w:pPr>
      <w:r w:rsidRPr="009163C6">
        <w:rPr>
          <w:rStyle w:val="FootnoteReference"/>
        </w:rPr>
        <w:footnoteRef/>
      </w:r>
      <w:r w:rsidRPr="009163C6">
        <w:t xml:space="preserve"> Section 18</w:t>
      </w:r>
    </w:p>
  </w:footnote>
  <w:footnote w:id="6">
    <w:p w:rsidR="0006157B" w:rsidRPr="009163C6" w:rsidRDefault="0006157B">
      <w:pPr>
        <w:pStyle w:val="FootnoteText"/>
      </w:pPr>
      <w:r w:rsidRPr="009163C6">
        <w:rPr>
          <w:rStyle w:val="FootnoteReference"/>
        </w:rPr>
        <w:footnoteRef/>
      </w:r>
      <w:r w:rsidRPr="009163C6">
        <w:t xml:space="preserve"> Section 123C</w:t>
      </w:r>
    </w:p>
  </w:footnote>
  <w:footnote w:id="7">
    <w:p w:rsidR="0006157B" w:rsidRDefault="0006157B">
      <w:pPr>
        <w:pStyle w:val="FootnoteText"/>
      </w:pPr>
      <w:r>
        <w:rPr>
          <w:rStyle w:val="FootnoteReference"/>
        </w:rPr>
        <w:footnoteRef/>
      </w:r>
      <w:r>
        <w:t xml:space="preserve"> Carter Report,  page 88</w:t>
      </w:r>
    </w:p>
  </w:footnote>
  <w:footnote w:id="8">
    <w:p w:rsidR="0006157B" w:rsidRPr="009163C6" w:rsidRDefault="0006157B">
      <w:pPr>
        <w:pStyle w:val="FootnoteText"/>
      </w:pPr>
      <w:r w:rsidRPr="009163C6">
        <w:rPr>
          <w:rStyle w:val="FootnoteReference"/>
        </w:rPr>
        <w:footnoteRef/>
      </w:r>
      <w:r w:rsidRPr="009163C6">
        <w:t xml:space="preserve"> Chapter 5, page 101</w:t>
      </w:r>
    </w:p>
  </w:footnote>
  <w:footnote w:id="9">
    <w:p w:rsidR="005E6343" w:rsidRDefault="005E6343">
      <w:pPr>
        <w:pStyle w:val="FootnoteText"/>
      </w:pPr>
      <w:r>
        <w:rPr>
          <w:rStyle w:val="FootnoteReference"/>
        </w:rPr>
        <w:footnoteRef/>
      </w:r>
      <w:r>
        <w:t xml:space="preserve"> See </w:t>
      </w:r>
      <w:r w:rsidRPr="00317DD8">
        <w:rPr>
          <w:i/>
        </w:rPr>
        <w:t>Inspector of Custodial Services Act 2003</w:t>
      </w:r>
      <w:r>
        <w:t>(WA)</w:t>
      </w:r>
    </w:p>
  </w:footnote>
  <w:footnote w:id="10">
    <w:p w:rsidR="0006157B" w:rsidRPr="009163C6" w:rsidRDefault="0006157B">
      <w:pPr>
        <w:pStyle w:val="FootnoteText"/>
      </w:pPr>
      <w:r w:rsidRPr="009163C6">
        <w:rPr>
          <w:rStyle w:val="FootnoteReference"/>
        </w:rPr>
        <w:footnoteRef/>
      </w:r>
      <w:r w:rsidRPr="009163C6">
        <w:t xml:space="preserve"> </w:t>
      </w:r>
      <w:r w:rsidRPr="00487BA9">
        <w:rPr>
          <w:i/>
        </w:rPr>
        <w:t>Challenging Behaviour and Disability A Targeted Response – July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F9" w:rsidRDefault="004938F9" w:rsidP="004938F9">
    <w:pPr>
      <w:pStyle w:val="Header"/>
      <w:pBdr>
        <w:bottom w:val="single" w:sz="6" w:space="1" w:color="808080" w:themeColor="background1" w:themeShade="80"/>
      </w:pBdr>
      <w:spacing w:after="240"/>
    </w:pPr>
    <w:r>
      <w:t>Forensic Disability Bill 2010 Information Paper</w:t>
    </w:r>
  </w:p>
  <w:p w:rsidR="004938F9" w:rsidRDefault="00493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56" w:rsidRDefault="009E4856" w:rsidP="004938F9">
    <w:pPr>
      <w:pStyle w:val="Header"/>
      <w:pBdr>
        <w:bottom w:val="single" w:sz="6" w:space="1" w:color="A6A6A6" w:themeColor="background1" w:themeShade="A6"/>
      </w:pBdr>
      <w:spacing w:after="240"/>
      <w:jc w:val="right"/>
    </w:pPr>
    <w:r>
      <w:t>Forensic Disability Bill 2010 Information Paper</w:t>
    </w:r>
  </w:p>
  <w:p w:rsidR="0006157B" w:rsidRDefault="0006157B" w:rsidP="009E4856">
    <w:pPr>
      <w:pStyle w:val="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B" w:rsidRDefault="009E4856" w:rsidP="009E4856">
    <w:pPr>
      <w:pStyle w:val="Header"/>
      <w:jc w:val="center"/>
    </w:pPr>
    <w:r>
      <w:rPr>
        <w:noProof/>
      </w:rPr>
      <w:drawing>
        <wp:inline distT="0" distB="0" distL="0" distR="0" wp14:anchorId="6D2A8EB7" wp14:editId="14B1F13A">
          <wp:extent cx="4622091" cy="656948"/>
          <wp:effectExtent l="0" t="0" r="0" b="0"/>
          <wp:docPr id="3" name="Picture 3"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ADC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2091" cy="6569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6DCFA14"/>
    <w:lvl w:ilvl="0">
      <w:start w:val="1"/>
      <w:numFmt w:val="decimal"/>
      <w:lvlText w:val="%1."/>
      <w:lvlJc w:val="left"/>
      <w:pPr>
        <w:tabs>
          <w:tab w:val="num" w:pos="360"/>
        </w:tabs>
        <w:ind w:left="360" w:hanging="360"/>
      </w:pPr>
    </w:lvl>
  </w:abstractNum>
  <w:abstractNum w:abstractNumId="1">
    <w:nsid w:val="03C24BDE"/>
    <w:multiLevelType w:val="multilevel"/>
    <w:tmpl w:val="8DD82668"/>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738058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3F5066"/>
    <w:multiLevelType w:val="multilevel"/>
    <w:tmpl w:val="B2A4F42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C6B6044"/>
    <w:multiLevelType w:val="multilevel"/>
    <w:tmpl w:val="B2A4F42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F4A03FB"/>
    <w:multiLevelType w:val="hybridMultilevel"/>
    <w:tmpl w:val="A5AC3D8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256D7E00"/>
    <w:multiLevelType w:val="hybridMultilevel"/>
    <w:tmpl w:val="4B9E4290"/>
    <w:lvl w:ilvl="0" w:tplc="7262B8CE">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76B7D77"/>
    <w:multiLevelType w:val="hybridMultilevel"/>
    <w:tmpl w:val="2DD24B6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2BA92FC6"/>
    <w:multiLevelType w:val="multilevel"/>
    <w:tmpl w:val="1C228B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2956C1"/>
    <w:multiLevelType w:val="hybridMultilevel"/>
    <w:tmpl w:val="97760E5E"/>
    <w:lvl w:ilvl="0" w:tplc="0C09000F">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9BE6597"/>
    <w:multiLevelType w:val="hybridMultilevel"/>
    <w:tmpl w:val="F83CCDE8"/>
    <w:lvl w:ilvl="0" w:tplc="22FEE6E2">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BFA14EB"/>
    <w:multiLevelType w:val="multilevel"/>
    <w:tmpl w:val="7EA4D01A"/>
    <w:lvl w:ilvl="0">
      <w:start w:val="4"/>
      <w:numFmt w:val="decimal"/>
      <w:lvlText w:val="%1"/>
      <w:lvlJc w:val="left"/>
      <w:pPr>
        <w:tabs>
          <w:tab w:val="num" w:pos="420"/>
        </w:tabs>
        <w:ind w:left="420" w:hanging="420"/>
      </w:pPr>
      <w:rPr>
        <w:rFonts w:hint="default"/>
        <w:u w:val="none"/>
      </w:rPr>
    </w:lvl>
    <w:lvl w:ilvl="1">
      <w:start w:val="2"/>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nsid w:val="3C5F57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4E6456"/>
    <w:multiLevelType w:val="multilevel"/>
    <w:tmpl w:val="E6026288"/>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
    <w:nsid w:val="4B931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DF03544"/>
    <w:multiLevelType w:val="multilevel"/>
    <w:tmpl w:val="4246E428"/>
    <w:lvl w:ilvl="0">
      <w:start w:val="3"/>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C820D6"/>
    <w:multiLevelType w:val="hybridMultilevel"/>
    <w:tmpl w:val="C52A74F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nsid w:val="50F469FE"/>
    <w:multiLevelType w:val="multilevel"/>
    <w:tmpl w:val="E38E5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62C1088"/>
    <w:multiLevelType w:val="hybridMultilevel"/>
    <w:tmpl w:val="E2D6AE88"/>
    <w:lvl w:ilvl="0" w:tplc="14CC4D98">
      <w:start w:val="1"/>
      <w:numFmt w:val="bullet"/>
      <w:lvlText w:val=""/>
      <w:lvlJc w:val="left"/>
      <w:pPr>
        <w:tabs>
          <w:tab w:val="num" w:pos="1457"/>
        </w:tabs>
        <w:ind w:left="1457" w:hanging="34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C846C9D"/>
    <w:multiLevelType w:val="hybridMultilevel"/>
    <w:tmpl w:val="2DD24B6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5CD93CFC"/>
    <w:multiLevelType w:val="hybridMultilevel"/>
    <w:tmpl w:val="2DD24B6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E5E15D5"/>
    <w:multiLevelType w:val="multilevel"/>
    <w:tmpl w:val="E38E555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nsid w:val="64BB3844"/>
    <w:multiLevelType w:val="multilevel"/>
    <w:tmpl w:val="B2A4F42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7574B72"/>
    <w:multiLevelType w:val="multilevel"/>
    <w:tmpl w:val="E38E555E"/>
    <w:lvl w:ilvl="0">
      <w:start w:val="1"/>
      <w:numFmt w:val="lowerLetter"/>
      <w:lvlText w:val="%1."/>
      <w:lvlJc w:val="left"/>
      <w:pPr>
        <w:tabs>
          <w:tab w:val="num" w:pos="1437"/>
        </w:tabs>
        <w:ind w:left="1437" w:hanging="360"/>
      </w:pPr>
    </w:lvl>
    <w:lvl w:ilvl="1" w:tentative="1">
      <w:start w:val="1"/>
      <w:numFmt w:val="lowerLetter"/>
      <w:lvlText w:val="%2."/>
      <w:lvlJc w:val="left"/>
      <w:pPr>
        <w:tabs>
          <w:tab w:val="num" w:pos="2157"/>
        </w:tabs>
        <w:ind w:left="2157" w:hanging="360"/>
      </w:pPr>
    </w:lvl>
    <w:lvl w:ilvl="2" w:tentative="1">
      <w:start w:val="1"/>
      <w:numFmt w:val="lowerLetter"/>
      <w:lvlText w:val="%3."/>
      <w:lvlJc w:val="left"/>
      <w:pPr>
        <w:tabs>
          <w:tab w:val="num" w:pos="2877"/>
        </w:tabs>
        <w:ind w:left="2877" w:hanging="360"/>
      </w:pPr>
    </w:lvl>
    <w:lvl w:ilvl="3" w:tentative="1">
      <w:start w:val="1"/>
      <w:numFmt w:val="lowerLetter"/>
      <w:lvlText w:val="%4."/>
      <w:lvlJc w:val="left"/>
      <w:pPr>
        <w:tabs>
          <w:tab w:val="num" w:pos="3597"/>
        </w:tabs>
        <w:ind w:left="3597" w:hanging="360"/>
      </w:pPr>
    </w:lvl>
    <w:lvl w:ilvl="4" w:tentative="1">
      <w:start w:val="1"/>
      <w:numFmt w:val="lowerLetter"/>
      <w:lvlText w:val="%5."/>
      <w:lvlJc w:val="left"/>
      <w:pPr>
        <w:tabs>
          <w:tab w:val="num" w:pos="4317"/>
        </w:tabs>
        <w:ind w:left="4317" w:hanging="360"/>
      </w:pPr>
    </w:lvl>
    <w:lvl w:ilvl="5" w:tentative="1">
      <w:start w:val="1"/>
      <w:numFmt w:val="lowerLetter"/>
      <w:lvlText w:val="%6."/>
      <w:lvlJc w:val="left"/>
      <w:pPr>
        <w:tabs>
          <w:tab w:val="num" w:pos="5037"/>
        </w:tabs>
        <w:ind w:left="5037" w:hanging="360"/>
      </w:pPr>
    </w:lvl>
    <w:lvl w:ilvl="6" w:tentative="1">
      <w:start w:val="1"/>
      <w:numFmt w:val="lowerLetter"/>
      <w:lvlText w:val="%7."/>
      <w:lvlJc w:val="left"/>
      <w:pPr>
        <w:tabs>
          <w:tab w:val="num" w:pos="5757"/>
        </w:tabs>
        <w:ind w:left="5757" w:hanging="360"/>
      </w:pPr>
    </w:lvl>
    <w:lvl w:ilvl="7" w:tentative="1">
      <w:start w:val="1"/>
      <w:numFmt w:val="lowerLetter"/>
      <w:lvlText w:val="%8."/>
      <w:lvlJc w:val="left"/>
      <w:pPr>
        <w:tabs>
          <w:tab w:val="num" w:pos="6477"/>
        </w:tabs>
        <w:ind w:left="6477" w:hanging="360"/>
      </w:pPr>
    </w:lvl>
    <w:lvl w:ilvl="8" w:tentative="1">
      <w:start w:val="1"/>
      <w:numFmt w:val="lowerLetter"/>
      <w:lvlText w:val="%9."/>
      <w:lvlJc w:val="left"/>
      <w:pPr>
        <w:tabs>
          <w:tab w:val="num" w:pos="7197"/>
        </w:tabs>
        <w:ind w:left="7197" w:hanging="360"/>
      </w:pPr>
    </w:lvl>
  </w:abstractNum>
  <w:abstractNum w:abstractNumId="24">
    <w:nsid w:val="68DE5B24"/>
    <w:multiLevelType w:val="multilevel"/>
    <w:tmpl w:val="17D0E422"/>
    <w:lvl w:ilvl="0">
      <w:start w:val="2"/>
      <w:numFmt w:val="decimal"/>
      <w:lvlText w:val="%1."/>
      <w:lvlJc w:val="left"/>
      <w:pPr>
        <w:tabs>
          <w:tab w:val="num" w:pos="709"/>
        </w:tabs>
        <w:ind w:left="709" w:hanging="709"/>
      </w:pPr>
      <w:rPr>
        <w:rFonts w:ascii="Arial" w:hAnsi="Arial" w:hint="default"/>
        <w:b w:val="0"/>
        <w:i w:val="0"/>
        <w:sz w:val="32"/>
        <w:szCs w:val="32"/>
      </w:rPr>
    </w:lvl>
    <w:lvl w:ilvl="1">
      <w:start w:val="3"/>
      <w:numFmt w:val="decimal"/>
      <w:lvlRestart w:val="0"/>
      <w:pStyle w:val="ListNumber"/>
      <w:lvlText w:val="%2.1"/>
      <w:lvlJc w:val="left"/>
      <w:pPr>
        <w:tabs>
          <w:tab w:val="num" w:pos="1418"/>
        </w:tabs>
        <w:ind w:left="1418" w:hanging="709"/>
      </w:pPr>
      <w:rPr>
        <w:rFonts w:ascii="Arial" w:hAnsi="Arial" w:hint="default"/>
        <w:b w:val="0"/>
        <w:i w:val="0"/>
        <w:sz w:val="24"/>
        <w:szCs w:val="32"/>
      </w:rPr>
    </w:lvl>
    <w:lvl w:ilvl="2">
      <w:start w:val="1"/>
      <w:numFmt w:val="lowerRoman"/>
      <w:lvlText w:val="(%3)"/>
      <w:lvlJc w:val="left"/>
      <w:pPr>
        <w:tabs>
          <w:tab w:val="num" w:pos="1843"/>
        </w:tabs>
        <w:ind w:left="1843" w:hanging="425"/>
      </w:pPr>
      <w:rPr>
        <w:rFonts w:hint="default"/>
      </w:rPr>
    </w:lvl>
    <w:lvl w:ilvl="3">
      <w:start w:val="1"/>
      <w:numFmt w:val="upperLetter"/>
      <w:lvlText w:val="%4"/>
      <w:lvlJc w:val="left"/>
      <w:pPr>
        <w:tabs>
          <w:tab w:val="num" w:pos="2268"/>
        </w:tabs>
        <w:ind w:left="2268" w:hanging="42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A6C6DC0"/>
    <w:multiLevelType w:val="hybridMultilevel"/>
    <w:tmpl w:val="3DCE74E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nsid w:val="6AB72AE1"/>
    <w:multiLevelType w:val="hybridMultilevel"/>
    <w:tmpl w:val="65C49E92"/>
    <w:lvl w:ilvl="0" w:tplc="356834F8">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E770CF7"/>
    <w:multiLevelType w:val="multilevel"/>
    <w:tmpl w:val="3AA0578C"/>
    <w:lvl w:ilvl="0">
      <w:start w:val="1"/>
      <w:numFmt w:val="decimal"/>
      <w:lvlText w:val="%1."/>
      <w:lvlJc w:val="left"/>
      <w:pPr>
        <w:ind w:left="1080" w:hanging="360"/>
      </w:pPr>
    </w:lvl>
    <w:lvl w:ilvl="1">
      <w:start w:val="1"/>
      <w:numFmt w:val="decimal"/>
      <w:isLgl/>
      <w:lvlText w:val="%1.%2"/>
      <w:lvlJc w:val="left"/>
      <w:pPr>
        <w:ind w:left="36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nsid w:val="6ECE32B0"/>
    <w:multiLevelType w:val="multilevel"/>
    <w:tmpl w:val="8F3A3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8022A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920242"/>
    <w:multiLevelType w:val="multilevel"/>
    <w:tmpl w:val="5BE4C648"/>
    <w:lvl w:ilvl="0">
      <w:start w:val="1"/>
      <w:numFmt w:val="decimal"/>
      <w:lvlText w:val="%1."/>
      <w:lvlJc w:val="left"/>
      <w:pPr>
        <w:ind w:left="108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7B774605"/>
    <w:multiLevelType w:val="hybridMultilevel"/>
    <w:tmpl w:val="1A7C84C6"/>
    <w:lvl w:ilvl="0" w:tplc="6F9C4ADA">
      <w:start w:val="4"/>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C180003"/>
    <w:multiLevelType w:val="multilevel"/>
    <w:tmpl w:val="B2A4F42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7C354861"/>
    <w:multiLevelType w:val="multilevel"/>
    <w:tmpl w:val="E6026288"/>
    <w:lvl w:ilvl="0">
      <w:start w:val="1"/>
      <w:numFmt w:val="lowerLetter"/>
      <w:lvlText w:val="%1."/>
      <w:lvlJc w:val="left"/>
      <w:pPr>
        <w:tabs>
          <w:tab w:val="num" w:pos="2130"/>
        </w:tabs>
        <w:ind w:left="2130" w:hanging="360"/>
      </w:pPr>
    </w:lvl>
    <w:lvl w:ilvl="1" w:tentative="1">
      <w:start w:val="1"/>
      <w:numFmt w:val="lowerLetter"/>
      <w:lvlText w:val="%2."/>
      <w:lvlJc w:val="left"/>
      <w:pPr>
        <w:tabs>
          <w:tab w:val="num" w:pos="2850"/>
        </w:tabs>
        <w:ind w:left="2850" w:hanging="360"/>
      </w:pPr>
    </w:lvl>
    <w:lvl w:ilvl="2" w:tentative="1">
      <w:start w:val="1"/>
      <w:numFmt w:val="lowerLetter"/>
      <w:lvlText w:val="%3."/>
      <w:lvlJc w:val="left"/>
      <w:pPr>
        <w:tabs>
          <w:tab w:val="num" w:pos="3570"/>
        </w:tabs>
        <w:ind w:left="3570" w:hanging="360"/>
      </w:pPr>
    </w:lvl>
    <w:lvl w:ilvl="3" w:tentative="1">
      <w:start w:val="1"/>
      <w:numFmt w:val="lowerLetter"/>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Letter"/>
      <w:lvlText w:val="%6."/>
      <w:lvlJc w:val="left"/>
      <w:pPr>
        <w:tabs>
          <w:tab w:val="num" w:pos="5730"/>
        </w:tabs>
        <w:ind w:left="5730" w:hanging="360"/>
      </w:pPr>
    </w:lvl>
    <w:lvl w:ilvl="6" w:tentative="1">
      <w:start w:val="1"/>
      <w:numFmt w:val="lowerLetter"/>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Letter"/>
      <w:lvlText w:val="%9."/>
      <w:lvlJc w:val="left"/>
      <w:pPr>
        <w:tabs>
          <w:tab w:val="num" w:pos="7890"/>
        </w:tabs>
        <w:ind w:left="7890" w:hanging="360"/>
      </w:pPr>
    </w:lvl>
  </w:abstractNum>
  <w:num w:numId="1">
    <w:abstractNumId w:val="6"/>
  </w:num>
  <w:num w:numId="2">
    <w:abstractNumId w:val="10"/>
  </w:num>
  <w:num w:numId="3">
    <w:abstractNumId w:val="26"/>
  </w:num>
  <w:num w:numId="4">
    <w:abstractNumId w:val="9"/>
  </w:num>
  <w:num w:numId="5">
    <w:abstractNumId w:val="13"/>
  </w:num>
  <w:num w:numId="6">
    <w:abstractNumId w:val="17"/>
  </w:num>
  <w:num w:numId="7">
    <w:abstractNumId w:val="28"/>
  </w:num>
  <w:num w:numId="8">
    <w:abstractNumId w:val="16"/>
  </w:num>
  <w:num w:numId="9">
    <w:abstractNumId w:val="11"/>
  </w:num>
  <w:num w:numId="10">
    <w:abstractNumId w:val="22"/>
  </w:num>
  <w:num w:numId="11">
    <w:abstractNumId w:val="1"/>
  </w:num>
  <w:num w:numId="12">
    <w:abstractNumId w:val="31"/>
  </w:num>
  <w:num w:numId="13">
    <w:abstractNumId w:val="25"/>
  </w:num>
  <w:num w:numId="14">
    <w:abstractNumId w:val="18"/>
  </w:num>
  <w:num w:numId="15">
    <w:abstractNumId w:val="0"/>
  </w:num>
  <w:num w:numId="16">
    <w:abstractNumId w:val="24"/>
  </w:num>
  <w:num w:numId="17">
    <w:abstractNumId w:val="8"/>
  </w:num>
  <w:num w:numId="18">
    <w:abstractNumId w:val="24"/>
  </w:num>
  <w:num w:numId="19">
    <w:abstractNumId w:val="15"/>
  </w:num>
  <w:num w:numId="20">
    <w:abstractNumId w:val="19"/>
  </w:num>
  <w:num w:numId="21">
    <w:abstractNumId w:val="7"/>
  </w:num>
  <w:num w:numId="22">
    <w:abstractNumId w:val="5"/>
  </w:num>
  <w:num w:numId="23">
    <w:abstractNumId w:val="33"/>
  </w:num>
  <w:num w:numId="24">
    <w:abstractNumId w:val="20"/>
  </w:num>
  <w:num w:numId="25">
    <w:abstractNumId w:val="30"/>
  </w:num>
  <w:num w:numId="26">
    <w:abstractNumId w:val="21"/>
  </w:num>
  <w:num w:numId="27">
    <w:abstractNumId w:val="23"/>
  </w:num>
  <w:num w:numId="28">
    <w:abstractNumId w:val="4"/>
  </w:num>
  <w:num w:numId="29">
    <w:abstractNumId w:val="3"/>
  </w:num>
  <w:num w:numId="30">
    <w:abstractNumId w:val="32"/>
  </w:num>
  <w:num w:numId="31">
    <w:abstractNumId w:val="29"/>
  </w:num>
  <w:num w:numId="32">
    <w:abstractNumId w:val="14"/>
  </w:num>
  <w:num w:numId="33">
    <w:abstractNumId w:val="2"/>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58"/>
    <w:rsid w:val="00006B84"/>
    <w:rsid w:val="00025114"/>
    <w:rsid w:val="000328EF"/>
    <w:rsid w:val="00040687"/>
    <w:rsid w:val="0005273F"/>
    <w:rsid w:val="00054DF0"/>
    <w:rsid w:val="0006157B"/>
    <w:rsid w:val="00066B79"/>
    <w:rsid w:val="0007238C"/>
    <w:rsid w:val="00074D7F"/>
    <w:rsid w:val="000930F1"/>
    <w:rsid w:val="00093F68"/>
    <w:rsid w:val="000953A4"/>
    <w:rsid w:val="000A7149"/>
    <w:rsid w:val="000C1852"/>
    <w:rsid w:val="000C2B8C"/>
    <w:rsid w:val="000C467F"/>
    <w:rsid w:val="000C528D"/>
    <w:rsid w:val="000C59B9"/>
    <w:rsid w:val="000F5C5C"/>
    <w:rsid w:val="001011A0"/>
    <w:rsid w:val="00130E2C"/>
    <w:rsid w:val="001345FF"/>
    <w:rsid w:val="001669F6"/>
    <w:rsid w:val="00170417"/>
    <w:rsid w:val="0017536C"/>
    <w:rsid w:val="001A13D9"/>
    <w:rsid w:val="001A2EDA"/>
    <w:rsid w:val="001B00D4"/>
    <w:rsid w:val="001D0DD6"/>
    <w:rsid w:val="001D5961"/>
    <w:rsid w:val="001D7594"/>
    <w:rsid w:val="001E184B"/>
    <w:rsid w:val="001E67D2"/>
    <w:rsid w:val="001F368E"/>
    <w:rsid w:val="001F7698"/>
    <w:rsid w:val="002059DE"/>
    <w:rsid w:val="00205F25"/>
    <w:rsid w:val="0021666E"/>
    <w:rsid w:val="00235B29"/>
    <w:rsid w:val="00263D88"/>
    <w:rsid w:val="002666ED"/>
    <w:rsid w:val="00290934"/>
    <w:rsid w:val="0029202D"/>
    <w:rsid w:val="002B4BEE"/>
    <w:rsid w:val="002D2573"/>
    <w:rsid w:val="002D3DC1"/>
    <w:rsid w:val="002E04D9"/>
    <w:rsid w:val="002E0CF7"/>
    <w:rsid w:val="002E18EF"/>
    <w:rsid w:val="002F2471"/>
    <w:rsid w:val="002F4164"/>
    <w:rsid w:val="00317DD8"/>
    <w:rsid w:val="003251CF"/>
    <w:rsid w:val="003272BD"/>
    <w:rsid w:val="003275F3"/>
    <w:rsid w:val="00347B3F"/>
    <w:rsid w:val="00353D60"/>
    <w:rsid w:val="00363939"/>
    <w:rsid w:val="00371089"/>
    <w:rsid w:val="00372F37"/>
    <w:rsid w:val="0037753B"/>
    <w:rsid w:val="003775DB"/>
    <w:rsid w:val="00385091"/>
    <w:rsid w:val="00386777"/>
    <w:rsid w:val="003B346D"/>
    <w:rsid w:val="003B41A9"/>
    <w:rsid w:val="003B6E74"/>
    <w:rsid w:val="003E1866"/>
    <w:rsid w:val="003E37B0"/>
    <w:rsid w:val="00400752"/>
    <w:rsid w:val="00402017"/>
    <w:rsid w:val="004302CF"/>
    <w:rsid w:val="00430B46"/>
    <w:rsid w:val="00442EFC"/>
    <w:rsid w:val="00446027"/>
    <w:rsid w:val="00450316"/>
    <w:rsid w:val="00461A73"/>
    <w:rsid w:val="00464F6D"/>
    <w:rsid w:val="00471BC5"/>
    <w:rsid w:val="004861E9"/>
    <w:rsid w:val="0048790B"/>
    <w:rsid w:val="00487BA9"/>
    <w:rsid w:val="004911C6"/>
    <w:rsid w:val="00491DBA"/>
    <w:rsid w:val="004938F9"/>
    <w:rsid w:val="00496BFF"/>
    <w:rsid w:val="004A1CD1"/>
    <w:rsid w:val="004A3AF7"/>
    <w:rsid w:val="004C3D49"/>
    <w:rsid w:val="004D0783"/>
    <w:rsid w:val="004D668C"/>
    <w:rsid w:val="004D7C99"/>
    <w:rsid w:val="004E2F6E"/>
    <w:rsid w:val="004F544D"/>
    <w:rsid w:val="004F5B61"/>
    <w:rsid w:val="00504B0B"/>
    <w:rsid w:val="0051047A"/>
    <w:rsid w:val="00512CC7"/>
    <w:rsid w:val="00513E23"/>
    <w:rsid w:val="00520398"/>
    <w:rsid w:val="0054023A"/>
    <w:rsid w:val="005409A6"/>
    <w:rsid w:val="00562A80"/>
    <w:rsid w:val="005A3C9C"/>
    <w:rsid w:val="005C191A"/>
    <w:rsid w:val="005C1E35"/>
    <w:rsid w:val="005C505A"/>
    <w:rsid w:val="005C6F58"/>
    <w:rsid w:val="005D21DA"/>
    <w:rsid w:val="005E278B"/>
    <w:rsid w:val="005E6343"/>
    <w:rsid w:val="005F42BF"/>
    <w:rsid w:val="00602B0E"/>
    <w:rsid w:val="006045D9"/>
    <w:rsid w:val="00610752"/>
    <w:rsid w:val="00620C20"/>
    <w:rsid w:val="00624AF5"/>
    <w:rsid w:val="00625744"/>
    <w:rsid w:val="006432CB"/>
    <w:rsid w:val="006440A6"/>
    <w:rsid w:val="0065027F"/>
    <w:rsid w:val="006516A5"/>
    <w:rsid w:val="00652081"/>
    <w:rsid w:val="006554F8"/>
    <w:rsid w:val="00666133"/>
    <w:rsid w:val="006755AE"/>
    <w:rsid w:val="0069478D"/>
    <w:rsid w:val="006A49EC"/>
    <w:rsid w:val="006A69E4"/>
    <w:rsid w:val="006C08D9"/>
    <w:rsid w:val="006C126F"/>
    <w:rsid w:val="006D04ED"/>
    <w:rsid w:val="006D270D"/>
    <w:rsid w:val="006E1E84"/>
    <w:rsid w:val="006E2FC0"/>
    <w:rsid w:val="006E35C0"/>
    <w:rsid w:val="006E5050"/>
    <w:rsid w:val="006E54B3"/>
    <w:rsid w:val="006F3308"/>
    <w:rsid w:val="00710C01"/>
    <w:rsid w:val="0071200A"/>
    <w:rsid w:val="00720729"/>
    <w:rsid w:val="0072416F"/>
    <w:rsid w:val="00725220"/>
    <w:rsid w:val="00744503"/>
    <w:rsid w:val="007524AA"/>
    <w:rsid w:val="00757A25"/>
    <w:rsid w:val="00763C2F"/>
    <w:rsid w:val="007762D6"/>
    <w:rsid w:val="00784386"/>
    <w:rsid w:val="007A4EA3"/>
    <w:rsid w:val="007A759B"/>
    <w:rsid w:val="007B63AD"/>
    <w:rsid w:val="007E2958"/>
    <w:rsid w:val="007F4F13"/>
    <w:rsid w:val="007F6890"/>
    <w:rsid w:val="00800001"/>
    <w:rsid w:val="00801D87"/>
    <w:rsid w:val="00804D42"/>
    <w:rsid w:val="00811500"/>
    <w:rsid w:val="008611F9"/>
    <w:rsid w:val="0088132F"/>
    <w:rsid w:val="00882C7C"/>
    <w:rsid w:val="008868C4"/>
    <w:rsid w:val="008917BA"/>
    <w:rsid w:val="008C01AF"/>
    <w:rsid w:val="008C364E"/>
    <w:rsid w:val="008C7786"/>
    <w:rsid w:val="008D087A"/>
    <w:rsid w:val="008F0C10"/>
    <w:rsid w:val="008F3E16"/>
    <w:rsid w:val="009138D1"/>
    <w:rsid w:val="00914251"/>
    <w:rsid w:val="009163C6"/>
    <w:rsid w:val="009228EA"/>
    <w:rsid w:val="00933D46"/>
    <w:rsid w:val="009345B1"/>
    <w:rsid w:val="00942967"/>
    <w:rsid w:val="00943A24"/>
    <w:rsid w:val="0094599A"/>
    <w:rsid w:val="00947236"/>
    <w:rsid w:val="009568A4"/>
    <w:rsid w:val="00974B83"/>
    <w:rsid w:val="009753EA"/>
    <w:rsid w:val="00976876"/>
    <w:rsid w:val="00976C37"/>
    <w:rsid w:val="00981440"/>
    <w:rsid w:val="0098405D"/>
    <w:rsid w:val="00986C7C"/>
    <w:rsid w:val="00991696"/>
    <w:rsid w:val="00993616"/>
    <w:rsid w:val="009A739D"/>
    <w:rsid w:val="009B6C7F"/>
    <w:rsid w:val="009C7518"/>
    <w:rsid w:val="009D2F1A"/>
    <w:rsid w:val="009D5F6A"/>
    <w:rsid w:val="009E0DA6"/>
    <w:rsid w:val="009E4856"/>
    <w:rsid w:val="009F1A9D"/>
    <w:rsid w:val="00A03CAD"/>
    <w:rsid w:val="00A0769D"/>
    <w:rsid w:val="00A12AD0"/>
    <w:rsid w:val="00A137F6"/>
    <w:rsid w:val="00A15CE1"/>
    <w:rsid w:val="00A30D02"/>
    <w:rsid w:val="00A30D5D"/>
    <w:rsid w:val="00A42968"/>
    <w:rsid w:val="00A53099"/>
    <w:rsid w:val="00A54449"/>
    <w:rsid w:val="00A6156F"/>
    <w:rsid w:val="00A64C2F"/>
    <w:rsid w:val="00A7176D"/>
    <w:rsid w:val="00A77059"/>
    <w:rsid w:val="00A87366"/>
    <w:rsid w:val="00AC485D"/>
    <w:rsid w:val="00AC6032"/>
    <w:rsid w:val="00AE21AE"/>
    <w:rsid w:val="00AE7B3A"/>
    <w:rsid w:val="00AF3CB3"/>
    <w:rsid w:val="00B0301C"/>
    <w:rsid w:val="00B22A95"/>
    <w:rsid w:val="00B2421E"/>
    <w:rsid w:val="00B26FF7"/>
    <w:rsid w:val="00B27A1E"/>
    <w:rsid w:val="00B420EA"/>
    <w:rsid w:val="00B43B55"/>
    <w:rsid w:val="00B67F2F"/>
    <w:rsid w:val="00B866CD"/>
    <w:rsid w:val="00BB6D34"/>
    <w:rsid w:val="00BC2A14"/>
    <w:rsid w:val="00BC5B44"/>
    <w:rsid w:val="00BD1706"/>
    <w:rsid w:val="00BD5811"/>
    <w:rsid w:val="00BF40EC"/>
    <w:rsid w:val="00C1096D"/>
    <w:rsid w:val="00C31808"/>
    <w:rsid w:val="00C31E34"/>
    <w:rsid w:val="00C45DA8"/>
    <w:rsid w:val="00C66F86"/>
    <w:rsid w:val="00C75D4A"/>
    <w:rsid w:val="00C84D3F"/>
    <w:rsid w:val="00C872BA"/>
    <w:rsid w:val="00C87DF9"/>
    <w:rsid w:val="00CA33FA"/>
    <w:rsid w:val="00CB4720"/>
    <w:rsid w:val="00CB6037"/>
    <w:rsid w:val="00CD03FE"/>
    <w:rsid w:val="00CE0B19"/>
    <w:rsid w:val="00CE1276"/>
    <w:rsid w:val="00CE6FBB"/>
    <w:rsid w:val="00CF0650"/>
    <w:rsid w:val="00D06139"/>
    <w:rsid w:val="00D1249C"/>
    <w:rsid w:val="00D14876"/>
    <w:rsid w:val="00D238D1"/>
    <w:rsid w:val="00D3793A"/>
    <w:rsid w:val="00D408A2"/>
    <w:rsid w:val="00D465D0"/>
    <w:rsid w:val="00D47619"/>
    <w:rsid w:val="00D62B16"/>
    <w:rsid w:val="00D62C4C"/>
    <w:rsid w:val="00D71DDF"/>
    <w:rsid w:val="00D723D4"/>
    <w:rsid w:val="00D74BF3"/>
    <w:rsid w:val="00D85552"/>
    <w:rsid w:val="00D90C8C"/>
    <w:rsid w:val="00D937DB"/>
    <w:rsid w:val="00D96530"/>
    <w:rsid w:val="00D96D21"/>
    <w:rsid w:val="00DA0F45"/>
    <w:rsid w:val="00DA7B5A"/>
    <w:rsid w:val="00DB0AF0"/>
    <w:rsid w:val="00DB58A3"/>
    <w:rsid w:val="00DC0723"/>
    <w:rsid w:val="00DC6FB4"/>
    <w:rsid w:val="00DD4629"/>
    <w:rsid w:val="00DD7F1F"/>
    <w:rsid w:val="00DF7132"/>
    <w:rsid w:val="00E27FD5"/>
    <w:rsid w:val="00E40952"/>
    <w:rsid w:val="00E41211"/>
    <w:rsid w:val="00E418BB"/>
    <w:rsid w:val="00E512E8"/>
    <w:rsid w:val="00E52C40"/>
    <w:rsid w:val="00E9633E"/>
    <w:rsid w:val="00EA05A5"/>
    <w:rsid w:val="00EE27AC"/>
    <w:rsid w:val="00EE5253"/>
    <w:rsid w:val="00F048A4"/>
    <w:rsid w:val="00F14014"/>
    <w:rsid w:val="00F225DC"/>
    <w:rsid w:val="00F470EB"/>
    <w:rsid w:val="00F50DCB"/>
    <w:rsid w:val="00F54091"/>
    <w:rsid w:val="00F63ECD"/>
    <w:rsid w:val="00F718A2"/>
    <w:rsid w:val="00F73BCF"/>
    <w:rsid w:val="00F76A59"/>
    <w:rsid w:val="00F8654A"/>
    <w:rsid w:val="00F97AB6"/>
    <w:rsid w:val="00FB7A20"/>
    <w:rsid w:val="00FC37C3"/>
    <w:rsid w:val="00FC7270"/>
    <w:rsid w:val="00FE77FB"/>
    <w:rsid w:val="00FF0927"/>
    <w:rsid w:val="00FF27A1"/>
    <w:rsid w:val="00FF3997"/>
    <w:rsid w:val="00FF4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link w:val="Heading1Char"/>
    <w:qFormat/>
    <w:rsid w:val="002F2471"/>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F54091"/>
    <w:pPr>
      <w:tabs>
        <w:tab w:val="center" w:pos="4153"/>
        <w:tab w:val="right" w:pos="8306"/>
      </w:tabs>
    </w:pPr>
  </w:style>
  <w:style w:type="paragraph" w:styleId="Footer">
    <w:name w:val="footer"/>
    <w:basedOn w:val="Normal"/>
    <w:link w:val="FooterChar"/>
    <w:uiPriority w:val="99"/>
    <w:rsid w:val="00F54091"/>
    <w:pPr>
      <w:tabs>
        <w:tab w:val="center" w:pos="4153"/>
        <w:tab w:val="right" w:pos="8306"/>
      </w:tabs>
    </w:pPr>
  </w:style>
  <w:style w:type="paragraph" w:styleId="FootnoteText">
    <w:name w:val="footnote text"/>
    <w:basedOn w:val="Normal"/>
    <w:semiHidden/>
    <w:rsid w:val="00620C20"/>
    <w:rPr>
      <w:sz w:val="20"/>
      <w:szCs w:val="20"/>
    </w:rPr>
  </w:style>
  <w:style w:type="character" w:styleId="FootnoteReference">
    <w:name w:val="footnote reference"/>
    <w:semiHidden/>
    <w:rsid w:val="00620C20"/>
    <w:rPr>
      <w:vertAlign w:val="superscript"/>
    </w:rPr>
  </w:style>
  <w:style w:type="paragraph" w:customStyle="1" w:styleId="Heading31">
    <w:name w:val="Heading 31"/>
    <w:basedOn w:val="Normal"/>
    <w:rsid w:val="00784386"/>
    <w:pPr>
      <w:spacing w:before="100" w:beforeAutospacing="1" w:after="100" w:afterAutospacing="1"/>
      <w:outlineLvl w:val="3"/>
    </w:pPr>
    <w:rPr>
      <w:rFonts w:ascii="Times New Roman" w:hAnsi="Times New Roman"/>
      <w:b/>
      <w:bCs/>
      <w:color w:val="000099"/>
      <w:sz w:val="24"/>
    </w:rPr>
  </w:style>
  <w:style w:type="paragraph" w:customStyle="1" w:styleId="NormalWeb1">
    <w:name w:val="Normal (Web)1"/>
    <w:basedOn w:val="Normal"/>
    <w:rsid w:val="00784386"/>
    <w:pPr>
      <w:spacing w:before="100" w:beforeAutospacing="1" w:after="100" w:afterAutospacing="1"/>
    </w:pPr>
    <w:rPr>
      <w:rFonts w:ascii="Times New Roman" w:hAnsi="Times New Roman"/>
      <w:sz w:val="24"/>
    </w:rPr>
  </w:style>
  <w:style w:type="paragraph" w:styleId="NormalWeb">
    <w:name w:val="Normal (Web)"/>
    <w:basedOn w:val="Normal"/>
    <w:rsid w:val="004F544D"/>
    <w:pPr>
      <w:spacing w:before="100" w:beforeAutospacing="1" w:after="100" w:afterAutospacing="1"/>
    </w:pPr>
    <w:rPr>
      <w:rFonts w:ascii="Times New Roman" w:hAnsi="Times New Roman"/>
      <w:sz w:val="24"/>
    </w:rPr>
  </w:style>
  <w:style w:type="character" w:styleId="PageNumber">
    <w:name w:val="page number"/>
    <w:basedOn w:val="DefaultParagraphFont"/>
    <w:rsid w:val="007F6890"/>
  </w:style>
  <w:style w:type="paragraph" w:styleId="BalloonText">
    <w:name w:val="Balloon Text"/>
    <w:basedOn w:val="Normal"/>
    <w:semiHidden/>
    <w:rsid w:val="00C66F86"/>
    <w:rPr>
      <w:rFonts w:ascii="Tahoma" w:hAnsi="Tahoma" w:cs="Tahoma"/>
      <w:sz w:val="16"/>
      <w:szCs w:val="16"/>
    </w:rPr>
  </w:style>
  <w:style w:type="paragraph" w:styleId="ListNumber">
    <w:name w:val="List Number"/>
    <w:basedOn w:val="Normal"/>
    <w:rsid w:val="0098405D"/>
    <w:pPr>
      <w:numPr>
        <w:ilvl w:val="1"/>
        <w:numId w:val="16"/>
      </w:numPr>
    </w:pPr>
  </w:style>
  <w:style w:type="character" w:customStyle="1" w:styleId="HeaderChar">
    <w:name w:val="Header Char"/>
    <w:link w:val="Header"/>
    <w:uiPriority w:val="99"/>
    <w:rsid w:val="00471BC5"/>
    <w:rPr>
      <w:rFonts w:ascii="Arial" w:hAnsi="Arial"/>
      <w:sz w:val="22"/>
      <w:szCs w:val="24"/>
    </w:rPr>
  </w:style>
  <w:style w:type="paragraph" w:styleId="NoSpacing">
    <w:name w:val="No Spacing"/>
    <w:link w:val="NoSpacingChar"/>
    <w:uiPriority w:val="1"/>
    <w:qFormat/>
    <w:rsid w:val="00471BC5"/>
    <w:rPr>
      <w:rFonts w:ascii="Calibri" w:eastAsia="MS Mincho" w:hAnsi="Calibri" w:cs="Arial"/>
      <w:sz w:val="22"/>
      <w:szCs w:val="22"/>
      <w:lang w:val="en-US" w:eastAsia="ja-JP"/>
    </w:rPr>
  </w:style>
  <w:style w:type="character" w:customStyle="1" w:styleId="NoSpacingChar">
    <w:name w:val="No Spacing Char"/>
    <w:link w:val="NoSpacing"/>
    <w:uiPriority w:val="1"/>
    <w:rsid w:val="00471BC5"/>
    <w:rPr>
      <w:rFonts w:ascii="Calibri" w:eastAsia="MS Mincho" w:hAnsi="Calibri" w:cs="Arial"/>
      <w:sz w:val="22"/>
      <w:szCs w:val="22"/>
      <w:lang w:val="en-US" w:eastAsia="ja-JP"/>
    </w:rPr>
  </w:style>
  <w:style w:type="character" w:customStyle="1" w:styleId="FooterChar">
    <w:name w:val="Footer Char"/>
    <w:link w:val="Footer"/>
    <w:uiPriority w:val="99"/>
    <w:rsid w:val="00471BC5"/>
    <w:rPr>
      <w:rFonts w:ascii="Arial" w:hAnsi="Arial"/>
      <w:sz w:val="22"/>
      <w:szCs w:val="24"/>
    </w:rPr>
  </w:style>
  <w:style w:type="character" w:styleId="CommentReference">
    <w:name w:val="annotation reference"/>
    <w:semiHidden/>
    <w:rsid w:val="009228EA"/>
    <w:rPr>
      <w:sz w:val="16"/>
      <w:szCs w:val="16"/>
    </w:rPr>
  </w:style>
  <w:style w:type="paragraph" w:styleId="CommentText">
    <w:name w:val="annotation text"/>
    <w:basedOn w:val="Normal"/>
    <w:semiHidden/>
    <w:rsid w:val="009228EA"/>
    <w:rPr>
      <w:sz w:val="20"/>
      <w:szCs w:val="20"/>
    </w:rPr>
  </w:style>
  <w:style w:type="paragraph" w:styleId="CommentSubject">
    <w:name w:val="annotation subject"/>
    <w:basedOn w:val="CommentText"/>
    <w:next w:val="CommentText"/>
    <w:semiHidden/>
    <w:rsid w:val="009228EA"/>
    <w:rPr>
      <w:b/>
      <w:bCs/>
    </w:rPr>
  </w:style>
  <w:style w:type="character" w:customStyle="1" w:styleId="Heading1Char">
    <w:name w:val="Heading 1 Char"/>
    <w:link w:val="Heading1"/>
    <w:rsid w:val="002F2471"/>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F2471"/>
    <w:pPr>
      <w:keepLines/>
      <w:spacing w:before="480" w:after="0" w:line="276" w:lineRule="auto"/>
      <w:outlineLvl w:val="9"/>
    </w:pPr>
    <w:rPr>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link w:val="Heading1Char"/>
    <w:qFormat/>
    <w:rsid w:val="002F2471"/>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F54091"/>
    <w:pPr>
      <w:tabs>
        <w:tab w:val="center" w:pos="4153"/>
        <w:tab w:val="right" w:pos="8306"/>
      </w:tabs>
    </w:pPr>
  </w:style>
  <w:style w:type="paragraph" w:styleId="Footer">
    <w:name w:val="footer"/>
    <w:basedOn w:val="Normal"/>
    <w:link w:val="FooterChar"/>
    <w:uiPriority w:val="99"/>
    <w:rsid w:val="00F54091"/>
    <w:pPr>
      <w:tabs>
        <w:tab w:val="center" w:pos="4153"/>
        <w:tab w:val="right" w:pos="8306"/>
      </w:tabs>
    </w:pPr>
  </w:style>
  <w:style w:type="paragraph" w:styleId="FootnoteText">
    <w:name w:val="footnote text"/>
    <w:basedOn w:val="Normal"/>
    <w:semiHidden/>
    <w:rsid w:val="00620C20"/>
    <w:rPr>
      <w:sz w:val="20"/>
      <w:szCs w:val="20"/>
    </w:rPr>
  </w:style>
  <w:style w:type="character" w:styleId="FootnoteReference">
    <w:name w:val="footnote reference"/>
    <w:semiHidden/>
    <w:rsid w:val="00620C20"/>
    <w:rPr>
      <w:vertAlign w:val="superscript"/>
    </w:rPr>
  </w:style>
  <w:style w:type="paragraph" w:customStyle="1" w:styleId="Heading31">
    <w:name w:val="Heading 31"/>
    <w:basedOn w:val="Normal"/>
    <w:rsid w:val="00784386"/>
    <w:pPr>
      <w:spacing w:before="100" w:beforeAutospacing="1" w:after="100" w:afterAutospacing="1"/>
      <w:outlineLvl w:val="3"/>
    </w:pPr>
    <w:rPr>
      <w:rFonts w:ascii="Times New Roman" w:hAnsi="Times New Roman"/>
      <w:b/>
      <w:bCs/>
      <w:color w:val="000099"/>
      <w:sz w:val="24"/>
    </w:rPr>
  </w:style>
  <w:style w:type="paragraph" w:customStyle="1" w:styleId="NormalWeb1">
    <w:name w:val="Normal (Web)1"/>
    <w:basedOn w:val="Normal"/>
    <w:rsid w:val="00784386"/>
    <w:pPr>
      <w:spacing w:before="100" w:beforeAutospacing="1" w:after="100" w:afterAutospacing="1"/>
    </w:pPr>
    <w:rPr>
      <w:rFonts w:ascii="Times New Roman" w:hAnsi="Times New Roman"/>
      <w:sz w:val="24"/>
    </w:rPr>
  </w:style>
  <w:style w:type="paragraph" w:styleId="NormalWeb">
    <w:name w:val="Normal (Web)"/>
    <w:basedOn w:val="Normal"/>
    <w:rsid w:val="004F544D"/>
    <w:pPr>
      <w:spacing w:before="100" w:beforeAutospacing="1" w:after="100" w:afterAutospacing="1"/>
    </w:pPr>
    <w:rPr>
      <w:rFonts w:ascii="Times New Roman" w:hAnsi="Times New Roman"/>
      <w:sz w:val="24"/>
    </w:rPr>
  </w:style>
  <w:style w:type="character" w:styleId="PageNumber">
    <w:name w:val="page number"/>
    <w:basedOn w:val="DefaultParagraphFont"/>
    <w:rsid w:val="007F6890"/>
  </w:style>
  <w:style w:type="paragraph" w:styleId="BalloonText">
    <w:name w:val="Balloon Text"/>
    <w:basedOn w:val="Normal"/>
    <w:semiHidden/>
    <w:rsid w:val="00C66F86"/>
    <w:rPr>
      <w:rFonts w:ascii="Tahoma" w:hAnsi="Tahoma" w:cs="Tahoma"/>
      <w:sz w:val="16"/>
      <w:szCs w:val="16"/>
    </w:rPr>
  </w:style>
  <w:style w:type="paragraph" w:styleId="ListNumber">
    <w:name w:val="List Number"/>
    <w:basedOn w:val="Normal"/>
    <w:rsid w:val="0098405D"/>
    <w:pPr>
      <w:numPr>
        <w:ilvl w:val="1"/>
        <w:numId w:val="16"/>
      </w:numPr>
    </w:pPr>
  </w:style>
  <w:style w:type="character" w:customStyle="1" w:styleId="HeaderChar">
    <w:name w:val="Header Char"/>
    <w:link w:val="Header"/>
    <w:uiPriority w:val="99"/>
    <w:rsid w:val="00471BC5"/>
    <w:rPr>
      <w:rFonts w:ascii="Arial" w:hAnsi="Arial"/>
      <w:sz w:val="22"/>
      <w:szCs w:val="24"/>
    </w:rPr>
  </w:style>
  <w:style w:type="paragraph" w:styleId="NoSpacing">
    <w:name w:val="No Spacing"/>
    <w:link w:val="NoSpacingChar"/>
    <w:uiPriority w:val="1"/>
    <w:qFormat/>
    <w:rsid w:val="00471BC5"/>
    <w:rPr>
      <w:rFonts w:ascii="Calibri" w:eastAsia="MS Mincho" w:hAnsi="Calibri" w:cs="Arial"/>
      <w:sz w:val="22"/>
      <w:szCs w:val="22"/>
      <w:lang w:val="en-US" w:eastAsia="ja-JP"/>
    </w:rPr>
  </w:style>
  <w:style w:type="character" w:customStyle="1" w:styleId="NoSpacingChar">
    <w:name w:val="No Spacing Char"/>
    <w:link w:val="NoSpacing"/>
    <w:uiPriority w:val="1"/>
    <w:rsid w:val="00471BC5"/>
    <w:rPr>
      <w:rFonts w:ascii="Calibri" w:eastAsia="MS Mincho" w:hAnsi="Calibri" w:cs="Arial"/>
      <w:sz w:val="22"/>
      <w:szCs w:val="22"/>
      <w:lang w:val="en-US" w:eastAsia="ja-JP"/>
    </w:rPr>
  </w:style>
  <w:style w:type="character" w:customStyle="1" w:styleId="FooterChar">
    <w:name w:val="Footer Char"/>
    <w:link w:val="Footer"/>
    <w:uiPriority w:val="99"/>
    <w:rsid w:val="00471BC5"/>
    <w:rPr>
      <w:rFonts w:ascii="Arial" w:hAnsi="Arial"/>
      <w:sz w:val="22"/>
      <w:szCs w:val="24"/>
    </w:rPr>
  </w:style>
  <w:style w:type="character" w:styleId="CommentReference">
    <w:name w:val="annotation reference"/>
    <w:semiHidden/>
    <w:rsid w:val="009228EA"/>
    <w:rPr>
      <w:sz w:val="16"/>
      <w:szCs w:val="16"/>
    </w:rPr>
  </w:style>
  <w:style w:type="paragraph" w:styleId="CommentText">
    <w:name w:val="annotation text"/>
    <w:basedOn w:val="Normal"/>
    <w:semiHidden/>
    <w:rsid w:val="009228EA"/>
    <w:rPr>
      <w:sz w:val="20"/>
      <w:szCs w:val="20"/>
    </w:rPr>
  </w:style>
  <w:style w:type="paragraph" w:styleId="CommentSubject">
    <w:name w:val="annotation subject"/>
    <w:basedOn w:val="CommentText"/>
    <w:next w:val="CommentText"/>
    <w:semiHidden/>
    <w:rsid w:val="009228EA"/>
    <w:rPr>
      <w:b/>
      <w:bCs/>
    </w:rPr>
  </w:style>
  <w:style w:type="character" w:customStyle="1" w:styleId="Heading1Char">
    <w:name w:val="Heading 1 Char"/>
    <w:link w:val="Heading1"/>
    <w:rsid w:val="002F2471"/>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F2471"/>
    <w:pPr>
      <w:keepLines/>
      <w:spacing w:before="480" w:after="0" w:line="276" w:lineRule="auto"/>
      <w:outlineLvl w:val="9"/>
    </w:pPr>
    <w:rPr>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5921">
      <w:bodyDiv w:val="1"/>
      <w:marLeft w:val="0"/>
      <w:marRight w:val="0"/>
      <w:marTop w:val="0"/>
      <w:marBottom w:val="0"/>
      <w:divBdr>
        <w:top w:val="none" w:sz="0" w:space="0" w:color="auto"/>
        <w:left w:val="none" w:sz="0" w:space="0" w:color="auto"/>
        <w:bottom w:val="none" w:sz="0" w:space="0" w:color="auto"/>
        <w:right w:val="none" w:sz="0" w:space="0" w:color="auto"/>
      </w:divBdr>
      <w:divsChild>
        <w:div w:id="3649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2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11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824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7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1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505370">
      <w:bodyDiv w:val="1"/>
      <w:marLeft w:val="0"/>
      <w:marRight w:val="0"/>
      <w:marTop w:val="0"/>
      <w:marBottom w:val="0"/>
      <w:divBdr>
        <w:top w:val="none" w:sz="0" w:space="0" w:color="auto"/>
        <w:left w:val="none" w:sz="0" w:space="0" w:color="auto"/>
        <w:bottom w:val="none" w:sz="0" w:space="0" w:color="auto"/>
        <w:right w:val="none" w:sz="0" w:space="0" w:color="auto"/>
      </w:divBdr>
    </w:div>
    <w:div w:id="322509870">
      <w:bodyDiv w:val="1"/>
      <w:marLeft w:val="0"/>
      <w:marRight w:val="0"/>
      <w:marTop w:val="0"/>
      <w:marBottom w:val="0"/>
      <w:divBdr>
        <w:top w:val="none" w:sz="0" w:space="0" w:color="auto"/>
        <w:left w:val="none" w:sz="0" w:space="0" w:color="auto"/>
        <w:bottom w:val="none" w:sz="0" w:space="0" w:color="auto"/>
        <w:right w:val="none" w:sz="0" w:space="0" w:color="auto"/>
      </w:divBdr>
      <w:divsChild>
        <w:div w:id="844783206">
          <w:marLeft w:val="0"/>
          <w:marRight w:val="0"/>
          <w:marTop w:val="0"/>
          <w:marBottom w:val="0"/>
          <w:divBdr>
            <w:top w:val="single" w:sz="4" w:space="0" w:color="5056A3"/>
            <w:left w:val="single" w:sz="4" w:space="0" w:color="5056A3"/>
            <w:bottom w:val="single" w:sz="4" w:space="0" w:color="5056A3"/>
            <w:right w:val="single" w:sz="4" w:space="0" w:color="5056A3"/>
          </w:divBdr>
          <w:divsChild>
            <w:div w:id="7104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20203">
      <w:bodyDiv w:val="1"/>
      <w:marLeft w:val="0"/>
      <w:marRight w:val="0"/>
      <w:marTop w:val="0"/>
      <w:marBottom w:val="0"/>
      <w:divBdr>
        <w:top w:val="none" w:sz="0" w:space="0" w:color="auto"/>
        <w:left w:val="none" w:sz="0" w:space="0" w:color="auto"/>
        <w:bottom w:val="none" w:sz="0" w:space="0" w:color="auto"/>
        <w:right w:val="none" w:sz="0" w:space="0" w:color="auto"/>
      </w:divBdr>
      <w:divsChild>
        <w:div w:id="956371246">
          <w:marLeft w:val="0"/>
          <w:marRight w:val="0"/>
          <w:marTop w:val="0"/>
          <w:marBottom w:val="0"/>
          <w:divBdr>
            <w:top w:val="single" w:sz="4" w:space="0" w:color="5056A3"/>
            <w:left w:val="single" w:sz="4" w:space="0" w:color="5056A3"/>
            <w:bottom w:val="single" w:sz="4" w:space="0" w:color="5056A3"/>
            <w:right w:val="single" w:sz="4" w:space="0" w:color="5056A3"/>
          </w:divBdr>
          <w:divsChild>
            <w:div w:id="16126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623">
      <w:bodyDiv w:val="1"/>
      <w:marLeft w:val="0"/>
      <w:marRight w:val="0"/>
      <w:marTop w:val="0"/>
      <w:marBottom w:val="0"/>
      <w:divBdr>
        <w:top w:val="none" w:sz="0" w:space="0" w:color="auto"/>
        <w:left w:val="none" w:sz="0" w:space="0" w:color="auto"/>
        <w:bottom w:val="none" w:sz="0" w:space="0" w:color="auto"/>
        <w:right w:val="none" w:sz="0" w:space="0" w:color="auto"/>
      </w:divBdr>
      <w:divsChild>
        <w:div w:id="669986107">
          <w:marLeft w:val="0"/>
          <w:marRight w:val="0"/>
          <w:marTop w:val="0"/>
          <w:marBottom w:val="0"/>
          <w:divBdr>
            <w:top w:val="single" w:sz="4" w:space="0" w:color="5056A3"/>
            <w:left w:val="single" w:sz="4" w:space="0" w:color="5056A3"/>
            <w:bottom w:val="single" w:sz="4" w:space="0" w:color="5056A3"/>
            <w:right w:val="single" w:sz="4" w:space="0" w:color="5056A3"/>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8263">
      <w:bodyDiv w:val="1"/>
      <w:marLeft w:val="0"/>
      <w:marRight w:val="0"/>
      <w:marTop w:val="0"/>
      <w:marBottom w:val="0"/>
      <w:divBdr>
        <w:top w:val="none" w:sz="0" w:space="0" w:color="auto"/>
        <w:left w:val="none" w:sz="0" w:space="0" w:color="auto"/>
        <w:bottom w:val="none" w:sz="0" w:space="0" w:color="auto"/>
        <w:right w:val="none" w:sz="0" w:space="0" w:color="auto"/>
      </w:divBdr>
      <w:divsChild>
        <w:div w:id="1211724236">
          <w:marLeft w:val="0"/>
          <w:marRight w:val="0"/>
          <w:marTop w:val="0"/>
          <w:marBottom w:val="0"/>
          <w:divBdr>
            <w:top w:val="single" w:sz="4" w:space="0" w:color="5056A3"/>
            <w:left w:val="single" w:sz="4" w:space="0" w:color="5056A3"/>
            <w:bottom w:val="single" w:sz="4" w:space="0" w:color="5056A3"/>
            <w:right w:val="single" w:sz="4" w:space="0" w:color="5056A3"/>
          </w:divBdr>
          <w:divsChild>
            <w:div w:id="18901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144">
      <w:bodyDiv w:val="1"/>
      <w:marLeft w:val="0"/>
      <w:marRight w:val="0"/>
      <w:marTop w:val="0"/>
      <w:marBottom w:val="0"/>
      <w:divBdr>
        <w:top w:val="none" w:sz="0" w:space="0" w:color="auto"/>
        <w:left w:val="none" w:sz="0" w:space="0" w:color="auto"/>
        <w:bottom w:val="none" w:sz="0" w:space="0" w:color="auto"/>
        <w:right w:val="none" w:sz="0" w:space="0" w:color="auto"/>
      </w:divBdr>
      <w:divsChild>
        <w:div w:id="1629238431">
          <w:marLeft w:val="0"/>
          <w:marRight w:val="0"/>
          <w:marTop w:val="0"/>
          <w:marBottom w:val="0"/>
          <w:divBdr>
            <w:top w:val="single" w:sz="4" w:space="0" w:color="5056A3"/>
            <w:left w:val="single" w:sz="4" w:space="0" w:color="5056A3"/>
            <w:bottom w:val="single" w:sz="4" w:space="0" w:color="5056A3"/>
            <w:right w:val="single" w:sz="4" w:space="0" w:color="5056A3"/>
          </w:divBdr>
          <w:divsChild>
            <w:div w:id="15901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2639">
      <w:bodyDiv w:val="1"/>
      <w:marLeft w:val="0"/>
      <w:marRight w:val="0"/>
      <w:marTop w:val="0"/>
      <w:marBottom w:val="0"/>
      <w:divBdr>
        <w:top w:val="none" w:sz="0" w:space="0" w:color="auto"/>
        <w:left w:val="none" w:sz="0" w:space="0" w:color="auto"/>
        <w:bottom w:val="none" w:sz="0" w:space="0" w:color="auto"/>
        <w:right w:val="none" w:sz="0" w:space="0" w:color="auto"/>
      </w:divBdr>
      <w:divsChild>
        <w:div w:id="2028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2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76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90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17311">
      <w:bodyDiv w:val="1"/>
      <w:marLeft w:val="0"/>
      <w:marRight w:val="0"/>
      <w:marTop w:val="0"/>
      <w:marBottom w:val="0"/>
      <w:divBdr>
        <w:top w:val="none" w:sz="0" w:space="0" w:color="auto"/>
        <w:left w:val="none" w:sz="0" w:space="0" w:color="auto"/>
        <w:bottom w:val="none" w:sz="0" w:space="0" w:color="auto"/>
        <w:right w:val="none" w:sz="0" w:space="0" w:color="auto"/>
      </w:divBdr>
      <w:divsChild>
        <w:div w:id="123474828">
          <w:marLeft w:val="0"/>
          <w:marRight w:val="0"/>
          <w:marTop w:val="0"/>
          <w:marBottom w:val="0"/>
          <w:divBdr>
            <w:top w:val="single" w:sz="4" w:space="0" w:color="5056A3"/>
            <w:left w:val="single" w:sz="4" w:space="0" w:color="5056A3"/>
            <w:bottom w:val="single" w:sz="4" w:space="0" w:color="5056A3"/>
            <w:right w:val="single" w:sz="4" w:space="0" w:color="5056A3"/>
          </w:divBdr>
          <w:divsChild>
            <w:div w:id="6598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6"/>
    <w:rsid w:val="001A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476375BB34BAB80E5C01C4BDDC40A">
    <w:name w:val="EEE476375BB34BAB80E5C01C4BDDC40A"/>
    <w:rsid w:val="001A7996"/>
  </w:style>
  <w:style w:type="paragraph" w:customStyle="1" w:styleId="5169F268FE794ADF9C9A2C221C1FEAE7">
    <w:name w:val="5169F268FE794ADF9C9A2C221C1FEAE7"/>
    <w:rsid w:val="001A7996"/>
  </w:style>
  <w:style w:type="paragraph" w:customStyle="1" w:styleId="0A838CB5546E4FDDA0BA168E7E2FEAF4">
    <w:name w:val="0A838CB5546E4FDDA0BA168E7E2FEAF4"/>
    <w:rsid w:val="001A79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476375BB34BAB80E5C01C4BDDC40A">
    <w:name w:val="EEE476375BB34BAB80E5C01C4BDDC40A"/>
    <w:rsid w:val="001A7996"/>
  </w:style>
  <w:style w:type="paragraph" w:customStyle="1" w:styleId="5169F268FE794ADF9C9A2C221C1FEAE7">
    <w:name w:val="5169F268FE794ADF9C9A2C221C1FEAE7"/>
    <w:rsid w:val="001A7996"/>
  </w:style>
  <w:style w:type="paragraph" w:customStyle="1" w:styleId="0A838CB5546E4FDDA0BA168E7E2FEAF4">
    <w:name w:val="0A838CB5546E4FDDA0BA168E7E2FEAF4"/>
    <w:rsid w:val="001A7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D682-4545-4CCE-BFFF-E0CB6345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CC74E1BB</Template>
  <TotalTime>2</TotalTime>
  <Pages>9</Pages>
  <Words>3260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Submission - Forensic Disability Bill 2010 – Information Paper</vt:lpstr>
    </vt:vector>
  </TitlesOfParts>
  <Company>ADCQ</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 Forensic Disability Bill 2010 – Information Paper</dc:title>
  <dc:creator>Commissioner</dc:creator>
  <cp:lastModifiedBy>Coral Logan</cp:lastModifiedBy>
  <cp:revision>3</cp:revision>
  <cp:lastPrinted>2010-09-29T02:42:00Z</cp:lastPrinted>
  <dcterms:created xsi:type="dcterms:W3CDTF">2013-07-25T01:41:00Z</dcterms:created>
  <dcterms:modified xsi:type="dcterms:W3CDTF">2013-07-25T01:52:00Z</dcterms:modified>
</cp:coreProperties>
</file>