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4D" w:rsidRPr="00233606" w:rsidRDefault="00FD374D" w:rsidP="00687A8B">
      <w:pPr>
        <w:tabs>
          <w:tab w:val="left" w:pos="1560"/>
        </w:tabs>
        <w:spacing w:before="600"/>
        <w:rPr>
          <w:rFonts w:ascii="Arial" w:hAnsi="Arial" w:cs="Arial"/>
          <w:sz w:val="20"/>
          <w:szCs w:val="20"/>
        </w:rPr>
      </w:pPr>
      <w:r w:rsidRPr="00233606">
        <w:rPr>
          <w:rFonts w:ascii="Arial" w:hAnsi="Arial" w:cs="Arial"/>
          <w:sz w:val="20"/>
          <w:szCs w:val="20"/>
        </w:rPr>
        <w:t>Our reference:</w:t>
      </w:r>
      <w:r>
        <w:rPr>
          <w:rFonts w:ascii="Arial" w:hAnsi="Arial" w:cs="Arial"/>
          <w:sz w:val="20"/>
          <w:szCs w:val="20"/>
        </w:rPr>
        <w:tab/>
      </w:r>
      <w:r w:rsidRPr="00233606">
        <w:rPr>
          <w:rFonts w:ascii="Arial" w:hAnsi="Arial" w:cs="Arial"/>
          <w:sz w:val="20"/>
          <w:szCs w:val="20"/>
        </w:rPr>
        <w:t>BNE 0143599</w:t>
      </w:r>
    </w:p>
    <w:p w:rsidR="00FD374D" w:rsidRDefault="00FD374D" w:rsidP="00FD374D">
      <w:pPr>
        <w:tabs>
          <w:tab w:val="left" w:pos="1560"/>
        </w:tabs>
        <w:rPr>
          <w:rFonts w:ascii="Arial" w:hAnsi="Arial" w:cs="Arial"/>
          <w:sz w:val="20"/>
          <w:szCs w:val="20"/>
        </w:rPr>
      </w:pPr>
      <w:r w:rsidRPr="00233606">
        <w:rPr>
          <w:rFonts w:ascii="Arial" w:hAnsi="Arial" w:cs="Arial"/>
          <w:sz w:val="20"/>
          <w:szCs w:val="20"/>
        </w:rPr>
        <w:t>Your reference:</w:t>
      </w:r>
      <w:r>
        <w:rPr>
          <w:rFonts w:ascii="Arial" w:hAnsi="Arial" w:cs="Arial"/>
          <w:sz w:val="20"/>
          <w:szCs w:val="20"/>
        </w:rPr>
        <w:tab/>
      </w:r>
      <w:r w:rsidRPr="00233606">
        <w:rPr>
          <w:rFonts w:ascii="Arial" w:hAnsi="Arial" w:cs="Arial"/>
          <w:sz w:val="20"/>
          <w:szCs w:val="20"/>
        </w:rPr>
        <w:t>Review of meaning of FLPs</w:t>
      </w:r>
    </w:p>
    <w:p w:rsidR="00FD374D" w:rsidRPr="00233606" w:rsidRDefault="00FD374D" w:rsidP="00FD374D">
      <w:pPr>
        <w:tabs>
          <w:tab w:val="left" w:pos="1560"/>
        </w:tabs>
        <w:rPr>
          <w:rFonts w:ascii="Arial" w:hAnsi="Arial" w:cs="Arial"/>
          <w:sz w:val="20"/>
          <w:szCs w:val="20"/>
        </w:rPr>
      </w:pPr>
      <w:r>
        <w:rPr>
          <w:rFonts w:ascii="Arial" w:hAnsi="Arial" w:cs="Arial"/>
          <w:sz w:val="20"/>
          <w:szCs w:val="20"/>
        </w:rPr>
        <w:tab/>
      </w:r>
      <w:r w:rsidRPr="00233606">
        <w:rPr>
          <w:rFonts w:ascii="Arial" w:hAnsi="Arial" w:cs="Arial"/>
          <w:sz w:val="20"/>
          <w:szCs w:val="20"/>
        </w:rPr>
        <w:t>12/11/01</w:t>
      </w:r>
    </w:p>
    <w:p w:rsidR="00FD374D" w:rsidRDefault="00FD374D" w:rsidP="00FD374D">
      <w:pPr>
        <w:tabs>
          <w:tab w:val="left" w:pos="1843"/>
        </w:tabs>
        <w:spacing w:before="600"/>
        <w:rPr>
          <w:rFonts w:ascii="Arial" w:hAnsi="Arial" w:cs="Arial"/>
        </w:rPr>
      </w:pPr>
      <w:r>
        <w:rPr>
          <w:rFonts w:ascii="Arial" w:hAnsi="Arial" w:cs="Arial"/>
        </w:rPr>
        <w:t>27 February 2012</w:t>
      </w:r>
    </w:p>
    <w:p w:rsidR="00FD374D" w:rsidRDefault="00FD374D" w:rsidP="00FD374D">
      <w:pPr>
        <w:tabs>
          <w:tab w:val="left" w:pos="1843"/>
        </w:tabs>
        <w:spacing w:before="240"/>
        <w:rPr>
          <w:rFonts w:ascii="Arial" w:hAnsi="Arial" w:cs="Arial"/>
        </w:rPr>
      </w:pPr>
      <w:r>
        <w:rPr>
          <w:rFonts w:ascii="Arial" w:hAnsi="Arial" w:cs="Arial"/>
        </w:rPr>
        <w:t>Mr Wayne Wendt MP</w:t>
      </w:r>
    </w:p>
    <w:p w:rsidR="00FD374D" w:rsidRDefault="00FD374D" w:rsidP="00FD374D">
      <w:pPr>
        <w:tabs>
          <w:tab w:val="left" w:pos="1843"/>
        </w:tabs>
        <w:rPr>
          <w:rFonts w:ascii="Arial" w:hAnsi="Arial" w:cs="Arial"/>
        </w:rPr>
      </w:pPr>
      <w:r>
        <w:rPr>
          <w:rFonts w:ascii="Arial" w:hAnsi="Arial" w:cs="Arial"/>
        </w:rPr>
        <w:t>Chair</w:t>
      </w:r>
    </w:p>
    <w:p w:rsidR="00FD374D" w:rsidRDefault="00FD374D" w:rsidP="00FD374D">
      <w:pPr>
        <w:tabs>
          <w:tab w:val="left" w:pos="1843"/>
        </w:tabs>
        <w:rPr>
          <w:rFonts w:ascii="Arial" w:hAnsi="Arial" w:cs="Arial"/>
        </w:rPr>
      </w:pPr>
      <w:r>
        <w:rPr>
          <w:rFonts w:ascii="Arial" w:hAnsi="Arial" w:cs="Arial"/>
        </w:rPr>
        <w:t>Finance and Administration Committee</w:t>
      </w:r>
      <w:bookmarkStart w:id="0" w:name="_GoBack"/>
      <w:bookmarkEnd w:id="0"/>
    </w:p>
    <w:p w:rsidR="00FD374D" w:rsidRDefault="00FD374D" w:rsidP="00FD374D">
      <w:pPr>
        <w:tabs>
          <w:tab w:val="left" w:pos="1843"/>
        </w:tabs>
        <w:rPr>
          <w:rFonts w:ascii="Arial" w:hAnsi="Arial" w:cs="Arial"/>
        </w:rPr>
      </w:pPr>
      <w:r>
        <w:rPr>
          <w:rFonts w:ascii="Arial" w:hAnsi="Arial" w:cs="Arial"/>
        </w:rPr>
        <w:t>Parliament House</w:t>
      </w:r>
    </w:p>
    <w:p w:rsidR="00FD374D" w:rsidRDefault="00FD374D" w:rsidP="00FD374D">
      <w:pPr>
        <w:tabs>
          <w:tab w:val="left" w:pos="1843"/>
        </w:tabs>
        <w:rPr>
          <w:rFonts w:ascii="Arial" w:hAnsi="Arial" w:cs="Arial"/>
        </w:rPr>
      </w:pPr>
      <w:r>
        <w:rPr>
          <w:rFonts w:ascii="Arial" w:hAnsi="Arial" w:cs="Arial"/>
        </w:rPr>
        <w:t>Alice and George Streets</w:t>
      </w:r>
    </w:p>
    <w:p w:rsidR="00FD374D" w:rsidRDefault="00FD374D" w:rsidP="00FD374D">
      <w:pPr>
        <w:tabs>
          <w:tab w:val="left" w:pos="1843"/>
        </w:tabs>
        <w:rPr>
          <w:rFonts w:ascii="Arial" w:hAnsi="Arial" w:cs="Arial"/>
        </w:rPr>
      </w:pPr>
      <w:r>
        <w:rPr>
          <w:rFonts w:ascii="Arial" w:hAnsi="Arial" w:cs="Arial"/>
        </w:rPr>
        <w:t>BRISBANE QLD 4000</w:t>
      </w:r>
    </w:p>
    <w:p w:rsidR="00FD374D" w:rsidRDefault="00FD374D" w:rsidP="00687A8B">
      <w:pPr>
        <w:tabs>
          <w:tab w:val="left" w:pos="1843"/>
        </w:tabs>
        <w:spacing w:after="160"/>
        <w:rPr>
          <w:rFonts w:ascii="Arial" w:hAnsi="Arial" w:cs="Arial"/>
        </w:rPr>
      </w:pPr>
      <w:r>
        <w:rPr>
          <w:rFonts w:ascii="Arial" w:hAnsi="Arial" w:cs="Arial"/>
        </w:rPr>
        <w:t>Dear Mr Wendt</w:t>
      </w:r>
    </w:p>
    <w:p w:rsidR="00FD374D" w:rsidRPr="00233606" w:rsidRDefault="00FD374D" w:rsidP="00687A8B">
      <w:pPr>
        <w:tabs>
          <w:tab w:val="left" w:pos="1843"/>
        </w:tabs>
        <w:spacing w:after="160"/>
        <w:jc w:val="both"/>
        <w:rPr>
          <w:rFonts w:ascii="Arial" w:hAnsi="Arial" w:cs="Arial"/>
          <w:b/>
        </w:rPr>
      </w:pPr>
      <w:r w:rsidRPr="00233606">
        <w:rPr>
          <w:rFonts w:ascii="Arial" w:hAnsi="Arial" w:cs="Arial"/>
          <w:b/>
        </w:rPr>
        <w:t>REVIEW OF MEANING OF FUNDAMENTAL LEGISLATIVE PRINCIPLES</w:t>
      </w:r>
    </w:p>
    <w:p w:rsidR="00FD374D" w:rsidRDefault="00FD374D" w:rsidP="00687A8B">
      <w:pPr>
        <w:tabs>
          <w:tab w:val="left" w:pos="1843"/>
        </w:tabs>
        <w:spacing w:after="160"/>
        <w:jc w:val="both"/>
        <w:rPr>
          <w:rFonts w:ascii="Arial" w:hAnsi="Arial" w:cs="Arial"/>
        </w:rPr>
      </w:pPr>
      <w:r>
        <w:rPr>
          <w:rFonts w:ascii="Arial" w:hAnsi="Arial" w:cs="Arial"/>
        </w:rPr>
        <w:t>Thank you for your letter dated 9 December 2011 inviting additional submissions to the review of the meaning of fundamental legislative principles, which was being continued by the Finance and Administration Committee.</w:t>
      </w:r>
    </w:p>
    <w:p w:rsidR="00FD374D" w:rsidRDefault="00FD374D" w:rsidP="00687A8B">
      <w:pPr>
        <w:tabs>
          <w:tab w:val="left" w:pos="1843"/>
        </w:tabs>
        <w:spacing w:after="160"/>
        <w:jc w:val="both"/>
        <w:rPr>
          <w:rFonts w:ascii="Arial" w:hAnsi="Arial" w:cs="Arial"/>
        </w:rPr>
      </w:pPr>
      <w:r>
        <w:rPr>
          <w:rFonts w:ascii="Arial" w:hAnsi="Arial" w:cs="Arial"/>
        </w:rPr>
        <w:t xml:space="preserve">As you know, the Commission made a submission to the review commenced by the former Scrutiny of Legislation Committee.  The Commission’s submission is referred to in Report 47, </w:t>
      </w:r>
      <w:r w:rsidRPr="00A96F04">
        <w:rPr>
          <w:rFonts w:ascii="Arial" w:hAnsi="Arial" w:cs="Arial"/>
          <w:i/>
        </w:rPr>
        <w:t>Our Principles: Review of the meaning of fundamental legislative principles</w:t>
      </w:r>
      <w:r>
        <w:rPr>
          <w:rFonts w:ascii="Arial" w:hAnsi="Arial" w:cs="Arial"/>
        </w:rPr>
        <w:t>.</w:t>
      </w:r>
    </w:p>
    <w:p w:rsidR="00FD374D" w:rsidRDefault="00FD374D" w:rsidP="00687A8B">
      <w:pPr>
        <w:tabs>
          <w:tab w:val="left" w:pos="1843"/>
        </w:tabs>
        <w:spacing w:after="160"/>
        <w:jc w:val="both"/>
        <w:rPr>
          <w:rFonts w:ascii="Arial" w:hAnsi="Arial" w:cs="Arial"/>
        </w:rPr>
      </w:pPr>
      <w:r>
        <w:rPr>
          <w:rFonts w:ascii="Arial" w:hAnsi="Arial" w:cs="Arial"/>
        </w:rPr>
        <w:t>It is intended that this further submission clarify a comment in the Report about the Commission’s submission.  At page 11 of the Report, it is stated:</w:t>
      </w:r>
    </w:p>
    <w:p w:rsidR="00FD374D" w:rsidRDefault="00FD374D" w:rsidP="00687A8B">
      <w:pPr>
        <w:tabs>
          <w:tab w:val="left" w:pos="1843"/>
        </w:tabs>
        <w:spacing w:after="160"/>
        <w:ind w:left="720" w:right="651"/>
        <w:jc w:val="both"/>
        <w:rPr>
          <w:rFonts w:ascii="Arial" w:hAnsi="Arial" w:cs="Arial"/>
          <w:sz w:val="22"/>
          <w:szCs w:val="22"/>
        </w:rPr>
      </w:pPr>
      <w:r>
        <w:rPr>
          <w:rFonts w:ascii="Arial" w:hAnsi="Arial" w:cs="Arial"/>
          <w:sz w:val="22"/>
          <w:szCs w:val="22"/>
        </w:rPr>
        <w:t>The submission from the Anti-Discrimination Commissioner (submission 1) urged adoption of the proposed federal model for scrutiny of legislation for consistency with ‘human rights’, with the latter defined inclusively as:</w:t>
      </w:r>
    </w:p>
    <w:p w:rsidR="00FD374D" w:rsidRPr="00AF56DC" w:rsidRDefault="00FD374D" w:rsidP="00687A8B">
      <w:pPr>
        <w:tabs>
          <w:tab w:val="left" w:pos="1843"/>
        </w:tabs>
        <w:spacing w:after="160"/>
        <w:ind w:left="1440" w:right="1360"/>
        <w:jc w:val="both"/>
        <w:rPr>
          <w:rFonts w:ascii="Arial" w:hAnsi="Arial" w:cs="Arial"/>
          <w:sz w:val="20"/>
          <w:szCs w:val="20"/>
        </w:rPr>
      </w:pPr>
      <w:r w:rsidRPr="00AF56DC">
        <w:rPr>
          <w:rFonts w:ascii="Arial" w:hAnsi="Arial" w:cs="Arial"/>
          <w:sz w:val="20"/>
          <w:szCs w:val="20"/>
        </w:rPr>
        <w:t xml:space="preserve">…the rights and freedoms recognised or declared by the seven </w:t>
      </w:r>
      <w:proofErr w:type="gramStart"/>
      <w:r w:rsidRPr="00AF56DC">
        <w:rPr>
          <w:rFonts w:ascii="Arial" w:hAnsi="Arial" w:cs="Arial"/>
          <w:sz w:val="20"/>
          <w:szCs w:val="20"/>
        </w:rPr>
        <w:t>core</w:t>
      </w:r>
      <w:proofErr w:type="gramEnd"/>
      <w:r w:rsidRPr="00AF56DC">
        <w:rPr>
          <w:rFonts w:ascii="Arial" w:hAnsi="Arial" w:cs="Arial"/>
          <w:sz w:val="20"/>
          <w:szCs w:val="20"/>
        </w:rPr>
        <w:t xml:space="preserve"> United Nations human right treaties, as those treaties apply to Australia.</w:t>
      </w:r>
    </w:p>
    <w:p w:rsidR="00687A8B" w:rsidRDefault="00FD374D" w:rsidP="00687A8B">
      <w:pPr>
        <w:tabs>
          <w:tab w:val="left" w:pos="1843"/>
        </w:tabs>
        <w:spacing w:after="160"/>
        <w:jc w:val="both"/>
        <w:rPr>
          <w:rFonts w:ascii="Arial" w:hAnsi="Arial" w:cs="Arial"/>
        </w:rPr>
      </w:pPr>
      <w:r>
        <w:rPr>
          <w:rFonts w:ascii="Arial" w:hAnsi="Arial" w:cs="Arial"/>
        </w:rPr>
        <w:t xml:space="preserve">The Commission’s earlier submission referred to the federal model from the perspective of Queensland being in a position to benefit from consultations, inquiries and reports in the federal sphere.  These include the National Human Rights Consultation, and the inquiry of the Senate Legal and Constitutional Affairs Legislation Committee into the </w:t>
      </w:r>
      <w:r w:rsidRPr="00FE2BC5">
        <w:rPr>
          <w:rFonts w:ascii="Arial" w:hAnsi="Arial" w:cs="Arial"/>
          <w:i/>
        </w:rPr>
        <w:t>Human Rights (Parliamentary Scrutiny) Bill 2010</w:t>
      </w:r>
      <w:r>
        <w:rPr>
          <w:rFonts w:ascii="Arial" w:hAnsi="Arial" w:cs="Arial"/>
        </w:rPr>
        <w:t>.</w:t>
      </w:r>
    </w:p>
    <w:p w:rsidR="00FD374D" w:rsidRDefault="00FD374D" w:rsidP="00687A8B">
      <w:pPr>
        <w:tabs>
          <w:tab w:val="left" w:pos="1843"/>
        </w:tabs>
        <w:spacing w:after="160"/>
        <w:jc w:val="both"/>
        <w:rPr>
          <w:rFonts w:ascii="Arial" w:hAnsi="Arial" w:cs="Arial"/>
        </w:rPr>
      </w:pPr>
      <w:r>
        <w:rPr>
          <w:rFonts w:ascii="Arial" w:hAnsi="Arial" w:cs="Arial"/>
        </w:rPr>
        <w:t>The Senate Legal and Constitutional Affairs Legislation Committee received a number of submissions about the Bill.  Key issues included the definition of human rights, as well as the content, form and scope of statements of compatibility.</w:t>
      </w:r>
    </w:p>
    <w:p w:rsidR="00FD374D" w:rsidRDefault="00FD374D" w:rsidP="00687A8B">
      <w:pPr>
        <w:tabs>
          <w:tab w:val="left" w:pos="1843"/>
        </w:tabs>
        <w:spacing w:after="160"/>
        <w:jc w:val="both"/>
        <w:rPr>
          <w:rFonts w:ascii="Arial" w:hAnsi="Arial" w:cs="Arial"/>
        </w:rPr>
      </w:pPr>
      <w:r>
        <w:rPr>
          <w:rFonts w:ascii="Arial" w:hAnsi="Arial" w:cs="Arial"/>
        </w:rPr>
        <w:t>The federal model for scrutiny of legislation essentially involves:</w:t>
      </w:r>
    </w:p>
    <w:p w:rsidR="00FD374D" w:rsidRPr="00B741A8" w:rsidRDefault="00FD374D" w:rsidP="00687A8B">
      <w:pPr>
        <w:pStyle w:val="ListParagraph"/>
        <w:numPr>
          <w:ilvl w:val="0"/>
          <w:numId w:val="11"/>
        </w:numPr>
        <w:tabs>
          <w:tab w:val="left" w:pos="1843"/>
        </w:tabs>
        <w:spacing w:after="160"/>
        <w:ind w:left="714" w:hanging="357"/>
        <w:contextualSpacing w:val="0"/>
        <w:jc w:val="both"/>
        <w:rPr>
          <w:rFonts w:ascii="Arial" w:hAnsi="Arial" w:cs="Arial"/>
        </w:rPr>
      </w:pPr>
      <w:r w:rsidRPr="00B741A8">
        <w:rPr>
          <w:rFonts w:ascii="Arial" w:hAnsi="Arial" w:cs="Arial"/>
        </w:rPr>
        <w:lastRenderedPageBreak/>
        <w:t>a statement of compatibility with human rights to be prepared and presented to the House</w:t>
      </w:r>
      <w:r>
        <w:rPr>
          <w:rFonts w:ascii="Arial" w:hAnsi="Arial" w:cs="Arial"/>
        </w:rPr>
        <w:t xml:space="preserve"> for each Bill</w:t>
      </w:r>
      <w:r w:rsidRPr="00B741A8">
        <w:rPr>
          <w:rFonts w:ascii="Arial" w:hAnsi="Arial" w:cs="Arial"/>
        </w:rPr>
        <w:t>; and</w:t>
      </w:r>
    </w:p>
    <w:p w:rsidR="00FD374D" w:rsidRDefault="00FD374D" w:rsidP="00687A8B">
      <w:pPr>
        <w:pStyle w:val="ListParagraph"/>
        <w:numPr>
          <w:ilvl w:val="0"/>
          <w:numId w:val="11"/>
        </w:numPr>
        <w:tabs>
          <w:tab w:val="left" w:pos="1843"/>
        </w:tabs>
        <w:spacing w:after="160"/>
        <w:contextualSpacing w:val="0"/>
        <w:jc w:val="both"/>
        <w:rPr>
          <w:rFonts w:ascii="Arial" w:hAnsi="Arial" w:cs="Arial"/>
        </w:rPr>
      </w:pPr>
      <w:proofErr w:type="gramStart"/>
      <w:r w:rsidRPr="00B741A8">
        <w:rPr>
          <w:rFonts w:ascii="Arial" w:hAnsi="Arial" w:cs="Arial"/>
        </w:rPr>
        <w:t>the</w:t>
      </w:r>
      <w:proofErr w:type="gramEnd"/>
      <w:r w:rsidRPr="00B741A8">
        <w:rPr>
          <w:rFonts w:ascii="Arial" w:hAnsi="Arial" w:cs="Arial"/>
        </w:rPr>
        <w:t xml:space="preserve"> Parliamentary Joint Committee on Human Rights to examine Bills and Acts for compatibility with human rights and report to Parliament.</w:t>
      </w:r>
    </w:p>
    <w:p w:rsidR="00FD374D" w:rsidRDefault="00FD374D" w:rsidP="00687A8B">
      <w:pPr>
        <w:tabs>
          <w:tab w:val="left" w:pos="1843"/>
        </w:tabs>
        <w:spacing w:after="160"/>
        <w:jc w:val="both"/>
        <w:rPr>
          <w:rFonts w:ascii="Arial" w:hAnsi="Arial" w:cs="Arial"/>
        </w:rPr>
      </w:pPr>
      <w:r>
        <w:rPr>
          <w:rFonts w:ascii="Arial" w:hAnsi="Arial" w:cs="Arial"/>
        </w:rPr>
        <w:t>The Commission’s recommendations included incorporating ‘human rights’ into the definition of fundamental legislative principles, and adopting the requirement of a statement of compatibility.</w:t>
      </w:r>
    </w:p>
    <w:p w:rsidR="00FD374D" w:rsidRDefault="00FD374D" w:rsidP="00687A8B">
      <w:pPr>
        <w:tabs>
          <w:tab w:val="left" w:pos="1843"/>
        </w:tabs>
        <w:spacing w:after="160"/>
        <w:jc w:val="both"/>
        <w:rPr>
          <w:rFonts w:ascii="Arial" w:hAnsi="Arial" w:cs="Arial"/>
        </w:rPr>
      </w:pPr>
      <w:r>
        <w:rPr>
          <w:rFonts w:ascii="Arial" w:hAnsi="Arial" w:cs="Arial"/>
        </w:rPr>
        <w:t>The Commission recommended that ‘human rights’ be defined in an inclusive manner and to allow for changes over time rather than the definition in the federal model, which is cited in the Report.  The Commission suggested a definition modelled on the suggestion to the federal inquiry by Reverent Professor the Hon. Michael Tate AO, such as:</w:t>
      </w:r>
    </w:p>
    <w:p w:rsidR="00FD374D" w:rsidRPr="00457699" w:rsidRDefault="00FD374D" w:rsidP="00687A8B">
      <w:pPr>
        <w:tabs>
          <w:tab w:val="left" w:pos="1843"/>
        </w:tabs>
        <w:spacing w:after="160"/>
        <w:ind w:left="720" w:right="657"/>
        <w:jc w:val="both"/>
        <w:rPr>
          <w:rFonts w:ascii="Arial" w:hAnsi="Arial" w:cs="Arial"/>
          <w:sz w:val="22"/>
          <w:szCs w:val="22"/>
        </w:rPr>
      </w:pPr>
      <w:r>
        <w:rPr>
          <w:rFonts w:ascii="Arial" w:hAnsi="Arial" w:cs="Arial"/>
          <w:sz w:val="22"/>
          <w:szCs w:val="22"/>
        </w:rPr>
        <w:t>The personal rights and liberties recognised or expressed under the Constitutions of Queensland and Australia, in statutes of the parliaments of Queensland and Australia, or in treaties ratified by the government Australia.</w:t>
      </w:r>
    </w:p>
    <w:p w:rsidR="00FD374D" w:rsidRDefault="00FD374D" w:rsidP="00687A8B">
      <w:pPr>
        <w:tabs>
          <w:tab w:val="left" w:pos="1843"/>
        </w:tabs>
        <w:spacing w:after="160"/>
        <w:jc w:val="both"/>
        <w:rPr>
          <w:rFonts w:ascii="Arial" w:hAnsi="Arial" w:cs="Arial"/>
        </w:rPr>
      </w:pPr>
      <w:r>
        <w:rPr>
          <w:rFonts w:ascii="Arial" w:hAnsi="Arial" w:cs="Arial"/>
        </w:rPr>
        <w:t xml:space="preserve">In conclusion, the Commission’s suggestions and recommendations in relation to the meaning of fundamental legislative principles in the </w:t>
      </w:r>
      <w:r w:rsidRPr="009C2612">
        <w:rPr>
          <w:rFonts w:ascii="Arial" w:hAnsi="Arial" w:cs="Arial"/>
          <w:i/>
        </w:rPr>
        <w:t>Legislative Standards Act 1992</w:t>
      </w:r>
      <w:r>
        <w:rPr>
          <w:rFonts w:ascii="Arial" w:hAnsi="Arial" w:cs="Arial"/>
        </w:rPr>
        <w:t xml:space="preserve"> are to:</w:t>
      </w:r>
    </w:p>
    <w:p w:rsidR="00FD374D" w:rsidRDefault="00FD374D" w:rsidP="00687A8B">
      <w:pPr>
        <w:pStyle w:val="ListParagraph"/>
        <w:numPr>
          <w:ilvl w:val="0"/>
          <w:numId w:val="12"/>
        </w:numPr>
        <w:spacing w:after="160"/>
        <w:ind w:left="426" w:hanging="426"/>
        <w:contextualSpacing w:val="0"/>
        <w:jc w:val="both"/>
        <w:rPr>
          <w:rFonts w:ascii="Arial" w:hAnsi="Arial" w:cs="Arial"/>
        </w:rPr>
      </w:pPr>
      <w:r>
        <w:rPr>
          <w:rFonts w:ascii="Arial" w:hAnsi="Arial" w:cs="Arial"/>
        </w:rPr>
        <w:t>Include as an express objective, that Queensland legislation is consistent with the promotion and protection of human rights;</w:t>
      </w:r>
    </w:p>
    <w:p w:rsidR="00FD374D" w:rsidRDefault="00FD374D" w:rsidP="00687A8B">
      <w:pPr>
        <w:pStyle w:val="ListParagraph"/>
        <w:numPr>
          <w:ilvl w:val="0"/>
          <w:numId w:val="12"/>
        </w:numPr>
        <w:spacing w:after="160"/>
        <w:ind w:left="426" w:hanging="426"/>
        <w:contextualSpacing w:val="0"/>
        <w:jc w:val="both"/>
        <w:rPr>
          <w:rFonts w:ascii="Arial" w:hAnsi="Arial" w:cs="Arial"/>
        </w:rPr>
      </w:pPr>
      <w:r>
        <w:rPr>
          <w:rFonts w:ascii="Arial" w:hAnsi="Arial" w:cs="Arial"/>
        </w:rPr>
        <w:t>Replace the expression ‘rights and liberties of individuals’ with ‘human rights’;</w:t>
      </w:r>
    </w:p>
    <w:p w:rsidR="00FD374D" w:rsidRDefault="00FD374D" w:rsidP="00687A8B">
      <w:pPr>
        <w:pStyle w:val="ListParagraph"/>
        <w:numPr>
          <w:ilvl w:val="0"/>
          <w:numId w:val="12"/>
        </w:numPr>
        <w:spacing w:after="160"/>
        <w:ind w:left="426" w:hanging="426"/>
        <w:contextualSpacing w:val="0"/>
        <w:jc w:val="both"/>
        <w:rPr>
          <w:rFonts w:ascii="Arial" w:hAnsi="Arial" w:cs="Arial"/>
        </w:rPr>
      </w:pPr>
      <w:r>
        <w:rPr>
          <w:rFonts w:ascii="Arial" w:hAnsi="Arial" w:cs="Arial"/>
        </w:rPr>
        <w:t>Define ‘human rights’ in an inclusive manner as suggested above;</w:t>
      </w:r>
    </w:p>
    <w:p w:rsidR="00FD374D" w:rsidRDefault="00FD374D" w:rsidP="00687A8B">
      <w:pPr>
        <w:pStyle w:val="ListParagraph"/>
        <w:numPr>
          <w:ilvl w:val="0"/>
          <w:numId w:val="12"/>
        </w:numPr>
        <w:spacing w:after="160"/>
        <w:ind w:left="426" w:hanging="426"/>
        <w:contextualSpacing w:val="0"/>
        <w:jc w:val="both"/>
        <w:rPr>
          <w:rFonts w:ascii="Arial" w:hAnsi="Arial" w:cs="Arial"/>
        </w:rPr>
      </w:pPr>
      <w:r>
        <w:rPr>
          <w:rFonts w:ascii="Arial" w:hAnsi="Arial" w:cs="Arial"/>
        </w:rPr>
        <w:t>Develop and implement a ‘Guidance Note’ to assist in identifying human rights issues;</w:t>
      </w:r>
    </w:p>
    <w:p w:rsidR="00FD374D" w:rsidRDefault="00FD374D" w:rsidP="00687A8B">
      <w:pPr>
        <w:pStyle w:val="ListParagraph"/>
        <w:numPr>
          <w:ilvl w:val="0"/>
          <w:numId w:val="12"/>
        </w:numPr>
        <w:spacing w:after="160"/>
        <w:ind w:left="426" w:hanging="426"/>
        <w:contextualSpacing w:val="0"/>
        <w:jc w:val="both"/>
        <w:rPr>
          <w:rFonts w:ascii="Arial" w:hAnsi="Arial" w:cs="Arial"/>
        </w:rPr>
      </w:pPr>
      <w:r>
        <w:rPr>
          <w:rFonts w:ascii="Arial" w:hAnsi="Arial" w:cs="Arial"/>
        </w:rPr>
        <w:t>Replace the requirement for explanatory notes to include a ‘brief assessment of consistency’ with a requirement of a ‘statement of compatibility’ with fundamental legislative principles for all Bills and amendments;</w:t>
      </w:r>
    </w:p>
    <w:p w:rsidR="00FD374D" w:rsidRDefault="00FD374D" w:rsidP="00687A8B">
      <w:pPr>
        <w:pStyle w:val="ListParagraph"/>
        <w:numPr>
          <w:ilvl w:val="0"/>
          <w:numId w:val="12"/>
        </w:numPr>
        <w:spacing w:after="160"/>
        <w:ind w:left="426" w:hanging="426"/>
        <w:contextualSpacing w:val="0"/>
        <w:jc w:val="both"/>
        <w:rPr>
          <w:rFonts w:ascii="Arial" w:hAnsi="Arial" w:cs="Arial"/>
        </w:rPr>
      </w:pPr>
      <w:r>
        <w:rPr>
          <w:rFonts w:ascii="Arial" w:hAnsi="Arial" w:cs="Arial"/>
        </w:rPr>
        <w:t>Require the Member promoting a Bill to respond to any recommendations or concerns raised by the portfolio committee about compatibility with the fundamental legislative principles.</w:t>
      </w:r>
    </w:p>
    <w:p w:rsidR="00FD374D" w:rsidRDefault="00FD374D" w:rsidP="00687A8B">
      <w:pPr>
        <w:tabs>
          <w:tab w:val="left" w:pos="1843"/>
        </w:tabs>
        <w:spacing w:after="160"/>
        <w:jc w:val="both"/>
        <w:rPr>
          <w:rFonts w:ascii="Arial" w:hAnsi="Arial" w:cs="Arial"/>
        </w:rPr>
      </w:pPr>
      <w:r>
        <w:rPr>
          <w:rFonts w:ascii="Arial" w:hAnsi="Arial" w:cs="Arial"/>
        </w:rPr>
        <w:t>Thank you for providing the Commission with the opportunity to make this further submission.</w:t>
      </w:r>
    </w:p>
    <w:p w:rsidR="00FD374D" w:rsidRDefault="00FD374D" w:rsidP="00687A8B">
      <w:pPr>
        <w:tabs>
          <w:tab w:val="left" w:pos="1843"/>
        </w:tabs>
        <w:spacing w:after="160"/>
        <w:jc w:val="both"/>
        <w:rPr>
          <w:rFonts w:ascii="Arial" w:hAnsi="Arial" w:cs="Arial"/>
        </w:rPr>
      </w:pPr>
      <w:r>
        <w:rPr>
          <w:rFonts w:ascii="Arial" w:hAnsi="Arial" w:cs="Arial"/>
        </w:rPr>
        <w:t>Yours sincerely</w:t>
      </w:r>
    </w:p>
    <w:p w:rsidR="00FD374D" w:rsidRDefault="00FD374D" w:rsidP="00FD374D">
      <w:pPr>
        <w:tabs>
          <w:tab w:val="left" w:pos="1843"/>
        </w:tabs>
        <w:spacing w:before="240" w:after="120"/>
        <w:jc w:val="both"/>
        <w:rPr>
          <w:rFonts w:ascii="Arial" w:hAnsi="Arial" w:cs="Arial"/>
        </w:rPr>
      </w:pPr>
      <w:r>
        <w:rPr>
          <w:rFonts w:ascii="Arial" w:hAnsi="Arial" w:cs="Arial"/>
          <w:noProof/>
        </w:rPr>
        <w:drawing>
          <wp:inline distT="0" distB="0" distL="0" distR="0">
            <wp:extent cx="1346200" cy="861309"/>
            <wp:effectExtent l="0" t="0" r="6350" b="0"/>
            <wp:docPr id="2" name="Picture 1" title="Signature of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Signature of Commission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6200" cy="861060"/>
                    </a:xfrm>
                    <a:prstGeom prst="rect">
                      <a:avLst/>
                    </a:prstGeom>
                  </pic:spPr>
                </pic:pic>
              </a:graphicData>
            </a:graphic>
          </wp:inline>
        </w:drawing>
      </w:r>
    </w:p>
    <w:p w:rsidR="00FD374D" w:rsidRPr="000E2849" w:rsidRDefault="00FD374D" w:rsidP="00FD374D">
      <w:pPr>
        <w:tabs>
          <w:tab w:val="left" w:pos="1843"/>
        </w:tabs>
        <w:spacing w:before="240"/>
        <w:jc w:val="both"/>
        <w:rPr>
          <w:rFonts w:ascii="Arial" w:hAnsi="Arial" w:cs="Arial"/>
          <w:b/>
        </w:rPr>
      </w:pPr>
      <w:r w:rsidRPr="000E2849">
        <w:rPr>
          <w:rFonts w:ascii="Arial" w:hAnsi="Arial" w:cs="Arial"/>
          <w:b/>
        </w:rPr>
        <w:t>KEVIN COCKS AM</w:t>
      </w:r>
    </w:p>
    <w:p w:rsidR="00FD374D" w:rsidRPr="000E2849" w:rsidRDefault="00FD374D" w:rsidP="00FD374D">
      <w:pPr>
        <w:tabs>
          <w:tab w:val="left" w:pos="1843"/>
        </w:tabs>
        <w:spacing w:after="120"/>
        <w:jc w:val="both"/>
        <w:rPr>
          <w:rFonts w:ascii="Arial" w:hAnsi="Arial" w:cs="Arial"/>
          <w:b/>
        </w:rPr>
      </w:pPr>
      <w:r w:rsidRPr="000E2849">
        <w:rPr>
          <w:rFonts w:ascii="Arial" w:hAnsi="Arial" w:cs="Arial"/>
          <w:b/>
        </w:rPr>
        <w:t>Anti-Discrimination Commissioner Queensland</w:t>
      </w:r>
    </w:p>
    <w:p w:rsidR="00FB6E0B" w:rsidRPr="00FD374D" w:rsidRDefault="00FB6E0B" w:rsidP="00FD374D"/>
    <w:sectPr w:rsidR="00FB6E0B" w:rsidRPr="00FD374D" w:rsidSect="00753099">
      <w:headerReference w:type="default" r:id="rId9"/>
      <w:headerReference w:type="first" r:id="rId10"/>
      <w:footerReference w:type="first" r:id="rId11"/>
      <w:pgSz w:w="11909" w:h="16834" w:code="9"/>
      <w:pgMar w:top="1672" w:right="1469" w:bottom="993" w:left="1276" w:header="3" w:footer="0"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D4E" w:rsidRDefault="001B4D4E" w:rsidP="00E10CC6">
      <w:pPr>
        <w:pStyle w:val="AnnualReport"/>
      </w:pPr>
      <w:r>
        <w:separator/>
      </w:r>
    </w:p>
  </w:endnote>
  <w:endnote w:type="continuationSeparator" w:id="0">
    <w:p w:rsidR="001B4D4E" w:rsidRDefault="001B4D4E" w:rsidP="00E10CC6">
      <w:pPr>
        <w:pStyle w:val="AnnualRepor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D3" w:rsidRDefault="00FD374D" w:rsidP="00753099">
    <w:pPr>
      <w:pStyle w:val="Footer"/>
      <w:tabs>
        <w:tab w:val="clear" w:pos="4153"/>
        <w:tab w:val="clear" w:pos="8306"/>
        <w:tab w:val="left" w:pos="6779"/>
      </w:tabs>
      <w:ind w:hanging="1276"/>
    </w:pPr>
    <w:r>
      <w:rPr>
        <w:noProof/>
      </w:rPr>
      <w:drawing>
        <wp:inline distT="0" distB="0" distL="0" distR="0" wp14:anchorId="25A8B53E" wp14:editId="543DC9CA">
          <wp:extent cx="7547610" cy="1432560"/>
          <wp:effectExtent l="0" t="0" r="0" b="0"/>
          <wp:docPr id="4" name="Picture 4" title="ADCQ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t="86600"/>
                  <a:stretch>
                    <a:fillRect/>
                  </a:stretch>
                </pic:blipFill>
                <pic:spPr bwMode="auto">
                  <a:xfrm>
                    <a:off x="0" y="0"/>
                    <a:ext cx="7547610" cy="1432560"/>
                  </a:xfrm>
                  <a:prstGeom prst="rect">
                    <a:avLst/>
                  </a:prstGeom>
                  <a:solidFill>
                    <a:srgbClr val="FFFFFF"/>
                  </a:solidFill>
                  <a:ln>
                    <a:noFill/>
                  </a:ln>
                </pic:spPr>
              </pic:pic>
            </a:graphicData>
          </a:graphic>
        </wp:inline>
      </w:drawing>
    </w:r>
    <w:r w:rsidR="00687A8B">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D4E" w:rsidRDefault="001B4D4E" w:rsidP="00E10CC6">
      <w:pPr>
        <w:pStyle w:val="AnnualReport"/>
      </w:pPr>
      <w:r>
        <w:separator/>
      </w:r>
    </w:p>
  </w:footnote>
  <w:footnote w:type="continuationSeparator" w:id="0">
    <w:p w:rsidR="001B4D4E" w:rsidRDefault="001B4D4E" w:rsidP="00E10CC6">
      <w:pPr>
        <w:pStyle w:val="AnnualRepor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D3" w:rsidRDefault="00DB34D3" w:rsidP="00453563">
    <w:pPr>
      <w:pStyle w:val="Header"/>
      <w:tabs>
        <w:tab w:val="clear" w:pos="4153"/>
        <w:tab w:val="clear" w:pos="8306"/>
        <w:tab w:val="right" w:pos="8640"/>
      </w:tabs>
      <w:spacing w:before="360"/>
      <w:rPr>
        <w:rStyle w:val="PageNumber"/>
        <w:rFonts w:ascii="Arial" w:hAnsi="Arial" w:cs="Arial"/>
        <w:sz w:val="20"/>
        <w:szCs w:val="20"/>
      </w:rPr>
    </w:pPr>
    <w:r w:rsidRPr="00D1644B">
      <w:rPr>
        <w:rFonts w:ascii="Arial" w:hAnsi="Arial" w:cs="Arial"/>
        <w:sz w:val="20"/>
        <w:szCs w:val="20"/>
      </w:rPr>
      <w:tab/>
      <w:t xml:space="preserve">Page </w:t>
    </w:r>
    <w:r w:rsidRPr="00D1644B">
      <w:rPr>
        <w:rStyle w:val="PageNumber"/>
        <w:rFonts w:ascii="Arial" w:hAnsi="Arial" w:cs="Arial"/>
        <w:sz w:val="20"/>
        <w:szCs w:val="20"/>
      </w:rPr>
      <w:fldChar w:fldCharType="begin"/>
    </w:r>
    <w:r w:rsidRPr="00D1644B">
      <w:rPr>
        <w:rStyle w:val="PageNumber"/>
        <w:rFonts w:ascii="Arial" w:hAnsi="Arial" w:cs="Arial"/>
        <w:sz w:val="20"/>
        <w:szCs w:val="20"/>
      </w:rPr>
      <w:instrText xml:space="preserve"> PAGE </w:instrText>
    </w:r>
    <w:r w:rsidRPr="00D1644B">
      <w:rPr>
        <w:rStyle w:val="PageNumber"/>
        <w:rFonts w:ascii="Arial" w:hAnsi="Arial" w:cs="Arial"/>
        <w:sz w:val="20"/>
        <w:szCs w:val="20"/>
      </w:rPr>
      <w:fldChar w:fldCharType="separate"/>
    </w:r>
    <w:r w:rsidR="00453563">
      <w:rPr>
        <w:rStyle w:val="PageNumber"/>
        <w:rFonts w:ascii="Arial" w:hAnsi="Arial" w:cs="Arial"/>
        <w:noProof/>
        <w:sz w:val="20"/>
        <w:szCs w:val="20"/>
      </w:rPr>
      <w:t>2</w:t>
    </w:r>
    <w:r w:rsidRPr="00D1644B">
      <w:rPr>
        <w:rStyle w:val="PageNumber"/>
        <w:rFonts w:ascii="Arial" w:hAnsi="Arial" w:cs="Arial"/>
        <w:sz w:val="20"/>
        <w:szCs w:val="20"/>
      </w:rPr>
      <w:fldChar w:fldCharType="end"/>
    </w:r>
  </w:p>
  <w:p w:rsidR="00DB34D3" w:rsidRDefault="00DB34D3" w:rsidP="00D1644B">
    <w:pPr>
      <w:pStyle w:val="Header"/>
      <w:pBdr>
        <w:bottom w:val="single" w:sz="6" w:space="1" w:color="auto"/>
      </w:pBdr>
      <w:tabs>
        <w:tab w:val="clear" w:pos="4153"/>
        <w:tab w:val="clear" w:pos="8306"/>
        <w:tab w:val="right" w:pos="8640"/>
      </w:tabs>
      <w:rPr>
        <w:rStyle w:val="PageNumber"/>
        <w:rFonts w:ascii="Arial" w:hAnsi="Arial" w:cs="Arial"/>
        <w:sz w:val="20"/>
        <w:szCs w:val="20"/>
      </w:rPr>
    </w:pPr>
  </w:p>
  <w:p w:rsidR="00DB34D3" w:rsidRPr="00D1644B" w:rsidRDefault="00DB34D3" w:rsidP="00D1644B">
    <w:pPr>
      <w:pStyle w:val="Header"/>
      <w:tabs>
        <w:tab w:val="clear" w:pos="4153"/>
        <w:tab w:val="clear" w:pos="8306"/>
        <w:tab w:val="right" w:pos="8640"/>
      </w:tabs>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D3" w:rsidRDefault="00FD374D" w:rsidP="00753099">
    <w:pPr>
      <w:pStyle w:val="Header"/>
      <w:ind w:hanging="1276"/>
    </w:pPr>
    <w:r>
      <w:rPr>
        <w:noProof/>
      </w:rPr>
      <w:drawing>
        <wp:inline distT="0" distB="0" distL="0" distR="0" wp14:anchorId="3135090E" wp14:editId="5AA922CB">
          <wp:extent cx="7547610" cy="1143000"/>
          <wp:effectExtent l="0" t="0" r="0" b="0"/>
          <wp:docPr id="3" name="Picture 3" title="ADCQ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89308"/>
                  <a:stretch>
                    <a:fillRect/>
                  </a:stretch>
                </pic:blipFill>
                <pic:spPr bwMode="auto">
                  <a:xfrm>
                    <a:off x="0" y="0"/>
                    <a:ext cx="7547610" cy="11430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842"/>
    <w:multiLevelType w:val="multilevel"/>
    <w:tmpl w:val="F4D6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3327C"/>
    <w:multiLevelType w:val="hybridMultilevel"/>
    <w:tmpl w:val="189A11CE"/>
    <w:lvl w:ilvl="0" w:tplc="425055C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DB763D2"/>
    <w:multiLevelType w:val="hybridMultilevel"/>
    <w:tmpl w:val="B23C153A"/>
    <w:lvl w:ilvl="0" w:tplc="4D788E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20117AC"/>
    <w:multiLevelType w:val="hybridMultilevel"/>
    <w:tmpl w:val="C45A5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65A2052"/>
    <w:multiLevelType w:val="hybridMultilevel"/>
    <w:tmpl w:val="BD4EDA8A"/>
    <w:lvl w:ilvl="0" w:tplc="00CA99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F147553"/>
    <w:multiLevelType w:val="singleLevel"/>
    <w:tmpl w:val="0C090019"/>
    <w:lvl w:ilvl="0">
      <w:start w:val="1"/>
      <w:numFmt w:val="lowerLetter"/>
      <w:lvlText w:val="(%1)"/>
      <w:lvlJc w:val="left"/>
      <w:pPr>
        <w:tabs>
          <w:tab w:val="num" w:pos="360"/>
        </w:tabs>
        <w:ind w:left="360" w:hanging="360"/>
      </w:pPr>
      <w:rPr>
        <w:rFonts w:hint="default"/>
      </w:rPr>
    </w:lvl>
  </w:abstractNum>
  <w:abstractNum w:abstractNumId="6">
    <w:nsid w:val="50384A7D"/>
    <w:multiLevelType w:val="hybridMultilevel"/>
    <w:tmpl w:val="C1C6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33E313C"/>
    <w:multiLevelType w:val="multilevel"/>
    <w:tmpl w:val="B02E576E"/>
    <w:lvl w:ilvl="0">
      <w:start w:val="1"/>
      <w:numFmt w:val="decimal"/>
      <w:lvlText w:val="%1.1"/>
      <w:lvlJc w:val="left"/>
      <w:pPr>
        <w:tabs>
          <w:tab w:val="num" w:pos="720"/>
        </w:tabs>
        <w:ind w:left="720" w:hanging="720"/>
      </w:pPr>
      <w:rPr>
        <w:rFonts w:ascii="Tahoma" w:hAnsi="Tahoma" w:cs="Arial" w:hint="default"/>
        <w:b w:val="0"/>
        <w:i w:val="0"/>
        <w:sz w:val="24"/>
      </w:rPr>
    </w:lvl>
    <w:lvl w:ilvl="1">
      <w:start w:val="1"/>
      <w:numFmt w:val="lowerLetter"/>
      <w:lvlText w:val="(%2)"/>
      <w:lvlJc w:val="left"/>
      <w:pPr>
        <w:tabs>
          <w:tab w:val="num" w:pos="1440"/>
        </w:tabs>
        <w:ind w:left="1512" w:hanging="72"/>
      </w:pPr>
      <w:rPr>
        <w:rFonts w:ascii="Arial" w:hAnsi="Arial" w:cs="Arial" w:hint="default"/>
        <w:sz w:val="22"/>
      </w:rPr>
    </w:lvl>
    <w:lvl w:ilvl="2">
      <w:start w:val="1"/>
      <w:numFmt w:val="lowerRoman"/>
      <w:pStyle w:val="Heading3"/>
      <w:lvlText w:val="%3)"/>
      <w:lvlJc w:val="left"/>
      <w:pPr>
        <w:tabs>
          <w:tab w:val="num" w:pos="2511"/>
        </w:tabs>
        <w:ind w:left="2511" w:hanging="504"/>
      </w:pPr>
      <w:rPr>
        <w:rFonts w:ascii="Arial" w:hAnsi="Arial" w:cs="Arial" w:hint="default"/>
        <w:b w:val="0"/>
        <w:i w:val="0"/>
        <w:sz w:val="20"/>
      </w:rPr>
    </w:lvl>
    <w:lvl w:ilvl="3">
      <w:start w:val="1"/>
      <w:numFmt w:val="decimal"/>
      <w:lvlText w:val="(%4)"/>
      <w:lvlJc w:val="left"/>
      <w:pPr>
        <w:tabs>
          <w:tab w:val="num" w:pos="1440"/>
        </w:tabs>
        <w:ind w:left="1440" w:hanging="7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A621A48"/>
    <w:multiLevelType w:val="hybridMultilevel"/>
    <w:tmpl w:val="09683880"/>
    <w:lvl w:ilvl="0" w:tplc="0C09000F">
      <w:start w:val="1"/>
      <w:numFmt w:val="decimal"/>
      <w:lvlText w:val="%1."/>
      <w:lvlJc w:val="left"/>
      <w:pPr>
        <w:ind w:left="-351"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9">
    <w:nsid w:val="62DA07C3"/>
    <w:multiLevelType w:val="hybridMultilevel"/>
    <w:tmpl w:val="0E366E10"/>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nsid w:val="6D8377A4"/>
    <w:multiLevelType w:val="multilevel"/>
    <w:tmpl w:val="85E66136"/>
    <w:lvl w:ilvl="0">
      <w:start w:val="2"/>
      <w:numFmt w:val="decimal"/>
      <w:lvlText w:val="%1"/>
      <w:lvlJc w:val="left"/>
      <w:pPr>
        <w:tabs>
          <w:tab w:val="num" w:pos="720"/>
        </w:tabs>
        <w:ind w:left="720" w:hanging="720"/>
      </w:pPr>
      <w:rPr>
        <w:rFonts w:ascii="Tahoma" w:hAnsi="Tahoma" w:hint="default"/>
        <w:sz w:val="24"/>
      </w:rPr>
    </w:lvl>
    <w:lvl w:ilvl="1">
      <w:start w:val="1"/>
      <w:numFmt w:val="decimal"/>
      <w:pStyle w:val="AnnualReport"/>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A28193F"/>
    <w:multiLevelType w:val="multilevel"/>
    <w:tmpl w:val="859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0"/>
  </w:num>
  <w:num w:numId="4">
    <w:abstractNumId w:val="11"/>
  </w:num>
  <w:num w:numId="5">
    <w:abstractNumId w:val="9"/>
  </w:num>
  <w:num w:numId="6">
    <w:abstractNumId w:val="5"/>
  </w:num>
  <w:num w:numId="7">
    <w:abstractNumId w:val="1"/>
  </w:num>
  <w:num w:numId="8">
    <w:abstractNumId w:val="4"/>
  </w:num>
  <w:num w:numId="9">
    <w:abstractNumId w:val="2"/>
  </w:num>
  <w:num w:numId="10">
    <w:abstractNumId w:val="6"/>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4B"/>
    <w:rsid w:val="00001265"/>
    <w:rsid w:val="00003234"/>
    <w:rsid w:val="000077C1"/>
    <w:rsid w:val="000109BB"/>
    <w:rsid w:val="0001181C"/>
    <w:rsid w:val="0001304A"/>
    <w:rsid w:val="0002079D"/>
    <w:rsid w:val="00024487"/>
    <w:rsid w:val="00024705"/>
    <w:rsid w:val="0002542C"/>
    <w:rsid w:val="000302B6"/>
    <w:rsid w:val="000319ED"/>
    <w:rsid w:val="000329CA"/>
    <w:rsid w:val="0003322C"/>
    <w:rsid w:val="00033435"/>
    <w:rsid w:val="00033626"/>
    <w:rsid w:val="000410CE"/>
    <w:rsid w:val="000414FD"/>
    <w:rsid w:val="0004305B"/>
    <w:rsid w:val="000500FC"/>
    <w:rsid w:val="000510BE"/>
    <w:rsid w:val="000521B9"/>
    <w:rsid w:val="00054F10"/>
    <w:rsid w:val="00055101"/>
    <w:rsid w:val="00055904"/>
    <w:rsid w:val="000570B1"/>
    <w:rsid w:val="000600B0"/>
    <w:rsid w:val="000605FB"/>
    <w:rsid w:val="00060C2F"/>
    <w:rsid w:val="00067A59"/>
    <w:rsid w:val="00072B49"/>
    <w:rsid w:val="00072E5A"/>
    <w:rsid w:val="0007303B"/>
    <w:rsid w:val="0007329A"/>
    <w:rsid w:val="00073834"/>
    <w:rsid w:val="00074517"/>
    <w:rsid w:val="00077ADF"/>
    <w:rsid w:val="00080755"/>
    <w:rsid w:val="0008164C"/>
    <w:rsid w:val="00081721"/>
    <w:rsid w:val="00082B5E"/>
    <w:rsid w:val="00091C7B"/>
    <w:rsid w:val="00091F51"/>
    <w:rsid w:val="00092521"/>
    <w:rsid w:val="00094AE7"/>
    <w:rsid w:val="000A173C"/>
    <w:rsid w:val="000A5B3E"/>
    <w:rsid w:val="000A5FA6"/>
    <w:rsid w:val="000A661F"/>
    <w:rsid w:val="000B1B04"/>
    <w:rsid w:val="000B6EA7"/>
    <w:rsid w:val="000B71E1"/>
    <w:rsid w:val="000B752A"/>
    <w:rsid w:val="000B78E5"/>
    <w:rsid w:val="000C12E8"/>
    <w:rsid w:val="000C2AF5"/>
    <w:rsid w:val="000C38EE"/>
    <w:rsid w:val="000C42C1"/>
    <w:rsid w:val="000C6FD5"/>
    <w:rsid w:val="000D1038"/>
    <w:rsid w:val="000D1273"/>
    <w:rsid w:val="000D3267"/>
    <w:rsid w:val="000D3FA9"/>
    <w:rsid w:val="000E19BF"/>
    <w:rsid w:val="000E38B4"/>
    <w:rsid w:val="000E4903"/>
    <w:rsid w:val="000E77C1"/>
    <w:rsid w:val="000F0532"/>
    <w:rsid w:val="000F376D"/>
    <w:rsid w:val="000F5AB6"/>
    <w:rsid w:val="000F5C96"/>
    <w:rsid w:val="000F7A4E"/>
    <w:rsid w:val="001074EB"/>
    <w:rsid w:val="00111BF0"/>
    <w:rsid w:val="00113161"/>
    <w:rsid w:val="0011487D"/>
    <w:rsid w:val="00114A9A"/>
    <w:rsid w:val="001207EB"/>
    <w:rsid w:val="001306EA"/>
    <w:rsid w:val="00137885"/>
    <w:rsid w:val="00137DA5"/>
    <w:rsid w:val="0014009E"/>
    <w:rsid w:val="001416C8"/>
    <w:rsid w:val="00146610"/>
    <w:rsid w:val="001543EC"/>
    <w:rsid w:val="00156B3A"/>
    <w:rsid w:val="00156F3A"/>
    <w:rsid w:val="00157D93"/>
    <w:rsid w:val="00166A2A"/>
    <w:rsid w:val="001672CF"/>
    <w:rsid w:val="0016795E"/>
    <w:rsid w:val="00171C51"/>
    <w:rsid w:val="00172DCA"/>
    <w:rsid w:val="00173C11"/>
    <w:rsid w:val="00174D8F"/>
    <w:rsid w:val="001805D3"/>
    <w:rsid w:val="00184693"/>
    <w:rsid w:val="00185352"/>
    <w:rsid w:val="00185DAA"/>
    <w:rsid w:val="00186847"/>
    <w:rsid w:val="00187E62"/>
    <w:rsid w:val="001941EA"/>
    <w:rsid w:val="001A057F"/>
    <w:rsid w:val="001A0F9B"/>
    <w:rsid w:val="001A4A2A"/>
    <w:rsid w:val="001A58E8"/>
    <w:rsid w:val="001A6574"/>
    <w:rsid w:val="001B1134"/>
    <w:rsid w:val="001B1BDA"/>
    <w:rsid w:val="001B1EFD"/>
    <w:rsid w:val="001B2414"/>
    <w:rsid w:val="001B4032"/>
    <w:rsid w:val="001B4499"/>
    <w:rsid w:val="001B4D4E"/>
    <w:rsid w:val="001B7E87"/>
    <w:rsid w:val="001C2A2E"/>
    <w:rsid w:val="001C4F54"/>
    <w:rsid w:val="001C58D5"/>
    <w:rsid w:val="001D0EC0"/>
    <w:rsid w:val="001D231E"/>
    <w:rsid w:val="001D4386"/>
    <w:rsid w:val="001D44C1"/>
    <w:rsid w:val="001D6D8E"/>
    <w:rsid w:val="001D7119"/>
    <w:rsid w:val="001E1937"/>
    <w:rsid w:val="001E3A01"/>
    <w:rsid w:val="001E3ADD"/>
    <w:rsid w:val="001E67AA"/>
    <w:rsid w:val="001F158A"/>
    <w:rsid w:val="001F2354"/>
    <w:rsid w:val="001F44A8"/>
    <w:rsid w:val="001F48B8"/>
    <w:rsid w:val="001F539C"/>
    <w:rsid w:val="00202AE3"/>
    <w:rsid w:val="00205446"/>
    <w:rsid w:val="00205755"/>
    <w:rsid w:val="00205D9F"/>
    <w:rsid w:val="0020642B"/>
    <w:rsid w:val="0020647B"/>
    <w:rsid w:val="00207F89"/>
    <w:rsid w:val="00210A5A"/>
    <w:rsid w:val="00210EA8"/>
    <w:rsid w:val="00211E66"/>
    <w:rsid w:val="0021243E"/>
    <w:rsid w:val="00213158"/>
    <w:rsid w:val="00213250"/>
    <w:rsid w:val="00213A46"/>
    <w:rsid w:val="00213F94"/>
    <w:rsid w:val="00214711"/>
    <w:rsid w:val="00214955"/>
    <w:rsid w:val="0021623D"/>
    <w:rsid w:val="0021797A"/>
    <w:rsid w:val="00220E14"/>
    <w:rsid w:val="00221E33"/>
    <w:rsid w:val="0022329A"/>
    <w:rsid w:val="002350EB"/>
    <w:rsid w:val="00235F16"/>
    <w:rsid w:val="00236982"/>
    <w:rsid w:val="002369DF"/>
    <w:rsid w:val="002431BF"/>
    <w:rsid w:val="00243BE3"/>
    <w:rsid w:val="00244F54"/>
    <w:rsid w:val="00245712"/>
    <w:rsid w:val="002520E4"/>
    <w:rsid w:val="00252536"/>
    <w:rsid w:val="00261E83"/>
    <w:rsid w:val="00261F30"/>
    <w:rsid w:val="0028014B"/>
    <w:rsid w:val="002806F9"/>
    <w:rsid w:val="0028233F"/>
    <w:rsid w:val="0028447A"/>
    <w:rsid w:val="002844CC"/>
    <w:rsid w:val="0028500E"/>
    <w:rsid w:val="002853B3"/>
    <w:rsid w:val="00285F99"/>
    <w:rsid w:val="002930BF"/>
    <w:rsid w:val="00295628"/>
    <w:rsid w:val="0029587F"/>
    <w:rsid w:val="002A0415"/>
    <w:rsid w:val="002A30F3"/>
    <w:rsid w:val="002A5B25"/>
    <w:rsid w:val="002A6BC8"/>
    <w:rsid w:val="002B03F9"/>
    <w:rsid w:val="002B3480"/>
    <w:rsid w:val="002B458D"/>
    <w:rsid w:val="002B5577"/>
    <w:rsid w:val="002B5A21"/>
    <w:rsid w:val="002C0CC7"/>
    <w:rsid w:val="002C290C"/>
    <w:rsid w:val="002C3736"/>
    <w:rsid w:val="002D1B7A"/>
    <w:rsid w:val="002D50D6"/>
    <w:rsid w:val="002E14D0"/>
    <w:rsid w:val="002F1611"/>
    <w:rsid w:val="002F2273"/>
    <w:rsid w:val="002F3293"/>
    <w:rsid w:val="002F424F"/>
    <w:rsid w:val="00300B1D"/>
    <w:rsid w:val="0030152F"/>
    <w:rsid w:val="003015B1"/>
    <w:rsid w:val="00301D40"/>
    <w:rsid w:val="00302192"/>
    <w:rsid w:val="00307213"/>
    <w:rsid w:val="003077D6"/>
    <w:rsid w:val="003104DA"/>
    <w:rsid w:val="00312880"/>
    <w:rsid w:val="003137C0"/>
    <w:rsid w:val="003143F0"/>
    <w:rsid w:val="00315003"/>
    <w:rsid w:val="00316D25"/>
    <w:rsid w:val="00317076"/>
    <w:rsid w:val="00320592"/>
    <w:rsid w:val="00323EE3"/>
    <w:rsid w:val="0032533C"/>
    <w:rsid w:val="00326D03"/>
    <w:rsid w:val="0033666D"/>
    <w:rsid w:val="00340C39"/>
    <w:rsid w:val="0034387D"/>
    <w:rsid w:val="00344421"/>
    <w:rsid w:val="003474F3"/>
    <w:rsid w:val="00350A43"/>
    <w:rsid w:val="0035248B"/>
    <w:rsid w:val="003525C3"/>
    <w:rsid w:val="00353B2E"/>
    <w:rsid w:val="00354740"/>
    <w:rsid w:val="00355FD1"/>
    <w:rsid w:val="00361AC8"/>
    <w:rsid w:val="0036427F"/>
    <w:rsid w:val="003647F9"/>
    <w:rsid w:val="00364FD5"/>
    <w:rsid w:val="00365044"/>
    <w:rsid w:val="00371A85"/>
    <w:rsid w:val="00375521"/>
    <w:rsid w:val="0037774F"/>
    <w:rsid w:val="00381199"/>
    <w:rsid w:val="00383C86"/>
    <w:rsid w:val="00386944"/>
    <w:rsid w:val="003871DC"/>
    <w:rsid w:val="0039372C"/>
    <w:rsid w:val="00395639"/>
    <w:rsid w:val="003964C2"/>
    <w:rsid w:val="003A2115"/>
    <w:rsid w:val="003A2F2A"/>
    <w:rsid w:val="003A3388"/>
    <w:rsid w:val="003A363B"/>
    <w:rsid w:val="003A3FAB"/>
    <w:rsid w:val="003C1ACC"/>
    <w:rsid w:val="003C4188"/>
    <w:rsid w:val="003C50B5"/>
    <w:rsid w:val="003D1CFA"/>
    <w:rsid w:val="003D2325"/>
    <w:rsid w:val="003D232D"/>
    <w:rsid w:val="003D70C3"/>
    <w:rsid w:val="003E0D7C"/>
    <w:rsid w:val="003E1930"/>
    <w:rsid w:val="003E63B2"/>
    <w:rsid w:val="003E67DE"/>
    <w:rsid w:val="003F0D7F"/>
    <w:rsid w:val="003F2E6D"/>
    <w:rsid w:val="003F4B29"/>
    <w:rsid w:val="003F596C"/>
    <w:rsid w:val="003F59C9"/>
    <w:rsid w:val="00401C6A"/>
    <w:rsid w:val="00401D7C"/>
    <w:rsid w:val="00403A0D"/>
    <w:rsid w:val="004043E6"/>
    <w:rsid w:val="00404ECE"/>
    <w:rsid w:val="004051CC"/>
    <w:rsid w:val="00405DA6"/>
    <w:rsid w:val="00405FC7"/>
    <w:rsid w:val="00406946"/>
    <w:rsid w:val="0041093E"/>
    <w:rsid w:val="00414659"/>
    <w:rsid w:val="004156D8"/>
    <w:rsid w:val="00415F8B"/>
    <w:rsid w:val="004167A0"/>
    <w:rsid w:val="00416B9F"/>
    <w:rsid w:val="004206CC"/>
    <w:rsid w:val="00423FC3"/>
    <w:rsid w:val="004258C4"/>
    <w:rsid w:val="00426059"/>
    <w:rsid w:val="00431BC3"/>
    <w:rsid w:val="00432C84"/>
    <w:rsid w:val="00432CB3"/>
    <w:rsid w:val="0043457E"/>
    <w:rsid w:val="00437653"/>
    <w:rsid w:val="004401D0"/>
    <w:rsid w:val="00440511"/>
    <w:rsid w:val="0044061E"/>
    <w:rsid w:val="00440E71"/>
    <w:rsid w:val="004423E4"/>
    <w:rsid w:val="0044470E"/>
    <w:rsid w:val="00450B86"/>
    <w:rsid w:val="00451CF9"/>
    <w:rsid w:val="00451FE3"/>
    <w:rsid w:val="00453563"/>
    <w:rsid w:val="0045440F"/>
    <w:rsid w:val="004546EF"/>
    <w:rsid w:val="00457871"/>
    <w:rsid w:val="00461571"/>
    <w:rsid w:val="00463990"/>
    <w:rsid w:val="0046420C"/>
    <w:rsid w:val="0046669D"/>
    <w:rsid w:val="00472998"/>
    <w:rsid w:val="00473E61"/>
    <w:rsid w:val="00473E93"/>
    <w:rsid w:val="00481A77"/>
    <w:rsid w:val="00482DA1"/>
    <w:rsid w:val="004847BF"/>
    <w:rsid w:val="004867BF"/>
    <w:rsid w:val="00491EC2"/>
    <w:rsid w:val="00496A15"/>
    <w:rsid w:val="004A5371"/>
    <w:rsid w:val="004A569D"/>
    <w:rsid w:val="004B0169"/>
    <w:rsid w:val="004B0D9B"/>
    <w:rsid w:val="004B10EC"/>
    <w:rsid w:val="004B40FF"/>
    <w:rsid w:val="004B75FB"/>
    <w:rsid w:val="004C0AE0"/>
    <w:rsid w:val="004C3EF2"/>
    <w:rsid w:val="004C43A9"/>
    <w:rsid w:val="004C59BC"/>
    <w:rsid w:val="004C7014"/>
    <w:rsid w:val="004D276E"/>
    <w:rsid w:val="004D3BEC"/>
    <w:rsid w:val="004D3CED"/>
    <w:rsid w:val="004E12A8"/>
    <w:rsid w:val="004E6533"/>
    <w:rsid w:val="004E76D8"/>
    <w:rsid w:val="004F05B5"/>
    <w:rsid w:val="004F14D6"/>
    <w:rsid w:val="004F1556"/>
    <w:rsid w:val="00501C76"/>
    <w:rsid w:val="00506465"/>
    <w:rsid w:val="0050673A"/>
    <w:rsid w:val="00506DA6"/>
    <w:rsid w:val="00507C20"/>
    <w:rsid w:val="00511BEE"/>
    <w:rsid w:val="00514DBA"/>
    <w:rsid w:val="005157FA"/>
    <w:rsid w:val="00522050"/>
    <w:rsid w:val="00524A0A"/>
    <w:rsid w:val="005250AA"/>
    <w:rsid w:val="005274B2"/>
    <w:rsid w:val="005300E7"/>
    <w:rsid w:val="0053259A"/>
    <w:rsid w:val="00532EBA"/>
    <w:rsid w:val="005355B5"/>
    <w:rsid w:val="0053698D"/>
    <w:rsid w:val="00541BAE"/>
    <w:rsid w:val="00542E62"/>
    <w:rsid w:val="005440D5"/>
    <w:rsid w:val="0054489C"/>
    <w:rsid w:val="00550913"/>
    <w:rsid w:val="00550C30"/>
    <w:rsid w:val="00551338"/>
    <w:rsid w:val="00553392"/>
    <w:rsid w:val="00555E6C"/>
    <w:rsid w:val="00556025"/>
    <w:rsid w:val="0056652A"/>
    <w:rsid w:val="00566A8A"/>
    <w:rsid w:val="00566FB2"/>
    <w:rsid w:val="005677D5"/>
    <w:rsid w:val="005679CD"/>
    <w:rsid w:val="005706C6"/>
    <w:rsid w:val="00572644"/>
    <w:rsid w:val="0057545E"/>
    <w:rsid w:val="00575E56"/>
    <w:rsid w:val="005823B1"/>
    <w:rsid w:val="00583E9F"/>
    <w:rsid w:val="00585093"/>
    <w:rsid w:val="00585DDD"/>
    <w:rsid w:val="00587DB7"/>
    <w:rsid w:val="005911B2"/>
    <w:rsid w:val="00593075"/>
    <w:rsid w:val="005A0D70"/>
    <w:rsid w:val="005A14A9"/>
    <w:rsid w:val="005A4D37"/>
    <w:rsid w:val="005A56B4"/>
    <w:rsid w:val="005A5EA5"/>
    <w:rsid w:val="005A7F52"/>
    <w:rsid w:val="005B2DD8"/>
    <w:rsid w:val="005B398A"/>
    <w:rsid w:val="005B4A67"/>
    <w:rsid w:val="005B5DB8"/>
    <w:rsid w:val="005B7136"/>
    <w:rsid w:val="005B76CC"/>
    <w:rsid w:val="005C0FD5"/>
    <w:rsid w:val="005C14B5"/>
    <w:rsid w:val="005C19AC"/>
    <w:rsid w:val="005C2046"/>
    <w:rsid w:val="005C295C"/>
    <w:rsid w:val="005C30A7"/>
    <w:rsid w:val="005C4DFF"/>
    <w:rsid w:val="005C56D7"/>
    <w:rsid w:val="005C69ED"/>
    <w:rsid w:val="005C7319"/>
    <w:rsid w:val="005D0B58"/>
    <w:rsid w:val="005D1252"/>
    <w:rsid w:val="005D1574"/>
    <w:rsid w:val="005D3B72"/>
    <w:rsid w:val="005D3D46"/>
    <w:rsid w:val="005D79E2"/>
    <w:rsid w:val="005E2635"/>
    <w:rsid w:val="005E358A"/>
    <w:rsid w:val="005E3E32"/>
    <w:rsid w:val="005F0DB2"/>
    <w:rsid w:val="005F28E2"/>
    <w:rsid w:val="005F3A83"/>
    <w:rsid w:val="005F5562"/>
    <w:rsid w:val="005F7AE2"/>
    <w:rsid w:val="006055E3"/>
    <w:rsid w:val="006067E8"/>
    <w:rsid w:val="00616F21"/>
    <w:rsid w:val="00620BC8"/>
    <w:rsid w:val="00621F8A"/>
    <w:rsid w:val="006221F6"/>
    <w:rsid w:val="006224B4"/>
    <w:rsid w:val="00623641"/>
    <w:rsid w:val="00626F73"/>
    <w:rsid w:val="00630F54"/>
    <w:rsid w:val="006319C1"/>
    <w:rsid w:val="006322E1"/>
    <w:rsid w:val="00632387"/>
    <w:rsid w:val="006324AB"/>
    <w:rsid w:val="006347DC"/>
    <w:rsid w:val="00635876"/>
    <w:rsid w:val="00641226"/>
    <w:rsid w:val="006418B6"/>
    <w:rsid w:val="0064229C"/>
    <w:rsid w:val="006436B0"/>
    <w:rsid w:val="00644602"/>
    <w:rsid w:val="006446C1"/>
    <w:rsid w:val="00646534"/>
    <w:rsid w:val="00652C13"/>
    <w:rsid w:val="0065539F"/>
    <w:rsid w:val="006554C5"/>
    <w:rsid w:val="0065595E"/>
    <w:rsid w:val="00656701"/>
    <w:rsid w:val="006579D5"/>
    <w:rsid w:val="00664573"/>
    <w:rsid w:val="006667B7"/>
    <w:rsid w:val="00667D65"/>
    <w:rsid w:val="00673010"/>
    <w:rsid w:val="0067374F"/>
    <w:rsid w:val="00677734"/>
    <w:rsid w:val="00680876"/>
    <w:rsid w:val="00684BA4"/>
    <w:rsid w:val="00686457"/>
    <w:rsid w:val="00687A8B"/>
    <w:rsid w:val="00687B6D"/>
    <w:rsid w:val="006929A3"/>
    <w:rsid w:val="00696AE6"/>
    <w:rsid w:val="0069702C"/>
    <w:rsid w:val="00697B5C"/>
    <w:rsid w:val="00697E67"/>
    <w:rsid w:val="006A09EA"/>
    <w:rsid w:val="006A2482"/>
    <w:rsid w:val="006B23FC"/>
    <w:rsid w:val="006B33FC"/>
    <w:rsid w:val="006B55F1"/>
    <w:rsid w:val="006C3A9C"/>
    <w:rsid w:val="006C4409"/>
    <w:rsid w:val="006C4E78"/>
    <w:rsid w:val="006C51B9"/>
    <w:rsid w:val="006C5A93"/>
    <w:rsid w:val="006C7BA7"/>
    <w:rsid w:val="006D33B3"/>
    <w:rsid w:val="006D4299"/>
    <w:rsid w:val="006D6709"/>
    <w:rsid w:val="006E1EA9"/>
    <w:rsid w:val="006E26CE"/>
    <w:rsid w:val="006E56BD"/>
    <w:rsid w:val="006E62B3"/>
    <w:rsid w:val="006E6D82"/>
    <w:rsid w:val="006E728C"/>
    <w:rsid w:val="006E7598"/>
    <w:rsid w:val="006E7D1D"/>
    <w:rsid w:val="006F100E"/>
    <w:rsid w:val="006F1C04"/>
    <w:rsid w:val="006F240E"/>
    <w:rsid w:val="006F272C"/>
    <w:rsid w:val="006F32A2"/>
    <w:rsid w:val="006F748B"/>
    <w:rsid w:val="006F74F8"/>
    <w:rsid w:val="00700020"/>
    <w:rsid w:val="00701166"/>
    <w:rsid w:val="00701DD8"/>
    <w:rsid w:val="00704270"/>
    <w:rsid w:val="007070D9"/>
    <w:rsid w:val="00710CE7"/>
    <w:rsid w:val="0071219F"/>
    <w:rsid w:val="007158D4"/>
    <w:rsid w:val="0072064E"/>
    <w:rsid w:val="007225E6"/>
    <w:rsid w:val="007246A0"/>
    <w:rsid w:val="00724F34"/>
    <w:rsid w:val="00726698"/>
    <w:rsid w:val="00733BB6"/>
    <w:rsid w:val="00734189"/>
    <w:rsid w:val="00734FDF"/>
    <w:rsid w:val="007367FA"/>
    <w:rsid w:val="00740EE1"/>
    <w:rsid w:val="00741497"/>
    <w:rsid w:val="007421AF"/>
    <w:rsid w:val="007447BC"/>
    <w:rsid w:val="00745D32"/>
    <w:rsid w:val="00746734"/>
    <w:rsid w:val="007508C7"/>
    <w:rsid w:val="00751033"/>
    <w:rsid w:val="00751153"/>
    <w:rsid w:val="00751D93"/>
    <w:rsid w:val="00751EAA"/>
    <w:rsid w:val="00753099"/>
    <w:rsid w:val="0075422F"/>
    <w:rsid w:val="007557B3"/>
    <w:rsid w:val="0075609B"/>
    <w:rsid w:val="00760BC5"/>
    <w:rsid w:val="007639FF"/>
    <w:rsid w:val="00763E18"/>
    <w:rsid w:val="007644F5"/>
    <w:rsid w:val="00765CA3"/>
    <w:rsid w:val="00765ECF"/>
    <w:rsid w:val="00771F74"/>
    <w:rsid w:val="007734F6"/>
    <w:rsid w:val="0077500E"/>
    <w:rsid w:val="007752D7"/>
    <w:rsid w:val="00776BC9"/>
    <w:rsid w:val="00780324"/>
    <w:rsid w:val="0078196D"/>
    <w:rsid w:val="00782032"/>
    <w:rsid w:val="007827F4"/>
    <w:rsid w:val="0078482F"/>
    <w:rsid w:val="00786472"/>
    <w:rsid w:val="0079081E"/>
    <w:rsid w:val="00791867"/>
    <w:rsid w:val="00791C29"/>
    <w:rsid w:val="00791FE9"/>
    <w:rsid w:val="00793E49"/>
    <w:rsid w:val="00795423"/>
    <w:rsid w:val="00797B06"/>
    <w:rsid w:val="00797BB9"/>
    <w:rsid w:val="007A068C"/>
    <w:rsid w:val="007A30E1"/>
    <w:rsid w:val="007A43FB"/>
    <w:rsid w:val="007A4A4C"/>
    <w:rsid w:val="007A4D47"/>
    <w:rsid w:val="007A7257"/>
    <w:rsid w:val="007A7A35"/>
    <w:rsid w:val="007B09B5"/>
    <w:rsid w:val="007B42BF"/>
    <w:rsid w:val="007B509B"/>
    <w:rsid w:val="007B55E0"/>
    <w:rsid w:val="007B58E8"/>
    <w:rsid w:val="007C0DED"/>
    <w:rsid w:val="007C3929"/>
    <w:rsid w:val="007C4527"/>
    <w:rsid w:val="007C5471"/>
    <w:rsid w:val="007C79EB"/>
    <w:rsid w:val="007D18FF"/>
    <w:rsid w:val="007D1F86"/>
    <w:rsid w:val="007D3B7C"/>
    <w:rsid w:val="007D61D5"/>
    <w:rsid w:val="007D6481"/>
    <w:rsid w:val="007D7A59"/>
    <w:rsid w:val="007E1058"/>
    <w:rsid w:val="007E3FA3"/>
    <w:rsid w:val="007E527E"/>
    <w:rsid w:val="007E56A4"/>
    <w:rsid w:val="007E655E"/>
    <w:rsid w:val="007E7B12"/>
    <w:rsid w:val="007E7CB0"/>
    <w:rsid w:val="007E7CFA"/>
    <w:rsid w:val="007F4AB2"/>
    <w:rsid w:val="007F4AFC"/>
    <w:rsid w:val="00800545"/>
    <w:rsid w:val="008030C6"/>
    <w:rsid w:val="00803E4A"/>
    <w:rsid w:val="00804DF4"/>
    <w:rsid w:val="008062B3"/>
    <w:rsid w:val="00807682"/>
    <w:rsid w:val="00807948"/>
    <w:rsid w:val="0081101D"/>
    <w:rsid w:val="00811F26"/>
    <w:rsid w:val="00812654"/>
    <w:rsid w:val="008170FA"/>
    <w:rsid w:val="008259FF"/>
    <w:rsid w:val="0082610E"/>
    <w:rsid w:val="0082677F"/>
    <w:rsid w:val="008267A8"/>
    <w:rsid w:val="0083011E"/>
    <w:rsid w:val="00831199"/>
    <w:rsid w:val="008343F5"/>
    <w:rsid w:val="00837723"/>
    <w:rsid w:val="00842942"/>
    <w:rsid w:val="00842F96"/>
    <w:rsid w:val="0084346B"/>
    <w:rsid w:val="008551EC"/>
    <w:rsid w:val="00855F52"/>
    <w:rsid w:val="00862290"/>
    <w:rsid w:val="00863DF4"/>
    <w:rsid w:val="00863FF5"/>
    <w:rsid w:val="00864131"/>
    <w:rsid w:val="00864F80"/>
    <w:rsid w:val="00866471"/>
    <w:rsid w:val="00867B28"/>
    <w:rsid w:val="008712D5"/>
    <w:rsid w:val="00874129"/>
    <w:rsid w:val="0087563F"/>
    <w:rsid w:val="00876E54"/>
    <w:rsid w:val="00880E42"/>
    <w:rsid w:val="0088296A"/>
    <w:rsid w:val="00884025"/>
    <w:rsid w:val="00884E1D"/>
    <w:rsid w:val="00886C90"/>
    <w:rsid w:val="00887D70"/>
    <w:rsid w:val="00891954"/>
    <w:rsid w:val="00896FD6"/>
    <w:rsid w:val="008A16AD"/>
    <w:rsid w:val="008A412F"/>
    <w:rsid w:val="008A41A7"/>
    <w:rsid w:val="008A56F9"/>
    <w:rsid w:val="008A59A5"/>
    <w:rsid w:val="008A5B58"/>
    <w:rsid w:val="008A7917"/>
    <w:rsid w:val="008B0FB7"/>
    <w:rsid w:val="008B2A3A"/>
    <w:rsid w:val="008B3404"/>
    <w:rsid w:val="008B3B42"/>
    <w:rsid w:val="008C0022"/>
    <w:rsid w:val="008C1C50"/>
    <w:rsid w:val="008C256C"/>
    <w:rsid w:val="008C2FC2"/>
    <w:rsid w:val="008C5E37"/>
    <w:rsid w:val="008C6B1E"/>
    <w:rsid w:val="008D1215"/>
    <w:rsid w:val="008D23D8"/>
    <w:rsid w:val="008D4131"/>
    <w:rsid w:val="008D5D36"/>
    <w:rsid w:val="008D711A"/>
    <w:rsid w:val="008E031A"/>
    <w:rsid w:val="008E240C"/>
    <w:rsid w:val="008E3B52"/>
    <w:rsid w:val="008E4C83"/>
    <w:rsid w:val="008E5DEC"/>
    <w:rsid w:val="008E6BD5"/>
    <w:rsid w:val="008F0103"/>
    <w:rsid w:val="008F05BA"/>
    <w:rsid w:val="008F0A59"/>
    <w:rsid w:val="008F126F"/>
    <w:rsid w:val="008F2562"/>
    <w:rsid w:val="008F4C35"/>
    <w:rsid w:val="008F6EF6"/>
    <w:rsid w:val="009019F7"/>
    <w:rsid w:val="009026F0"/>
    <w:rsid w:val="009029BB"/>
    <w:rsid w:val="00902E59"/>
    <w:rsid w:val="00910BB8"/>
    <w:rsid w:val="00911373"/>
    <w:rsid w:val="0091150E"/>
    <w:rsid w:val="009123B6"/>
    <w:rsid w:val="0091433A"/>
    <w:rsid w:val="00916458"/>
    <w:rsid w:val="00922DF1"/>
    <w:rsid w:val="00925372"/>
    <w:rsid w:val="0092599E"/>
    <w:rsid w:val="0093132A"/>
    <w:rsid w:val="00931697"/>
    <w:rsid w:val="009316A0"/>
    <w:rsid w:val="00931CF7"/>
    <w:rsid w:val="00932260"/>
    <w:rsid w:val="0093368B"/>
    <w:rsid w:val="0093492A"/>
    <w:rsid w:val="00936E59"/>
    <w:rsid w:val="009370C8"/>
    <w:rsid w:val="0094109E"/>
    <w:rsid w:val="00944365"/>
    <w:rsid w:val="009456B8"/>
    <w:rsid w:val="0094578A"/>
    <w:rsid w:val="00947C0A"/>
    <w:rsid w:val="009531C0"/>
    <w:rsid w:val="00953553"/>
    <w:rsid w:val="00953A84"/>
    <w:rsid w:val="009546BF"/>
    <w:rsid w:val="00955048"/>
    <w:rsid w:val="00955098"/>
    <w:rsid w:val="00955E10"/>
    <w:rsid w:val="00957EC6"/>
    <w:rsid w:val="009629BF"/>
    <w:rsid w:val="00965180"/>
    <w:rsid w:val="009652FB"/>
    <w:rsid w:val="00966208"/>
    <w:rsid w:val="00970B65"/>
    <w:rsid w:val="00974DAE"/>
    <w:rsid w:val="00975417"/>
    <w:rsid w:val="00977002"/>
    <w:rsid w:val="00977D05"/>
    <w:rsid w:val="00980C33"/>
    <w:rsid w:val="00982B7B"/>
    <w:rsid w:val="00983925"/>
    <w:rsid w:val="00983D67"/>
    <w:rsid w:val="00984FE9"/>
    <w:rsid w:val="00987195"/>
    <w:rsid w:val="0098790B"/>
    <w:rsid w:val="009910E2"/>
    <w:rsid w:val="00992F33"/>
    <w:rsid w:val="00994778"/>
    <w:rsid w:val="00995A24"/>
    <w:rsid w:val="00997DA0"/>
    <w:rsid w:val="009A0843"/>
    <w:rsid w:val="009A280D"/>
    <w:rsid w:val="009A50FD"/>
    <w:rsid w:val="009A5CBC"/>
    <w:rsid w:val="009B073D"/>
    <w:rsid w:val="009B0EC0"/>
    <w:rsid w:val="009B3D51"/>
    <w:rsid w:val="009B59CF"/>
    <w:rsid w:val="009B6F35"/>
    <w:rsid w:val="009B78AB"/>
    <w:rsid w:val="009C0460"/>
    <w:rsid w:val="009C2DF2"/>
    <w:rsid w:val="009C4753"/>
    <w:rsid w:val="009C6E3B"/>
    <w:rsid w:val="009C7FB6"/>
    <w:rsid w:val="009D5913"/>
    <w:rsid w:val="009D5F30"/>
    <w:rsid w:val="009D5F99"/>
    <w:rsid w:val="009D64F0"/>
    <w:rsid w:val="009D6616"/>
    <w:rsid w:val="009D700B"/>
    <w:rsid w:val="009E31DA"/>
    <w:rsid w:val="009E368B"/>
    <w:rsid w:val="009E3AA6"/>
    <w:rsid w:val="009E5528"/>
    <w:rsid w:val="009E5C0C"/>
    <w:rsid w:val="009E79CE"/>
    <w:rsid w:val="009F2BB6"/>
    <w:rsid w:val="009F61EC"/>
    <w:rsid w:val="00A0010E"/>
    <w:rsid w:val="00A0133D"/>
    <w:rsid w:val="00A01527"/>
    <w:rsid w:val="00A062F2"/>
    <w:rsid w:val="00A11358"/>
    <w:rsid w:val="00A120E0"/>
    <w:rsid w:val="00A1222D"/>
    <w:rsid w:val="00A12F88"/>
    <w:rsid w:val="00A14116"/>
    <w:rsid w:val="00A15984"/>
    <w:rsid w:val="00A17BDD"/>
    <w:rsid w:val="00A24332"/>
    <w:rsid w:val="00A265D8"/>
    <w:rsid w:val="00A2699B"/>
    <w:rsid w:val="00A2716F"/>
    <w:rsid w:val="00A27F0D"/>
    <w:rsid w:val="00A27F89"/>
    <w:rsid w:val="00A32028"/>
    <w:rsid w:val="00A33A44"/>
    <w:rsid w:val="00A3538B"/>
    <w:rsid w:val="00A50E25"/>
    <w:rsid w:val="00A5173E"/>
    <w:rsid w:val="00A529A4"/>
    <w:rsid w:val="00A52EF7"/>
    <w:rsid w:val="00A549E9"/>
    <w:rsid w:val="00A55810"/>
    <w:rsid w:val="00A56019"/>
    <w:rsid w:val="00A57E95"/>
    <w:rsid w:val="00A62617"/>
    <w:rsid w:val="00A6358E"/>
    <w:rsid w:val="00A64134"/>
    <w:rsid w:val="00A658C0"/>
    <w:rsid w:val="00A66B19"/>
    <w:rsid w:val="00A67421"/>
    <w:rsid w:val="00A678B4"/>
    <w:rsid w:val="00A76D34"/>
    <w:rsid w:val="00A76D45"/>
    <w:rsid w:val="00A83B63"/>
    <w:rsid w:val="00A859A6"/>
    <w:rsid w:val="00A86FD2"/>
    <w:rsid w:val="00A90253"/>
    <w:rsid w:val="00A902A4"/>
    <w:rsid w:val="00A9512C"/>
    <w:rsid w:val="00A9517D"/>
    <w:rsid w:val="00A96010"/>
    <w:rsid w:val="00A96E17"/>
    <w:rsid w:val="00AA0FE5"/>
    <w:rsid w:val="00AA2057"/>
    <w:rsid w:val="00AA3590"/>
    <w:rsid w:val="00AA383F"/>
    <w:rsid w:val="00AB26B0"/>
    <w:rsid w:val="00AB49B6"/>
    <w:rsid w:val="00AB4C4F"/>
    <w:rsid w:val="00AC20C2"/>
    <w:rsid w:val="00AC3A14"/>
    <w:rsid w:val="00AC451C"/>
    <w:rsid w:val="00AC478D"/>
    <w:rsid w:val="00AC5F26"/>
    <w:rsid w:val="00AC6E21"/>
    <w:rsid w:val="00AC767B"/>
    <w:rsid w:val="00AD16E3"/>
    <w:rsid w:val="00AD2978"/>
    <w:rsid w:val="00AD48CD"/>
    <w:rsid w:val="00AD54D1"/>
    <w:rsid w:val="00AD5BE3"/>
    <w:rsid w:val="00AE07BD"/>
    <w:rsid w:val="00AE07C2"/>
    <w:rsid w:val="00AE1A87"/>
    <w:rsid w:val="00AE1E9D"/>
    <w:rsid w:val="00AE66EE"/>
    <w:rsid w:val="00AE75D6"/>
    <w:rsid w:val="00AF58B8"/>
    <w:rsid w:val="00AF67FD"/>
    <w:rsid w:val="00AF793F"/>
    <w:rsid w:val="00AF7C19"/>
    <w:rsid w:val="00B07D49"/>
    <w:rsid w:val="00B109F4"/>
    <w:rsid w:val="00B12EE1"/>
    <w:rsid w:val="00B169E4"/>
    <w:rsid w:val="00B16B7F"/>
    <w:rsid w:val="00B2004A"/>
    <w:rsid w:val="00B236B2"/>
    <w:rsid w:val="00B24588"/>
    <w:rsid w:val="00B2507F"/>
    <w:rsid w:val="00B31D71"/>
    <w:rsid w:val="00B32673"/>
    <w:rsid w:val="00B351F6"/>
    <w:rsid w:val="00B362E9"/>
    <w:rsid w:val="00B42293"/>
    <w:rsid w:val="00B44AB1"/>
    <w:rsid w:val="00B508D7"/>
    <w:rsid w:val="00B5112E"/>
    <w:rsid w:val="00B53499"/>
    <w:rsid w:val="00B55062"/>
    <w:rsid w:val="00B640A6"/>
    <w:rsid w:val="00B7016B"/>
    <w:rsid w:val="00B7150D"/>
    <w:rsid w:val="00B75749"/>
    <w:rsid w:val="00B778B4"/>
    <w:rsid w:val="00B827A6"/>
    <w:rsid w:val="00B82AB5"/>
    <w:rsid w:val="00B849B3"/>
    <w:rsid w:val="00B90397"/>
    <w:rsid w:val="00B94945"/>
    <w:rsid w:val="00B95750"/>
    <w:rsid w:val="00B957B0"/>
    <w:rsid w:val="00B9600E"/>
    <w:rsid w:val="00BA3C05"/>
    <w:rsid w:val="00BA65EC"/>
    <w:rsid w:val="00BA682D"/>
    <w:rsid w:val="00BB290D"/>
    <w:rsid w:val="00BB46FA"/>
    <w:rsid w:val="00BB4D19"/>
    <w:rsid w:val="00BB5189"/>
    <w:rsid w:val="00BB5BAA"/>
    <w:rsid w:val="00BB70BA"/>
    <w:rsid w:val="00BC00D2"/>
    <w:rsid w:val="00BC0F41"/>
    <w:rsid w:val="00BC19C2"/>
    <w:rsid w:val="00BC2A5B"/>
    <w:rsid w:val="00BC3077"/>
    <w:rsid w:val="00BC41FD"/>
    <w:rsid w:val="00BC68B4"/>
    <w:rsid w:val="00BC6A79"/>
    <w:rsid w:val="00BD1153"/>
    <w:rsid w:val="00BD16E6"/>
    <w:rsid w:val="00BD18C4"/>
    <w:rsid w:val="00BD28CC"/>
    <w:rsid w:val="00BD2EB1"/>
    <w:rsid w:val="00BD4E2C"/>
    <w:rsid w:val="00BD5507"/>
    <w:rsid w:val="00BD6791"/>
    <w:rsid w:val="00BE15C9"/>
    <w:rsid w:val="00BE395D"/>
    <w:rsid w:val="00BF02E1"/>
    <w:rsid w:val="00BF29DC"/>
    <w:rsid w:val="00C00B29"/>
    <w:rsid w:val="00C0210B"/>
    <w:rsid w:val="00C02EAE"/>
    <w:rsid w:val="00C07C79"/>
    <w:rsid w:val="00C1148C"/>
    <w:rsid w:val="00C12336"/>
    <w:rsid w:val="00C23FD0"/>
    <w:rsid w:val="00C2594E"/>
    <w:rsid w:val="00C26A2D"/>
    <w:rsid w:val="00C27130"/>
    <w:rsid w:val="00C338A6"/>
    <w:rsid w:val="00C352B7"/>
    <w:rsid w:val="00C362B0"/>
    <w:rsid w:val="00C36BEE"/>
    <w:rsid w:val="00C40001"/>
    <w:rsid w:val="00C410F9"/>
    <w:rsid w:val="00C416FF"/>
    <w:rsid w:val="00C43625"/>
    <w:rsid w:val="00C450AC"/>
    <w:rsid w:val="00C467FA"/>
    <w:rsid w:val="00C545FD"/>
    <w:rsid w:val="00C55CF6"/>
    <w:rsid w:val="00C56125"/>
    <w:rsid w:val="00C60CB3"/>
    <w:rsid w:val="00C62C76"/>
    <w:rsid w:val="00C64DED"/>
    <w:rsid w:val="00C6748A"/>
    <w:rsid w:val="00C70A98"/>
    <w:rsid w:val="00C72C11"/>
    <w:rsid w:val="00C7552B"/>
    <w:rsid w:val="00C76C77"/>
    <w:rsid w:val="00C7707D"/>
    <w:rsid w:val="00C7747B"/>
    <w:rsid w:val="00C81081"/>
    <w:rsid w:val="00C83971"/>
    <w:rsid w:val="00C8720C"/>
    <w:rsid w:val="00C91FF2"/>
    <w:rsid w:val="00C9525F"/>
    <w:rsid w:val="00C97294"/>
    <w:rsid w:val="00C97CDA"/>
    <w:rsid w:val="00CA15B8"/>
    <w:rsid w:val="00CA1A80"/>
    <w:rsid w:val="00CA4C0A"/>
    <w:rsid w:val="00CA531F"/>
    <w:rsid w:val="00CB3E51"/>
    <w:rsid w:val="00CB4495"/>
    <w:rsid w:val="00CB4B62"/>
    <w:rsid w:val="00CB5EBB"/>
    <w:rsid w:val="00CB6C4D"/>
    <w:rsid w:val="00CB722D"/>
    <w:rsid w:val="00CC0F1A"/>
    <w:rsid w:val="00CC22B1"/>
    <w:rsid w:val="00CC2AA9"/>
    <w:rsid w:val="00CD54E3"/>
    <w:rsid w:val="00CD718C"/>
    <w:rsid w:val="00CD7B0C"/>
    <w:rsid w:val="00CE2D5C"/>
    <w:rsid w:val="00CE394D"/>
    <w:rsid w:val="00D0179F"/>
    <w:rsid w:val="00D018FC"/>
    <w:rsid w:val="00D02654"/>
    <w:rsid w:val="00D02DA9"/>
    <w:rsid w:val="00D06245"/>
    <w:rsid w:val="00D0766B"/>
    <w:rsid w:val="00D112A2"/>
    <w:rsid w:val="00D13498"/>
    <w:rsid w:val="00D1569E"/>
    <w:rsid w:val="00D1644B"/>
    <w:rsid w:val="00D201CF"/>
    <w:rsid w:val="00D25703"/>
    <w:rsid w:val="00D2765A"/>
    <w:rsid w:val="00D35668"/>
    <w:rsid w:val="00D35AB1"/>
    <w:rsid w:val="00D3726F"/>
    <w:rsid w:val="00D37DD2"/>
    <w:rsid w:val="00D40054"/>
    <w:rsid w:val="00D416F5"/>
    <w:rsid w:val="00D41E4F"/>
    <w:rsid w:val="00D42D64"/>
    <w:rsid w:val="00D45886"/>
    <w:rsid w:val="00D46696"/>
    <w:rsid w:val="00D476F2"/>
    <w:rsid w:val="00D53B7C"/>
    <w:rsid w:val="00D5478F"/>
    <w:rsid w:val="00D56044"/>
    <w:rsid w:val="00D572B6"/>
    <w:rsid w:val="00D601B0"/>
    <w:rsid w:val="00D60E79"/>
    <w:rsid w:val="00D611F9"/>
    <w:rsid w:val="00D635B5"/>
    <w:rsid w:val="00D6360A"/>
    <w:rsid w:val="00D65330"/>
    <w:rsid w:val="00D714CA"/>
    <w:rsid w:val="00D71BC0"/>
    <w:rsid w:val="00D73035"/>
    <w:rsid w:val="00D731FC"/>
    <w:rsid w:val="00D7637B"/>
    <w:rsid w:val="00D76A71"/>
    <w:rsid w:val="00D776F2"/>
    <w:rsid w:val="00D803CD"/>
    <w:rsid w:val="00D80BF2"/>
    <w:rsid w:val="00D82F44"/>
    <w:rsid w:val="00D835DA"/>
    <w:rsid w:val="00D839EA"/>
    <w:rsid w:val="00D85908"/>
    <w:rsid w:val="00D862CC"/>
    <w:rsid w:val="00D867F9"/>
    <w:rsid w:val="00D86BAC"/>
    <w:rsid w:val="00D93D55"/>
    <w:rsid w:val="00D9518F"/>
    <w:rsid w:val="00DA0001"/>
    <w:rsid w:val="00DA2E85"/>
    <w:rsid w:val="00DA69EF"/>
    <w:rsid w:val="00DA6E14"/>
    <w:rsid w:val="00DB34D3"/>
    <w:rsid w:val="00DB3A14"/>
    <w:rsid w:val="00DB3D27"/>
    <w:rsid w:val="00DB4133"/>
    <w:rsid w:val="00DB4A26"/>
    <w:rsid w:val="00DC0A5E"/>
    <w:rsid w:val="00DC24C0"/>
    <w:rsid w:val="00DC3C21"/>
    <w:rsid w:val="00DC65D4"/>
    <w:rsid w:val="00DC7070"/>
    <w:rsid w:val="00DC715F"/>
    <w:rsid w:val="00DC7B2C"/>
    <w:rsid w:val="00DC7B69"/>
    <w:rsid w:val="00DE076A"/>
    <w:rsid w:val="00DE56C0"/>
    <w:rsid w:val="00DE7E20"/>
    <w:rsid w:val="00DF266E"/>
    <w:rsid w:val="00DF3C12"/>
    <w:rsid w:val="00DF47B3"/>
    <w:rsid w:val="00DF4BE6"/>
    <w:rsid w:val="00DF535E"/>
    <w:rsid w:val="00DF5A3F"/>
    <w:rsid w:val="00E048B3"/>
    <w:rsid w:val="00E051BD"/>
    <w:rsid w:val="00E05205"/>
    <w:rsid w:val="00E05FF3"/>
    <w:rsid w:val="00E0602F"/>
    <w:rsid w:val="00E06463"/>
    <w:rsid w:val="00E07CD6"/>
    <w:rsid w:val="00E106D8"/>
    <w:rsid w:val="00E10CC6"/>
    <w:rsid w:val="00E11C78"/>
    <w:rsid w:val="00E15CDB"/>
    <w:rsid w:val="00E16D16"/>
    <w:rsid w:val="00E221D9"/>
    <w:rsid w:val="00E30DC0"/>
    <w:rsid w:val="00E35150"/>
    <w:rsid w:val="00E375F9"/>
    <w:rsid w:val="00E5580A"/>
    <w:rsid w:val="00E57C17"/>
    <w:rsid w:val="00E60050"/>
    <w:rsid w:val="00E61008"/>
    <w:rsid w:val="00E6150C"/>
    <w:rsid w:val="00E62B12"/>
    <w:rsid w:val="00E63502"/>
    <w:rsid w:val="00E658FB"/>
    <w:rsid w:val="00E65EF2"/>
    <w:rsid w:val="00E6691B"/>
    <w:rsid w:val="00E67169"/>
    <w:rsid w:val="00E67B5B"/>
    <w:rsid w:val="00E71C14"/>
    <w:rsid w:val="00E73140"/>
    <w:rsid w:val="00E73291"/>
    <w:rsid w:val="00E75ACB"/>
    <w:rsid w:val="00E75C14"/>
    <w:rsid w:val="00E839FF"/>
    <w:rsid w:val="00E84FCF"/>
    <w:rsid w:val="00E852EB"/>
    <w:rsid w:val="00E9151E"/>
    <w:rsid w:val="00E93498"/>
    <w:rsid w:val="00E945F7"/>
    <w:rsid w:val="00E97A9B"/>
    <w:rsid w:val="00EA0710"/>
    <w:rsid w:val="00EA0A42"/>
    <w:rsid w:val="00EA0E72"/>
    <w:rsid w:val="00EA21BD"/>
    <w:rsid w:val="00EA536C"/>
    <w:rsid w:val="00EA6454"/>
    <w:rsid w:val="00EA655E"/>
    <w:rsid w:val="00EA7B88"/>
    <w:rsid w:val="00EB14C4"/>
    <w:rsid w:val="00EB5BEC"/>
    <w:rsid w:val="00EC6184"/>
    <w:rsid w:val="00EC70AE"/>
    <w:rsid w:val="00ED008D"/>
    <w:rsid w:val="00ED0727"/>
    <w:rsid w:val="00ED1C68"/>
    <w:rsid w:val="00ED297F"/>
    <w:rsid w:val="00ED59B5"/>
    <w:rsid w:val="00ED5C1D"/>
    <w:rsid w:val="00ED7866"/>
    <w:rsid w:val="00EE34E4"/>
    <w:rsid w:val="00EE43CF"/>
    <w:rsid w:val="00EF0FD8"/>
    <w:rsid w:val="00EF1BE3"/>
    <w:rsid w:val="00EF23A0"/>
    <w:rsid w:val="00EF4455"/>
    <w:rsid w:val="00EF470B"/>
    <w:rsid w:val="00EF6750"/>
    <w:rsid w:val="00EF6B42"/>
    <w:rsid w:val="00F00D17"/>
    <w:rsid w:val="00F048C4"/>
    <w:rsid w:val="00F11270"/>
    <w:rsid w:val="00F169C8"/>
    <w:rsid w:val="00F20774"/>
    <w:rsid w:val="00F25AA4"/>
    <w:rsid w:val="00F25DED"/>
    <w:rsid w:val="00F26694"/>
    <w:rsid w:val="00F26795"/>
    <w:rsid w:val="00F27074"/>
    <w:rsid w:val="00F272AF"/>
    <w:rsid w:val="00F27815"/>
    <w:rsid w:val="00F27E04"/>
    <w:rsid w:val="00F30063"/>
    <w:rsid w:val="00F31563"/>
    <w:rsid w:val="00F31B0F"/>
    <w:rsid w:val="00F32A8F"/>
    <w:rsid w:val="00F33AC9"/>
    <w:rsid w:val="00F36D92"/>
    <w:rsid w:val="00F40903"/>
    <w:rsid w:val="00F420DC"/>
    <w:rsid w:val="00F43F41"/>
    <w:rsid w:val="00F45585"/>
    <w:rsid w:val="00F50221"/>
    <w:rsid w:val="00F5054E"/>
    <w:rsid w:val="00F50EB2"/>
    <w:rsid w:val="00F61D5B"/>
    <w:rsid w:val="00F64421"/>
    <w:rsid w:val="00F70543"/>
    <w:rsid w:val="00F72550"/>
    <w:rsid w:val="00F7454A"/>
    <w:rsid w:val="00F810DF"/>
    <w:rsid w:val="00F83462"/>
    <w:rsid w:val="00F8472A"/>
    <w:rsid w:val="00F85CBA"/>
    <w:rsid w:val="00F85D39"/>
    <w:rsid w:val="00F86AAF"/>
    <w:rsid w:val="00F87A73"/>
    <w:rsid w:val="00F9096D"/>
    <w:rsid w:val="00F91A2B"/>
    <w:rsid w:val="00F929B3"/>
    <w:rsid w:val="00F93CD1"/>
    <w:rsid w:val="00F95C15"/>
    <w:rsid w:val="00F96361"/>
    <w:rsid w:val="00F97337"/>
    <w:rsid w:val="00FA07C4"/>
    <w:rsid w:val="00FA08FE"/>
    <w:rsid w:val="00FA0F02"/>
    <w:rsid w:val="00FA1299"/>
    <w:rsid w:val="00FA5FE8"/>
    <w:rsid w:val="00FA7222"/>
    <w:rsid w:val="00FA7832"/>
    <w:rsid w:val="00FB0855"/>
    <w:rsid w:val="00FB158A"/>
    <w:rsid w:val="00FB1628"/>
    <w:rsid w:val="00FB28B7"/>
    <w:rsid w:val="00FB487D"/>
    <w:rsid w:val="00FB53B5"/>
    <w:rsid w:val="00FB55F0"/>
    <w:rsid w:val="00FB59F0"/>
    <w:rsid w:val="00FB6E0B"/>
    <w:rsid w:val="00FB7329"/>
    <w:rsid w:val="00FB7379"/>
    <w:rsid w:val="00FC50D1"/>
    <w:rsid w:val="00FC789D"/>
    <w:rsid w:val="00FD2843"/>
    <w:rsid w:val="00FD374D"/>
    <w:rsid w:val="00FD6186"/>
    <w:rsid w:val="00FD751F"/>
    <w:rsid w:val="00FD76AB"/>
    <w:rsid w:val="00FE0463"/>
    <w:rsid w:val="00FE0BA6"/>
    <w:rsid w:val="00FE0CA9"/>
    <w:rsid w:val="00FE2144"/>
    <w:rsid w:val="00FE26FE"/>
    <w:rsid w:val="00FE4F93"/>
    <w:rsid w:val="00FF0B72"/>
    <w:rsid w:val="00FF4522"/>
    <w:rsid w:val="00FF6080"/>
    <w:rsid w:val="00FF7A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44B"/>
    <w:rPr>
      <w:sz w:val="24"/>
      <w:szCs w:val="24"/>
    </w:rPr>
  </w:style>
  <w:style w:type="paragraph" w:styleId="Heading3">
    <w:name w:val="heading 3"/>
    <w:basedOn w:val="Normal"/>
    <w:next w:val="Normal"/>
    <w:qFormat/>
    <w:rsid w:val="001F2354"/>
    <w:pPr>
      <w:numPr>
        <w:ilvl w:val="2"/>
        <w:numId w:val="2"/>
      </w:numPr>
      <w:spacing w:before="120" w:after="120"/>
      <w:outlineLvl w:val="2"/>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B6E0B"/>
    <w:rPr>
      <w:rFonts w:ascii="Tahoma" w:hAnsi="Tahoma"/>
      <w:sz w:val="16"/>
      <w:szCs w:val="16"/>
    </w:rPr>
  </w:style>
  <w:style w:type="paragraph" w:customStyle="1" w:styleId="AnnualReport">
    <w:name w:val="Annual Report"/>
    <w:basedOn w:val="Normal"/>
    <w:rsid w:val="001F2354"/>
    <w:pPr>
      <w:numPr>
        <w:ilvl w:val="1"/>
        <w:numId w:val="1"/>
      </w:numPr>
    </w:pPr>
    <w:rPr>
      <w:rFonts w:ascii="Tahoma" w:hAnsi="Tahoma"/>
      <w:b/>
      <w:bCs/>
    </w:rPr>
  </w:style>
  <w:style w:type="paragraph" w:styleId="Header">
    <w:name w:val="header"/>
    <w:basedOn w:val="Normal"/>
    <w:rsid w:val="00D1644B"/>
    <w:pPr>
      <w:tabs>
        <w:tab w:val="center" w:pos="4153"/>
        <w:tab w:val="right" w:pos="8306"/>
      </w:tabs>
    </w:pPr>
  </w:style>
  <w:style w:type="paragraph" w:styleId="Footer">
    <w:name w:val="footer"/>
    <w:basedOn w:val="Normal"/>
    <w:rsid w:val="00D1644B"/>
    <w:pPr>
      <w:tabs>
        <w:tab w:val="center" w:pos="4153"/>
        <w:tab w:val="right" w:pos="8306"/>
      </w:tabs>
    </w:pPr>
  </w:style>
  <w:style w:type="character" w:styleId="PageNumber">
    <w:name w:val="page number"/>
    <w:basedOn w:val="DefaultParagraphFont"/>
    <w:rsid w:val="00D1644B"/>
  </w:style>
  <w:style w:type="paragraph" w:styleId="ListParagraph">
    <w:name w:val="List Paragraph"/>
    <w:basedOn w:val="Normal"/>
    <w:uiPriority w:val="34"/>
    <w:qFormat/>
    <w:rsid w:val="00FD3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44B"/>
    <w:rPr>
      <w:sz w:val="24"/>
      <w:szCs w:val="24"/>
    </w:rPr>
  </w:style>
  <w:style w:type="paragraph" w:styleId="Heading3">
    <w:name w:val="heading 3"/>
    <w:basedOn w:val="Normal"/>
    <w:next w:val="Normal"/>
    <w:qFormat/>
    <w:rsid w:val="001F2354"/>
    <w:pPr>
      <w:numPr>
        <w:ilvl w:val="2"/>
        <w:numId w:val="2"/>
      </w:numPr>
      <w:spacing w:before="120" w:after="120"/>
      <w:outlineLvl w:val="2"/>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B6E0B"/>
    <w:rPr>
      <w:rFonts w:ascii="Tahoma" w:hAnsi="Tahoma"/>
      <w:sz w:val="16"/>
      <w:szCs w:val="16"/>
    </w:rPr>
  </w:style>
  <w:style w:type="paragraph" w:customStyle="1" w:styleId="AnnualReport">
    <w:name w:val="Annual Report"/>
    <w:basedOn w:val="Normal"/>
    <w:rsid w:val="001F2354"/>
    <w:pPr>
      <w:numPr>
        <w:ilvl w:val="1"/>
        <w:numId w:val="1"/>
      </w:numPr>
    </w:pPr>
    <w:rPr>
      <w:rFonts w:ascii="Tahoma" w:hAnsi="Tahoma"/>
      <w:b/>
      <w:bCs/>
    </w:rPr>
  </w:style>
  <w:style w:type="paragraph" w:styleId="Header">
    <w:name w:val="header"/>
    <w:basedOn w:val="Normal"/>
    <w:rsid w:val="00D1644B"/>
    <w:pPr>
      <w:tabs>
        <w:tab w:val="center" w:pos="4153"/>
        <w:tab w:val="right" w:pos="8306"/>
      </w:tabs>
    </w:pPr>
  </w:style>
  <w:style w:type="paragraph" w:styleId="Footer">
    <w:name w:val="footer"/>
    <w:basedOn w:val="Normal"/>
    <w:rsid w:val="00D1644B"/>
    <w:pPr>
      <w:tabs>
        <w:tab w:val="center" w:pos="4153"/>
        <w:tab w:val="right" w:pos="8306"/>
      </w:tabs>
    </w:pPr>
  </w:style>
  <w:style w:type="character" w:styleId="PageNumber">
    <w:name w:val="page number"/>
    <w:basedOn w:val="DefaultParagraphFont"/>
    <w:rsid w:val="00D1644B"/>
  </w:style>
  <w:style w:type="paragraph" w:styleId="ListParagraph">
    <w:name w:val="List Paragraph"/>
    <w:basedOn w:val="Normal"/>
    <w:uiPriority w:val="34"/>
    <w:qFormat/>
    <w:rsid w:val="00FD3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6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2AA8084</Template>
  <TotalTime>7</TotalTime>
  <Pages>2</Pages>
  <Words>602</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Our reference:</vt:lpstr>
    </vt:vector>
  </TitlesOfParts>
  <Company>ADCQ</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reference:</dc:title>
  <dc:creator>ADCQ Staff</dc:creator>
  <cp:lastModifiedBy>Coral Logan</cp:lastModifiedBy>
  <cp:revision>5</cp:revision>
  <cp:lastPrinted>2009-01-15T03:44:00Z</cp:lastPrinted>
  <dcterms:created xsi:type="dcterms:W3CDTF">2013-07-15T23:40:00Z</dcterms:created>
  <dcterms:modified xsi:type="dcterms:W3CDTF">2013-07-15T23:46:00Z</dcterms:modified>
</cp:coreProperties>
</file>