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9" w:rsidRPr="003B0F67" w:rsidRDefault="003B0F67" w:rsidP="00EC479B">
      <w:pPr>
        <w:autoSpaceDE w:val="0"/>
        <w:autoSpaceDN w:val="0"/>
        <w:adjustRightInd w:val="0"/>
        <w:spacing w:before="2400" w:line="480" w:lineRule="auto"/>
        <w:jc w:val="center"/>
        <w:rPr>
          <w:rFonts w:ascii="Arial" w:hAnsi="Arial" w:cs="Arial"/>
          <w:b/>
          <w:sz w:val="44"/>
          <w:szCs w:val="44"/>
        </w:rPr>
      </w:pPr>
      <w:bookmarkStart w:id="0" w:name="_GoBack"/>
      <w:bookmarkEnd w:id="0"/>
      <w:r w:rsidRPr="003B0F67">
        <w:rPr>
          <w:rFonts w:ascii="Arial" w:hAnsi="Arial" w:cs="Arial"/>
          <w:b/>
          <w:sz w:val="44"/>
          <w:szCs w:val="44"/>
        </w:rPr>
        <w:t>Submission</w:t>
      </w:r>
    </w:p>
    <w:p w:rsidR="00BF58F2" w:rsidRPr="003B0F67" w:rsidRDefault="003B0F67" w:rsidP="00EC479B">
      <w:pPr>
        <w:autoSpaceDE w:val="0"/>
        <w:autoSpaceDN w:val="0"/>
        <w:adjustRightInd w:val="0"/>
        <w:spacing w:line="480" w:lineRule="auto"/>
        <w:jc w:val="center"/>
        <w:rPr>
          <w:rFonts w:ascii="Arial" w:hAnsi="Arial" w:cs="Arial"/>
          <w:b/>
          <w:sz w:val="44"/>
          <w:szCs w:val="44"/>
        </w:rPr>
      </w:pPr>
      <w:proofErr w:type="gramStart"/>
      <w:r w:rsidRPr="003B0F67">
        <w:rPr>
          <w:rFonts w:ascii="Arial" w:hAnsi="Arial" w:cs="Arial"/>
          <w:b/>
          <w:sz w:val="44"/>
          <w:szCs w:val="44"/>
        </w:rPr>
        <w:t>to</w:t>
      </w:r>
      <w:proofErr w:type="gramEnd"/>
    </w:p>
    <w:p w:rsidR="00BF58F2" w:rsidRPr="003B0F67" w:rsidRDefault="00BF58F2" w:rsidP="00A56901">
      <w:pPr>
        <w:autoSpaceDE w:val="0"/>
        <w:autoSpaceDN w:val="0"/>
        <w:adjustRightInd w:val="0"/>
        <w:jc w:val="center"/>
        <w:rPr>
          <w:rFonts w:ascii="Arial" w:hAnsi="Arial" w:cs="Arial"/>
          <w:b/>
          <w:sz w:val="44"/>
          <w:szCs w:val="44"/>
        </w:rPr>
      </w:pPr>
      <w:r w:rsidRPr="003B0F67">
        <w:rPr>
          <w:rFonts w:ascii="Arial" w:hAnsi="Arial" w:cs="Arial"/>
          <w:b/>
          <w:sz w:val="44"/>
          <w:szCs w:val="44"/>
        </w:rPr>
        <w:t>S</w:t>
      </w:r>
      <w:r w:rsidR="003B0F67" w:rsidRPr="003B0F67">
        <w:rPr>
          <w:rFonts w:ascii="Arial" w:hAnsi="Arial" w:cs="Arial"/>
          <w:b/>
          <w:sz w:val="44"/>
          <w:szCs w:val="44"/>
        </w:rPr>
        <w:t>enate</w:t>
      </w:r>
      <w:r w:rsidRPr="003B0F67">
        <w:rPr>
          <w:rFonts w:ascii="Arial" w:hAnsi="Arial" w:cs="Arial"/>
          <w:b/>
          <w:sz w:val="44"/>
          <w:szCs w:val="44"/>
        </w:rPr>
        <w:t xml:space="preserve"> L</w:t>
      </w:r>
      <w:r w:rsidR="003B0F67" w:rsidRPr="003B0F67">
        <w:rPr>
          <w:rFonts w:ascii="Arial" w:hAnsi="Arial" w:cs="Arial"/>
          <w:b/>
          <w:sz w:val="44"/>
          <w:szCs w:val="44"/>
        </w:rPr>
        <w:t>egal</w:t>
      </w:r>
      <w:r w:rsidRPr="003B0F67">
        <w:rPr>
          <w:rFonts w:ascii="Arial" w:hAnsi="Arial" w:cs="Arial"/>
          <w:b/>
          <w:sz w:val="44"/>
          <w:szCs w:val="44"/>
        </w:rPr>
        <w:t xml:space="preserve"> </w:t>
      </w:r>
      <w:r w:rsidR="003B0F67" w:rsidRPr="003B0F67">
        <w:rPr>
          <w:rFonts w:ascii="Arial" w:hAnsi="Arial" w:cs="Arial"/>
          <w:b/>
          <w:sz w:val="44"/>
          <w:szCs w:val="44"/>
        </w:rPr>
        <w:t>and Constitutional Affairs Committee</w:t>
      </w:r>
    </w:p>
    <w:p w:rsidR="001811B9" w:rsidRPr="003B0F67" w:rsidRDefault="003B0F67" w:rsidP="00EC479B">
      <w:pPr>
        <w:autoSpaceDE w:val="0"/>
        <w:autoSpaceDN w:val="0"/>
        <w:adjustRightInd w:val="0"/>
        <w:spacing w:before="2400"/>
        <w:jc w:val="center"/>
        <w:rPr>
          <w:rFonts w:ascii="Arial" w:hAnsi="Arial" w:cs="Arial"/>
          <w:b/>
          <w:sz w:val="44"/>
          <w:szCs w:val="44"/>
        </w:rPr>
      </w:pPr>
      <w:r w:rsidRPr="003B0F67">
        <w:rPr>
          <w:rFonts w:ascii="Arial" w:hAnsi="Arial" w:cs="Arial"/>
          <w:b/>
          <w:sz w:val="44"/>
          <w:szCs w:val="44"/>
        </w:rPr>
        <w:t xml:space="preserve">Exposure Draft - </w:t>
      </w:r>
      <w:r w:rsidRPr="003B0F67">
        <w:rPr>
          <w:rFonts w:ascii="Arial" w:hAnsi="Arial" w:cs="Arial"/>
          <w:b/>
          <w:i/>
          <w:sz w:val="44"/>
          <w:szCs w:val="44"/>
        </w:rPr>
        <w:t xml:space="preserve">Human Rights </w:t>
      </w:r>
      <w:r w:rsidR="00B57C9E" w:rsidRPr="003B0F67">
        <w:rPr>
          <w:rFonts w:ascii="Arial" w:hAnsi="Arial" w:cs="Arial"/>
          <w:b/>
          <w:i/>
          <w:sz w:val="44"/>
          <w:szCs w:val="44"/>
        </w:rPr>
        <w:t>and</w:t>
      </w:r>
      <w:r w:rsidRPr="003B0F67">
        <w:rPr>
          <w:rFonts w:ascii="Arial" w:hAnsi="Arial" w:cs="Arial"/>
          <w:b/>
          <w:i/>
          <w:sz w:val="44"/>
          <w:szCs w:val="44"/>
        </w:rPr>
        <w:t xml:space="preserve"> Anti-Discrimination Bill 2012</w:t>
      </w:r>
    </w:p>
    <w:p w:rsidR="00CE17C0" w:rsidRPr="00AB6C3B" w:rsidRDefault="00CE17C0" w:rsidP="00EC479B">
      <w:pPr>
        <w:pStyle w:val="NormalWeb"/>
        <w:pageBreakBefore/>
        <w:spacing w:before="120" w:beforeAutospacing="0" w:after="120" w:afterAutospacing="0" w:line="360" w:lineRule="auto"/>
        <w:jc w:val="both"/>
        <w:rPr>
          <w:rFonts w:ascii="Arial" w:hAnsi="Arial" w:cs="Arial"/>
          <w:b/>
          <w:color w:val="000000"/>
          <w:sz w:val="28"/>
          <w:szCs w:val="28"/>
          <w:lang w:val="en-AU"/>
        </w:rPr>
      </w:pPr>
      <w:r w:rsidRPr="00AB6C3B">
        <w:rPr>
          <w:rFonts w:ascii="Arial" w:hAnsi="Arial" w:cs="Arial"/>
          <w:b/>
          <w:sz w:val="28"/>
          <w:szCs w:val="28"/>
          <w:lang w:val="en-AU"/>
        </w:rPr>
        <w:lastRenderedPageBreak/>
        <w:t>Introduction</w:t>
      </w:r>
    </w:p>
    <w:p w:rsidR="00005715" w:rsidRPr="00AB6C3B" w:rsidRDefault="00005715" w:rsidP="008B2DDF">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AB6C3B">
        <w:rPr>
          <w:rFonts w:ascii="Arial" w:hAnsi="Arial" w:cs="Arial"/>
          <w:color w:val="000000"/>
          <w:lang w:val="en-AU"/>
        </w:rPr>
        <w:t xml:space="preserve">The Anti-Discrimination Commission Queensland (Commission) </w:t>
      </w:r>
      <w:r w:rsidR="00B613BE" w:rsidRPr="00AB6C3B">
        <w:rPr>
          <w:rFonts w:ascii="Arial" w:hAnsi="Arial" w:cs="Arial"/>
          <w:color w:val="000000"/>
          <w:lang w:val="en-AU"/>
        </w:rPr>
        <w:t xml:space="preserve">welcomes the release of the Exposure Draft </w:t>
      </w:r>
      <w:r w:rsidR="00B613BE" w:rsidRPr="00AB6C3B">
        <w:rPr>
          <w:rFonts w:ascii="Arial" w:hAnsi="Arial" w:cs="Arial"/>
          <w:i/>
          <w:color w:val="000000"/>
          <w:lang w:val="en-AU"/>
        </w:rPr>
        <w:t>Human Rights and Anti-Discrimination Bill 2012</w:t>
      </w:r>
      <w:r w:rsidR="00B613BE" w:rsidRPr="00AB6C3B">
        <w:rPr>
          <w:rFonts w:ascii="Arial" w:hAnsi="Arial" w:cs="Arial"/>
          <w:color w:val="000000"/>
          <w:lang w:val="en-AU"/>
        </w:rPr>
        <w:t xml:space="preserve"> consolidating </w:t>
      </w:r>
      <w:r w:rsidR="003E0F1B" w:rsidRPr="00AB6C3B">
        <w:rPr>
          <w:rFonts w:ascii="Arial" w:hAnsi="Arial" w:cs="Arial"/>
          <w:color w:val="000000"/>
          <w:lang w:val="en-AU"/>
        </w:rPr>
        <w:t xml:space="preserve">and reforming </w:t>
      </w:r>
      <w:r w:rsidR="0010281E" w:rsidRPr="00AB6C3B">
        <w:rPr>
          <w:rFonts w:ascii="Arial" w:hAnsi="Arial" w:cs="Arial"/>
          <w:color w:val="000000"/>
          <w:lang w:val="en-AU"/>
        </w:rPr>
        <w:t>Commonwealth anti-discrimination legislation and making a number of reforms.</w:t>
      </w:r>
    </w:p>
    <w:p w:rsidR="0030192D" w:rsidRPr="00AB6C3B" w:rsidRDefault="00B613BE" w:rsidP="008B2DDF">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AB6C3B">
        <w:rPr>
          <w:rFonts w:ascii="Arial" w:hAnsi="Arial" w:cs="Arial"/>
          <w:color w:val="000000"/>
          <w:lang w:val="en-AU"/>
        </w:rPr>
        <w:t xml:space="preserve">The Commission has contributed to the joint submission of </w:t>
      </w:r>
      <w:r w:rsidR="00A74A19" w:rsidRPr="00AB6C3B">
        <w:rPr>
          <w:rFonts w:ascii="Arial" w:hAnsi="Arial" w:cs="Arial"/>
          <w:color w:val="000000"/>
          <w:lang w:val="en-AU"/>
        </w:rPr>
        <w:t>the Australian Council of Human Rights Agencies (ACHRA)</w:t>
      </w:r>
      <w:r w:rsidR="0010281E" w:rsidRPr="00AB6C3B">
        <w:rPr>
          <w:rFonts w:ascii="Arial" w:hAnsi="Arial" w:cs="Arial"/>
          <w:color w:val="000000"/>
          <w:lang w:val="en-AU"/>
        </w:rPr>
        <w:t>.</w:t>
      </w:r>
      <w:r w:rsidR="0030192D" w:rsidRPr="00AB6C3B">
        <w:rPr>
          <w:rFonts w:ascii="Arial" w:hAnsi="Arial" w:cs="Arial"/>
          <w:color w:val="000000"/>
          <w:lang w:val="en-AU"/>
        </w:rPr>
        <w:t xml:space="preserve">  </w:t>
      </w:r>
      <w:r w:rsidRPr="00AB6C3B">
        <w:rPr>
          <w:rFonts w:ascii="Arial" w:hAnsi="Arial" w:cs="Arial"/>
          <w:color w:val="000000"/>
          <w:lang w:val="en-AU"/>
        </w:rPr>
        <w:t>This submission is in addition to the ACHRA submission</w:t>
      </w:r>
      <w:r w:rsidR="00191E14" w:rsidRPr="00AB6C3B">
        <w:rPr>
          <w:rFonts w:ascii="Arial" w:hAnsi="Arial" w:cs="Arial"/>
          <w:color w:val="000000"/>
          <w:lang w:val="en-AU"/>
        </w:rPr>
        <w:t xml:space="preserve">, and rather than repeating the content of the </w:t>
      </w:r>
      <w:r w:rsidR="0030192D" w:rsidRPr="00AB6C3B">
        <w:rPr>
          <w:rFonts w:ascii="Arial" w:hAnsi="Arial" w:cs="Arial"/>
          <w:color w:val="000000"/>
          <w:lang w:val="en-AU"/>
        </w:rPr>
        <w:t>ACHRA submission</w:t>
      </w:r>
      <w:r w:rsidR="00191E14" w:rsidRPr="00AB6C3B">
        <w:rPr>
          <w:rFonts w:ascii="Arial" w:hAnsi="Arial" w:cs="Arial"/>
          <w:color w:val="000000"/>
          <w:lang w:val="en-AU"/>
        </w:rPr>
        <w:t>, the Commission</w:t>
      </w:r>
      <w:r w:rsidR="0030192D" w:rsidRPr="00AB6C3B">
        <w:rPr>
          <w:rFonts w:ascii="Arial" w:hAnsi="Arial" w:cs="Arial"/>
          <w:color w:val="000000"/>
          <w:lang w:val="en-AU"/>
        </w:rPr>
        <w:t xml:space="preserve"> comment</w:t>
      </w:r>
      <w:r w:rsidR="00191E14" w:rsidRPr="00AB6C3B">
        <w:rPr>
          <w:rFonts w:ascii="Arial" w:hAnsi="Arial" w:cs="Arial"/>
          <w:color w:val="000000"/>
          <w:lang w:val="en-AU"/>
        </w:rPr>
        <w:t>s</w:t>
      </w:r>
      <w:r w:rsidR="0030192D" w:rsidRPr="00AB6C3B">
        <w:rPr>
          <w:rFonts w:ascii="Arial" w:hAnsi="Arial" w:cs="Arial"/>
          <w:color w:val="000000"/>
          <w:lang w:val="en-AU"/>
        </w:rPr>
        <w:t xml:space="preserve"> on </w:t>
      </w:r>
      <w:r w:rsidR="00191E14" w:rsidRPr="00AB6C3B">
        <w:rPr>
          <w:rFonts w:ascii="Arial" w:hAnsi="Arial" w:cs="Arial"/>
          <w:color w:val="000000"/>
          <w:lang w:val="en-AU"/>
        </w:rPr>
        <w:t>key</w:t>
      </w:r>
      <w:r w:rsidR="0030192D" w:rsidRPr="00AB6C3B">
        <w:rPr>
          <w:rFonts w:ascii="Arial" w:hAnsi="Arial" w:cs="Arial"/>
          <w:color w:val="000000"/>
          <w:lang w:val="en-AU"/>
        </w:rPr>
        <w:t xml:space="preserve"> issues arising specifically from the Commission’s observations in Queensland, and from its consultation wi</w:t>
      </w:r>
      <w:r w:rsidR="00191E14" w:rsidRPr="00AB6C3B">
        <w:rPr>
          <w:rFonts w:ascii="Arial" w:hAnsi="Arial" w:cs="Arial"/>
          <w:color w:val="000000"/>
          <w:lang w:val="en-AU"/>
        </w:rPr>
        <w:t>th stakeholders in December 2012</w:t>
      </w:r>
      <w:r w:rsidR="0030192D" w:rsidRPr="00AB6C3B">
        <w:rPr>
          <w:rFonts w:ascii="Arial" w:hAnsi="Arial" w:cs="Arial"/>
          <w:color w:val="000000"/>
          <w:lang w:val="en-AU"/>
        </w:rPr>
        <w:t>.</w:t>
      </w:r>
      <w:r w:rsidR="00BB4B2E">
        <w:rPr>
          <w:rStyle w:val="FootnoteReference"/>
          <w:rFonts w:ascii="Arial" w:hAnsi="Arial" w:cs="Arial"/>
          <w:color w:val="000000"/>
          <w:lang w:val="en-AU"/>
        </w:rPr>
        <w:footnoteReference w:id="1"/>
      </w:r>
      <w:r w:rsidR="008B0657">
        <w:rPr>
          <w:rFonts w:ascii="Arial" w:hAnsi="Arial" w:cs="Arial"/>
          <w:color w:val="000000"/>
          <w:lang w:val="en-AU"/>
        </w:rPr>
        <w:t xml:space="preserve">  As noted in the ACHRA submission, the Commission takes a different view, set out in this submission, about the justifiable conduct exception in the Bill.</w:t>
      </w:r>
    </w:p>
    <w:p w:rsidR="0010281E" w:rsidRPr="00AB6C3B" w:rsidRDefault="0010281E" w:rsidP="0046334B">
      <w:pPr>
        <w:pStyle w:val="NormalWeb"/>
        <w:keepNext/>
        <w:spacing w:before="480" w:beforeAutospacing="0" w:after="120" w:afterAutospacing="0" w:line="360" w:lineRule="auto"/>
        <w:jc w:val="both"/>
        <w:rPr>
          <w:rFonts w:ascii="Arial" w:hAnsi="Arial" w:cs="Arial"/>
          <w:b/>
          <w:color w:val="000000"/>
          <w:sz w:val="28"/>
          <w:szCs w:val="28"/>
          <w:lang w:val="en-AU"/>
        </w:rPr>
      </w:pPr>
      <w:r w:rsidRPr="00AB6C3B">
        <w:rPr>
          <w:rFonts w:ascii="Arial" w:hAnsi="Arial" w:cs="Arial"/>
          <w:b/>
          <w:sz w:val="28"/>
          <w:szCs w:val="28"/>
          <w:lang w:val="en-AU"/>
        </w:rPr>
        <w:t>Summary</w:t>
      </w:r>
    </w:p>
    <w:p w:rsidR="0010281E" w:rsidRPr="00AB6C3B" w:rsidRDefault="003E0F1B" w:rsidP="002A091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AB6C3B">
        <w:rPr>
          <w:rFonts w:ascii="Arial" w:hAnsi="Arial" w:cs="Arial"/>
          <w:color w:val="000000"/>
          <w:lang w:val="en-AU"/>
        </w:rPr>
        <w:t xml:space="preserve">The Commission notes </w:t>
      </w:r>
      <w:r w:rsidR="00F6769A" w:rsidRPr="00AB6C3B">
        <w:rPr>
          <w:rFonts w:ascii="Arial" w:hAnsi="Arial" w:cs="Arial"/>
          <w:color w:val="000000"/>
          <w:lang w:val="en-AU"/>
        </w:rPr>
        <w:t>and commends the primary objective of the Bill of producing a clearer and simpler law</w:t>
      </w:r>
      <w:r w:rsidR="00BB4B2E">
        <w:rPr>
          <w:rFonts w:ascii="Arial" w:hAnsi="Arial" w:cs="Arial"/>
          <w:color w:val="000000"/>
          <w:lang w:val="en-AU"/>
        </w:rPr>
        <w:t xml:space="preserve">.  The </w:t>
      </w:r>
      <w:r w:rsidR="00F6769A" w:rsidRPr="00AB6C3B">
        <w:rPr>
          <w:rFonts w:ascii="Arial" w:hAnsi="Arial" w:cs="Arial"/>
          <w:color w:val="000000"/>
          <w:lang w:val="en-AU"/>
        </w:rPr>
        <w:t xml:space="preserve">five </w:t>
      </w:r>
      <w:r w:rsidRPr="00AB6C3B">
        <w:rPr>
          <w:rFonts w:ascii="Arial" w:hAnsi="Arial" w:cs="Arial"/>
          <w:color w:val="000000"/>
          <w:lang w:val="en-AU"/>
        </w:rPr>
        <w:t xml:space="preserve">key </w:t>
      </w:r>
      <w:r w:rsidR="00F6769A" w:rsidRPr="00AB6C3B">
        <w:rPr>
          <w:rFonts w:ascii="Arial" w:hAnsi="Arial" w:cs="Arial"/>
          <w:color w:val="000000"/>
          <w:lang w:val="en-AU"/>
        </w:rPr>
        <w:t xml:space="preserve">principles </w:t>
      </w:r>
      <w:r w:rsidR="00BB4B2E">
        <w:rPr>
          <w:rFonts w:ascii="Arial" w:hAnsi="Arial" w:cs="Arial"/>
          <w:color w:val="000000"/>
          <w:lang w:val="en-AU"/>
        </w:rPr>
        <w:t>are set out in the Explanatory Note as</w:t>
      </w:r>
      <w:r w:rsidR="00F6769A" w:rsidRPr="00AB6C3B">
        <w:rPr>
          <w:rFonts w:ascii="Arial" w:hAnsi="Arial" w:cs="Arial"/>
          <w:color w:val="000000"/>
          <w:lang w:val="en-AU"/>
        </w:rPr>
        <w:t>:</w:t>
      </w:r>
    </w:p>
    <w:p w:rsidR="00F6769A" w:rsidRPr="00AB6C3B" w:rsidRDefault="00F6769A" w:rsidP="004562BB">
      <w:pPr>
        <w:pStyle w:val="NormalWeb"/>
        <w:numPr>
          <w:ilvl w:val="1"/>
          <w:numId w:val="10"/>
        </w:numPr>
        <w:spacing w:before="120" w:beforeAutospacing="0" w:after="240" w:afterAutospacing="0" w:line="360" w:lineRule="auto"/>
        <w:jc w:val="both"/>
        <w:rPr>
          <w:rFonts w:ascii="Arial" w:hAnsi="Arial" w:cs="Arial"/>
          <w:color w:val="000000"/>
          <w:lang w:val="en-AU"/>
        </w:rPr>
      </w:pPr>
      <w:r w:rsidRPr="00AB6C3B">
        <w:rPr>
          <w:rFonts w:ascii="Arial" w:hAnsi="Arial" w:cs="Arial"/>
          <w:color w:val="000000"/>
          <w:lang w:val="en-AU"/>
        </w:rPr>
        <w:t>Lift differing levels of protections to the highest current standard, to resolve gaps and inconsistencies without diminishing protections;</w:t>
      </w:r>
    </w:p>
    <w:p w:rsidR="00F6769A" w:rsidRPr="00AB6C3B" w:rsidRDefault="00F6769A" w:rsidP="004562BB">
      <w:pPr>
        <w:pStyle w:val="NormalWeb"/>
        <w:numPr>
          <w:ilvl w:val="1"/>
          <w:numId w:val="10"/>
        </w:numPr>
        <w:spacing w:before="120" w:beforeAutospacing="0" w:after="240" w:afterAutospacing="0" w:line="360" w:lineRule="auto"/>
        <w:jc w:val="both"/>
        <w:rPr>
          <w:rFonts w:ascii="Arial" w:hAnsi="Arial" w:cs="Arial"/>
          <w:color w:val="000000"/>
          <w:lang w:val="en-AU"/>
        </w:rPr>
      </w:pPr>
      <w:r w:rsidRPr="00AB6C3B">
        <w:rPr>
          <w:rFonts w:ascii="Arial" w:hAnsi="Arial" w:cs="Arial"/>
          <w:color w:val="000000"/>
          <w:lang w:val="en-AU"/>
        </w:rPr>
        <w:t>Clearer and more efficient laws provide greater flexibility in their operation, with no substantial change in practical outcome;</w:t>
      </w:r>
    </w:p>
    <w:p w:rsidR="00F6769A" w:rsidRPr="00AB6C3B" w:rsidRDefault="00F6769A" w:rsidP="004562BB">
      <w:pPr>
        <w:pStyle w:val="NormalWeb"/>
        <w:numPr>
          <w:ilvl w:val="1"/>
          <w:numId w:val="10"/>
        </w:numPr>
        <w:spacing w:before="120" w:beforeAutospacing="0" w:after="240" w:afterAutospacing="0" w:line="360" w:lineRule="auto"/>
        <w:jc w:val="both"/>
        <w:rPr>
          <w:rFonts w:ascii="Arial" w:hAnsi="Arial" w:cs="Arial"/>
          <w:color w:val="000000"/>
          <w:lang w:val="en-AU"/>
        </w:rPr>
      </w:pPr>
      <w:r w:rsidRPr="00AB6C3B">
        <w:rPr>
          <w:rFonts w:ascii="Arial" w:hAnsi="Arial" w:cs="Arial"/>
          <w:color w:val="000000"/>
          <w:lang w:val="en-AU"/>
        </w:rPr>
        <w:t>Enhance protections where benefits outweigh any regulatory impact;</w:t>
      </w:r>
    </w:p>
    <w:p w:rsidR="00F6769A" w:rsidRPr="00AB6C3B" w:rsidRDefault="00F6769A" w:rsidP="004562BB">
      <w:pPr>
        <w:pStyle w:val="NormalWeb"/>
        <w:numPr>
          <w:ilvl w:val="1"/>
          <w:numId w:val="10"/>
        </w:numPr>
        <w:spacing w:before="120" w:beforeAutospacing="0" w:after="240" w:afterAutospacing="0" w:line="360" w:lineRule="auto"/>
        <w:jc w:val="both"/>
        <w:rPr>
          <w:rFonts w:ascii="Arial" w:hAnsi="Arial" w:cs="Arial"/>
          <w:color w:val="000000"/>
          <w:lang w:val="en-AU"/>
        </w:rPr>
      </w:pPr>
      <w:r w:rsidRPr="00AB6C3B">
        <w:rPr>
          <w:rFonts w:ascii="Arial" w:hAnsi="Arial" w:cs="Arial"/>
          <w:color w:val="000000"/>
          <w:lang w:val="en-AU"/>
        </w:rPr>
        <w:t xml:space="preserve">Voluntary measures that business can take to assist their understanding of obligations and reduce occurrences of discrimination; and </w:t>
      </w:r>
    </w:p>
    <w:p w:rsidR="00F6769A" w:rsidRPr="00AB6C3B" w:rsidRDefault="00F6769A" w:rsidP="004562BB">
      <w:pPr>
        <w:pStyle w:val="NormalWeb"/>
        <w:numPr>
          <w:ilvl w:val="1"/>
          <w:numId w:val="10"/>
        </w:numPr>
        <w:spacing w:before="120" w:beforeAutospacing="0" w:after="240" w:afterAutospacing="0" w:line="360" w:lineRule="auto"/>
        <w:jc w:val="both"/>
        <w:rPr>
          <w:rFonts w:ascii="Arial" w:hAnsi="Arial" w:cs="Arial"/>
          <w:color w:val="000000"/>
          <w:lang w:val="en-AU"/>
        </w:rPr>
      </w:pPr>
      <w:r w:rsidRPr="00AB6C3B">
        <w:rPr>
          <w:rFonts w:ascii="Arial" w:hAnsi="Arial" w:cs="Arial"/>
          <w:color w:val="000000"/>
          <w:lang w:val="en-AU"/>
        </w:rPr>
        <w:lastRenderedPageBreak/>
        <w:t>A streamlined complaints process, to make it more efficient to resolve disputes that do arise.</w:t>
      </w:r>
    </w:p>
    <w:p w:rsidR="00F6769A" w:rsidRPr="00AB6C3B" w:rsidRDefault="004D7BBA" w:rsidP="002A091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AB6C3B">
        <w:rPr>
          <w:rFonts w:ascii="Arial" w:hAnsi="Arial" w:cs="Arial"/>
          <w:color w:val="000000"/>
          <w:lang w:val="en-AU"/>
        </w:rPr>
        <w:t>The Commission welcomes and supports the Bill, and recommends the Committee support the passing of the Bill</w:t>
      </w:r>
      <w:r w:rsidR="009F4D9C" w:rsidRPr="00AB6C3B">
        <w:rPr>
          <w:rFonts w:ascii="Arial" w:hAnsi="Arial" w:cs="Arial"/>
          <w:color w:val="000000"/>
          <w:lang w:val="en-AU"/>
        </w:rPr>
        <w:t>, subject to the recommendations in this submission and the ACHRA submission</w:t>
      </w:r>
      <w:r w:rsidRPr="00AB6C3B">
        <w:rPr>
          <w:rFonts w:ascii="Arial" w:hAnsi="Arial" w:cs="Arial"/>
          <w:color w:val="000000"/>
          <w:lang w:val="en-AU"/>
        </w:rPr>
        <w:t>.</w:t>
      </w:r>
    </w:p>
    <w:p w:rsidR="009F4D9C" w:rsidRPr="00AB6C3B" w:rsidRDefault="009F4D9C" w:rsidP="002A091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AB6C3B">
        <w:rPr>
          <w:rFonts w:ascii="Arial" w:hAnsi="Arial" w:cs="Arial"/>
          <w:color w:val="000000"/>
          <w:lang w:val="en-AU"/>
        </w:rPr>
        <w:t>The Commission commends the improvements provided for in the Bill, in particular:</w:t>
      </w:r>
    </w:p>
    <w:p w:rsidR="0011398B" w:rsidRDefault="0011398B" w:rsidP="0046334B">
      <w:pPr>
        <w:pStyle w:val="NormalWeb"/>
        <w:numPr>
          <w:ilvl w:val="1"/>
          <w:numId w:val="2"/>
        </w:numPr>
        <w:spacing w:before="120" w:beforeAutospacing="0" w:after="120" w:afterAutospacing="0" w:line="360" w:lineRule="auto"/>
        <w:ind w:left="1441" w:hanging="590"/>
        <w:jc w:val="both"/>
        <w:rPr>
          <w:rFonts w:ascii="Arial" w:hAnsi="Arial" w:cs="Arial"/>
          <w:color w:val="000000"/>
          <w:lang w:val="en-AU"/>
        </w:rPr>
      </w:pPr>
      <w:r>
        <w:rPr>
          <w:rFonts w:ascii="Arial" w:hAnsi="Arial" w:cs="Arial"/>
          <w:color w:val="000000"/>
          <w:lang w:val="en-AU"/>
        </w:rPr>
        <w:t>the inclusion of an objects clause;</w:t>
      </w:r>
    </w:p>
    <w:p w:rsidR="009F4D9C" w:rsidRDefault="009F4D9C" w:rsidP="0046334B">
      <w:pPr>
        <w:pStyle w:val="NormalWeb"/>
        <w:numPr>
          <w:ilvl w:val="1"/>
          <w:numId w:val="2"/>
        </w:numPr>
        <w:spacing w:before="120" w:beforeAutospacing="0" w:after="120" w:afterAutospacing="0" w:line="360" w:lineRule="auto"/>
        <w:ind w:left="1441" w:hanging="590"/>
        <w:jc w:val="both"/>
        <w:rPr>
          <w:rFonts w:ascii="Arial" w:hAnsi="Arial" w:cs="Arial"/>
          <w:color w:val="000000"/>
          <w:lang w:val="en-AU"/>
        </w:rPr>
      </w:pPr>
      <w:r w:rsidRPr="00AB6C3B">
        <w:rPr>
          <w:rFonts w:ascii="Arial" w:hAnsi="Arial" w:cs="Arial"/>
          <w:color w:val="000000"/>
          <w:lang w:val="en-AU"/>
        </w:rPr>
        <w:t>extending protections to the attributes of gender identity and sexual orientation across all areas of public life;</w:t>
      </w:r>
    </w:p>
    <w:p w:rsidR="0011398B" w:rsidRPr="00AB6C3B" w:rsidRDefault="0011398B" w:rsidP="0046334B">
      <w:pPr>
        <w:pStyle w:val="NormalWeb"/>
        <w:numPr>
          <w:ilvl w:val="1"/>
          <w:numId w:val="2"/>
        </w:numPr>
        <w:spacing w:before="120" w:beforeAutospacing="0" w:after="120" w:afterAutospacing="0" w:line="360" w:lineRule="auto"/>
        <w:ind w:left="1441" w:hanging="590"/>
        <w:jc w:val="both"/>
        <w:rPr>
          <w:rFonts w:ascii="Arial" w:hAnsi="Arial" w:cs="Arial"/>
          <w:color w:val="000000"/>
          <w:lang w:val="en-AU"/>
        </w:rPr>
      </w:pPr>
      <w:r>
        <w:rPr>
          <w:rFonts w:ascii="Arial" w:hAnsi="Arial" w:cs="Arial"/>
          <w:color w:val="000000"/>
          <w:lang w:val="en-AU"/>
        </w:rPr>
        <w:t>improvements to the definition of discrimination;</w:t>
      </w:r>
    </w:p>
    <w:p w:rsidR="009F4D9C" w:rsidRDefault="009F4D9C" w:rsidP="0046334B">
      <w:pPr>
        <w:pStyle w:val="NormalWeb"/>
        <w:numPr>
          <w:ilvl w:val="1"/>
          <w:numId w:val="2"/>
        </w:numPr>
        <w:spacing w:before="120" w:beforeAutospacing="0" w:after="120" w:afterAutospacing="0" w:line="360" w:lineRule="auto"/>
        <w:ind w:left="1441" w:hanging="590"/>
        <w:jc w:val="both"/>
        <w:rPr>
          <w:rFonts w:ascii="Arial" w:hAnsi="Arial" w:cs="Arial"/>
          <w:color w:val="000000"/>
          <w:lang w:val="en-AU"/>
        </w:rPr>
      </w:pPr>
      <w:r w:rsidRPr="00AB6C3B">
        <w:rPr>
          <w:rFonts w:ascii="Arial" w:hAnsi="Arial" w:cs="Arial"/>
          <w:color w:val="000000"/>
          <w:lang w:val="en-AU"/>
        </w:rPr>
        <w:t>the sharing of the burden of proof, particularly in relation to elements involving purpose or rea</w:t>
      </w:r>
      <w:r w:rsidR="0011398B">
        <w:rPr>
          <w:rFonts w:ascii="Arial" w:hAnsi="Arial" w:cs="Arial"/>
          <w:color w:val="000000"/>
          <w:lang w:val="en-AU"/>
        </w:rPr>
        <w:t>son and establishing exceptions;</w:t>
      </w:r>
    </w:p>
    <w:p w:rsidR="0011398B" w:rsidRPr="0011398B" w:rsidRDefault="0011398B" w:rsidP="0046334B">
      <w:pPr>
        <w:pStyle w:val="NormalWeb"/>
        <w:numPr>
          <w:ilvl w:val="1"/>
          <w:numId w:val="2"/>
        </w:numPr>
        <w:spacing w:before="120" w:beforeAutospacing="0" w:after="120" w:afterAutospacing="0" w:line="360" w:lineRule="auto"/>
        <w:ind w:left="1441" w:hanging="590"/>
        <w:jc w:val="both"/>
        <w:rPr>
          <w:rFonts w:ascii="Arial" w:hAnsi="Arial" w:cs="Arial"/>
          <w:color w:val="000000"/>
          <w:lang w:val="en-AU"/>
        </w:rPr>
      </w:pPr>
      <w:proofErr w:type="gramStart"/>
      <w:r w:rsidRPr="00AB6C3B">
        <w:rPr>
          <w:rFonts w:ascii="Arial" w:hAnsi="Arial" w:cs="Arial"/>
          <w:color w:val="000000"/>
          <w:lang w:val="en-AU"/>
        </w:rPr>
        <w:t>the</w:t>
      </w:r>
      <w:proofErr w:type="gramEnd"/>
      <w:r w:rsidRPr="00AB6C3B">
        <w:rPr>
          <w:rFonts w:ascii="Arial" w:hAnsi="Arial" w:cs="Arial"/>
          <w:color w:val="000000"/>
          <w:lang w:val="en-AU"/>
        </w:rPr>
        <w:t xml:space="preserve"> </w:t>
      </w:r>
      <w:r>
        <w:rPr>
          <w:rFonts w:ascii="Arial" w:hAnsi="Arial" w:cs="Arial"/>
          <w:color w:val="000000"/>
          <w:lang w:val="en-AU"/>
        </w:rPr>
        <w:t>general layout and drafting of the Bill.</w:t>
      </w:r>
    </w:p>
    <w:p w:rsidR="0010281E" w:rsidRPr="00AB6C3B" w:rsidRDefault="0010281E" w:rsidP="0046334B">
      <w:pPr>
        <w:pStyle w:val="NormalWeb"/>
        <w:keepNext/>
        <w:spacing w:before="480" w:beforeAutospacing="0" w:after="120" w:afterAutospacing="0" w:line="360" w:lineRule="auto"/>
        <w:jc w:val="both"/>
        <w:rPr>
          <w:rFonts w:ascii="Arial" w:hAnsi="Arial" w:cs="Arial"/>
          <w:b/>
          <w:color w:val="000000"/>
          <w:sz w:val="28"/>
          <w:szCs w:val="28"/>
          <w:lang w:val="en-AU"/>
        </w:rPr>
      </w:pPr>
      <w:r w:rsidRPr="00AB6C3B">
        <w:rPr>
          <w:rFonts w:ascii="Arial" w:hAnsi="Arial" w:cs="Arial"/>
          <w:b/>
          <w:sz w:val="28"/>
          <w:szCs w:val="28"/>
          <w:lang w:val="en-AU"/>
        </w:rPr>
        <w:t>Recommendations</w:t>
      </w:r>
    </w:p>
    <w:p w:rsidR="0010281E" w:rsidRPr="00AB6C3B" w:rsidRDefault="00A16BA9" w:rsidP="00A16BA9">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In this submission, the Commission outlines and makes the following recommendations:</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 xml:space="preserve">That the objects clause and the definition of human rights be amended to specifically include the UN </w:t>
      </w:r>
      <w:r w:rsidRPr="004D410E">
        <w:rPr>
          <w:rFonts w:ascii="Arial" w:hAnsi="Arial" w:cs="Arial"/>
          <w:i/>
          <w:color w:val="000000"/>
          <w:lang w:val="en-AU"/>
        </w:rPr>
        <w:t>Declaration on the Rights of Indigenous Peoples,</w:t>
      </w:r>
      <w:r w:rsidRPr="004D410E">
        <w:rPr>
          <w:rFonts w:ascii="Arial" w:hAnsi="Arial" w:cs="Arial"/>
          <w:color w:val="000000"/>
          <w:lang w:val="en-AU"/>
        </w:rPr>
        <w:t xml:space="preserve"> and to allow for the inclusion of any new instruments that Australia might ratify without amendment of the Act.</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lang w:val="en-AU"/>
        </w:rPr>
        <w:t>That clause 19(2</w:t>
      </w:r>
      <w:proofErr w:type="gramStart"/>
      <w:r w:rsidRPr="004D410E">
        <w:rPr>
          <w:rFonts w:ascii="Arial" w:hAnsi="Arial" w:cs="Arial"/>
          <w:lang w:val="en-AU"/>
        </w:rPr>
        <w:t>)(</w:t>
      </w:r>
      <w:proofErr w:type="gramEnd"/>
      <w:r w:rsidRPr="004D410E">
        <w:rPr>
          <w:rFonts w:ascii="Arial" w:hAnsi="Arial" w:cs="Arial"/>
          <w:lang w:val="en-AU"/>
        </w:rPr>
        <w:t>b) be amended or removed.</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That the definition of discrimination in clause 19(3</w:t>
      </w:r>
      <w:proofErr w:type="gramStart"/>
      <w:r w:rsidRPr="004D410E">
        <w:rPr>
          <w:rFonts w:ascii="Arial" w:hAnsi="Arial" w:cs="Arial"/>
          <w:color w:val="000000"/>
          <w:lang w:val="en-AU"/>
        </w:rPr>
        <w:t>)(</w:t>
      </w:r>
      <w:proofErr w:type="gramEnd"/>
      <w:r w:rsidRPr="004D410E">
        <w:rPr>
          <w:rFonts w:ascii="Arial" w:hAnsi="Arial" w:cs="Arial"/>
          <w:color w:val="000000"/>
          <w:lang w:val="en-AU"/>
        </w:rPr>
        <w:t xml:space="preserve">b) be amended to include the effect of disadvantaging an individual because of the attribute (or combination of </w:t>
      </w:r>
      <w:r w:rsidRPr="004D410E">
        <w:rPr>
          <w:rFonts w:ascii="Arial" w:hAnsi="Arial" w:cs="Arial"/>
          <w:color w:val="000000"/>
          <w:lang w:val="en-AU"/>
        </w:rPr>
        <w:lastRenderedPageBreak/>
        <w:t>attributes) as well as people with the attribute (or combination of attributes).</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That the coverage of the additional attributes be extended to all areas of public life.</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That the justifiable conduct exception be removed.</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That if the justifiable conduct exception is not removed, the scope and application of the exception should be made more clear and specific, including defining the meaning of legitimate aims, and the exception should be limited so as not to apply to direct discrimination.</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 xml:space="preserve">That the exceptions for bodies established for religious purposes and educational institutions </w:t>
      </w:r>
      <w:proofErr w:type="gramStart"/>
      <w:r w:rsidRPr="004D410E">
        <w:rPr>
          <w:rFonts w:ascii="Arial" w:hAnsi="Arial" w:cs="Arial"/>
          <w:color w:val="000000"/>
          <w:lang w:val="en-AU"/>
        </w:rPr>
        <w:t>be</w:t>
      </w:r>
      <w:proofErr w:type="gramEnd"/>
      <w:r w:rsidRPr="004D410E">
        <w:rPr>
          <w:rFonts w:ascii="Arial" w:hAnsi="Arial" w:cs="Arial"/>
          <w:color w:val="000000"/>
          <w:lang w:val="en-AU"/>
        </w:rPr>
        <w:t xml:space="preserve"> limited so as not to diminish the current highest standard under State and Territory anti-discrimination laws.</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proofErr w:type="gramStart"/>
      <w:r w:rsidRPr="004D410E">
        <w:rPr>
          <w:rFonts w:ascii="Arial" w:hAnsi="Arial" w:cs="Arial"/>
          <w:color w:val="000000"/>
          <w:lang w:val="en-AU"/>
        </w:rPr>
        <w:t>That exceptions</w:t>
      </w:r>
      <w:proofErr w:type="gramEnd"/>
      <w:r w:rsidRPr="004D410E">
        <w:rPr>
          <w:rFonts w:ascii="Arial" w:hAnsi="Arial" w:cs="Arial"/>
          <w:color w:val="000000"/>
          <w:lang w:val="en-AU"/>
        </w:rPr>
        <w:t xml:space="preserve"> that diminish the current highest standard under State and Territory anti-discrimination laws be limited so that they conform to the current highest standard.</w:t>
      </w:r>
    </w:p>
    <w:p w:rsidR="004D410E" w:rsidRPr="004D410E"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lang w:val="en-AU"/>
        </w:rPr>
      </w:pPr>
      <w:r w:rsidRPr="004D410E">
        <w:rPr>
          <w:rFonts w:ascii="Arial" w:hAnsi="Arial" w:cs="Arial"/>
          <w:color w:val="000000"/>
          <w:lang w:val="en-AU"/>
        </w:rPr>
        <w:t xml:space="preserve">That clause 52 </w:t>
      </w:r>
      <w:proofErr w:type="gramStart"/>
      <w:r w:rsidRPr="004D410E">
        <w:rPr>
          <w:rFonts w:ascii="Arial" w:hAnsi="Arial" w:cs="Arial"/>
          <w:color w:val="000000"/>
          <w:lang w:val="en-AU"/>
        </w:rPr>
        <w:t>be</w:t>
      </w:r>
      <w:proofErr w:type="gramEnd"/>
      <w:r w:rsidRPr="004D410E">
        <w:rPr>
          <w:rFonts w:ascii="Arial" w:hAnsi="Arial" w:cs="Arial"/>
          <w:color w:val="000000"/>
          <w:lang w:val="en-AU"/>
        </w:rPr>
        <w:t xml:space="preserve"> re-framed based on the Queensland provision (</w:t>
      </w:r>
      <w:r w:rsidRPr="004D410E">
        <w:rPr>
          <w:rFonts w:ascii="Arial" w:hAnsi="Arial" w:cs="Arial"/>
          <w:i/>
          <w:color w:val="000000"/>
          <w:lang w:val="en-AU"/>
        </w:rPr>
        <w:t xml:space="preserve">Anti-Discrimination Act 1991, </w:t>
      </w:r>
      <w:r w:rsidRPr="004D410E">
        <w:rPr>
          <w:rFonts w:ascii="Arial" w:hAnsi="Arial" w:cs="Arial"/>
          <w:color w:val="000000"/>
          <w:lang w:val="en-AU"/>
        </w:rPr>
        <w:t>section 124).</w:t>
      </w:r>
    </w:p>
    <w:p w:rsidR="004D410E" w:rsidRPr="00BA04F0" w:rsidRDefault="004D410E" w:rsidP="00BA04F0">
      <w:pPr>
        <w:pStyle w:val="NormalWeb"/>
        <w:numPr>
          <w:ilvl w:val="0"/>
          <w:numId w:val="7"/>
        </w:numPr>
        <w:spacing w:before="120" w:beforeAutospacing="0" w:after="120" w:afterAutospacing="0" w:line="360" w:lineRule="auto"/>
        <w:ind w:left="1134" w:right="1671" w:hanging="567"/>
        <w:jc w:val="both"/>
        <w:rPr>
          <w:rFonts w:ascii="Arial" w:hAnsi="Arial" w:cs="Arial"/>
          <w:color w:val="000000"/>
          <w:lang w:val="en-AU"/>
        </w:rPr>
      </w:pPr>
      <w:r w:rsidRPr="004D410E">
        <w:rPr>
          <w:rFonts w:ascii="Arial" w:hAnsi="Arial" w:cs="Arial"/>
          <w:color w:val="000000"/>
          <w:lang w:val="en-AU"/>
        </w:rPr>
        <w:t>That the right to equality before the law be extended to all attributes.</w:t>
      </w:r>
    </w:p>
    <w:p w:rsidR="00CE17C0" w:rsidRPr="00AB6C3B" w:rsidRDefault="0079752D" w:rsidP="0046334B">
      <w:pPr>
        <w:pStyle w:val="NormalWeb"/>
        <w:keepNext/>
        <w:spacing w:before="480" w:beforeAutospacing="0" w:after="120" w:afterAutospacing="0" w:line="360" w:lineRule="auto"/>
        <w:jc w:val="both"/>
        <w:rPr>
          <w:rFonts w:ascii="Arial" w:hAnsi="Arial" w:cs="Arial"/>
          <w:b/>
          <w:color w:val="000000"/>
          <w:sz w:val="28"/>
          <w:szCs w:val="28"/>
          <w:lang w:val="en-AU"/>
        </w:rPr>
      </w:pPr>
      <w:r w:rsidRPr="00AB6C3B">
        <w:rPr>
          <w:rFonts w:ascii="Arial" w:hAnsi="Arial" w:cs="Arial"/>
          <w:b/>
          <w:color w:val="000000"/>
          <w:sz w:val="28"/>
          <w:szCs w:val="28"/>
          <w:lang w:val="en-AU"/>
        </w:rPr>
        <w:t xml:space="preserve">Objects </w:t>
      </w:r>
      <w:r w:rsidR="004562BB" w:rsidRPr="00AB6C3B">
        <w:rPr>
          <w:rFonts w:ascii="Arial" w:hAnsi="Arial" w:cs="Arial"/>
          <w:b/>
          <w:color w:val="000000"/>
          <w:sz w:val="28"/>
          <w:szCs w:val="28"/>
          <w:lang w:val="en-AU"/>
        </w:rPr>
        <w:t>clause</w:t>
      </w:r>
      <w:r w:rsidR="00C825BC" w:rsidRPr="00AB6C3B">
        <w:rPr>
          <w:rFonts w:ascii="Arial" w:hAnsi="Arial" w:cs="Arial"/>
          <w:b/>
          <w:color w:val="000000"/>
          <w:sz w:val="28"/>
          <w:szCs w:val="28"/>
          <w:lang w:val="en-AU"/>
        </w:rPr>
        <w:t xml:space="preserve"> and definition of ‘human right</w:t>
      </w:r>
      <w:r w:rsidR="004562BB" w:rsidRPr="00AB6C3B">
        <w:rPr>
          <w:rFonts w:ascii="Arial" w:hAnsi="Arial" w:cs="Arial"/>
          <w:b/>
          <w:color w:val="000000"/>
          <w:sz w:val="28"/>
          <w:szCs w:val="28"/>
          <w:lang w:val="en-AU"/>
        </w:rPr>
        <w:t>s</w:t>
      </w:r>
      <w:r w:rsidR="00C825BC" w:rsidRPr="00AB6C3B">
        <w:rPr>
          <w:rFonts w:ascii="Arial" w:hAnsi="Arial" w:cs="Arial"/>
          <w:b/>
          <w:color w:val="000000"/>
          <w:sz w:val="28"/>
          <w:szCs w:val="28"/>
          <w:lang w:val="en-AU"/>
        </w:rPr>
        <w:t>’</w:t>
      </w:r>
    </w:p>
    <w:p w:rsidR="0011398B" w:rsidRDefault="00070794"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193143">
        <w:rPr>
          <w:rFonts w:ascii="Arial" w:hAnsi="Arial" w:cs="Arial"/>
          <w:color w:val="000000"/>
          <w:lang w:val="en-AU"/>
        </w:rPr>
        <w:t xml:space="preserve">The Commission welcomes the inclusion of an objects clause </w:t>
      </w:r>
      <w:r w:rsidR="00792BCB" w:rsidRPr="00193143">
        <w:rPr>
          <w:rFonts w:ascii="Arial" w:hAnsi="Arial" w:cs="Arial"/>
          <w:color w:val="000000"/>
          <w:lang w:val="en-AU"/>
        </w:rPr>
        <w:t>consistent with Australia’s obligations under the international human rights instruments and international labour rights instruments</w:t>
      </w:r>
      <w:r w:rsidR="00386CB6" w:rsidRPr="00193143">
        <w:rPr>
          <w:rFonts w:ascii="Arial" w:hAnsi="Arial" w:cs="Arial"/>
          <w:color w:val="000000"/>
          <w:lang w:val="en-AU"/>
        </w:rPr>
        <w:t>.</w:t>
      </w:r>
      <w:r w:rsidR="00193143" w:rsidRPr="00193143">
        <w:rPr>
          <w:rFonts w:ascii="Arial" w:hAnsi="Arial" w:cs="Arial"/>
          <w:color w:val="000000"/>
          <w:lang w:val="en-AU"/>
        </w:rPr>
        <w:t xml:space="preserve">  </w:t>
      </w:r>
    </w:p>
    <w:p w:rsidR="00792BCB" w:rsidRDefault="00792BCB" w:rsidP="007C6096">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193143">
        <w:rPr>
          <w:rFonts w:ascii="Arial" w:hAnsi="Arial" w:cs="Arial"/>
          <w:color w:val="000000"/>
          <w:lang w:val="en-AU"/>
        </w:rPr>
        <w:lastRenderedPageBreak/>
        <w:t>The objects clause specifies the human rights instruments as the seven core agreements</w:t>
      </w:r>
      <w:r>
        <w:rPr>
          <w:rStyle w:val="FootnoteReference"/>
          <w:rFonts w:ascii="Arial" w:hAnsi="Arial" w:cs="Arial"/>
          <w:color w:val="000000"/>
          <w:lang w:val="en-AU"/>
        </w:rPr>
        <w:footnoteReference w:id="2"/>
      </w:r>
      <w:r w:rsidR="0011398B">
        <w:rPr>
          <w:rFonts w:ascii="Arial" w:hAnsi="Arial" w:cs="Arial"/>
          <w:color w:val="000000"/>
          <w:lang w:val="en-AU"/>
        </w:rPr>
        <w:t>,</w:t>
      </w:r>
      <w:r w:rsidRPr="00193143">
        <w:rPr>
          <w:rFonts w:ascii="Arial" w:hAnsi="Arial" w:cs="Arial"/>
          <w:color w:val="000000"/>
          <w:lang w:val="en-AU"/>
        </w:rPr>
        <w:t xml:space="preserve"> and specifies the I</w:t>
      </w:r>
      <w:r w:rsidR="00391316">
        <w:rPr>
          <w:rFonts w:ascii="Arial" w:hAnsi="Arial" w:cs="Arial"/>
          <w:color w:val="000000"/>
          <w:lang w:val="en-AU"/>
        </w:rPr>
        <w:t xml:space="preserve">nternational </w:t>
      </w:r>
      <w:r w:rsidRPr="00193143">
        <w:rPr>
          <w:rFonts w:ascii="Arial" w:hAnsi="Arial" w:cs="Arial"/>
          <w:color w:val="000000"/>
          <w:lang w:val="en-AU"/>
        </w:rPr>
        <w:t>L</w:t>
      </w:r>
      <w:r w:rsidR="00391316">
        <w:rPr>
          <w:rFonts w:ascii="Arial" w:hAnsi="Arial" w:cs="Arial"/>
          <w:color w:val="000000"/>
          <w:lang w:val="en-AU"/>
        </w:rPr>
        <w:t xml:space="preserve">abour </w:t>
      </w:r>
      <w:r w:rsidRPr="00193143">
        <w:rPr>
          <w:rFonts w:ascii="Arial" w:hAnsi="Arial" w:cs="Arial"/>
          <w:color w:val="000000"/>
          <w:lang w:val="en-AU"/>
        </w:rPr>
        <w:t>O</w:t>
      </w:r>
      <w:r w:rsidR="00391316">
        <w:rPr>
          <w:rFonts w:ascii="Arial" w:hAnsi="Arial" w:cs="Arial"/>
          <w:color w:val="000000"/>
          <w:lang w:val="en-AU"/>
        </w:rPr>
        <w:t>rganisation (ILO)</w:t>
      </w:r>
      <w:r w:rsidRPr="00193143">
        <w:rPr>
          <w:rFonts w:ascii="Arial" w:hAnsi="Arial" w:cs="Arial"/>
          <w:color w:val="000000"/>
          <w:lang w:val="en-AU"/>
        </w:rPr>
        <w:t xml:space="preserve"> instruments as the four ILO instruments</w:t>
      </w:r>
      <w:r w:rsidR="00193143">
        <w:rPr>
          <w:rStyle w:val="FootnoteReference"/>
          <w:rFonts w:ascii="Arial" w:hAnsi="Arial" w:cs="Arial"/>
          <w:color w:val="000000"/>
          <w:lang w:val="en-AU"/>
        </w:rPr>
        <w:footnoteReference w:id="3"/>
      </w:r>
      <w:r w:rsidRPr="00193143">
        <w:rPr>
          <w:rFonts w:ascii="Arial" w:hAnsi="Arial" w:cs="Arial"/>
          <w:color w:val="000000"/>
          <w:lang w:val="en-AU"/>
        </w:rPr>
        <w:t>.</w:t>
      </w:r>
    </w:p>
    <w:p w:rsidR="00193143" w:rsidRPr="00193143" w:rsidRDefault="0025013B"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 xml:space="preserve">The term ‘human rights’ is defined in clause 6 to mean the rights and freedoms recognised or declared in the seven core international agreements </w:t>
      </w:r>
      <w:r w:rsidR="00C13AAE">
        <w:rPr>
          <w:rFonts w:ascii="Arial" w:hAnsi="Arial" w:cs="Arial"/>
          <w:color w:val="000000"/>
          <w:lang w:val="en-AU"/>
        </w:rPr>
        <w:t xml:space="preserve">to which Australia is a party and </w:t>
      </w:r>
      <w:r>
        <w:rPr>
          <w:rFonts w:ascii="Arial" w:hAnsi="Arial" w:cs="Arial"/>
          <w:color w:val="000000"/>
          <w:lang w:val="en-AU"/>
        </w:rPr>
        <w:t>listed in the objects clause.</w:t>
      </w:r>
    </w:p>
    <w:p w:rsidR="00005715" w:rsidRDefault="00C13AAE"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As well as the core international human rights treaties, there are many other universal instruments dealing with human rights.  Notably for Australia</w:t>
      </w:r>
      <w:r w:rsidR="00BE4438">
        <w:rPr>
          <w:rFonts w:ascii="Arial" w:hAnsi="Arial" w:cs="Arial"/>
          <w:color w:val="000000"/>
          <w:lang w:val="en-AU"/>
        </w:rPr>
        <w:t>,</w:t>
      </w:r>
      <w:r>
        <w:rPr>
          <w:rFonts w:ascii="Arial" w:hAnsi="Arial" w:cs="Arial"/>
          <w:color w:val="000000"/>
          <w:lang w:val="en-AU"/>
        </w:rPr>
        <w:t xml:space="preserve"> </w:t>
      </w:r>
      <w:r w:rsidR="00BE4438">
        <w:rPr>
          <w:rFonts w:ascii="Arial" w:hAnsi="Arial" w:cs="Arial"/>
          <w:color w:val="000000"/>
          <w:lang w:val="en-AU"/>
        </w:rPr>
        <w:t>is</w:t>
      </w:r>
      <w:r>
        <w:rPr>
          <w:rFonts w:ascii="Arial" w:hAnsi="Arial" w:cs="Arial"/>
          <w:color w:val="000000"/>
          <w:lang w:val="en-AU"/>
        </w:rPr>
        <w:t xml:space="preserve"> the UN </w:t>
      </w:r>
      <w:r w:rsidR="00C825BC" w:rsidRPr="00C13AAE">
        <w:rPr>
          <w:rFonts w:ascii="Arial" w:hAnsi="Arial" w:cs="Arial"/>
          <w:i/>
          <w:color w:val="000000"/>
          <w:lang w:val="en-AU"/>
        </w:rPr>
        <w:t xml:space="preserve">Declaration on </w:t>
      </w:r>
      <w:r w:rsidR="003B0F67">
        <w:rPr>
          <w:rFonts w:ascii="Arial" w:hAnsi="Arial" w:cs="Arial"/>
          <w:i/>
          <w:color w:val="000000"/>
          <w:lang w:val="en-AU"/>
        </w:rPr>
        <w:t xml:space="preserve">the </w:t>
      </w:r>
      <w:r w:rsidR="00C825BC" w:rsidRPr="00C13AAE">
        <w:rPr>
          <w:rFonts w:ascii="Arial" w:hAnsi="Arial" w:cs="Arial"/>
          <w:i/>
          <w:color w:val="000000"/>
          <w:lang w:val="en-AU"/>
        </w:rPr>
        <w:t>Rights of Indigenous People</w:t>
      </w:r>
      <w:r w:rsidR="0077476E">
        <w:rPr>
          <w:rFonts w:ascii="Arial" w:hAnsi="Arial" w:cs="Arial"/>
          <w:i/>
          <w:color w:val="000000"/>
          <w:lang w:val="en-AU"/>
        </w:rPr>
        <w:t>s</w:t>
      </w:r>
      <w:r w:rsidR="006F1E47">
        <w:rPr>
          <w:rFonts w:ascii="Arial" w:hAnsi="Arial" w:cs="Arial"/>
          <w:i/>
          <w:color w:val="000000"/>
          <w:lang w:val="en-AU"/>
        </w:rPr>
        <w:t xml:space="preserve"> </w:t>
      </w:r>
      <w:r w:rsidR="006F1E47">
        <w:rPr>
          <w:rFonts w:ascii="Arial" w:hAnsi="Arial" w:cs="Arial"/>
          <w:color w:val="000000"/>
          <w:lang w:val="en-AU"/>
        </w:rPr>
        <w:t>(the Declaration)</w:t>
      </w:r>
      <w:proofErr w:type="gramStart"/>
      <w:r w:rsidR="006D324F" w:rsidRPr="00AB6C3B">
        <w:rPr>
          <w:rFonts w:ascii="Arial" w:hAnsi="Arial" w:cs="Arial"/>
          <w:color w:val="000000"/>
          <w:lang w:val="en-AU"/>
        </w:rPr>
        <w:t>.</w:t>
      </w:r>
      <w:proofErr w:type="gramEnd"/>
      <w:r>
        <w:rPr>
          <w:rFonts w:ascii="Arial" w:hAnsi="Arial" w:cs="Arial"/>
          <w:color w:val="000000"/>
          <w:lang w:val="en-AU"/>
        </w:rPr>
        <w:t xml:space="preserve">  This declaration is significant for Aus</w:t>
      </w:r>
      <w:r w:rsidR="00BE4438">
        <w:rPr>
          <w:rFonts w:ascii="Arial" w:hAnsi="Arial" w:cs="Arial"/>
          <w:color w:val="000000"/>
          <w:lang w:val="en-AU"/>
        </w:rPr>
        <w:t xml:space="preserve">tralia in the role it has in protecting and improving conditions for our </w:t>
      </w:r>
      <w:r>
        <w:rPr>
          <w:rFonts w:ascii="Arial" w:hAnsi="Arial" w:cs="Arial"/>
          <w:color w:val="000000"/>
          <w:lang w:val="en-AU"/>
        </w:rPr>
        <w:t>Aboriginal and Torres Strait Islander Peoples</w:t>
      </w:r>
      <w:r w:rsidR="00BE4438">
        <w:rPr>
          <w:rFonts w:ascii="Arial" w:hAnsi="Arial" w:cs="Arial"/>
          <w:color w:val="000000"/>
          <w:lang w:val="en-AU"/>
        </w:rPr>
        <w:t>.</w:t>
      </w:r>
    </w:p>
    <w:p w:rsidR="006F1E47" w:rsidRDefault="006F1E47"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Australia has been called upon to fully and effectively implement the Declaration</w:t>
      </w:r>
      <w:r w:rsidR="0056683A">
        <w:rPr>
          <w:rFonts w:ascii="Arial" w:hAnsi="Arial" w:cs="Arial"/>
          <w:color w:val="000000"/>
          <w:lang w:val="en-AU"/>
        </w:rPr>
        <w:t>, including closing the gap between the life expectancy of Indigenous and non-Indigenous Australians</w:t>
      </w:r>
      <w:r w:rsidR="003B0F67">
        <w:rPr>
          <w:rFonts w:ascii="Arial" w:hAnsi="Arial" w:cs="Arial"/>
          <w:color w:val="000000"/>
          <w:lang w:val="en-AU"/>
        </w:rPr>
        <w:t>,</w:t>
      </w:r>
      <w:r w:rsidR="0056683A">
        <w:rPr>
          <w:rFonts w:ascii="Arial" w:hAnsi="Arial" w:cs="Arial"/>
          <w:color w:val="000000"/>
          <w:lang w:val="en-AU"/>
        </w:rPr>
        <w:t xml:space="preserve"> and addressing socio-economic inequalities and </w:t>
      </w:r>
      <w:r>
        <w:rPr>
          <w:rFonts w:ascii="Arial" w:hAnsi="Arial" w:cs="Arial"/>
          <w:color w:val="000000"/>
          <w:lang w:val="en-AU"/>
        </w:rPr>
        <w:t xml:space="preserve"> </w:t>
      </w:r>
      <w:r w:rsidR="0056683A">
        <w:rPr>
          <w:rFonts w:ascii="Arial" w:hAnsi="Arial" w:cs="Arial"/>
          <w:color w:val="000000"/>
          <w:lang w:val="en-AU"/>
        </w:rPr>
        <w:t>the overrepresentation of Aboriginal and Torres Strait Islander people in prison.</w:t>
      </w:r>
      <w:r w:rsidR="005A0707">
        <w:rPr>
          <w:rStyle w:val="FootnoteReference"/>
          <w:rFonts w:ascii="Arial" w:hAnsi="Arial" w:cs="Arial"/>
          <w:color w:val="000000"/>
          <w:lang w:val="en-AU"/>
        </w:rPr>
        <w:footnoteReference w:id="4"/>
      </w:r>
    </w:p>
    <w:p w:rsidR="0030192D" w:rsidRPr="0056683A" w:rsidRDefault="0056683A"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56683A">
        <w:rPr>
          <w:rFonts w:ascii="Arial" w:hAnsi="Arial" w:cs="Arial"/>
          <w:color w:val="000000"/>
          <w:lang w:val="en-AU"/>
        </w:rPr>
        <w:t xml:space="preserve">The Commission recommends including the Declaration in the list of human rights instruments.  </w:t>
      </w:r>
      <w:r>
        <w:rPr>
          <w:rFonts w:ascii="Arial" w:hAnsi="Arial" w:cs="Arial"/>
          <w:color w:val="000000"/>
          <w:lang w:val="en-AU"/>
        </w:rPr>
        <w:t>The human rights instruments should also be de</w:t>
      </w:r>
      <w:r w:rsidR="00C825BC" w:rsidRPr="0056683A">
        <w:rPr>
          <w:rFonts w:ascii="Arial" w:hAnsi="Arial" w:cs="Arial"/>
          <w:color w:val="000000"/>
          <w:lang w:val="en-AU"/>
        </w:rPr>
        <w:t>fine</w:t>
      </w:r>
      <w:r>
        <w:rPr>
          <w:rFonts w:ascii="Arial" w:hAnsi="Arial" w:cs="Arial"/>
          <w:color w:val="000000"/>
          <w:lang w:val="en-AU"/>
        </w:rPr>
        <w:t>d</w:t>
      </w:r>
      <w:r w:rsidR="00C825BC" w:rsidRPr="0056683A">
        <w:rPr>
          <w:rFonts w:ascii="Arial" w:hAnsi="Arial" w:cs="Arial"/>
          <w:color w:val="000000"/>
          <w:lang w:val="en-AU"/>
        </w:rPr>
        <w:t xml:space="preserve"> in an inclusive way so that any instruments </w:t>
      </w:r>
      <w:r w:rsidR="006F1E47" w:rsidRPr="0056683A">
        <w:rPr>
          <w:rFonts w:ascii="Arial" w:hAnsi="Arial" w:cs="Arial"/>
          <w:color w:val="000000"/>
          <w:lang w:val="en-AU"/>
        </w:rPr>
        <w:t xml:space="preserve">ratified subsequently </w:t>
      </w:r>
      <w:r w:rsidR="00C825BC" w:rsidRPr="0056683A">
        <w:rPr>
          <w:rFonts w:ascii="Arial" w:hAnsi="Arial" w:cs="Arial"/>
          <w:color w:val="000000"/>
          <w:lang w:val="en-AU"/>
        </w:rPr>
        <w:t>are included without having to amend the Act.</w:t>
      </w:r>
    </w:p>
    <w:p w:rsidR="0030192D" w:rsidRPr="00AB6C3B" w:rsidRDefault="0030192D" w:rsidP="00EC479B">
      <w:pPr>
        <w:pStyle w:val="NormalWeb"/>
        <w:pageBreakBefore/>
        <w:pBdr>
          <w:top w:val="single" w:sz="4" w:space="1" w:color="auto"/>
          <w:left w:val="single" w:sz="4" w:space="4" w:color="auto"/>
          <w:bottom w:val="single" w:sz="4" w:space="1" w:color="auto"/>
          <w:right w:val="single" w:sz="4" w:space="4" w:color="auto"/>
        </w:pBdr>
        <w:spacing w:before="240" w:beforeAutospacing="0" w:after="240" w:afterAutospacing="0" w:line="360" w:lineRule="auto"/>
        <w:rPr>
          <w:rFonts w:ascii="Arial" w:hAnsi="Arial" w:cs="Arial"/>
          <w:color w:val="000000"/>
          <w:lang w:val="en-AU"/>
        </w:rPr>
      </w:pPr>
      <w:r w:rsidRPr="0077476E">
        <w:rPr>
          <w:rFonts w:ascii="Arial" w:hAnsi="Arial" w:cs="Arial"/>
          <w:b/>
          <w:color w:val="000000"/>
          <w:lang w:val="en-AU"/>
        </w:rPr>
        <w:lastRenderedPageBreak/>
        <w:t xml:space="preserve">Recommendation </w:t>
      </w:r>
      <w:r w:rsidR="0077476E" w:rsidRPr="0077476E">
        <w:rPr>
          <w:rFonts w:ascii="Arial" w:hAnsi="Arial" w:cs="Arial"/>
          <w:b/>
          <w:color w:val="000000"/>
          <w:lang w:val="en-AU"/>
        </w:rPr>
        <w:t>I</w:t>
      </w:r>
      <w:r w:rsidRPr="00AB6C3B">
        <w:rPr>
          <w:rFonts w:ascii="Arial" w:hAnsi="Arial" w:cs="Arial"/>
          <w:color w:val="000000"/>
          <w:lang w:val="en-AU"/>
        </w:rPr>
        <w:t xml:space="preserve">:  That the </w:t>
      </w:r>
      <w:r w:rsidR="00C825BC" w:rsidRPr="00AB6C3B">
        <w:rPr>
          <w:rFonts w:ascii="Arial" w:hAnsi="Arial" w:cs="Arial"/>
          <w:color w:val="000000"/>
          <w:lang w:val="en-AU"/>
        </w:rPr>
        <w:t xml:space="preserve">objects clause and the definition of human rights be amended to </w:t>
      </w:r>
      <w:r w:rsidR="00741055">
        <w:rPr>
          <w:rFonts w:ascii="Arial" w:hAnsi="Arial" w:cs="Arial"/>
          <w:color w:val="000000"/>
          <w:lang w:val="en-AU"/>
        </w:rPr>
        <w:t xml:space="preserve">specifically </w:t>
      </w:r>
      <w:r w:rsidR="00C825BC" w:rsidRPr="00AB6C3B">
        <w:rPr>
          <w:rFonts w:ascii="Arial" w:hAnsi="Arial" w:cs="Arial"/>
          <w:color w:val="000000"/>
          <w:lang w:val="en-AU"/>
        </w:rPr>
        <w:t xml:space="preserve">include the </w:t>
      </w:r>
      <w:r w:rsidR="0056683A">
        <w:rPr>
          <w:rFonts w:ascii="Arial" w:hAnsi="Arial" w:cs="Arial"/>
          <w:color w:val="000000"/>
          <w:lang w:val="en-AU"/>
        </w:rPr>
        <w:t xml:space="preserve">UN </w:t>
      </w:r>
      <w:r w:rsidR="00C825BC" w:rsidRPr="00AB6C3B">
        <w:rPr>
          <w:rFonts w:ascii="Arial" w:hAnsi="Arial" w:cs="Arial"/>
          <w:i/>
          <w:color w:val="000000"/>
          <w:lang w:val="en-AU"/>
        </w:rPr>
        <w:t>Declaration on the Rights of Indigenous People</w:t>
      </w:r>
      <w:r w:rsidR="0077476E">
        <w:rPr>
          <w:rFonts w:ascii="Arial" w:hAnsi="Arial" w:cs="Arial"/>
          <w:i/>
          <w:color w:val="000000"/>
          <w:lang w:val="en-AU"/>
        </w:rPr>
        <w:t>s</w:t>
      </w:r>
      <w:r w:rsidR="00741055">
        <w:rPr>
          <w:rFonts w:ascii="Arial" w:hAnsi="Arial" w:cs="Arial"/>
          <w:i/>
          <w:color w:val="000000"/>
          <w:lang w:val="en-AU"/>
        </w:rPr>
        <w:t>,</w:t>
      </w:r>
      <w:r w:rsidR="00C825BC" w:rsidRPr="00AB6C3B">
        <w:rPr>
          <w:rFonts w:ascii="Arial" w:hAnsi="Arial" w:cs="Arial"/>
          <w:color w:val="000000"/>
          <w:lang w:val="en-AU"/>
        </w:rPr>
        <w:t xml:space="preserve"> and </w:t>
      </w:r>
      <w:r w:rsidR="00F6769A" w:rsidRPr="00AB6C3B">
        <w:rPr>
          <w:rFonts w:ascii="Arial" w:hAnsi="Arial" w:cs="Arial"/>
          <w:color w:val="000000"/>
          <w:lang w:val="en-AU"/>
        </w:rPr>
        <w:t xml:space="preserve">to </w:t>
      </w:r>
      <w:r w:rsidR="00C825BC" w:rsidRPr="00AB6C3B">
        <w:rPr>
          <w:rFonts w:ascii="Arial" w:hAnsi="Arial" w:cs="Arial"/>
          <w:color w:val="000000"/>
          <w:lang w:val="en-AU"/>
        </w:rPr>
        <w:t xml:space="preserve">allow for </w:t>
      </w:r>
      <w:r w:rsidR="0077476E">
        <w:rPr>
          <w:rFonts w:ascii="Arial" w:hAnsi="Arial" w:cs="Arial"/>
          <w:color w:val="000000"/>
          <w:lang w:val="en-AU"/>
        </w:rPr>
        <w:t xml:space="preserve">the inclusion of </w:t>
      </w:r>
      <w:r w:rsidR="00C825BC" w:rsidRPr="00AB6C3B">
        <w:rPr>
          <w:rFonts w:ascii="Arial" w:hAnsi="Arial" w:cs="Arial"/>
          <w:color w:val="000000"/>
          <w:lang w:val="en-AU"/>
        </w:rPr>
        <w:t>any new instruments</w:t>
      </w:r>
      <w:r w:rsidR="00F6769A" w:rsidRPr="00AB6C3B">
        <w:rPr>
          <w:rFonts w:ascii="Arial" w:hAnsi="Arial" w:cs="Arial"/>
          <w:color w:val="000000"/>
          <w:lang w:val="en-AU"/>
        </w:rPr>
        <w:t xml:space="preserve"> that Australia might ratify</w:t>
      </w:r>
      <w:r w:rsidR="0077476E">
        <w:rPr>
          <w:rFonts w:ascii="Arial" w:hAnsi="Arial" w:cs="Arial"/>
          <w:color w:val="000000"/>
          <w:lang w:val="en-AU"/>
        </w:rPr>
        <w:t xml:space="preserve"> without amendment of the Act</w:t>
      </w:r>
      <w:r w:rsidRPr="00AB6C3B">
        <w:rPr>
          <w:rFonts w:ascii="Arial" w:hAnsi="Arial" w:cs="Arial"/>
          <w:color w:val="000000"/>
          <w:lang w:val="en-AU"/>
        </w:rPr>
        <w:t>.</w:t>
      </w:r>
    </w:p>
    <w:p w:rsidR="0072352C" w:rsidRPr="00AB6C3B" w:rsidRDefault="0079752D" w:rsidP="00131FD0">
      <w:pPr>
        <w:pStyle w:val="NormalWeb"/>
        <w:keepNext/>
        <w:spacing w:before="480" w:beforeAutospacing="0" w:after="120" w:afterAutospacing="0" w:line="360" w:lineRule="auto"/>
        <w:jc w:val="both"/>
        <w:rPr>
          <w:rFonts w:ascii="Arial" w:hAnsi="Arial" w:cs="Arial"/>
          <w:b/>
          <w:color w:val="000000"/>
          <w:sz w:val="28"/>
          <w:szCs w:val="28"/>
          <w:lang w:val="en-AU"/>
        </w:rPr>
      </w:pPr>
      <w:r w:rsidRPr="00AB6C3B">
        <w:rPr>
          <w:rFonts w:ascii="Arial" w:hAnsi="Arial" w:cs="Arial"/>
          <w:b/>
          <w:sz w:val="28"/>
          <w:szCs w:val="28"/>
          <w:lang w:val="en-AU"/>
        </w:rPr>
        <w:t>Meaning</w:t>
      </w:r>
      <w:r w:rsidRPr="00AB6C3B">
        <w:rPr>
          <w:rFonts w:ascii="Arial" w:hAnsi="Arial" w:cs="Arial"/>
          <w:b/>
          <w:color w:val="000000"/>
          <w:sz w:val="28"/>
          <w:szCs w:val="28"/>
          <w:lang w:val="en-AU"/>
        </w:rPr>
        <w:t xml:space="preserve"> of discrimination</w:t>
      </w:r>
    </w:p>
    <w:p w:rsidR="002020CD" w:rsidRPr="00AB6C3B" w:rsidRDefault="001B1044" w:rsidP="00581659">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The Commission welcomes the simplified test for discrimina</w:t>
      </w:r>
      <w:r w:rsidR="00576B3A" w:rsidRPr="00AB6C3B">
        <w:rPr>
          <w:rFonts w:ascii="Arial" w:hAnsi="Arial" w:cs="Arial"/>
          <w:lang w:val="en-AU"/>
        </w:rPr>
        <w:t>tion applying to all attributes</w:t>
      </w:r>
      <w:r w:rsidR="00581659" w:rsidRPr="00AB6C3B">
        <w:rPr>
          <w:rFonts w:ascii="Arial" w:hAnsi="Arial" w:cs="Arial"/>
          <w:lang w:val="en-AU"/>
        </w:rPr>
        <w:t xml:space="preserve"> set out in a single provision</w:t>
      </w:r>
      <w:r w:rsidR="00576B3A" w:rsidRPr="00AB6C3B">
        <w:rPr>
          <w:rFonts w:ascii="Arial" w:hAnsi="Arial" w:cs="Arial"/>
          <w:lang w:val="en-AU"/>
        </w:rPr>
        <w:t xml:space="preserve">.  The Commission considers </w:t>
      </w:r>
      <w:r w:rsidR="00581659" w:rsidRPr="00AB6C3B">
        <w:rPr>
          <w:rFonts w:ascii="Arial" w:hAnsi="Arial" w:cs="Arial"/>
          <w:lang w:val="en-AU"/>
        </w:rPr>
        <w:t xml:space="preserve">this format will aid understanding, as will </w:t>
      </w:r>
      <w:r w:rsidR="00576B3A" w:rsidRPr="00AB6C3B">
        <w:rPr>
          <w:rFonts w:ascii="Arial" w:hAnsi="Arial" w:cs="Arial"/>
          <w:lang w:val="en-AU"/>
        </w:rPr>
        <w:t>the removal of the comparator element for direct discrimination and removal of the ability to comply element for indirect discrimination</w:t>
      </w:r>
      <w:r w:rsidR="00581659" w:rsidRPr="00AB6C3B">
        <w:rPr>
          <w:rFonts w:ascii="Arial" w:hAnsi="Arial" w:cs="Arial"/>
          <w:lang w:val="en-AU"/>
        </w:rPr>
        <w:t xml:space="preserve">. </w:t>
      </w:r>
      <w:r w:rsidR="00576B3A" w:rsidRPr="00AB6C3B">
        <w:rPr>
          <w:rFonts w:ascii="Arial" w:hAnsi="Arial" w:cs="Arial"/>
          <w:lang w:val="en-AU"/>
        </w:rPr>
        <w:t xml:space="preserve"> </w:t>
      </w:r>
      <w:r w:rsidR="00581659" w:rsidRPr="00AB6C3B">
        <w:rPr>
          <w:rFonts w:ascii="Arial" w:hAnsi="Arial" w:cs="Arial"/>
          <w:lang w:val="en-AU"/>
        </w:rPr>
        <w:t xml:space="preserve">It is also appropriate to </w:t>
      </w:r>
      <w:r w:rsidR="00576B3A" w:rsidRPr="00AB6C3B">
        <w:rPr>
          <w:rFonts w:ascii="Arial" w:hAnsi="Arial" w:cs="Arial"/>
          <w:lang w:val="en-AU"/>
        </w:rPr>
        <w:t>expressl</w:t>
      </w:r>
      <w:r w:rsidR="00581659" w:rsidRPr="00AB6C3B">
        <w:rPr>
          <w:rFonts w:ascii="Arial" w:hAnsi="Arial" w:cs="Arial"/>
          <w:lang w:val="en-AU"/>
        </w:rPr>
        <w:t>y provide</w:t>
      </w:r>
      <w:r w:rsidR="00576B3A" w:rsidRPr="00AB6C3B">
        <w:rPr>
          <w:rFonts w:ascii="Arial" w:hAnsi="Arial" w:cs="Arial"/>
          <w:lang w:val="en-AU"/>
        </w:rPr>
        <w:t xml:space="preserve"> that discrimination can happen on the basis of a combination of 2 or more attributes.</w:t>
      </w:r>
      <w:r w:rsidR="00581659" w:rsidRPr="00AB6C3B">
        <w:rPr>
          <w:rFonts w:ascii="Arial" w:hAnsi="Arial" w:cs="Arial"/>
          <w:lang w:val="en-AU"/>
        </w:rPr>
        <w:t xml:space="preserve">  The Commission suggests minor amendments to further enhance clarity and understanding.</w:t>
      </w:r>
    </w:p>
    <w:p w:rsidR="00581659" w:rsidRPr="0077476E" w:rsidRDefault="00581659" w:rsidP="003844D1">
      <w:pPr>
        <w:pStyle w:val="NormalWeb"/>
        <w:keepNext/>
        <w:spacing w:before="240" w:beforeAutospacing="0" w:after="120" w:afterAutospacing="0" w:line="360" w:lineRule="auto"/>
        <w:jc w:val="both"/>
        <w:rPr>
          <w:rFonts w:ascii="Arial" w:hAnsi="Arial" w:cs="Arial"/>
          <w:b/>
          <w:lang w:val="en-AU"/>
        </w:rPr>
      </w:pPr>
      <w:r w:rsidRPr="0077476E">
        <w:rPr>
          <w:rFonts w:ascii="Arial" w:hAnsi="Arial" w:cs="Arial"/>
          <w:b/>
          <w:lang w:val="en-AU"/>
        </w:rPr>
        <w:t>Direct discrimination</w:t>
      </w:r>
    </w:p>
    <w:p w:rsidR="00581659" w:rsidRPr="00AB6C3B" w:rsidRDefault="003844D1" w:rsidP="003844D1">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 xml:space="preserve">The Commission notes that clause 19(2) of the Bill is intended to clarify existing discrimination law rather than expand on existing law.  Harassment </w:t>
      </w:r>
      <w:r w:rsidR="00281CB7" w:rsidRPr="00AB6C3B">
        <w:rPr>
          <w:rFonts w:ascii="Arial" w:hAnsi="Arial" w:cs="Arial"/>
          <w:lang w:val="en-AU"/>
        </w:rPr>
        <w:t xml:space="preserve">and offensive conduct </w:t>
      </w:r>
      <w:r w:rsidRPr="00AB6C3B">
        <w:rPr>
          <w:rFonts w:ascii="Arial" w:hAnsi="Arial" w:cs="Arial"/>
          <w:lang w:val="en-AU"/>
        </w:rPr>
        <w:t xml:space="preserve">because </w:t>
      </w:r>
      <w:r w:rsidR="00281CB7" w:rsidRPr="00AB6C3B">
        <w:rPr>
          <w:rFonts w:ascii="Arial" w:hAnsi="Arial" w:cs="Arial"/>
          <w:lang w:val="en-AU"/>
        </w:rPr>
        <w:t xml:space="preserve">of </w:t>
      </w:r>
      <w:r w:rsidRPr="00AB6C3B">
        <w:rPr>
          <w:rFonts w:ascii="Arial" w:hAnsi="Arial" w:cs="Arial"/>
          <w:lang w:val="en-AU"/>
        </w:rPr>
        <w:t>or in relation to a protected attribute is unlawful under existing State and Commonwealth anti-discrimination legislation.</w:t>
      </w:r>
    </w:p>
    <w:p w:rsidR="00281CB7" w:rsidRPr="00AB6C3B" w:rsidRDefault="00281CB7" w:rsidP="00A16BA9">
      <w:pPr>
        <w:pStyle w:val="NormalWeb"/>
        <w:numPr>
          <w:ilvl w:val="0"/>
          <w:numId w:val="2"/>
        </w:numPr>
        <w:spacing w:before="120" w:beforeAutospacing="0" w:after="120" w:afterAutospacing="0" w:line="360" w:lineRule="auto"/>
        <w:ind w:left="567" w:hanging="567"/>
        <w:jc w:val="both"/>
        <w:rPr>
          <w:rFonts w:ascii="Arial" w:hAnsi="Arial" w:cs="Arial"/>
          <w:lang w:val="en-AU"/>
        </w:rPr>
      </w:pPr>
      <w:r w:rsidRPr="00AB6C3B">
        <w:rPr>
          <w:rFonts w:ascii="Arial" w:hAnsi="Arial" w:cs="Arial"/>
          <w:lang w:val="en-AU"/>
        </w:rPr>
        <w:t xml:space="preserve">The Commission considers provisions that clarify how </w:t>
      </w:r>
      <w:r w:rsidR="001C3D9B">
        <w:rPr>
          <w:rFonts w:ascii="Arial" w:hAnsi="Arial" w:cs="Arial"/>
          <w:lang w:val="en-AU"/>
        </w:rPr>
        <w:t>particular sections</w:t>
      </w:r>
      <w:r w:rsidRPr="00AB6C3B">
        <w:rPr>
          <w:rFonts w:ascii="Arial" w:hAnsi="Arial" w:cs="Arial"/>
          <w:lang w:val="en-AU"/>
        </w:rPr>
        <w:t xml:space="preserve"> have been interpreted are helpful.  However, it is apparent that some commentators consider that clause 19(2) expands rather than clarifies existing law.  This would suggest possible confusion and lack of clarity if the provision is not change</w:t>
      </w:r>
      <w:r w:rsidR="00034641" w:rsidRPr="00AB6C3B">
        <w:rPr>
          <w:rFonts w:ascii="Arial" w:hAnsi="Arial" w:cs="Arial"/>
          <w:lang w:val="en-AU"/>
        </w:rPr>
        <w:t>d</w:t>
      </w:r>
      <w:r w:rsidRPr="00AB6C3B">
        <w:rPr>
          <w:rFonts w:ascii="Arial" w:hAnsi="Arial" w:cs="Arial"/>
          <w:lang w:val="en-AU"/>
        </w:rPr>
        <w:t>.  In order to better achieve the purpose of clarifying existing law, the Commission suggests that clause 19(2)(b) be modified by either:</w:t>
      </w:r>
    </w:p>
    <w:p w:rsidR="00281CB7" w:rsidRPr="00AB6C3B" w:rsidRDefault="00281CB7" w:rsidP="00A16BA9">
      <w:pPr>
        <w:pStyle w:val="NormalWeb"/>
        <w:numPr>
          <w:ilvl w:val="1"/>
          <w:numId w:val="2"/>
        </w:numPr>
        <w:spacing w:before="120" w:beforeAutospacing="0" w:after="120" w:afterAutospacing="0" w:line="360" w:lineRule="auto"/>
        <w:ind w:left="1701" w:hanging="624"/>
        <w:jc w:val="both"/>
        <w:rPr>
          <w:rFonts w:ascii="Arial" w:hAnsi="Arial" w:cs="Arial"/>
          <w:lang w:val="en-AU"/>
        </w:rPr>
      </w:pPr>
      <w:r w:rsidRPr="00AB6C3B">
        <w:rPr>
          <w:rFonts w:ascii="Arial" w:hAnsi="Arial" w:cs="Arial"/>
          <w:lang w:val="en-AU"/>
        </w:rPr>
        <w:t xml:space="preserve">confining </w:t>
      </w:r>
      <w:r w:rsidR="00F03E23" w:rsidRPr="00AB6C3B">
        <w:rPr>
          <w:rFonts w:ascii="Arial" w:hAnsi="Arial" w:cs="Arial"/>
          <w:lang w:val="en-AU"/>
        </w:rPr>
        <w:t xml:space="preserve">the effect of the conduct by reference to an element of objectivity, for example, </w:t>
      </w:r>
      <w:r w:rsidR="001C3D9B">
        <w:rPr>
          <w:rFonts w:ascii="Arial" w:hAnsi="Arial" w:cs="Arial"/>
          <w:lang w:val="en-AU"/>
        </w:rPr>
        <w:t>so that it reads ‘</w:t>
      </w:r>
      <w:r w:rsidR="007B0B38" w:rsidRPr="001C3D9B">
        <w:rPr>
          <w:rFonts w:ascii="Arial" w:hAnsi="Arial" w:cs="Arial"/>
          <w:lang w:val="en-AU"/>
        </w:rPr>
        <w:t>other conduct that a reasonable</w:t>
      </w:r>
      <w:r w:rsidR="00F03E23" w:rsidRPr="001C3D9B">
        <w:rPr>
          <w:rFonts w:ascii="Arial" w:hAnsi="Arial" w:cs="Arial"/>
          <w:lang w:val="en-AU"/>
        </w:rPr>
        <w:t xml:space="preserve"> </w:t>
      </w:r>
      <w:r w:rsidR="007B0B38" w:rsidRPr="001C3D9B">
        <w:rPr>
          <w:rFonts w:ascii="Arial" w:hAnsi="Arial" w:cs="Arial"/>
          <w:lang w:val="en-AU"/>
        </w:rPr>
        <w:t>person would consider to offend, insult</w:t>
      </w:r>
      <w:r w:rsidR="00F03E23" w:rsidRPr="001C3D9B">
        <w:rPr>
          <w:rFonts w:ascii="Arial" w:hAnsi="Arial" w:cs="Arial"/>
          <w:lang w:val="en-AU"/>
        </w:rPr>
        <w:t xml:space="preserve"> or </w:t>
      </w:r>
      <w:r w:rsidR="007B0B38" w:rsidRPr="001C3D9B">
        <w:rPr>
          <w:rFonts w:ascii="Arial" w:hAnsi="Arial" w:cs="Arial"/>
          <w:lang w:val="en-AU"/>
        </w:rPr>
        <w:t>intimidate</w:t>
      </w:r>
      <w:r w:rsidR="00F03E23" w:rsidRPr="001C3D9B">
        <w:rPr>
          <w:rFonts w:ascii="Arial" w:hAnsi="Arial" w:cs="Arial"/>
          <w:lang w:val="en-AU"/>
        </w:rPr>
        <w:t xml:space="preserve"> the other person</w:t>
      </w:r>
      <w:r w:rsidR="007B0B38" w:rsidRPr="001C3D9B">
        <w:rPr>
          <w:rFonts w:ascii="Arial" w:hAnsi="Arial" w:cs="Arial"/>
          <w:lang w:val="en-AU"/>
        </w:rPr>
        <w:t xml:space="preserve"> in the circumstances</w:t>
      </w:r>
      <w:r w:rsidR="001C3D9B">
        <w:rPr>
          <w:rFonts w:ascii="Arial" w:hAnsi="Arial" w:cs="Arial"/>
          <w:lang w:val="en-AU"/>
        </w:rPr>
        <w:t>’</w:t>
      </w:r>
      <w:r w:rsidR="00F03E23" w:rsidRPr="001C3D9B">
        <w:rPr>
          <w:rFonts w:ascii="Arial" w:hAnsi="Arial" w:cs="Arial"/>
          <w:lang w:val="en-AU"/>
        </w:rPr>
        <w:t>;</w:t>
      </w:r>
      <w:r w:rsidR="00F03E23" w:rsidRPr="00AB6C3B">
        <w:rPr>
          <w:rFonts w:ascii="Arial" w:hAnsi="Arial" w:cs="Arial"/>
          <w:lang w:val="en-AU"/>
        </w:rPr>
        <w:t xml:space="preserve"> or</w:t>
      </w:r>
    </w:p>
    <w:p w:rsidR="00F03E23" w:rsidRPr="00AB6C3B" w:rsidRDefault="00F03E23" w:rsidP="00A16BA9">
      <w:pPr>
        <w:pStyle w:val="NormalWeb"/>
        <w:numPr>
          <w:ilvl w:val="1"/>
          <w:numId w:val="2"/>
        </w:numPr>
        <w:spacing w:before="120" w:beforeAutospacing="0" w:after="120" w:afterAutospacing="0" w:line="360" w:lineRule="auto"/>
        <w:ind w:left="1701" w:hanging="624"/>
        <w:jc w:val="both"/>
        <w:rPr>
          <w:rFonts w:ascii="Arial" w:hAnsi="Arial" w:cs="Arial"/>
          <w:lang w:val="en-AU"/>
        </w:rPr>
      </w:pPr>
      <w:r w:rsidRPr="00AB6C3B">
        <w:rPr>
          <w:rFonts w:ascii="Arial" w:hAnsi="Arial" w:cs="Arial"/>
          <w:lang w:val="en-AU"/>
        </w:rPr>
        <w:lastRenderedPageBreak/>
        <w:t xml:space="preserve">using different wording, for example, </w:t>
      </w:r>
      <w:r w:rsidR="001C3D9B">
        <w:rPr>
          <w:rFonts w:ascii="Arial" w:hAnsi="Arial" w:cs="Arial"/>
          <w:lang w:val="en-AU"/>
        </w:rPr>
        <w:t>‘</w:t>
      </w:r>
      <w:r w:rsidRPr="001C3D9B">
        <w:rPr>
          <w:rFonts w:ascii="Arial" w:hAnsi="Arial" w:cs="Arial"/>
          <w:lang w:val="en-AU"/>
        </w:rPr>
        <w:t>other conduct that denigrates, hum</w:t>
      </w:r>
      <w:r w:rsidR="00034641" w:rsidRPr="001C3D9B">
        <w:rPr>
          <w:rFonts w:ascii="Arial" w:hAnsi="Arial" w:cs="Arial"/>
          <w:lang w:val="en-AU"/>
        </w:rPr>
        <w:t xml:space="preserve">iliates or intimidates </w:t>
      </w:r>
      <w:r w:rsidRPr="001C3D9B">
        <w:rPr>
          <w:rFonts w:ascii="Arial" w:hAnsi="Arial" w:cs="Arial"/>
          <w:lang w:val="en-AU"/>
        </w:rPr>
        <w:t>the other person</w:t>
      </w:r>
      <w:r w:rsidR="001C3D9B">
        <w:rPr>
          <w:rFonts w:ascii="Arial" w:hAnsi="Arial" w:cs="Arial"/>
          <w:lang w:val="en-AU"/>
        </w:rPr>
        <w:t>’</w:t>
      </w:r>
      <w:r w:rsidR="00DB3CE8" w:rsidRPr="00AB6C3B">
        <w:rPr>
          <w:rFonts w:ascii="Arial" w:hAnsi="Arial" w:cs="Arial"/>
          <w:i/>
          <w:lang w:val="en-AU"/>
        </w:rPr>
        <w:t>;</w:t>
      </w:r>
      <w:r w:rsidR="00DB3CE8" w:rsidRPr="00AB6C3B">
        <w:rPr>
          <w:rFonts w:ascii="Arial" w:hAnsi="Arial" w:cs="Arial"/>
          <w:lang w:val="en-AU"/>
        </w:rPr>
        <w:t xml:space="preserve"> or</w:t>
      </w:r>
    </w:p>
    <w:p w:rsidR="00DB3CE8" w:rsidRPr="00AB6C3B" w:rsidRDefault="00DB3CE8" w:rsidP="00281CB7">
      <w:pPr>
        <w:pStyle w:val="NormalWeb"/>
        <w:numPr>
          <w:ilvl w:val="1"/>
          <w:numId w:val="2"/>
        </w:numPr>
        <w:spacing w:before="120" w:beforeAutospacing="0" w:after="240" w:afterAutospacing="0" w:line="360" w:lineRule="auto"/>
        <w:ind w:left="1701" w:hanging="621"/>
        <w:jc w:val="both"/>
        <w:rPr>
          <w:rFonts w:ascii="Arial" w:hAnsi="Arial" w:cs="Arial"/>
          <w:lang w:val="en-AU"/>
        </w:rPr>
      </w:pPr>
      <w:proofErr w:type="gramStart"/>
      <w:r w:rsidRPr="00AB6C3B">
        <w:rPr>
          <w:rFonts w:ascii="Arial" w:hAnsi="Arial" w:cs="Arial"/>
          <w:lang w:val="en-AU"/>
        </w:rPr>
        <w:t>removing</w:t>
      </w:r>
      <w:proofErr w:type="gramEnd"/>
      <w:r w:rsidRPr="00AB6C3B">
        <w:rPr>
          <w:rFonts w:ascii="Arial" w:hAnsi="Arial" w:cs="Arial"/>
          <w:lang w:val="en-AU"/>
        </w:rPr>
        <w:t xml:space="preserve"> clause 19(2)(b).</w:t>
      </w:r>
    </w:p>
    <w:p w:rsidR="00DB3CE8" w:rsidRPr="00AB6C3B" w:rsidRDefault="00DB3CE8" w:rsidP="00DB3CE8">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rPr>
          <w:rFonts w:ascii="Arial" w:hAnsi="Arial" w:cs="Arial"/>
          <w:lang w:val="en-AU"/>
        </w:rPr>
      </w:pPr>
      <w:r w:rsidRPr="0077476E">
        <w:rPr>
          <w:rFonts w:ascii="Arial" w:hAnsi="Arial" w:cs="Arial"/>
          <w:b/>
          <w:color w:val="000000"/>
          <w:lang w:val="en-AU"/>
        </w:rPr>
        <w:t>Recommendation</w:t>
      </w:r>
      <w:r w:rsidRPr="0077476E">
        <w:rPr>
          <w:rFonts w:ascii="Arial" w:hAnsi="Arial" w:cs="Arial"/>
          <w:b/>
          <w:lang w:val="en-AU"/>
        </w:rPr>
        <w:t xml:space="preserve"> </w:t>
      </w:r>
      <w:r w:rsidR="0077476E" w:rsidRPr="0077476E">
        <w:rPr>
          <w:rFonts w:ascii="Arial" w:hAnsi="Arial" w:cs="Arial"/>
          <w:b/>
          <w:lang w:val="en-AU"/>
        </w:rPr>
        <w:t>II</w:t>
      </w:r>
      <w:r w:rsidRPr="00AB6C3B">
        <w:rPr>
          <w:rFonts w:ascii="Arial" w:hAnsi="Arial" w:cs="Arial"/>
          <w:lang w:val="en-AU"/>
        </w:rPr>
        <w:t>:  That clause 19(2</w:t>
      </w:r>
      <w:proofErr w:type="gramStart"/>
      <w:r w:rsidRPr="00AB6C3B">
        <w:rPr>
          <w:rFonts w:ascii="Arial" w:hAnsi="Arial" w:cs="Arial"/>
          <w:lang w:val="en-AU"/>
        </w:rPr>
        <w:t>)(</w:t>
      </w:r>
      <w:proofErr w:type="gramEnd"/>
      <w:r w:rsidRPr="00AB6C3B">
        <w:rPr>
          <w:rFonts w:ascii="Arial" w:hAnsi="Arial" w:cs="Arial"/>
          <w:lang w:val="en-AU"/>
        </w:rPr>
        <w:t>b) be amended or removed.</w:t>
      </w:r>
    </w:p>
    <w:p w:rsidR="00587A9F" w:rsidRPr="0077476E" w:rsidRDefault="00587A9F" w:rsidP="001C3D9B">
      <w:pPr>
        <w:pStyle w:val="NormalWeb"/>
        <w:keepNext/>
        <w:spacing w:before="360" w:beforeAutospacing="0" w:after="120" w:afterAutospacing="0" w:line="360" w:lineRule="auto"/>
        <w:jc w:val="both"/>
        <w:rPr>
          <w:rFonts w:ascii="Arial" w:hAnsi="Arial" w:cs="Arial"/>
          <w:b/>
          <w:lang w:val="en-AU"/>
        </w:rPr>
      </w:pPr>
      <w:r w:rsidRPr="0077476E">
        <w:rPr>
          <w:rFonts w:ascii="Arial" w:hAnsi="Arial" w:cs="Arial"/>
          <w:b/>
          <w:lang w:val="en-AU"/>
        </w:rPr>
        <w:t>Indirect discrimination</w:t>
      </w:r>
    </w:p>
    <w:p w:rsidR="00C13A76" w:rsidRPr="00AB6C3B" w:rsidRDefault="00C13A76" w:rsidP="00581659">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 xml:space="preserve">Although the version of indirect discrimination in the Bill is much improved in terms of simplicity and understanding, it still </w:t>
      </w:r>
      <w:r w:rsidR="00E84205">
        <w:rPr>
          <w:rFonts w:ascii="Arial" w:hAnsi="Arial" w:cs="Arial"/>
          <w:lang w:val="en-AU"/>
        </w:rPr>
        <w:t>focuses on disadvantage to a group rather than disadvantage to an individual with an attribute or combination of attributes.</w:t>
      </w:r>
    </w:p>
    <w:p w:rsidR="00AC7BA3" w:rsidRPr="00AB6C3B" w:rsidRDefault="00E84205" w:rsidP="00581659">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The distinctio</w:t>
      </w:r>
      <w:r w:rsidR="001C3D9B">
        <w:rPr>
          <w:rFonts w:ascii="Arial" w:hAnsi="Arial" w:cs="Arial"/>
          <w:lang w:val="en-AU"/>
        </w:rPr>
        <w:t>n between direct</w:t>
      </w:r>
      <w:r>
        <w:rPr>
          <w:rFonts w:ascii="Arial" w:hAnsi="Arial" w:cs="Arial"/>
          <w:lang w:val="en-AU"/>
        </w:rPr>
        <w:t xml:space="preserve"> discrimination as affecti</w:t>
      </w:r>
      <w:r w:rsidR="001C3D9B">
        <w:rPr>
          <w:rFonts w:ascii="Arial" w:hAnsi="Arial" w:cs="Arial"/>
          <w:lang w:val="en-AU"/>
        </w:rPr>
        <w:t>ng an individual, and indirect</w:t>
      </w:r>
      <w:r>
        <w:rPr>
          <w:rFonts w:ascii="Arial" w:hAnsi="Arial" w:cs="Arial"/>
          <w:lang w:val="en-AU"/>
        </w:rPr>
        <w:t xml:space="preserve"> </w:t>
      </w:r>
      <w:r w:rsidR="001C3D9B">
        <w:rPr>
          <w:rFonts w:ascii="Arial" w:hAnsi="Arial" w:cs="Arial"/>
          <w:lang w:val="en-AU"/>
        </w:rPr>
        <w:t xml:space="preserve">discrimination </w:t>
      </w:r>
      <w:r>
        <w:rPr>
          <w:rFonts w:ascii="Arial" w:hAnsi="Arial" w:cs="Arial"/>
          <w:lang w:val="en-AU"/>
        </w:rPr>
        <w:t>as affecting a group of people, is inconsistent with the objectives of protecting against and eliminating discrimination.</w:t>
      </w:r>
    </w:p>
    <w:p w:rsidR="003257A0" w:rsidRPr="00AB6C3B" w:rsidRDefault="003257A0" w:rsidP="003257A0">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AB6C3B">
        <w:rPr>
          <w:rFonts w:ascii="Arial" w:hAnsi="Arial" w:cs="Arial"/>
          <w:color w:val="000000"/>
          <w:lang w:val="en-AU"/>
        </w:rPr>
        <w:t xml:space="preserve">The </w:t>
      </w:r>
      <w:r w:rsidR="00DB3CE8" w:rsidRPr="00AB6C3B">
        <w:rPr>
          <w:rFonts w:ascii="Arial" w:hAnsi="Arial" w:cs="Arial"/>
          <w:color w:val="000000"/>
          <w:lang w:val="en-AU"/>
        </w:rPr>
        <w:t>Commission considers clause 19(3)(b) should be amendment to provide</w:t>
      </w:r>
      <w:r w:rsidRPr="00AB6C3B">
        <w:rPr>
          <w:rFonts w:ascii="Arial" w:hAnsi="Arial" w:cs="Arial"/>
          <w:color w:val="000000"/>
          <w:lang w:val="en-AU"/>
        </w:rPr>
        <w:t>:</w:t>
      </w:r>
    </w:p>
    <w:p w:rsidR="003257A0" w:rsidRPr="00AB6C3B" w:rsidRDefault="001C3D9B" w:rsidP="001C3D9B">
      <w:pPr>
        <w:pStyle w:val="NormalWeb"/>
        <w:spacing w:before="240" w:beforeAutospacing="0" w:after="240" w:afterAutospacing="0" w:line="360" w:lineRule="auto"/>
        <w:ind w:left="1560" w:hanging="480"/>
        <w:jc w:val="both"/>
        <w:rPr>
          <w:rFonts w:ascii="Arial" w:hAnsi="Arial" w:cs="Arial"/>
          <w:color w:val="000000"/>
          <w:lang w:val="en-AU"/>
        </w:rPr>
      </w:pPr>
      <w:r>
        <w:rPr>
          <w:rFonts w:ascii="Arial" w:hAnsi="Arial" w:cs="Arial"/>
          <w:color w:val="000000"/>
          <w:sz w:val="22"/>
          <w:szCs w:val="22"/>
          <w:lang w:val="en-AU"/>
        </w:rPr>
        <w:t xml:space="preserve">(b)  </w:t>
      </w:r>
      <w:r w:rsidR="00DB3CE8" w:rsidRPr="00AB6C3B">
        <w:rPr>
          <w:rFonts w:ascii="Arial" w:hAnsi="Arial" w:cs="Arial"/>
          <w:color w:val="000000"/>
          <w:sz w:val="22"/>
          <w:szCs w:val="22"/>
          <w:lang w:val="en-AU"/>
        </w:rPr>
        <w:t>the policy has, or is likely to have, the effect of disadvantaging the person because of, or people who have, a particular protected attribute, or a particular combination of 2 or more protected attributes; and</w:t>
      </w:r>
    </w:p>
    <w:p w:rsidR="00B472E6" w:rsidRPr="00AB6C3B" w:rsidRDefault="00DB3CE8" w:rsidP="00B472E6">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77476E">
        <w:rPr>
          <w:rFonts w:ascii="Arial" w:hAnsi="Arial" w:cs="Arial"/>
          <w:b/>
          <w:color w:val="000000"/>
          <w:lang w:val="en-AU"/>
        </w:rPr>
        <w:t xml:space="preserve">Recommendation </w:t>
      </w:r>
      <w:r w:rsidR="0077476E" w:rsidRPr="0077476E">
        <w:rPr>
          <w:rFonts w:ascii="Arial" w:hAnsi="Arial" w:cs="Arial"/>
          <w:b/>
          <w:color w:val="000000"/>
          <w:lang w:val="en-AU"/>
        </w:rPr>
        <w:t>III</w:t>
      </w:r>
      <w:r w:rsidR="0077476E">
        <w:rPr>
          <w:rFonts w:ascii="Arial" w:hAnsi="Arial" w:cs="Arial"/>
          <w:color w:val="000000"/>
          <w:lang w:val="en-AU"/>
        </w:rPr>
        <w:t>:</w:t>
      </w:r>
      <w:r w:rsidR="00B472E6" w:rsidRPr="00AB6C3B">
        <w:rPr>
          <w:rFonts w:ascii="Arial" w:hAnsi="Arial" w:cs="Arial"/>
          <w:color w:val="000000"/>
          <w:lang w:val="en-AU"/>
        </w:rPr>
        <w:t xml:space="preserve">  That </w:t>
      </w:r>
      <w:r w:rsidR="00C825BC" w:rsidRPr="00AB6C3B">
        <w:rPr>
          <w:rFonts w:ascii="Arial" w:hAnsi="Arial" w:cs="Arial"/>
          <w:color w:val="000000"/>
          <w:lang w:val="en-AU"/>
        </w:rPr>
        <w:t xml:space="preserve">the definition of </w:t>
      </w:r>
      <w:r w:rsidR="00B472E6" w:rsidRPr="00AB6C3B">
        <w:rPr>
          <w:rFonts w:ascii="Arial" w:hAnsi="Arial" w:cs="Arial"/>
          <w:color w:val="000000"/>
          <w:lang w:val="en-AU"/>
        </w:rPr>
        <w:t xml:space="preserve">discrimination </w:t>
      </w:r>
      <w:r w:rsidR="00C825BC" w:rsidRPr="00AB6C3B">
        <w:rPr>
          <w:rFonts w:ascii="Arial" w:hAnsi="Arial" w:cs="Arial"/>
          <w:color w:val="000000"/>
          <w:lang w:val="en-AU"/>
        </w:rPr>
        <w:t>in clause 19(3</w:t>
      </w:r>
      <w:proofErr w:type="gramStart"/>
      <w:r w:rsidR="00C825BC" w:rsidRPr="00AB6C3B">
        <w:rPr>
          <w:rFonts w:ascii="Arial" w:hAnsi="Arial" w:cs="Arial"/>
          <w:color w:val="000000"/>
          <w:lang w:val="en-AU"/>
        </w:rPr>
        <w:t>)(</w:t>
      </w:r>
      <w:proofErr w:type="gramEnd"/>
      <w:r w:rsidR="00C825BC" w:rsidRPr="00AB6C3B">
        <w:rPr>
          <w:rFonts w:ascii="Arial" w:hAnsi="Arial" w:cs="Arial"/>
          <w:color w:val="000000"/>
          <w:lang w:val="en-AU"/>
        </w:rPr>
        <w:t xml:space="preserve">b) </w:t>
      </w:r>
      <w:r w:rsidR="00B472E6" w:rsidRPr="00AB6C3B">
        <w:rPr>
          <w:rFonts w:ascii="Arial" w:hAnsi="Arial" w:cs="Arial"/>
          <w:color w:val="000000"/>
          <w:lang w:val="en-AU"/>
        </w:rPr>
        <w:t xml:space="preserve">be </w:t>
      </w:r>
      <w:r w:rsidR="00C825BC" w:rsidRPr="00AB6C3B">
        <w:rPr>
          <w:rFonts w:ascii="Arial" w:hAnsi="Arial" w:cs="Arial"/>
          <w:color w:val="000000"/>
          <w:lang w:val="en-AU"/>
        </w:rPr>
        <w:t xml:space="preserve">amended </w:t>
      </w:r>
      <w:r w:rsidR="009B1170" w:rsidRPr="00AB6C3B">
        <w:rPr>
          <w:rFonts w:ascii="Arial" w:hAnsi="Arial" w:cs="Arial"/>
          <w:color w:val="000000"/>
          <w:lang w:val="en-AU"/>
        </w:rPr>
        <w:t xml:space="preserve">to </w:t>
      </w:r>
      <w:r w:rsidRPr="00AB6C3B">
        <w:rPr>
          <w:rFonts w:ascii="Arial" w:hAnsi="Arial" w:cs="Arial"/>
          <w:color w:val="000000"/>
          <w:lang w:val="en-AU"/>
        </w:rPr>
        <w:t>include</w:t>
      </w:r>
      <w:r w:rsidR="00C825BC" w:rsidRPr="00AB6C3B">
        <w:rPr>
          <w:rFonts w:ascii="Arial" w:hAnsi="Arial" w:cs="Arial"/>
          <w:color w:val="000000"/>
          <w:lang w:val="en-AU"/>
        </w:rPr>
        <w:t xml:space="preserve"> </w:t>
      </w:r>
      <w:r w:rsidR="009B1170" w:rsidRPr="00AB6C3B">
        <w:rPr>
          <w:rFonts w:ascii="Arial" w:hAnsi="Arial" w:cs="Arial"/>
          <w:color w:val="000000"/>
          <w:lang w:val="en-AU"/>
        </w:rPr>
        <w:t>the effect of disadvantaging</w:t>
      </w:r>
      <w:r w:rsidR="00C825BC" w:rsidRPr="00AB6C3B">
        <w:rPr>
          <w:rFonts w:ascii="Arial" w:hAnsi="Arial" w:cs="Arial"/>
          <w:color w:val="000000"/>
          <w:lang w:val="en-AU"/>
        </w:rPr>
        <w:t xml:space="preserve"> </w:t>
      </w:r>
      <w:r w:rsidRPr="00AB6C3B">
        <w:rPr>
          <w:rFonts w:ascii="Arial" w:hAnsi="Arial" w:cs="Arial"/>
          <w:color w:val="000000"/>
          <w:lang w:val="en-AU"/>
        </w:rPr>
        <w:t>an</w:t>
      </w:r>
      <w:r w:rsidR="00C825BC" w:rsidRPr="00AB6C3B">
        <w:rPr>
          <w:rFonts w:ascii="Arial" w:hAnsi="Arial" w:cs="Arial"/>
          <w:color w:val="000000"/>
          <w:lang w:val="en-AU"/>
        </w:rPr>
        <w:t xml:space="preserve"> individual </w:t>
      </w:r>
      <w:r w:rsidR="009B1170" w:rsidRPr="00AB6C3B">
        <w:rPr>
          <w:rFonts w:ascii="Arial" w:hAnsi="Arial" w:cs="Arial"/>
          <w:color w:val="000000"/>
          <w:lang w:val="en-AU"/>
        </w:rPr>
        <w:t>because of the attribute (or combination of attributes) as well as people</w:t>
      </w:r>
      <w:r w:rsidRPr="00AB6C3B">
        <w:rPr>
          <w:rFonts w:ascii="Arial" w:hAnsi="Arial" w:cs="Arial"/>
          <w:color w:val="000000"/>
          <w:lang w:val="en-AU"/>
        </w:rPr>
        <w:t xml:space="preserve"> with the attribute (or combination of attributes)</w:t>
      </w:r>
      <w:r w:rsidR="00B472E6" w:rsidRPr="00AB6C3B">
        <w:rPr>
          <w:rFonts w:ascii="Arial" w:hAnsi="Arial" w:cs="Arial"/>
          <w:color w:val="000000"/>
          <w:lang w:val="en-AU"/>
        </w:rPr>
        <w:t>.</w:t>
      </w:r>
    </w:p>
    <w:p w:rsidR="0072352C" w:rsidRPr="00AB6C3B" w:rsidRDefault="002020CD" w:rsidP="00B41626">
      <w:pPr>
        <w:pStyle w:val="NormalWeb"/>
        <w:keepNext/>
        <w:spacing w:before="480" w:beforeAutospacing="0" w:after="120" w:afterAutospacing="0" w:line="360" w:lineRule="auto"/>
        <w:jc w:val="both"/>
        <w:rPr>
          <w:rFonts w:ascii="Arial" w:hAnsi="Arial" w:cs="Arial"/>
          <w:b/>
          <w:color w:val="000000"/>
          <w:sz w:val="28"/>
          <w:szCs w:val="28"/>
          <w:lang w:val="en-AU"/>
        </w:rPr>
      </w:pPr>
      <w:r w:rsidRPr="00AB6C3B">
        <w:rPr>
          <w:rFonts w:ascii="Arial" w:hAnsi="Arial" w:cs="Arial"/>
          <w:b/>
          <w:sz w:val="28"/>
          <w:szCs w:val="28"/>
          <w:lang w:val="en-AU"/>
        </w:rPr>
        <w:t>Protected</w:t>
      </w:r>
      <w:r w:rsidRPr="00AB6C3B">
        <w:rPr>
          <w:rFonts w:ascii="Arial" w:hAnsi="Arial" w:cs="Arial"/>
          <w:b/>
          <w:color w:val="000000"/>
          <w:sz w:val="28"/>
          <w:szCs w:val="28"/>
          <w:lang w:val="en-AU"/>
        </w:rPr>
        <w:t xml:space="preserve"> attributes</w:t>
      </w:r>
    </w:p>
    <w:p w:rsidR="00776F23" w:rsidRDefault="00776F23" w:rsidP="00C44204">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 xml:space="preserve">The Bill removes the separate complaints regime for the equal opportunity in employment attributes (ILO attributes).  This regime allowed for complaints of discrimination based on these attributes in employment to be made and conciliation attempted, however unresolved complaints could not be taken to the Court as the discrimination was not unlawful.  AHRC could report to the </w:t>
      </w:r>
      <w:r>
        <w:rPr>
          <w:rFonts w:ascii="Arial" w:hAnsi="Arial" w:cs="Arial"/>
          <w:color w:val="000000"/>
          <w:lang w:val="en-AU"/>
        </w:rPr>
        <w:lastRenderedPageBreak/>
        <w:t xml:space="preserve">Minister and make </w:t>
      </w:r>
      <w:proofErr w:type="gramStart"/>
      <w:r>
        <w:rPr>
          <w:rFonts w:ascii="Arial" w:hAnsi="Arial" w:cs="Arial"/>
          <w:color w:val="000000"/>
          <w:lang w:val="en-AU"/>
        </w:rPr>
        <w:t>recommendations,</w:t>
      </w:r>
      <w:proofErr w:type="gramEnd"/>
      <w:r>
        <w:rPr>
          <w:rFonts w:ascii="Arial" w:hAnsi="Arial" w:cs="Arial"/>
          <w:color w:val="000000"/>
          <w:lang w:val="en-AU"/>
        </w:rPr>
        <w:t xml:space="preserve"> however the recommendations were not enforceable.</w:t>
      </w:r>
    </w:p>
    <w:p w:rsidR="00AF7D83" w:rsidRDefault="00AF7D83" w:rsidP="00587A9F">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Under the Bill, the ILO attributes (other than criminal record) become protected attributes, but only in the work and work-related areas.  Discrimination on the basis of these attributes will now be unlawful where the discrimination occurs in the work and work-related areas.</w:t>
      </w:r>
      <w:r w:rsidR="008B068F">
        <w:rPr>
          <w:rFonts w:ascii="Arial" w:hAnsi="Arial" w:cs="Arial"/>
          <w:color w:val="000000"/>
          <w:lang w:val="en-AU"/>
        </w:rPr>
        <w:t xml:space="preserve">  There are six attributes in this category, namely:</w:t>
      </w:r>
    </w:p>
    <w:p w:rsidR="008B068F" w:rsidRDefault="008B068F" w:rsidP="00BA04F0">
      <w:pPr>
        <w:pStyle w:val="NormalWeb"/>
        <w:numPr>
          <w:ilvl w:val="0"/>
          <w:numId w:val="13"/>
        </w:numPr>
        <w:spacing w:before="120" w:beforeAutospacing="0" w:after="120" w:afterAutospacing="0" w:line="360" w:lineRule="auto"/>
        <w:ind w:left="1134" w:hanging="567"/>
        <w:jc w:val="both"/>
        <w:rPr>
          <w:rFonts w:ascii="Arial" w:hAnsi="Arial" w:cs="Arial"/>
          <w:color w:val="000000"/>
          <w:lang w:val="en-AU"/>
        </w:rPr>
      </w:pPr>
      <w:r>
        <w:rPr>
          <w:rFonts w:ascii="Arial" w:hAnsi="Arial" w:cs="Arial"/>
          <w:color w:val="000000"/>
          <w:lang w:val="en-AU"/>
        </w:rPr>
        <w:t>Industrial history (previously ‘trade union activity’);</w:t>
      </w:r>
    </w:p>
    <w:p w:rsidR="008B068F" w:rsidRDefault="008B068F" w:rsidP="00BA04F0">
      <w:pPr>
        <w:pStyle w:val="NormalWeb"/>
        <w:numPr>
          <w:ilvl w:val="0"/>
          <w:numId w:val="13"/>
        </w:numPr>
        <w:spacing w:before="120" w:beforeAutospacing="0" w:after="120" w:afterAutospacing="0" w:line="360" w:lineRule="auto"/>
        <w:ind w:left="1134" w:hanging="567"/>
        <w:jc w:val="both"/>
        <w:rPr>
          <w:rFonts w:ascii="Arial" w:hAnsi="Arial" w:cs="Arial"/>
          <w:color w:val="000000"/>
          <w:lang w:val="en-AU"/>
        </w:rPr>
      </w:pPr>
      <w:r>
        <w:rPr>
          <w:rFonts w:ascii="Arial" w:hAnsi="Arial" w:cs="Arial"/>
          <w:color w:val="000000"/>
          <w:lang w:val="en-AU"/>
        </w:rPr>
        <w:t>Medical history (previously ‘medical record’);</w:t>
      </w:r>
    </w:p>
    <w:p w:rsidR="008B068F" w:rsidRDefault="008B068F" w:rsidP="00BA04F0">
      <w:pPr>
        <w:pStyle w:val="NormalWeb"/>
        <w:numPr>
          <w:ilvl w:val="0"/>
          <w:numId w:val="13"/>
        </w:numPr>
        <w:spacing w:before="120" w:beforeAutospacing="0" w:after="120" w:afterAutospacing="0" w:line="360" w:lineRule="auto"/>
        <w:ind w:left="1134" w:hanging="567"/>
        <w:jc w:val="both"/>
        <w:rPr>
          <w:rFonts w:ascii="Arial" w:hAnsi="Arial" w:cs="Arial"/>
          <w:color w:val="000000"/>
          <w:lang w:val="en-AU"/>
        </w:rPr>
      </w:pPr>
      <w:r>
        <w:rPr>
          <w:rFonts w:ascii="Arial" w:hAnsi="Arial" w:cs="Arial"/>
          <w:color w:val="000000"/>
          <w:lang w:val="en-AU"/>
        </w:rPr>
        <w:t>Nationality or citizenship (previously ‘nationality’);</w:t>
      </w:r>
    </w:p>
    <w:p w:rsidR="008B068F" w:rsidRDefault="008B068F" w:rsidP="00BA04F0">
      <w:pPr>
        <w:pStyle w:val="NormalWeb"/>
        <w:numPr>
          <w:ilvl w:val="0"/>
          <w:numId w:val="13"/>
        </w:numPr>
        <w:spacing w:before="120" w:beforeAutospacing="0" w:after="120" w:afterAutospacing="0" w:line="360" w:lineRule="auto"/>
        <w:ind w:left="1134" w:hanging="567"/>
        <w:jc w:val="both"/>
        <w:rPr>
          <w:rFonts w:ascii="Arial" w:hAnsi="Arial" w:cs="Arial"/>
          <w:color w:val="000000"/>
          <w:lang w:val="en-AU"/>
        </w:rPr>
      </w:pPr>
      <w:r>
        <w:rPr>
          <w:rFonts w:ascii="Arial" w:hAnsi="Arial" w:cs="Arial"/>
          <w:color w:val="000000"/>
          <w:lang w:val="en-AU"/>
        </w:rPr>
        <w:t>Political opinion;</w:t>
      </w:r>
    </w:p>
    <w:p w:rsidR="008B068F" w:rsidRDefault="008B068F" w:rsidP="00BA04F0">
      <w:pPr>
        <w:pStyle w:val="NormalWeb"/>
        <w:numPr>
          <w:ilvl w:val="0"/>
          <w:numId w:val="13"/>
        </w:numPr>
        <w:spacing w:before="120" w:beforeAutospacing="0" w:after="120" w:afterAutospacing="0" w:line="360" w:lineRule="auto"/>
        <w:ind w:left="1134" w:hanging="567"/>
        <w:jc w:val="both"/>
        <w:rPr>
          <w:rFonts w:ascii="Arial" w:hAnsi="Arial" w:cs="Arial"/>
          <w:color w:val="000000"/>
          <w:lang w:val="en-AU"/>
        </w:rPr>
      </w:pPr>
      <w:r>
        <w:rPr>
          <w:rFonts w:ascii="Arial" w:hAnsi="Arial" w:cs="Arial"/>
          <w:color w:val="000000"/>
          <w:lang w:val="en-AU"/>
        </w:rPr>
        <w:t>Religion; and</w:t>
      </w:r>
    </w:p>
    <w:p w:rsidR="008B068F" w:rsidRDefault="008B068F" w:rsidP="00BA04F0">
      <w:pPr>
        <w:pStyle w:val="NormalWeb"/>
        <w:numPr>
          <w:ilvl w:val="0"/>
          <w:numId w:val="13"/>
        </w:numPr>
        <w:spacing w:before="120" w:beforeAutospacing="0" w:after="120" w:afterAutospacing="0" w:line="360" w:lineRule="auto"/>
        <w:ind w:left="1134" w:hanging="567"/>
        <w:jc w:val="both"/>
        <w:rPr>
          <w:rFonts w:ascii="Arial" w:hAnsi="Arial" w:cs="Arial"/>
          <w:color w:val="000000"/>
          <w:lang w:val="en-AU"/>
        </w:rPr>
      </w:pPr>
      <w:r>
        <w:rPr>
          <w:rFonts w:ascii="Arial" w:hAnsi="Arial" w:cs="Arial"/>
          <w:color w:val="000000"/>
          <w:lang w:val="en-AU"/>
        </w:rPr>
        <w:t>Social origin.</w:t>
      </w:r>
    </w:p>
    <w:p w:rsidR="009B1170" w:rsidRPr="00AB6C3B" w:rsidRDefault="008B068F" w:rsidP="00587A9F">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The Commission welcomes the elevation of these grounds under the equal opportunity in employment scheme as protected attributes.</w:t>
      </w:r>
    </w:p>
    <w:p w:rsidR="009B1170" w:rsidRPr="00AB6C3B" w:rsidRDefault="008B068F" w:rsidP="00587A9F">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As these attributes are generally also included in the State and Territory anti-discrimination laws, it would be simpler for business and the community if they were protected in all areas of public life and not just in the work and work-related area.  There would not appear to be any constitutional limitation to doing this.</w:t>
      </w:r>
    </w:p>
    <w:p w:rsidR="009B1170" w:rsidRPr="00AB6C3B" w:rsidRDefault="008B068F" w:rsidP="00587A9F">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 xml:space="preserve">If the </w:t>
      </w:r>
      <w:r w:rsidR="009B1170" w:rsidRPr="00AB6C3B">
        <w:rPr>
          <w:rFonts w:ascii="Arial" w:hAnsi="Arial" w:cs="Arial"/>
          <w:color w:val="000000"/>
          <w:lang w:val="en-AU"/>
        </w:rPr>
        <w:t xml:space="preserve">protection </w:t>
      </w:r>
      <w:r>
        <w:rPr>
          <w:rFonts w:ascii="Arial" w:hAnsi="Arial" w:cs="Arial"/>
          <w:color w:val="000000"/>
          <w:lang w:val="en-AU"/>
        </w:rPr>
        <w:t>is to continue to be</w:t>
      </w:r>
      <w:r w:rsidR="009B1170" w:rsidRPr="00AB6C3B">
        <w:rPr>
          <w:rFonts w:ascii="Arial" w:hAnsi="Arial" w:cs="Arial"/>
          <w:color w:val="000000"/>
          <w:lang w:val="en-AU"/>
        </w:rPr>
        <w:t xml:space="preserve"> restricted to the work </w:t>
      </w:r>
      <w:r>
        <w:rPr>
          <w:rFonts w:ascii="Arial" w:hAnsi="Arial" w:cs="Arial"/>
          <w:color w:val="000000"/>
          <w:lang w:val="en-AU"/>
        </w:rPr>
        <w:t xml:space="preserve">and work-related </w:t>
      </w:r>
      <w:r w:rsidR="009B1170" w:rsidRPr="00AB6C3B">
        <w:rPr>
          <w:rFonts w:ascii="Arial" w:hAnsi="Arial" w:cs="Arial"/>
          <w:color w:val="000000"/>
          <w:lang w:val="en-AU"/>
        </w:rPr>
        <w:t>areas</w:t>
      </w:r>
      <w:r>
        <w:rPr>
          <w:rFonts w:ascii="Arial" w:hAnsi="Arial" w:cs="Arial"/>
          <w:color w:val="000000"/>
          <w:lang w:val="en-AU"/>
        </w:rPr>
        <w:t>, the Explanatory Note should set out the reasons for this limitation.</w:t>
      </w:r>
    </w:p>
    <w:p w:rsidR="00FA1962" w:rsidRPr="00AB6C3B" w:rsidRDefault="009B1170" w:rsidP="00FA1962">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77476E">
        <w:rPr>
          <w:rFonts w:ascii="Arial" w:hAnsi="Arial" w:cs="Arial"/>
          <w:b/>
          <w:color w:val="000000"/>
          <w:lang w:val="en-AU"/>
        </w:rPr>
        <w:t xml:space="preserve">Recommendation </w:t>
      </w:r>
      <w:r w:rsidR="0077476E" w:rsidRPr="0077476E">
        <w:rPr>
          <w:rFonts w:ascii="Arial" w:hAnsi="Arial" w:cs="Arial"/>
          <w:b/>
          <w:color w:val="000000"/>
          <w:lang w:val="en-AU"/>
        </w:rPr>
        <w:t>IV</w:t>
      </w:r>
      <w:r w:rsidR="00FA1962" w:rsidRPr="00AB6C3B">
        <w:rPr>
          <w:rFonts w:ascii="Arial" w:hAnsi="Arial" w:cs="Arial"/>
          <w:color w:val="000000"/>
          <w:lang w:val="en-AU"/>
        </w:rPr>
        <w:t xml:space="preserve">:  That </w:t>
      </w:r>
      <w:r w:rsidRPr="00AB6C3B">
        <w:rPr>
          <w:rFonts w:ascii="Arial" w:hAnsi="Arial" w:cs="Arial"/>
          <w:color w:val="000000"/>
          <w:lang w:val="en-AU"/>
        </w:rPr>
        <w:t>the coverage of the additional attributes be extended to all areas</w:t>
      </w:r>
      <w:r w:rsidR="008B068F">
        <w:rPr>
          <w:rFonts w:ascii="Arial" w:hAnsi="Arial" w:cs="Arial"/>
          <w:color w:val="000000"/>
          <w:lang w:val="en-AU"/>
        </w:rPr>
        <w:t xml:space="preserve"> of public life</w:t>
      </w:r>
      <w:r w:rsidR="00FA1962" w:rsidRPr="00AB6C3B">
        <w:rPr>
          <w:rFonts w:ascii="Arial" w:hAnsi="Arial" w:cs="Arial"/>
          <w:color w:val="000000"/>
          <w:lang w:val="en-AU"/>
        </w:rPr>
        <w:t>.</w:t>
      </w:r>
    </w:p>
    <w:p w:rsidR="002A0911" w:rsidRPr="00AB6C3B" w:rsidRDefault="002A0911" w:rsidP="00B41626">
      <w:pPr>
        <w:pStyle w:val="NormalWeb"/>
        <w:keepNext/>
        <w:spacing w:before="480" w:beforeAutospacing="0" w:after="120" w:afterAutospacing="0" w:line="360" w:lineRule="auto"/>
        <w:jc w:val="both"/>
        <w:rPr>
          <w:rFonts w:ascii="Arial" w:hAnsi="Arial" w:cs="Arial"/>
          <w:b/>
          <w:sz w:val="28"/>
          <w:szCs w:val="28"/>
          <w:lang w:val="en-AU"/>
        </w:rPr>
      </w:pPr>
      <w:r w:rsidRPr="00AB6C3B">
        <w:rPr>
          <w:rFonts w:ascii="Arial" w:hAnsi="Arial" w:cs="Arial"/>
          <w:b/>
          <w:sz w:val="28"/>
          <w:szCs w:val="28"/>
          <w:lang w:val="en-AU"/>
        </w:rPr>
        <w:lastRenderedPageBreak/>
        <w:t>Exception for ‘justifiable conduct’</w:t>
      </w:r>
    </w:p>
    <w:p w:rsidR="00DE7B6D" w:rsidRPr="00AB6C3B" w:rsidRDefault="00DE7B6D"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The Commission is concerned that the Bill provides for both specific exc</w:t>
      </w:r>
      <w:r w:rsidR="00006DC7">
        <w:rPr>
          <w:rFonts w:ascii="Arial" w:hAnsi="Arial" w:cs="Arial"/>
          <w:lang w:val="en-AU"/>
        </w:rPr>
        <w:t>eptions and a general exception:</w:t>
      </w:r>
      <w:r w:rsidRPr="00AB6C3B">
        <w:rPr>
          <w:rFonts w:ascii="Arial" w:hAnsi="Arial" w:cs="Arial"/>
          <w:lang w:val="en-AU"/>
        </w:rPr>
        <w:t xml:space="preserve"> the ‘justifiable conduct’ provision in clause 23.  In its submission to the consolidation project the Commission </w:t>
      </w:r>
      <w:r w:rsidR="00006DC7">
        <w:rPr>
          <w:rFonts w:ascii="Arial" w:hAnsi="Arial" w:cs="Arial"/>
          <w:lang w:val="en-AU"/>
        </w:rPr>
        <w:t>outlined</w:t>
      </w:r>
      <w:r w:rsidR="00611491" w:rsidRPr="00AB6C3B">
        <w:rPr>
          <w:rFonts w:ascii="Arial" w:hAnsi="Arial" w:cs="Arial"/>
          <w:lang w:val="en-AU"/>
        </w:rPr>
        <w:t xml:space="preserve"> arguments against a general limitations </w:t>
      </w:r>
      <w:r w:rsidR="009E6D1D">
        <w:rPr>
          <w:rFonts w:ascii="Arial" w:hAnsi="Arial" w:cs="Arial"/>
          <w:lang w:val="en-AU"/>
        </w:rPr>
        <w:t>provision</w:t>
      </w:r>
      <w:r w:rsidR="00611491" w:rsidRPr="00AB6C3B">
        <w:rPr>
          <w:rFonts w:ascii="Arial" w:hAnsi="Arial" w:cs="Arial"/>
          <w:lang w:val="en-AU"/>
        </w:rPr>
        <w:t>.</w:t>
      </w:r>
      <w:r w:rsidR="00611491" w:rsidRPr="00AB6C3B">
        <w:rPr>
          <w:rStyle w:val="FootnoteReference"/>
          <w:rFonts w:ascii="Arial" w:hAnsi="Arial" w:cs="Arial"/>
          <w:lang w:val="en-AU"/>
        </w:rPr>
        <w:footnoteReference w:id="5"/>
      </w:r>
    </w:p>
    <w:p w:rsidR="009271C1" w:rsidRPr="00AB6C3B" w:rsidRDefault="009271C1"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 xml:space="preserve">General limitations </w:t>
      </w:r>
      <w:r w:rsidR="004E2D90" w:rsidRPr="00AB6C3B">
        <w:rPr>
          <w:rFonts w:ascii="Arial" w:hAnsi="Arial" w:cs="Arial"/>
          <w:lang w:val="en-AU"/>
        </w:rPr>
        <w:t>provisions</w:t>
      </w:r>
      <w:r w:rsidRPr="00AB6C3B">
        <w:rPr>
          <w:rFonts w:ascii="Arial" w:hAnsi="Arial" w:cs="Arial"/>
          <w:lang w:val="en-AU"/>
        </w:rPr>
        <w:t xml:space="preserve">, such as </w:t>
      </w:r>
      <w:r w:rsidR="004E2D90" w:rsidRPr="00AB6C3B">
        <w:rPr>
          <w:rFonts w:ascii="Arial" w:hAnsi="Arial" w:cs="Arial"/>
          <w:lang w:val="en-AU"/>
        </w:rPr>
        <w:t>that</w:t>
      </w:r>
      <w:r w:rsidRPr="00AB6C3B">
        <w:rPr>
          <w:rFonts w:ascii="Arial" w:hAnsi="Arial" w:cs="Arial"/>
          <w:lang w:val="en-AU"/>
        </w:rPr>
        <w:t xml:space="preserve"> proposed in the Bill, are generally</w:t>
      </w:r>
      <w:r w:rsidR="00D43AA5" w:rsidRPr="00AB6C3B">
        <w:rPr>
          <w:rFonts w:ascii="Arial" w:hAnsi="Arial" w:cs="Arial"/>
          <w:lang w:val="en-AU"/>
        </w:rPr>
        <w:t xml:space="preserve"> found in Constitutions and Bills or Charters of Rights.</w:t>
      </w:r>
      <w:r w:rsidR="004E2D90" w:rsidRPr="00AB6C3B">
        <w:rPr>
          <w:rStyle w:val="FootnoteReference"/>
          <w:rFonts w:ascii="Arial" w:hAnsi="Arial" w:cs="Arial"/>
          <w:lang w:val="en-AU"/>
        </w:rPr>
        <w:footnoteReference w:id="6"/>
      </w:r>
      <w:r w:rsidR="00D43AA5" w:rsidRPr="00AB6C3B">
        <w:rPr>
          <w:rFonts w:ascii="Arial" w:hAnsi="Arial" w:cs="Arial"/>
          <w:lang w:val="en-AU"/>
        </w:rPr>
        <w:t xml:space="preserve">  </w:t>
      </w:r>
      <w:r w:rsidR="004E2D90" w:rsidRPr="00AB6C3B">
        <w:rPr>
          <w:rFonts w:ascii="Arial" w:hAnsi="Arial" w:cs="Arial"/>
          <w:lang w:val="en-AU"/>
        </w:rPr>
        <w:t>Human rights in i</w:t>
      </w:r>
      <w:r w:rsidR="00D43AA5" w:rsidRPr="00AB6C3B">
        <w:rPr>
          <w:rFonts w:ascii="Arial" w:hAnsi="Arial" w:cs="Arial"/>
          <w:lang w:val="en-AU"/>
        </w:rPr>
        <w:t>nternational and constitutional type instruments are generally considered to bind only the State.</w:t>
      </w:r>
      <w:r w:rsidR="004E2D90" w:rsidRPr="00AB6C3B">
        <w:rPr>
          <w:rFonts w:ascii="Arial" w:hAnsi="Arial" w:cs="Arial"/>
          <w:lang w:val="en-AU"/>
        </w:rPr>
        <w:t xml:space="preserve">  At the constitutional level they apply to the making of legislation.</w:t>
      </w:r>
    </w:p>
    <w:p w:rsidR="003B59AE" w:rsidRDefault="00AB6C3B"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The concept of l</w:t>
      </w:r>
      <w:r w:rsidRPr="00AB6C3B">
        <w:rPr>
          <w:rFonts w:ascii="Arial" w:hAnsi="Arial" w:cs="Arial"/>
          <w:lang w:val="en-AU"/>
        </w:rPr>
        <w:t xml:space="preserve">imitation provisions </w:t>
      </w:r>
      <w:r>
        <w:rPr>
          <w:rFonts w:ascii="Arial" w:hAnsi="Arial" w:cs="Arial"/>
          <w:lang w:val="en-AU"/>
        </w:rPr>
        <w:t>is</w:t>
      </w:r>
      <w:r w:rsidR="001672EA">
        <w:rPr>
          <w:rFonts w:ascii="Arial" w:hAnsi="Arial" w:cs="Arial"/>
          <w:lang w:val="en-AU"/>
        </w:rPr>
        <w:t xml:space="preserve"> </w:t>
      </w:r>
      <w:r>
        <w:rPr>
          <w:rFonts w:ascii="Arial" w:hAnsi="Arial" w:cs="Arial"/>
          <w:lang w:val="en-AU"/>
        </w:rPr>
        <w:t>recognition</w:t>
      </w:r>
      <w:r w:rsidRPr="00AB6C3B">
        <w:rPr>
          <w:rFonts w:ascii="Arial" w:hAnsi="Arial" w:cs="Arial"/>
          <w:lang w:val="en-AU"/>
        </w:rPr>
        <w:t xml:space="preserve"> </w:t>
      </w:r>
      <w:r>
        <w:rPr>
          <w:rFonts w:ascii="Arial" w:hAnsi="Arial" w:cs="Arial"/>
          <w:lang w:val="en-AU"/>
        </w:rPr>
        <w:t xml:space="preserve">that there will be competing priorities and circumstances in which discrimination is excused or justified. </w:t>
      </w:r>
      <w:r w:rsidR="00006DC7">
        <w:rPr>
          <w:rFonts w:ascii="Arial" w:hAnsi="Arial" w:cs="Arial"/>
          <w:lang w:val="en-AU"/>
        </w:rPr>
        <w:t>Excuse or j</w:t>
      </w:r>
      <w:r>
        <w:rPr>
          <w:rFonts w:ascii="Arial" w:hAnsi="Arial" w:cs="Arial"/>
          <w:lang w:val="en-AU"/>
        </w:rPr>
        <w:t>ustification is formulated or based on proportionality</w:t>
      </w:r>
      <w:r w:rsidR="00006DC7">
        <w:rPr>
          <w:rFonts w:ascii="Arial" w:hAnsi="Arial" w:cs="Arial"/>
          <w:lang w:val="en-AU"/>
        </w:rPr>
        <w:t>,</w:t>
      </w:r>
      <w:r>
        <w:rPr>
          <w:rFonts w:ascii="Arial" w:hAnsi="Arial" w:cs="Arial"/>
          <w:lang w:val="en-AU"/>
        </w:rPr>
        <w:t xml:space="preserve"> which involves close scrutiny of the stated aims and the extent to which </w:t>
      </w:r>
      <w:r w:rsidR="0001012E">
        <w:rPr>
          <w:rFonts w:ascii="Arial" w:hAnsi="Arial" w:cs="Arial"/>
          <w:lang w:val="en-AU"/>
        </w:rPr>
        <w:t xml:space="preserve">derogation from rights and freedoms is justified.  </w:t>
      </w:r>
      <w:r w:rsidRPr="00AB6C3B">
        <w:rPr>
          <w:rFonts w:ascii="Arial" w:hAnsi="Arial" w:cs="Arial"/>
          <w:lang w:val="en-AU"/>
        </w:rPr>
        <w:t xml:space="preserve">It is entirely appropriate for general </w:t>
      </w:r>
      <w:r w:rsidR="0001012E">
        <w:rPr>
          <w:rFonts w:ascii="Arial" w:hAnsi="Arial" w:cs="Arial"/>
          <w:lang w:val="en-AU"/>
        </w:rPr>
        <w:t xml:space="preserve">limitations provisions to be found in constitutional type instruments, as it is incumbent on the legislature and the courts to conduct the </w:t>
      </w:r>
      <w:r w:rsidR="001C3D9B">
        <w:rPr>
          <w:rFonts w:ascii="Arial" w:hAnsi="Arial" w:cs="Arial"/>
          <w:lang w:val="en-AU"/>
        </w:rPr>
        <w:t xml:space="preserve">necessary </w:t>
      </w:r>
      <w:r w:rsidR="0001012E">
        <w:rPr>
          <w:rFonts w:ascii="Arial" w:hAnsi="Arial" w:cs="Arial"/>
          <w:lang w:val="en-AU"/>
        </w:rPr>
        <w:t>high level scrutiny.</w:t>
      </w:r>
    </w:p>
    <w:p w:rsidR="00006DC7" w:rsidRDefault="00006DC7"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It is the obligation of a State to translate obligations under constitutional type instruments into legislation binding on private parties.  In the Australian context, the Commonwealth is obliged, under the international instruments, to incorporate the objectives and principles </w:t>
      </w:r>
      <w:r w:rsidR="00BE7D1C">
        <w:rPr>
          <w:rFonts w:ascii="Arial" w:hAnsi="Arial" w:cs="Arial"/>
          <w:lang w:val="en-AU"/>
        </w:rPr>
        <w:t xml:space="preserve">of the various rights and freedoms </w:t>
      </w:r>
      <w:r>
        <w:rPr>
          <w:rFonts w:ascii="Arial" w:hAnsi="Arial" w:cs="Arial"/>
          <w:lang w:val="en-AU"/>
        </w:rPr>
        <w:t>into legislation</w:t>
      </w:r>
      <w:r w:rsidR="00BE7D1C">
        <w:rPr>
          <w:rFonts w:ascii="Arial" w:hAnsi="Arial" w:cs="Arial"/>
          <w:lang w:val="en-AU"/>
        </w:rPr>
        <w:t>.  It is for the Commonwealth, as the State party, to scrutinise and apply a stringent standard of justification to determine the circumstances in which limitation of rights and freedoms is justified.  These are determinations for the legislature rather than the users of the legislation.</w:t>
      </w:r>
    </w:p>
    <w:p w:rsidR="0001012E" w:rsidRDefault="00A02800"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Good legislative p</w:t>
      </w:r>
      <w:r w:rsidR="0001012E">
        <w:rPr>
          <w:rFonts w:ascii="Arial" w:hAnsi="Arial" w:cs="Arial"/>
          <w:lang w:val="en-AU"/>
        </w:rPr>
        <w:t xml:space="preserve">rinciples </w:t>
      </w:r>
      <w:r>
        <w:rPr>
          <w:rFonts w:ascii="Arial" w:hAnsi="Arial" w:cs="Arial"/>
          <w:lang w:val="en-AU"/>
        </w:rPr>
        <w:t xml:space="preserve">require that legislation promotes clarity for users.  Indeed the Commonwealth Parliamentary Counsel is required under the </w:t>
      </w:r>
      <w:r w:rsidRPr="002D6864">
        <w:rPr>
          <w:rFonts w:ascii="Arial" w:hAnsi="Arial" w:cs="Arial"/>
          <w:i/>
          <w:lang w:val="en-AU"/>
        </w:rPr>
        <w:t>Legislative Instruments Act 2003</w:t>
      </w:r>
      <w:r>
        <w:rPr>
          <w:rFonts w:ascii="Arial" w:hAnsi="Arial" w:cs="Arial"/>
          <w:lang w:val="en-AU"/>
        </w:rPr>
        <w:t xml:space="preserve"> to ‘cause steps to be taken to promote the </w:t>
      </w:r>
      <w:r>
        <w:rPr>
          <w:rFonts w:ascii="Arial" w:hAnsi="Arial" w:cs="Arial"/>
          <w:lang w:val="en-AU"/>
        </w:rPr>
        <w:lastRenderedPageBreak/>
        <w:t>legal effectiveness, clarity, and intelligibility to anticipated users of legislative instruments’.</w:t>
      </w:r>
      <w:r>
        <w:rPr>
          <w:rStyle w:val="FootnoteReference"/>
          <w:rFonts w:ascii="Arial" w:hAnsi="Arial" w:cs="Arial"/>
          <w:lang w:val="en-AU"/>
        </w:rPr>
        <w:footnoteReference w:id="7"/>
      </w:r>
      <w:r>
        <w:rPr>
          <w:rFonts w:ascii="Arial" w:hAnsi="Arial" w:cs="Arial"/>
          <w:lang w:val="en-AU"/>
        </w:rPr>
        <w:t xml:space="preserve">  The principles for clearer laws include that ‘Legislation should enable those affected to understand how the law applies to them’.</w:t>
      </w:r>
      <w:r>
        <w:rPr>
          <w:rStyle w:val="FootnoteReference"/>
          <w:rFonts w:ascii="Arial" w:hAnsi="Arial" w:cs="Arial"/>
          <w:lang w:val="en-AU"/>
        </w:rPr>
        <w:footnoteReference w:id="8"/>
      </w:r>
    </w:p>
    <w:p w:rsidR="001672EA" w:rsidRDefault="001672EA" w:rsidP="0004762B">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The Explanatory Note </w:t>
      </w:r>
      <w:r w:rsidR="00F3413D">
        <w:rPr>
          <w:rFonts w:ascii="Arial" w:hAnsi="Arial" w:cs="Arial"/>
          <w:lang w:val="en-AU"/>
        </w:rPr>
        <w:t>confirms</w:t>
      </w:r>
      <w:r>
        <w:rPr>
          <w:rFonts w:ascii="Arial" w:hAnsi="Arial" w:cs="Arial"/>
          <w:lang w:val="en-AU"/>
        </w:rPr>
        <w:t xml:space="preserve"> that clause 23 is a new concept for Australian anti-discrimination law</w:t>
      </w:r>
      <w:r w:rsidR="00F3413D">
        <w:rPr>
          <w:rFonts w:ascii="Arial" w:hAnsi="Arial" w:cs="Arial"/>
          <w:lang w:val="en-AU"/>
        </w:rPr>
        <w:t>,</w:t>
      </w:r>
      <w:r>
        <w:rPr>
          <w:rFonts w:ascii="Arial" w:hAnsi="Arial" w:cs="Arial"/>
          <w:lang w:val="en-AU"/>
        </w:rPr>
        <w:t xml:space="preserve"> and will allow for a more flexible case-specific approach.</w:t>
      </w:r>
      <w:r>
        <w:rPr>
          <w:rStyle w:val="FootnoteReference"/>
          <w:rFonts w:ascii="Arial" w:hAnsi="Arial" w:cs="Arial"/>
          <w:lang w:val="en-AU"/>
        </w:rPr>
        <w:footnoteReference w:id="9"/>
      </w:r>
      <w:r>
        <w:rPr>
          <w:rFonts w:ascii="Arial" w:hAnsi="Arial" w:cs="Arial"/>
          <w:lang w:val="en-AU"/>
        </w:rPr>
        <w:t xml:space="preserve">  It also states that clause 23 is intended to align with the international human rights law concept of </w:t>
      </w:r>
      <w:r w:rsidR="00F3413D">
        <w:rPr>
          <w:rFonts w:ascii="Arial" w:hAnsi="Arial" w:cs="Arial"/>
          <w:lang w:val="en-AU"/>
        </w:rPr>
        <w:t>‘</w:t>
      </w:r>
      <w:r>
        <w:rPr>
          <w:rFonts w:ascii="Arial" w:hAnsi="Arial" w:cs="Arial"/>
          <w:lang w:val="en-AU"/>
        </w:rPr>
        <w:t>legitimate differential treatment</w:t>
      </w:r>
      <w:r w:rsidR="00F3413D">
        <w:rPr>
          <w:rFonts w:ascii="Arial" w:hAnsi="Arial" w:cs="Arial"/>
          <w:lang w:val="en-AU"/>
        </w:rPr>
        <w:t>’</w:t>
      </w:r>
      <w:r>
        <w:rPr>
          <w:rFonts w:ascii="Arial" w:hAnsi="Arial" w:cs="Arial"/>
          <w:lang w:val="en-AU"/>
        </w:rPr>
        <w:t>.</w:t>
      </w:r>
      <w:r>
        <w:rPr>
          <w:rStyle w:val="FootnoteReference"/>
          <w:rFonts w:ascii="Arial" w:hAnsi="Arial" w:cs="Arial"/>
          <w:lang w:val="en-AU"/>
        </w:rPr>
        <w:footnoteReference w:id="10"/>
      </w:r>
    </w:p>
    <w:p w:rsidR="009E6D1D" w:rsidRPr="0004762B" w:rsidRDefault="00F3413D" w:rsidP="0004762B">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The Commission considers, consistent with the manner in which this international law has developed, that d</w:t>
      </w:r>
      <w:r w:rsidR="0004762B">
        <w:rPr>
          <w:rFonts w:ascii="Arial" w:hAnsi="Arial" w:cs="Arial"/>
          <w:lang w:val="en-AU"/>
        </w:rPr>
        <w:t xml:space="preserve">ecisions as to what </w:t>
      </w:r>
      <w:r>
        <w:rPr>
          <w:rFonts w:ascii="Arial" w:hAnsi="Arial" w:cs="Arial"/>
          <w:lang w:val="en-AU"/>
        </w:rPr>
        <w:t xml:space="preserve">type of conduct </w:t>
      </w:r>
      <w:r w:rsidR="0004762B">
        <w:rPr>
          <w:rFonts w:ascii="Arial" w:hAnsi="Arial" w:cs="Arial"/>
          <w:lang w:val="en-AU"/>
        </w:rPr>
        <w:t xml:space="preserve">is ‘legitimate’ and what is or is not consistent with the objects of the Act </w:t>
      </w:r>
      <w:r>
        <w:rPr>
          <w:rFonts w:ascii="Arial" w:hAnsi="Arial" w:cs="Arial"/>
          <w:lang w:val="en-AU"/>
        </w:rPr>
        <w:t>should be</w:t>
      </w:r>
      <w:r w:rsidR="0004762B">
        <w:rPr>
          <w:rFonts w:ascii="Arial" w:hAnsi="Arial" w:cs="Arial"/>
          <w:lang w:val="en-AU"/>
        </w:rPr>
        <w:t xml:space="preserve"> decided by the legislature rather than the duty-holder.  </w:t>
      </w:r>
      <w:r w:rsidR="001672EA">
        <w:rPr>
          <w:rFonts w:ascii="Arial" w:hAnsi="Arial" w:cs="Arial"/>
          <w:lang w:val="en-AU"/>
        </w:rPr>
        <w:t xml:space="preserve">The current provision abrogates </w:t>
      </w:r>
      <w:r w:rsidR="008F605E">
        <w:rPr>
          <w:rFonts w:ascii="Arial" w:hAnsi="Arial" w:cs="Arial"/>
          <w:lang w:val="en-AU"/>
        </w:rPr>
        <w:t xml:space="preserve">to the courts </w:t>
      </w:r>
      <w:r w:rsidR="001672EA">
        <w:rPr>
          <w:rFonts w:ascii="Arial" w:hAnsi="Arial" w:cs="Arial"/>
          <w:lang w:val="en-AU"/>
        </w:rPr>
        <w:t>t</w:t>
      </w:r>
      <w:r w:rsidR="0004762B">
        <w:rPr>
          <w:rFonts w:ascii="Arial" w:hAnsi="Arial" w:cs="Arial"/>
          <w:lang w:val="en-AU"/>
        </w:rPr>
        <w:t xml:space="preserve">he </w:t>
      </w:r>
      <w:r w:rsidR="001672EA">
        <w:rPr>
          <w:rFonts w:ascii="Arial" w:hAnsi="Arial" w:cs="Arial"/>
          <w:lang w:val="en-AU"/>
        </w:rPr>
        <w:t xml:space="preserve">legislature’s </w:t>
      </w:r>
      <w:r w:rsidR="0004762B">
        <w:rPr>
          <w:rFonts w:ascii="Arial" w:hAnsi="Arial" w:cs="Arial"/>
          <w:lang w:val="en-AU"/>
        </w:rPr>
        <w:t xml:space="preserve">responsibility for </w:t>
      </w:r>
      <w:r w:rsidR="001672EA">
        <w:rPr>
          <w:rFonts w:ascii="Arial" w:hAnsi="Arial" w:cs="Arial"/>
          <w:lang w:val="en-AU"/>
        </w:rPr>
        <w:t xml:space="preserve">determining </w:t>
      </w:r>
      <w:r w:rsidR="008F605E">
        <w:rPr>
          <w:rFonts w:ascii="Arial" w:hAnsi="Arial" w:cs="Arial"/>
          <w:lang w:val="en-AU"/>
        </w:rPr>
        <w:t xml:space="preserve">what might be legitimate and </w:t>
      </w:r>
      <w:r w:rsidR="001672EA">
        <w:rPr>
          <w:rFonts w:ascii="Arial" w:hAnsi="Arial" w:cs="Arial"/>
          <w:lang w:val="en-AU"/>
        </w:rPr>
        <w:t xml:space="preserve">whether </w:t>
      </w:r>
      <w:r w:rsidR="0004762B">
        <w:rPr>
          <w:rFonts w:ascii="Arial" w:hAnsi="Arial" w:cs="Arial"/>
          <w:lang w:val="en-AU"/>
        </w:rPr>
        <w:t xml:space="preserve">decisions </w:t>
      </w:r>
      <w:r w:rsidR="008F605E">
        <w:rPr>
          <w:rFonts w:ascii="Arial" w:hAnsi="Arial" w:cs="Arial"/>
          <w:lang w:val="en-AU"/>
        </w:rPr>
        <w:t>are appropriate</w:t>
      </w:r>
      <w:r w:rsidR="001672EA">
        <w:rPr>
          <w:rFonts w:ascii="Arial" w:hAnsi="Arial" w:cs="Arial"/>
          <w:lang w:val="en-AU"/>
        </w:rPr>
        <w:t>.  Courts can only consider the issues and develop a body of law if people make complaints and take them through to the courts.</w:t>
      </w:r>
      <w:r>
        <w:rPr>
          <w:rFonts w:ascii="Arial" w:hAnsi="Arial" w:cs="Arial"/>
          <w:lang w:val="en-AU"/>
        </w:rPr>
        <w:t xml:space="preserve">  This means the development of a body of law is dependent on complainants who might be in a position to take a complaint to court.  Complainants are not usually the people in a position of power in the context where discrimination occurs.  Many people in this context would simply accept the explanation from the discriminator that the conduct was necessary </w:t>
      </w:r>
      <w:r w:rsidR="0006650B">
        <w:rPr>
          <w:rFonts w:ascii="Arial" w:hAnsi="Arial" w:cs="Arial"/>
          <w:lang w:val="en-AU"/>
        </w:rPr>
        <w:t xml:space="preserve">proportionate </w:t>
      </w:r>
      <w:r>
        <w:rPr>
          <w:rFonts w:ascii="Arial" w:hAnsi="Arial" w:cs="Arial"/>
          <w:lang w:val="en-AU"/>
        </w:rPr>
        <w:t xml:space="preserve">to achieve a </w:t>
      </w:r>
      <w:r w:rsidR="0006650B">
        <w:rPr>
          <w:rFonts w:ascii="Arial" w:hAnsi="Arial" w:cs="Arial"/>
          <w:lang w:val="en-AU"/>
        </w:rPr>
        <w:t>legitimate aim.  The provision has the potential to allow practices born of ignorance to flourish, and to further empower people who are in the positions of power.</w:t>
      </w:r>
    </w:p>
    <w:p w:rsidR="009E6D1D" w:rsidRDefault="00653569"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Advocates and proponents of a general limitations clause for the consolidated anti-discrimination legislation generally envisaged and argued for a general limitations provision in place of specific exception provisions.  Instead what has occurred with the Bill is a combination of numerous specified exceptions as well as a general limitation</w:t>
      </w:r>
      <w:r w:rsidR="001C3D9B">
        <w:rPr>
          <w:rFonts w:ascii="Arial" w:hAnsi="Arial" w:cs="Arial"/>
          <w:lang w:val="en-AU"/>
        </w:rPr>
        <w:t>s provision</w:t>
      </w:r>
      <w:r>
        <w:rPr>
          <w:rFonts w:ascii="Arial" w:hAnsi="Arial" w:cs="Arial"/>
          <w:lang w:val="en-AU"/>
        </w:rPr>
        <w:t>.</w:t>
      </w:r>
      <w:r w:rsidR="003D1585">
        <w:rPr>
          <w:rFonts w:ascii="Arial" w:hAnsi="Arial" w:cs="Arial"/>
          <w:lang w:val="en-AU"/>
        </w:rPr>
        <w:t xml:space="preserve">  </w:t>
      </w:r>
      <w:r w:rsidR="009E6D1D">
        <w:rPr>
          <w:rFonts w:ascii="Arial" w:hAnsi="Arial" w:cs="Arial"/>
          <w:lang w:val="en-AU"/>
        </w:rPr>
        <w:t xml:space="preserve">In combining a general limitations provision </w:t>
      </w:r>
      <w:r w:rsidR="009E6D1D">
        <w:rPr>
          <w:rFonts w:ascii="Arial" w:hAnsi="Arial" w:cs="Arial"/>
          <w:lang w:val="en-AU"/>
        </w:rPr>
        <w:lastRenderedPageBreak/>
        <w:t xml:space="preserve">with specific exception, there is a danger that this scheme will be interpreted as implying </w:t>
      </w:r>
      <w:r w:rsidR="0004762B">
        <w:rPr>
          <w:rFonts w:ascii="Arial" w:hAnsi="Arial" w:cs="Arial"/>
          <w:lang w:val="en-AU"/>
        </w:rPr>
        <w:t>a much wider range of lawful exceptions, as a ‘catch-all’ type provision.</w:t>
      </w:r>
    </w:p>
    <w:p w:rsidR="00424286" w:rsidRPr="009E6D1D" w:rsidRDefault="003D1585"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9E6D1D">
        <w:rPr>
          <w:rFonts w:ascii="Arial" w:hAnsi="Arial" w:cs="Arial"/>
          <w:lang w:val="en-AU"/>
        </w:rPr>
        <w:t>The rationale for specifying exceptions is largely to provide clarity and aid understanding.</w:t>
      </w:r>
      <w:r>
        <w:rPr>
          <w:rStyle w:val="FootnoteReference"/>
          <w:rFonts w:ascii="Arial" w:hAnsi="Arial" w:cs="Arial"/>
          <w:lang w:val="en-AU"/>
        </w:rPr>
        <w:footnoteReference w:id="11"/>
      </w:r>
      <w:r w:rsidR="009E6D1D" w:rsidRPr="009E6D1D">
        <w:rPr>
          <w:rFonts w:ascii="Arial" w:hAnsi="Arial" w:cs="Arial"/>
          <w:lang w:val="en-AU"/>
        </w:rPr>
        <w:t xml:space="preserve">  </w:t>
      </w:r>
      <w:r w:rsidR="00424286" w:rsidRPr="009E6D1D">
        <w:rPr>
          <w:rFonts w:ascii="Arial" w:hAnsi="Arial" w:cs="Arial"/>
          <w:lang w:val="en-AU"/>
        </w:rPr>
        <w:t>The Commission acknowledges the complexity of the task to clarify, simply and standardise the anomalous range of exceptions across the five Acts into the consolidated Act.  The new legislation does however need to achieve clarity so that people know and understand their rights and responsibilities with as much certainty as possible.  The need for certainty is recognised in the Bill by retaining</w:t>
      </w:r>
      <w:r w:rsidR="0004762B">
        <w:rPr>
          <w:rFonts w:ascii="Arial" w:hAnsi="Arial" w:cs="Arial"/>
          <w:lang w:val="en-AU"/>
        </w:rPr>
        <w:t>,</w:t>
      </w:r>
      <w:r w:rsidR="00424286" w:rsidRPr="009E6D1D">
        <w:rPr>
          <w:rFonts w:ascii="Arial" w:hAnsi="Arial" w:cs="Arial"/>
          <w:lang w:val="en-AU"/>
        </w:rPr>
        <w:t xml:space="preserve"> with specificity</w:t>
      </w:r>
      <w:r w:rsidR="0004762B">
        <w:rPr>
          <w:rFonts w:ascii="Arial" w:hAnsi="Arial" w:cs="Arial"/>
          <w:lang w:val="en-AU"/>
        </w:rPr>
        <w:t>,</w:t>
      </w:r>
      <w:r w:rsidR="00424286" w:rsidRPr="009E6D1D">
        <w:rPr>
          <w:rFonts w:ascii="Arial" w:hAnsi="Arial" w:cs="Arial"/>
          <w:lang w:val="en-AU"/>
        </w:rPr>
        <w:t xml:space="preserve"> existing exemptions</w:t>
      </w:r>
      <w:r w:rsidR="00736576" w:rsidRPr="009E6D1D">
        <w:rPr>
          <w:rFonts w:ascii="Arial" w:hAnsi="Arial" w:cs="Arial"/>
          <w:lang w:val="en-AU"/>
        </w:rPr>
        <w:t>.</w:t>
      </w:r>
    </w:p>
    <w:p w:rsidR="00736576" w:rsidRDefault="00736576"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The Explanatory Note also </w:t>
      </w:r>
      <w:r w:rsidR="00683F37">
        <w:rPr>
          <w:rFonts w:ascii="Arial" w:hAnsi="Arial" w:cs="Arial"/>
          <w:lang w:val="en-AU"/>
        </w:rPr>
        <w:t>recognises deficiencies in introducing a general limitations provision.  Some exceptions have been retained from the current Commonwealth anti-discrimination laws ‘to provide greater guidance than is given by the justifiable conduct exception’,</w:t>
      </w:r>
      <w:r w:rsidR="00FA0BD5">
        <w:rPr>
          <w:rStyle w:val="FootnoteReference"/>
          <w:rFonts w:ascii="Arial" w:hAnsi="Arial" w:cs="Arial"/>
          <w:lang w:val="en-AU"/>
        </w:rPr>
        <w:footnoteReference w:id="12"/>
      </w:r>
      <w:r w:rsidR="00683F37">
        <w:rPr>
          <w:rFonts w:ascii="Arial" w:hAnsi="Arial" w:cs="Arial"/>
          <w:lang w:val="en-AU"/>
        </w:rPr>
        <w:t xml:space="preserve"> including the exception for insurance, superannuation and credit which has been retained ‘to provide certainty to industry while a body of law develops in relation to the concept of justifiable discrimination’</w:t>
      </w:r>
      <w:r w:rsidR="00FA0BD5">
        <w:rPr>
          <w:rStyle w:val="FootnoteReference"/>
          <w:rFonts w:ascii="Arial" w:hAnsi="Arial" w:cs="Arial"/>
          <w:lang w:val="en-AU"/>
        </w:rPr>
        <w:footnoteReference w:id="13"/>
      </w:r>
      <w:r w:rsidR="00683F37">
        <w:rPr>
          <w:rFonts w:ascii="Arial" w:hAnsi="Arial" w:cs="Arial"/>
          <w:lang w:val="en-AU"/>
        </w:rPr>
        <w:t xml:space="preserve">. </w:t>
      </w:r>
    </w:p>
    <w:p w:rsidR="00FA0BD5" w:rsidRDefault="00FA0BD5"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The Commission provides training and information for members of the public on their rights and responsibilities under anti-discrimination laws.  The exemptions that apply to both specific areas and all areas are understood well</w:t>
      </w:r>
      <w:r w:rsidR="0004762B">
        <w:rPr>
          <w:rFonts w:ascii="Arial" w:hAnsi="Arial" w:cs="Arial"/>
          <w:lang w:val="en-AU"/>
        </w:rPr>
        <w:t>,</w:t>
      </w:r>
      <w:r>
        <w:rPr>
          <w:rFonts w:ascii="Arial" w:hAnsi="Arial" w:cs="Arial"/>
          <w:lang w:val="en-AU"/>
        </w:rPr>
        <w:t xml:space="preserve"> </w:t>
      </w:r>
      <w:r w:rsidR="0004762B">
        <w:rPr>
          <w:rFonts w:ascii="Arial" w:hAnsi="Arial" w:cs="Arial"/>
          <w:lang w:val="en-AU"/>
        </w:rPr>
        <w:t>because</w:t>
      </w:r>
      <w:r>
        <w:rPr>
          <w:rFonts w:ascii="Arial" w:hAnsi="Arial" w:cs="Arial"/>
          <w:lang w:val="en-AU"/>
        </w:rPr>
        <w:t xml:space="preserve"> the exemptions themselves are mostly common sense.</w:t>
      </w:r>
      <w:r w:rsidR="00FF4ABE">
        <w:rPr>
          <w:rFonts w:ascii="Arial" w:hAnsi="Arial" w:cs="Arial"/>
          <w:lang w:val="en-AU"/>
        </w:rPr>
        <w:t xml:space="preserve">  The Commission is concerned</w:t>
      </w:r>
      <w:r w:rsidR="00006DC7">
        <w:rPr>
          <w:rFonts w:ascii="Arial" w:hAnsi="Arial" w:cs="Arial"/>
          <w:lang w:val="en-AU"/>
        </w:rPr>
        <w:t xml:space="preserve"> that with a justifiable conduct general exception, trainers and information officers will</w:t>
      </w:r>
      <w:r>
        <w:rPr>
          <w:rFonts w:ascii="Arial" w:hAnsi="Arial" w:cs="Arial"/>
          <w:lang w:val="en-AU"/>
        </w:rPr>
        <w:t xml:space="preserve"> </w:t>
      </w:r>
      <w:r w:rsidR="00006DC7">
        <w:rPr>
          <w:rFonts w:ascii="Arial" w:hAnsi="Arial" w:cs="Arial"/>
          <w:lang w:val="en-AU"/>
        </w:rPr>
        <w:t>be unable to explain, either with certainty or at all, what conduct is and is not lawful.</w:t>
      </w:r>
    </w:p>
    <w:p w:rsidR="00BE7D1C" w:rsidRDefault="00BE7D1C"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In the context of human rights legislation, principles of statutory interpretation </w:t>
      </w:r>
      <w:r w:rsidR="0009051C">
        <w:rPr>
          <w:rFonts w:ascii="Arial" w:hAnsi="Arial" w:cs="Arial"/>
          <w:lang w:val="en-AU"/>
        </w:rPr>
        <w:t xml:space="preserve">require exceptions and limitations to be interpreted narrowly.  Consistent with this principle, legislation should specify with as much clarity as possible the conduct and circumstances which are excused or justified notwithstanding that </w:t>
      </w:r>
      <w:r w:rsidR="0009051C">
        <w:rPr>
          <w:rFonts w:ascii="Arial" w:hAnsi="Arial" w:cs="Arial"/>
          <w:lang w:val="en-AU"/>
        </w:rPr>
        <w:lastRenderedPageBreak/>
        <w:t>it would otherwise violate the rights or freedoms which are protected in the legislation. Making a general and potentially broad exception in human rights legislation is antithetic to this principle.</w:t>
      </w:r>
    </w:p>
    <w:p w:rsidR="00651224" w:rsidRDefault="00651224"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The Commission prefers abandoning a general limitations provision in this legislation, and acknowledges that to do so would require re-instatement of some of the existing exceptions</w:t>
      </w:r>
      <w:r w:rsidR="001C3D9B">
        <w:rPr>
          <w:rFonts w:ascii="Arial" w:hAnsi="Arial" w:cs="Arial"/>
          <w:lang w:val="en-AU"/>
        </w:rPr>
        <w:t>,</w:t>
      </w:r>
      <w:r>
        <w:rPr>
          <w:rFonts w:ascii="Arial" w:hAnsi="Arial" w:cs="Arial"/>
          <w:lang w:val="en-AU"/>
        </w:rPr>
        <w:t xml:space="preserve"> such </w:t>
      </w:r>
      <w:r w:rsidR="001C3D9B">
        <w:rPr>
          <w:rFonts w:ascii="Arial" w:hAnsi="Arial" w:cs="Arial"/>
          <w:lang w:val="en-AU"/>
        </w:rPr>
        <w:t xml:space="preserve">as </w:t>
      </w:r>
      <w:r>
        <w:rPr>
          <w:rFonts w:ascii="Arial" w:hAnsi="Arial" w:cs="Arial"/>
          <w:lang w:val="en-AU"/>
        </w:rPr>
        <w:t xml:space="preserve">reasonableness and unjustifiable hardship for </w:t>
      </w:r>
      <w:r w:rsidR="0004762B">
        <w:rPr>
          <w:rFonts w:ascii="Arial" w:hAnsi="Arial" w:cs="Arial"/>
          <w:lang w:val="en-AU"/>
        </w:rPr>
        <w:t>discrimination by</w:t>
      </w:r>
      <w:r>
        <w:rPr>
          <w:rFonts w:ascii="Arial" w:hAnsi="Arial" w:cs="Arial"/>
          <w:lang w:val="en-AU"/>
        </w:rPr>
        <w:t xml:space="preserve"> imposition of a policy</w:t>
      </w:r>
      <w:r w:rsidR="00FB1BE3">
        <w:rPr>
          <w:rFonts w:ascii="Arial" w:hAnsi="Arial" w:cs="Arial"/>
          <w:lang w:val="en-AU"/>
        </w:rPr>
        <w:t>, as well as exceptions for ‘work health and safety’ and ‘public health and safety’.</w:t>
      </w:r>
      <w:r w:rsidR="00725B1A">
        <w:rPr>
          <w:rFonts w:ascii="Arial" w:hAnsi="Arial" w:cs="Arial"/>
          <w:lang w:val="en-AU"/>
        </w:rPr>
        <w:t xml:space="preserve">  Benefits of adopting this course include the preservation of the jurisprudence that has developed.  As it stands, </w:t>
      </w:r>
      <w:r w:rsidR="0004762B">
        <w:rPr>
          <w:rFonts w:ascii="Arial" w:hAnsi="Arial" w:cs="Arial"/>
          <w:lang w:val="en-AU"/>
        </w:rPr>
        <w:t xml:space="preserve">the </w:t>
      </w:r>
      <w:r w:rsidR="00725B1A">
        <w:rPr>
          <w:rFonts w:ascii="Arial" w:hAnsi="Arial" w:cs="Arial"/>
          <w:lang w:val="en-AU"/>
        </w:rPr>
        <w:t>provision has the potential to undo much of what has been achieved in working towards a society that respects and embraces human rights and the dignity of individuals.</w:t>
      </w:r>
    </w:p>
    <w:p w:rsidR="00FB1BE3" w:rsidRDefault="00FB1BE3" w:rsidP="00DE7B6D">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If the clause is not removed, it should be limited so that it does not apply to a </w:t>
      </w:r>
      <w:r w:rsidR="0004762B">
        <w:rPr>
          <w:rFonts w:ascii="Arial" w:hAnsi="Arial" w:cs="Arial"/>
          <w:lang w:val="en-AU"/>
        </w:rPr>
        <w:t>discrimination by unfavourable treatment (</w:t>
      </w:r>
      <w:r>
        <w:rPr>
          <w:rFonts w:ascii="Arial" w:hAnsi="Arial" w:cs="Arial"/>
          <w:lang w:val="en-AU"/>
        </w:rPr>
        <w:t>clause 19(1)</w:t>
      </w:r>
      <w:r w:rsidR="0004762B">
        <w:rPr>
          <w:rFonts w:ascii="Arial" w:hAnsi="Arial" w:cs="Arial"/>
          <w:lang w:val="en-AU"/>
        </w:rPr>
        <w:t xml:space="preserve">) </w:t>
      </w:r>
      <w:r>
        <w:rPr>
          <w:rFonts w:ascii="Arial" w:hAnsi="Arial" w:cs="Arial"/>
          <w:lang w:val="en-AU"/>
        </w:rPr>
        <w:t xml:space="preserve">and the term ‘legitimate’ </w:t>
      </w:r>
      <w:r w:rsidR="001C3D9B">
        <w:rPr>
          <w:rFonts w:ascii="Arial" w:hAnsi="Arial" w:cs="Arial"/>
          <w:lang w:val="en-AU"/>
        </w:rPr>
        <w:t xml:space="preserve">should be </w:t>
      </w:r>
      <w:r>
        <w:rPr>
          <w:rFonts w:ascii="Arial" w:hAnsi="Arial" w:cs="Arial"/>
          <w:lang w:val="en-AU"/>
        </w:rPr>
        <w:t>defined as fully and clearly as possible</w:t>
      </w:r>
      <w:r w:rsidR="0004762B">
        <w:rPr>
          <w:rFonts w:ascii="Arial" w:hAnsi="Arial" w:cs="Arial"/>
          <w:lang w:val="en-AU"/>
        </w:rPr>
        <w:t>, consistently with the objects of the Act</w:t>
      </w:r>
      <w:r>
        <w:rPr>
          <w:rFonts w:ascii="Arial" w:hAnsi="Arial" w:cs="Arial"/>
          <w:lang w:val="en-AU"/>
        </w:rPr>
        <w:t>.</w:t>
      </w:r>
    </w:p>
    <w:p w:rsidR="009A6577" w:rsidRPr="0077476E" w:rsidRDefault="002A0911" w:rsidP="002A0911">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b/>
          <w:color w:val="000000"/>
          <w:lang w:val="en-AU"/>
        </w:rPr>
      </w:pPr>
      <w:r w:rsidRPr="0077476E">
        <w:rPr>
          <w:rFonts w:ascii="Arial" w:hAnsi="Arial" w:cs="Arial"/>
          <w:b/>
          <w:color w:val="000000"/>
          <w:lang w:val="en-AU"/>
        </w:rPr>
        <w:t xml:space="preserve">Recommendation </w:t>
      </w:r>
      <w:r w:rsidR="0077476E" w:rsidRPr="0077476E">
        <w:rPr>
          <w:rFonts w:ascii="Arial" w:hAnsi="Arial" w:cs="Arial"/>
          <w:b/>
          <w:color w:val="000000"/>
          <w:lang w:val="en-AU"/>
        </w:rPr>
        <w:t>V</w:t>
      </w:r>
      <w:r w:rsidRPr="00AB6C3B">
        <w:rPr>
          <w:rFonts w:ascii="Arial" w:hAnsi="Arial" w:cs="Arial"/>
          <w:color w:val="000000"/>
          <w:lang w:val="en-AU"/>
        </w:rPr>
        <w:t xml:space="preserve">:  That the </w:t>
      </w:r>
      <w:r w:rsidR="009A6577">
        <w:rPr>
          <w:rFonts w:ascii="Arial" w:hAnsi="Arial" w:cs="Arial"/>
          <w:color w:val="000000"/>
          <w:lang w:val="en-AU"/>
        </w:rPr>
        <w:t>justifiable conduct exception</w:t>
      </w:r>
      <w:r w:rsidRPr="00AB6C3B">
        <w:rPr>
          <w:rFonts w:ascii="Arial" w:hAnsi="Arial" w:cs="Arial"/>
          <w:color w:val="000000"/>
          <w:lang w:val="en-AU"/>
        </w:rPr>
        <w:t xml:space="preserve"> be </w:t>
      </w:r>
      <w:r w:rsidR="00FB1BE3">
        <w:rPr>
          <w:rFonts w:ascii="Arial" w:hAnsi="Arial" w:cs="Arial"/>
          <w:color w:val="000000"/>
          <w:lang w:val="en-AU"/>
        </w:rPr>
        <w:t xml:space="preserve">removed. </w:t>
      </w:r>
      <w:r w:rsidR="00FB1BE3" w:rsidRPr="0077476E">
        <w:rPr>
          <w:rFonts w:ascii="Arial" w:hAnsi="Arial" w:cs="Arial"/>
          <w:b/>
          <w:color w:val="000000"/>
          <w:lang w:val="en-AU"/>
        </w:rPr>
        <w:t xml:space="preserve"> </w:t>
      </w:r>
    </w:p>
    <w:p w:rsidR="002A0911" w:rsidRPr="00AB6C3B" w:rsidRDefault="009A6577" w:rsidP="002A0911">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lang w:val="en-AU"/>
        </w:rPr>
      </w:pPr>
      <w:r w:rsidRPr="0077476E">
        <w:rPr>
          <w:rFonts w:ascii="Arial" w:hAnsi="Arial" w:cs="Arial"/>
          <w:b/>
          <w:color w:val="000000"/>
          <w:lang w:val="en-AU"/>
        </w:rPr>
        <w:t xml:space="preserve">Recommendation </w:t>
      </w:r>
      <w:r w:rsidR="0077476E" w:rsidRPr="0077476E">
        <w:rPr>
          <w:rFonts w:ascii="Arial" w:hAnsi="Arial" w:cs="Arial"/>
          <w:b/>
          <w:color w:val="000000"/>
          <w:lang w:val="en-AU"/>
        </w:rPr>
        <w:t>VI</w:t>
      </w:r>
      <w:r>
        <w:rPr>
          <w:rFonts w:ascii="Arial" w:hAnsi="Arial" w:cs="Arial"/>
          <w:color w:val="000000"/>
          <w:lang w:val="en-AU"/>
        </w:rPr>
        <w:t>:  That i</w:t>
      </w:r>
      <w:r w:rsidR="00FB1BE3">
        <w:rPr>
          <w:rFonts w:ascii="Arial" w:hAnsi="Arial" w:cs="Arial"/>
          <w:color w:val="000000"/>
          <w:lang w:val="en-AU"/>
        </w:rPr>
        <w:t xml:space="preserve">f </w:t>
      </w:r>
      <w:r>
        <w:rPr>
          <w:rFonts w:ascii="Arial" w:hAnsi="Arial" w:cs="Arial"/>
          <w:color w:val="000000"/>
          <w:lang w:val="en-AU"/>
        </w:rPr>
        <w:t>the justifiable conduct exception</w:t>
      </w:r>
      <w:r w:rsidR="00FB1BE3">
        <w:rPr>
          <w:rFonts w:ascii="Arial" w:hAnsi="Arial" w:cs="Arial"/>
          <w:color w:val="000000"/>
          <w:lang w:val="en-AU"/>
        </w:rPr>
        <w:t xml:space="preserve"> is not removed, the scope and application of the exception should be </w:t>
      </w:r>
      <w:r w:rsidR="00725B1A">
        <w:rPr>
          <w:rFonts w:ascii="Arial" w:hAnsi="Arial" w:cs="Arial"/>
          <w:color w:val="000000"/>
          <w:lang w:val="en-AU"/>
        </w:rPr>
        <w:t xml:space="preserve">made </w:t>
      </w:r>
      <w:r w:rsidR="00FB1BE3">
        <w:rPr>
          <w:rFonts w:ascii="Arial" w:hAnsi="Arial" w:cs="Arial"/>
          <w:color w:val="000000"/>
          <w:lang w:val="en-AU"/>
        </w:rPr>
        <w:t>more clear an</w:t>
      </w:r>
      <w:r w:rsidR="00725B1A">
        <w:rPr>
          <w:rFonts w:ascii="Arial" w:hAnsi="Arial" w:cs="Arial"/>
          <w:color w:val="000000"/>
          <w:lang w:val="en-AU"/>
        </w:rPr>
        <w:t>d specific, including defining</w:t>
      </w:r>
      <w:r w:rsidR="00FB1BE3">
        <w:rPr>
          <w:rFonts w:ascii="Arial" w:hAnsi="Arial" w:cs="Arial"/>
          <w:color w:val="000000"/>
          <w:lang w:val="en-AU"/>
        </w:rPr>
        <w:t xml:space="preserve"> </w:t>
      </w:r>
      <w:r w:rsidR="00725B1A">
        <w:rPr>
          <w:rFonts w:ascii="Arial" w:hAnsi="Arial" w:cs="Arial"/>
          <w:color w:val="000000"/>
          <w:lang w:val="en-AU"/>
        </w:rPr>
        <w:t xml:space="preserve">the meaning of </w:t>
      </w:r>
      <w:r w:rsidR="00FB1BE3">
        <w:rPr>
          <w:rFonts w:ascii="Arial" w:hAnsi="Arial" w:cs="Arial"/>
          <w:color w:val="000000"/>
          <w:lang w:val="en-AU"/>
        </w:rPr>
        <w:t xml:space="preserve">legitimate aims, and </w:t>
      </w:r>
      <w:r>
        <w:rPr>
          <w:rFonts w:ascii="Arial" w:hAnsi="Arial" w:cs="Arial"/>
          <w:color w:val="000000"/>
          <w:lang w:val="en-AU"/>
        </w:rPr>
        <w:t>the exception</w:t>
      </w:r>
      <w:r w:rsidR="00FB1BE3">
        <w:rPr>
          <w:rFonts w:ascii="Arial" w:hAnsi="Arial" w:cs="Arial"/>
          <w:color w:val="000000"/>
          <w:lang w:val="en-AU"/>
        </w:rPr>
        <w:t xml:space="preserve"> </w:t>
      </w:r>
      <w:r w:rsidR="00725B1A">
        <w:rPr>
          <w:rFonts w:ascii="Arial" w:hAnsi="Arial" w:cs="Arial"/>
          <w:color w:val="000000"/>
          <w:lang w:val="en-AU"/>
        </w:rPr>
        <w:t xml:space="preserve">should be </w:t>
      </w:r>
      <w:r w:rsidR="00FB1BE3">
        <w:rPr>
          <w:rFonts w:ascii="Arial" w:hAnsi="Arial" w:cs="Arial"/>
          <w:color w:val="000000"/>
          <w:lang w:val="en-AU"/>
        </w:rPr>
        <w:t>limited so as not to apply to direct discrimination.</w:t>
      </w:r>
    </w:p>
    <w:p w:rsidR="002A0911" w:rsidRPr="00AB6C3B" w:rsidRDefault="002A0911" w:rsidP="00131FD0">
      <w:pPr>
        <w:pStyle w:val="NormalWeb"/>
        <w:keepNext/>
        <w:spacing w:before="480" w:beforeAutospacing="0" w:after="120" w:afterAutospacing="0" w:line="360" w:lineRule="auto"/>
        <w:jc w:val="both"/>
        <w:rPr>
          <w:rFonts w:ascii="Arial" w:hAnsi="Arial" w:cs="Arial"/>
          <w:b/>
          <w:sz w:val="28"/>
          <w:szCs w:val="28"/>
          <w:lang w:val="en-AU"/>
        </w:rPr>
      </w:pPr>
      <w:r w:rsidRPr="00AB6C3B">
        <w:rPr>
          <w:rFonts w:ascii="Arial" w:hAnsi="Arial" w:cs="Arial"/>
          <w:b/>
          <w:sz w:val="28"/>
          <w:szCs w:val="28"/>
          <w:lang w:val="en-AU"/>
        </w:rPr>
        <w:t>Exceptions related to religion</w:t>
      </w:r>
    </w:p>
    <w:p w:rsidR="00BF58F2" w:rsidRPr="00AB6C3B" w:rsidRDefault="00BF58F2" w:rsidP="00BF58F2">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 xml:space="preserve">The </w:t>
      </w:r>
      <w:r w:rsidRPr="00AB6C3B">
        <w:rPr>
          <w:rFonts w:ascii="Arial" w:hAnsi="Arial" w:cs="Arial"/>
          <w:color w:val="000000"/>
          <w:lang w:val="en-AU"/>
        </w:rPr>
        <w:t>Commission</w:t>
      </w:r>
      <w:r w:rsidRPr="00AB6C3B">
        <w:rPr>
          <w:rFonts w:ascii="Arial" w:hAnsi="Arial" w:cs="Arial"/>
          <w:lang w:val="en-AU"/>
        </w:rPr>
        <w:t xml:space="preserve"> is concerned that the exceptions </w:t>
      </w:r>
      <w:r w:rsidR="00D81BF8" w:rsidRPr="00AB6C3B">
        <w:rPr>
          <w:rFonts w:ascii="Arial" w:hAnsi="Arial" w:cs="Arial"/>
          <w:lang w:val="en-AU"/>
        </w:rPr>
        <w:t>for religious bodies and educational institutions</w:t>
      </w:r>
      <w:r w:rsidR="00D81BF8" w:rsidRPr="00AB6C3B">
        <w:rPr>
          <w:rStyle w:val="FootnoteReference"/>
          <w:rFonts w:ascii="Arial" w:hAnsi="Arial" w:cs="Arial"/>
          <w:lang w:val="en-AU"/>
        </w:rPr>
        <w:footnoteReference w:id="14"/>
      </w:r>
      <w:r w:rsidRPr="00AB6C3B">
        <w:rPr>
          <w:rFonts w:ascii="Arial" w:hAnsi="Arial" w:cs="Arial"/>
          <w:lang w:val="en-AU"/>
        </w:rPr>
        <w:t xml:space="preserve"> </w:t>
      </w:r>
      <w:r w:rsidR="00131FD0" w:rsidRPr="00AB6C3B">
        <w:rPr>
          <w:rFonts w:ascii="Arial" w:hAnsi="Arial" w:cs="Arial"/>
          <w:lang w:val="en-AU"/>
        </w:rPr>
        <w:t xml:space="preserve">broaden the current exceptions and thus </w:t>
      </w:r>
      <w:r w:rsidRPr="00AB6C3B">
        <w:rPr>
          <w:rFonts w:ascii="Arial" w:hAnsi="Arial" w:cs="Arial"/>
          <w:lang w:val="en-AU"/>
        </w:rPr>
        <w:t>lower the current level of protections rather than lifting protections to the highest standard.</w:t>
      </w:r>
    </w:p>
    <w:p w:rsidR="00BF58F2" w:rsidRPr="00AB6C3B" w:rsidRDefault="00BF58F2" w:rsidP="00BF58F2">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lastRenderedPageBreak/>
        <w:t xml:space="preserve">In </w:t>
      </w:r>
      <w:r w:rsidRPr="00AB6C3B">
        <w:rPr>
          <w:rFonts w:ascii="Arial" w:hAnsi="Arial" w:cs="Arial"/>
          <w:color w:val="000000"/>
          <w:lang w:val="en-AU"/>
        </w:rPr>
        <w:t>Queensland</w:t>
      </w:r>
      <w:r w:rsidRPr="00AB6C3B">
        <w:rPr>
          <w:rFonts w:ascii="Arial" w:hAnsi="Arial" w:cs="Arial"/>
          <w:lang w:val="en-AU"/>
        </w:rPr>
        <w:t>, bodies established for religious purposes can avail themselves of specific exemptions in areas of work, education, accommodation and the provision of goods and services, as well as a general exemption across all of the public areas of life covered by the legislation.</w:t>
      </w:r>
      <w:r w:rsidRPr="00AB6C3B">
        <w:rPr>
          <w:rStyle w:val="FootnoteReference"/>
          <w:rFonts w:ascii="Arial" w:hAnsi="Arial" w:cs="Arial"/>
          <w:lang w:val="en-AU"/>
        </w:rPr>
        <w:footnoteReference w:id="15"/>
      </w:r>
    </w:p>
    <w:p w:rsidR="00131FD0" w:rsidRPr="00AB6C3B" w:rsidRDefault="00E33D08" w:rsidP="00BF58F2">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In areas other than work and education</w:t>
      </w:r>
      <w:r w:rsidR="00131FD0" w:rsidRPr="00AB6C3B">
        <w:rPr>
          <w:rFonts w:ascii="Arial" w:hAnsi="Arial" w:cs="Arial"/>
          <w:lang w:val="en-AU"/>
        </w:rPr>
        <w:t xml:space="preserve">, bodies established for religious purposes </w:t>
      </w:r>
      <w:r w:rsidRPr="00AB6C3B">
        <w:rPr>
          <w:rFonts w:ascii="Arial" w:hAnsi="Arial" w:cs="Arial"/>
          <w:lang w:val="en-AU"/>
        </w:rPr>
        <w:t>are</w:t>
      </w:r>
      <w:r w:rsidR="00131FD0" w:rsidRPr="00AB6C3B">
        <w:rPr>
          <w:rFonts w:ascii="Arial" w:hAnsi="Arial" w:cs="Arial"/>
          <w:lang w:val="en-AU"/>
        </w:rPr>
        <w:t xml:space="preserve"> exempt in relation to acts done in accordance with the doctrines of the religion where the act is necessary to avoid offending the religious sensitivities of people of the religion.</w:t>
      </w:r>
      <w:r w:rsidR="00D81BF8" w:rsidRPr="00AB6C3B">
        <w:rPr>
          <w:rStyle w:val="FootnoteReference"/>
          <w:rFonts w:ascii="Arial" w:hAnsi="Arial" w:cs="Arial"/>
          <w:lang w:val="en-AU"/>
        </w:rPr>
        <w:footnoteReference w:id="16"/>
      </w:r>
      <w:r w:rsidR="00131FD0" w:rsidRPr="00AB6C3B">
        <w:rPr>
          <w:rFonts w:ascii="Arial" w:hAnsi="Arial" w:cs="Arial"/>
          <w:lang w:val="en-AU"/>
        </w:rPr>
        <w:t xml:space="preserve">  Educational inst</w:t>
      </w:r>
      <w:r w:rsidR="00852177">
        <w:rPr>
          <w:rFonts w:ascii="Arial" w:hAnsi="Arial" w:cs="Arial"/>
          <w:lang w:val="en-AU"/>
        </w:rPr>
        <w:t>itutions which operate wholly or</w:t>
      </w:r>
      <w:r w:rsidR="00131FD0" w:rsidRPr="00AB6C3B">
        <w:rPr>
          <w:rFonts w:ascii="Arial" w:hAnsi="Arial" w:cs="Arial"/>
          <w:lang w:val="en-AU"/>
        </w:rPr>
        <w:t xml:space="preserve"> mainly for students of a particular sex or religion may exclude students not of that sex or religion.</w:t>
      </w:r>
      <w:r w:rsidR="00D81BF8" w:rsidRPr="00AB6C3B">
        <w:rPr>
          <w:rStyle w:val="FootnoteReference"/>
          <w:rFonts w:ascii="Arial" w:hAnsi="Arial" w:cs="Arial"/>
          <w:lang w:val="en-AU"/>
        </w:rPr>
        <w:footnoteReference w:id="17"/>
      </w:r>
      <w:r w:rsidRPr="00AB6C3B">
        <w:rPr>
          <w:rFonts w:ascii="Arial" w:hAnsi="Arial" w:cs="Arial"/>
          <w:lang w:val="en-AU"/>
        </w:rPr>
        <w:t xml:space="preserve">  In the work area, discrimination is only permitted in relation to overt conduct contrary to the employer’s religious beliefs if it is a genuine occupational requirement of the employer that the person act consistently with the employer’s religious beliefs in the course of or in connection with work.</w:t>
      </w:r>
      <w:r w:rsidR="00D81BF8" w:rsidRPr="00AB6C3B">
        <w:rPr>
          <w:rStyle w:val="FootnoteReference"/>
          <w:rFonts w:ascii="Arial" w:hAnsi="Arial" w:cs="Arial"/>
          <w:lang w:val="en-AU"/>
        </w:rPr>
        <w:footnoteReference w:id="18"/>
      </w:r>
      <w:r w:rsidRPr="00AB6C3B">
        <w:rPr>
          <w:rFonts w:ascii="Arial" w:hAnsi="Arial" w:cs="Arial"/>
          <w:lang w:val="en-AU"/>
        </w:rPr>
        <w:t xml:space="preserve">  Access to land or premises of religious significance and accommodation may be restricted where it is in accordance with the doctrines of the religion concerned and is necessary to avoid offending the religious sensitivities of people of that religion.</w:t>
      </w:r>
      <w:r w:rsidR="00D81BF8" w:rsidRPr="00AB6C3B">
        <w:rPr>
          <w:rStyle w:val="FootnoteReference"/>
          <w:rFonts w:ascii="Arial" w:hAnsi="Arial" w:cs="Arial"/>
          <w:lang w:val="en-AU"/>
        </w:rPr>
        <w:footnoteReference w:id="19"/>
      </w:r>
      <w:r w:rsidR="00D81BF8" w:rsidRPr="00AB6C3B">
        <w:rPr>
          <w:rFonts w:ascii="Arial" w:hAnsi="Arial" w:cs="Arial"/>
          <w:lang w:val="en-AU"/>
        </w:rPr>
        <w:t xml:space="preserve">  Discrimination is also permitted in the ordination and training of priests, ministers etc, and the selection of people to perform functions in relation to religious observance.</w:t>
      </w:r>
      <w:r w:rsidR="00D81BF8" w:rsidRPr="00AB6C3B">
        <w:rPr>
          <w:rStyle w:val="FootnoteReference"/>
          <w:rFonts w:ascii="Arial" w:hAnsi="Arial" w:cs="Arial"/>
          <w:lang w:val="en-AU"/>
        </w:rPr>
        <w:footnoteReference w:id="20"/>
      </w:r>
    </w:p>
    <w:p w:rsidR="00170356" w:rsidRPr="00AB6C3B" w:rsidRDefault="00170356" w:rsidP="00BF58F2">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It is unclear why the limitation on the exception provided for in the Bill for bodies established for religious purposes is confined to the provision aged care services.  The basis for the limitation is the receipt of Commonwealth funding, however the Commonweal</w:t>
      </w:r>
      <w:r w:rsidR="00852177">
        <w:rPr>
          <w:rFonts w:ascii="Arial" w:hAnsi="Arial" w:cs="Arial"/>
          <w:lang w:val="en-AU"/>
        </w:rPr>
        <w:t>th provides funding for a range</w:t>
      </w:r>
      <w:r w:rsidRPr="00AB6C3B">
        <w:rPr>
          <w:rFonts w:ascii="Arial" w:hAnsi="Arial" w:cs="Arial"/>
          <w:lang w:val="en-AU"/>
        </w:rPr>
        <w:t xml:space="preserve"> of services, including education.  It is also unclear why the limitation applies to aged care service providers who receive Commonwealth funding in the provision of services only, but not in employment of their staff.</w:t>
      </w:r>
      <w:r w:rsidR="003D1585">
        <w:rPr>
          <w:rFonts w:ascii="Arial" w:hAnsi="Arial" w:cs="Arial"/>
          <w:lang w:val="en-AU"/>
        </w:rPr>
        <w:t xml:space="preserve">  The Explanatory Note states that this recognises that organisations should be able to engage </w:t>
      </w:r>
      <w:proofErr w:type="gramStart"/>
      <w:r w:rsidR="003D1585">
        <w:rPr>
          <w:rFonts w:ascii="Arial" w:hAnsi="Arial" w:cs="Arial"/>
          <w:lang w:val="en-AU"/>
        </w:rPr>
        <w:t>staff who share</w:t>
      </w:r>
      <w:proofErr w:type="gramEnd"/>
      <w:r w:rsidR="003D1585">
        <w:rPr>
          <w:rFonts w:ascii="Arial" w:hAnsi="Arial" w:cs="Arial"/>
          <w:lang w:val="en-AU"/>
        </w:rPr>
        <w:t xml:space="preserve"> their </w:t>
      </w:r>
      <w:r w:rsidR="003D1585">
        <w:rPr>
          <w:rFonts w:ascii="Arial" w:hAnsi="Arial" w:cs="Arial"/>
          <w:lang w:val="en-AU"/>
        </w:rPr>
        <w:lastRenderedPageBreak/>
        <w:t>values and org</w:t>
      </w:r>
      <w:r w:rsidR="00B83847">
        <w:rPr>
          <w:rFonts w:ascii="Arial" w:hAnsi="Arial" w:cs="Arial"/>
          <w:lang w:val="en-AU"/>
        </w:rPr>
        <w:t xml:space="preserve">anisational ethos.  This explanation is inconsistent with both the objects of </w:t>
      </w:r>
      <w:r w:rsidR="00852177">
        <w:rPr>
          <w:rFonts w:ascii="Arial" w:hAnsi="Arial" w:cs="Arial"/>
          <w:lang w:val="en-AU"/>
        </w:rPr>
        <w:t xml:space="preserve">the </w:t>
      </w:r>
      <w:r w:rsidR="00B83847">
        <w:rPr>
          <w:rFonts w:ascii="Arial" w:hAnsi="Arial" w:cs="Arial"/>
          <w:lang w:val="en-AU"/>
        </w:rPr>
        <w:t>legislation and the limitation to the exception.</w:t>
      </w:r>
    </w:p>
    <w:p w:rsidR="00170356" w:rsidRDefault="009F4D9C" w:rsidP="00BF58F2">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AB6C3B">
        <w:rPr>
          <w:rFonts w:ascii="Arial" w:hAnsi="Arial" w:cs="Arial"/>
          <w:lang w:val="en-AU"/>
        </w:rPr>
        <w:t>If the consolidated legislation is to be the benchmark for harmonisation of State and Commonwealth laws, there will be a diminution of the current protections in Queensland and other States.</w:t>
      </w:r>
    </w:p>
    <w:p w:rsidR="0008676D" w:rsidRPr="00AB6C3B" w:rsidRDefault="0008676D" w:rsidP="0008676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lang w:val="en-AU"/>
        </w:rPr>
      </w:pPr>
      <w:r w:rsidRPr="0077476E">
        <w:rPr>
          <w:rFonts w:ascii="Arial" w:hAnsi="Arial" w:cs="Arial"/>
          <w:b/>
          <w:color w:val="000000"/>
          <w:lang w:val="en-AU"/>
        </w:rPr>
        <w:t xml:space="preserve">Recommendation </w:t>
      </w:r>
      <w:r w:rsidR="0077476E" w:rsidRPr="0077476E">
        <w:rPr>
          <w:rFonts w:ascii="Arial" w:hAnsi="Arial" w:cs="Arial"/>
          <w:b/>
          <w:color w:val="000000"/>
          <w:lang w:val="en-AU"/>
        </w:rPr>
        <w:t>VII</w:t>
      </w:r>
      <w:r w:rsidRPr="00AB6C3B">
        <w:rPr>
          <w:rFonts w:ascii="Arial" w:hAnsi="Arial" w:cs="Arial"/>
          <w:color w:val="000000"/>
          <w:lang w:val="en-AU"/>
        </w:rPr>
        <w:t xml:space="preserve">:  That the </w:t>
      </w:r>
      <w:r>
        <w:rPr>
          <w:rFonts w:ascii="Arial" w:hAnsi="Arial" w:cs="Arial"/>
          <w:color w:val="000000"/>
          <w:lang w:val="en-AU"/>
        </w:rPr>
        <w:t xml:space="preserve">exceptions for bodies established for religious purposes and educational institutions </w:t>
      </w:r>
      <w:proofErr w:type="gramStart"/>
      <w:r>
        <w:rPr>
          <w:rFonts w:ascii="Arial" w:hAnsi="Arial" w:cs="Arial"/>
          <w:color w:val="000000"/>
          <w:lang w:val="en-AU"/>
        </w:rPr>
        <w:t>be</w:t>
      </w:r>
      <w:proofErr w:type="gramEnd"/>
      <w:r>
        <w:rPr>
          <w:rFonts w:ascii="Arial" w:hAnsi="Arial" w:cs="Arial"/>
          <w:color w:val="000000"/>
          <w:lang w:val="en-AU"/>
        </w:rPr>
        <w:t xml:space="preserve"> limited so as not to diminish the current highest standard under State and Territory anti-discrimination laws.</w:t>
      </w:r>
    </w:p>
    <w:p w:rsidR="002A0911" w:rsidRPr="00AB6C3B" w:rsidRDefault="002A0911" w:rsidP="00131FD0">
      <w:pPr>
        <w:pStyle w:val="NormalWeb"/>
        <w:keepNext/>
        <w:spacing w:before="480" w:beforeAutospacing="0" w:after="120" w:afterAutospacing="0" w:line="360" w:lineRule="auto"/>
        <w:jc w:val="both"/>
        <w:rPr>
          <w:rFonts w:ascii="Arial" w:hAnsi="Arial" w:cs="Arial"/>
          <w:b/>
          <w:sz w:val="28"/>
          <w:szCs w:val="28"/>
          <w:lang w:val="en-AU"/>
        </w:rPr>
      </w:pPr>
      <w:r w:rsidRPr="00AB6C3B">
        <w:rPr>
          <w:rFonts w:ascii="Arial" w:hAnsi="Arial" w:cs="Arial"/>
          <w:b/>
          <w:sz w:val="28"/>
          <w:szCs w:val="28"/>
          <w:lang w:val="en-AU"/>
        </w:rPr>
        <w:t>Other exceptions that di</w:t>
      </w:r>
      <w:r w:rsidR="00131FD0" w:rsidRPr="00AB6C3B">
        <w:rPr>
          <w:rFonts w:ascii="Arial" w:hAnsi="Arial" w:cs="Arial"/>
          <w:b/>
          <w:sz w:val="28"/>
          <w:szCs w:val="28"/>
          <w:lang w:val="en-AU"/>
        </w:rPr>
        <w:t xml:space="preserve">minish the </w:t>
      </w:r>
      <w:r w:rsidR="00903605">
        <w:rPr>
          <w:rFonts w:ascii="Arial" w:hAnsi="Arial" w:cs="Arial"/>
          <w:b/>
          <w:sz w:val="28"/>
          <w:szCs w:val="28"/>
          <w:lang w:val="en-AU"/>
        </w:rPr>
        <w:t xml:space="preserve">current </w:t>
      </w:r>
      <w:r w:rsidR="00131FD0" w:rsidRPr="00AB6C3B">
        <w:rPr>
          <w:rFonts w:ascii="Arial" w:hAnsi="Arial" w:cs="Arial"/>
          <w:b/>
          <w:sz w:val="28"/>
          <w:szCs w:val="28"/>
          <w:lang w:val="en-AU"/>
        </w:rPr>
        <w:t>level of protections</w:t>
      </w:r>
    </w:p>
    <w:p w:rsidR="00C44204" w:rsidRDefault="00E54C76" w:rsidP="00763B5A">
      <w:pPr>
        <w:pStyle w:val="NormalWeb"/>
        <w:numPr>
          <w:ilvl w:val="0"/>
          <w:numId w:val="2"/>
        </w:numPr>
        <w:spacing w:before="120" w:beforeAutospacing="0" w:after="240" w:afterAutospacing="0" w:line="360" w:lineRule="auto"/>
        <w:ind w:left="567" w:hanging="567"/>
        <w:jc w:val="both"/>
        <w:rPr>
          <w:rFonts w:ascii="Arial" w:hAnsi="Arial" w:cs="Arial"/>
        </w:rPr>
      </w:pPr>
      <w:r>
        <w:rPr>
          <w:rFonts w:ascii="Arial" w:hAnsi="Arial" w:cs="Arial"/>
          <w:lang w:val="en-AU"/>
        </w:rPr>
        <w:t xml:space="preserve">The Bill purports to adopt the current highest </w:t>
      </w:r>
      <w:proofErr w:type="gramStart"/>
      <w:r>
        <w:rPr>
          <w:rFonts w:ascii="Arial" w:hAnsi="Arial" w:cs="Arial"/>
          <w:lang w:val="en-AU"/>
        </w:rPr>
        <w:t>standard,</w:t>
      </w:r>
      <w:proofErr w:type="gramEnd"/>
      <w:r>
        <w:rPr>
          <w:rFonts w:ascii="Arial" w:hAnsi="Arial" w:cs="Arial"/>
          <w:lang w:val="en-AU"/>
        </w:rPr>
        <w:t xml:space="preserve"> however o</w:t>
      </w:r>
      <w:proofErr w:type="spellStart"/>
      <w:r w:rsidR="00C44204" w:rsidRPr="00C44204">
        <w:rPr>
          <w:rFonts w:ascii="Arial" w:hAnsi="Arial" w:cs="Arial"/>
        </w:rPr>
        <w:t>ther</w:t>
      </w:r>
      <w:proofErr w:type="spellEnd"/>
      <w:r w:rsidR="00C44204">
        <w:rPr>
          <w:rFonts w:ascii="Arial" w:hAnsi="Arial" w:cs="Arial"/>
        </w:rPr>
        <w:t xml:space="preserve"> exceptions </w:t>
      </w:r>
      <w:r>
        <w:rPr>
          <w:rFonts w:ascii="Arial" w:hAnsi="Arial" w:cs="Arial"/>
        </w:rPr>
        <w:t xml:space="preserve">in the Bill also result in </w:t>
      </w:r>
      <w:r w:rsidR="008B0657">
        <w:rPr>
          <w:rFonts w:ascii="Arial" w:hAnsi="Arial" w:cs="Arial"/>
        </w:rPr>
        <w:t xml:space="preserve">a </w:t>
      </w:r>
      <w:r>
        <w:rPr>
          <w:rFonts w:ascii="Arial" w:hAnsi="Arial" w:cs="Arial"/>
        </w:rPr>
        <w:t xml:space="preserve">standard </w:t>
      </w:r>
      <w:r w:rsidR="008B0657">
        <w:rPr>
          <w:rFonts w:ascii="Arial" w:hAnsi="Arial" w:cs="Arial"/>
        </w:rPr>
        <w:t>lower than</w:t>
      </w:r>
      <w:r>
        <w:rPr>
          <w:rFonts w:ascii="Arial" w:hAnsi="Arial" w:cs="Arial"/>
        </w:rPr>
        <w:t xml:space="preserve"> the current standard.  These include:</w:t>
      </w:r>
    </w:p>
    <w:p w:rsidR="00E54C76" w:rsidRDefault="00E54C76" w:rsidP="00E54C76">
      <w:pPr>
        <w:pStyle w:val="NormalWeb"/>
        <w:numPr>
          <w:ilvl w:val="1"/>
          <w:numId w:val="2"/>
        </w:numPr>
        <w:spacing w:before="240" w:beforeAutospacing="0" w:after="240" w:afterAutospacing="0" w:line="360" w:lineRule="auto"/>
        <w:jc w:val="both"/>
        <w:rPr>
          <w:rFonts w:ascii="Arial" w:hAnsi="Arial" w:cs="Arial"/>
        </w:rPr>
      </w:pPr>
      <w:r w:rsidRPr="00852177">
        <w:rPr>
          <w:rFonts w:ascii="Arial" w:hAnsi="Arial" w:cs="Arial"/>
          <w:b/>
        </w:rPr>
        <w:t>Employment to perform domestic duties</w:t>
      </w:r>
      <w:r w:rsidR="005B1BCE">
        <w:rPr>
          <w:rFonts w:ascii="Arial" w:hAnsi="Arial" w:cs="Arial"/>
        </w:rPr>
        <w:t xml:space="preserve"> – in the Bill, this exception applies in relation to all protected attributes.</w:t>
      </w:r>
      <w:r w:rsidR="005C4564">
        <w:rPr>
          <w:rStyle w:val="FootnoteReference"/>
          <w:rFonts w:ascii="Arial" w:hAnsi="Arial" w:cs="Arial"/>
        </w:rPr>
        <w:footnoteReference w:id="21"/>
      </w:r>
      <w:r w:rsidR="005B1BCE">
        <w:rPr>
          <w:rFonts w:ascii="Arial" w:hAnsi="Arial" w:cs="Arial"/>
        </w:rPr>
        <w:t xml:space="preserve">  </w:t>
      </w:r>
      <w:r w:rsidR="005C4564">
        <w:rPr>
          <w:rFonts w:ascii="Arial" w:hAnsi="Arial" w:cs="Arial"/>
        </w:rPr>
        <w:t>In Queensland</w:t>
      </w:r>
      <w:r w:rsidR="005B1BCE">
        <w:rPr>
          <w:rFonts w:ascii="Arial" w:hAnsi="Arial" w:cs="Arial"/>
        </w:rPr>
        <w:t>, discrimination on the basis of race in this area is unlawful.</w:t>
      </w:r>
      <w:r w:rsidR="005C4564">
        <w:rPr>
          <w:rStyle w:val="FootnoteReference"/>
          <w:rFonts w:ascii="Arial" w:hAnsi="Arial" w:cs="Arial"/>
        </w:rPr>
        <w:footnoteReference w:id="22"/>
      </w:r>
      <w:r w:rsidR="005C4564">
        <w:rPr>
          <w:rFonts w:ascii="Arial" w:hAnsi="Arial" w:cs="Arial"/>
        </w:rPr>
        <w:t xml:space="preserve">  In its submission to the consolidation project the Commission urged caution with this exception due to the growth in this industry.</w:t>
      </w:r>
      <w:r w:rsidR="005C4564">
        <w:rPr>
          <w:rStyle w:val="FootnoteReference"/>
          <w:rFonts w:ascii="Arial" w:hAnsi="Arial" w:cs="Arial"/>
        </w:rPr>
        <w:footnoteReference w:id="23"/>
      </w:r>
      <w:r w:rsidR="005C4564">
        <w:rPr>
          <w:rFonts w:ascii="Arial" w:hAnsi="Arial" w:cs="Arial"/>
        </w:rPr>
        <w:t xml:space="preserve">  It is also an industry that attracts migrants seeking work.</w:t>
      </w:r>
    </w:p>
    <w:p w:rsidR="005B1BCE" w:rsidRPr="00C44204" w:rsidRDefault="005B1BCE" w:rsidP="00E54C76">
      <w:pPr>
        <w:pStyle w:val="NormalWeb"/>
        <w:numPr>
          <w:ilvl w:val="1"/>
          <w:numId w:val="2"/>
        </w:numPr>
        <w:spacing w:before="240" w:beforeAutospacing="0" w:after="240" w:afterAutospacing="0" w:line="360" w:lineRule="auto"/>
        <w:jc w:val="both"/>
        <w:rPr>
          <w:rFonts w:ascii="Arial" w:hAnsi="Arial" w:cs="Arial"/>
        </w:rPr>
      </w:pPr>
      <w:r w:rsidRPr="00852177">
        <w:rPr>
          <w:rFonts w:ascii="Arial" w:hAnsi="Arial" w:cs="Arial"/>
          <w:b/>
        </w:rPr>
        <w:t>Superannuation</w:t>
      </w:r>
      <w:r>
        <w:rPr>
          <w:rFonts w:ascii="Arial" w:hAnsi="Arial" w:cs="Arial"/>
        </w:rPr>
        <w:t xml:space="preserve"> – in the Bill, this exception applies in relation to the attributes of age, disability, family responsibilities, marital or relationship status, and sex.</w:t>
      </w:r>
      <w:r w:rsidR="005C4564">
        <w:rPr>
          <w:rStyle w:val="FootnoteReference"/>
          <w:rFonts w:ascii="Arial" w:hAnsi="Arial" w:cs="Arial"/>
        </w:rPr>
        <w:footnoteReference w:id="24"/>
      </w:r>
      <w:r w:rsidR="005C4564">
        <w:rPr>
          <w:rFonts w:ascii="Arial" w:hAnsi="Arial" w:cs="Arial"/>
        </w:rPr>
        <w:t xml:space="preserve">  In Queensland, the comparable exceptions do not apply to the attribute of family responsibilities.</w:t>
      </w:r>
      <w:r w:rsidR="008B0657">
        <w:rPr>
          <w:rStyle w:val="FootnoteReference"/>
          <w:rFonts w:ascii="Arial" w:hAnsi="Arial" w:cs="Arial"/>
        </w:rPr>
        <w:footnoteReference w:id="25"/>
      </w:r>
      <w:r w:rsidR="005C4564">
        <w:rPr>
          <w:rFonts w:ascii="Arial" w:hAnsi="Arial" w:cs="Arial"/>
        </w:rPr>
        <w:t xml:space="preserve">  The Commission</w:t>
      </w:r>
      <w:r w:rsidR="008B0657">
        <w:rPr>
          <w:rFonts w:ascii="Arial" w:hAnsi="Arial" w:cs="Arial"/>
        </w:rPr>
        <w:t xml:space="preserve"> questions the inclusion of family responsibilities as one of the attributes to which the exception applies.</w:t>
      </w:r>
    </w:p>
    <w:p w:rsidR="0047618D" w:rsidRPr="00AB6C3B" w:rsidRDefault="0047618D" w:rsidP="0047618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852177">
        <w:rPr>
          <w:rFonts w:ascii="Arial" w:hAnsi="Arial" w:cs="Arial"/>
          <w:b/>
          <w:color w:val="000000"/>
          <w:lang w:val="en-AU"/>
        </w:rPr>
        <w:lastRenderedPageBreak/>
        <w:t xml:space="preserve">Recommendation </w:t>
      </w:r>
      <w:r w:rsidR="00852177" w:rsidRPr="00852177">
        <w:rPr>
          <w:rFonts w:ascii="Arial" w:hAnsi="Arial" w:cs="Arial"/>
          <w:b/>
          <w:color w:val="000000"/>
          <w:lang w:val="en-AU"/>
        </w:rPr>
        <w:t>VIII</w:t>
      </w:r>
      <w:r w:rsidRPr="00AB6C3B">
        <w:rPr>
          <w:rFonts w:ascii="Arial" w:hAnsi="Arial" w:cs="Arial"/>
          <w:color w:val="000000"/>
          <w:lang w:val="en-AU"/>
        </w:rPr>
        <w:t xml:space="preserve">:  </w:t>
      </w:r>
      <w:proofErr w:type="gramStart"/>
      <w:r w:rsidR="008B0657">
        <w:rPr>
          <w:rFonts w:ascii="Arial" w:hAnsi="Arial" w:cs="Arial"/>
          <w:color w:val="000000"/>
          <w:lang w:val="en-AU"/>
        </w:rPr>
        <w:t>That exceptions</w:t>
      </w:r>
      <w:proofErr w:type="gramEnd"/>
      <w:r w:rsidR="008B0657">
        <w:rPr>
          <w:rFonts w:ascii="Arial" w:hAnsi="Arial" w:cs="Arial"/>
          <w:color w:val="000000"/>
          <w:lang w:val="en-AU"/>
        </w:rPr>
        <w:t xml:space="preserve"> that diminish the current highest standard under State and Territory anti-discrimination laws be limited so that they conform to the current highest standard.</w:t>
      </w:r>
    </w:p>
    <w:p w:rsidR="002A0911" w:rsidRPr="00AB6C3B" w:rsidRDefault="002A0911" w:rsidP="00131FD0">
      <w:pPr>
        <w:pStyle w:val="NormalWeb"/>
        <w:keepNext/>
        <w:spacing w:before="480" w:beforeAutospacing="0" w:after="120" w:afterAutospacing="0" w:line="360" w:lineRule="auto"/>
        <w:jc w:val="both"/>
        <w:rPr>
          <w:rFonts w:ascii="Arial" w:hAnsi="Arial" w:cs="Arial"/>
          <w:b/>
          <w:sz w:val="28"/>
          <w:szCs w:val="28"/>
          <w:lang w:val="en-AU"/>
        </w:rPr>
      </w:pPr>
      <w:r w:rsidRPr="00AB6C3B">
        <w:rPr>
          <w:rFonts w:ascii="Arial" w:hAnsi="Arial" w:cs="Arial"/>
          <w:b/>
          <w:sz w:val="28"/>
          <w:szCs w:val="28"/>
          <w:lang w:val="en-AU"/>
        </w:rPr>
        <w:t>Requesting information</w:t>
      </w:r>
    </w:p>
    <w:p w:rsidR="00903605" w:rsidRDefault="00903605" w:rsidP="00C44204">
      <w:pPr>
        <w:pStyle w:val="NormalWeb"/>
        <w:numPr>
          <w:ilvl w:val="0"/>
          <w:numId w:val="2"/>
        </w:numPr>
        <w:spacing w:before="120" w:beforeAutospacing="0" w:after="240" w:afterAutospacing="0" w:line="360" w:lineRule="auto"/>
        <w:ind w:left="567" w:hanging="567"/>
        <w:jc w:val="both"/>
        <w:rPr>
          <w:rFonts w:ascii="Arial" w:hAnsi="Arial" w:cs="Arial"/>
        </w:rPr>
      </w:pPr>
      <w:r>
        <w:rPr>
          <w:rFonts w:ascii="Arial" w:hAnsi="Arial" w:cs="Arial"/>
        </w:rPr>
        <w:t>Clause 52 provides that it is unlawful to requ</w:t>
      </w:r>
      <w:r w:rsidR="00E23DC7">
        <w:rPr>
          <w:rFonts w:ascii="Arial" w:hAnsi="Arial" w:cs="Arial"/>
        </w:rPr>
        <w:t>est information for the purpose</w:t>
      </w:r>
      <w:r>
        <w:rPr>
          <w:rFonts w:ascii="Arial" w:hAnsi="Arial" w:cs="Arial"/>
        </w:rPr>
        <w:t xml:space="preserve"> of unlawfully discriminating, or deciding whether to unlawfully discriminate, against the person </w:t>
      </w:r>
      <w:r w:rsidR="00E23DC7">
        <w:rPr>
          <w:rFonts w:ascii="Arial" w:hAnsi="Arial" w:cs="Arial"/>
        </w:rPr>
        <w:t>from whom the information is sought.</w:t>
      </w:r>
      <w:r w:rsidR="00BE5C42">
        <w:rPr>
          <w:rFonts w:ascii="Arial" w:hAnsi="Arial" w:cs="Arial"/>
        </w:rPr>
        <w:t xml:space="preserve">  The Commission welcomes simplifying the test in existing provisions by removing the comparator element.</w:t>
      </w:r>
    </w:p>
    <w:p w:rsidR="00E23DC7" w:rsidRDefault="00E23DC7" w:rsidP="00903605">
      <w:pPr>
        <w:pStyle w:val="NormalWeb"/>
        <w:numPr>
          <w:ilvl w:val="0"/>
          <w:numId w:val="2"/>
        </w:numPr>
        <w:spacing w:before="240" w:beforeAutospacing="0" w:after="240" w:afterAutospacing="0" w:line="360" w:lineRule="auto"/>
        <w:ind w:left="567" w:hanging="567"/>
        <w:jc w:val="both"/>
        <w:rPr>
          <w:rFonts w:ascii="Arial" w:hAnsi="Arial" w:cs="Arial"/>
        </w:rPr>
      </w:pPr>
      <w:r>
        <w:rPr>
          <w:rFonts w:ascii="Arial" w:hAnsi="Arial" w:cs="Arial"/>
        </w:rPr>
        <w:t xml:space="preserve">The Commission considers that although the shifting burden of proof applies to this provision, in practice it may be extremely difficult for a complainant to establish a prima facie case that the purpose of the request was to unlawfully discriminate, or decide whether to unlawfully discriminate against the person.  In the Commission’s experience, unlawful requests for information most commonly occur in selection processes for employment.  In those circumstances there is usually no relationship, surrounding circumstances or other aspect from which the applicant could draw evidence to show the purpose of the request for information.  </w:t>
      </w:r>
    </w:p>
    <w:p w:rsidR="00E23DC7" w:rsidRDefault="00E23DC7" w:rsidP="00903605">
      <w:pPr>
        <w:pStyle w:val="NormalWeb"/>
        <w:numPr>
          <w:ilvl w:val="0"/>
          <w:numId w:val="2"/>
        </w:numPr>
        <w:spacing w:before="240" w:beforeAutospacing="0" w:after="240" w:afterAutospacing="0" w:line="360" w:lineRule="auto"/>
        <w:ind w:left="567" w:hanging="567"/>
        <w:jc w:val="both"/>
        <w:rPr>
          <w:rFonts w:ascii="Arial" w:hAnsi="Arial" w:cs="Arial"/>
        </w:rPr>
      </w:pPr>
      <w:r>
        <w:rPr>
          <w:rFonts w:ascii="Arial" w:hAnsi="Arial" w:cs="Arial"/>
        </w:rPr>
        <w:t xml:space="preserve">Framing the provision in this way is also not likely to </w:t>
      </w:r>
      <w:r w:rsidR="00BE5C42">
        <w:rPr>
          <w:rFonts w:ascii="Arial" w:hAnsi="Arial" w:cs="Arial"/>
        </w:rPr>
        <w:t>encourage</w:t>
      </w:r>
      <w:r>
        <w:rPr>
          <w:rFonts w:ascii="Arial" w:hAnsi="Arial" w:cs="Arial"/>
        </w:rPr>
        <w:t xml:space="preserve"> people to refrain from asking </w:t>
      </w:r>
      <w:r w:rsidR="00BE5C42">
        <w:rPr>
          <w:rFonts w:ascii="Arial" w:hAnsi="Arial" w:cs="Arial"/>
        </w:rPr>
        <w:t>for unnecessary information.</w:t>
      </w:r>
    </w:p>
    <w:p w:rsidR="00BE5C42" w:rsidRPr="00903605" w:rsidRDefault="00BE5C42" w:rsidP="00903605">
      <w:pPr>
        <w:pStyle w:val="NormalWeb"/>
        <w:numPr>
          <w:ilvl w:val="0"/>
          <w:numId w:val="2"/>
        </w:numPr>
        <w:spacing w:before="240" w:beforeAutospacing="0" w:after="240" w:afterAutospacing="0" w:line="360" w:lineRule="auto"/>
        <w:ind w:left="567" w:hanging="567"/>
        <w:jc w:val="both"/>
        <w:rPr>
          <w:rFonts w:ascii="Arial" w:hAnsi="Arial" w:cs="Arial"/>
        </w:rPr>
      </w:pPr>
      <w:r>
        <w:rPr>
          <w:rFonts w:ascii="Arial" w:hAnsi="Arial" w:cs="Arial"/>
        </w:rPr>
        <w:t xml:space="preserve">The Queensland provision is framed in a way that encourages people not to ask for unnecessary information by simply providing that a person must not ask for information upon which unlawful discrimination might be based.  If there is another reason for requesting the information, it is for the person making the request to establish that purpose.  </w:t>
      </w:r>
      <w:r w:rsidR="00F25E95">
        <w:rPr>
          <w:rFonts w:ascii="Arial" w:hAnsi="Arial" w:cs="Arial"/>
        </w:rPr>
        <w:t>Framed in this way, the provision</w:t>
      </w:r>
      <w:r>
        <w:rPr>
          <w:rFonts w:ascii="Arial" w:hAnsi="Arial" w:cs="Arial"/>
        </w:rPr>
        <w:t xml:space="preserve"> also encourages people to be clearer and more transparent about the reason</w:t>
      </w:r>
      <w:r w:rsidR="00852177">
        <w:rPr>
          <w:rFonts w:ascii="Arial" w:hAnsi="Arial" w:cs="Arial"/>
        </w:rPr>
        <w:t xml:space="preserve"> for the information and what is</w:t>
      </w:r>
      <w:r>
        <w:rPr>
          <w:rFonts w:ascii="Arial" w:hAnsi="Arial" w:cs="Arial"/>
        </w:rPr>
        <w:t xml:space="preserve"> to be done with it.  For example, </w:t>
      </w:r>
      <w:r w:rsidR="00F25E95">
        <w:rPr>
          <w:rFonts w:ascii="Arial" w:hAnsi="Arial" w:cs="Arial"/>
        </w:rPr>
        <w:t xml:space="preserve">private </w:t>
      </w:r>
      <w:r>
        <w:rPr>
          <w:rFonts w:ascii="Arial" w:hAnsi="Arial" w:cs="Arial"/>
        </w:rPr>
        <w:t>employment agencies</w:t>
      </w:r>
      <w:r w:rsidR="00F25E95">
        <w:rPr>
          <w:rFonts w:ascii="Arial" w:hAnsi="Arial" w:cs="Arial"/>
        </w:rPr>
        <w:t xml:space="preserve"> in Queensland</w:t>
      </w:r>
      <w:r>
        <w:rPr>
          <w:rFonts w:ascii="Arial" w:hAnsi="Arial" w:cs="Arial"/>
        </w:rPr>
        <w:t xml:space="preserve"> are required by regulation to </w:t>
      </w:r>
      <w:r w:rsidR="00F25E95">
        <w:rPr>
          <w:rFonts w:ascii="Arial" w:hAnsi="Arial" w:cs="Arial"/>
        </w:rPr>
        <w:t xml:space="preserve">keep a register of people </w:t>
      </w:r>
      <w:r w:rsidR="00F25E95">
        <w:rPr>
          <w:rFonts w:ascii="Arial" w:hAnsi="Arial" w:cs="Arial"/>
        </w:rPr>
        <w:lastRenderedPageBreak/>
        <w:t>looking for work and the register is to include the name, age and gender of the person.</w:t>
      </w:r>
      <w:r w:rsidR="00F25E95">
        <w:rPr>
          <w:rStyle w:val="FootnoteReference"/>
          <w:rFonts w:ascii="Arial" w:hAnsi="Arial" w:cs="Arial"/>
        </w:rPr>
        <w:footnoteReference w:id="26"/>
      </w:r>
    </w:p>
    <w:p w:rsidR="0047618D" w:rsidRPr="00F25E95" w:rsidRDefault="0047618D" w:rsidP="0047618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852177">
        <w:rPr>
          <w:rFonts w:ascii="Arial" w:hAnsi="Arial" w:cs="Arial"/>
          <w:b/>
          <w:color w:val="000000"/>
          <w:lang w:val="en-AU"/>
        </w:rPr>
        <w:t xml:space="preserve">Recommendation </w:t>
      </w:r>
      <w:r w:rsidR="00852177" w:rsidRPr="00852177">
        <w:rPr>
          <w:rFonts w:ascii="Arial" w:hAnsi="Arial" w:cs="Arial"/>
          <w:b/>
          <w:color w:val="000000"/>
          <w:lang w:val="en-AU"/>
        </w:rPr>
        <w:t>IX</w:t>
      </w:r>
      <w:r>
        <w:rPr>
          <w:rFonts w:ascii="Arial" w:hAnsi="Arial" w:cs="Arial"/>
          <w:color w:val="000000"/>
          <w:lang w:val="en-AU"/>
        </w:rPr>
        <w:t xml:space="preserve">:  </w:t>
      </w:r>
      <w:r w:rsidR="00F25E95">
        <w:rPr>
          <w:rFonts w:ascii="Arial" w:hAnsi="Arial" w:cs="Arial"/>
          <w:color w:val="000000"/>
          <w:lang w:val="en-AU"/>
        </w:rPr>
        <w:t xml:space="preserve">That clause 52 </w:t>
      </w:r>
      <w:proofErr w:type="gramStart"/>
      <w:r w:rsidR="00F25E95">
        <w:rPr>
          <w:rFonts w:ascii="Arial" w:hAnsi="Arial" w:cs="Arial"/>
          <w:color w:val="000000"/>
          <w:lang w:val="en-AU"/>
        </w:rPr>
        <w:t>be</w:t>
      </w:r>
      <w:proofErr w:type="gramEnd"/>
      <w:r w:rsidR="00F25E95">
        <w:rPr>
          <w:rFonts w:ascii="Arial" w:hAnsi="Arial" w:cs="Arial"/>
          <w:color w:val="000000"/>
          <w:lang w:val="en-AU"/>
        </w:rPr>
        <w:t xml:space="preserve"> re-framed based on the Queensland provision (</w:t>
      </w:r>
      <w:r w:rsidR="00F25E95">
        <w:rPr>
          <w:rFonts w:ascii="Arial" w:hAnsi="Arial" w:cs="Arial"/>
          <w:i/>
          <w:color w:val="000000"/>
          <w:lang w:val="en-AU"/>
        </w:rPr>
        <w:t xml:space="preserve">Anti-Discrimination Act 1991, </w:t>
      </w:r>
      <w:r w:rsidR="00F25E95">
        <w:rPr>
          <w:rFonts w:ascii="Arial" w:hAnsi="Arial" w:cs="Arial"/>
          <w:color w:val="000000"/>
          <w:lang w:val="en-AU"/>
        </w:rPr>
        <w:t>section 124).</w:t>
      </w:r>
    </w:p>
    <w:p w:rsidR="009B1170" w:rsidRPr="00AB6C3B" w:rsidRDefault="009B1170" w:rsidP="00131FD0">
      <w:pPr>
        <w:pStyle w:val="NormalWeb"/>
        <w:keepNext/>
        <w:spacing w:before="480" w:beforeAutospacing="0" w:after="120" w:afterAutospacing="0" w:line="360" w:lineRule="auto"/>
        <w:jc w:val="both"/>
        <w:rPr>
          <w:rFonts w:ascii="Arial" w:hAnsi="Arial" w:cs="Arial"/>
          <w:b/>
          <w:sz w:val="28"/>
          <w:szCs w:val="28"/>
          <w:lang w:val="en-AU"/>
        </w:rPr>
      </w:pPr>
      <w:r w:rsidRPr="00AB6C3B">
        <w:rPr>
          <w:rFonts w:ascii="Arial" w:hAnsi="Arial" w:cs="Arial"/>
          <w:b/>
          <w:sz w:val="28"/>
          <w:szCs w:val="28"/>
          <w:lang w:val="en-AU"/>
        </w:rPr>
        <w:t>Equality before the law</w:t>
      </w:r>
    </w:p>
    <w:p w:rsidR="009B1170" w:rsidRPr="00AB6C3B" w:rsidRDefault="006A681B" w:rsidP="009B1170">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 xml:space="preserve">The Explanatory Note states that clause 60 will have the same effect as section 10 of the </w:t>
      </w:r>
      <w:r>
        <w:rPr>
          <w:rFonts w:ascii="Arial" w:hAnsi="Arial" w:cs="Arial"/>
          <w:i/>
          <w:lang w:val="en-AU"/>
        </w:rPr>
        <w:t>Racial Discrimination Act 1975.</w:t>
      </w:r>
      <w:r>
        <w:rPr>
          <w:rFonts w:ascii="Arial" w:hAnsi="Arial" w:cs="Arial"/>
          <w:lang w:val="en-AU"/>
        </w:rPr>
        <w:t xml:space="preserve"> </w:t>
      </w:r>
    </w:p>
    <w:p w:rsidR="009B1170" w:rsidRDefault="00E8521D" w:rsidP="009B1170">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 xml:space="preserve">Rights to equality before the law are included in international human rights instruments such as the </w:t>
      </w:r>
      <w:r>
        <w:rPr>
          <w:rFonts w:ascii="Arial" w:hAnsi="Arial" w:cs="Arial"/>
          <w:i/>
          <w:lang w:val="en-AU"/>
        </w:rPr>
        <w:t xml:space="preserve">Convention on the Elimination of all forms of Radical Discrimination </w:t>
      </w:r>
      <w:r>
        <w:rPr>
          <w:rFonts w:ascii="Arial" w:hAnsi="Arial" w:cs="Arial"/>
          <w:lang w:val="en-AU"/>
        </w:rPr>
        <w:t xml:space="preserve">(article 5) and the </w:t>
      </w:r>
      <w:r>
        <w:rPr>
          <w:rFonts w:ascii="Arial" w:hAnsi="Arial" w:cs="Arial"/>
          <w:i/>
          <w:lang w:val="en-AU"/>
        </w:rPr>
        <w:t xml:space="preserve">International Covenant on Civil and Political Rights </w:t>
      </w:r>
      <w:r>
        <w:rPr>
          <w:rFonts w:ascii="Arial" w:hAnsi="Arial" w:cs="Arial"/>
          <w:lang w:val="en-AU"/>
        </w:rPr>
        <w:t>(article 26).  Having signed and ratified the ICCPR, Australia has undertaken to respect and ensure to all individuals the rights recognised in the Covenant without distinction of any kind.</w:t>
      </w:r>
      <w:r w:rsidR="00604B51">
        <w:rPr>
          <w:rFonts w:ascii="Arial" w:hAnsi="Arial" w:cs="Arial"/>
          <w:lang w:val="en-AU"/>
        </w:rPr>
        <w:t xml:space="preserve">  Article 26 of the ICCPR provides</w:t>
      </w:r>
      <w:r>
        <w:rPr>
          <w:rFonts w:ascii="Arial" w:hAnsi="Arial" w:cs="Arial"/>
          <w:lang w:val="en-AU"/>
        </w:rPr>
        <w:t>:</w:t>
      </w:r>
    </w:p>
    <w:p w:rsidR="00E8521D" w:rsidRDefault="00E8521D" w:rsidP="00E8521D">
      <w:pPr>
        <w:pStyle w:val="NormalWeb"/>
        <w:spacing w:before="240" w:beforeAutospacing="0" w:after="0" w:afterAutospacing="0" w:line="360" w:lineRule="auto"/>
        <w:ind w:left="1134" w:right="567"/>
        <w:jc w:val="both"/>
        <w:rPr>
          <w:rFonts w:ascii="Arial" w:hAnsi="Arial" w:cs="Arial"/>
          <w:sz w:val="22"/>
          <w:szCs w:val="22"/>
          <w:lang w:val="en-AU"/>
        </w:rPr>
      </w:pPr>
      <w:proofErr w:type="gramStart"/>
      <w:r>
        <w:rPr>
          <w:rFonts w:ascii="Arial" w:hAnsi="Arial" w:cs="Arial"/>
          <w:sz w:val="22"/>
          <w:szCs w:val="22"/>
          <w:lang w:val="en-AU"/>
        </w:rPr>
        <w:t>Article 2</w:t>
      </w:r>
      <w:r w:rsidR="00604B51">
        <w:rPr>
          <w:rFonts w:ascii="Arial" w:hAnsi="Arial" w:cs="Arial"/>
          <w:sz w:val="22"/>
          <w:szCs w:val="22"/>
          <w:lang w:val="en-AU"/>
        </w:rPr>
        <w:t>6.</w:t>
      </w:r>
      <w:proofErr w:type="gramEnd"/>
    </w:p>
    <w:p w:rsidR="00E8521D" w:rsidRPr="00E8521D" w:rsidRDefault="00604B51" w:rsidP="00E8521D">
      <w:pPr>
        <w:pStyle w:val="NormalWeb"/>
        <w:spacing w:before="0" w:beforeAutospacing="0" w:after="120" w:afterAutospacing="0" w:line="360" w:lineRule="auto"/>
        <w:ind w:left="1134" w:right="567"/>
        <w:jc w:val="both"/>
        <w:rPr>
          <w:rFonts w:ascii="Arial" w:hAnsi="Arial" w:cs="Arial"/>
          <w:sz w:val="22"/>
          <w:szCs w:val="22"/>
          <w:lang w:val="en-AU"/>
        </w:rPr>
      </w:pPr>
      <w:r>
        <w:rPr>
          <w:rFonts w:ascii="Arial" w:hAnsi="Arial" w:cs="Arial"/>
          <w:sz w:val="22"/>
          <w:szCs w:val="22"/>
          <w:lang w:val="en-AU"/>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language, religion, political or other opinion, national or social origin, property, birth or other status.</w:t>
      </w:r>
    </w:p>
    <w:p w:rsidR="004A67B0" w:rsidRDefault="00604B51" w:rsidP="009B1170">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Paragraph 20 of the Explanatory Note states that the objects clause (paragraph 3(1</w:t>
      </w:r>
      <w:proofErr w:type="gramStart"/>
      <w:r>
        <w:rPr>
          <w:rFonts w:ascii="Arial" w:hAnsi="Arial" w:cs="Arial"/>
          <w:lang w:val="en-AU"/>
        </w:rPr>
        <w:t>)(</w:t>
      </w:r>
      <w:proofErr w:type="gramEnd"/>
      <w:r>
        <w:rPr>
          <w:rFonts w:ascii="Arial" w:hAnsi="Arial" w:cs="Arial"/>
          <w:lang w:val="en-AU"/>
        </w:rPr>
        <w:t>d)) ‘reflects the core human rights underpinning anti-discrimination law as the right to equality and the inherent dignity of all people’.</w:t>
      </w:r>
    </w:p>
    <w:p w:rsidR="00604B51" w:rsidRPr="00AB6C3B" w:rsidRDefault="00604B51" w:rsidP="009B1170">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To properly reflect the right to equality, clause 60 of the Bill should be amended so as to extend the right to equality before the law to all attributes.</w:t>
      </w:r>
    </w:p>
    <w:p w:rsidR="00E8521D" w:rsidRPr="00AB6C3B" w:rsidRDefault="0047618D" w:rsidP="00526F4E">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852177">
        <w:rPr>
          <w:rFonts w:ascii="Arial" w:hAnsi="Arial" w:cs="Arial"/>
          <w:b/>
          <w:color w:val="000000"/>
          <w:lang w:val="en-AU"/>
        </w:rPr>
        <w:lastRenderedPageBreak/>
        <w:t xml:space="preserve">Recommendation </w:t>
      </w:r>
      <w:r w:rsidR="00852177" w:rsidRPr="00852177">
        <w:rPr>
          <w:rFonts w:ascii="Arial" w:hAnsi="Arial" w:cs="Arial"/>
          <w:b/>
          <w:color w:val="000000"/>
          <w:lang w:val="en-AU"/>
        </w:rPr>
        <w:t>X</w:t>
      </w:r>
      <w:r w:rsidR="009B1170" w:rsidRPr="00AB6C3B">
        <w:rPr>
          <w:rFonts w:ascii="Arial" w:hAnsi="Arial" w:cs="Arial"/>
          <w:color w:val="000000"/>
          <w:lang w:val="en-AU"/>
        </w:rPr>
        <w:t xml:space="preserve">:  </w:t>
      </w:r>
      <w:r w:rsidR="00E8521D">
        <w:rPr>
          <w:rFonts w:ascii="Arial" w:hAnsi="Arial" w:cs="Arial"/>
          <w:color w:val="000000"/>
          <w:lang w:val="en-AU"/>
        </w:rPr>
        <w:t xml:space="preserve">That </w:t>
      </w:r>
      <w:r w:rsidR="00BB5BFB">
        <w:rPr>
          <w:rFonts w:ascii="Arial" w:hAnsi="Arial" w:cs="Arial"/>
          <w:color w:val="000000"/>
          <w:lang w:val="en-AU"/>
        </w:rPr>
        <w:t xml:space="preserve">the </w:t>
      </w:r>
      <w:r w:rsidR="00604B51">
        <w:rPr>
          <w:rFonts w:ascii="Arial" w:hAnsi="Arial" w:cs="Arial"/>
          <w:color w:val="000000"/>
          <w:lang w:val="en-AU"/>
        </w:rPr>
        <w:t xml:space="preserve">right to </w:t>
      </w:r>
      <w:r w:rsidR="00E8521D">
        <w:rPr>
          <w:rFonts w:ascii="Arial" w:hAnsi="Arial" w:cs="Arial"/>
          <w:color w:val="000000"/>
          <w:lang w:val="en-AU"/>
        </w:rPr>
        <w:t>e</w:t>
      </w:r>
      <w:r w:rsidR="009B1170" w:rsidRPr="00AB6C3B">
        <w:rPr>
          <w:rFonts w:ascii="Arial" w:hAnsi="Arial" w:cs="Arial"/>
          <w:color w:val="000000"/>
          <w:lang w:val="en-AU"/>
        </w:rPr>
        <w:t xml:space="preserve">quality before the law </w:t>
      </w:r>
      <w:r w:rsidR="002A0911" w:rsidRPr="00AB6C3B">
        <w:rPr>
          <w:rFonts w:ascii="Arial" w:hAnsi="Arial" w:cs="Arial"/>
          <w:color w:val="000000"/>
          <w:lang w:val="en-AU"/>
        </w:rPr>
        <w:t xml:space="preserve">be </w:t>
      </w:r>
      <w:r w:rsidR="00E8521D">
        <w:rPr>
          <w:rFonts w:ascii="Arial" w:hAnsi="Arial" w:cs="Arial"/>
          <w:color w:val="000000"/>
          <w:lang w:val="en-AU"/>
        </w:rPr>
        <w:t>extended to all attributes.</w:t>
      </w:r>
    </w:p>
    <w:p w:rsidR="00784E5C" w:rsidRPr="00F4584B" w:rsidRDefault="002020CD" w:rsidP="00131FD0">
      <w:pPr>
        <w:pStyle w:val="NormalWeb"/>
        <w:keepNext/>
        <w:spacing w:before="480" w:beforeAutospacing="0" w:after="120" w:afterAutospacing="0" w:line="360" w:lineRule="auto"/>
        <w:jc w:val="both"/>
        <w:rPr>
          <w:rFonts w:ascii="Arial" w:hAnsi="Arial" w:cs="Arial"/>
          <w:lang w:val="en-AU"/>
        </w:rPr>
      </w:pPr>
      <w:r w:rsidRPr="00AB6C3B">
        <w:rPr>
          <w:rFonts w:ascii="Arial" w:hAnsi="Arial" w:cs="Arial"/>
          <w:b/>
          <w:sz w:val="28"/>
          <w:szCs w:val="28"/>
          <w:lang w:val="en-AU"/>
        </w:rPr>
        <w:t>Concluding remarks</w:t>
      </w:r>
    </w:p>
    <w:p w:rsidR="00005715" w:rsidRPr="00AB6C3B" w:rsidRDefault="00F4584B" w:rsidP="00587A9F">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color w:val="000000"/>
          <w:lang w:val="en-AU"/>
        </w:rPr>
        <w:t>As noted previously, t</w:t>
      </w:r>
      <w:r w:rsidR="006E78AE" w:rsidRPr="00AB6C3B">
        <w:rPr>
          <w:rFonts w:ascii="Arial" w:hAnsi="Arial" w:cs="Arial"/>
          <w:color w:val="000000"/>
          <w:lang w:val="en-AU"/>
        </w:rPr>
        <w:t>he consolidation of the C</w:t>
      </w:r>
      <w:r w:rsidR="00BE0624" w:rsidRPr="00AB6C3B">
        <w:rPr>
          <w:rFonts w:ascii="Arial" w:hAnsi="Arial" w:cs="Arial"/>
          <w:color w:val="000000"/>
          <w:lang w:val="en-AU"/>
        </w:rPr>
        <w:t xml:space="preserve">ommonwealth anti-discrimination laws is an opportunity to improve the effectiveness of the legislation and to make </w:t>
      </w:r>
      <w:r w:rsidR="004E269A" w:rsidRPr="00AB6C3B">
        <w:rPr>
          <w:rFonts w:ascii="Arial" w:hAnsi="Arial" w:cs="Arial"/>
          <w:color w:val="000000"/>
          <w:lang w:val="en-AU"/>
        </w:rPr>
        <w:t>it</w:t>
      </w:r>
      <w:r w:rsidR="00BE0624" w:rsidRPr="00AB6C3B">
        <w:rPr>
          <w:rFonts w:ascii="Arial" w:hAnsi="Arial" w:cs="Arial"/>
          <w:color w:val="000000"/>
          <w:lang w:val="en-AU"/>
        </w:rPr>
        <w:t xml:space="preserve"> clearer and easier </w:t>
      </w:r>
      <w:r w:rsidR="004E269A" w:rsidRPr="00AB6C3B">
        <w:rPr>
          <w:rFonts w:ascii="Arial" w:hAnsi="Arial" w:cs="Arial"/>
          <w:color w:val="000000"/>
          <w:lang w:val="en-AU"/>
        </w:rPr>
        <w:t>to</w:t>
      </w:r>
      <w:r w:rsidR="00BE0624" w:rsidRPr="00AB6C3B">
        <w:rPr>
          <w:rFonts w:ascii="Arial" w:hAnsi="Arial" w:cs="Arial"/>
          <w:color w:val="000000"/>
          <w:lang w:val="en-AU"/>
        </w:rPr>
        <w:t xml:space="preserve"> understand and implement.</w:t>
      </w:r>
    </w:p>
    <w:p w:rsidR="00005715" w:rsidRPr="00AB6C3B" w:rsidRDefault="00F4584B" w:rsidP="00587A9F">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T</w:t>
      </w:r>
      <w:r w:rsidR="00835B42" w:rsidRPr="00AB6C3B">
        <w:rPr>
          <w:rFonts w:ascii="Arial" w:hAnsi="Arial" w:cs="Arial"/>
          <w:lang w:val="en-AU"/>
        </w:rPr>
        <w:t xml:space="preserve">he </w:t>
      </w:r>
      <w:r w:rsidR="00BE0624" w:rsidRPr="00AB6C3B">
        <w:rPr>
          <w:rFonts w:ascii="Arial" w:hAnsi="Arial" w:cs="Arial"/>
          <w:lang w:val="en-AU"/>
        </w:rPr>
        <w:t xml:space="preserve">new legislation </w:t>
      </w:r>
      <w:r>
        <w:rPr>
          <w:rFonts w:ascii="Arial" w:hAnsi="Arial" w:cs="Arial"/>
          <w:lang w:val="en-AU"/>
        </w:rPr>
        <w:t>should</w:t>
      </w:r>
      <w:r w:rsidR="00BE0624" w:rsidRPr="00AB6C3B">
        <w:rPr>
          <w:rFonts w:ascii="Arial" w:hAnsi="Arial" w:cs="Arial"/>
          <w:lang w:val="en-AU"/>
        </w:rPr>
        <w:t xml:space="preserve"> not de</w:t>
      </w:r>
      <w:r w:rsidR="00835B42" w:rsidRPr="00AB6C3B">
        <w:rPr>
          <w:rFonts w:ascii="Arial" w:hAnsi="Arial" w:cs="Arial"/>
          <w:lang w:val="en-AU"/>
        </w:rPr>
        <w:t>tract from existing protections,</w:t>
      </w:r>
      <w:r w:rsidR="006E78AE" w:rsidRPr="00AB6C3B">
        <w:rPr>
          <w:rFonts w:ascii="Arial" w:hAnsi="Arial" w:cs="Arial"/>
          <w:lang w:val="en-AU"/>
        </w:rPr>
        <w:t xml:space="preserve"> not only in the C</w:t>
      </w:r>
      <w:r w:rsidR="00BE0624" w:rsidRPr="00AB6C3B">
        <w:rPr>
          <w:rFonts w:ascii="Arial" w:hAnsi="Arial" w:cs="Arial"/>
          <w:lang w:val="en-AU"/>
        </w:rPr>
        <w:t xml:space="preserve">ommonwealth legislation, but </w:t>
      </w:r>
      <w:r>
        <w:rPr>
          <w:rFonts w:ascii="Arial" w:hAnsi="Arial" w:cs="Arial"/>
          <w:lang w:val="en-AU"/>
        </w:rPr>
        <w:t>also in the legislation of the States and T</w:t>
      </w:r>
      <w:r w:rsidR="00BE0624" w:rsidRPr="00AB6C3B">
        <w:rPr>
          <w:rFonts w:ascii="Arial" w:hAnsi="Arial" w:cs="Arial"/>
          <w:lang w:val="en-AU"/>
        </w:rPr>
        <w:t>erritories</w:t>
      </w:r>
      <w:r>
        <w:rPr>
          <w:rFonts w:ascii="Arial" w:hAnsi="Arial" w:cs="Arial"/>
          <w:lang w:val="en-AU"/>
        </w:rPr>
        <w:t>.</w:t>
      </w:r>
    </w:p>
    <w:sectPr w:rsidR="00005715" w:rsidRPr="00AB6C3B" w:rsidSect="00B57C9E">
      <w:headerReference w:type="even" r:id="rId9"/>
      <w:headerReference w:type="default" r:id="rId10"/>
      <w:footerReference w:type="even" r:id="rId11"/>
      <w:footerReference w:type="default" r:id="rId12"/>
      <w:headerReference w:type="first" r:id="rId13"/>
      <w:footerReference w:type="first" r:id="rId14"/>
      <w:pgSz w:w="11906" w:h="16838" w:code="9"/>
      <w:pgMar w:top="1701" w:right="1276" w:bottom="147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3D" w:rsidRDefault="00F3413D">
      <w:r>
        <w:separator/>
      </w:r>
    </w:p>
  </w:endnote>
  <w:endnote w:type="continuationSeparator" w:id="0">
    <w:p w:rsidR="00F3413D" w:rsidRDefault="00F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17718299"/>
      <w:docPartObj>
        <w:docPartGallery w:val="Page Numbers (Bottom of Page)"/>
        <w:docPartUnique/>
      </w:docPartObj>
    </w:sdtPr>
    <w:sdtEndPr>
      <w:rPr>
        <w:color w:val="808080" w:themeColor="background1" w:themeShade="80"/>
      </w:rPr>
    </w:sdtEndPr>
    <w:sdtContent>
      <w:p w:rsidR="00EC479B" w:rsidRDefault="00EC479B">
        <w:pPr>
          <w:pStyle w:val="Footer"/>
          <w:pBdr>
            <w:bottom w:val="single" w:sz="6" w:space="1" w:color="auto"/>
          </w:pBdr>
          <w:jc w:val="right"/>
          <w:rPr>
            <w:rFonts w:ascii="Arial" w:hAnsi="Arial" w:cs="Arial"/>
          </w:rPr>
        </w:pPr>
      </w:p>
      <w:p w:rsidR="00EC479B" w:rsidRPr="00EC479B" w:rsidRDefault="00EC479B">
        <w:pPr>
          <w:pStyle w:val="Footer"/>
          <w:jc w:val="right"/>
          <w:rPr>
            <w:rFonts w:ascii="Arial" w:hAnsi="Arial" w:cs="Arial"/>
            <w:color w:val="808080" w:themeColor="background1" w:themeShade="80"/>
          </w:rPr>
        </w:pPr>
        <w:r w:rsidRPr="00EC479B">
          <w:rPr>
            <w:rFonts w:ascii="Arial" w:hAnsi="Arial" w:cs="Arial"/>
            <w:color w:val="808080" w:themeColor="background1" w:themeShade="80"/>
          </w:rPr>
          <w:t xml:space="preserve">Page </w:t>
        </w:r>
        <w:r w:rsidRPr="00EC479B">
          <w:rPr>
            <w:rFonts w:ascii="Arial" w:hAnsi="Arial" w:cs="Arial"/>
            <w:color w:val="808080" w:themeColor="background1" w:themeShade="80"/>
          </w:rPr>
          <w:fldChar w:fldCharType="begin"/>
        </w:r>
        <w:r w:rsidRPr="00EC479B">
          <w:rPr>
            <w:rFonts w:ascii="Arial" w:hAnsi="Arial" w:cs="Arial"/>
            <w:color w:val="808080" w:themeColor="background1" w:themeShade="80"/>
          </w:rPr>
          <w:instrText xml:space="preserve"> PAGE   \* MERGEFORMAT </w:instrText>
        </w:r>
        <w:r w:rsidRPr="00EC479B">
          <w:rPr>
            <w:rFonts w:ascii="Arial" w:hAnsi="Arial" w:cs="Arial"/>
            <w:color w:val="808080" w:themeColor="background1" w:themeShade="80"/>
          </w:rPr>
          <w:fldChar w:fldCharType="separate"/>
        </w:r>
        <w:r w:rsidR="00BA04F0">
          <w:rPr>
            <w:rFonts w:ascii="Arial" w:hAnsi="Arial" w:cs="Arial"/>
            <w:noProof/>
            <w:color w:val="808080" w:themeColor="background1" w:themeShade="80"/>
          </w:rPr>
          <w:t>16</w:t>
        </w:r>
        <w:r w:rsidRPr="00EC479B">
          <w:rPr>
            <w:rFonts w:ascii="Arial" w:hAnsi="Arial" w:cs="Arial"/>
            <w:noProof/>
            <w:color w:val="808080" w:themeColor="background1" w:themeShade="80"/>
          </w:rPr>
          <w:fldChar w:fldCharType="end"/>
        </w:r>
        <w:r w:rsidRPr="00EC479B">
          <w:rPr>
            <w:rFonts w:ascii="Arial" w:hAnsi="Arial" w:cs="Arial"/>
            <w:color w:val="808080" w:themeColor="background1" w:themeShade="80"/>
          </w:rPr>
          <w:t xml:space="preserve"> </w:t>
        </w:r>
      </w:p>
    </w:sdtContent>
  </w:sdt>
  <w:p w:rsidR="00F3413D" w:rsidRDefault="00F3413D" w:rsidP="00181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404099646"/>
      <w:docPartObj>
        <w:docPartGallery w:val="Page Numbers (Bottom of Page)"/>
        <w:docPartUnique/>
      </w:docPartObj>
    </w:sdtPr>
    <w:sdtContent>
      <w:p w:rsidR="00EC479B" w:rsidRPr="00EC479B" w:rsidRDefault="00EC479B" w:rsidP="00EC479B">
        <w:pPr>
          <w:pStyle w:val="Footer"/>
          <w:pBdr>
            <w:top w:val="single" w:sz="4" w:space="1" w:color="auto"/>
          </w:pBdr>
          <w:rPr>
            <w:rFonts w:ascii="Arial" w:hAnsi="Arial" w:cs="Arial"/>
            <w:bCs/>
          </w:rPr>
        </w:pPr>
        <w:r w:rsidRPr="00EC479B">
          <w:rPr>
            <w:rFonts w:ascii="Arial" w:hAnsi="Arial" w:cs="Arial"/>
          </w:rPr>
          <w:t xml:space="preserve">Page </w:t>
        </w:r>
        <w:r w:rsidRPr="00EC479B">
          <w:rPr>
            <w:rFonts w:ascii="Arial" w:hAnsi="Arial" w:cs="Arial"/>
          </w:rPr>
          <w:fldChar w:fldCharType="begin"/>
        </w:r>
        <w:r w:rsidRPr="00EC479B">
          <w:rPr>
            <w:rFonts w:ascii="Arial" w:hAnsi="Arial" w:cs="Arial"/>
          </w:rPr>
          <w:instrText xml:space="preserve"> PAGE   \* MERGEFORMAT </w:instrText>
        </w:r>
        <w:r w:rsidRPr="00EC479B">
          <w:rPr>
            <w:rFonts w:ascii="Arial" w:hAnsi="Arial" w:cs="Arial"/>
          </w:rPr>
          <w:fldChar w:fldCharType="separate"/>
        </w:r>
        <w:r w:rsidR="00BA04F0" w:rsidRPr="00BA04F0">
          <w:rPr>
            <w:rFonts w:ascii="Arial" w:hAnsi="Arial" w:cs="Arial"/>
            <w:bCs/>
            <w:noProof/>
          </w:rPr>
          <w:t>17</w:t>
        </w:r>
        <w:r w:rsidRPr="00EC479B">
          <w:rPr>
            <w:rFonts w:ascii="Arial" w:hAnsi="Arial" w:cs="Arial"/>
            <w:bCs/>
            <w:noProof/>
          </w:rPr>
          <w:fldChar w:fldCharType="end"/>
        </w:r>
      </w:p>
    </w:sdtContent>
  </w:sdt>
  <w:p w:rsidR="00F3413D" w:rsidRDefault="00F3413D" w:rsidP="00EC479B">
    <w:pPr>
      <w:pStyle w:val="Footer"/>
      <w:tabs>
        <w:tab w:val="clear" w:pos="4153"/>
        <w:tab w:val="clear" w:pos="8306"/>
        <w:tab w:val="left" w:pos="15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3D" w:rsidRPr="002E2341" w:rsidRDefault="00F3413D" w:rsidP="00EC479B">
    <w:pPr>
      <w:autoSpaceDE w:val="0"/>
      <w:autoSpaceDN w:val="0"/>
      <w:adjustRightInd w:val="0"/>
      <w:jc w:val="center"/>
      <w:rPr>
        <w:rFonts w:ascii="Arial" w:hAnsi="Arial" w:cs="Arial"/>
      </w:rPr>
    </w:pPr>
    <w:r>
      <w:rPr>
        <w:rFonts w:ascii="Arial" w:hAnsi="Arial" w:cs="Arial"/>
        <w:b/>
        <w:sz w:val="28"/>
        <w:szCs w:val="28"/>
      </w:rPr>
      <w:t>21 December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3D" w:rsidRDefault="00F3413D">
      <w:r>
        <w:separator/>
      </w:r>
    </w:p>
  </w:footnote>
  <w:footnote w:type="continuationSeparator" w:id="0">
    <w:p w:rsidR="00F3413D" w:rsidRDefault="00F3413D">
      <w:r>
        <w:continuationSeparator/>
      </w:r>
    </w:p>
  </w:footnote>
  <w:footnote w:id="1">
    <w:p w:rsidR="00F3413D" w:rsidRPr="00BB4B2E" w:rsidRDefault="00F3413D">
      <w:pPr>
        <w:pStyle w:val="FootnoteText"/>
        <w:rPr>
          <w:rFonts w:ascii="Arial" w:hAnsi="Arial" w:cs="Arial"/>
        </w:rPr>
      </w:pPr>
      <w:r w:rsidRPr="00BB4B2E">
        <w:rPr>
          <w:rStyle w:val="FootnoteReference"/>
          <w:rFonts w:ascii="Arial" w:hAnsi="Arial" w:cs="Arial"/>
        </w:rPr>
        <w:footnoteRef/>
      </w:r>
      <w:r w:rsidRPr="00BB4B2E">
        <w:rPr>
          <w:rFonts w:ascii="Arial" w:hAnsi="Arial" w:cs="Arial"/>
        </w:rPr>
        <w:t xml:space="preserve"> </w:t>
      </w:r>
      <w:r>
        <w:rPr>
          <w:rFonts w:ascii="Arial" w:hAnsi="Arial" w:cs="Arial"/>
        </w:rPr>
        <w:t xml:space="preserve">The Anti-Discrimination Commission Queensland hosted a forum at its Brisbane office on 7 December 2012 to hear stakeholder and community views on the Exposure Draft </w:t>
      </w:r>
      <w:r>
        <w:rPr>
          <w:rFonts w:ascii="Arial" w:hAnsi="Arial" w:cs="Arial"/>
          <w:i/>
        </w:rPr>
        <w:t>Human Rights and Anti-Discrimination Bill 2012.</w:t>
      </w:r>
    </w:p>
  </w:footnote>
  <w:footnote w:id="2">
    <w:p w:rsidR="00F3413D" w:rsidRPr="00193143" w:rsidRDefault="00F3413D">
      <w:pPr>
        <w:pStyle w:val="FootnoteText"/>
        <w:rPr>
          <w:rFonts w:ascii="Arial" w:hAnsi="Arial" w:cs="Arial"/>
        </w:rPr>
      </w:pPr>
      <w:r w:rsidRPr="00193143">
        <w:rPr>
          <w:rStyle w:val="FootnoteReference"/>
          <w:rFonts w:ascii="Arial" w:hAnsi="Arial" w:cs="Arial"/>
        </w:rPr>
        <w:footnoteRef/>
      </w:r>
      <w:r w:rsidRPr="00193143">
        <w:rPr>
          <w:rFonts w:ascii="Arial" w:hAnsi="Arial" w:cs="Arial"/>
        </w:rPr>
        <w:t xml:space="preserve"> CERD (Convention on the Elimination of all for</w:t>
      </w:r>
      <w:r>
        <w:rPr>
          <w:rFonts w:ascii="Arial" w:hAnsi="Arial" w:cs="Arial"/>
        </w:rPr>
        <w:t>ms of Racial Discrimination), IC</w:t>
      </w:r>
      <w:r w:rsidRPr="00193143">
        <w:rPr>
          <w:rFonts w:ascii="Arial" w:hAnsi="Arial" w:cs="Arial"/>
        </w:rPr>
        <w:t>ESCR (International Covenant on Economic, Social &amp; Cultural Rights), ICCPR (International Covenant on Civil &amp; Political Rights), CEDAW (Convention on the Elimination of all forms of Discrimination Against Women), CAT (Convention against Torture &amp; Other Cruel, Inhuman or Degrading Treatment or Punishment), CROC (Convention on the Rights of the Child) and CRPD (Convention on the Rights of Persons with Disabilities).</w:t>
      </w:r>
    </w:p>
  </w:footnote>
  <w:footnote w:id="3">
    <w:p w:rsidR="00F3413D" w:rsidRPr="00193143" w:rsidRDefault="00F3413D">
      <w:pPr>
        <w:pStyle w:val="FootnoteText"/>
        <w:rPr>
          <w:rFonts w:ascii="Arial" w:hAnsi="Arial" w:cs="Arial"/>
        </w:rPr>
      </w:pPr>
      <w:r w:rsidRPr="00193143">
        <w:rPr>
          <w:rStyle w:val="FootnoteReference"/>
          <w:rFonts w:ascii="Arial" w:hAnsi="Arial" w:cs="Arial"/>
        </w:rPr>
        <w:footnoteRef/>
      </w:r>
      <w:r w:rsidRPr="00193143">
        <w:rPr>
          <w:rFonts w:ascii="Arial" w:hAnsi="Arial" w:cs="Arial"/>
        </w:rPr>
        <w:t xml:space="preserve"> ILO Convention (No. 100</w:t>
      </w:r>
      <w:proofErr w:type="gramStart"/>
      <w:r w:rsidRPr="00193143">
        <w:rPr>
          <w:rFonts w:ascii="Arial" w:hAnsi="Arial" w:cs="Arial"/>
        </w:rPr>
        <w:t>) concerning</w:t>
      </w:r>
      <w:proofErr w:type="gramEnd"/>
      <w:r w:rsidRPr="00193143">
        <w:rPr>
          <w:rFonts w:ascii="Arial" w:hAnsi="Arial" w:cs="Arial"/>
        </w:rPr>
        <w:t xml:space="preserve"> Equal Remuneration for Men &amp; Women Workers for Work of Equal Value, ILO (No. 111) concerning Discrimination in respect of Employment &amp; Occupation, ILO Convention (No. 156) concerning Equal Opportunities &amp; Equal Treatment for Men &amp; Women Workers: Workers with family responsibilities, and ILO Convention (No. 158) concerning Termination of Employment at the Initiative of the Employer.</w:t>
      </w:r>
    </w:p>
  </w:footnote>
  <w:footnote w:id="4">
    <w:p w:rsidR="00F3413D" w:rsidRPr="005A0707" w:rsidRDefault="00F3413D">
      <w:pPr>
        <w:pStyle w:val="FootnoteText"/>
        <w:rPr>
          <w:rFonts w:ascii="Arial" w:hAnsi="Arial" w:cs="Arial"/>
          <w:i/>
        </w:rPr>
      </w:pPr>
      <w:r w:rsidRPr="005A0707">
        <w:rPr>
          <w:rStyle w:val="FootnoteReference"/>
          <w:rFonts w:ascii="Arial" w:hAnsi="Arial" w:cs="Arial"/>
        </w:rPr>
        <w:footnoteRef/>
      </w:r>
      <w:r w:rsidRPr="005A0707">
        <w:rPr>
          <w:rFonts w:ascii="Arial" w:hAnsi="Arial" w:cs="Arial"/>
        </w:rPr>
        <w:t xml:space="preserve"> Australian Human Rights Commission, </w:t>
      </w:r>
      <w:r w:rsidRPr="005A0707">
        <w:rPr>
          <w:rFonts w:ascii="Arial" w:hAnsi="Arial" w:cs="Arial"/>
          <w:i/>
        </w:rPr>
        <w:t>Australia’s Universal Periodic Review 2012 Progress Report</w:t>
      </w:r>
    </w:p>
  </w:footnote>
  <w:footnote w:id="5">
    <w:p w:rsidR="00F3413D" w:rsidRPr="00611491" w:rsidRDefault="00F3413D">
      <w:pPr>
        <w:pStyle w:val="FootnoteText"/>
        <w:rPr>
          <w:rFonts w:ascii="Arial" w:hAnsi="Arial" w:cs="Arial"/>
        </w:rPr>
      </w:pPr>
      <w:r w:rsidRPr="00611491">
        <w:rPr>
          <w:rStyle w:val="FootnoteReference"/>
          <w:rFonts w:ascii="Arial" w:hAnsi="Arial" w:cs="Arial"/>
        </w:rPr>
        <w:footnoteRef/>
      </w:r>
      <w:r w:rsidRPr="00611491">
        <w:rPr>
          <w:rFonts w:ascii="Arial" w:hAnsi="Arial" w:cs="Arial"/>
        </w:rPr>
        <w:t xml:space="preserve"> </w:t>
      </w:r>
      <w:proofErr w:type="gramStart"/>
      <w:r>
        <w:rPr>
          <w:rFonts w:ascii="Arial" w:hAnsi="Arial" w:cs="Arial"/>
        </w:rPr>
        <w:t>Increased uncertainty, application dependent on interpretation by courts, vagueness.</w:t>
      </w:r>
      <w:proofErr w:type="gramEnd"/>
    </w:p>
  </w:footnote>
  <w:footnote w:id="6">
    <w:p w:rsidR="00F3413D" w:rsidRPr="004E2D90" w:rsidRDefault="00F3413D">
      <w:pPr>
        <w:pStyle w:val="FootnoteText"/>
        <w:rPr>
          <w:rFonts w:ascii="Arial" w:hAnsi="Arial" w:cs="Arial"/>
          <w:lang w:val="en-US"/>
        </w:rPr>
      </w:pPr>
      <w:r w:rsidRPr="004E2D90">
        <w:rPr>
          <w:rStyle w:val="FootnoteReference"/>
          <w:rFonts w:ascii="Arial" w:hAnsi="Arial" w:cs="Arial"/>
        </w:rPr>
        <w:footnoteRef/>
      </w:r>
      <w:r w:rsidRPr="004E2D90">
        <w:rPr>
          <w:rFonts w:ascii="Arial" w:hAnsi="Arial" w:cs="Arial"/>
        </w:rPr>
        <w:t xml:space="preserve"> </w:t>
      </w:r>
      <w:r>
        <w:rPr>
          <w:rFonts w:ascii="Arial" w:hAnsi="Arial" w:cs="Arial"/>
        </w:rPr>
        <w:t>For example, in the Canadian Charter of Rights and Freedoms, the South African Constitution</w:t>
      </w:r>
    </w:p>
  </w:footnote>
  <w:footnote w:id="7">
    <w:p w:rsidR="00F3413D" w:rsidRPr="00A02800" w:rsidRDefault="00F3413D">
      <w:pPr>
        <w:pStyle w:val="FootnoteText"/>
        <w:rPr>
          <w:rFonts w:ascii="Arial" w:hAnsi="Arial" w:cs="Arial"/>
          <w:lang w:val="en-US"/>
        </w:rPr>
      </w:pPr>
      <w:r w:rsidRPr="00A02800">
        <w:rPr>
          <w:rStyle w:val="FootnoteReference"/>
          <w:rFonts w:ascii="Arial" w:hAnsi="Arial" w:cs="Arial"/>
        </w:rPr>
        <w:footnoteRef/>
      </w:r>
      <w:r w:rsidRPr="00A02800">
        <w:rPr>
          <w:rFonts w:ascii="Arial" w:hAnsi="Arial" w:cs="Arial"/>
        </w:rPr>
        <w:t xml:space="preserve"> </w:t>
      </w:r>
      <w:r w:rsidRPr="00A02800">
        <w:rPr>
          <w:rFonts w:ascii="Arial" w:hAnsi="Arial" w:cs="Arial"/>
          <w:i/>
        </w:rPr>
        <w:t>Legislative Instruments Act 2003</w:t>
      </w:r>
      <w:r w:rsidRPr="00A02800">
        <w:rPr>
          <w:rFonts w:ascii="Arial" w:hAnsi="Arial" w:cs="Arial"/>
        </w:rPr>
        <w:t>, section 16</w:t>
      </w:r>
    </w:p>
  </w:footnote>
  <w:footnote w:id="8">
    <w:p w:rsidR="00F3413D" w:rsidRPr="00965741" w:rsidRDefault="00F3413D">
      <w:pPr>
        <w:pStyle w:val="FootnoteText"/>
        <w:rPr>
          <w:rFonts w:ascii="Arial" w:hAnsi="Arial" w:cs="Arial"/>
        </w:rPr>
      </w:pPr>
      <w:r w:rsidRPr="00A02800">
        <w:rPr>
          <w:rStyle w:val="FootnoteReference"/>
          <w:rFonts w:ascii="Arial" w:hAnsi="Arial" w:cs="Arial"/>
        </w:rPr>
        <w:footnoteRef/>
      </w:r>
      <w:r w:rsidRPr="00A02800">
        <w:rPr>
          <w:rFonts w:ascii="Arial" w:hAnsi="Arial" w:cs="Arial"/>
        </w:rPr>
        <w:t xml:space="preserve"> </w:t>
      </w:r>
      <w:r>
        <w:rPr>
          <w:rFonts w:ascii="Arial" w:hAnsi="Arial" w:cs="Arial"/>
        </w:rPr>
        <w:t xml:space="preserve">Clearer Laws Committee, </w:t>
      </w:r>
      <w:r>
        <w:rPr>
          <w:rFonts w:ascii="Arial" w:hAnsi="Arial" w:cs="Arial"/>
          <w:i/>
        </w:rPr>
        <w:t xml:space="preserve">Causes of complex legislation and strategies to address these, </w:t>
      </w:r>
      <w:r>
        <w:rPr>
          <w:rFonts w:ascii="Arial" w:hAnsi="Arial" w:cs="Arial"/>
        </w:rPr>
        <w:t>6 May 2011</w:t>
      </w:r>
    </w:p>
  </w:footnote>
  <w:footnote w:id="9">
    <w:p w:rsidR="00F3413D" w:rsidRPr="001672EA" w:rsidRDefault="00F3413D">
      <w:pPr>
        <w:pStyle w:val="FootnoteText"/>
        <w:rPr>
          <w:rFonts w:ascii="Arial" w:hAnsi="Arial" w:cs="Arial"/>
        </w:rPr>
      </w:pPr>
      <w:r w:rsidRPr="001672EA">
        <w:rPr>
          <w:rStyle w:val="FootnoteReference"/>
          <w:rFonts w:ascii="Arial" w:hAnsi="Arial" w:cs="Arial"/>
        </w:rPr>
        <w:footnoteRef/>
      </w:r>
      <w:r w:rsidRPr="001672EA">
        <w:rPr>
          <w:rFonts w:ascii="Arial" w:hAnsi="Arial" w:cs="Arial"/>
        </w:rPr>
        <w:t xml:space="preserve"> Explanatory Note at [143]</w:t>
      </w:r>
    </w:p>
  </w:footnote>
  <w:footnote w:id="10">
    <w:p w:rsidR="00F3413D" w:rsidRPr="001672EA" w:rsidRDefault="00F3413D">
      <w:pPr>
        <w:pStyle w:val="FootnoteText"/>
        <w:rPr>
          <w:rFonts w:ascii="Arial" w:hAnsi="Arial" w:cs="Arial"/>
        </w:rPr>
      </w:pPr>
      <w:r w:rsidRPr="001672EA">
        <w:rPr>
          <w:rStyle w:val="FootnoteReference"/>
          <w:rFonts w:ascii="Arial" w:hAnsi="Arial" w:cs="Arial"/>
        </w:rPr>
        <w:footnoteRef/>
      </w:r>
      <w:r w:rsidRPr="001672EA">
        <w:rPr>
          <w:rFonts w:ascii="Arial" w:hAnsi="Arial" w:cs="Arial"/>
        </w:rPr>
        <w:t xml:space="preserve"> Explanatory Note at [144]</w:t>
      </w:r>
    </w:p>
  </w:footnote>
  <w:footnote w:id="11">
    <w:p w:rsidR="00F3413D" w:rsidRPr="003D1585" w:rsidRDefault="00F3413D">
      <w:pPr>
        <w:pStyle w:val="FootnoteText"/>
        <w:rPr>
          <w:rFonts w:ascii="Arial" w:hAnsi="Arial" w:cs="Arial"/>
          <w:lang w:val="en-US"/>
        </w:rPr>
      </w:pPr>
      <w:r w:rsidRPr="003D1585">
        <w:rPr>
          <w:rStyle w:val="FootnoteReference"/>
          <w:rFonts w:ascii="Arial" w:hAnsi="Arial" w:cs="Arial"/>
        </w:rPr>
        <w:footnoteRef/>
      </w:r>
      <w:r w:rsidRPr="003D1585">
        <w:rPr>
          <w:rFonts w:ascii="Arial" w:hAnsi="Arial" w:cs="Arial"/>
        </w:rPr>
        <w:t xml:space="preserve"> </w:t>
      </w:r>
      <w:r>
        <w:rPr>
          <w:rFonts w:ascii="Arial" w:hAnsi="Arial" w:cs="Arial"/>
        </w:rPr>
        <w:t>See for example Explanatory Note at [141] - ‘to aid understanding’, [169] – ‘to provide further certainty, [170] – ‘to make it clear’, [194] – ‘to further define…or provide guidance’</w:t>
      </w:r>
    </w:p>
  </w:footnote>
  <w:footnote w:id="12">
    <w:p w:rsidR="00F3413D" w:rsidRPr="00FA0BD5" w:rsidRDefault="00F3413D">
      <w:pPr>
        <w:pStyle w:val="FootnoteText"/>
        <w:rPr>
          <w:rFonts w:ascii="Arial" w:hAnsi="Arial" w:cs="Arial"/>
          <w:lang w:val="en-US"/>
        </w:rPr>
      </w:pPr>
      <w:r w:rsidRPr="00FA0BD5">
        <w:rPr>
          <w:rStyle w:val="FootnoteReference"/>
          <w:rFonts w:ascii="Arial" w:hAnsi="Arial" w:cs="Arial"/>
        </w:rPr>
        <w:footnoteRef/>
      </w:r>
      <w:r w:rsidRPr="00FA0BD5">
        <w:rPr>
          <w:rFonts w:ascii="Arial" w:hAnsi="Arial" w:cs="Arial"/>
        </w:rPr>
        <w:t xml:space="preserve"> </w:t>
      </w:r>
      <w:r w:rsidRPr="00FA0BD5">
        <w:rPr>
          <w:rFonts w:ascii="Arial" w:hAnsi="Arial" w:cs="Arial"/>
          <w:lang w:val="en-US"/>
        </w:rPr>
        <w:t>Explanatory Note, at [194]</w:t>
      </w:r>
    </w:p>
  </w:footnote>
  <w:footnote w:id="13">
    <w:p w:rsidR="00F3413D" w:rsidRPr="00FA0BD5" w:rsidRDefault="00F3413D">
      <w:pPr>
        <w:pStyle w:val="FootnoteText"/>
        <w:rPr>
          <w:rFonts w:ascii="Arial" w:hAnsi="Arial" w:cs="Arial"/>
        </w:rPr>
      </w:pPr>
      <w:r w:rsidRPr="00FA0BD5">
        <w:rPr>
          <w:rStyle w:val="FootnoteReference"/>
          <w:rFonts w:ascii="Arial" w:hAnsi="Arial" w:cs="Arial"/>
        </w:rPr>
        <w:footnoteRef/>
      </w:r>
      <w:r w:rsidRPr="00FA0BD5">
        <w:rPr>
          <w:rFonts w:ascii="Arial" w:hAnsi="Arial" w:cs="Arial"/>
        </w:rPr>
        <w:t xml:space="preserve"> Explanatory Note, at [208]</w:t>
      </w:r>
    </w:p>
  </w:footnote>
  <w:footnote w:id="14">
    <w:p w:rsidR="00F3413D" w:rsidRPr="00D81BF8" w:rsidRDefault="00F3413D">
      <w:pPr>
        <w:pStyle w:val="FootnoteText"/>
        <w:rPr>
          <w:rFonts w:ascii="Arial" w:hAnsi="Arial" w:cs="Arial"/>
          <w:lang w:val="en-US"/>
        </w:rPr>
      </w:pPr>
      <w:r w:rsidRPr="00D81BF8">
        <w:rPr>
          <w:rStyle w:val="FootnoteReference"/>
          <w:rFonts w:ascii="Arial" w:hAnsi="Arial" w:cs="Arial"/>
        </w:rPr>
        <w:footnoteRef/>
      </w:r>
      <w:r w:rsidRPr="00D81BF8">
        <w:rPr>
          <w:rFonts w:ascii="Arial" w:hAnsi="Arial" w:cs="Arial"/>
        </w:rPr>
        <w:t xml:space="preserve"> </w:t>
      </w:r>
      <w:r>
        <w:rPr>
          <w:rFonts w:ascii="Arial" w:hAnsi="Arial" w:cs="Arial"/>
        </w:rPr>
        <w:t>Clause 33 of the Bill</w:t>
      </w:r>
    </w:p>
  </w:footnote>
  <w:footnote w:id="15">
    <w:p w:rsidR="00F3413D" w:rsidRPr="00BF58F2" w:rsidRDefault="00F3413D">
      <w:pPr>
        <w:pStyle w:val="FootnoteText"/>
        <w:rPr>
          <w:rFonts w:ascii="Arial" w:hAnsi="Arial" w:cs="Arial"/>
          <w:lang w:val="en-US"/>
        </w:rPr>
      </w:pPr>
      <w:r w:rsidRPr="00BF58F2">
        <w:rPr>
          <w:rStyle w:val="FootnoteReference"/>
          <w:rFonts w:ascii="Arial" w:hAnsi="Arial" w:cs="Arial"/>
        </w:rPr>
        <w:footnoteRef/>
      </w:r>
      <w:r w:rsidRPr="00BF58F2">
        <w:rPr>
          <w:rFonts w:ascii="Arial" w:hAnsi="Arial" w:cs="Arial"/>
        </w:rPr>
        <w:t xml:space="preserve"> </w:t>
      </w:r>
      <w:r w:rsidRPr="00BF58F2">
        <w:rPr>
          <w:rFonts w:ascii="Arial" w:hAnsi="Arial" w:cs="Arial"/>
          <w:i/>
        </w:rPr>
        <w:t>Anti-Discrimination Act 1991</w:t>
      </w:r>
      <w:r>
        <w:rPr>
          <w:rFonts w:ascii="Arial" w:hAnsi="Arial" w:cs="Arial"/>
        </w:rPr>
        <w:t xml:space="preserve"> (Qld), sections 25, 41, 46(2), 48, 90 &amp; 109.</w:t>
      </w:r>
    </w:p>
  </w:footnote>
  <w:footnote w:id="16">
    <w:p w:rsidR="00F3413D" w:rsidRPr="00D81BF8" w:rsidRDefault="00F3413D">
      <w:pPr>
        <w:pStyle w:val="FootnoteText"/>
        <w:rPr>
          <w:rFonts w:ascii="Arial" w:hAnsi="Arial" w:cs="Arial"/>
          <w:lang w:val="en-US"/>
        </w:rPr>
      </w:pPr>
      <w:r w:rsidRPr="00D81BF8">
        <w:rPr>
          <w:rStyle w:val="FootnoteReference"/>
          <w:rFonts w:ascii="Arial" w:hAnsi="Arial" w:cs="Arial"/>
        </w:rPr>
        <w:footnoteRef/>
      </w:r>
      <w:r w:rsidRPr="00D81BF8">
        <w:rPr>
          <w:rFonts w:ascii="Arial" w:hAnsi="Arial" w:cs="Arial"/>
        </w:rPr>
        <w:t xml:space="preserve"> </w:t>
      </w:r>
      <w:r w:rsidRPr="00D81BF8">
        <w:rPr>
          <w:rFonts w:ascii="Arial" w:hAnsi="Arial" w:cs="Arial"/>
          <w:i/>
          <w:lang w:val="en-US"/>
        </w:rPr>
        <w:t>Anti-Discrimination Act 1991</w:t>
      </w:r>
      <w:r w:rsidRPr="00D81BF8">
        <w:rPr>
          <w:rFonts w:ascii="Arial" w:hAnsi="Arial" w:cs="Arial"/>
          <w:lang w:val="en-US"/>
        </w:rPr>
        <w:t xml:space="preserve"> (Qld), section 109</w:t>
      </w:r>
    </w:p>
  </w:footnote>
  <w:footnote w:id="17">
    <w:p w:rsidR="00F3413D" w:rsidRPr="00D81BF8" w:rsidRDefault="00F3413D">
      <w:pPr>
        <w:pStyle w:val="FootnoteText"/>
        <w:rPr>
          <w:rFonts w:ascii="Arial" w:hAnsi="Arial" w:cs="Arial"/>
          <w:lang w:val="en-US"/>
        </w:rPr>
      </w:pPr>
      <w:r w:rsidRPr="00D81BF8">
        <w:rPr>
          <w:rStyle w:val="FootnoteReference"/>
          <w:rFonts w:ascii="Arial" w:hAnsi="Arial" w:cs="Arial"/>
        </w:rPr>
        <w:footnoteRef/>
      </w:r>
      <w:r w:rsidRPr="00D81BF8">
        <w:rPr>
          <w:rFonts w:ascii="Arial" w:hAnsi="Arial" w:cs="Arial"/>
        </w:rPr>
        <w:t xml:space="preserve"> </w:t>
      </w:r>
      <w:r w:rsidRPr="00D81BF8">
        <w:rPr>
          <w:rFonts w:ascii="Arial" w:hAnsi="Arial" w:cs="Arial"/>
          <w:i/>
          <w:lang w:val="en-US"/>
        </w:rPr>
        <w:t>Anti-Discrimination Act 1991</w:t>
      </w:r>
      <w:r w:rsidRPr="00D81BF8">
        <w:rPr>
          <w:rFonts w:ascii="Arial" w:hAnsi="Arial" w:cs="Arial"/>
          <w:lang w:val="en-US"/>
        </w:rPr>
        <w:t xml:space="preserve"> (Qld), section 41</w:t>
      </w:r>
    </w:p>
  </w:footnote>
  <w:footnote w:id="18">
    <w:p w:rsidR="00F3413D" w:rsidRPr="00D81BF8" w:rsidRDefault="00F3413D">
      <w:pPr>
        <w:pStyle w:val="FootnoteText"/>
        <w:rPr>
          <w:lang w:val="en-US"/>
        </w:rPr>
      </w:pPr>
      <w:r>
        <w:rPr>
          <w:rStyle w:val="FootnoteReference"/>
        </w:rPr>
        <w:footnoteRef/>
      </w:r>
      <w:r>
        <w:t xml:space="preserve"> </w:t>
      </w:r>
      <w:r w:rsidRPr="00D81BF8">
        <w:rPr>
          <w:rFonts w:ascii="Arial" w:hAnsi="Arial" w:cs="Arial"/>
          <w:i/>
          <w:lang w:val="en-US"/>
        </w:rPr>
        <w:t>Anti-Discrimination Act 1991</w:t>
      </w:r>
      <w:r w:rsidRPr="00D81BF8">
        <w:rPr>
          <w:rFonts w:ascii="Arial" w:hAnsi="Arial" w:cs="Arial"/>
          <w:lang w:val="en-US"/>
        </w:rPr>
        <w:t xml:space="preserve"> (Qld), section </w:t>
      </w:r>
      <w:r>
        <w:rPr>
          <w:rFonts w:ascii="Arial" w:hAnsi="Arial" w:cs="Arial"/>
          <w:lang w:val="en-US"/>
        </w:rPr>
        <w:t>25</w:t>
      </w:r>
    </w:p>
  </w:footnote>
  <w:footnote w:id="19">
    <w:p w:rsidR="00F3413D" w:rsidRPr="00D81BF8" w:rsidRDefault="00F3413D">
      <w:pPr>
        <w:pStyle w:val="FootnoteText"/>
        <w:rPr>
          <w:rFonts w:ascii="Arial" w:hAnsi="Arial" w:cs="Arial"/>
          <w:lang w:val="en-US"/>
        </w:rPr>
      </w:pPr>
      <w:r w:rsidRPr="00D81BF8">
        <w:rPr>
          <w:rStyle w:val="FootnoteReference"/>
          <w:rFonts w:ascii="Arial" w:hAnsi="Arial" w:cs="Arial"/>
        </w:rPr>
        <w:footnoteRef/>
      </w:r>
      <w:r w:rsidRPr="00D81BF8">
        <w:rPr>
          <w:rFonts w:ascii="Arial" w:hAnsi="Arial" w:cs="Arial"/>
        </w:rPr>
        <w:t xml:space="preserve"> </w:t>
      </w:r>
      <w:r w:rsidRPr="00D81BF8">
        <w:rPr>
          <w:rFonts w:ascii="Arial" w:hAnsi="Arial" w:cs="Arial"/>
          <w:i/>
          <w:lang w:val="en-US"/>
        </w:rPr>
        <w:t>Anti-Discrimination Act 1991</w:t>
      </w:r>
      <w:r w:rsidRPr="00D81BF8">
        <w:rPr>
          <w:rFonts w:ascii="Arial" w:hAnsi="Arial" w:cs="Arial"/>
          <w:lang w:val="en-US"/>
        </w:rPr>
        <w:t xml:space="preserve"> (Qld), sections 48 &amp; 90</w:t>
      </w:r>
    </w:p>
  </w:footnote>
  <w:footnote w:id="20">
    <w:p w:rsidR="00F3413D" w:rsidRPr="00D81BF8" w:rsidRDefault="00F3413D">
      <w:pPr>
        <w:pStyle w:val="FootnoteText"/>
        <w:rPr>
          <w:rFonts w:ascii="Arial" w:hAnsi="Arial" w:cs="Arial"/>
          <w:lang w:val="en-US"/>
        </w:rPr>
      </w:pPr>
      <w:r w:rsidRPr="00D81BF8">
        <w:rPr>
          <w:rStyle w:val="FootnoteReference"/>
          <w:rFonts w:ascii="Arial" w:hAnsi="Arial" w:cs="Arial"/>
        </w:rPr>
        <w:footnoteRef/>
      </w:r>
      <w:r w:rsidRPr="00D81BF8">
        <w:rPr>
          <w:rFonts w:ascii="Arial" w:hAnsi="Arial" w:cs="Arial"/>
        </w:rPr>
        <w:t xml:space="preserve"> </w:t>
      </w:r>
      <w:r w:rsidRPr="00D81BF8">
        <w:rPr>
          <w:rFonts w:ascii="Arial" w:hAnsi="Arial" w:cs="Arial"/>
          <w:i/>
          <w:lang w:val="en-US"/>
        </w:rPr>
        <w:t>Anti-Discrimination Act 1991</w:t>
      </w:r>
      <w:r w:rsidRPr="00D81BF8">
        <w:rPr>
          <w:rFonts w:ascii="Arial" w:hAnsi="Arial" w:cs="Arial"/>
          <w:lang w:val="en-US"/>
        </w:rPr>
        <w:t xml:space="preserve"> (Qld), section 109</w:t>
      </w:r>
    </w:p>
  </w:footnote>
  <w:footnote w:id="21">
    <w:p w:rsidR="00F3413D" w:rsidRPr="008B0657" w:rsidRDefault="00F3413D">
      <w:pPr>
        <w:pStyle w:val="FootnoteText"/>
        <w:rPr>
          <w:rFonts w:ascii="Arial" w:hAnsi="Arial" w:cs="Arial"/>
        </w:rPr>
      </w:pPr>
      <w:r w:rsidRPr="008B0657">
        <w:rPr>
          <w:rStyle w:val="FootnoteReference"/>
          <w:rFonts w:ascii="Arial" w:hAnsi="Arial" w:cs="Arial"/>
        </w:rPr>
        <w:footnoteRef/>
      </w:r>
      <w:r w:rsidRPr="008B0657">
        <w:rPr>
          <w:rFonts w:ascii="Arial" w:hAnsi="Arial" w:cs="Arial"/>
        </w:rPr>
        <w:t xml:space="preserve"> Clause 43</w:t>
      </w:r>
    </w:p>
  </w:footnote>
  <w:footnote w:id="22">
    <w:p w:rsidR="00F3413D" w:rsidRPr="008B0657" w:rsidRDefault="00F3413D">
      <w:pPr>
        <w:pStyle w:val="FootnoteText"/>
        <w:rPr>
          <w:rFonts w:ascii="Arial" w:hAnsi="Arial" w:cs="Arial"/>
        </w:rPr>
      </w:pPr>
      <w:r w:rsidRPr="008B0657">
        <w:rPr>
          <w:rStyle w:val="FootnoteReference"/>
          <w:rFonts w:ascii="Arial" w:hAnsi="Arial" w:cs="Arial"/>
        </w:rPr>
        <w:footnoteRef/>
      </w:r>
      <w:r w:rsidRPr="008B0657">
        <w:rPr>
          <w:rFonts w:ascii="Arial" w:hAnsi="Arial" w:cs="Arial"/>
        </w:rPr>
        <w:t xml:space="preserve"> </w:t>
      </w:r>
      <w:r w:rsidRPr="008B0657">
        <w:rPr>
          <w:rFonts w:ascii="Arial" w:hAnsi="Arial" w:cs="Arial"/>
          <w:i/>
        </w:rPr>
        <w:t xml:space="preserve">Anti-Discrimination Act 1991 </w:t>
      </w:r>
      <w:r w:rsidRPr="008B0657">
        <w:rPr>
          <w:rFonts w:ascii="Arial" w:hAnsi="Arial" w:cs="Arial"/>
        </w:rPr>
        <w:t>(Qld), section 26</w:t>
      </w:r>
    </w:p>
  </w:footnote>
  <w:footnote w:id="23">
    <w:p w:rsidR="00F3413D" w:rsidRPr="008B0657" w:rsidRDefault="00F3413D">
      <w:pPr>
        <w:pStyle w:val="FootnoteText"/>
        <w:rPr>
          <w:rFonts w:ascii="Arial" w:hAnsi="Arial" w:cs="Arial"/>
        </w:rPr>
      </w:pPr>
      <w:r w:rsidRPr="008B0657">
        <w:rPr>
          <w:rStyle w:val="FootnoteReference"/>
          <w:rFonts w:ascii="Arial" w:hAnsi="Arial" w:cs="Arial"/>
        </w:rPr>
        <w:footnoteRef/>
      </w:r>
      <w:r w:rsidRPr="008B0657">
        <w:rPr>
          <w:rFonts w:ascii="Arial" w:hAnsi="Arial" w:cs="Arial"/>
        </w:rPr>
        <w:t xml:space="preserve"> Paragraphs 52 &amp; 53</w:t>
      </w:r>
    </w:p>
  </w:footnote>
  <w:footnote w:id="24">
    <w:p w:rsidR="00F3413D" w:rsidRPr="008B0657" w:rsidRDefault="00F3413D">
      <w:pPr>
        <w:pStyle w:val="FootnoteText"/>
        <w:rPr>
          <w:rFonts w:ascii="Arial" w:hAnsi="Arial" w:cs="Arial"/>
        </w:rPr>
      </w:pPr>
      <w:r w:rsidRPr="008B0657">
        <w:rPr>
          <w:rStyle w:val="FootnoteReference"/>
          <w:rFonts w:ascii="Arial" w:hAnsi="Arial" w:cs="Arial"/>
        </w:rPr>
        <w:footnoteRef/>
      </w:r>
      <w:r w:rsidRPr="008B0657">
        <w:rPr>
          <w:rFonts w:ascii="Arial" w:hAnsi="Arial" w:cs="Arial"/>
        </w:rPr>
        <w:t xml:space="preserve"> Clause 39</w:t>
      </w:r>
    </w:p>
  </w:footnote>
  <w:footnote w:id="25">
    <w:p w:rsidR="00F3413D" w:rsidRPr="008B0657" w:rsidRDefault="00F3413D">
      <w:pPr>
        <w:pStyle w:val="FootnoteText"/>
        <w:rPr>
          <w:rFonts w:ascii="Arial" w:hAnsi="Arial" w:cs="Arial"/>
        </w:rPr>
      </w:pPr>
      <w:r w:rsidRPr="008B0657">
        <w:rPr>
          <w:rStyle w:val="FootnoteReference"/>
          <w:rFonts w:ascii="Arial" w:hAnsi="Arial" w:cs="Arial"/>
        </w:rPr>
        <w:footnoteRef/>
      </w:r>
      <w:r w:rsidRPr="008B0657">
        <w:rPr>
          <w:rFonts w:ascii="Arial" w:hAnsi="Arial" w:cs="Arial"/>
        </w:rPr>
        <w:t xml:space="preserve"> </w:t>
      </w:r>
      <w:r w:rsidRPr="008B0657">
        <w:rPr>
          <w:rFonts w:ascii="Arial" w:hAnsi="Arial" w:cs="Arial"/>
          <w:i/>
        </w:rPr>
        <w:t xml:space="preserve">Anti-Discrimination Act 1991 </w:t>
      </w:r>
      <w:r w:rsidRPr="008B0657">
        <w:rPr>
          <w:rFonts w:ascii="Arial" w:hAnsi="Arial" w:cs="Arial"/>
        </w:rPr>
        <w:t>(Qld), sections 58 to 65</w:t>
      </w:r>
    </w:p>
  </w:footnote>
  <w:footnote w:id="26">
    <w:p w:rsidR="00F3413D" w:rsidRPr="00F25E95" w:rsidRDefault="00F3413D">
      <w:pPr>
        <w:pStyle w:val="FootnoteText"/>
        <w:rPr>
          <w:rFonts w:ascii="Arial" w:hAnsi="Arial" w:cs="Arial"/>
          <w:i/>
          <w:lang w:val="en-US"/>
        </w:rPr>
      </w:pPr>
      <w:r w:rsidRPr="00F25E95">
        <w:rPr>
          <w:rStyle w:val="FootnoteReference"/>
          <w:rFonts w:ascii="Arial" w:hAnsi="Arial" w:cs="Arial"/>
        </w:rPr>
        <w:footnoteRef/>
      </w:r>
      <w:r w:rsidRPr="00F25E95">
        <w:rPr>
          <w:rFonts w:ascii="Arial" w:hAnsi="Arial" w:cs="Arial"/>
        </w:rPr>
        <w:t xml:space="preserve"> </w:t>
      </w:r>
      <w:r w:rsidRPr="00F25E95">
        <w:rPr>
          <w:rFonts w:ascii="Arial" w:hAnsi="Arial" w:cs="Arial"/>
          <w:i/>
        </w:rPr>
        <w:t xml:space="preserve">Private Employment Agents (Code of Conduct) Regulation 2005, </w:t>
      </w:r>
      <w:r w:rsidRPr="00F25E95">
        <w:rPr>
          <w:rFonts w:ascii="Arial" w:hAnsi="Arial" w:cs="Arial"/>
        </w:rPr>
        <w:t xml:space="preserve">clause 21 of the Code, under the </w:t>
      </w:r>
      <w:r w:rsidRPr="00F25E95">
        <w:rPr>
          <w:rFonts w:ascii="Arial" w:hAnsi="Arial" w:cs="Arial"/>
          <w:i/>
        </w:rPr>
        <w:t>Private Employment Agents Act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9B" w:rsidRDefault="00EC479B" w:rsidP="00EC479B">
    <w:pPr>
      <w:pBdr>
        <w:bottom w:val="single" w:sz="6" w:space="1" w:color="auto"/>
      </w:pBdr>
      <w:tabs>
        <w:tab w:val="center" w:pos="4513"/>
        <w:tab w:val="right" w:pos="9026"/>
      </w:tabs>
      <w:jc w:val="right"/>
      <w:rPr>
        <w:rFonts w:ascii="Arial" w:hAnsi="Arial" w:cs="Arial"/>
        <w:b/>
        <w:i/>
        <w:sz w:val="20"/>
        <w:szCs w:val="20"/>
      </w:rPr>
    </w:pPr>
    <w:r>
      <w:rPr>
        <w:rFonts w:ascii="Arial" w:hAnsi="Arial" w:cs="Arial"/>
        <w:b/>
        <w:sz w:val="20"/>
        <w:szCs w:val="20"/>
      </w:rPr>
      <w:t>Exposure Draft -</w:t>
    </w:r>
    <w:r w:rsidRPr="00A12D4E">
      <w:rPr>
        <w:rFonts w:ascii="Arial" w:hAnsi="Arial" w:cs="Arial"/>
        <w:b/>
        <w:sz w:val="20"/>
        <w:szCs w:val="20"/>
      </w:rPr>
      <w:t xml:space="preserve"> </w:t>
    </w:r>
    <w:r w:rsidRPr="00A12D4E">
      <w:rPr>
        <w:rFonts w:ascii="Arial" w:hAnsi="Arial" w:cs="Arial"/>
        <w:b/>
        <w:i/>
        <w:sz w:val="20"/>
        <w:szCs w:val="20"/>
      </w:rPr>
      <w:t>Human Rights and Anti-Discrimination Bill 2012</w:t>
    </w:r>
  </w:p>
  <w:p w:rsidR="00EC479B" w:rsidRPr="00EC479B" w:rsidRDefault="00EC479B" w:rsidP="00EC479B">
    <w:pPr>
      <w:tabs>
        <w:tab w:val="center" w:pos="4513"/>
        <w:tab w:val="right" w:pos="9026"/>
      </w:tabs>
      <w:jc w:val="right"/>
      <w:rPr>
        <w:rFonts w:ascii="Arial" w:hAnsi="Arial" w:cs="Arial"/>
        <w:b/>
        <w:i/>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9B" w:rsidRPr="00A12D4E" w:rsidRDefault="00EC479B" w:rsidP="004D7BBA">
    <w:pPr>
      <w:pBdr>
        <w:bottom w:val="single" w:sz="6" w:space="1" w:color="auto"/>
      </w:pBdr>
      <w:rPr>
        <w:rFonts w:ascii="Arial" w:hAnsi="Arial" w:cs="Arial"/>
        <w:b/>
        <w:i/>
        <w:color w:val="000000"/>
        <w:sz w:val="20"/>
        <w:szCs w:val="20"/>
      </w:rPr>
    </w:pPr>
    <w:r>
      <w:rPr>
        <w:rFonts w:ascii="Arial" w:hAnsi="Arial" w:cs="Arial"/>
        <w:b/>
        <w:sz w:val="20"/>
        <w:szCs w:val="20"/>
      </w:rPr>
      <w:t xml:space="preserve">Exposure Draft – </w:t>
    </w:r>
    <w:r>
      <w:rPr>
        <w:rFonts w:ascii="Arial" w:hAnsi="Arial" w:cs="Arial"/>
        <w:b/>
        <w:i/>
        <w:sz w:val="20"/>
        <w:szCs w:val="20"/>
      </w:rPr>
      <w:t>Human Rights and Anti-Discrimination Bill 2012</w:t>
    </w:r>
  </w:p>
  <w:p w:rsidR="00EC479B" w:rsidRPr="002671C7" w:rsidRDefault="00EC479B" w:rsidP="00267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3D" w:rsidRPr="002671C7" w:rsidRDefault="00F3413D" w:rsidP="0064509D">
    <w:pPr>
      <w:pStyle w:val="Header"/>
      <w:jc w:val="center"/>
    </w:pPr>
    <w:r>
      <w:rPr>
        <w:noProof/>
      </w:rPr>
      <w:drawing>
        <wp:inline distT="0" distB="0" distL="0" distR="0" wp14:anchorId="7BA40C67" wp14:editId="5F7CD7D5">
          <wp:extent cx="4524375" cy="647700"/>
          <wp:effectExtent l="0" t="0" r="9525" b="0"/>
          <wp:docPr id="3" name="Picture 3" descr="CMYK ADCQ"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D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22E"/>
    <w:multiLevelType w:val="multilevel"/>
    <w:tmpl w:val="287C8E8A"/>
    <w:lvl w:ilvl="0">
      <w:start w:val="64"/>
      <w:numFmt w:val="decimal"/>
      <w:lvlText w:val="%1."/>
      <w:lvlJc w:val="left"/>
      <w:pPr>
        <w:tabs>
          <w:tab w:val="num" w:pos="1353"/>
        </w:tabs>
        <w:ind w:left="1353" w:hanging="360"/>
      </w:pPr>
      <w:rPr>
        <w:rFonts w:hint="default"/>
      </w:rPr>
    </w:lvl>
    <w:lvl w:ilvl="1">
      <w:start w:val="1"/>
      <w:numFmt w:val="lowerLetter"/>
      <w:lvlText w:val="(%2)"/>
      <w:lvlJc w:val="left"/>
      <w:pPr>
        <w:ind w:left="2073" w:hanging="360"/>
      </w:pPr>
      <w:rPr>
        <w:rFonts w:ascii="Arial" w:hAnsi="Arial" w:hint="default"/>
        <w:b w:val="0"/>
        <w:i w:val="0"/>
        <w:sz w:val="22"/>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abstractNum w:abstractNumId="1">
    <w:nsid w:val="10DE4577"/>
    <w:multiLevelType w:val="hybridMultilevel"/>
    <w:tmpl w:val="352C5318"/>
    <w:lvl w:ilvl="0" w:tplc="B992AE66">
      <w:start w:val="1"/>
      <w:numFmt w:val="decimal"/>
      <w:lvlText w:val="%1."/>
      <w:lvlJc w:val="left"/>
      <w:pPr>
        <w:ind w:left="720" w:hanging="360"/>
      </w:pPr>
      <w:rPr>
        <w:sz w:val="24"/>
        <w:szCs w:val="24"/>
      </w:rPr>
    </w:lvl>
    <w:lvl w:ilvl="1" w:tplc="0C090001">
      <w:start w:val="1"/>
      <w:numFmt w:val="bullet"/>
      <w:lvlText w:val=""/>
      <w:lvlJc w:val="left"/>
      <w:pPr>
        <w:ind w:left="1440" w:hanging="360"/>
      </w:pPr>
      <w:rPr>
        <w:rFonts w:ascii="Symbol" w:hAnsi="Symbo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252449"/>
    <w:multiLevelType w:val="hybridMultilevel"/>
    <w:tmpl w:val="6F06CD7C"/>
    <w:lvl w:ilvl="0" w:tplc="0C090001">
      <w:start w:val="1"/>
      <w:numFmt w:val="bullet"/>
      <w:lvlText w:val=""/>
      <w:lvlJc w:val="left"/>
      <w:pPr>
        <w:ind w:left="720" w:hanging="360"/>
      </w:pPr>
      <w:rPr>
        <w:rFonts w:ascii="Symbol" w:hAnsi="Symbol" w:hint="default"/>
        <w:sz w:val="24"/>
        <w:szCs w:val="24"/>
      </w:rPr>
    </w:lvl>
    <w:lvl w:ilvl="1" w:tplc="854C4EFA">
      <w:start w:val="1"/>
      <w:numFmt w:val="lowerLetter"/>
      <w:lvlText w:val="(%2)"/>
      <w:lvlJc w:val="left"/>
      <w:pPr>
        <w:ind w:left="1440" w:hanging="360"/>
      </w:pPr>
      <w:rPr>
        <w:rFonts w:ascii="Arial" w:hAnsi="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28212D2"/>
    <w:multiLevelType w:val="hybridMultilevel"/>
    <w:tmpl w:val="50901DFA"/>
    <w:lvl w:ilvl="0" w:tplc="1B84EB7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25D8183C"/>
    <w:multiLevelType w:val="hybridMultilevel"/>
    <w:tmpl w:val="D7AA4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9877F81"/>
    <w:multiLevelType w:val="hybridMultilevel"/>
    <w:tmpl w:val="C6F41C0C"/>
    <w:lvl w:ilvl="0" w:tplc="C5C0F6DA">
      <w:start w:val="1"/>
      <w:numFmt w:val="upperRoman"/>
      <w:lvlText w:val="%1."/>
      <w:lvlJc w:val="left"/>
      <w:pPr>
        <w:ind w:left="2376" w:hanging="360"/>
      </w:pPr>
      <w:rPr>
        <w:rFonts w:hint="default"/>
      </w:rPr>
    </w:lvl>
    <w:lvl w:ilvl="1" w:tplc="0C090019" w:tentative="1">
      <w:start w:val="1"/>
      <w:numFmt w:val="lowerLetter"/>
      <w:lvlText w:val="%2."/>
      <w:lvlJc w:val="left"/>
      <w:pPr>
        <w:ind w:left="3096" w:hanging="360"/>
      </w:pPr>
    </w:lvl>
    <w:lvl w:ilvl="2" w:tplc="0C09001B" w:tentative="1">
      <w:start w:val="1"/>
      <w:numFmt w:val="lowerRoman"/>
      <w:lvlText w:val="%3."/>
      <w:lvlJc w:val="right"/>
      <w:pPr>
        <w:ind w:left="3816" w:hanging="180"/>
      </w:pPr>
    </w:lvl>
    <w:lvl w:ilvl="3" w:tplc="0C09000F" w:tentative="1">
      <w:start w:val="1"/>
      <w:numFmt w:val="decimal"/>
      <w:lvlText w:val="%4."/>
      <w:lvlJc w:val="left"/>
      <w:pPr>
        <w:ind w:left="4536" w:hanging="360"/>
      </w:pPr>
    </w:lvl>
    <w:lvl w:ilvl="4" w:tplc="0C090019" w:tentative="1">
      <w:start w:val="1"/>
      <w:numFmt w:val="lowerLetter"/>
      <w:lvlText w:val="%5."/>
      <w:lvlJc w:val="left"/>
      <w:pPr>
        <w:ind w:left="5256" w:hanging="360"/>
      </w:pPr>
    </w:lvl>
    <w:lvl w:ilvl="5" w:tplc="0C09001B" w:tentative="1">
      <w:start w:val="1"/>
      <w:numFmt w:val="lowerRoman"/>
      <w:lvlText w:val="%6."/>
      <w:lvlJc w:val="right"/>
      <w:pPr>
        <w:ind w:left="5976" w:hanging="180"/>
      </w:pPr>
    </w:lvl>
    <w:lvl w:ilvl="6" w:tplc="0C09000F" w:tentative="1">
      <w:start w:val="1"/>
      <w:numFmt w:val="decimal"/>
      <w:lvlText w:val="%7."/>
      <w:lvlJc w:val="left"/>
      <w:pPr>
        <w:ind w:left="6696" w:hanging="360"/>
      </w:pPr>
    </w:lvl>
    <w:lvl w:ilvl="7" w:tplc="0C090019" w:tentative="1">
      <w:start w:val="1"/>
      <w:numFmt w:val="lowerLetter"/>
      <w:lvlText w:val="%8."/>
      <w:lvlJc w:val="left"/>
      <w:pPr>
        <w:ind w:left="7416" w:hanging="360"/>
      </w:pPr>
    </w:lvl>
    <w:lvl w:ilvl="8" w:tplc="0C09001B" w:tentative="1">
      <w:start w:val="1"/>
      <w:numFmt w:val="lowerRoman"/>
      <w:lvlText w:val="%9."/>
      <w:lvlJc w:val="right"/>
      <w:pPr>
        <w:ind w:left="8136" w:hanging="180"/>
      </w:pPr>
    </w:lvl>
  </w:abstractNum>
  <w:abstractNum w:abstractNumId="6">
    <w:nsid w:val="50662F95"/>
    <w:multiLevelType w:val="hybridMultilevel"/>
    <w:tmpl w:val="52D648E8"/>
    <w:lvl w:ilvl="0" w:tplc="58A2A2D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A5110B4"/>
    <w:multiLevelType w:val="hybridMultilevel"/>
    <w:tmpl w:val="8F8426EC"/>
    <w:lvl w:ilvl="0" w:tplc="93A825C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672A1274"/>
    <w:multiLevelType w:val="multilevel"/>
    <w:tmpl w:val="93C6913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9">
    <w:nsid w:val="69EA7824"/>
    <w:multiLevelType w:val="hybridMultilevel"/>
    <w:tmpl w:val="91C84BD2"/>
    <w:lvl w:ilvl="0" w:tplc="B992AE66">
      <w:start w:val="1"/>
      <w:numFmt w:val="decimal"/>
      <w:lvlText w:val="%1."/>
      <w:lvlJc w:val="left"/>
      <w:pPr>
        <w:ind w:left="720" w:hanging="360"/>
      </w:pPr>
      <w:rPr>
        <w:sz w:val="24"/>
        <w:szCs w:val="24"/>
      </w:rPr>
    </w:lvl>
    <w:lvl w:ilvl="1" w:tplc="58A2A2D6">
      <w:start w:val="1"/>
      <w:numFmt w:val="lowerRoman"/>
      <w:lvlText w:val="(%2)"/>
      <w:lvlJc w:val="right"/>
      <w:pPr>
        <w:ind w:left="1440" w:hanging="360"/>
      </w:pPr>
      <w:rPr>
        <w:rFonts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ED528A2"/>
    <w:multiLevelType w:val="hybridMultilevel"/>
    <w:tmpl w:val="1E7E4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847819"/>
    <w:multiLevelType w:val="hybridMultilevel"/>
    <w:tmpl w:val="40542860"/>
    <w:lvl w:ilvl="0" w:tplc="0C090001">
      <w:start w:val="1"/>
      <w:numFmt w:val="bullet"/>
      <w:lvlText w:val=""/>
      <w:lvlJc w:val="left"/>
      <w:pPr>
        <w:ind w:left="720" w:hanging="360"/>
      </w:pPr>
      <w:rPr>
        <w:rFonts w:ascii="Symbol" w:hAnsi="Symbol" w:hint="default"/>
        <w:sz w:val="24"/>
        <w:szCs w:val="24"/>
      </w:rPr>
    </w:lvl>
    <w:lvl w:ilvl="1" w:tplc="0C090001">
      <w:start w:val="1"/>
      <w:numFmt w:val="bullet"/>
      <w:lvlText w:val=""/>
      <w:lvlJc w:val="left"/>
      <w:pPr>
        <w:ind w:left="1440" w:hanging="360"/>
      </w:pPr>
      <w:rPr>
        <w:rFonts w:ascii="Symbol" w:hAnsi="Symbo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34F77C5"/>
    <w:multiLevelType w:val="hybridMultilevel"/>
    <w:tmpl w:val="B77A35D6"/>
    <w:lvl w:ilvl="0" w:tplc="B616EC5A">
      <w:start w:val="135"/>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0"/>
  </w:num>
  <w:num w:numId="12">
    <w:abstractNumId w:val="2"/>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05715"/>
    <w:rsid w:val="00006DC7"/>
    <w:rsid w:val="0001012E"/>
    <w:rsid w:val="0001107C"/>
    <w:rsid w:val="000116F3"/>
    <w:rsid w:val="00017B8B"/>
    <w:rsid w:val="000215EF"/>
    <w:rsid w:val="00026C2A"/>
    <w:rsid w:val="00033A8B"/>
    <w:rsid w:val="00034641"/>
    <w:rsid w:val="00042FB6"/>
    <w:rsid w:val="0004762B"/>
    <w:rsid w:val="0005257E"/>
    <w:rsid w:val="00060BFB"/>
    <w:rsid w:val="00062E90"/>
    <w:rsid w:val="0006453B"/>
    <w:rsid w:val="0006650B"/>
    <w:rsid w:val="00070794"/>
    <w:rsid w:val="0008676D"/>
    <w:rsid w:val="0009051C"/>
    <w:rsid w:val="000923B4"/>
    <w:rsid w:val="0009438A"/>
    <w:rsid w:val="0009487F"/>
    <w:rsid w:val="00094CDA"/>
    <w:rsid w:val="000955CA"/>
    <w:rsid w:val="0009748A"/>
    <w:rsid w:val="000A028F"/>
    <w:rsid w:val="000A0941"/>
    <w:rsid w:val="000A68BE"/>
    <w:rsid w:val="000A7A04"/>
    <w:rsid w:val="000B5D9E"/>
    <w:rsid w:val="000B7DE2"/>
    <w:rsid w:val="000C0356"/>
    <w:rsid w:val="000C170A"/>
    <w:rsid w:val="000C443A"/>
    <w:rsid w:val="000C471C"/>
    <w:rsid w:val="000C4764"/>
    <w:rsid w:val="000D1590"/>
    <w:rsid w:val="000D2137"/>
    <w:rsid w:val="000D468A"/>
    <w:rsid w:val="000D577A"/>
    <w:rsid w:val="000D703C"/>
    <w:rsid w:val="000E0027"/>
    <w:rsid w:val="000E4806"/>
    <w:rsid w:val="000E6B4E"/>
    <w:rsid w:val="000F1F01"/>
    <w:rsid w:val="00100BA2"/>
    <w:rsid w:val="0010204E"/>
    <w:rsid w:val="0010281E"/>
    <w:rsid w:val="0010667A"/>
    <w:rsid w:val="001077B4"/>
    <w:rsid w:val="0011398B"/>
    <w:rsid w:val="00114DCB"/>
    <w:rsid w:val="00116845"/>
    <w:rsid w:val="00117B22"/>
    <w:rsid w:val="001315F3"/>
    <w:rsid w:val="00131FD0"/>
    <w:rsid w:val="00136642"/>
    <w:rsid w:val="001439F0"/>
    <w:rsid w:val="00144C0E"/>
    <w:rsid w:val="00145197"/>
    <w:rsid w:val="00146D67"/>
    <w:rsid w:val="001521C6"/>
    <w:rsid w:val="00152C8B"/>
    <w:rsid w:val="001548FD"/>
    <w:rsid w:val="001560BF"/>
    <w:rsid w:val="0016012F"/>
    <w:rsid w:val="00162D05"/>
    <w:rsid w:val="00162F99"/>
    <w:rsid w:val="001633AF"/>
    <w:rsid w:val="001672EA"/>
    <w:rsid w:val="00167FCE"/>
    <w:rsid w:val="00170356"/>
    <w:rsid w:val="001730A7"/>
    <w:rsid w:val="00177907"/>
    <w:rsid w:val="00177F8B"/>
    <w:rsid w:val="001811B9"/>
    <w:rsid w:val="001878D7"/>
    <w:rsid w:val="0019074F"/>
    <w:rsid w:val="00190CE3"/>
    <w:rsid w:val="00191E14"/>
    <w:rsid w:val="00193143"/>
    <w:rsid w:val="00193D90"/>
    <w:rsid w:val="0019445D"/>
    <w:rsid w:val="0019563D"/>
    <w:rsid w:val="001961EC"/>
    <w:rsid w:val="001A0D63"/>
    <w:rsid w:val="001A63C1"/>
    <w:rsid w:val="001B1044"/>
    <w:rsid w:val="001B1EEE"/>
    <w:rsid w:val="001C0014"/>
    <w:rsid w:val="001C0670"/>
    <w:rsid w:val="001C12FB"/>
    <w:rsid w:val="001C3D9B"/>
    <w:rsid w:val="001C582D"/>
    <w:rsid w:val="001E17DF"/>
    <w:rsid w:val="001E45E0"/>
    <w:rsid w:val="001F5E47"/>
    <w:rsid w:val="001F6693"/>
    <w:rsid w:val="00200CD9"/>
    <w:rsid w:val="002020CD"/>
    <w:rsid w:val="00204BF1"/>
    <w:rsid w:val="0020575F"/>
    <w:rsid w:val="00206167"/>
    <w:rsid w:val="00216BAB"/>
    <w:rsid w:val="002247EE"/>
    <w:rsid w:val="00225589"/>
    <w:rsid w:val="0023102E"/>
    <w:rsid w:val="002347FF"/>
    <w:rsid w:val="00241501"/>
    <w:rsid w:val="002417D3"/>
    <w:rsid w:val="0025013B"/>
    <w:rsid w:val="00256721"/>
    <w:rsid w:val="00260D45"/>
    <w:rsid w:val="002671C7"/>
    <w:rsid w:val="00270F1C"/>
    <w:rsid w:val="002723B3"/>
    <w:rsid w:val="002731DA"/>
    <w:rsid w:val="0027378A"/>
    <w:rsid w:val="00274D6A"/>
    <w:rsid w:val="00275F18"/>
    <w:rsid w:val="00276554"/>
    <w:rsid w:val="0028137B"/>
    <w:rsid w:val="00281A81"/>
    <w:rsid w:val="00281CB7"/>
    <w:rsid w:val="00284090"/>
    <w:rsid w:val="002A0529"/>
    <w:rsid w:val="002A0911"/>
    <w:rsid w:val="002A155C"/>
    <w:rsid w:val="002A2C36"/>
    <w:rsid w:val="002A2D51"/>
    <w:rsid w:val="002A54A2"/>
    <w:rsid w:val="002B2DF7"/>
    <w:rsid w:val="002B7CD3"/>
    <w:rsid w:val="002C0648"/>
    <w:rsid w:val="002C0FCA"/>
    <w:rsid w:val="002C4AF4"/>
    <w:rsid w:val="002C66B3"/>
    <w:rsid w:val="002C79C0"/>
    <w:rsid w:val="002D0858"/>
    <w:rsid w:val="002D1C4B"/>
    <w:rsid w:val="002D3074"/>
    <w:rsid w:val="002D5CF8"/>
    <w:rsid w:val="002D6864"/>
    <w:rsid w:val="002E0D75"/>
    <w:rsid w:val="002E2341"/>
    <w:rsid w:val="002E48C7"/>
    <w:rsid w:val="002E5D90"/>
    <w:rsid w:val="002E7F41"/>
    <w:rsid w:val="002F20DE"/>
    <w:rsid w:val="002F3D0B"/>
    <w:rsid w:val="002F6B7E"/>
    <w:rsid w:val="002F71A9"/>
    <w:rsid w:val="0030192D"/>
    <w:rsid w:val="00301E4D"/>
    <w:rsid w:val="00303766"/>
    <w:rsid w:val="00304382"/>
    <w:rsid w:val="003063BE"/>
    <w:rsid w:val="00306C25"/>
    <w:rsid w:val="003108C3"/>
    <w:rsid w:val="003124EF"/>
    <w:rsid w:val="003156AF"/>
    <w:rsid w:val="00317E09"/>
    <w:rsid w:val="00320592"/>
    <w:rsid w:val="0032443C"/>
    <w:rsid w:val="003257A0"/>
    <w:rsid w:val="003318BE"/>
    <w:rsid w:val="00334A83"/>
    <w:rsid w:val="00342098"/>
    <w:rsid w:val="00344975"/>
    <w:rsid w:val="00344BFB"/>
    <w:rsid w:val="00345260"/>
    <w:rsid w:val="00345DFB"/>
    <w:rsid w:val="003517D4"/>
    <w:rsid w:val="00355D33"/>
    <w:rsid w:val="00356DE8"/>
    <w:rsid w:val="00362104"/>
    <w:rsid w:val="00362F75"/>
    <w:rsid w:val="003703A6"/>
    <w:rsid w:val="00370D69"/>
    <w:rsid w:val="00373040"/>
    <w:rsid w:val="00375DD6"/>
    <w:rsid w:val="00376D71"/>
    <w:rsid w:val="00376E60"/>
    <w:rsid w:val="003832FE"/>
    <w:rsid w:val="0038337A"/>
    <w:rsid w:val="003844D1"/>
    <w:rsid w:val="00386CB6"/>
    <w:rsid w:val="00391316"/>
    <w:rsid w:val="003A6B67"/>
    <w:rsid w:val="003A6CA8"/>
    <w:rsid w:val="003B0F67"/>
    <w:rsid w:val="003B4868"/>
    <w:rsid w:val="003B59AE"/>
    <w:rsid w:val="003B7781"/>
    <w:rsid w:val="003B7D31"/>
    <w:rsid w:val="003C2555"/>
    <w:rsid w:val="003C3534"/>
    <w:rsid w:val="003C55C5"/>
    <w:rsid w:val="003D1585"/>
    <w:rsid w:val="003D18B4"/>
    <w:rsid w:val="003D375A"/>
    <w:rsid w:val="003D44F6"/>
    <w:rsid w:val="003E0F1B"/>
    <w:rsid w:val="003E1D97"/>
    <w:rsid w:val="003E5639"/>
    <w:rsid w:val="003E7E9C"/>
    <w:rsid w:val="003F0117"/>
    <w:rsid w:val="003F24FE"/>
    <w:rsid w:val="003F7D62"/>
    <w:rsid w:val="003F7FFD"/>
    <w:rsid w:val="00401BEC"/>
    <w:rsid w:val="00405741"/>
    <w:rsid w:val="004103B8"/>
    <w:rsid w:val="004103BA"/>
    <w:rsid w:val="00411C6A"/>
    <w:rsid w:val="00413AF7"/>
    <w:rsid w:val="00414833"/>
    <w:rsid w:val="0041623D"/>
    <w:rsid w:val="00422353"/>
    <w:rsid w:val="00424286"/>
    <w:rsid w:val="00424B4C"/>
    <w:rsid w:val="00430488"/>
    <w:rsid w:val="004327C0"/>
    <w:rsid w:val="0043381D"/>
    <w:rsid w:val="004445F8"/>
    <w:rsid w:val="004478DA"/>
    <w:rsid w:val="00450F22"/>
    <w:rsid w:val="004538FA"/>
    <w:rsid w:val="00454F8C"/>
    <w:rsid w:val="004562BB"/>
    <w:rsid w:val="004569C8"/>
    <w:rsid w:val="00457EA3"/>
    <w:rsid w:val="00460762"/>
    <w:rsid w:val="00461A05"/>
    <w:rsid w:val="00461DA0"/>
    <w:rsid w:val="00462C5D"/>
    <w:rsid w:val="0046334B"/>
    <w:rsid w:val="00466C9F"/>
    <w:rsid w:val="00474EF8"/>
    <w:rsid w:val="00475D96"/>
    <w:rsid w:val="0047618D"/>
    <w:rsid w:val="00476478"/>
    <w:rsid w:val="00481F8E"/>
    <w:rsid w:val="00493AA5"/>
    <w:rsid w:val="00495B66"/>
    <w:rsid w:val="00496AB8"/>
    <w:rsid w:val="0049735F"/>
    <w:rsid w:val="004A67B0"/>
    <w:rsid w:val="004A7318"/>
    <w:rsid w:val="004B3BF9"/>
    <w:rsid w:val="004C0AF8"/>
    <w:rsid w:val="004C378D"/>
    <w:rsid w:val="004C5C58"/>
    <w:rsid w:val="004C7143"/>
    <w:rsid w:val="004D410E"/>
    <w:rsid w:val="004D4F0F"/>
    <w:rsid w:val="004D7BBA"/>
    <w:rsid w:val="004E269A"/>
    <w:rsid w:val="004E2745"/>
    <w:rsid w:val="004E2C23"/>
    <w:rsid w:val="004E2D90"/>
    <w:rsid w:val="004F0F8A"/>
    <w:rsid w:val="004F2D60"/>
    <w:rsid w:val="004F3994"/>
    <w:rsid w:val="004F46BA"/>
    <w:rsid w:val="004F5078"/>
    <w:rsid w:val="005045AC"/>
    <w:rsid w:val="00523B23"/>
    <w:rsid w:val="00524111"/>
    <w:rsid w:val="0052672A"/>
    <w:rsid w:val="00526F4E"/>
    <w:rsid w:val="00527DF6"/>
    <w:rsid w:val="005307CB"/>
    <w:rsid w:val="00532B9E"/>
    <w:rsid w:val="0053520F"/>
    <w:rsid w:val="00537DE7"/>
    <w:rsid w:val="00550201"/>
    <w:rsid w:val="0055468A"/>
    <w:rsid w:val="00557AF6"/>
    <w:rsid w:val="0056683A"/>
    <w:rsid w:val="00566B7C"/>
    <w:rsid w:val="0056726F"/>
    <w:rsid w:val="005717DC"/>
    <w:rsid w:val="00576B3A"/>
    <w:rsid w:val="0057712E"/>
    <w:rsid w:val="00577777"/>
    <w:rsid w:val="00577A95"/>
    <w:rsid w:val="00581659"/>
    <w:rsid w:val="00587A9F"/>
    <w:rsid w:val="00587CF3"/>
    <w:rsid w:val="00594599"/>
    <w:rsid w:val="005A0707"/>
    <w:rsid w:val="005A2191"/>
    <w:rsid w:val="005A2ECB"/>
    <w:rsid w:val="005A31F3"/>
    <w:rsid w:val="005B1BCE"/>
    <w:rsid w:val="005B51EA"/>
    <w:rsid w:val="005B7867"/>
    <w:rsid w:val="005C33A0"/>
    <w:rsid w:val="005C4564"/>
    <w:rsid w:val="005C4C39"/>
    <w:rsid w:val="005C58BF"/>
    <w:rsid w:val="005D40B4"/>
    <w:rsid w:val="005D59EC"/>
    <w:rsid w:val="005E0F90"/>
    <w:rsid w:val="005E2DAF"/>
    <w:rsid w:val="005E7080"/>
    <w:rsid w:val="005F07D5"/>
    <w:rsid w:val="005F0AB1"/>
    <w:rsid w:val="005F3302"/>
    <w:rsid w:val="005F625D"/>
    <w:rsid w:val="006003DB"/>
    <w:rsid w:val="006030C3"/>
    <w:rsid w:val="00604B51"/>
    <w:rsid w:val="006068F5"/>
    <w:rsid w:val="00611491"/>
    <w:rsid w:val="0061208F"/>
    <w:rsid w:val="006131EC"/>
    <w:rsid w:val="00622231"/>
    <w:rsid w:val="00643C9E"/>
    <w:rsid w:val="0064509D"/>
    <w:rsid w:val="00651224"/>
    <w:rsid w:val="0065244D"/>
    <w:rsid w:val="00653569"/>
    <w:rsid w:val="00655100"/>
    <w:rsid w:val="006607F2"/>
    <w:rsid w:val="006609DC"/>
    <w:rsid w:val="00660A0F"/>
    <w:rsid w:val="00661759"/>
    <w:rsid w:val="00672160"/>
    <w:rsid w:val="006757CD"/>
    <w:rsid w:val="0068143E"/>
    <w:rsid w:val="0068187D"/>
    <w:rsid w:val="00683308"/>
    <w:rsid w:val="00683F37"/>
    <w:rsid w:val="0068452B"/>
    <w:rsid w:val="00686568"/>
    <w:rsid w:val="006959E5"/>
    <w:rsid w:val="00697DA7"/>
    <w:rsid w:val="006A4AE4"/>
    <w:rsid w:val="006A5CE7"/>
    <w:rsid w:val="006A681B"/>
    <w:rsid w:val="006B3900"/>
    <w:rsid w:val="006B3E9B"/>
    <w:rsid w:val="006B545C"/>
    <w:rsid w:val="006C285C"/>
    <w:rsid w:val="006C4F5D"/>
    <w:rsid w:val="006D01BE"/>
    <w:rsid w:val="006D04FF"/>
    <w:rsid w:val="006D0687"/>
    <w:rsid w:val="006D1D58"/>
    <w:rsid w:val="006D324F"/>
    <w:rsid w:val="006D3751"/>
    <w:rsid w:val="006D3F9A"/>
    <w:rsid w:val="006D7648"/>
    <w:rsid w:val="006E10E5"/>
    <w:rsid w:val="006E1EF2"/>
    <w:rsid w:val="006E4AF2"/>
    <w:rsid w:val="006E559E"/>
    <w:rsid w:val="006E78AE"/>
    <w:rsid w:val="006F0A19"/>
    <w:rsid w:val="006F0E69"/>
    <w:rsid w:val="006F1E47"/>
    <w:rsid w:val="006F3DC3"/>
    <w:rsid w:val="006F3FDE"/>
    <w:rsid w:val="006F4824"/>
    <w:rsid w:val="006F56AE"/>
    <w:rsid w:val="006F6C1A"/>
    <w:rsid w:val="007014ED"/>
    <w:rsid w:val="007031FE"/>
    <w:rsid w:val="007103FE"/>
    <w:rsid w:val="00710623"/>
    <w:rsid w:val="00710AAD"/>
    <w:rsid w:val="007205B4"/>
    <w:rsid w:val="00721223"/>
    <w:rsid w:val="0072352C"/>
    <w:rsid w:val="00723ED0"/>
    <w:rsid w:val="00725B1A"/>
    <w:rsid w:val="007336A0"/>
    <w:rsid w:val="00735E23"/>
    <w:rsid w:val="00736576"/>
    <w:rsid w:val="00737E0A"/>
    <w:rsid w:val="00741055"/>
    <w:rsid w:val="00744347"/>
    <w:rsid w:val="007560C9"/>
    <w:rsid w:val="00763B5A"/>
    <w:rsid w:val="0076454E"/>
    <w:rsid w:val="00772111"/>
    <w:rsid w:val="0077411C"/>
    <w:rsid w:val="007744E7"/>
    <w:rsid w:val="0077476E"/>
    <w:rsid w:val="00776F23"/>
    <w:rsid w:val="00777234"/>
    <w:rsid w:val="00777C50"/>
    <w:rsid w:val="007835A2"/>
    <w:rsid w:val="00784E5C"/>
    <w:rsid w:val="00785408"/>
    <w:rsid w:val="00785D97"/>
    <w:rsid w:val="0079213A"/>
    <w:rsid w:val="00792BCB"/>
    <w:rsid w:val="00792E37"/>
    <w:rsid w:val="0079752D"/>
    <w:rsid w:val="007A1745"/>
    <w:rsid w:val="007A6B71"/>
    <w:rsid w:val="007B0B38"/>
    <w:rsid w:val="007B7B8C"/>
    <w:rsid w:val="007C5ED7"/>
    <w:rsid w:val="007C6096"/>
    <w:rsid w:val="007D22A1"/>
    <w:rsid w:val="007D285A"/>
    <w:rsid w:val="007D598F"/>
    <w:rsid w:val="007D75E3"/>
    <w:rsid w:val="007D76C7"/>
    <w:rsid w:val="007E57D1"/>
    <w:rsid w:val="007E64CB"/>
    <w:rsid w:val="007F2139"/>
    <w:rsid w:val="007F2F62"/>
    <w:rsid w:val="007F58DD"/>
    <w:rsid w:val="007F6445"/>
    <w:rsid w:val="007F6A76"/>
    <w:rsid w:val="008029A8"/>
    <w:rsid w:val="008041B3"/>
    <w:rsid w:val="008115F0"/>
    <w:rsid w:val="008126F9"/>
    <w:rsid w:val="0081650A"/>
    <w:rsid w:val="008166F7"/>
    <w:rsid w:val="00820CC2"/>
    <w:rsid w:val="00822E80"/>
    <w:rsid w:val="00824D6A"/>
    <w:rsid w:val="008253D2"/>
    <w:rsid w:val="00835B42"/>
    <w:rsid w:val="008361E5"/>
    <w:rsid w:val="00841EC2"/>
    <w:rsid w:val="00842F8D"/>
    <w:rsid w:val="00843177"/>
    <w:rsid w:val="008441A6"/>
    <w:rsid w:val="00847AA5"/>
    <w:rsid w:val="00850DCC"/>
    <w:rsid w:val="00852177"/>
    <w:rsid w:val="00855B35"/>
    <w:rsid w:val="00855EC9"/>
    <w:rsid w:val="008566F8"/>
    <w:rsid w:val="008727AA"/>
    <w:rsid w:val="00873E78"/>
    <w:rsid w:val="00874724"/>
    <w:rsid w:val="008753DF"/>
    <w:rsid w:val="00877A99"/>
    <w:rsid w:val="00883C86"/>
    <w:rsid w:val="00890D99"/>
    <w:rsid w:val="008911AB"/>
    <w:rsid w:val="00893C07"/>
    <w:rsid w:val="008943AD"/>
    <w:rsid w:val="0089499C"/>
    <w:rsid w:val="00895515"/>
    <w:rsid w:val="00895C8F"/>
    <w:rsid w:val="008A2480"/>
    <w:rsid w:val="008A375B"/>
    <w:rsid w:val="008A4382"/>
    <w:rsid w:val="008A464E"/>
    <w:rsid w:val="008A61C5"/>
    <w:rsid w:val="008A76D5"/>
    <w:rsid w:val="008A7E46"/>
    <w:rsid w:val="008B05DF"/>
    <w:rsid w:val="008B0657"/>
    <w:rsid w:val="008B068F"/>
    <w:rsid w:val="008B2DDF"/>
    <w:rsid w:val="008B560F"/>
    <w:rsid w:val="008B7B86"/>
    <w:rsid w:val="008C5938"/>
    <w:rsid w:val="008C7559"/>
    <w:rsid w:val="008D09AB"/>
    <w:rsid w:val="008D09DB"/>
    <w:rsid w:val="008D4625"/>
    <w:rsid w:val="008E2791"/>
    <w:rsid w:val="008F3788"/>
    <w:rsid w:val="008F500B"/>
    <w:rsid w:val="008F53FF"/>
    <w:rsid w:val="008F605E"/>
    <w:rsid w:val="00903605"/>
    <w:rsid w:val="00903E21"/>
    <w:rsid w:val="009069A4"/>
    <w:rsid w:val="00906E3F"/>
    <w:rsid w:val="009106E1"/>
    <w:rsid w:val="009110B0"/>
    <w:rsid w:val="00913724"/>
    <w:rsid w:val="0092101B"/>
    <w:rsid w:val="00922878"/>
    <w:rsid w:val="009271C1"/>
    <w:rsid w:val="00932250"/>
    <w:rsid w:val="009325F5"/>
    <w:rsid w:val="00935399"/>
    <w:rsid w:val="00935836"/>
    <w:rsid w:val="00936EF9"/>
    <w:rsid w:val="00940C8F"/>
    <w:rsid w:val="00943047"/>
    <w:rsid w:val="0094620D"/>
    <w:rsid w:val="00950004"/>
    <w:rsid w:val="009502FD"/>
    <w:rsid w:val="009540A3"/>
    <w:rsid w:val="0095789B"/>
    <w:rsid w:val="0096032D"/>
    <w:rsid w:val="00960C95"/>
    <w:rsid w:val="009648DC"/>
    <w:rsid w:val="00964A2B"/>
    <w:rsid w:val="00964CC3"/>
    <w:rsid w:val="00965741"/>
    <w:rsid w:val="009657F0"/>
    <w:rsid w:val="009728DB"/>
    <w:rsid w:val="00974089"/>
    <w:rsid w:val="009774E5"/>
    <w:rsid w:val="009832F8"/>
    <w:rsid w:val="00983947"/>
    <w:rsid w:val="00987011"/>
    <w:rsid w:val="00990029"/>
    <w:rsid w:val="00992FF2"/>
    <w:rsid w:val="00994727"/>
    <w:rsid w:val="00997D3E"/>
    <w:rsid w:val="009A03B1"/>
    <w:rsid w:val="009A51E8"/>
    <w:rsid w:val="009A6577"/>
    <w:rsid w:val="009A6689"/>
    <w:rsid w:val="009B1170"/>
    <w:rsid w:val="009B279D"/>
    <w:rsid w:val="009B36D8"/>
    <w:rsid w:val="009B47EF"/>
    <w:rsid w:val="009B6C9C"/>
    <w:rsid w:val="009B7615"/>
    <w:rsid w:val="009B774E"/>
    <w:rsid w:val="009C722C"/>
    <w:rsid w:val="009C73DD"/>
    <w:rsid w:val="009C76F7"/>
    <w:rsid w:val="009D5343"/>
    <w:rsid w:val="009D5AA7"/>
    <w:rsid w:val="009D5B88"/>
    <w:rsid w:val="009E0EC8"/>
    <w:rsid w:val="009E1F5B"/>
    <w:rsid w:val="009E2A26"/>
    <w:rsid w:val="009E3949"/>
    <w:rsid w:val="009E4121"/>
    <w:rsid w:val="009E6D1D"/>
    <w:rsid w:val="009E7053"/>
    <w:rsid w:val="009E7471"/>
    <w:rsid w:val="009E75CE"/>
    <w:rsid w:val="009E76CD"/>
    <w:rsid w:val="009F0D1C"/>
    <w:rsid w:val="009F1555"/>
    <w:rsid w:val="009F2C1F"/>
    <w:rsid w:val="009F4D9C"/>
    <w:rsid w:val="009F5653"/>
    <w:rsid w:val="009F7E03"/>
    <w:rsid w:val="00A02800"/>
    <w:rsid w:val="00A11B96"/>
    <w:rsid w:val="00A12D4E"/>
    <w:rsid w:val="00A13550"/>
    <w:rsid w:val="00A1451D"/>
    <w:rsid w:val="00A16BA9"/>
    <w:rsid w:val="00A22259"/>
    <w:rsid w:val="00A22BA0"/>
    <w:rsid w:val="00A24B7D"/>
    <w:rsid w:val="00A3708A"/>
    <w:rsid w:val="00A37268"/>
    <w:rsid w:val="00A37AD5"/>
    <w:rsid w:val="00A47E3B"/>
    <w:rsid w:val="00A506CC"/>
    <w:rsid w:val="00A5145B"/>
    <w:rsid w:val="00A52639"/>
    <w:rsid w:val="00A56901"/>
    <w:rsid w:val="00A60A96"/>
    <w:rsid w:val="00A63DAB"/>
    <w:rsid w:val="00A65577"/>
    <w:rsid w:val="00A65B46"/>
    <w:rsid w:val="00A65E59"/>
    <w:rsid w:val="00A667DC"/>
    <w:rsid w:val="00A6712F"/>
    <w:rsid w:val="00A74A19"/>
    <w:rsid w:val="00A823B9"/>
    <w:rsid w:val="00A865CB"/>
    <w:rsid w:val="00AA06CB"/>
    <w:rsid w:val="00AA3254"/>
    <w:rsid w:val="00AA788E"/>
    <w:rsid w:val="00AB07E1"/>
    <w:rsid w:val="00AB1952"/>
    <w:rsid w:val="00AB238C"/>
    <w:rsid w:val="00AB6C3B"/>
    <w:rsid w:val="00AC48C3"/>
    <w:rsid w:val="00AC7BA3"/>
    <w:rsid w:val="00AD3C2B"/>
    <w:rsid w:val="00AD4A4C"/>
    <w:rsid w:val="00AE07E3"/>
    <w:rsid w:val="00AE27EE"/>
    <w:rsid w:val="00AF1A6F"/>
    <w:rsid w:val="00AF4006"/>
    <w:rsid w:val="00AF7D83"/>
    <w:rsid w:val="00B031F0"/>
    <w:rsid w:val="00B05094"/>
    <w:rsid w:val="00B06270"/>
    <w:rsid w:val="00B075B6"/>
    <w:rsid w:val="00B07B0C"/>
    <w:rsid w:val="00B16A8D"/>
    <w:rsid w:val="00B227BA"/>
    <w:rsid w:val="00B2774B"/>
    <w:rsid w:val="00B27DE7"/>
    <w:rsid w:val="00B32C02"/>
    <w:rsid w:val="00B34CC3"/>
    <w:rsid w:val="00B35015"/>
    <w:rsid w:val="00B36373"/>
    <w:rsid w:val="00B3757E"/>
    <w:rsid w:val="00B40342"/>
    <w:rsid w:val="00B41626"/>
    <w:rsid w:val="00B42770"/>
    <w:rsid w:val="00B44AA4"/>
    <w:rsid w:val="00B44BB4"/>
    <w:rsid w:val="00B4513B"/>
    <w:rsid w:val="00B472E6"/>
    <w:rsid w:val="00B57C9E"/>
    <w:rsid w:val="00B613BE"/>
    <w:rsid w:val="00B63E27"/>
    <w:rsid w:val="00B659E2"/>
    <w:rsid w:val="00B660A4"/>
    <w:rsid w:val="00B71556"/>
    <w:rsid w:val="00B7686D"/>
    <w:rsid w:val="00B81D88"/>
    <w:rsid w:val="00B83847"/>
    <w:rsid w:val="00B91C1F"/>
    <w:rsid w:val="00B91FBD"/>
    <w:rsid w:val="00B92C80"/>
    <w:rsid w:val="00B95781"/>
    <w:rsid w:val="00B96F44"/>
    <w:rsid w:val="00BA04F0"/>
    <w:rsid w:val="00BA1D88"/>
    <w:rsid w:val="00BA2181"/>
    <w:rsid w:val="00BB318D"/>
    <w:rsid w:val="00BB3E31"/>
    <w:rsid w:val="00BB46F3"/>
    <w:rsid w:val="00BB4B2E"/>
    <w:rsid w:val="00BB5BFB"/>
    <w:rsid w:val="00BB64EE"/>
    <w:rsid w:val="00BC171F"/>
    <w:rsid w:val="00BC239A"/>
    <w:rsid w:val="00BC2C4D"/>
    <w:rsid w:val="00BC533A"/>
    <w:rsid w:val="00BD352A"/>
    <w:rsid w:val="00BD3790"/>
    <w:rsid w:val="00BD6D6E"/>
    <w:rsid w:val="00BD6DB2"/>
    <w:rsid w:val="00BD6DF4"/>
    <w:rsid w:val="00BE0624"/>
    <w:rsid w:val="00BE26F6"/>
    <w:rsid w:val="00BE3749"/>
    <w:rsid w:val="00BE4438"/>
    <w:rsid w:val="00BE53A9"/>
    <w:rsid w:val="00BE5C42"/>
    <w:rsid w:val="00BE7D1C"/>
    <w:rsid w:val="00BF54E3"/>
    <w:rsid w:val="00BF58F2"/>
    <w:rsid w:val="00C01D61"/>
    <w:rsid w:val="00C051CE"/>
    <w:rsid w:val="00C062A9"/>
    <w:rsid w:val="00C0756E"/>
    <w:rsid w:val="00C10E5D"/>
    <w:rsid w:val="00C13A76"/>
    <w:rsid w:val="00C13AAE"/>
    <w:rsid w:val="00C14330"/>
    <w:rsid w:val="00C1589F"/>
    <w:rsid w:val="00C215D5"/>
    <w:rsid w:val="00C22224"/>
    <w:rsid w:val="00C30719"/>
    <w:rsid w:val="00C314FD"/>
    <w:rsid w:val="00C343A0"/>
    <w:rsid w:val="00C36ACC"/>
    <w:rsid w:val="00C37B6F"/>
    <w:rsid w:val="00C403A4"/>
    <w:rsid w:val="00C409A2"/>
    <w:rsid w:val="00C43942"/>
    <w:rsid w:val="00C44204"/>
    <w:rsid w:val="00C523EE"/>
    <w:rsid w:val="00C541DB"/>
    <w:rsid w:val="00C70AA0"/>
    <w:rsid w:val="00C74EBB"/>
    <w:rsid w:val="00C825BC"/>
    <w:rsid w:val="00C83979"/>
    <w:rsid w:val="00C8624B"/>
    <w:rsid w:val="00CB5AC0"/>
    <w:rsid w:val="00CB7386"/>
    <w:rsid w:val="00CC049D"/>
    <w:rsid w:val="00CC257F"/>
    <w:rsid w:val="00CC3CB9"/>
    <w:rsid w:val="00CC7C60"/>
    <w:rsid w:val="00CD01BE"/>
    <w:rsid w:val="00CE17C0"/>
    <w:rsid w:val="00CE2CD4"/>
    <w:rsid w:val="00CE44DE"/>
    <w:rsid w:val="00CE60AA"/>
    <w:rsid w:val="00CF53FF"/>
    <w:rsid w:val="00D00672"/>
    <w:rsid w:val="00D00C16"/>
    <w:rsid w:val="00D03083"/>
    <w:rsid w:val="00D050B1"/>
    <w:rsid w:val="00D069D2"/>
    <w:rsid w:val="00D15107"/>
    <w:rsid w:val="00D15180"/>
    <w:rsid w:val="00D15E7E"/>
    <w:rsid w:val="00D232A0"/>
    <w:rsid w:val="00D23DFF"/>
    <w:rsid w:val="00D313D1"/>
    <w:rsid w:val="00D43AA5"/>
    <w:rsid w:val="00D4409D"/>
    <w:rsid w:val="00D55393"/>
    <w:rsid w:val="00D57CB4"/>
    <w:rsid w:val="00D66DA4"/>
    <w:rsid w:val="00D66FA6"/>
    <w:rsid w:val="00D777CA"/>
    <w:rsid w:val="00D8192C"/>
    <w:rsid w:val="00D81BF8"/>
    <w:rsid w:val="00D85243"/>
    <w:rsid w:val="00D852B6"/>
    <w:rsid w:val="00D852F0"/>
    <w:rsid w:val="00D8582C"/>
    <w:rsid w:val="00D91720"/>
    <w:rsid w:val="00D9539C"/>
    <w:rsid w:val="00D95B5F"/>
    <w:rsid w:val="00D96040"/>
    <w:rsid w:val="00D96D64"/>
    <w:rsid w:val="00DA484F"/>
    <w:rsid w:val="00DA68D7"/>
    <w:rsid w:val="00DA77F3"/>
    <w:rsid w:val="00DB2CA4"/>
    <w:rsid w:val="00DB2DDE"/>
    <w:rsid w:val="00DB3CE8"/>
    <w:rsid w:val="00DB65C8"/>
    <w:rsid w:val="00DB6DEB"/>
    <w:rsid w:val="00DB7444"/>
    <w:rsid w:val="00DB7D44"/>
    <w:rsid w:val="00DC18ED"/>
    <w:rsid w:val="00DC4E88"/>
    <w:rsid w:val="00DC581D"/>
    <w:rsid w:val="00DC6C6D"/>
    <w:rsid w:val="00DC7202"/>
    <w:rsid w:val="00DD0CB8"/>
    <w:rsid w:val="00DD1BE7"/>
    <w:rsid w:val="00DD3F77"/>
    <w:rsid w:val="00DE1D92"/>
    <w:rsid w:val="00DE4A34"/>
    <w:rsid w:val="00DE7B6D"/>
    <w:rsid w:val="00DF30AA"/>
    <w:rsid w:val="00E05C92"/>
    <w:rsid w:val="00E110F3"/>
    <w:rsid w:val="00E153C1"/>
    <w:rsid w:val="00E17B1A"/>
    <w:rsid w:val="00E23DC7"/>
    <w:rsid w:val="00E258E8"/>
    <w:rsid w:val="00E31F9D"/>
    <w:rsid w:val="00E33D08"/>
    <w:rsid w:val="00E378D7"/>
    <w:rsid w:val="00E42BFE"/>
    <w:rsid w:val="00E432CF"/>
    <w:rsid w:val="00E442CC"/>
    <w:rsid w:val="00E54C76"/>
    <w:rsid w:val="00E55F38"/>
    <w:rsid w:val="00E60CC7"/>
    <w:rsid w:val="00E61F9D"/>
    <w:rsid w:val="00E6313A"/>
    <w:rsid w:val="00E63D6F"/>
    <w:rsid w:val="00E709F9"/>
    <w:rsid w:val="00E71BB2"/>
    <w:rsid w:val="00E733C6"/>
    <w:rsid w:val="00E80FD6"/>
    <w:rsid w:val="00E84205"/>
    <w:rsid w:val="00E84430"/>
    <w:rsid w:val="00E8521D"/>
    <w:rsid w:val="00E861A4"/>
    <w:rsid w:val="00E9635D"/>
    <w:rsid w:val="00EA0402"/>
    <w:rsid w:val="00EA197A"/>
    <w:rsid w:val="00EA46AC"/>
    <w:rsid w:val="00EB76F2"/>
    <w:rsid w:val="00EC1879"/>
    <w:rsid w:val="00EC475C"/>
    <w:rsid w:val="00EC479B"/>
    <w:rsid w:val="00EC6C09"/>
    <w:rsid w:val="00ED2B52"/>
    <w:rsid w:val="00ED45DE"/>
    <w:rsid w:val="00EF03DA"/>
    <w:rsid w:val="00EF20EE"/>
    <w:rsid w:val="00EF4020"/>
    <w:rsid w:val="00F003EC"/>
    <w:rsid w:val="00F01B11"/>
    <w:rsid w:val="00F027C1"/>
    <w:rsid w:val="00F03614"/>
    <w:rsid w:val="00F039D1"/>
    <w:rsid w:val="00F03E23"/>
    <w:rsid w:val="00F0604F"/>
    <w:rsid w:val="00F12C71"/>
    <w:rsid w:val="00F13A57"/>
    <w:rsid w:val="00F151B9"/>
    <w:rsid w:val="00F200EC"/>
    <w:rsid w:val="00F252A0"/>
    <w:rsid w:val="00F25E95"/>
    <w:rsid w:val="00F27340"/>
    <w:rsid w:val="00F30847"/>
    <w:rsid w:val="00F3413D"/>
    <w:rsid w:val="00F34B20"/>
    <w:rsid w:val="00F353E1"/>
    <w:rsid w:val="00F40682"/>
    <w:rsid w:val="00F4584B"/>
    <w:rsid w:val="00F45AE0"/>
    <w:rsid w:val="00F50C7C"/>
    <w:rsid w:val="00F53B4A"/>
    <w:rsid w:val="00F53C9E"/>
    <w:rsid w:val="00F55B80"/>
    <w:rsid w:val="00F5614A"/>
    <w:rsid w:val="00F613E8"/>
    <w:rsid w:val="00F657BF"/>
    <w:rsid w:val="00F6769A"/>
    <w:rsid w:val="00F71218"/>
    <w:rsid w:val="00F747A9"/>
    <w:rsid w:val="00F75163"/>
    <w:rsid w:val="00F82143"/>
    <w:rsid w:val="00F82E7E"/>
    <w:rsid w:val="00F86DDE"/>
    <w:rsid w:val="00F87852"/>
    <w:rsid w:val="00F906CE"/>
    <w:rsid w:val="00F9109B"/>
    <w:rsid w:val="00FA0BD5"/>
    <w:rsid w:val="00FA14E7"/>
    <w:rsid w:val="00FA1962"/>
    <w:rsid w:val="00FA61ED"/>
    <w:rsid w:val="00FB1BE3"/>
    <w:rsid w:val="00FB388D"/>
    <w:rsid w:val="00FB4B2D"/>
    <w:rsid w:val="00FB5D1E"/>
    <w:rsid w:val="00FC1014"/>
    <w:rsid w:val="00FC420F"/>
    <w:rsid w:val="00FC4A0B"/>
    <w:rsid w:val="00FC58E3"/>
    <w:rsid w:val="00FC6940"/>
    <w:rsid w:val="00FC6D5C"/>
    <w:rsid w:val="00FD014A"/>
    <w:rsid w:val="00FD0380"/>
    <w:rsid w:val="00FD15CF"/>
    <w:rsid w:val="00FD4F36"/>
    <w:rsid w:val="00FD6250"/>
    <w:rsid w:val="00FD6D38"/>
    <w:rsid w:val="00FE1739"/>
    <w:rsid w:val="00FE41F3"/>
    <w:rsid w:val="00FE6170"/>
    <w:rsid w:val="00FE6BBC"/>
    <w:rsid w:val="00FF4ABE"/>
    <w:rsid w:val="00FF4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747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E74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rFonts w:ascii="Arial" w:hAnsi="Arial"/>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747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E74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rFonts w:ascii="Arial" w:hAnsi="Arial"/>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975">
      <w:bodyDiv w:val="1"/>
      <w:marLeft w:val="0"/>
      <w:marRight w:val="0"/>
      <w:marTop w:val="0"/>
      <w:marBottom w:val="0"/>
      <w:divBdr>
        <w:top w:val="none" w:sz="0" w:space="0" w:color="auto"/>
        <w:left w:val="none" w:sz="0" w:space="0" w:color="auto"/>
        <w:bottom w:val="none" w:sz="0" w:space="0" w:color="auto"/>
        <w:right w:val="none" w:sz="0" w:space="0" w:color="auto"/>
      </w:divBdr>
    </w:div>
    <w:div w:id="218175513">
      <w:bodyDiv w:val="1"/>
      <w:marLeft w:val="0"/>
      <w:marRight w:val="0"/>
      <w:marTop w:val="0"/>
      <w:marBottom w:val="0"/>
      <w:divBdr>
        <w:top w:val="none" w:sz="0" w:space="0" w:color="auto"/>
        <w:left w:val="none" w:sz="0" w:space="0" w:color="auto"/>
        <w:bottom w:val="none" w:sz="0" w:space="0" w:color="auto"/>
        <w:right w:val="none" w:sz="0" w:space="0" w:color="auto"/>
      </w:divBdr>
      <w:divsChild>
        <w:div w:id="2013336594">
          <w:marLeft w:val="0"/>
          <w:marRight w:val="0"/>
          <w:marTop w:val="0"/>
          <w:marBottom w:val="0"/>
          <w:divBdr>
            <w:top w:val="none" w:sz="0" w:space="0" w:color="auto"/>
            <w:left w:val="none" w:sz="0" w:space="0" w:color="auto"/>
            <w:bottom w:val="none" w:sz="0" w:space="0" w:color="auto"/>
            <w:right w:val="none" w:sz="0" w:space="0" w:color="auto"/>
          </w:divBdr>
          <w:divsChild>
            <w:div w:id="777063178">
              <w:marLeft w:val="0"/>
              <w:marRight w:val="0"/>
              <w:marTop w:val="0"/>
              <w:marBottom w:val="0"/>
              <w:divBdr>
                <w:top w:val="none" w:sz="0" w:space="0" w:color="auto"/>
                <w:left w:val="none" w:sz="0" w:space="0" w:color="auto"/>
                <w:bottom w:val="none" w:sz="0" w:space="0" w:color="auto"/>
                <w:right w:val="none" w:sz="0" w:space="0" w:color="auto"/>
              </w:divBdr>
              <w:divsChild>
                <w:div w:id="1970236692">
                  <w:marLeft w:val="1"/>
                  <w:marRight w:val="0"/>
                  <w:marTop w:val="0"/>
                  <w:marBottom w:val="0"/>
                  <w:divBdr>
                    <w:top w:val="none" w:sz="0" w:space="0" w:color="auto"/>
                    <w:left w:val="none" w:sz="0" w:space="0" w:color="auto"/>
                    <w:bottom w:val="none" w:sz="0" w:space="0" w:color="auto"/>
                    <w:right w:val="none" w:sz="0" w:space="0" w:color="auto"/>
                  </w:divBdr>
                  <w:divsChild>
                    <w:div w:id="1070885538">
                      <w:marLeft w:val="0"/>
                      <w:marRight w:val="0"/>
                      <w:marTop w:val="0"/>
                      <w:marBottom w:val="0"/>
                      <w:divBdr>
                        <w:top w:val="none" w:sz="0" w:space="0" w:color="auto"/>
                        <w:left w:val="none" w:sz="0" w:space="0" w:color="auto"/>
                        <w:bottom w:val="none" w:sz="0" w:space="0" w:color="auto"/>
                        <w:right w:val="none" w:sz="0" w:space="0" w:color="auto"/>
                      </w:divBdr>
                      <w:divsChild>
                        <w:div w:id="64692445">
                          <w:marLeft w:val="0"/>
                          <w:marRight w:val="0"/>
                          <w:marTop w:val="0"/>
                          <w:marBottom w:val="0"/>
                          <w:divBdr>
                            <w:top w:val="none" w:sz="0" w:space="0" w:color="auto"/>
                            <w:left w:val="none" w:sz="0" w:space="0" w:color="auto"/>
                            <w:bottom w:val="none" w:sz="0" w:space="0" w:color="auto"/>
                            <w:right w:val="none" w:sz="0" w:space="0" w:color="auto"/>
                          </w:divBdr>
                          <w:divsChild>
                            <w:div w:id="1199974189">
                              <w:marLeft w:val="150"/>
                              <w:marRight w:val="150"/>
                              <w:marTop w:val="0"/>
                              <w:marBottom w:val="2"/>
                              <w:divBdr>
                                <w:top w:val="none" w:sz="0" w:space="0" w:color="auto"/>
                                <w:left w:val="none" w:sz="0" w:space="0" w:color="auto"/>
                                <w:bottom w:val="none" w:sz="0" w:space="0" w:color="auto"/>
                                <w:right w:val="none" w:sz="0" w:space="0" w:color="auto"/>
                              </w:divBdr>
                              <w:divsChild>
                                <w:div w:id="975834338">
                                  <w:marLeft w:val="0"/>
                                  <w:marRight w:val="0"/>
                                  <w:marTop w:val="0"/>
                                  <w:marBottom w:val="0"/>
                                  <w:divBdr>
                                    <w:top w:val="none" w:sz="0" w:space="0" w:color="auto"/>
                                    <w:left w:val="none" w:sz="0" w:space="0" w:color="auto"/>
                                    <w:bottom w:val="none" w:sz="0" w:space="0" w:color="auto"/>
                                    <w:right w:val="none" w:sz="0" w:space="0" w:color="auto"/>
                                  </w:divBdr>
                                  <w:divsChild>
                                    <w:div w:id="147714033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DE20-9395-4139-8179-B3C3C97B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1130D55E</Template>
  <TotalTime>33</TotalTime>
  <Pages>17</Pages>
  <Words>3944</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Sexual orientation and sex and/or gender identity, Discussion Paper</vt:lpstr>
    </vt:vector>
  </TitlesOfParts>
  <Company>ADCQ</Company>
  <LinksUpToDate>false</LinksUpToDate>
  <CharactersWithSpaces>25941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orientation and sex and/or gender identity, Discussion Paper</dc:title>
  <dc:creator>balljx</dc:creator>
  <cp:lastModifiedBy>Coral Logan</cp:lastModifiedBy>
  <cp:revision>5</cp:revision>
  <cp:lastPrinted>2012-12-21T01:27:00Z</cp:lastPrinted>
  <dcterms:created xsi:type="dcterms:W3CDTF">2012-12-21T02:10:00Z</dcterms:created>
  <dcterms:modified xsi:type="dcterms:W3CDTF">2013-10-02T05:02:00Z</dcterms:modified>
</cp:coreProperties>
</file>