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79" w:rsidRPr="000B7ECC" w:rsidRDefault="003B0F67" w:rsidP="0092734D">
      <w:pPr>
        <w:autoSpaceDE w:val="0"/>
        <w:autoSpaceDN w:val="0"/>
        <w:adjustRightInd w:val="0"/>
        <w:spacing w:before="3960"/>
        <w:jc w:val="center"/>
        <w:rPr>
          <w:rFonts w:ascii="Arial" w:hAnsi="Arial" w:cs="Arial"/>
          <w:b/>
          <w:sz w:val="44"/>
          <w:szCs w:val="44"/>
        </w:rPr>
      </w:pPr>
      <w:r w:rsidRPr="000B7ECC">
        <w:rPr>
          <w:rFonts w:ascii="Arial" w:hAnsi="Arial" w:cs="Arial"/>
          <w:b/>
          <w:sz w:val="44"/>
          <w:szCs w:val="44"/>
        </w:rPr>
        <w:t>Submission</w:t>
      </w:r>
    </w:p>
    <w:p w:rsidR="00BF58F2" w:rsidRPr="000B7ECC" w:rsidRDefault="003B0F67" w:rsidP="00713075">
      <w:pPr>
        <w:autoSpaceDE w:val="0"/>
        <w:autoSpaceDN w:val="0"/>
        <w:adjustRightInd w:val="0"/>
        <w:spacing w:before="100" w:beforeAutospacing="1" w:after="240"/>
        <w:jc w:val="center"/>
        <w:rPr>
          <w:rFonts w:ascii="Arial" w:hAnsi="Arial" w:cs="Arial"/>
          <w:b/>
          <w:sz w:val="44"/>
          <w:szCs w:val="44"/>
        </w:rPr>
      </w:pPr>
      <w:r w:rsidRPr="000B7ECC">
        <w:rPr>
          <w:rFonts w:ascii="Arial" w:hAnsi="Arial" w:cs="Arial"/>
          <w:b/>
          <w:sz w:val="44"/>
          <w:szCs w:val="44"/>
        </w:rPr>
        <w:t>to</w:t>
      </w:r>
    </w:p>
    <w:p w:rsidR="003A34E4" w:rsidRDefault="00DA3C1A" w:rsidP="00713075">
      <w:pPr>
        <w:autoSpaceDE w:val="0"/>
        <w:autoSpaceDN w:val="0"/>
        <w:adjustRightInd w:val="0"/>
        <w:spacing w:before="100" w:beforeAutospacing="1" w:after="120"/>
        <w:jc w:val="center"/>
        <w:rPr>
          <w:rFonts w:ascii="Arial" w:hAnsi="Arial" w:cs="Arial"/>
          <w:b/>
          <w:sz w:val="44"/>
          <w:szCs w:val="44"/>
        </w:rPr>
      </w:pPr>
      <w:r w:rsidRPr="000B7ECC">
        <w:rPr>
          <w:rFonts w:ascii="Arial" w:hAnsi="Arial" w:cs="Arial"/>
          <w:b/>
          <w:sz w:val="44"/>
          <w:szCs w:val="44"/>
        </w:rPr>
        <w:t xml:space="preserve">Department of </w:t>
      </w:r>
    </w:p>
    <w:p w:rsidR="00BF58F2" w:rsidRPr="000B7ECC" w:rsidRDefault="00DA3C1A" w:rsidP="00713075">
      <w:pPr>
        <w:autoSpaceDE w:val="0"/>
        <w:autoSpaceDN w:val="0"/>
        <w:adjustRightInd w:val="0"/>
        <w:spacing w:before="100" w:beforeAutospacing="1" w:after="240"/>
        <w:jc w:val="center"/>
        <w:rPr>
          <w:rFonts w:ascii="Arial" w:hAnsi="Arial" w:cs="Arial"/>
          <w:b/>
          <w:sz w:val="44"/>
          <w:szCs w:val="44"/>
        </w:rPr>
      </w:pPr>
      <w:r w:rsidRPr="000B7ECC">
        <w:rPr>
          <w:rFonts w:ascii="Arial" w:hAnsi="Arial" w:cs="Arial"/>
          <w:b/>
          <w:sz w:val="44"/>
          <w:szCs w:val="44"/>
        </w:rPr>
        <w:t>Justice and Attorney-General</w:t>
      </w:r>
    </w:p>
    <w:p w:rsidR="001811B9" w:rsidRPr="000B7ECC" w:rsidRDefault="00DA3C1A" w:rsidP="00713075">
      <w:pPr>
        <w:autoSpaceDE w:val="0"/>
        <w:autoSpaceDN w:val="0"/>
        <w:adjustRightInd w:val="0"/>
        <w:spacing w:before="100" w:beforeAutospacing="1" w:after="240"/>
        <w:jc w:val="center"/>
        <w:rPr>
          <w:rFonts w:ascii="Arial" w:hAnsi="Arial" w:cs="Arial"/>
          <w:b/>
          <w:sz w:val="44"/>
          <w:szCs w:val="44"/>
        </w:rPr>
      </w:pPr>
      <w:r w:rsidRPr="000B7ECC">
        <w:rPr>
          <w:rFonts w:ascii="Arial" w:hAnsi="Arial" w:cs="Arial"/>
          <w:b/>
          <w:sz w:val="44"/>
          <w:szCs w:val="44"/>
        </w:rPr>
        <w:t>Review of the</w:t>
      </w:r>
      <w:r w:rsidR="003B0F67" w:rsidRPr="000B7ECC">
        <w:rPr>
          <w:rFonts w:ascii="Arial" w:hAnsi="Arial" w:cs="Arial"/>
          <w:b/>
          <w:sz w:val="44"/>
          <w:szCs w:val="44"/>
        </w:rPr>
        <w:t xml:space="preserve"> </w:t>
      </w:r>
      <w:r w:rsidR="00174FB9" w:rsidRPr="000B7ECC">
        <w:rPr>
          <w:rFonts w:ascii="Arial" w:hAnsi="Arial" w:cs="Arial"/>
          <w:b/>
          <w:i/>
          <w:sz w:val="44"/>
          <w:szCs w:val="44"/>
        </w:rPr>
        <w:t>Youth Justice Act</w:t>
      </w:r>
      <w:r w:rsidR="00827B7D" w:rsidRPr="000B7ECC">
        <w:rPr>
          <w:rFonts w:ascii="Arial" w:hAnsi="Arial" w:cs="Arial"/>
          <w:b/>
          <w:i/>
          <w:sz w:val="44"/>
          <w:szCs w:val="44"/>
        </w:rPr>
        <w:t xml:space="preserve"> </w:t>
      </w:r>
      <w:r w:rsidR="00174FB9" w:rsidRPr="000B7ECC">
        <w:rPr>
          <w:rFonts w:ascii="Arial" w:hAnsi="Arial" w:cs="Arial"/>
          <w:b/>
          <w:i/>
          <w:sz w:val="44"/>
          <w:szCs w:val="44"/>
        </w:rPr>
        <w:t>19</w:t>
      </w:r>
      <w:r w:rsidRPr="000B7ECC">
        <w:rPr>
          <w:rFonts w:ascii="Arial" w:hAnsi="Arial" w:cs="Arial"/>
          <w:b/>
          <w:i/>
          <w:sz w:val="44"/>
          <w:szCs w:val="44"/>
        </w:rPr>
        <w:t>9</w:t>
      </w:r>
      <w:r w:rsidR="00174FB9" w:rsidRPr="000B7ECC">
        <w:rPr>
          <w:rFonts w:ascii="Arial" w:hAnsi="Arial" w:cs="Arial"/>
          <w:b/>
          <w:i/>
          <w:sz w:val="44"/>
          <w:szCs w:val="44"/>
        </w:rPr>
        <w:t>2</w:t>
      </w:r>
    </w:p>
    <w:p w:rsidR="00CE17C0" w:rsidRPr="000B7ECC" w:rsidRDefault="00CE17C0" w:rsidP="0045584A">
      <w:pPr>
        <w:pStyle w:val="NormalWeb"/>
        <w:keepNext/>
        <w:pageBreakBefore/>
        <w:spacing w:before="120" w:beforeAutospacing="0" w:after="120" w:afterAutospacing="0" w:line="360" w:lineRule="auto"/>
        <w:jc w:val="both"/>
        <w:rPr>
          <w:rFonts w:ascii="Arial" w:hAnsi="Arial" w:cs="Arial"/>
          <w:b/>
          <w:color w:val="000000"/>
          <w:sz w:val="28"/>
          <w:szCs w:val="28"/>
          <w:lang w:val="en-AU"/>
        </w:rPr>
      </w:pPr>
      <w:r w:rsidRPr="000B7ECC">
        <w:rPr>
          <w:rFonts w:ascii="Arial" w:hAnsi="Arial" w:cs="Arial"/>
          <w:b/>
          <w:sz w:val="28"/>
          <w:szCs w:val="28"/>
          <w:lang w:val="en-AU"/>
        </w:rPr>
        <w:lastRenderedPageBreak/>
        <w:t>Introduction</w:t>
      </w:r>
    </w:p>
    <w:p w:rsidR="00D001DD" w:rsidRPr="000B7ECC" w:rsidRDefault="00D001DD" w:rsidP="00D001DD">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The Anti-Discrimination Commission Queensland (Commission) is an independent statutory authority established under the Queensland </w:t>
      </w:r>
      <w:r w:rsidRPr="000B7ECC">
        <w:rPr>
          <w:rStyle w:val="HTMLCite"/>
          <w:rFonts w:ascii="Arial" w:hAnsi="Arial" w:cs="Arial"/>
          <w:color w:val="000000"/>
          <w:lang w:val="en-AU"/>
        </w:rPr>
        <w:t>Anti-Discrimination Act 1991</w:t>
      </w:r>
      <w:r w:rsidRPr="000B7ECC">
        <w:rPr>
          <w:rFonts w:ascii="Arial" w:hAnsi="Arial" w:cs="Arial"/>
          <w:color w:val="000000"/>
          <w:lang w:val="en-AU"/>
        </w:rPr>
        <w:t>.</w:t>
      </w:r>
    </w:p>
    <w:p w:rsidR="00FB0304" w:rsidRPr="000B7ECC" w:rsidRDefault="00D001DD" w:rsidP="00FB0304">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The functions of the Commission include promoting an understanding, acceptance and public discussion of human rights in Queensland, as well as inquiring into and where possible effecting conciliation of complaints of contraventions of the </w:t>
      </w:r>
      <w:r w:rsidR="00D5371D" w:rsidRPr="000B7ECC">
        <w:rPr>
          <w:rStyle w:val="HTMLCite"/>
          <w:rFonts w:ascii="Arial" w:hAnsi="Arial" w:cs="Arial"/>
          <w:color w:val="000000"/>
          <w:lang w:val="en-AU"/>
        </w:rPr>
        <w:t xml:space="preserve">Anti-Discrimination Act 1991 </w:t>
      </w:r>
      <w:r w:rsidR="001B582B" w:rsidRPr="000B7ECC">
        <w:rPr>
          <w:rFonts w:ascii="Arial" w:hAnsi="Arial" w:cs="Arial"/>
          <w:color w:val="000000"/>
          <w:lang w:val="en-AU"/>
        </w:rPr>
        <w:t xml:space="preserve">and </w:t>
      </w:r>
      <w:r w:rsidR="001F1CBB" w:rsidRPr="000B7ECC">
        <w:rPr>
          <w:rFonts w:ascii="Arial" w:hAnsi="Arial" w:cs="Arial"/>
          <w:color w:val="000000"/>
          <w:lang w:val="en-AU"/>
        </w:rPr>
        <w:t xml:space="preserve">whistle-blower </w:t>
      </w:r>
      <w:r w:rsidR="001B582B" w:rsidRPr="000B7ECC">
        <w:rPr>
          <w:rFonts w:ascii="Arial" w:hAnsi="Arial" w:cs="Arial"/>
          <w:color w:val="000000"/>
          <w:lang w:val="en-AU"/>
        </w:rPr>
        <w:t>reprisal</w:t>
      </w:r>
      <w:r w:rsidRPr="000B7ECC">
        <w:rPr>
          <w:rFonts w:ascii="Arial" w:hAnsi="Arial" w:cs="Arial"/>
          <w:color w:val="000000"/>
          <w:lang w:val="en-AU"/>
        </w:rPr>
        <w:t xml:space="preserve">.  </w:t>
      </w:r>
      <w:r w:rsidR="003A34E4">
        <w:rPr>
          <w:rFonts w:ascii="Arial" w:hAnsi="Arial" w:cs="Arial"/>
          <w:color w:val="000000"/>
          <w:lang w:val="en-AU"/>
        </w:rPr>
        <w:t>‘</w:t>
      </w:r>
      <w:r w:rsidR="003A34E4" w:rsidRPr="003A34E4">
        <w:rPr>
          <w:rFonts w:ascii="Arial" w:hAnsi="Arial" w:cs="Arial"/>
          <w:color w:val="000000"/>
          <w:lang w:val="en-AU"/>
        </w:rPr>
        <w:t>Human r</w:t>
      </w:r>
      <w:r w:rsidR="00FB0304" w:rsidRPr="003A34E4">
        <w:rPr>
          <w:rFonts w:ascii="Arial" w:hAnsi="Arial" w:cs="Arial"/>
          <w:color w:val="000000"/>
          <w:lang w:val="en-AU"/>
        </w:rPr>
        <w:t>ights</w:t>
      </w:r>
      <w:r w:rsidR="003A34E4">
        <w:rPr>
          <w:rFonts w:ascii="Arial" w:hAnsi="Arial" w:cs="Arial"/>
          <w:color w:val="000000"/>
          <w:lang w:val="en-AU"/>
        </w:rPr>
        <w:t>’</w:t>
      </w:r>
      <w:r w:rsidR="00FB0304" w:rsidRPr="000B7ECC">
        <w:rPr>
          <w:rFonts w:ascii="Arial" w:hAnsi="Arial" w:cs="Arial"/>
          <w:color w:val="000000"/>
          <w:lang w:val="en-AU"/>
        </w:rPr>
        <w:t xml:space="preserve"> is defined by reference to the seven core international human rights instruments, which include the </w:t>
      </w:r>
      <w:r w:rsidR="00FB0304" w:rsidRPr="000B7ECC">
        <w:rPr>
          <w:rFonts w:ascii="Arial" w:hAnsi="Arial" w:cs="Arial"/>
          <w:i/>
          <w:color w:val="000000"/>
          <w:lang w:val="en-AU"/>
        </w:rPr>
        <w:t>Convention on the Rights of the Child</w:t>
      </w:r>
      <w:r w:rsidR="00FB0304" w:rsidRPr="000B7ECC">
        <w:rPr>
          <w:rFonts w:ascii="Arial" w:hAnsi="Arial" w:cs="Arial"/>
          <w:color w:val="000000"/>
          <w:lang w:val="en-AU"/>
        </w:rPr>
        <w:t xml:space="preserve">. </w:t>
      </w:r>
    </w:p>
    <w:p w:rsidR="00590E35" w:rsidRPr="000B7ECC" w:rsidRDefault="00590E35" w:rsidP="00D001DD">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This submission is in response to the information paper released </w:t>
      </w:r>
      <w:r w:rsidR="00A46B88" w:rsidRPr="000B7ECC">
        <w:rPr>
          <w:rFonts w:ascii="Arial" w:hAnsi="Arial" w:cs="Arial"/>
          <w:color w:val="000000"/>
          <w:lang w:val="en-AU"/>
        </w:rPr>
        <w:t xml:space="preserve">by the Queensland Government </w:t>
      </w:r>
      <w:r w:rsidRPr="000B7ECC">
        <w:rPr>
          <w:rFonts w:ascii="Arial" w:hAnsi="Arial" w:cs="Arial"/>
          <w:color w:val="000000"/>
          <w:lang w:val="en-AU"/>
        </w:rPr>
        <w:t xml:space="preserve">in March 2013, </w:t>
      </w:r>
      <w:r w:rsidRPr="000B7ECC">
        <w:rPr>
          <w:rFonts w:ascii="Arial" w:hAnsi="Arial" w:cs="Arial"/>
          <w:i/>
          <w:color w:val="000000"/>
          <w:lang w:val="en-AU"/>
        </w:rPr>
        <w:t>Safer Streets Crime Action Plan – Youth Justice,</w:t>
      </w:r>
      <w:r w:rsidRPr="000B7ECC">
        <w:rPr>
          <w:rFonts w:ascii="Arial" w:hAnsi="Arial" w:cs="Arial"/>
          <w:color w:val="000000"/>
          <w:lang w:val="en-AU"/>
        </w:rPr>
        <w:t xml:space="preserve"> which incorporates the government’s review of the </w:t>
      </w:r>
      <w:r w:rsidRPr="000B7ECC">
        <w:rPr>
          <w:rFonts w:ascii="Arial" w:hAnsi="Arial" w:cs="Arial"/>
          <w:i/>
          <w:color w:val="000000"/>
          <w:lang w:val="en-AU"/>
        </w:rPr>
        <w:t>Youth Justice Act 1992</w:t>
      </w:r>
      <w:r w:rsidRPr="000B7ECC">
        <w:rPr>
          <w:rFonts w:ascii="Arial" w:hAnsi="Arial" w:cs="Arial"/>
          <w:color w:val="000000"/>
          <w:lang w:val="en-AU"/>
        </w:rPr>
        <w:t xml:space="preserve"> as part of its second six-month action plan.</w:t>
      </w:r>
    </w:p>
    <w:p w:rsidR="003018EE" w:rsidRPr="000B7ECC" w:rsidRDefault="00AF2774" w:rsidP="00D001DD">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This submission focuses on aspects of the </w:t>
      </w:r>
      <w:r w:rsidR="00590E35" w:rsidRPr="000B7ECC">
        <w:rPr>
          <w:rFonts w:ascii="Arial" w:hAnsi="Arial" w:cs="Arial"/>
          <w:color w:val="000000"/>
          <w:lang w:val="en-AU"/>
        </w:rPr>
        <w:t>proposed reforms that potenti</w:t>
      </w:r>
      <w:r w:rsidR="00752D2E" w:rsidRPr="000B7ECC">
        <w:rPr>
          <w:rFonts w:ascii="Arial" w:hAnsi="Arial" w:cs="Arial"/>
          <w:color w:val="000000"/>
          <w:lang w:val="en-AU"/>
        </w:rPr>
        <w:t xml:space="preserve">ally </w:t>
      </w:r>
      <w:r w:rsidR="00590E35" w:rsidRPr="000B7ECC">
        <w:rPr>
          <w:rFonts w:ascii="Arial" w:hAnsi="Arial" w:cs="Arial"/>
          <w:color w:val="000000"/>
          <w:lang w:val="en-AU"/>
        </w:rPr>
        <w:t>impact human rights principles</w:t>
      </w:r>
      <w:r w:rsidRPr="000B7ECC">
        <w:rPr>
          <w:rFonts w:ascii="Arial" w:hAnsi="Arial" w:cs="Arial"/>
          <w:color w:val="000000"/>
          <w:lang w:val="en-AU"/>
        </w:rPr>
        <w:t>.</w:t>
      </w:r>
    </w:p>
    <w:p w:rsidR="0010281E" w:rsidRPr="000B7ECC" w:rsidRDefault="00F401C5" w:rsidP="0046334B">
      <w:pPr>
        <w:pStyle w:val="NormalWeb"/>
        <w:keepNext/>
        <w:spacing w:before="480" w:beforeAutospacing="0" w:after="120" w:afterAutospacing="0" w:line="360" w:lineRule="auto"/>
        <w:jc w:val="both"/>
        <w:rPr>
          <w:rFonts w:ascii="Arial" w:hAnsi="Arial" w:cs="Arial"/>
          <w:b/>
          <w:color w:val="000000"/>
          <w:sz w:val="28"/>
          <w:szCs w:val="28"/>
          <w:lang w:val="en-AU"/>
        </w:rPr>
      </w:pPr>
      <w:r w:rsidRPr="000B7ECC">
        <w:rPr>
          <w:rFonts w:ascii="Arial" w:hAnsi="Arial" w:cs="Arial"/>
          <w:b/>
          <w:sz w:val="28"/>
          <w:szCs w:val="28"/>
          <w:lang w:val="en-AU"/>
        </w:rPr>
        <w:t>R</w:t>
      </w:r>
      <w:r w:rsidR="00936FF8" w:rsidRPr="000B7ECC">
        <w:rPr>
          <w:rFonts w:ascii="Arial" w:hAnsi="Arial" w:cs="Arial"/>
          <w:b/>
          <w:sz w:val="28"/>
          <w:szCs w:val="28"/>
          <w:lang w:val="en-AU"/>
        </w:rPr>
        <w:t>ecommendations</w:t>
      </w:r>
    </w:p>
    <w:p w:rsidR="0010281E" w:rsidRPr="000B7ECC" w:rsidRDefault="00A16BA9" w:rsidP="00721149">
      <w:pPr>
        <w:pStyle w:val="NormalWeb"/>
        <w:numPr>
          <w:ilvl w:val="0"/>
          <w:numId w:val="2"/>
        </w:numPr>
        <w:spacing w:before="240" w:beforeAutospacing="0" w:after="240" w:afterAutospacing="0" w:line="360" w:lineRule="auto"/>
        <w:ind w:left="567" w:hanging="567"/>
        <w:jc w:val="both"/>
        <w:rPr>
          <w:rFonts w:ascii="Arial" w:hAnsi="Arial" w:cs="Arial"/>
          <w:color w:val="000000"/>
          <w:lang w:val="en-AU"/>
        </w:rPr>
      </w:pPr>
      <w:r w:rsidRPr="000B7ECC">
        <w:rPr>
          <w:rFonts w:ascii="Arial" w:hAnsi="Arial" w:cs="Arial"/>
          <w:color w:val="000000"/>
          <w:lang w:val="en-AU"/>
        </w:rPr>
        <w:t>In this submission, the Commission outlines and makes the following recommendations:</w:t>
      </w:r>
    </w:p>
    <w:p w:rsidR="009F360A" w:rsidRPr="000B7ECC" w:rsidRDefault="009F360A" w:rsidP="009F360A">
      <w:pPr>
        <w:pStyle w:val="NormalWeb"/>
        <w:numPr>
          <w:ilvl w:val="0"/>
          <w:numId w:val="24"/>
        </w:numPr>
        <w:tabs>
          <w:tab w:val="left" w:pos="1809"/>
        </w:tabs>
        <w:spacing w:before="120" w:beforeAutospacing="0" w:after="120" w:afterAutospacing="0" w:line="360" w:lineRule="auto"/>
        <w:ind w:hanging="513"/>
        <w:rPr>
          <w:rFonts w:ascii="Arial" w:hAnsi="Arial" w:cs="Arial"/>
          <w:lang w:val="en-AU"/>
        </w:rPr>
      </w:pPr>
      <w:r w:rsidRPr="000B7ECC">
        <w:rPr>
          <w:rFonts w:ascii="Arial" w:hAnsi="Arial" w:cs="Arial"/>
          <w:color w:val="000000"/>
          <w:lang w:val="en-AU"/>
        </w:rPr>
        <w:t xml:space="preserve">That the principle of detention as a last resort be retained in the </w:t>
      </w:r>
      <w:r w:rsidRPr="000B7ECC">
        <w:rPr>
          <w:rFonts w:ascii="Arial" w:hAnsi="Arial" w:cs="Arial"/>
          <w:i/>
          <w:color w:val="000000"/>
          <w:lang w:val="en-AU"/>
        </w:rPr>
        <w:t>Youth Justice Act 1992</w:t>
      </w:r>
      <w:r w:rsidRPr="000B7ECC">
        <w:rPr>
          <w:rFonts w:ascii="Arial" w:hAnsi="Arial" w:cs="Arial"/>
          <w:color w:val="000000"/>
          <w:lang w:val="en-AU"/>
        </w:rPr>
        <w:t>.</w:t>
      </w:r>
    </w:p>
    <w:p w:rsidR="009F360A" w:rsidRPr="000B7ECC" w:rsidRDefault="009F360A" w:rsidP="009F360A">
      <w:pPr>
        <w:pStyle w:val="NormalWeb"/>
        <w:numPr>
          <w:ilvl w:val="0"/>
          <w:numId w:val="24"/>
        </w:numPr>
        <w:tabs>
          <w:tab w:val="left" w:pos="1809"/>
        </w:tabs>
        <w:spacing w:before="120" w:beforeAutospacing="0" w:after="120" w:afterAutospacing="0" w:line="360" w:lineRule="auto"/>
        <w:ind w:hanging="513"/>
        <w:rPr>
          <w:rFonts w:ascii="Arial" w:hAnsi="Arial" w:cs="Arial"/>
          <w:lang w:val="en-AU"/>
        </w:rPr>
      </w:pPr>
      <w:r>
        <w:rPr>
          <w:rFonts w:ascii="Arial" w:hAnsi="Arial" w:cs="Arial"/>
          <w:color w:val="000000"/>
          <w:lang w:val="en-AU"/>
        </w:rPr>
        <w:t>That the Department consult with researchers and practitioners with expertise in the field of juvenile justice and develop an evidence-based approach to policy and strategies, in order to intervene early and prevent young people offending in the first place, or to prevent them from continuing to offend.</w:t>
      </w:r>
    </w:p>
    <w:p w:rsidR="009F360A" w:rsidRPr="000B7ECC" w:rsidRDefault="009F360A" w:rsidP="009F360A">
      <w:pPr>
        <w:pStyle w:val="NormalWeb"/>
        <w:keepNext/>
        <w:keepLines/>
        <w:numPr>
          <w:ilvl w:val="0"/>
          <w:numId w:val="24"/>
        </w:numPr>
        <w:tabs>
          <w:tab w:val="left" w:pos="1809"/>
        </w:tabs>
        <w:spacing w:before="120" w:beforeAutospacing="0" w:after="120" w:afterAutospacing="0" w:line="360" w:lineRule="auto"/>
        <w:ind w:hanging="513"/>
        <w:rPr>
          <w:rFonts w:ascii="Arial" w:hAnsi="Arial" w:cs="Arial"/>
          <w:lang w:val="en-AU"/>
        </w:rPr>
      </w:pPr>
      <w:r>
        <w:rPr>
          <w:rFonts w:ascii="Arial" w:hAnsi="Arial" w:cs="Arial"/>
          <w:color w:val="000000"/>
          <w:lang w:val="en-AU"/>
        </w:rPr>
        <w:lastRenderedPageBreak/>
        <w:t xml:space="preserve">That 17-year-olds be removed from adult prisons, and the regulation </w:t>
      </w:r>
      <w:proofErr w:type="gramStart"/>
      <w:r>
        <w:rPr>
          <w:rFonts w:ascii="Arial" w:hAnsi="Arial" w:cs="Arial"/>
          <w:color w:val="000000"/>
          <w:lang w:val="en-AU"/>
        </w:rPr>
        <w:t>be</w:t>
      </w:r>
      <w:proofErr w:type="gramEnd"/>
      <w:r>
        <w:rPr>
          <w:rFonts w:ascii="Arial" w:hAnsi="Arial" w:cs="Arial"/>
          <w:color w:val="000000"/>
          <w:lang w:val="en-AU"/>
        </w:rPr>
        <w:t xml:space="preserve"> made to change the definition of child to a person who has not turned 18 years.</w:t>
      </w:r>
    </w:p>
    <w:p w:rsidR="00CE17C0" w:rsidRPr="000B7ECC" w:rsidRDefault="00752D2E" w:rsidP="0046334B">
      <w:pPr>
        <w:pStyle w:val="NormalWeb"/>
        <w:keepNext/>
        <w:spacing w:before="480" w:beforeAutospacing="0" w:after="120" w:afterAutospacing="0" w:line="360" w:lineRule="auto"/>
        <w:jc w:val="both"/>
        <w:rPr>
          <w:rFonts w:ascii="Arial" w:hAnsi="Arial" w:cs="Arial"/>
          <w:b/>
          <w:color w:val="000000"/>
          <w:sz w:val="28"/>
          <w:szCs w:val="28"/>
          <w:lang w:val="en-AU"/>
        </w:rPr>
      </w:pPr>
      <w:r w:rsidRPr="000B7ECC">
        <w:rPr>
          <w:rFonts w:ascii="Arial" w:hAnsi="Arial" w:cs="Arial"/>
          <w:b/>
          <w:color w:val="000000"/>
          <w:sz w:val="28"/>
          <w:szCs w:val="28"/>
          <w:lang w:val="en-AU"/>
        </w:rPr>
        <w:t>Human rights landscape in Queensland</w:t>
      </w:r>
    </w:p>
    <w:p w:rsidR="00435A13" w:rsidRPr="000B7ECC" w:rsidRDefault="00670F52" w:rsidP="003844D1">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As a member of the United Nations, Australia has </w:t>
      </w:r>
      <w:r w:rsidR="00BC759A" w:rsidRPr="000B7ECC">
        <w:rPr>
          <w:rFonts w:ascii="Arial" w:hAnsi="Arial" w:cs="Arial"/>
          <w:color w:val="000000"/>
          <w:lang w:val="en-AU"/>
        </w:rPr>
        <w:t>committed</w:t>
      </w:r>
      <w:r w:rsidRPr="000B7ECC">
        <w:rPr>
          <w:rFonts w:ascii="Arial" w:hAnsi="Arial" w:cs="Arial"/>
          <w:color w:val="000000"/>
          <w:lang w:val="en-AU"/>
        </w:rPr>
        <w:t xml:space="preserve"> t</w:t>
      </w:r>
      <w:r w:rsidR="00F82569" w:rsidRPr="000B7ECC">
        <w:rPr>
          <w:rFonts w:ascii="Arial" w:hAnsi="Arial" w:cs="Arial"/>
          <w:color w:val="000000"/>
          <w:lang w:val="en-AU"/>
        </w:rPr>
        <w:t>o promoting respect for and observance of</w:t>
      </w:r>
      <w:r w:rsidRPr="000B7ECC">
        <w:rPr>
          <w:rFonts w:ascii="Arial" w:hAnsi="Arial" w:cs="Arial"/>
          <w:color w:val="000000"/>
          <w:lang w:val="en-AU"/>
        </w:rPr>
        <w:t xml:space="preserve"> human rights</w:t>
      </w:r>
      <w:r w:rsidR="00F82569" w:rsidRPr="000B7ECC">
        <w:rPr>
          <w:rFonts w:ascii="Arial" w:hAnsi="Arial" w:cs="Arial"/>
          <w:color w:val="000000"/>
          <w:lang w:val="en-AU"/>
        </w:rPr>
        <w:t>, and acting to achieve those ends</w:t>
      </w:r>
      <w:r w:rsidRPr="000B7ECC">
        <w:rPr>
          <w:rFonts w:ascii="Arial" w:hAnsi="Arial" w:cs="Arial"/>
          <w:color w:val="000000"/>
          <w:lang w:val="en-AU"/>
        </w:rPr>
        <w:t>.</w:t>
      </w:r>
      <w:r w:rsidR="00F82569" w:rsidRPr="000B7ECC">
        <w:rPr>
          <w:rFonts w:ascii="Arial" w:hAnsi="Arial" w:cs="Arial"/>
          <w:color w:val="000000"/>
          <w:lang w:val="en-AU"/>
        </w:rPr>
        <w:t xml:space="preserve">  Australia has agreed to respect, protect and ensure the human rights recognised in the </w:t>
      </w:r>
      <w:r w:rsidR="00F82569" w:rsidRPr="000B7ECC">
        <w:rPr>
          <w:rFonts w:ascii="Arial" w:hAnsi="Arial" w:cs="Arial"/>
          <w:i/>
          <w:color w:val="000000"/>
          <w:lang w:val="en-AU"/>
        </w:rPr>
        <w:t>Universal Declaration of Human Rights</w:t>
      </w:r>
      <w:r w:rsidR="00F82569" w:rsidRPr="000B7ECC">
        <w:rPr>
          <w:rFonts w:ascii="Arial" w:hAnsi="Arial" w:cs="Arial"/>
          <w:color w:val="000000"/>
          <w:lang w:val="en-AU"/>
        </w:rPr>
        <w:t>, adopted by the United Nations in 1948.</w:t>
      </w:r>
    </w:p>
    <w:p w:rsidR="00F82569" w:rsidRPr="000B7ECC" w:rsidRDefault="00F82569" w:rsidP="00F82569">
      <w:pPr>
        <w:pStyle w:val="NormalWeb"/>
        <w:numPr>
          <w:ilvl w:val="0"/>
          <w:numId w:val="2"/>
        </w:numPr>
        <w:spacing w:before="12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Australia has also ratified seven core international human rights treaties, namely:</w:t>
      </w:r>
    </w:p>
    <w:p w:rsidR="00F82569" w:rsidRPr="000B7ECC" w:rsidRDefault="00F82569" w:rsidP="009F360A">
      <w:pPr>
        <w:pStyle w:val="NormalWeb"/>
        <w:numPr>
          <w:ilvl w:val="0"/>
          <w:numId w:val="25"/>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International Covenant on Civil and Political Rights</w:t>
      </w:r>
      <w:r w:rsidRPr="000B7ECC">
        <w:rPr>
          <w:rFonts w:ascii="Arial" w:hAnsi="Arial" w:cs="Arial"/>
          <w:color w:val="000000"/>
          <w:lang w:val="en-AU"/>
        </w:rPr>
        <w:t>;</w:t>
      </w:r>
    </w:p>
    <w:p w:rsidR="00F82569" w:rsidRPr="000B7ECC" w:rsidRDefault="00F82569" w:rsidP="009F360A">
      <w:pPr>
        <w:pStyle w:val="NormalWeb"/>
        <w:numPr>
          <w:ilvl w:val="0"/>
          <w:numId w:val="25"/>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International Covenant on Economic, Social and Cultural Rights</w:t>
      </w:r>
      <w:r w:rsidRPr="000B7ECC">
        <w:rPr>
          <w:rFonts w:ascii="Arial" w:hAnsi="Arial" w:cs="Arial"/>
          <w:color w:val="000000"/>
          <w:lang w:val="en-AU"/>
        </w:rPr>
        <w:t>;</w:t>
      </w:r>
    </w:p>
    <w:p w:rsidR="00F82569" w:rsidRPr="000B7ECC" w:rsidRDefault="00F82569" w:rsidP="009F360A">
      <w:pPr>
        <w:pStyle w:val="NormalWeb"/>
        <w:numPr>
          <w:ilvl w:val="0"/>
          <w:numId w:val="25"/>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International Convention on the Elimination of All forms of Racial Discrimination</w:t>
      </w:r>
      <w:r w:rsidRPr="000B7ECC">
        <w:rPr>
          <w:rFonts w:ascii="Arial" w:hAnsi="Arial" w:cs="Arial"/>
          <w:color w:val="000000"/>
          <w:lang w:val="en-AU"/>
        </w:rPr>
        <w:t>;</w:t>
      </w:r>
    </w:p>
    <w:p w:rsidR="00F82569" w:rsidRPr="000B7ECC" w:rsidRDefault="00F82569" w:rsidP="009F360A">
      <w:pPr>
        <w:pStyle w:val="NormalWeb"/>
        <w:numPr>
          <w:ilvl w:val="0"/>
          <w:numId w:val="25"/>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Convention on the Elimination of All forms of Discrimination Against Women</w:t>
      </w:r>
      <w:r w:rsidRPr="000B7ECC">
        <w:rPr>
          <w:rFonts w:ascii="Arial" w:hAnsi="Arial" w:cs="Arial"/>
          <w:color w:val="000000"/>
          <w:lang w:val="en-AU"/>
        </w:rPr>
        <w:t>;</w:t>
      </w:r>
    </w:p>
    <w:p w:rsidR="00F82569" w:rsidRPr="000B7ECC" w:rsidRDefault="00F82569" w:rsidP="009F360A">
      <w:pPr>
        <w:pStyle w:val="NormalWeb"/>
        <w:numPr>
          <w:ilvl w:val="0"/>
          <w:numId w:val="25"/>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Convention Against Torture and Other Cruel, Inhuman or Degrading Treatment or Punishment</w:t>
      </w:r>
      <w:r w:rsidRPr="000B7ECC">
        <w:rPr>
          <w:rFonts w:ascii="Arial" w:hAnsi="Arial" w:cs="Arial"/>
          <w:color w:val="000000"/>
          <w:lang w:val="en-AU"/>
        </w:rPr>
        <w:t>;</w:t>
      </w:r>
    </w:p>
    <w:p w:rsidR="00F82569" w:rsidRPr="000B7ECC" w:rsidRDefault="00F82569" w:rsidP="009F360A">
      <w:pPr>
        <w:pStyle w:val="NormalWeb"/>
        <w:numPr>
          <w:ilvl w:val="0"/>
          <w:numId w:val="25"/>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003A34E4">
        <w:rPr>
          <w:rFonts w:ascii="Arial" w:hAnsi="Arial" w:cs="Arial"/>
          <w:i/>
          <w:color w:val="000000"/>
          <w:lang w:val="en-AU"/>
        </w:rPr>
        <w:t>Convention on the R</w:t>
      </w:r>
      <w:r w:rsidRPr="000B7ECC">
        <w:rPr>
          <w:rFonts w:ascii="Arial" w:hAnsi="Arial" w:cs="Arial"/>
          <w:i/>
          <w:color w:val="000000"/>
          <w:lang w:val="en-AU"/>
        </w:rPr>
        <w:t>ights of the Child;</w:t>
      </w:r>
      <w:r w:rsidRPr="000B7ECC">
        <w:rPr>
          <w:rFonts w:ascii="Arial" w:hAnsi="Arial" w:cs="Arial"/>
          <w:color w:val="000000"/>
          <w:lang w:val="en-AU"/>
        </w:rPr>
        <w:t xml:space="preserve"> and</w:t>
      </w:r>
    </w:p>
    <w:p w:rsidR="00F82569" w:rsidRPr="000B7ECC" w:rsidRDefault="00F82569" w:rsidP="009F360A">
      <w:pPr>
        <w:pStyle w:val="NormalWeb"/>
        <w:numPr>
          <w:ilvl w:val="0"/>
          <w:numId w:val="25"/>
        </w:numPr>
        <w:spacing w:before="120" w:beforeAutospacing="0" w:after="120" w:afterAutospacing="0" w:line="360" w:lineRule="auto"/>
        <w:ind w:left="993" w:hanging="426"/>
        <w:jc w:val="both"/>
        <w:rPr>
          <w:rFonts w:ascii="Arial" w:hAnsi="Arial" w:cs="Arial"/>
          <w:color w:val="000000"/>
          <w:lang w:val="en-AU"/>
        </w:rPr>
      </w:pPr>
      <w:proofErr w:type="gramStart"/>
      <w:r w:rsidRPr="000B7ECC">
        <w:rPr>
          <w:rFonts w:ascii="Arial" w:hAnsi="Arial" w:cs="Arial"/>
          <w:color w:val="000000"/>
          <w:lang w:val="en-AU"/>
        </w:rPr>
        <w:t>the</w:t>
      </w:r>
      <w:proofErr w:type="gramEnd"/>
      <w:r w:rsidRPr="000B7ECC">
        <w:rPr>
          <w:rFonts w:ascii="Arial" w:hAnsi="Arial" w:cs="Arial"/>
          <w:color w:val="000000"/>
          <w:lang w:val="en-AU"/>
        </w:rPr>
        <w:t xml:space="preserve"> </w:t>
      </w:r>
      <w:r w:rsidRPr="000B7ECC">
        <w:rPr>
          <w:rFonts w:ascii="Arial" w:hAnsi="Arial" w:cs="Arial"/>
          <w:i/>
          <w:color w:val="000000"/>
          <w:lang w:val="en-AU"/>
        </w:rPr>
        <w:t>Convention on the Rights of Persons with Disabilities</w:t>
      </w:r>
      <w:r w:rsidRPr="000B7ECC">
        <w:rPr>
          <w:rFonts w:ascii="Arial" w:hAnsi="Arial" w:cs="Arial"/>
          <w:color w:val="000000"/>
          <w:lang w:val="en-AU"/>
        </w:rPr>
        <w:t>.</w:t>
      </w:r>
    </w:p>
    <w:p w:rsidR="006B537F" w:rsidRPr="000B7ECC" w:rsidRDefault="006B537F" w:rsidP="004F4A3D">
      <w:pPr>
        <w:pStyle w:val="NormalWeb"/>
        <w:numPr>
          <w:ilvl w:val="0"/>
          <w:numId w:val="2"/>
        </w:numPr>
        <w:spacing w:before="12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As part of its obligations under the international human r</w:t>
      </w:r>
      <w:r w:rsidR="003A34E4">
        <w:rPr>
          <w:rFonts w:ascii="Arial" w:hAnsi="Arial" w:cs="Arial"/>
          <w:color w:val="000000"/>
          <w:lang w:val="en-AU"/>
        </w:rPr>
        <w:t>ights treaties, the Australian G</w:t>
      </w:r>
      <w:r w:rsidRPr="000B7ECC">
        <w:rPr>
          <w:rFonts w:ascii="Arial" w:hAnsi="Arial" w:cs="Arial"/>
          <w:color w:val="000000"/>
          <w:lang w:val="en-AU"/>
        </w:rPr>
        <w:t>overnment has enacted five pieces of legislation</w:t>
      </w:r>
      <w:r w:rsidR="00FB0304" w:rsidRPr="000B7ECC">
        <w:rPr>
          <w:rFonts w:ascii="Arial" w:hAnsi="Arial" w:cs="Arial"/>
          <w:color w:val="000000"/>
          <w:lang w:val="en-AU"/>
        </w:rPr>
        <w:t>,</w:t>
      </w:r>
      <w:r w:rsidR="00B906C9" w:rsidRPr="000B7ECC">
        <w:rPr>
          <w:rFonts w:ascii="Arial" w:hAnsi="Arial" w:cs="Arial"/>
          <w:color w:val="000000"/>
          <w:lang w:val="en-AU"/>
        </w:rPr>
        <w:t xml:space="preserve"> and established the Australian Human Rights Commission with various functions under the legislation.  The five Acts are:</w:t>
      </w:r>
    </w:p>
    <w:p w:rsidR="00B906C9" w:rsidRPr="000B7ECC" w:rsidRDefault="00B906C9" w:rsidP="009F360A">
      <w:pPr>
        <w:pStyle w:val="NormalWeb"/>
        <w:numPr>
          <w:ilvl w:val="0"/>
          <w:numId w:val="26"/>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Racial Discrimination Act 1975</w:t>
      </w:r>
      <w:r w:rsidRPr="000B7ECC">
        <w:rPr>
          <w:rFonts w:ascii="Arial" w:hAnsi="Arial" w:cs="Arial"/>
          <w:color w:val="000000"/>
          <w:lang w:val="en-AU"/>
        </w:rPr>
        <w:t>;</w:t>
      </w:r>
    </w:p>
    <w:p w:rsidR="00B906C9" w:rsidRPr="000B7ECC" w:rsidRDefault="00B906C9" w:rsidP="009F360A">
      <w:pPr>
        <w:pStyle w:val="NormalWeb"/>
        <w:numPr>
          <w:ilvl w:val="0"/>
          <w:numId w:val="26"/>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Sex Discrimination Act 1984</w:t>
      </w:r>
      <w:r w:rsidRPr="000B7ECC">
        <w:rPr>
          <w:rFonts w:ascii="Arial" w:hAnsi="Arial" w:cs="Arial"/>
          <w:color w:val="000000"/>
          <w:lang w:val="en-AU"/>
        </w:rPr>
        <w:t>;</w:t>
      </w:r>
    </w:p>
    <w:p w:rsidR="00B906C9" w:rsidRPr="000B7ECC" w:rsidRDefault="00B906C9" w:rsidP="009F360A">
      <w:pPr>
        <w:pStyle w:val="NormalWeb"/>
        <w:numPr>
          <w:ilvl w:val="0"/>
          <w:numId w:val="26"/>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Australian Human Rights Commission Act 1986</w:t>
      </w:r>
      <w:r w:rsidRPr="000B7ECC">
        <w:rPr>
          <w:rFonts w:ascii="Arial" w:hAnsi="Arial" w:cs="Arial"/>
          <w:color w:val="000000"/>
          <w:lang w:val="en-AU"/>
        </w:rPr>
        <w:t>;</w:t>
      </w:r>
    </w:p>
    <w:p w:rsidR="00B906C9" w:rsidRPr="000B7ECC" w:rsidRDefault="00B906C9" w:rsidP="009F360A">
      <w:pPr>
        <w:pStyle w:val="NormalWeb"/>
        <w:numPr>
          <w:ilvl w:val="0"/>
          <w:numId w:val="26"/>
        </w:numPr>
        <w:spacing w:before="12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Disability Discrimination Act 1992</w:t>
      </w:r>
      <w:r w:rsidRPr="000B7ECC">
        <w:rPr>
          <w:rFonts w:ascii="Arial" w:hAnsi="Arial" w:cs="Arial"/>
          <w:color w:val="000000"/>
          <w:lang w:val="en-AU"/>
        </w:rPr>
        <w:t>; and</w:t>
      </w:r>
    </w:p>
    <w:p w:rsidR="00B906C9" w:rsidRPr="000B7ECC" w:rsidRDefault="00B906C9" w:rsidP="009F360A">
      <w:pPr>
        <w:pStyle w:val="NormalWeb"/>
        <w:numPr>
          <w:ilvl w:val="0"/>
          <w:numId w:val="26"/>
        </w:numPr>
        <w:spacing w:before="120" w:beforeAutospacing="0" w:after="120" w:afterAutospacing="0" w:line="360" w:lineRule="auto"/>
        <w:ind w:left="993" w:hanging="426"/>
        <w:jc w:val="both"/>
        <w:rPr>
          <w:rFonts w:ascii="Arial" w:hAnsi="Arial" w:cs="Arial"/>
          <w:color w:val="000000"/>
          <w:lang w:val="en-AU"/>
        </w:rPr>
      </w:pPr>
      <w:proofErr w:type="gramStart"/>
      <w:r w:rsidRPr="000B7ECC">
        <w:rPr>
          <w:rFonts w:ascii="Arial" w:hAnsi="Arial" w:cs="Arial"/>
          <w:color w:val="000000"/>
          <w:lang w:val="en-AU"/>
        </w:rPr>
        <w:lastRenderedPageBreak/>
        <w:t>the</w:t>
      </w:r>
      <w:proofErr w:type="gramEnd"/>
      <w:r w:rsidRPr="000B7ECC">
        <w:rPr>
          <w:rFonts w:ascii="Arial" w:hAnsi="Arial" w:cs="Arial"/>
          <w:color w:val="000000"/>
          <w:lang w:val="en-AU"/>
        </w:rPr>
        <w:t xml:space="preserve"> </w:t>
      </w:r>
      <w:r w:rsidRPr="000B7ECC">
        <w:rPr>
          <w:rFonts w:ascii="Arial" w:hAnsi="Arial" w:cs="Arial"/>
          <w:i/>
          <w:color w:val="000000"/>
          <w:lang w:val="en-AU"/>
        </w:rPr>
        <w:t>Age Discrimination Act 2004</w:t>
      </w:r>
      <w:r w:rsidRPr="000B7ECC">
        <w:rPr>
          <w:rFonts w:ascii="Arial" w:hAnsi="Arial" w:cs="Arial"/>
          <w:color w:val="000000"/>
          <w:lang w:val="en-AU"/>
        </w:rPr>
        <w:t>.</w:t>
      </w:r>
    </w:p>
    <w:p w:rsidR="00B906C9" w:rsidRPr="000B7ECC" w:rsidRDefault="00B906C9" w:rsidP="004F4A3D">
      <w:pPr>
        <w:pStyle w:val="NormalWeb"/>
        <w:numPr>
          <w:ilvl w:val="0"/>
          <w:numId w:val="2"/>
        </w:numPr>
        <w:spacing w:before="12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In Queensland, the </w:t>
      </w:r>
      <w:r w:rsidRPr="000B7ECC">
        <w:rPr>
          <w:rFonts w:ascii="Arial" w:hAnsi="Arial" w:cs="Arial"/>
          <w:i/>
          <w:color w:val="000000"/>
          <w:lang w:val="en-AU"/>
        </w:rPr>
        <w:t>Anti-Discrimination Act 1991</w:t>
      </w:r>
      <w:r w:rsidRPr="000B7ECC">
        <w:rPr>
          <w:rFonts w:ascii="Arial" w:hAnsi="Arial" w:cs="Arial"/>
          <w:color w:val="000000"/>
          <w:lang w:val="en-AU"/>
        </w:rPr>
        <w:t xml:space="preserve"> was enacted to extend the Commonwealth human rights legislation</w:t>
      </w:r>
      <w:r w:rsidR="00D120DF" w:rsidRPr="000B7ECC">
        <w:rPr>
          <w:rFonts w:ascii="Arial" w:hAnsi="Arial" w:cs="Arial"/>
          <w:color w:val="000000"/>
          <w:lang w:val="en-AU"/>
        </w:rPr>
        <w:t>.  The Preamble states that the Parliament considers that:</w:t>
      </w:r>
      <w:r w:rsidR="00D120DF" w:rsidRPr="000B7ECC">
        <w:rPr>
          <w:rStyle w:val="FootnoteReference"/>
          <w:rFonts w:ascii="Arial" w:hAnsi="Arial" w:cs="Arial"/>
          <w:color w:val="000000"/>
          <w:lang w:val="en-AU"/>
        </w:rPr>
        <w:footnoteReference w:id="1"/>
      </w:r>
    </w:p>
    <w:p w:rsidR="00D120DF" w:rsidRPr="000B7ECC" w:rsidRDefault="00D120DF" w:rsidP="009F360A">
      <w:pPr>
        <w:pStyle w:val="NormalWeb"/>
        <w:numPr>
          <w:ilvl w:val="0"/>
          <w:numId w:val="27"/>
        </w:numPr>
        <w:spacing w:before="120" w:beforeAutospacing="0" w:after="120" w:afterAutospacing="0" w:line="360" w:lineRule="auto"/>
        <w:ind w:left="993" w:right="820" w:hanging="426"/>
        <w:jc w:val="both"/>
        <w:rPr>
          <w:rFonts w:ascii="Arial" w:hAnsi="Arial" w:cs="Arial"/>
          <w:color w:val="000000"/>
          <w:sz w:val="22"/>
          <w:szCs w:val="22"/>
          <w:lang w:val="en-AU"/>
        </w:rPr>
      </w:pPr>
      <w:r w:rsidRPr="000B7ECC">
        <w:rPr>
          <w:rFonts w:ascii="Arial" w:hAnsi="Arial" w:cs="Arial"/>
          <w:color w:val="000000"/>
          <w:sz w:val="22"/>
          <w:szCs w:val="22"/>
          <w:lang w:val="en-AU"/>
        </w:rPr>
        <w:t>everyone should be equal before and under the law and have the right to equal protection and equal benefit of the law without discrimination; and</w:t>
      </w:r>
    </w:p>
    <w:p w:rsidR="00D120DF" w:rsidRPr="000B7ECC" w:rsidRDefault="00D120DF" w:rsidP="009F360A">
      <w:pPr>
        <w:pStyle w:val="NormalWeb"/>
        <w:numPr>
          <w:ilvl w:val="0"/>
          <w:numId w:val="27"/>
        </w:numPr>
        <w:spacing w:before="120" w:beforeAutospacing="0" w:after="120" w:afterAutospacing="0" w:line="360" w:lineRule="auto"/>
        <w:ind w:left="993" w:right="820" w:hanging="426"/>
        <w:jc w:val="both"/>
        <w:rPr>
          <w:rFonts w:ascii="Arial" w:hAnsi="Arial" w:cs="Arial"/>
          <w:color w:val="000000"/>
          <w:sz w:val="22"/>
          <w:szCs w:val="22"/>
          <w:lang w:val="en-AU"/>
        </w:rPr>
      </w:pPr>
      <w:r w:rsidRPr="000B7ECC">
        <w:rPr>
          <w:rFonts w:ascii="Arial" w:hAnsi="Arial" w:cs="Arial"/>
          <w:color w:val="000000"/>
          <w:sz w:val="22"/>
          <w:szCs w:val="22"/>
          <w:lang w:val="en-AU"/>
        </w:rPr>
        <w:t>the protection of fragile freedoms is best effected by legislation that reflects the aspirations and needs of contemporary society; and</w:t>
      </w:r>
    </w:p>
    <w:p w:rsidR="00D120DF" w:rsidRPr="000B7ECC" w:rsidRDefault="00D120DF" w:rsidP="009F360A">
      <w:pPr>
        <w:pStyle w:val="NormalWeb"/>
        <w:numPr>
          <w:ilvl w:val="0"/>
          <w:numId w:val="27"/>
        </w:numPr>
        <w:spacing w:before="120" w:beforeAutospacing="0" w:after="120" w:afterAutospacing="0" w:line="360" w:lineRule="auto"/>
        <w:ind w:left="993" w:right="820" w:hanging="426"/>
        <w:jc w:val="both"/>
        <w:rPr>
          <w:rFonts w:ascii="Arial" w:hAnsi="Arial" w:cs="Arial"/>
          <w:color w:val="000000"/>
          <w:sz w:val="22"/>
          <w:szCs w:val="22"/>
          <w:lang w:val="en-AU"/>
        </w:rPr>
      </w:pPr>
      <w:proofErr w:type="gramStart"/>
      <w:r w:rsidRPr="000B7ECC">
        <w:rPr>
          <w:rFonts w:ascii="Arial" w:hAnsi="Arial" w:cs="Arial"/>
          <w:color w:val="000000"/>
          <w:sz w:val="22"/>
          <w:szCs w:val="22"/>
          <w:lang w:val="en-AU"/>
        </w:rPr>
        <w:t>the</w:t>
      </w:r>
      <w:proofErr w:type="gramEnd"/>
      <w:r w:rsidRPr="000B7ECC">
        <w:rPr>
          <w:rFonts w:ascii="Arial" w:hAnsi="Arial" w:cs="Arial"/>
          <w:color w:val="000000"/>
          <w:sz w:val="22"/>
          <w:szCs w:val="22"/>
          <w:lang w:val="en-AU"/>
        </w:rPr>
        <w:t xml:space="preserve"> quality of democratic life is improved by an educated community appreciative and respectful of the dignity and worth of everyone.</w:t>
      </w:r>
    </w:p>
    <w:p w:rsidR="004F4A3D" w:rsidRPr="000B7ECC" w:rsidRDefault="006A1EF8" w:rsidP="00733E47">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W</w:t>
      </w:r>
      <w:r w:rsidR="006F5FB1" w:rsidRPr="000B7ECC">
        <w:rPr>
          <w:rFonts w:ascii="Arial" w:hAnsi="Arial" w:cs="Arial"/>
          <w:color w:val="000000"/>
          <w:lang w:val="en-AU"/>
        </w:rPr>
        <w:t xml:space="preserve">ith the </w:t>
      </w:r>
      <w:r w:rsidR="00D506E5" w:rsidRPr="000B7ECC">
        <w:rPr>
          <w:rFonts w:ascii="Arial" w:hAnsi="Arial" w:cs="Arial"/>
          <w:color w:val="000000"/>
          <w:lang w:val="en-AU"/>
        </w:rPr>
        <w:t xml:space="preserve">constitutional division of powers between the Commonwealth and the States, obligations under the international human rights instruments to incorporate the objectives and principles of the various rights and freedoms into legislation, will fall, to some extent, on the States.  </w:t>
      </w:r>
      <w:r w:rsidR="00205DD0" w:rsidRPr="000B7ECC">
        <w:rPr>
          <w:rFonts w:ascii="Arial" w:hAnsi="Arial" w:cs="Arial"/>
          <w:color w:val="000000"/>
          <w:lang w:val="en-AU"/>
        </w:rPr>
        <w:t>T</w:t>
      </w:r>
      <w:r w:rsidR="00D506E5" w:rsidRPr="000B7ECC">
        <w:rPr>
          <w:rFonts w:ascii="Arial" w:hAnsi="Arial" w:cs="Arial"/>
          <w:color w:val="000000"/>
          <w:lang w:val="en-AU"/>
        </w:rPr>
        <w:t xml:space="preserve">he </w:t>
      </w:r>
      <w:r w:rsidR="00D506E5" w:rsidRPr="000B7ECC">
        <w:rPr>
          <w:rFonts w:ascii="Arial" w:hAnsi="Arial" w:cs="Arial"/>
          <w:i/>
          <w:color w:val="000000"/>
          <w:lang w:val="en-AU"/>
        </w:rPr>
        <w:t>Anti-Discrimination Act 1991</w:t>
      </w:r>
      <w:r w:rsidR="00205DD0" w:rsidRPr="000B7ECC">
        <w:rPr>
          <w:rFonts w:ascii="Arial" w:hAnsi="Arial" w:cs="Arial"/>
          <w:color w:val="000000"/>
          <w:lang w:val="en-AU"/>
        </w:rPr>
        <w:t xml:space="preserve"> only fulfils part of the human rights obligations</w:t>
      </w:r>
      <w:r w:rsidR="00D506E5" w:rsidRPr="000B7ECC">
        <w:rPr>
          <w:rFonts w:ascii="Arial" w:hAnsi="Arial" w:cs="Arial"/>
          <w:color w:val="000000"/>
          <w:lang w:val="en-AU"/>
        </w:rPr>
        <w:t xml:space="preserve">.  </w:t>
      </w:r>
      <w:r w:rsidR="00205DD0" w:rsidRPr="000B7ECC">
        <w:rPr>
          <w:rFonts w:ascii="Arial" w:hAnsi="Arial" w:cs="Arial"/>
          <w:color w:val="000000"/>
          <w:lang w:val="en-AU"/>
        </w:rPr>
        <w:t>A</w:t>
      </w:r>
      <w:r w:rsidR="00D506E5" w:rsidRPr="000B7ECC">
        <w:rPr>
          <w:rFonts w:ascii="Arial" w:hAnsi="Arial" w:cs="Arial"/>
          <w:color w:val="000000"/>
          <w:lang w:val="en-AU"/>
        </w:rPr>
        <w:t xml:space="preserve">ll Queensland legislation </w:t>
      </w:r>
      <w:r w:rsidR="00205DD0" w:rsidRPr="000B7ECC">
        <w:rPr>
          <w:rFonts w:ascii="Arial" w:hAnsi="Arial" w:cs="Arial"/>
          <w:color w:val="000000"/>
          <w:lang w:val="en-AU"/>
        </w:rPr>
        <w:t xml:space="preserve">ought to </w:t>
      </w:r>
      <w:r w:rsidR="00D506E5" w:rsidRPr="000B7ECC">
        <w:rPr>
          <w:rFonts w:ascii="Arial" w:hAnsi="Arial" w:cs="Arial"/>
          <w:color w:val="000000"/>
          <w:lang w:val="en-AU"/>
        </w:rPr>
        <w:t>be consistent with and reflect the human rights principles, rights and responsibilities under the international human rights instruments.</w:t>
      </w:r>
    </w:p>
    <w:p w:rsidR="000715DE" w:rsidRPr="000B7ECC" w:rsidRDefault="000715DE" w:rsidP="00733E47">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The international human rights instruments relevant to Queensland’s </w:t>
      </w:r>
      <w:r w:rsidR="00E1730E" w:rsidRPr="000B7ECC">
        <w:rPr>
          <w:rFonts w:ascii="Arial" w:hAnsi="Arial" w:cs="Arial"/>
          <w:color w:val="000000"/>
          <w:lang w:val="en-AU"/>
        </w:rPr>
        <w:t xml:space="preserve">proposed </w:t>
      </w:r>
      <w:r w:rsidRPr="000B7ECC">
        <w:rPr>
          <w:rFonts w:ascii="Arial" w:hAnsi="Arial" w:cs="Arial"/>
          <w:color w:val="000000"/>
          <w:lang w:val="en-AU"/>
        </w:rPr>
        <w:t xml:space="preserve">reform of youth justice and review of the </w:t>
      </w:r>
      <w:r w:rsidRPr="000B7ECC">
        <w:rPr>
          <w:rFonts w:ascii="Arial" w:hAnsi="Arial" w:cs="Arial"/>
          <w:i/>
          <w:color w:val="000000"/>
          <w:lang w:val="en-AU"/>
        </w:rPr>
        <w:t>Youth Justice Act 1992</w:t>
      </w:r>
      <w:r w:rsidRPr="000B7ECC">
        <w:rPr>
          <w:rFonts w:ascii="Arial" w:hAnsi="Arial" w:cs="Arial"/>
          <w:color w:val="000000"/>
          <w:lang w:val="en-AU"/>
        </w:rPr>
        <w:t>, include:</w:t>
      </w:r>
    </w:p>
    <w:p w:rsidR="000715DE" w:rsidRPr="000B7ECC" w:rsidRDefault="000715DE" w:rsidP="009F360A">
      <w:pPr>
        <w:pStyle w:val="NormalWeb"/>
        <w:numPr>
          <w:ilvl w:val="0"/>
          <w:numId w:val="28"/>
        </w:numPr>
        <w:spacing w:before="24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Universal Declaration of Human Rights</w:t>
      </w:r>
      <w:r w:rsidRPr="000B7ECC">
        <w:rPr>
          <w:rFonts w:ascii="Arial" w:hAnsi="Arial" w:cs="Arial"/>
          <w:color w:val="000000"/>
          <w:lang w:val="en-AU"/>
        </w:rPr>
        <w:t xml:space="preserve"> – where it is proclaimed that childhood is entitled to special care and assistance;</w:t>
      </w:r>
    </w:p>
    <w:p w:rsidR="000715DE" w:rsidRPr="000B7ECC" w:rsidRDefault="0072223C" w:rsidP="009F360A">
      <w:pPr>
        <w:pStyle w:val="NormalWeb"/>
        <w:numPr>
          <w:ilvl w:val="0"/>
          <w:numId w:val="28"/>
        </w:numPr>
        <w:spacing w:before="24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International Covenant on Civil and Political Rights</w:t>
      </w:r>
      <w:r w:rsidRPr="000B7ECC">
        <w:rPr>
          <w:rFonts w:ascii="Arial" w:hAnsi="Arial" w:cs="Arial"/>
          <w:color w:val="000000"/>
          <w:lang w:val="en-AU"/>
        </w:rPr>
        <w:t xml:space="preserve"> – in particular articles 23 and 24 where </w:t>
      </w:r>
      <w:r w:rsidR="00796C01" w:rsidRPr="000B7ECC">
        <w:rPr>
          <w:rFonts w:ascii="Arial" w:hAnsi="Arial" w:cs="Arial"/>
          <w:color w:val="000000"/>
          <w:lang w:val="en-AU"/>
        </w:rPr>
        <w:t>it is provided that the family is the natural and fundamental group unit of society entitled to protection, and that every child shall have the right to such measures of protection as are required by his status as a minor</w:t>
      </w:r>
      <w:r w:rsidRPr="000B7ECC">
        <w:rPr>
          <w:rFonts w:ascii="Arial" w:hAnsi="Arial" w:cs="Arial"/>
          <w:color w:val="000000"/>
          <w:lang w:val="en-AU"/>
        </w:rPr>
        <w:t>;</w:t>
      </w:r>
    </w:p>
    <w:p w:rsidR="0072223C" w:rsidRPr="000B7ECC" w:rsidRDefault="0072223C" w:rsidP="009F360A">
      <w:pPr>
        <w:pStyle w:val="NormalWeb"/>
        <w:numPr>
          <w:ilvl w:val="0"/>
          <w:numId w:val="28"/>
        </w:numPr>
        <w:spacing w:before="24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International Covenant on Economic, Social and Cultural Rights</w:t>
      </w:r>
      <w:r w:rsidRPr="000B7ECC">
        <w:rPr>
          <w:rFonts w:ascii="Arial" w:hAnsi="Arial" w:cs="Arial"/>
          <w:color w:val="000000"/>
          <w:lang w:val="en-AU"/>
        </w:rPr>
        <w:t xml:space="preserve"> – in particular article 10 where</w:t>
      </w:r>
      <w:r w:rsidR="0079519D" w:rsidRPr="000B7ECC">
        <w:rPr>
          <w:rFonts w:ascii="Arial" w:hAnsi="Arial" w:cs="Arial"/>
          <w:color w:val="000000"/>
          <w:lang w:val="en-AU"/>
        </w:rPr>
        <w:t xml:space="preserve"> it is recognised that the widest possible </w:t>
      </w:r>
      <w:r w:rsidR="0079519D" w:rsidRPr="000B7ECC">
        <w:rPr>
          <w:rFonts w:ascii="Arial" w:hAnsi="Arial" w:cs="Arial"/>
          <w:color w:val="000000"/>
          <w:lang w:val="en-AU"/>
        </w:rPr>
        <w:lastRenderedPageBreak/>
        <w:t>protection and assistance should be accorded to the family</w:t>
      </w:r>
      <w:r w:rsidR="00E1730E" w:rsidRPr="000B7ECC">
        <w:rPr>
          <w:rFonts w:ascii="Arial" w:hAnsi="Arial" w:cs="Arial"/>
          <w:color w:val="000000"/>
          <w:lang w:val="en-AU"/>
        </w:rPr>
        <w:t>,</w:t>
      </w:r>
      <w:r w:rsidR="0079519D" w:rsidRPr="000B7ECC">
        <w:rPr>
          <w:rFonts w:ascii="Arial" w:hAnsi="Arial" w:cs="Arial"/>
          <w:color w:val="000000"/>
          <w:lang w:val="en-AU"/>
        </w:rPr>
        <w:t xml:space="preserve"> and that special measures of protection and assistance should be taken on behalf of all children and young persons</w:t>
      </w:r>
      <w:r w:rsidRPr="000B7ECC">
        <w:rPr>
          <w:rFonts w:ascii="Arial" w:hAnsi="Arial" w:cs="Arial"/>
          <w:color w:val="000000"/>
          <w:lang w:val="en-AU"/>
        </w:rPr>
        <w:t>; and</w:t>
      </w:r>
    </w:p>
    <w:p w:rsidR="0072223C" w:rsidRPr="000B7ECC" w:rsidRDefault="0072223C" w:rsidP="009F360A">
      <w:pPr>
        <w:pStyle w:val="NormalWeb"/>
        <w:numPr>
          <w:ilvl w:val="0"/>
          <w:numId w:val="28"/>
        </w:numPr>
        <w:spacing w:before="240" w:beforeAutospacing="0" w:after="120" w:afterAutospacing="0" w:line="360" w:lineRule="auto"/>
        <w:ind w:left="993" w:hanging="426"/>
        <w:jc w:val="both"/>
        <w:rPr>
          <w:rFonts w:ascii="Arial" w:hAnsi="Arial" w:cs="Arial"/>
          <w:color w:val="000000"/>
          <w:lang w:val="en-AU"/>
        </w:rPr>
      </w:pPr>
      <w:r w:rsidRPr="000B7ECC">
        <w:rPr>
          <w:rFonts w:ascii="Arial" w:hAnsi="Arial" w:cs="Arial"/>
          <w:color w:val="000000"/>
          <w:lang w:val="en-AU"/>
        </w:rPr>
        <w:t xml:space="preserve">the </w:t>
      </w:r>
      <w:r w:rsidRPr="000B7ECC">
        <w:rPr>
          <w:rFonts w:ascii="Arial" w:hAnsi="Arial" w:cs="Arial"/>
          <w:i/>
          <w:color w:val="000000"/>
          <w:lang w:val="en-AU"/>
        </w:rPr>
        <w:t>Convention on the Rights of the Child</w:t>
      </w:r>
      <w:r w:rsidR="00796C01" w:rsidRPr="000B7ECC">
        <w:rPr>
          <w:rFonts w:ascii="Arial" w:hAnsi="Arial" w:cs="Arial"/>
          <w:i/>
          <w:color w:val="000000"/>
          <w:lang w:val="en-AU"/>
        </w:rPr>
        <w:t xml:space="preserve"> </w:t>
      </w:r>
      <w:r w:rsidR="00796C01" w:rsidRPr="000B7ECC">
        <w:rPr>
          <w:rFonts w:ascii="Arial" w:hAnsi="Arial" w:cs="Arial"/>
          <w:color w:val="000000"/>
          <w:lang w:val="en-AU"/>
        </w:rPr>
        <w:t>– where a child is defined to mean every human being below the age of 18 years</w:t>
      </w:r>
      <w:r w:rsidR="00E1730E" w:rsidRPr="000B7ECC">
        <w:rPr>
          <w:rFonts w:ascii="Arial" w:hAnsi="Arial" w:cs="Arial"/>
          <w:color w:val="000000"/>
          <w:lang w:val="en-AU"/>
        </w:rPr>
        <w:t>,</w:t>
      </w:r>
      <w:r w:rsidR="00796C01" w:rsidRPr="000B7ECC">
        <w:rPr>
          <w:rFonts w:ascii="Arial" w:hAnsi="Arial" w:cs="Arial"/>
          <w:color w:val="000000"/>
          <w:lang w:val="en-AU"/>
        </w:rPr>
        <w:t xml:space="preserve"> and where  various rights and protections of the child are set out</w:t>
      </w:r>
      <w:r w:rsidRPr="000B7ECC">
        <w:rPr>
          <w:rFonts w:ascii="Arial" w:hAnsi="Arial" w:cs="Arial"/>
          <w:color w:val="000000"/>
          <w:lang w:val="en-AU"/>
        </w:rPr>
        <w:t>.</w:t>
      </w:r>
    </w:p>
    <w:p w:rsidR="0072352C" w:rsidRPr="000B7ECC" w:rsidRDefault="00752D2E" w:rsidP="000715DE">
      <w:pPr>
        <w:pStyle w:val="NormalWeb"/>
        <w:keepNext/>
        <w:spacing w:before="480" w:beforeAutospacing="0" w:after="120" w:afterAutospacing="0" w:line="360" w:lineRule="auto"/>
        <w:jc w:val="both"/>
        <w:rPr>
          <w:rFonts w:ascii="Arial" w:hAnsi="Arial" w:cs="Arial"/>
          <w:b/>
          <w:color w:val="000000"/>
          <w:sz w:val="28"/>
          <w:szCs w:val="28"/>
          <w:lang w:val="en-AU"/>
        </w:rPr>
      </w:pPr>
      <w:r w:rsidRPr="000B7ECC">
        <w:rPr>
          <w:rFonts w:ascii="Arial" w:hAnsi="Arial" w:cs="Arial"/>
          <w:b/>
          <w:sz w:val="28"/>
          <w:szCs w:val="28"/>
          <w:lang w:val="en-AU"/>
        </w:rPr>
        <w:t xml:space="preserve">Detention as </w:t>
      </w:r>
      <w:r w:rsidR="00D44FDD" w:rsidRPr="000B7ECC">
        <w:rPr>
          <w:rFonts w:ascii="Arial" w:hAnsi="Arial" w:cs="Arial"/>
          <w:b/>
          <w:sz w:val="28"/>
          <w:szCs w:val="28"/>
          <w:lang w:val="en-AU"/>
        </w:rPr>
        <w:t xml:space="preserve">a </w:t>
      </w:r>
      <w:r w:rsidRPr="000B7ECC">
        <w:rPr>
          <w:rFonts w:ascii="Arial" w:hAnsi="Arial" w:cs="Arial"/>
          <w:b/>
          <w:sz w:val="28"/>
          <w:szCs w:val="28"/>
          <w:lang w:val="en-AU"/>
        </w:rPr>
        <w:t>last resort</w:t>
      </w:r>
    </w:p>
    <w:p w:rsidR="00776F23" w:rsidRPr="000B7ECC" w:rsidRDefault="007368A7" w:rsidP="00C44204">
      <w:pPr>
        <w:pStyle w:val="NormalWeb"/>
        <w:numPr>
          <w:ilvl w:val="0"/>
          <w:numId w:val="2"/>
        </w:numPr>
        <w:spacing w:before="120" w:beforeAutospacing="0" w:after="24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For </w:t>
      </w:r>
      <w:r w:rsidR="00796C01" w:rsidRPr="000B7ECC">
        <w:rPr>
          <w:rFonts w:ascii="Arial" w:hAnsi="Arial" w:cs="Arial"/>
          <w:color w:val="000000"/>
          <w:lang w:val="en-AU"/>
        </w:rPr>
        <w:t>Australia</w:t>
      </w:r>
      <w:r w:rsidRPr="000B7ECC">
        <w:rPr>
          <w:rFonts w:ascii="Arial" w:hAnsi="Arial" w:cs="Arial"/>
          <w:color w:val="000000"/>
          <w:lang w:val="en-AU"/>
        </w:rPr>
        <w:t>,</w:t>
      </w:r>
      <w:r w:rsidR="00796C01" w:rsidRPr="000B7ECC">
        <w:rPr>
          <w:rFonts w:ascii="Arial" w:hAnsi="Arial" w:cs="Arial"/>
          <w:color w:val="000000"/>
          <w:lang w:val="en-AU"/>
        </w:rPr>
        <w:t xml:space="preserve"> the </w:t>
      </w:r>
      <w:r w:rsidRPr="000B7ECC">
        <w:rPr>
          <w:rFonts w:ascii="Arial" w:hAnsi="Arial" w:cs="Arial"/>
          <w:i/>
          <w:color w:val="000000"/>
          <w:lang w:val="en-AU"/>
        </w:rPr>
        <w:t xml:space="preserve">Convention on the </w:t>
      </w:r>
      <w:r w:rsidR="00796C01" w:rsidRPr="000B7ECC">
        <w:rPr>
          <w:rFonts w:ascii="Arial" w:hAnsi="Arial" w:cs="Arial"/>
          <w:i/>
          <w:color w:val="000000"/>
          <w:lang w:val="en-AU"/>
        </w:rPr>
        <w:t>Rights of the Child</w:t>
      </w:r>
      <w:r w:rsidR="00796C01" w:rsidRPr="000B7ECC">
        <w:rPr>
          <w:rFonts w:ascii="Arial" w:hAnsi="Arial" w:cs="Arial"/>
          <w:color w:val="000000"/>
          <w:lang w:val="en-AU"/>
        </w:rPr>
        <w:t xml:space="preserve"> (hereafter referred to as the Convention)</w:t>
      </w:r>
      <w:r w:rsidRPr="000B7ECC">
        <w:rPr>
          <w:rFonts w:ascii="Arial" w:hAnsi="Arial" w:cs="Arial"/>
          <w:color w:val="000000"/>
          <w:lang w:val="en-AU"/>
        </w:rPr>
        <w:t xml:space="preserve"> entered into force </w:t>
      </w:r>
      <w:r w:rsidR="006774A1" w:rsidRPr="000B7ECC">
        <w:rPr>
          <w:rFonts w:ascii="Arial" w:hAnsi="Arial" w:cs="Arial"/>
          <w:color w:val="000000"/>
          <w:lang w:val="en-AU"/>
        </w:rPr>
        <w:t>in</w:t>
      </w:r>
      <w:r w:rsidRPr="000B7ECC">
        <w:rPr>
          <w:rFonts w:ascii="Arial" w:hAnsi="Arial" w:cs="Arial"/>
          <w:color w:val="000000"/>
          <w:lang w:val="en-AU"/>
        </w:rPr>
        <w:t> January 1991</w:t>
      </w:r>
      <w:r w:rsidR="00684A17" w:rsidRPr="000B7ECC">
        <w:rPr>
          <w:rFonts w:ascii="Arial" w:hAnsi="Arial" w:cs="Arial"/>
          <w:color w:val="000000"/>
          <w:lang w:val="en-AU"/>
        </w:rPr>
        <w:t xml:space="preserve">, </w:t>
      </w:r>
      <w:r w:rsidR="006774A1" w:rsidRPr="000B7ECC">
        <w:rPr>
          <w:rFonts w:ascii="Arial" w:hAnsi="Arial" w:cs="Arial"/>
          <w:color w:val="000000"/>
          <w:lang w:val="en-AU"/>
        </w:rPr>
        <w:t xml:space="preserve">following ratification </w:t>
      </w:r>
      <w:r w:rsidR="00684A17" w:rsidRPr="000B7ECC">
        <w:rPr>
          <w:rFonts w:ascii="Arial" w:hAnsi="Arial" w:cs="Arial"/>
          <w:color w:val="000000"/>
          <w:lang w:val="en-AU"/>
        </w:rPr>
        <w:t xml:space="preserve">subject to a </w:t>
      </w:r>
      <w:r w:rsidRPr="000B7ECC">
        <w:rPr>
          <w:rFonts w:ascii="Arial" w:hAnsi="Arial" w:cs="Arial"/>
          <w:color w:val="000000"/>
          <w:lang w:val="en-AU"/>
        </w:rPr>
        <w:t>reservation to article 37(c) regarding separate imprisonment.</w:t>
      </w:r>
    </w:p>
    <w:p w:rsidR="00AF7D83" w:rsidRPr="000B7ECC" w:rsidRDefault="007368A7"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It is appropriate to</w:t>
      </w:r>
      <w:r w:rsidR="00AA7FAF" w:rsidRPr="000B7ECC">
        <w:rPr>
          <w:rFonts w:ascii="Arial" w:hAnsi="Arial" w:cs="Arial"/>
          <w:color w:val="000000"/>
          <w:lang w:val="en-AU"/>
        </w:rPr>
        <w:t xml:space="preserve"> </w:t>
      </w:r>
      <w:r w:rsidR="00BA03FA" w:rsidRPr="000B7ECC">
        <w:rPr>
          <w:rFonts w:ascii="Arial" w:hAnsi="Arial" w:cs="Arial"/>
          <w:color w:val="000000"/>
          <w:lang w:val="en-AU"/>
        </w:rPr>
        <w:t xml:space="preserve">here </w:t>
      </w:r>
      <w:r w:rsidR="00AA7FAF" w:rsidRPr="000B7ECC">
        <w:rPr>
          <w:rFonts w:ascii="Arial" w:hAnsi="Arial" w:cs="Arial"/>
          <w:color w:val="000000"/>
          <w:lang w:val="en-AU"/>
        </w:rPr>
        <w:t>set out article 37</w:t>
      </w:r>
      <w:r w:rsidR="003A34E4">
        <w:rPr>
          <w:rFonts w:ascii="Arial" w:hAnsi="Arial" w:cs="Arial"/>
          <w:color w:val="000000"/>
          <w:lang w:val="en-AU"/>
        </w:rPr>
        <w:t xml:space="preserve"> </w:t>
      </w:r>
      <w:r w:rsidR="006A1EF8" w:rsidRPr="000B7ECC">
        <w:rPr>
          <w:rFonts w:ascii="Arial" w:hAnsi="Arial" w:cs="Arial"/>
          <w:color w:val="000000"/>
          <w:lang w:val="en-AU"/>
        </w:rPr>
        <w:t xml:space="preserve">of the </w:t>
      </w:r>
      <w:r w:rsidR="006A1EF8" w:rsidRPr="000B7ECC">
        <w:rPr>
          <w:rFonts w:ascii="Arial" w:hAnsi="Arial" w:cs="Arial"/>
          <w:i/>
          <w:color w:val="000000"/>
          <w:lang w:val="en-AU"/>
        </w:rPr>
        <w:t>Convention</w:t>
      </w:r>
      <w:r w:rsidRPr="000B7ECC">
        <w:rPr>
          <w:rFonts w:ascii="Arial" w:hAnsi="Arial" w:cs="Arial"/>
          <w:color w:val="000000"/>
          <w:lang w:val="en-AU"/>
        </w:rPr>
        <w:t xml:space="preserve">, </w:t>
      </w:r>
      <w:r w:rsidR="00AA7FAF" w:rsidRPr="000B7ECC">
        <w:rPr>
          <w:rFonts w:ascii="Arial" w:hAnsi="Arial" w:cs="Arial"/>
          <w:color w:val="000000"/>
          <w:lang w:val="en-AU"/>
        </w:rPr>
        <w:t>(</w:t>
      </w:r>
      <w:r w:rsidRPr="000B7ECC">
        <w:rPr>
          <w:rFonts w:ascii="Arial" w:hAnsi="Arial" w:cs="Arial"/>
          <w:color w:val="000000"/>
          <w:lang w:val="en-AU"/>
        </w:rPr>
        <w:t xml:space="preserve">emphasis </w:t>
      </w:r>
      <w:r w:rsidR="00AA7FAF" w:rsidRPr="000B7ECC">
        <w:rPr>
          <w:rFonts w:ascii="Arial" w:hAnsi="Arial" w:cs="Arial"/>
          <w:color w:val="000000"/>
          <w:lang w:val="en-AU"/>
        </w:rPr>
        <w:t>in paragraph (b) added)</w:t>
      </w:r>
      <w:r w:rsidRPr="000B7ECC">
        <w:rPr>
          <w:rFonts w:ascii="Arial" w:hAnsi="Arial" w:cs="Arial"/>
          <w:color w:val="000000"/>
          <w:lang w:val="en-AU"/>
        </w:rPr>
        <w:t>:</w:t>
      </w:r>
    </w:p>
    <w:p w:rsidR="007368A7" w:rsidRPr="000B7ECC" w:rsidRDefault="007368A7" w:rsidP="004F6101">
      <w:pPr>
        <w:pStyle w:val="NormalWeb"/>
        <w:spacing w:before="120" w:beforeAutospacing="0" w:after="120" w:afterAutospacing="0" w:line="360" w:lineRule="auto"/>
        <w:ind w:left="1134" w:right="822"/>
        <w:jc w:val="both"/>
        <w:rPr>
          <w:rFonts w:ascii="Arial" w:hAnsi="Arial" w:cs="Arial"/>
          <w:b/>
          <w:i/>
          <w:color w:val="000000"/>
          <w:sz w:val="22"/>
          <w:szCs w:val="22"/>
          <w:lang w:val="en-AU"/>
        </w:rPr>
      </w:pPr>
      <w:r w:rsidRPr="000B7ECC">
        <w:rPr>
          <w:rFonts w:ascii="Arial" w:hAnsi="Arial" w:cs="Arial"/>
          <w:b/>
          <w:i/>
          <w:color w:val="000000"/>
          <w:sz w:val="22"/>
          <w:szCs w:val="22"/>
          <w:lang w:val="en-AU"/>
        </w:rPr>
        <w:t>Article 37</w:t>
      </w:r>
    </w:p>
    <w:p w:rsidR="007368A7" w:rsidRPr="000B7ECC" w:rsidRDefault="007368A7" w:rsidP="004F6101">
      <w:pPr>
        <w:pStyle w:val="NormalWeb"/>
        <w:spacing w:before="120" w:beforeAutospacing="0" w:after="120" w:afterAutospacing="0" w:line="360" w:lineRule="auto"/>
        <w:ind w:left="1134" w:right="822"/>
        <w:jc w:val="both"/>
        <w:rPr>
          <w:rFonts w:ascii="Arial" w:hAnsi="Arial" w:cs="Arial"/>
          <w:color w:val="000000"/>
          <w:sz w:val="22"/>
          <w:szCs w:val="22"/>
          <w:lang w:val="en-AU"/>
        </w:rPr>
      </w:pPr>
      <w:r w:rsidRPr="000B7ECC">
        <w:rPr>
          <w:rFonts w:ascii="Arial" w:hAnsi="Arial" w:cs="Arial"/>
          <w:color w:val="000000"/>
          <w:sz w:val="22"/>
          <w:szCs w:val="22"/>
          <w:lang w:val="en-AU"/>
        </w:rPr>
        <w:t>State Parties shall ensure that:</w:t>
      </w:r>
    </w:p>
    <w:p w:rsidR="007368A7" w:rsidRPr="000B7ECC" w:rsidRDefault="007368A7" w:rsidP="004F6101">
      <w:pPr>
        <w:pStyle w:val="NormalWeb"/>
        <w:numPr>
          <w:ilvl w:val="0"/>
          <w:numId w:val="22"/>
        </w:numPr>
        <w:spacing w:before="120" w:beforeAutospacing="0" w:after="120" w:afterAutospacing="0" w:line="360" w:lineRule="auto"/>
        <w:ind w:left="1560" w:right="822" w:hanging="426"/>
        <w:jc w:val="both"/>
        <w:rPr>
          <w:rFonts w:ascii="Arial" w:hAnsi="Arial" w:cs="Arial"/>
          <w:color w:val="000000"/>
          <w:sz w:val="22"/>
          <w:szCs w:val="22"/>
          <w:lang w:val="en-AU"/>
        </w:rPr>
      </w:pPr>
      <w:r w:rsidRPr="000B7ECC">
        <w:rPr>
          <w:rFonts w:ascii="Arial" w:hAnsi="Arial" w:cs="Arial"/>
          <w:color w:val="000000"/>
          <w:sz w:val="22"/>
          <w:szCs w:val="22"/>
          <w:lang w:val="en-AU"/>
        </w:rPr>
        <w:t>No child shall be subjected to torture or other cruel, inhuman or degrading treatment or punishment.  Neither capital punishment nor life imprisonment without possibility of release shall be imposed for offences committed by persons below eighteen years of age;</w:t>
      </w:r>
    </w:p>
    <w:p w:rsidR="007368A7" w:rsidRPr="000B7ECC" w:rsidRDefault="007368A7" w:rsidP="004F6101">
      <w:pPr>
        <w:pStyle w:val="NormalWeb"/>
        <w:numPr>
          <w:ilvl w:val="0"/>
          <w:numId w:val="22"/>
        </w:numPr>
        <w:spacing w:before="120" w:beforeAutospacing="0" w:after="120" w:afterAutospacing="0" w:line="360" w:lineRule="auto"/>
        <w:ind w:left="1560" w:right="822" w:hanging="426"/>
        <w:jc w:val="both"/>
        <w:rPr>
          <w:rFonts w:ascii="Arial" w:hAnsi="Arial" w:cs="Arial"/>
          <w:color w:val="000000"/>
          <w:sz w:val="22"/>
          <w:szCs w:val="22"/>
          <w:lang w:val="en-AU"/>
        </w:rPr>
      </w:pPr>
      <w:r w:rsidRPr="000B7ECC">
        <w:rPr>
          <w:rFonts w:ascii="Arial" w:hAnsi="Arial" w:cs="Arial"/>
          <w:color w:val="000000"/>
          <w:sz w:val="22"/>
          <w:szCs w:val="22"/>
          <w:lang w:val="en-AU"/>
        </w:rPr>
        <w:t xml:space="preserve">No child shall be deprived of his or her liberty unlawfully or arbitrarily.  </w:t>
      </w:r>
      <w:r w:rsidRPr="000B7ECC">
        <w:rPr>
          <w:rFonts w:ascii="Arial" w:hAnsi="Arial" w:cs="Arial"/>
          <w:b/>
          <w:color w:val="000000"/>
          <w:sz w:val="22"/>
          <w:szCs w:val="22"/>
          <w:lang w:val="en-AU"/>
        </w:rPr>
        <w:t>The arrest, detention or imprisonment of a child shall be in conformity with the law and shall be used only as a measure of last resort and for the shortest appropriate period of time</w:t>
      </w:r>
      <w:r w:rsidRPr="000B7ECC">
        <w:rPr>
          <w:rFonts w:ascii="Arial" w:hAnsi="Arial" w:cs="Arial"/>
          <w:color w:val="000000"/>
          <w:sz w:val="22"/>
          <w:szCs w:val="22"/>
          <w:lang w:val="en-AU"/>
        </w:rPr>
        <w:t>;</w:t>
      </w:r>
    </w:p>
    <w:p w:rsidR="007368A7" w:rsidRPr="000B7ECC" w:rsidRDefault="007368A7" w:rsidP="004F6101">
      <w:pPr>
        <w:pStyle w:val="NormalWeb"/>
        <w:numPr>
          <w:ilvl w:val="0"/>
          <w:numId w:val="22"/>
        </w:numPr>
        <w:spacing w:before="120" w:beforeAutospacing="0" w:after="120" w:afterAutospacing="0" w:line="360" w:lineRule="auto"/>
        <w:ind w:left="1560" w:right="822" w:hanging="426"/>
        <w:jc w:val="both"/>
        <w:rPr>
          <w:rFonts w:ascii="Arial" w:hAnsi="Arial" w:cs="Arial"/>
          <w:color w:val="000000"/>
          <w:sz w:val="22"/>
          <w:szCs w:val="22"/>
          <w:lang w:val="en-AU"/>
        </w:rPr>
      </w:pPr>
      <w:r w:rsidRPr="000B7ECC">
        <w:rPr>
          <w:rFonts w:ascii="Arial" w:hAnsi="Arial" w:cs="Arial"/>
          <w:color w:val="000000"/>
          <w:sz w:val="22"/>
          <w:szCs w:val="22"/>
          <w:lang w:val="en-AU"/>
        </w:rPr>
        <w:t>Every child deprived of liberty shall be treated with humanity and respect for the inherent dignity of the human person, and in a manner which takes into account the needs of persons of his or her age.  In particular, every child deprived of liberty shall be separated from adults unless it is considered in the child’s best interest not to do so and shall have the right to maintain contact with his or her family through correspondence and visits, save in exceptional circumstances.</w:t>
      </w:r>
    </w:p>
    <w:p w:rsidR="00B20F54" w:rsidRPr="000B7ECC" w:rsidRDefault="00B20F54" w:rsidP="004F6101">
      <w:pPr>
        <w:pStyle w:val="NormalWeb"/>
        <w:numPr>
          <w:ilvl w:val="0"/>
          <w:numId w:val="22"/>
        </w:numPr>
        <w:spacing w:before="120" w:beforeAutospacing="0" w:after="120" w:afterAutospacing="0" w:line="360" w:lineRule="auto"/>
        <w:ind w:left="1560" w:right="822" w:hanging="426"/>
        <w:jc w:val="both"/>
        <w:rPr>
          <w:rFonts w:ascii="Arial" w:hAnsi="Arial" w:cs="Arial"/>
          <w:color w:val="000000"/>
          <w:sz w:val="22"/>
          <w:szCs w:val="22"/>
          <w:lang w:val="en-AU"/>
        </w:rPr>
      </w:pPr>
      <w:r w:rsidRPr="000B7ECC">
        <w:rPr>
          <w:rFonts w:ascii="Arial" w:hAnsi="Arial" w:cs="Arial"/>
          <w:color w:val="000000"/>
          <w:sz w:val="22"/>
          <w:szCs w:val="22"/>
          <w:lang w:val="en-AU"/>
        </w:rPr>
        <w:lastRenderedPageBreak/>
        <w:t>Every child deprived of his or her liberty shall have the right to prompt access to legal and other appropriate assistance, as well as the right to challenge the legality of the deprivation of his or her liberty before a court or other competent, independent and impartial authority, and to a prompt decision on any such action.</w:t>
      </w:r>
    </w:p>
    <w:p w:rsidR="007368A7" w:rsidRPr="000B7ECC" w:rsidRDefault="00684A17"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The current criminal justice system acknowledges that young offenders should receive different treatment from adults.</w:t>
      </w:r>
      <w:r w:rsidR="006774A1" w:rsidRPr="000B7ECC">
        <w:rPr>
          <w:rFonts w:ascii="Arial" w:hAnsi="Arial" w:cs="Arial"/>
          <w:color w:val="000000"/>
          <w:lang w:val="en-AU"/>
        </w:rPr>
        <w:t xml:space="preserve">  The </w:t>
      </w:r>
      <w:r w:rsidR="006774A1" w:rsidRPr="003A34E4">
        <w:rPr>
          <w:rFonts w:ascii="Arial" w:hAnsi="Arial" w:cs="Arial"/>
          <w:i/>
          <w:color w:val="000000"/>
          <w:lang w:val="en-AU"/>
        </w:rPr>
        <w:t>Charter of youth justice principles</w:t>
      </w:r>
      <w:r w:rsidR="006774A1" w:rsidRPr="000B7ECC">
        <w:rPr>
          <w:rFonts w:ascii="Arial" w:hAnsi="Arial" w:cs="Arial"/>
          <w:color w:val="000000"/>
          <w:lang w:val="en-AU"/>
        </w:rPr>
        <w:t xml:space="preserve"> under the </w:t>
      </w:r>
      <w:r w:rsidR="006774A1" w:rsidRPr="000B7ECC">
        <w:rPr>
          <w:rFonts w:ascii="Arial" w:hAnsi="Arial" w:cs="Arial"/>
          <w:i/>
          <w:color w:val="000000"/>
          <w:lang w:val="en-AU"/>
        </w:rPr>
        <w:t>Youth Justice Act 1992</w:t>
      </w:r>
      <w:r w:rsidR="006774A1" w:rsidRPr="000B7ECC">
        <w:rPr>
          <w:rFonts w:ascii="Arial" w:hAnsi="Arial" w:cs="Arial"/>
          <w:color w:val="000000"/>
          <w:lang w:val="en-AU"/>
        </w:rPr>
        <w:t xml:space="preserve"> include the requirement that </w:t>
      </w:r>
      <w:r w:rsidR="003A34E4">
        <w:rPr>
          <w:rFonts w:ascii="Arial" w:hAnsi="Arial" w:cs="Arial"/>
          <w:color w:val="000000"/>
          <w:lang w:val="en-AU"/>
        </w:rPr>
        <w:t>‘</w:t>
      </w:r>
      <w:r w:rsidR="006774A1" w:rsidRPr="000B7ECC">
        <w:rPr>
          <w:rFonts w:ascii="Arial" w:hAnsi="Arial" w:cs="Arial"/>
          <w:color w:val="000000"/>
          <w:lang w:val="en-AU"/>
        </w:rPr>
        <w:t>if a child commits an offence, the child should be treated in a way that diverts the child from the courts’ criminal justice system, unless the nature of the offence and the child’s criminal history indicate that a proceeding for the offence should be started</w:t>
      </w:r>
      <w:r w:rsidR="003A34E4">
        <w:rPr>
          <w:rFonts w:ascii="Arial" w:hAnsi="Arial" w:cs="Arial"/>
          <w:color w:val="000000"/>
          <w:lang w:val="en-AU"/>
        </w:rPr>
        <w:t>’</w:t>
      </w:r>
      <w:r w:rsidR="006774A1" w:rsidRPr="000B7ECC">
        <w:rPr>
          <w:rFonts w:ascii="Arial" w:hAnsi="Arial" w:cs="Arial"/>
          <w:color w:val="000000"/>
          <w:lang w:val="en-AU"/>
        </w:rPr>
        <w:t>.</w:t>
      </w:r>
      <w:r w:rsidR="006774A1" w:rsidRPr="000B7ECC">
        <w:rPr>
          <w:rStyle w:val="FootnoteReference"/>
          <w:rFonts w:ascii="Arial" w:hAnsi="Arial" w:cs="Arial"/>
          <w:color w:val="000000"/>
          <w:lang w:val="en-AU"/>
        </w:rPr>
        <w:footnoteReference w:id="2"/>
      </w:r>
    </w:p>
    <w:p w:rsidR="006774A1" w:rsidRPr="000B7ECC" w:rsidRDefault="006774A1"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The sentencing principles set out in section 150 of the </w:t>
      </w:r>
      <w:r w:rsidRPr="000B7ECC">
        <w:rPr>
          <w:rFonts w:ascii="Arial" w:hAnsi="Arial" w:cs="Arial"/>
          <w:i/>
          <w:color w:val="000000"/>
          <w:lang w:val="en-AU"/>
        </w:rPr>
        <w:t>Youth Justice Act 1992</w:t>
      </w:r>
      <w:r w:rsidRPr="000B7ECC">
        <w:rPr>
          <w:rFonts w:ascii="Arial" w:hAnsi="Arial" w:cs="Arial"/>
          <w:color w:val="000000"/>
          <w:lang w:val="en-AU"/>
        </w:rPr>
        <w:t xml:space="preserve"> include the special considerations that:</w:t>
      </w:r>
    </w:p>
    <w:p w:rsidR="006774A1" w:rsidRPr="000B7ECC" w:rsidRDefault="006774A1" w:rsidP="00603F6B">
      <w:pPr>
        <w:pStyle w:val="NormalWeb"/>
        <w:spacing w:before="0" w:beforeAutospacing="0" w:after="120" w:afterAutospacing="0" w:line="360" w:lineRule="auto"/>
        <w:ind w:left="1134" w:right="1106"/>
        <w:jc w:val="both"/>
        <w:rPr>
          <w:rFonts w:ascii="Arial" w:hAnsi="Arial" w:cs="Arial"/>
          <w:color w:val="000000"/>
          <w:sz w:val="22"/>
          <w:szCs w:val="22"/>
          <w:lang w:val="en-AU"/>
        </w:rPr>
      </w:pPr>
      <w:r w:rsidRPr="000B7ECC">
        <w:rPr>
          <w:rFonts w:ascii="Arial" w:hAnsi="Arial" w:cs="Arial"/>
          <w:color w:val="000000"/>
          <w:sz w:val="22"/>
          <w:szCs w:val="22"/>
          <w:lang w:val="en-AU"/>
        </w:rPr>
        <w:t>…..</w:t>
      </w:r>
    </w:p>
    <w:p w:rsidR="006774A1" w:rsidRPr="000B7ECC" w:rsidRDefault="006774A1" w:rsidP="004F6101">
      <w:pPr>
        <w:pStyle w:val="NormalWeb"/>
        <w:tabs>
          <w:tab w:val="left" w:pos="1560"/>
        </w:tabs>
        <w:spacing w:before="0" w:beforeAutospacing="0" w:after="0" w:afterAutospacing="0" w:line="360" w:lineRule="auto"/>
        <w:ind w:left="1559" w:right="822" w:hanging="425"/>
        <w:jc w:val="both"/>
        <w:rPr>
          <w:rFonts w:ascii="Arial" w:hAnsi="Arial" w:cs="Arial"/>
          <w:color w:val="000000"/>
          <w:sz w:val="22"/>
          <w:szCs w:val="22"/>
          <w:lang w:val="en-AU"/>
        </w:rPr>
      </w:pPr>
      <w:r w:rsidRPr="000B7ECC">
        <w:rPr>
          <w:rFonts w:ascii="Arial" w:hAnsi="Arial" w:cs="Arial"/>
          <w:color w:val="000000"/>
          <w:sz w:val="22"/>
          <w:szCs w:val="22"/>
          <w:lang w:val="en-AU"/>
        </w:rPr>
        <w:t>(b)</w:t>
      </w:r>
      <w:r w:rsidRPr="000B7ECC">
        <w:rPr>
          <w:rFonts w:ascii="Arial" w:hAnsi="Arial" w:cs="Arial"/>
          <w:color w:val="000000"/>
          <w:sz w:val="22"/>
          <w:szCs w:val="22"/>
          <w:lang w:val="en-AU"/>
        </w:rPr>
        <w:tab/>
        <w:t>a non-custodial order is better than detention in promoting a child’s ability to reintegrate into the community; and</w:t>
      </w:r>
    </w:p>
    <w:p w:rsidR="006774A1" w:rsidRPr="000B7ECC" w:rsidRDefault="006774A1" w:rsidP="004F6101">
      <w:pPr>
        <w:pStyle w:val="NormalWeb"/>
        <w:spacing w:before="0" w:beforeAutospacing="0" w:after="120" w:afterAutospacing="0" w:line="360" w:lineRule="auto"/>
        <w:ind w:left="1134" w:right="822"/>
        <w:jc w:val="both"/>
        <w:rPr>
          <w:rFonts w:ascii="Arial" w:hAnsi="Arial" w:cs="Arial"/>
          <w:color w:val="000000"/>
          <w:sz w:val="22"/>
          <w:szCs w:val="22"/>
          <w:lang w:val="en-AU"/>
        </w:rPr>
      </w:pPr>
      <w:r w:rsidRPr="000B7ECC">
        <w:rPr>
          <w:rFonts w:ascii="Arial" w:hAnsi="Arial" w:cs="Arial"/>
          <w:color w:val="000000"/>
          <w:sz w:val="22"/>
          <w:szCs w:val="22"/>
          <w:lang w:val="en-AU"/>
        </w:rPr>
        <w:t>…..</w:t>
      </w:r>
    </w:p>
    <w:p w:rsidR="006774A1" w:rsidRPr="000B7ECC" w:rsidRDefault="006774A1" w:rsidP="004F6101">
      <w:pPr>
        <w:pStyle w:val="NormalWeb"/>
        <w:numPr>
          <w:ilvl w:val="0"/>
          <w:numId w:val="22"/>
        </w:numPr>
        <w:spacing w:before="0" w:beforeAutospacing="0" w:after="120" w:afterAutospacing="0" w:line="360" w:lineRule="auto"/>
        <w:ind w:left="1559" w:right="822" w:hanging="425"/>
        <w:jc w:val="both"/>
        <w:rPr>
          <w:rFonts w:ascii="Arial" w:hAnsi="Arial" w:cs="Arial"/>
          <w:color w:val="000000"/>
          <w:sz w:val="22"/>
          <w:szCs w:val="22"/>
          <w:lang w:val="en-AU"/>
        </w:rPr>
      </w:pPr>
      <w:proofErr w:type="gramStart"/>
      <w:r w:rsidRPr="000B7ECC">
        <w:rPr>
          <w:rFonts w:ascii="Arial" w:hAnsi="Arial" w:cs="Arial"/>
          <w:color w:val="000000"/>
          <w:sz w:val="22"/>
          <w:szCs w:val="22"/>
          <w:lang w:val="en-AU"/>
        </w:rPr>
        <w:t>a</w:t>
      </w:r>
      <w:proofErr w:type="gramEnd"/>
      <w:r w:rsidRPr="000B7ECC">
        <w:rPr>
          <w:rFonts w:ascii="Arial" w:hAnsi="Arial" w:cs="Arial"/>
          <w:color w:val="000000"/>
          <w:sz w:val="22"/>
          <w:szCs w:val="22"/>
          <w:lang w:val="en-AU"/>
        </w:rPr>
        <w:t xml:space="preserve"> detention order should be imposed only as a last resort and for the shortest appropriate period.</w:t>
      </w:r>
    </w:p>
    <w:p w:rsidR="006774A1" w:rsidRPr="000B7ECC" w:rsidRDefault="00FA7326"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The youth justice principles and sentencing principles in the </w:t>
      </w:r>
      <w:r w:rsidRPr="000B7ECC">
        <w:rPr>
          <w:rFonts w:ascii="Arial" w:hAnsi="Arial" w:cs="Arial"/>
          <w:i/>
          <w:color w:val="000000"/>
          <w:lang w:val="en-AU"/>
        </w:rPr>
        <w:t>Youth Justice Act 1992</w:t>
      </w:r>
      <w:r w:rsidRPr="000B7ECC">
        <w:rPr>
          <w:rFonts w:ascii="Arial" w:hAnsi="Arial" w:cs="Arial"/>
          <w:color w:val="000000"/>
          <w:lang w:val="en-AU"/>
        </w:rPr>
        <w:t xml:space="preserve"> reflect the </w:t>
      </w:r>
      <w:r w:rsidR="00A72490" w:rsidRPr="000B7ECC">
        <w:rPr>
          <w:rFonts w:ascii="Arial" w:hAnsi="Arial" w:cs="Arial"/>
          <w:color w:val="000000"/>
          <w:lang w:val="en-AU"/>
        </w:rPr>
        <w:t xml:space="preserve">intent of the </w:t>
      </w:r>
      <w:r w:rsidRPr="000B7ECC">
        <w:rPr>
          <w:rFonts w:ascii="Arial" w:hAnsi="Arial" w:cs="Arial"/>
          <w:color w:val="000000"/>
          <w:lang w:val="en-AU"/>
        </w:rPr>
        <w:t xml:space="preserve">obligations under articles 37 and 40 of the </w:t>
      </w:r>
      <w:r w:rsidRPr="000B7ECC">
        <w:rPr>
          <w:rFonts w:ascii="Arial" w:hAnsi="Arial" w:cs="Arial"/>
          <w:i/>
          <w:color w:val="000000"/>
          <w:lang w:val="en-AU"/>
        </w:rPr>
        <w:t>Convention</w:t>
      </w:r>
      <w:r w:rsidRPr="000B7ECC">
        <w:rPr>
          <w:rFonts w:ascii="Arial" w:hAnsi="Arial" w:cs="Arial"/>
          <w:color w:val="000000"/>
          <w:lang w:val="en-AU"/>
        </w:rPr>
        <w:t xml:space="preserve">.  </w:t>
      </w:r>
    </w:p>
    <w:p w:rsidR="00D44FDD" w:rsidRPr="000B7ECC" w:rsidRDefault="00D44FDD"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The High Court has said that ‘ratification of a convention is a positive statement by the executive government of this country to the world and to the Australian people that the executive government and its agencies will act in accordance with the Convention’.</w:t>
      </w:r>
      <w:r w:rsidRPr="000B7ECC">
        <w:rPr>
          <w:rStyle w:val="FootnoteReference"/>
          <w:rFonts w:ascii="Arial" w:hAnsi="Arial" w:cs="Arial"/>
          <w:color w:val="000000"/>
          <w:lang w:val="en-AU"/>
        </w:rPr>
        <w:footnoteReference w:id="3"/>
      </w:r>
    </w:p>
    <w:p w:rsidR="00A46B88" w:rsidRPr="000B7ECC" w:rsidRDefault="00A46B88"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The principle of arrest and detention as a last resort has long been recognised as best practice policy.  Over 20 years ago the recommendations of the Royal Commission into Aboriginal Deaths in Custody included:</w:t>
      </w:r>
    </w:p>
    <w:p w:rsidR="00A46B88" w:rsidRPr="000B7ECC" w:rsidRDefault="00A46B88" w:rsidP="009F360A">
      <w:pPr>
        <w:pStyle w:val="NormalWeb"/>
        <w:numPr>
          <w:ilvl w:val="0"/>
          <w:numId w:val="29"/>
        </w:numPr>
        <w:spacing w:before="240" w:beforeAutospacing="0" w:after="120" w:afterAutospacing="0" w:line="360" w:lineRule="auto"/>
        <w:ind w:left="993" w:right="822" w:hanging="426"/>
        <w:jc w:val="both"/>
        <w:rPr>
          <w:rFonts w:ascii="Arial" w:hAnsi="Arial" w:cs="Arial"/>
          <w:color w:val="000000"/>
          <w:sz w:val="22"/>
          <w:szCs w:val="22"/>
          <w:lang w:val="en-AU"/>
        </w:rPr>
      </w:pPr>
      <w:proofErr w:type="gramStart"/>
      <w:r w:rsidRPr="000B7ECC">
        <w:rPr>
          <w:rFonts w:ascii="Arial" w:hAnsi="Arial" w:cs="Arial"/>
          <w:color w:val="000000"/>
          <w:sz w:val="22"/>
          <w:szCs w:val="22"/>
          <w:lang w:val="en-AU"/>
        </w:rPr>
        <w:lastRenderedPageBreak/>
        <w:t>That governments</w:t>
      </w:r>
      <w:proofErr w:type="gramEnd"/>
      <w:r w:rsidRPr="000B7ECC">
        <w:rPr>
          <w:rFonts w:ascii="Arial" w:hAnsi="Arial" w:cs="Arial"/>
          <w:color w:val="000000"/>
          <w:sz w:val="22"/>
          <w:szCs w:val="22"/>
          <w:lang w:val="en-AU"/>
        </w:rPr>
        <w:t xml:space="preserve"> which have not already done so should legislate to enforce the principled that imprisonment should be utilised on</w:t>
      </w:r>
      <w:r w:rsidR="00205DD0" w:rsidRPr="000B7ECC">
        <w:rPr>
          <w:rFonts w:ascii="Arial" w:hAnsi="Arial" w:cs="Arial"/>
          <w:color w:val="000000"/>
          <w:sz w:val="22"/>
          <w:szCs w:val="22"/>
          <w:lang w:val="en-AU"/>
        </w:rPr>
        <w:t>ly as a sanction of last resort</w:t>
      </w:r>
      <w:r w:rsidR="003A34E4">
        <w:rPr>
          <w:rFonts w:ascii="Arial" w:hAnsi="Arial" w:cs="Arial"/>
          <w:color w:val="000000"/>
          <w:sz w:val="22"/>
          <w:szCs w:val="22"/>
          <w:lang w:val="en-AU"/>
        </w:rPr>
        <w:t xml:space="preserve"> (recommendation 92)</w:t>
      </w:r>
      <w:r w:rsidR="00205DD0" w:rsidRPr="000B7ECC">
        <w:rPr>
          <w:rFonts w:ascii="Arial" w:hAnsi="Arial" w:cs="Arial"/>
          <w:color w:val="000000"/>
          <w:sz w:val="22"/>
          <w:szCs w:val="22"/>
          <w:lang w:val="en-AU"/>
        </w:rPr>
        <w:t>.</w:t>
      </w:r>
    </w:p>
    <w:p w:rsidR="00A46B88" w:rsidRPr="000B7ECC" w:rsidRDefault="00A46B88" w:rsidP="009F360A">
      <w:pPr>
        <w:pStyle w:val="NormalWeb"/>
        <w:numPr>
          <w:ilvl w:val="0"/>
          <w:numId w:val="29"/>
        </w:numPr>
        <w:spacing w:before="240" w:beforeAutospacing="0" w:after="120" w:afterAutospacing="0" w:line="360" w:lineRule="auto"/>
        <w:ind w:left="993" w:right="822" w:hanging="426"/>
        <w:jc w:val="both"/>
        <w:rPr>
          <w:rFonts w:ascii="Arial" w:hAnsi="Arial" w:cs="Arial"/>
          <w:color w:val="000000"/>
          <w:sz w:val="22"/>
          <w:szCs w:val="22"/>
          <w:lang w:val="en-AU"/>
        </w:rPr>
      </w:pPr>
      <w:r w:rsidRPr="000B7ECC">
        <w:rPr>
          <w:rFonts w:ascii="Arial" w:hAnsi="Arial" w:cs="Arial"/>
          <w:color w:val="000000"/>
          <w:sz w:val="22"/>
          <w:szCs w:val="22"/>
          <w:lang w:val="en-AU"/>
        </w:rPr>
        <w:t>That State and Territory Governments examine the range of non-custodial sentencing options available in each jurisdiction with a view to ensuring that an appropriate ran</w:t>
      </w:r>
      <w:r w:rsidR="00205DD0" w:rsidRPr="000B7ECC">
        <w:rPr>
          <w:rFonts w:ascii="Arial" w:hAnsi="Arial" w:cs="Arial"/>
          <w:color w:val="000000"/>
          <w:sz w:val="22"/>
          <w:szCs w:val="22"/>
          <w:lang w:val="en-AU"/>
        </w:rPr>
        <w:t>ge of such options is available</w:t>
      </w:r>
      <w:r w:rsidR="003A34E4">
        <w:rPr>
          <w:rFonts w:ascii="Arial" w:hAnsi="Arial" w:cs="Arial"/>
          <w:color w:val="000000"/>
          <w:sz w:val="22"/>
          <w:szCs w:val="22"/>
          <w:lang w:val="en-AU"/>
        </w:rPr>
        <w:t xml:space="preserve"> (recommendation 109)</w:t>
      </w:r>
      <w:r w:rsidR="00205DD0" w:rsidRPr="000B7ECC">
        <w:rPr>
          <w:rFonts w:ascii="Arial" w:hAnsi="Arial" w:cs="Arial"/>
          <w:color w:val="000000"/>
          <w:sz w:val="22"/>
          <w:szCs w:val="22"/>
          <w:lang w:val="en-AU"/>
        </w:rPr>
        <w:t>.</w:t>
      </w:r>
    </w:p>
    <w:p w:rsidR="00205DD0" w:rsidRPr="000B7ECC" w:rsidRDefault="00205DD0" w:rsidP="009F360A">
      <w:pPr>
        <w:pStyle w:val="NormalWeb"/>
        <w:numPr>
          <w:ilvl w:val="0"/>
          <w:numId w:val="29"/>
        </w:numPr>
        <w:spacing w:before="240" w:beforeAutospacing="0" w:after="120" w:afterAutospacing="0" w:line="360" w:lineRule="auto"/>
        <w:ind w:left="993" w:right="822" w:hanging="426"/>
        <w:jc w:val="both"/>
        <w:rPr>
          <w:rFonts w:ascii="Arial" w:hAnsi="Arial" w:cs="Arial"/>
          <w:color w:val="000000"/>
          <w:sz w:val="22"/>
          <w:szCs w:val="22"/>
          <w:lang w:val="en-AU"/>
        </w:rPr>
      </w:pPr>
      <w:r w:rsidRPr="000B7ECC">
        <w:rPr>
          <w:rFonts w:ascii="Arial" w:hAnsi="Arial" w:cs="Arial"/>
          <w:color w:val="000000"/>
          <w:sz w:val="22"/>
          <w:szCs w:val="22"/>
          <w:lang w:val="en-AU"/>
        </w:rPr>
        <w:t>That in reviewing options for non-custodial sentences governments should consult with Aboriginal communities and groups, especially with representatives of Aboriginal Legal Services and with Aboriginal employees with relevant experience in government departments</w:t>
      </w:r>
      <w:r w:rsidR="003A34E4">
        <w:rPr>
          <w:rFonts w:ascii="Arial" w:hAnsi="Arial" w:cs="Arial"/>
          <w:color w:val="000000"/>
          <w:sz w:val="22"/>
          <w:szCs w:val="22"/>
          <w:lang w:val="en-AU"/>
        </w:rPr>
        <w:t xml:space="preserve"> (recommendation 111)</w:t>
      </w:r>
      <w:r w:rsidRPr="000B7ECC">
        <w:rPr>
          <w:rFonts w:ascii="Arial" w:hAnsi="Arial" w:cs="Arial"/>
          <w:color w:val="000000"/>
          <w:sz w:val="22"/>
          <w:szCs w:val="22"/>
          <w:lang w:val="en-AU"/>
        </w:rPr>
        <w:t>.</w:t>
      </w:r>
    </w:p>
    <w:p w:rsidR="00205DD0" w:rsidRPr="000B7ECC" w:rsidRDefault="00205DD0" w:rsidP="009F360A">
      <w:pPr>
        <w:pStyle w:val="NormalWeb"/>
        <w:numPr>
          <w:ilvl w:val="0"/>
          <w:numId w:val="29"/>
        </w:numPr>
        <w:spacing w:before="240" w:beforeAutospacing="0" w:after="120" w:afterAutospacing="0" w:line="360" w:lineRule="auto"/>
        <w:ind w:left="993" w:right="822" w:hanging="426"/>
        <w:jc w:val="both"/>
        <w:rPr>
          <w:rFonts w:ascii="Arial" w:hAnsi="Arial" w:cs="Arial"/>
          <w:color w:val="000000"/>
          <w:sz w:val="22"/>
          <w:szCs w:val="22"/>
          <w:lang w:val="en-AU"/>
        </w:rPr>
      </w:pPr>
      <w:proofErr w:type="gramStart"/>
      <w:r w:rsidRPr="000B7ECC">
        <w:rPr>
          <w:rFonts w:ascii="Arial" w:hAnsi="Arial" w:cs="Arial"/>
          <w:color w:val="000000"/>
          <w:sz w:val="22"/>
          <w:szCs w:val="22"/>
          <w:lang w:val="en-AU"/>
        </w:rPr>
        <w:t>That adequate resources</w:t>
      </w:r>
      <w:proofErr w:type="gramEnd"/>
      <w:r w:rsidRPr="000B7ECC">
        <w:rPr>
          <w:rFonts w:ascii="Arial" w:hAnsi="Arial" w:cs="Arial"/>
          <w:color w:val="000000"/>
          <w:sz w:val="22"/>
          <w:szCs w:val="22"/>
          <w:lang w:val="en-AU"/>
        </w:rPr>
        <w:t xml:space="preserve"> be made available to provide support by way of personnel and infrastructure so as to ensure that non-custodial sentencing options which are made available by legislation are capable of implementation in practice.  It is particularly important that such support be provided in rural and remote areas of significant Aboriginal population</w:t>
      </w:r>
      <w:r w:rsidR="003A34E4">
        <w:rPr>
          <w:rFonts w:ascii="Arial" w:hAnsi="Arial" w:cs="Arial"/>
          <w:color w:val="000000"/>
          <w:sz w:val="22"/>
          <w:szCs w:val="22"/>
          <w:lang w:val="en-AU"/>
        </w:rPr>
        <w:t xml:space="preserve"> (recommendation 112)</w:t>
      </w:r>
      <w:r w:rsidRPr="000B7ECC">
        <w:rPr>
          <w:rFonts w:ascii="Arial" w:hAnsi="Arial" w:cs="Arial"/>
          <w:color w:val="000000"/>
          <w:sz w:val="22"/>
          <w:szCs w:val="22"/>
          <w:lang w:val="en-AU"/>
        </w:rPr>
        <w:t>.</w:t>
      </w:r>
    </w:p>
    <w:p w:rsidR="00205DD0" w:rsidRPr="000B7ECC" w:rsidRDefault="00205DD0"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The </w:t>
      </w:r>
      <w:r w:rsidR="000B7ECC" w:rsidRPr="000B7ECC">
        <w:rPr>
          <w:rFonts w:ascii="Arial" w:hAnsi="Arial" w:cs="Arial"/>
          <w:color w:val="000000"/>
          <w:lang w:val="en-AU"/>
        </w:rPr>
        <w:t xml:space="preserve">work, </w:t>
      </w:r>
      <w:r w:rsidRPr="000B7ECC">
        <w:rPr>
          <w:rFonts w:ascii="Arial" w:hAnsi="Arial" w:cs="Arial"/>
          <w:color w:val="000000"/>
          <w:lang w:val="en-AU"/>
        </w:rPr>
        <w:t>findings and recommendations of the Royal Commission into Aboriginal Deaths in Custody remain relevant today.</w:t>
      </w:r>
    </w:p>
    <w:p w:rsidR="00A72490" w:rsidRPr="000B7ECC" w:rsidRDefault="00A72490"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The information paper states that the </w:t>
      </w:r>
      <w:r w:rsidR="00A46B88" w:rsidRPr="000B7ECC">
        <w:rPr>
          <w:rFonts w:ascii="Arial" w:hAnsi="Arial" w:cs="Arial"/>
          <w:color w:val="000000"/>
          <w:lang w:val="en-AU"/>
        </w:rPr>
        <w:t xml:space="preserve">Queensland </w:t>
      </w:r>
      <w:r w:rsidRPr="000B7ECC">
        <w:rPr>
          <w:rFonts w:ascii="Arial" w:hAnsi="Arial" w:cs="Arial"/>
          <w:color w:val="000000"/>
          <w:lang w:val="en-AU"/>
        </w:rPr>
        <w:t>Government wants to make sure the courts have sentencing options that work to reduce further offending and reflect community expectations, and that removal of the principle of detention as a last resort may allow courts to consider a broader range of options when sentencing young offenders.</w:t>
      </w:r>
      <w:r w:rsidRPr="000B7ECC">
        <w:rPr>
          <w:rStyle w:val="FootnoteReference"/>
          <w:rFonts w:ascii="Arial" w:hAnsi="Arial" w:cs="Arial"/>
          <w:color w:val="000000"/>
          <w:lang w:val="en-AU"/>
        </w:rPr>
        <w:footnoteReference w:id="4"/>
      </w:r>
    </w:p>
    <w:p w:rsidR="001A22AC" w:rsidRPr="000B7ECC" w:rsidRDefault="001A22AC"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 xml:space="preserve">Research consistently shows that </w:t>
      </w:r>
      <w:r w:rsidR="007D19D9" w:rsidRPr="000B7ECC">
        <w:rPr>
          <w:rFonts w:ascii="Arial" w:hAnsi="Arial" w:cs="Arial"/>
          <w:color w:val="000000"/>
          <w:lang w:val="en-AU"/>
        </w:rPr>
        <w:t>detention is the least effective option to reduce re-offending, and studies indicate that youth detention is an effective pathway to adult offending.</w:t>
      </w:r>
      <w:r w:rsidR="00B367C0" w:rsidRPr="000B7ECC">
        <w:rPr>
          <w:rStyle w:val="FootnoteReference"/>
          <w:rFonts w:ascii="Arial" w:hAnsi="Arial" w:cs="Arial"/>
          <w:color w:val="000000"/>
          <w:lang w:val="en-AU"/>
        </w:rPr>
        <w:footnoteReference w:id="5"/>
      </w:r>
    </w:p>
    <w:p w:rsidR="003808CA" w:rsidRPr="000B7ECC" w:rsidRDefault="003808CA"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lastRenderedPageBreak/>
        <w:t xml:space="preserve">Detention is also a costly option.  </w:t>
      </w:r>
      <w:r w:rsidR="00A46B88" w:rsidRPr="000B7ECC">
        <w:rPr>
          <w:rFonts w:ascii="Arial" w:hAnsi="Arial" w:cs="Arial"/>
          <w:color w:val="000000"/>
          <w:lang w:val="en-AU"/>
        </w:rPr>
        <w:t>A higher rate of</w:t>
      </w:r>
      <w:r w:rsidRPr="000B7ECC">
        <w:rPr>
          <w:rFonts w:ascii="Arial" w:hAnsi="Arial" w:cs="Arial"/>
          <w:color w:val="000000"/>
          <w:lang w:val="en-AU"/>
        </w:rPr>
        <w:t xml:space="preserve"> detention of youths would be a greater cost to the community, not just in dollar terms, but also in terms of recidivism.</w:t>
      </w:r>
    </w:p>
    <w:p w:rsidR="003808CA" w:rsidRPr="000B7ECC" w:rsidRDefault="00F95A07" w:rsidP="004F4A3D">
      <w:pPr>
        <w:pStyle w:val="NormalWeb"/>
        <w:numPr>
          <w:ilvl w:val="0"/>
          <w:numId w:val="2"/>
        </w:numPr>
        <w:spacing w:before="240" w:beforeAutospacing="0" w:after="120" w:afterAutospacing="0" w:line="360" w:lineRule="auto"/>
        <w:ind w:left="567" w:hanging="567"/>
        <w:jc w:val="both"/>
        <w:rPr>
          <w:rFonts w:ascii="Arial" w:hAnsi="Arial" w:cs="Arial"/>
          <w:color w:val="000000"/>
          <w:lang w:val="en-AU"/>
        </w:rPr>
      </w:pPr>
      <w:r w:rsidRPr="000B7ECC">
        <w:rPr>
          <w:rFonts w:ascii="Arial" w:hAnsi="Arial" w:cs="Arial"/>
          <w:color w:val="000000"/>
          <w:lang w:val="en-AU"/>
        </w:rPr>
        <w:t>Having</w:t>
      </w:r>
      <w:r w:rsidR="003808CA" w:rsidRPr="000B7ECC">
        <w:rPr>
          <w:rFonts w:ascii="Arial" w:hAnsi="Arial" w:cs="Arial"/>
          <w:color w:val="000000"/>
          <w:lang w:val="en-AU"/>
        </w:rPr>
        <w:t xml:space="preserve"> a broader range of options for sentencing young offenders </w:t>
      </w:r>
      <w:r w:rsidRPr="000B7ECC">
        <w:rPr>
          <w:rFonts w:ascii="Arial" w:hAnsi="Arial" w:cs="Arial"/>
          <w:color w:val="000000"/>
          <w:lang w:val="en-AU"/>
        </w:rPr>
        <w:t xml:space="preserve">could best be achieved by implementing a range of diversionary options after carefully considering research and evidence based findings.  Removing the principle of detention as a last resort would not only be inconsistent with our international human rights obligations under the </w:t>
      </w:r>
      <w:r w:rsidRPr="000B7ECC">
        <w:rPr>
          <w:rFonts w:ascii="Arial" w:hAnsi="Arial" w:cs="Arial"/>
          <w:i/>
          <w:color w:val="000000"/>
          <w:lang w:val="en-AU"/>
        </w:rPr>
        <w:t>Convention</w:t>
      </w:r>
      <w:r w:rsidRPr="000B7ECC">
        <w:rPr>
          <w:rFonts w:ascii="Arial" w:hAnsi="Arial" w:cs="Arial"/>
          <w:color w:val="000000"/>
          <w:lang w:val="en-AU"/>
        </w:rPr>
        <w:t>, it would also not achieve the objective of reducing further offending by youths.</w:t>
      </w:r>
    </w:p>
    <w:p w:rsidR="00FA1962" w:rsidRPr="000B7ECC" w:rsidRDefault="009B1170" w:rsidP="00FA1962">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color w:val="000000"/>
          <w:lang w:val="en-AU"/>
        </w:rPr>
      </w:pPr>
      <w:r w:rsidRPr="000B7ECC">
        <w:rPr>
          <w:rFonts w:ascii="Arial" w:hAnsi="Arial" w:cs="Arial"/>
          <w:b/>
          <w:color w:val="000000"/>
          <w:lang w:val="en-AU"/>
        </w:rPr>
        <w:t xml:space="preserve">Recommendation </w:t>
      </w:r>
      <w:r w:rsidR="008043E9" w:rsidRPr="000B7ECC">
        <w:rPr>
          <w:rFonts w:ascii="Arial" w:hAnsi="Arial" w:cs="Arial"/>
          <w:b/>
          <w:color w:val="000000"/>
          <w:lang w:val="en-AU"/>
        </w:rPr>
        <w:t>I</w:t>
      </w:r>
      <w:r w:rsidR="00FA1962" w:rsidRPr="000B7ECC">
        <w:rPr>
          <w:rFonts w:ascii="Arial" w:hAnsi="Arial" w:cs="Arial"/>
          <w:color w:val="000000"/>
          <w:lang w:val="en-AU"/>
        </w:rPr>
        <w:t xml:space="preserve">:  </w:t>
      </w:r>
      <w:r w:rsidR="00F95A07" w:rsidRPr="000B7ECC">
        <w:rPr>
          <w:rFonts w:ascii="Arial" w:hAnsi="Arial" w:cs="Arial"/>
          <w:color w:val="000000"/>
          <w:lang w:val="en-AU"/>
        </w:rPr>
        <w:t xml:space="preserve">That the principle of detention as a last resort be retained in the </w:t>
      </w:r>
      <w:r w:rsidR="00F95A07" w:rsidRPr="000B7ECC">
        <w:rPr>
          <w:rFonts w:ascii="Arial" w:hAnsi="Arial" w:cs="Arial"/>
          <w:i/>
          <w:color w:val="000000"/>
          <w:lang w:val="en-AU"/>
        </w:rPr>
        <w:t>Youth Justice Act 1992</w:t>
      </w:r>
      <w:r w:rsidR="00F95A07" w:rsidRPr="000B7ECC">
        <w:rPr>
          <w:rFonts w:ascii="Arial" w:hAnsi="Arial" w:cs="Arial"/>
          <w:color w:val="000000"/>
          <w:lang w:val="en-AU"/>
        </w:rPr>
        <w:t>.</w:t>
      </w:r>
    </w:p>
    <w:p w:rsidR="002A0911" w:rsidRPr="000B7ECC" w:rsidRDefault="00752D2E" w:rsidP="00131FD0">
      <w:pPr>
        <w:pStyle w:val="NormalWeb"/>
        <w:keepNext/>
        <w:spacing w:before="480" w:beforeAutospacing="0" w:after="120" w:afterAutospacing="0" w:line="360" w:lineRule="auto"/>
        <w:jc w:val="both"/>
        <w:rPr>
          <w:rFonts w:ascii="Arial" w:hAnsi="Arial" w:cs="Arial"/>
          <w:b/>
          <w:sz w:val="28"/>
          <w:szCs w:val="28"/>
          <w:lang w:val="en-AU"/>
        </w:rPr>
      </w:pPr>
      <w:r w:rsidRPr="000B7ECC">
        <w:rPr>
          <w:rFonts w:ascii="Arial" w:hAnsi="Arial" w:cs="Arial"/>
          <w:b/>
          <w:sz w:val="28"/>
          <w:szCs w:val="28"/>
          <w:lang w:val="en-AU"/>
        </w:rPr>
        <w:t>Diversion</w:t>
      </w:r>
      <w:r w:rsidR="006A65AA">
        <w:rPr>
          <w:rFonts w:ascii="Arial" w:hAnsi="Arial" w:cs="Arial"/>
          <w:b/>
          <w:sz w:val="28"/>
          <w:szCs w:val="28"/>
          <w:lang w:val="en-AU"/>
        </w:rPr>
        <w:t xml:space="preserve"> and early i</w:t>
      </w:r>
      <w:r w:rsidR="007A69EA">
        <w:rPr>
          <w:rFonts w:ascii="Arial" w:hAnsi="Arial" w:cs="Arial"/>
          <w:b/>
          <w:sz w:val="28"/>
          <w:szCs w:val="28"/>
          <w:lang w:val="en-AU"/>
        </w:rPr>
        <w:t>ntervention</w:t>
      </w:r>
    </w:p>
    <w:p w:rsidR="00BF58F2" w:rsidRPr="000B7ECC" w:rsidRDefault="00640984"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0B7ECC">
        <w:rPr>
          <w:rFonts w:ascii="Arial" w:hAnsi="Arial" w:cs="Arial"/>
          <w:lang w:val="en-AU"/>
        </w:rPr>
        <w:t xml:space="preserve">The </w:t>
      </w:r>
      <w:r w:rsidRPr="000B7ECC">
        <w:rPr>
          <w:rFonts w:ascii="Arial" w:hAnsi="Arial" w:cs="Arial"/>
          <w:i/>
          <w:lang w:val="en-AU"/>
        </w:rPr>
        <w:t>Convention</w:t>
      </w:r>
      <w:r w:rsidRPr="000B7ECC">
        <w:rPr>
          <w:rFonts w:ascii="Arial" w:hAnsi="Arial" w:cs="Arial"/>
          <w:lang w:val="en-AU"/>
        </w:rPr>
        <w:t xml:space="preserve"> requires a range of options for dealing with young offenders.  </w:t>
      </w:r>
      <w:r w:rsidR="00AA7FAF" w:rsidRPr="000B7ECC">
        <w:rPr>
          <w:rFonts w:ascii="Arial" w:hAnsi="Arial" w:cs="Arial"/>
          <w:lang w:val="en-AU"/>
        </w:rPr>
        <w:t xml:space="preserve">Article 40 recognises the rights of every child </w:t>
      </w:r>
      <w:r w:rsidR="00D67C37" w:rsidRPr="000B7ECC">
        <w:rPr>
          <w:rFonts w:ascii="Arial" w:hAnsi="Arial" w:cs="Arial"/>
          <w:lang w:val="en-AU"/>
        </w:rPr>
        <w:t>accused or convicted of</w:t>
      </w:r>
      <w:r w:rsidR="003A34E4">
        <w:rPr>
          <w:rFonts w:ascii="Arial" w:hAnsi="Arial" w:cs="Arial"/>
          <w:lang w:val="en-AU"/>
        </w:rPr>
        <w:t xml:space="preserve"> infringing</w:t>
      </w:r>
      <w:r w:rsidR="00D67C37" w:rsidRPr="000B7ECC">
        <w:rPr>
          <w:rFonts w:ascii="Arial" w:hAnsi="Arial" w:cs="Arial"/>
          <w:lang w:val="en-AU"/>
        </w:rPr>
        <w:t xml:space="preserve"> a penal law to be treated so as to promote their sense of dignity and worth, taking into account the child’s age, and to promote reintegration and the child assuming a constructive role in society.  Article 40(3) </w:t>
      </w:r>
      <w:r w:rsidR="000016BB" w:rsidRPr="000B7ECC">
        <w:rPr>
          <w:rFonts w:ascii="Arial" w:hAnsi="Arial" w:cs="Arial"/>
          <w:lang w:val="en-AU"/>
        </w:rPr>
        <w:t xml:space="preserve">&amp; (4) </w:t>
      </w:r>
      <w:r w:rsidR="00D67C37" w:rsidRPr="000B7ECC">
        <w:rPr>
          <w:rFonts w:ascii="Arial" w:hAnsi="Arial" w:cs="Arial"/>
          <w:lang w:val="en-AU"/>
        </w:rPr>
        <w:t>provides:</w:t>
      </w:r>
    </w:p>
    <w:p w:rsidR="00D67C37" w:rsidRPr="000B7ECC" w:rsidRDefault="00D67C37" w:rsidP="00603F6B">
      <w:pPr>
        <w:pStyle w:val="NormalWeb"/>
        <w:spacing w:before="240" w:beforeAutospacing="0" w:after="120" w:afterAutospacing="0" w:line="360" w:lineRule="auto"/>
        <w:ind w:left="1418" w:right="963" w:hanging="284"/>
        <w:jc w:val="both"/>
        <w:rPr>
          <w:rFonts w:ascii="Arial" w:hAnsi="Arial" w:cs="Arial"/>
          <w:sz w:val="22"/>
          <w:szCs w:val="22"/>
          <w:lang w:val="en-AU"/>
        </w:rPr>
      </w:pPr>
      <w:r w:rsidRPr="000B7ECC">
        <w:rPr>
          <w:rFonts w:ascii="Arial" w:hAnsi="Arial" w:cs="Arial"/>
          <w:sz w:val="22"/>
          <w:szCs w:val="22"/>
          <w:lang w:val="en-AU"/>
        </w:rPr>
        <w:t>3. States Parties shall seek to promote the establishment of laws, procedures, authorities and institutions specifically to children alleged as, accused or, or recognised as having infringed the penal law, and, in particular:</w:t>
      </w:r>
    </w:p>
    <w:p w:rsidR="00D67C37" w:rsidRPr="000B7ECC" w:rsidRDefault="00D67C37" w:rsidP="00603F6B">
      <w:pPr>
        <w:pStyle w:val="NormalWeb"/>
        <w:numPr>
          <w:ilvl w:val="0"/>
          <w:numId w:val="23"/>
        </w:numPr>
        <w:spacing w:before="120" w:beforeAutospacing="0" w:after="120" w:afterAutospacing="0" w:line="360" w:lineRule="auto"/>
        <w:ind w:right="963" w:hanging="459"/>
        <w:jc w:val="both"/>
        <w:rPr>
          <w:rFonts w:ascii="Arial" w:hAnsi="Arial" w:cs="Arial"/>
          <w:sz w:val="22"/>
          <w:szCs w:val="22"/>
          <w:lang w:val="en-AU"/>
        </w:rPr>
      </w:pPr>
      <w:r w:rsidRPr="000B7ECC">
        <w:rPr>
          <w:rFonts w:ascii="Arial" w:hAnsi="Arial" w:cs="Arial"/>
          <w:sz w:val="22"/>
          <w:szCs w:val="22"/>
          <w:lang w:val="en-AU"/>
        </w:rPr>
        <w:t>The establishment of a minimum age below which children shall be presumed not to have the capacity to infringe the penal law;</w:t>
      </w:r>
    </w:p>
    <w:p w:rsidR="00D67C37" w:rsidRPr="000B7ECC" w:rsidRDefault="00D67C37" w:rsidP="00603F6B">
      <w:pPr>
        <w:pStyle w:val="NormalWeb"/>
        <w:numPr>
          <w:ilvl w:val="0"/>
          <w:numId w:val="23"/>
        </w:numPr>
        <w:spacing w:before="120" w:beforeAutospacing="0" w:after="120" w:afterAutospacing="0" w:line="360" w:lineRule="auto"/>
        <w:ind w:right="963" w:hanging="459"/>
        <w:jc w:val="both"/>
        <w:rPr>
          <w:rFonts w:ascii="Arial" w:hAnsi="Arial" w:cs="Arial"/>
          <w:sz w:val="22"/>
          <w:szCs w:val="22"/>
          <w:lang w:val="en-AU"/>
        </w:rPr>
      </w:pPr>
      <w:r w:rsidRPr="000B7ECC">
        <w:rPr>
          <w:rFonts w:ascii="Arial" w:hAnsi="Arial" w:cs="Arial"/>
          <w:sz w:val="22"/>
          <w:szCs w:val="22"/>
          <w:lang w:val="en-AU"/>
        </w:rPr>
        <w:t>Whenever appropriate and desirable, measures for dealing with such children without resort to judicial proceedings, providing that human rights and legal safeguards are fully respected</w:t>
      </w:r>
      <w:r w:rsidR="000016BB" w:rsidRPr="000B7ECC">
        <w:rPr>
          <w:rFonts w:ascii="Arial" w:hAnsi="Arial" w:cs="Arial"/>
          <w:sz w:val="22"/>
          <w:szCs w:val="22"/>
          <w:lang w:val="en-AU"/>
        </w:rPr>
        <w:t>.</w:t>
      </w:r>
    </w:p>
    <w:p w:rsidR="000016BB" w:rsidRPr="000B7ECC" w:rsidRDefault="000016BB" w:rsidP="00603F6B">
      <w:pPr>
        <w:pStyle w:val="NormalWeb"/>
        <w:spacing w:before="240" w:beforeAutospacing="0" w:after="120" w:afterAutospacing="0" w:line="360" w:lineRule="auto"/>
        <w:ind w:left="1418" w:right="963" w:hanging="284"/>
        <w:jc w:val="both"/>
        <w:rPr>
          <w:rFonts w:ascii="Arial" w:hAnsi="Arial" w:cs="Arial"/>
          <w:sz w:val="22"/>
          <w:szCs w:val="22"/>
          <w:lang w:val="en-AU"/>
        </w:rPr>
      </w:pPr>
      <w:r w:rsidRPr="000B7ECC">
        <w:rPr>
          <w:rFonts w:ascii="Arial" w:hAnsi="Arial" w:cs="Arial"/>
          <w:sz w:val="22"/>
          <w:szCs w:val="22"/>
          <w:lang w:val="en-AU"/>
        </w:rPr>
        <w:t xml:space="preserve">4. A variety of dispositions, such as care, guidance and supervision orders; counselling; probation; foster care; education and </w:t>
      </w:r>
      <w:r w:rsidRPr="000B7ECC">
        <w:rPr>
          <w:rFonts w:ascii="Arial" w:hAnsi="Arial" w:cs="Arial"/>
          <w:sz w:val="22"/>
          <w:szCs w:val="22"/>
          <w:lang w:val="en-AU"/>
        </w:rPr>
        <w:lastRenderedPageBreak/>
        <w:t>vocational training programmes and other alternatives to institutional care shall be available to ensure that children are dealt with in a manner appropriate to their well-being and proportionate to their circumstances and the offence.</w:t>
      </w:r>
    </w:p>
    <w:p w:rsidR="00D67C37" w:rsidRPr="0042376F" w:rsidRDefault="00C84C26"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The ‘getting tough on crime’ approach of increasing imprisonment has proven not to work </w:t>
      </w:r>
      <w:r w:rsidR="00B07DB7">
        <w:rPr>
          <w:rFonts w:ascii="Arial" w:hAnsi="Arial" w:cs="Arial"/>
          <w:lang w:val="en-AU"/>
        </w:rPr>
        <w:t xml:space="preserve">as a means of reducing crime.  As we </w:t>
      </w:r>
      <w:r w:rsidR="003A34E4">
        <w:rPr>
          <w:rFonts w:ascii="Arial" w:hAnsi="Arial" w:cs="Arial"/>
          <w:lang w:val="en-AU"/>
        </w:rPr>
        <w:t>noted</w:t>
      </w:r>
      <w:r w:rsidR="00B07DB7">
        <w:rPr>
          <w:rFonts w:ascii="Arial" w:hAnsi="Arial" w:cs="Arial"/>
          <w:lang w:val="en-AU"/>
        </w:rPr>
        <w:t xml:space="preserve"> in our submission in 2011 about standard non-parole periods, </w:t>
      </w:r>
      <w:r w:rsidR="00B07DB7" w:rsidRPr="007E64CB">
        <w:rPr>
          <w:rFonts w:ascii="Arial" w:hAnsi="Arial" w:cs="Arial"/>
          <w:color w:val="000000"/>
          <w:lang w:val="en-AU"/>
        </w:rPr>
        <w:t xml:space="preserve">Keith Hamburger AM describes this </w:t>
      </w:r>
      <w:r w:rsidR="00B07DB7">
        <w:rPr>
          <w:rFonts w:ascii="Arial" w:hAnsi="Arial" w:cs="Arial"/>
          <w:color w:val="000000"/>
          <w:lang w:val="en-AU"/>
        </w:rPr>
        <w:t xml:space="preserve">philosophy </w:t>
      </w:r>
      <w:r w:rsidR="00B07DB7" w:rsidRPr="007E64CB">
        <w:rPr>
          <w:rFonts w:ascii="Arial" w:hAnsi="Arial" w:cs="Arial"/>
          <w:color w:val="000000"/>
          <w:lang w:val="en-AU"/>
        </w:rPr>
        <w:t xml:space="preserve">as ‘punishing crime away’, and exemplifies the futility of addressing long term crime prevention with an emphasis on punishment by reference to South Carolina in the USA.  In 1993 the population of South Carolina was similar to </w:t>
      </w:r>
      <w:r w:rsidR="00B07DB7">
        <w:rPr>
          <w:rFonts w:ascii="Arial" w:hAnsi="Arial" w:cs="Arial"/>
          <w:color w:val="000000"/>
          <w:lang w:val="en-AU"/>
        </w:rPr>
        <w:t xml:space="preserve">that of </w:t>
      </w:r>
      <w:r w:rsidR="00B07DB7" w:rsidRPr="007E64CB">
        <w:rPr>
          <w:rFonts w:ascii="Arial" w:hAnsi="Arial" w:cs="Arial"/>
          <w:color w:val="000000"/>
          <w:lang w:val="en-AU"/>
        </w:rPr>
        <w:t>Queensland</w:t>
      </w:r>
      <w:r w:rsidR="00B07DB7">
        <w:rPr>
          <w:rFonts w:ascii="Arial" w:hAnsi="Arial" w:cs="Arial"/>
          <w:color w:val="000000"/>
          <w:lang w:val="en-AU"/>
        </w:rPr>
        <w:t xml:space="preserve"> at the time</w:t>
      </w:r>
      <w:r w:rsidR="00B07DB7" w:rsidRPr="007E64CB">
        <w:rPr>
          <w:rFonts w:ascii="Arial" w:hAnsi="Arial" w:cs="Arial"/>
          <w:color w:val="000000"/>
          <w:lang w:val="en-AU"/>
        </w:rPr>
        <w:t xml:space="preserve">; however the prison population was 20,000 compared to Queensland’s prison population of 2,230.  The South Carolina response to crime rates, sentencing and imprisonment was to ‘get tougher’, and by 2006 the American median imprisonment rate at risen </w:t>
      </w:r>
      <w:r w:rsidR="00B07DB7">
        <w:rPr>
          <w:rFonts w:ascii="Arial" w:hAnsi="Arial" w:cs="Arial"/>
          <w:color w:val="000000"/>
          <w:lang w:val="en-AU"/>
        </w:rPr>
        <w:t>by over</w:t>
      </w:r>
      <w:r w:rsidR="00B07DB7" w:rsidRPr="007E64CB">
        <w:rPr>
          <w:rFonts w:ascii="Arial" w:hAnsi="Arial" w:cs="Arial"/>
          <w:color w:val="000000"/>
          <w:lang w:val="en-AU"/>
        </w:rPr>
        <w:t xml:space="preserve"> 50 per cent without reduction in crime rates.</w:t>
      </w:r>
      <w:r w:rsidR="00B07DB7" w:rsidRPr="007E64CB">
        <w:rPr>
          <w:rStyle w:val="FootnoteReference"/>
          <w:rFonts w:ascii="Arial" w:hAnsi="Arial" w:cs="Arial"/>
          <w:color w:val="000000"/>
          <w:lang w:val="en-AU"/>
        </w:rPr>
        <w:footnoteReference w:id="6"/>
      </w:r>
    </w:p>
    <w:p w:rsidR="001659CE" w:rsidRDefault="001659CE"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Current </w:t>
      </w:r>
      <w:r w:rsidR="00D505DA">
        <w:rPr>
          <w:rFonts w:ascii="Arial" w:hAnsi="Arial" w:cs="Arial"/>
          <w:lang w:val="en-AU"/>
        </w:rPr>
        <w:t xml:space="preserve">youth justice </w:t>
      </w:r>
      <w:r>
        <w:rPr>
          <w:rFonts w:ascii="Arial" w:hAnsi="Arial" w:cs="Arial"/>
          <w:lang w:val="en-AU"/>
        </w:rPr>
        <w:t>diversionary measures include conferencing</w:t>
      </w:r>
      <w:r w:rsidR="00D505DA">
        <w:rPr>
          <w:rFonts w:ascii="Arial" w:hAnsi="Arial" w:cs="Arial"/>
          <w:lang w:val="en-AU"/>
        </w:rPr>
        <w:t xml:space="preserve"> systems</w:t>
      </w:r>
      <w:r>
        <w:rPr>
          <w:rFonts w:ascii="Arial" w:hAnsi="Arial" w:cs="Arial"/>
          <w:lang w:val="en-AU"/>
        </w:rPr>
        <w:t xml:space="preserve">, </w:t>
      </w:r>
      <w:r w:rsidR="00D505DA">
        <w:rPr>
          <w:rFonts w:ascii="Arial" w:hAnsi="Arial" w:cs="Arial"/>
          <w:lang w:val="en-AU"/>
        </w:rPr>
        <w:t>which are similar to the proposed introduction in Queensland of a community reparation model.  This type of restorative justice approach can be effective in giving victims of crime a sense of justice being done.</w:t>
      </w:r>
      <w:r w:rsidR="00394858">
        <w:rPr>
          <w:rFonts w:ascii="Arial" w:hAnsi="Arial" w:cs="Arial"/>
          <w:lang w:val="en-AU"/>
        </w:rPr>
        <w:t xml:space="preserve">  Also included are warning and cautions.</w:t>
      </w:r>
    </w:p>
    <w:p w:rsidR="00D130DC" w:rsidRDefault="007C4B49"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A recent article challenges the three assumptions on which current juvenile justice policy in Australia is </w:t>
      </w:r>
      <w:r w:rsidR="00D26D56">
        <w:rPr>
          <w:rFonts w:ascii="Arial" w:hAnsi="Arial" w:cs="Arial"/>
          <w:lang w:val="en-AU"/>
        </w:rPr>
        <w:t>premised</w:t>
      </w:r>
      <w:r>
        <w:rPr>
          <w:rFonts w:ascii="Arial" w:hAnsi="Arial" w:cs="Arial"/>
          <w:lang w:val="en-AU"/>
        </w:rPr>
        <w:t>: firstly, that contact with the court system increases the risk of re-offending; secondly, that restorative justice is more effective in reducing the risk of re-offending; and thirdly, that left to their own devices most juveniles grow out of crime.</w:t>
      </w:r>
      <w:r>
        <w:rPr>
          <w:rStyle w:val="FootnoteReference"/>
          <w:rFonts w:ascii="Arial" w:hAnsi="Arial" w:cs="Arial"/>
          <w:lang w:val="en-AU"/>
        </w:rPr>
        <w:footnoteReference w:id="7"/>
      </w:r>
      <w:r w:rsidR="00A45666">
        <w:rPr>
          <w:rFonts w:ascii="Arial" w:hAnsi="Arial" w:cs="Arial"/>
          <w:lang w:val="en-AU"/>
        </w:rPr>
        <w:t xml:space="preserve">  In discussing possible reforms, the authors say ‘it is important to remember that reducing juvenile re-offending is not a policy objective to be pursued at any cost’.  They recommend assessing risk of re-offending to determine the level of intervention, such as warning, caution or conference where the offending is minor and no significant risk</w:t>
      </w:r>
      <w:r w:rsidR="003A34E4">
        <w:rPr>
          <w:rFonts w:ascii="Arial" w:hAnsi="Arial" w:cs="Arial"/>
          <w:lang w:val="en-AU"/>
        </w:rPr>
        <w:t>;</w:t>
      </w:r>
      <w:r w:rsidR="00A45666">
        <w:rPr>
          <w:rFonts w:ascii="Arial" w:hAnsi="Arial" w:cs="Arial"/>
          <w:lang w:val="en-AU"/>
        </w:rPr>
        <w:t xml:space="preserve"> and </w:t>
      </w:r>
      <w:r w:rsidR="00A45666">
        <w:rPr>
          <w:rFonts w:ascii="Arial" w:hAnsi="Arial" w:cs="Arial"/>
          <w:lang w:val="en-AU"/>
        </w:rPr>
        <w:lastRenderedPageBreak/>
        <w:t>more substantial intervention such as placement on an appropriate rehabilitation program where the serious</w:t>
      </w:r>
      <w:r w:rsidR="00394858">
        <w:rPr>
          <w:rFonts w:ascii="Arial" w:hAnsi="Arial" w:cs="Arial"/>
          <w:lang w:val="en-AU"/>
        </w:rPr>
        <w:t>ness</w:t>
      </w:r>
      <w:r w:rsidR="00A45666">
        <w:rPr>
          <w:rFonts w:ascii="Arial" w:hAnsi="Arial" w:cs="Arial"/>
          <w:lang w:val="en-AU"/>
        </w:rPr>
        <w:t xml:space="preserve"> of the offending or the risk of re-offending is high.  </w:t>
      </w:r>
      <w:r w:rsidR="00394858">
        <w:rPr>
          <w:rFonts w:ascii="Arial" w:hAnsi="Arial" w:cs="Arial"/>
          <w:lang w:val="en-AU"/>
        </w:rPr>
        <w:t>The authors say that i</w:t>
      </w:r>
      <w:r w:rsidR="00693FB8">
        <w:rPr>
          <w:rFonts w:ascii="Arial" w:hAnsi="Arial" w:cs="Arial"/>
          <w:lang w:val="en-AU"/>
        </w:rPr>
        <w:t xml:space="preserve">n order to do this effectively there needs to be an effective screening or ‘triage’ tool, as well as a suite of effective and adequately resourced programs so that all those in need of treatment and support </w:t>
      </w:r>
      <w:r w:rsidR="005830F4">
        <w:rPr>
          <w:rFonts w:ascii="Arial" w:hAnsi="Arial" w:cs="Arial"/>
          <w:lang w:val="en-AU"/>
        </w:rPr>
        <w:t xml:space="preserve">actually </w:t>
      </w:r>
      <w:r w:rsidR="00693FB8">
        <w:rPr>
          <w:rFonts w:ascii="Arial" w:hAnsi="Arial" w:cs="Arial"/>
          <w:lang w:val="en-AU"/>
        </w:rPr>
        <w:t>receive it.</w:t>
      </w:r>
    </w:p>
    <w:p w:rsidR="001F51E6" w:rsidRPr="00D130DC" w:rsidRDefault="00C96118"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Rehabilitation p</w:t>
      </w:r>
      <w:r w:rsidR="001F51E6">
        <w:rPr>
          <w:rFonts w:ascii="Arial" w:hAnsi="Arial" w:cs="Arial"/>
          <w:lang w:val="en-AU"/>
        </w:rPr>
        <w:t xml:space="preserve">rograms </w:t>
      </w:r>
      <w:r>
        <w:rPr>
          <w:rFonts w:ascii="Arial" w:hAnsi="Arial" w:cs="Arial"/>
          <w:lang w:val="en-AU"/>
        </w:rPr>
        <w:t xml:space="preserve">designed to address causes of offending are an example of a justice reinvestment approach which the authors </w:t>
      </w:r>
      <w:r w:rsidR="006A65AA">
        <w:rPr>
          <w:rFonts w:ascii="Arial" w:hAnsi="Arial" w:cs="Arial"/>
          <w:lang w:val="en-AU"/>
        </w:rPr>
        <w:t>above say</w:t>
      </w:r>
      <w:r>
        <w:rPr>
          <w:rFonts w:ascii="Arial" w:hAnsi="Arial" w:cs="Arial"/>
          <w:lang w:val="en-AU"/>
        </w:rPr>
        <w:t xml:space="preserve"> have all been shown to be cost-effective responses to juvenile re-offending. </w:t>
      </w:r>
    </w:p>
    <w:p w:rsidR="00D505DA" w:rsidRPr="00D505DA" w:rsidRDefault="005830F4"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The </w:t>
      </w:r>
      <w:proofErr w:type="gramStart"/>
      <w:r w:rsidR="001F51E6">
        <w:rPr>
          <w:rFonts w:ascii="Arial" w:hAnsi="Arial" w:cs="Arial"/>
          <w:lang w:val="en-AU"/>
        </w:rPr>
        <w:t>research</w:t>
      </w:r>
      <w:r w:rsidR="003A34E4">
        <w:rPr>
          <w:rFonts w:ascii="Arial" w:hAnsi="Arial" w:cs="Arial"/>
          <w:lang w:val="en-AU"/>
        </w:rPr>
        <w:t>,</w:t>
      </w:r>
      <w:proofErr w:type="gramEnd"/>
      <w:r w:rsidR="003A34E4">
        <w:rPr>
          <w:rFonts w:ascii="Arial" w:hAnsi="Arial" w:cs="Arial"/>
          <w:lang w:val="en-AU"/>
        </w:rPr>
        <w:t xml:space="preserve"> and</w:t>
      </w:r>
      <w:r w:rsidR="001F51E6">
        <w:rPr>
          <w:rFonts w:ascii="Arial" w:hAnsi="Arial" w:cs="Arial"/>
          <w:lang w:val="en-AU"/>
        </w:rPr>
        <w:t xml:space="preserve"> </w:t>
      </w:r>
      <w:r>
        <w:rPr>
          <w:rFonts w:ascii="Arial" w:hAnsi="Arial" w:cs="Arial"/>
          <w:lang w:val="en-AU"/>
        </w:rPr>
        <w:t>analysis of research</w:t>
      </w:r>
      <w:r w:rsidR="003A34E4">
        <w:rPr>
          <w:rFonts w:ascii="Arial" w:hAnsi="Arial" w:cs="Arial"/>
          <w:lang w:val="en-AU"/>
        </w:rPr>
        <w:t>,</w:t>
      </w:r>
      <w:r>
        <w:rPr>
          <w:rFonts w:ascii="Arial" w:hAnsi="Arial" w:cs="Arial"/>
          <w:lang w:val="en-AU"/>
        </w:rPr>
        <w:t xml:space="preserve"> in the article </w:t>
      </w:r>
      <w:r w:rsidRPr="005830F4">
        <w:rPr>
          <w:rFonts w:ascii="Arial" w:hAnsi="Arial" w:cs="Arial"/>
          <w:i/>
          <w:lang w:val="en-AU"/>
        </w:rPr>
        <w:t>Three Dogmas of Juvenile Justice</w:t>
      </w:r>
      <w:r>
        <w:rPr>
          <w:rFonts w:ascii="Arial" w:hAnsi="Arial" w:cs="Arial"/>
          <w:lang w:val="en-AU"/>
        </w:rPr>
        <w:t xml:space="preserve"> highlight the need to address the underlying causes of juvenile offending </w:t>
      </w:r>
      <w:r w:rsidR="001F51E6">
        <w:rPr>
          <w:rFonts w:ascii="Arial" w:hAnsi="Arial" w:cs="Arial"/>
          <w:lang w:val="en-AU"/>
        </w:rPr>
        <w:t>in order to</w:t>
      </w:r>
      <w:r>
        <w:rPr>
          <w:rFonts w:ascii="Arial" w:hAnsi="Arial" w:cs="Arial"/>
          <w:lang w:val="en-AU"/>
        </w:rPr>
        <w:t xml:space="preserve"> prevent or minimise offending occurring in the first place, before the juvenile comes into contact with the justice system</w:t>
      </w:r>
      <w:r w:rsidR="00D505DA">
        <w:rPr>
          <w:rFonts w:ascii="Arial" w:hAnsi="Arial" w:cs="Arial"/>
          <w:lang w:val="en-AU"/>
        </w:rPr>
        <w:t>.</w:t>
      </w:r>
    </w:p>
    <w:p w:rsidR="00267A44" w:rsidRPr="00267A44" w:rsidRDefault="0042376F"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color w:val="000000"/>
          <w:lang w:val="en-AU"/>
        </w:rPr>
        <w:t>The Attorney-General is reported to have identified that a smaller number of offenders are committing more offences.</w:t>
      </w:r>
      <w:r>
        <w:rPr>
          <w:rStyle w:val="FootnoteReference"/>
          <w:rFonts w:ascii="Arial" w:hAnsi="Arial" w:cs="Arial"/>
          <w:color w:val="000000"/>
          <w:lang w:val="en-AU"/>
        </w:rPr>
        <w:footnoteReference w:id="8"/>
      </w:r>
      <w:r>
        <w:rPr>
          <w:rFonts w:ascii="Arial" w:hAnsi="Arial" w:cs="Arial"/>
          <w:color w:val="000000"/>
          <w:lang w:val="en-AU"/>
        </w:rPr>
        <w:t xml:space="preserve">  This observation is consistent with </w:t>
      </w:r>
      <w:r w:rsidR="007A69EA">
        <w:rPr>
          <w:rFonts w:ascii="Arial" w:hAnsi="Arial" w:cs="Arial"/>
          <w:color w:val="000000"/>
          <w:lang w:val="en-AU"/>
        </w:rPr>
        <w:t>those</w:t>
      </w:r>
      <w:r w:rsidR="00C20BEE">
        <w:rPr>
          <w:rFonts w:ascii="Arial" w:hAnsi="Arial" w:cs="Arial"/>
          <w:color w:val="000000"/>
          <w:lang w:val="en-AU"/>
        </w:rPr>
        <w:t xml:space="preserve"> of Professor Anna Stewart, who says research shows that a small number of young people are responsible for the majority of youth crime.</w:t>
      </w:r>
      <w:r w:rsidR="00C20BEE">
        <w:rPr>
          <w:rStyle w:val="FootnoteReference"/>
          <w:rFonts w:ascii="Arial" w:hAnsi="Arial" w:cs="Arial"/>
          <w:color w:val="000000"/>
          <w:lang w:val="en-AU"/>
        </w:rPr>
        <w:footnoteReference w:id="9"/>
      </w:r>
      <w:r w:rsidR="00C20BEE">
        <w:rPr>
          <w:rFonts w:ascii="Arial" w:hAnsi="Arial" w:cs="Arial"/>
          <w:color w:val="000000"/>
          <w:lang w:val="en-AU"/>
        </w:rPr>
        <w:t xml:space="preserve">  </w:t>
      </w:r>
    </w:p>
    <w:p w:rsidR="0042376F" w:rsidRPr="00EE2391" w:rsidRDefault="00267A44"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color w:val="000000"/>
          <w:lang w:val="en-AU"/>
        </w:rPr>
        <w:t>A</w:t>
      </w:r>
      <w:r w:rsidR="0071549C">
        <w:rPr>
          <w:rFonts w:ascii="Arial" w:hAnsi="Arial" w:cs="Arial"/>
          <w:color w:val="000000"/>
          <w:lang w:val="en-AU"/>
        </w:rPr>
        <w:t xml:space="preserve"> study</w:t>
      </w:r>
      <w:r w:rsidR="00F14AE1">
        <w:rPr>
          <w:rFonts w:ascii="Arial" w:hAnsi="Arial" w:cs="Arial"/>
          <w:color w:val="000000"/>
          <w:lang w:val="en-AU"/>
        </w:rPr>
        <w:t xml:space="preserve"> of individuals born in </w:t>
      </w:r>
      <w:proofErr w:type="gramStart"/>
      <w:r w:rsidR="00F14AE1">
        <w:rPr>
          <w:rFonts w:ascii="Arial" w:hAnsi="Arial" w:cs="Arial"/>
          <w:color w:val="000000"/>
          <w:lang w:val="en-AU"/>
        </w:rPr>
        <w:t>1990</w:t>
      </w:r>
      <w:proofErr w:type="gramEnd"/>
      <w:r w:rsidR="00F14AE1">
        <w:rPr>
          <w:rFonts w:ascii="Arial" w:hAnsi="Arial" w:cs="Arial"/>
          <w:color w:val="000000"/>
          <w:lang w:val="en-AU"/>
        </w:rPr>
        <w:t xml:space="preserve"> who had committed an offence in Queensland</w:t>
      </w:r>
      <w:r w:rsidR="0071549C">
        <w:rPr>
          <w:rFonts w:ascii="Arial" w:hAnsi="Arial" w:cs="Arial"/>
          <w:color w:val="000000"/>
          <w:lang w:val="en-AU"/>
        </w:rPr>
        <w:t xml:space="preserve">, </w:t>
      </w:r>
      <w:r w:rsidR="00F14AE1">
        <w:rPr>
          <w:rFonts w:ascii="Arial" w:hAnsi="Arial" w:cs="Arial"/>
          <w:color w:val="000000"/>
          <w:lang w:val="en-AU"/>
        </w:rPr>
        <w:t>identified postal areas which generated chronic offenders.</w:t>
      </w:r>
      <w:r w:rsidR="00D130DC">
        <w:rPr>
          <w:rStyle w:val="FootnoteReference"/>
          <w:rFonts w:ascii="Arial" w:hAnsi="Arial" w:cs="Arial"/>
          <w:color w:val="000000"/>
          <w:lang w:val="en-AU"/>
        </w:rPr>
        <w:footnoteReference w:id="10"/>
      </w:r>
      <w:r w:rsidR="00D130DC">
        <w:rPr>
          <w:rFonts w:ascii="Arial" w:hAnsi="Arial" w:cs="Arial"/>
          <w:color w:val="000000"/>
          <w:lang w:val="en-AU"/>
        </w:rPr>
        <w:t xml:space="preserve">  This type of research can </w:t>
      </w:r>
      <w:r w:rsidR="001F51E6">
        <w:rPr>
          <w:rFonts w:ascii="Arial" w:hAnsi="Arial" w:cs="Arial"/>
          <w:color w:val="000000"/>
          <w:lang w:val="en-AU"/>
        </w:rPr>
        <w:t xml:space="preserve">be valuable in </w:t>
      </w:r>
      <w:r w:rsidR="00D130DC">
        <w:rPr>
          <w:rFonts w:ascii="Arial" w:hAnsi="Arial" w:cs="Arial"/>
          <w:color w:val="000000"/>
          <w:lang w:val="en-AU"/>
        </w:rPr>
        <w:t>assist</w:t>
      </w:r>
      <w:r w:rsidR="001F51E6">
        <w:rPr>
          <w:rFonts w:ascii="Arial" w:hAnsi="Arial" w:cs="Arial"/>
          <w:color w:val="000000"/>
          <w:lang w:val="en-AU"/>
        </w:rPr>
        <w:t>ing</w:t>
      </w:r>
      <w:r w:rsidR="00D130DC">
        <w:rPr>
          <w:rFonts w:ascii="Arial" w:hAnsi="Arial" w:cs="Arial"/>
          <w:color w:val="000000"/>
          <w:lang w:val="en-AU"/>
        </w:rPr>
        <w:t xml:space="preserve"> </w:t>
      </w:r>
      <w:r w:rsidR="001F51E6">
        <w:rPr>
          <w:rFonts w:ascii="Arial" w:hAnsi="Arial" w:cs="Arial"/>
          <w:color w:val="000000"/>
          <w:lang w:val="en-AU"/>
        </w:rPr>
        <w:t>to determine</w:t>
      </w:r>
      <w:r w:rsidR="00D130DC">
        <w:rPr>
          <w:rFonts w:ascii="Arial" w:hAnsi="Arial" w:cs="Arial"/>
          <w:color w:val="000000"/>
          <w:lang w:val="en-AU"/>
        </w:rPr>
        <w:t xml:space="preserve"> the </w:t>
      </w:r>
      <w:r w:rsidR="001F51E6">
        <w:rPr>
          <w:rFonts w:ascii="Arial" w:hAnsi="Arial" w:cs="Arial"/>
          <w:color w:val="000000"/>
          <w:lang w:val="en-AU"/>
        </w:rPr>
        <w:t>nature</w:t>
      </w:r>
      <w:r w:rsidR="00D130DC">
        <w:rPr>
          <w:rFonts w:ascii="Arial" w:hAnsi="Arial" w:cs="Arial"/>
          <w:color w:val="000000"/>
          <w:lang w:val="en-AU"/>
        </w:rPr>
        <w:t xml:space="preserve"> of diversion</w:t>
      </w:r>
      <w:r w:rsidR="001F51E6">
        <w:rPr>
          <w:rFonts w:ascii="Arial" w:hAnsi="Arial" w:cs="Arial"/>
          <w:color w:val="000000"/>
          <w:lang w:val="en-AU"/>
        </w:rPr>
        <w:t>ary</w:t>
      </w:r>
      <w:r w:rsidR="00D130DC">
        <w:rPr>
          <w:rFonts w:ascii="Arial" w:hAnsi="Arial" w:cs="Arial"/>
          <w:color w:val="000000"/>
          <w:lang w:val="en-AU"/>
        </w:rPr>
        <w:t xml:space="preserve"> </w:t>
      </w:r>
      <w:r w:rsidR="001F51E6">
        <w:rPr>
          <w:rFonts w:ascii="Arial" w:hAnsi="Arial" w:cs="Arial"/>
          <w:color w:val="000000"/>
          <w:lang w:val="en-AU"/>
        </w:rPr>
        <w:t xml:space="preserve">programs </w:t>
      </w:r>
      <w:r w:rsidR="00D130DC">
        <w:rPr>
          <w:rFonts w:ascii="Arial" w:hAnsi="Arial" w:cs="Arial"/>
          <w:color w:val="000000"/>
          <w:lang w:val="en-AU"/>
        </w:rPr>
        <w:t xml:space="preserve">and early intervention strategies, and </w:t>
      </w:r>
      <w:r w:rsidR="001F51E6">
        <w:rPr>
          <w:rFonts w:ascii="Arial" w:hAnsi="Arial" w:cs="Arial"/>
          <w:color w:val="000000"/>
          <w:lang w:val="en-AU"/>
        </w:rPr>
        <w:t xml:space="preserve">in </w:t>
      </w:r>
      <w:r w:rsidR="00D130DC">
        <w:rPr>
          <w:rFonts w:ascii="Arial" w:hAnsi="Arial" w:cs="Arial"/>
          <w:color w:val="000000"/>
          <w:lang w:val="en-AU"/>
        </w:rPr>
        <w:t>developing and targeting</w:t>
      </w:r>
      <w:r w:rsidR="001F51E6">
        <w:rPr>
          <w:rFonts w:ascii="Arial" w:hAnsi="Arial" w:cs="Arial"/>
          <w:color w:val="000000"/>
          <w:lang w:val="en-AU"/>
        </w:rPr>
        <w:t xml:space="preserve"> the implementation</w:t>
      </w:r>
      <w:r w:rsidR="003A34E4">
        <w:rPr>
          <w:rFonts w:ascii="Arial" w:hAnsi="Arial" w:cs="Arial"/>
          <w:color w:val="000000"/>
          <w:lang w:val="en-AU"/>
        </w:rPr>
        <w:t xml:space="preserve"> of</w:t>
      </w:r>
      <w:r w:rsidR="00D130DC">
        <w:rPr>
          <w:rFonts w:ascii="Arial" w:hAnsi="Arial" w:cs="Arial"/>
          <w:color w:val="000000"/>
          <w:lang w:val="en-AU"/>
        </w:rPr>
        <w:t xml:space="preserve"> those strategies.  </w:t>
      </w:r>
    </w:p>
    <w:p w:rsidR="00EE2391" w:rsidRPr="000B7ECC" w:rsidRDefault="001F51E6" w:rsidP="004F4A3D">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Developing and implementing a range of both diversionary and early intervention strategies </w:t>
      </w:r>
      <w:r w:rsidR="003A34E4">
        <w:rPr>
          <w:rFonts w:ascii="Arial" w:hAnsi="Arial" w:cs="Arial"/>
          <w:lang w:val="en-AU"/>
        </w:rPr>
        <w:t>would</w:t>
      </w:r>
      <w:r>
        <w:rPr>
          <w:rFonts w:ascii="Arial" w:hAnsi="Arial" w:cs="Arial"/>
          <w:lang w:val="en-AU"/>
        </w:rPr>
        <w:t xml:space="preserve"> be consistent with the principles of </w:t>
      </w:r>
      <w:r w:rsidRPr="001F51E6">
        <w:rPr>
          <w:rFonts w:ascii="Arial" w:hAnsi="Arial" w:cs="Arial"/>
          <w:i/>
          <w:lang w:val="en-AU"/>
        </w:rPr>
        <w:t>Convention</w:t>
      </w:r>
      <w:r>
        <w:rPr>
          <w:rFonts w:ascii="Arial" w:hAnsi="Arial" w:cs="Arial"/>
          <w:lang w:val="en-AU"/>
        </w:rPr>
        <w:t xml:space="preserve"> that the best interests of the child should be of primary consideration in all </w:t>
      </w:r>
      <w:r>
        <w:rPr>
          <w:rFonts w:ascii="Arial" w:hAnsi="Arial" w:cs="Arial"/>
          <w:lang w:val="en-AU"/>
        </w:rPr>
        <w:lastRenderedPageBreak/>
        <w:t>actions by administrative or legislative bodies, including the police and the executive arms of government.</w:t>
      </w:r>
    </w:p>
    <w:p w:rsidR="0008676D" w:rsidRPr="000B7ECC" w:rsidRDefault="0008676D" w:rsidP="0008676D">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lang w:val="en-AU"/>
        </w:rPr>
      </w:pPr>
      <w:r w:rsidRPr="000B7ECC">
        <w:rPr>
          <w:rFonts w:ascii="Arial" w:hAnsi="Arial" w:cs="Arial"/>
          <w:b/>
          <w:color w:val="000000"/>
          <w:lang w:val="en-AU"/>
        </w:rPr>
        <w:t xml:space="preserve">Recommendation </w:t>
      </w:r>
      <w:r w:rsidR="001F51E6">
        <w:rPr>
          <w:rFonts w:ascii="Arial" w:hAnsi="Arial" w:cs="Arial"/>
          <w:b/>
          <w:color w:val="000000"/>
          <w:lang w:val="en-AU"/>
        </w:rPr>
        <w:t>I</w:t>
      </w:r>
      <w:r w:rsidR="008043E9" w:rsidRPr="000B7ECC">
        <w:rPr>
          <w:rFonts w:ascii="Arial" w:hAnsi="Arial" w:cs="Arial"/>
          <w:b/>
          <w:color w:val="000000"/>
          <w:lang w:val="en-AU"/>
        </w:rPr>
        <w:t>I</w:t>
      </w:r>
      <w:r w:rsidRPr="000B7ECC">
        <w:rPr>
          <w:rFonts w:ascii="Arial" w:hAnsi="Arial" w:cs="Arial"/>
          <w:color w:val="000000"/>
          <w:lang w:val="en-AU"/>
        </w:rPr>
        <w:t xml:space="preserve">:  </w:t>
      </w:r>
      <w:r w:rsidR="00987BDE">
        <w:rPr>
          <w:rFonts w:ascii="Arial" w:hAnsi="Arial" w:cs="Arial"/>
          <w:color w:val="000000"/>
          <w:lang w:val="en-AU"/>
        </w:rPr>
        <w:t xml:space="preserve">That the Department consult with researchers </w:t>
      </w:r>
      <w:r w:rsidR="003A34E4">
        <w:rPr>
          <w:rFonts w:ascii="Arial" w:hAnsi="Arial" w:cs="Arial"/>
          <w:color w:val="000000"/>
          <w:lang w:val="en-AU"/>
        </w:rPr>
        <w:t xml:space="preserve">and practitioners </w:t>
      </w:r>
      <w:r w:rsidR="00987BDE">
        <w:rPr>
          <w:rFonts w:ascii="Arial" w:hAnsi="Arial" w:cs="Arial"/>
          <w:color w:val="000000"/>
          <w:lang w:val="en-AU"/>
        </w:rPr>
        <w:t xml:space="preserve">with expertise in the field of juvenile justice </w:t>
      </w:r>
      <w:r w:rsidR="003A34E4">
        <w:rPr>
          <w:rFonts w:ascii="Arial" w:hAnsi="Arial" w:cs="Arial"/>
          <w:color w:val="000000"/>
          <w:lang w:val="en-AU"/>
        </w:rPr>
        <w:t>and develop an evidence-</w:t>
      </w:r>
      <w:r w:rsidR="00987BDE">
        <w:rPr>
          <w:rFonts w:ascii="Arial" w:hAnsi="Arial" w:cs="Arial"/>
          <w:color w:val="000000"/>
          <w:lang w:val="en-AU"/>
        </w:rPr>
        <w:t>based approach to policy and strategies</w:t>
      </w:r>
      <w:r w:rsidR="003A34E4">
        <w:rPr>
          <w:rFonts w:ascii="Arial" w:hAnsi="Arial" w:cs="Arial"/>
          <w:color w:val="000000"/>
          <w:lang w:val="en-AU"/>
        </w:rPr>
        <w:t>, in order</w:t>
      </w:r>
      <w:r w:rsidR="00987BDE">
        <w:rPr>
          <w:rFonts w:ascii="Arial" w:hAnsi="Arial" w:cs="Arial"/>
          <w:color w:val="000000"/>
          <w:lang w:val="en-AU"/>
        </w:rPr>
        <w:t xml:space="preserve"> to intervene early </w:t>
      </w:r>
      <w:r w:rsidR="003A34E4">
        <w:rPr>
          <w:rFonts w:ascii="Arial" w:hAnsi="Arial" w:cs="Arial"/>
          <w:color w:val="000000"/>
          <w:lang w:val="en-AU"/>
        </w:rPr>
        <w:t>and</w:t>
      </w:r>
      <w:r w:rsidR="00987BDE">
        <w:rPr>
          <w:rFonts w:ascii="Arial" w:hAnsi="Arial" w:cs="Arial"/>
          <w:color w:val="000000"/>
          <w:lang w:val="en-AU"/>
        </w:rPr>
        <w:t xml:space="preserve"> prevent young people offending in the first place</w:t>
      </w:r>
      <w:r w:rsidR="003A34E4">
        <w:rPr>
          <w:rFonts w:ascii="Arial" w:hAnsi="Arial" w:cs="Arial"/>
          <w:color w:val="000000"/>
          <w:lang w:val="en-AU"/>
        </w:rPr>
        <w:t>,</w:t>
      </w:r>
      <w:r w:rsidR="00987BDE">
        <w:rPr>
          <w:rFonts w:ascii="Arial" w:hAnsi="Arial" w:cs="Arial"/>
          <w:color w:val="000000"/>
          <w:lang w:val="en-AU"/>
        </w:rPr>
        <w:t xml:space="preserve"> or to prevent them from continuing to offend.</w:t>
      </w:r>
    </w:p>
    <w:p w:rsidR="001A22AC" w:rsidRPr="000B7ECC" w:rsidRDefault="001A22AC" w:rsidP="001A22AC">
      <w:pPr>
        <w:pStyle w:val="NormalWeb"/>
        <w:keepNext/>
        <w:spacing w:before="480" w:beforeAutospacing="0" w:after="120" w:afterAutospacing="0" w:line="360" w:lineRule="auto"/>
        <w:jc w:val="both"/>
        <w:rPr>
          <w:rFonts w:ascii="Arial" w:hAnsi="Arial" w:cs="Arial"/>
          <w:b/>
          <w:sz w:val="28"/>
          <w:szCs w:val="28"/>
          <w:lang w:val="en-AU"/>
        </w:rPr>
      </w:pPr>
      <w:r w:rsidRPr="000B7ECC">
        <w:rPr>
          <w:rFonts w:ascii="Arial" w:hAnsi="Arial" w:cs="Arial"/>
          <w:b/>
          <w:sz w:val="28"/>
          <w:szCs w:val="28"/>
          <w:lang w:val="en-AU"/>
        </w:rPr>
        <w:t>17 year olds in adult prisons</w:t>
      </w:r>
    </w:p>
    <w:p w:rsidR="0090385A" w:rsidRPr="0090385A" w:rsidRDefault="0090385A" w:rsidP="0090385A">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 xml:space="preserve">Queensland is the only State </w:t>
      </w:r>
      <w:r w:rsidR="00B47B2E">
        <w:rPr>
          <w:rFonts w:ascii="Arial" w:hAnsi="Arial" w:cs="Arial"/>
          <w:lang w:val="en-AU"/>
        </w:rPr>
        <w:t xml:space="preserve">in Australia </w:t>
      </w:r>
      <w:r w:rsidR="003A34E4">
        <w:rPr>
          <w:rFonts w:ascii="Arial" w:hAnsi="Arial" w:cs="Arial"/>
          <w:lang w:val="en-AU"/>
        </w:rPr>
        <w:t>where 17-year-</w:t>
      </w:r>
      <w:r>
        <w:rPr>
          <w:rFonts w:ascii="Arial" w:hAnsi="Arial" w:cs="Arial"/>
          <w:lang w:val="en-AU"/>
        </w:rPr>
        <w:t xml:space="preserve">olds are treated as adults in the criminal justice system.  In Queensland, a child is defined under the </w:t>
      </w:r>
      <w:r w:rsidRPr="0090385A">
        <w:rPr>
          <w:rFonts w:ascii="Arial" w:hAnsi="Arial" w:cs="Arial"/>
          <w:i/>
          <w:lang w:val="en-AU"/>
        </w:rPr>
        <w:t>Youth Justice Act 1992</w:t>
      </w:r>
      <w:r>
        <w:rPr>
          <w:rFonts w:ascii="Arial" w:hAnsi="Arial" w:cs="Arial"/>
          <w:lang w:val="en-AU"/>
        </w:rPr>
        <w:t xml:space="preserve"> as a person who has not turned 17 years of age.</w:t>
      </w:r>
      <w:r w:rsidR="004070EE">
        <w:rPr>
          <w:rStyle w:val="FootnoteReference"/>
          <w:rFonts w:ascii="Arial" w:hAnsi="Arial" w:cs="Arial"/>
          <w:lang w:val="en-AU"/>
        </w:rPr>
        <w:footnoteReference w:id="11"/>
      </w:r>
      <w:r w:rsidR="0094694E">
        <w:rPr>
          <w:rFonts w:ascii="Arial" w:hAnsi="Arial" w:cs="Arial"/>
          <w:lang w:val="en-AU"/>
        </w:rPr>
        <w:t xml:space="preserve">  </w:t>
      </w:r>
      <w:r w:rsidR="00BD5590">
        <w:rPr>
          <w:rFonts w:ascii="Arial" w:hAnsi="Arial" w:cs="Arial"/>
          <w:lang w:val="en-AU"/>
        </w:rPr>
        <w:t>The Act contemplate</w:t>
      </w:r>
      <w:r w:rsidR="00C45DD1">
        <w:rPr>
          <w:rFonts w:ascii="Arial" w:hAnsi="Arial" w:cs="Arial"/>
          <w:lang w:val="en-AU"/>
        </w:rPr>
        <w:t>s</w:t>
      </w:r>
      <w:r w:rsidR="00BD5590">
        <w:rPr>
          <w:rFonts w:ascii="Arial" w:hAnsi="Arial" w:cs="Arial"/>
          <w:lang w:val="en-AU"/>
        </w:rPr>
        <w:t xml:space="preserve"> that </w:t>
      </w:r>
      <w:r w:rsidR="000D55C0">
        <w:rPr>
          <w:rFonts w:ascii="Arial" w:hAnsi="Arial" w:cs="Arial"/>
          <w:lang w:val="en-AU"/>
        </w:rPr>
        <w:t xml:space="preserve">the age would be increased to 18 years </w:t>
      </w:r>
      <w:r w:rsidR="00BD5590">
        <w:rPr>
          <w:rFonts w:ascii="Arial" w:hAnsi="Arial" w:cs="Arial"/>
          <w:lang w:val="en-AU"/>
        </w:rPr>
        <w:t>as</w:t>
      </w:r>
      <w:r w:rsidR="000D55C0">
        <w:rPr>
          <w:rFonts w:ascii="Arial" w:hAnsi="Arial" w:cs="Arial"/>
          <w:lang w:val="en-AU"/>
        </w:rPr>
        <w:t xml:space="preserve"> section 6 </w:t>
      </w:r>
      <w:r w:rsidR="00BD5590">
        <w:rPr>
          <w:rFonts w:ascii="Arial" w:hAnsi="Arial" w:cs="Arial"/>
          <w:lang w:val="en-AU"/>
        </w:rPr>
        <w:t>allows for this to happen</w:t>
      </w:r>
      <w:r w:rsidR="000D55C0">
        <w:rPr>
          <w:rFonts w:ascii="Arial" w:hAnsi="Arial" w:cs="Arial"/>
          <w:lang w:val="en-AU"/>
        </w:rPr>
        <w:t xml:space="preserve"> by a regulation of the Governor in Council</w:t>
      </w:r>
      <w:r w:rsidR="004070EE">
        <w:rPr>
          <w:rFonts w:ascii="Arial" w:hAnsi="Arial" w:cs="Arial"/>
          <w:lang w:val="en-AU"/>
        </w:rPr>
        <w:t xml:space="preserve">, and by virtue of the definition of </w:t>
      </w:r>
      <w:r w:rsidR="003A34E4">
        <w:rPr>
          <w:rFonts w:ascii="Arial" w:hAnsi="Arial" w:cs="Arial"/>
          <w:lang w:val="en-AU"/>
        </w:rPr>
        <w:t>‘</w:t>
      </w:r>
      <w:r w:rsidR="004070EE" w:rsidRPr="003A34E4">
        <w:rPr>
          <w:rFonts w:ascii="Arial" w:hAnsi="Arial" w:cs="Arial"/>
          <w:lang w:val="en-AU"/>
        </w:rPr>
        <w:t>child</w:t>
      </w:r>
      <w:r w:rsidR="003A34E4">
        <w:rPr>
          <w:rFonts w:ascii="Arial" w:hAnsi="Arial" w:cs="Arial"/>
          <w:lang w:val="en-AU"/>
        </w:rPr>
        <w:t>’</w:t>
      </w:r>
      <w:r w:rsidR="000D55C0">
        <w:rPr>
          <w:rFonts w:ascii="Arial" w:hAnsi="Arial" w:cs="Arial"/>
          <w:lang w:val="en-AU"/>
        </w:rPr>
        <w:t>.</w:t>
      </w:r>
    </w:p>
    <w:p w:rsidR="00D41E36" w:rsidRDefault="007B3758" w:rsidP="001A22AC">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lang w:val="en-AU"/>
        </w:rPr>
        <w:t xml:space="preserve">Article 37(c) of the </w:t>
      </w:r>
      <w:r w:rsidRPr="007B3758">
        <w:rPr>
          <w:rFonts w:ascii="Arial" w:hAnsi="Arial" w:cs="Arial"/>
          <w:i/>
          <w:lang w:val="en-AU"/>
        </w:rPr>
        <w:t>Convention</w:t>
      </w:r>
      <w:r>
        <w:rPr>
          <w:rFonts w:ascii="Arial" w:hAnsi="Arial" w:cs="Arial"/>
          <w:lang w:val="en-AU"/>
        </w:rPr>
        <w:t xml:space="preserve"> requires that children in detention are separated from adults</w:t>
      </w:r>
      <w:r w:rsidR="00EB7321">
        <w:rPr>
          <w:rFonts w:ascii="Arial" w:hAnsi="Arial" w:cs="Arial"/>
          <w:lang w:val="en-AU"/>
        </w:rPr>
        <w:t xml:space="preserve"> unless it is considered in the child’s best interest not to do so.  Australia’s reservation to article 37(c)</w:t>
      </w:r>
      <w:r w:rsidR="00D41E36">
        <w:rPr>
          <w:rFonts w:ascii="Arial" w:hAnsi="Arial" w:cs="Arial"/>
          <w:lang w:val="en-AU"/>
        </w:rPr>
        <w:t xml:space="preserve"> does not envisage children being detained in adult prisons as a matter of </w:t>
      </w:r>
      <w:r w:rsidR="000D55C0">
        <w:rPr>
          <w:rFonts w:ascii="Arial" w:hAnsi="Arial" w:cs="Arial"/>
          <w:lang w:val="en-AU"/>
        </w:rPr>
        <w:t>legislative policy</w:t>
      </w:r>
      <w:r w:rsidR="00D41E36">
        <w:rPr>
          <w:rFonts w:ascii="Arial" w:hAnsi="Arial" w:cs="Arial"/>
          <w:lang w:val="en-AU"/>
        </w:rPr>
        <w:t>.  The reservation</w:t>
      </w:r>
      <w:r w:rsidR="00EB7321">
        <w:rPr>
          <w:rFonts w:ascii="Arial" w:hAnsi="Arial" w:cs="Arial"/>
          <w:lang w:val="en-AU"/>
        </w:rPr>
        <w:t xml:space="preserve"> is qualified in that </w:t>
      </w:r>
      <w:r w:rsidR="00D41E36">
        <w:rPr>
          <w:rFonts w:ascii="Arial" w:hAnsi="Arial" w:cs="Arial"/>
          <w:lang w:val="en-AU"/>
        </w:rPr>
        <w:t>it concerns</w:t>
      </w:r>
      <w:r w:rsidR="00EB7321">
        <w:rPr>
          <w:rFonts w:ascii="Arial" w:hAnsi="Arial" w:cs="Arial"/>
          <w:lang w:val="en-AU"/>
        </w:rPr>
        <w:t xml:space="preserve"> </w:t>
      </w:r>
      <w:r w:rsidR="00AB7003">
        <w:rPr>
          <w:rFonts w:ascii="Arial" w:hAnsi="Arial" w:cs="Arial"/>
          <w:lang w:val="en-AU"/>
        </w:rPr>
        <w:t>the preservation of</w:t>
      </w:r>
      <w:r w:rsidR="00D41E36">
        <w:rPr>
          <w:rFonts w:ascii="Arial" w:hAnsi="Arial" w:cs="Arial"/>
          <w:lang w:val="en-AU"/>
        </w:rPr>
        <w:t xml:space="preserve"> family contact</w:t>
      </w:r>
      <w:r w:rsidR="00AB7003">
        <w:rPr>
          <w:rFonts w:ascii="Arial" w:hAnsi="Arial" w:cs="Arial"/>
          <w:lang w:val="en-AU"/>
        </w:rPr>
        <w:t xml:space="preserve"> and the geography and demography of Australia</w:t>
      </w:r>
      <w:r w:rsidR="00D41E36">
        <w:rPr>
          <w:rFonts w:ascii="Arial" w:hAnsi="Arial" w:cs="Arial"/>
          <w:lang w:val="en-AU"/>
        </w:rPr>
        <w:t>.</w:t>
      </w:r>
      <w:r w:rsidR="00EB7321">
        <w:rPr>
          <w:rFonts w:ascii="Arial" w:hAnsi="Arial" w:cs="Arial"/>
          <w:lang w:val="en-AU"/>
        </w:rPr>
        <w:t xml:space="preserve">  </w:t>
      </w:r>
      <w:r w:rsidR="00D41E36">
        <w:rPr>
          <w:rFonts w:ascii="Arial" w:hAnsi="Arial" w:cs="Arial"/>
          <w:lang w:val="en-AU"/>
        </w:rPr>
        <w:t>The reservation states:</w:t>
      </w:r>
    </w:p>
    <w:p w:rsidR="007B3758" w:rsidRPr="00AB7003" w:rsidRDefault="00D41E36" w:rsidP="00603F6B">
      <w:pPr>
        <w:pStyle w:val="NormalWeb"/>
        <w:spacing w:before="120" w:beforeAutospacing="0" w:after="240" w:afterAutospacing="0" w:line="360" w:lineRule="auto"/>
        <w:ind w:left="1134" w:right="822"/>
        <w:jc w:val="both"/>
        <w:rPr>
          <w:rFonts w:ascii="Arial" w:hAnsi="Arial" w:cs="Arial"/>
          <w:sz w:val="22"/>
          <w:szCs w:val="22"/>
          <w:lang w:val="en-AU"/>
        </w:rPr>
      </w:pPr>
      <w:r w:rsidRPr="00AB7003">
        <w:rPr>
          <w:rFonts w:ascii="Arial" w:hAnsi="Arial" w:cs="Arial"/>
          <w:sz w:val="22"/>
          <w:szCs w:val="22"/>
          <w:lang w:val="en-AU"/>
        </w:rPr>
        <w:t xml:space="preserve">Australia accepts the general principles of article 37.  In relation to the second sentence of paragraph (c), the obligation to separate children from adults in prison is accepted only to the extent that such imprisonment is considered by the responsible authorities to be feasible and consistent with the obligation that children be able to maintain contact with their families, having regard to the geography and demography of Australia.  Australia, therefore, ratifies the </w:t>
      </w:r>
      <w:r w:rsidRPr="00AB7003">
        <w:rPr>
          <w:rFonts w:ascii="Arial" w:hAnsi="Arial" w:cs="Arial"/>
          <w:sz w:val="22"/>
          <w:szCs w:val="22"/>
          <w:lang w:val="en-AU"/>
        </w:rPr>
        <w:lastRenderedPageBreak/>
        <w:t>Convention to the extent that it is unable to comply with the obligation imposed by article 37(c).</w:t>
      </w:r>
      <w:r w:rsidR="0049553D">
        <w:rPr>
          <w:rStyle w:val="FootnoteReference"/>
          <w:rFonts w:ascii="Arial" w:hAnsi="Arial" w:cs="Arial"/>
          <w:sz w:val="22"/>
          <w:szCs w:val="22"/>
          <w:lang w:val="en-AU"/>
        </w:rPr>
        <w:footnoteReference w:id="12"/>
      </w:r>
    </w:p>
    <w:p w:rsidR="001A22AC" w:rsidRPr="00703892" w:rsidRDefault="0049553D" w:rsidP="001A22AC">
      <w:pPr>
        <w:pStyle w:val="NormalWeb"/>
        <w:numPr>
          <w:ilvl w:val="0"/>
          <w:numId w:val="2"/>
        </w:numPr>
        <w:spacing w:before="120" w:beforeAutospacing="0" w:after="240" w:afterAutospacing="0" w:line="360" w:lineRule="auto"/>
        <w:ind w:left="567" w:hanging="567"/>
        <w:jc w:val="both"/>
        <w:rPr>
          <w:rFonts w:ascii="Arial" w:hAnsi="Arial" w:cs="Arial"/>
          <w:lang w:val="en-AU"/>
        </w:rPr>
      </w:pPr>
      <w:r>
        <w:rPr>
          <w:rFonts w:ascii="Arial" w:hAnsi="Arial" w:cs="Arial"/>
          <w:color w:val="000000"/>
          <w:lang w:val="en-AU"/>
        </w:rPr>
        <w:t xml:space="preserve">In a recent decision, the </w:t>
      </w:r>
      <w:r w:rsidR="00A45666">
        <w:rPr>
          <w:rFonts w:ascii="Arial" w:hAnsi="Arial" w:cs="Arial"/>
          <w:color w:val="000000"/>
          <w:lang w:val="en-AU"/>
        </w:rPr>
        <w:t xml:space="preserve">UK </w:t>
      </w:r>
      <w:r>
        <w:rPr>
          <w:rFonts w:ascii="Arial" w:hAnsi="Arial" w:cs="Arial"/>
          <w:color w:val="000000"/>
          <w:lang w:val="en-AU"/>
        </w:rPr>
        <w:t xml:space="preserve">High Court has </w:t>
      </w:r>
      <w:r w:rsidR="00C45DD1">
        <w:rPr>
          <w:rFonts w:ascii="Arial" w:hAnsi="Arial" w:cs="Arial"/>
          <w:color w:val="000000"/>
          <w:lang w:val="en-AU"/>
        </w:rPr>
        <w:t xml:space="preserve">held that </w:t>
      </w:r>
      <w:r w:rsidR="003A34E4">
        <w:rPr>
          <w:rFonts w:ascii="Arial" w:hAnsi="Arial" w:cs="Arial"/>
          <w:color w:val="000000"/>
          <w:lang w:val="en-AU"/>
        </w:rPr>
        <w:t>the treatment of 17-</w:t>
      </w:r>
      <w:r w:rsidR="00CC1725">
        <w:rPr>
          <w:rFonts w:ascii="Arial" w:hAnsi="Arial" w:cs="Arial"/>
          <w:color w:val="000000"/>
          <w:lang w:val="en-AU"/>
        </w:rPr>
        <w:t>ye</w:t>
      </w:r>
      <w:r w:rsidR="00703892">
        <w:rPr>
          <w:rFonts w:ascii="Arial" w:hAnsi="Arial" w:cs="Arial"/>
          <w:color w:val="000000"/>
          <w:lang w:val="en-AU"/>
        </w:rPr>
        <w:t>ar-</w:t>
      </w:r>
      <w:r w:rsidR="00CC1725">
        <w:rPr>
          <w:rFonts w:ascii="Arial" w:hAnsi="Arial" w:cs="Arial"/>
          <w:color w:val="000000"/>
          <w:lang w:val="en-AU"/>
        </w:rPr>
        <w:t xml:space="preserve">olds as adults when arrested and detained is inconsistent with the </w:t>
      </w:r>
      <w:r w:rsidR="00CC1725" w:rsidRPr="00CC1725">
        <w:rPr>
          <w:rFonts w:ascii="Arial" w:hAnsi="Arial" w:cs="Arial"/>
          <w:i/>
          <w:color w:val="000000"/>
          <w:lang w:val="en-AU"/>
        </w:rPr>
        <w:t>Convention</w:t>
      </w:r>
      <w:r w:rsidR="00CC1725">
        <w:rPr>
          <w:rFonts w:ascii="Arial" w:hAnsi="Arial" w:cs="Arial"/>
          <w:color w:val="000000"/>
          <w:lang w:val="en-AU"/>
        </w:rPr>
        <w:t xml:space="preserve"> and </w:t>
      </w:r>
      <w:r w:rsidR="00703892">
        <w:rPr>
          <w:rFonts w:ascii="Arial" w:hAnsi="Arial" w:cs="Arial"/>
          <w:color w:val="000000"/>
          <w:lang w:val="en-AU"/>
        </w:rPr>
        <w:t xml:space="preserve">with </w:t>
      </w:r>
      <w:r w:rsidR="00CC1725">
        <w:rPr>
          <w:rFonts w:ascii="Arial" w:hAnsi="Arial" w:cs="Arial"/>
          <w:color w:val="000000"/>
          <w:lang w:val="en-AU"/>
        </w:rPr>
        <w:t xml:space="preserve">the views of the United Nations Committee on the Rights of the Child.  The laws that permitted police to treat a 17 year old as an adult whilst in custody were held to be incompatible with the </w:t>
      </w:r>
      <w:r w:rsidR="00CC1725" w:rsidRPr="00CC1725">
        <w:rPr>
          <w:rFonts w:ascii="Arial" w:hAnsi="Arial" w:cs="Arial"/>
          <w:i/>
          <w:color w:val="000000"/>
          <w:lang w:val="en-AU"/>
        </w:rPr>
        <w:t>Convention</w:t>
      </w:r>
      <w:r w:rsidR="00CC1725">
        <w:rPr>
          <w:rFonts w:ascii="Arial" w:hAnsi="Arial" w:cs="Arial"/>
          <w:color w:val="000000"/>
          <w:lang w:val="en-AU"/>
        </w:rPr>
        <w:t xml:space="preserve"> and international law.</w:t>
      </w:r>
      <w:r w:rsidR="00CC1725">
        <w:rPr>
          <w:rStyle w:val="FootnoteReference"/>
          <w:rFonts w:ascii="Arial" w:hAnsi="Arial" w:cs="Arial"/>
          <w:color w:val="000000"/>
          <w:lang w:val="en-AU"/>
        </w:rPr>
        <w:footnoteReference w:id="13"/>
      </w:r>
      <w:r w:rsidR="0057475B">
        <w:rPr>
          <w:rFonts w:ascii="Arial" w:hAnsi="Arial" w:cs="Arial"/>
          <w:color w:val="000000"/>
          <w:lang w:val="en-AU"/>
        </w:rPr>
        <w:t xml:space="preserve">  </w:t>
      </w:r>
      <w:r w:rsidR="00703892">
        <w:rPr>
          <w:rFonts w:ascii="Arial" w:hAnsi="Arial" w:cs="Arial"/>
          <w:color w:val="000000"/>
          <w:lang w:val="en-AU"/>
        </w:rPr>
        <w:t>In the introductory part of the reasons, the Court said:</w:t>
      </w:r>
    </w:p>
    <w:p w:rsidR="00703892" w:rsidRPr="00703892" w:rsidRDefault="00703892" w:rsidP="00703892">
      <w:pPr>
        <w:pStyle w:val="NormalWeb"/>
        <w:spacing w:before="120" w:beforeAutospacing="0" w:after="240" w:afterAutospacing="0" w:line="360" w:lineRule="auto"/>
        <w:ind w:left="1134" w:right="1104"/>
        <w:jc w:val="both"/>
        <w:rPr>
          <w:rFonts w:ascii="Arial" w:hAnsi="Arial" w:cs="Arial"/>
          <w:sz w:val="22"/>
          <w:szCs w:val="22"/>
          <w:lang w:val="en-AU"/>
        </w:rPr>
      </w:pPr>
      <w:r>
        <w:rPr>
          <w:rFonts w:ascii="Arial" w:hAnsi="Arial" w:cs="Arial"/>
          <w:sz w:val="22"/>
          <w:szCs w:val="22"/>
          <w:lang w:val="en-AU"/>
        </w:rPr>
        <w:t>There is a leaden irony in the title to these proceedings.  As a 17 year-old, the claimant …required the assistance of his mother or another adult to challenge [the code] which denied him the unqualified right to the assistance of his mother.</w:t>
      </w:r>
    </w:p>
    <w:p w:rsidR="001A22AC" w:rsidRDefault="0057475B" w:rsidP="001A22AC">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In the UK case referred to above, the Court noted that the failure of th</w:t>
      </w:r>
      <w:r w:rsidR="00D95CF8">
        <w:rPr>
          <w:rFonts w:ascii="Arial" w:hAnsi="Arial" w:cs="Arial"/>
          <w:lang w:val="en-AU"/>
        </w:rPr>
        <w:t>e UK to extend protection to 17-</w:t>
      </w:r>
      <w:r>
        <w:rPr>
          <w:rFonts w:ascii="Arial" w:hAnsi="Arial" w:cs="Arial"/>
          <w:lang w:val="en-AU"/>
        </w:rPr>
        <w:t>year-olds in detention had not escaped the attention of the United Nations Committee on the Rights of the Child, which had recommended that State Parties change their laws with a view to achieving a non-discriminatory full application of their Juvenile Justice Rules to all persons under the age of 18 years.</w:t>
      </w:r>
    </w:p>
    <w:p w:rsidR="0057475B" w:rsidRDefault="0057475B" w:rsidP="001A22AC">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 xml:space="preserve">The same has been said of Queensland’s laws.  </w:t>
      </w:r>
      <w:r w:rsidR="002D00BE">
        <w:rPr>
          <w:rFonts w:ascii="Arial" w:hAnsi="Arial" w:cs="Arial"/>
          <w:lang w:val="en-AU"/>
        </w:rPr>
        <w:t>In its Concluding O</w:t>
      </w:r>
      <w:r w:rsidR="00703892">
        <w:rPr>
          <w:rFonts w:ascii="Arial" w:hAnsi="Arial" w:cs="Arial"/>
          <w:lang w:val="en-AU"/>
        </w:rPr>
        <w:t xml:space="preserve">bservations </w:t>
      </w:r>
      <w:r w:rsidR="002D00BE">
        <w:rPr>
          <w:rFonts w:ascii="Arial" w:hAnsi="Arial" w:cs="Arial"/>
          <w:lang w:val="en-AU"/>
        </w:rPr>
        <w:t>in 2005 the Committee expressed concern that in Queensland, children aged 17 in conflict with the law may be tried as adults in particular cases</w:t>
      </w:r>
      <w:r w:rsidR="00137B6A">
        <w:rPr>
          <w:rFonts w:ascii="Arial" w:hAnsi="Arial" w:cs="Arial"/>
          <w:lang w:val="en-AU"/>
        </w:rPr>
        <w:t xml:space="preserve">.  The Committee </w:t>
      </w:r>
      <w:r w:rsidR="002D00BE">
        <w:rPr>
          <w:rFonts w:ascii="Arial" w:hAnsi="Arial" w:cs="Arial"/>
          <w:lang w:val="en-AU"/>
        </w:rPr>
        <w:t xml:space="preserve">recommended </w:t>
      </w:r>
      <w:r w:rsidR="00137B6A">
        <w:rPr>
          <w:rFonts w:ascii="Arial" w:hAnsi="Arial" w:cs="Arial"/>
          <w:lang w:val="en-AU"/>
        </w:rPr>
        <w:t xml:space="preserve">that the system of juvenile justice be brought fully into line with the </w:t>
      </w:r>
      <w:r w:rsidR="00137B6A" w:rsidRPr="004070EE">
        <w:rPr>
          <w:rFonts w:ascii="Arial" w:hAnsi="Arial" w:cs="Arial"/>
          <w:i/>
          <w:lang w:val="en-AU"/>
        </w:rPr>
        <w:t>Convention</w:t>
      </w:r>
      <w:r w:rsidR="00137B6A">
        <w:rPr>
          <w:rFonts w:ascii="Arial" w:hAnsi="Arial" w:cs="Arial"/>
          <w:lang w:val="en-AU"/>
        </w:rPr>
        <w:t xml:space="preserve">, in particular articles 37, 40 and 39, and other United Nations standards in the field of juvenile justice.  In particular the Committee recommended the removal of children who are 17 years old from the adult justice system in Queensland, and </w:t>
      </w:r>
      <w:r w:rsidR="002D00BE">
        <w:rPr>
          <w:rFonts w:ascii="Arial" w:hAnsi="Arial" w:cs="Arial"/>
          <w:lang w:val="en-AU"/>
        </w:rPr>
        <w:t xml:space="preserve">that all necessary measures be taken ‘to ensure that persons under 18 who are in conflict with the law are </w:t>
      </w:r>
      <w:r w:rsidR="002D00BE">
        <w:rPr>
          <w:rFonts w:ascii="Arial" w:hAnsi="Arial" w:cs="Arial"/>
          <w:lang w:val="en-AU"/>
        </w:rPr>
        <w:lastRenderedPageBreak/>
        <w:t>only deprived of liberty as a last resort and detained separately from adults, unless it is considered in the children’</w:t>
      </w:r>
      <w:r w:rsidR="009B7F20">
        <w:rPr>
          <w:rFonts w:ascii="Arial" w:hAnsi="Arial" w:cs="Arial"/>
          <w:lang w:val="en-AU"/>
        </w:rPr>
        <w:t>s best interest not to do so’.</w:t>
      </w:r>
      <w:r w:rsidR="009B7F20">
        <w:rPr>
          <w:rStyle w:val="FootnoteReference"/>
          <w:rFonts w:ascii="Arial" w:hAnsi="Arial" w:cs="Arial"/>
          <w:lang w:val="en-AU"/>
        </w:rPr>
        <w:footnoteReference w:id="14"/>
      </w:r>
    </w:p>
    <w:p w:rsidR="00137B6A" w:rsidRDefault="00137B6A" w:rsidP="001A22AC">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In the 2012 Concluding Observations the Committee noted with regret that the previous recommendations had not been accepted and again expressed concern that all 17 year-old child offenders continue to be tried under the criminal justice system in Queensland.  The Committee again recommende</w:t>
      </w:r>
      <w:r w:rsidR="009B7F20">
        <w:rPr>
          <w:rFonts w:ascii="Arial" w:hAnsi="Arial" w:cs="Arial"/>
          <w:lang w:val="en-AU"/>
        </w:rPr>
        <w:t xml:space="preserve">d that the juvenile justice system be brought fully in line with the </w:t>
      </w:r>
      <w:r w:rsidR="009B7F20" w:rsidRPr="004070EE">
        <w:rPr>
          <w:rFonts w:ascii="Arial" w:hAnsi="Arial" w:cs="Arial"/>
          <w:i/>
          <w:lang w:val="en-AU"/>
        </w:rPr>
        <w:t>Convention</w:t>
      </w:r>
      <w:r w:rsidR="009B7F20">
        <w:rPr>
          <w:rFonts w:ascii="Arial" w:hAnsi="Arial" w:cs="Arial"/>
          <w:lang w:val="en-AU"/>
        </w:rPr>
        <w:t xml:space="preserve"> and other relevant standards, and reiterated its previous recommendation to remove children who are 17 years old from the adult justice system in Queensland.</w:t>
      </w:r>
      <w:r w:rsidR="009B7F20">
        <w:rPr>
          <w:rStyle w:val="FootnoteReference"/>
          <w:rFonts w:ascii="Arial" w:hAnsi="Arial" w:cs="Arial"/>
          <w:lang w:val="en-AU"/>
        </w:rPr>
        <w:footnoteReference w:id="15"/>
      </w:r>
    </w:p>
    <w:p w:rsidR="009B7F20" w:rsidRPr="000B7ECC" w:rsidRDefault="009B7F20" w:rsidP="001A22AC">
      <w:pPr>
        <w:pStyle w:val="NormalWeb"/>
        <w:numPr>
          <w:ilvl w:val="0"/>
          <w:numId w:val="2"/>
        </w:numPr>
        <w:spacing w:before="240" w:beforeAutospacing="0" w:after="120" w:afterAutospacing="0" w:line="360" w:lineRule="auto"/>
        <w:ind w:left="567" w:hanging="567"/>
        <w:jc w:val="both"/>
        <w:rPr>
          <w:rFonts w:ascii="Arial" w:hAnsi="Arial" w:cs="Arial"/>
          <w:lang w:val="en-AU"/>
        </w:rPr>
      </w:pPr>
      <w:r>
        <w:rPr>
          <w:rFonts w:ascii="Arial" w:hAnsi="Arial" w:cs="Arial"/>
          <w:lang w:val="en-AU"/>
        </w:rPr>
        <w:t>The Commission urges the</w:t>
      </w:r>
      <w:r w:rsidR="004070EE">
        <w:rPr>
          <w:rFonts w:ascii="Arial" w:hAnsi="Arial" w:cs="Arial"/>
          <w:lang w:val="en-AU"/>
        </w:rPr>
        <w:t xml:space="preserve"> Queensland Government to remove 17 year-olds from adult prisons, and to make the regulation under the </w:t>
      </w:r>
      <w:r w:rsidR="004070EE" w:rsidRPr="004070EE">
        <w:rPr>
          <w:rFonts w:ascii="Arial" w:hAnsi="Arial" w:cs="Arial"/>
          <w:i/>
          <w:lang w:val="en-AU"/>
        </w:rPr>
        <w:t>Youth Justice Act 1992</w:t>
      </w:r>
      <w:r w:rsidR="004070EE">
        <w:rPr>
          <w:rFonts w:ascii="Arial" w:hAnsi="Arial" w:cs="Arial"/>
          <w:lang w:val="en-AU"/>
        </w:rPr>
        <w:t xml:space="preserve"> to change the definition of child to a person who has not turned 18 years.</w:t>
      </w:r>
    </w:p>
    <w:p w:rsidR="001A22AC" w:rsidRPr="000B7ECC" w:rsidRDefault="001A22AC" w:rsidP="001A22AC">
      <w:pPr>
        <w:pStyle w:val="NormalWeb"/>
        <w:pBdr>
          <w:top w:val="single" w:sz="4" w:space="1" w:color="auto"/>
          <w:left w:val="single" w:sz="4" w:space="4" w:color="auto"/>
          <w:bottom w:val="single" w:sz="4" w:space="1" w:color="auto"/>
          <w:right w:val="single" w:sz="4" w:space="4" w:color="auto"/>
        </w:pBdr>
        <w:spacing w:before="240" w:beforeAutospacing="0" w:after="240" w:afterAutospacing="0" w:line="360" w:lineRule="auto"/>
        <w:jc w:val="both"/>
        <w:rPr>
          <w:rFonts w:ascii="Arial" w:hAnsi="Arial" w:cs="Arial"/>
          <w:b/>
          <w:color w:val="000000"/>
          <w:lang w:val="en-AU"/>
        </w:rPr>
      </w:pPr>
      <w:r w:rsidRPr="000B7ECC">
        <w:rPr>
          <w:rFonts w:ascii="Arial" w:hAnsi="Arial" w:cs="Arial"/>
          <w:b/>
          <w:color w:val="000000"/>
          <w:lang w:val="en-AU"/>
        </w:rPr>
        <w:t>Recommendation III</w:t>
      </w:r>
      <w:r w:rsidRPr="000B7ECC">
        <w:rPr>
          <w:rFonts w:ascii="Arial" w:hAnsi="Arial" w:cs="Arial"/>
          <w:color w:val="000000"/>
          <w:lang w:val="en-AU"/>
        </w:rPr>
        <w:t xml:space="preserve">:  </w:t>
      </w:r>
      <w:r w:rsidR="004F49F8">
        <w:rPr>
          <w:rFonts w:ascii="Arial" w:hAnsi="Arial" w:cs="Arial"/>
          <w:color w:val="000000"/>
          <w:lang w:val="en-AU"/>
        </w:rPr>
        <w:t xml:space="preserve">That 17 year-olds be removed from adult prisons, and the regulation </w:t>
      </w:r>
      <w:proofErr w:type="gramStart"/>
      <w:r w:rsidR="004F49F8">
        <w:rPr>
          <w:rFonts w:ascii="Arial" w:hAnsi="Arial" w:cs="Arial"/>
          <w:color w:val="000000"/>
          <w:lang w:val="en-AU"/>
        </w:rPr>
        <w:t>be</w:t>
      </w:r>
      <w:proofErr w:type="gramEnd"/>
      <w:r w:rsidR="004F49F8">
        <w:rPr>
          <w:rFonts w:ascii="Arial" w:hAnsi="Arial" w:cs="Arial"/>
          <w:color w:val="000000"/>
          <w:lang w:val="en-AU"/>
        </w:rPr>
        <w:t xml:space="preserve"> made to change the definition of child to a person who has not turned 18 years.</w:t>
      </w:r>
    </w:p>
    <w:p w:rsidR="00037503" w:rsidRPr="000B7ECC" w:rsidRDefault="00E614C3" w:rsidP="00E614C3">
      <w:pPr>
        <w:pStyle w:val="NormalWeb"/>
        <w:keepNext/>
        <w:spacing w:before="480" w:beforeAutospacing="0" w:after="120" w:afterAutospacing="0" w:line="360" w:lineRule="auto"/>
        <w:jc w:val="both"/>
        <w:rPr>
          <w:rFonts w:ascii="Arial" w:hAnsi="Arial" w:cs="Arial"/>
          <w:b/>
          <w:sz w:val="28"/>
          <w:szCs w:val="28"/>
          <w:lang w:val="en-AU"/>
        </w:rPr>
      </w:pPr>
      <w:r w:rsidRPr="000B7ECC">
        <w:rPr>
          <w:rFonts w:ascii="Arial" w:hAnsi="Arial" w:cs="Arial"/>
          <w:b/>
          <w:sz w:val="28"/>
          <w:szCs w:val="28"/>
          <w:lang w:val="en-AU"/>
        </w:rPr>
        <w:t>Concluding remarks</w:t>
      </w:r>
    </w:p>
    <w:p w:rsidR="00B3710A" w:rsidRPr="000B7ECC" w:rsidRDefault="000B7ECC" w:rsidP="00E614C3">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0B7ECC">
        <w:rPr>
          <w:rFonts w:ascii="Arial" w:hAnsi="Arial" w:cs="Arial"/>
          <w:lang w:val="en-AU"/>
        </w:rPr>
        <w:t xml:space="preserve">The Commission thanks the Department for the opportunity to make this submission into the review of the youth justice system and the </w:t>
      </w:r>
      <w:r w:rsidRPr="000B7ECC">
        <w:rPr>
          <w:rFonts w:ascii="Arial" w:hAnsi="Arial" w:cs="Arial"/>
          <w:i/>
          <w:lang w:val="en-AU"/>
        </w:rPr>
        <w:t>Youth Justice Act 1992</w:t>
      </w:r>
      <w:r w:rsidRPr="000B7ECC">
        <w:rPr>
          <w:rFonts w:ascii="Arial" w:hAnsi="Arial" w:cs="Arial"/>
          <w:lang w:val="en-AU"/>
        </w:rPr>
        <w:t xml:space="preserve">. </w:t>
      </w:r>
    </w:p>
    <w:p w:rsidR="00C57509" w:rsidRPr="0045584A" w:rsidRDefault="000B7ECC" w:rsidP="00037503">
      <w:pPr>
        <w:pStyle w:val="NormalWeb"/>
        <w:numPr>
          <w:ilvl w:val="0"/>
          <w:numId w:val="2"/>
        </w:numPr>
        <w:spacing w:before="240" w:beforeAutospacing="0" w:after="120" w:afterAutospacing="0" w:line="360" w:lineRule="auto"/>
        <w:ind w:left="567" w:hanging="567"/>
        <w:jc w:val="both"/>
        <w:rPr>
          <w:rFonts w:ascii="Arial" w:hAnsi="Arial" w:cs="Arial"/>
          <w:lang w:val="en-AU"/>
        </w:rPr>
      </w:pPr>
      <w:r w:rsidRPr="0045584A">
        <w:rPr>
          <w:rFonts w:ascii="Arial" w:hAnsi="Arial" w:cs="Arial"/>
          <w:lang w:val="en-AU"/>
        </w:rPr>
        <w:t xml:space="preserve">The Commission welcomes open debate </w:t>
      </w:r>
      <w:r w:rsidR="00AF44EE" w:rsidRPr="0045584A">
        <w:rPr>
          <w:rFonts w:ascii="Arial" w:hAnsi="Arial" w:cs="Arial"/>
          <w:lang w:val="en-AU"/>
        </w:rPr>
        <w:t xml:space="preserve">and consultation </w:t>
      </w:r>
      <w:r w:rsidRPr="0045584A">
        <w:rPr>
          <w:rFonts w:ascii="Arial" w:hAnsi="Arial" w:cs="Arial"/>
          <w:lang w:val="en-AU"/>
        </w:rPr>
        <w:t>on such important issues for our community</w:t>
      </w:r>
      <w:r w:rsidR="00AF44EE" w:rsidRPr="0045584A">
        <w:rPr>
          <w:rFonts w:ascii="Arial" w:hAnsi="Arial" w:cs="Arial"/>
          <w:lang w:val="en-AU"/>
        </w:rPr>
        <w:t xml:space="preserve">.  </w:t>
      </w:r>
      <w:r w:rsidR="005830F4" w:rsidRPr="0045584A">
        <w:rPr>
          <w:rFonts w:ascii="Arial" w:hAnsi="Arial" w:cs="Arial"/>
          <w:lang w:val="en-AU"/>
        </w:rPr>
        <w:t xml:space="preserve">Addressing juvenile offending is a challenge for any government.  </w:t>
      </w:r>
      <w:r w:rsidR="00AF44EE" w:rsidRPr="0045584A">
        <w:rPr>
          <w:rFonts w:ascii="Arial" w:hAnsi="Arial" w:cs="Arial"/>
          <w:lang w:val="en-AU"/>
        </w:rPr>
        <w:t xml:space="preserve">The Commission </w:t>
      </w:r>
      <w:r w:rsidRPr="0045584A">
        <w:rPr>
          <w:rFonts w:ascii="Arial" w:hAnsi="Arial" w:cs="Arial"/>
          <w:lang w:val="en-AU"/>
        </w:rPr>
        <w:t xml:space="preserve">would urge </w:t>
      </w:r>
      <w:r w:rsidR="00AF44EE" w:rsidRPr="0045584A">
        <w:rPr>
          <w:rFonts w:ascii="Arial" w:hAnsi="Arial" w:cs="Arial"/>
          <w:lang w:val="en-AU"/>
        </w:rPr>
        <w:t xml:space="preserve">that </w:t>
      </w:r>
      <w:r w:rsidRPr="0045584A">
        <w:rPr>
          <w:rFonts w:ascii="Arial" w:hAnsi="Arial" w:cs="Arial"/>
          <w:lang w:val="en-AU"/>
        </w:rPr>
        <w:t>all relevant research and stu</w:t>
      </w:r>
      <w:r w:rsidR="00AF44EE" w:rsidRPr="0045584A">
        <w:rPr>
          <w:rFonts w:ascii="Arial" w:hAnsi="Arial" w:cs="Arial"/>
          <w:lang w:val="en-AU"/>
        </w:rPr>
        <w:t xml:space="preserve">dies be made more </w:t>
      </w:r>
      <w:proofErr w:type="gramStart"/>
      <w:r w:rsidR="00AF44EE" w:rsidRPr="0045584A">
        <w:rPr>
          <w:rFonts w:ascii="Arial" w:hAnsi="Arial" w:cs="Arial"/>
          <w:lang w:val="en-AU"/>
        </w:rPr>
        <w:t>accessible,</w:t>
      </w:r>
      <w:proofErr w:type="gramEnd"/>
      <w:r w:rsidR="00AF44EE" w:rsidRPr="0045584A">
        <w:rPr>
          <w:rFonts w:ascii="Arial" w:hAnsi="Arial" w:cs="Arial"/>
          <w:lang w:val="en-AU"/>
        </w:rPr>
        <w:t xml:space="preserve"> to assist understanding and awareness of the general community and to contribute to evidence based </w:t>
      </w:r>
      <w:r w:rsidR="00B2104A" w:rsidRPr="0045584A">
        <w:rPr>
          <w:rFonts w:ascii="Arial" w:hAnsi="Arial" w:cs="Arial"/>
          <w:lang w:val="en-AU"/>
        </w:rPr>
        <w:t>policy</w:t>
      </w:r>
      <w:r w:rsidR="00AF44EE" w:rsidRPr="0045584A">
        <w:rPr>
          <w:rFonts w:ascii="Arial" w:hAnsi="Arial" w:cs="Arial"/>
          <w:lang w:val="en-AU"/>
        </w:rPr>
        <w:t>-making.</w:t>
      </w:r>
    </w:p>
    <w:sectPr w:rsidR="00C57509" w:rsidRPr="0045584A" w:rsidSect="0092734D">
      <w:headerReference w:type="even" r:id="rId9"/>
      <w:headerReference w:type="default" r:id="rId10"/>
      <w:footerReference w:type="even" r:id="rId11"/>
      <w:footerReference w:type="default" r:id="rId12"/>
      <w:headerReference w:type="first" r:id="rId13"/>
      <w:footerReference w:type="first" r:id="rId14"/>
      <w:pgSz w:w="11906" w:h="16838" w:code="9"/>
      <w:pgMar w:top="907" w:right="1416" w:bottom="1361" w:left="1588" w:header="510"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E4" w:rsidRDefault="003A34E4">
      <w:r>
        <w:separator/>
      </w:r>
    </w:p>
  </w:endnote>
  <w:endnote w:type="continuationSeparator" w:id="0">
    <w:p w:rsidR="003A34E4" w:rsidRDefault="003A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500" w:type="pct"/>
      <w:tblCellMar>
        <w:top w:w="72" w:type="dxa"/>
        <w:left w:w="115" w:type="dxa"/>
        <w:bottom w:w="72" w:type="dxa"/>
        <w:right w:w="115" w:type="dxa"/>
      </w:tblCellMar>
      <w:tblLook w:val="04A0" w:firstRow="1" w:lastRow="0" w:firstColumn="1" w:lastColumn="0" w:noHBand="0" w:noVBand="1"/>
    </w:tblPr>
    <w:tblGrid>
      <w:gridCol w:w="8219"/>
    </w:tblGrid>
    <w:tr w:rsidR="00713075" w:rsidRPr="00713075" w:rsidTr="00713075">
      <w:tc>
        <w:tcPr>
          <w:tcW w:w="5000" w:type="pct"/>
          <w:tcBorders>
            <w:top w:val="single" w:sz="4" w:space="0" w:color="auto"/>
          </w:tcBorders>
        </w:tcPr>
        <w:p w:rsidR="00713075" w:rsidRPr="00713075" w:rsidRDefault="00713075" w:rsidP="0045584A">
          <w:pPr>
            <w:pStyle w:val="Footer"/>
            <w:rPr>
              <w:rFonts w:ascii="Arial" w:hAnsi="Arial" w:cs="Arial"/>
              <w:sz w:val="18"/>
              <w:szCs w:val="18"/>
            </w:rPr>
          </w:pPr>
          <w:r>
            <w:rPr>
              <w:rFonts w:ascii="Arial" w:hAnsi="Arial" w:cs="Arial"/>
              <w:sz w:val="18"/>
              <w:szCs w:val="18"/>
            </w:rPr>
            <w:t xml:space="preserve">Page </w:t>
          </w:r>
          <w:r w:rsidRPr="00713075">
            <w:rPr>
              <w:rFonts w:ascii="Arial" w:hAnsi="Arial" w:cs="Arial"/>
              <w:sz w:val="18"/>
              <w:szCs w:val="18"/>
            </w:rPr>
            <w:fldChar w:fldCharType="begin"/>
          </w:r>
          <w:r w:rsidRPr="00713075">
            <w:rPr>
              <w:rFonts w:ascii="Arial" w:hAnsi="Arial" w:cs="Arial"/>
              <w:sz w:val="18"/>
              <w:szCs w:val="18"/>
            </w:rPr>
            <w:instrText xml:space="preserve"> PAGE   \* MERGEFORMAT </w:instrText>
          </w:r>
          <w:r w:rsidRPr="00713075">
            <w:rPr>
              <w:rFonts w:ascii="Arial" w:hAnsi="Arial" w:cs="Arial"/>
              <w:sz w:val="18"/>
              <w:szCs w:val="18"/>
            </w:rPr>
            <w:fldChar w:fldCharType="separate"/>
          </w:r>
          <w:r w:rsidR="00C408CB">
            <w:rPr>
              <w:rFonts w:ascii="Arial" w:hAnsi="Arial" w:cs="Arial"/>
              <w:noProof/>
              <w:sz w:val="18"/>
              <w:szCs w:val="18"/>
            </w:rPr>
            <w:t>2</w:t>
          </w:r>
          <w:r w:rsidRPr="00713075">
            <w:rPr>
              <w:rFonts w:ascii="Arial" w:hAnsi="Arial" w:cs="Arial"/>
              <w:noProof/>
              <w:sz w:val="18"/>
              <w:szCs w:val="18"/>
            </w:rPr>
            <w:fldChar w:fldCharType="end"/>
          </w:r>
        </w:p>
      </w:tc>
    </w:tr>
  </w:tbl>
  <w:p w:rsidR="003A34E4" w:rsidRDefault="003A34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132"/>
    </w:tblGrid>
    <w:tr w:rsidR="00C408CB" w:rsidRPr="0092734D" w:rsidTr="00C408CB">
      <w:tc>
        <w:tcPr>
          <w:tcW w:w="5000" w:type="pct"/>
          <w:tcBorders>
            <w:top w:val="single" w:sz="4" w:space="0" w:color="000000" w:themeColor="text1"/>
          </w:tcBorders>
        </w:tcPr>
        <w:p w:rsidR="00C408CB" w:rsidRPr="0092734D" w:rsidRDefault="00C408CB" w:rsidP="00C408CB">
          <w:pPr>
            <w:pStyle w:val="Footer"/>
            <w:tabs>
              <w:tab w:val="clear" w:pos="4153"/>
              <w:tab w:val="clear" w:pos="8306"/>
            </w:tabs>
            <w:jc w:val="center"/>
            <w:rPr>
              <w:rFonts w:ascii="Arial" w:hAnsi="Arial" w:cs="Arial"/>
              <w:sz w:val="20"/>
            </w:rPr>
          </w:pPr>
          <w:bookmarkStart w:id="2" w:name="_GoBack"/>
          <w:r w:rsidRPr="0092734D">
            <w:rPr>
              <w:rFonts w:ascii="Arial" w:hAnsi="Arial" w:cs="Arial"/>
              <w:sz w:val="20"/>
            </w:rPr>
            <w:t xml:space="preserve">Page </w:t>
          </w:r>
          <w:r w:rsidRPr="0092734D">
            <w:rPr>
              <w:rFonts w:ascii="Arial" w:hAnsi="Arial" w:cs="Arial"/>
              <w:sz w:val="20"/>
            </w:rPr>
            <w:fldChar w:fldCharType="begin"/>
          </w:r>
          <w:r w:rsidRPr="0092734D">
            <w:rPr>
              <w:rFonts w:ascii="Arial" w:hAnsi="Arial" w:cs="Arial"/>
              <w:sz w:val="20"/>
            </w:rPr>
            <w:instrText xml:space="preserve"> PAGE   \* MERGEFORMAT </w:instrText>
          </w:r>
          <w:r w:rsidRPr="0092734D">
            <w:rPr>
              <w:rFonts w:ascii="Arial" w:hAnsi="Arial" w:cs="Arial"/>
              <w:sz w:val="20"/>
            </w:rPr>
            <w:fldChar w:fldCharType="separate"/>
          </w:r>
          <w:r w:rsidR="0092734D">
            <w:rPr>
              <w:rFonts w:ascii="Arial" w:hAnsi="Arial" w:cs="Arial"/>
              <w:noProof/>
              <w:sz w:val="20"/>
            </w:rPr>
            <w:t>2</w:t>
          </w:r>
          <w:r w:rsidRPr="0092734D">
            <w:rPr>
              <w:rFonts w:ascii="Arial" w:hAnsi="Arial" w:cs="Arial"/>
              <w:noProof/>
              <w:sz w:val="20"/>
            </w:rPr>
            <w:fldChar w:fldCharType="end"/>
          </w:r>
        </w:p>
      </w:tc>
    </w:tr>
    <w:bookmarkEnd w:id="2"/>
  </w:tbl>
  <w:p w:rsidR="003A34E4" w:rsidRDefault="003A34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4E4" w:rsidRPr="002E2341" w:rsidRDefault="003A34E4" w:rsidP="0045584A">
    <w:pPr>
      <w:autoSpaceDE w:val="0"/>
      <w:autoSpaceDN w:val="0"/>
      <w:adjustRightInd w:val="0"/>
      <w:jc w:val="center"/>
      <w:rPr>
        <w:rFonts w:ascii="Arial" w:hAnsi="Arial" w:cs="Arial"/>
      </w:rPr>
    </w:pPr>
    <w:r>
      <w:rPr>
        <w:rFonts w:ascii="Arial" w:hAnsi="Arial" w:cs="Arial"/>
        <w:b/>
        <w:sz w:val="28"/>
        <w:szCs w:val="28"/>
      </w:rPr>
      <w:t>June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E4" w:rsidRDefault="003A34E4">
      <w:r>
        <w:separator/>
      </w:r>
    </w:p>
  </w:footnote>
  <w:footnote w:type="continuationSeparator" w:id="0">
    <w:p w:rsidR="003A34E4" w:rsidRDefault="003A34E4">
      <w:r>
        <w:continuationSeparator/>
      </w:r>
    </w:p>
  </w:footnote>
  <w:footnote w:id="1">
    <w:p w:rsidR="003A34E4" w:rsidRPr="00D120DF" w:rsidRDefault="003A34E4">
      <w:pPr>
        <w:pStyle w:val="FootnoteText"/>
        <w:rPr>
          <w:rFonts w:ascii="Arial" w:hAnsi="Arial" w:cs="Arial"/>
          <w:lang w:val="en-US"/>
        </w:rPr>
      </w:pPr>
      <w:r w:rsidRPr="00D120DF">
        <w:rPr>
          <w:rStyle w:val="FootnoteReference"/>
          <w:rFonts w:ascii="Arial" w:hAnsi="Arial" w:cs="Arial"/>
        </w:rPr>
        <w:footnoteRef/>
      </w:r>
      <w:r w:rsidRPr="00D120DF">
        <w:rPr>
          <w:rFonts w:ascii="Arial" w:hAnsi="Arial" w:cs="Arial"/>
        </w:rPr>
        <w:t xml:space="preserve"> </w:t>
      </w:r>
      <w:r w:rsidRPr="00D120DF">
        <w:rPr>
          <w:rFonts w:ascii="Arial" w:hAnsi="Arial" w:cs="Arial"/>
          <w:i/>
          <w:lang w:val="en-US"/>
        </w:rPr>
        <w:t>Anti-Discrimination Act 1991</w:t>
      </w:r>
      <w:r w:rsidRPr="00D120DF">
        <w:rPr>
          <w:rFonts w:ascii="Arial" w:hAnsi="Arial" w:cs="Arial"/>
          <w:lang w:val="en-US"/>
        </w:rPr>
        <w:t>, Preamble paragraph 6</w:t>
      </w:r>
    </w:p>
  </w:footnote>
  <w:footnote w:id="2">
    <w:p w:rsidR="003A34E4" w:rsidRPr="006774A1" w:rsidRDefault="003A34E4">
      <w:pPr>
        <w:pStyle w:val="FootnoteText"/>
        <w:rPr>
          <w:rFonts w:ascii="Arial" w:hAnsi="Arial" w:cs="Arial"/>
          <w:lang w:val="en-US"/>
        </w:rPr>
      </w:pPr>
      <w:r w:rsidRPr="006774A1">
        <w:rPr>
          <w:rStyle w:val="FootnoteReference"/>
          <w:rFonts w:ascii="Arial" w:hAnsi="Arial" w:cs="Arial"/>
        </w:rPr>
        <w:footnoteRef/>
      </w:r>
      <w:r w:rsidRPr="006774A1">
        <w:rPr>
          <w:rFonts w:ascii="Arial" w:hAnsi="Arial" w:cs="Arial"/>
        </w:rPr>
        <w:t xml:space="preserve"> </w:t>
      </w:r>
      <w:r w:rsidRPr="002C2544">
        <w:rPr>
          <w:rFonts w:ascii="Arial" w:hAnsi="Arial" w:cs="Arial"/>
          <w:i/>
          <w:lang w:val="en-US"/>
        </w:rPr>
        <w:t>Youth Justice Act 1992</w:t>
      </w:r>
      <w:r w:rsidRPr="006774A1">
        <w:rPr>
          <w:rFonts w:ascii="Arial" w:hAnsi="Arial" w:cs="Arial"/>
          <w:lang w:val="en-US"/>
        </w:rPr>
        <w:t>, section 3, Schedule 1 Charter of youth justice principles, paragraph 5</w:t>
      </w:r>
    </w:p>
  </w:footnote>
  <w:footnote w:id="3">
    <w:p w:rsidR="003A34E4" w:rsidRPr="00D44FDD" w:rsidRDefault="003A34E4">
      <w:pPr>
        <w:pStyle w:val="FootnoteText"/>
        <w:rPr>
          <w:rFonts w:ascii="Arial" w:hAnsi="Arial" w:cs="Arial"/>
          <w:lang w:val="en-US"/>
        </w:rPr>
      </w:pPr>
      <w:r w:rsidRPr="00D44FDD">
        <w:rPr>
          <w:rStyle w:val="FootnoteReference"/>
          <w:rFonts w:ascii="Arial" w:hAnsi="Arial" w:cs="Arial"/>
        </w:rPr>
        <w:footnoteRef/>
      </w:r>
      <w:r w:rsidRPr="00D44FDD">
        <w:rPr>
          <w:rFonts w:ascii="Arial" w:hAnsi="Arial" w:cs="Arial"/>
        </w:rPr>
        <w:t xml:space="preserve"> </w:t>
      </w:r>
      <w:r w:rsidRPr="00D44FDD">
        <w:rPr>
          <w:rFonts w:ascii="Arial" w:hAnsi="Arial" w:cs="Arial"/>
          <w:i/>
        </w:rPr>
        <w:t xml:space="preserve">Minister for Immigration and Ethnic Affairs v Teoh </w:t>
      </w:r>
      <w:r w:rsidRPr="00D44FDD">
        <w:rPr>
          <w:rFonts w:ascii="Arial" w:hAnsi="Arial" w:cs="Arial"/>
          <w:lang w:val="en-US"/>
        </w:rPr>
        <w:t>(1995) 183 CLR 273 at 291</w:t>
      </w:r>
    </w:p>
  </w:footnote>
  <w:footnote w:id="4">
    <w:p w:rsidR="003A34E4" w:rsidRPr="00A72490" w:rsidRDefault="003A34E4">
      <w:pPr>
        <w:pStyle w:val="FootnoteText"/>
        <w:rPr>
          <w:rFonts w:ascii="Arial" w:hAnsi="Arial" w:cs="Arial"/>
          <w:lang w:val="en-US"/>
        </w:rPr>
      </w:pPr>
      <w:r w:rsidRPr="00A72490">
        <w:rPr>
          <w:rStyle w:val="FootnoteReference"/>
          <w:rFonts w:ascii="Arial" w:hAnsi="Arial" w:cs="Arial"/>
        </w:rPr>
        <w:footnoteRef/>
      </w:r>
      <w:r w:rsidRPr="00A72490">
        <w:rPr>
          <w:rFonts w:ascii="Arial" w:hAnsi="Arial" w:cs="Arial"/>
        </w:rPr>
        <w:t xml:space="preserve"> </w:t>
      </w:r>
      <w:r w:rsidRPr="00A72490">
        <w:rPr>
          <w:rFonts w:ascii="Arial" w:hAnsi="Arial" w:cs="Arial"/>
          <w:i/>
          <w:lang w:val="en-US"/>
        </w:rPr>
        <w:t>Safer Streets Crime Action Plan – Youth Justice</w:t>
      </w:r>
      <w:r w:rsidRPr="00A72490">
        <w:rPr>
          <w:rFonts w:ascii="Arial" w:hAnsi="Arial" w:cs="Arial"/>
          <w:lang w:val="en-US"/>
        </w:rPr>
        <w:t>, March 2013, page 8</w:t>
      </w:r>
    </w:p>
  </w:footnote>
  <w:footnote w:id="5">
    <w:p w:rsidR="003A34E4" w:rsidRPr="00B367C0" w:rsidRDefault="003A34E4">
      <w:pPr>
        <w:pStyle w:val="FootnoteText"/>
        <w:rPr>
          <w:rFonts w:ascii="Arial" w:hAnsi="Arial" w:cs="Arial"/>
          <w:i/>
          <w:lang w:val="en-US"/>
        </w:rPr>
      </w:pPr>
      <w:r w:rsidRPr="00B367C0">
        <w:rPr>
          <w:rStyle w:val="FootnoteReference"/>
          <w:rFonts w:ascii="Arial" w:hAnsi="Arial" w:cs="Arial"/>
        </w:rPr>
        <w:footnoteRef/>
      </w:r>
      <w:r w:rsidRPr="00B367C0">
        <w:rPr>
          <w:rFonts w:ascii="Arial" w:hAnsi="Arial" w:cs="Arial"/>
        </w:rPr>
        <w:t xml:space="preserve"> </w:t>
      </w:r>
      <w:r w:rsidRPr="00B367C0">
        <w:rPr>
          <w:rFonts w:ascii="Arial" w:hAnsi="Arial" w:cs="Arial"/>
          <w:lang w:val="en-US"/>
        </w:rPr>
        <w:t xml:space="preserve">See for example the research and studies referred to in: Appendix A to the Australian Institute of Criminology 2007 report </w:t>
      </w:r>
      <w:r w:rsidRPr="00B367C0">
        <w:rPr>
          <w:rFonts w:ascii="Arial" w:hAnsi="Arial" w:cs="Arial"/>
          <w:i/>
          <w:lang w:val="en-US"/>
        </w:rPr>
        <w:t>Recidivism in Australian: findings and future</w:t>
      </w:r>
      <w:r w:rsidRPr="00B367C0">
        <w:rPr>
          <w:rFonts w:ascii="Arial" w:hAnsi="Arial" w:cs="Arial"/>
          <w:lang w:val="en-US"/>
        </w:rPr>
        <w:t xml:space="preserve">; Balanced Justice factsheet </w:t>
      </w:r>
      <w:r w:rsidRPr="00B367C0">
        <w:rPr>
          <w:rFonts w:ascii="Arial" w:hAnsi="Arial" w:cs="Arial"/>
          <w:i/>
          <w:lang w:val="en-US"/>
        </w:rPr>
        <w:t>Busting the myths – the facts about addressing youth offending – Part 2</w:t>
      </w:r>
    </w:p>
  </w:footnote>
  <w:footnote w:id="6">
    <w:p w:rsidR="003A34E4" w:rsidRPr="007439C8" w:rsidRDefault="003A34E4" w:rsidP="00B07DB7">
      <w:pPr>
        <w:pStyle w:val="FootnoteText"/>
        <w:rPr>
          <w:rFonts w:ascii="Arial" w:hAnsi="Arial" w:cs="Arial"/>
          <w:lang w:val="en-US"/>
        </w:rPr>
      </w:pPr>
      <w:r>
        <w:rPr>
          <w:rStyle w:val="FootnoteReference"/>
        </w:rPr>
        <w:footnoteRef/>
      </w:r>
      <w:r>
        <w:t xml:space="preserve"> </w:t>
      </w:r>
      <w:r>
        <w:rPr>
          <w:rFonts w:ascii="Arial" w:hAnsi="Arial" w:cs="Arial"/>
          <w:lang w:val="en-US"/>
        </w:rPr>
        <w:t xml:space="preserve">Keith Hamburger AM, </w:t>
      </w:r>
      <w:r>
        <w:rPr>
          <w:rFonts w:ascii="Arial" w:hAnsi="Arial" w:cs="Arial"/>
          <w:i/>
          <w:lang w:val="en-US"/>
        </w:rPr>
        <w:t xml:space="preserve">Restorative Justice: Victims and Offenders: In the Context of Developing a National Approach to a Best Practice Response to Social Breakdown and Crime in Australia </w:t>
      </w:r>
      <w:r>
        <w:rPr>
          <w:rFonts w:ascii="Arial" w:hAnsi="Arial" w:cs="Arial"/>
          <w:lang w:val="en-US"/>
        </w:rPr>
        <w:t>(September 2006)</w:t>
      </w:r>
    </w:p>
  </w:footnote>
  <w:footnote w:id="7">
    <w:p w:rsidR="003A34E4" w:rsidRPr="007C4B49" w:rsidRDefault="003A34E4">
      <w:pPr>
        <w:pStyle w:val="FootnoteText"/>
        <w:rPr>
          <w:rFonts w:ascii="Arial" w:hAnsi="Arial" w:cs="Arial"/>
        </w:rPr>
      </w:pPr>
      <w:r w:rsidRPr="007C4B49">
        <w:rPr>
          <w:rStyle w:val="FootnoteReference"/>
          <w:rFonts w:ascii="Arial" w:hAnsi="Arial" w:cs="Arial"/>
        </w:rPr>
        <w:footnoteRef/>
      </w:r>
      <w:r w:rsidRPr="007C4B49">
        <w:rPr>
          <w:rFonts w:ascii="Arial" w:hAnsi="Arial" w:cs="Arial"/>
        </w:rPr>
        <w:t xml:space="preserve"> </w:t>
      </w:r>
      <w:r>
        <w:rPr>
          <w:rFonts w:ascii="Arial" w:hAnsi="Arial" w:cs="Arial"/>
          <w:i/>
        </w:rPr>
        <w:t xml:space="preserve">Three Dogmas of Juvenile Justice, </w:t>
      </w:r>
      <w:r>
        <w:rPr>
          <w:rFonts w:ascii="Arial" w:hAnsi="Arial" w:cs="Arial"/>
        </w:rPr>
        <w:t>Don Weatherburn, Andrew McGrath and Lorana Bartels, 35 U.N.S.W.L.J. 780 2012</w:t>
      </w:r>
    </w:p>
  </w:footnote>
  <w:footnote w:id="8">
    <w:p w:rsidR="003A34E4" w:rsidRPr="0042376F" w:rsidRDefault="003A34E4">
      <w:pPr>
        <w:pStyle w:val="FootnoteText"/>
        <w:rPr>
          <w:rFonts w:ascii="Arial" w:hAnsi="Arial" w:cs="Arial"/>
          <w:i/>
          <w:lang w:val="en-US"/>
        </w:rPr>
      </w:pPr>
      <w:r w:rsidRPr="0042376F">
        <w:rPr>
          <w:rStyle w:val="FootnoteReference"/>
          <w:rFonts w:ascii="Arial" w:hAnsi="Arial" w:cs="Arial"/>
        </w:rPr>
        <w:footnoteRef/>
      </w:r>
      <w:r w:rsidRPr="0042376F">
        <w:rPr>
          <w:rFonts w:ascii="Arial" w:hAnsi="Arial" w:cs="Arial"/>
        </w:rPr>
        <w:t xml:space="preserve"> </w:t>
      </w:r>
      <w:r w:rsidRPr="0042376F">
        <w:rPr>
          <w:rFonts w:ascii="Arial" w:hAnsi="Arial" w:cs="Arial"/>
          <w:lang w:val="en-US"/>
        </w:rPr>
        <w:t xml:space="preserve">The Courier Mail (and The Australian) 12 December 2012, </w:t>
      </w:r>
      <w:r w:rsidRPr="0042376F">
        <w:rPr>
          <w:rFonts w:ascii="Arial" w:hAnsi="Arial" w:cs="Arial"/>
          <w:i/>
          <w:lang w:val="en-US"/>
        </w:rPr>
        <w:t>Judge Michael Shanahan says locking up juvenile criminals in detention doesn’t work</w:t>
      </w:r>
    </w:p>
  </w:footnote>
  <w:footnote w:id="9">
    <w:p w:rsidR="003A34E4" w:rsidRPr="007A69EA" w:rsidRDefault="003A34E4">
      <w:pPr>
        <w:pStyle w:val="FootnoteText"/>
        <w:rPr>
          <w:rFonts w:ascii="Arial" w:hAnsi="Arial" w:cs="Arial"/>
          <w:lang w:val="en-US"/>
        </w:rPr>
      </w:pPr>
      <w:bookmarkStart w:id="0" w:name="OLE_LINK1"/>
      <w:bookmarkStart w:id="1" w:name="OLE_LINK2"/>
      <w:r w:rsidRPr="007A69EA">
        <w:rPr>
          <w:rStyle w:val="FootnoteReference"/>
          <w:rFonts w:ascii="Arial" w:hAnsi="Arial" w:cs="Arial"/>
        </w:rPr>
        <w:footnoteRef/>
      </w:r>
      <w:r w:rsidRPr="007A69EA">
        <w:rPr>
          <w:rFonts w:ascii="Arial" w:hAnsi="Arial" w:cs="Arial"/>
        </w:rPr>
        <w:t xml:space="preserve"> </w:t>
      </w:r>
      <w:r w:rsidRPr="007A69EA">
        <w:rPr>
          <w:rFonts w:ascii="Arial" w:hAnsi="Arial" w:cs="Arial"/>
          <w:lang w:val="en-US"/>
        </w:rPr>
        <w:t>Professor Anna Stewart, School of Criminology and Criminal Justice</w:t>
      </w:r>
      <w:r>
        <w:rPr>
          <w:rFonts w:ascii="Arial" w:hAnsi="Arial" w:cs="Arial"/>
          <w:lang w:val="en-US"/>
        </w:rPr>
        <w:t xml:space="preserve">, </w:t>
      </w:r>
      <w:r w:rsidRPr="007A69EA">
        <w:rPr>
          <w:rFonts w:ascii="Arial" w:hAnsi="Arial" w:cs="Arial"/>
          <w:lang w:val="en-US"/>
        </w:rPr>
        <w:t>Griffith University.  See presentation to the Youth Advocacy Cent</w:t>
      </w:r>
      <w:r>
        <w:rPr>
          <w:rFonts w:ascii="Arial" w:hAnsi="Arial" w:cs="Arial"/>
          <w:lang w:val="en-US"/>
        </w:rPr>
        <w:t>re Public F</w:t>
      </w:r>
      <w:r w:rsidRPr="007A69EA">
        <w:rPr>
          <w:rFonts w:ascii="Arial" w:hAnsi="Arial" w:cs="Arial"/>
          <w:lang w:val="en-US"/>
        </w:rPr>
        <w:t>orum</w:t>
      </w:r>
      <w:r>
        <w:rPr>
          <w:rFonts w:ascii="Arial" w:hAnsi="Arial" w:cs="Arial"/>
          <w:lang w:val="en-US"/>
        </w:rPr>
        <w:t xml:space="preserve">, 29 May 2013, Youth Advocacy Centre Inc. </w:t>
      </w:r>
      <w:hyperlink r:id="rId1" w:history="1">
        <w:r w:rsidRPr="00DE3839">
          <w:rPr>
            <w:rStyle w:val="Hyperlink"/>
            <w:rFonts w:ascii="Arial" w:hAnsi="Arial" w:cs="Arial"/>
            <w:lang w:val="en-US"/>
          </w:rPr>
          <w:t>http://www.yac.net.au/youth-justice-a-balanced-approach/</w:t>
        </w:r>
      </w:hyperlink>
      <w:r>
        <w:rPr>
          <w:rFonts w:ascii="Arial" w:hAnsi="Arial" w:cs="Arial"/>
          <w:lang w:val="en-US"/>
        </w:rPr>
        <w:t xml:space="preserve">  </w:t>
      </w:r>
      <w:bookmarkEnd w:id="0"/>
      <w:bookmarkEnd w:id="1"/>
    </w:p>
  </w:footnote>
  <w:footnote w:id="10">
    <w:p w:rsidR="003A34E4" w:rsidRPr="00D130DC" w:rsidRDefault="003A34E4">
      <w:pPr>
        <w:pStyle w:val="FootnoteText"/>
        <w:rPr>
          <w:rFonts w:ascii="Arial" w:hAnsi="Arial" w:cs="Arial"/>
          <w:lang w:val="en-US"/>
        </w:rPr>
      </w:pPr>
      <w:r w:rsidRPr="00D130DC">
        <w:rPr>
          <w:rStyle w:val="FootnoteReference"/>
          <w:rFonts w:ascii="Arial" w:hAnsi="Arial" w:cs="Arial"/>
        </w:rPr>
        <w:footnoteRef/>
      </w:r>
      <w:r w:rsidRPr="00D130DC">
        <w:rPr>
          <w:rFonts w:ascii="Arial" w:hAnsi="Arial" w:cs="Arial"/>
        </w:rPr>
        <w:t xml:space="preserve"> </w:t>
      </w:r>
      <w:r>
        <w:rPr>
          <w:rFonts w:ascii="Arial" w:hAnsi="Arial" w:cs="Arial"/>
        </w:rPr>
        <w:t>‘</w:t>
      </w:r>
      <w:r w:rsidRPr="00A92D77">
        <w:rPr>
          <w:rFonts w:ascii="Arial" w:hAnsi="Arial" w:cs="Arial"/>
        </w:rPr>
        <w:t>Targeting crime prevention to reduce offending: Identifying communities that generate chronic and costly offenders</w:t>
      </w:r>
      <w:r>
        <w:rPr>
          <w:rFonts w:ascii="Arial" w:hAnsi="Arial" w:cs="Arial"/>
          <w:i/>
        </w:rPr>
        <w:t>’</w:t>
      </w:r>
      <w:r w:rsidRPr="00D130DC">
        <w:rPr>
          <w:rFonts w:ascii="Arial" w:hAnsi="Arial" w:cs="Arial"/>
          <w:i/>
        </w:rPr>
        <w:t xml:space="preserve">, </w:t>
      </w:r>
      <w:r w:rsidRPr="00D130DC">
        <w:rPr>
          <w:rFonts w:ascii="Arial" w:hAnsi="Arial" w:cs="Arial"/>
        </w:rPr>
        <w:t xml:space="preserve">Troy Allard, April Chrzanowski and Anna Stewart, </w:t>
      </w:r>
      <w:r w:rsidRPr="003A34E4">
        <w:rPr>
          <w:rFonts w:ascii="Arial" w:hAnsi="Arial" w:cs="Arial"/>
          <w:i/>
          <w:lang w:val="en-US"/>
        </w:rPr>
        <w:t>Trends &amp; issues in crime and criminal justice</w:t>
      </w:r>
      <w:r w:rsidRPr="00D130DC">
        <w:rPr>
          <w:rFonts w:ascii="Arial" w:hAnsi="Arial" w:cs="Arial"/>
          <w:lang w:val="en-US"/>
        </w:rPr>
        <w:t>, No. 445 September 2012, Australian Institute of Criminology</w:t>
      </w:r>
    </w:p>
  </w:footnote>
  <w:footnote w:id="11">
    <w:p w:rsidR="003A34E4" w:rsidRPr="004070EE" w:rsidRDefault="003A34E4">
      <w:pPr>
        <w:pStyle w:val="FootnoteText"/>
        <w:rPr>
          <w:rFonts w:ascii="Arial" w:hAnsi="Arial" w:cs="Arial"/>
        </w:rPr>
      </w:pPr>
      <w:r w:rsidRPr="004070EE">
        <w:rPr>
          <w:rStyle w:val="FootnoteReference"/>
          <w:rFonts w:ascii="Arial" w:hAnsi="Arial" w:cs="Arial"/>
        </w:rPr>
        <w:footnoteRef/>
      </w:r>
      <w:r w:rsidRPr="004070EE">
        <w:rPr>
          <w:rFonts w:ascii="Arial" w:hAnsi="Arial" w:cs="Arial"/>
        </w:rPr>
        <w:t xml:space="preserve"> Schedule 4 Dictionary</w:t>
      </w:r>
    </w:p>
  </w:footnote>
  <w:footnote w:id="12">
    <w:p w:rsidR="003A34E4" w:rsidRPr="0049553D" w:rsidRDefault="003A34E4">
      <w:pPr>
        <w:pStyle w:val="FootnoteText"/>
        <w:rPr>
          <w:rFonts w:ascii="Arial" w:hAnsi="Arial" w:cs="Arial"/>
        </w:rPr>
      </w:pPr>
      <w:r w:rsidRPr="0049553D">
        <w:rPr>
          <w:rStyle w:val="FootnoteReference"/>
          <w:rFonts w:ascii="Arial" w:hAnsi="Arial" w:cs="Arial"/>
        </w:rPr>
        <w:footnoteRef/>
      </w:r>
      <w:r w:rsidRPr="0049553D">
        <w:rPr>
          <w:rFonts w:ascii="Arial" w:hAnsi="Arial" w:cs="Arial"/>
        </w:rPr>
        <w:t xml:space="preserve"> The UN Committee on the Rights of the Child has criticised the reservation, saying ‘it is unnecessary since there appears to be no contradiction between the logic behind it and the provisions of article 37(c)’. The Committees view (in both the 2005 and 2012 concluding remarks) is ‘that the concerns expressed in [the reservation] are well addressed by article 37(c), which provides that every child deprived of liberty shall be separated from adults unless it is considered in the best interests of the child not to do so, and that the child shall have the right to maintain contact with his or her family’.</w:t>
      </w:r>
    </w:p>
  </w:footnote>
  <w:footnote w:id="13">
    <w:p w:rsidR="003A34E4" w:rsidRPr="0057475B" w:rsidRDefault="003A34E4">
      <w:pPr>
        <w:pStyle w:val="FootnoteText"/>
        <w:rPr>
          <w:rFonts w:ascii="Arial" w:hAnsi="Arial" w:cs="Arial"/>
          <w:lang w:val="en-US"/>
        </w:rPr>
      </w:pPr>
      <w:r w:rsidRPr="0057475B">
        <w:rPr>
          <w:rStyle w:val="FootnoteReference"/>
          <w:rFonts w:ascii="Arial" w:hAnsi="Arial" w:cs="Arial"/>
        </w:rPr>
        <w:footnoteRef/>
      </w:r>
      <w:r w:rsidRPr="0057475B">
        <w:rPr>
          <w:rFonts w:ascii="Arial" w:hAnsi="Arial" w:cs="Arial"/>
        </w:rPr>
        <w:t xml:space="preserve"> </w:t>
      </w:r>
      <w:r w:rsidRPr="0057475B">
        <w:rPr>
          <w:rFonts w:ascii="Arial" w:hAnsi="Arial" w:cs="Arial"/>
          <w:i/>
          <w:lang w:val="en-US"/>
        </w:rPr>
        <w:t xml:space="preserve">The Queen on the Application </w:t>
      </w:r>
      <w:proofErr w:type="spellStart"/>
      <w:r w:rsidRPr="0057475B">
        <w:rPr>
          <w:rFonts w:ascii="Arial" w:hAnsi="Arial" w:cs="Arial"/>
          <w:i/>
          <w:lang w:val="en-US"/>
        </w:rPr>
        <w:t>f</w:t>
      </w:r>
      <w:proofErr w:type="spellEnd"/>
      <w:r w:rsidRPr="0057475B">
        <w:rPr>
          <w:rFonts w:ascii="Arial" w:hAnsi="Arial" w:cs="Arial"/>
          <w:i/>
          <w:lang w:val="en-US"/>
        </w:rPr>
        <w:t xml:space="preserve"> HC (a child, by his litigation friend CC) v The Secretary of State for the Home Department &amp; </w:t>
      </w:r>
      <w:proofErr w:type="spellStart"/>
      <w:r w:rsidRPr="0057475B">
        <w:rPr>
          <w:rFonts w:ascii="Arial" w:hAnsi="Arial" w:cs="Arial"/>
          <w:i/>
          <w:lang w:val="en-US"/>
        </w:rPr>
        <w:t>Ors</w:t>
      </w:r>
      <w:proofErr w:type="spellEnd"/>
      <w:r w:rsidRPr="0057475B">
        <w:rPr>
          <w:rFonts w:ascii="Arial" w:hAnsi="Arial" w:cs="Arial"/>
          <w:i/>
          <w:lang w:val="en-US"/>
        </w:rPr>
        <w:t xml:space="preserve"> </w:t>
      </w:r>
      <w:r w:rsidRPr="0057475B">
        <w:rPr>
          <w:rFonts w:ascii="Arial" w:hAnsi="Arial" w:cs="Arial"/>
          <w:lang w:val="en-US"/>
        </w:rPr>
        <w:t>[2013] EWHC 982 (Admin)</w:t>
      </w:r>
    </w:p>
  </w:footnote>
  <w:footnote w:id="14">
    <w:p w:rsidR="003A34E4" w:rsidRPr="004070EE" w:rsidRDefault="003A34E4">
      <w:pPr>
        <w:pStyle w:val="FootnoteText"/>
        <w:rPr>
          <w:rFonts w:ascii="Arial" w:hAnsi="Arial" w:cs="Arial"/>
          <w:lang w:val="en-US"/>
        </w:rPr>
      </w:pPr>
      <w:r w:rsidRPr="004070EE">
        <w:rPr>
          <w:rStyle w:val="FootnoteReference"/>
          <w:rFonts w:ascii="Arial" w:hAnsi="Arial" w:cs="Arial"/>
        </w:rPr>
        <w:footnoteRef/>
      </w:r>
      <w:r w:rsidRPr="004070EE">
        <w:rPr>
          <w:rFonts w:ascii="Arial" w:hAnsi="Arial" w:cs="Arial"/>
        </w:rPr>
        <w:t xml:space="preserve"> </w:t>
      </w:r>
      <w:r w:rsidRPr="004070EE">
        <w:rPr>
          <w:rFonts w:ascii="Arial" w:hAnsi="Arial" w:cs="Arial"/>
          <w:i/>
          <w:lang w:val="en-US"/>
        </w:rPr>
        <w:t xml:space="preserve">UN Committee on the Rights of the Child: Concluding Observations, Australia, </w:t>
      </w:r>
      <w:r w:rsidRPr="004070EE">
        <w:rPr>
          <w:rFonts w:ascii="Arial" w:hAnsi="Arial" w:cs="Arial"/>
          <w:lang w:val="en-US"/>
        </w:rPr>
        <w:t>20 October 2005, CRC/C/15Add.268</w:t>
      </w:r>
    </w:p>
  </w:footnote>
  <w:footnote w:id="15">
    <w:p w:rsidR="003A34E4" w:rsidRPr="004070EE" w:rsidRDefault="003A34E4">
      <w:pPr>
        <w:pStyle w:val="FootnoteText"/>
        <w:rPr>
          <w:rFonts w:ascii="Arial" w:hAnsi="Arial" w:cs="Arial"/>
          <w:lang w:val="en-US"/>
        </w:rPr>
      </w:pPr>
      <w:r w:rsidRPr="004070EE">
        <w:rPr>
          <w:rStyle w:val="FootnoteReference"/>
          <w:rFonts w:ascii="Arial" w:hAnsi="Arial" w:cs="Arial"/>
        </w:rPr>
        <w:footnoteRef/>
      </w:r>
      <w:r w:rsidRPr="004070EE">
        <w:rPr>
          <w:rFonts w:ascii="Arial" w:hAnsi="Arial" w:cs="Arial"/>
        </w:rPr>
        <w:t xml:space="preserve"> </w:t>
      </w:r>
      <w:r w:rsidRPr="004070EE">
        <w:rPr>
          <w:rFonts w:ascii="Arial" w:hAnsi="Arial" w:cs="Arial"/>
          <w:i/>
          <w:lang w:val="en-US"/>
        </w:rPr>
        <w:t xml:space="preserve">UN Committee on the Rights of the Child: Concluding Observations, Australia, </w:t>
      </w:r>
      <w:r w:rsidRPr="004070EE">
        <w:rPr>
          <w:rFonts w:ascii="Arial" w:hAnsi="Arial" w:cs="Arial"/>
          <w:lang w:val="en-US"/>
        </w:rPr>
        <w:t>28 August 2012, CRC/C/AUS/CO/4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4" w:type="dxa"/>
      <w:tblInd w:w="115" w:type="dxa"/>
      <w:tblLayout w:type="fixed"/>
      <w:tblCellMar>
        <w:top w:w="72" w:type="dxa"/>
        <w:left w:w="115" w:type="dxa"/>
        <w:bottom w:w="72" w:type="dxa"/>
        <w:right w:w="115" w:type="dxa"/>
      </w:tblCellMar>
      <w:tblLook w:val="04A0" w:firstRow="1" w:lastRow="0" w:firstColumn="1" w:lastColumn="0" w:noHBand="0" w:noVBand="1"/>
    </w:tblPr>
    <w:tblGrid>
      <w:gridCol w:w="9244"/>
    </w:tblGrid>
    <w:tr w:rsidR="00713075" w:rsidRPr="002671C7" w:rsidTr="00713075">
      <w:tc>
        <w:tcPr>
          <w:tcW w:w="9244" w:type="dxa"/>
          <w:tcBorders>
            <w:bottom w:val="single" w:sz="4" w:space="0" w:color="auto"/>
          </w:tcBorders>
          <w:vAlign w:val="bottom"/>
        </w:tcPr>
        <w:p w:rsidR="00713075" w:rsidRPr="00A12D4E" w:rsidRDefault="00713075" w:rsidP="002C2544">
          <w:pPr>
            <w:tabs>
              <w:tab w:val="center" w:pos="4513"/>
              <w:tab w:val="right" w:pos="9026"/>
            </w:tabs>
            <w:jc w:val="right"/>
            <w:rPr>
              <w:rFonts w:ascii="Arial" w:hAnsi="Arial" w:cs="Arial"/>
              <w:b/>
              <w:i/>
              <w:color w:val="000000"/>
              <w:sz w:val="20"/>
              <w:szCs w:val="20"/>
            </w:rPr>
          </w:pPr>
          <w:r>
            <w:rPr>
              <w:rFonts w:ascii="Arial" w:hAnsi="Arial" w:cs="Arial"/>
              <w:b/>
              <w:sz w:val="20"/>
              <w:szCs w:val="20"/>
            </w:rPr>
            <w:t xml:space="preserve">Review of the </w:t>
          </w:r>
          <w:r>
            <w:rPr>
              <w:rFonts w:ascii="Arial" w:hAnsi="Arial" w:cs="Arial"/>
              <w:b/>
              <w:i/>
              <w:sz w:val="20"/>
              <w:szCs w:val="20"/>
            </w:rPr>
            <w:t>Youth Justice Act 1992</w:t>
          </w:r>
        </w:p>
      </w:tc>
    </w:tr>
  </w:tbl>
  <w:p w:rsidR="003A34E4" w:rsidRDefault="003A3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 w:type="dxa"/>
      <w:tblCellMar>
        <w:top w:w="72" w:type="dxa"/>
        <w:left w:w="115" w:type="dxa"/>
        <w:bottom w:w="72" w:type="dxa"/>
        <w:right w:w="115" w:type="dxa"/>
      </w:tblCellMar>
      <w:tblLook w:val="04A0" w:firstRow="1" w:lastRow="0" w:firstColumn="1" w:lastColumn="0" w:noHBand="0" w:noVBand="1"/>
    </w:tblPr>
    <w:tblGrid>
      <w:gridCol w:w="9132"/>
    </w:tblGrid>
    <w:tr w:rsidR="00713075" w:rsidRPr="002671C7" w:rsidTr="00713075">
      <w:tc>
        <w:tcPr>
          <w:tcW w:w="5000" w:type="pct"/>
          <w:tcBorders>
            <w:bottom w:val="single" w:sz="4" w:space="0" w:color="auto"/>
          </w:tcBorders>
          <w:vAlign w:val="bottom"/>
        </w:tcPr>
        <w:p w:rsidR="00713075" w:rsidRPr="00A12D4E" w:rsidRDefault="00713075" w:rsidP="00C408CB">
          <w:pPr>
            <w:jc w:val="center"/>
            <w:rPr>
              <w:rFonts w:ascii="Arial" w:hAnsi="Arial" w:cs="Arial"/>
              <w:b/>
              <w:i/>
              <w:color w:val="000000"/>
              <w:sz w:val="20"/>
              <w:szCs w:val="20"/>
            </w:rPr>
          </w:pPr>
          <w:r>
            <w:rPr>
              <w:rFonts w:ascii="Arial" w:hAnsi="Arial" w:cs="Arial"/>
              <w:b/>
              <w:sz w:val="20"/>
              <w:szCs w:val="20"/>
            </w:rPr>
            <w:t xml:space="preserve">Review of the </w:t>
          </w:r>
          <w:r>
            <w:rPr>
              <w:rFonts w:ascii="Arial" w:hAnsi="Arial" w:cs="Arial"/>
              <w:b/>
              <w:i/>
              <w:sz w:val="20"/>
              <w:szCs w:val="20"/>
            </w:rPr>
            <w:t>Youth Justice Act 1992</w:t>
          </w:r>
        </w:p>
      </w:tc>
    </w:tr>
  </w:tbl>
  <w:p w:rsidR="003A34E4" w:rsidRPr="002671C7" w:rsidRDefault="003A34E4" w:rsidP="00267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4E4" w:rsidRPr="002671C7" w:rsidRDefault="003A34E4" w:rsidP="0092734D">
    <w:pPr>
      <w:pStyle w:val="Header"/>
      <w:spacing w:after="480"/>
      <w:jc w:val="center"/>
    </w:pPr>
    <w:r>
      <w:rPr>
        <w:noProof/>
      </w:rPr>
      <w:drawing>
        <wp:inline distT="0" distB="0" distL="0" distR="0" wp14:anchorId="3DA57C18" wp14:editId="10967BB7">
          <wp:extent cx="4524375" cy="647700"/>
          <wp:effectExtent l="0" t="0" r="9525" b="0"/>
          <wp:docPr id="1" name="Picture 1" descr="CMYK ADCQ"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 ADC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315"/>
    <w:multiLevelType w:val="hybridMultilevel"/>
    <w:tmpl w:val="DCB82254"/>
    <w:lvl w:ilvl="0" w:tplc="285E0F30">
      <w:start w:val="2"/>
      <w:numFmt w:val="lowerRoman"/>
      <w:lvlText w:val="(%1)"/>
      <w:lvlJc w:val="right"/>
      <w:pPr>
        <w:ind w:left="237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3F722E"/>
    <w:multiLevelType w:val="multilevel"/>
    <w:tmpl w:val="287C8E8A"/>
    <w:lvl w:ilvl="0">
      <w:start w:val="64"/>
      <w:numFmt w:val="decimal"/>
      <w:lvlText w:val="%1."/>
      <w:lvlJc w:val="left"/>
      <w:pPr>
        <w:tabs>
          <w:tab w:val="num" w:pos="1353"/>
        </w:tabs>
        <w:ind w:left="1353" w:hanging="360"/>
      </w:pPr>
      <w:rPr>
        <w:rFonts w:hint="default"/>
      </w:rPr>
    </w:lvl>
    <w:lvl w:ilvl="1">
      <w:start w:val="1"/>
      <w:numFmt w:val="lowerLetter"/>
      <w:lvlText w:val="(%2)"/>
      <w:lvlJc w:val="left"/>
      <w:pPr>
        <w:ind w:left="2073" w:hanging="360"/>
      </w:pPr>
      <w:rPr>
        <w:rFonts w:ascii="Arial" w:hAnsi="Arial" w:hint="default"/>
        <w:b w:val="0"/>
        <w:i w:val="0"/>
        <w:sz w:val="22"/>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abstractNum w:abstractNumId="2">
    <w:nsid w:val="10DE4577"/>
    <w:multiLevelType w:val="hybridMultilevel"/>
    <w:tmpl w:val="9C446D26"/>
    <w:lvl w:ilvl="0" w:tplc="B992AE66">
      <w:start w:val="1"/>
      <w:numFmt w:val="decimal"/>
      <w:lvlText w:val="%1."/>
      <w:lvlJc w:val="left"/>
      <w:pPr>
        <w:ind w:left="720" w:hanging="360"/>
      </w:pPr>
      <w:rPr>
        <w:sz w:val="24"/>
        <w:szCs w:val="24"/>
      </w:rPr>
    </w:lvl>
    <w:lvl w:ilvl="1" w:tplc="7CE25462">
      <w:start w:val="1"/>
      <w:numFmt w:val="bullet"/>
      <w:lvlText w:val=""/>
      <w:lvlJc w:val="left"/>
      <w:pPr>
        <w:ind w:left="1440" w:hanging="360"/>
      </w:pPr>
      <w:rPr>
        <w:rFonts w:ascii="Symbol" w:hAnsi="Symbol" w:hint="default"/>
        <w:b w:val="0"/>
        <w:i w:val="0"/>
        <w:sz w:val="18"/>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252449"/>
    <w:multiLevelType w:val="hybridMultilevel"/>
    <w:tmpl w:val="6F06CD7C"/>
    <w:lvl w:ilvl="0" w:tplc="0C090001">
      <w:start w:val="1"/>
      <w:numFmt w:val="bullet"/>
      <w:lvlText w:val=""/>
      <w:lvlJc w:val="left"/>
      <w:pPr>
        <w:ind w:left="720" w:hanging="360"/>
      </w:pPr>
      <w:rPr>
        <w:rFonts w:ascii="Symbol" w:hAnsi="Symbol" w:hint="default"/>
        <w:sz w:val="24"/>
        <w:szCs w:val="24"/>
      </w:rPr>
    </w:lvl>
    <w:lvl w:ilvl="1" w:tplc="854C4EFA">
      <w:start w:val="1"/>
      <w:numFmt w:val="lowerLetter"/>
      <w:lvlText w:val="(%2)"/>
      <w:lvlJc w:val="left"/>
      <w:pPr>
        <w:ind w:left="1440" w:hanging="360"/>
      </w:pPr>
      <w:rPr>
        <w:rFonts w:ascii="Arial" w:hAnsi="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E40295"/>
    <w:multiLevelType w:val="hybridMultilevel"/>
    <w:tmpl w:val="5A8C3CB4"/>
    <w:lvl w:ilvl="0" w:tplc="B992AE66">
      <w:start w:val="1"/>
      <w:numFmt w:val="decimal"/>
      <w:lvlText w:val="%1."/>
      <w:lvlJc w:val="left"/>
      <w:pPr>
        <w:ind w:left="720" w:hanging="360"/>
      </w:pPr>
      <w:rPr>
        <w:sz w:val="24"/>
        <w:szCs w:val="24"/>
      </w:rPr>
    </w:lvl>
    <w:lvl w:ilvl="1" w:tplc="854C4EFA">
      <w:start w:val="1"/>
      <w:numFmt w:val="lowerLetter"/>
      <w:lvlText w:val="(%2)"/>
      <w:lvlJc w:val="left"/>
      <w:pPr>
        <w:ind w:left="1440" w:hanging="360"/>
      </w:pPr>
      <w:rPr>
        <w:rFonts w:ascii="Arial" w:hAnsi="Arial" w:hint="default"/>
        <w:b w:val="0"/>
        <w:i w:val="0"/>
        <w:sz w:val="22"/>
      </w:rPr>
    </w:lvl>
    <w:lvl w:ilvl="2" w:tplc="58A2A2D6">
      <w:start w:val="1"/>
      <w:numFmt w:val="lowerRoman"/>
      <w:lvlText w:val="(%3)"/>
      <w:lvlJc w:val="righ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E222C9"/>
    <w:multiLevelType w:val="hybridMultilevel"/>
    <w:tmpl w:val="8A50BFB0"/>
    <w:lvl w:ilvl="0" w:tplc="CBCCD748">
      <w:start w:val="1"/>
      <w:numFmt w:val="bullet"/>
      <w:lvlText w:val=""/>
      <w:lvlJc w:val="left"/>
      <w:pPr>
        <w:ind w:left="1440" w:hanging="360"/>
      </w:pPr>
      <w:rPr>
        <w:rFonts w:ascii="Symbol" w:hAnsi="Symbol"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28212D2"/>
    <w:multiLevelType w:val="hybridMultilevel"/>
    <w:tmpl w:val="50901DFA"/>
    <w:lvl w:ilvl="0" w:tplc="1B84EB7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25D8183C"/>
    <w:multiLevelType w:val="hybridMultilevel"/>
    <w:tmpl w:val="D7AA4D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7202C6B"/>
    <w:multiLevelType w:val="hybridMultilevel"/>
    <w:tmpl w:val="7D56E744"/>
    <w:lvl w:ilvl="0" w:tplc="8206ACD8">
      <w:start w:val="1"/>
      <w:numFmt w:val="lowerRoman"/>
      <w:lvlText w:val="(%1)"/>
      <w:lvlJc w:val="righ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0530FB"/>
    <w:multiLevelType w:val="hybridMultilevel"/>
    <w:tmpl w:val="C1BCFEE6"/>
    <w:lvl w:ilvl="0" w:tplc="373699C6">
      <w:start w:val="1"/>
      <w:numFmt w:val="lowerLetter"/>
      <w:lvlText w:val="(%1)"/>
      <w:lvlJc w:val="left"/>
      <w:pPr>
        <w:ind w:left="720" w:hanging="360"/>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ACA2754"/>
    <w:multiLevelType w:val="hybridMultilevel"/>
    <w:tmpl w:val="E0580B5C"/>
    <w:lvl w:ilvl="0" w:tplc="976A44B0">
      <w:start w:val="1"/>
      <w:numFmt w:val="lowerLetter"/>
      <w:lvlText w:val="(%1)"/>
      <w:lvlJc w:val="left"/>
      <w:pPr>
        <w:ind w:left="216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45D7052C"/>
    <w:multiLevelType w:val="hybridMultilevel"/>
    <w:tmpl w:val="2A706568"/>
    <w:lvl w:ilvl="0" w:tplc="607A7B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9877F81"/>
    <w:multiLevelType w:val="hybridMultilevel"/>
    <w:tmpl w:val="C6F41C0C"/>
    <w:lvl w:ilvl="0" w:tplc="C5C0F6DA">
      <w:start w:val="1"/>
      <w:numFmt w:val="upp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0662F95"/>
    <w:multiLevelType w:val="hybridMultilevel"/>
    <w:tmpl w:val="52D648E8"/>
    <w:lvl w:ilvl="0" w:tplc="58A2A2D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37333F4"/>
    <w:multiLevelType w:val="hybridMultilevel"/>
    <w:tmpl w:val="16FE7182"/>
    <w:lvl w:ilvl="0" w:tplc="1B3413E2">
      <w:start w:val="1"/>
      <w:numFmt w:val="bullet"/>
      <w:lvlText w:val=""/>
      <w:lvlJc w:val="left"/>
      <w:pPr>
        <w:ind w:left="1854"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A5110B4"/>
    <w:multiLevelType w:val="hybridMultilevel"/>
    <w:tmpl w:val="8F8426EC"/>
    <w:lvl w:ilvl="0" w:tplc="93A825C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5F7E391C"/>
    <w:multiLevelType w:val="hybridMultilevel"/>
    <w:tmpl w:val="E0022F36"/>
    <w:lvl w:ilvl="0" w:tplc="D7AEDE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FFC0DFA"/>
    <w:multiLevelType w:val="hybridMultilevel"/>
    <w:tmpl w:val="E57075C4"/>
    <w:lvl w:ilvl="0" w:tplc="607A7BFA">
      <w:start w:val="1"/>
      <w:numFmt w:val="bullet"/>
      <w:lvlText w:val=""/>
      <w:lvlJc w:val="left"/>
      <w:pPr>
        <w:ind w:left="720" w:hanging="360"/>
      </w:pPr>
      <w:rPr>
        <w:rFonts w:ascii="Wingdings" w:hAnsi="Wingdings" w:hint="default"/>
        <w:sz w:val="24"/>
        <w:szCs w:val="24"/>
      </w:rPr>
    </w:lvl>
    <w:lvl w:ilvl="1" w:tplc="7CE25462">
      <w:start w:val="1"/>
      <w:numFmt w:val="bullet"/>
      <w:lvlText w:val=""/>
      <w:lvlJc w:val="left"/>
      <w:pPr>
        <w:ind w:left="1440" w:hanging="360"/>
      </w:pPr>
      <w:rPr>
        <w:rFonts w:ascii="Symbol" w:hAnsi="Symbol" w:hint="default"/>
        <w:b w:val="0"/>
        <w:i w:val="0"/>
        <w:sz w:val="18"/>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1E134E1"/>
    <w:multiLevelType w:val="hybridMultilevel"/>
    <w:tmpl w:val="B8DAF814"/>
    <w:lvl w:ilvl="0" w:tplc="7CC870F4">
      <w:start w:val="1"/>
      <w:numFmt w:val="bullet"/>
      <w:lvlText w:val=""/>
      <w:lvlJc w:val="left"/>
      <w:pPr>
        <w:ind w:left="1854" w:hanging="360"/>
      </w:pPr>
      <w:rPr>
        <w:rFonts w:ascii="Symbol" w:hAnsi="Symbol" w:hint="default"/>
        <w:sz w:val="20"/>
      </w:rPr>
    </w:lvl>
    <w:lvl w:ilvl="1" w:tplc="509CD99C">
      <w:start w:val="1"/>
      <w:numFmt w:val="bullet"/>
      <w:lvlText w:val=""/>
      <w:lvlJc w:val="left"/>
      <w:pPr>
        <w:ind w:left="2574" w:hanging="360"/>
      </w:pPr>
      <w:rPr>
        <w:rFonts w:ascii="Symbol" w:hAnsi="Symbol" w:hint="default"/>
      </w:rPr>
    </w:lvl>
    <w:lvl w:ilvl="2" w:tplc="BB0C2E9E">
      <w:numFmt w:val="bullet"/>
      <w:lvlText w:val="-"/>
      <w:lvlJc w:val="left"/>
      <w:pPr>
        <w:ind w:left="3294" w:hanging="360"/>
      </w:pPr>
      <w:rPr>
        <w:rFonts w:ascii="Arial" w:eastAsia="Times New Roman" w:hAnsi="Arial" w:cs="Arial"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nsid w:val="64722F8A"/>
    <w:multiLevelType w:val="hybridMultilevel"/>
    <w:tmpl w:val="34A27E18"/>
    <w:lvl w:ilvl="0" w:tplc="35D6ACF2">
      <w:start w:val="1"/>
      <w:numFmt w:val="lowerLetter"/>
      <w:lvlText w:val="(%1)"/>
      <w:lvlJc w:val="left"/>
      <w:pPr>
        <w:ind w:left="2412" w:hanging="360"/>
      </w:pPr>
      <w:rPr>
        <w:rFonts w:hint="default"/>
      </w:rPr>
    </w:lvl>
    <w:lvl w:ilvl="1" w:tplc="0C090019">
      <w:start w:val="1"/>
      <w:numFmt w:val="lowerLetter"/>
      <w:lvlText w:val="%2."/>
      <w:lvlJc w:val="left"/>
      <w:pPr>
        <w:ind w:left="3132" w:hanging="360"/>
      </w:pPr>
    </w:lvl>
    <w:lvl w:ilvl="2" w:tplc="0C09001B" w:tentative="1">
      <w:start w:val="1"/>
      <w:numFmt w:val="lowerRoman"/>
      <w:lvlText w:val="%3."/>
      <w:lvlJc w:val="right"/>
      <w:pPr>
        <w:ind w:left="3852" w:hanging="180"/>
      </w:pPr>
    </w:lvl>
    <w:lvl w:ilvl="3" w:tplc="0C09000F" w:tentative="1">
      <w:start w:val="1"/>
      <w:numFmt w:val="decimal"/>
      <w:lvlText w:val="%4."/>
      <w:lvlJc w:val="left"/>
      <w:pPr>
        <w:ind w:left="4572" w:hanging="360"/>
      </w:pPr>
    </w:lvl>
    <w:lvl w:ilvl="4" w:tplc="0C090019" w:tentative="1">
      <w:start w:val="1"/>
      <w:numFmt w:val="lowerLetter"/>
      <w:lvlText w:val="%5."/>
      <w:lvlJc w:val="left"/>
      <w:pPr>
        <w:ind w:left="5292" w:hanging="360"/>
      </w:pPr>
    </w:lvl>
    <w:lvl w:ilvl="5" w:tplc="0C09001B" w:tentative="1">
      <w:start w:val="1"/>
      <w:numFmt w:val="lowerRoman"/>
      <w:lvlText w:val="%6."/>
      <w:lvlJc w:val="right"/>
      <w:pPr>
        <w:ind w:left="6012" w:hanging="180"/>
      </w:pPr>
    </w:lvl>
    <w:lvl w:ilvl="6" w:tplc="0C09000F" w:tentative="1">
      <w:start w:val="1"/>
      <w:numFmt w:val="decimal"/>
      <w:lvlText w:val="%7."/>
      <w:lvlJc w:val="left"/>
      <w:pPr>
        <w:ind w:left="6732" w:hanging="360"/>
      </w:pPr>
    </w:lvl>
    <w:lvl w:ilvl="7" w:tplc="0C090019" w:tentative="1">
      <w:start w:val="1"/>
      <w:numFmt w:val="lowerLetter"/>
      <w:lvlText w:val="%8."/>
      <w:lvlJc w:val="left"/>
      <w:pPr>
        <w:ind w:left="7452" w:hanging="360"/>
      </w:pPr>
    </w:lvl>
    <w:lvl w:ilvl="8" w:tplc="0C09001B" w:tentative="1">
      <w:start w:val="1"/>
      <w:numFmt w:val="lowerRoman"/>
      <w:lvlText w:val="%9."/>
      <w:lvlJc w:val="right"/>
      <w:pPr>
        <w:ind w:left="8172" w:hanging="180"/>
      </w:pPr>
    </w:lvl>
  </w:abstractNum>
  <w:abstractNum w:abstractNumId="20">
    <w:nsid w:val="672A1274"/>
    <w:multiLevelType w:val="multilevel"/>
    <w:tmpl w:val="93C6913C"/>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Times" w:hAnsi="Times" w:hint="default"/>
        <w:sz w:val="22"/>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498"/>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lvlText w:val="(%6)"/>
      <w:lvlJc w:val="left"/>
      <w:pPr>
        <w:tabs>
          <w:tab w:val="num" w:pos="3915"/>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Letter"/>
      <w:lvlText w:val="%8."/>
      <w:lvlJc w:val="left"/>
      <w:pPr>
        <w:tabs>
          <w:tab w:val="num" w:pos="4961"/>
        </w:tabs>
        <w:ind w:left="4961" w:hanging="708"/>
      </w:pPr>
      <w:rPr>
        <w:rFonts w:hint="default"/>
      </w:rPr>
    </w:lvl>
    <w:lvl w:ilvl="8">
      <w:start w:val="1"/>
      <w:numFmt w:val="decimal"/>
      <w:lvlText w:val="%1.%2.%3.%4.%5.%6.%7.%8.%9."/>
      <w:lvlJc w:val="left"/>
      <w:pPr>
        <w:tabs>
          <w:tab w:val="num" w:pos="6761"/>
        </w:tabs>
        <w:ind w:left="5670" w:hanging="709"/>
      </w:pPr>
      <w:rPr>
        <w:rFonts w:hint="default"/>
      </w:rPr>
    </w:lvl>
  </w:abstractNum>
  <w:abstractNum w:abstractNumId="21">
    <w:nsid w:val="695E0D2B"/>
    <w:multiLevelType w:val="hybridMultilevel"/>
    <w:tmpl w:val="A754D998"/>
    <w:lvl w:ilvl="0" w:tplc="607A7B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9EA7824"/>
    <w:multiLevelType w:val="hybridMultilevel"/>
    <w:tmpl w:val="91C84BD2"/>
    <w:lvl w:ilvl="0" w:tplc="B992AE66">
      <w:start w:val="1"/>
      <w:numFmt w:val="decimal"/>
      <w:lvlText w:val="%1."/>
      <w:lvlJc w:val="left"/>
      <w:pPr>
        <w:ind w:left="720" w:hanging="360"/>
      </w:pPr>
      <w:rPr>
        <w:sz w:val="24"/>
        <w:szCs w:val="24"/>
      </w:rPr>
    </w:lvl>
    <w:lvl w:ilvl="1" w:tplc="58A2A2D6">
      <w:start w:val="1"/>
      <w:numFmt w:val="lowerRoman"/>
      <w:lvlText w:val="(%2)"/>
      <w:lvlJc w:val="right"/>
      <w:pPr>
        <w:ind w:left="1440" w:hanging="360"/>
      </w:pPr>
      <w:rPr>
        <w:rFonts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D826EC9"/>
    <w:multiLevelType w:val="hybridMultilevel"/>
    <w:tmpl w:val="662648EA"/>
    <w:lvl w:ilvl="0" w:tplc="B5806C4E">
      <w:start w:val="1"/>
      <w:numFmt w:val="bullet"/>
      <w:lvlText w:val=""/>
      <w:lvlJc w:val="left"/>
      <w:pPr>
        <w:ind w:left="2160" w:hanging="360"/>
      </w:pPr>
      <w:rPr>
        <w:rFonts w:ascii="Symbol" w:hAnsi="Symbol" w:hint="default"/>
        <w:sz w:val="2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nsid w:val="6ED528A2"/>
    <w:multiLevelType w:val="hybridMultilevel"/>
    <w:tmpl w:val="1E7E4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ED77D8C"/>
    <w:multiLevelType w:val="hybridMultilevel"/>
    <w:tmpl w:val="7CF08280"/>
    <w:lvl w:ilvl="0" w:tplc="607A7B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34F77C5"/>
    <w:multiLevelType w:val="hybridMultilevel"/>
    <w:tmpl w:val="B77A35D6"/>
    <w:lvl w:ilvl="0" w:tplc="B616EC5A">
      <w:start w:val="135"/>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CB036DE"/>
    <w:multiLevelType w:val="hybridMultilevel"/>
    <w:tmpl w:val="345E8AE6"/>
    <w:lvl w:ilvl="0" w:tplc="607A7B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7DC6768C"/>
    <w:multiLevelType w:val="hybridMultilevel"/>
    <w:tmpl w:val="EE246CF8"/>
    <w:lvl w:ilvl="0" w:tplc="51BAE4A4">
      <w:start w:val="1"/>
      <w:numFmt w:val="upp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0"/>
  </w:num>
  <w:num w:numId="2">
    <w:abstractNumId w:val="2"/>
  </w:num>
  <w:num w:numId="3">
    <w:abstractNumId w:val="26"/>
  </w:num>
  <w:num w:numId="4">
    <w:abstractNumId w:val="1"/>
  </w:num>
  <w:num w:numId="5">
    <w:abstractNumId w:val="7"/>
  </w:num>
  <w:num w:numId="6">
    <w:abstractNumId w:val="6"/>
  </w:num>
  <w:num w:numId="7">
    <w:abstractNumId w:val="12"/>
  </w:num>
  <w:num w:numId="8">
    <w:abstractNumId w:val="15"/>
  </w:num>
  <w:num w:numId="9">
    <w:abstractNumId w:val="13"/>
  </w:num>
  <w:num w:numId="10">
    <w:abstractNumId w:val="22"/>
  </w:num>
  <w:num w:numId="11">
    <w:abstractNumId w:val="24"/>
  </w:num>
  <w:num w:numId="12">
    <w:abstractNumId w:val="3"/>
  </w:num>
  <w:num w:numId="13">
    <w:abstractNumId w:val="16"/>
  </w:num>
  <w:num w:numId="14">
    <w:abstractNumId w:val="23"/>
  </w:num>
  <w:num w:numId="15">
    <w:abstractNumId w:val="4"/>
  </w:num>
  <w:num w:numId="16">
    <w:abstractNumId w:val="0"/>
  </w:num>
  <w:num w:numId="17">
    <w:abstractNumId w:val="8"/>
  </w:num>
  <w:num w:numId="18">
    <w:abstractNumId w:val="18"/>
  </w:num>
  <w:num w:numId="19">
    <w:abstractNumId w:val="9"/>
  </w:num>
  <w:num w:numId="20">
    <w:abstractNumId w:val="5"/>
  </w:num>
  <w:num w:numId="21">
    <w:abstractNumId w:val="14"/>
  </w:num>
  <w:num w:numId="22">
    <w:abstractNumId w:val="19"/>
  </w:num>
  <w:num w:numId="23">
    <w:abstractNumId w:val="10"/>
  </w:num>
  <w:num w:numId="24">
    <w:abstractNumId w:val="28"/>
  </w:num>
  <w:num w:numId="25">
    <w:abstractNumId w:val="17"/>
  </w:num>
  <w:num w:numId="26">
    <w:abstractNumId w:val="27"/>
  </w:num>
  <w:num w:numId="27">
    <w:abstractNumId w:val="25"/>
  </w:num>
  <w:num w:numId="28">
    <w:abstractNumId w:val="21"/>
  </w:num>
  <w:num w:numId="2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A9"/>
    <w:rsid w:val="000016BB"/>
    <w:rsid w:val="00005715"/>
    <w:rsid w:val="00005A0A"/>
    <w:rsid w:val="00006DC7"/>
    <w:rsid w:val="0001012E"/>
    <w:rsid w:val="000102FB"/>
    <w:rsid w:val="00010DFA"/>
    <w:rsid w:val="0001107C"/>
    <w:rsid w:val="000114C0"/>
    <w:rsid w:val="000116F3"/>
    <w:rsid w:val="00017B8B"/>
    <w:rsid w:val="000215EF"/>
    <w:rsid w:val="00026C2A"/>
    <w:rsid w:val="00027E14"/>
    <w:rsid w:val="00033A8B"/>
    <w:rsid w:val="00034641"/>
    <w:rsid w:val="00037503"/>
    <w:rsid w:val="00042FB6"/>
    <w:rsid w:val="0004762B"/>
    <w:rsid w:val="00047D5A"/>
    <w:rsid w:val="0005257E"/>
    <w:rsid w:val="00060BFB"/>
    <w:rsid w:val="00062E90"/>
    <w:rsid w:val="0006453B"/>
    <w:rsid w:val="0006650B"/>
    <w:rsid w:val="00070794"/>
    <w:rsid w:val="000715DE"/>
    <w:rsid w:val="00082E6D"/>
    <w:rsid w:val="00085507"/>
    <w:rsid w:val="0008676D"/>
    <w:rsid w:val="00087C82"/>
    <w:rsid w:val="0009051C"/>
    <w:rsid w:val="000923B4"/>
    <w:rsid w:val="0009438A"/>
    <w:rsid w:val="0009487F"/>
    <w:rsid w:val="00094CDA"/>
    <w:rsid w:val="000955CA"/>
    <w:rsid w:val="0009748A"/>
    <w:rsid w:val="000A028F"/>
    <w:rsid w:val="000A0941"/>
    <w:rsid w:val="000A4349"/>
    <w:rsid w:val="000A68BE"/>
    <w:rsid w:val="000A7A04"/>
    <w:rsid w:val="000B4528"/>
    <w:rsid w:val="000B5555"/>
    <w:rsid w:val="000B5D9E"/>
    <w:rsid w:val="000B7DE2"/>
    <w:rsid w:val="000B7ECC"/>
    <w:rsid w:val="000C0356"/>
    <w:rsid w:val="000C170A"/>
    <w:rsid w:val="000C443A"/>
    <w:rsid w:val="000C471C"/>
    <w:rsid w:val="000C4764"/>
    <w:rsid w:val="000D1590"/>
    <w:rsid w:val="000D2137"/>
    <w:rsid w:val="000D468A"/>
    <w:rsid w:val="000D55C0"/>
    <w:rsid w:val="000D577A"/>
    <w:rsid w:val="000D703C"/>
    <w:rsid w:val="000D7A3C"/>
    <w:rsid w:val="000E0027"/>
    <w:rsid w:val="000E3C9C"/>
    <w:rsid w:val="000E4806"/>
    <w:rsid w:val="000E6B4E"/>
    <w:rsid w:val="000F027C"/>
    <w:rsid w:val="000F1F01"/>
    <w:rsid w:val="00100BA2"/>
    <w:rsid w:val="0010204E"/>
    <w:rsid w:val="0010281E"/>
    <w:rsid w:val="00103F0C"/>
    <w:rsid w:val="0010667A"/>
    <w:rsid w:val="001077B4"/>
    <w:rsid w:val="001113AE"/>
    <w:rsid w:val="0011398B"/>
    <w:rsid w:val="00114DCB"/>
    <w:rsid w:val="00116845"/>
    <w:rsid w:val="00117B22"/>
    <w:rsid w:val="00122AA0"/>
    <w:rsid w:val="001315F3"/>
    <w:rsid w:val="00131FD0"/>
    <w:rsid w:val="00136642"/>
    <w:rsid w:val="00137B6A"/>
    <w:rsid w:val="0014059B"/>
    <w:rsid w:val="001439F0"/>
    <w:rsid w:val="00144C0E"/>
    <w:rsid w:val="00145197"/>
    <w:rsid w:val="00146D67"/>
    <w:rsid w:val="001521C6"/>
    <w:rsid w:val="00152C8B"/>
    <w:rsid w:val="001548FD"/>
    <w:rsid w:val="001560BF"/>
    <w:rsid w:val="0016012F"/>
    <w:rsid w:val="00162D05"/>
    <w:rsid w:val="00162F99"/>
    <w:rsid w:val="001633AF"/>
    <w:rsid w:val="001659CE"/>
    <w:rsid w:val="001672EA"/>
    <w:rsid w:val="00167FCE"/>
    <w:rsid w:val="00170356"/>
    <w:rsid w:val="001730A7"/>
    <w:rsid w:val="00174FB9"/>
    <w:rsid w:val="00176EC1"/>
    <w:rsid w:val="00177884"/>
    <w:rsid w:val="00177907"/>
    <w:rsid w:val="00177F8B"/>
    <w:rsid w:val="001811B9"/>
    <w:rsid w:val="00185644"/>
    <w:rsid w:val="001878D7"/>
    <w:rsid w:val="0019074F"/>
    <w:rsid w:val="00190CE3"/>
    <w:rsid w:val="00191E14"/>
    <w:rsid w:val="00193143"/>
    <w:rsid w:val="00193D90"/>
    <w:rsid w:val="0019445D"/>
    <w:rsid w:val="0019563D"/>
    <w:rsid w:val="001961EC"/>
    <w:rsid w:val="001A0D63"/>
    <w:rsid w:val="001A22AC"/>
    <w:rsid w:val="001A63C1"/>
    <w:rsid w:val="001B1044"/>
    <w:rsid w:val="001B1EEE"/>
    <w:rsid w:val="001B3484"/>
    <w:rsid w:val="001B582B"/>
    <w:rsid w:val="001C0014"/>
    <w:rsid w:val="001C0670"/>
    <w:rsid w:val="001C12FB"/>
    <w:rsid w:val="001C2931"/>
    <w:rsid w:val="001C3D9B"/>
    <w:rsid w:val="001C582D"/>
    <w:rsid w:val="001C6E70"/>
    <w:rsid w:val="001E17DF"/>
    <w:rsid w:val="001E45E0"/>
    <w:rsid w:val="001F1CBB"/>
    <w:rsid w:val="001F51E6"/>
    <w:rsid w:val="001F5E47"/>
    <w:rsid w:val="001F6693"/>
    <w:rsid w:val="00200CD9"/>
    <w:rsid w:val="002020CD"/>
    <w:rsid w:val="00204BF1"/>
    <w:rsid w:val="0020575F"/>
    <w:rsid w:val="00205DD0"/>
    <w:rsid w:val="00206167"/>
    <w:rsid w:val="00216BAB"/>
    <w:rsid w:val="002247EE"/>
    <w:rsid w:val="00225589"/>
    <w:rsid w:val="0023102E"/>
    <w:rsid w:val="002347FF"/>
    <w:rsid w:val="00241501"/>
    <w:rsid w:val="002417D3"/>
    <w:rsid w:val="00245B86"/>
    <w:rsid w:val="0025013B"/>
    <w:rsid w:val="00256721"/>
    <w:rsid w:val="00260D45"/>
    <w:rsid w:val="002671C7"/>
    <w:rsid w:val="00267A44"/>
    <w:rsid w:val="00270F1C"/>
    <w:rsid w:val="002723B3"/>
    <w:rsid w:val="002731DA"/>
    <w:rsid w:val="0027378A"/>
    <w:rsid w:val="00274D6A"/>
    <w:rsid w:val="00275F18"/>
    <w:rsid w:val="00276554"/>
    <w:rsid w:val="0028137B"/>
    <w:rsid w:val="00281A81"/>
    <w:rsid w:val="00281CB7"/>
    <w:rsid w:val="00284090"/>
    <w:rsid w:val="0028769D"/>
    <w:rsid w:val="002951A8"/>
    <w:rsid w:val="00296D7B"/>
    <w:rsid w:val="00297F2A"/>
    <w:rsid w:val="002A0529"/>
    <w:rsid w:val="002A0911"/>
    <w:rsid w:val="002A155C"/>
    <w:rsid w:val="002A2C36"/>
    <w:rsid w:val="002A2D51"/>
    <w:rsid w:val="002A54A2"/>
    <w:rsid w:val="002B2DF7"/>
    <w:rsid w:val="002B3C94"/>
    <w:rsid w:val="002B7CD3"/>
    <w:rsid w:val="002C0648"/>
    <w:rsid w:val="002C0FCA"/>
    <w:rsid w:val="002C2544"/>
    <w:rsid w:val="002C4AF4"/>
    <w:rsid w:val="002C66B3"/>
    <w:rsid w:val="002C79C0"/>
    <w:rsid w:val="002D00BE"/>
    <w:rsid w:val="002D0858"/>
    <w:rsid w:val="002D1C4B"/>
    <w:rsid w:val="002D3074"/>
    <w:rsid w:val="002D5CF8"/>
    <w:rsid w:val="002D6864"/>
    <w:rsid w:val="002E0D75"/>
    <w:rsid w:val="002E2341"/>
    <w:rsid w:val="002E48C7"/>
    <w:rsid w:val="002E5D90"/>
    <w:rsid w:val="002E7F41"/>
    <w:rsid w:val="002F20DE"/>
    <w:rsid w:val="002F3D0B"/>
    <w:rsid w:val="002F6B7E"/>
    <w:rsid w:val="002F71A9"/>
    <w:rsid w:val="003018EE"/>
    <w:rsid w:val="0030192D"/>
    <w:rsid w:val="00301E4D"/>
    <w:rsid w:val="00303766"/>
    <w:rsid w:val="00304382"/>
    <w:rsid w:val="003063BE"/>
    <w:rsid w:val="00306C25"/>
    <w:rsid w:val="003108C3"/>
    <w:rsid w:val="00312102"/>
    <w:rsid w:val="003124EF"/>
    <w:rsid w:val="003156AF"/>
    <w:rsid w:val="00317E09"/>
    <w:rsid w:val="00320592"/>
    <w:rsid w:val="00320DCB"/>
    <w:rsid w:val="0032443C"/>
    <w:rsid w:val="003257A0"/>
    <w:rsid w:val="003318BE"/>
    <w:rsid w:val="00334A83"/>
    <w:rsid w:val="00342098"/>
    <w:rsid w:val="00344975"/>
    <w:rsid w:val="00344BFB"/>
    <w:rsid w:val="00345260"/>
    <w:rsid w:val="00345DFB"/>
    <w:rsid w:val="00346644"/>
    <w:rsid w:val="003517D4"/>
    <w:rsid w:val="00355D33"/>
    <w:rsid w:val="00356DE8"/>
    <w:rsid w:val="00362104"/>
    <w:rsid w:val="00362F75"/>
    <w:rsid w:val="0036513B"/>
    <w:rsid w:val="003703A6"/>
    <w:rsid w:val="00370D69"/>
    <w:rsid w:val="00373040"/>
    <w:rsid w:val="00373402"/>
    <w:rsid w:val="00375DD6"/>
    <w:rsid w:val="00376D71"/>
    <w:rsid w:val="00376E60"/>
    <w:rsid w:val="003808CA"/>
    <w:rsid w:val="003832FE"/>
    <w:rsid w:val="0038337A"/>
    <w:rsid w:val="003844D1"/>
    <w:rsid w:val="00384924"/>
    <w:rsid w:val="00386CB6"/>
    <w:rsid w:val="00391316"/>
    <w:rsid w:val="00394858"/>
    <w:rsid w:val="003A1B11"/>
    <w:rsid w:val="003A34E4"/>
    <w:rsid w:val="003A4B30"/>
    <w:rsid w:val="003A6B67"/>
    <w:rsid w:val="003A6CA8"/>
    <w:rsid w:val="003A76C7"/>
    <w:rsid w:val="003B0F67"/>
    <w:rsid w:val="003B4868"/>
    <w:rsid w:val="003B59AE"/>
    <w:rsid w:val="003B7781"/>
    <w:rsid w:val="003B7D31"/>
    <w:rsid w:val="003C2555"/>
    <w:rsid w:val="003C3534"/>
    <w:rsid w:val="003C55C5"/>
    <w:rsid w:val="003D1585"/>
    <w:rsid w:val="003D18B4"/>
    <w:rsid w:val="003D375A"/>
    <w:rsid w:val="003D44F6"/>
    <w:rsid w:val="003E0F1B"/>
    <w:rsid w:val="003E1D97"/>
    <w:rsid w:val="003E5639"/>
    <w:rsid w:val="003E7E9C"/>
    <w:rsid w:val="003F0117"/>
    <w:rsid w:val="003F24FE"/>
    <w:rsid w:val="003F6F09"/>
    <w:rsid w:val="003F7D62"/>
    <w:rsid w:val="003F7FFD"/>
    <w:rsid w:val="004008CA"/>
    <w:rsid w:val="00401BEC"/>
    <w:rsid w:val="00405741"/>
    <w:rsid w:val="004070EE"/>
    <w:rsid w:val="004103B8"/>
    <w:rsid w:val="004103BA"/>
    <w:rsid w:val="00411C6A"/>
    <w:rsid w:val="00413AF7"/>
    <w:rsid w:val="00414833"/>
    <w:rsid w:val="0041623D"/>
    <w:rsid w:val="00421463"/>
    <w:rsid w:val="00422353"/>
    <w:rsid w:val="00423565"/>
    <w:rsid w:val="0042376F"/>
    <w:rsid w:val="00424286"/>
    <w:rsid w:val="00424B4C"/>
    <w:rsid w:val="00430488"/>
    <w:rsid w:val="004327C0"/>
    <w:rsid w:val="0043381D"/>
    <w:rsid w:val="00435A13"/>
    <w:rsid w:val="004445F8"/>
    <w:rsid w:val="004478DA"/>
    <w:rsid w:val="00450F22"/>
    <w:rsid w:val="004538FA"/>
    <w:rsid w:val="00454F8C"/>
    <w:rsid w:val="0045584A"/>
    <w:rsid w:val="004562BB"/>
    <w:rsid w:val="004569C8"/>
    <w:rsid w:val="00457EA3"/>
    <w:rsid w:val="00460762"/>
    <w:rsid w:val="00461A05"/>
    <w:rsid w:val="00461DA0"/>
    <w:rsid w:val="00462C5D"/>
    <w:rsid w:val="0046334B"/>
    <w:rsid w:val="00466C9F"/>
    <w:rsid w:val="00474EF8"/>
    <w:rsid w:val="00475D96"/>
    <w:rsid w:val="0047618D"/>
    <w:rsid w:val="00476478"/>
    <w:rsid w:val="00481F8E"/>
    <w:rsid w:val="0048245B"/>
    <w:rsid w:val="00483DF6"/>
    <w:rsid w:val="00493AA5"/>
    <w:rsid w:val="0049553D"/>
    <w:rsid w:val="00495B66"/>
    <w:rsid w:val="00496AB8"/>
    <w:rsid w:val="0049735F"/>
    <w:rsid w:val="004A35CB"/>
    <w:rsid w:val="004A67B0"/>
    <w:rsid w:val="004A7318"/>
    <w:rsid w:val="004B09CF"/>
    <w:rsid w:val="004B3BF9"/>
    <w:rsid w:val="004C0AF8"/>
    <w:rsid w:val="004C378D"/>
    <w:rsid w:val="004C4B30"/>
    <w:rsid w:val="004C5C58"/>
    <w:rsid w:val="004C7143"/>
    <w:rsid w:val="004D07AE"/>
    <w:rsid w:val="004D4F0F"/>
    <w:rsid w:val="004D7BBA"/>
    <w:rsid w:val="004E269A"/>
    <w:rsid w:val="004E2745"/>
    <w:rsid w:val="004E2C23"/>
    <w:rsid w:val="004E2D90"/>
    <w:rsid w:val="004F0F8A"/>
    <w:rsid w:val="004F2D60"/>
    <w:rsid w:val="004F3994"/>
    <w:rsid w:val="004F46BA"/>
    <w:rsid w:val="004F49F8"/>
    <w:rsid w:val="004F4A3D"/>
    <w:rsid w:val="004F5078"/>
    <w:rsid w:val="004F6101"/>
    <w:rsid w:val="004F6CC2"/>
    <w:rsid w:val="005045AC"/>
    <w:rsid w:val="0052150A"/>
    <w:rsid w:val="00523340"/>
    <w:rsid w:val="00523B23"/>
    <w:rsid w:val="00524111"/>
    <w:rsid w:val="0052672A"/>
    <w:rsid w:val="00526F4E"/>
    <w:rsid w:val="00527DF6"/>
    <w:rsid w:val="005307CB"/>
    <w:rsid w:val="00532B9E"/>
    <w:rsid w:val="0053520F"/>
    <w:rsid w:val="00537DE7"/>
    <w:rsid w:val="00550201"/>
    <w:rsid w:val="0055468A"/>
    <w:rsid w:val="0055791F"/>
    <w:rsid w:val="00557AF6"/>
    <w:rsid w:val="00561B6B"/>
    <w:rsid w:val="0056683A"/>
    <w:rsid w:val="00566B7C"/>
    <w:rsid w:val="0056726F"/>
    <w:rsid w:val="005717DC"/>
    <w:rsid w:val="0057475B"/>
    <w:rsid w:val="005751E2"/>
    <w:rsid w:val="00576B3A"/>
    <w:rsid w:val="0057712E"/>
    <w:rsid w:val="00577777"/>
    <w:rsid w:val="00577A95"/>
    <w:rsid w:val="00581659"/>
    <w:rsid w:val="005830F4"/>
    <w:rsid w:val="00587A9F"/>
    <w:rsid w:val="00587CF3"/>
    <w:rsid w:val="00590E35"/>
    <w:rsid w:val="00594599"/>
    <w:rsid w:val="005A0707"/>
    <w:rsid w:val="005A2191"/>
    <w:rsid w:val="005A2ECB"/>
    <w:rsid w:val="005A31F3"/>
    <w:rsid w:val="005B1BCE"/>
    <w:rsid w:val="005B51EA"/>
    <w:rsid w:val="005B6137"/>
    <w:rsid w:val="005B7867"/>
    <w:rsid w:val="005C33A0"/>
    <w:rsid w:val="005C4564"/>
    <w:rsid w:val="005C4C39"/>
    <w:rsid w:val="005C58BF"/>
    <w:rsid w:val="005D40B4"/>
    <w:rsid w:val="005D59EC"/>
    <w:rsid w:val="005E0F90"/>
    <w:rsid w:val="005E2DAF"/>
    <w:rsid w:val="005E5D4D"/>
    <w:rsid w:val="005E7080"/>
    <w:rsid w:val="005F07D5"/>
    <w:rsid w:val="005F0AB1"/>
    <w:rsid w:val="005F3302"/>
    <w:rsid w:val="005F625D"/>
    <w:rsid w:val="005F643D"/>
    <w:rsid w:val="006003DB"/>
    <w:rsid w:val="00602C71"/>
    <w:rsid w:val="006030C3"/>
    <w:rsid w:val="00603F6B"/>
    <w:rsid w:val="00604B51"/>
    <w:rsid w:val="006068F5"/>
    <w:rsid w:val="00611491"/>
    <w:rsid w:val="0061208F"/>
    <w:rsid w:val="006131EC"/>
    <w:rsid w:val="00621B5E"/>
    <w:rsid w:val="00622231"/>
    <w:rsid w:val="00627275"/>
    <w:rsid w:val="0063560C"/>
    <w:rsid w:val="00640984"/>
    <w:rsid w:val="0064161D"/>
    <w:rsid w:val="00643C9E"/>
    <w:rsid w:val="0064509D"/>
    <w:rsid w:val="00651224"/>
    <w:rsid w:val="0065244D"/>
    <w:rsid w:val="00653569"/>
    <w:rsid w:val="00655100"/>
    <w:rsid w:val="006607F2"/>
    <w:rsid w:val="006609DC"/>
    <w:rsid w:val="00660A0F"/>
    <w:rsid w:val="00661759"/>
    <w:rsid w:val="00663AFC"/>
    <w:rsid w:val="00666E7D"/>
    <w:rsid w:val="00670F52"/>
    <w:rsid w:val="00672160"/>
    <w:rsid w:val="006757CD"/>
    <w:rsid w:val="006774A1"/>
    <w:rsid w:val="0068143E"/>
    <w:rsid w:val="0068187D"/>
    <w:rsid w:val="00683308"/>
    <w:rsid w:val="00683F37"/>
    <w:rsid w:val="0068452B"/>
    <w:rsid w:val="00684A17"/>
    <w:rsid w:val="00686568"/>
    <w:rsid w:val="00690F07"/>
    <w:rsid w:val="00693FB8"/>
    <w:rsid w:val="006959E5"/>
    <w:rsid w:val="00697DA7"/>
    <w:rsid w:val="006A1EF8"/>
    <w:rsid w:val="006A4AE4"/>
    <w:rsid w:val="006A5CE7"/>
    <w:rsid w:val="006A65AA"/>
    <w:rsid w:val="006A681B"/>
    <w:rsid w:val="006B3900"/>
    <w:rsid w:val="006B3E9B"/>
    <w:rsid w:val="006B537F"/>
    <w:rsid w:val="006B545C"/>
    <w:rsid w:val="006C285C"/>
    <w:rsid w:val="006C4F5D"/>
    <w:rsid w:val="006D01BE"/>
    <w:rsid w:val="006D04FF"/>
    <w:rsid w:val="006D0687"/>
    <w:rsid w:val="006D1D58"/>
    <w:rsid w:val="006D324F"/>
    <w:rsid w:val="006D3751"/>
    <w:rsid w:val="006D3F9A"/>
    <w:rsid w:val="006D7648"/>
    <w:rsid w:val="006E10E5"/>
    <w:rsid w:val="006E194B"/>
    <w:rsid w:val="006E1EF2"/>
    <w:rsid w:val="006E4AF2"/>
    <w:rsid w:val="006E559E"/>
    <w:rsid w:val="006E7264"/>
    <w:rsid w:val="006E78AE"/>
    <w:rsid w:val="006F0A19"/>
    <w:rsid w:val="006F0E69"/>
    <w:rsid w:val="006F1E47"/>
    <w:rsid w:val="006F3DC3"/>
    <w:rsid w:val="006F3FDE"/>
    <w:rsid w:val="006F4824"/>
    <w:rsid w:val="006F56AE"/>
    <w:rsid w:val="006F5FB1"/>
    <w:rsid w:val="006F6C1A"/>
    <w:rsid w:val="007014ED"/>
    <w:rsid w:val="0070229F"/>
    <w:rsid w:val="007031FE"/>
    <w:rsid w:val="00703892"/>
    <w:rsid w:val="007103FE"/>
    <w:rsid w:val="00710623"/>
    <w:rsid w:val="00710AAD"/>
    <w:rsid w:val="00710CEC"/>
    <w:rsid w:val="00713075"/>
    <w:rsid w:val="0071549C"/>
    <w:rsid w:val="007205B4"/>
    <w:rsid w:val="00721149"/>
    <w:rsid w:val="00721223"/>
    <w:rsid w:val="0072223C"/>
    <w:rsid w:val="0072352C"/>
    <w:rsid w:val="00723ED0"/>
    <w:rsid w:val="00725B1A"/>
    <w:rsid w:val="007336A0"/>
    <w:rsid w:val="00733E47"/>
    <w:rsid w:val="00735E23"/>
    <w:rsid w:val="00736576"/>
    <w:rsid w:val="007368A7"/>
    <w:rsid w:val="00737E0A"/>
    <w:rsid w:val="00741055"/>
    <w:rsid w:val="007423D3"/>
    <w:rsid w:val="00744347"/>
    <w:rsid w:val="00752D2E"/>
    <w:rsid w:val="0075353C"/>
    <w:rsid w:val="007560C9"/>
    <w:rsid w:val="00763B5A"/>
    <w:rsid w:val="0076454E"/>
    <w:rsid w:val="007676DC"/>
    <w:rsid w:val="00770494"/>
    <w:rsid w:val="00772111"/>
    <w:rsid w:val="0077411C"/>
    <w:rsid w:val="007744E7"/>
    <w:rsid w:val="0077476E"/>
    <w:rsid w:val="00776F23"/>
    <w:rsid w:val="00777234"/>
    <w:rsid w:val="00777C50"/>
    <w:rsid w:val="007835A2"/>
    <w:rsid w:val="00784E5C"/>
    <w:rsid w:val="00785408"/>
    <w:rsid w:val="00785D97"/>
    <w:rsid w:val="0079213A"/>
    <w:rsid w:val="00792BCB"/>
    <w:rsid w:val="00792E37"/>
    <w:rsid w:val="0079519D"/>
    <w:rsid w:val="00796C01"/>
    <w:rsid w:val="0079752D"/>
    <w:rsid w:val="007A1745"/>
    <w:rsid w:val="007A35FD"/>
    <w:rsid w:val="007A3B90"/>
    <w:rsid w:val="007A69EA"/>
    <w:rsid w:val="007A6B71"/>
    <w:rsid w:val="007B0B38"/>
    <w:rsid w:val="007B3758"/>
    <w:rsid w:val="007B7B8C"/>
    <w:rsid w:val="007C4B49"/>
    <w:rsid w:val="007C5ED7"/>
    <w:rsid w:val="007C6096"/>
    <w:rsid w:val="007D19D9"/>
    <w:rsid w:val="007D22A1"/>
    <w:rsid w:val="007D285A"/>
    <w:rsid w:val="007D598F"/>
    <w:rsid w:val="007D75E3"/>
    <w:rsid w:val="007D76C7"/>
    <w:rsid w:val="007E57D1"/>
    <w:rsid w:val="007E64CB"/>
    <w:rsid w:val="007F2139"/>
    <w:rsid w:val="007F2F62"/>
    <w:rsid w:val="007F58DD"/>
    <w:rsid w:val="007F6445"/>
    <w:rsid w:val="007F6A76"/>
    <w:rsid w:val="007F777E"/>
    <w:rsid w:val="008029A8"/>
    <w:rsid w:val="008041B3"/>
    <w:rsid w:val="008043E9"/>
    <w:rsid w:val="008115F0"/>
    <w:rsid w:val="008126F9"/>
    <w:rsid w:val="0081650A"/>
    <w:rsid w:val="008166F7"/>
    <w:rsid w:val="00820CC2"/>
    <w:rsid w:val="00822E80"/>
    <w:rsid w:val="00824D6A"/>
    <w:rsid w:val="008253D2"/>
    <w:rsid w:val="00827B7D"/>
    <w:rsid w:val="00835B42"/>
    <w:rsid w:val="008361E5"/>
    <w:rsid w:val="00841EC2"/>
    <w:rsid w:val="00842F8D"/>
    <w:rsid w:val="00843177"/>
    <w:rsid w:val="008441A6"/>
    <w:rsid w:val="0084791D"/>
    <w:rsid w:val="00847AA5"/>
    <w:rsid w:val="00850DCC"/>
    <w:rsid w:val="00852177"/>
    <w:rsid w:val="00855B35"/>
    <w:rsid w:val="00855EC9"/>
    <w:rsid w:val="008566F8"/>
    <w:rsid w:val="008727AA"/>
    <w:rsid w:val="00873E78"/>
    <w:rsid w:val="00874724"/>
    <w:rsid w:val="008753DF"/>
    <w:rsid w:val="00877A99"/>
    <w:rsid w:val="00883C86"/>
    <w:rsid w:val="00890D99"/>
    <w:rsid w:val="008911AB"/>
    <w:rsid w:val="00893C07"/>
    <w:rsid w:val="008943AD"/>
    <w:rsid w:val="0089499C"/>
    <w:rsid w:val="00895515"/>
    <w:rsid w:val="00895C8F"/>
    <w:rsid w:val="008A2480"/>
    <w:rsid w:val="008A375B"/>
    <w:rsid w:val="008A4382"/>
    <w:rsid w:val="008A464E"/>
    <w:rsid w:val="008A61C5"/>
    <w:rsid w:val="008A76D5"/>
    <w:rsid w:val="008A7E46"/>
    <w:rsid w:val="008B05DF"/>
    <w:rsid w:val="008B0657"/>
    <w:rsid w:val="008B068F"/>
    <w:rsid w:val="008B26E6"/>
    <w:rsid w:val="008B2DDF"/>
    <w:rsid w:val="008B560F"/>
    <w:rsid w:val="008B7B86"/>
    <w:rsid w:val="008C5938"/>
    <w:rsid w:val="008C689B"/>
    <w:rsid w:val="008C7559"/>
    <w:rsid w:val="008D09AB"/>
    <w:rsid w:val="008D09DB"/>
    <w:rsid w:val="008D4625"/>
    <w:rsid w:val="008E2791"/>
    <w:rsid w:val="008F3788"/>
    <w:rsid w:val="008F500B"/>
    <w:rsid w:val="008F53FF"/>
    <w:rsid w:val="008F605E"/>
    <w:rsid w:val="00903605"/>
    <w:rsid w:val="0090385A"/>
    <w:rsid w:val="00903E21"/>
    <w:rsid w:val="009069A4"/>
    <w:rsid w:val="00906E3F"/>
    <w:rsid w:val="009106E1"/>
    <w:rsid w:val="009110B0"/>
    <w:rsid w:val="00913724"/>
    <w:rsid w:val="0092101B"/>
    <w:rsid w:val="00922878"/>
    <w:rsid w:val="009271C1"/>
    <w:rsid w:val="0092734D"/>
    <w:rsid w:val="00930D6C"/>
    <w:rsid w:val="00932250"/>
    <w:rsid w:val="009325F5"/>
    <w:rsid w:val="00935399"/>
    <w:rsid w:val="00935836"/>
    <w:rsid w:val="00936EF9"/>
    <w:rsid w:val="00936FF8"/>
    <w:rsid w:val="00940C8F"/>
    <w:rsid w:val="00943047"/>
    <w:rsid w:val="00944540"/>
    <w:rsid w:val="0094620D"/>
    <w:rsid w:val="0094694E"/>
    <w:rsid w:val="009477F7"/>
    <w:rsid w:val="00950004"/>
    <w:rsid w:val="009502FD"/>
    <w:rsid w:val="009540A3"/>
    <w:rsid w:val="009571B2"/>
    <w:rsid w:val="0095789B"/>
    <w:rsid w:val="0096032D"/>
    <w:rsid w:val="00960C95"/>
    <w:rsid w:val="009648DC"/>
    <w:rsid w:val="00964A2B"/>
    <w:rsid w:val="00964CC3"/>
    <w:rsid w:val="00965741"/>
    <w:rsid w:val="009728DB"/>
    <w:rsid w:val="00974089"/>
    <w:rsid w:val="009774E5"/>
    <w:rsid w:val="009832F8"/>
    <w:rsid w:val="00983947"/>
    <w:rsid w:val="00987011"/>
    <w:rsid w:val="00987BDE"/>
    <w:rsid w:val="00990029"/>
    <w:rsid w:val="00992FF2"/>
    <w:rsid w:val="00994727"/>
    <w:rsid w:val="00997D3E"/>
    <w:rsid w:val="009A03B1"/>
    <w:rsid w:val="009A1AEE"/>
    <w:rsid w:val="009A47CB"/>
    <w:rsid w:val="009A51E8"/>
    <w:rsid w:val="009A6577"/>
    <w:rsid w:val="009A6689"/>
    <w:rsid w:val="009B1170"/>
    <w:rsid w:val="009B279D"/>
    <w:rsid w:val="009B36D8"/>
    <w:rsid w:val="009B47EF"/>
    <w:rsid w:val="009B6C9C"/>
    <w:rsid w:val="009B7615"/>
    <w:rsid w:val="009B774E"/>
    <w:rsid w:val="009B7F20"/>
    <w:rsid w:val="009C722C"/>
    <w:rsid w:val="009C73DD"/>
    <w:rsid w:val="009C76F7"/>
    <w:rsid w:val="009D5343"/>
    <w:rsid w:val="009D58E6"/>
    <w:rsid w:val="009D5AA7"/>
    <w:rsid w:val="009D5B88"/>
    <w:rsid w:val="009E0EC8"/>
    <w:rsid w:val="009E1F5B"/>
    <w:rsid w:val="009E2A26"/>
    <w:rsid w:val="009E3949"/>
    <w:rsid w:val="009E4121"/>
    <w:rsid w:val="009E6D1D"/>
    <w:rsid w:val="009E7053"/>
    <w:rsid w:val="009E7471"/>
    <w:rsid w:val="009E75CE"/>
    <w:rsid w:val="009E76CD"/>
    <w:rsid w:val="009F0D1C"/>
    <w:rsid w:val="009F1555"/>
    <w:rsid w:val="009F2C1F"/>
    <w:rsid w:val="009F360A"/>
    <w:rsid w:val="009F4D9C"/>
    <w:rsid w:val="009F5653"/>
    <w:rsid w:val="009F7E03"/>
    <w:rsid w:val="00A00E53"/>
    <w:rsid w:val="00A02800"/>
    <w:rsid w:val="00A117B4"/>
    <w:rsid w:val="00A11B96"/>
    <w:rsid w:val="00A12D4E"/>
    <w:rsid w:val="00A13550"/>
    <w:rsid w:val="00A1451D"/>
    <w:rsid w:val="00A16BA9"/>
    <w:rsid w:val="00A22259"/>
    <w:rsid w:val="00A22BA0"/>
    <w:rsid w:val="00A24B7D"/>
    <w:rsid w:val="00A3708A"/>
    <w:rsid w:val="00A37268"/>
    <w:rsid w:val="00A37AD5"/>
    <w:rsid w:val="00A438D2"/>
    <w:rsid w:val="00A451D7"/>
    <w:rsid w:val="00A45666"/>
    <w:rsid w:val="00A46B88"/>
    <w:rsid w:val="00A47E3B"/>
    <w:rsid w:val="00A503DD"/>
    <w:rsid w:val="00A506CC"/>
    <w:rsid w:val="00A5145B"/>
    <w:rsid w:val="00A52639"/>
    <w:rsid w:val="00A56901"/>
    <w:rsid w:val="00A60A96"/>
    <w:rsid w:val="00A63DAB"/>
    <w:rsid w:val="00A65577"/>
    <w:rsid w:val="00A65B46"/>
    <w:rsid w:val="00A65E59"/>
    <w:rsid w:val="00A667DC"/>
    <w:rsid w:val="00A6712F"/>
    <w:rsid w:val="00A72490"/>
    <w:rsid w:val="00A74A19"/>
    <w:rsid w:val="00A823B9"/>
    <w:rsid w:val="00A865CB"/>
    <w:rsid w:val="00A916EF"/>
    <w:rsid w:val="00A92D77"/>
    <w:rsid w:val="00AA06CB"/>
    <w:rsid w:val="00AA3254"/>
    <w:rsid w:val="00AA788E"/>
    <w:rsid w:val="00AA7FAF"/>
    <w:rsid w:val="00AB07E1"/>
    <w:rsid w:val="00AB1952"/>
    <w:rsid w:val="00AB238C"/>
    <w:rsid w:val="00AB5763"/>
    <w:rsid w:val="00AB6C3B"/>
    <w:rsid w:val="00AB7003"/>
    <w:rsid w:val="00AC48C3"/>
    <w:rsid w:val="00AC7BA3"/>
    <w:rsid w:val="00AD3C2B"/>
    <w:rsid w:val="00AD4A4C"/>
    <w:rsid w:val="00AE07E3"/>
    <w:rsid w:val="00AE27EE"/>
    <w:rsid w:val="00AF1A6F"/>
    <w:rsid w:val="00AF2774"/>
    <w:rsid w:val="00AF4006"/>
    <w:rsid w:val="00AF44EE"/>
    <w:rsid w:val="00AF7D83"/>
    <w:rsid w:val="00B031F0"/>
    <w:rsid w:val="00B04DBA"/>
    <w:rsid w:val="00B05094"/>
    <w:rsid w:val="00B06270"/>
    <w:rsid w:val="00B075B6"/>
    <w:rsid w:val="00B07B0C"/>
    <w:rsid w:val="00B07DB7"/>
    <w:rsid w:val="00B16A8D"/>
    <w:rsid w:val="00B20F54"/>
    <w:rsid w:val="00B2104A"/>
    <w:rsid w:val="00B227BA"/>
    <w:rsid w:val="00B2774B"/>
    <w:rsid w:val="00B27DE7"/>
    <w:rsid w:val="00B32C02"/>
    <w:rsid w:val="00B34CC3"/>
    <w:rsid w:val="00B35015"/>
    <w:rsid w:val="00B36373"/>
    <w:rsid w:val="00B367C0"/>
    <w:rsid w:val="00B3710A"/>
    <w:rsid w:val="00B3757E"/>
    <w:rsid w:val="00B40342"/>
    <w:rsid w:val="00B41626"/>
    <w:rsid w:val="00B42770"/>
    <w:rsid w:val="00B44AA4"/>
    <w:rsid w:val="00B44BB4"/>
    <w:rsid w:val="00B4513B"/>
    <w:rsid w:val="00B472E6"/>
    <w:rsid w:val="00B47B2E"/>
    <w:rsid w:val="00B613BE"/>
    <w:rsid w:val="00B63E27"/>
    <w:rsid w:val="00B659E2"/>
    <w:rsid w:val="00B660A4"/>
    <w:rsid w:val="00B71556"/>
    <w:rsid w:val="00B7686D"/>
    <w:rsid w:val="00B8160F"/>
    <w:rsid w:val="00B81D88"/>
    <w:rsid w:val="00B83847"/>
    <w:rsid w:val="00B906C9"/>
    <w:rsid w:val="00B91C1F"/>
    <w:rsid w:val="00B91FBD"/>
    <w:rsid w:val="00B92C80"/>
    <w:rsid w:val="00B94A0E"/>
    <w:rsid w:val="00B94EB7"/>
    <w:rsid w:val="00B95781"/>
    <w:rsid w:val="00B96F44"/>
    <w:rsid w:val="00BA03FA"/>
    <w:rsid w:val="00BA1D88"/>
    <w:rsid w:val="00BA2181"/>
    <w:rsid w:val="00BB318D"/>
    <w:rsid w:val="00BB3E31"/>
    <w:rsid w:val="00BB46F3"/>
    <w:rsid w:val="00BB4B2E"/>
    <w:rsid w:val="00BB5BFB"/>
    <w:rsid w:val="00BB64EE"/>
    <w:rsid w:val="00BC171F"/>
    <w:rsid w:val="00BC239A"/>
    <w:rsid w:val="00BC2C4D"/>
    <w:rsid w:val="00BC533A"/>
    <w:rsid w:val="00BC759A"/>
    <w:rsid w:val="00BD352A"/>
    <w:rsid w:val="00BD3790"/>
    <w:rsid w:val="00BD4949"/>
    <w:rsid w:val="00BD5590"/>
    <w:rsid w:val="00BD6D6E"/>
    <w:rsid w:val="00BD6DB2"/>
    <w:rsid w:val="00BD6DF4"/>
    <w:rsid w:val="00BE0624"/>
    <w:rsid w:val="00BE0A61"/>
    <w:rsid w:val="00BE26F6"/>
    <w:rsid w:val="00BE3749"/>
    <w:rsid w:val="00BE4438"/>
    <w:rsid w:val="00BE53A9"/>
    <w:rsid w:val="00BE5C42"/>
    <w:rsid w:val="00BE7D1C"/>
    <w:rsid w:val="00BF0D30"/>
    <w:rsid w:val="00BF10B1"/>
    <w:rsid w:val="00BF54E3"/>
    <w:rsid w:val="00BF58F2"/>
    <w:rsid w:val="00C01D61"/>
    <w:rsid w:val="00C051CE"/>
    <w:rsid w:val="00C062A9"/>
    <w:rsid w:val="00C0756E"/>
    <w:rsid w:val="00C10E5D"/>
    <w:rsid w:val="00C11C45"/>
    <w:rsid w:val="00C13A76"/>
    <w:rsid w:val="00C13AAE"/>
    <w:rsid w:val="00C14330"/>
    <w:rsid w:val="00C1589F"/>
    <w:rsid w:val="00C20BEE"/>
    <w:rsid w:val="00C215D5"/>
    <w:rsid w:val="00C22224"/>
    <w:rsid w:val="00C30719"/>
    <w:rsid w:val="00C314FD"/>
    <w:rsid w:val="00C343A0"/>
    <w:rsid w:val="00C36ACC"/>
    <w:rsid w:val="00C37B6F"/>
    <w:rsid w:val="00C403A4"/>
    <w:rsid w:val="00C408CB"/>
    <w:rsid w:val="00C409A2"/>
    <w:rsid w:val="00C43186"/>
    <w:rsid w:val="00C43942"/>
    <w:rsid w:val="00C44204"/>
    <w:rsid w:val="00C45A84"/>
    <w:rsid w:val="00C45DD1"/>
    <w:rsid w:val="00C523EE"/>
    <w:rsid w:val="00C541DB"/>
    <w:rsid w:val="00C57509"/>
    <w:rsid w:val="00C610C6"/>
    <w:rsid w:val="00C70AA0"/>
    <w:rsid w:val="00C74EBB"/>
    <w:rsid w:val="00C825BC"/>
    <w:rsid w:val="00C83979"/>
    <w:rsid w:val="00C84C26"/>
    <w:rsid w:val="00C8624B"/>
    <w:rsid w:val="00C96118"/>
    <w:rsid w:val="00CA1834"/>
    <w:rsid w:val="00CB5AC0"/>
    <w:rsid w:val="00CB7386"/>
    <w:rsid w:val="00CC049D"/>
    <w:rsid w:val="00CC1725"/>
    <w:rsid w:val="00CC257F"/>
    <w:rsid w:val="00CC3CB9"/>
    <w:rsid w:val="00CC6188"/>
    <w:rsid w:val="00CC7C60"/>
    <w:rsid w:val="00CD01BE"/>
    <w:rsid w:val="00CE17C0"/>
    <w:rsid w:val="00CE2CD4"/>
    <w:rsid w:val="00CE44DE"/>
    <w:rsid w:val="00CE60AA"/>
    <w:rsid w:val="00CF53FF"/>
    <w:rsid w:val="00D001DD"/>
    <w:rsid w:val="00D00672"/>
    <w:rsid w:val="00D00C16"/>
    <w:rsid w:val="00D03083"/>
    <w:rsid w:val="00D050B1"/>
    <w:rsid w:val="00D069D2"/>
    <w:rsid w:val="00D10CB0"/>
    <w:rsid w:val="00D120DF"/>
    <w:rsid w:val="00D130DC"/>
    <w:rsid w:val="00D15107"/>
    <w:rsid w:val="00D15180"/>
    <w:rsid w:val="00D15E7E"/>
    <w:rsid w:val="00D232A0"/>
    <w:rsid w:val="00D23DFF"/>
    <w:rsid w:val="00D26D56"/>
    <w:rsid w:val="00D30BA0"/>
    <w:rsid w:val="00D313D1"/>
    <w:rsid w:val="00D41E36"/>
    <w:rsid w:val="00D43AA5"/>
    <w:rsid w:val="00D4409D"/>
    <w:rsid w:val="00D44FDD"/>
    <w:rsid w:val="00D454A3"/>
    <w:rsid w:val="00D505DA"/>
    <w:rsid w:val="00D506E5"/>
    <w:rsid w:val="00D5371D"/>
    <w:rsid w:val="00D55393"/>
    <w:rsid w:val="00D57CB4"/>
    <w:rsid w:val="00D62562"/>
    <w:rsid w:val="00D66DA4"/>
    <w:rsid w:val="00D66FA6"/>
    <w:rsid w:val="00D67C37"/>
    <w:rsid w:val="00D67F33"/>
    <w:rsid w:val="00D777CA"/>
    <w:rsid w:val="00D77D2A"/>
    <w:rsid w:val="00D8001D"/>
    <w:rsid w:val="00D8192C"/>
    <w:rsid w:val="00D81BF8"/>
    <w:rsid w:val="00D85243"/>
    <w:rsid w:val="00D852B6"/>
    <w:rsid w:val="00D852F0"/>
    <w:rsid w:val="00D8582C"/>
    <w:rsid w:val="00D91720"/>
    <w:rsid w:val="00D9539C"/>
    <w:rsid w:val="00D95B5F"/>
    <w:rsid w:val="00D95CF8"/>
    <w:rsid w:val="00D96040"/>
    <w:rsid w:val="00D96D64"/>
    <w:rsid w:val="00D976C6"/>
    <w:rsid w:val="00DA22CC"/>
    <w:rsid w:val="00DA3C1A"/>
    <w:rsid w:val="00DA484F"/>
    <w:rsid w:val="00DA569B"/>
    <w:rsid w:val="00DA68D7"/>
    <w:rsid w:val="00DA77F3"/>
    <w:rsid w:val="00DB0426"/>
    <w:rsid w:val="00DB2CA4"/>
    <w:rsid w:val="00DB2DDE"/>
    <w:rsid w:val="00DB3CE8"/>
    <w:rsid w:val="00DB65C8"/>
    <w:rsid w:val="00DB6DEB"/>
    <w:rsid w:val="00DB7444"/>
    <w:rsid w:val="00DB7D44"/>
    <w:rsid w:val="00DC18ED"/>
    <w:rsid w:val="00DC4E88"/>
    <w:rsid w:val="00DC4F52"/>
    <w:rsid w:val="00DC581D"/>
    <w:rsid w:val="00DC6C6D"/>
    <w:rsid w:val="00DC7202"/>
    <w:rsid w:val="00DD0CB8"/>
    <w:rsid w:val="00DD1BE7"/>
    <w:rsid w:val="00DD3F77"/>
    <w:rsid w:val="00DE1D92"/>
    <w:rsid w:val="00DE4A34"/>
    <w:rsid w:val="00DE768F"/>
    <w:rsid w:val="00DE7B6D"/>
    <w:rsid w:val="00DF30AA"/>
    <w:rsid w:val="00E05C92"/>
    <w:rsid w:val="00E110F3"/>
    <w:rsid w:val="00E153C1"/>
    <w:rsid w:val="00E154BE"/>
    <w:rsid w:val="00E1623F"/>
    <w:rsid w:val="00E1730E"/>
    <w:rsid w:val="00E17B1A"/>
    <w:rsid w:val="00E223B1"/>
    <w:rsid w:val="00E23DC7"/>
    <w:rsid w:val="00E258E8"/>
    <w:rsid w:val="00E31F9D"/>
    <w:rsid w:val="00E33D08"/>
    <w:rsid w:val="00E378D7"/>
    <w:rsid w:val="00E41E7F"/>
    <w:rsid w:val="00E42BFE"/>
    <w:rsid w:val="00E432CF"/>
    <w:rsid w:val="00E43F11"/>
    <w:rsid w:val="00E442CC"/>
    <w:rsid w:val="00E44971"/>
    <w:rsid w:val="00E54C76"/>
    <w:rsid w:val="00E55F38"/>
    <w:rsid w:val="00E60CC7"/>
    <w:rsid w:val="00E614C3"/>
    <w:rsid w:val="00E61F9D"/>
    <w:rsid w:val="00E6313A"/>
    <w:rsid w:val="00E63D6F"/>
    <w:rsid w:val="00E709F9"/>
    <w:rsid w:val="00E71B47"/>
    <w:rsid w:val="00E71BB2"/>
    <w:rsid w:val="00E733C6"/>
    <w:rsid w:val="00E80FD6"/>
    <w:rsid w:val="00E84205"/>
    <w:rsid w:val="00E84430"/>
    <w:rsid w:val="00E8521D"/>
    <w:rsid w:val="00E861A4"/>
    <w:rsid w:val="00E90DAD"/>
    <w:rsid w:val="00E95CE8"/>
    <w:rsid w:val="00E9635D"/>
    <w:rsid w:val="00EA0402"/>
    <w:rsid w:val="00EA197A"/>
    <w:rsid w:val="00EA3300"/>
    <w:rsid w:val="00EA46AC"/>
    <w:rsid w:val="00EA542E"/>
    <w:rsid w:val="00EA5E59"/>
    <w:rsid w:val="00EA7674"/>
    <w:rsid w:val="00EB7321"/>
    <w:rsid w:val="00EB76F2"/>
    <w:rsid w:val="00EC1879"/>
    <w:rsid w:val="00EC475C"/>
    <w:rsid w:val="00EC6C09"/>
    <w:rsid w:val="00ED16C5"/>
    <w:rsid w:val="00ED2B52"/>
    <w:rsid w:val="00ED45DE"/>
    <w:rsid w:val="00EE2391"/>
    <w:rsid w:val="00EE40BA"/>
    <w:rsid w:val="00EF03DA"/>
    <w:rsid w:val="00EF20EE"/>
    <w:rsid w:val="00EF4020"/>
    <w:rsid w:val="00EF5836"/>
    <w:rsid w:val="00F003EC"/>
    <w:rsid w:val="00F01B11"/>
    <w:rsid w:val="00F027C1"/>
    <w:rsid w:val="00F03614"/>
    <w:rsid w:val="00F039D1"/>
    <w:rsid w:val="00F03E23"/>
    <w:rsid w:val="00F0604F"/>
    <w:rsid w:val="00F1062D"/>
    <w:rsid w:val="00F12C71"/>
    <w:rsid w:val="00F13A57"/>
    <w:rsid w:val="00F14AE1"/>
    <w:rsid w:val="00F151B9"/>
    <w:rsid w:val="00F200EC"/>
    <w:rsid w:val="00F20BBF"/>
    <w:rsid w:val="00F252A0"/>
    <w:rsid w:val="00F25E95"/>
    <w:rsid w:val="00F27340"/>
    <w:rsid w:val="00F30847"/>
    <w:rsid w:val="00F3413D"/>
    <w:rsid w:val="00F34B20"/>
    <w:rsid w:val="00F353E1"/>
    <w:rsid w:val="00F401C5"/>
    <w:rsid w:val="00F40682"/>
    <w:rsid w:val="00F4584B"/>
    <w:rsid w:val="00F45AE0"/>
    <w:rsid w:val="00F50C7C"/>
    <w:rsid w:val="00F53B4A"/>
    <w:rsid w:val="00F53C9E"/>
    <w:rsid w:val="00F54A87"/>
    <w:rsid w:val="00F55B80"/>
    <w:rsid w:val="00F5614A"/>
    <w:rsid w:val="00F613E8"/>
    <w:rsid w:val="00F657BF"/>
    <w:rsid w:val="00F6769A"/>
    <w:rsid w:val="00F71218"/>
    <w:rsid w:val="00F747A9"/>
    <w:rsid w:val="00F75163"/>
    <w:rsid w:val="00F77FCD"/>
    <w:rsid w:val="00F82143"/>
    <w:rsid w:val="00F82569"/>
    <w:rsid w:val="00F82E7E"/>
    <w:rsid w:val="00F86DDE"/>
    <w:rsid w:val="00F87852"/>
    <w:rsid w:val="00F906CE"/>
    <w:rsid w:val="00F9109B"/>
    <w:rsid w:val="00F95A07"/>
    <w:rsid w:val="00FA0BD5"/>
    <w:rsid w:val="00FA14E7"/>
    <w:rsid w:val="00FA1962"/>
    <w:rsid w:val="00FA61ED"/>
    <w:rsid w:val="00FA7326"/>
    <w:rsid w:val="00FB0304"/>
    <w:rsid w:val="00FB1BE3"/>
    <w:rsid w:val="00FB388D"/>
    <w:rsid w:val="00FB4B2D"/>
    <w:rsid w:val="00FB5D1E"/>
    <w:rsid w:val="00FC1014"/>
    <w:rsid w:val="00FC420F"/>
    <w:rsid w:val="00FC4A0B"/>
    <w:rsid w:val="00FC58E3"/>
    <w:rsid w:val="00FC6940"/>
    <w:rsid w:val="00FC6D5C"/>
    <w:rsid w:val="00FD014A"/>
    <w:rsid w:val="00FD0380"/>
    <w:rsid w:val="00FD15CF"/>
    <w:rsid w:val="00FD4F36"/>
    <w:rsid w:val="00FD6250"/>
    <w:rsid w:val="00FD6D38"/>
    <w:rsid w:val="00FD71C8"/>
    <w:rsid w:val="00FE1739"/>
    <w:rsid w:val="00FE41F3"/>
    <w:rsid w:val="00FE6170"/>
    <w:rsid w:val="00FE6BBC"/>
    <w:rsid w:val="00FF26CD"/>
    <w:rsid w:val="00FF49FA"/>
    <w:rsid w:val="00FF4ABE"/>
    <w:rsid w:val="00FF4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747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9E74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rFonts w:ascii="Arial" w:hAnsi="Arial"/>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7471"/>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9E747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9E747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rFonts w:ascii="Arial" w:hAnsi="Arial"/>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uiPriority w:val="99"/>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975">
      <w:bodyDiv w:val="1"/>
      <w:marLeft w:val="0"/>
      <w:marRight w:val="0"/>
      <w:marTop w:val="0"/>
      <w:marBottom w:val="0"/>
      <w:divBdr>
        <w:top w:val="none" w:sz="0" w:space="0" w:color="auto"/>
        <w:left w:val="none" w:sz="0" w:space="0" w:color="auto"/>
        <w:bottom w:val="none" w:sz="0" w:space="0" w:color="auto"/>
        <w:right w:val="none" w:sz="0" w:space="0" w:color="auto"/>
      </w:divBdr>
    </w:div>
    <w:div w:id="218175513">
      <w:bodyDiv w:val="1"/>
      <w:marLeft w:val="0"/>
      <w:marRight w:val="0"/>
      <w:marTop w:val="0"/>
      <w:marBottom w:val="0"/>
      <w:divBdr>
        <w:top w:val="none" w:sz="0" w:space="0" w:color="auto"/>
        <w:left w:val="none" w:sz="0" w:space="0" w:color="auto"/>
        <w:bottom w:val="none" w:sz="0" w:space="0" w:color="auto"/>
        <w:right w:val="none" w:sz="0" w:space="0" w:color="auto"/>
      </w:divBdr>
      <w:divsChild>
        <w:div w:id="2013336594">
          <w:marLeft w:val="0"/>
          <w:marRight w:val="0"/>
          <w:marTop w:val="0"/>
          <w:marBottom w:val="0"/>
          <w:divBdr>
            <w:top w:val="none" w:sz="0" w:space="0" w:color="auto"/>
            <w:left w:val="none" w:sz="0" w:space="0" w:color="auto"/>
            <w:bottom w:val="none" w:sz="0" w:space="0" w:color="auto"/>
            <w:right w:val="none" w:sz="0" w:space="0" w:color="auto"/>
          </w:divBdr>
          <w:divsChild>
            <w:div w:id="777063178">
              <w:marLeft w:val="0"/>
              <w:marRight w:val="0"/>
              <w:marTop w:val="0"/>
              <w:marBottom w:val="0"/>
              <w:divBdr>
                <w:top w:val="none" w:sz="0" w:space="0" w:color="auto"/>
                <w:left w:val="none" w:sz="0" w:space="0" w:color="auto"/>
                <w:bottom w:val="none" w:sz="0" w:space="0" w:color="auto"/>
                <w:right w:val="none" w:sz="0" w:space="0" w:color="auto"/>
              </w:divBdr>
              <w:divsChild>
                <w:div w:id="1970236692">
                  <w:marLeft w:val="1"/>
                  <w:marRight w:val="0"/>
                  <w:marTop w:val="0"/>
                  <w:marBottom w:val="0"/>
                  <w:divBdr>
                    <w:top w:val="none" w:sz="0" w:space="0" w:color="auto"/>
                    <w:left w:val="none" w:sz="0" w:space="0" w:color="auto"/>
                    <w:bottom w:val="none" w:sz="0" w:space="0" w:color="auto"/>
                    <w:right w:val="none" w:sz="0" w:space="0" w:color="auto"/>
                  </w:divBdr>
                  <w:divsChild>
                    <w:div w:id="1070885538">
                      <w:marLeft w:val="0"/>
                      <w:marRight w:val="0"/>
                      <w:marTop w:val="0"/>
                      <w:marBottom w:val="0"/>
                      <w:divBdr>
                        <w:top w:val="none" w:sz="0" w:space="0" w:color="auto"/>
                        <w:left w:val="none" w:sz="0" w:space="0" w:color="auto"/>
                        <w:bottom w:val="none" w:sz="0" w:space="0" w:color="auto"/>
                        <w:right w:val="none" w:sz="0" w:space="0" w:color="auto"/>
                      </w:divBdr>
                      <w:divsChild>
                        <w:div w:id="64692445">
                          <w:marLeft w:val="0"/>
                          <w:marRight w:val="0"/>
                          <w:marTop w:val="0"/>
                          <w:marBottom w:val="0"/>
                          <w:divBdr>
                            <w:top w:val="none" w:sz="0" w:space="0" w:color="auto"/>
                            <w:left w:val="none" w:sz="0" w:space="0" w:color="auto"/>
                            <w:bottom w:val="none" w:sz="0" w:space="0" w:color="auto"/>
                            <w:right w:val="none" w:sz="0" w:space="0" w:color="auto"/>
                          </w:divBdr>
                          <w:divsChild>
                            <w:div w:id="1199974189">
                              <w:marLeft w:val="150"/>
                              <w:marRight w:val="150"/>
                              <w:marTop w:val="0"/>
                              <w:marBottom w:val="2"/>
                              <w:divBdr>
                                <w:top w:val="none" w:sz="0" w:space="0" w:color="auto"/>
                                <w:left w:val="none" w:sz="0" w:space="0" w:color="auto"/>
                                <w:bottom w:val="none" w:sz="0" w:space="0" w:color="auto"/>
                                <w:right w:val="none" w:sz="0" w:space="0" w:color="auto"/>
                              </w:divBdr>
                              <w:divsChild>
                                <w:div w:id="975834338">
                                  <w:marLeft w:val="0"/>
                                  <w:marRight w:val="0"/>
                                  <w:marTop w:val="0"/>
                                  <w:marBottom w:val="0"/>
                                  <w:divBdr>
                                    <w:top w:val="none" w:sz="0" w:space="0" w:color="auto"/>
                                    <w:left w:val="none" w:sz="0" w:space="0" w:color="auto"/>
                                    <w:bottom w:val="none" w:sz="0" w:space="0" w:color="auto"/>
                                    <w:right w:val="none" w:sz="0" w:space="0" w:color="auto"/>
                                  </w:divBdr>
                                  <w:divsChild>
                                    <w:div w:id="147714033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yac.net.au/youth-justice-a-balanced-approa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1035-1C87-4A05-82D1-E4A5A079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CCFDF96B</Template>
  <TotalTime>50</TotalTime>
  <Pages>13</Pages>
  <Words>3403</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Sexual orientation and sex and/or gender identity, Discussion Paper</vt:lpstr>
    </vt:vector>
  </TitlesOfParts>
  <Company>ADCQ</Company>
  <LinksUpToDate>false</LinksUpToDate>
  <CharactersWithSpaces>21310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orientation and sex and/or gender identity, Discussion Paper</dc:title>
  <dc:creator>balljx</dc:creator>
  <cp:lastModifiedBy>Coral Logan</cp:lastModifiedBy>
  <cp:revision>4</cp:revision>
  <cp:lastPrinted>2013-06-21T06:43:00Z</cp:lastPrinted>
  <dcterms:created xsi:type="dcterms:W3CDTF">2013-06-24T05:13:00Z</dcterms:created>
  <dcterms:modified xsi:type="dcterms:W3CDTF">2014-04-14T06:50:00Z</dcterms:modified>
</cp:coreProperties>
</file>