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935" w:rsidRPr="007F111E" w:rsidRDefault="00524935" w:rsidP="00725B29">
      <w:pPr>
        <w:pStyle w:val="Heading1"/>
        <w:spacing w:before="2600"/>
      </w:pPr>
      <w:r w:rsidRPr="007F111E">
        <w:t>Stronger Land Account Bill Submission</w:t>
      </w:r>
    </w:p>
    <w:p w:rsidR="00F009BB" w:rsidRPr="009A0EC4" w:rsidRDefault="005B4B12" w:rsidP="00DD5DC1">
      <w:pPr>
        <w:spacing w:after="1320"/>
        <w:rPr>
          <w:rFonts w:ascii="Arial" w:hAnsi="Arial" w:cs="Arial"/>
          <w:b/>
          <w:i/>
          <w:sz w:val="28"/>
          <w:szCs w:val="28"/>
        </w:rPr>
      </w:pPr>
      <w:r w:rsidRPr="009A0EC4">
        <w:rPr>
          <w:rFonts w:ascii="Arial" w:hAnsi="Arial" w:cs="Arial"/>
          <w:b/>
          <w:sz w:val="28"/>
          <w:szCs w:val="28"/>
        </w:rPr>
        <w:t>Submission</w:t>
      </w:r>
      <w:r w:rsidR="00524935" w:rsidRPr="009A0EC4">
        <w:rPr>
          <w:rFonts w:ascii="Arial" w:hAnsi="Arial" w:cs="Arial"/>
          <w:b/>
          <w:sz w:val="28"/>
          <w:szCs w:val="28"/>
        </w:rPr>
        <w:t xml:space="preserve"> by the Anti-Discrimination Commission Queensland </w:t>
      </w:r>
      <w:r w:rsidRPr="009A0EC4">
        <w:rPr>
          <w:rFonts w:ascii="Arial" w:hAnsi="Arial" w:cs="Arial"/>
          <w:b/>
          <w:sz w:val="28"/>
          <w:szCs w:val="28"/>
        </w:rPr>
        <w:t>to</w:t>
      </w:r>
      <w:r w:rsidR="00524935" w:rsidRPr="009A0EC4">
        <w:rPr>
          <w:rFonts w:ascii="Arial" w:hAnsi="Arial" w:cs="Arial"/>
          <w:b/>
          <w:sz w:val="28"/>
          <w:szCs w:val="28"/>
        </w:rPr>
        <w:t xml:space="preserve"> the Australian Parliament, </w:t>
      </w:r>
      <w:r w:rsidRPr="009A0EC4">
        <w:rPr>
          <w:rFonts w:ascii="Arial" w:hAnsi="Arial" w:cs="Arial"/>
          <w:b/>
          <w:sz w:val="28"/>
          <w:szCs w:val="28"/>
        </w:rPr>
        <w:t xml:space="preserve">Senate Community </w:t>
      </w:r>
      <w:r w:rsidR="00524935" w:rsidRPr="009A0EC4">
        <w:rPr>
          <w:rFonts w:ascii="Arial" w:hAnsi="Arial" w:cs="Arial"/>
          <w:b/>
          <w:sz w:val="28"/>
          <w:szCs w:val="28"/>
        </w:rPr>
        <w:t>Affairs L</w:t>
      </w:r>
      <w:r w:rsidRPr="009A0EC4">
        <w:rPr>
          <w:rFonts w:ascii="Arial" w:hAnsi="Arial" w:cs="Arial"/>
          <w:b/>
          <w:sz w:val="28"/>
          <w:szCs w:val="28"/>
        </w:rPr>
        <w:t>egislation Committee</w:t>
      </w:r>
      <w:r w:rsidR="00524935" w:rsidRPr="009A0EC4">
        <w:rPr>
          <w:rFonts w:ascii="Arial" w:hAnsi="Arial" w:cs="Arial"/>
          <w:b/>
          <w:sz w:val="28"/>
          <w:szCs w:val="28"/>
        </w:rPr>
        <w:t xml:space="preserve"> o</w:t>
      </w:r>
      <w:r w:rsidRPr="009A0EC4">
        <w:rPr>
          <w:rFonts w:ascii="Arial" w:hAnsi="Arial" w:cs="Arial"/>
          <w:b/>
          <w:sz w:val="28"/>
          <w:szCs w:val="28"/>
        </w:rPr>
        <w:t>n the</w:t>
      </w:r>
      <w:r w:rsidR="00524935" w:rsidRPr="009A0EC4">
        <w:rPr>
          <w:rFonts w:ascii="Arial" w:hAnsi="Arial" w:cs="Arial"/>
          <w:b/>
          <w:sz w:val="28"/>
          <w:szCs w:val="28"/>
        </w:rPr>
        <w:t xml:space="preserve"> </w:t>
      </w:r>
      <w:r w:rsidRPr="009A0EC4">
        <w:rPr>
          <w:rFonts w:ascii="Arial" w:hAnsi="Arial" w:cs="Arial"/>
          <w:b/>
          <w:i/>
          <w:sz w:val="28"/>
          <w:szCs w:val="28"/>
        </w:rPr>
        <w:t>Aboriginal and Torres Strait Islander Amendment (A Stronger Land Account) Bill 2014</w:t>
      </w:r>
    </w:p>
    <w:p w:rsidR="005B4B12" w:rsidRPr="00524935" w:rsidRDefault="005B4B12" w:rsidP="00DD5DC1">
      <w:pPr>
        <w:spacing w:before="960" w:after="240" w:line="360" w:lineRule="auto"/>
        <w:rPr>
          <w:rFonts w:ascii="Arial" w:hAnsi="Arial" w:cs="Arial"/>
          <w:color w:val="000000"/>
          <w:sz w:val="24"/>
          <w:szCs w:val="24"/>
        </w:rPr>
      </w:pPr>
      <w:r w:rsidRPr="00524935">
        <w:rPr>
          <w:rFonts w:ascii="Arial" w:hAnsi="Arial" w:cs="Arial"/>
          <w:color w:val="000000"/>
          <w:sz w:val="24"/>
          <w:szCs w:val="24"/>
        </w:rPr>
        <w:t>21 August 2014</w:t>
      </w:r>
    </w:p>
    <w:p w:rsidR="007F32F8" w:rsidRPr="00524935" w:rsidRDefault="007F32F8" w:rsidP="00F24F9C">
      <w:pPr>
        <w:spacing w:after="0" w:line="240" w:lineRule="auto"/>
        <w:rPr>
          <w:rFonts w:ascii="Arial" w:eastAsiaTheme="majorEastAsia" w:hAnsi="Arial" w:cs="Arial"/>
          <w:b/>
          <w:bCs/>
          <w:color w:val="365F91" w:themeColor="accent1" w:themeShade="BF"/>
          <w:sz w:val="24"/>
          <w:szCs w:val="24"/>
        </w:rPr>
      </w:pPr>
      <w:r w:rsidRPr="00524935">
        <w:rPr>
          <w:rFonts w:ascii="Arial" w:eastAsiaTheme="majorEastAsia" w:hAnsi="Arial" w:cs="Arial"/>
          <w:b/>
          <w:bCs/>
          <w:color w:val="365F91" w:themeColor="accent1" w:themeShade="BF"/>
          <w:sz w:val="24"/>
          <w:szCs w:val="24"/>
        </w:rPr>
        <w:br w:type="page"/>
      </w:r>
    </w:p>
    <w:p w:rsidR="00F24F9C" w:rsidRPr="00706400" w:rsidRDefault="00F24F9C" w:rsidP="00706400">
      <w:pPr>
        <w:pStyle w:val="Heading2"/>
      </w:pPr>
      <w:r w:rsidRPr="00706400">
        <w:lastRenderedPageBreak/>
        <w:t>Introduction</w:t>
      </w:r>
    </w:p>
    <w:p w:rsidR="00F34D19" w:rsidRPr="009A0EC4" w:rsidRDefault="00F34D19"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9A0EC4">
        <w:rPr>
          <w:rFonts w:ascii="Arial" w:hAnsi="Arial" w:cs="Arial"/>
          <w:sz w:val="24"/>
          <w:szCs w:val="24"/>
        </w:rPr>
        <w:t>The Anti-Discrimination Commission Queensland (Commission) is an independent statutory authority established under the Queensland</w:t>
      </w:r>
      <w:r w:rsidRPr="009A0EC4">
        <w:rPr>
          <w:rFonts w:ascii="Arial" w:hAnsi="Arial" w:cs="Arial"/>
          <w:i/>
          <w:sz w:val="24"/>
          <w:szCs w:val="24"/>
        </w:rPr>
        <w:t xml:space="preserve"> Anti-Discrimination Act 1991</w:t>
      </w:r>
      <w:r w:rsidRPr="009A0EC4">
        <w:rPr>
          <w:rFonts w:ascii="Arial" w:hAnsi="Arial" w:cs="Arial"/>
          <w:sz w:val="24"/>
          <w:szCs w:val="24"/>
        </w:rPr>
        <w:t xml:space="preserve"> (AD Act).</w:t>
      </w:r>
    </w:p>
    <w:p w:rsidR="00F34D19" w:rsidRPr="00524935" w:rsidRDefault="00F34D19"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The functions of the Commission include promoting an understanding, acceptance and public discussion of human rights.</w:t>
      </w:r>
    </w:p>
    <w:p w:rsidR="00F34D19" w:rsidRPr="00524935" w:rsidRDefault="001D0795"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 xml:space="preserve">On 26 </w:t>
      </w:r>
      <w:r w:rsidR="00F34D19" w:rsidRPr="00524935">
        <w:rPr>
          <w:rFonts w:ascii="Arial" w:hAnsi="Arial" w:cs="Arial"/>
          <w:sz w:val="24"/>
          <w:szCs w:val="24"/>
        </w:rPr>
        <w:t xml:space="preserve">June 2014, the Senate of the Australian Parliament referred the </w:t>
      </w:r>
      <w:r w:rsidR="00F34D19" w:rsidRPr="00F24F9C">
        <w:rPr>
          <w:rFonts w:ascii="Arial" w:hAnsi="Arial" w:cs="Arial"/>
          <w:i/>
          <w:sz w:val="24"/>
          <w:szCs w:val="24"/>
        </w:rPr>
        <w:t>Aboriginal and Torres Strait Islander Amendment (A Stronger Land Account) Bill 2014</w:t>
      </w:r>
      <w:r w:rsidR="00F34D19" w:rsidRPr="00524935">
        <w:rPr>
          <w:rFonts w:ascii="Arial" w:hAnsi="Arial" w:cs="Arial"/>
          <w:sz w:val="24"/>
          <w:szCs w:val="24"/>
        </w:rPr>
        <w:t xml:space="preserve"> to the Senate Community Legislation Committee for inquiry and report.</w:t>
      </w:r>
    </w:p>
    <w:p w:rsidR="00A870FE" w:rsidRDefault="00F34D19"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 xml:space="preserve">The Commission is pleased to provide this submission in response to the Inquiry. </w:t>
      </w:r>
    </w:p>
    <w:p w:rsidR="00F34D19" w:rsidRPr="00524935" w:rsidRDefault="00F34D19"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This submission focuses on the human rights issues associated with the creatio</w:t>
      </w:r>
      <w:r w:rsidR="00514EAC" w:rsidRPr="00524935">
        <w:rPr>
          <w:rFonts w:ascii="Arial" w:hAnsi="Arial" w:cs="Arial"/>
          <w:sz w:val="24"/>
          <w:szCs w:val="24"/>
        </w:rPr>
        <w:t xml:space="preserve">n of the </w:t>
      </w:r>
      <w:r w:rsidRPr="00524935">
        <w:rPr>
          <w:rFonts w:ascii="Arial" w:hAnsi="Arial" w:cs="Arial"/>
          <w:sz w:val="24"/>
          <w:szCs w:val="24"/>
        </w:rPr>
        <w:t>Aboriginal Land Account</w:t>
      </w:r>
      <w:r w:rsidR="008C1ADF" w:rsidRPr="00524935">
        <w:rPr>
          <w:rFonts w:ascii="Arial" w:hAnsi="Arial" w:cs="Arial"/>
          <w:sz w:val="24"/>
          <w:szCs w:val="24"/>
        </w:rPr>
        <w:t xml:space="preserve">. </w:t>
      </w:r>
      <w:r w:rsidR="00DD5DC1">
        <w:rPr>
          <w:rFonts w:ascii="Arial" w:hAnsi="Arial" w:cs="Arial"/>
          <w:sz w:val="24"/>
          <w:szCs w:val="24"/>
        </w:rPr>
        <w:t xml:space="preserve"> </w:t>
      </w:r>
      <w:r w:rsidR="008C1ADF" w:rsidRPr="00524935">
        <w:rPr>
          <w:rFonts w:ascii="Arial" w:hAnsi="Arial" w:cs="Arial"/>
          <w:sz w:val="24"/>
          <w:szCs w:val="24"/>
        </w:rPr>
        <w:t xml:space="preserve">The submission also makes suggestions on </w:t>
      </w:r>
      <w:r w:rsidRPr="00524935">
        <w:rPr>
          <w:rFonts w:ascii="Arial" w:hAnsi="Arial" w:cs="Arial"/>
          <w:sz w:val="24"/>
          <w:szCs w:val="24"/>
        </w:rPr>
        <w:t>how those issues should be dealt with in the legislative framework associated with the administration of the Land Account.</w:t>
      </w:r>
    </w:p>
    <w:p w:rsidR="008C1ADF" w:rsidRPr="00F24F9C" w:rsidRDefault="004529EE" w:rsidP="00706400">
      <w:pPr>
        <w:pStyle w:val="Heading2"/>
      </w:pPr>
      <w:r w:rsidRPr="00F24F9C">
        <w:t xml:space="preserve">Historical </w:t>
      </w:r>
      <w:r w:rsidR="008C1ADF" w:rsidRPr="00F24F9C">
        <w:t>Background</w:t>
      </w:r>
    </w:p>
    <w:p w:rsidR="003D221B" w:rsidRPr="00524935" w:rsidRDefault="00B66CF5"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In 1992</w:t>
      </w:r>
      <w:r w:rsidR="003D221B" w:rsidRPr="00524935">
        <w:rPr>
          <w:rFonts w:ascii="Arial" w:hAnsi="Arial" w:cs="Arial"/>
          <w:sz w:val="24"/>
          <w:szCs w:val="24"/>
        </w:rPr>
        <w:t xml:space="preserve"> the High Court Australia delivered one of the most significant legal decisions in Australia’s</w:t>
      </w:r>
      <w:r w:rsidRPr="00524935">
        <w:rPr>
          <w:rFonts w:ascii="Arial" w:hAnsi="Arial" w:cs="Arial"/>
          <w:sz w:val="24"/>
          <w:szCs w:val="24"/>
        </w:rPr>
        <w:t xml:space="preserve"> h</w:t>
      </w:r>
      <w:r w:rsidR="003D221B" w:rsidRPr="00524935">
        <w:rPr>
          <w:rFonts w:ascii="Arial" w:hAnsi="Arial" w:cs="Arial"/>
          <w:sz w:val="24"/>
          <w:szCs w:val="24"/>
        </w:rPr>
        <w:t>istory</w:t>
      </w:r>
      <w:r w:rsidRPr="00524935">
        <w:rPr>
          <w:rFonts w:ascii="Arial" w:hAnsi="Arial" w:cs="Arial"/>
          <w:sz w:val="24"/>
          <w:szCs w:val="24"/>
        </w:rPr>
        <w:t xml:space="preserve"> in </w:t>
      </w:r>
      <w:r w:rsidR="003D221B" w:rsidRPr="00524935">
        <w:rPr>
          <w:rFonts w:ascii="Arial" w:hAnsi="Arial" w:cs="Arial"/>
          <w:sz w:val="24"/>
          <w:szCs w:val="24"/>
        </w:rPr>
        <w:t xml:space="preserve">the </w:t>
      </w:r>
      <w:proofErr w:type="spellStart"/>
      <w:r w:rsidR="003D221B" w:rsidRPr="00A870FE">
        <w:rPr>
          <w:rFonts w:ascii="Arial" w:hAnsi="Arial" w:cs="Arial"/>
          <w:i/>
          <w:sz w:val="24"/>
          <w:szCs w:val="24"/>
        </w:rPr>
        <w:t>Mabo</w:t>
      </w:r>
      <w:proofErr w:type="spellEnd"/>
      <w:r w:rsidR="003D221B" w:rsidRPr="00524935">
        <w:rPr>
          <w:rFonts w:ascii="Arial" w:hAnsi="Arial" w:cs="Arial"/>
          <w:sz w:val="24"/>
          <w:szCs w:val="24"/>
        </w:rPr>
        <w:t xml:space="preserve"> case</w:t>
      </w:r>
      <w:r w:rsidRPr="00524935">
        <w:rPr>
          <w:rFonts w:ascii="Arial" w:hAnsi="Arial" w:cs="Arial"/>
          <w:sz w:val="24"/>
          <w:szCs w:val="24"/>
          <w:vertAlign w:val="superscript"/>
        </w:rPr>
        <w:footnoteReference w:id="1"/>
      </w:r>
      <w:r w:rsidR="003D221B" w:rsidRPr="00524935">
        <w:rPr>
          <w:rFonts w:ascii="Arial" w:hAnsi="Arial" w:cs="Arial"/>
          <w:sz w:val="24"/>
          <w:szCs w:val="24"/>
          <w:vertAlign w:val="superscript"/>
        </w:rPr>
        <w:t xml:space="preserve"> </w:t>
      </w:r>
      <w:r w:rsidR="003D221B" w:rsidRPr="00524935">
        <w:rPr>
          <w:rFonts w:ascii="Arial" w:hAnsi="Arial" w:cs="Arial"/>
          <w:sz w:val="24"/>
          <w:szCs w:val="24"/>
        </w:rPr>
        <w:t>which recognised</w:t>
      </w:r>
      <w:r w:rsidR="005E44C8" w:rsidRPr="00524935">
        <w:rPr>
          <w:rFonts w:ascii="Arial" w:hAnsi="Arial" w:cs="Arial"/>
          <w:sz w:val="24"/>
          <w:szCs w:val="24"/>
        </w:rPr>
        <w:t xml:space="preserve"> </w:t>
      </w:r>
      <w:r w:rsidR="009A0EC4">
        <w:rPr>
          <w:rFonts w:ascii="Arial" w:hAnsi="Arial" w:cs="Arial"/>
          <w:sz w:val="24"/>
          <w:szCs w:val="24"/>
        </w:rPr>
        <w:t>that</w:t>
      </w:r>
      <w:r w:rsidR="005E44C8" w:rsidRPr="00524935">
        <w:rPr>
          <w:rFonts w:ascii="Arial" w:hAnsi="Arial" w:cs="Arial"/>
          <w:sz w:val="24"/>
          <w:szCs w:val="24"/>
        </w:rPr>
        <w:t>:</w:t>
      </w:r>
    </w:p>
    <w:p w:rsidR="003D221B" w:rsidRPr="009A0EC4" w:rsidRDefault="003D221B" w:rsidP="009A0EC4">
      <w:pPr>
        <w:pStyle w:val="ListParagraph"/>
        <w:numPr>
          <w:ilvl w:val="0"/>
          <w:numId w:val="12"/>
        </w:numPr>
        <w:spacing w:before="120" w:after="240"/>
        <w:ind w:right="709"/>
        <w:contextualSpacing w:val="0"/>
        <w:rPr>
          <w:rFonts w:ascii="Arial" w:hAnsi="Arial" w:cs="Arial"/>
        </w:rPr>
      </w:pPr>
      <w:r w:rsidRPr="009A0EC4">
        <w:rPr>
          <w:rFonts w:ascii="Arial" w:hAnsi="Arial" w:cs="Arial"/>
        </w:rPr>
        <w:t>At the time of colonial settlement  in Australia  Aboriginal and Torres Strait Islander peoples had native title to their tr</w:t>
      </w:r>
      <w:r w:rsidR="00B66CF5" w:rsidRPr="009A0EC4">
        <w:rPr>
          <w:rFonts w:ascii="Arial" w:hAnsi="Arial" w:cs="Arial"/>
        </w:rPr>
        <w:t>aditional lands and that that title survived Crown annexation</w:t>
      </w:r>
      <w:r w:rsidRPr="009A0EC4">
        <w:rPr>
          <w:rFonts w:ascii="Arial" w:hAnsi="Arial" w:cs="Arial"/>
        </w:rPr>
        <w:t>,</w:t>
      </w:r>
      <w:r w:rsidR="001D0795" w:rsidRPr="009A0EC4">
        <w:rPr>
          <w:rFonts w:ascii="Arial" w:hAnsi="Arial" w:cs="Arial"/>
        </w:rPr>
        <w:t xml:space="preserve"> and</w:t>
      </w:r>
    </w:p>
    <w:p w:rsidR="003D221B" w:rsidRPr="009A0EC4" w:rsidRDefault="009A0EC4" w:rsidP="009A0EC4">
      <w:pPr>
        <w:pStyle w:val="ListParagraph"/>
        <w:numPr>
          <w:ilvl w:val="0"/>
          <w:numId w:val="12"/>
        </w:numPr>
        <w:spacing w:before="120" w:after="240"/>
        <w:ind w:right="709"/>
        <w:contextualSpacing w:val="0"/>
        <w:rPr>
          <w:rFonts w:ascii="Arial" w:hAnsi="Arial" w:cs="Arial"/>
        </w:rPr>
      </w:pPr>
      <w:r>
        <w:rPr>
          <w:rFonts w:ascii="Arial" w:hAnsi="Arial" w:cs="Arial"/>
        </w:rPr>
        <w:t>S</w:t>
      </w:r>
      <w:r w:rsidR="003D221B" w:rsidRPr="009A0EC4">
        <w:rPr>
          <w:rFonts w:ascii="Arial" w:hAnsi="Arial" w:cs="Arial"/>
        </w:rPr>
        <w:t>ince 17</w:t>
      </w:r>
      <w:r w:rsidR="00F24F9C" w:rsidRPr="009A0EC4">
        <w:rPr>
          <w:rFonts w:ascii="Arial" w:hAnsi="Arial" w:cs="Arial"/>
        </w:rPr>
        <w:t>8</w:t>
      </w:r>
      <w:r w:rsidR="003D221B" w:rsidRPr="009A0EC4">
        <w:rPr>
          <w:rFonts w:ascii="Arial" w:hAnsi="Arial" w:cs="Arial"/>
        </w:rPr>
        <w:t>8 much of that title had been extinguished</w:t>
      </w:r>
      <w:r w:rsidR="00600BFE" w:rsidRPr="009A0EC4">
        <w:rPr>
          <w:rFonts w:ascii="Arial" w:hAnsi="Arial" w:cs="Arial"/>
        </w:rPr>
        <w:t xml:space="preserve"> without </w:t>
      </w:r>
      <w:r w:rsidR="003D221B" w:rsidRPr="009A0EC4">
        <w:rPr>
          <w:rFonts w:ascii="Arial" w:hAnsi="Arial" w:cs="Arial"/>
        </w:rPr>
        <w:t>compensation to the original owners of that title.</w:t>
      </w:r>
    </w:p>
    <w:p w:rsidR="00F24F9C" w:rsidRPr="00706400" w:rsidRDefault="00F24F9C" w:rsidP="009A0EC4">
      <w:pPr>
        <w:pStyle w:val="Heading3"/>
        <w:keepNext/>
      </w:pPr>
      <w:r w:rsidRPr="00706400">
        <w:lastRenderedPageBreak/>
        <w:t>Human rights</w:t>
      </w:r>
    </w:p>
    <w:p w:rsidR="003D221B" w:rsidRPr="00524935" w:rsidRDefault="003D221B"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One of the</w:t>
      </w:r>
      <w:r w:rsidR="000D398F" w:rsidRPr="00524935">
        <w:rPr>
          <w:rFonts w:ascii="Arial" w:hAnsi="Arial" w:cs="Arial"/>
          <w:sz w:val="24"/>
          <w:szCs w:val="24"/>
        </w:rPr>
        <w:t xml:space="preserve"> most basic</w:t>
      </w:r>
      <w:r w:rsidRPr="00524935">
        <w:rPr>
          <w:rFonts w:ascii="Arial" w:hAnsi="Arial" w:cs="Arial"/>
          <w:sz w:val="24"/>
          <w:szCs w:val="24"/>
        </w:rPr>
        <w:t xml:space="preserve"> human rights is the right t</w:t>
      </w:r>
      <w:r w:rsidR="001D0795" w:rsidRPr="00524935">
        <w:rPr>
          <w:rFonts w:ascii="Arial" w:hAnsi="Arial" w:cs="Arial"/>
          <w:sz w:val="24"/>
          <w:szCs w:val="24"/>
        </w:rPr>
        <w:t>o own property and possessions.</w:t>
      </w:r>
    </w:p>
    <w:p w:rsidR="003D221B" w:rsidRPr="00524935" w:rsidRDefault="003D221B"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 xml:space="preserve">The </w:t>
      </w:r>
      <w:r w:rsidRPr="009A0EC4">
        <w:rPr>
          <w:rFonts w:ascii="Arial" w:hAnsi="Arial" w:cs="Arial"/>
          <w:sz w:val="24"/>
          <w:szCs w:val="24"/>
        </w:rPr>
        <w:t>Universal</w:t>
      </w:r>
      <w:r w:rsidRPr="00F24F9C">
        <w:rPr>
          <w:rFonts w:ascii="Arial" w:hAnsi="Arial" w:cs="Arial"/>
          <w:i/>
          <w:sz w:val="24"/>
          <w:szCs w:val="24"/>
        </w:rPr>
        <w:t xml:space="preserve"> Declaration of Human Rights</w:t>
      </w:r>
      <w:r w:rsidRPr="00524935">
        <w:rPr>
          <w:rFonts w:ascii="Arial" w:hAnsi="Arial" w:cs="Arial"/>
          <w:sz w:val="24"/>
          <w:szCs w:val="24"/>
        </w:rPr>
        <w:t xml:space="preserve"> </w:t>
      </w:r>
      <w:r w:rsidR="00F24F9C">
        <w:rPr>
          <w:rFonts w:ascii="Arial" w:hAnsi="Arial" w:cs="Arial"/>
          <w:sz w:val="24"/>
          <w:szCs w:val="24"/>
        </w:rPr>
        <w:t xml:space="preserve">at Article 17 </w:t>
      </w:r>
      <w:r w:rsidR="00A870FE">
        <w:rPr>
          <w:rFonts w:ascii="Arial" w:hAnsi="Arial" w:cs="Arial"/>
          <w:sz w:val="24"/>
          <w:szCs w:val="24"/>
        </w:rPr>
        <w:t>states:</w:t>
      </w:r>
    </w:p>
    <w:p w:rsidR="00B66CF5" w:rsidRPr="00DD5DC1" w:rsidRDefault="00B66CF5" w:rsidP="00DD5DC1">
      <w:pPr>
        <w:numPr>
          <w:ilvl w:val="0"/>
          <w:numId w:val="3"/>
        </w:numPr>
        <w:spacing w:after="240" w:line="240" w:lineRule="auto"/>
        <w:ind w:left="1418" w:right="708" w:hanging="284"/>
        <w:rPr>
          <w:rFonts w:ascii="Arial" w:eastAsia="Times New Roman" w:hAnsi="Arial" w:cs="Arial"/>
          <w:color w:val="000000"/>
        </w:rPr>
      </w:pPr>
      <w:r w:rsidRPr="00DD5DC1">
        <w:rPr>
          <w:rFonts w:ascii="Arial" w:eastAsia="Times New Roman" w:hAnsi="Arial" w:cs="Arial"/>
          <w:color w:val="000000"/>
        </w:rPr>
        <w:t>Everyone has the right to own property alone as well</w:t>
      </w:r>
      <w:r w:rsidR="001D0795" w:rsidRPr="00DD5DC1">
        <w:rPr>
          <w:rFonts w:ascii="Arial" w:eastAsia="Times New Roman" w:hAnsi="Arial" w:cs="Arial"/>
          <w:color w:val="000000"/>
        </w:rPr>
        <w:t xml:space="preserve"> as in association with others.</w:t>
      </w:r>
    </w:p>
    <w:p w:rsidR="00B66CF5" w:rsidRPr="00524935" w:rsidRDefault="00B66CF5" w:rsidP="00DD5DC1">
      <w:pPr>
        <w:numPr>
          <w:ilvl w:val="0"/>
          <w:numId w:val="3"/>
        </w:numPr>
        <w:spacing w:after="240" w:line="240" w:lineRule="auto"/>
        <w:ind w:left="1134" w:right="708" w:firstLine="0"/>
        <w:rPr>
          <w:rFonts w:ascii="Arial" w:eastAsia="Times New Roman" w:hAnsi="Arial" w:cs="Arial"/>
          <w:color w:val="000000"/>
          <w:sz w:val="24"/>
          <w:szCs w:val="24"/>
        </w:rPr>
      </w:pPr>
      <w:r w:rsidRPr="00DD5DC1">
        <w:rPr>
          <w:rFonts w:ascii="Arial" w:eastAsia="Times New Roman" w:hAnsi="Arial" w:cs="Arial"/>
          <w:color w:val="000000"/>
        </w:rPr>
        <w:t>No one shall be arbitrarily deprived of his property</w:t>
      </w:r>
      <w:r w:rsidRPr="00524935">
        <w:rPr>
          <w:rFonts w:ascii="Arial" w:eastAsia="Times New Roman" w:hAnsi="Arial" w:cs="Arial"/>
          <w:color w:val="000000"/>
          <w:sz w:val="24"/>
          <w:szCs w:val="24"/>
        </w:rPr>
        <w:t>.</w:t>
      </w:r>
    </w:p>
    <w:p w:rsidR="00D93ED3" w:rsidRPr="00524935" w:rsidRDefault="00B66CF5"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 xml:space="preserve">The </w:t>
      </w:r>
      <w:r w:rsidRPr="009A0EC4">
        <w:rPr>
          <w:rFonts w:ascii="Arial" w:hAnsi="Arial" w:cs="Arial"/>
          <w:sz w:val="24"/>
          <w:szCs w:val="24"/>
        </w:rPr>
        <w:t>Australian</w:t>
      </w:r>
      <w:r w:rsidRPr="00557E9C">
        <w:rPr>
          <w:rFonts w:ascii="Arial" w:hAnsi="Arial" w:cs="Arial"/>
          <w:i/>
          <w:sz w:val="24"/>
          <w:szCs w:val="24"/>
        </w:rPr>
        <w:t xml:space="preserve"> Constitution</w:t>
      </w:r>
      <w:r w:rsidRPr="00524935">
        <w:rPr>
          <w:rFonts w:ascii="Arial" w:hAnsi="Arial" w:cs="Arial"/>
          <w:sz w:val="24"/>
          <w:szCs w:val="24"/>
        </w:rPr>
        <w:t xml:space="preserve"> recognises this basic human right.</w:t>
      </w:r>
      <w:r w:rsidR="00D93ED3" w:rsidRPr="00524935">
        <w:rPr>
          <w:rFonts w:ascii="Arial" w:hAnsi="Arial" w:cs="Arial"/>
          <w:sz w:val="24"/>
          <w:szCs w:val="24"/>
        </w:rPr>
        <w:t xml:space="preserve">  Under the </w:t>
      </w:r>
      <w:r w:rsidR="00D93ED3" w:rsidRPr="00A870FE">
        <w:rPr>
          <w:rFonts w:ascii="Arial" w:hAnsi="Arial" w:cs="Arial"/>
          <w:i/>
          <w:sz w:val="24"/>
          <w:szCs w:val="24"/>
        </w:rPr>
        <w:t>Constitution</w:t>
      </w:r>
      <w:r w:rsidR="00D93ED3" w:rsidRPr="00524935">
        <w:rPr>
          <w:rFonts w:ascii="Arial" w:hAnsi="Arial" w:cs="Arial"/>
          <w:sz w:val="24"/>
          <w:szCs w:val="24"/>
        </w:rPr>
        <w:t xml:space="preserve">, if the </w:t>
      </w:r>
      <w:r w:rsidR="007114A6">
        <w:rPr>
          <w:rFonts w:ascii="Arial" w:hAnsi="Arial" w:cs="Arial"/>
          <w:sz w:val="24"/>
          <w:szCs w:val="24"/>
        </w:rPr>
        <w:t xml:space="preserve">Commonwealth </w:t>
      </w:r>
      <w:r w:rsidR="00D93ED3" w:rsidRPr="00524935">
        <w:rPr>
          <w:rFonts w:ascii="Arial" w:hAnsi="Arial" w:cs="Arial"/>
          <w:sz w:val="24"/>
          <w:szCs w:val="24"/>
        </w:rPr>
        <w:t xml:space="preserve">government wishes to compulsorily acquire property from a person, it is required to pay just terms to compensate that person for the </w:t>
      </w:r>
      <w:r w:rsidR="001D0795" w:rsidRPr="00524935">
        <w:rPr>
          <w:rFonts w:ascii="Arial" w:hAnsi="Arial" w:cs="Arial"/>
          <w:sz w:val="24"/>
          <w:szCs w:val="24"/>
        </w:rPr>
        <w:t>acquisition of their property.</w:t>
      </w:r>
    </w:p>
    <w:p w:rsidR="00B66CF5" w:rsidRPr="00524935" w:rsidRDefault="00D93ED3"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 xml:space="preserve">Section 51 of the </w:t>
      </w:r>
      <w:r w:rsidRPr="00B602A5">
        <w:rPr>
          <w:rFonts w:ascii="Arial" w:hAnsi="Arial" w:cs="Arial"/>
          <w:i/>
          <w:sz w:val="24"/>
          <w:szCs w:val="24"/>
        </w:rPr>
        <w:t>Constitution</w:t>
      </w:r>
      <w:r w:rsidRPr="00524935">
        <w:rPr>
          <w:rFonts w:ascii="Arial" w:hAnsi="Arial" w:cs="Arial"/>
          <w:sz w:val="24"/>
          <w:szCs w:val="24"/>
        </w:rPr>
        <w:t xml:space="preserve"> provides that:</w:t>
      </w:r>
    </w:p>
    <w:p w:rsidR="00D93ED3" w:rsidRPr="00557E9C" w:rsidRDefault="00D93ED3" w:rsidP="009A0EC4">
      <w:pPr>
        <w:spacing w:after="240" w:line="240" w:lineRule="auto"/>
        <w:ind w:left="1134" w:right="709"/>
        <w:rPr>
          <w:rStyle w:val="Strong"/>
          <w:rFonts w:ascii="Arial" w:hAnsi="Arial" w:cs="Arial"/>
          <w:color w:val="000000"/>
          <w:lang w:val="en"/>
        </w:rPr>
      </w:pPr>
      <w:r w:rsidRPr="00557E9C">
        <w:rPr>
          <w:rFonts w:ascii="Arial" w:hAnsi="Arial" w:cs="Arial"/>
          <w:color w:val="000000"/>
          <w:lang w:val="en"/>
        </w:rPr>
        <w:t xml:space="preserve">The Parliament shall, subject to this Constitution, have power to make laws for the peace, order, and good government of the Commonwealth with respect to: </w:t>
      </w:r>
    </w:p>
    <w:p w:rsidR="00A870FE" w:rsidRDefault="00B66CF5" w:rsidP="009A0EC4">
      <w:pPr>
        <w:spacing w:after="0" w:line="240" w:lineRule="auto"/>
        <w:ind w:left="1134" w:right="709"/>
        <w:rPr>
          <w:rFonts w:ascii="Arial" w:hAnsi="Arial" w:cs="Arial"/>
          <w:color w:val="000000"/>
          <w:lang w:val="en"/>
        </w:rPr>
      </w:pPr>
      <w:r w:rsidRPr="00557E9C">
        <w:rPr>
          <w:rStyle w:val="Strong"/>
          <w:rFonts w:ascii="Arial" w:hAnsi="Arial" w:cs="Arial"/>
          <w:color w:val="000000"/>
          <w:lang w:val="en"/>
        </w:rPr>
        <w:t>(xxxi.)</w:t>
      </w:r>
      <w:r w:rsidRPr="00557E9C">
        <w:rPr>
          <w:rFonts w:ascii="Arial" w:hAnsi="Arial" w:cs="Arial"/>
          <w:color w:val="000000"/>
          <w:lang w:val="en"/>
        </w:rPr>
        <w:t xml:space="preserve"> The acquisition of property </w:t>
      </w:r>
      <w:r w:rsidRPr="00557E9C">
        <w:rPr>
          <w:rFonts w:ascii="Arial" w:hAnsi="Arial" w:cs="Arial"/>
          <w:b/>
          <w:color w:val="000000"/>
          <w:lang w:val="en"/>
        </w:rPr>
        <w:t>on just terms</w:t>
      </w:r>
      <w:r w:rsidRPr="00557E9C">
        <w:rPr>
          <w:rFonts w:ascii="Arial" w:hAnsi="Arial" w:cs="Arial"/>
          <w:color w:val="000000"/>
          <w:lang w:val="en"/>
        </w:rPr>
        <w:t xml:space="preserve"> from any State or person for any purpose in respect of which the Pa</w:t>
      </w:r>
      <w:r w:rsidR="00D93ED3" w:rsidRPr="00557E9C">
        <w:rPr>
          <w:rFonts w:ascii="Arial" w:hAnsi="Arial" w:cs="Arial"/>
          <w:color w:val="000000"/>
          <w:lang w:val="en"/>
        </w:rPr>
        <w:t>rliament has power to make laws.</w:t>
      </w:r>
      <w:r w:rsidR="001D0795" w:rsidRPr="00557E9C">
        <w:rPr>
          <w:rFonts w:ascii="Arial" w:hAnsi="Arial" w:cs="Arial"/>
          <w:color w:val="000000"/>
          <w:lang w:val="en"/>
        </w:rPr>
        <w:t xml:space="preserve"> </w:t>
      </w:r>
    </w:p>
    <w:p w:rsidR="00B66CF5" w:rsidRPr="00524935" w:rsidRDefault="00D93ED3" w:rsidP="009A0EC4">
      <w:pPr>
        <w:spacing w:after="240" w:line="240" w:lineRule="auto"/>
        <w:ind w:left="1134" w:right="709"/>
        <w:rPr>
          <w:rFonts w:ascii="Arial" w:hAnsi="Arial" w:cs="Arial"/>
          <w:color w:val="000000"/>
          <w:sz w:val="24"/>
          <w:szCs w:val="24"/>
          <w:lang w:val="en"/>
        </w:rPr>
      </w:pPr>
      <w:r w:rsidRPr="00557E9C">
        <w:rPr>
          <w:rFonts w:ascii="Arial" w:hAnsi="Arial" w:cs="Arial"/>
          <w:color w:val="000000"/>
          <w:lang w:val="en"/>
        </w:rPr>
        <w:t>(</w:t>
      </w:r>
      <w:proofErr w:type="gramStart"/>
      <w:r w:rsidRPr="00557E9C">
        <w:rPr>
          <w:rFonts w:ascii="Arial" w:hAnsi="Arial" w:cs="Arial"/>
          <w:color w:val="000000"/>
          <w:lang w:val="en"/>
        </w:rPr>
        <w:t>emphasis</w:t>
      </w:r>
      <w:proofErr w:type="gramEnd"/>
      <w:r w:rsidRPr="00557E9C">
        <w:rPr>
          <w:rFonts w:ascii="Arial" w:hAnsi="Arial" w:cs="Arial"/>
          <w:color w:val="000000"/>
          <w:lang w:val="en"/>
        </w:rPr>
        <w:t xml:space="preserve"> added)</w:t>
      </w:r>
    </w:p>
    <w:p w:rsidR="006331E9" w:rsidRDefault="006331E9" w:rsidP="009A0EC4">
      <w:pPr>
        <w:pStyle w:val="ListParagraph"/>
        <w:numPr>
          <w:ilvl w:val="0"/>
          <w:numId w:val="10"/>
        </w:numPr>
        <w:spacing w:before="120" w:after="240" w:line="360" w:lineRule="auto"/>
        <w:ind w:left="567" w:hanging="567"/>
        <w:contextualSpacing w:val="0"/>
        <w:rPr>
          <w:rFonts w:ascii="Arial" w:hAnsi="Arial" w:cs="Arial"/>
          <w:sz w:val="24"/>
          <w:szCs w:val="24"/>
        </w:rPr>
      </w:pPr>
      <w:r>
        <w:rPr>
          <w:rFonts w:ascii="Arial" w:hAnsi="Arial" w:cs="Arial"/>
          <w:sz w:val="24"/>
          <w:szCs w:val="24"/>
        </w:rPr>
        <w:t xml:space="preserve">Article 5 of the </w:t>
      </w:r>
      <w:r w:rsidRPr="00463EEC">
        <w:rPr>
          <w:rFonts w:ascii="Arial" w:hAnsi="Arial" w:cs="Arial"/>
          <w:i/>
          <w:sz w:val="24"/>
          <w:szCs w:val="24"/>
        </w:rPr>
        <w:t>International Convention on the Elimination of all Forms of Racial Discrimination</w:t>
      </w:r>
      <w:r>
        <w:rPr>
          <w:rFonts w:ascii="Arial" w:hAnsi="Arial" w:cs="Arial"/>
          <w:sz w:val="24"/>
          <w:szCs w:val="24"/>
        </w:rPr>
        <w:t xml:space="preserve"> requires Australia, </w:t>
      </w:r>
      <w:r w:rsidRPr="00463EEC">
        <w:rPr>
          <w:rFonts w:ascii="Arial" w:hAnsi="Arial" w:cs="Arial"/>
          <w:i/>
          <w:sz w:val="24"/>
          <w:szCs w:val="24"/>
        </w:rPr>
        <w:t>inter alia</w:t>
      </w:r>
      <w:r w:rsidR="00791A98">
        <w:rPr>
          <w:rFonts w:ascii="Arial" w:hAnsi="Arial" w:cs="Arial"/>
          <w:sz w:val="24"/>
          <w:szCs w:val="24"/>
        </w:rPr>
        <w:t>,</w:t>
      </w:r>
      <w:r>
        <w:rPr>
          <w:rFonts w:ascii="Arial" w:hAnsi="Arial" w:cs="Arial"/>
          <w:sz w:val="24"/>
          <w:szCs w:val="24"/>
        </w:rPr>
        <w:t xml:space="preserve"> to:</w:t>
      </w:r>
    </w:p>
    <w:p w:rsidR="00463EEC" w:rsidRPr="00463EEC" w:rsidRDefault="00463EEC" w:rsidP="00791A98">
      <w:pPr>
        <w:pStyle w:val="ListParagraph"/>
        <w:spacing w:before="120" w:after="120"/>
        <w:ind w:left="1134" w:right="709"/>
        <w:contextualSpacing w:val="0"/>
        <w:rPr>
          <w:rFonts w:ascii="Arial" w:hAnsi="Arial" w:cs="Arial"/>
          <w:color w:val="000000"/>
          <w:lang w:val="en"/>
        </w:rPr>
      </w:pPr>
      <w:r>
        <w:rPr>
          <w:rFonts w:ascii="Arial" w:hAnsi="Arial" w:cs="Arial"/>
          <w:color w:val="000000"/>
          <w:lang w:val="en"/>
        </w:rPr>
        <w:t xml:space="preserve">… </w:t>
      </w:r>
      <w:proofErr w:type="gramStart"/>
      <w:r w:rsidRPr="00463EEC">
        <w:rPr>
          <w:rFonts w:ascii="Arial" w:hAnsi="Arial" w:cs="Arial"/>
          <w:color w:val="000000"/>
          <w:lang w:val="en"/>
        </w:rPr>
        <w:t>undertake</w:t>
      </w:r>
      <w:proofErr w:type="gramEnd"/>
      <w:r w:rsidRPr="00463EEC">
        <w:rPr>
          <w:rFonts w:ascii="Arial" w:hAnsi="Arial" w:cs="Arial"/>
          <w:color w:val="000000"/>
          <w:lang w:val="en"/>
        </w:rPr>
        <w:t xml:space="preserve"> to prohibit and to eliminate racial discrimination in all its forms and to guarantee the right of everyone, without distinction as to race, colour, or national or ethnic origin, to equality before the law, notably in the enjoyment of the following rights:</w:t>
      </w:r>
    </w:p>
    <w:p w:rsidR="00463EEC" w:rsidRDefault="00463EEC" w:rsidP="00791A98">
      <w:pPr>
        <w:pStyle w:val="NormalWeb"/>
        <w:spacing w:before="120" w:beforeAutospacing="0" w:after="120" w:afterAutospacing="0"/>
        <w:ind w:left="1134" w:right="709"/>
        <w:rPr>
          <w:rFonts w:ascii="Arial" w:eastAsiaTheme="minorEastAsia" w:hAnsi="Arial" w:cs="Arial"/>
          <w:color w:val="000000"/>
          <w:sz w:val="22"/>
          <w:szCs w:val="22"/>
          <w:lang w:val="en"/>
        </w:rPr>
      </w:pPr>
      <w:r>
        <w:rPr>
          <w:rFonts w:ascii="Arial" w:eastAsiaTheme="minorEastAsia" w:hAnsi="Arial" w:cs="Arial"/>
          <w:color w:val="000000"/>
          <w:sz w:val="22"/>
          <w:szCs w:val="22"/>
          <w:lang w:val="en"/>
        </w:rPr>
        <w:t>…</w:t>
      </w:r>
    </w:p>
    <w:p w:rsidR="00463EEC" w:rsidRPr="00463EEC" w:rsidRDefault="00463EEC" w:rsidP="00791A98">
      <w:pPr>
        <w:pStyle w:val="NormalWeb"/>
        <w:spacing w:before="120" w:beforeAutospacing="0" w:after="120" w:afterAutospacing="0"/>
        <w:ind w:left="1134" w:right="709"/>
        <w:rPr>
          <w:rFonts w:ascii="Arial" w:eastAsiaTheme="minorEastAsia" w:hAnsi="Arial" w:cs="Arial"/>
          <w:color w:val="000000"/>
          <w:sz w:val="22"/>
          <w:szCs w:val="22"/>
          <w:lang w:val="en"/>
        </w:rPr>
      </w:pPr>
      <w:r w:rsidRPr="00463EEC">
        <w:rPr>
          <w:rFonts w:ascii="Arial" w:eastAsiaTheme="minorEastAsia" w:hAnsi="Arial" w:cs="Arial"/>
          <w:color w:val="000000"/>
          <w:sz w:val="22"/>
          <w:szCs w:val="22"/>
          <w:lang w:val="en"/>
        </w:rPr>
        <w:t>(v) The right to own property alone as well as in association with others;</w:t>
      </w:r>
    </w:p>
    <w:p w:rsidR="00463EEC" w:rsidRDefault="00463EEC" w:rsidP="00791A98">
      <w:pPr>
        <w:pStyle w:val="NormalWeb"/>
        <w:spacing w:after="0" w:afterAutospacing="0"/>
        <w:ind w:left="1134" w:right="708"/>
        <w:rPr>
          <w:rFonts w:ascii="Arial" w:eastAsiaTheme="minorEastAsia" w:hAnsi="Arial" w:cs="Arial"/>
          <w:color w:val="000000"/>
          <w:sz w:val="22"/>
          <w:szCs w:val="22"/>
          <w:lang w:val="en"/>
        </w:rPr>
      </w:pPr>
      <w:proofErr w:type="gramStart"/>
      <w:r w:rsidRPr="00463EEC">
        <w:rPr>
          <w:rFonts w:ascii="Arial" w:eastAsiaTheme="minorEastAsia" w:hAnsi="Arial" w:cs="Arial"/>
          <w:color w:val="000000"/>
          <w:sz w:val="22"/>
          <w:szCs w:val="22"/>
          <w:lang w:val="en"/>
        </w:rPr>
        <w:t>(vi) The</w:t>
      </w:r>
      <w:proofErr w:type="gramEnd"/>
      <w:r w:rsidRPr="00463EEC">
        <w:rPr>
          <w:rFonts w:ascii="Arial" w:eastAsiaTheme="minorEastAsia" w:hAnsi="Arial" w:cs="Arial"/>
          <w:color w:val="000000"/>
          <w:sz w:val="22"/>
          <w:szCs w:val="22"/>
          <w:lang w:val="en"/>
        </w:rPr>
        <w:t xml:space="preserve"> right to inherit;</w:t>
      </w:r>
    </w:p>
    <w:p w:rsidR="00463EEC" w:rsidRPr="00463EEC" w:rsidRDefault="00463EEC" w:rsidP="00791A98">
      <w:pPr>
        <w:pStyle w:val="NormalWeb"/>
        <w:spacing w:before="120" w:beforeAutospacing="0" w:after="240" w:afterAutospacing="0"/>
        <w:ind w:left="1134" w:right="709"/>
        <w:rPr>
          <w:rFonts w:ascii="Arial" w:eastAsiaTheme="minorEastAsia" w:hAnsi="Arial" w:cs="Arial"/>
          <w:color w:val="000000"/>
          <w:sz w:val="22"/>
          <w:szCs w:val="22"/>
          <w:lang w:val="en"/>
        </w:rPr>
      </w:pPr>
      <w:r>
        <w:rPr>
          <w:rFonts w:ascii="Arial" w:eastAsiaTheme="minorEastAsia" w:hAnsi="Arial" w:cs="Arial"/>
          <w:color w:val="000000"/>
          <w:sz w:val="22"/>
          <w:szCs w:val="22"/>
          <w:lang w:val="en"/>
        </w:rPr>
        <w:t>…</w:t>
      </w:r>
    </w:p>
    <w:p w:rsidR="00463EEC" w:rsidRDefault="00463EEC" w:rsidP="00463EEC">
      <w:pPr>
        <w:pStyle w:val="ListParagraph"/>
        <w:spacing w:before="120" w:after="240" w:line="360" w:lineRule="auto"/>
        <w:ind w:left="567"/>
        <w:contextualSpacing w:val="0"/>
        <w:rPr>
          <w:rFonts w:ascii="Arial" w:hAnsi="Arial" w:cs="Arial"/>
          <w:sz w:val="24"/>
          <w:szCs w:val="24"/>
        </w:rPr>
      </w:pPr>
    </w:p>
    <w:p w:rsidR="00B37AA3" w:rsidRPr="00530C05" w:rsidRDefault="00B37AA3"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530C05">
        <w:rPr>
          <w:rFonts w:ascii="Arial" w:hAnsi="Arial" w:cs="Arial"/>
          <w:sz w:val="24"/>
          <w:szCs w:val="24"/>
        </w:rPr>
        <w:t xml:space="preserve">However, until the Commonwealth passed the </w:t>
      </w:r>
      <w:r w:rsidRPr="00530C05">
        <w:rPr>
          <w:rFonts w:ascii="Arial" w:hAnsi="Arial" w:cs="Arial"/>
          <w:i/>
          <w:sz w:val="24"/>
          <w:szCs w:val="24"/>
        </w:rPr>
        <w:t>Racial Discrimination Act</w:t>
      </w:r>
      <w:r w:rsidRPr="00530C05">
        <w:rPr>
          <w:rFonts w:ascii="Arial" w:hAnsi="Arial" w:cs="Arial"/>
          <w:sz w:val="24"/>
          <w:szCs w:val="24"/>
        </w:rPr>
        <w:t xml:space="preserve"> (RDA) in 1975, there was no prohibition on rac</w:t>
      </w:r>
      <w:r w:rsidR="00DD5DC1">
        <w:rPr>
          <w:rFonts w:ascii="Arial" w:hAnsi="Arial" w:cs="Arial"/>
          <w:sz w:val="24"/>
          <w:szCs w:val="24"/>
        </w:rPr>
        <w:t>e discrimination in Australia.</w:t>
      </w:r>
    </w:p>
    <w:p w:rsidR="00557E9C" w:rsidRPr="007F111E" w:rsidRDefault="00557E9C" w:rsidP="009A0EC4">
      <w:pPr>
        <w:pStyle w:val="Heading3"/>
      </w:pPr>
      <w:r w:rsidRPr="007F111E">
        <w:t xml:space="preserve">Human rights and the </w:t>
      </w:r>
      <w:proofErr w:type="spellStart"/>
      <w:r w:rsidRPr="007F111E">
        <w:t>Mabo</w:t>
      </w:r>
      <w:proofErr w:type="spellEnd"/>
      <w:r w:rsidRPr="007F111E">
        <w:t xml:space="preserve"> case</w:t>
      </w:r>
    </w:p>
    <w:p w:rsidR="00463EEC" w:rsidRDefault="00B37AA3"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B37AA3">
        <w:rPr>
          <w:rFonts w:ascii="Arial" w:hAnsi="Arial" w:cs="Arial"/>
          <w:sz w:val="24"/>
          <w:szCs w:val="24"/>
        </w:rPr>
        <w:t xml:space="preserve">The decision by the High Court in the first </w:t>
      </w:r>
      <w:proofErr w:type="spellStart"/>
      <w:r w:rsidRPr="008211F7">
        <w:rPr>
          <w:rFonts w:ascii="Arial" w:hAnsi="Arial" w:cs="Arial"/>
          <w:i/>
          <w:sz w:val="24"/>
          <w:szCs w:val="24"/>
        </w:rPr>
        <w:t>Mabo</w:t>
      </w:r>
      <w:proofErr w:type="spellEnd"/>
      <w:r w:rsidRPr="00B37AA3">
        <w:rPr>
          <w:rFonts w:ascii="Arial" w:hAnsi="Arial" w:cs="Arial"/>
          <w:sz w:val="24"/>
          <w:szCs w:val="24"/>
        </w:rPr>
        <w:t xml:space="preserve"> case made it clear that any alienation of land from Aboriginal and Torres Strait Islander people after</w:t>
      </w:r>
      <w:r w:rsidRPr="00530C05">
        <w:rPr>
          <w:rFonts w:ascii="Arial" w:hAnsi="Arial" w:cs="Arial"/>
          <w:sz w:val="24"/>
          <w:szCs w:val="24"/>
        </w:rPr>
        <w:t xml:space="preserve"> 1975 had to be done in a non-discriminatory way in order not to breach the RDA.</w:t>
      </w:r>
      <w:r w:rsidR="008211F7">
        <w:rPr>
          <w:rStyle w:val="FootnoteReference"/>
          <w:rFonts w:ascii="Arial" w:hAnsi="Arial" w:cs="Arial"/>
          <w:sz w:val="24"/>
          <w:szCs w:val="24"/>
        </w:rPr>
        <w:footnoteReference w:id="2"/>
      </w:r>
      <w:r w:rsidRPr="00530C05">
        <w:rPr>
          <w:rFonts w:ascii="Arial" w:hAnsi="Arial" w:cs="Arial"/>
          <w:sz w:val="24"/>
          <w:szCs w:val="24"/>
        </w:rPr>
        <w:t xml:space="preserve"> </w:t>
      </w:r>
      <w:r w:rsidR="00DD5DC1">
        <w:rPr>
          <w:rFonts w:ascii="Arial" w:hAnsi="Arial" w:cs="Arial"/>
          <w:sz w:val="24"/>
          <w:szCs w:val="24"/>
        </w:rPr>
        <w:t xml:space="preserve"> </w:t>
      </w:r>
      <w:r w:rsidR="00463EEC">
        <w:rPr>
          <w:rFonts w:ascii="Arial" w:hAnsi="Arial" w:cs="Arial"/>
          <w:sz w:val="24"/>
          <w:szCs w:val="24"/>
        </w:rPr>
        <w:t xml:space="preserve">Since the handing down of the </w:t>
      </w:r>
      <w:proofErr w:type="spellStart"/>
      <w:r w:rsidR="00463EEC" w:rsidRPr="00463EEC">
        <w:rPr>
          <w:rFonts w:ascii="Arial" w:hAnsi="Arial" w:cs="Arial"/>
          <w:i/>
          <w:sz w:val="24"/>
          <w:szCs w:val="24"/>
        </w:rPr>
        <w:t>Mabo</w:t>
      </w:r>
      <w:proofErr w:type="spellEnd"/>
      <w:r w:rsidR="00463EEC">
        <w:rPr>
          <w:rFonts w:ascii="Arial" w:hAnsi="Arial" w:cs="Arial"/>
          <w:sz w:val="24"/>
          <w:szCs w:val="24"/>
        </w:rPr>
        <w:t xml:space="preserve"> decision, there has been much legal debate about the legal nature of native title, and whether or not it is a propriety right or a right to property. </w:t>
      </w:r>
      <w:r w:rsidR="00D967B8">
        <w:rPr>
          <w:rStyle w:val="FootnoteReference"/>
          <w:rFonts w:ascii="Arial" w:hAnsi="Arial" w:cs="Arial"/>
          <w:sz w:val="24"/>
          <w:szCs w:val="24"/>
        </w:rPr>
        <w:footnoteReference w:id="3"/>
      </w:r>
    </w:p>
    <w:p w:rsidR="00B37AA3" w:rsidRPr="00530C05" w:rsidRDefault="00463EEC" w:rsidP="009A0EC4">
      <w:pPr>
        <w:pStyle w:val="ListParagraph"/>
        <w:numPr>
          <w:ilvl w:val="0"/>
          <w:numId w:val="10"/>
        </w:numPr>
        <w:spacing w:before="120" w:after="240" w:line="360" w:lineRule="auto"/>
        <w:ind w:left="567" w:hanging="567"/>
        <w:contextualSpacing w:val="0"/>
        <w:rPr>
          <w:rFonts w:ascii="Arial" w:hAnsi="Arial" w:cs="Arial"/>
          <w:sz w:val="24"/>
          <w:szCs w:val="24"/>
        </w:rPr>
      </w:pPr>
      <w:r>
        <w:rPr>
          <w:rFonts w:ascii="Arial" w:hAnsi="Arial" w:cs="Arial"/>
          <w:sz w:val="24"/>
          <w:szCs w:val="24"/>
        </w:rPr>
        <w:t xml:space="preserve">Whatever its legal nature, from </w:t>
      </w:r>
      <w:r w:rsidR="00B37AA3" w:rsidRPr="00530C05">
        <w:rPr>
          <w:rFonts w:ascii="Arial" w:hAnsi="Arial" w:cs="Arial"/>
          <w:sz w:val="24"/>
          <w:szCs w:val="24"/>
        </w:rPr>
        <w:t xml:space="preserve">1975 onwards, any </w:t>
      </w:r>
      <w:r>
        <w:rPr>
          <w:rFonts w:ascii="Arial" w:hAnsi="Arial" w:cs="Arial"/>
          <w:sz w:val="24"/>
          <w:szCs w:val="24"/>
        </w:rPr>
        <w:t xml:space="preserve">extinguishment or </w:t>
      </w:r>
      <w:r w:rsidR="00B37AA3" w:rsidRPr="00530C05">
        <w:rPr>
          <w:rFonts w:ascii="Arial" w:hAnsi="Arial" w:cs="Arial"/>
          <w:sz w:val="24"/>
          <w:szCs w:val="24"/>
        </w:rPr>
        <w:t xml:space="preserve">alienation of native title </w:t>
      </w:r>
      <w:r>
        <w:rPr>
          <w:rFonts w:ascii="Arial" w:hAnsi="Arial" w:cs="Arial"/>
          <w:sz w:val="24"/>
          <w:szCs w:val="24"/>
        </w:rPr>
        <w:t>held by</w:t>
      </w:r>
      <w:r w:rsidR="00B37AA3" w:rsidRPr="00530C05">
        <w:rPr>
          <w:rFonts w:ascii="Arial" w:hAnsi="Arial" w:cs="Arial"/>
          <w:sz w:val="24"/>
          <w:szCs w:val="24"/>
        </w:rPr>
        <w:t xml:space="preserve"> Aboriginal and Torres Strait Islander people by the Commonwealth or the States had to be d</w:t>
      </w:r>
      <w:r w:rsidR="00530C05">
        <w:rPr>
          <w:rFonts w:ascii="Arial" w:hAnsi="Arial" w:cs="Arial"/>
          <w:sz w:val="24"/>
          <w:szCs w:val="24"/>
        </w:rPr>
        <w:t xml:space="preserve">one in a non-discriminatory way, </w:t>
      </w:r>
      <w:r w:rsidR="00B37AA3" w:rsidRPr="00530C05">
        <w:rPr>
          <w:rFonts w:ascii="Arial" w:hAnsi="Arial" w:cs="Arial"/>
          <w:sz w:val="24"/>
          <w:szCs w:val="24"/>
        </w:rPr>
        <w:t>which in most cases would requi</w:t>
      </w:r>
      <w:r>
        <w:rPr>
          <w:rFonts w:ascii="Arial" w:hAnsi="Arial" w:cs="Arial"/>
          <w:sz w:val="24"/>
          <w:szCs w:val="24"/>
        </w:rPr>
        <w:t>re the payment of compensation.</w:t>
      </w:r>
    </w:p>
    <w:p w:rsidR="00A870FE" w:rsidRDefault="005E44C8"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This is the context for the establishment of the Aboriginal Land Account</w:t>
      </w:r>
      <w:r w:rsidR="00423477" w:rsidRPr="00524935">
        <w:rPr>
          <w:rFonts w:ascii="Arial" w:hAnsi="Arial" w:cs="Arial"/>
          <w:sz w:val="24"/>
          <w:szCs w:val="24"/>
        </w:rPr>
        <w:t xml:space="preserve">. </w:t>
      </w:r>
      <w:r w:rsidR="00DD5DC1">
        <w:rPr>
          <w:rFonts w:ascii="Arial" w:hAnsi="Arial" w:cs="Arial"/>
          <w:sz w:val="24"/>
          <w:szCs w:val="24"/>
        </w:rPr>
        <w:t xml:space="preserve"> </w:t>
      </w:r>
      <w:r w:rsidR="00423477" w:rsidRPr="00524935">
        <w:rPr>
          <w:rFonts w:ascii="Arial" w:hAnsi="Arial" w:cs="Arial"/>
          <w:sz w:val="24"/>
          <w:szCs w:val="24"/>
        </w:rPr>
        <w:t>The L</w:t>
      </w:r>
      <w:r w:rsidR="004529EE" w:rsidRPr="00524935">
        <w:rPr>
          <w:rFonts w:ascii="Arial" w:hAnsi="Arial" w:cs="Arial"/>
          <w:sz w:val="24"/>
          <w:szCs w:val="24"/>
        </w:rPr>
        <w:t xml:space="preserve">and Account came out of </w:t>
      </w:r>
      <w:r w:rsidRPr="00524935">
        <w:rPr>
          <w:rFonts w:ascii="Arial" w:hAnsi="Arial" w:cs="Arial"/>
          <w:sz w:val="24"/>
          <w:szCs w:val="24"/>
        </w:rPr>
        <w:t xml:space="preserve">the negotiations that took place between Aboriginal and Torres Strait Islander leaders and the Australian Government following the delivery of the </w:t>
      </w:r>
      <w:proofErr w:type="spellStart"/>
      <w:r w:rsidRPr="00F75B8B">
        <w:rPr>
          <w:rFonts w:ascii="Arial" w:hAnsi="Arial" w:cs="Arial"/>
          <w:i/>
          <w:sz w:val="24"/>
          <w:szCs w:val="24"/>
        </w:rPr>
        <w:t>Mabo</w:t>
      </w:r>
      <w:proofErr w:type="spellEnd"/>
      <w:r w:rsidRPr="00F75B8B">
        <w:rPr>
          <w:rFonts w:ascii="Arial" w:hAnsi="Arial" w:cs="Arial"/>
          <w:i/>
          <w:sz w:val="24"/>
          <w:szCs w:val="24"/>
        </w:rPr>
        <w:t xml:space="preserve"> </w:t>
      </w:r>
      <w:r w:rsidRPr="00524935">
        <w:rPr>
          <w:rFonts w:ascii="Arial" w:hAnsi="Arial" w:cs="Arial"/>
          <w:sz w:val="24"/>
          <w:szCs w:val="24"/>
        </w:rPr>
        <w:t xml:space="preserve">decision in 1992 and the passing of the </w:t>
      </w:r>
      <w:r w:rsidRPr="00F75B8B">
        <w:rPr>
          <w:rFonts w:ascii="Arial" w:hAnsi="Arial" w:cs="Arial"/>
          <w:i/>
          <w:sz w:val="24"/>
          <w:szCs w:val="24"/>
        </w:rPr>
        <w:t xml:space="preserve">Native Title Act </w:t>
      </w:r>
      <w:r w:rsidRPr="00524935">
        <w:rPr>
          <w:rFonts w:ascii="Arial" w:hAnsi="Arial" w:cs="Arial"/>
          <w:sz w:val="24"/>
          <w:szCs w:val="24"/>
        </w:rPr>
        <w:t xml:space="preserve">in </w:t>
      </w:r>
      <w:r w:rsidR="000D398F" w:rsidRPr="00524935">
        <w:rPr>
          <w:rFonts w:ascii="Arial" w:hAnsi="Arial" w:cs="Arial"/>
          <w:sz w:val="24"/>
          <w:szCs w:val="24"/>
        </w:rPr>
        <w:t>1993</w:t>
      </w:r>
      <w:r w:rsidR="001D0795" w:rsidRPr="00524935">
        <w:rPr>
          <w:rFonts w:ascii="Arial" w:hAnsi="Arial" w:cs="Arial"/>
          <w:sz w:val="24"/>
          <w:szCs w:val="24"/>
        </w:rPr>
        <w:t xml:space="preserve">. </w:t>
      </w:r>
      <w:r w:rsidR="000D398F" w:rsidRPr="00524935">
        <w:rPr>
          <w:rFonts w:ascii="Arial" w:hAnsi="Arial" w:cs="Arial"/>
          <w:sz w:val="24"/>
          <w:szCs w:val="24"/>
        </w:rPr>
        <w:t xml:space="preserve"> </w:t>
      </w:r>
    </w:p>
    <w:p w:rsidR="00D93ED3" w:rsidRPr="00524935" w:rsidRDefault="00EB254E"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Among a group of other measures</w:t>
      </w:r>
      <w:r w:rsidR="00A870FE">
        <w:rPr>
          <w:rFonts w:ascii="Arial" w:hAnsi="Arial" w:cs="Arial"/>
          <w:sz w:val="24"/>
          <w:szCs w:val="24"/>
        </w:rPr>
        <w:t>,</w:t>
      </w:r>
      <w:r w:rsidRPr="00524935">
        <w:rPr>
          <w:rFonts w:ascii="Arial" w:hAnsi="Arial" w:cs="Arial"/>
          <w:sz w:val="24"/>
          <w:szCs w:val="24"/>
        </w:rPr>
        <w:t xml:space="preserve"> t</w:t>
      </w:r>
      <w:r w:rsidR="000D398F" w:rsidRPr="00524935">
        <w:rPr>
          <w:rFonts w:ascii="Arial" w:hAnsi="Arial" w:cs="Arial"/>
          <w:sz w:val="24"/>
          <w:szCs w:val="24"/>
        </w:rPr>
        <w:t>he</w:t>
      </w:r>
      <w:r w:rsidRPr="00524935">
        <w:rPr>
          <w:rFonts w:ascii="Arial" w:hAnsi="Arial" w:cs="Arial"/>
          <w:sz w:val="24"/>
          <w:szCs w:val="24"/>
        </w:rPr>
        <w:t xml:space="preserve"> creation of the </w:t>
      </w:r>
      <w:r w:rsidR="000D398F" w:rsidRPr="00524935">
        <w:rPr>
          <w:rFonts w:ascii="Arial" w:hAnsi="Arial" w:cs="Arial"/>
          <w:sz w:val="24"/>
          <w:szCs w:val="24"/>
        </w:rPr>
        <w:t xml:space="preserve">Land </w:t>
      </w:r>
      <w:r w:rsidRPr="00524935">
        <w:rPr>
          <w:rFonts w:ascii="Arial" w:hAnsi="Arial" w:cs="Arial"/>
          <w:sz w:val="24"/>
          <w:szCs w:val="24"/>
        </w:rPr>
        <w:t>Account</w:t>
      </w:r>
      <w:r w:rsidR="000D398F" w:rsidRPr="00524935">
        <w:rPr>
          <w:rFonts w:ascii="Arial" w:hAnsi="Arial" w:cs="Arial"/>
          <w:sz w:val="24"/>
          <w:szCs w:val="24"/>
        </w:rPr>
        <w:t xml:space="preserve"> was </w:t>
      </w:r>
      <w:r w:rsidRPr="00524935">
        <w:rPr>
          <w:rFonts w:ascii="Arial" w:hAnsi="Arial" w:cs="Arial"/>
          <w:sz w:val="24"/>
          <w:szCs w:val="24"/>
        </w:rPr>
        <w:t xml:space="preserve">in recognition of and </w:t>
      </w:r>
      <w:r w:rsidR="000D398F" w:rsidRPr="00524935">
        <w:rPr>
          <w:rFonts w:ascii="Arial" w:hAnsi="Arial" w:cs="Arial"/>
          <w:sz w:val="24"/>
          <w:szCs w:val="24"/>
        </w:rPr>
        <w:t xml:space="preserve">partial compensation for all the native </w:t>
      </w:r>
      <w:r w:rsidRPr="00524935">
        <w:rPr>
          <w:rFonts w:ascii="Arial" w:hAnsi="Arial" w:cs="Arial"/>
          <w:sz w:val="24"/>
          <w:szCs w:val="24"/>
        </w:rPr>
        <w:t>title</w:t>
      </w:r>
      <w:r w:rsidR="000D398F" w:rsidRPr="00524935">
        <w:rPr>
          <w:rFonts w:ascii="Arial" w:hAnsi="Arial" w:cs="Arial"/>
          <w:sz w:val="24"/>
          <w:szCs w:val="24"/>
        </w:rPr>
        <w:t xml:space="preserve"> lands that had been </w:t>
      </w:r>
      <w:r w:rsidRPr="00524935">
        <w:rPr>
          <w:rFonts w:ascii="Arial" w:hAnsi="Arial" w:cs="Arial"/>
          <w:sz w:val="24"/>
          <w:szCs w:val="24"/>
        </w:rPr>
        <w:t>appropriated</w:t>
      </w:r>
      <w:r w:rsidR="00F24F9C">
        <w:rPr>
          <w:rFonts w:ascii="Arial" w:hAnsi="Arial" w:cs="Arial"/>
          <w:sz w:val="24"/>
          <w:szCs w:val="24"/>
        </w:rPr>
        <w:t xml:space="preserve"> since 178</w:t>
      </w:r>
      <w:r w:rsidR="000D398F" w:rsidRPr="00524935">
        <w:rPr>
          <w:rFonts w:ascii="Arial" w:hAnsi="Arial" w:cs="Arial"/>
          <w:sz w:val="24"/>
          <w:szCs w:val="24"/>
        </w:rPr>
        <w:t xml:space="preserve">8, including those native </w:t>
      </w:r>
      <w:r w:rsidRPr="00524935">
        <w:rPr>
          <w:rFonts w:ascii="Arial" w:hAnsi="Arial" w:cs="Arial"/>
          <w:sz w:val="24"/>
          <w:szCs w:val="24"/>
        </w:rPr>
        <w:t>title</w:t>
      </w:r>
      <w:r w:rsidR="000D398F" w:rsidRPr="00524935">
        <w:rPr>
          <w:rFonts w:ascii="Arial" w:hAnsi="Arial" w:cs="Arial"/>
          <w:sz w:val="24"/>
          <w:szCs w:val="24"/>
        </w:rPr>
        <w:t xml:space="preserve"> lands </w:t>
      </w:r>
      <w:r w:rsidRPr="00524935">
        <w:rPr>
          <w:rFonts w:ascii="Arial" w:hAnsi="Arial" w:cs="Arial"/>
          <w:sz w:val="24"/>
          <w:szCs w:val="24"/>
        </w:rPr>
        <w:t>appropriated</w:t>
      </w:r>
      <w:r w:rsidR="000D398F" w:rsidRPr="00524935">
        <w:rPr>
          <w:rFonts w:ascii="Arial" w:hAnsi="Arial" w:cs="Arial"/>
          <w:sz w:val="24"/>
          <w:szCs w:val="24"/>
        </w:rPr>
        <w:t xml:space="preserve"> after 1975 </w:t>
      </w:r>
      <w:r w:rsidRPr="00524935">
        <w:rPr>
          <w:rFonts w:ascii="Arial" w:hAnsi="Arial" w:cs="Arial"/>
          <w:sz w:val="24"/>
          <w:szCs w:val="24"/>
        </w:rPr>
        <w:t xml:space="preserve">and before the passing of the </w:t>
      </w:r>
      <w:r w:rsidRPr="00F75B8B">
        <w:rPr>
          <w:rFonts w:ascii="Arial" w:hAnsi="Arial" w:cs="Arial"/>
          <w:i/>
          <w:sz w:val="24"/>
          <w:szCs w:val="24"/>
        </w:rPr>
        <w:t xml:space="preserve">Native Title Act </w:t>
      </w:r>
      <w:r w:rsidRPr="00524935">
        <w:rPr>
          <w:rFonts w:ascii="Arial" w:hAnsi="Arial" w:cs="Arial"/>
          <w:sz w:val="24"/>
          <w:szCs w:val="24"/>
        </w:rPr>
        <w:t xml:space="preserve">in1993. </w:t>
      </w:r>
      <w:r w:rsidR="00DD5DC1">
        <w:rPr>
          <w:rFonts w:ascii="Arial" w:hAnsi="Arial" w:cs="Arial"/>
          <w:sz w:val="24"/>
          <w:szCs w:val="24"/>
        </w:rPr>
        <w:t xml:space="preserve"> </w:t>
      </w:r>
      <w:r w:rsidR="00423477" w:rsidRPr="00524935">
        <w:rPr>
          <w:rFonts w:ascii="Arial" w:hAnsi="Arial" w:cs="Arial"/>
          <w:sz w:val="24"/>
          <w:szCs w:val="24"/>
        </w:rPr>
        <w:t>An Indigenous Land Corporation was established to administer</w:t>
      </w:r>
      <w:r w:rsidR="00423477" w:rsidRPr="00524935">
        <w:rPr>
          <w:rFonts w:ascii="Arial" w:eastAsia="Times New Roman" w:hAnsi="Arial" w:cs="Arial"/>
          <w:color w:val="000000"/>
          <w:sz w:val="24"/>
          <w:szCs w:val="24"/>
        </w:rPr>
        <w:t xml:space="preserve"> </w:t>
      </w:r>
      <w:r w:rsidR="00423477" w:rsidRPr="00524935">
        <w:rPr>
          <w:rFonts w:ascii="Arial" w:hAnsi="Arial" w:cs="Arial"/>
          <w:sz w:val="24"/>
          <w:szCs w:val="24"/>
        </w:rPr>
        <w:t xml:space="preserve">the </w:t>
      </w:r>
      <w:r w:rsidR="00423477" w:rsidRPr="00524935">
        <w:rPr>
          <w:rFonts w:ascii="Arial" w:hAnsi="Arial" w:cs="Arial"/>
          <w:sz w:val="24"/>
          <w:szCs w:val="24"/>
        </w:rPr>
        <w:lastRenderedPageBreak/>
        <w:t>Aboriginal Land Account, and to utilise the funds to assist Aboriginal and Torres Strait Islander persons to acquire and manage land.</w:t>
      </w:r>
    </w:p>
    <w:p w:rsidR="00793F3B" w:rsidRPr="009A0EC4" w:rsidRDefault="00F34D19" w:rsidP="00F24F9C">
      <w:pPr>
        <w:pStyle w:val="ListParagraph"/>
        <w:numPr>
          <w:ilvl w:val="0"/>
          <w:numId w:val="10"/>
        </w:numPr>
        <w:spacing w:before="120" w:after="240" w:line="360" w:lineRule="auto"/>
        <w:ind w:left="567" w:hanging="567"/>
        <w:contextualSpacing w:val="0"/>
        <w:rPr>
          <w:rFonts w:ascii="Arial" w:hAnsi="Arial" w:cs="Arial"/>
        </w:rPr>
      </w:pPr>
      <w:r w:rsidRPr="009A0EC4">
        <w:rPr>
          <w:rFonts w:ascii="Arial" w:hAnsi="Arial" w:cs="Arial"/>
          <w:sz w:val="24"/>
          <w:szCs w:val="24"/>
        </w:rPr>
        <w:t>In her se</w:t>
      </w:r>
      <w:r w:rsidR="00514EAC" w:rsidRPr="009A0EC4">
        <w:rPr>
          <w:rFonts w:ascii="Arial" w:hAnsi="Arial" w:cs="Arial"/>
          <w:sz w:val="24"/>
          <w:szCs w:val="24"/>
        </w:rPr>
        <w:t xml:space="preserve">cond reading speech </w:t>
      </w:r>
      <w:r w:rsidR="00DD5DC1">
        <w:rPr>
          <w:rFonts w:ascii="Arial" w:hAnsi="Arial" w:cs="Arial"/>
          <w:sz w:val="24"/>
          <w:szCs w:val="24"/>
        </w:rPr>
        <w:t xml:space="preserve">for the Bill, </w:t>
      </w:r>
      <w:r w:rsidR="00514EAC" w:rsidRPr="009A0EC4">
        <w:rPr>
          <w:rFonts w:ascii="Arial" w:hAnsi="Arial" w:cs="Arial"/>
          <w:sz w:val="24"/>
          <w:szCs w:val="24"/>
        </w:rPr>
        <w:t xml:space="preserve">Senator </w:t>
      </w:r>
      <w:proofErr w:type="spellStart"/>
      <w:r w:rsidR="00514EAC" w:rsidRPr="009A0EC4">
        <w:rPr>
          <w:rFonts w:ascii="Arial" w:hAnsi="Arial" w:cs="Arial"/>
          <w:sz w:val="24"/>
          <w:szCs w:val="24"/>
        </w:rPr>
        <w:t>S</w:t>
      </w:r>
      <w:r w:rsidR="008C1ADF" w:rsidRPr="009A0EC4">
        <w:rPr>
          <w:rFonts w:ascii="Arial" w:hAnsi="Arial" w:cs="Arial"/>
          <w:sz w:val="24"/>
          <w:szCs w:val="24"/>
        </w:rPr>
        <w:t>iewert</w:t>
      </w:r>
      <w:proofErr w:type="spellEnd"/>
      <w:r w:rsidR="00514EAC" w:rsidRPr="009A0EC4">
        <w:rPr>
          <w:rFonts w:ascii="Arial" w:hAnsi="Arial" w:cs="Arial"/>
          <w:sz w:val="24"/>
          <w:szCs w:val="24"/>
        </w:rPr>
        <w:t xml:space="preserve"> outlined some of t</w:t>
      </w:r>
      <w:r w:rsidR="008C1ADF" w:rsidRPr="009A0EC4">
        <w:rPr>
          <w:rFonts w:ascii="Arial" w:hAnsi="Arial" w:cs="Arial"/>
          <w:sz w:val="24"/>
          <w:szCs w:val="24"/>
        </w:rPr>
        <w:t>he highly significant history that led</w:t>
      </w:r>
      <w:r w:rsidR="00514EAC" w:rsidRPr="009A0EC4">
        <w:rPr>
          <w:rFonts w:ascii="Arial" w:hAnsi="Arial" w:cs="Arial"/>
          <w:sz w:val="24"/>
          <w:szCs w:val="24"/>
        </w:rPr>
        <w:t xml:space="preserve"> to the establishment of the </w:t>
      </w:r>
      <w:r w:rsidR="008C1ADF" w:rsidRPr="009A0EC4">
        <w:rPr>
          <w:rFonts w:ascii="Arial" w:hAnsi="Arial" w:cs="Arial"/>
          <w:sz w:val="24"/>
          <w:szCs w:val="24"/>
        </w:rPr>
        <w:t>Aboriginal Land account</w:t>
      </w:r>
      <w:r w:rsidR="00423477" w:rsidRPr="009A0EC4">
        <w:rPr>
          <w:rFonts w:ascii="Arial" w:hAnsi="Arial" w:cs="Arial"/>
          <w:sz w:val="24"/>
          <w:szCs w:val="24"/>
        </w:rPr>
        <w:t>, and the Indigenous Land Corporation.</w:t>
      </w:r>
      <w:r w:rsidR="009A0EC4" w:rsidRPr="009A0EC4">
        <w:rPr>
          <w:rFonts w:ascii="Arial" w:hAnsi="Arial" w:cs="Arial"/>
          <w:sz w:val="24"/>
          <w:szCs w:val="24"/>
        </w:rPr>
        <w:t xml:space="preserve">  </w:t>
      </w:r>
      <w:r w:rsidR="004529EE" w:rsidRPr="009A0EC4">
        <w:rPr>
          <w:rFonts w:ascii="Arial" w:hAnsi="Arial" w:cs="Arial"/>
          <w:bCs/>
          <w:sz w:val="24"/>
          <w:szCs w:val="24"/>
        </w:rPr>
        <w:t>She said</w:t>
      </w:r>
      <w:r w:rsidR="009A0EC4" w:rsidRPr="009A0EC4">
        <w:rPr>
          <w:rFonts w:ascii="Arial" w:hAnsi="Arial" w:cs="Arial"/>
          <w:bCs/>
          <w:sz w:val="24"/>
          <w:szCs w:val="24"/>
        </w:rPr>
        <w:t>:</w:t>
      </w:r>
    </w:p>
    <w:p w:rsidR="00793F3B" w:rsidRPr="00394B2E" w:rsidRDefault="00793F3B" w:rsidP="009A0EC4">
      <w:pPr>
        <w:ind w:left="1134" w:right="708"/>
        <w:rPr>
          <w:rFonts w:ascii="Arial" w:hAnsi="Arial" w:cs="Arial"/>
        </w:rPr>
      </w:pPr>
      <w:r w:rsidRPr="00394B2E">
        <w:rPr>
          <w:rFonts w:ascii="Arial" w:hAnsi="Arial" w:cs="Arial"/>
        </w:rPr>
        <w:t xml:space="preserve">So the Land Account was established to provide recognition and partial compensation for the fact that most Aboriginal and Torres Strait Islander peoples were unlikely to benefit from the Native Title Act. </w:t>
      </w:r>
      <w:r w:rsidR="00DD5DC1">
        <w:rPr>
          <w:rFonts w:ascii="Arial" w:hAnsi="Arial" w:cs="Arial"/>
        </w:rPr>
        <w:t xml:space="preserve"> </w:t>
      </w:r>
      <w:r w:rsidRPr="00394B2E">
        <w:rPr>
          <w:rFonts w:ascii="Arial" w:hAnsi="Arial" w:cs="Arial"/>
        </w:rPr>
        <w:t>For those Aboriginal and Torres Strait Islander peoples, the Land Account provided them with an opportunity to be—at least in part—compensated for</w:t>
      </w:r>
      <w:r w:rsidR="001D0795" w:rsidRPr="00394B2E">
        <w:rPr>
          <w:rFonts w:ascii="Arial" w:hAnsi="Arial" w:cs="Arial"/>
        </w:rPr>
        <w:t xml:space="preserve"> what had been taken from them.</w:t>
      </w:r>
    </w:p>
    <w:p w:rsidR="00793F3B" w:rsidRPr="00394B2E" w:rsidRDefault="00793F3B" w:rsidP="009A0EC4">
      <w:pPr>
        <w:ind w:left="1134" w:right="708"/>
        <w:rPr>
          <w:rFonts w:ascii="Arial" w:hAnsi="Arial" w:cs="Arial"/>
          <w:bCs/>
          <w:color w:val="000000"/>
          <w:sz w:val="24"/>
          <w:szCs w:val="24"/>
        </w:rPr>
      </w:pPr>
      <w:r w:rsidRPr="00394B2E">
        <w:rPr>
          <w:rFonts w:ascii="Arial" w:hAnsi="Arial" w:cs="Arial"/>
          <w:bCs/>
          <w:color w:val="000000"/>
        </w:rPr>
        <w:t xml:space="preserve">The ILC was set up with the Land Account for one purpose: ‘to enable Indigenous people to acquire land and maintain it in a sustainable way to provide economic, social and cultural benefits for themselves and for future generations of their people’. </w:t>
      </w:r>
      <w:r w:rsidR="00DD5DC1">
        <w:rPr>
          <w:rFonts w:ascii="Arial" w:hAnsi="Arial" w:cs="Arial"/>
          <w:bCs/>
          <w:color w:val="000000"/>
        </w:rPr>
        <w:t xml:space="preserve"> </w:t>
      </w:r>
      <w:r w:rsidRPr="00B43F5A">
        <w:rPr>
          <w:rFonts w:ascii="Arial" w:hAnsi="Arial" w:cs="Arial"/>
          <w:b/>
          <w:bCs/>
          <w:color w:val="000000"/>
        </w:rPr>
        <w:t xml:space="preserve">But it wasn’t just Aboriginal and Torres Strait Islander peoples who were to benefit from this bargain. </w:t>
      </w:r>
      <w:r w:rsidR="00DD5DC1" w:rsidRPr="00B43F5A">
        <w:rPr>
          <w:rFonts w:ascii="Arial" w:hAnsi="Arial" w:cs="Arial"/>
          <w:b/>
          <w:bCs/>
          <w:color w:val="000000"/>
        </w:rPr>
        <w:t xml:space="preserve"> </w:t>
      </w:r>
      <w:r w:rsidRPr="00B43F5A">
        <w:rPr>
          <w:rFonts w:ascii="Arial" w:hAnsi="Arial" w:cs="Arial"/>
          <w:b/>
          <w:bCs/>
          <w:color w:val="000000"/>
        </w:rPr>
        <w:t>Through these negotiations, Aboriginal people gave up significant rights in order to give non-Indigenous Australians certainty over their land title, and the Land Account recognised this fact</w:t>
      </w:r>
      <w:r w:rsidR="007F32F8" w:rsidRPr="00B43F5A">
        <w:rPr>
          <w:rFonts w:ascii="Arial" w:hAnsi="Arial" w:cs="Arial"/>
          <w:b/>
          <w:bCs/>
          <w:color w:val="000000"/>
        </w:rPr>
        <w:t>.</w:t>
      </w:r>
      <w:r w:rsidR="007F32F8" w:rsidRPr="00394B2E">
        <w:rPr>
          <w:rFonts w:ascii="Arial" w:hAnsi="Arial" w:cs="Arial"/>
          <w:bCs/>
          <w:color w:val="000000"/>
        </w:rPr>
        <w:t xml:space="preserve"> (</w:t>
      </w:r>
      <w:proofErr w:type="gramStart"/>
      <w:r w:rsidR="004529EE" w:rsidRPr="00394B2E">
        <w:rPr>
          <w:rFonts w:ascii="Arial" w:hAnsi="Arial" w:cs="Arial"/>
          <w:bCs/>
          <w:color w:val="000000"/>
        </w:rPr>
        <w:t>emphasis</w:t>
      </w:r>
      <w:proofErr w:type="gramEnd"/>
      <w:r w:rsidR="004529EE" w:rsidRPr="00394B2E">
        <w:rPr>
          <w:rFonts w:ascii="Arial" w:hAnsi="Arial" w:cs="Arial"/>
          <w:bCs/>
          <w:color w:val="000000"/>
        </w:rPr>
        <w:t xml:space="preserve"> added)</w:t>
      </w:r>
      <w:r w:rsidR="005E44C8" w:rsidRPr="00394B2E">
        <w:rPr>
          <w:rFonts w:ascii="Arial" w:hAnsi="Arial" w:cs="Arial"/>
          <w:bCs/>
          <w:color w:val="000000"/>
          <w:vertAlign w:val="superscript"/>
        </w:rPr>
        <w:footnoteReference w:id="4"/>
      </w:r>
    </w:p>
    <w:p w:rsidR="004529EE" w:rsidRPr="00F75B8B" w:rsidRDefault="004529EE" w:rsidP="009A0EC4">
      <w:pPr>
        <w:pStyle w:val="Heading2"/>
        <w:keepNext/>
      </w:pPr>
      <w:r w:rsidRPr="00F75B8B">
        <w:t xml:space="preserve">Recent </w:t>
      </w:r>
      <w:r w:rsidR="007F111E">
        <w:t>e</w:t>
      </w:r>
      <w:r w:rsidRPr="00F75B8B">
        <w:t>vents</w:t>
      </w:r>
      <w:r w:rsidR="007F111E">
        <w:t xml:space="preserve"> – review reports</w:t>
      </w:r>
      <w:bookmarkStart w:id="0" w:name="_GoBack"/>
      <w:bookmarkEnd w:id="0"/>
    </w:p>
    <w:p w:rsidR="000824C5" w:rsidRPr="00524935" w:rsidRDefault="000824C5"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 xml:space="preserve">On 2 December 2013, the Commonwealth Minister for Indigenous Affairs initiated a review of the Indigenous Land Corporation (ILC) and </w:t>
      </w:r>
      <w:r w:rsidR="00DD5DC1">
        <w:rPr>
          <w:rFonts w:ascii="Arial" w:hAnsi="Arial" w:cs="Arial"/>
          <w:sz w:val="24"/>
          <w:szCs w:val="24"/>
        </w:rPr>
        <w:t xml:space="preserve">the </w:t>
      </w:r>
      <w:r w:rsidRPr="00524935">
        <w:rPr>
          <w:rFonts w:ascii="Arial" w:hAnsi="Arial" w:cs="Arial"/>
          <w:sz w:val="24"/>
          <w:szCs w:val="24"/>
        </w:rPr>
        <w:t>Indigenous Busin</w:t>
      </w:r>
      <w:r w:rsidR="001D0795" w:rsidRPr="00524935">
        <w:rPr>
          <w:rFonts w:ascii="Arial" w:hAnsi="Arial" w:cs="Arial"/>
          <w:sz w:val="24"/>
          <w:szCs w:val="24"/>
        </w:rPr>
        <w:t xml:space="preserve">ess Australia </w:t>
      </w:r>
      <w:r w:rsidR="00A870FE">
        <w:rPr>
          <w:rFonts w:ascii="Arial" w:hAnsi="Arial" w:cs="Arial"/>
          <w:sz w:val="24"/>
          <w:szCs w:val="24"/>
        </w:rPr>
        <w:t>(IBA)</w:t>
      </w:r>
      <w:r w:rsidR="00A671AE">
        <w:rPr>
          <w:rFonts w:ascii="Arial" w:hAnsi="Arial" w:cs="Arial"/>
          <w:sz w:val="24"/>
          <w:szCs w:val="24"/>
        </w:rPr>
        <w:t xml:space="preserve"> to be undertaken</w:t>
      </w:r>
      <w:r w:rsidR="00A870FE">
        <w:rPr>
          <w:rFonts w:ascii="Arial" w:hAnsi="Arial" w:cs="Arial"/>
          <w:sz w:val="24"/>
          <w:szCs w:val="24"/>
        </w:rPr>
        <w:t xml:space="preserve"> </w:t>
      </w:r>
      <w:r w:rsidR="001D0795" w:rsidRPr="00524935">
        <w:rPr>
          <w:rFonts w:ascii="Arial" w:hAnsi="Arial" w:cs="Arial"/>
          <w:sz w:val="24"/>
          <w:szCs w:val="24"/>
        </w:rPr>
        <w:t>by Ernst &amp; Young.</w:t>
      </w:r>
    </w:p>
    <w:p w:rsidR="000824C5" w:rsidRPr="00524935" w:rsidRDefault="000824C5" w:rsidP="009A0EC4">
      <w:pPr>
        <w:pStyle w:val="ListParagraph"/>
        <w:numPr>
          <w:ilvl w:val="0"/>
          <w:numId w:val="10"/>
        </w:numPr>
        <w:spacing w:before="120" w:after="120" w:line="360" w:lineRule="auto"/>
        <w:ind w:left="567" w:hanging="567"/>
        <w:contextualSpacing w:val="0"/>
        <w:rPr>
          <w:rFonts w:ascii="Arial" w:hAnsi="Arial" w:cs="Arial"/>
          <w:sz w:val="24"/>
          <w:szCs w:val="24"/>
        </w:rPr>
      </w:pPr>
      <w:r w:rsidRPr="00524935">
        <w:rPr>
          <w:rFonts w:ascii="Arial" w:hAnsi="Arial" w:cs="Arial"/>
          <w:sz w:val="24"/>
          <w:szCs w:val="24"/>
        </w:rPr>
        <w:t>The te</w:t>
      </w:r>
      <w:r w:rsidR="00564FB9" w:rsidRPr="00524935">
        <w:rPr>
          <w:rFonts w:ascii="Arial" w:hAnsi="Arial" w:cs="Arial"/>
          <w:sz w:val="24"/>
          <w:szCs w:val="24"/>
        </w:rPr>
        <w:t xml:space="preserve">rms of reference </w:t>
      </w:r>
      <w:r w:rsidRPr="00524935">
        <w:rPr>
          <w:rFonts w:ascii="Arial" w:hAnsi="Arial" w:cs="Arial"/>
          <w:sz w:val="24"/>
          <w:szCs w:val="24"/>
        </w:rPr>
        <w:t>were to review IBA and the ILC and to develop</w:t>
      </w:r>
      <w:r w:rsidR="00564FB9" w:rsidRPr="00524935">
        <w:rPr>
          <w:rFonts w:ascii="Arial" w:hAnsi="Arial" w:cs="Arial"/>
          <w:sz w:val="24"/>
          <w:szCs w:val="24"/>
        </w:rPr>
        <w:t xml:space="preserve"> </w:t>
      </w:r>
      <w:r w:rsidRPr="00524935">
        <w:rPr>
          <w:rFonts w:ascii="Arial" w:hAnsi="Arial" w:cs="Arial"/>
          <w:sz w:val="24"/>
          <w:szCs w:val="24"/>
        </w:rPr>
        <w:t>recommendations on the following:</w:t>
      </w:r>
    </w:p>
    <w:p w:rsidR="000824C5" w:rsidRPr="00524935" w:rsidRDefault="009A0EC4" w:rsidP="009A0EC4">
      <w:pPr>
        <w:pStyle w:val="ListParagraph"/>
        <w:numPr>
          <w:ilvl w:val="0"/>
          <w:numId w:val="13"/>
        </w:numPr>
        <w:autoSpaceDE w:val="0"/>
        <w:autoSpaceDN w:val="0"/>
        <w:adjustRightInd w:val="0"/>
        <w:spacing w:before="120" w:after="240" w:line="360" w:lineRule="auto"/>
        <w:ind w:left="992" w:hanging="425"/>
        <w:contextualSpacing w:val="0"/>
        <w:rPr>
          <w:rFonts w:ascii="Arial" w:eastAsia="Times New Roman" w:hAnsi="Arial" w:cs="Arial"/>
          <w:color w:val="000000"/>
          <w:sz w:val="24"/>
          <w:szCs w:val="24"/>
        </w:rPr>
      </w:pPr>
      <w:r>
        <w:rPr>
          <w:rFonts w:ascii="Arial" w:eastAsia="Times New Roman" w:hAnsi="Arial" w:cs="Arial"/>
          <w:color w:val="000000"/>
          <w:sz w:val="24"/>
          <w:szCs w:val="24"/>
        </w:rPr>
        <w:t>T</w:t>
      </w:r>
      <w:r w:rsidR="000824C5" w:rsidRPr="00524935">
        <w:rPr>
          <w:rFonts w:ascii="Arial" w:eastAsia="Times New Roman" w:hAnsi="Arial" w:cs="Arial"/>
          <w:color w:val="000000"/>
          <w:sz w:val="24"/>
          <w:szCs w:val="24"/>
        </w:rPr>
        <w:t>he effectiveness of IBA and the ILC, as currently constituted, in driving economic development through employment, training, business development, land acquisition and management and home ownership</w:t>
      </w:r>
      <w:r w:rsidR="00A870FE">
        <w:rPr>
          <w:rFonts w:ascii="Arial" w:eastAsia="Times New Roman" w:hAnsi="Arial" w:cs="Arial"/>
          <w:color w:val="000000"/>
          <w:sz w:val="24"/>
          <w:szCs w:val="24"/>
        </w:rPr>
        <w:t>;</w:t>
      </w:r>
    </w:p>
    <w:p w:rsidR="000824C5" w:rsidRPr="00524935" w:rsidRDefault="009A0EC4" w:rsidP="009A0EC4">
      <w:pPr>
        <w:pStyle w:val="ListParagraph"/>
        <w:numPr>
          <w:ilvl w:val="0"/>
          <w:numId w:val="13"/>
        </w:numPr>
        <w:autoSpaceDE w:val="0"/>
        <w:autoSpaceDN w:val="0"/>
        <w:adjustRightInd w:val="0"/>
        <w:spacing w:before="120" w:after="240" w:line="360" w:lineRule="auto"/>
        <w:ind w:left="992" w:hanging="425"/>
        <w:contextualSpacing w:val="0"/>
        <w:rPr>
          <w:rFonts w:ascii="Arial" w:eastAsia="Times New Roman" w:hAnsi="Arial" w:cs="Arial"/>
          <w:color w:val="000000"/>
          <w:sz w:val="24"/>
          <w:szCs w:val="24"/>
        </w:rPr>
      </w:pPr>
      <w:r>
        <w:rPr>
          <w:rFonts w:ascii="Arial" w:eastAsia="Times New Roman" w:hAnsi="Arial" w:cs="Arial"/>
          <w:color w:val="000000"/>
          <w:sz w:val="24"/>
          <w:szCs w:val="24"/>
        </w:rPr>
        <w:lastRenderedPageBreak/>
        <w:t>T</w:t>
      </w:r>
      <w:r w:rsidR="000824C5" w:rsidRPr="00524935">
        <w:rPr>
          <w:rFonts w:ascii="Arial" w:eastAsia="Times New Roman" w:hAnsi="Arial" w:cs="Arial"/>
          <w:color w:val="000000"/>
          <w:sz w:val="24"/>
          <w:szCs w:val="24"/>
        </w:rPr>
        <w:t>he optimal structure and function of government effort to drive Indigenous economic development, including consideration of whether outcomes could be enhanced by integrating IBA and ILC into a single entity</w:t>
      </w:r>
      <w:r w:rsidR="00A870FE">
        <w:rPr>
          <w:rFonts w:ascii="Arial" w:eastAsia="Times New Roman" w:hAnsi="Arial" w:cs="Arial"/>
          <w:color w:val="000000"/>
          <w:sz w:val="24"/>
          <w:szCs w:val="24"/>
        </w:rPr>
        <w:t>;</w:t>
      </w:r>
    </w:p>
    <w:p w:rsidR="000824C5" w:rsidRPr="00524935" w:rsidRDefault="000824C5" w:rsidP="009A0EC4">
      <w:pPr>
        <w:pStyle w:val="ListParagraph"/>
        <w:numPr>
          <w:ilvl w:val="0"/>
          <w:numId w:val="13"/>
        </w:numPr>
        <w:autoSpaceDE w:val="0"/>
        <w:autoSpaceDN w:val="0"/>
        <w:adjustRightInd w:val="0"/>
        <w:spacing w:before="120" w:after="120" w:line="360" w:lineRule="auto"/>
        <w:ind w:left="992" w:hanging="425"/>
        <w:contextualSpacing w:val="0"/>
        <w:rPr>
          <w:rFonts w:ascii="Arial" w:eastAsia="Times New Roman" w:hAnsi="Arial" w:cs="Arial"/>
          <w:color w:val="000000"/>
          <w:sz w:val="24"/>
          <w:szCs w:val="24"/>
        </w:rPr>
      </w:pPr>
      <w:r w:rsidRPr="00524935">
        <w:rPr>
          <w:rFonts w:ascii="Arial" w:eastAsia="Times New Roman" w:hAnsi="Arial" w:cs="Arial"/>
          <w:color w:val="000000"/>
          <w:sz w:val="24"/>
          <w:szCs w:val="24"/>
        </w:rPr>
        <w:t>If a statutory body is considered the best approach, how to structure arrangements to ensure:</w:t>
      </w:r>
    </w:p>
    <w:p w:rsidR="000824C5" w:rsidRPr="00524935" w:rsidRDefault="000824C5" w:rsidP="009A0EC4">
      <w:pPr>
        <w:pStyle w:val="ListParagraph"/>
        <w:numPr>
          <w:ilvl w:val="0"/>
          <w:numId w:val="14"/>
        </w:numPr>
        <w:autoSpaceDE w:val="0"/>
        <w:autoSpaceDN w:val="0"/>
        <w:adjustRightInd w:val="0"/>
        <w:spacing w:after="240" w:line="360" w:lineRule="auto"/>
        <w:ind w:left="1418" w:hanging="425"/>
        <w:rPr>
          <w:rFonts w:ascii="Arial" w:eastAsia="Times New Roman" w:hAnsi="Arial" w:cs="Arial"/>
          <w:color w:val="000000"/>
          <w:sz w:val="24"/>
          <w:szCs w:val="24"/>
        </w:rPr>
      </w:pPr>
      <w:r w:rsidRPr="00524935">
        <w:rPr>
          <w:rFonts w:ascii="Arial" w:eastAsia="Times New Roman" w:hAnsi="Arial" w:cs="Arial"/>
          <w:color w:val="000000"/>
          <w:sz w:val="24"/>
          <w:szCs w:val="24"/>
        </w:rPr>
        <w:t>efficient administration and reduced red tape</w:t>
      </w:r>
    </w:p>
    <w:p w:rsidR="000824C5" w:rsidRPr="00524935" w:rsidRDefault="000824C5" w:rsidP="009A0EC4">
      <w:pPr>
        <w:pStyle w:val="ListParagraph"/>
        <w:numPr>
          <w:ilvl w:val="0"/>
          <w:numId w:val="14"/>
        </w:numPr>
        <w:autoSpaceDE w:val="0"/>
        <w:autoSpaceDN w:val="0"/>
        <w:adjustRightInd w:val="0"/>
        <w:spacing w:after="240" w:line="360" w:lineRule="auto"/>
        <w:ind w:left="1418" w:hanging="425"/>
        <w:rPr>
          <w:rFonts w:ascii="Arial" w:eastAsia="Times New Roman" w:hAnsi="Arial" w:cs="Arial"/>
          <w:color w:val="000000"/>
          <w:sz w:val="24"/>
          <w:szCs w:val="24"/>
        </w:rPr>
      </w:pPr>
      <w:r w:rsidRPr="00524935">
        <w:rPr>
          <w:rFonts w:ascii="Arial" w:eastAsia="Times New Roman" w:hAnsi="Arial" w:cs="Arial"/>
          <w:color w:val="000000"/>
          <w:sz w:val="24"/>
          <w:szCs w:val="24"/>
        </w:rPr>
        <w:t>transparency and accountability of public funds</w:t>
      </w:r>
    </w:p>
    <w:p w:rsidR="00564FB9" w:rsidRPr="00524935" w:rsidRDefault="000824C5" w:rsidP="009A0EC4">
      <w:pPr>
        <w:pStyle w:val="ListParagraph"/>
        <w:numPr>
          <w:ilvl w:val="0"/>
          <w:numId w:val="14"/>
        </w:numPr>
        <w:autoSpaceDE w:val="0"/>
        <w:autoSpaceDN w:val="0"/>
        <w:adjustRightInd w:val="0"/>
        <w:spacing w:before="120" w:after="240" w:line="360" w:lineRule="auto"/>
        <w:ind w:left="1417" w:hanging="425"/>
        <w:contextualSpacing w:val="0"/>
        <w:rPr>
          <w:rFonts w:ascii="Arial" w:eastAsia="Times New Roman" w:hAnsi="Arial" w:cs="Arial"/>
          <w:color w:val="000000"/>
          <w:sz w:val="24"/>
          <w:szCs w:val="24"/>
        </w:rPr>
      </w:pPr>
      <w:proofErr w:type="gramStart"/>
      <w:r w:rsidRPr="00524935">
        <w:rPr>
          <w:rFonts w:ascii="Arial" w:eastAsia="Times New Roman" w:hAnsi="Arial" w:cs="Arial"/>
          <w:color w:val="000000"/>
          <w:sz w:val="24"/>
          <w:szCs w:val="24"/>
        </w:rPr>
        <w:t>appropriate</w:t>
      </w:r>
      <w:proofErr w:type="gramEnd"/>
      <w:r w:rsidRPr="00524935">
        <w:rPr>
          <w:rFonts w:ascii="Arial" w:eastAsia="Times New Roman" w:hAnsi="Arial" w:cs="Arial"/>
          <w:color w:val="000000"/>
          <w:sz w:val="24"/>
          <w:szCs w:val="24"/>
        </w:rPr>
        <w:t xml:space="preserve"> powers of Ministerial direction or Government control.</w:t>
      </w:r>
      <w:r w:rsidR="00564FB9" w:rsidRPr="00524935">
        <w:rPr>
          <w:rStyle w:val="FootnoteReference"/>
          <w:rFonts w:ascii="Arial" w:eastAsia="Times New Roman" w:hAnsi="Arial" w:cs="Arial"/>
          <w:color w:val="000000"/>
          <w:sz w:val="24"/>
          <w:szCs w:val="24"/>
        </w:rPr>
        <w:footnoteReference w:id="5"/>
      </w:r>
    </w:p>
    <w:p w:rsidR="00564FB9" w:rsidRPr="00524935" w:rsidRDefault="000824C5"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The review commenced on 3 December 2013 and the final report was submitted on 17</w:t>
      </w:r>
      <w:r w:rsidR="00391B3B" w:rsidRPr="00524935">
        <w:rPr>
          <w:rFonts w:ascii="Arial" w:hAnsi="Arial" w:cs="Arial"/>
          <w:sz w:val="24"/>
          <w:szCs w:val="24"/>
        </w:rPr>
        <w:t> </w:t>
      </w:r>
      <w:r w:rsidRPr="00524935">
        <w:rPr>
          <w:rFonts w:ascii="Arial" w:hAnsi="Arial" w:cs="Arial"/>
          <w:sz w:val="24"/>
          <w:szCs w:val="24"/>
        </w:rPr>
        <w:t>February 2014.</w:t>
      </w:r>
      <w:r w:rsidR="00564FB9" w:rsidRPr="00524935">
        <w:rPr>
          <w:rFonts w:ascii="Arial" w:hAnsi="Arial" w:cs="Arial"/>
          <w:sz w:val="24"/>
          <w:szCs w:val="24"/>
        </w:rPr>
        <w:t xml:space="preserve"> </w:t>
      </w:r>
      <w:r w:rsidR="009A0EC4">
        <w:rPr>
          <w:rFonts w:ascii="Arial" w:hAnsi="Arial" w:cs="Arial"/>
          <w:sz w:val="24"/>
          <w:szCs w:val="24"/>
        </w:rPr>
        <w:t xml:space="preserve"> </w:t>
      </w:r>
      <w:r w:rsidR="00564FB9" w:rsidRPr="00524935">
        <w:rPr>
          <w:rFonts w:ascii="Arial" w:hAnsi="Arial" w:cs="Arial"/>
          <w:sz w:val="24"/>
          <w:szCs w:val="24"/>
        </w:rPr>
        <w:t xml:space="preserve">The Minister publicly released the report on 4 May 2014. </w:t>
      </w:r>
      <w:r w:rsidR="009A0EC4">
        <w:rPr>
          <w:rFonts w:ascii="Arial" w:hAnsi="Arial" w:cs="Arial"/>
          <w:sz w:val="24"/>
          <w:szCs w:val="24"/>
        </w:rPr>
        <w:t xml:space="preserve"> </w:t>
      </w:r>
      <w:r w:rsidR="00A671AE">
        <w:rPr>
          <w:rFonts w:ascii="Arial" w:hAnsi="Arial" w:cs="Arial"/>
          <w:sz w:val="24"/>
          <w:szCs w:val="24"/>
        </w:rPr>
        <w:t>While the</w:t>
      </w:r>
      <w:r w:rsidR="00564FB9" w:rsidRPr="00524935">
        <w:rPr>
          <w:rFonts w:ascii="Arial" w:hAnsi="Arial" w:cs="Arial"/>
          <w:sz w:val="24"/>
          <w:szCs w:val="24"/>
        </w:rPr>
        <w:t xml:space="preserve"> report recommended that the ILC and IBA remain separate organisations, the Government’s Commission of Audit report released on 3 May 2014 recommended a merger of the two agencies. </w:t>
      </w:r>
      <w:r w:rsidR="00A671AE">
        <w:rPr>
          <w:rFonts w:ascii="Arial" w:hAnsi="Arial" w:cs="Arial"/>
          <w:sz w:val="24"/>
          <w:szCs w:val="24"/>
        </w:rPr>
        <w:t xml:space="preserve"> </w:t>
      </w:r>
      <w:r w:rsidR="00564FB9" w:rsidRPr="00524935">
        <w:rPr>
          <w:rFonts w:ascii="Arial" w:hAnsi="Arial" w:cs="Arial"/>
          <w:sz w:val="24"/>
          <w:szCs w:val="24"/>
        </w:rPr>
        <w:t>The Government has not yet indicated if it will be acting on the recommendations of either report.</w:t>
      </w:r>
    </w:p>
    <w:p w:rsidR="00B602A5" w:rsidRDefault="0085794E" w:rsidP="00706400">
      <w:pPr>
        <w:pStyle w:val="Heading3"/>
        <w:keepNext/>
      </w:pPr>
      <w:r>
        <w:t>Ernst &amp;</w:t>
      </w:r>
      <w:r w:rsidR="00B602A5">
        <w:t xml:space="preserve"> Young report</w:t>
      </w:r>
    </w:p>
    <w:p w:rsidR="00564FB9" w:rsidRPr="00524935" w:rsidRDefault="00564FB9" w:rsidP="009A0EC4">
      <w:pPr>
        <w:pStyle w:val="ListParagraph"/>
        <w:numPr>
          <w:ilvl w:val="0"/>
          <w:numId w:val="10"/>
        </w:numPr>
        <w:spacing w:before="120" w:after="120" w:line="360" w:lineRule="auto"/>
        <w:ind w:left="567" w:hanging="567"/>
        <w:contextualSpacing w:val="0"/>
        <w:rPr>
          <w:rFonts w:ascii="Arial" w:hAnsi="Arial" w:cs="Arial"/>
          <w:sz w:val="24"/>
          <w:szCs w:val="24"/>
        </w:rPr>
      </w:pPr>
      <w:r w:rsidRPr="00524935">
        <w:rPr>
          <w:rFonts w:ascii="Arial" w:hAnsi="Arial" w:cs="Arial"/>
          <w:sz w:val="24"/>
          <w:szCs w:val="24"/>
        </w:rPr>
        <w:t xml:space="preserve">In </w:t>
      </w:r>
      <w:r w:rsidR="00A671AE">
        <w:rPr>
          <w:rFonts w:ascii="Arial" w:hAnsi="Arial" w:cs="Arial"/>
          <w:sz w:val="24"/>
          <w:szCs w:val="24"/>
        </w:rPr>
        <w:t>their</w:t>
      </w:r>
      <w:r w:rsidRPr="00524935">
        <w:rPr>
          <w:rFonts w:ascii="Arial" w:hAnsi="Arial" w:cs="Arial"/>
          <w:sz w:val="24"/>
          <w:szCs w:val="24"/>
        </w:rPr>
        <w:t xml:space="preserve"> </w:t>
      </w:r>
      <w:r w:rsidR="007E7733">
        <w:rPr>
          <w:rFonts w:ascii="Arial" w:hAnsi="Arial" w:cs="Arial"/>
          <w:sz w:val="24"/>
          <w:szCs w:val="24"/>
        </w:rPr>
        <w:t>r</w:t>
      </w:r>
      <w:r w:rsidRPr="00524935">
        <w:rPr>
          <w:rFonts w:ascii="Arial" w:hAnsi="Arial" w:cs="Arial"/>
          <w:sz w:val="24"/>
          <w:szCs w:val="24"/>
        </w:rPr>
        <w:t>eport</w:t>
      </w:r>
      <w:r w:rsidR="007E7733">
        <w:rPr>
          <w:rFonts w:ascii="Arial" w:hAnsi="Arial" w:cs="Arial"/>
          <w:sz w:val="24"/>
          <w:szCs w:val="24"/>
        </w:rPr>
        <w:t>,</w:t>
      </w:r>
      <w:r w:rsidR="0085794E">
        <w:rPr>
          <w:rFonts w:ascii="Arial" w:hAnsi="Arial" w:cs="Arial"/>
          <w:sz w:val="24"/>
          <w:szCs w:val="24"/>
        </w:rPr>
        <w:t xml:space="preserve"> Ernst &amp;</w:t>
      </w:r>
      <w:r w:rsidRPr="00524935">
        <w:rPr>
          <w:rFonts w:ascii="Arial" w:hAnsi="Arial" w:cs="Arial"/>
          <w:sz w:val="24"/>
          <w:szCs w:val="24"/>
        </w:rPr>
        <w:t xml:space="preserve"> Young discussed the history behind the </w:t>
      </w:r>
      <w:r w:rsidR="00AF05F7" w:rsidRPr="00524935">
        <w:rPr>
          <w:rFonts w:ascii="Arial" w:hAnsi="Arial" w:cs="Arial"/>
          <w:sz w:val="24"/>
          <w:szCs w:val="24"/>
        </w:rPr>
        <w:t>establishment</w:t>
      </w:r>
      <w:r w:rsidRPr="00524935">
        <w:rPr>
          <w:rFonts w:ascii="Arial" w:hAnsi="Arial" w:cs="Arial"/>
          <w:sz w:val="24"/>
          <w:szCs w:val="24"/>
        </w:rPr>
        <w:t xml:space="preserve"> of the Land Account</w:t>
      </w:r>
      <w:r w:rsidR="00AF05F7" w:rsidRPr="00524935">
        <w:rPr>
          <w:rFonts w:ascii="Arial" w:hAnsi="Arial" w:cs="Arial"/>
          <w:sz w:val="24"/>
          <w:szCs w:val="24"/>
        </w:rPr>
        <w:t xml:space="preserve"> and the Indigenous Land Corporation</w:t>
      </w:r>
      <w:r w:rsidRPr="00524935">
        <w:rPr>
          <w:rFonts w:ascii="Arial" w:hAnsi="Arial" w:cs="Arial"/>
          <w:sz w:val="24"/>
          <w:szCs w:val="24"/>
        </w:rPr>
        <w:t xml:space="preserve"> in these</w:t>
      </w:r>
      <w:r w:rsidR="00AF05F7" w:rsidRPr="00524935">
        <w:rPr>
          <w:rFonts w:ascii="Arial" w:hAnsi="Arial" w:cs="Arial"/>
          <w:sz w:val="24"/>
          <w:szCs w:val="24"/>
        </w:rPr>
        <w:t xml:space="preserve"> </w:t>
      </w:r>
      <w:r w:rsidRPr="00524935">
        <w:rPr>
          <w:rFonts w:ascii="Arial" w:hAnsi="Arial" w:cs="Arial"/>
          <w:sz w:val="24"/>
          <w:szCs w:val="24"/>
        </w:rPr>
        <w:t>terms:</w:t>
      </w:r>
    </w:p>
    <w:p w:rsidR="00564FB9" w:rsidRPr="009A0EC4" w:rsidRDefault="00564FB9" w:rsidP="009A0EC4">
      <w:pPr>
        <w:autoSpaceDE w:val="0"/>
        <w:autoSpaceDN w:val="0"/>
        <w:adjustRightInd w:val="0"/>
        <w:spacing w:before="120" w:after="240" w:line="240" w:lineRule="auto"/>
        <w:ind w:left="1134" w:right="708"/>
        <w:rPr>
          <w:rFonts w:ascii="Arial" w:hAnsi="Arial" w:cs="Arial"/>
        </w:rPr>
      </w:pPr>
      <w:r w:rsidRPr="009A0EC4">
        <w:rPr>
          <w:rFonts w:ascii="Arial" w:eastAsia="Times New Roman" w:hAnsi="Arial" w:cs="Arial"/>
          <w:color w:val="000000"/>
        </w:rPr>
        <w:t>Many stakeholders were equally clear that the matter of compensation</w:t>
      </w:r>
      <w:r w:rsidR="00423477" w:rsidRPr="009A0EC4">
        <w:rPr>
          <w:rFonts w:ascii="Arial" w:eastAsia="Times New Roman" w:hAnsi="Arial" w:cs="Arial"/>
          <w:color w:val="000000"/>
        </w:rPr>
        <w:t xml:space="preserve"> </w:t>
      </w:r>
      <w:r w:rsidRPr="009A0EC4">
        <w:rPr>
          <w:rFonts w:ascii="Arial" w:eastAsia="Times New Roman" w:hAnsi="Arial" w:cs="Arial"/>
          <w:color w:val="000000"/>
        </w:rPr>
        <w:t xml:space="preserve">for the dispossession of land remains fundamental. </w:t>
      </w:r>
      <w:r w:rsidR="00A671AE">
        <w:rPr>
          <w:rFonts w:ascii="Arial" w:eastAsia="Times New Roman" w:hAnsi="Arial" w:cs="Arial"/>
          <w:color w:val="000000"/>
        </w:rPr>
        <w:t xml:space="preserve"> </w:t>
      </w:r>
      <w:r w:rsidRPr="009A0EC4">
        <w:rPr>
          <w:rFonts w:ascii="Arial" w:eastAsia="Times New Roman" w:hAnsi="Arial" w:cs="Arial"/>
          <w:color w:val="000000"/>
        </w:rPr>
        <w:t>We have referred to</w:t>
      </w:r>
      <w:r w:rsidR="00423477" w:rsidRPr="009A0EC4">
        <w:rPr>
          <w:rFonts w:ascii="Arial" w:eastAsia="Times New Roman" w:hAnsi="Arial" w:cs="Arial"/>
          <w:color w:val="000000"/>
        </w:rPr>
        <w:t xml:space="preserve"> </w:t>
      </w:r>
      <w:r w:rsidRPr="009A0EC4">
        <w:rPr>
          <w:rFonts w:ascii="Arial" w:eastAsia="Times New Roman" w:hAnsi="Arial" w:cs="Arial"/>
          <w:color w:val="000000"/>
        </w:rPr>
        <w:t>this phenomenon as “honouring the land promise”.</w:t>
      </w:r>
      <w:r w:rsidR="00423477" w:rsidRPr="009A0EC4">
        <w:rPr>
          <w:rFonts w:ascii="Arial" w:eastAsia="Times New Roman" w:hAnsi="Arial" w:cs="Arial"/>
          <w:color w:val="000000"/>
        </w:rPr>
        <w:t xml:space="preserve"> </w:t>
      </w:r>
      <w:r w:rsidR="00A671AE">
        <w:rPr>
          <w:rFonts w:ascii="Arial" w:eastAsia="Times New Roman" w:hAnsi="Arial" w:cs="Arial"/>
          <w:color w:val="000000"/>
        </w:rPr>
        <w:t xml:space="preserve"> </w:t>
      </w:r>
      <w:r w:rsidRPr="009A0EC4">
        <w:rPr>
          <w:rFonts w:ascii="Arial" w:eastAsia="Times New Roman" w:hAnsi="Arial" w:cs="Arial"/>
          <w:color w:val="000000"/>
        </w:rPr>
        <w:t>The “land promise” reflects the establishment of the Aboriginal and</w:t>
      </w:r>
      <w:r w:rsidR="00423477" w:rsidRPr="009A0EC4">
        <w:rPr>
          <w:rFonts w:ascii="Arial" w:eastAsia="Times New Roman" w:hAnsi="Arial" w:cs="Arial"/>
          <w:color w:val="000000"/>
        </w:rPr>
        <w:t xml:space="preserve"> </w:t>
      </w:r>
      <w:r w:rsidRPr="009A0EC4">
        <w:rPr>
          <w:rFonts w:ascii="Arial" w:eastAsia="Times New Roman" w:hAnsi="Arial" w:cs="Arial"/>
          <w:color w:val="000000"/>
        </w:rPr>
        <w:t>Torres Strait Islander Land Account (the Land Account) to provide a</w:t>
      </w:r>
      <w:r w:rsidR="00AF05F7" w:rsidRPr="009A0EC4">
        <w:rPr>
          <w:rFonts w:ascii="Arial" w:eastAsia="Times New Roman" w:hAnsi="Arial" w:cs="Arial"/>
          <w:color w:val="000000"/>
        </w:rPr>
        <w:t xml:space="preserve"> </w:t>
      </w:r>
      <w:r w:rsidRPr="009A0EC4">
        <w:rPr>
          <w:rFonts w:ascii="Arial" w:eastAsia="Times New Roman" w:hAnsi="Arial" w:cs="Arial"/>
          <w:color w:val="000000"/>
        </w:rPr>
        <w:t>secure income to the ILC.</w:t>
      </w:r>
      <w:r w:rsidR="00A671AE">
        <w:rPr>
          <w:rFonts w:ascii="Arial" w:eastAsia="Times New Roman" w:hAnsi="Arial" w:cs="Arial"/>
          <w:color w:val="000000"/>
        </w:rPr>
        <w:t xml:space="preserve"> </w:t>
      </w:r>
      <w:r w:rsidRPr="009A0EC4">
        <w:rPr>
          <w:rFonts w:ascii="Arial" w:eastAsia="Times New Roman" w:hAnsi="Arial" w:cs="Arial"/>
          <w:color w:val="000000"/>
        </w:rPr>
        <w:t xml:space="preserve"> In effect the ILC was the culmination of</w:t>
      </w:r>
      <w:r w:rsidR="00423477" w:rsidRPr="009A0EC4">
        <w:rPr>
          <w:rFonts w:ascii="Arial" w:eastAsia="Times New Roman" w:hAnsi="Arial" w:cs="Arial"/>
          <w:color w:val="000000"/>
        </w:rPr>
        <w:t xml:space="preserve"> </w:t>
      </w:r>
      <w:r w:rsidRPr="009A0EC4">
        <w:rPr>
          <w:rFonts w:ascii="Arial" w:eastAsia="Times New Roman" w:hAnsi="Arial" w:cs="Arial"/>
          <w:color w:val="000000"/>
        </w:rPr>
        <w:t>decades of action by Indigenous Australians to seek recognition to</w:t>
      </w:r>
      <w:r w:rsidR="00423477" w:rsidRPr="009A0EC4">
        <w:rPr>
          <w:rFonts w:ascii="Arial" w:eastAsia="Times New Roman" w:hAnsi="Arial" w:cs="Arial"/>
          <w:color w:val="000000"/>
        </w:rPr>
        <w:t xml:space="preserve"> </w:t>
      </w:r>
      <w:r w:rsidRPr="009A0EC4">
        <w:rPr>
          <w:rFonts w:ascii="Arial" w:eastAsia="Times New Roman" w:hAnsi="Arial" w:cs="Arial"/>
          <w:color w:val="000000"/>
        </w:rPr>
        <w:t xml:space="preserve">address their dispossession from traditional lands and seas. </w:t>
      </w:r>
      <w:r w:rsidR="00A671AE">
        <w:rPr>
          <w:rFonts w:ascii="Arial" w:eastAsia="Times New Roman" w:hAnsi="Arial" w:cs="Arial"/>
          <w:color w:val="000000"/>
        </w:rPr>
        <w:t xml:space="preserve"> </w:t>
      </w:r>
      <w:r w:rsidRPr="009A0EC4">
        <w:rPr>
          <w:rFonts w:ascii="Arial" w:eastAsia="Times New Roman" w:hAnsi="Arial" w:cs="Arial"/>
          <w:color w:val="000000"/>
        </w:rPr>
        <w:t>The most</w:t>
      </w:r>
      <w:r w:rsidR="00423477" w:rsidRPr="009A0EC4">
        <w:rPr>
          <w:rFonts w:ascii="Arial" w:eastAsia="Times New Roman" w:hAnsi="Arial" w:cs="Arial"/>
          <w:color w:val="000000"/>
        </w:rPr>
        <w:t xml:space="preserve"> </w:t>
      </w:r>
      <w:r w:rsidRPr="009A0EC4">
        <w:rPr>
          <w:rFonts w:ascii="Arial" w:eastAsia="Times New Roman" w:hAnsi="Arial" w:cs="Arial"/>
          <w:color w:val="000000"/>
        </w:rPr>
        <w:t xml:space="preserve">significant and high profile achievement was the </w:t>
      </w:r>
      <w:proofErr w:type="spellStart"/>
      <w:r w:rsidRPr="009A0EC4">
        <w:rPr>
          <w:rFonts w:ascii="Arial" w:eastAsia="Times New Roman" w:hAnsi="Arial" w:cs="Arial"/>
          <w:color w:val="000000"/>
        </w:rPr>
        <w:lastRenderedPageBreak/>
        <w:t>Mabo</w:t>
      </w:r>
      <w:proofErr w:type="spellEnd"/>
      <w:r w:rsidRPr="009A0EC4">
        <w:rPr>
          <w:rFonts w:ascii="Arial" w:eastAsia="Times New Roman" w:hAnsi="Arial" w:cs="Arial"/>
          <w:color w:val="000000"/>
        </w:rPr>
        <w:t xml:space="preserve"> decision</w:t>
      </w:r>
      <w:r w:rsidR="00423477" w:rsidRPr="009A0EC4">
        <w:rPr>
          <w:rFonts w:ascii="Arial" w:eastAsia="Times New Roman" w:hAnsi="Arial" w:cs="Arial"/>
          <w:color w:val="000000"/>
        </w:rPr>
        <w:t xml:space="preserve"> </w:t>
      </w:r>
      <w:r w:rsidRPr="009A0EC4">
        <w:rPr>
          <w:rFonts w:ascii="Arial" w:eastAsia="Times New Roman" w:hAnsi="Arial" w:cs="Arial"/>
          <w:color w:val="000000"/>
        </w:rPr>
        <w:t>when</w:t>
      </w:r>
      <w:r w:rsidR="00423477" w:rsidRPr="009A0EC4">
        <w:rPr>
          <w:rFonts w:ascii="Arial" w:eastAsia="Times New Roman" w:hAnsi="Arial" w:cs="Arial"/>
          <w:color w:val="000000"/>
        </w:rPr>
        <w:t xml:space="preserve"> </w:t>
      </w:r>
      <w:r w:rsidRPr="009A0EC4">
        <w:rPr>
          <w:rFonts w:ascii="Arial" w:eastAsia="Times New Roman" w:hAnsi="Arial" w:cs="Arial"/>
          <w:color w:val="000000"/>
        </w:rPr>
        <w:t>the High Court of Australia recognised common law native title for the</w:t>
      </w:r>
      <w:r w:rsidR="00423477" w:rsidRPr="009A0EC4">
        <w:rPr>
          <w:rFonts w:ascii="Arial" w:eastAsia="Times New Roman" w:hAnsi="Arial" w:cs="Arial"/>
          <w:color w:val="000000"/>
        </w:rPr>
        <w:t xml:space="preserve"> </w:t>
      </w:r>
      <w:r w:rsidRPr="009A0EC4">
        <w:rPr>
          <w:rFonts w:ascii="Arial" w:eastAsia="Times New Roman" w:hAnsi="Arial" w:cs="Arial"/>
          <w:color w:val="000000"/>
        </w:rPr>
        <w:t>first time.</w:t>
      </w:r>
      <w:r w:rsidR="00423477" w:rsidRPr="009A0EC4">
        <w:rPr>
          <w:rFonts w:ascii="Arial" w:eastAsia="Times New Roman" w:hAnsi="Arial" w:cs="Arial"/>
          <w:color w:val="000000"/>
        </w:rPr>
        <w:t xml:space="preserve"> </w:t>
      </w:r>
      <w:r w:rsidR="00A671AE">
        <w:rPr>
          <w:rFonts w:ascii="Arial" w:eastAsia="Times New Roman" w:hAnsi="Arial" w:cs="Arial"/>
          <w:color w:val="000000"/>
        </w:rPr>
        <w:t xml:space="preserve"> </w:t>
      </w:r>
      <w:r w:rsidRPr="009A0EC4">
        <w:rPr>
          <w:rFonts w:ascii="Arial" w:eastAsia="Times New Roman" w:hAnsi="Arial" w:cs="Arial"/>
          <w:color w:val="000000"/>
        </w:rPr>
        <w:t>There were many consequences arising from this decision, and three</w:t>
      </w:r>
      <w:r w:rsidR="00423477" w:rsidRPr="009A0EC4">
        <w:rPr>
          <w:rFonts w:ascii="Arial" w:eastAsia="Times New Roman" w:hAnsi="Arial" w:cs="Arial"/>
          <w:color w:val="000000"/>
        </w:rPr>
        <w:t xml:space="preserve"> </w:t>
      </w:r>
      <w:r w:rsidRPr="009A0EC4">
        <w:rPr>
          <w:rFonts w:ascii="Arial" w:eastAsia="Times New Roman" w:hAnsi="Arial" w:cs="Arial"/>
          <w:color w:val="000000"/>
        </w:rPr>
        <w:t>commitments made by the Keating Government: “to enact native title</w:t>
      </w:r>
      <w:r w:rsidR="00423477" w:rsidRPr="009A0EC4">
        <w:rPr>
          <w:rFonts w:ascii="Arial" w:eastAsia="Times New Roman" w:hAnsi="Arial" w:cs="Arial"/>
          <w:color w:val="000000"/>
        </w:rPr>
        <w:t xml:space="preserve"> </w:t>
      </w:r>
      <w:r w:rsidRPr="009A0EC4">
        <w:rPr>
          <w:rFonts w:ascii="Arial" w:eastAsia="Times New Roman" w:hAnsi="Arial" w:cs="Arial"/>
          <w:color w:val="000000"/>
        </w:rPr>
        <w:t>legislation, to establish a land fund for Aboriginal and Torres Strait</w:t>
      </w:r>
      <w:r w:rsidR="00423477" w:rsidRPr="009A0EC4">
        <w:rPr>
          <w:rFonts w:ascii="Arial" w:eastAsia="Times New Roman" w:hAnsi="Arial" w:cs="Arial"/>
          <w:color w:val="000000"/>
        </w:rPr>
        <w:t xml:space="preserve"> </w:t>
      </w:r>
      <w:r w:rsidRPr="009A0EC4">
        <w:rPr>
          <w:rFonts w:ascii="Arial" w:eastAsia="Times New Roman" w:hAnsi="Arial" w:cs="Arial"/>
          <w:color w:val="000000"/>
        </w:rPr>
        <w:t>Islander people whose native title had been extinguished and a social</w:t>
      </w:r>
      <w:r w:rsidR="00423477" w:rsidRPr="009A0EC4">
        <w:rPr>
          <w:rFonts w:ascii="Arial" w:eastAsia="Times New Roman" w:hAnsi="Arial" w:cs="Arial"/>
          <w:color w:val="000000"/>
        </w:rPr>
        <w:t xml:space="preserve"> </w:t>
      </w:r>
      <w:r w:rsidRPr="009A0EC4">
        <w:rPr>
          <w:rFonts w:ascii="Arial" w:eastAsia="Times New Roman" w:hAnsi="Arial" w:cs="Arial"/>
          <w:color w:val="000000"/>
        </w:rPr>
        <w:t xml:space="preserve">justice package.” </w:t>
      </w:r>
      <w:r w:rsidR="00A671AE">
        <w:rPr>
          <w:rFonts w:ascii="Arial" w:eastAsia="Times New Roman" w:hAnsi="Arial" w:cs="Arial"/>
          <w:color w:val="000000"/>
        </w:rPr>
        <w:t xml:space="preserve"> </w:t>
      </w:r>
      <w:r w:rsidRPr="009A0EC4">
        <w:rPr>
          <w:rFonts w:ascii="Arial" w:eastAsia="Times New Roman" w:hAnsi="Arial" w:cs="Arial"/>
          <w:color w:val="000000"/>
        </w:rPr>
        <w:t>The native title legislation was enacted, the ILC and</w:t>
      </w:r>
      <w:r w:rsidR="00423477" w:rsidRPr="009A0EC4">
        <w:rPr>
          <w:rFonts w:ascii="Arial" w:eastAsia="Times New Roman" w:hAnsi="Arial" w:cs="Arial"/>
          <w:color w:val="000000"/>
        </w:rPr>
        <w:t xml:space="preserve"> </w:t>
      </w:r>
      <w:r w:rsidRPr="009A0EC4">
        <w:rPr>
          <w:rFonts w:ascii="Arial" w:eastAsia="Times New Roman" w:hAnsi="Arial" w:cs="Arial"/>
          <w:color w:val="000000"/>
        </w:rPr>
        <w:t>the land account established but while the features of a social justice</w:t>
      </w:r>
      <w:r w:rsidR="00423477" w:rsidRPr="009A0EC4">
        <w:rPr>
          <w:rFonts w:ascii="Arial" w:eastAsia="Times New Roman" w:hAnsi="Arial" w:cs="Arial"/>
          <w:color w:val="000000"/>
        </w:rPr>
        <w:t xml:space="preserve"> </w:t>
      </w:r>
      <w:r w:rsidRPr="009A0EC4">
        <w:rPr>
          <w:rFonts w:ascii="Arial" w:eastAsia="Times New Roman" w:hAnsi="Arial" w:cs="Arial"/>
          <w:color w:val="000000"/>
        </w:rPr>
        <w:t>package were identified these were never enacted formally.</w:t>
      </w:r>
      <w:r w:rsidR="00423477" w:rsidRPr="009A0EC4">
        <w:rPr>
          <w:rFonts w:ascii="Arial" w:eastAsia="Times New Roman" w:hAnsi="Arial" w:cs="Arial"/>
          <w:color w:val="000000"/>
        </w:rPr>
        <w:t xml:space="preserve"> </w:t>
      </w:r>
      <w:r w:rsidR="00A671AE">
        <w:rPr>
          <w:rFonts w:ascii="Arial" w:eastAsia="Times New Roman" w:hAnsi="Arial" w:cs="Arial"/>
          <w:color w:val="000000"/>
        </w:rPr>
        <w:t xml:space="preserve"> </w:t>
      </w:r>
      <w:r w:rsidRPr="009A0EC4">
        <w:rPr>
          <w:rFonts w:ascii="Arial" w:eastAsia="Times New Roman" w:hAnsi="Arial" w:cs="Arial"/>
          <w:color w:val="000000"/>
        </w:rPr>
        <w:t>Seen in this context the “land promise” is more than a fund but a</w:t>
      </w:r>
      <w:r w:rsidR="00423477" w:rsidRPr="009A0EC4">
        <w:rPr>
          <w:rFonts w:ascii="Arial" w:eastAsia="Times New Roman" w:hAnsi="Arial" w:cs="Arial"/>
          <w:color w:val="000000"/>
        </w:rPr>
        <w:t xml:space="preserve"> </w:t>
      </w:r>
      <w:r w:rsidRPr="009A0EC4">
        <w:rPr>
          <w:rFonts w:ascii="Arial" w:eastAsia="Times New Roman" w:hAnsi="Arial" w:cs="Arial"/>
          <w:color w:val="000000"/>
        </w:rPr>
        <w:t>marker in the history of recognition and land rights for Indigenous</w:t>
      </w:r>
      <w:r w:rsidR="00423477" w:rsidRPr="009A0EC4">
        <w:rPr>
          <w:rFonts w:ascii="Arial" w:eastAsia="Times New Roman" w:hAnsi="Arial" w:cs="Arial"/>
          <w:color w:val="000000"/>
        </w:rPr>
        <w:t xml:space="preserve"> </w:t>
      </w:r>
      <w:r w:rsidRPr="009A0EC4">
        <w:rPr>
          <w:rFonts w:ascii="Arial" w:eastAsia="Times New Roman" w:hAnsi="Arial" w:cs="Arial"/>
          <w:color w:val="000000"/>
        </w:rPr>
        <w:t>Australians.</w:t>
      </w:r>
      <w:r w:rsidR="00423477" w:rsidRPr="009A0EC4">
        <w:rPr>
          <w:rFonts w:ascii="Arial" w:eastAsia="Times New Roman" w:hAnsi="Arial" w:cs="Arial"/>
          <w:color w:val="000000"/>
        </w:rPr>
        <w:t xml:space="preserve"> </w:t>
      </w:r>
      <w:r w:rsidR="00AF05F7" w:rsidRPr="009A0EC4">
        <w:rPr>
          <w:rStyle w:val="FootnoteReference"/>
          <w:rFonts w:ascii="Arial" w:eastAsia="Times New Roman" w:hAnsi="Arial" w:cs="Arial"/>
          <w:color w:val="000000"/>
        </w:rPr>
        <w:footnoteReference w:id="6"/>
      </w:r>
    </w:p>
    <w:p w:rsidR="00AF05F7" w:rsidRPr="009A0EC4" w:rsidRDefault="00AF05F7" w:rsidP="001F3E9F">
      <w:pPr>
        <w:pStyle w:val="ListParagraph"/>
        <w:numPr>
          <w:ilvl w:val="0"/>
          <w:numId w:val="10"/>
        </w:numPr>
        <w:spacing w:before="120" w:after="0" w:line="360" w:lineRule="auto"/>
        <w:ind w:left="567" w:hanging="567"/>
        <w:contextualSpacing w:val="0"/>
        <w:rPr>
          <w:rFonts w:ascii="Arial" w:hAnsi="Arial" w:cs="Arial"/>
          <w:sz w:val="24"/>
          <w:szCs w:val="24"/>
        </w:rPr>
      </w:pPr>
      <w:r w:rsidRPr="009A0EC4">
        <w:rPr>
          <w:rFonts w:ascii="Arial" w:hAnsi="Arial" w:cs="Arial"/>
          <w:sz w:val="24"/>
          <w:szCs w:val="24"/>
        </w:rPr>
        <w:t>Ernst and Young noted that:</w:t>
      </w:r>
    </w:p>
    <w:p w:rsidR="00AF05F7" w:rsidRPr="007E7733" w:rsidRDefault="00AF05F7" w:rsidP="001F3E9F">
      <w:pPr>
        <w:autoSpaceDE w:val="0"/>
        <w:autoSpaceDN w:val="0"/>
        <w:adjustRightInd w:val="0"/>
        <w:spacing w:after="240" w:line="240" w:lineRule="auto"/>
        <w:ind w:left="1134" w:right="709"/>
        <w:rPr>
          <w:rFonts w:ascii="Arial" w:eastAsia="Times New Roman" w:hAnsi="Arial" w:cs="Arial"/>
          <w:color w:val="000000"/>
        </w:rPr>
      </w:pPr>
      <w:r w:rsidRPr="007E7733">
        <w:rPr>
          <w:rFonts w:ascii="Arial" w:eastAsia="Times New Roman" w:hAnsi="Arial" w:cs="Arial"/>
          <w:color w:val="000000"/>
        </w:rPr>
        <w:t xml:space="preserve">The Land Account was established to provide a secure income in perpetuity to the ILC to provide economic, social, cultural and environmental benefits to Indigenous people by assisting in the acquisition and management of an Indigenous land base. </w:t>
      </w:r>
      <w:r w:rsidR="00A671AE">
        <w:rPr>
          <w:rFonts w:ascii="Arial" w:eastAsia="Times New Roman" w:hAnsi="Arial" w:cs="Arial"/>
          <w:color w:val="000000"/>
        </w:rPr>
        <w:t xml:space="preserve"> </w:t>
      </w:r>
      <w:r w:rsidRPr="007E7733">
        <w:rPr>
          <w:rFonts w:ascii="Arial" w:eastAsia="Times New Roman" w:hAnsi="Arial" w:cs="Arial"/>
          <w:color w:val="000000"/>
        </w:rPr>
        <w:t xml:space="preserve">We understand that there is no interest on the part of the Government to change the purpose of the Land Account or the ILC’s functions towards commercial activity. </w:t>
      </w:r>
      <w:r w:rsidR="00A671AE">
        <w:rPr>
          <w:rFonts w:ascii="Arial" w:eastAsia="Times New Roman" w:hAnsi="Arial" w:cs="Arial"/>
          <w:color w:val="000000"/>
        </w:rPr>
        <w:t xml:space="preserve"> </w:t>
      </w:r>
      <w:r w:rsidRPr="007E7733">
        <w:rPr>
          <w:rFonts w:ascii="Arial" w:eastAsia="Times New Roman" w:hAnsi="Arial" w:cs="Arial"/>
          <w:color w:val="000000"/>
        </w:rPr>
        <w:t>Instead we are clear that by virtue of the Land Account effectively being annexed from the review that its original intent remains intact and thus the Board of a new entity emerging from the ILC and IBA would be required to quarantine its commercially focused decisions from activities funded by the Land Account.</w:t>
      </w:r>
    </w:p>
    <w:p w:rsidR="00AF05F7" w:rsidRPr="00524935" w:rsidRDefault="00AF05F7" w:rsidP="00DD5DC1">
      <w:pPr>
        <w:pStyle w:val="ListParagraph"/>
        <w:numPr>
          <w:ilvl w:val="0"/>
          <w:numId w:val="10"/>
        </w:numPr>
        <w:spacing w:before="120" w:after="0" w:line="360" w:lineRule="auto"/>
        <w:ind w:left="567" w:hanging="567"/>
        <w:contextualSpacing w:val="0"/>
        <w:rPr>
          <w:rFonts w:ascii="Arial" w:eastAsia="Times New Roman" w:hAnsi="Arial" w:cs="Arial"/>
          <w:color w:val="000000"/>
          <w:sz w:val="24"/>
          <w:szCs w:val="24"/>
        </w:rPr>
      </w:pPr>
      <w:r w:rsidRPr="00524935">
        <w:rPr>
          <w:rFonts w:ascii="Arial" w:eastAsia="Times New Roman" w:hAnsi="Arial" w:cs="Arial"/>
          <w:color w:val="000000"/>
          <w:sz w:val="24"/>
          <w:szCs w:val="24"/>
        </w:rPr>
        <w:t xml:space="preserve">They </w:t>
      </w:r>
      <w:r w:rsidRPr="009A0EC4">
        <w:rPr>
          <w:rFonts w:ascii="Arial" w:hAnsi="Arial" w:cs="Arial"/>
          <w:sz w:val="24"/>
          <w:szCs w:val="24"/>
        </w:rPr>
        <w:t>also</w:t>
      </w:r>
      <w:r w:rsidRPr="00524935">
        <w:rPr>
          <w:rFonts w:ascii="Arial" w:eastAsia="Times New Roman" w:hAnsi="Arial" w:cs="Arial"/>
          <w:color w:val="000000"/>
          <w:sz w:val="24"/>
          <w:szCs w:val="24"/>
        </w:rPr>
        <w:t xml:space="preserve"> observed:</w:t>
      </w:r>
    </w:p>
    <w:p w:rsidR="00AF05F7" w:rsidRPr="007E7733" w:rsidRDefault="00545B83" w:rsidP="00DD5DC1">
      <w:pPr>
        <w:autoSpaceDE w:val="0"/>
        <w:autoSpaceDN w:val="0"/>
        <w:adjustRightInd w:val="0"/>
        <w:spacing w:after="240" w:line="240" w:lineRule="auto"/>
        <w:ind w:left="1134" w:right="709"/>
        <w:rPr>
          <w:rFonts w:ascii="Arial" w:eastAsia="Times New Roman" w:hAnsi="Arial" w:cs="Arial"/>
          <w:color w:val="000000"/>
        </w:rPr>
      </w:pPr>
      <w:r w:rsidRPr="007E7733">
        <w:rPr>
          <w:rFonts w:ascii="Arial" w:eastAsia="Times New Roman" w:hAnsi="Arial" w:cs="Arial"/>
          <w:color w:val="000000"/>
        </w:rPr>
        <w:t>T</w:t>
      </w:r>
      <w:r w:rsidR="00AF05F7" w:rsidRPr="007E7733">
        <w:rPr>
          <w:rFonts w:ascii="Arial" w:eastAsia="Times New Roman" w:hAnsi="Arial" w:cs="Arial"/>
          <w:color w:val="000000"/>
        </w:rPr>
        <w:t>he purpose of the ILC and IBA was a constant theme in</w:t>
      </w:r>
      <w:r w:rsidRPr="007E7733">
        <w:rPr>
          <w:rFonts w:ascii="Arial" w:eastAsia="Times New Roman" w:hAnsi="Arial" w:cs="Arial"/>
          <w:color w:val="000000"/>
        </w:rPr>
        <w:t xml:space="preserve"> submissions and during our </w:t>
      </w:r>
      <w:r w:rsidR="00AF05F7" w:rsidRPr="007E7733">
        <w:rPr>
          <w:rFonts w:ascii="Arial" w:eastAsia="Times New Roman" w:hAnsi="Arial" w:cs="Arial"/>
          <w:color w:val="000000"/>
        </w:rPr>
        <w:t>consultation and what emerges is a</w:t>
      </w:r>
      <w:r w:rsidRPr="007E7733">
        <w:rPr>
          <w:rFonts w:ascii="Arial" w:eastAsia="Times New Roman" w:hAnsi="Arial" w:cs="Arial"/>
          <w:color w:val="000000"/>
        </w:rPr>
        <w:t xml:space="preserve"> </w:t>
      </w:r>
      <w:r w:rsidR="00AF05F7" w:rsidRPr="007E7733">
        <w:rPr>
          <w:rFonts w:ascii="Arial" w:eastAsia="Times New Roman" w:hAnsi="Arial" w:cs="Arial"/>
          <w:color w:val="000000"/>
        </w:rPr>
        <w:t>consensus that the original mandates of the organisations require</w:t>
      </w:r>
      <w:r w:rsidRPr="007E7733">
        <w:rPr>
          <w:rFonts w:ascii="Arial" w:eastAsia="Times New Roman" w:hAnsi="Arial" w:cs="Arial"/>
          <w:color w:val="000000"/>
        </w:rPr>
        <w:t xml:space="preserve"> </w:t>
      </w:r>
      <w:r w:rsidR="00AF05F7" w:rsidRPr="007E7733">
        <w:rPr>
          <w:rFonts w:ascii="Arial" w:eastAsia="Times New Roman" w:hAnsi="Arial" w:cs="Arial"/>
          <w:color w:val="000000"/>
        </w:rPr>
        <w:t>refocusing and clarification because while at times the purpose and</w:t>
      </w:r>
      <w:r w:rsidRPr="007E7733">
        <w:rPr>
          <w:rFonts w:ascii="Arial" w:eastAsia="Times New Roman" w:hAnsi="Arial" w:cs="Arial"/>
          <w:color w:val="000000"/>
        </w:rPr>
        <w:t xml:space="preserve"> </w:t>
      </w:r>
      <w:r w:rsidR="00AF05F7" w:rsidRPr="007E7733">
        <w:rPr>
          <w:rFonts w:ascii="Arial" w:eastAsia="Times New Roman" w:hAnsi="Arial" w:cs="Arial"/>
          <w:color w:val="000000"/>
        </w:rPr>
        <w:t>functions of the ILC and IBA appeared to overlap, they remain, from our</w:t>
      </w:r>
      <w:r w:rsidRPr="007E7733">
        <w:rPr>
          <w:rFonts w:ascii="Arial" w:eastAsia="Times New Roman" w:hAnsi="Arial" w:cs="Arial"/>
          <w:color w:val="000000"/>
        </w:rPr>
        <w:t xml:space="preserve"> </w:t>
      </w:r>
      <w:r w:rsidR="00AF05F7" w:rsidRPr="007E7733">
        <w:rPr>
          <w:rFonts w:ascii="Arial" w:eastAsia="Times New Roman" w:hAnsi="Arial" w:cs="Arial"/>
          <w:color w:val="000000"/>
        </w:rPr>
        <w:t>observations, distinct in nature and scope.</w:t>
      </w:r>
    </w:p>
    <w:p w:rsidR="00C77944" w:rsidRDefault="00C77944" w:rsidP="00706400">
      <w:pPr>
        <w:pStyle w:val="Heading3"/>
      </w:pPr>
      <w:r>
        <w:t>Commission of Audit report</w:t>
      </w:r>
    </w:p>
    <w:p w:rsidR="00C77944" w:rsidRPr="00DD5DC1" w:rsidRDefault="00C77944"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DD5DC1">
        <w:rPr>
          <w:rFonts w:ascii="Arial" w:hAnsi="Arial" w:cs="Arial"/>
          <w:sz w:val="24"/>
          <w:szCs w:val="24"/>
        </w:rPr>
        <w:t>The</w:t>
      </w:r>
      <w:r w:rsidR="00310D9B" w:rsidRPr="00DD5DC1">
        <w:rPr>
          <w:rFonts w:ascii="Arial" w:hAnsi="Arial" w:cs="Arial"/>
          <w:sz w:val="24"/>
          <w:szCs w:val="24"/>
        </w:rPr>
        <w:t xml:space="preserve"> Government’s Commission of Audit report </w:t>
      </w:r>
      <w:r w:rsidRPr="00DD5DC1">
        <w:rPr>
          <w:rFonts w:ascii="Arial" w:hAnsi="Arial" w:cs="Arial"/>
          <w:sz w:val="24"/>
          <w:szCs w:val="24"/>
        </w:rPr>
        <w:t xml:space="preserve">was </w:t>
      </w:r>
      <w:r w:rsidR="00A671AE">
        <w:rPr>
          <w:rFonts w:ascii="Arial" w:hAnsi="Arial" w:cs="Arial"/>
          <w:sz w:val="24"/>
          <w:szCs w:val="24"/>
        </w:rPr>
        <w:t>released on 3 </w:t>
      </w:r>
      <w:r w:rsidR="00310D9B" w:rsidRPr="00DD5DC1">
        <w:rPr>
          <w:rFonts w:ascii="Arial" w:hAnsi="Arial" w:cs="Arial"/>
          <w:sz w:val="24"/>
          <w:szCs w:val="24"/>
        </w:rPr>
        <w:t xml:space="preserve">May 2014 </w:t>
      </w:r>
      <w:r w:rsidR="007E7733" w:rsidRPr="00DD5DC1">
        <w:rPr>
          <w:rFonts w:ascii="Arial" w:hAnsi="Arial" w:cs="Arial"/>
          <w:sz w:val="24"/>
          <w:szCs w:val="24"/>
        </w:rPr>
        <w:t xml:space="preserve">and </w:t>
      </w:r>
      <w:r w:rsidRPr="00DD5DC1">
        <w:rPr>
          <w:rFonts w:ascii="Arial" w:hAnsi="Arial" w:cs="Arial"/>
          <w:sz w:val="24"/>
          <w:szCs w:val="24"/>
        </w:rPr>
        <w:t xml:space="preserve">recommended that the ILC merge with Indigenous Business Australia </w:t>
      </w:r>
      <w:r w:rsidR="00DD5DC1">
        <w:rPr>
          <w:rFonts w:ascii="Arial" w:hAnsi="Arial" w:cs="Arial"/>
          <w:sz w:val="24"/>
          <w:szCs w:val="24"/>
        </w:rPr>
        <w:t xml:space="preserve">to </w:t>
      </w:r>
      <w:r w:rsidRPr="00DD5DC1">
        <w:rPr>
          <w:rFonts w:ascii="Arial" w:hAnsi="Arial" w:cs="Arial"/>
          <w:sz w:val="24"/>
          <w:szCs w:val="24"/>
        </w:rPr>
        <w:t xml:space="preserve">achieve efficiencies. </w:t>
      </w:r>
    </w:p>
    <w:p w:rsidR="00310D9B" w:rsidRPr="00DD5DC1" w:rsidRDefault="00EB254E" w:rsidP="009A0EC4">
      <w:pPr>
        <w:pStyle w:val="ListParagraph"/>
        <w:numPr>
          <w:ilvl w:val="0"/>
          <w:numId w:val="10"/>
        </w:numPr>
        <w:spacing w:before="120" w:after="240" w:line="360" w:lineRule="auto"/>
        <w:ind w:left="567" w:hanging="567"/>
        <w:contextualSpacing w:val="0"/>
        <w:rPr>
          <w:rFonts w:ascii="Arial" w:hAnsi="Arial" w:cs="Arial"/>
          <w:sz w:val="24"/>
          <w:szCs w:val="24"/>
        </w:rPr>
      </w:pPr>
      <w:r w:rsidRPr="00DD5DC1">
        <w:rPr>
          <w:rFonts w:ascii="Arial" w:hAnsi="Arial" w:cs="Arial"/>
          <w:sz w:val="24"/>
          <w:szCs w:val="24"/>
        </w:rPr>
        <w:t>The</w:t>
      </w:r>
      <w:r w:rsidR="00310D9B" w:rsidRPr="00DD5DC1">
        <w:rPr>
          <w:rFonts w:ascii="Arial" w:hAnsi="Arial" w:cs="Arial"/>
          <w:sz w:val="24"/>
          <w:szCs w:val="24"/>
        </w:rPr>
        <w:t xml:space="preserve"> </w:t>
      </w:r>
      <w:r w:rsidR="00C77944" w:rsidRPr="00DD5DC1">
        <w:rPr>
          <w:rFonts w:ascii="Arial" w:hAnsi="Arial" w:cs="Arial"/>
          <w:sz w:val="24"/>
          <w:szCs w:val="24"/>
        </w:rPr>
        <w:t xml:space="preserve">Anti-Discrimination </w:t>
      </w:r>
      <w:r w:rsidR="00310D9B" w:rsidRPr="00DD5DC1">
        <w:rPr>
          <w:rFonts w:ascii="Arial" w:hAnsi="Arial" w:cs="Arial"/>
          <w:sz w:val="24"/>
          <w:szCs w:val="24"/>
        </w:rPr>
        <w:t xml:space="preserve">Commission </w:t>
      </w:r>
      <w:r w:rsidR="00C77944" w:rsidRPr="00DD5DC1">
        <w:rPr>
          <w:rFonts w:ascii="Arial" w:hAnsi="Arial" w:cs="Arial"/>
          <w:sz w:val="24"/>
          <w:szCs w:val="24"/>
        </w:rPr>
        <w:t xml:space="preserve">Queensland </w:t>
      </w:r>
      <w:r w:rsidR="00310D9B" w:rsidRPr="00DD5DC1">
        <w:rPr>
          <w:rFonts w:ascii="Arial" w:hAnsi="Arial" w:cs="Arial"/>
          <w:sz w:val="24"/>
          <w:szCs w:val="24"/>
        </w:rPr>
        <w:t>is concerned that any new arrangement proposed for the ILC comes with a risk that funds from the Land Account will be diverted to non-land commercial purposes.</w:t>
      </w:r>
      <w:r w:rsidR="00DD5DC1">
        <w:rPr>
          <w:rFonts w:ascii="Arial" w:hAnsi="Arial" w:cs="Arial"/>
          <w:sz w:val="24"/>
          <w:szCs w:val="24"/>
        </w:rPr>
        <w:t xml:space="preserve"> </w:t>
      </w:r>
      <w:r w:rsidR="00310D9B" w:rsidRPr="00DD5DC1">
        <w:rPr>
          <w:rFonts w:ascii="Arial" w:hAnsi="Arial" w:cs="Arial"/>
          <w:sz w:val="24"/>
          <w:szCs w:val="24"/>
        </w:rPr>
        <w:t xml:space="preserve"> The </w:t>
      </w:r>
      <w:r w:rsidR="00310D9B" w:rsidRPr="00DD5DC1">
        <w:rPr>
          <w:rFonts w:ascii="Arial" w:hAnsi="Arial" w:cs="Arial"/>
          <w:sz w:val="24"/>
          <w:szCs w:val="24"/>
        </w:rPr>
        <w:lastRenderedPageBreak/>
        <w:t>beneficial owners of the Land Account are Aboriginal and Torres Strait Islander peop</w:t>
      </w:r>
      <w:r w:rsidRPr="00DD5DC1">
        <w:rPr>
          <w:rFonts w:ascii="Arial" w:hAnsi="Arial" w:cs="Arial"/>
          <w:sz w:val="24"/>
          <w:szCs w:val="24"/>
        </w:rPr>
        <w:t xml:space="preserve">les. </w:t>
      </w:r>
      <w:r w:rsidR="00DD5DC1">
        <w:rPr>
          <w:rFonts w:ascii="Arial" w:hAnsi="Arial" w:cs="Arial"/>
          <w:sz w:val="24"/>
          <w:szCs w:val="24"/>
        </w:rPr>
        <w:t xml:space="preserve"> </w:t>
      </w:r>
      <w:r w:rsidRPr="00DD5DC1">
        <w:rPr>
          <w:rFonts w:ascii="Arial" w:hAnsi="Arial" w:cs="Arial"/>
          <w:sz w:val="24"/>
          <w:szCs w:val="24"/>
        </w:rPr>
        <w:t xml:space="preserve">The intention of the </w:t>
      </w:r>
      <w:r w:rsidR="00310D9B" w:rsidRPr="00DD5DC1">
        <w:rPr>
          <w:rFonts w:ascii="Arial" w:hAnsi="Arial" w:cs="Arial"/>
          <w:sz w:val="24"/>
          <w:szCs w:val="24"/>
        </w:rPr>
        <w:t>legislation setting up the Land Account and the ILC was that the go</w:t>
      </w:r>
      <w:r w:rsidRPr="00DD5DC1">
        <w:rPr>
          <w:rFonts w:ascii="Arial" w:hAnsi="Arial" w:cs="Arial"/>
          <w:sz w:val="24"/>
          <w:szCs w:val="24"/>
        </w:rPr>
        <w:t>vernment of the day would</w:t>
      </w:r>
      <w:r w:rsidR="00310D9B" w:rsidRPr="00DD5DC1">
        <w:rPr>
          <w:rFonts w:ascii="Arial" w:hAnsi="Arial" w:cs="Arial"/>
          <w:sz w:val="24"/>
          <w:szCs w:val="24"/>
        </w:rPr>
        <w:t xml:space="preserve"> ensure Land Account funds were </w:t>
      </w:r>
      <w:r w:rsidR="007E7733" w:rsidRPr="00DD5DC1">
        <w:rPr>
          <w:rFonts w:ascii="Arial" w:hAnsi="Arial" w:cs="Arial"/>
          <w:sz w:val="24"/>
          <w:szCs w:val="24"/>
        </w:rPr>
        <w:t xml:space="preserve">used for their original purpose - </w:t>
      </w:r>
      <w:r w:rsidR="00310D9B" w:rsidRPr="00DD5DC1">
        <w:rPr>
          <w:rFonts w:ascii="Arial" w:hAnsi="Arial" w:cs="Arial"/>
          <w:sz w:val="24"/>
          <w:szCs w:val="24"/>
        </w:rPr>
        <w:t>to provide land acquisition and management assistance to Aboriginal and Torres Strait Islander peoples across Australia.</w:t>
      </w:r>
    </w:p>
    <w:p w:rsidR="00545B83" w:rsidRPr="00524935" w:rsidRDefault="00C77944" w:rsidP="00706400">
      <w:pPr>
        <w:pStyle w:val="Heading2"/>
        <w:rPr>
          <w:lang w:val="en"/>
        </w:rPr>
      </w:pPr>
      <w:r>
        <w:rPr>
          <w:lang w:val="en"/>
        </w:rPr>
        <w:t>The Stronger Land Account</w:t>
      </w:r>
      <w:r w:rsidR="00545B83" w:rsidRPr="00524935">
        <w:rPr>
          <w:lang w:val="en"/>
        </w:rPr>
        <w:t xml:space="preserve"> Bill 2014</w:t>
      </w:r>
    </w:p>
    <w:p w:rsidR="00C77944" w:rsidRPr="00DD5DC1" w:rsidRDefault="00545B83" w:rsidP="00DD5DC1">
      <w:pPr>
        <w:pStyle w:val="ListParagraph"/>
        <w:numPr>
          <w:ilvl w:val="0"/>
          <w:numId w:val="10"/>
        </w:numPr>
        <w:spacing w:before="120" w:after="240" w:line="360" w:lineRule="auto"/>
        <w:ind w:left="567" w:hanging="567"/>
        <w:contextualSpacing w:val="0"/>
        <w:rPr>
          <w:rFonts w:ascii="Arial" w:hAnsi="Arial" w:cs="Arial"/>
          <w:sz w:val="24"/>
          <w:szCs w:val="24"/>
        </w:rPr>
      </w:pPr>
      <w:r w:rsidRPr="00DD5DC1">
        <w:rPr>
          <w:rFonts w:ascii="Arial" w:hAnsi="Arial" w:cs="Arial"/>
          <w:sz w:val="24"/>
          <w:szCs w:val="24"/>
        </w:rPr>
        <w:t xml:space="preserve">Significant human rights issues </w:t>
      </w:r>
      <w:r w:rsidR="007E7733" w:rsidRPr="00DD5DC1">
        <w:rPr>
          <w:rFonts w:ascii="Arial" w:hAnsi="Arial" w:cs="Arial"/>
          <w:sz w:val="24"/>
          <w:szCs w:val="24"/>
        </w:rPr>
        <w:t xml:space="preserve">provided </w:t>
      </w:r>
      <w:r w:rsidRPr="00DD5DC1">
        <w:rPr>
          <w:rFonts w:ascii="Arial" w:hAnsi="Arial" w:cs="Arial"/>
          <w:sz w:val="24"/>
          <w:szCs w:val="24"/>
        </w:rPr>
        <w:t xml:space="preserve">the background to the negotiations that lead to the creation of the Indigenous Land Corporation and the establishment of the Land Account. </w:t>
      </w:r>
      <w:r w:rsidR="00A671AE">
        <w:rPr>
          <w:rFonts w:ascii="Arial" w:hAnsi="Arial" w:cs="Arial"/>
          <w:sz w:val="24"/>
          <w:szCs w:val="24"/>
        </w:rPr>
        <w:t xml:space="preserve"> </w:t>
      </w:r>
      <w:r w:rsidRPr="00DD5DC1">
        <w:rPr>
          <w:rFonts w:ascii="Arial" w:hAnsi="Arial" w:cs="Arial"/>
          <w:sz w:val="24"/>
          <w:szCs w:val="24"/>
        </w:rPr>
        <w:t xml:space="preserve">Unfortunately, in hindsight those background issues were not adequately reflected in the legislation that </w:t>
      </w:r>
      <w:r w:rsidR="00310D9B" w:rsidRPr="00DD5DC1">
        <w:rPr>
          <w:rFonts w:ascii="Arial" w:hAnsi="Arial" w:cs="Arial"/>
          <w:sz w:val="24"/>
          <w:szCs w:val="24"/>
        </w:rPr>
        <w:t xml:space="preserve">established these entities. </w:t>
      </w:r>
    </w:p>
    <w:p w:rsidR="00C77944" w:rsidRDefault="00C77944" w:rsidP="00E157FB">
      <w:pPr>
        <w:pStyle w:val="Heading3"/>
        <w:keepNext/>
      </w:pPr>
      <w:r>
        <w:t>Anti-Discrimination Commission Qld support for the Bill</w:t>
      </w:r>
    </w:p>
    <w:p w:rsidR="00600BFE" w:rsidRPr="00DD5DC1" w:rsidRDefault="00310D9B" w:rsidP="00DD5DC1">
      <w:pPr>
        <w:pStyle w:val="ListParagraph"/>
        <w:numPr>
          <w:ilvl w:val="0"/>
          <w:numId w:val="10"/>
        </w:numPr>
        <w:spacing w:before="120" w:after="240" w:line="360" w:lineRule="auto"/>
        <w:ind w:left="567" w:hanging="567"/>
        <w:contextualSpacing w:val="0"/>
        <w:rPr>
          <w:rFonts w:ascii="Arial" w:hAnsi="Arial" w:cs="Arial"/>
          <w:sz w:val="24"/>
          <w:szCs w:val="24"/>
        </w:rPr>
      </w:pPr>
      <w:r w:rsidRPr="00DD5DC1">
        <w:rPr>
          <w:rFonts w:ascii="Arial" w:hAnsi="Arial" w:cs="Arial"/>
          <w:sz w:val="24"/>
          <w:szCs w:val="24"/>
        </w:rPr>
        <w:t>What was apparent to the legislators at the time of their creation can be</w:t>
      </w:r>
      <w:r w:rsidR="00A671AE">
        <w:rPr>
          <w:rFonts w:ascii="Arial" w:hAnsi="Arial" w:cs="Arial"/>
          <w:sz w:val="24"/>
          <w:szCs w:val="24"/>
        </w:rPr>
        <w:t>come less clear with the efflux</w:t>
      </w:r>
      <w:r w:rsidRPr="00DD5DC1">
        <w:rPr>
          <w:rFonts w:ascii="Arial" w:hAnsi="Arial" w:cs="Arial"/>
          <w:sz w:val="24"/>
          <w:szCs w:val="24"/>
        </w:rPr>
        <w:t>ion of time, and the moving on of those involved in the negotiation and creation of the entities.</w:t>
      </w:r>
      <w:r w:rsidR="00545B83" w:rsidRPr="00DD5DC1">
        <w:rPr>
          <w:rFonts w:ascii="Arial" w:hAnsi="Arial" w:cs="Arial"/>
          <w:sz w:val="24"/>
          <w:szCs w:val="24"/>
        </w:rPr>
        <w:t xml:space="preserve"> </w:t>
      </w:r>
      <w:r w:rsidR="00A671AE">
        <w:rPr>
          <w:rFonts w:ascii="Arial" w:hAnsi="Arial" w:cs="Arial"/>
          <w:sz w:val="24"/>
          <w:szCs w:val="24"/>
        </w:rPr>
        <w:t xml:space="preserve"> </w:t>
      </w:r>
      <w:r w:rsidR="00600BFE" w:rsidRPr="00DD5DC1">
        <w:rPr>
          <w:rFonts w:ascii="Arial" w:hAnsi="Arial" w:cs="Arial"/>
          <w:sz w:val="24"/>
          <w:szCs w:val="24"/>
        </w:rPr>
        <w:t>There is a need to strengthen legislative recognition of the unique status of the Land Account.</w:t>
      </w:r>
    </w:p>
    <w:p w:rsidR="00600BFE" w:rsidRPr="00524935" w:rsidRDefault="00310D9B" w:rsidP="00DD5DC1">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For these reasons, th</w:t>
      </w:r>
      <w:r w:rsidR="00EB254E" w:rsidRPr="00524935">
        <w:rPr>
          <w:rFonts w:ascii="Arial" w:hAnsi="Arial" w:cs="Arial"/>
          <w:sz w:val="24"/>
          <w:szCs w:val="24"/>
        </w:rPr>
        <w:t xml:space="preserve">e </w:t>
      </w:r>
      <w:r w:rsidRPr="00524935">
        <w:rPr>
          <w:rFonts w:ascii="Arial" w:hAnsi="Arial" w:cs="Arial"/>
          <w:sz w:val="24"/>
          <w:szCs w:val="24"/>
        </w:rPr>
        <w:t xml:space="preserve">Commission supports the passing of the </w:t>
      </w:r>
      <w:r w:rsidRPr="00C77944">
        <w:rPr>
          <w:rFonts w:ascii="Arial" w:hAnsi="Arial" w:cs="Arial"/>
          <w:i/>
          <w:color w:val="000000"/>
          <w:sz w:val="24"/>
          <w:szCs w:val="24"/>
          <w:lang w:val="en"/>
        </w:rPr>
        <w:t>Aboriginal and Torres Strait Islander Amendment (A Stronger Land Account) Bill 2014</w:t>
      </w:r>
      <w:r w:rsidRPr="00524935">
        <w:rPr>
          <w:rFonts w:ascii="Arial" w:hAnsi="Arial" w:cs="Arial"/>
          <w:b/>
          <w:sz w:val="24"/>
          <w:szCs w:val="24"/>
          <w:lang w:val="en"/>
        </w:rPr>
        <w:t>.</w:t>
      </w:r>
      <w:r w:rsidR="00600BFE" w:rsidRPr="00524935">
        <w:rPr>
          <w:rFonts w:ascii="Arial" w:hAnsi="Arial" w:cs="Arial"/>
          <w:sz w:val="24"/>
          <w:szCs w:val="24"/>
        </w:rPr>
        <w:t xml:space="preserve"> </w:t>
      </w:r>
      <w:r w:rsidR="00DD5DC1">
        <w:rPr>
          <w:rFonts w:ascii="Arial" w:hAnsi="Arial" w:cs="Arial"/>
          <w:sz w:val="24"/>
          <w:szCs w:val="24"/>
        </w:rPr>
        <w:t xml:space="preserve"> </w:t>
      </w:r>
      <w:r w:rsidR="00600BFE" w:rsidRPr="00524935">
        <w:rPr>
          <w:rFonts w:ascii="Arial" w:hAnsi="Arial" w:cs="Arial"/>
          <w:sz w:val="24"/>
          <w:szCs w:val="24"/>
        </w:rPr>
        <w:t>The Bill before Parliament would protect and strengthen the Land Account in the longer term, and ensure the human rights compromises that were made at the time of the Native Title negotiations are reflected in the legislation.</w:t>
      </w:r>
    </w:p>
    <w:p w:rsidR="00793F3B" w:rsidRPr="00524935" w:rsidRDefault="00310D9B" w:rsidP="00DD5DC1">
      <w:pPr>
        <w:pStyle w:val="ListParagraph"/>
        <w:numPr>
          <w:ilvl w:val="0"/>
          <w:numId w:val="10"/>
        </w:numPr>
        <w:spacing w:before="120" w:after="0" w:line="360" w:lineRule="auto"/>
        <w:ind w:left="567" w:hanging="567"/>
        <w:contextualSpacing w:val="0"/>
        <w:rPr>
          <w:rFonts w:ascii="Arial" w:hAnsi="Arial" w:cs="Arial"/>
          <w:sz w:val="24"/>
          <w:szCs w:val="24"/>
        </w:rPr>
      </w:pPr>
      <w:r w:rsidRPr="00524935">
        <w:rPr>
          <w:rFonts w:ascii="Arial" w:eastAsia="Times New Roman" w:hAnsi="Arial" w:cs="Arial"/>
          <w:color w:val="000000"/>
          <w:sz w:val="24"/>
          <w:szCs w:val="24"/>
        </w:rPr>
        <w:t xml:space="preserve">In her </w:t>
      </w:r>
      <w:r w:rsidRPr="00DD5DC1">
        <w:rPr>
          <w:rFonts w:ascii="Arial" w:hAnsi="Arial" w:cs="Arial"/>
          <w:sz w:val="24"/>
          <w:szCs w:val="24"/>
        </w:rPr>
        <w:t>second</w:t>
      </w:r>
      <w:r w:rsidRPr="00524935">
        <w:rPr>
          <w:rFonts w:ascii="Arial" w:eastAsia="Times New Roman" w:hAnsi="Arial" w:cs="Arial"/>
          <w:color w:val="000000"/>
          <w:sz w:val="24"/>
          <w:szCs w:val="24"/>
        </w:rPr>
        <w:t xml:space="preserve"> reading speech Senator </w:t>
      </w:r>
      <w:proofErr w:type="spellStart"/>
      <w:r w:rsidRPr="00524935">
        <w:rPr>
          <w:rFonts w:ascii="Arial" w:eastAsia="Times New Roman" w:hAnsi="Arial" w:cs="Arial"/>
          <w:color w:val="000000"/>
          <w:sz w:val="24"/>
          <w:szCs w:val="24"/>
        </w:rPr>
        <w:t>Seiwart</w:t>
      </w:r>
      <w:proofErr w:type="spellEnd"/>
      <w:r w:rsidRPr="00524935">
        <w:rPr>
          <w:rFonts w:ascii="Arial" w:eastAsia="Times New Roman" w:hAnsi="Arial" w:cs="Arial"/>
          <w:color w:val="000000"/>
          <w:sz w:val="24"/>
          <w:szCs w:val="24"/>
        </w:rPr>
        <w:t xml:space="preserve"> </w:t>
      </w:r>
      <w:r w:rsidR="007F32F8" w:rsidRPr="00524935">
        <w:rPr>
          <w:rFonts w:ascii="Arial" w:hAnsi="Arial" w:cs="Arial"/>
          <w:sz w:val="24"/>
          <w:szCs w:val="24"/>
        </w:rPr>
        <w:t>said:</w:t>
      </w:r>
    </w:p>
    <w:p w:rsidR="00793F3B" w:rsidRPr="00282AE8" w:rsidRDefault="00793F3B" w:rsidP="00DD5DC1">
      <w:pPr>
        <w:pStyle w:val="Default"/>
        <w:spacing w:before="120" w:after="240" w:line="240" w:lineRule="auto"/>
        <w:ind w:left="1134" w:right="709"/>
        <w:rPr>
          <w:rFonts w:ascii="Arial" w:hAnsi="Arial" w:cs="Arial"/>
          <w:sz w:val="22"/>
          <w:szCs w:val="22"/>
        </w:rPr>
      </w:pPr>
      <w:r w:rsidRPr="00282AE8">
        <w:rPr>
          <w:rFonts w:ascii="Arial" w:hAnsi="Arial" w:cs="Arial"/>
          <w:sz w:val="22"/>
          <w:szCs w:val="22"/>
        </w:rPr>
        <w:t xml:space="preserve">This Bill makes it clear that it is the Commonwealth’s responsibility to manage the Land Account for the sole benefit of Aboriginal and Torres Strait Islander peoples. </w:t>
      </w:r>
      <w:r w:rsidR="00A671AE">
        <w:rPr>
          <w:rFonts w:ascii="Arial" w:hAnsi="Arial" w:cs="Arial"/>
          <w:sz w:val="22"/>
          <w:szCs w:val="22"/>
        </w:rPr>
        <w:t xml:space="preserve"> </w:t>
      </w:r>
      <w:r w:rsidRPr="00282AE8">
        <w:rPr>
          <w:rFonts w:ascii="Arial" w:hAnsi="Arial" w:cs="Arial"/>
          <w:sz w:val="22"/>
          <w:szCs w:val="22"/>
        </w:rPr>
        <w:t xml:space="preserve">It reinforces the nature and purpose of the Land Account as being partial acknowledgement for the dispossession of Aboriginal and Torres Strait Islanders’ lands. </w:t>
      </w:r>
      <w:r w:rsidR="00A671AE">
        <w:rPr>
          <w:rFonts w:ascii="Arial" w:hAnsi="Arial" w:cs="Arial"/>
          <w:sz w:val="22"/>
          <w:szCs w:val="22"/>
        </w:rPr>
        <w:t xml:space="preserve"> </w:t>
      </w:r>
      <w:r w:rsidRPr="00282AE8">
        <w:rPr>
          <w:rFonts w:ascii="Arial" w:hAnsi="Arial" w:cs="Arial"/>
          <w:sz w:val="22"/>
          <w:szCs w:val="22"/>
        </w:rPr>
        <w:t xml:space="preserve">It </w:t>
      </w:r>
      <w:r w:rsidRPr="00282AE8">
        <w:rPr>
          <w:rFonts w:ascii="Arial" w:hAnsi="Arial" w:cs="Arial"/>
          <w:sz w:val="22"/>
          <w:szCs w:val="22"/>
        </w:rPr>
        <w:lastRenderedPageBreak/>
        <w:t>gives Aboriginal people and Torres Strait Islanders an assurance that the Land Account will be protected for the</w:t>
      </w:r>
      <w:r w:rsidR="001D0795" w:rsidRPr="00282AE8">
        <w:rPr>
          <w:rFonts w:ascii="Arial" w:hAnsi="Arial" w:cs="Arial"/>
          <w:sz w:val="22"/>
          <w:szCs w:val="22"/>
        </w:rPr>
        <w:t xml:space="preserve"> benefit of future generations.</w:t>
      </w:r>
    </w:p>
    <w:p w:rsidR="00793F3B" w:rsidRPr="00282AE8" w:rsidRDefault="00793F3B" w:rsidP="00DD5DC1">
      <w:pPr>
        <w:spacing w:before="120" w:after="240" w:line="240" w:lineRule="auto"/>
        <w:ind w:left="1134" w:right="709"/>
        <w:rPr>
          <w:rFonts w:ascii="Arial" w:hAnsi="Arial" w:cs="Arial"/>
        </w:rPr>
      </w:pPr>
      <w:r w:rsidRPr="00282AE8">
        <w:rPr>
          <w:rFonts w:ascii="Arial" w:hAnsi="Arial" w:cs="Arial"/>
        </w:rPr>
        <w:t xml:space="preserve">The Bill prevents Land Account funds from being utilised for any purpose other than the original intended purpose of acquiring and managing land for the environmental, social, cultural and economic benefit of Aboriginal and Torres Strait Islander peoples. </w:t>
      </w:r>
      <w:r w:rsidR="00A671AE">
        <w:rPr>
          <w:rFonts w:ascii="Arial" w:hAnsi="Arial" w:cs="Arial"/>
        </w:rPr>
        <w:t xml:space="preserve"> </w:t>
      </w:r>
      <w:r w:rsidRPr="00282AE8">
        <w:rPr>
          <w:rFonts w:ascii="Arial" w:hAnsi="Arial" w:cs="Arial"/>
        </w:rPr>
        <w:t>The Bill also includes provisions to enable the Land Account to grow over time, to ensure that future generations of Aboriginal and Torres Strait Islander peoples can continue to benefit from the opportunities it provides to strengthen their links to the land.</w:t>
      </w:r>
    </w:p>
    <w:p w:rsidR="00600BFE" w:rsidRPr="00524935" w:rsidRDefault="00600BFE" w:rsidP="001F3E9F">
      <w:pPr>
        <w:pStyle w:val="ListParagraph"/>
        <w:numPr>
          <w:ilvl w:val="0"/>
          <w:numId w:val="10"/>
        </w:numPr>
        <w:spacing w:before="120" w:after="120" w:line="360" w:lineRule="auto"/>
        <w:ind w:left="567" w:hanging="567"/>
        <w:contextualSpacing w:val="0"/>
        <w:rPr>
          <w:rFonts w:ascii="Arial" w:hAnsi="Arial" w:cs="Arial"/>
          <w:sz w:val="24"/>
          <w:szCs w:val="24"/>
        </w:rPr>
      </w:pPr>
      <w:r w:rsidRPr="00524935">
        <w:rPr>
          <w:rFonts w:ascii="Arial" w:hAnsi="Arial" w:cs="Arial"/>
          <w:sz w:val="24"/>
          <w:szCs w:val="24"/>
        </w:rPr>
        <w:t xml:space="preserve">In particular </w:t>
      </w:r>
      <w:r w:rsidR="00EB254E" w:rsidRPr="00524935">
        <w:rPr>
          <w:rFonts w:ascii="Arial" w:hAnsi="Arial" w:cs="Arial"/>
          <w:sz w:val="24"/>
          <w:szCs w:val="24"/>
        </w:rPr>
        <w:t>the Commission</w:t>
      </w:r>
      <w:r w:rsidRPr="00524935">
        <w:rPr>
          <w:rFonts w:ascii="Arial" w:hAnsi="Arial" w:cs="Arial"/>
          <w:sz w:val="24"/>
          <w:szCs w:val="24"/>
        </w:rPr>
        <w:t xml:space="preserve"> supports the Bill:</w:t>
      </w:r>
    </w:p>
    <w:p w:rsidR="00600BFE" w:rsidRPr="007E7733" w:rsidRDefault="00E27F1B" w:rsidP="00DD5DC1">
      <w:pPr>
        <w:pStyle w:val="ListParagraph"/>
        <w:numPr>
          <w:ilvl w:val="0"/>
          <w:numId w:val="15"/>
        </w:numPr>
        <w:spacing w:after="240" w:line="360" w:lineRule="auto"/>
        <w:ind w:left="992" w:hanging="425"/>
        <w:contextualSpacing w:val="0"/>
        <w:rPr>
          <w:rFonts w:ascii="Arial" w:hAnsi="Arial" w:cs="Arial"/>
          <w:sz w:val="24"/>
          <w:szCs w:val="24"/>
        </w:rPr>
      </w:pPr>
      <w:r w:rsidRPr="007E7733">
        <w:rPr>
          <w:rFonts w:ascii="Arial" w:hAnsi="Arial" w:cs="Arial"/>
          <w:sz w:val="24"/>
          <w:szCs w:val="24"/>
        </w:rPr>
        <w:t>E</w:t>
      </w:r>
      <w:r w:rsidR="007F32F8" w:rsidRPr="007E7733">
        <w:rPr>
          <w:rFonts w:ascii="Arial" w:hAnsi="Arial" w:cs="Arial"/>
          <w:sz w:val="24"/>
          <w:szCs w:val="24"/>
        </w:rPr>
        <w:t xml:space="preserve">xpanding </w:t>
      </w:r>
      <w:r w:rsidR="00600BFE" w:rsidRPr="007E7733">
        <w:rPr>
          <w:rFonts w:ascii="Arial" w:hAnsi="Arial" w:cs="Arial"/>
          <w:sz w:val="24"/>
          <w:szCs w:val="24"/>
        </w:rPr>
        <w:t>the objects of the Land Account, to properly articulate its significance and its origins in the native title settlement of the 1990s.</w:t>
      </w:r>
    </w:p>
    <w:p w:rsidR="00600BFE" w:rsidRPr="007E7733" w:rsidRDefault="007F32F8" w:rsidP="00DD5DC1">
      <w:pPr>
        <w:pStyle w:val="ListParagraph"/>
        <w:numPr>
          <w:ilvl w:val="0"/>
          <w:numId w:val="15"/>
        </w:numPr>
        <w:spacing w:after="240" w:line="360" w:lineRule="auto"/>
        <w:ind w:left="992" w:hanging="425"/>
        <w:contextualSpacing w:val="0"/>
        <w:rPr>
          <w:rFonts w:ascii="Arial" w:hAnsi="Arial" w:cs="Arial"/>
          <w:sz w:val="24"/>
          <w:szCs w:val="24"/>
        </w:rPr>
      </w:pPr>
      <w:r w:rsidRPr="007E7733">
        <w:rPr>
          <w:rFonts w:ascii="Arial" w:hAnsi="Arial" w:cs="Arial"/>
          <w:sz w:val="24"/>
          <w:szCs w:val="24"/>
        </w:rPr>
        <w:t>Making</w:t>
      </w:r>
      <w:r w:rsidR="00600BFE" w:rsidRPr="007E7733">
        <w:rPr>
          <w:rFonts w:ascii="Arial" w:hAnsi="Arial" w:cs="Arial"/>
          <w:sz w:val="24"/>
          <w:szCs w:val="24"/>
        </w:rPr>
        <w:t xml:space="preserve"> sure that the Land Account can be used only as originally intended: to buy and manage land for Indigenous Australians.</w:t>
      </w:r>
    </w:p>
    <w:p w:rsidR="00C77944" w:rsidRDefault="00C77944" w:rsidP="00DD5DC1">
      <w:pPr>
        <w:pStyle w:val="ListParagraph"/>
        <w:numPr>
          <w:ilvl w:val="0"/>
          <w:numId w:val="10"/>
        </w:numPr>
        <w:spacing w:before="120" w:after="240" w:line="360" w:lineRule="auto"/>
        <w:ind w:left="567" w:hanging="567"/>
        <w:contextualSpacing w:val="0"/>
        <w:rPr>
          <w:rFonts w:ascii="Arial" w:hAnsi="Arial" w:cs="Arial"/>
          <w:sz w:val="24"/>
          <w:szCs w:val="24"/>
        </w:rPr>
      </w:pPr>
      <w:r>
        <w:rPr>
          <w:rFonts w:ascii="Arial" w:hAnsi="Arial" w:cs="Arial"/>
          <w:sz w:val="24"/>
          <w:szCs w:val="24"/>
        </w:rPr>
        <w:t>The Commission believes the Bill also addresses some of the Commission of Audit’s broader concerns about duplication,</w:t>
      </w:r>
      <w:r w:rsidR="00282AE8">
        <w:rPr>
          <w:rFonts w:ascii="Arial" w:hAnsi="Arial" w:cs="Arial"/>
          <w:sz w:val="24"/>
          <w:szCs w:val="24"/>
        </w:rPr>
        <w:t xml:space="preserve"> overlap and inefficiencies </w:t>
      </w:r>
      <w:r>
        <w:rPr>
          <w:rFonts w:ascii="Arial" w:hAnsi="Arial" w:cs="Arial"/>
          <w:sz w:val="24"/>
          <w:szCs w:val="24"/>
        </w:rPr>
        <w:t>within government</w:t>
      </w:r>
      <w:r w:rsidR="007E7733">
        <w:rPr>
          <w:rFonts w:ascii="Arial" w:hAnsi="Arial" w:cs="Arial"/>
          <w:sz w:val="24"/>
          <w:szCs w:val="24"/>
        </w:rPr>
        <w:t xml:space="preserve">, </w:t>
      </w:r>
      <w:r>
        <w:rPr>
          <w:rFonts w:ascii="Arial" w:hAnsi="Arial" w:cs="Arial"/>
          <w:sz w:val="24"/>
          <w:szCs w:val="24"/>
        </w:rPr>
        <w:t>clarifies the role of the ILC and strengthens accountability.</w:t>
      </w:r>
    </w:p>
    <w:p w:rsidR="00524935" w:rsidRPr="00A671AE" w:rsidRDefault="00EB254E" w:rsidP="00F24F9C">
      <w:pPr>
        <w:pStyle w:val="ListParagraph"/>
        <w:numPr>
          <w:ilvl w:val="0"/>
          <w:numId w:val="10"/>
        </w:numPr>
        <w:spacing w:before="120" w:after="240" w:line="360" w:lineRule="auto"/>
        <w:ind w:left="567" w:hanging="567"/>
        <w:contextualSpacing w:val="0"/>
        <w:rPr>
          <w:rFonts w:ascii="Arial" w:hAnsi="Arial" w:cs="Arial"/>
          <w:sz w:val="24"/>
          <w:szCs w:val="24"/>
        </w:rPr>
      </w:pPr>
      <w:r w:rsidRPr="00524935">
        <w:rPr>
          <w:rFonts w:ascii="Arial" w:hAnsi="Arial" w:cs="Arial"/>
          <w:sz w:val="24"/>
          <w:szCs w:val="24"/>
        </w:rPr>
        <w:t>The Commission</w:t>
      </w:r>
      <w:r w:rsidR="00600BFE" w:rsidRPr="00524935">
        <w:rPr>
          <w:rFonts w:ascii="Arial" w:hAnsi="Arial" w:cs="Arial"/>
          <w:sz w:val="24"/>
          <w:szCs w:val="24"/>
        </w:rPr>
        <w:t xml:space="preserve"> thanks the Committee for the opportunity to make this </w:t>
      </w:r>
      <w:r w:rsidR="007E7733">
        <w:rPr>
          <w:rFonts w:ascii="Arial" w:hAnsi="Arial" w:cs="Arial"/>
          <w:sz w:val="24"/>
          <w:szCs w:val="24"/>
        </w:rPr>
        <w:t>s</w:t>
      </w:r>
      <w:r w:rsidR="00600BFE" w:rsidRPr="00524935">
        <w:rPr>
          <w:rFonts w:ascii="Arial" w:hAnsi="Arial" w:cs="Arial"/>
          <w:sz w:val="24"/>
          <w:szCs w:val="24"/>
        </w:rPr>
        <w:t>ubmission.</w:t>
      </w:r>
    </w:p>
    <w:sectPr w:rsidR="00524935" w:rsidRPr="00A671AE" w:rsidSect="002E64B1">
      <w:headerReference w:type="default" r:id="rId9"/>
      <w:footerReference w:type="default" r:id="rId10"/>
      <w:headerReference w:type="first" r:id="rId11"/>
      <w:pgSz w:w="12240" w:h="15840" w:code="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CF5" w:rsidRDefault="00B66CF5" w:rsidP="00B66CF5">
      <w:pPr>
        <w:spacing w:after="0" w:line="240" w:lineRule="auto"/>
      </w:pPr>
      <w:r>
        <w:separator/>
      </w:r>
    </w:p>
  </w:endnote>
  <w:endnote w:type="continuationSeparator" w:id="0">
    <w:p w:rsidR="00B66CF5" w:rsidRDefault="00B66CF5" w:rsidP="00B6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CF1" w:rsidRDefault="00B43F5A" w:rsidP="00287CF1">
    <w:pPr>
      <w:pStyle w:val="Footer"/>
      <w:jc w:val="right"/>
      <w:rPr>
        <w:rFonts w:ascii="Arial" w:hAnsi="Arial" w:cs="Arial"/>
        <w:sz w:val="20"/>
        <w:szCs w:val="20"/>
      </w:rPr>
    </w:pPr>
    <w:r>
      <w:rPr>
        <w:rFonts w:ascii="Arial" w:hAnsi="Arial" w:cs="Arial"/>
        <w:sz w:val="20"/>
        <w:szCs w:val="20"/>
      </w:rPr>
      <w:pict>
        <v:rect id="_x0000_i1026" style="width:0;height:1.5pt" o:hralign="center" o:hrstd="t" o:hr="t" fillcolor="#a0a0a0" stroked="f"/>
      </w:pict>
    </w:r>
  </w:p>
  <w:p w:rsidR="00F317D5" w:rsidRPr="00287CF1" w:rsidRDefault="00287CF1" w:rsidP="00287CF1">
    <w:pPr>
      <w:pStyle w:val="Footer"/>
      <w:jc w:val="right"/>
      <w:rPr>
        <w:rFonts w:ascii="Arial" w:hAnsi="Arial" w:cs="Arial"/>
        <w:sz w:val="20"/>
        <w:szCs w:val="20"/>
      </w:rPr>
    </w:pPr>
    <w:r w:rsidRPr="00287CF1">
      <w:rPr>
        <w:rFonts w:ascii="Arial" w:hAnsi="Arial" w:cs="Arial"/>
        <w:sz w:val="20"/>
        <w:szCs w:val="20"/>
      </w:rPr>
      <w:t xml:space="preserve">Page </w:t>
    </w:r>
    <w:r w:rsidRPr="00287CF1">
      <w:rPr>
        <w:rFonts w:ascii="Arial" w:hAnsi="Arial" w:cs="Arial"/>
        <w:sz w:val="20"/>
        <w:szCs w:val="20"/>
      </w:rPr>
      <w:fldChar w:fldCharType="begin"/>
    </w:r>
    <w:r w:rsidRPr="00287CF1">
      <w:rPr>
        <w:rFonts w:ascii="Arial" w:hAnsi="Arial" w:cs="Arial"/>
        <w:sz w:val="20"/>
        <w:szCs w:val="20"/>
      </w:rPr>
      <w:instrText xml:space="preserve"> PAGE   \* MERGEFORMAT </w:instrText>
    </w:r>
    <w:r w:rsidRPr="00287CF1">
      <w:rPr>
        <w:rFonts w:ascii="Arial" w:hAnsi="Arial" w:cs="Arial"/>
        <w:sz w:val="20"/>
        <w:szCs w:val="20"/>
      </w:rPr>
      <w:fldChar w:fldCharType="separate"/>
    </w:r>
    <w:r w:rsidR="00B43F5A">
      <w:rPr>
        <w:rFonts w:ascii="Arial" w:hAnsi="Arial" w:cs="Arial"/>
        <w:noProof/>
        <w:sz w:val="20"/>
        <w:szCs w:val="20"/>
      </w:rPr>
      <w:t>5</w:t>
    </w:r>
    <w:r w:rsidRPr="00287CF1">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CF5" w:rsidRDefault="00B66CF5" w:rsidP="00B66CF5">
      <w:pPr>
        <w:spacing w:after="0" w:line="240" w:lineRule="auto"/>
      </w:pPr>
      <w:r>
        <w:separator/>
      </w:r>
    </w:p>
  </w:footnote>
  <w:footnote w:type="continuationSeparator" w:id="0">
    <w:p w:rsidR="00B66CF5" w:rsidRDefault="00B66CF5" w:rsidP="00B66CF5">
      <w:pPr>
        <w:spacing w:after="0" w:line="240" w:lineRule="auto"/>
      </w:pPr>
      <w:r>
        <w:continuationSeparator/>
      </w:r>
    </w:p>
  </w:footnote>
  <w:footnote w:id="1">
    <w:p w:rsidR="00B66CF5" w:rsidRDefault="00B66CF5">
      <w:pPr>
        <w:pStyle w:val="FootnoteText"/>
      </w:pPr>
      <w:r>
        <w:rPr>
          <w:rStyle w:val="FootnoteReference"/>
        </w:rPr>
        <w:footnoteRef/>
      </w:r>
      <w:r>
        <w:t xml:space="preserve"> </w:t>
      </w:r>
      <w:proofErr w:type="spellStart"/>
      <w:proofErr w:type="gramStart"/>
      <w:r w:rsidR="000824C5" w:rsidRPr="00F24F9C">
        <w:rPr>
          <w:rFonts w:ascii="Arial" w:eastAsia="Times New Roman" w:hAnsi="Arial" w:cs="Arial"/>
          <w:i/>
          <w:sz w:val="16"/>
          <w:szCs w:val="16"/>
        </w:rPr>
        <w:t>Mabo</w:t>
      </w:r>
      <w:proofErr w:type="spellEnd"/>
      <w:r w:rsidR="000824C5" w:rsidRPr="00F24F9C">
        <w:rPr>
          <w:rFonts w:ascii="Arial" w:eastAsia="Times New Roman" w:hAnsi="Arial" w:cs="Arial"/>
          <w:i/>
          <w:sz w:val="16"/>
          <w:szCs w:val="16"/>
        </w:rPr>
        <w:t xml:space="preserve"> v Queensland [No.2]</w:t>
      </w:r>
      <w:r w:rsidR="000824C5">
        <w:rPr>
          <w:rFonts w:ascii="Arial" w:eastAsia="Times New Roman" w:hAnsi="Arial" w:cs="Arial"/>
          <w:sz w:val="16"/>
          <w:szCs w:val="16"/>
        </w:rPr>
        <w:t xml:space="preserve"> (1992) 175 CLR 1</w:t>
      </w:r>
      <w:r w:rsidR="00A870FE">
        <w:rPr>
          <w:rFonts w:ascii="Arial" w:eastAsia="Times New Roman" w:hAnsi="Arial" w:cs="Arial"/>
          <w:sz w:val="16"/>
          <w:szCs w:val="16"/>
        </w:rPr>
        <w:t>.</w:t>
      </w:r>
      <w:proofErr w:type="gramEnd"/>
    </w:p>
  </w:footnote>
  <w:footnote w:id="2">
    <w:p w:rsidR="008211F7" w:rsidRDefault="008211F7">
      <w:pPr>
        <w:pStyle w:val="FootnoteText"/>
      </w:pPr>
      <w:r>
        <w:rPr>
          <w:rStyle w:val="FootnoteReference"/>
        </w:rPr>
        <w:footnoteRef/>
      </w:r>
      <w:r>
        <w:t xml:space="preserve"> </w:t>
      </w:r>
      <w:proofErr w:type="spellStart"/>
      <w:r w:rsidRPr="00C531A0">
        <w:rPr>
          <w:i/>
        </w:rPr>
        <w:t>Mabo</w:t>
      </w:r>
      <w:proofErr w:type="spellEnd"/>
      <w:r w:rsidRPr="00C531A0">
        <w:rPr>
          <w:i/>
        </w:rPr>
        <w:t xml:space="preserve"> v </w:t>
      </w:r>
      <w:proofErr w:type="gramStart"/>
      <w:r w:rsidRPr="00C531A0">
        <w:rPr>
          <w:i/>
        </w:rPr>
        <w:t>Queensland</w:t>
      </w:r>
      <w:r w:rsidR="000163D7">
        <w:rPr>
          <w:i/>
        </w:rPr>
        <w:t xml:space="preserve"> </w:t>
      </w:r>
      <w:r>
        <w:rPr>
          <w:rFonts w:ascii="Arial" w:hAnsi="Arial" w:cs="Arial"/>
          <w:sz w:val="16"/>
          <w:szCs w:val="16"/>
        </w:rPr>
        <w:t xml:space="preserve"> </w:t>
      </w:r>
      <w:r>
        <w:t>[</w:t>
      </w:r>
      <w:proofErr w:type="gramEnd"/>
      <w:r>
        <w:t>1988] HCA 69; (1989) 166 CLR 186 (8 December 1988)</w:t>
      </w:r>
      <w:r w:rsidR="000163D7">
        <w:t>.</w:t>
      </w:r>
    </w:p>
  </w:footnote>
  <w:footnote w:id="3">
    <w:p w:rsidR="00D967B8" w:rsidRDefault="00D967B8">
      <w:pPr>
        <w:pStyle w:val="FootnoteText"/>
      </w:pPr>
      <w:r>
        <w:rPr>
          <w:rStyle w:val="FootnoteReference"/>
        </w:rPr>
        <w:footnoteRef/>
      </w:r>
      <w:r>
        <w:t xml:space="preserve"> Chief Justice Robert French, ‘Native Title – A Constitutional Shift?’ (Speech delivered at the JD Lecture Series, The University of Melbourne, </w:t>
      </w:r>
      <w:proofErr w:type="gramStart"/>
      <w:r>
        <w:t>24</w:t>
      </w:r>
      <w:proofErr w:type="gramEnd"/>
      <w:r>
        <w:t xml:space="preserve"> March 2009).</w:t>
      </w:r>
    </w:p>
  </w:footnote>
  <w:footnote w:id="4">
    <w:p w:rsidR="005E44C8" w:rsidRPr="009A0EC4" w:rsidRDefault="005E44C8" w:rsidP="001A09D4">
      <w:pPr>
        <w:pStyle w:val="Default"/>
        <w:rPr>
          <w:rFonts w:ascii="Arial" w:hAnsi="Arial" w:cs="Arial"/>
          <w:color w:val="auto"/>
          <w:sz w:val="20"/>
          <w:szCs w:val="20"/>
        </w:rPr>
      </w:pPr>
      <w:r w:rsidRPr="009A0EC4">
        <w:rPr>
          <w:rFonts w:ascii="Arial" w:eastAsiaTheme="minorHAnsi" w:hAnsi="Arial" w:cs="Arial"/>
          <w:color w:val="auto"/>
          <w:sz w:val="20"/>
          <w:szCs w:val="20"/>
          <w:vertAlign w:val="superscript"/>
          <w:lang w:eastAsia="en-US"/>
        </w:rPr>
        <w:footnoteRef/>
      </w:r>
      <w:r w:rsidRPr="009A0EC4">
        <w:rPr>
          <w:rFonts w:ascii="Arial" w:eastAsiaTheme="minorHAnsi" w:hAnsi="Arial" w:cs="Arial"/>
          <w:color w:val="auto"/>
          <w:sz w:val="20"/>
          <w:szCs w:val="20"/>
          <w:lang w:eastAsia="en-US"/>
        </w:rPr>
        <w:t xml:space="preserve"> </w:t>
      </w:r>
      <w:proofErr w:type="gramStart"/>
      <w:r w:rsidR="00AD5C54" w:rsidRPr="009A0EC4">
        <w:rPr>
          <w:rFonts w:ascii="Arial" w:eastAsiaTheme="minorHAnsi" w:hAnsi="Arial" w:cs="Arial"/>
          <w:color w:val="auto"/>
          <w:sz w:val="20"/>
          <w:szCs w:val="20"/>
          <w:lang w:eastAsia="en-US"/>
        </w:rPr>
        <w:t>Parliament of Australia.</w:t>
      </w:r>
      <w:proofErr w:type="gramEnd"/>
      <w:r w:rsidR="00AD5C54" w:rsidRPr="009A0EC4">
        <w:rPr>
          <w:rFonts w:ascii="Arial" w:eastAsiaTheme="minorHAnsi" w:hAnsi="Arial" w:cs="Arial"/>
          <w:color w:val="auto"/>
          <w:sz w:val="20"/>
          <w:szCs w:val="20"/>
          <w:lang w:eastAsia="en-US"/>
        </w:rPr>
        <w:t xml:space="preserve"> </w:t>
      </w:r>
      <w:proofErr w:type="gramStart"/>
      <w:r w:rsidR="00AD5C54" w:rsidRPr="009A0EC4">
        <w:rPr>
          <w:rFonts w:ascii="Arial" w:eastAsiaTheme="minorHAnsi" w:hAnsi="Arial" w:cs="Arial"/>
          <w:color w:val="auto"/>
          <w:sz w:val="20"/>
          <w:szCs w:val="20"/>
          <w:lang w:eastAsia="en-US"/>
        </w:rPr>
        <w:t>Senate.</w:t>
      </w:r>
      <w:proofErr w:type="gramEnd"/>
      <w:r w:rsidR="00AD5C54" w:rsidRPr="009A0EC4">
        <w:rPr>
          <w:rFonts w:ascii="Arial" w:eastAsiaTheme="minorHAnsi" w:hAnsi="Arial" w:cs="Arial"/>
          <w:color w:val="auto"/>
          <w:sz w:val="20"/>
          <w:szCs w:val="20"/>
          <w:lang w:eastAsia="en-US"/>
        </w:rPr>
        <w:t xml:space="preserve"> </w:t>
      </w:r>
      <w:r w:rsidRPr="009A0EC4">
        <w:rPr>
          <w:rFonts w:ascii="Arial" w:eastAsiaTheme="minorHAnsi" w:hAnsi="Arial" w:cs="Arial"/>
          <w:i/>
          <w:color w:val="auto"/>
          <w:sz w:val="20"/>
          <w:szCs w:val="20"/>
          <w:lang w:eastAsia="en-US"/>
        </w:rPr>
        <w:t>Hansard</w:t>
      </w:r>
      <w:r w:rsidR="00AD5C54" w:rsidRPr="009A0EC4">
        <w:rPr>
          <w:rFonts w:ascii="Arial" w:eastAsiaTheme="minorHAnsi" w:hAnsi="Arial" w:cs="Arial"/>
          <w:color w:val="auto"/>
          <w:sz w:val="20"/>
          <w:szCs w:val="20"/>
          <w:lang w:eastAsia="en-US"/>
        </w:rPr>
        <w:t>, S</w:t>
      </w:r>
      <w:r w:rsidR="004529EE" w:rsidRPr="009A0EC4">
        <w:rPr>
          <w:rFonts w:ascii="Arial" w:eastAsiaTheme="minorHAnsi" w:hAnsi="Arial" w:cs="Arial"/>
          <w:color w:val="auto"/>
          <w:sz w:val="20"/>
          <w:szCs w:val="20"/>
          <w:lang w:eastAsia="en-US"/>
        </w:rPr>
        <w:t xml:space="preserve">econd </w:t>
      </w:r>
      <w:r w:rsidR="007B6F5B" w:rsidRPr="009A0EC4">
        <w:rPr>
          <w:rFonts w:ascii="Arial" w:eastAsiaTheme="minorHAnsi" w:hAnsi="Arial" w:cs="Arial"/>
          <w:color w:val="auto"/>
          <w:sz w:val="20"/>
          <w:szCs w:val="20"/>
          <w:lang w:eastAsia="en-US"/>
        </w:rPr>
        <w:t>reading speech</w:t>
      </w:r>
      <w:proofErr w:type="gramStart"/>
      <w:r w:rsidR="00AD5C54" w:rsidRPr="009A0EC4">
        <w:rPr>
          <w:rFonts w:ascii="Arial" w:eastAsiaTheme="minorHAnsi" w:hAnsi="Arial" w:cs="Arial"/>
          <w:color w:val="auto"/>
          <w:sz w:val="20"/>
          <w:szCs w:val="20"/>
          <w:lang w:eastAsia="en-US"/>
        </w:rPr>
        <w:t xml:space="preserve">, </w:t>
      </w:r>
      <w:r w:rsidR="007B6F5B" w:rsidRPr="009A0EC4">
        <w:rPr>
          <w:rFonts w:ascii="Arial" w:eastAsiaTheme="minorHAnsi" w:hAnsi="Arial" w:cs="Arial"/>
          <w:color w:val="auto"/>
          <w:sz w:val="20"/>
          <w:szCs w:val="20"/>
          <w:lang w:eastAsia="en-US"/>
        </w:rPr>
        <w:t xml:space="preserve"> 24</w:t>
      </w:r>
      <w:proofErr w:type="gramEnd"/>
      <w:r w:rsidR="007B6F5B" w:rsidRPr="009A0EC4">
        <w:rPr>
          <w:rFonts w:ascii="Arial" w:eastAsiaTheme="minorHAnsi" w:hAnsi="Arial" w:cs="Arial"/>
          <w:color w:val="auto"/>
          <w:sz w:val="20"/>
          <w:szCs w:val="20"/>
          <w:lang w:eastAsia="en-US"/>
        </w:rPr>
        <w:t xml:space="preserve"> June 2014</w:t>
      </w:r>
      <w:r w:rsidR="00AD5C54" w:rsidRPr="009A0EC4">
        <w:rPr>
          <w:rFonts w:ascii="Arial" w:eastAsiaTheme="minorHAnsi" w:hAnsi="Arial" w:cs="Arial"/>
          <w:color w:val="auto"/>
          <w:sz w:val="20"/>
          <w:szCs w:val="20"/>
          <w:lang w:eastAsia="en-US"/>
        </w:rPr>
        <w:t>, page 37</w:t>
      </w:r>
      <w:r w:rsidR="000163D7" w:rsidRPr="009A0EC4">
        <w:rPr>
          <w:rFonts w:ascii="Arial" w:eastAsiaTheme="minorHAnsi" w:hAnsi="Arial" w:cs="Arial"/>
          <w:color w:val="auto"/>
          <w:sz w:val="20"/>
          <w:szCs w:val="20"/>
          <w:lang w:eastAsia="en-US"/>
        </w:rPr>
        <w:t>.</w:t>
      </w:r>
    </w:p>
  </w:footnote>
  <w:footnote w:id="5">
    <w:p w:rsidR="00564FB9" w:rsidRPr="009A0EC4" w:rsidRDefault="00564FB9" w:rsidP="00564FB9">
      <w:pPr>
        <w:autoSpaceDE w:val="0"/>
        <w:autoSpaceDN w:val="0"/>
        <w:adjustRightInd w:val="0"/>
        <w:spacing w:after="0" w:line="240" w:lineRule="auto"/>
        <w:rPr>
          <w:rFonts w:ascii="Arial" w:eastAsia="Times New Roman" w:hAnsi="Arial" w:cs="Arial"/>
          <w:sz w:val="20"/>
          <w:szCs w:val="20"/>
        </w:rPr>
      </w:pPr>
      <w:r w:rsidRPr="009A0EC4">
        <w:rPr>
          <w:rStyle w:val="FootnoteReference"/>
          <w:rFonts w:ascii="Arial" w:hAnsi="Arial" w:cs="Arial"/>
          <w:sz w:val="20"/>
          <w:szCs w:val="20"/>
        </w:rPr>
        <w:footnoteRef/>
      </w:r>
      <w:r w:rsidRPr="009A0EC4">
        <w:rPr>
          <w:rFonts w:ascii="Arial" w:hAnsi="Arial" w:cs="Arial"/>
          <w:sz w:val="20"/>
          <w:szCs w:val="20"/>
        </w:rPr>
        <w:t xml:space="preserve"> </w:t>
      </w:r>
      <w:r w:rsidR="0085794E" w:rsidRPr="009A0EC4">
        <w:rPr>
          <w:rFonts w:ascii="Arial" w:hAnsi="Arial" w:cs="Arial"/>
          <w:sz w:val="20"/>
          <w:szCs w:val="20"/>
        </w:rPr>
        <w:t xml:space="preserve">Ernst &amp; Young, </w:t>
      </w:r>
      <w:r w:rsidRPr="009A0EC4">
        <w:rPr>
          <w:rFonts w:ascii="Arial" w:hAnsi="Arial" w:cs="Arial"/>
          <w:i/>
          <w:sz w:val="20"/>
          <w:szCs w:val="20"/>
        </w:rPr>
        <w:t>Review of the Indigenous Land Corporation and Indigenous Business Australia</w:t>
      </w:r>
      <w:r w:rsidR="00290AC4" w:rsidRPr="009A0EC4">
        <w:rPr>
          <w:rFonts w:ascii="Arial" w:hAnsi="Arial" w:cs="Arial"/>
          <w:i/>
          <w:sz w:val="20"/>
          <w:szCs w:val="20"/>
        </w:rPr>
        <w:t>,</w:t>
      </w:r>
      <w:r w:rsidR="0085794E" w:rsidRPr="009A0EC4">
        <w:rPr>
          <w:rFonts w:ascii="Arial" w:hAnsi="Arial" w:cs="Arial"/>
          <w:sz w:val="20"/>
          <w:szCs w:val="20"/>
        </w:rPr>
        <w:t xml:space="preserve"> 17 February 2014</w:t>
      </w:r>
      <w:r w:rsidR="000163D7" w:rsidRPr="009A0EC4">
        <w:rPr>
          <w:rFonts w:ascii="Arial" w:hAnsi="Arial" w:cs="Arial"/>
          <w:sz w:val="20"/>
          <w:szCs w:val="20"/>
        </w:rPr>
        <w:t>.</w:t>
      </w:r>
    </w:p>
  </w:footnote>
  <w:footnote w:id="6">
    <w:p w:rsidR="00AF05F7" w:rsidRPr="00A671AE" w:rsidRDefault="00AF05F7">
      <w:pPr>
        <w:pStyle w:val="FootnoteText"/>
        <w:rPr>
          <w:rFonts w:ascii="Arial" w:hAnsi="Arial" w:cs="Arial"/>
        </w:rPr>
      </w:pPr>
      <w:r w:rsidRPr="00A671AE">
        <w:rPr>
          <w:rStyle w:val="FootnoteReference"/>
          <w:rFonts w:ascii="Arial" w:hAnsi="Arial" w:cs="Arial"/>
        </w:rPr>
        <w:footnoteRef/>
      </w:r>
      <w:r w:rsidR="007B6F5B" w:rsidRPr="00A671AE">
        <w:rPr>
          <w:rFonts w:ascii="Arial" w:hAnsi="Arial" w:cs="Arial"/>
        </w:rPr>
        <w:t xml:space="preserve"> </w:t>
      </w:r>
      <w:proofErr w:type="gramStart"/>
      <w:r w:rsidR="000163D7" w:rsidRPr="00A671AE">
        <w:rPr>
          <w:rFonts w:ascii="Arial" w:hAnsi="Arial" w:cs="Arial"/>
        </w:rPr>
        <w:t>Ibid</w:t>
      </w:r>
      <w:r w:rsidRPr="00A671AE">
        <w:rPr>
          <w:rFonts w:ascii="Arial" w:hAnsi="Arial" w:cs="Arial"/>
        </w:rPr>
        <w:t xml:space="preserve"> 7</w:t>
      </w:r>
      <w:r w:rsidR="000163D7" w:rsidRPr="00A671AE">
        <w:rPr>
          <w:rFonts w:ascii="Arial" w:hAnsi="Arial" w:cs="Arial"/>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BB" w:rsidRPr="00524935" w:rsidRDefault="00524935" w:rsidP="00524935">
    <w:pPr>
      <w:spacing w:after="480" w:line="240" w:lineRule="auto"/>
      <w:rPr>
        <w:rFonts w:ascii="Arial" w:hAnsi="Arial" w:cs="Arial"/>
        <w:i/>
        <w:color w:val="000000"/>
        <w:sz w:val="20"/>
        <w:szCs w:val="20"/>
      </w:rPr>
    </w:pPr>
    <w:r>
      <w:rPr>
        <w:rFonts w:ascii="Arial" w:hAnsi="Arial" w:cs="Arial"/>
        <w:color w:val="000000"/>
        <w:sz w:val="20"/>
        <w:szCs w:val="20"/>
      </w:rPr>
      <w:t xml:space="preserve">Inquiry into the </w:t>
    </w:r>
    <w:r w:rsidR="00D25991" w:rsidRPr="00524935">
      <w:rPr>
        <w:rFonts w:ascii="Arial" w:hAnsi="Arial" w:cs="Arial"/>
        <w:i/>
        <w:color w:val="000000"/>
        <w:sz w:val="20"/>
        <w:szCs w:val="20"/>
      </w:rPr>
      <w:t xml:space="preserve">Aboriginal </w:t>
    </w:r>
    <w:r w:rsidRPr="00524935">
      <w:rPr>
        <w:rFonts w:ascii="Arial" w:hAnsi="Arial" w:cs="Arial"/>
        <w:i/>
        <w:color w:val="000000"/>
        <w:sz w:val="20"/>
        <w:szCs w:val="20"/>
      </w:rPr>
      <w:t>and Torres Strait Islander Amendment (A Stronger Land Account) Bill 2014</w:t>
    </w:r>
    <w:r w:rsidR="00D25991" w:rsidRPr="00524935">
      <w:rPr>
        <w:rFonts w:ascii="Arial" w:hAnsi="Arial" w:cs="Arial"/>
        <w:i/>
        <w:color w:val="000000"/>
        <w:sz w:val="20"/>
        <w:szCs w:val="20"/>
      </w:rPr>
      <w:t xml:space="preserve"> </w:t>
    </w:r>
    <w:r w:rsidR="00B43F5A">
      <w:rPr>
        <w:rFonts w:ascii="Arial" w:hAnsi="Arial" w:cs="Arial"/>
        <w:sz w:val="20"/>
        <w:szCs w:val="20"/>
      </w:rPr>
      <w:pict>
        <v:rect id="_x0000_i1025"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1" w:rsidRDefault="002E64B1" w:rsidP="002E64B1">
    <w:pPr>
      <w:pStyle w:val="Header"/>
      <w:jc w:val="center"/>
    </w:pPr>
    <w:r w:rsidRPr="00C75361">
      <w:rPr>
        <w:rFonts w:ascii="Arial" w:eastAsia="Times New Roman" w:hAnsi="Arial" w:cs="Arial"/>
        <w:b/>
        <w:bCs/>
        <w:noProof/>
        <w:kern w:val="32"/>
        <w:sz w:val="24"/>
        <w:szCs w:val="24"/>
      </w:rPr>
      <w:drawing>
        <wp:inline distT="0" distB="0" distL="0" distR="0" wp14:anchorId="7A6E8F1E" wp14:editId="7E757D69">
          <wp:extent cx="4464050" cy="634365"/>
          <wp:effectExtent l="0" t="0" r="0" b="0"/>
          <wp:docPr id="2" name="Picture 2"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ADC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65421" cy="6347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6C4B"/>
    <w:multiLevelType w:val="hybridMultilevel"/>
    <w:tmpl w:val="F6E65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63528C"/>
    <w:multiLevelType w:val="hybridMultilevel"/>
    <w:tmpl w:val="1826D5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0E97029"/>
    <w:multiLevelType w:val="hybridMultilevel"/>
    <w:tmpl w:val="64D002B8"/>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
    <w:nsid w:val="1233623C"/>
    <w:multiLevelType w:val="hybridMultilevel"/>
    <w:tmpl w:val="6A689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ADA4888"/>
    <w:multiLevelType w:val="hybridMultilevel"/>
    <w:tmpl w:val="AAAE5730"/>
    <w:lvl w:ilvl="0" w:tplc="86B69BBE">
      <w:start w:val="1"/>
      <w:numFmt w:val="bullet"/>
      <w:lvlText w:val="o"/>
      <w:lvlJc w:val="left"/>
      <w:pPr>
        <w:ind w:left="2160" w:hanging="360"/>
      </w:pPr>
      <w:rPr>
        <w:rFonts w:ascii="Courier New" w:hAnsi="Courier New" w:hint="default"/>
        <w:sz w:val="1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nsid w:val="214164D4"/>
    <w:multiLevelType w:val="hybridMultilevel"/>
    <w:tmpl w:val="B156BEB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19A3CF9"/>
    <w:multiLevelType w:val="hybridMultilevel"/>
    <w:tmpl w:val="C4DE3574"/>
    <w:lvl w:ilvl="0" w:tplc="03ECE808">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4C2D14"/>
    <w:multiLevelType w:val="hybridMultilevel"/>
    <w:tmpl w:val="1B9ED062"/>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C335ED5"/>
    <w:multiLevelType w:val="hybridMultilevel"/>
    <w:tmpl w:val="CF7A2B26"/>
    <w:lvl w:ilvl="0" w:tplc="CE10CB8C">
      <w:start w:val="1"/>
      <w:numFmt w:val="bullet"/>
      <w:lvlText w:val=""/>
      <w:lvlJc w:val="left"/>
      <w:pPr>
        <w:ind w:left="1440" w:hanging="360"/>
      </w:pPr>
      <w:rPr>
        <w:rFonts w:ascii="Symbol" w:hAnsi="Symbol" w:hint="default"/>
        <w:sz w:val="18"/>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BDA596A"/>
    <w:multiLevelType w:val="hybridMultilevel"/>
    <w:tmpl w:val="261C4730"/>
    <w:lvl w:ilvl="0" w:tplc="B39635AC">
      <w:start w:val="1"/>
      <w:numFmt w:val="bullet"/>
      <w:lvlText w:val=""/>
      <w:lvlJc w:val="left"/>
      <w:pPr>
        <w:ind w:left="1080" w:hanging="360"/>
      </w:pPr>
      <w:rPr>
        <w:rFonts w:ascii="Symbol" w:hAnsi="Symbol" w:hint="default"/>
        <w:sz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40937FC1"/>
    <w:multiLevelType w:val="multilevel"/>
    <w:tmpl w:val="05A0454C"/>
    <w:lvl w:ilvl="0">
      <w:start w:val="1"/>
      <w:numFmt w:val="decimal"/>
      <w:lvlText w:val="%1."/>
      <w:lvlJc w:val="left"/>
      <w:pPr>
        <w:tabs>
          <w:tab w:val="num" w:pos="1495"/>
        </w:tabs>
        <w:ind w:left="1495" w:hanging="360"/>
      </w:pPr>
      <w:rPr>
        <w:rFonts w:hint="default"/>
        <w:sz w:val="22"/>
      </w:r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11">
    <w:nsid w:val="455801BB"/>
    <w:multiLevelType w:val="hybridMultilevel"/>
    <w:tmpl w:val="33CA39FA"/>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nsid w:val="4C3372D6"/>
    <w:multiLevelType w:val="hybridMultilevel"/>
    <w:tmpl w:val="7ABE6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CD40682"/>
    <w:multiLevelType w:val="hybridMultilevel"/>
    <w:tmpl w:val="9D3462C8"/>
    <w:lvl w:ilvl="0" w:tplc="E06C3886">
      <w:start w:val="1"/>
      <w:numFmt w:val="bullet"/>
      <w:lvlText w:val=""/>
      <w:lvlJc w:val="left"/>
      <w:pPr>
        <w:ind w:left="1440" w:hanging="360"/>
      </w:pPr>
      <w:rPr>
        <w:rFonts w:ascii="Symbol" w:hAnsi="Symbol"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9860210"/>
    <w:multiLevelType w:val="hybridMultilevel"/>
    <w:tmpl w:val="AFE67A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10"/>
  </w:num>
  <w:num w:numId="4">
    <w:abstractNumId w:val="3"/>
  </w:num>
  <w:num w:numId="5">
    <w:abstractNumId w:val="11"/>
  </w:num>
  <w:num w:numId="6">
    <w:abstractNumId w:val="5"/>
  </w:num>
  <w:num w:numId="7">
    <w:abstractNumId w:val="0"/>
  </w:num>
  <w:num w:numId="8">
    <w:abstractNumId w:val="14"/>
  </w:num>
  <w:num w:numId="9">
    <w:abstractNumId w:val="12"/>
  </w:num>
  <w:num w:numId="10">
    <w:abstractNumId w:val="1"/>
  </w:num>
  <w:num w:numId="11">
    <w:abstractNumId w:val="13"/>
  </w:num>
  <w:num w:numId="12">
    <w:abstractNumId w:val="8"/>
  </w:num>
  <w:num w:numId="13">
    <w:abstractNumId w:val="6"/>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08"/>
    <w:rsid w:val="0000391B"/>
    <w:rsid w:val="00003B82"/>
    <w:rsid w:val="00003F78"/>
    <w:rsid w:val="00004F6D"/>
    <w:rsid w:val="000068ED"/>
    <w:rsid w:val="00007E84"/>
    <w:rsid w:val="00011136"/>
    <w:rsid w:val="00013476"/>
    <w:rsid w:val="0001411C"/>
    <w:rsid w:val="00015780"/>
    <w:rsid w:val="000163D7"/>
    <w:rsid w:val="00016D53"/>
    <w:rsid w:val="00017078"/>
    <w:rsid w:val="000179CB"/>
    <w:rsid w:val="00017E86"/>
    <w:rsid w:val="00020527"/>
    <w:rsid w:val="0002119C"/>
    <w:rsid w:val="000220A6"/>
    <w:rsid w:val="000234B9"/>
    <w:rsid w:val="0002361B"/>
    <w:rsid w:val="00024EFE"/>
    <w:rsid w:val="0002536F"/>
    <w:rsid w:val="00025728"/>
    <w:rsid w:val="0002609A"/>
    <w:rsid w:val="00031DD0"/>
    <w:rsid w:val="000322FE"/>
    <w:rsid w:val="00032F07"/>
    <w:rsid w:val="00033472"/>
    <w:rsid w:val="000348F6"/>
    <w:rsid w:val="00036DC3"/>
    <w:rsid w:val="00041217"/>
    <w:rsid w:val="00041BD9"/>
    <w:rsid w:val="0004281E"/>
    <w:rsid w:val="00043B25"/>
    <w:rsid w:val="00044A9C"/>
    <w:rsid w:val="00045054"/>
    <w:rsid w:val="000460AF"/>
    <w:rsid w:val="0005028D"/>
    <w:rsid w:val="00051150"/>
    <w:rsid w:val="00051828"/>
    <w:rsid w:val="0005309B"/>
    <w:rsid w:val="0005313E"/>
    <w:rsid w:val="00055C9D"/>
    <w:rsid w:val="00055F43"/>
    <w:rsid w:val="00056332"/>
    <w:rsid w:val="000578BC"/>
    <w:rsid w:val="00060FC5"/>
    <w:rsid w:val="00062F4B"/>
    <w:rsid w:val="000635C6"/>
    <w:rsid w:val="00063CF0"/>
    <w:rsid w:val="00065936"/>
    <w:rsid w:val="000667C3"/>
    <w:rsid w:val="00066A25"/>
    <w:rsid w:val="00067316"/>
    <w:rsid w:val="00073E43"/>
    <w:rsid w:val="000743AF"/>
    <w:rsid w:val="00080AC9"/>
    <w:rsid w:val="00080C95"/>
    <w:rsid w:val="00081747"/>
    <w:rsid w:val="00081F5F"/>
    <w:rsid w:val="000824C5"/>
    <w:rsid w:val="00082607"/>
    <w:rsid w:val="0008430C"/>
    <w:rsid w:val="0009035A"/>
    <w:rsid w:val="00091526"/>
    <w:rsid w:val="000948D3"/>
    <w:rsid w:val="00095858"/>
    <w:rsid w:val="000964EF"/>
    <w:rsid w:val="00096528"/>
    <w:rsid w:val="00096B06"/>
    <w:rsid w:val="0009723A"/>
    <w:rsid w:val="00097471"/>
    <w:rsid w:val="000A09AE"/>
    <w:rsid w:val="000A139C"/>
    <w:rsid w:val="000A233D"/>
    <w:rsid w:val="000A3CC1"/>
    <w:rsid w:val="000A41CE"/>
    <w:rsid w:val="000A564E"/>
    <w:rsid w:val="000A678B"/>
    <w:rsid w:val="000A7D9C"/>
    <w:rsid w:val="000A7F7E"/>
    <w:rsid w:val="000B0578"/>
    <w:rsid w:val="000B2EB2"/>
    <w:rsid w:val="000B5A7E"/>
    <w:rsid w:val="000B6E32"/>
    <w:rsid w:val="000B7CB1"/>
    <w:rsid w:val="000C3346"/>
    <w:rsid w:val="000C47F2"/>
    <w:rsid w:val="000C52A4"/>
    <w:rsid w:val="000C5E25"/>
    <w:rsid w:val="000C67D5"/>
    <w:rsid w:val="000D1EB0"/>
    <w:rsid w:val="000D33EC"/>
    <w:rsid w:val="000D398F"/>
    <w:rsid w:val="000D4E44"/>
    <w:rsid w:val="000D6171"/>
    <w:rsid w:val="000D7505"/>
    <w:rsid w:val="000D761D"/>
    <w:rsid w:val="000E0361"/>
    <w:rsid w:val="000E4CD7"/>
    <w:rsid w:val="000E5AF9"/>
    <w:rsid w:val="000E74EE"/>
    <w:rsid w:val="000E7D7A"/>
    <w:rsid w:val="000F026E"/>
    <w:rsid w:val="000F0996"/>
    <w:rsid w:val="000F09F8"/>
    <w:rsid w:val="000F0DB8"/>
    <w:rsid w:val="000F1303"/>
    <w:rsid w:val="000F228A"/>
    <w:rsid w:val="000F251F"/>
    <w:rsid w:val="000F3038"/>
    <w:rsid w:val="000F6E80"/>
    <w:rsid w:val="000F78A2"/>
    <w:rsid w:val="00100E4E"/>
    <w:rsid w:val="00101332"/>
    <w:rsid w:val="00101B4C"/>
    <w:rsid w:val="001028E5"/>
    <w:rsid w:val="00103E6D"/>
    <w:rsid w:val="00104B2C"/>
    <w:rsid w:val="001054F3"/>
    <w:rsid w:val="00106CDA"/>
    <w:rsid w:val="001114CE"/>
    <w:rsid w:val="00111B5F"/>
    <w:rsid w:val="00112425"/>
    <w:rsid w:val="001128FA"/>
    <w:rsid w:val="00114E49"/>
    <w:rsid w:val="00114F6A"/>
    <w:rsid w:val="0011642F"/>
    <w:rsid w:val="00116835"/>
    <w:rsid w:val="00116D8D"/>
    <w:rsid w:val="00116D97"/>
    <w:rsid w:val="00117492"/>
    <w:rsid w:val="00117A7C"/>
    <w:rsid w:val="0012065F"/>
    <w:rsid w:val="0012095C"/>
    <w:rsid w:val="001257BA"/>
    <w:rsid w:val="001269E3"/>
    <w:rsid w:val="00131039"/>
    <w:rsid w:val="00131B8D"/>
    <w:rsid w:val="001320A5"/>
    <w:rsid w:val="00132EDC"/>
    <w:rsid w:val="00133372"/>
    <w:rsid w:val="00135CF4"/>
    <w:rsid w:val="00137575"/>
    <w:rsid w:val="00140096"/>
    <w:rsid w:val="00140BC9"/>
    <w:rsid w:val="00140D4D"/>
    <w:rsid w:val="0014131D"/>
    <w:rsid w:val="00143B2A"/>
    <w:rsid w:val="00145F70"/>
    <w:rsid w:val="0014704F"/>
    <w:rsid w:val="00151C1D"/>
    <w:rsid w:val="00152107"/>
    <w:rsid w:val="00153866"/>
    <w:rsid w:val="00154302"/>
    <w:rsid w:val="00154396"/>
    <w:rsid w:val="001550F2"/>
    <w:rsid w:val="00155753"/>
    <w:rsid w:val="00160EB4"/>
    <w:rsid w:val="00162564"/>
    <w:rsid w:val="00163043"/>
    <w:rsid w:val="00165425"/>
    <w:rsid w:val="00165FBB"/>
    <w:rsid w:val="00166AF7"/>
    <w:rsid w:val="00167DC6"/>
    <w:rsid w:val="00172119"/>
    <w:rsid w:val="0017234B"/>
    <w:rsid w:val="001759EB"/>
    <w:rsid w:val="00175D4D"/>
    <w:rsid w:val="00175DF8"/>
    <w:rsid w:val="00176598"/>
    <w:rsid w:val="001804C2"/>
    <w:rsid w:val="00180784"/>
    <w:rsid w:val="00181136"/>
    <w:rsid w:val="001834DA"/>
    <w:rsid w:val="001835E3"/>
    <w:rsid w:val="00183F27"/>
    <w:rsid w:val="00184040"/>
    <w:rsid w:val="001846BD"/>
    <w:rsid w:val="0018575B"/>
    <w:rsid w:val="0019047C"/>
    <w:rsid w:val="00190974"/>
    <w:rsid w:val="00191620"/>
    <w:rsid w:val="00191C7D"/>
    <w:rsid w:val="0019338E"/>
    <w:rsid w:val="001937BA"/>
    <w:rsid w:val="00194828"/>
    <w:rsid w:val="00194F91"/>
    <w:rsid w:val="0019771C"/>
    <w:rsid w:val="00197B4E"/>
    <w:rsid w:val="001A025F"/>
    <w:rsid w:val="001A038A"/>
    <w:rsid w:val="001A083D"/>
    <w:rsid w:val="001A096C"/>
    <w:rsid w:val="001A09D4"/>
    <w:rsid w:val="001A1039"/>
    <w:rsid w:val="001A4A38"/>
    <w:rsid w:val="001A505D"/>
    <w:rsid w:val="001B0AE4"/>
    <w:rsid w:val="001B31DF"/>
    <w:rsid w:val="001B4B7B"/>
    <w:rsid w:val="001B6024"/>
    <w:rsid w:val="001B6878"/>
    <w:rsid w:val="001B7C24"/>
    <w:rsid w:val="001B7D1D"/>
    <w:rsid w:val="001C1307"/>
    <w:rsid w:val="001C5528"/>
    <w:rsid w:val="001C655C"/>
    <w:rsid w:val="001C6FD6"/>
    <w:rsid w:val="001D0795"/>
    <w:rsid w:val="001D0A8D"/>
    <w:rsid w:val="001D16D8"/>
    <w:rsid w:val="001D1C73"/>
    <w:rsid w:val="001D3B4A"/>
    <w:rsid w:val="001D79D1"/>
    <w:rsid w:val="001D7E7D"/>
    <w:rsid w:val="001E1BA5"/>
    <w:rsid w:val="001E3644"/>
    <w:rsid w:val="001E3789"/>
    <w:rsid w:val="001E3C87"/>
    <w:rsid w:val="001E7F94"/>
    <w:rsid w:val="001F0484"/>
    <w:rsid w:val="001F1144"/>
    <w:rsid w:val="001F1B54"/>
    <w:rsid w:val="001F34DC"/>
    <w:rsid w:val="001F3E9F"/>
    <w:rsid w:val="001F4966"/>
    <w:rsid w:val="001F62CC"/>
    <w:rsid w:val="001F69DD"/>
    <w:rsid w:val="001F7116"/>
    <w:rsid w:val="00201CE1"/>
    <w:rsid w:val="00202736"/>
    <w:rsid w:val="00203522"/>
    <w:rsid w:val="002042AF"/>
    <w:rsid w:val="00204B3A"/>
    <w:rsid w:val="0020776B"/>
    <w:rsid w:val="00207F78"/>
    <w:rsid w:val="00207F79"/>
    <w:rsid w:val="00210980"/>
    <w:rsid w:val="00210C32"/>
    <w:rsid w:val="00215F9C"/>
    <w:rsid w:val="0021689C"/>
    <w:rsid w:val="00220B4D"/>
    <w:rsid w:val="00220CC0"/>
    <w:rsid w:val="00221098"/>
    <w:rsid w:val="00221F78"/>
    <w:rsid w:val="002226CC"/>
    <w:rsid w:val="00222B64"/>
    <w:rsid w:val="00223B38"/>
    <w:rsid w:val="00227845"/>
    <w:rsid w:val="002311B4"/>
    <w:rsid w:val="002317A1"/>
    <w:rsid w:val="0023230B"/>
    <w:rsid w:val="002334EF"/>
    <w:rsid w:val="00233B57"/>
    <w:rsid w:val="00234C94"/>
    <w:rsid w:val="00235FDB"/>
    <w:rsid w:val="00236615"/>
    <w:rsid w:val="00236E56"/>
    <w:rsid w:val="00242359"/>
    <w:rsid w:val="00242F6E"/>
    <w:rsid w:val="002443B7"/>
    <w:rsid w:val="00245F47"/>
    <w:rsid w:val="00247D1F"/>
    <w:rsid w:val="002502FA"/>
    <w:rsid w:val="00250ED7"/>
    <w:rsid w:val="00252534"/>
    <w:rsid w:val="0025330C"/>
    <w:rsid w:val="00253D8B"/>
    <w:rsid w:val="00254C56"/>
    <w:rsid w:val="00254F86"/>
    <w:rsid w:val="002570C1"/>
    <w:rsid w:val="002638FC"/>
    <w:rsid w:val="002645DB"/>
    <w:rsid w:val="00264E25"/>
    <w:rsid w:val="002661B2"/>
    <w:rsid w:val="002726D7"/>
    <w:rsid w:val="00272AFC"/>
    <w:rsid w:val="002730FC"/>
    <w:rsid w:val="00273E79"/>
    <w:rsid w:val="0027713E"/>
    <w:rsid w:val="00282AE8"/>
    <w:rsid w:val="00286003"/>
    <w:rsid w:val="00286B73"/>
    <w:rsid w:val="00287595"/>
    <w:rsid w:val="002876F3"/>
    <w:rsid w:val="00287CF1"/>
    <w:rsid w:val="00290AC4"/>
    <w:rsid w:val="002910E6"/>
    <w:rsid w:val="002931EC"/>
    <w:rsid w:val="00294B1A"/>
    <w:rsid w:val="002952E8"/>
    <w:rsid w:val="0029653B"/>
    <w:rsid w:val="0029711B"/>
    <w:rsid w:val="00297DD9"/>
    <w:rsid w:val="002A1A24"/>
    <w:rsid w:val="002A74C1"/>
    <w:rsid w:val="002A7A58"/>
    <w:rsid w:val="002B13F4"/>
    <w:rsid w:val="002B47AA"/>
    <w:rsid w:val="002B56DE"/>
    <w:rsid w:val="002B5AA5"/>
    <w:rsid w:val="002B7138"/>
    <w:rsid w:val="002C0658"/>
    <w:rsid w:val="002C0EB2"/>
    <w:rsid w:val="002C38DE"/>
    <w:rsid w:val="002C3F5F"/>
    <w:rsid w:val="002C5C83"/>
    <w:rsid w:val="002C5C9D"/>
    <w:rsid w:val="002D038F"/>
    <w:rsid w:val="002D212C"/>
    <w:rsid w:val="002D28EA"/>
    <w:rsid w:val="002D31A7"/>
    <w:rsid w:val="002D35DF"/>
    <w:rsid w:val="002D4B40"/>
    <w:rsid w:val="002D5662"/>
    <w:rsid w:val="002D58A3"/>
    <w:rsid w:val="002D6691"/>
    <w:rsid w:val="002D7244"/>
    <w:rsid w:val="002D7E5C"/>
    <w:rsid w:val="002E174D"/>
    <w:rsid w:val="002E18AD"/>
    <w:rsid w:val="002E2E24"/>
    <w:rsid w:val="002E39C1"/>
    <w:rsid w:val="002E64B1"/>
    <w:rsid w:val="002F0D03"/>
    <w:rsid w:val="002F27CA"/>
    <w:rsid w:val="002F2CD0"/>
    <w:rsid w:val="002F3312"/>
    <w:rsid w:val="002F39F8"/>
    <w:rsid w:val="002F6219"/>
    <w:rsid w:val="002F64FD"/>
    <w:rsid w:val="002F7808"/>
    <w:rsid w:val="00300CAD"/>
    <w:rsid w:val="00300DF7"/>
    <w:rsid w:val="0030544B"/>
    <w:rsid w:val="00307422"/>
    <w:rsid w:val="00310D9B"/>
    <w:rsid w:val="00311884"/>
    <w:rsid w:val="0031224E"/>
    <w:rsid w:val="00313C9A"/>
    <w:rsid w:val="00313CDA"/>
    <w:rsid w:val="00313D5A"/>
    <w:rsid w:val="00315A13"/>
    <w:rsid w:val="00317CAD"/>
    <w:rsid w:val="0032150E"/>
    <w:rsid w:val="0032187C"/>
    <w:rsid w:val="00323051"/>
    <w:rsid w:val="00323F2B"/>
    <w:rsid w:val="00324D1C"/>
    <w:rsid w:val="00326AB0"/>
    <w:rsid w:val="00330C32"/>
    <w:rsid w:val="00331450"/>
    <w:rsid w:val="00332DDF"/>
    <w:rsid w:val="0033397F"/>
    <w:rsid w:val="00334FE0"/>
    <w:rsid w:val="003356F2"/>
    <w:rsid w:val="00335FD3"/>
    <w:rsid w:val="0033693D"/>
    <w:rsid w:val="00340770"/>
    <w:rsid w:val="003409B5"/>
    <w:rsid w:val="0034225B"/>
    <w:rsid w:val="003443B7"/>
    <w:rsid w:val="0034442F"/>
    <w:rsid w:val="003446EF"/>
    <w:rsid w:val="00345574"/>
    <w:rsid w:val="003455FC"/>
    <w:rsid w:val="00347044"/>
    <w:rsid w:val="00347234"/>
    <w:rsid w:val="00350625"/>
    <w:rsid w:val="0035192C"/>
    <w:rsid w:val="00352993"/>
    <w:rsid w:val="003569F3"/>
    <w:rsid w:val="00357E0F"/>
    <w:rsid w:val="003607F9"/>
    <w:rsid w:val="0036160A"/>
    <w:rsid w:val="00361768"/>
    <w:rsid w:val="003623A9"/>
    <w:rsid w:val="00362567"/>
    <w:rsid w:val="00362901"/>
    <w:rsid w:val="003641E8"/>
    <w:rsid w:val="003650C7"/>
    <w:rsid w:val="0036668C"/>
    <w:rsid w:val="00366F5D"/>
    <w:rsid w:val="00366FD4"/>
    <w:rsid w:val="00367A38"/>
    <w:rsid w:val="00371C6F"/>
    <w:rsid w:val="00372371"/>
    <w:rsid w:val="003736CC"/>
    <w:rsid w:val="003743D2"/>
    <w:rsid w:val="003758AD"/>
    <w:rsid w:val="00376720"/>
    <w:rsid w:val="00376E2E"/>
    <w:rsid w:val="00380597"/>
    <w:rsid w:val="00380E53"/>
    <w:rsid w:val="00380EB7"/>
    <w:rsid w:val="003811A1"/>
    <w:rsid w:val="003832E8"/>
    <w:rsid w:val="00383C39"/>
    <w:rsid w:val="003846E2"/>
    <w:rsid w:val="00384BC1"/>
    <w:rsid w:val="00385580"/>
    <w:rsid w:val="00385D9E"/>
    <w:rsid w:val="00386CAC"/>
    <w:rsid w:val="00386E6A"/>
    <w:rsid w:val="00390AAA"/>
    <w:rsid w:val="00390D0F"/>
    <w:rsid w:val="00390EFA"/>
    <w:rsid w:val="00391B3B"/>
    <w:rsid w:val="00392744"/>
    <w:rsid w:val="00392B40"/>
    <w:rsid w:val="00393254"/>
    <w:rsid w:val="00394B2E"/>
    <w:rsid w:val="00394D34"/>
    <w:rsid w:val="00396669"/>
    <w:rsid w:val="00396686"/>
    <w:rsid w:val="00396B68"/>
    <w:rsid w:val="00396D87"/>
    <w:rsid w:val="003979AF"/>
    <w:rsid w:val="003A3123"/>
    <w:rsid w:val="003A7387"/>
    <w:rsid w:val="003A75FE"/>
    <w:rsid w:val="003B1730"/>
    <w:rsid w:val="003B2C32"/>
    <w:rsid w:val="003B3A0D"/>
    <w:rsid w:val="003B4FEF"/>
    <w:rsid w:val="003B5A91"/>
    <w:rsid w:val="003B65CC"/>
    <w:rsid w:val="003C1190"/>
    <w:rsid w:val="003C3CCA"/>
    <w:rsid w:val="003C44C6"/>
    <w:rsid w:val="003C4590"/>
    <w:rsid w:val="003C54A7"/>
    <w:rsid w:val="003C7ACB"/>
    <w:rsid w:val="003D1359"/>
    <w:rsid w:val="003D221B"/>
    <w:rsid w:val="003D5074"/>
    <w:rsid w:val="003D55DE"/>
    <w:rsid w:val="003D56C9"/>
    <w:rsid w:val="003D5BBA"/>
    <w:rsid w:val="003E0226"/>
    <w:rsid w:val="003E12F0"/>
    <w:rsid w:val="003E4208"/>
    <w:rsid w:val="003E5FEE"/>
    <w:rsid w:val="003E6CE2"/>
    <w:rsid w:val="003F2010"/>
    <w:rsid w:val="003F6889"/>
    <w:rsid w:val="003F6B9A"/>
    <w:rsid w:val="003F7C05"/>
    <w:rsid w:val="003F7CF1"/>
    <w:rsid w:val="004004F8"/>
    <w:rsid w:val="00404CB9"/>
    <w:rsid w:val="00407C73"/>
    <w:rsid w:val="00407DA3"/>
    <w:rsid w:val="00411342"/>
    <w:rsid w:val="00414228"/>
    <w:rsid w:val="00415236"/>
    <w:rsid w:val="00423477"/>
    <w:rsid w:val="00425B98"/>
    <w:rsid w:val="00426E94"/>
    <w:rsid w:val="00430A05"/>
    <w:rsid w:val="004341B9"/>
    <w:rsid w:val="004408C5"/>
    <w:rsid w:val="004436F2"/>
    <w:rsid w:val="00444552"/>
    <w:rsid w:val="00445736"/>
    <w:rsid w:val="0044622F"/>
    <w:rsid w:val="00452930"/>
    <w:rsid w:val="004529EE"/>
    <w:rsid w:val="00454396"/>
    <w:rsid w:val="00454A84"/>
    <w:rsid w:val="00454D1E"/>
    <w:rsid w:val="00456415"/>
    <w:rsid w:val="00456596"/>
    <w:rsid w:val="00456766"/>
    <w:rsid w:val="0046211F"/>
    <w:rsid w:val="00463EEC"/>
    <w:rsid w:val="00464786"/>
    <w:rsid w:val="00464884"/>
    <w:rsid w:val="00467100"/>
    <w:rsid w:val="0047088F"/>
    <w:rsid w:val="00470F16"/>
    <w:rsid w:val="00471470"/>
    <w:rsid w:val="004720C6"/>
    <w:rsid w:val="00472B54"/>
    <w:rsid w:val="004736EC"/>
    <w:rsid w:val="00473B66"/>
    <w:rsid w:val="00473CD2"/>
    <w:rsid w:val="00474499"/>
    <w:rsid w:val="004747D0"/>
    <w:rsid w:val="00474A44"/>
    <w:rsid w:val="0048100D"/>
    <w:rsid w:val="00483273"/>
    <w:rsid w:val="0048430D"/>
    <w:rsid w:val="00485844"/>
    <w:rsid w:val="00485943"/>
    <w:rsid w:val="0048699B"/>
    <w:rsid w:val="00493AE0"/>
    <w:rsid w:val="00494800"/>
    <w:rsid w:val="00494FF4"/>
    <w:rsid w:val="004952E4"/>
    <w:rsid w:val="004958AE"/>
    <w:rsid w:val="00497039"/>
    <w:rsid w:val="0049768D"/>
    <w:rsid w:val="004A1B4E"/>
    <w:rsid w:val="004A2E87"/>
    <w:rsid w:val="004A406E"/>
    <w:rsid w:val="004A516A"/>
    <w:rsid w:val="004A6154"/>
    <w:rsid w:val="004A64FA"/>
    <w:rsid w:val="004A79BA"/>
    <w:rsid w:val="004B1BA7"/>
    <w:rsid w:val="004B5556"/>
    <w:rsid w:val="004B5986"/>
    <w:rsid w:val="004B5BCB"/>
    <w:rsid w:val="004B5F5E"/>
    <w:rsid w:val="004B7842"/>
    <w:rsid w:val="004B7A37"/>
    <w:rsid w:val="004C0DEB"/>
    <w:rsid w:val="004C11E7"/>
    <w:rsid w:val="004C2F4E"/>
    <w:rsid w:val="004C381A"/>
    <w:rsid w:val="004C3C52"/>
    <w:rsid w:val="004C49B8"/>
    <w:rsid w:val="004C58D4"/>
    <w:rsid w:val="004C5B59"/>
    <w:rsid w:val="004C67C5"/>
    <w:rsid w:val="004C7283"/>
    <w:rsid w:val="004D0003"/>
    <w:rsid w:val="004D413C"/>
    <w:rsid w:val="004D4C00"/>
    <w:rsid w:val="004D6788"/>
    <w:rsid w:val="004E0A21"/>
    <w:rsid w:val="004E0CB9"/>
    <w:rsid w:val="004E1CBA"/>
    <w:rsid w:val="004E2242"/>
    <w:rsid w:val="004E2578"/>
    <w:rsid w:val="004E4D72"/>
    <w:rsid w:val="004E5C7D"/>
    <w:rsid w:val="004E615E"/>
    <w:rsid w:val="004E75D8"/>
    <w:rsid w:val="004E7783"/>
    <w:rsid w:val="004F05C2"/>
    <w:rsid w:val="004F0817"/>
    <w:rsid w:val="004F0E56"/>
    <w:rsid w:val="004F13BF"/>
    <w:rsid w:val="004F1940"/>
    <w:rsid w:val="004F4DB6"/>
    <w:rsid w:val="004F7914"/>
    <w:rsid w:val="004F7B99"/>
    <w:rsid w:val="004F7E28"/>
    <w:rsid w:val="00500319"/>
    <w:rsid w:val="00500895"/>
    <w:rsid w:val="005012E9"/>
    <w:rsid w:val="005020A8"/>
    <w:rsid w:val="00503464"/>
    <w:rsid w:val="00505581"/>
    <w:rsid w:val="0050627E"/>
    <w:rsid w:val="00506614"/>
    <w:rsid w:val="0051065A"/>
    <w:rsid w:val="00510B58"/>
    <w:rsid w:val="00511C09"/>
    <w:rsid w:val="00513E71"/>
    <w:rsid w:val="00514EAC"/>
    <w:rsid w:val="00515129"/>
    <w:rsid w:val="00515992"/>
    <w:rsid w:val="00520E51"/>
    <w:rsid w:val="00523C8B"/>
    <w:rsid w:val="00523D73"/>
    <w:rsid w:val="005246CF"/>
    <w:rsid w:val="00524935"/>
    <w:rsid w:val="00524B50"/>
    <w:rsid w:val="00525963"/>
    <w:rsid w:val="005262B3"/>
    <w:rsid w:val="0052746C"/>
    <w:rsid w:val="00527FF5"/>
    <w:rsid w:val="0053015E"/>
    <w:rsid w:val="00530C05"/>
    <w:rsid w:val="00531897"/>
    <w:rsid w:val="005320B3"/>
    <w:rsid w:val="0053450C"/>
    <w:rsid w:val="0053501C"/>
    <w:rsid w:val="005360E0"/>
    <w:rsid w:val="00536B87"/>
    <w:rsid w:val="00537C31"/>
    <w:rsid w:val="00541736"/>
    <w:rsid w:val="00542964"/>
    <w:rsid w:val="0054328C"/>
    <w:rsid w:val="005432A2"/>
    <w:rsid w:val="005435C7"/>
    <w:rsid w:val="005459C9"/>
    <w:rsid w:val="00545B83"/>
    <w:rsid w:val="0054737B"/>
    <w:rsid w:val="00551C72"/>
    <w:rsid w:val="005530BE"/>
    <w:rsid w:val="00554E49"/>
    <w:rsid w:val="0055626D"/>
    <w:rsid w:val="005570FF"/>
    <w:rsid w:val="00557E9C"/>
    <w:rsid w:val="00560CB7"/>
    <w:rsid w:val="00560D62"/>
    <w:rsid w:val="005615A5"/>
    <w:rsid w:val="00561A14"/>
    <w:rsid w:val="005624F7"/>
    <w:rsid w:val="005643B3"/>
    <w:rsid w:val="00564FB9"/>
    <w:rsid w:val="00565A26"/>
    <w:rsid w:val="0056718C"/>
    <w:rsid w:val="005709F3"/>
    <w:rsid w:val="005736C3"/>
    <w:rsid w:val="005757F4"/>
    <w:rsid w:val="00577A19"/>
    <w:rsid w:val="0058080D"/>
    <w:rsid w:val="0058102F"/>
    <w:rsid w:val="00582C9C"/>
    <w:rsid w:val="00582DDE"/>
    <w:rsid w:val="00583342"/>
    <w:rsid w:val="005858E3"/>
    <w:rsid w:val="005866C0"/>
    <w:rsid w:val="00587AC8"/>
    <w:rsid w:val="00592DC9"/>
    <w:rsid w:val="005938F3"/>
    <w:rsid w:val="00594E08"/>
    <w:rsid w:val="00595F20"/>
    <w:rsid w:val="0059693B"/>
    <w:rsid w:val="005970A4"/>
    <w:rsid w:val="00597A58"/>
    <w:rsid w:val="005A041E"/>
    <w:rsid w:val="005A0E3D"/>
    <w:rsid w:val="005A0E8F"/>
    <w:rsid w:val="005A16F3"/>
    <w:rsid w:val="005A1D2D"/>
    <w:rsid w:val="005A2839"/>
    <w:rsid w:val="005A2CEF"/>
    <w:rsid w:val="005A2E76"/>
    <w:rsid w:val="005A5771"/>
    <w:rsid w:val="005A6AB5"/>
    <w:rsid w:val="005A6CCE"/>
    <w:rsid w:val="005A6CDE"/>
    <w:rsid w:val="005B2371"/>
    <w:rsid w:val="005B3ED3"/>
    <w:rsid w:val="005B4700"/>
    <w:rsid w:val="005B4B12"/>
    <w:rsid w:val="005B4D2A"/>
    <w:rsid w:val="005B57F3"/>
    <w:rsid w:val="005B5F15"/>
    <w:rsid w:val="005B62E6"/>
    <w:rsid w:val="005B7C1E"/>
    <w:rsid w:val="005C2455"/>
    <w:rsid w:val="005C2B77"/>
    <w:rsid w:val="005C2E70"/>
    <w:rsid w:val="005C4320"/>
    <w:rsid w:val="005C4811"/>
    <w:rsid w:val="005C6B81"/>
    <w:rsid w:val="005D061D"/>
    <w:rsid w:val="005D4472"/>
    <w:rsid w:val="005D4695"/>
    <w:rsid w:val="005D4A38"/>
    <w:rsid w:val="005D767A"/>
    <w:rsid w:val="005D781A"/>
    <w:rsid w:val="005D7F38"/>
    <w:rsid w:val="005E0DF3"/>
    <w:rsid w:val="005E1285"/>
    <w:rsid w:val="005E2B1D"/>
    <w:rsid w:val="005E324C"/>
    <w:rsid w:val="005E44C8"/>
    <w:rsid w:val="005E5293"/>
    <w:rsid w:val="005F1FEA"/>
    <w:rsid w:val="005F3D5C"/>
    <w:rsid w:val="005F4612"/>
    <w:rsid w:val="005F4F0C"/>
    <w:rsid w:val="005F5303"/>
    <w:rsid w:val="005F70C4"/>
    <w:rsid w:val="00600BFE"/>
    <w:rsid w:val="006025A1"/>
    <w:rsid w:val="00604AE3"/>
    <w:rsid w:val="00606D63"/>
    <w:rsid w:val="0061141B"/>
    <w:rsid w:val="00611747"/>
    <w:rsid w:val="00612E54"/>
    <w:rsid w:val="00616C09"/>
    <w:rsid w:val="0061711B"/>
    <w:rsid w:val="006171A0"/>
    <w:rsid w:val="00617A59"/>
    <w:rsid w:val="00620143"/>
    <w:rsid w:val="00621320"/>
    <w:rsid w:val="00621875"/>
    <w:rsid w:val="00623203"/>
    <w:rsid w:val="006248A3"/>
    <w:rsid w:val="00625415"/>
    <w:rsid w:val="00625B53"/>
    <w:rsid w:val="00625D36"/>
    <w:rsid w:val="00627879"/>
    <w:rsid w:val="00627CE7"/>
    <w:rsid w:val="00631854"/>
    <w:rsid w:val="006331E9"/>
    <w:rsid w:val="00635CF3"/>
    <w:rsid w:val="00640009"/>
    <w:rsid w:val="00641AF1"/>
    <w:rsid w:val="006421C6"/>
    <w:rsid w:val="0064353B"/>
    <w:rsid w:val="00644101"/>
    <w:rsid w:val="00646CA5"/>
    <w:rsid w:val="00650423"/>
    <w:rsid w:val="00652CB1"/>
    <w:rsid w:val="00655A68"/>
    <w:rsid w:val="00660F47"/>
    <w:rsid w:val="0066171E"/>
    <w:rsid w:val="00663FA8"/>
    <w:rsid w:val="0066464C"/>
    <w:rsid w:val="006649A9"/>
    <w:rsid w:val="00665948"/>
    <w:rsid w:val="006672B5"/>
    <w:rsid w:val="00670368"/>
    <w:rsid w:val="006713D4"/>
    <w:rsid w:val="00673EE1"/>
    <w:rsid w:val="00675483"/>
    <w:rsid w:val="00676B1F"/>
    <w:rsid w:val="00676F83"/>
    <w:rsid w:val="006802C3"/>
    <w:rsid w:val="00680994"/>
    <w:rsid w:val="00680C44"/>
    <w:rsid w:val="00681531"/>
    <w:rsid w:val="00682D65"/>
    <w:rsid w:val="00683EEF"/>
    <w:rsid w:val="00684F7D"/>
    <w:rsid w:val="0068596A"/>
    <w:rsid w:val="00687624"/>
    <w:rsid w:val="00690D10"/>
    <w:rsid w:val="0069382A"/>
    <w:rsid w:val="00694148"/>
    <w:rsid w:val="0069556E"/>
    <w:rsid w:val="00696A00"/>
    <w:rsid w:val="0069707A"/>
    <w:rsid w:val="00697883"/>
    <w:rsid w:val="00697DDE"/>
    <w:rsid w:val="006A0E70"/>
    <w:rsid w:val="006A187B"/>
    <w:rsid w:val="006A32BB"/>
    <w:rsid w:val="006A3CD7"/>
    <w:rsid w:val="006A73D0"/>
    <w:rsid w:val="006B3688"/>
    <w:rsid w:val="006B4774"/>
    <w:rsid w:val="006B54A1"/>
    <w:rsid w:val="006B5CD1"/>
    <w:rsid w:val="006B605D"/>
    <w:rsid w:val="006B7C70"/>
    <w:rsid w:val="006C0135"/>
    <w:rsid w:val="006C0161"/>
    <w:rsid w:val="006C54C5"/>
    <w:rsid w:val="006C68C9"/>
    <w:rsid w:val="006C6D95"/>
    <w:rsid w:val="006C79D6"/>
    <w:rsid w:val="006D0C04"/>
    <w:rsid w:val="006D15C5"/>
    <w:rsid w:val="006D1A53"/>
    <w:rsid w:val="006D20B5"/>
    <w:rsid w:val="006D2145"/>
    <w:rsid w:val="006D64B6"/>
    <w:rsid w:val="006D6ED2"/>
    <w:rsid w:val="006D6FF1"/>
    <w:rsid w:val="006D759A"/>
    <w:rsid w:val="006D7C1C"/>
    <w:rsid w:val="006E026C"/>
    <w:rsid w:val="006E0712"/>
    <w:rsid w:val="006E11EF"/>
    <w:rsid w:val="006E17D1"/>
    <w:rsid w:val="006E1985"/>
    <w:rsid w:val="006E4FA1"/>
    <w:rsid w:val="006E5CCD"/>
    <w:rsid w:val="006E5DC9"/>
    <w:rsid w:val="006E735F"/>
    <w:rsid w:val="006F077E"/>
    <w:rsid w:val="006F1B4F"/>
    <w:rsid w:val="006F219E"/>
    <w:rsid w:val="006F3A46"/>
    <w:rsid w:val="006F4E11"/>
    <w:rsid w:val="006F5F52"/>
    <w:rsid w:val="006F6919"/>
    <w:rsid w:val="00700E76"/>
    <w:rsid w:val="007055A0"/>
    <w:rsid w:val="00705A14"/>
    <w:rsid w:val="00706400"/>
    <w:rsid w:val="007072AB"/>
    <w:rsid w:val="0070775A"/>
    <w:rsid w:val="007114A6"/>
    <w:rsid w:val="00711E18"/>
    <w:rsid w:val="0071278F"/>
    <w:rsid w:val="00712D44"/>
    <w:rsid w:val="0071582F"/>
    <w:rsid w:val="00715ADA"/>
    <w:rsid w:val="007169F0"/>
    <w:rsid w:val="00717B33"/>
    <w:rsid w:val="00724943"/>
    <w:rsid w:val="00725899"/>
    <w:rsid w:val="00725959"/>
    <w:rsid w:val="00725B29"/>
    <w:rsid w:val="007266F8"/>
    <w:rsid w:val="007267B8"/>
    <w:rsid w:val="007308F6"/>
    <w:rsid w:val="00730C41"/>
    <w:rsid w:val="007321C2"/>
    <w:rsid w:val="00732F3A"/>
    <w:rsid w:val="007336B2"/>
    <w:rsid w:val="007340AA"/>
    <w:rsid w:val="007349FB"/>
    <w:rsid w:val="00736312"/>
    <w:rsid w:val="00737C26"/>
    <w:rsid w:val="00740907"/>
    <w:rsid w:val="007427E1"/>
    <w:rsid w:val="00742E22"/>
    <w:rsid w:val="00742F60"/>
    <w:rsid w:val="007500AB"/>
    <w:rsid w:val="007517B6"/>
    <w:rsid w:val="007524CD"/>
    <w:rsid w:val="007529B7"/>
    <w:rsid w:val="00752C59"/>
    <w:rsid w:val="00755950"/>
    <w:rsid w:val="00756851"/>
    <w:rsid w:val="00756CC9"/>
    <w:rsid w:val="007620B7"/>
    <w:rsid w:val="00762E4E"/>
    <w:rsid w:val="00763AE3"/>
    <w:rsid w:val="00763F2F"/>
    <w:rsid w:val="0076411C"/>
    <w:rsid w:val="0076530F"/>
    <w:rsid w:val="007667F8"/>
    <w:rsid w:val="007669E6"/>
    <w:rsid w:val="00766F30"/>
    <w:rsid w:val="007671BF"/>
    <w:rsid w:val="00767562"/>
    <w:rsid w:val="0077086E"/>
    <w:rsid w:val="00773DE1"/>
    <w:rsid w:val="00774236"/>
    <w:rsid w:val="00775338"/>
    <w:rsid w:val="00775473"/>
    <w:rsid w:val="00776256"/>
    <w:rsid w:val="00776D03"/>
    <w:rsid w:val="00777483"/>
    <w:rsid w:val="00784A67"/>
    <w:rsid w:val="00785CEB"/>
    <w:rsid w:val="0078610E"/>
    <w:rsid w:val="00786B18"/>
    <w:rsid w:val="00786D85"/>
    <w:rsid w:val="00790055"/>
    <w:rsid w:val="00790DA1"/>
    <w:rsid w:val="00791A98"/>
    <w:rsid w:val="00792D3E"/>
    <w:rsid w:val="00792F2B"/>
    <w:rsid w:val="007934C1"/>
    <w:rsid w:val="00793F3B"/>
    <w:rsid w:val="00794219"/>
    <w:rsid w:val="007A0340"/>
    <w:rsid w:val="007A0E69"/>
    <w:rsid w:val="007A1423"/>
    <w:rsid w:val="007A15DD"/>
    <w:rsid w:val="007A2606"/>
    <w:rsid w:val="007A2961"/>
    <w:rsid w:val="007A2BE0"/>
    <w:rsid w:val="007A3840"/>
    <w:rsid w:val="007A5CC8"/>
    <w:rsid w:val="007A78E7"/>
    <w:rsid w:val="007B0413"/>
    <w:rsid w:val="007B0663"/>
    <w:rsid w:val="007B0B48"/>
    <w:rsid w:val="007B297F"/>
    <w:rsid w:val="007B68D7"/>
    <w:rsid w:val="007B6F5B"/>
    <w:rsid w:val="007B7673"/>
    <w:rsid w:val="007B7740"/>
    <w:rsid w:val="007B7F69"/>
    <w:rsid w:val="007C2DD7"/>
    <w:rsid w:val="007C336C"/>
    <w:rsid w:val="007C4D1E"/>
    <w:rsid w:val="007C537F"/>
    <w:rsid w:val="007C5E00"/>
    <w:rsid w:val="007C5F8F"/>
    <w:rsid w:val="007C6702"/>
    <w:rsid w:val="007C68A6"/>
    <w:rsid w:val="007C7772"/>
    <w:rsid w:val="007D0705"/>
    <w:rsid w:val="007D0DB9"/>
    <w:rsid w:val="007D27D7"/>
    <w:rsid w:val="007D28FA"/>
    <w:rsid w:val="007D3045"/>
    <w:rsid w:val="007D36F3"/>
    <w:rsid w:val="007D5E27"/>
    <w:rsid w:val="007E249E"/>
    <w:rsid w:val="007E320E"/>
    <w:rsid w:val="007E3929"/>
    <w:rsid w:val="007E4205"/>
    <w:rsid w:val="007E4462"/>
    <w:rsid w:val="007E5BBA"/>
    <w:rsid w:val="007E7733"/>
    <w:rsid w:val="007E788C"/>
    <w:rsid w:val="007F00D4"/>
    <w:rsid w:val="007F0575"/>
    <w:rsid w:val="007F111E"/>
    <w:rsid w:val="007F1A85"/>
    <w:rsid w:val="007F32F8"/>
    <w:rsid w:val="007F47B2"/>
    <w:rsid w:val="007F4860"/>
    <w:rsid w:val="007F500D"/>
    <w:rsid w:val="007F6390"/>
    <w:rsid w:val="00801B70"/>
    <w:rsid w:val="0080243D"/>
    <w:rsid w:val="008024A5"/>
    <w:rsid w:val="00805025"/>
    <w:rsid w:val="0081041E"/>
    <w:rsid w:val="00811BC7"/>
    <w:rsid w:val="008121D8"/>
    <w:rsid w:val="008147DB"/>
    <w:rsid w:val="0081515C"/>
    <w:rsid w:val="00815AC3"/>
    <w:rsid w:val="00816344"/>
    <w:rsid w:val="00816B66"/>
    <w:rsid w:val="00817E88"/>
    <w:rsid w:val="008206CC"/>
    <w:rsid w:val="008211F7"/>
    <w:rsid w:val="008227E2"/>
    <w:rsid w:val="00823E03"/>
    <w:rsid w:val="00825766"/>
    <w:rsid w:val="00827D5F"/>
    <w:rsid w:val="008306DC"/>
    <w:rsid w:val="00831EE9"/>
    <w:rsid w:val="0083357A"/>
    <w:rsid w:val="008335D3"/>
    <w:rsid w:val="008349A3"/>
    <w:rsid w:val="00835AA4"/>
    <w:rsid w:val="0083714E"/>
    <w:rsid w:val="008374F3"/>
    <w:rsid w:val="008376F9"/>
    <w:rsid w:val="00845556"/>
    <w:rsid w:val="0085146A"/>
    <w:rsid w:val="00851949"/>
    <w:rsid w:val="00852D86"/>
    <w:rsid w:val="00853F92"/>
    <w:rsid w:val="00854317"/>
    <w:rsid w:val="008552D5"/>
    <w:rsid w:val="00856822"/>
    <w:rsid w:val="0085794E"/>
    <w:rsid w:val="0086355B"/>
    <w:rsid w:val="00863930"/>
    <w:rsid w:val="0086514D"/>
    <w:rsid w:val="008654E4"/>
    <w:rsid w:val="0086624F"/>
    <w:rsid w:val="008668E9"/>
    <w:rsid w:val="00866DE6"/>
    <w:rsid w:val="008670F8"/>
    <w:rsid w:val="00870F23"/>
    <w:rsid w:val="00872B6D"/>
    <w:rsid w:val="00872E16"/>
    <w:rsid w:val="00875CDC"/>
    <w:rsid w:val="008777BB"/>
    <w:rsid w:val="00877ED0"/>
    <w:rsid w:val="008804A0"/>
    <w:rsid w:val="00881AC5"/>
    <w:rsid w:val="00882A6F"/>
    <w:rsid w:val="00890304"/>
    <w:rsid w:val="00891BDC"/>
    <w:rsid w:val="00892CAD"/>
    <w:rsid w:val="008939B0"/>
    <w:rsid w:val="00895A04"/>
    <w:rsid w:val="00896417"/>
    <w:rsid w:val="008A4875"/>
    <w:rsid w:val="008A4993"/>
    <w:rsid w:val="008A70DB"/>
    <w:rsid w:val="008B00D9"/>
    <w:rsid w:val="008B0BD7"/>
    <w:rsid w:val="008B3B7C"/>
    <w:rsid w:val="008B3F46"/>
    <w:rsid w:val="008B461F"/>
    <w:rsid w:val="008B517D"/>
    <w:rsid w:val="008B65E6"/>
    <w:rsid w:val="008B6F21"/>
    <w:rsid w:val="008B709C"/>
    <w:rsid w:val="008C1ADF"/>
    <w:rsid w:val="008C5A04"/>
    <w:rsid w:val="008C6826"/>
    <w:rsid w:val="008C6B17"/>
    <w:rsid w:val="008C70FC"/>
    <w:rsid w:val="008C7C05"/>
    <w:rsid w:val="008D11F2"/>
    <w:rsid w:val="008D3922"/>
    <w:rsid w:val="008D4411"/>
    <w:rsid w:val="008D4A15"/>
    <w:rsid w:val="008D4C98"/>
    <w:rsid w:val="008D59B3"/>
    <w:rsid w:val="008D7143"/>
    <w:rsid w:val="008E137E"/>
    <w:rsid w:val="008E1AAA"/>
    <w:rsid w:val="008E25D6"/>
    <w:rsid w:val="008E267B"/>
    <w:rsid w:val="008E297D"/>
    <w:rsid w:val="008E352E"/>
    <w:rsid w:val="008E3D4F"/>
    <w:rsid w:val="008E5CFC"/>
    <w:rsid w:val="008E6EF0"/>
    <w:rsid w:val="008E7425"/>
    <w:rsid w:val="008F0A57"/>
    <w:rsid w:val="008F19A1"/>
    <w:rsid w:val="008F3A5B"/>
    <w:rsid w:val="008F4BAC"/>
    <w:rsid w:val="008F5705"/>
    <w:rsid w:val="009004C2"/>
    <w:rsid w:val="009006B5"/>
    <w:rsid w:val="00902197"/>
    <w:rsid w:val="00902CA4"/>
    <w:rsid w:val="009040E5"/>
    <w:rsid w:val="0090793A"/>
    <w:rsid w:val="00907AB7"/>
    <w:rsid w:val="00910160"/>
    <w:rsid w:val="009114C1"/>
    <w:rsid w:val="009121A0"/>
    <w:rsid w:val="00913375"/>
    <w:rsid w:val="009136F5"/>
    <w:rsid w:val="00913935"/>
    <w:rsid w:val="00913EA9"/>
    <w:rsid w:val="0092001B"/>
    <w:rsid w:val="009205F0"/>
    <w:rsid w:val="009213E0"/>
    <w:rsid w:val="00921B1A"/>
    <w:rsid w:val="00923327"/>
    <w:rsid w:val="009243A8"/>
    <w:rsid w:val="009248F0"/>
    <w:rsid w:val="0092636E"/>
    <w:rsid w:val="0092667D"/>
    <w:rsid w:val="009301EC"/>
    <w:rsid w:val="00930F5A"/>
    <w:rsid w:val="009319A0"/>
    <w:rsid w:val="009329E4"/>
    <w:rsid w:val="00934539"/>
    <w:rsid w:val="00934D5A"/>
    <w:rsid w:val="009356F4"/>
    <w:rsid w:val="009403DD"/>
    <w:rsid w:val="009404BF"/>
    <w:rsid w:val="009423AD"/>
    <w:rsid w:val="00942A80"/>
    <w:rsid w:val="009439B2"/>
    <w:rsid w:val="00945724"/>
    <w:rsid w:val="00946A58"/>
    <w:rsid w:val="00947194"/>
    <w:rsid w:val="00947635"/>
    <w:rsid w:val="00950084"/>
    <w:rsid w:val="0095039A"/>
    <w:rsid w:val="009512A6"/>
    <w:rsid w:val="009522B1"/>
    <w:rsid w:val="00952D21"/>
    <w:rsid w:val="0095374B"/>
    <w:rsid w:val="00953938"/>
    <w:rsid w:val="00953A44"/>
    <w:rsid w:val="00954F67"/>
    <w:rsid w:val="009564D0"/>
    <w:rsid w:val="00956C99"/>
    <w:rsid w:val="009618AD"/>
    <w:rsid w:val="00963A69"/>
    <w:rsid w:val="0096433F"/>
    <w:rsid w:val="00965A08"/>
    <w:rsid w:val="00966887"/>
    <w:rsid w:val="00970636"/>
    <w:rsid w:val="00970DFE"/>
    <w:rsid w:val="0097297B"/>
    <w:rsid w:val="00972F0E"/>
    <w:rsid w:val="00976B3F"/>
    <w:rsid w:val="009779F3"/>
    <w:rsid w:val="009808D0"/>
    <w:rsid w:val="00981C11"/>
    <w:rsid w:val="00982091"/>
    <w:rsid w:val="00984BCE"/>
    <w:rsid w:val="0098533A"/>
    <w:rsid w:val="0099116C"/>
    <w:rsid w:val="009913A1"/>
    <w:rsid w:val="00991804"/>
    <w:rsid w:val="009923C6"/>
    <w:rsid w:val="00993540"/>
    <w:rsid w:val="00996ACB"/>
    <w:rsid w:val="00996D68"/>
    <w:rsid w:val="00997901"/>
    <w:rsid w:val="00997971"/>
    <w:rsid w:val="009A05C9"/>
    <w:rsid w:val="009A0EC4"/>
    <w:rsid w:val="009A23EE"/>
    <w:rsid w:val="009A2F6D"/>
    <w:rsid w:val="009A51A6"/>
    <w:rsid w:val="009A568C"/>
    <w:rsid w:val="009B045B"/>
    <w:rsid w:val="009B1268"/>
    <w:rsid w:val="009C2C2D"/>
    <w:rsid w:val="009C32E5"/>
    <w:rsid w:val="009C3405"/>
    <w:rsid w:val="009C4F11"/>
    <w:rsid w:val="009C5074"/>
    <w:rsid w:val="009C5856"/>
    <w:rsid w:val="009C65F9"/>
    <w:rsid w:val="009C6C47"/>
    <w:rsid w:val="009C6EF9"/>
    <w:rsid w:val="009C7482"/>
    <w:rsid w:val="009D0273"/>
    <w:rsid w:val="009D182C"/>
    <w:rsid w:val="009D2EFD"/>
    <w:rsid w:val="009D33D3"/>
    <w:rsid w:val="009D44F6"/>
    <w:rsid w:val="009D5B2F"/>
    <w:rsid w:val="009D5C6D"/>
    <w:rsid w:val="009E20E0"/>
    <w:rsid w:val="009E4A6F"/>
    <w:rsid w:val="009E5BC4"/>
    <w:rsid w:val="009E7EDA"/>
    <w:rsid w:val="009F05C1"/>
    <w:rsid w:val="009F0E25"/>
    <w:rsid w:val="009F1A72"/>
    <w:rsid w:val="009F1F6B"/>
    <w:rsid w:val="009F25DD"/>
    <w:rsid w:val="009F3EE3"/>
    <w:rsid w:val="009F491E"/>
    <w:rsid w:val="009F7F56"/>
    <w:rsid w:val="00A0134D"/>
    <w:rsid w:val="00A02FAF"/>
    <w:rsid w:val="00A03B92"/>
    <w:rsid w:val="00A03D4C"/>
    <w:rsid w:val="00A03FEC"/>
    <w:rsid w:val="00A0433D"/>
    <w:rsid w:val="00A05BFF"/>
    <w:rsid w:val="00A1121C"/>
    <w:rsid w:val="00A1141F"/>
    <w:rsid w:val="00A14BCA"/>
    <w:rsid w:val="00A1584F"/>
    <w:rsid w:val="00A15FBE"/>
    <w:rsid w:val="00A16EA7"/>
    <w:rsid w:val="00A16F39"/>
    <w:rsid w:val="00A20814"/>
    <w:rsid w:val="00A2105C"/>
    <w:rsid w:val="00A2150D"/>
    <w:rsid w:val="00A21BB3"/>
    <w:rsid w:val="00A239FB"/>
    <w:rsid w:val="00A24724"/>
    <w:rsid w:val="00A3089E"/>
    <w:rsid w:val="00A319D5"/>
    <w:rsid w:val="00A32B80"/>
    <w:rsid w:val="00A336A3"/>
    <w:rsid w:val="00A34C93"/>
    <w:rsid w:val="00A35100"/>
    <w:rsid w:val="00A359A3"/>
    <w:rsid w:val="00A36391"/>
    <w:rsid w:val="00A4268F"/>
    <w:rsid w:val="00A42C00"/>
    <w:rsid w:val="00A43EBB"/>
    <w:rsid w:val="00A44F87"/>
    <w:rsid w:val="00A50B17"/>
    <w:rsid w:val="00A55D50"/>
    <w:rsid w:val="00A576FD"/>
    <w:rsid w:val="00A57F53"/>
    <w:rsid w:val="00A61A45"/>
    <w:rsid w:val="00A61BE6"/>
    <w:rsid w:val="00A646FA"/>
    <w:rsid w:val="00A657B0"/>
    <w:rsid w:val="00A66164"/>
    <w:rsid w:val="00A671AE"/>
    <w:rsid w:val="00A6771A"/>
    <w:rsid w:val="00A701E8"/>
    <w:rsid w:val="00A707A3"/>
    <w:rsid w:val="00A71D1D"/>
    <w:rsid w:val="00A72F5C"/>
    <w:rsid w:val="00A74151"/>
    <w:rsid w:val="00A744A9"/>
    <w:rsid w:val="00A75017"/>
    <w:rsid w:val="00A76D18"/>
    <w:rsid w:val="00A77C57"/>
    <w:rsid w:val="00A824D8"/>
    <w:rsid w:val="00A8349F"/>
    <w:rsid w:val="00A83C2C"/>
    <w:rsid w:val="00A846F5"/>
    <w:rsid w:val="00A84B87"/>
    <w:rsid w:val="00A870FE"/>
    <w:rsid w:val="00A90C36"/>
    <w:rsid w:val="00A9127D"/>
    <w:rsid w:val="00A924F5"/>
    <w:rsid w:val="00A92560"/>
    <w:rsid w:val="00A94D92"/>
    <w:rsid w:val="00AA1097"/>
    <w:rsid w:val="00AA233C"/>
    <w:rsid w:val="00AA3AB4"/>
    <w:rsid w:val="00AA52F2"/>
    <w:rsid w:val="00AA69A5"/>
    <w:rsid w:val="00AA6C9F"/>
    <w:rsid w:val="00AB0666"/>
    <w:rsid w:val="00AB0F28"/>
    <w:rsid w:val="00AB2653"/>
    <w:rsid w:val="00AB3B68"/>
    <w:rsid w:val="00AB6E54"/>
    <w:rsid w:val="00AC11DE"/>
    <w:rsid w:val="00AC3761"/>
    <w:rsid w:val="00AC5826"/>
    <w:rsid w:val="00AC6352"/>
    <w:rsid w:val="00AD3A37"/>
    <w:rsid w:val="00AD5C54"/>
    <w:rsid w:val="00AD5D57"/>
    <w:rsid w:val="00AD7A5E"/>
    <w:rsid w:val="00AD7BEC"/>
    <w:rsid w:val="00AD7C3D"/>
    <w:rsid w:val="00AE0E7A"/>
    <w:rsid w:val="00AE0F43"/>
    <w:rsid w:val="00AE2185"/>
    <w:rsid w:val="00AE220D"/>
    <w:rsid w:val="00AE2906"/>
    <w:rsid w:val="00AE52E4"/>
    <w:rsid w:val="00AE66AB"/>
    <w:rsid w:val="00AE67B7"/>
    <w:rsid w:val="00AF05F7"/>
    <w:rsid w:val="00AF0E6C"/>
    <w:rsid w:val="00AF1076"/>
    <w:rsid w:val="00AF303A"/>
    <w:rsid w:val="00B02C0D"/>
    <w:rsid w:val="00B02FEC"/>
    <w:rsid w:val="00B04642"/>
    <w:rsid w:val="00B05475"/>
    <w:rsid w:val="00B05CDA"/>
    <w:rsid w:val="00B060FD"/>
    <w:rsid w:val="00B0648D"/>
    <w:rsid w:val="00B10A9E"/>
    <w:rsid w:val="00B11A84"/>
    <w:rsid w:val="00B1268B"/>
    <w:rsid w:val="00B1489D"/>
    <w:rsid w:val="00B14DEE"/>
    <w:rsid w:val="00B160D4"/>
    <w:rsid w:val="00B16CE6"/>
    <w:rsid w:val="00B21620"/>
    <w:rsid w:val="00B22E2D"/>
    <w:rsid w:val="00B23D07"/>
    <w:rsid w:val="00B244B3"/>
    <w:rsid w:val="00B262E9"/>
    <w:rsid w:val="00B264C1"/>
    <w:rsid w:val="00B278BE"/>
    <w:rsid w:val="00B30550"/>
    <w:rsid w:val="00B32CE1"/>
    <w:rsid w:val="00B3420A"/>
    <w:rsid w:val="00B3551A"/>
    <w:rsid w:val="00B37AA3"/>
    <w:rsid w:val="00B37F86"/>
    <w:rsid w:val="00B4073C"/>
    <w:rsid w:val="00B419AC"/>
    <w:rsid w:val="00B42E25"/>
    <w:rsid w:val="00B43754"/>
    <w:rsid w:val="00B43DF1"/>
    <w:rsid w:val="00B43F5A"/>
    <w:rsid w:val="00B453EE"/>
    <w:rsid w:val="00B454C5"/>
    <w:rsid w:val="00B46E65"/>
    <w:rsid w:val="00B47DB7"/>
    <w:rsid w:val="00B5126B"/>
    <w:rsid w:val="00B52E57"/>
    <w:rsid w:val="00B53358"/>
    <w:rsid w:val="00B53BCE"/>
    <w:rsid w:val="00B5679E"/>
    <w:rsid w:val="00B57A67"/>
    <w:rsid w:val="00B602A5"/>
    <w:rsid w:val="00B607E4"/>
    <w:rsid w:val="00B60EA1"/>
    <w:rsid w:val="00B61D3A"/>
    <w:rsid w:val="00B62D72"/>
    <w:rsid w:val="00B62E4E"/>
    <w:rsid w:val="00B63D6F"/>
    <w:rsid w:val="00B6520C"/>
    <w:rsid w:val="00B66CF5"/>
    <w:rsid w:val="00B71A70"/>
    <w:rsid w:val="00B721FD"/>
    <w:rsid w:val="00B74B71"/>
    <w:rsid w:val="00B75A54"/>
    <w:rsid w:val="00B768B6"/>
    <w:rsid w:val="00B77A30"/>
    <w:rsid w:val="00B8300B"/>
    <w:rsid w:val="00B8448C"/>
    <w:rsid w:val="00B86165"/>
    <w:rsid w:val="00B8627A"/>
    <w:rsid w:val="00B86B70"/>
    <w:rsid w:val="00B93E40"/>
    <w:rsid w:val="00B97D19"/>
    <w:rsid w:val="00B97D84"/>
    <w:rsid w:val="00BA2E30"/>
    <w:rsid w:val="00BA330C"/>
    <w:rsid w:val="00BA3450"/>
    <w:rsid w:val="00BA451E"/>
    <w:rsid w:val="00BA5105"/>
    <w:rsid w:val="00BA656B"/>
    <w:rsid w:val="00BA6785"/>
    <w:rsid w:val="00BA7793"/>
    <w:rsid w:val="00BB05AF"/>
    <w:rsid w:val="00BB0D4B"/>
    <w:rsid w:val="00BB2014"/>
    <w:rsid w:val="00BB25FD"/>
    <w:rsid w:val="00BB465A"/>
    <w:rsid w:val="00BB49B2"/>
    <w:rsid w:val="00BB4AF0"/>
    <w:rsid w:val="00BB4D86"/>
    <w:rsid w:val="00BB4E42"/>
    <w:rsid w:val="00BB5241"/>
    <w:rsid w:val="00BB6F69"/>
    <w:rsid w:val="00BC0120"/>
    <w:rsid w:val="00BC1A05"/>
    <w:rsid w:val="00BC21FA"/>
    <w:rsid w:val="00BC5BC4"/>
    <w:rsid w:val="00BD096C"/>
    <w:rsid w:val="00BD191E"/>
    <w:rsid w:val="00BD1F80"/>
    <w:rsid w:val="00BD3B7F"/>
    <w:rsid w:val="00BD7EC0"/>
    <w:rsid w:val="00BE0082"/>
    <w:rsid w:val="00BE0D6E"/>
    <w:rsid w:val="00BE278A"/>
    <w:rsid w:val="00BE2C6E"/>
    <w:rsid w:val="00BE337F"/>
    <w:rsid w:val="00BE3535"/>
    <w:rsid w:val="00BE3AA6"/>
    <w:rsid w:val="00BE54C4"/>
    <w:rsid w:val="00BE5507"/>
    <w:rsid w:val="00BE62B1"/>
    <w:rsid w:val="00BF0C5A"/>
    <w:rsid w:val="00BF262B"/>
    <w:rsid w:val="00BF2674"/>
    <w:rsid w:val="00BF2F3C"/>
    <w:rsid w:val="00BF6B87"/>
    <w:rsid w:val="00BF7DCB"/>
    <w:rsid w:val="00C0192B"/>
    <w:rsid w:val="00C03FA1"/>
    <w:rsid w:val="00C06132"/>
    <w:rsid w:val="00C0798F"/>
    <w:rsid w:val="00C10382"/>
    <w:rsid w:val="00C12371"/>
    <w:rsid w:val="00C12EF0"/>
    <w:rsid w:val="00C144AB"/>
    <w:rsid w:val="00C14A17"/>
    <w:rsid w:val="00C17C27"/>
    <w:rsid w:val="00C23DEE"/>
    <w:rsid w:val="00C26170"/>
    <w:rsid w:val="00C26357"/>
    <w:rsid w:val="00C27707"/>
    <w:rsid w:val="00C27B8C"/>
    <w:rsid w:val="00C306A3"/>
    <w:rsid w:val="00C3100D"/>
    <w:rsid w:val="00C31F7A"/>
    <w:rsid w:val="00C32032"/>
    <w:rsid w:val="00C32081"/>
    <w:rsid w:val="00C33C10"/>
    <w:rsid w:val="00C342DD"/>
    <w:rsid w:val="00C35A42"/>
    <w:rsid w:val="00C35B0C"/>
    <w:rsid w:val="00C37FEF"/>
    <w:rsid w:val="00C42534"/>
    <w:rsid w:val="00C42623"/>
    <w:rsid w:val="00C42F6B"/>
    <w:rsid w:val="00C45889"/>
    <w:rsid w:val="00C45D9F"/>
    <w:rsid w:val="00C46C88"/>
    <w:rsid w:val="00C46D5F"/>
    <w:rsid w:val="00C47206"/>
    <w:rsid w:val="00C50C24"/>
    <w:rsid w:val="00C531A0"/>
    <w:rsid w:val="00C53B4C"/>
    <w:rsid w:val="00C53DEA"/>
    <w:rsid w:val="00C54695"/>
    <w:rsid w:val="00C561DE"/>
    <w:rsid w:val="00C56E46"/>
    <w:rsid w:val="00C611BD"/>
    <w:rsid w:val="00C62BCF"/>
    <w:rsid w:val="00C63CCD"/>
    <w:rsid w:val="00C63F15"/>
    <w:rsid w:val="00C6628B"/>
    <w:rsid w:val="00C7126B"/>
    <w:rsid w:val="00C7189D"/>
    <w:rsid w:val="00C76579"/>
    <w:rsid w:val="00C77477"/>
    <w:rsid w:val="00C77944"/>
    <w:rsid w:val="00C77FCB"/>
    <w:rsid w:val="00C80618"/>
    <w:rsid w:val="00C80F87"/>
    <w:rsid w:val="00C81239"/>
    <w:rsid w:val="00C83EDC"/>
    <w:rsid w:val="00C84F5D"/>
    <w:rsid w:val="00C87B71"/>
    <w:rsid w:val="00C90490"/>
    <w:rsid w:val="00C91785"/>
    <w:rsid w:val="00C94297"/>
    <w:rsid w:val="00C9470A"/>
    <w:rsid w:val="00C967B6"/>
    <w:rsid w:val="00C97A47"/>
    <w:rsid w:val="00CA0596"/>
    <w:rsid w:val="00CA3ACF"/>
    <w:rsid w:val="00CA3FF4"/>
    <w:rsid w:val="00CA685A"/>
    <w:rsid w:val="00CB0099"/>
    <w:rsid w:val="00CB151A"/>
    <w:rsid w:val="00CB23F5"/>
    <w:rsid w:val="00CB37A6"/>
    <w:rsid w:val="00CB3A7F"/>
    <w:rsid w:val="00CB524D"/>
    <w:rsid w:val="00CB567F"/>
    <w:rsid w:val="00CC08D6"/>
    <w:rsid w:val="00CC09D7"/>
    <w:rsid w:val="00CC1912"/>
    <w:rsid w:val="00CC385D"/>
    <w:rsid w:val="00CC4D14"/>
    <w:rsid w:val="00CC74E7"/>
    <w:rsid w:val="00CD020C"/>
    <w:rsid w:val="00CD0647"/>
    <w:rsid w:val="00CD3B88"/>
    <w:rsid w:val="00CD3E7B"/>
    <w:rsid w:val="00CD416C"/>
    <w:rsid w:val="00CD446C"/>
    <w:rsid w:val="00CE0395"/>
    <w:rsid w:val="00CE0B39"/>
    <w:rsid w:val="00CE12E8"/>
    <w:rsid w:val="00CE1482"/>
    <w:rsid w:val="00CE170D"/>
    <w:rsid w:val="00CE2C98"/>
    <w:rsid w:val="00CE4C3F"/>
    <w:rsid w:val="00CE4DDC"/>
    <w:rsid w:val="00CE5781"/>
    <w:rsid w:val="00CE66A3"/>
    <w:rsid w:val="00CF0C0B"/>
    <w:rsid w:val="00CF4678"/>
    <w:rsid w:val="00CF5198"/>
    <w:rsid w:val="00CF607A"/>
    <w:rsid w:val="00CF63C3"/>
    <w:rsid w:val="00CF7D76"/>
    <w:rsid w:val="00D02353"/>
    <w:rsid w:val="00D026EC"/>
    <w:rsid w:val="00D029DA"/>
    <w:rsid w:val="00D0310C"/>
    <w:rsid w:val="00D045C3"/>
    <w:rsid w:val="00D04680"/>
    <w:rsid w:val="00D05809"/>
    <w:rsid w:val="00D06CF2"/>
    <w:rsid w:val="00D06E7A"/>
    <w:rsid w:val="00D1184C"/>
    <w:rsid w:val="00D1318A"/>
    <w:rsid w:val="00D14333"/>
    <w:rsid w:val="00D15DF9"/>
    <w:rsid w:val="00D15EA2"/>
    <w:rsid w:val="00D15ED5"/>
    <w:rsid w:val="00D16198"/>
    <w:rsid w:val="00D21CFE"/>
    <w:rsid w:val="00D21EA5"/>
    <w:rsid w:val="00D225A1"/>
    <w:rsid w:val="00D23D94"/>
    <w:rsid w:val="00D247EB"/>
    <w:rsid w:val="00D25741"/>
    <w:rsid w:val="00D25991"/>
    <w:rsid w:val="00D26DCB"/>
    <w:rsid w:val="00D27AEF"/>
    <w:rsid w:val="00D27DFA"/>
    <w:rsid w:val="00D314F6"/>
    <w:rsid w:val="00D320A5"/>
    <w:rsid w:val="00D32DCF"/>
    <w:rsid w:val="00D33140"/>
    <w:rsid w:val="00D33E05"/>
    <w:rsid w:val="00D35443"/>
    <w:rsid w:val="00D35EB7"/>
    <w:rsid w:val="00D42BA1"/>
    <w:rsid w:val="00D42E56"/>
    <w:rsid w:val="00D432C2"/>
    <w:rsid w:val="00D438B3"/>
    <w:rsid w:val="00D4578D"/>
    <w:rsid w:val="00D46F1C"/>
    <w:rsid w:val="00D5174F"/>
    <w:rsid w:val="00D555CB"/>
    <w:rsid w:val="00D559DB"/>
    <w:rsid w:val="00D576DD"/>
    <w:rsid w:val="00D57A45"/>
    <w:rsid w:val="00D608A7"/>
    <w:rsid w:val="00D621AF"/>
    <w:rsid w:val="00D6307A"/>
    <w:rsid w:val="00D65268"/>
    <w:rsid w:val="00D6686D"/>
    <w:rsid w:val="00D73E32"/>
    <w:rsid w:val="00D74576"/>
    <w:rsid w:val="00D77486"/>
    <w:rsid w:val="00D7752B"/>
    <w:rsid w:val="00D779AD"/>
    <w:rsid w:val="00D807AF"/>
    <w:rsid w:val="00D80B6D"/>
    <w:rsid w:val="00D81A33"/>
    <w:rsid w:val="00D90238"/>
    <w:rsid w:val="00D91838"/>
    <w:rsid w:val="00D92C15"/>
    <w:rsid w:val="00D9310A"/>
    <w:rsid w:val="00D93199"/>
    <w:rsid w:val="00D933E8"/>
    <w:rsid w:val="00D93ED3"/>
    <w:rsid w:val="00D944F1"/>
    <w:rsid w:val="00D948C2"/>
    <w:rsid w:val="00D956D2"/>
    <w:rsid w:val="00D967B8"/>
    <w:rsid w:val="00D973C2"/>
    <w:rsid w:val="00D973E7"/>
    <w:rsid w:val="00D97655"/>
    <w:rsid w:val="00D97B4E"/>
    <w:rsid w:val="00D97C23"/>
    <w:rsid w:val="00DA0C4B"/>
    <w:rsid w:val="00DA0E4C"/>
    <w:rsid w:val="00DA1791"/>
    <w:rsid w:val="00DA2332"/>
    <w:rsid w:val="00DA259B"/>
    <w:rsid w:val="00DA3441"/>
    <w:rsid w:val="00DA3729"/>
    <w:rsid w:val="00DA4C62"/>
    <w:rsid w:val="00DA4C65"/>
    <w:rsid w:val="00DA6FDE"/>
    <w:rsid w:val="00DB0DFD"/>
    <w:rsid w:val="00DB1096"/>
    <w:rsid w:val="00DB2229"/>
    <w:rsid w:val="00DB2836"/>
    <w:rsid w:val="00DB3D30"/>
    <w:rsid w:val="00DB5DDC"/>
    <w:rsid w:val="00DB7C47"/>
    <w:rsid w:val="00DC1612"/>
    <w:rsid w:val="00DC2946"/>
    <w:rsid w:val="00DC3284"/>
    <w:rsid w:val="00DC57BB"/>
    <w:rsid w:val="00DD0475"/>
    <w:rsid w:val="00DD2F72"/>
    <w:rsid w:val="00DD3BCC"/>
    <w:rsid w:val="00DD503F"/>
    <w:rsid w:val="00DD5283"/>
    <w:rsid w:val="00DD57BC"/>
    <w:rsid w:val="00DD5833"/>
    <w:rsid w:val="00DD5DC1"/>
    <w:rsid w:val="00DD62F6"/>
    <w:rsid w:val="00DD6DD1"/>
    <w:rsid w:val="00DD7385"/>
    <w:rsid w:val="00DD7AAB"/>
    <w:rsid w:val="00DE02B7"/>
    <w:rsid w:val="00DE09FD"/>
    <w:rsid w:val="00DE1086"/>
    <w:rsid w:val="00DE18B8"/>
    <w:rsid w:val="00DE2347"/>
    <w:rsid w:val="00DE2F06"/>
    <w:rsid w:val="00DE32EF"/>
    <w:rsid w:val="00DE32F1"/>
    <w:rsid w:val="00DE57CE"/>
    <w:rsid w:val="00DE717F"/>
    <w:rsid w:val="00DE751B"/>
    <w:rsid w:val="00DE770B"/>
    <w:rsid w:val="00DF2ED2"/>
    <w:rsid w:val="00DF3702"/>
    <w:rsid w:val="00DF3A0B"/>
    <w:rsid w:val="00DF567D"/>
    <w:rsid w:val="00DF57A8"/>
    <w:rsid w:val="00DF6798"/>
    <w:rsid w:val="00DF72DA"/>
    <w:rsid w:val="00DF762C"/>
    <w:rsid w:val="00DF76BD"/>
    <w:rsid w:val="00DF7CFA"/>
    <w:rsid w:val="00E0097A"/>
    <w:rsid w:val="00E00F58"/>
    <w:rsid w:val="00E01DE9"/>
    <w:rsid w:val="00E01E51"/>
    <w:rsid w:val="00E02EC8"/>
    <w:rsid w:val="00E0463E"/>
    <w:rsid w:val="00E05183"/>
    <w:rsid w:val="00E06B27"/>
    <w:rsid w:val="00E13090"/>
    <w:rsid w:val="00E136F0"/>
    <w:rsid w:val="00E157FB"/>
    <w:rsid w:val="00E15FA6"/>
    <w:rsid w:val="00E1613D"/>
    <w:rsid w:val="00E1678D"/>
    <w:rsid w:val="00E24501"/>
    <w:rsid w:val="00E24AF5"/>
    <w:rsid w:val="00E24E8E"/>
    <w:rsid w:val="00E26A21"/>
    <w:rsid w:val="00E2798A"/>
    <w:rsid w:val="00E27F1B"/>
    <w:rsid w:val="00E30087"/>
    <w:rsid w:val="00E31195"/>
    <w:rsid w:val="00E32966"/>
    <w:rsid w:val="00E33CF6"/>
    <w:rsid w:val="00E34327"/>
    <w:rsid w:val="00E35A1B"/>
    <w:rsid w:val="00E35B5C"/>
    <w:rsid w:val="00E379A5"/>
    <w:rsid w:val="00E428DF"/>
    <w:rsid w:val="00E439B3"/>
    <w:rsid w:val="00E44345"/>
    <w:rsid w:val="00E4534F"/>
    <w:rsid w:val="00E45654"/>
    <w:rsid w:val="00E46481"/>
    <w:rsid w:val="00E464C2"/>
    <w:rsid w:val="00E46712"/>
    <w:rsid w:val="00E47AFB"/>
    <w:rsid w:val="00E503DA"/>
    <w:rsid w:val="00E51667"/>
    <w:rsid w:val="00E54563"/>
    <w:rsid w:val="00E55F91"/>
    <w:rsid w:val="00E56E7E"/>
    <w:rsid w:val="00E57413"/>
    <w:rsid w:val="00E57E0D"/>
    <w:rsid w:val="00E614EC"/>
    <w:rsid w:val="00E635E6"/>
    <w:rsid w:val="00E664C6"/>
    <w:rsid w:val="00E66B9C"/>
    <w:rsid w:val="00E67A49"/>
    <w:rsid w:val="00E67AD5"/>
    <w:rsid w:val="00E7100F"/>
    <w:rsid w:val="00E71900"/>
    <w:rsid w:val="00E73322"/>
    <w:rsid w:val="00E7708F"/>
    <w:rsid w:val="00E77D1A"/>
    <w:rsid w:val="00E801D8"/>
    <w:rsid w:val="00E813A5"/>
    <w:rsid w:val="00E81965"/>
    <w:rsid w:val="00E840A7"/>
    <w:rsid w:val="00E8443A"/>
    <w:rsid w:val="00E8596A"/>
    <w:rsid w:val="00E85E53"/>
    <w:rsid w:val="00E86CF5"/>
    <w:rsid w:val="00E87AC7"/>
    <w:rsid w:val="00E91F24"/>
    <w:rsid w:val="00E94C19"/>
    <w:rsid w:val="00E95192"/>
    <w:rsid w:val="00E95A6D"/>
    <w:rsid w:val="00EA0639"/>
    <w:rsid w:val="00EA0982"/>
    <w:rsid w:val="00EA0D78"/>
    <w:rsid w:val="00EA10A0"/>
    <w:rsid w:val="00EA2F04"/>
    <w:rsid w:val="00EA3991"/>
    <w:rsid w:val="00EA5C97"/>
    <w:rsid w:val="00EA66FC"/>
    <w:rsid w:val="00EA7143"/>
    <w:rsid w:val="00EB1796"/>
    <w:rsid w:val="00EB254E"/>
    <w:rsid w:val="00EB3AD1"/>
    <w:rsid w:val="00EB41A9"/>
    <w:rsid w:val="00EB4FA7"/>
    <w:rsid w:val="00EB4FC8"/>
    <w:rsid w:val="00EB5730"/>
    <w:rsid w:val="00EB57C9"/>
    <w:rsid w:val="00EB5F3B"/>
    <w:rsid w:val="00EB67C0"/>
    <w:rsid w:val="00EB6DDD"/>
    <w:rsid w:val="00EB6E27"/>
    <w:rsid w:val="00EB7234"/>
    <w:rsid w:val="00EB76D3"/>
    <w:rsid w:val="00EC1374"/>
    <w:rsid w:val="00EC320A"/>
    <w:rsid w:val="00EC4F7A"/>
    <w:rsid w:val="00EC6056"/>
    <w:rsid w:val="00EC7B1D"/>
    <w:rsid w:val="00ED04F8"/>
    <w:rsid w:val="00ED424D"/>
    <w:rsid w:val="00ED4D0B"/>
    <w:rsid w:val="00ED561E"/>
    <w:rsid w:val="00ED60A0"/>
    <w:rsid w:val="00ED6E0D"/>
    <w:rsid w:val="00ED75C1"/>
    <w:rsid w:val="00ED79F4"/>
    <w:rsid w:val="00EE5584"/>
    <w:rsid w:val="00EE5817"/>
    <w:rsid w:val="00EE5864"/>
    <w:rsid w:val="00EE6E39"/>
    <w:rsid w:val="00EE7757"/>
    <w:rsid w:val="00EE7CCC"/>
    <w:rsid w:val="00EF0F74"/>
    <w:rsid w:val="00EF3ED8"/>
    <w:rsid w:val="00EF5021"/>
    <w:rsid w:val="00EF52C7"/>
    <w:rsid w:val="00EF5337"/>
    <w:rsid w:val="00EF5B95"/>
    <w:rsid w:val="00EF6737"/>
    <w:rsid w:val="00F0010B"/>
    <w:rsid w:val="00F009BB"/>
    <w:rsid w:val="00F00D9F"/>
    <w:rsid w:val="00F02D28"/>
    <w:rsid w:val="00F061B4"/>
    <w:rsid w:val="00F06200"/>
    <w:rsid w:val="00F07E16"/>
    <w:rsid w:val="00F12B85"/>
    <w:rsid w:val="00F144ED"/>
    <w:rsid w:val="00F145D8"/>
    <w:rsid w:val="00F14D0D"/>
    <w:rsid w:val="00F16BDE"/>
    <w:rsid w:val="00F209FD"/>
    <w:rsid w:val="00F24B72"/>
    <w:rsid w:val="00F24F9C"/>
    <w:rsid w:val="00F27877"/>
    <w:rsid w:val="00F3086C"/>
    <w:rsid w:val="00F317D5"/>
    <w:rsid w:val="00F3291B"/>
    <w:rsid w:val="00F33A24"/>
    <w:rsid w:val="00F34D19"/>
    <w:rsid w:val="00F36322"/>
    <w:rsid w:val="00F45264"/>
    <w:rsid w:val="00F46032"/>
    <w:rsid w:val="00F5175B"/>
    <w:rsid w:val="00F52911"/>
    <w:rsid w:val="00F53251"/>
    <w:rsid w:val="00F559C2"/>
    <w:rsid w:val="00F56107"/>
    <w:rsid w:val="00F5674C"/>
    <w:rsid w:val="00F56D71"/>
    <w:rsid w:val="00F5732C"/>
    <w:rsid w:val="00F6093E"/>
    <w:rsid w:val="00F64233"/>
    <w:rsid w:val="00F72DF8"/>
    <w:rsid w:val="00F746DD"/>
    <w:rsid w:val="00F75B8B"/>
    <w:rsid w:val="00F773AF"/>
    <w:rsid w:val="00F80246"/>
    <w:rsid w:val="00F8270D"/>
    <w:rsid w:val="00F82A52"/>
    <w:rsid w:val="00F84C3B"/>
    <w:rsid w:val="00F84D80"/>
    <w:rsid w:val="00F84F67"/>
    <w:rsid w:val="00F863C5"/>
    <w:rsid w:val="00F8764B"/>
    <w:rsid w:val="00F87D00"/>
    <w:rsid w:val="00F905A6"/>
    <w:rsid w:val="00F92A27"/>
    <w:rsid w:val="00F92C46"/>
    <w:rsid w:val="00F9389D"/>
    <w:rsid w:val="00F93CF4"/>
    <w:rsid w:val="00F9450E"/>
    <w:rsid w:val="00F94859"/>
    <w:rsid w:val="00F9599E"/>
    <w:rsid w:val="00F975A1"/>
    <w:rsid w:val="00FA0972"/>
    <w:rsid w:val="00FA2B58"/>
    <w:rsid w:val="00FA585D"/>
    <w:rsid w:val="00FA6EF5"/>
    <w:rsid w:val="00FA7568"/>
    <w:rsid w:val="00FA7B90"/>
    <w:rsid w:val="00FB0084"/>
    <w:rsid w:val="00FB4919"/>
    <w:rsid w:val="00FB534B"/>
    <w:rsid w:val="00FB563E"/>
    <w:rsid w:val="00FB5BCE"/>
    <w:rsid w:val="00FC0C25"/>
    <w:rsid w:val="00FC193A"/>
    <w:rsid w:val="00FC232E"/>
    <w:rsid w:val="00FC4651"/>
    <w:rsid w:val="00FC5FA3"/>
    <w:rsid w:val="00FC77BC"/>
    <w:rsid w:val="00FD010A"/>
    <w:rsid w:val="00FD078D"/>
    <w:rsid w:val="00FD0958"/>
    <w:rsid w:val="00FD1313"/>
    <w:rsid w:val="00FD294F"/>
    <w:rsid w:val="00FD2A10"/>
    <w:rsid w:val="00FD39B9"/>
    <w:rsid w:val="00FD4203"/>
    <w:rsid w:val="00FD5AC1"/>
    <w:rsid w:val="00FD62A8"/>
    <w:rsid w:val="00FD6A60"/>
    <w:rsid w:val="00FD7EB2"/>
    <w:rsid w:val="00FE213B"/>
    <w:rsid w:val="00FE36A0"/>
    <w:rsid w:val="00FE67A9"/>
    <w:rsid w:val="00FF1B40"/>
    <w:rsid w:val="00FF2999"/>
    <w:rsid w:val="00FF3C9B"/>
    <w:rsid w:val="00FF456D"/>
    <w:rsid w:val="00FF7864"/>
    <w:rsid w:val="00FF7B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nhideWhenUsed="1"/>
    <w:lsdException w:name="footnote reference"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E9C"/>
  </w:style>
  <w:style w:type="paragraph" w:styleId="Heading1">
    <w:name w:val="heading 1"/>
    <w:basedOn w:val="Normal"/>
    <w:next w:val="Normal"/>
    <w:link w:val="Heading1Char"/>
    <w:uiPriority w:val="9"/>
    <w:qFormat/>
    <w:rsid w:val="007F111E"/>
    <w:pPr>
      <w:spacing w:before="2000" w:after="2000"/>
      <w:contextualSpacing/>
      <w:outlineLvl w:val="0"/>
    </w:pPr>
    <w:rPr>
      <w:rFonts w:ascii="Arial" w:eastAsiaTheme="majorEastAsia" w:hAnsi="Arial" w:cs="Arial"/>
      <w:b/>
      <w:bCs/>
      <w:sz w:val="36"/>
      <w:szCs w:val="36"/>
    </w:rPr>
  </w:style>
  <w:style w:type="paragraph" w:styleId="Heading2">
    <w:name w:val="heading 2"/>
    <w:basedOn w:val="Normal"/>
    <w:next w:val="Normal"/>
    <w:link w:val="Heading2Char"/>
    <w:uiPriority w:val="9"/>
    <w:unhideWhenUsed/>
    <w:qFormat/>
    <w:rsid w:val="00706400"/>
    <w:pPr>
      <w:spacing w:before="240" w:after="120"/>
      <w:outlineLvl w:val="1"/>
    </w:pPr>
    <w:rPr>
      <w:rFonts w:ascii="Arial" w:eastAsiaTheme="majorEastAsia" w:hAnsi="Arial" w:cs="Arial"/>
      <w:b/>
      <w:bCs/>
      <w:sz w:val="32"/>
      <w:szCs w:val="32"/>
    </w:rPr>
  </w:style>
  <w:style w:type="paragraph" w:styleId="Heading3">
    <w:name w:val="heading 3"/>
    <w:basedOn w:val="Heading2"/>
    <w:next w:val="Normal"/>
    <w:link w:val="Heading3Char"/>
    <w:uiPriority w:val="9"/>
    <w:unhideWhenUsed/>
    <w:qFormat/>
    <w:rsid w:val="00706400"/>
    <w:pPr>
      <w:spacing w:after="80"/>
      <w:outlineLvl w:val="2"/>
    </w:pPr>
    <w:rPr>
      <w:sz w:val="28"/>
      <w:szCs w:val="28"/>
    </w:rPr>
  </w:style>
  <w:style w:type="paragraph" w:styleId="Heading4">
    <w:name w:val="heading 4"/>
    <w:basedOn w:val="Normal"/>
    <w:next w:val="Normal"/>
    <w:link w:val="Heading4Char"/>
    <w:uiPriority w:val="9"/>
    <w:semiHidden/>
    <w:unhideWhenUsed/>
    <w:qFormat/>
    <w:rsid w:val="00557E9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57E9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57E9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57E9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57E9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57E9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400"/>
    <w:rPr>
      <w:rFonts w:ascii="Arial" w:eastAsiaTheme="majorEastAsia" w:hAnsi="Arial" w:cs="Arial"/>
      <w:b/>
      <w:bCs/>
      <w:sz w:val="32"/>
      <w:szCs w:val="32"/>
    </w:rPr>
  </w:style>
  <w:style w:type="paragraph" w:styleId="ListParagraph">
    <w:name w:val="List Paragraph"/>
    <w:basedOn w:val="Normal"/>
    <w:uiPriority w:val="34"/>
    <w:qFormat/>
    <w:rsid w:val="00557E9C"/>
    <w:pPr>
      <w:ind w:left="720"/>
      <w:contextualSpacing/>
    </w:pPr>
  </w:style>
  <w:style w:type="paragraph" w:customStyle="1" w:styleId="Default">
    <w:name w:val="Default"/>
    <w:rsid w:val="00793F3B"/>
    <w:pPr>
      <w:autoSpaceDE w:val="0"/>
      <w:autoSpaceDN w:val="0"/>
      <w:adjustRightInd w:val="0"/>
    </w:pPr>
    <w:rPr>
      <w:color w:val="000000"/>
      <w:sz w:val="24"/>
      <w:szCs w:val="24"/>
    </w:rPr>
  </w:style>
  <w:style w:type="character" w:styleId="Hyperlink">
    <w:name w:val="Hyperlink"/>
    <w:basedOn w:val="DefaultParagraphFont"/>
    <w:rsid w:val="00793F3B"/>
    <w:rPr>
      <w:color w:val="0000FF" w:themeColor="hyperlink"/>
      <w:u w:val="single"/>
    </w:rPr>
  </w:style>
  <w:style w:type="paragraph" w:styleId="FootnoteText">
    <w:name w:val="footnote text"/>
    <w:basedOn w:val="Normal"/>
    <w:link w:val="FootnoteTextChar"/>
    <w:uiPriority w:val="99"/>
    <w:unhideWhenUsed/>
    <w:rsid w:val="00F34D19"/>
    <w:pPr>
      <w:spacing w:after="0" w:line="240" w:lineRule="auto"/>
    </w:pPr>
    <w:rPr>
      <w:sz w:val="20"/>
      <w:szCs w:val="20"/>
    </w:rPr>
  </w:style>
  <w:style w:type="character" w:customStyle="1" w:styleId="FootnoteTextChar">
    <w:name w:val="Footnote Text Char"/>
    <w:basedOn w:val="DefaultParagraphFont"/>
    <w:link w:val="FootnoteText"/>
    <w:uiPriority w:val="99"/>
    <w:rsid w:val="00F34D19"/>
    <w:rPr>
      <w:rFonts w:asciiTheme="minorHAnsi" w:eastAsiaTheme="minorHAnsi" w:hAnsiTheme="minorHAnsi" w:cstheme="minorBidi"/>
      <w:lang w:eastAsia="en-US"/>
    </w:rPr>
  </w:style>
  <w:style w:type="character" w:styleId="FootnoteReference">
    <w:name w:val="footnote reference"/>
    <w:basedOn w:val="DefaultParagraphFont"/>
    <w:uiPriority w:val="99"/>
    <w:rsid w:val="00B66CF5"/>
    <w:rPr>
      <w:vertAlign w:val="superscript"/>
    </w:rPr>
  </w:style>
  <w:style w:type="character" w:styleId="Strong">
    <w:name w:val="Strong"/>
    <w:uiPriority w:val="22"/>
    <w:qFormat/>
    <w:rsid w:val="00557E9C"/>
    <w:rPr>
      <w:b/>
      <w:bCs/>
    </w:rPr>
  </w:style>
  <w:style w:type="character" w:styleId="FollowedHyperlink">
    <w:name w:val="FollowedHyperlink"/>
    <w:basedOn w:val="DefaultParagraphFont"/>
    <w:rsid w:val="000824C5"/>
    <w:rPr>
      <w:color w:val="800080" w:themeColor="followedHyperlink"/>
      <w:u w:val="single"/>
    </w:rPr>
  </w:style>
  <w:style w:type="paragraph" w:styleId="Header">
    <w:name w:val="header"/>
    <w:basedOn w:val="Normal"/>
    <w:link w:val="HeaderChar"/>
    <w:rsid w:val="005B4B12"/>
    <w:pPr>
      <w:tabs>
        <w:tab w:val="center" w:pos="4513"/>
        <w:tab w:val="right" w:pos="9026"/>
      </w:tabs>
      <w:spacing w:after="0" w:line="240" w:lineRule="auto"/>
    </w:pPr>
  </w:style>
  <w:style w:type="character" w:customStyle="1" w:styleId="HeaderChar">
    <w:name w:val="Header Char"/>
    <w:basedOn w:val="DefaultParagraphFont"/>
    <w:link w:val="Header"/>
    <w:rsid w:val="005B4B12"/>
    <w:rPr>
      <w:rFonts w:asciiTheme="minorHAnsi" w:eastAsiaTheme="minorHAnsi" w:hAnsiTheme="minorHAnsi" w:cstheme="minorBidi"/>
      <w:sz w:val="22"/>
      <w:szCs w:val="22"/>
      <w:lang w:val="en-US" w:eastAsia="en-US"/>
    </w:rPr>
  </w:style>
  <w:style w:type="paragraph" w:styleId="Footer">
    <w:name w:val="footer"/>
    <w:basedOn w:val="Normal"/>
    <w:link w:val="FooterChar"/>
    <w:rsid w:val="005B4B12"/>
    <w:pPr>
      <w:tabs>
        <w:tab w:val="center" w:pos="4513"/>
        <w:tab w:val="right" w:pos="9026"/>
      </w:tabs>
      <w:spacing w:after="0" w:line="240" w:lineRule="auto"/>
    </w:pPr>
  </w:style>
  <w:style w:type="character" w:customStyle="1" w:styleId="FooterChar">
    <w:name w:val="Footer Char"/>
    <w:basedOn w:val="DefaultParagraphFont"/>
    <w:link w:val="Footer"/>
    <w:rsid w:val="005B4B12"/>
    <w:rPr>
      <w:rFonts w:asciiTheme="minorHAnsi" w:eastAsiaTheme="minorHAnsi" w:hAnsiTheme="minorHAnsi" w:cstheme="minorBidi"/>
      <w:sz w:val="22"/>
      <w:szCs w:val="22"/>
      <w:lang w:val="en-US" w:eastAsia="en-US"/>
    </w:rPr>
  </w:style>
  <w:style w:type="paragraph" w:styleId="BalloonText">
    <w:name w:val="Balloon Text"/>
    <w:basedOn w:val="Normal"/>
    <w:link w:val="BalloonTextChar"/>
    <w:rsid w:val="005B4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B4B12"/>
    <w:rPr>
      <w:rFonts w:ascii="Tahoma" w:eastAsiaTheme="minorHAnsi" w:hAnsi="Tahoma" w:cs="Tahoma"/>
      <w:sz w:val="16"/>
      <w:szCs w:val="16"/>
      <w:lang w:val="en-US" w:eastAsia="en-US"/>
    </w:rPr>
  </w:style>
  <w:style w:type="character" w:customStyle="1" w:styleId="Heading1Char">
    <w:name w:val="Heading 1 Char"/>
    <w:basedOn w:val="DefaultParagraphFont"/>
    <w:link w:val="Heading1"/>
    <w:uiPriority w:val="9"/>
    <w:rsid w:val="007F111E"/>
    <w:rPr>
      <w:rFonts w:ascii="Arial" w:eastAsiaTheme="majorEastAsia" w:hAnsi="Arial" w:cs="Arial"/>
      <w:b/>
      <w:bCs/>
      <w:sz w:val="36"/>
      <w:szCs w:val="36"/>
    </w:rPr>
  </w:style>
  <w:style w:type="character" w:customStyle="1" w:styleId="Heading3Char">
    <w:name w:val="Heading 3 Char"/>
    <w:basedOn w:val="DefaultParagraphFont"/>
    <w:link w:val="Heading3"/>
    <w:uiPriority w:val="9"/>
    <w:rsid w:val="00706400"/>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557E9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57E9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57E9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57E9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57E9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57E9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57E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57E9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57E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57E9C"/>
    <w:rPr>
      <w:rFonts w:asciiTheme="majorHAnsi" w:eastAsiaTheme="majorEastAsia" w:hAnsiTheme="majorHAnsi" w:cstheme="majorBidi"/>
      <w:i/>
      <w:iCs/>
      <w:spacing w:val="13"/>
      <w:sz w:val="24"/>
      <w:szCs w:val="24"/>
    </w:rPr>
  </w:style>
  <w:style w:type="character" w:styleId="Emphasis">
    <w:name w:val="Emphasis"/>
    <w:uiPriority w:val="20"/>
    <w:qFormat/>
    <w:rsid w:val="00557E9C"/>
    <w:rPr>
      <w:b/>
      <w:bCs/>
      <w:i/>
      <w:iCs/>
      <w:spacing w:val="10"/>
      <w:bdr w:val="none" w:sz="0" w:space="0" w:color="auto"/>
      <w:shd w:val="clear" w:color="auto" w:fill="auto"/>
    </w:rPr>
  </w:style>
  <w:style w:type="paragraph" w:styleId="NoSpacing">
    <w:name w:val="No Spacing"/>
    <w:basedOn w:val="Normal"/>
    <w:uiPriority w:val="1"/>
    <w:qFormat/>
    <w:rsid w:val="00557E9C"/>
    <w:pPr>
      <w:spacing w:after="0" w:line="240" w:lineRule="auto"/>
    </w:pPr>
  </w:style>
  <w:style w:type="paragraph" w:styleId="Quote">
    <w:name w:val="Quote"/>
    <w:basedOn w:val="Normal"/>
    <w:next w:val="Normal"/>
    <w:link w:val="QuoteChar"/>
    <w:uiPriority w:val="29"/>
    <w:qFormat/>
    <w:rsid w:val="00557E9C"/>
    <w:pPr>
      <w:spacing w:before="200" w:after="0"/>
      <w:ind w:left="360" w:right="360"/>
    </w:pPr>
    <w:rPr>
      <w:i/>
      <w:iCs/>
    </w:rPr>
  </w:style>
  <w:style w:type="character" w:customStyle="1" w:styleId="QuoteChar">
    <w:name w:val="Quote Char"/>
    <w:basedOn w:val="DefaultParagraphFont"/>
    <w:link w:val="Quote"/>
    <w:uiPriority w:val="29"/>
    <w:rsid w:val="00557E9C"/>
    <w:rPr>
      <w:i/>
      <w:iCs/>
    </w:rPr>
  </w:style>
  <w:style w:type="paragraph" w:styleId="IntenseQuote">
    <w:name w:val="Intense Quote"/>
    <w:basedOn w:val="Normal"/>
    <w:next w:val="Normal"/>
    <w:link w:val="IntenseQuoteChar"/>
    <w:uiPriority w:val="30"/>
    <w:qFormat/>
    <w:rsid w:val="00557E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57E9C"/>
    <w:rPr>
      <w:b/>
      <w:bCs/>
      <w:i/>
      <w:iCs/>
    </w:rPr>
  </w:style>
  <w:style w:type="character" w:styleId="SubtleEmphasis">
    <w:name w:val="Subtle Emphasis"/>
    <w:uiPriority w:val="19"/>
    <w:qFormat/>
    <w:rsid w:val="00557E9C"/>
    <w:rPr>
      <w:i/>
      <w:iCs/>
    </w:rPr>
  </w:style>
  <w:style w:type="character" w:styleId="IntenseEmphasis">
    <w:name w:val="Intense Emphasis"/>
    <w:uiPriority w:val="21"/>
    <w:qFormat/>
    <w:rsid w:val="00557E9C"/>
    <w:rPr>
      <w:b/>
      <w:bCs/>
    </w:rPr>
  </w:style>
  <w:style w:type="character" w:styleId="SubtleReference">
    <w:name w:val="Subtle Reference"/>
    <w:uiPriority w:val="31"/>
    <w:qFormat/>
    <w:rsid w:val="00557E9C"/>
    <w:rPr>
      <w:smallCaps/>
    </w:rPr>
  </w:style>
  <w:style w:type="character" w:styleId="IntenseReference">
    <w:name w:val="Intense Reference"/>
    <w:uiPriority w:val="32"/>
    <w:qFormat/>
    <w:rsid w:val="00557E9C"/>
    <w:rPr>
      <w:smallCaps/>
      <w:spacing w:val="5"/>
      <w:u w:val="single"/>
    </w:rPr>
  </w:style>
  <w:style w:type="character" w:styleId="BookTitle">
    <w:name w:val="Book Title"/>
    <w:uiPriority w:val="33"/>
    <w:qFormat/>
    <w:rsid w:val="00557E9C"/>
    <w:rPr>
      <w:i/>
      <w:iCs/>
      <w:smallCaps/>
      <w:spacing w:val="5"/>
    </w:rPr>
  </w:style>
  <w:style w:type="paragraph" w:styleId="TOCHeading">
    <w:name w:val="TOC Heading"/>
    <w:basedOn w:val="Heading1"/>
    <w:next w:val="Normal"/>
    <w:uiPriority w:val="39"/>
    <w:semiHidden/>
    <w:unhideWhenUsed/>
    <w:qFormat/>
    <w:rsid w:val="00557E9C"/>
    <w:pPr>
      <w:outlineLvl w:val="9"/>
    </w:pPr>
    <w:rPr>
      <w:lang w:bidi="en-US"/>
    </w:rPr>
  </w:style>
  <w:style w:type="paragraph" w:styleId="NormalWeb">
    <w:name w:val="Normal (Web)"/>
    <w:basedOn w:val="Normal"/>
    <w:uiPriority w:val="99"/>
    <w:unhideWhenUsed/>
    <w:rsid w:val="00463EEC"/>
    <w:pPr>
      <w:spacing w:before="100" w:beforeAutospacing="1" w:after="100" w:afterAutospacing="1" w:line="240" w:lineRule="auto"/>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nhideWhenUsed="1"/>
    <w:lsdException w:name="footnote reference"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E9C"/>
  </w:style>
  <w:style w:type="paragraph" w:styleId="Heading1">
    <w:name w:val="heading 1"/>
    <w:basedOn w:val="Normal"/>
    <w:next w:val="Normal"/>
    <w:link w:val="Heading1Char"/>
    <w:uiPriority w:val="9"/>
    <w:qFormat/>
    <w:rsid w:val="007F111E"/>
    <w:pPr>
      <w:spacing w:before="2000" w:after="2000"/>
      <w:contextualSpacing/>
      <w:outlineLvl w:val="0"/>
    </w:pPr>
    <w:rPr>
      <w:rFonts w:ascii="Arial" w:eastAsiaTheme="majorEastAsia" w:hAnsi="Arial" w:cs="Arial"/>
      <w:b/>
      <w:bCs/>
      <w:sz w:val="36"/>
      <w:szCs w:val="36"/>
    </w:rPr>
  </w:style>
  <w:style w:type="paragraph" w:styleId="Heading2">
    <w:name w:val="heading 2"/>
    <w:basedOn w:val="Normal"/>
    <w:next w:val="Normal"/>
    <w:link w:val="Heading2Char"/>
    <w:uiPriority w:val="9"/>
    <w:unhideWhenUsed/>
    <w:qFormat/>
    <w:rsid w:val="00706400"/>
    <w:pPr>
      <w:spacing w:before="240" w:after="120"/>
      <w:outlineLvl w:val="1"/>
    </w:pPr>
    <w:rPr>
      <w:rFonts w:ascii="Arial" w:eastAsiaTheme="majorEastAsia" w:hAnsi="Arial" w:cs="Arial"/>
      <w:b/>
      <w:bCs/>
      <w:sz w:val="32"/>
      <w:szCs w:val="32"/>
    </w:rPr>
  </w:style>
  <w:style w:type="paragraph" w:styleId="Heading3">
    <w:name w:val="heading 3"/>
    <w:basedOn w:val="Heading2"/>
    <w:next w:val="Normal"/>
    <w:link w:val="Heading3Char"/>
    <w:uiPriority w:val="9"/>
    <w:unhideWhenUsed/>
    <w:qFormat/>
    <w:rsid w:val="00706400"/>
    <w:pPr>
      <w:spacing w:after="80"/>
      <w:outlineLvl w:val="2"/>
    </w:pPr>
    <w:rPr>
      <w:sz w:val="28"/>
      <w:szCs w:val="28"/>
    </w:rPr>
  </w:style>
  <w:style w:type="paragraph" w:styleId="Heading4">
    <w:name w:val="heading 4"/>
    <w:basedOn w:val="Normal"/>
    <w:next w:val="Normal"/>
    <w:link w:val="Heading4Char"/>
    <w:uiPriority w:val="9"/>
    <w:semiHidden/>
    <w:unhideWhenUsed/>
    <w:qFormat/>
    <w:rsid w:val="00557E9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57E9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57E9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57E9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57E9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57E9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400"/>
    <w:rPr>
      <w:rFonts w:ascii="Arial" w:eastAsiaTheme="majorEastAsia" w:hAnsi="Arial" w:cs="Arial"/>
      <w:b/>
      <w:bCs/>
      <w:sz w:val="32"/>
      <w:szCs w:val="32"/>
    </w:rPr>
  </w:style>
  <w:style w:type="paragraph" w:styleId="ListParagraph">
    <w:name w:val="List Paragraph"/>
    <w:basedOn w:val="Normal"/>
    <w:uiPriority w:val="34"/>
    <w:qFormat/>
    <w:rsid w:val="00557E9C"/>
    <w:pPr>
      <w:ind w:left="720"/>
      <w:contextualSpacing/>
    </w:pPr>
  </w:style>
  <w:style w:type="paragraph" w:customStyle="1" w:styleId="Default">
    <w:name w:val="Default"/>
    <w:rsid w:val="00793F3B"/>
    <w:pPr>
      <w:autoSpaceDE w:val="0"/>
      <w:autoSpaceDN w:val="0"/>
      <w:adjustRightInd w:val="0"/>
    </w:pPr>
    <w:rPr>
      <w:color w:val="000000"/>
      <w:sz w:val="24"/>
      <w:szCs w:val="24"/>
    </w:rPr>
  </w:style>
  <w:style w:type="character" w:styleId="Hyperlink">
    <w:name w:val="Hyperlink"/>
    <w:basedOn w:val="DefaultParagraphFont"/>
    <w:rsid w:val="00793F3B"/>
    <w:rPr>
      <w:color w:val="0000FF" w:themeColor="hyperlink"/>
      <w:u w:val="single"/>
    </w:rPr>
  </w:style>
  <w:style w:type="paragraph" w:styleId="FootnoteText">
    <w:name w:val="footnote text"/>
    <w:basedOn w:val="Normal"/>
    <w:link w:val="FootnoteTextChar"/>
    <w:uiPriority w:val="99"/>
    <w:unhideWhenUsed/>
    <w:rsid w:val="00F34D19"/>
    <w:pPr>
      <w:spacing w:after="0" w:line="240" w:lineRule="auto"/>
    </w:pPr>
    <w:rPr>
      <w:sz w:val="20"/>
      <w:szCs w:val="20"/>
    </w:rPr>
  </w:style>
  <w:style w:type="character" w:customStyle="1" w:styleId="FootnoteTextChar">
    <w:name w:val="Footnote Text Char"/>
    <w:basedOn w:val="DefaultParagraphFont"/>
    <w:link w:val="FootnoteText"/>
    <w:uiPriority w:val="99"/>
    <w:rsid w:val="00F34D19"/>
    <w:rPr>
      <w:rFonts w:asciiTheme="minorHAnsi" w:eastAsiaTheme="minorHAnsi" w:hAnsiTheme="minorHAnsi" w:cstheme="minorBidi"/>
      <w:lang w:eastAsia="en-US"/>
    </w:rPr>
  </w:style>
  <w:style w:type="character" w:styleId="FootnoteReference">
    <w:name w:val="footnote reference"/>
    <w:basedOn w:val="DefaultParagraphFont"/>
    <w:uiPriority w:val="99"/>
    <w:rsid w:val="00B66CF5"/>
    <w:rPr>
      <w:vertAlign w:val="superscript"/>
    </w:rPr>
  </w:style>
  <w:style w:type="character" w:styleId="Strong">
    <w:name w:val="Strong"/>
    <w:uiPriority w:val="22"/>
    <w:qFormat/>
    <w:rsid w:val="00557E9C"/>
    <w:rPr>
      <w:b/>
      <w:bCs/>
    </w:rPr>
  </w:style>
  <w:style w:type="character" w:styleId="FollowedHyperlink">
    <w:name w:val="FollowedHyperlink"/>
    <w:basedOn w:val="DefaultParagraphFont"/>
    <w:rsid w:val="000824C5"/>
    <w:rPr>
      <w:color w:val="800080" w:themeColor="followedHyperlink"/>
      <w:u w:val="single"/>
    </w:rPr>
  </w:style>
  <w:style w:type="paragraph" w:styleId="Header">
    <w:name w:val="header"/>
    <w:basedOn w:val="Normal"/>
    <w:link w:val="HeaderChar"/>
    <w:rsid w:val="005B4B12"/>
    <w:pPr>
      <w:tabs>
        <w:tab w:val="center" w:pos="4513"/>
        <w:tab w:val="right" w:pos="9026"/>
      </w:tabs>
      <w:spacing w:after="0" w:line="240" w:lineRule="auto"/>
    </w:pPr>
  </w:style>
  <w:style w:type="character" w:customStyle="1" w:styleId="HeaderChar">
    <w:name w:val="Header Char"/>
    <w:basedOn w:val="DefaultParagraphFont"/>
    <w:link w:val="Header"/>
    <w:rsid w:val="005B4B12"/>
    <w:rPr>
      <w:rFonts w:asciiTheme="minorHAnsi" w:eastAsiaTheme="minorHAnsi" w:hAnsiTheme="minorHAnsi" w:cstheme="minorBidi"/>
      <w:sz w:val="22"/>
      <w:szCs w:val="22"/>
      <w:lang w:val="en-US" w:eastAsia="en-US"/>
    </w:rPr>
  </w:style>
  <w:style w:type="paragraph" w:styleId="Footer">
    <w:name w:val="footer"/>
    <w:basedOn w:val="Normal"/>
    <w:link w:val="FooterChar"/>
    <w:rsid w:val="005B4B12"/>
    <w:pPr>
      <w:tabs>
        <w:tab w:val="center" w:pos="4513"/>
        <w:tab w:val="right" w:pos="9026"/>
      </w:tabs>
      <w:spacing w:after="0" w:line="240" w:lineRule="auto"/>
    </w:pPr>
  </w:style>
  <w:style w:type="character" w:customStyle="1" w:styleId="FooterChar">
    <w:name w:val="Footer Char"/>
    <w:basedOn w:val="DefaultParagraphFont"/>
    <w:link w:val="Footer"/>
    <w:rsid w:val="005B4B12"/>
    <w:rPr>
      <w:rFonts w:asciiTheme="minorHAnsi" w:eastAsiaTheme="minorHAnsi" w:hAnsiTheme="minorHAnsi" w:cstheme="minorBidi"/>
      <w:sz w:val="22"/>
      <w:szCs w:val="22"/>
      <w:lang w:val="en-US" w:eastAsia="en-US"/>
    </w:rPr>
  </w:style>
  <w:style w:type="paragraph" w:styleId="BalloonText">
    <w:name w:val="Balloon Text"/>
    <w:basedOn w:val="Normal"/>
    <w:link w:val="BalloonTextChar"/>
    <w:rsid w:val="005B4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B4B12"/>
    <w:rPr>
      <w:rFonts w:ascii="Tahoma" w:eastAsiaTheme="minorHAnsi" w:hAnsi="Tahoma" w:cs="Tahoma"/>
      <w:sz w:val="16"/>
      <w:szCs w:val="16"/>
      <w:lang w:val="en-US" w:eastAsia="en-US"/>
    </w:rPr>
  </w:style>
  <w:style w:type="character" w:customStyle="1" w:styleId="Heading1Char">
    <w:name w:val="Heading 1 Char"/>
    <w:basedOn w:val="DefaultParagraphFont"/>
    <w:link w:val="Heading1"/>
    <w:uiPriority w:val="9"/>
    <w:rsid w:val="007F111E"/>
    <w:rPr>
      <w:rFonts w:ascii="Arial" w:eastAsiaTheme="majorEastAsia" w:hAnsi="Arial" w:cs="Arial"/>
      <w:b/>
      <w:bCs/>
      <w:sz w:val="36"/>
      <w:szCs w:val="36"/>
    </w:rPr>
  </w:style>
  <w:style w:type="character" w:customStyle="1" w:styleId="Heading3Char">
    <w:name w:val="Heading 3 Char"/>
    <w:basedOn w:val="DefaultParagraphFont"/>
    <w:link w:val="Heading3"/>
    <w:uiPriority w:val="9"/>
    <w:rsid w:val="00706400"/>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557E9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57E9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57E9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57E9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57E9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57E9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57E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57E9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57E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57E9C"/>
    <w:rPr>
      <w:rFonts w:asciiTheme="majorHAnsi" w:eastAsiaTheme="majorEastAsia" w:hAnsiTheme="majorHAnsi" w:cstheme="majorBidi"/>
      <w:i/>
      <w:iCs/>
      <w:spacing w:val="13"/>
      <w:sz w:val="24"/>
      <w:szCs w:val="24"/>
    </w:rPr>
  </w:style>
  <w:style w:type="character" w:styleId="Emphasis">
    <w:name w:val="Emphasis"/>
    <w:uiPriority w:val="20"/>
    <w:qFormat/>
    <w:rsid w:val="00557E9C"/>
    <w:rPr>
      <w:b/>
      <w:bCs/>
      <w:i/>
      <w:iCs/>
      <w:spacing w:val="10"/>
      <w:bdr w:val="none" w:sz="0" w:space="0" w:color="auto"/>
      <w:shd w:val="clear" w:color="auto" w:fill="auto"/>
    </w:rPr>
  </w:style>
  <w:style w:type="paragraph" w:styleId="NoSpacing">
    <w:name w:val="No Spacing"/>
    <w:basedOn w:val="Normal"/>
    <w:uiPriority w:val="1"/>
    <w:qFormat/>
    <w:rsid w:val="00557E9C"/>
    <w:pPr>
      <w:spacing w:after="0" w:line="240" w:lineRule="auto"/>
    </w:pPr>
  </w:style>
  <w:style w:type="paragraph" w:styleId="Quote">
    <w:name w:val="Quote"/>
    <w:basedOn w:val="Normal"/>
    <w:next w:val="Normal"/>
    <w:link w:val="QuoteChar"/>
    <w:uiPriority w:val="29"/>
    <w:qFormat/>
    <w:rsid w:val="00557E9C"/>
    <w:pPr>
      <w:spacing w:before="200" w:after="0"/>
      <w:ind w:left="360" w:right="360"/>
    </w:pPr>
    <w:rPr>
      <w:i/>
      <w:iCs/>
    </w:rPr>
  </w:style>
  <w:style w:type="character" w:customStyle="1" w:styleId="QuoteChar">
    <w:name w:val="Quote Char"/>
    <w:basedOn w:val="DefaultParagraphFont"/>
    <w:link w:val="Quote"/>
    <w:uiPriority w:val="29"/>
    <w:rsid w:val="00557E9C"/>
    <w:rPr>
      <w:i/>
      <w:iCs/>
    </w:rPr>
  </w:style>
  <w:style w:type="paragraph" w:styleId="IntenseQuote">
    <w:name w:val="Intense Quote"/>
    <w:basedOn w:val="Normal"/>
    <w:next w:val="Normal"/>
    <w:link w:val="IntenseQuoteChar"/>
    <w:uiPriority w:val="30"/>
    <w:qFormat/>
    <w:rsid w:val="00557E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57E9C"/>
    <w:rPr>
      <w:b/>
      <w:bCs/>
      <w:i/>
      <w:iCs/>
    </w:rPr>
  </w:style>
  <w:style w:type="character" w:styleId="SubtleEmphasis">
    <w:name w:val="Subtle Emphasis"/>
    <w:uiPriority w:val="19"/>
    <w:qFormat/>
    <w:rsid w:val="00557E9C"/>
    <w:rPr>
      <w:i/>
      <w:iCs/>
    </w:rPr>
  </w:style>
  <w:style w:type="character" w:styleId="IntenseEmphasis">
    <w:name w:val="Intense Emphasis"/>
    <w:uiPriority w:val="21"/>
    <w:qFormat/>
    <w:rsid w:val="00557E9C"/>
    <w:rPr>
      <w:b/>
      <w:bCs/>
    </w:rPr>
  </w:style>
  <w:style w:type="character" w:styleId="SubtleReference">
    <w:name w:val="Subtle Reference"/>
    <w:uiPriority w:val="31"/>
    <w:qFormat/>
    <w:rsid w:val="00557E9C"/>
    <w:rPr>
      <w:smallCaps/>
    </w:rPr>
  </w:style>
  <w:style w:type="character" w:styleId="IntenseReference">
    <w:name w:val="Intense Reference"/>
    <w:uiPriority w:val="32"/>
    <w:qFormat/>
    <w:rsid w:val="00557E9C"/>
    <w:rPr>
      <w:smallCaps/>
      <w:spacing w:val="5"/>
      <w:u w:val="single"/>
    </w:rPr>
  </w:style>
  <w:style w:type="character" w:styleId="BookTitle">
    <w:name w:val="Book Title"/>
    <w:uiPriority w:val="33"/>
    <w:qFormat/>
    <w:rsid w:val="00557E9C"/>
    <w:rPr>
      <w:i/>
      <w:iCs/>
      <w:smallCaps/>
      <w:spacing w:val="5"/>
    </w:rPr>
  </w:style>
  <w:style w:type="paragraph" w:styleId="TOCHeading">
    <w:name w:val="TOC Heading"/>
    <w:basedOn w:val="Heading1"/>
    <w:next w:val="Normal"/>
    <w:uiPriority w:val="39"/>
    <w:semiHidden/>
    <w:unhideWhenUsed/>
    <w:qFormat/>
    <w:rsid w:val="00557E9C"/>
    <w:pPr>
      <w:outlineLvl w:val="9"/>
    </w:pPr>
    <w:rPr>
      <w:lang w:bidi="en-US"/>
    </w:rPr>
  </w:style>
  <w:style w:type="paragraph" w:styleId="NormalWeb">
    <w:name w:val="Normal (Web)"/>
    <w:basedOn w:val="Normal"/>
    <w:uiPriority w:val="99"/>
    <w:unhideWhenUsed/>
    <w:rsid w:val="00463EEC"/>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04345">
      <w:bodyDiv w:val="1"/>
      <w:marLeft w:val="0"/>
      <w:marRight w:val="0"/>
      <w:marTop w:val="0"/>
      <w:marBottom w:val="0"/>
      <w:divBdr>
        <w:top w:val="none" w:sz="0" w:space="0" w:color="auto"/>
        <w:left w:val="none" w:sz="0" w:space="0" w:color="auto"/>
        <w:bottom w:val="none" w:sz="0" w:space="0" w:color="auto"/>
        <w:right w:val="none" w:sz="0" w:space="0" w:color="auto"/>
      </w:divBdr>
    </w:div>
    <w:div w:id="699666709">
      <w:bodyDiv w:val="1"/>
      <w:marLeft w:val="0"/>
      <w:marRight w:val="0"/>
      <w:marTop w:val="0"/>
      <w:marBottom w:val="0"/>
      <w:divBdr>
        <w:top w:val="none" w:sz="0" w:space="0" w:color="auto"/>
        <w:left w:val="none" w:sz="0" w:space="0" w:color="auto"/>
        <w:bottom w:val="none" w:sz="0" w:space="0" w:color="auto"/>
        <w:right w:val="none" w:sz="0" w:space="0" w:color="auto"/>
      </w:divBdr>
    </w:div>
    <w:div w:id="893001268">
      <w:bodyDiv w:val="1"/>
      <w:marLeft w:val="0"/>
      <w:marRight w:val="0"/>
      <w:marTop w:val="0"/>
      <w:marBottom w:val="0"/>
      <w:divBdr>
        <w:top w:val="none" w:sz="0" w:space="0" w:color="auto"/>
        <w:left w:val="none" w:sz="0" w:space="0" w:color="auto"/>
        <w:bottom w:val="none" w:sz="0" w:space="0" w:color="auto"/>
        <w:right w:val="none" w:sz="0" w:space="0" w:color="auto"/>
      </w:divBdr>
    </w:div>
    <w:div w:id="924386608">
      <w:bodyDiv w:val="1"/>
      <w:marLeft w:val="0"/>
      <w:marRight w:val="0"/>
      <w:marTop w:val="0"/>
      <w:marBottom w:val="0"/>
      <w:divBdr>
        <w:top w:val="none" w:sz="0" w:space="0" w:color="auto"/>
        <w:left w:val="none" w:sz="0" w:space="0" w:color="auto"/>
        <w:bottom w:val="none" w:sz="0" w:space="0" w:color="auto"/>
        <w:right w:val="none" w:sz="0" w:space="0" w:color="auto"/>
      </w:divBdr>
    </w:div>
    <w:div w:id="1033115363">
      <w:bodyDiv w:val="1"/>
      <w:marLeft w:val="0"/>
      <w:marRight w:val="0"/>
      <w:marTop w:val="0"/>
      <w:marBottom w:val="0"/>
      <w:divBdr>
        <w:top w:val="none" w:sz="0" w:space="0" w:color="auto"/>
        <w:left w:val="none" w:sz="0" w:space="0" w:color="auto"/>
        <w:bottom w:val="none" w:sz="0" w:space="0" w:color="auto"/>
        <w:right w:val="none" w:sz="0" w:space="0" w:color="auto"/>
      </w:divBdr>
    </w:div>
    <w:div w:id="1861354300">
      <w:bodyDiv w:val="1"/>
      <w:marLeft w:val="0"/>
      <w:marRight w:val="0"/>
      <w:marTop w:val="0"/>
      <w:marBottom w:val="0"/>
      <w:divBdr>
        <w:top w:val="none" w:sz="0" w:space="0" w:color="auto"/>
        <w:left w:val="none" w:sz="0" w:space="0" w:color="auto"/>
        <w:bottom w:val="none" w:sz="0" w:space="0" w:color="auto"/>
        <w:right w:val="none" w:sz="0" w:space="0" w:color="auto"/>
      </w:divBdr>
      <w:divsChild>
        <w:div w:id="988750970">
          <w:marLeft w:val="0"/>
          <w:marRight w:val="0"/>
          <w:marTop w:val="300"/>
          <w:marBottom w:val="0"/>
          <w:divBdr>
            <w:top w:val="none" w:sz="0" w:space="0" w:color="auto"/>
            <w:left w:val="none" w:sz="0" w:space="0" w:color="auto"/>
            <w:bottom w:val="none" w:sz="0" w:space="0" w:color="auto"/>
            <w:right w:val="none" w:sz="0" w:space="0" w:color="auto"/>
          </w:divBdr>
          <w:divsChild>
            <w:div w:id="11909958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79A81-D4E9-4EA6-9E8A-9D9EA6DC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10F8095F</Template>
  <TotalTime>22</TotalTime>
  <Pages>9</Pages>
  <Words>2161</Words>
  <Characters>11432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Stronger Land Account Bill submission</vt:lpstr>
    </vt:vector>
  </TitlesOfParts>
  <Company/>
  <LinksUpToDate>false</LinksUpToDate>
  <CharactersWithSpaces>13566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Stronger Land Account Bill submission</dc:title>
  <dc:subject>Submission to Senate Community Affairs Legislation Committee</dc:subject>
  <dc:creator>Anti-Discrimination Commission Queensland</dc:creator>
  <cp:keywords>Aboriginal Land Account, Aboriginal Land Fund, Indigenous Land Corporation, Indigenous Business Australia, native title, dispossession of land</cp:keywords>
  <dc:description>Submission on Anoriginal and Torres Strait Islander Amendment (A Stronger Land Account) Bill 2014</dc:description>
  <cp:lastModifiedBy>Helen Bannerman</cp:lastModifiedBy>
  <cp:revision>5</cp:revision>
  <cp:lastPrinted>2014-08-21T02:08:00Z</cp:lastPrinted>
  <dcterms:created xsi:type="dcterms:W3CDTF">2014-08-25T05:40:00Z</dcterms:created>
  <dcterms:modified xsi:type="dcterms:W3CDTF">2014-08-26T00:13:00Z</dcterms:modified>
  <cp:category>Submission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