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879" w:rsidRPr="00387344" w:rsidRDefault="003B0F67" w:rsidP="00C71E04">
      <w:pPr>
        <w:tabs>
          <w:tab w:val="left" w:pos="2642"/>
          <w:tab w:val="center" w:pos="4156"/>
        </w:tabs>
        <w:autoSpaceDE w:val="0"/>
        <w:autoSpaceDN w:val="0"/>
        <w:adjustRightInd w:val="0"/>
        <w:spacing w:before="2040"/>
        <w:jc w:val="center"/>
        <w:rPr>
          <w:rFonts w:cs="Arial"/>
          <w:b/>
          <w:sz w:val="36"/>
          <w:szCs w:val="36"/>
        </w:rPr>
      </w:pPr>
      <w:r w:rsidRPr="00387344">
        <w:rPr>
          <w:rFonts w:cs="Arial"/>
          <w:b/>
          <w:sz w:val="36"/>
          <w:szCs w:val="36"/>
        </w:rPr>
        <w:t>Submission</w:t>
      </w:r>
    </w:p>
    <w:p w:rsidR="00BF58F2" w:rsidRPr="00387344" w:rsidRDefault="003B0F67" w:rsidP="008043E9">
      <w:pPr>
        <w:autoSpaceDE w:val="0"/>
        <w:autoSpaceDN w:val="0"/>
        <w:adjustRightInd w:val="0"/>
        <w:spacing w:before="480" w:after="240"/>
        <w:jc w:val="center"/>
        <w:rPr>
          <w:rFonts w:cs="Arial"/>
          <w:b/>
          <w:sz w:val="36"/>
          <w:szCs w:val="36"/>
        </w:rPr>
      </w:pPr>
      <w:proofErr w:type="gramStart"/>
      <w:r w:rsidRPr="00387344">
        <w:rPr>
          <w:rFonts w:cs="Arial"/>
          <w:b/>
          <w:sz w:val="36"/>
          <w:szCs w:val="36"/>
        </w:rPr>
        <w:t>to</w:t>
      </w:r>
      <w:proofErr w:type="gramEnd"/>
    </w:p>
    <w:p w:rsidR="005B6CFB" w:rsidRPr="00387344" w:rsidRDefault="005B6CFB" w:rsidP="002E0BFC">
      <w:pPr>
        <w:autoSpaceDE w:val="0"/>
        <w:autoSpaceDN w:val="0"/>
        <w:adjustRightInd w:val="0"/>
        <w:spacing w:before="480" w:after="240"/>
        <w:jc w:val="center"/>
        <w:rPr>
          <w:rFonts w:cs="Arial"/>
          <w:b/>
          <w:sz w:val="36"/>
          <w:szCs w:val="36"/>
        </w:rPr>
      </w:pPr>
      <w:r w:rsidRPr="00387344">
        <w:rPr>
          <w:rFonts w:cs="Arial"/>
          <w:b/>
          <w:sz w:val="36"/>
          <w:szCs w:val="36"/>
        </w:rPr>
        <w:t>Expert Advisory Group</w:t>
      </w:r>
      <w:r w:rsidRPr="00387344">
        <w:rPr>
          <w:rFonts w:cs="Arial"/>
          <w:b/>
          <w:sz w:val="36"/>
          <w:szCs w:val="36"/>
        </w:rPr>
        <w:br/>
        <w:t>Royal Australasian College of Surgeons</w:t>
      </w:r>
    </w:p>
    <w:p w:rsidR="001811B9" w:rsidRPr="00387344" w:rsidRDefault="005B6CFB" w:rsidP="002E0BFC">
      <w:pPr>
        <w:autoSpaceDE w:val="0"/>
        <w:autoSpaceDN w:val="0"/>
        <w:adjustRightInd w:val="0"/>
        <w:spacing w:before="1440" w:after="240"/>
        <w:jc w:val="center"/>
        <w:rPr>
          <w:rFonts w:cs="Arial"/>
          <w:b/>
          <w:sz w:val="44"/>
          <w:szCs w:val="44"/>
        </w:rPr>
      </w:pPr>
      <w:r w:rsidRPr="00387344">
        <w:rPr>
          <w:rFonts w:cs="Arial"/>
          <w:b/>
          <w:sz w:val="44"/>
          <w:szCs w:val="44"/>
        </w:rPr>
        <w:t>Issues Paper: discrimination, bullying and sexual harassment in the practice of surgery</w:t>
      </w:r>
    </w:p>
    <w:p w:rsidR="00C909F3" w:rsidRPr="00387344" w:rsidRDefault="00C5271D" w:rsidP="002E0BFC">
      <w:pPr>
        <w:autoSpaceDE w:val="0"/>
        <w:autoSpaceDN w:val="0"/>
        <w:adjustRightInd w:val="0"/>
        <w:spacing w:before="1440" w:after="240"/>
        <w:jc w:val="center"/>
        <w:rPr>
          <w:rFonts w:cs="Arial"/>
          <w:b/>
          <w:sz w:val="36"/>
          <w:szCs w:val="36"/>
        </w:rPr>
      </w:pPr>
      <w:proofErr w:type="gramStart"/>
      <w:r w:rsidRPr="00387344">
        <w:rPr>
          <w:rFonts w:cs="Arial"/>
          <w:b/>
          <w:sz w:val="36"/>
          <w:szCs w:val="36"/>
        </w:rPr>
        <w:t>by</w:t>
      </w:r>
      <w:proofErr w:type="gramEnd"/>
      <w:r w:rsidRPr="00387344">
        <w:rPr>
          <w:rFonts w:cs="Arial"/>
          <w:b/>
          <w:sz w:val="36"/>
          <w:szCs w:val="36"/>
        </w:rPr>
        <w:t xml:space="preserve"> the</w:t>
      </w:r>
    </w:p>
    <w:p w:rsidR="00C5271D" w:rsidRPr="00387344" w:rsidRDefault="00C5271D" w:rsidP="002E0BFC">
      <w:pPr>
        <w:autoSpaceDE w:val="0"/>
        <w:autoSpaceDN w:val="0"/>
        <w:adjustRightInd w:val="0"/>
        <w:spacing w:before="480" w:after="240"/>
        <w:jc w:val="center"/>
        <w:rPr>
          <w:rFonts w:cs="Arial"/>
          <w:b/>
          <w:sz w:val="36"/>
          <w:szCs w:val="36"/>
        </w:rPr>
      </w:pPr>
      <w:r w:rsidRPr="00387344">
        <w:rPr>
          <w:rFonts w:cs="Arial"/>
          <w:b/>
          <w:sz w:val="36"/>
          <w:szCs w:val="36"/>
        </w:rPr>
        <w:t>Anti-Discrimination Commission Queensland</w:t>
      </w:r>
    </w:p>
    <w:p w:rsidR="001C2A6A" w:rsidRPr="00387344" w:rsidRDefault="001C2A6A" w:rsidP="001C2A6A"/>
    <w:p w:rsidR="00C909F3" w:rsidRPr="00387344" w:rsidRDefault="00C909F3" w:rsidP="001C2A6A">
      <w:pPr>
        <w:sectPr w:rsidR="00C909F3" w:rsidRPr="00387344" w:rsidSect="00A461EC">
          <w:headerReference w:type="default" r:id="rId9"/>
          <w:footerReference w:type="default" r:id="rId10"/>
          <w:headerReference w:type="first" r:id="rId11"/>
          <w:footerReference w:type="first" r:id="rId12"/>
          <w:pgSz w:w="11906" w:h="16838" w:code="9"/>
          <w:pgMar w:top="851" w:right="1797" w:bottom="1440" w:left="1797" w:header="737" w:footer="737" w:gutter="0"/>
          <w:cols w:space="708"/>
          <w:titlePg/>
          <w:docGrid w:linePitch="360"/>
        </w:sectPr>
      </w:pPr>
    </w:p>
    <w:sdt>
      <w:sdtPr>
        <w:rPr>
          <w:rFonts w:ascii="Arial" w:eastAsia="Times New Roman" w:hAnsi="Arial" w:cs="Arial"/>
          <w:b w:val="0"/>
          <w:bCs w:val="0"/>
          <w:color w:val="auto"/>
          <w:sz w:val="26"/>
          <w:szCs w:val="24"/>
          <w:lang w:val="en-AU" w:eastAsia="en-AU"/>
        </w:rPr>
        <w:id w:val="-843864030"/>
        <w:docPartObj>
          <w:docPartGallery w:val="Table of Contents"/>
          <w:docPartUnique/>
        </w:docPartObj>
      </w:sdtPr>
      <w:sdtEndPr>
        <w:rPr>
          <w:b/>
          <w:noProof/>
        </w:rPr>
      </w:sdtEndPr>
      <w:sdtContent>
        <w:p w:rsidR="004937D0" w:rsidRPr="00387344" w:rsidRDefault="004937D0" w:rsidP="005A62B5">
          <w:pPr>
            <w:pStyle w:val="TOCHeading"/>
            <w:spacing w:before="120" w:line="360" w:lineRule="auto"/>
            <w:rPr>
              <w:rFonts w:ascii="Arial" w:hAnsi="Arial" w:cs="Arial"/>
              <w:color w:val="auto"/>
              <w:sz w:val="32"/>
              <w:szCs w:val="32"/>
              <w:lang w:val="en-AU"/>
            </w:rPr>
          </w:pPr>
          <w:r w:rsidRPr="00387344">
            <w:rPr>
              <w:rFonts w:ascii="Arial" w:hAnsi="Arial" w:cs="Arial"/>
              <w:color w:val="auto"/>
              <w:sz w:val="32"/>
              <w:szCs w:val="32"/>
              <w:lang w:val="en-AU"/>
            </w:rPr>
            <w:t>Contents</w:t>
          </w:r>
        </w:p>
        <w:p w:rsidR="00172053" w:rsidRDefault="004937D0">
          <w:pPr>
            <w:pStyle w:val="TOC1"/>
            <w:rPr>
              <w:rFonts w:asciiTheme="minorHAnsi" w:eastAsiaTheme="minorEastAsia" w:hAnsiTheme="minorHAnsi" w:cstheme="minorBidi"/>
              <w:sz w:val="22"/>
              <w:szCs w:val="22"/>
            </w:rPr>
          </w:pPr>
          <w:r w:rsidRPr="00387344">
            <w:fldChar w:fldCharType="begin"/>
          </w:r>
          <w:r w:rsidRPr="00387344">
            <w:instrText xml:space="preserve"> TOC \o "1-3" \h \z \u </w:instrText>
          </w:r>
          <w:r w:rsidRPr="00387344">
            <w:fldChar w:fldCharType="separate"/>
          </w:r>
          <w:hyperlink w:anchor="_Toc425154198" w:history="1">
            <w:r w:rsidR="00172053" w:rsidRPr="0061749C">
              <w:rPr>
                <w:rStyle w:val="Hyperlink"/>
              </w:rPr>
              <w:t>Introduction</w:t>
            </w:r>
            <w:r w:rsidR="00172053">
              <w:rPr>
                <w:webHidden/>
              </w:rPr>
              <w:tab/>
            </w:r>
            <w:r w:rsidR="00172053">
              <w:rPr>
                <w:webHidden/>
              </w:rPr>
              <w:fldChar w:fldCharType="begin"/>
            </w:r>
            <w:r w:rsidR="00172053">
              <w:rPr>
                <w:webHidden/>
              </w:rPr>
              <w:instrText xml:space="preserve"> PAGEREF _Toc425154198 \h </w:instrText>
            </w:r>
            <w:r w:rsidR="00172053">
              <w:rPr>
                <w:webHidden/>
              </w:rPr>
            </w:r>
            <w:r w:rsidR="00172053">
              <w:rPr>
                <w:webHidden/>
              </w:rPr>
              <w:fldChar w:fldCharType="separate"/>
            </w:r>
            <w:r w:rsidR="009331B0">
              <w:rPr>
                <w:webHidden/>
              </w:rPr>
              <w:t>3</w:t>
            </w:r>
            <w:r w:rsidR="00172053">
              <w:rPr>
                <w:webHidden/>
              </w:rPr>
              <w:fldChar w:fldCharType="end"/>
            </w:r>
          </w:hyperlink>
        </w:p>
        <w:p w:rsidR="00172053" w:rsidRDefault="00591EDA">
          <w:pPr>
            <w:pStyle w:val="TOC1"/>
            <w:rPr>
              <w:rFonts w:asciiTheme="minorHAnsi" w:eastAsiaTheme="minorEastAsia" w:hAnsiTheme="minorHAnsi" w:cstheme="minorBidi"/>
              <w:sz w:val="22"/>
              <w:szCs w:val="22"/>
            </w:rPr>
          </w:pPr>
          <w:hyperlink w:anchor="_Toc425154199" w:history="1">
            <w:r w:rsidR="00172053" w:rsidRPr="0061749C">
              <w:rPr>
                <w:rStyle w:val="Hyperlink"/>
              </w:rPr>
              <w:t>Organisational culture</w:t>
            </w:r>
            <w:r w:rsidR="00172053">
              <w:rPr>
                <w:webHidden/>
              </w:rPr>
              <w:tab/>
            </w:r>
            <w:r w:rsidR="00172053">
              <w:rPr>
                <w:webHidden/>
              </w:rPr>
              <w:fldChar w:fldCharType="begin"/>
            </w:r>
            <w:r w:rsidR="00172053">
              <w:rPr>
                <w:webHidden/>
              </w:rPr>
              <w:instrText xml:space="preserve"> PAGEREF _Toc425154199 \h </w:instrText>
            </w:r>
            <w:r w:rsidR="00172053">
              <w:rPr>
                <w:webHidden/>
              </w:rPr>
            </w:r>
            <w:r w:rsidR="00172053">
              <w:rPr>
                <w:webHidden/>
              </w:rPr>
              <w:fldChar w:fldCharType="separate"/>
            </w:r>
            <w:r w:rsidR="009331B0">
              <w:rPr>
                <w:webHidden/>
              </w:rPr>
              <w:t>3</w:t>
            </w:r>
            <w:r w:rsidR="00172053">
              <w:rPr>
                <w:webHidden/>
              </w:rPr>
              <w:fldChar w:fldCharType="end"/>
            </w:r>
          </w:hyperlink>
        </w:p>
        <w:p w:rsidR="00172053" w:rsidRDefault="00591EDA">
          <w:pPr>
            <w:pStyle w:val="TOC2"/>
            <w:tabs>
              <w:tab w:val="right" w:leader="dot" w:pos="8302"/>
            </w:tabs>
            <w:rPr>
              <w:rFonts w:asciiTheme="minorHAnsi" w:eastAsiaTheme="minorEastAsia" w:hAnsiTheme="minorHAnsi" w:cstheme="minorBidi"/>
              <w:noProof/>
              <w:sz w:val="22"/>
              <w:szCs w:val="22"/>
            </w:rPr>
          </w:pPr>
          <w:hyperlink w:anchor="_Toc425154200" w:history="1">
            <w:r w:rsidR="00172053" w:rsidRPr="0061749C">
              <w:rPr>
                <w:rStyle w:val="Hyperlink"/>
                <w:noProof/>
              </w:rPr>
              <w:t>Possible next step – refocus training</w:t>
            </w:r>
            <w:r w:rsidR="00172053">
              <w:rPr>
                <w:noProof/>
                <w:webHidden/>
              </w:rPr>
              <w:tab/>
            </w:r>
            <w:r w:rsidR="00172053">
              <w:rPr>
                <w:noProof/>
                <w:webHidden/>
              </w:rPr>
              <w:fldChar w:fldCharType="begin"/>
            </w:r>
            <w:r w:rsidR="00172053">
              <w:rPr>
                <w:noProof/>
                <w:webHidden/>
              </w:rPr>
              <w:instrText xml:space="preserve"> PAGEREF _Toc425154200 \h </w:instrText>
            </w:r>
            <w:r w:rsidR="00172053">
              <w:rPr>
                <w:noProof/>
                <w:webHidden/>
              </w:rPr>
            </w:r>
            <w:r w:rsidR="00172053">
              <w:rPr>
                <w:noProof/>
                <w:webHidden/>
              </w:rPr>
              <w:fldChar w:fldCharType="separate"/>
            </w:r>
            <w:r w:rsidR="009331B0">
              <w:rPr>
                <w:noProof/>
                <w:webHidden/>
              </w:rPr>
              <w:t>4</w:t>
            </w:r>
            <w:r w:rsidR="00172053">
              <w:rPr>
                <w:noProof/>
                <w:webHidden/>
              </w:rPr>
              <w:fldChar w:fldCharType="end"/>
            </w:r>
          </w:hyperlink>
        </w:p>
        <w:p w:rsidR="00172053" w:rsidRDefault="00591EDA">
          <w:pPr>
            <w:pStyle w:val="TOC2"/>
            <w:tabs>
              <w:tab w:val="right" w:leader="dot" w:pos="8302"/>
            </w:tabs>
            <w:rPr>
              <w:rFonts w:asciiTheme="minorHAnsi" w:eastAsiaTheme="minorEastAsia" w:hAnsiTheme="minorHAnsi" w:cstheme="minorBidi"/>
              <w:noProof/>
              <w:sz w:val="22"/>
              <w:szCs w:val="22"/>
            </w:rPr>
          </w:pPr>
          <w:hyperlink w:anchor="_Toc425154201" w:history="1">
            <w:r w:rsidR="00172053" w:rsidRPr="0061749C">
              <w:rPr>
                <w:rStyle w:val="Hyperlink"/>
                <w:noProof/>
              </w:rPr>
              <w:t>Possible next step – Review current professional development and traineeship education</w:t>
            </w:r>
            <w:r w:rsidR="00172053">
              <w:rPr>
                <w:noProof/>
                <w:webHidden/>
              </w:rPr>
              <w:tab/>
            </w:r>
            <w:r w:rsidR="00172053">
              <w:rPr>
                <w:noProof/>
                <w:webHidden/>
              </w:rPr>
              <w:fldChar w:fldCharType="begin"/>
            </w:r>
            <w:r w:rsidR="00172053">
              <w:rPr>
                <w:noProof/>
                <w:webHidden/>
              </w:rPr>
              <w:instrText xml:space="preserve"> PAGEREF _Toc425154201 \h </w:instrText>
            </w:r>
            <w:r w:rsidR="00172053">
              <w:rPr>
                <w:noProof/>
                <w:webHidden/>
              </w:rPr>
            </w:r>
            <w:r w:rsidR="00172053">
              <w:rPr>
                <w:noProof/>
                <w:webHidden/>
              </w:rPr>
              <w:fldChar w:fldCharType="separate"/>
            </w:r>
            <w:r w:rsidR="009331B0">
              <w:rPr>
                <w:noProof/>
                <w:webHidden/>
              </w:rPr>
              <w:t>5</w:t>
            </w:r>
            <w:r w:rsidR="00172053">
              <w:rPr>
                <w:noProof/>
                <w:webHidden/>
              </w:rPr>
              <w:fldChar w:fldCharType="end"/>
            </w:r>
          </w:hyperlink>
        </w:p>
        <w:p w:rsidR="00172053" w:rsidRDefault="00591EDA">
          <w:pPr>
            <w:pStyle w:val="TOC1"/>
            <w:rPr>
              <w:rFonts w:asciiTheme="minorHAnsi" w:eastAsiaTheme="minorEastAsia" w:hAnsiTheme="minorHAnsi" w:cstheme="minorBidi"/>
              <w:sz w:val="22"/>
              <w:szCs w:val="22"/>
            </w:rPr>
          </w:pPr>
          <w:hyperlink w:anchor="_Toc425154202" w:history="1">
            <w:r w:rsidR="00172053" w:rsidRPr="0061749C">
              <w:rPr>
                <w:rStyle w:val="Hyperlink"/>
              </w:rPr>
              <w:t>Culture of surgery</w:t>
            </w:r>
            <w:r w:rsidR="00172053">
              <w:rPr>
                <w:webHidden/>
              </w:rPr>
              <w:tab/>
            </w:r>
            <w:r w:rsidR="00172053">
              <w:rPr>
                <w:webHidden/>
              </w:rPr>
              <w:fldChar w:fldCharType="begin"/>
            </w:r>
            <w:r w:rsidR="00172053">
              <w:rPr>
                <w:webHidden/>
              </w:rPr>
              <w:instrText xml:space="preserve"> PAGEREF _Toc425154202 \h </w:instrText>
            </w:r>
            <w:r w:rsidR="00172053">
              <w:rPr>
                <w:webHidden/>
              </w:rPr>
            </w:r>
            <w:r w:rsidR="00172053">
              <w:rPr>
                <w:webHidden/>
              </w:rPr>
              <w:fldChar w:fldCharType="separate"/>
            </w:r>
            <w:r w:rsidR="009331B0">
              <w:rPr>
                <w:webHidden/>
              </w:rPr>
              <w:t>5</w:t>
            </w:r>
            <w:r w:rsidR="00172053">
              <w:rPr>
                <w:webHidden/>
              </w:rPr>
              <w:fldChar w:fldCharType="end"/>
            </w:r>
          </w:hyperlink>
        </w:p>
        <w:p w:rsidR="00172053" w:rsidRDefault="00591EDA">
          <w:pPr>
            <w:pStyle w:val="TOC2"/>
            <w:tabs>
              <w:tab w:val="right" w:leader="dot" w:pos="8302"/>
            </w:tabs>
            <w:rPr>
              <w:rFonts w:asciiTheme="minorHAnsi" w:eastAsiaTheme="minorEastAsia" w:hAnsiTheme="minorHAnsi" w:cstheme="minorBidi"/>
              <w:noProof/>
              <w:sz w:val="22"/>
              <w:szCs w:val="22"/>
            </w:rPr>
          </w:pPr>
          <w:hyperlink w:anchor="_Toc425154203" w:history="1">
            <w:r w:rsidR="00172053" w:rsidRPr="0061749C">
              <w:rPr>
                <w:rStyle w:val="Hyperlink"/>
                <w:noProof/>
              </w:rPr>
              <w:t>Gender inequity</w:t>
            </w:r>
            <w:r w:rsidR="00172053">
              <w:rPr>
                <w:noProof/>
                <w:webHidden/>
              </w:rPr>
              <w:tab/>
            </w:r>
            <w:r w:rsidR="00172053">
              <w:rPr>
                <w:noProof/>
                <w:webHidden/>
              </w:rPr>
              <w:fldChar w:fldCharType="begin"/>
            </w:r>
            <w:r w:rsidR="00172053">
              <w:rPr>
                <w:noProof/>
                <w:webHidden/>
              </w:rPr>
              <w:instrText xml:space="preserve"> PAGEREF _Toc425154203 \h </w:instrText>
            </w:r>
            <w:r w:rsidR="00172053">
              <w:rPr>
                <w:noProof/>
                <w:webHidden/>
              </w:rPr>
            </w:r>
            <w:r w:rsidR="00172053">
              <w:rPr>
                <w:noProof/>
                <w:webHidden/>
              </w:rPr>
              <w:fldChar w:fldCharType="separate"/>
            </w:r>
            <w:r w:rsidR="009331B0">
              <w:rPr>
                <w:noProof/>
                <w:webHidden/>
              </w:rPr>
              <w:t>5</w:t>
            </w:r>
            <w:r w:rsidR="00172053">
              <w:rPr>
                <w:noProof/>
                <w:webHidden/>
              </w:rPr>
              <w:fldChar w:fldCharType="end"/>
            </w:r>
          </w:hyperlink>
        </w:p>
        <w:p w:rsidR="00172053" w:rsidRDefault="00591EDA">
          <w:pPr>
            <w:pStyle w:val="TOC2"/>
            <w:tabs>
              <w:tab w:val="right" w:leader="dot" w:pos="8302"/>
            </w:tabs>
            <w:rPr>
              <w:rFonts w:asciiTheme="minorHAnsi" w:eastAsiaTheme="minorEastAsia" w:hAnsiTheme="minorHAnsi" w:cstheme="minorBidi"/>
              <w:noProof/>
              <w:sz w:val="22"/>
              <w:szCs w:val="22"/>
            </w:rPr>
          </w:pPr>
          <w:hyperlink w:anchor="_Toc425154204" w:history="1">
            <w:r w:rsidR="00172053" w:rsidRPr="0061749C">
              <w:rPr>
                <w:rStyle w:val="Hyperlink"/>
                <w:noProof/>
              </w:rPr>
              <w:t>The boys’ club</w:t>
            </w:r>
            <w:r w:rsidR="00172053">
              <w:rPr>
                <w:noProof/>
                <w:webHidden/>
              </w:rPr>
              <w:tab/>
            </w:r>
            <w:r w:rsidR="00172053">
              <w:rPr>
                <w:noProof/>
                <w:webHidden/>
              </w:rPr>
              <w:fldChar w:fldCharType="begin"/>
            </w:r>
            <w:r w:rsidR="00172053">
              <w:rPr>
                <w:noProof/>
                <w:webHidden/>
              </w:rPr>
              <w:instrText xml:space="preserve"> PAGEREF _Toc425154204 \h </w:instrText>
            </w:r>
            <w:r w:rsidR="00172053">
              <w:rPr>
                <w:noProof/>
                <w:webHidden/>
              </w:rPr>
            </w:r>
            <w:r w:rsidR="00172053">
              <w:rPr>
                <w:noProof/>
                <w:webHidden/>
              </w:rPr>
              <w:fldChar w:fldCharType="separate"/>
            </w:r>
            <w:r w:rsidR="009331B0">
              <w:rPr>
                <w:noProof/>
                <w:webHidden/>
              </w:rPr>
              <w:t>6</w:t>
            </w:r>
            <w:r w:rsidR="00172053">
              <w:rPr>
                <w:noProof/>
                <w:webHidden/>
              </w:rPr>
              <w:fldChar w:fldCharType="end"/>
            </w:r>
          </w:hyperlink>
        </w:p>
        <w:p w:rsidR="00172053" w:rsidRDefault="00591EDA">
          <w:pPr>
            <w:pStyle w:val="TOC1"/>
            <w:rPr>
              <w:rFonts w:asciiTheme="minorHAnsi" w:eastAsiaTheme="minorEastAsia" w:hAnsiTheme="minorHAnsi" w:cstheme="minorBidi"/>
              <w:sz w:val="22"/>
              <w:szCs w:val="22"/>
            </w:rPr>
          </w:pPr>
          <w:hyperlink w:anchor="_Toc425154205" w:history="1">
            <w:r w:rsidR="00172053" w:rsidRPr="0061749C">
              <w:rPr>
                <w:rStyle w:val="Hyperlink"/>
              </w:rPr>
              <w:t>Complaints</w:t>
            </w:r>
            <w:r w:rsidR="00172053">
              <w:rPr>
                <w:webHidden/>
              </w:rPr>
              <w:tab/>
            </w:r>
            <w:r w:rsidR="00172053">
              <w:rPr>
                <w:webHidden/>
              </w:rPr>
              <w:fldChar w:fldCharType="begin"/>
            </w:r>
            <w:r w:rsidR="00172053">
              <w:rPr>
                <w:webHidden/>
              </w:rPr>
              <w:instrText xml:space="preserve"> PAGEREF _Toc425154205 \h </w:instrText>
            </w:r>
            <w:r w:rsidR="00172053">
              <w:rPr>
                <w:webHidden/>
              </w:rPr>
            </w:r>
            <w:r w:rsidR="00172053">
              <w:rPr>
                <w:webHidden/>
              </w:rPr>
              <w:fldChar w:fldCharType="separate"/>
            </w:r>
            <w:r w:rsidR="009331B0">
              <w:rPr>
                <w:webHidden/>
              </w:rPr>
              <w:t>7</w:t>
            </w:r>
            <w:r w:rsidR="00172053">
              <w:rPr>
                <w:webHidden/>
              </w:rPr>
              <w:fldChar w:fldCharType="end"/>
            </w:r>
          </w:hyperlink>
        </w:p>
        <w:p w:rsidR="00172053" w:rsidRDefault="00591EDA">
          <w:pPr>
            <w:pStyle w:val="TOC1"/>
            <w:rPr>
              <w:rFonts w:asciiTheme="minorHAnsi" w:eastAsiaTheme="minorEastAsia" w:hAnsiTheme="minorHAnsi" w:cstheme="minorBidi"/>
              <w:sz w:val="22"/>
              <w:szCs w:val="22"/>
            </w:rPr>
          </w:pPr>
          <w:hyperlink w:anchor="_Toc425154206" w:history="1">
            <w:r w:rsidR="00172053" w:rsidRPr="0061749C">
              <w:rPr>
                <w:rStyle w:val="Hyperlink"/>
              </w:rPr>
              <w:t>Conclusion</w:t>
            </w:r>
            <w:r w:rsidR="00172053">
              <w:rPr>
                <w:webHidden/>
              </w:rPr>
              <w:tab/>
            </w:r>
            <w:r w:rsidR="00172053">
              <w:rPr>
                <w:webHidden/>
              </w:rPr>
              <w:fldChar w:fldCharType="begin"/>
            </w:r>
            <w:r w:rsidR="00172053">
              <w:rPr>
                <w:webHidden/>
              </w:rPr>
              <w:instrText xml:space="preserve"> PAGEREF _Toc425154206 \h </w:instrText>
            </w:r>
            <w:r w:rsidR="00172053">
              <w:rPr>
                <w:webHidden/>
              </w:rPr>
            </w:r>
            <w:r w:rsidR="00172053">
              <w:rPr>
                <w:webHidden/>
              </w:rPr>
              <w:fldChar w:fldCharType="separate"/>
            </w:r>
            <w:r w:rsidR="009331B0">
              <w:rPr>
                <w:webHidden/>
              </w:rPr>
              <w:t>10</w:t>
            </w:r>
            <w:r w:rsidR="00172053">
              <w:rPr>
                <w:webHidden/>
              </w:rPr>
              <w:fldChar w:fldCharType="end"/>
            </w:r>
          </w:hyperlink>
        </w:p>
        <w:p w:rsidR="00A74B65" w:rsidRPr="00387344" w:rsidRDefault="004937D0" w:rsidP="00532CA5">
          <w:pPr>
            <w:pStyle w:val="Heading2"/>
            <w:spacing w:before="120"/>
          </w:pPr>
          <w:r w:rsidRPr="00387344">
            <w:rPr>
              <w:bCs/>
              <w:noProof/>
              <w:sz w:val="24"/>
            </w:rPr>
            <w:fldChar w:fldCharType="end"/>
          </w:r>
        </w:p>
      </w:sdtContent>
    </w:sdt>
    <w:p w:rsidR="004937D0" w:rsidRPr="00387344" w:rsidRDefault="004937D0" w:rsidP="003849EA">
      <w:pPr>
        <w:pStyle w:val="Heading2"/>
        <w:rPr>
          <w:kern w:val="32"/>
          <w:sz w:val="32"/>
          <w:szCs w:val="32"/>
        </w:rPr>
      </w:pPr>
      <w:r w:rsidRPr="00387344">
        <w:br w:type="page"/>
      </w:r>
    </w:p>
    <w:p w:rsidR="00CE17C0" w:rsidRPr="00387344" w:rsidRDefault="00CE17C0" w:rsidP="00AE06F3">
      <w:pPr>
        <w:pStyle w:val="Heading1"/>
        <w:keepNext w:val="0"/>
        <w:pageBreakBefore/>
        <w:spacing w:before="0" w:after="240"/>
        <w:rPr>
          <w:color w:val="000000"/>
        </w:rPr>
      </w:pPr>
      <w:bookmarkStart w:id="0" w:name="_Toc425154198"/>
      <w:r w:rsidRPr="00387344">
        <w:lastRenderedPageBreak/>
        <w:t>Introduction</w:t>
      </w:r>
      <w:bookmarkEnd w:id="0"/>
    </w:p>
    <w:p w:rsidR="00D001DD" w:rsidRPr="00387344" w:rsidRDefault="00D001DD" w:rsidP="004D164C">
      <w:pPr>
        <w:pStyle w:val="NormalWeb"/>
        <w:numPr>
          <w:ilvl w:val="0"/>
          <w:numId w:val="2"/>
        </w:numPr>
        <w:spacing w:before="120" w:beforeAutospacing="0" w:after="240" w:afterAutospacing="0" w:line="360" w:lineRule="auto"/>
        <w:ind w:left="567" w:hanging="567"/>
        <w:rPr>
          <w:rFonts w:cs="Arial"/>
          <w:color w:val="000000"/>
          <w:lang w:val="en-AU"/>
        </w:rPr>
      </w:pPr>
      <w:r w:rsidRPr="00387344">
        <w:rPr>
          <w:rFonts w:cs="Arial"/>
          <w:color w:val="000000"/>
          <w:lang w:val="en-AU"/>
        </w:rPr>
        <w:t xml:space="preserve">The Anti-Discrimination Commission Queensland </w:t>
      </w:r>
      <w:r w:rsidR="00C5271D" w:rsidRPr="00387344">
        <w:rPr>
          <w:rFonts w:cs="Arial"/>
          <w:color w:val="000000"/>
          <w:lang w:val="en-AU"/>
        </w:rPr>
        <w:t xml:space="preserve">(Commission) </w:t>
      </w:r>
      <w:r w:rsidRPr="00387344">
        <w:rPr>
          <w:rFonts w:cs="Arial"/>
          <w:color w:val="000000"/>
          <w:lang w:val="en-AU"/>
        </w:rPr>
        <w:t xml:space="preserve">is an independent statutory authority established under the Queensland </w:t>
      </w:r>
      <w:r w:rsidRPr="00387344">
        <w:rPr>
          <w:rStyle w:val="HTMLCite"/>
          <w:rFonts w:cs="Arial"/>
          <w:color w:val="000000"/>
          <w:lang w:val="en-AU"/>
        </w:rPr>
        <w:t>Anti-Discrimination Act 1991</w:t>
      </w:r>
      <w:r w:rsidRPr="00387344">
        <w:rPr>
          <w:rFonts w:cs="Arial"/>
          <w:color w:val="000000"/>
          <w:lang w:val="en-AU"/>
        </w:rPr>
        <w:t>.</w:t>
      </w:r>
    </w:p>
    <w:p w:rsidR="003018EE" w:rsidRPr="00387344" w:rsidRDefault="00D001DD" w:rsidP="004D164C">
      <w:pPr>
        <w:pStyle w:val="NormalWeb"/>
        <w:numPr>
          <w:ilvl w:val="0"/>
          <w:numId w:val="2"/>
        </w:numPr>
        <w:spacing w:before="120" w:beforeAutospacing="0" w:after="240" w:afterAutospacing="0" w:line="360" w:lineRule="auto"/>
        <w:ind w:left="567" w:hanging="567"/>
        <w:rPr>
          <w:rFonts w:cs="Arial"/>
          <w:color w:val="000000"/>
          <w:lang w:val="en-AU"/>
        </w:rPr>
      </w:pPr>
      <w:r w:rsidRPr="00387344">
        <w:rPr>
          <w:rFonts w:cs="Arial"/>
          <w:color w:val="000000"/>
          <w:lang w:val="en-AU"/>
        </w:rPr>
        <w:t>The functions of the Commission include promoting an understanding, acceptance and public discussion of human rights in Queensland</w:t>
      </w:r>
      <w:r w:rsidR="00D122D0" w:rsidRPr="00387344">
        <w:rPr>
          <w:rFonts w:cs="Arial"/>
          <w:color w:val="000000"/>
          <w:lang w:val="en-AU"/>
        </w:rPr>
        <w:t xml:space="preserve">, and </w:t>
      </w:r>
      <w:r w:rsidR="00541F8C" w:rsidRPr="00387344">
        <w:rPr>
          <w:rFonts w:cs="Arial"/>
          <w:color w:val="000000"/>
          <w:lang w:val="en-AU"/>
        </w:rPr>
        <w:t>deal</w:t>
      </w:r>
      <w:r w:rsidR="00D122D0" w:rsidRPr="00387344">
        <w:rPr>
          <w:rFonts w:cs="Arial"/>
          <w:color w:val="000000"/>
          <w:lang w:val="en-AU"/>
        </w:rPr>
        <w:t>ing</w:t>
      </w:r>
      <w:r w:rsidR="00541F8C" w:rsidRPr="00387344">
        <w:rPr>
          <w:rFonts w:cs="Arial"/>
          <w:color w:val="000000"/>
          <w:lang w:val="en-AU"/>
        </w:rPr>
        <w:t xml:space="preserve"> with complaints </w:t>
      </w:r>
      <w:r w:rsidR="00EF56B9" w:rsidRPr="00387344">
        <w:rPr>
          <w:rFonts w:cs="Arial"/>
          <w:color w:val="000000"/>
          <w:lang w:val="en-AU"/>
        </w:rPr>
        <w:t xml:space="preserve">alleging contraventions of the </w:t>
      </w:r>
      <w:r w:rsidR="00EF56B9" w:rsidRPr="00387344">
        <w:rPr>
          <w:rStyle w:val="HTMLCite"/>
          <w:rFonts w:cs="Arial"/>
          <w:color w:val="000000"/>
          <w:lang w:val="en-AU"/>
        </w:rPr>
        <w:t>Anti-Discrimination Act 1991</w:t>
      </w:r>
      <w:r w:rsidR="00EF56B9" w:rsidRPr="00387344">
        <w:rPr>
          <w:rStyle w:val="HTMLCite"/>
          <w:rFonts w:cs="Arial"/>
          <w:i w:val="0"/>
          <w:color w:val="000000"/>
          <w:lang w:val="en-AU"/>
        </w:rPr>
        <w:t xml:space="preserve"> and of whistle-blower reprisal</w:t>
      </w:r>
      <w:r w:rsidR="00AF2774" w:rsidRPr="00387344">
        <w:rPr>
          <w:rFonts w:cs="Arial"/>
          <w:color w:val="000000"/>
          <w:lang w:val="en-AU"/>
        </w:rPr>
        <w:t>.</w:t>
      </w:r>
      <w:r w:rsidR="00EF56B9" w:rsidRPr="00387344">
        <w:rPr>
          <w:rFonts w:cs="Arial"/>
          <w:color w:val="000000"/>
          <w:lang w:val="en-AU"/>
        </w:rPr>
        <w:t xml:space="preserve">  Complaints that are not resolved through conciliation can be referred to the Queensland Civil and Administrative Tribunal for hearing and determination.</w:t>
      </w:r>
    </w:p>
    <w:p w:rsidR="005B6CFB" w:rsidRPr="00387344" w:rsidRDefault="005B6CFB" w:rsidP="005B6CFB">
      <w:pPr>
        <w:pStyle w:val="ListParagraph"/>
        <w:numPr>
          <w:ilvl w:val="0"/>
          <w:numId w:val="2"/>
        </w:numPr>
        <w:spacing w:after="240" w:line="360" w:lineRule="auto"/>
        <w:rPr>
          <w:rFonts w:cs="Arial"/>
        </w:rPr>
      </w:pPr>
      <w:r w:rsidRPr="00387344">
        <w:rPr>
          <w:rFonts w:cs="Arial"/>
        </w:rPr>
        <w:t>The Royal Australasian College of Surgeons (the College) has established an Expert Advisory Group (EAG) to advise the College on how to prevent and address discrimination, bullying and sexual harassment in the practice of surgery.  The College has conducted research, and has published a Background Briefing and an Issues Paper calling for ideas about preventing and addressing discrimination, bullying and harassment in the practice of surgery.</w:t>
      </w:r>
    </w:p>
    <w:p w:rsidR="00F47990" w:rsidRPr="00387344" w:rsidRDefault="00B75D33" w:rsidP="004D164C">
      <w:pPr>
        <w:pStyle w:val="NormalWeb"/>
        <w:numPr>
          <w:ilvl w:val="0"/>
          <w:numId w:val="2"/>
        </w:numPr>
        <w:spacing w:before="120" w:beforeAutospacing="0" w:after="240" w:afterAutospacing="0" w:line="360" w:lineRule="auto"/>
        <w:ind w:left="567" w:hanging="567"/>
        <w:rPr>
          <w:rFonts w:cs="Arial"/>
          <w:color w:val="000000"/>
          <w:lang w:val="en-AU"/>
        </w:rPr>
      </w:pPr>
      <w:r w:rsidRPr="00387344">
        <w:rPr>
          <w:rFonts w:cs="Arial"/>
          <w:color w:val="000000"/>
          <w:lang w:val="en-AU"/>
        </w:rPr>
        <w:t xml:space="preserve">The Commission has been dealing with complaints of discrimination and sexual harassment for over twenty years.  Our work also includes engaging with stakeholder groups, providing training, and receiving feedback on human rights issues such as discrimination, bullying and sexual harassment in workplaces.  </w:t>
      </w:r>
      <w:r w:rsidR="008B3471" w:rsidRPr="00387344">
        <w:rPr>
          <w:rFonts w:cs="Arial"/>
          <w:color w:val="000000"/>
          <w:lang w:val="en-AU"/>
        </w:rPr>
        <w:t>This submission</w:t>
      </w:r>
      <w:r w:rsidRPr="00387344">
        <w:rPr>
          <w:rFonts w:cs="Arial"/>
          <w:color w:val="000000"/>
          <w:lang w:val="en-AU"/>
        </w:rPr>
        <w:t xml:space="preserve"> is based on our experiences and knowledge acquired in carrying out these functions</w:t>
      </w:r>
      <w:r w:rsidR="00A910DD" w:rsidRPr="00387344">
        <w:rPr>
          <w:rFonts w:cs="Arial"/>
          <w:color w:val="000000"/>
          <w:lang w:val="en-AU"/>
        </w:rPr>
        <w:t>.</w:t>
      </w:r>
      <w:r w:rsidR="00BE70BE" w:rsidRPr="00387344">
        <w:rPr>
          <w:rFonts w:cs="Arial"/>
          <w:color w:val="000000"/>
          <w:lang w:val="en-AU"/>
        </w:rPr>
        <w:t xml:space="preserve">  It responds to some of the issues and proposals in the Issues Paper, </w:t>
      </w:r>
      <w:r w:rsidR="00663F02" w:rsidRPr="00387344">
        <w:rPr>
          <w:rFonts w:cs="Arial"/>
          <w:color w:val="000000"/>
          <w:lang w:val="en-AU"/>
        </w:rPr>
        <w:t>by reference to</w:t>
      </w:r>
      <w:r w:rsidR="00BE70BE" w:rsidRPr="00387344">
        <w:rPr>
          <w:rFonts w:cs="Arial"/>
          <w:color w:val="000000"/>
          <w:lang w:val="en-AU"/>
        </w:rPr>
        <w:t xml:space="preserve"> the headings in the Issues Paper.</w:t>
      </w:r>
    </w:p>
    <w:p w:rsidR="008B112F" w:rsidRPr="00387344" w:rsidRDefault="00B75D33" w:rsidP="00D122D0">
      <w:pPr>
        <w:pStyle w:val="Heading1"/>
        <w:spacing w:after="240"/>
      </w:pPr>
      <w:bookmarkStart w:id="1" w:name="_Toc425154199"/>
      <w:r w:rsidRPr="00387344">
        <w:t>Organisation</w:t>
      </w:r>
      <w:r w:rsidR="0005388E" w:rsidRPr="00387344">
        <w:t>al</w:t>
      </w:r>
      <w:r w:rsidRPr="00387344">
        <w:t xml:space="preserve"> culture</w:t>
      </w:r>
      <w:bookmarkEnd w:id="1"/>
    </w:p>
    <w:p w:rsidR="004517C2" w:rsidRPr="00387344" w:rsidRDefault="00D61F8E" w:rsidP="0005388E">
      <w:pPr>
        <w:pStyle w:val="NormalWeb"/>
        <w:numPr>
          <w:ilvl w:val="0"/>
          <w:numId w:val="2"/>
        </w:numPr>
        <w:spacing w:before="120" w:beforeAutospacing="0" w:after="240" w:afterAutospacing="0" w:line="360" w:lineRule="auto"/>
        <w:ind w:left="567" w:hanging="567"/>
        <w:rPr>
          <w:rFonts w:cs="Arial"/>
          <w:lang w:val="en-AU"/>
        </w:rPr>
      </w:pPr>
      <w:r w:rsidRPr="00387344">
        <w:rPr>
          <w:rFonts w:cs="Arial"/>
          <w:lang w:val="en-AU"/>
        </w:rPr>
        <w:t>It is acknowledged in both the Background Briefing and the Issues Paper that problems of discrimination, bullying and sexual harassment persist despite the legal prohibitions and regulatory framework that have existed for many years.</w:t>
      </w:r>
      <w:r w:rsidR="009F023C" w:rsidRPr="00387344">
        <w:rPr>
          <w:rFonts w:cs="Arial"/>
          <w:lang w:val="en-AU"/>
        </w:rPr>
        <w:t xml:space="preserve">  One of the questions i</w:t>
      </w:r>
      <w:r w:rsidR="000A13A6" w:rsidRPr="00387344">
        <w:rPr>
          <w:rFonts w:cs="Arial"/>
          <w:lang w:val="en-AU"/>
        </w:rPr>
        <w:t xml:space="preserve">n the Issues Paper </w:t>
      </w:r>
      <w:r w:rsidR="009F023C" w:rsidRPr="00387344">
        <w:rPr>
          <w:rFonts w:cs="Arial"/>
          <w:lang w:val="en-AU"/>
        </w:rPr>
        <w:t>is</w:t>
      </w:r>
      <w:r w:rsidR="000A13A6" w:rsidRPr="00387344">
        <w:rPr>
          <w:rFonts w:cs="Arial"/>
          <w:lang w:val="en-AU"/>
        </w:rPr>
        <w:t xml:space="preserve"> whether th</w:t>
      </w:r>
      <w:r w:rsidR="009F023C" w:rsidRPr="00387344">
        <w:rPr>
          <w:rFonts w:cs="Arial"/>
          <w:lang w:val="en-AU"/>
        </w:rPr>
        <w:t xml:space="preserve">e right skills are being taught.  </w:t>
      </w:r>
    </w:p>
    <w:p w:rsidR="004517C2" w:rsidRPr="00387344" w:rsidRDefault="004517C2" w:rsidP="00844F2F">
      <w:pPr>
        <w:pStyle w:val="Heading2"/>
        <w:spacing w:line="240" w:lineRule="auto"/>
      </w:pPr>
      <w:bookmarkStart w:id="2" w:name="_Toc425154200"/>
      <w:r w:rsidRPr="00387344">
        <w:lastRenderedPageBreak/>
        <w:t>Possible next step – refocus training</w:t>
      </w:r>
      <w:bookmarkEnd w:id="2"/>
    </w:p>
    <w:p w:rsidR="0005388E" w:rsidRPr="00387344" w:rsidRDefault="009F023C" w:rsidP="0005388E">
      <w:pPr>
        <w:pStyle w:val="NormalWeb"/>
        <w:numPr>
          <w:ilvl w:val="0"/>
          <w:numId w:val="2"/>
        </w:numPr>
        <w:spacing w:before="120" w:beforeAutospacing="0" w:after="240" w:afterAutospacing="0" w:line="360" w:lineRule="auto"/>
        <w:ind w:left="567" w:hanging="567"/>
        <w:rPr>
          <w:rFonts w:cs="Arial"/>
          <w:lang w:val="en-AU"/>
        </w:rPr>
      </w:pPr>
      <w:r w:rsidRPr="00387344">
        <w:rPr>
          <w:rFonts w:cs="Arial"/>
          <w:lang w:val="en-AU"/>
        </w:rPr>
        <w:t>One of the p</w:t>
      </w:r>
      <w:r w:rsidR="000A13A6" w:rsidRPr="00387344">
        <w:rPr>
          <w:rFonts w:cs="Arial"/>
          <w:lang w:val="en-AU"/>
        </w:rPr>
        <w:t xml:space="preserve">ossible next steps </w:t>
      </w:r>
      <w:r w:rsidRPr="00387344">
        <w:rPr>
          <w:rFonts w:cs="Arial"/>
          <w:lang w:val="en-AU"/>
        </w:rPr>
        <w:t>suggested in the Issues Paper is</w:t>
      </w:r>
      <w:r w:rsidR="000A13A6" w:rsidRPr="00387344">
        <w:rPr>
          <w:rFonts w:cs="Arial"/>
          <w:lang w:val="en-AU"/>
        </w:rPr>
        <w:t xml:space="preserve"> refocusing training to prevent discrimination, bullying and sexual harassment by emphasising patient safety as well as compliance.</w:t>
      </w:r>
    </w:p>
    <w:p w:rsidR="0005388E" w:rsidRPr="00387344" w:rsidRDefault="009F023C" w:rsidP="0005388E">
      <w:pPr>
        <w:pStyle w:val="NormalWeb"/>
        <w:keepNext/>
        <w:numPr>
          <w:ilvl w:val="0"/>
          <w:numId w:val="2"/>
        </w:numPr>
        <w:spacing w:before="120" w:beforeAutospacing="0" w:after="120" w:afterAutospacing="0" w:line="360" w:lineRule="auto"/>
        <w:ind w:left="567" w:hanging="567"/>
        <w:rPr>
          <w:rFonts w:cs="Arial"/>
          <w:lang w:val="en-AU"/>
        </w:rPr>
      </w:pPr>
      <w:r w:rsidRPr="00387344">
        <w:rPr>
          <w:rFonts w:cs="Arial"/>
          <w:lang w:val="en-AU"/>
        </w:rPr>
        <w:t>Although e</w:t>
      </w:r>
      <w:r w:rsidR="000A13A6" w:rsidRPr="00387344">
        <w:rPr>
          <w:rFonts w:cs="Arial"/>
          <w:lang w:val="en-AU"/>
        </w:rPr>
        <w:t>mphasis on patien</w:t>
      </w:r>
      <w:r w:rsidRPr="00387344">
        <w:rPr>
          <w:rFonts w:cs="Arial"/>
          <w:lang w:val="en-AU"/>
        </w:rPr>
        <w:t>t safety is extremely important, t</w:t>
      </w:r>
      <w:r w:rsidR="000A13A6" w:rsidRPr="00387344">
        <w:rPr>
          <w:rFonts w:cs="Arial"/>
          <w:lang w:val="en-AU"/>
        </w:rPr>
        <w:t xml:space="preserve">he Commission considers that training should equally focus on the impact of discrimination, bullying and sexual harassment on the individuals involved and </w:t>
      </w:r>
      <w:r w:rsidR="0086336F" w:rsidRPr="00387344">
        <w:rPr>
          <w:rFonts w:cs="Arial"/>
          <w:lang w:val="en-AU"/>
        </w:rPr>
        <w:t xml:space="preserve">on </w:t>
      </w:r>
      <w:r w:rsidR="000A13A6" w:rsidRPr="00387344">
        <w:rPr>
          <w:rFonts w:cs="Arial"/>
          <w:lang w:val="en-AU"/>
        </w:rPr>
        <w:t xml:space="preserve">the morale and efficacy of the workplace.  Some of the impacts at the individual, team and organisation levels are identified in the Background Briefing on page 9.  The Background Briefing also refers to </w:t>
      </w:r>
      <w:r w:rsidR="00AB65C1" w:rsidRPr="00387344">
        <w:rPr>
          <w:rFonts w:cs="Arial"/>
          <w:lang w:val="en-AU"/>
        </w:rPr>
        <w:t>the report of the Australian Human Rights Commission on the review into the treatment of women at the Australian Defence Force Academy, which states:</w:t>
      </w:r>
    </w:p>
    <w:p w:rsidR="00AB65C1" w:rsidRPr="00387344" w:rsidRDefault="00AB65C1" w:rsidP="00FE229B">
      <w:pPr>
        <w:pStyle w:val="NormalWeb"/>
        <w:spacing w:before="120" w:beforeAutospacing="0" w:after="240" w:afterAutospacing="0"/>
        <w:ind w:left="1134" w:right="658"/>
        <w:rPr>
          <w:rFonts w:cs="Arial"/>
          <w:sz w:val="22"/>
          <w:szCs w:val="22"/>
          <w:lang w:val="en-AU"/>
        </w:rPr>
      </w:pPr>
      <w:r w:rsidRPr="00387344">
        <w:rPr>
          <w:rFonts w:cs="Arial"/>
          <w:sz w:val="22"/>
          <w:szCs w:val="22"/>
          <w:lang w:val="en-AU"/>
        </w:rPr>
        <w:t>It is essential that harassment and discrimination are framed as damaging to operational effectiveness, rather than merely a breach of the law.</w:t>
      </w:r>
    </w:p>
    <w:p w:rsidR="00976069" w:rsidRPr="00387344" w:rsidRDefault="005C76EA" w:rsidP="008B112F">
      <w:pPr>
        <w:pStyle w:val="NormalWeb"/>
        <w:numPr>
          <w:ilvl w:val="0"/>
          <w:numId w:val="2"/>
        </w:numPr>
        <w:spacing w:before="120" w:beforeAutospacing="0" w:after="240" w:afterAutospacing="0" w:line="360" w:lineRule="auto"/>
        <w:ind w:left="567" w:hanging="567"/>
        <w:rPr>
          <w:rFonts w:cs="Arial"/>
          <w:lang w:val="en-AU"/>
        </w:rPr>
      </w:pPr>
      <w:r w:rsidRPr="00387344">
        <w:rPr>
          <w:rFonts w:cs="Arial"/>
          <w:lang w:val="en-AU"/>
        </w:rPr>
        <w:t>Conciliation of complaints of discrimination and sexual harassment provides an opportunity for the parties to talk about the issues in a private for</w:t>
      </w:r>
      <w:r w:rsidR="00FE229B" w:rsidRPr="00387344">
        <w:rPr>
          <w:rFonts w:cs="Arial"/>
          <w:lang w:val="en-AU"/>
        </w:rPr>
        <w:t>um.  An important aspect can be the ability of the person subjected to the alleged inappropriate conduct to describe its impact to the others involved.  It can help the other parties understand more clearly the inappropriateness of the conduct, and in some cases that understanding can change behaviours.</w:t>
      </w:r>
    </w:p>
    <w:p w:rsidR="00FE229B" w:rsidRPr="00387344" w:rsidRDefault="00FE229B" w:rsidP="008B112F">
      <w:pPr>
        <w:pStyle w:val="NormalWeb"/>
        <w:numPr>
          <w:ilvl w:val="0"/>
          <w:numId w:val="2"/>
        </w:numPr>
        <w:spacing w:before="120" w:beforeAutospacing="0" w:after="240" w:afterAutospacing="0" w:line="360" w:lineRule="auto"/>
        <w:ind w:left="567" w:hanging="567"/>
        <w:rPr>
          <w:rFonts w:cs="Arial"/>
          <w:lang w:val="en-AU"/>
        </w:rPr>
      </w:pPr>
      <w:r w:rsidRPr="00387344">
        <w:rPr>
          <w:rFonts w:cs="Arial"/>
          <w:lang w:val="en-AU"/>
        </w:rPr>
        <w:t xml:space="preserve">A brief outline of some of the impacts of sexual harassment and discrimination in decided cases is provided in the attached </w:t>
      </w:r>
      <w:r w:rsidRPr="00387344">
        <w:rPr>
          <w:rFonts w:cs="Arial"/>
          <w:b/>
          <w:lang w:val="en-AU"/>
        </w:rPr>
        <w:t>Annexure</w:t>
      </w:r>
      <w:r w:rsidRPr="00387344">
        <w:rPr>
          <w:rFonts w:cs="Arial"/>
          <w:lang w:val="en-AU"/>
        </w:rPr>
        <w:t>.</w:t>
      </w:r>
    </w:p>
    <w:p w:rsidR="00FE6EF6" w:rsidRPr="00387344" w:rsidRDefault="00FE6EF6" w:rsidP="008B112F">
      <w:pPr>
        <w:pStyle w:val="NormalWeb"/>
        <w:numPr>
          <w:ilvl w:val="0"/>
          <w:numId w:val="2"/>
        </w:numPr>
        <w:spacing w:before="120" w:beforeAutospacing="0" w:after="240" w:afterAutospacing="0" w:line="360" w:lineRule="auto"/>
        <w:ind w:left="567" w:hanging="567"/>
        <w:rPr>
          <w:rFonts w:cs="Arial"/>
          <w:lang w:val="en-AU"/>
        </w:rPr>
      </w:pPr>
      <w:r w:rsidRPr="00387344">
        <w:rPr>
          <w:rFonts w:cs="Arial"/>
          <w:lang w:val="en-AU"/>
        </w:rPr>
        <w:t>Consequences to the individual include losing their job or chances of promotion, and in high pressure industries the capacity of the individual to do the work can be corroded completely.</w:t>
      </w:r>
      <w:r w:rsidR="0086336F" w:rsidRPr="00387344">
        <w:rPr>
          <w:rFonts w:cs="Arial"/>
          <w:lang w:val="en-AU"/>
        </w:rPr>
        <w:t xml:space="preserve">  Consequences for the workplace can include a hostile environment, poor morale, increased absenteeism and reduced productivity.</w:t>
      </w:r>
    </w:p>
    <w:p w:rsidR="00FE6EF6" w:rsidRPr="00387344" w:rsidRDefault="00FE6EF6" w:rsidP="008B112F">
      <w:pPr>
        <w:pStyle w:val="NormalWeb"/>
        <w:numPr>
          <w:ilvl w:val="0"/>
          <w:numId w:val="2"/>
        </w:numPr>
        <w:spacing w:before="120" w:beforeAutospacing="0" w:after="240" w:afterAutospacing="0" w:line="360" w:lineRule="auto"/>
        <w:ind w:left="567" w:hanging="567"/>
        <w:rPr>
          <w:rFonts w:cs="Arial"/>
          <w:lang w:val="en-AU"/>
        </w:rPr>
      </w:pPr>
      <w:r w:rsidRPr="00387344">
        <w:rPr>
          <w:rFonts w:cs="Arial"/>
          <w:lang w:val="en-AU"/>
        </w:rPr>
        <w:t xml:space="preserve">Research conducted by the University of Melbourne identified physical effects suffered by people who personally experience racism.  Negative effects of racism on the health of Aboriginal and Torres Strait Islander </w:t>
      </w:r>
      <w:r w:rsidRPr="00387344">
        <w:rPr>
          <w:rFonts w:cs="Arial"/>
          <w:lang w:val="en-AU"/>
        </w:rPr>
        <w:lastRenderedPageBreak/>
        <w:t>people included heart disease, premature births, hypertension and mental illness.  This research led to the national ‘Racism makes me sick’ campaign to provide important information to the public on the effects of racism.</w:t>
      </w:r>
    </w:p>
    <w:p w:rsidR="004517C2" w:rsidRPr="00387344" w:rsidRDefault="004517C2" w:rsidP="00844F2F">
      <w:pPr>
        <w:pStyle w:val="Heading2"/>
        <w:spacing w:line="240" w:lineRule="auto"/>
      </w:pPr>
      <w:bookmarkStart w:id="3" w:name="_Toc425154201"/>
      <w:r w:rsidRPr="00387344">
        <w:t>Possible next step – Review current professional development and traineeship education</w:t>
      </w:r>
      <w:bookmarkEnd w:id="3"/>
    </w:p>
    <w:p w:rsidR="00CC6D04" w:rsidRPr="00387344" w:rsidRDefault="00CC6D04" w:rsidP="00CC6D04">
      <w:pPr>
        <w:pStyle w:val="NormalWeb"/>
        <w:numPr>
          <w:ilvl w:val="0"/>
          <w:numId w:val="2"/>
        </w:numPr>
        <w:spacing w:before="120" w:beforeAutospacing="0" w:after="240" w:afterAutospacing="0" w:line="360" w:lineRule="auto"/>
        <w:ind w:left="567" w:hanging="567"/>
        <w:rPr>
          <w:rFonts w:cs="Arial"/>
          <w:lang w:val="en-AU"/>
        </w:rPr>
      </w:pPr>
      <w:r w:rsidRPr="00387344">
        <w:rPr>
          <w:rFonts w:cs="Arial"/>
          <w:lang w:val="en-AU"/>
        </w:rPr>
        <w:t>Another of the possible next steps is to review current professional development and traineeship education about discrimination, bullying and sexual harassment.</w:t>
      </w:r>
    </w:p>
    <w:p w:rsidR="00CC6D04" w:rsidRPr="00387344" w:rsidRDefault="00CC6D04" w:rsidP="00387344">
      <w:pPr>
        <w:pStyle w:val="NormalWeb"/>
        <w:numPr>
          <w:ilvl w:val="0"/>
          <w:numId w:val="2"/>
        </w:numPr>
        <w:spacing w:before="120" w:beforeAutospacing="0" w:after="120" w:afterAutospacing="0" w:line="360" w:lineRule="auto"/>
        <w:ind w:left="567" w:hanging="567"/>
        <w:rPr>
          <w:rFonts w:cs="Arial"/>
          <w:lang w:val="en-AU"/>
        </w:rPr>
      </w:pPr>
      <w:r w:rsidRPr="00387344">
        <w:rPr>
          <w:rFonts w:cs="Arial"/>
          <w:lang w:val="en-AU"/>
        </w:rPr>
        <w:t>The Commission suggests that training about discrimination, bullying and sexual harassment should occur across all phases of the education and professional practice of health workers</w:t>
      </w:r>
      <w:r w:rsidR="00133146" w:rsidRPr="00387344">
        <w:rPr>
          <w:rFonts w:cs="Arial"/>
          <w:lang w:val="en-AU"/>
        </w:rPr>
        <w:t>.  At page 8 of the Background Briefing research focussing on craft groups has been referenced, including to following:</w:t>
      </w:r>
    </w:p>
    <w:p w:rsidR="00133146" w:rsidRPr="00387344" w:rsidRDefault="00133146" w:rsidP="00133146">
      <w:pPr>
        <w:pStyle w:val="NormalWeb"/>
        <w:spacing w:before="120" w:beforeAutospacing="0" w:after="240" w:afterAutospacing="0"/>
        <w:ind w:left="1134" w:right="658"/>
        <w:rPr>
          <w:rFonts w:cs="Arial"/>
          <w:sz w:val="22"/>
          <w:szCs w:val="22"/>
          <w:lang w:val="en-AU"/>
        </w:rPr>
      </w:pPr>
      <w:r w:rsidRPr="00387344">
        <w:rPr>
          <w:rFonts w:cs="Arial"/>
          <w:sz w:val="22"/>
          <w:szCs w:val="22"/>
          <w:lang w:val="en-AU"/>
        </w:rPr>
        <w:t>The culture of abuse in the family physicians’ workplace may be perpetuated through the modelling of abuse starting in medical school, moving through residency and into the daily workplace of family physicians.</w:t>
      </w:r>
    </w:p>
    <w:p w:rsidR="00133146" w:rsidRPr="00387344" w:rsidRDefault="00133146" w:rsidP="00CC6D04">
      <w:pPr>
        <w:pStyle w:val="NormalWeb"/>
        <w:numPr>
          <w:ilvl w:val="0"/>
          <w:numId w:val="2"/>
        </w:numPr>
        <w:spacing w:before="120" w:beforeAutospacing="0" w:after="240" w:afterAutospacing="0" w:line="360" w:lineRule="auto"/>
        <w:ind w:left="567" w:hanging="567"/>
        <w:rPr>
          <w:rFonts w:cs="Arial"/>
          <w:lang w:val="en-AU"/>
        </w:rPr>
      </w:pPr>
      <w:r w:rsidRPr="00387344">
        <w:rPr>
          <w:rFonts w:cs="Arial"/>
          <w:lang w:val="en-AU"/>
        </w:rPr>
        <w:t xml:space="preserve">Appropriate training at all these phases would help to model respect and dignity rather than a culture of abuse.  </w:t>
      </w:r>
      <w:r w:rsidR="00BD0E7C" w:rsidRPr="00387344">
        <w:rPr>
          <w:rFonts w:cs="Arial"/>
          <w:lang w:val="en-AU"/>
        </w:rPr>
        <w:t>The training</w:t>
      </w:r>
      <w:r w:rsidRPr="00387344">
        <w:rPr>
          <w:rFonts w:cs="Arial"/>
          <w:lang w:val="en-AU"/>
        </w:rPr>
        <w:t xml:space="preserve"> should be considered as a requisite component of compulsory professional development after the education and training phases.  Training options should include the topics of ‘unconscious bias’ and ‘mindfulness’.</w:t>
      </w:r>
    </w:p>
    <w:p w:rsidR="00CE17C0" w:rsidRPr="00387344" w:rsidRDefault="0005388E" w:rsidP="00D122D0">
      <w:pPr>
        <w:pStyle w:val="Heading1"/>
        <w:spacing w:after="240"/>
      </w:pPr>
      <w:bookmarkStart w:id="4" w:name="_Toc425154202"/>
      <w:r w:rsidRPr="00387344">
        <w:t>Culture of surgery</w:t>
      </w:r>
      <w:bookmarkEnd w:id="4"/>
    </w:p>
    <w:p w:rsidR="00BE70BE" w:rsidRPr="00387344" w:rsidRDefault="00CB305C" w:rsidP="00BE70BE">
      <w:pPr>
        <w:pStyle w:val="Heading2"/>
      </w:pPr>
      <w:bookmarkStart w:id="5" w:name="_Toc425154203"/>
      <w:r w:rsidRPr="00387344">
        <w:t>Gender inequity</w:t>
      </w:r>
      <w:bookmarkEnd w:id="5"/>
    </w:p>
    <w:p w:rsidR="00FE175D" w:rsidRPr="00387344" w:rsidRDefault="00BE70BE" w:rsidP="00FE175D">
      <w:pPr>
        <w:pStyle w:val="NormalWeb"/>
        <w:numPr>
          <w:ilvl w:val="0"/>
          <w:numId w:val="2"/>
        </w:numPr>
        <w:spacing w:before="120" w:beforeAutospacing="0" w:after="240" w:afterAutospacing="0" w:line="360" w:lineRule="auto"/>
        <w:ind w:left="567" w:hanging="567"/>
        <w:rPr>
          <w:rFonts w:cs="Arial"/>
          <w:lang w:val="en-AU"/>
        </w:rPr>
      </w:pPr>
      <w:r w:rsidRPr="00387344">
        <w:rPr>
          <w:rFonts w:cs="Arial"/>
          <w:lang w:val="en-AU"/>
        </w:rPr>
        <w:t>The Issues Paper sets out some statistics relating to gender in the practice of surgery.  For example; in 2013 although 52 per cent of medical students in Australia and New Zealand were female, only 11 per cent of qualified surgeons were female.  Women made up 28 per cent of people entering surgical training, but are a least twice as likely to leave the programs compared to men.  The College is reaching why more female than male trainees drop out of the training program.</w:t>
      </w:r>
    </w:p>
    <w:p w:rsidR="00FE175D" w:rsidRPr="00387344" w:rsidRDefault="00663F02" w:rsidP="0005388E">
      <w:pPr>
        <w:pStyle w:val="NormalWeb"/>
        <w:numPr>
          <w:ilvl w:val="0"/>
          <w:numId w:val="2"/>
        </w:numPr>
        <w:spacing w:before="120" w:beforeAutospacing="0" w:after="240" w:afterAutospacing="0" w:line="360" w:lineRule="auto"/>
        <w:ind w:left="567" w:hanging="567"/>
        <w:rPr>
          <w:rFonts w:cs="Arial"/>
          <w:sz w:val="22"/>
          <w:szCs w:val="22"/>
          <w:lang w:val="en-AU"/>
        </w:rPr>
      </w:pPr>
      <w:r w:rsidRPr="00387344">
        <w:rPr>
          <w:rFonts w:cs="Arial"/>
          <w:lang w:val="en-AU"/>
        </w:rPr>
        <w:lastRenderedPageBreak/>
        <w:t>The practice of surgery is not the only profession or industry faced with gender inequity; the legal profession, finance/banking and engineering are trying to achieve gender diversity.</w:t>
      </w:r>
      <w:r w:rsidR="003E759C" w:rsidRPr="00387344">
        <w:rPr>
          <w:rFonts w:cs="Arial"/>
          <w:lang w:val="en-AU"/>
        </w:rPr>
        <w:t xml:space="preserve">  Earlier this year the Law Council of Australia released the report of its National Attrition and Re-engagement Study, which investigated and analysed the drivers for attrition of women from the legal profession in Australia.  The research involved both quantitative and qualitative methodologies.  Key findings</w:t>
      </w:r>
      <w:r w:rsidR="009B1BDE" w:rsidRPr="00387344">
        <w:rPr>
          <w:rFonts w:cs="Arial"/>
          <w:lang w:val="en-AU"/>
        </w:rPr>
        <w:t>,</w:t>
      </w:r>
      <w:r w:rsidR="003E759C" w:rsidRPr="00387344">
        <w:rPr>
          <w:rFonts w:cs="Arial"/>
          <w:lang w:val="en-AU"/>
        </w:rPr>
        <w:t xml:space="preserve"> included:</w:t>
      </w:r>
    </w:p>
    <w:p w:rsidR="003E759C" w:rsidRPr="00387344" w:rsidRDefault="003E759C" w:rsidP="00F60A65">
      <w:pPr>
        <w:pStyle w:val="NormalWeb"/>
        <w:numPr>
          <w:ilvl w:val="1"/>
          <w:numId w:val="2"/>
        </w:numPr>
        <w:spacing w:before="120" w:beforeAutospacing="0" w:after="120" w:afterAutospacing="0" w:line="360" w:lineRule="auto"/>
        <w:ind w:left="1434" w:hanging="357"/>
        <w:rPr>
          <w:rFonts w:cs="Arial"/>
          <w:sz w:val="22"/>
          <w:szCs w:val="22"/>
          <w:lang w:val="en-AU"/>
        </w:rPr>
      </w:pPr>
      <w:r w:rsidRPr="00387344">
        <w:rPr>
          <w:rFonts w:cs="Arial"/>
          <w:lang w:val="en-AU"/>
        </w:rPr>
        <w:t xml:space="preserve">The </w:t>
      </w:r>
      <w:r w:rsidR="008A78EF" w:rsidRPr="00387344">
        <w:rPr>
          <w:rFonts w:cs="Arial"/>
          <w:lang w:val="en-AU"/>
        </w:rPr>
        <w:t xml:space="preserve">relative </w:t>
      </w:r>
      <w:r w:rsidRPr="00387344">
        <w:rPr>
          <w:rFonts w:cs="Arial"/>
          <w:lang w:val="en-AU"/>
        </w:rPr>
        <w:t>lack of women in senior leadership positions is seen to contribute to a male-dominated culture in which it is difficult for women to progress.  For some, the prevalence of men in senior positions presented cultural barriers to their own progression.</w:t>
      </w:r>
    </w:p>
    <w:p w:rsidR="003E759C" w:rsidRPr="00387344" w:rsidRDefault="003E759C" w:rsidP="003E759C">
      <w:pPr>
        <w:pStyle w:val="NormalWeb"/>
        <w:numPr>
          <w:ilvl w:val="1"/>
          <w:numId w:val="2"/>
        </w:numPr>
        <w:spacing w:before="120" w:beforeAutospacing="0" w:after="240" w:afterAutospacing="0" w:line="360" w:lineRule="auto"/>
        <w:rPr>
          <w:rFonts w:cs="Arial"/>
          <w:sz w:val="22"/>
          <w:szCs w:val="22"/>
          <w:lang w:val="en-AU"/>
        </w:rPr>
      </w:pPr>
      <w:r w:rsidRPr="00387344">
        <w:rPr>
          <w:rFonts w:cs="Arial"/>
          <w:lang w:val="en-AU"/>
        </w:rPr>
        <w:t>Half of all women report</w:t>
      </w:r>
      <w:r w:rsidR="009B1BDE" w:rsidRPr="00387344">
        <w:rPr>
          <w:rFonts w:cs="Arial"/>
          <w:lang w:val="en-AU"/>
        </w:rPr>
        <w:t>ed</w:t>
      </w:r>
      <w:r w:rsidRPr="00387344">
        <w:rPr>
          <w:rFonts w:cs="Arial"/>
          <w:lang w:val="en-AU"/>
        </w:rPr>
        <w:t xml:space="preserve"> experiencing sex discrimination, and one in four experienced sexual harassment in the workplace.</w:t>
      </w:r>
    </w:p>
    <w:p w:rsidR="009B1BDE" w:rsidRPr="00387344" w:rsidRDefault="00F60A65" w:rsidP="009B1BDE">
      <w:pPr>
        <w:pStyle w:val="NormalWeb"/>
        <w:numPr>
          <w:ilvl w:val="0"/>
          <w:numId w:val="2"/>
        </w:numPr>
        <w:spacing w:before="120" w:beforeAutospacing="0" w:after="240" w:afterAutospacing="0" w:line="360" w:lineRule="auto"/>
        <w:ind w:left="567" w:hanging="567"/>
        <w:rPr>
          <w:rFonts w:cs="Arial"/>
          <w:lang w:val="en-AU"/>
        </w:rPr>
      </w:pPr>
      <w:r w:rsidRPr="00387344">
        <w:rPr>
          <w:rFonts w:cs="Arial"/>
          <w:lang w:val="en-AU"/>
        </w:rPr>
        <w:t>Both the Law Council of Australia and the EAG acknowledge that their respective professions are not alone in trying to address the consequences of male dominated industries.  It might be advantageous for these key industry bodies to work together to some extent to share experiences and learnings in dealing with these issues.</w:t>
      </w:r>
    </w:p>
    <w:p w:rsidR="00F60A65" w:rsidRPr="00387344" w:rsidRDefault="00F60A65" w:rsidP="009B1BDE">
      <w:pPr>
        <w:pStyle w:val="NormalWeb"/>
        <w:numPr>
          <w:ilvl w:val="0"/>
          <w:numId w:val="2"/>
        </w:numPr>
        <w:spacing w:before="120" w:beforeAutospacing="0" w:after="240" w:afterAutospacing="0" w:line="360" w:lineRule="auto"/>
        <w:ind w:left="567" w:hanging="567"/>
        <w:rPr>
          <w:rFonts w:cs="Arial"/>
          <w:lang w:val="en-AU"/>
        </w:rPr>
      </w:pPr>
      <w:r w:rsidRPr="00387344">
        <w:rPr>
          <w:rFonts w:cs="Arial"/>
          <w:lang w:val="en-AU"/>
        </w:rPr>
        <w:t>The Commission supports the possible next steps set out in the Issues Paper, which include identifying and eliminating potential barriers for females entering and staying in the profession, introducing targets</w:t>
      </w:r>
      <w:r w:rsidR="003A7A65" w:rsidRPr="00387344">
        <w:rPr>
          <w:rFonts w:cs="Arial"/>
          <w:lang w:val="en-AU"/>
        </w:rPr>
        <w:t>, making gender equity a strategic priority, and developing a Code of Practice linked to a public reporting cycle.</w:t>
      </w:r>
    </w:p>
    <w:p w:rsidR="00CB305C" w:rsidRPr="00387344" w:rsidRDefault="00CB305C" w:rsidP="00CB305C">
      <w:pPr>
        <w:pStyle w:val="Heading2"/>
      </w:pPr>
      <w:bookmarkStart w:id="6" w:name="_Toc425154204"/>
      <w:r w:rsidRPr="00387344">
        <w:t>The boys’ club</w:t>
      </w:r>
      <w:bookmarkEnd w:id="6"/>
    </w:p>
    <w:p w:rsidR="00CB305C" w:rsidRPr="00387344" w:rsidRDefault="00387344" w:rsidP="0005388E">
      <w:pPr>
        <w:pStyle w:val="NormalWeb"/>
        <w:numPr>
          <w:ilvl w:val="0"/>
          <w:numId w:val="2"/>
        </w:numPr>
        <w:spacing w:before="120" w:beforeAutospacing="0" w:after="240" w:afterAutospacing="0" w:line="360" w:lineRule="auto"/>
        <w:ind w:left="567" w:hanging="567"/>
        <w:rPr>
          <w:rFonts w:cs="Arial"/>
          <w:lang w:val="en-AU"/>
        </w:rPr>
      </w:pPr>
      <w:r w:rsidRPr="00387344">
        <w:rPr>
          <w:rFonts w:cs="Arial"/>
          <w:lang w:val="en-AU"/>
        </w:rPr>
        <w:t>The Background Briefing states that research has shown that a ‘</w:t>
      </w:r>
      <w:proofErr w:type="spellStart"/>
      <w:r w:rsidRPr="00387344">
        <w:rPr>
          <w:rFonts w:cs="Arial"/>
          <w:lang w:val="en-AU"/>
        </w:rPr>
        <w:t>boy’s</w:t>
      </w:r>
      <w:proofErr w:type="spellEnd"/>
      <w:r w:rsidRPr="00387344">
        <w:rPr>
          <w:rFonts w:cs="Arial"/>
          <w:lang w:val="en-AU"/>
        </w:rPr>
        <w:t xml:space="preserve"> club’ mentality in male-dominated settings is strengthened by organizational and professional structure and assumptions that promote traditional gender ster</w:t>
      </w:r>
      <w:r w:rsidR="005F3487">
        <w:rPr>
          <w:rFonts w:cs="Arial"/>
          <w:lang w:val="en-AU"/>
        </w:rPr>
        <w:t>e</w:t>
      </w:r>
      <w:r w:rsidRPr="00387344">
        <w:rPr>
          <w:rFonts w:cs="Arial"/>
          <w:lang w:val="en-AU"/>
        </w:rPr>
        <w:t>otypes.</w:t>
      </w:r>
    </w:p>
    <w:p w:rsidR="00387344" w:rsidRDefault="00387344" w:rsidP="0005388E">
      <w:pPr>
        <w:pStyle w:val="NormalWeb"/>
        <w:numPr>
          <w:ilvl w:val="0"/>
          <w:numId w:val="2"/>
        </w:numPr>
        <w:spacing w:before="120" w:beforeAutospacing="0" w:after="240" w:afterAutospacing="0" w:line="360" w:lineRule="auto"/>
        <w:ind w:left="567" w:hanging="567"/>
        <w:rPr>
          <w:rFonts w:cs="Arial"/>
          <w:lang w:val="en-AU"/>
        </w:rPr>
      </w:pPr>
      <w:r w:rsidRPr="00387344">
        <w:rPr>
          <w:rFonts w:cs="Arial"/>
          <w:lang w:val="en-AU"/>
        </w:rPr>
        <w:lastRenderedPageBreak/>
        <w:t xml:space="preserve">Making traditionally male-dominated industries and professions inclusive of women is not easy, and there is no single strategy.  The Commission agrees that proactive plans to attract and retain women in the profession are necessary.  Training about discrimination and sexual harassment at all stages of education and professional development is necessary.  An important component of the education program is training to </w:t>
      </w:r>
      <w:r>
        <w:rPr>
          <w:rFonts w:cs="Arial"/>
          <w:lang w:val="en-AU"/>
        </w:rPr>
        <w:t>recognis</w:t>
      </w:r>
      <w:r w:rsidRPr="00387344">
        <w:rPr>
          <w:rFonts w:cs="Arial"/>
          <w:lang w:val="en-AU"/>
        </w:rPr>
        <w:t xml:space="preserve">e and </w:t>
      </w:r>
      <w:r>
        <w:rPr>
          <w:rFonts w:cs="Arial"/>
          <w:lang w:val="en-AU"/>
        </w:rPr>
        <w:t>address unconscious bias.</w:t>
      </w:r>
    </w:p>
    <w:p w:rsidR="00387344" w:rsidRDefault="00387344" w:rsidP="0005388E">
      <w:pPr>
        <w:pStyle w:val="NormalWeb"/>
        <w:numPr>
          <w:ilvl w:val="0"/>
          <w:numId w:val="2"/>
        </w:numPr>
        <w:spacing w:before="120" w:beforeAutospacing="0" w:after="240" w:afterAutospacing="0" w:line="360" w:lineRule="auto"/>
        <w:ind w:left="567" w:hanging="567"/>
        <w:rPr>
          <w:rFonts w:cs="Arial"/>
          <w:lang w:val="en-AU"/>
        </w:rPr>
      </w:pPr>
      <w:r>
        <w:rPr>
          <w:rFonts w:cs="Arial"/>
          <w:lang w:val="en-AU"/>
        </w:rPr>
        <w:t xml:space="preserve">Training in unconscious bias is one of the strategies promoted by the Law Council of Australia following the NARS report.  The Law Council of Australia has also </w:t>
      </w:r>
      <w:r w:rsidR="005F3487">
        <w:rPr>
          <w:rFonts w:cs="Arial"/>
          <w:lang w:val="en-AU"/>
        </w:rPr>
        <w:t>released a Diversity and Equality Charter that commits the Australian legal profession to promoting diversity, equality, respect and inclusion in the profession.</w:t>
      </w:r>
    </w:p>
    <w:p w:rsidR="00C065F7" w:rsidRPr="00387344" w:rsidRDefault="00C065F7" w:rsidP="0005388E">
      <w:pPr>
        <w:pStyle w:val="NormalWeb"/>
        <w:numPr>
          <w:ilvl w:val="0"/>
          <w:numId w:val="2"/>
        </w:numPr>
        <w:spacing w:before="120" w:beforeAutospacing="0" w:after="240" w:afterAutospacing="0" w:line="360" w:lineRule="auto"/>
        <w:ind w:left="567" w:hanging="567"/>
        <w:rPr>
          <w:rFonts w:cs="Arial"/>
          <w:lang w:val="en-AU"/>
        </w:rPr>
      </w:pPr>
      <w:r>
        <w:rPr>
          <w:rFonts w:cs="Arial"/>
          <w:lang w:val="en-AU"/>
        </w:rPr>
        <w:t>Visible commitment at the leadership level is a vital start to achieving gender diversity.  The Commission suggests the College consider committing to a gender inclusive practice of surgery through a charter or statement of commitment.</w:t>
      </w:r>
    </w:p>
    <w:p w:rsidR="00F30B13" w:rsidRPr="00387344" w:rsidRDefault="0005388E" w:rsidP="00FD1B4B">
      <w:pPr>
        <w:pStyle w:val="Heading1"/>
      </w:pPr>
      <w:bookmarkStart w:id="7" w:name="_Toc425154205"/>
      <w:r w:rsidRPr="00387344">
        <w:t>Complaints</w:t>
      </w:r>
      <w:bookmarkEnd w:id="7"/>
    </w:p>
    <w:p w:rsidR="001C5C10" w:rsidRPr="00387344" w:rsidRDefault="009123AA" w:rsidP="008238F6">
      <w:pPr>
        <w:pStyle w:val="NormalWeb"/>
        <w:numPr>
          <w:ilvl w:val="0"/>
          <w:numId w:val="2"/>
        </w:numPr>
        <w:spacing w:before="120" w:beforeAutospacing="0" w:after="240" w:afterAutospacing="0" w:line="360" w:lineRule="auto"/>
        <w:ind w:left="567" w:hanging="567"/>
        <w:rPr>
          <w:rFonts w:cs="Arial"/>
          <w:lang w:val="en-AU"/>
        </w:rPr>
      </w:pPr>
      <w:r w:rsidRPr="00387344">
        <w:rPr>
          <w:rFonts w:cs="Arial"/>
          <w:lang w:val="en-AU"/>
        </w:rPr>
        <w:t>Both the Background Briefing and the Issues Paper</w:t>
      </w:r>
      <w:r w:rsidR="00F738C2" w:rsidRPr="00387344">
        <w:rPr>
          <w:rFonts w:cs="Arial"/>
          <w:lang w:val="en-AU"/>
        </w:rPr>
        <w:t xml:space="preserve"> acknowledge an under-reporting of discrimination, bullying and sexual harassment in the practice of surgery, as well as more widely in the health sector.  </w:t>
      </w:r>
      <w:r w:rsidR="005A7A54">
        <w:rPr>
          <w:rFonts w:cs="Arial"/>
          <w:lang w:val="en-AU"/>
        </w:rPr>
        <w:t>Reasons</w:t>
      </w:r>
      <w:r w:rsidR="00E70378">
        <w:rPr>
          <w:rFonts w:cs="Arial"/>
          <w:lang w:val="en-AU"/>
        </w:rPr>
        <w:t xml:space="preserve"> for not complaining are identified</w:t>
      </w:r>
      <w:r w:rsidR="00F738C2" w:rsidRPr="00387344">
        <w:rPr>
          <w:rFonts w:cs="Arial"/>
          <w:lang w:val="en-AU"/>
        </w:rPr>
        <w:t xml:space="preserve"> </w:t>
      </w:r>
      <w:r w:rsidR="00C068A3" w:rsidRPr="00387344">
        <w:rPr>
          <w:rFonts w:cs="Arial"/>
          <w:lang w:val="en-AU"/>
        </w:rPr>
        <w:t xml:space="preserve">as fear of reprisal and response to complaints.  The Briefing Background refers to two </w:t>
      </w:r>
      <w:r w:rsidR="00082E18" w:rsidRPr="00387344">
        <w:rPr>
          <w:rFonts w:cs="Arial"/>
          <w:lang w:val="en-AU"/>
        </w:rPr>
        <w:t>reported decisions involving sexual harassment and sex discrimination in the legal provision, respectively,</w:t>
      </w:r>
      <w:r w:rsidR="00C068A3" w:rsidRPr="00387344">
        <w:rPr>
          <w:rFonts w:cs="Arial"/>
          <w:lang w:val="en-AU"/>
        </w:rPr>
        <w:t xml:space="preserve"> as illustrating the extent to which workplace culture and systems contribute to discriminatory behaviour as much as the behaviour of the individual perpetrators.</w:t>
      </w:r>
      <w:r w:rsidR="00C068A3" w:rsidRPr="00387344">
        <w:rPr>
          <w:rStyle w:val="FootnoteReference"/>
          <w:rFonts w:cs="Arial"/>
          <w:lang w:val="en-AU"/>
        </w:rPr>
        <w:footnoteReference w:id="1"/>
      </w:r>
    </w:p>
    <w:p w:rsidR="00305CEA" w:rsidRPr="00387344" w:rsidRDefault="00305CEA" w:rsidP="008238F6">
      <w:pPr>
        <w:pStyle w:val="NormalWeb"/>
        <w:numPr>
          <w:ilvl w:val="0"/>
          <w:numId w:val="2"/>
        </w:numPr>
        <w:spacing w:before="120" w:beforeAutospacing="0" w:after="240" w:afterAutospacing="0" w:line="360" w:lineRule="auto"/>
        <w:ind w:left="567" w:hanging="567"/>
        <w:rPr>
          <w:rFonts w:cs="Arial"/>
          <w:lang w:val="en-AU"/>
        </w:rPr>
      </w:pPr>
      <w:r w:rsidRPr="00387344">
        <w:rPr>
          <w:rFonts w:cs="Arial"/>
          <w:lang w:val="en-AU"/>
        </w:rPr>
        <w:t xml:space="preserve">It is not unusual in complaints of discrimination and sexual harassment made to the Commission that respondents, particularly employers, will </w:t>
      </w:r>
      <w:r w:rsidRPr="00387344">
        <w:rPr>
          <w:rFonts w:cs="Arial"/>
          <w:lang w:val="en-AU"/>
        </w:rPr>
        <w:lastRenderedPageBreak/>
        <w:t>argue they were not aware of the issues because the person di</w:t>
      </w:r>
      <w:r w:rsidR="00BF50BF" w:rsidRPr="00387344">
        <w:rPr>
          <w:rFonts w:cs="Arial"/>
          <w:lang w:val="en-AU"/>
        </w:rPr>
        <w:t>d</w:t>
      </w:r>
      <w:r w:rsidRPr="00387344">
        <w:rPr>
          <w:rFonts w:cs="Arial"/>
          <w:lang w:val="en-AU"/>
        </w:rPr>
        <w:t xml:space="preserve"> not</w:t>
      </w:r>
      <w:r w:rsidR="00BF50BF" w:rsidRPr="00387344">
        <w:rPr>
          <w:rFonts w:cs="Arial"/>
          <w:lang w:val="en-AU"/>
        </w:rPr>
        <w:t xml:space="preserve"> complain</w:t>
      </w:r>
      <w:r w:rsidRPr="00387344">
        <w:rPr>
          <w:rFonts w:cs="Arial"/>
          <w:lang w:val="en-AU"/>
        </w:rPr>
        <w:t xml:space="preserve"> to them.</w:t>
      </w:r>
      <w:r w:rsidR="00BF50BF" w:rsidRPr="00387344">
        <w:rPr>
          <w:rFonts w:cs="Arial"/>
          <w:lang w:val="en-AU"/>
        </w:rPr>
        <w:t xml:space="preserve">  There are a variety of reasons why a person does not complain of discrimination, bullying or sexual harassment.  Often there is a power imbalance</w:t>
      </w:r>
      <w:r w:rsidR="00B12E6B" w:rsidRPr="00387344">
        <w:rPr>
          <w:rFonts w:cs="Arial"/>
          <w:lang w:val="en-AU"/>
        </w:rPr>
        <w:t>.  W</w:t>
      </w:r>
      <w:r w:rsidR="00BF50BF" w:rsidRPr="00387344">
        <w:rPr>
          <w:rFonts w:cs="Arial"/>
          <w:lang w:val="en-AU"/>
        </w:rPr>
        <w:t>here the conduct persist</w:t>
      </w:r>
      <w:r w:rsidR="00B12E6B" w:rsidRPr="00387344">
        <w:rPr>
          <w:rFonts w:cs="Arial"/>
          <w:lang w:val="en-AU"/>
        </w:rPr>
        <w:t>s</w:t>
      </w:r>
      <w:r w:rsidR="00BF50BF" w:rsidRPr="00387344">
        <w:rPr>
          <w:rFonts w:cs="Arial"/>
          <w:lang w:val="en-AU"/>
        </w:rPr>
        <w:t>, the employment relationship comes to an end</w:t>
      </w:r>
      <w:r w:rsidR="00B12E6B" w:rsidRPr="00387344">
        <w:rPr>
          <w:rFonts w:cs="Arial"/>
          <w:lang w:val="en-AU"/>
        </w:rPr>
        <w:t>, one way or another</w:t>
      </w:r>
      <w:r w:rsidR="00BF50BF" w:rsidRPr="00387344">
        <w:rPr>
          <w:rFonts w:cs="Arial"/>
          <w:lang w:val="en-AU"/>
        </w:rPr>
        <w:t>.</w:t>
      </w:r>
    </w:p>
    <w:p w:rsidR="008238F6" w:rsidRPr="00387344" w:rsidRDefault="00082E18" w:rsidP="008238F6">
      <w:pPr>
        <w:pStyle w:val="NormalWeb"/>
        <w:numPr>
          <w:ilvl w:val="0"/>
          <w:numId w:val="2"/>
        </w:numPr>
        <w:spacing w:before="120" w:beforeAutospacing="0" w:after="240" w:afterAutospacing="0" w:line="360" w:lineRule="auto"/>
        <w:ind w:left="567" w:hanging="567"/>
        <w:rPr>
          <w:rFonts w:cs="Arial"/>
          <w:lang w:val="en-AU"/>
        </w:rPr>
      </w:pPr>
      <w:r w:rsidRPr="00387344">
        <w:rPr>
          <w:rFonts w:cs="Arial"/>
          <w:lang w:val="en-AU"/>
        </w:rPr>
        <w:t>In a decision of the Queensland Civil and Administrative Tribunal on a complaint of sexual harassment in the workplace, the tribunal member considered the various ways people respond to being subjected to sexual harassment:</w:t>
      </w:r>
    </w:p>
    <w:p w:rsidR="00082E18" w:rsidRPr="00387344" w:rsidRDefault="00305CEA" w:rsidP="00305CEA">
      <w:pPr>
        <w:pStyle w:val="NormalWeb"/>
        <w:spacing w:before="120" w:beforeAutospacing="0" w:after="240" w:afterAutospacing="0"/>
        <w:ind w:left="1559" w:right="658" w:hanging="425"/>
        <w:rPr>
          <w:rFonts w:cs="Arial"/>
          <w:sz w:val="22"/>
          <w:szCs w:val="22"/>
          <w:lang w:val="en-AU"/>
        </w:rPr>
      </w:pPr>
      <w:r w:rsidRPr="00387344">
        <w:rPr>
          <w:rFonts w:cs="Arial"/>
          <w:sz w:val="22"/>
          <w:szCs w:val="22"/>
          <w:lang w:val="en-AU"/>
        </w:rPr>
        <w:t>48. …a woman at the receiving end of unwanted sexual comments in a male environment has to make a decision.  Ideally, the woman would make it abundantly clear to the perpetrator that the comments are unwanted.  Then if they continue she would complain to management.</w:t>
      </w:r>
    </w:p>
    <w:p w:rsidR="00305CEA" w:rsidRPr="00387344" w:rsidRDefault="00305CEA" w:rsidP="00305CEA">
      <w:pPr>
        <w:pStyle w:val="NormalWeb"/>
        <w:spacing w:before="120" w:beforeAutospacing="0" w:after="240" w:afterAutospacing="0"/>
        <w:ind w:left="1559" w:right="658" w:hanging="425"/>
        <w:rPr>
          <w:rFonts w:cs="Arial"/>
          <w:sz w:val="22"/>
          <w:szCs w:val="22"/>
          <w:lang w:val="en-AU"/>
        </w:rPr>
      </w:pPr>
      <w:r w:rsidRPr="00387344">
        <w:rPr>
          <w:rFonts w:cs="Arial"/>
          <w:sz w:val="22"/>
          <w:szCs w:val="22"/>
          <w:lang w:val="en-AU"/>
        </w:rPr>
        <w:t xml:space="preserve">49.  The ideal approach is not always practical and may not be available if the employer is likely to be unsupportive, or to require proof: some employers regard the making of unsubstantiated allegations as a disciplinary matter.  Whilst such a reaction to an allegation of sexual harassment might be victimisation under the </w:t>
      </w:r>
      <w:r w:rsidRPr="00387344">
        <w:rPr>
          <w:rFonts w:cs="Arial"/>
          <w:i/>
          <w:sz w:val="22"/>
          <w:szCs w:val="22"/>
          <w:lang w:val="en-AU"/>
        </w:rPr>
        <w:t>Anti-Discrimination Act 1991</w:t>
      </w:r>
      <w:r w:rsidRPr="00387344">
        <w:rPr>
          <w:rFonts w:cs="Arial"/>
          <w:sz w:val="22"/>
          <w:szCs w:val="22"/>
          <w:lang w:val="en-AU"/>
        </w:rPr>
        <w:t>, it can be seen that a complaint by the victim might result in a risky battle with the employers.</w:t>
      </w:r>
    </w:p>
    <w:p w:rsidR="00305CEA" w:rsidRPr="00387344" w:rsidRDefault="00305CEA" w:rsidP="00305CEA">
      <w:pPr>
        <w:pStyle w:val="NormalWeb"/>
        <w:spacing w:before="120" w:beforeAutospacing="0" w:after="240" w:afterAutospacing="0"/>
        <w:ind w:left="1559" w:right="658" w:hanging="425"/>
        <w:rPr>
          <w:rFonts w:cs="Arial"/>
          <w:sz w:val="22"/>
          <w:szCs w:val="22"/>
          <w:lang w:val="en-AU"/>
        </w:rPr>
      </w:pPr>
      <w:r w:rsidRPr="00387344">
        <w:rPr>
          <w:rFonts w:cs="Arial"/>
          <w:sz w:val="22"/>
          <w:szCs w:val="22"/>
          <w:lang w:val="en-AU"/>
        </w:rPr>
        <w:t xml:space="preserve">50.  Other employers faced with this problem might try to ignore the comments and hope that they cease.  A further way to deal with it would be to go along with the banter to some extent and that way try to stop it getting out of hand.  This is the way Ms </w:t>
      </w:r>
      <w:proofErr w:type="spellStart"/>
      <w:r w:rsidRPr="00387344">
        <w:rPr>
          <w:rFonts w:cs="Arial"/>
          <w:sz w:val="22"/>
          <w:szCs w:val="22"/>
          <w:lang w:val="en-AU"/>
        </w:rPr>
        <w:t>Nunan</w:t>
      </w:r>
      <w:proofErr w:type="spellEnd"/>
      <w:r w:rsidRPr="00387344">
        <w:rPr>
          <w:rFonts w:cs="Arial"/>
          <w:sz w:val="22"/>
          <w:szCs w:val="22"/>
          <w:lang w:val="en-AU"/>
        </w:rPr>
        <w:t xml:space="preserve"> decided to deal with it.  One of the reasons for this was that she was strongly committed to her job and did not want to jeopardise it by repor</w:t>
      </w:r>
      <w:r w:rsidR="00B12E6B" w:rsidRPr="00387344">
        <w:rPr>
          <w:rFonts w:cs="Arial"/>
          <w:sz w:val="22"/>
          <w:szCs w:val="22"/>
          <w:lang w:val="en-AU"/>
        </w:rPr>
        <w:t>ting the matter.  She thought in</w:t>
      </w:r>
      <w:r w:rsidRPr="00387344">
        <w:rPr>
          <w:rFonts w:cs="Arial"/>
          <w:sz w:val="22"/>
          <w:szCs w:val="22"/>
          <w:lang w:val="en-AU"/>
        </w:rPr>
        <w:t xml:space="preserve"> this way she would be able to indicate to Mr </w:t>
      </w:r>
      <w:proofErr w:type="spellStart"/>
      <w:r w:rsidRPr="00387344">
        <w:rPr>
          <w:rFonts w:cs="Arial"/>
          <w:sz w:val="22"/>
          <w:szCs w:val="22"/>
          <w:lang w:val="en-AU"/>
        </w:rPr>
        <w:t>Hotson</w:t>
      </w:r>
      <w:proofErr w:type="spellEnd"/>
      <w:r w:rsidRPr="00387344">
        <w:rPr>
          <w:rFonts w:cs="Arial"/>
          <w:sz w:val="22"/>
          <w:szCs w:val="22"/>
          <w:lang w:val="en-AU"/>
        </w:rPr>
        <w:t xml:space="preserve"> when he went too far</w:t>
      </w:r>
      <w:r w:rsidR="00EE24CC" w:rsidRPr="00387344">
        <w:rPr>
          <w:rFonts w:cs="Arial"/>
          <w:sz w:val="22"/>
          <w:szCs w:val="22"/>
          <w:lang w:val="en-AU"/>
        </w:rPr>
        <w:t>.</w:t>
      </w:r>
      <w:r w:rsidR="00EE24CC" w:rsidRPr="00387344">
        <w:rPr>
          <w:rStyle w:val="FootnoteReference"/>
          <w:rFonts w:cs="Arial"/>
          <w:sz w:val="22"/>
          <w:szCs w:val="22"/>
          <w:lang w:val="en-AU"/>
        </w:rPr>
        <w:footnoteReference w:id="2"/>
      </w:r>
    </w:p>
    <w:p w:rsidR="008238F6" w:rsidRPr="00387344" w:rsidRDefault="00B12E6B" w:rsidP="008238F6">
      <w:pPr>
        <w:pStyle w:val="NormalWeb"/>
        <w:numPr>
          <w:ilvl w:val="0"/>
          <w:numId w:val="2"/>
        </w:numPr>
        <w:spacing w:before="120" w:beforeAutospacing="0" w:after="240" w:afterAutospacing="0" w:line="360" w:lineRule="auto"/>
        <w:ind w:left="567" w:hanging="567"/>
        <w:rPr>
          <w:rFonts w:cs="Arial"/>
          <w:lang w:val="en-AU"/>
        </w:rPr>
      </w:pPr>
      <w:r w:rsidRPr="00387344">
        <w:rPr>
          <w:rFonts w:cs="Arial"/>
          <w:lang w:val="en-AU"/>
        </w:rPr>
        <w:t xml:space="preserve">The published decisions also illustrate that making </w:t>
      </w:r>
      <w:r w:rsidR="005E659C" w:rsidRPr="00387344">
        <w:rPr>
          <w:rFonts w:cs="Arial"/>
          <w:lang w:val="en-AU"/>
        </w:rPr>
        <w:t xml:space="preserve">a </w:t>
      </w:r>
      <w:r w:rsidRPr="00387344">
        <w:rPr>
          <w:rFonts w:cs="Arial"/>
          <w:lang w:val="en-AU"/>
        </w:rPr>
        <w:t xml:space="preserve">workplace complaint </w:t>
      </w:r>
      <w:r w:rsidR="00B17372" w:rsidRPr="00387344">
        <w:rPr>
          <w:rFonts w:cs="Arial"/>
          <w:lang w:val="en-AU"/>
        </w:rPr>
        <w:t>can have</w:t>
      </w:r>
      <w:r w:rsidRPr="00387344">
        <w:rPr>
          <w:rFonts w:cs="Arial"/>
          <w:lang w:val="en-AU"/>
        </w:rPr>
        <w:t xml:space="preserve"> a deleterious effect on the compla</w:t>
      </w:r>
      <w:r w:rsidR="00B17372" w:rsidRPr="00387344">
        <w:rPr>
          <w:rFonts w:cs="Arial"/>
          <w:lang w:val="en-AU"/>
        </w:rPr>
        <w:t>inant</w:t>
      </w:r>
      <w:r w:rsidRPr="00387344">
        <w:rPr>
          <w:rFonts w:cs="Arial"/>
          <w:lang w:val="en-AU"/>
        </w:rPr>
        <w:t xml:space="preserve">.  </w:t>
      </w:r>
      <w:r w:rsidR="00481822" w:rsidRPr="00387344">
        <w:rPr>
          <w:rFonts w:cs="Arial"/>
          <w:lang w:val="en-AU"/>
        </w:rPr>
        <w:t>An</w:t>
      </w:r>
      <w:r w:rsidRPr="00387344">
        <w:rPr>
          <w:rFonts w:cs="Arial"/>
          <w:lang w:val="en-AU"/>
        </w:rPr>
        <w:t xml:space="preserve"> investi</w:t>
      </w:r>
      <w:r w:rsidR="00481822" w:rsidRPr="00387344">
        <w:rPr>
          <w:rFonts w:cs="Arial"/>
          <w:lang w:val="en-AU"/>
        </w:rPr>
        <w:t xml:space="preserve">gation may be poorly conducted </w:t>
      </w:r>
      <w:r w:rsidR="00F03DB1" w:rsidRPr="00387344">
        <w:rPr>
          <w:rFonts w:cs="Arial"/>
          <w:lang w:val="en-AU"/>
        </w:rPr>
        <w:t xml:space="preserve">with an </w:t>
      </w:r>
      <w:r w:rsidRPr="00387344">
        <w:rPr>
          <w:rFonts w:cs="Arial"/>
          <w:lang w:val="en-AU"/>
        </w:rPr>
        <w:t>unsatisfactory</w:t>
      </w:r>
      <w:r w:rsidR="00F03DB1" w:rsidRPr="00387344">
        <w:rPr>
          <w:rFonts w:cs="Arial"/>
          <w:lang w:val="en-AU"/>
        </w:rPr>
        <w:t xml:space="preserve"> outcome</w:t>
      </w:r>
      <w:r w:rsidRPr="00387344">
        <w:rPr>
          <w:rFonts w:cs="Arial"/>
          <w:lang w:val="en-AU"/>
        </w:rPr>
        <w:t xml:space="preserve">, </w:t>
      </w:r>
      <w:r w:rsidR="00F03DB1" w:rsidRPr="00387344">
        <w:rPr>
          <w:rFonts w:cs="Arial"/>
          <w:lang w:val="en-AU"/>
        </w:rPr>
        <w:t xml:space="preserve">leaving the </w:t>
      </w:r>
      <w:r w:rsidRPr="00387344">
        <w:rPr>
          <w:rFonts w:cs="Arial"/>
          <w:lang w:val="en-AU"/>
        </w:rPr>
        <w:t xml:space="preserve">individual </w:t>
      </w:r>
      <w:r w:rsidR="00B17372" w:rsidRPr="00387344">
        <w:rPr>
          <w:rFonts w:cs="Arial"/>
          <w:lang w:val="en-AU"/>
        </w:rPr>
        <w:t xml:space="preserve">feeling </w:t>
      </w:r>
      <w:r w:rsidR="00F03DB1" w:rsidRPr="00387344">
        <w:rPr>
          <w:rFonts w:cs="Arial"/>
          <w:lang w:val="en-AU"/>
        </w:rPr>
        <w:t>they have been treated unfairly</w:t>
      </w:r>
      <w:r w:rsidR="00B17372" w:rsidRPr="00387344">
        <w:rPr>
          <w:rFonts w:cs="Arial"/>
          <w:lang w:val="en-AU"/>
        </w:rPr>
        <w:t xml:space="preserve">.  </w:t>
      </w:r>
      <w:r w:rsidR="00481822" w:rsidRPr="00387344">
        <w:rPr>
          <w:rFonts w:cs="Arial"/>
          <w:lang w:val="en-AU"/>
        </w:rPr>
        <w:t xml:space="preserve">Other </w:t>
      </w:r>
      <w:r w:rsidR="00F03DB1" w:rsidRPr="00387344">
        <w:rPr>
          <w:rFonts w:cs="Arial"/>
          <w:lang w:val="en-AU"/>
        </w:rPr>
        <w:t xml:space="preserve">actions by an employer </w:t>
      </w:r>
      <w:r w:rsidR="00481822" w:rsidRPr="00387344">
        <w:rPr>
          <w:rFonts w:cs="Arial"/>
          <w:lang w:val="en-AU"/>
        </w:rPr>
        <w:t xml:space="preserve">feeling victimised, whether perceived or real.  </w:t>
      </w:r>
      <w:r w:rsidR="00F03DB1" w:rsidRPr="00387344">
        <w:rPr>
          <w:rFonts w:cs="Arial"/>
          <w:lang w:val="en-AU"/>
        </w:rPr>
        <w:t xml:space="preserve"> </w:t>
      </w:r>
      <w:r w:rsidR="00481822" w:rsidRPr="00387344">
        <w:rPr>
          <w:rFonts w:cs="Arial"/>
          <w:lang w:val="en-AU"/>
        </w:rPr>
        <w:t>The following are examples from cases that have gone before a court or tribunal</w:t>
      </w:r>
      <w:r w:rsidR="00B17372" w:rsidRPr="00387344">
        <w:rPr>
          <w:rFonts w:cs="Arial"/>
          <w:lang w:val="en-AU"/>
        </w:rPr>
        <w:t>:</w:t>
      </w:r>
    </w:p>
    <w:p w:rsidR="00B17372" w:rsidRPr="00387344" w:rsidRDefault="00B17372" w:rsidP="00B17372">
      <w:pPr>
        <w:pStyle w:val="NormalWeb"/>
        <w:numPr>
          <w:ilvl w:val="1"/>
          <w:numId w:val="2"/>
        </w:numPr>
        <w:spacing w:before="120" w:beforeAutospacing="0" w:after="240" w:afterAutospacing="0" w:line="360" w:lineRule="auto"/>
        <w:rPr>
          <w:rFonts w:cs="Arial"/>
          <w:lang w:val="en-AU"/>
        </w:rPr>
      </w:pPr>
      <w:r w:rsidRPr="00387344">
        <w:rPr>
          <w:rFonts w:cs="Arial"/>
          <w:lang w:val="en-AU"/>
        </w:rPr>
        <w:lastRenderedPageBreak/>
        <w:t xml:space="preserve">An </w:t>
      </w:r>
      <w:r w:rsidR="004A3A2C" w:rsidRPr="00387344">
        <w:rPr>
          <w:rFonts w:cs="Arial"/>
          <w:lang w:val="en-AU"/>
        </w:rPr>
        <w:t>employer directed a worker to apologise to a colleague</w:t>
      </w:r>
      <w:r w:rsidRPr="00387344">
        <w:rPr>
          <w:rFonts w:cs="Arial"/>
          <w:lang w:val="en-AU"/>
        </w:rPr>
        <w:t xml:space="preserve"> for racially derogative comments and behaviour</w:t>
      </w:r>
      <w:r w:rsidR="00481822" w:rsidRPr="00387344">
        <w:rPr>
          <w:rFonts w:cs="Arial"/>
          <w:lang w:val="en-AU"/>
        </w:rPr>
        <w:t>.  In the verbal apology</w:t>
      </w:r>
      <w:r w:rsidR="004A3A2C" w:rsidRPr="00387344">
        <w:rPr>
          <w:rFonts w:cs="Arial"/>
          <w:lang w:val="en-AU"/>
        </w:rPr>
        <w:t xml:space="preserve"> the worker referred to the colleague</w:t>
      </w:r>
      <w:r w:rsidR="00481822" w:rsidRPr="00387344">
        <w:rPr>
          <w:rFonts w:cs="Arial"/>
          <w:lang w:val="en-AU"/>
        </w:rPr>
        <w:t>’</w:t>
      </w:r>
      <w:r w:rsidR="004A3A2C" w:rsidRPr="00387344">
        <w:rPr>
          <w:rFonts w:cs="Arial"/>
          <w:lang w:val="en-AU"/>
        </w:rPr>
        <w:t xml:space="preserve">s colour in the context of suggesting he needed to move on.  The botched apology was itself a further act of race discrimination, and exacerbated the </w:t>
      </w:r>
      <w:r w:rsidR="00481822" w:rsidRPr="00387344">
        <w:rPr>
          <w:rFonts w:cs="Arial"/>
          <w:lang w:val="en-AU"/>
        </w:rPr>
        <w:t>psychological injury suffered by</w:t>
      </w:r>
      <w:r w:rsidR="004A3A2C" w:rsidRPr="00387344">
        <w:rPr>
          <w:rFonts w:cs="Arial"/>
          <w:lang w:val="en-AU"/>
        </w:rPr>
        <w:t xml:space="preserve"> the colleague.</w:t>
      </w:r>
      <w:r w:rsidR="004A3A2C" w:rsidRPr="00387344">
        <w:rPr>
          <w:rStyle w:val="FootnoteReference"/>
          <w:rFonts w:cs="Arial"/>
          <w:lang w:val="en-AU"/>
        </w:rPr>
        <w:footnoteReference w:id="3"/>
      </w:r>
    </w:p>
    <w:p w:rsidR="004A3A2C" w:rsidRPr="00387344" w:rsidRDefault="002E048A" w:rsidP="00B17372">
      <w:pPr>
        <w:pStyle w:val="NormalWeb"/>
        <w:numPr>
          <w:ilvl w:val="1"/>
          <w:numId w:val="2"/>
        </w:numPr>
        <w:spacing w:before="120" w:beforeAutospacing="0" w:after="240" w:afterAutospacing="0" w:line="360" w:lineRule="auto"/>
        <w:rPr>
          <w:rFonts w:cs="Arial"/>
          <w:lang w:val="en-AU"/>
        </w:rPr>
      </w:pPr>
      <w:r w:rsidRPr="00387344">
        <w:rPr>
          <w:rFonts w:cs="Arial"/>
          <w:lang w:val="en-AU"/>
        </w:rPr>
        <w:t>A bungled investigation of complaints of sexual harassment resulted in the employer finding the allegations were not ‘substantiated’, despite the evidence, and the worker feeling undermined and unsupported.  The combination of the sexual harassment and mishandling of the complaint caused her to suffer psychiatric injury.</w:t>
      </w:r>
      <w:r w:rsidRPr="00387344">
        <w:rPr>
          <w:rStyle w:val="FootnoteReference"/>
          <w:rFonts w:cs="Arial"/>
          <w:lang w:val="en-AU"/>
        </w:rPr>
        <w:footnoteReference w:id="4"/>
      </w:r>
    </w:p>
    <w:p w:rsidR="00A676C4" w:rsidRPr="00387344" w:rsidRDefault="00277D0C" w:rsidP="00B17372">
      <w:pPr>
        <w:pStyle w:val="NormalWeb"/>
        <w:numPr>
          <w:ilvl w:val="1"/>
          <w:numId w:val="2"/>
        </w:numPr>
        <w:spacing w:before="120" w:beforeAutospacing="0" w:after="240" w:afterAutospacing="0" w:line="360" w:lineRule="auto"/>
        <w:rPr>
          <w:rFonts w:cs="Arial"/>
          <w:lang w:val="en-AU"/>
        </w:rPr>
      </w:pPr>
      <w:r w:rsidRPr="00387344">
        <w:rPr>
          <w:rFonts w:cs="Arial"/>
          <w:lang w:val="en-AU"/>
        </w:rPr>
        <w:t>A senior manager</w:t>
      </w:r>
      <w:r w:rsidR="00481822" w:rsidRPr="00387344">
        <w:rPr>
          <w:rFonts w:cs="Arial"/>
          <w:lang w:val="en-AU"/>
        </w:rPr>
        <w:t>,</w:t>
      </w:r>
      <w:r w:rsidRPr="00387344">
        <w:rPr>
          <w:rFonts w:cs="Arial"/>
          <w:lang w:val="en-AU"/>
        </w:rPr>
        <w:t xml:space="preserve"> who complained of a series of sexual advances and slurs over a period of months, was required to continue to work with the person she complained about during the course of the investigation.  The investigation took a number of weeks and she began looking for work </w:t>
      </w:r>
      <w:proofErr w:type="gramStart"/>
      <w:r w:rsidRPr="00387344">
        <w:rPr>
          <w:rFonts w:cs="Arial"/>
          <w:lang w:val="en-AU"/>
        </w:rPr>
        <w:t>elsewhere,</w:t>
      </w:r>
      <w:proofErr w:type="gramEnd"/>
      <w:r w:rsidRPr="00387344">
        <w:rPr>
          <w:rFonts w:cs="Arial"/>
          <w:lang w:val="en-AU"/>
        </w:rPr>
        <w:t xml:space="preserve"> and later resigned.</w:t>
      </w:r>
      <w:r w:rsidRPr="00387344">
        <w:rPr>
          <w:rStyle w:val="FootnoteReference"/>
          <w:rFonts w:cs="Arial"/>
          <w:lang w:val="en-AU"/>
        </w:rPr>
        <w:footnoteReference w:id="5"/>
      </w:r>
    </w:p>
    <w:p w:rsidR="002D6A1B" w:rsidRPr="00387344" w:rsidRDefault="002D6A1B" w:rsidP="00B17372">
      <w:pPr>
        <w:pStyle w:val="NormalWeb"/>
        <w:numPr>
          <w:ilvl w:val="1"/>
          <w:numId w:val="2"/>
        </w:numPr>
        <w:spacing w:before="120" w:beforeAutospacing="0" w:after="240" w:afterAutospacing="0" w:line="360" w:lineRule="auto"/>
        <w:rPr>
          <w:rFonts w:cs="Arial"/>
          <w:lang w:val="en-AU"/>
        </w:rPr>
      </w:pPr>
      <w:r w:rsidRPr="00387344">
        <w:rPr>
          <w:rFonts w:cs="Arial"/>
          <w:lang w:val="en-AU"/>
        </w:rPr>
        <w:t xml:space="preserve">A pharmacist in a hospital made a number of complaints about </w:t>
      </w:r>
      <w:r w:rsidR="006237A0" w:rsidRPr="00387344">
        <w:rPr>
          <w:rFonts w:cs="Arial"/>
          <w:lang w:val="en-AU"/>
        </w:rPr>
        <w:t xml:space="preserve">staff and superiors, including public interest disclosures.  The hospital decided to transfer the pharmacist to another hospital on a new ‘rotation plan’.  </w:t>
      </w:r>
      <w:r w:rsidR="00481822" w:rsidRPr="00387344">
        <w:rPr>
          <w:rFonts w:cs="Arial"/>
          <w:lang w:val="en-AU"/>
        </w:rPr>
        <w:t>The pharmacist</w:t>
      </w:r>
      <w:r w:rsidR="006237A0" w:rsidRPr="00387344">
        <w:rPr>
          <w:rFonts w:cs="Arial"/>
          <w:lang w:val="en-AU"/>
        </w:rPr>
        <w:t xml:space="preserve"> claimed the proposed transfer would cause her anxiety and depression</w:t>
      </w:r>
      <w:r w:rsidR="00481822" w:rsidRPr="00387344">
        <w:rPr>
          <w:rFonts w:cs="Arial"/>
          <w:lang w:val="en-AU"/>
        </w:rPr>
        <w:t>,</w:t>
      </w:r>
      <w:r w:rsidR="006237A0" w:rsidRPr="00387344">
        <w:rPr>
          <w:rFonts w:cs="Arial"/>
          <w:lang w:val="en-AU"/>
        </w:rPr>
        <w:t xml:space="preserve"> and she was suspended</w:t>
      </w:r>
      <w:r w:rsidR="00481822" w:rsidRPr="00387344">
        <w:rPr>
          <w:rFonts w:cs="Arial"/>
          <w:lang w:val="en-AU"/>
        </w:rPr>
        <w:t xml:space="preserve"> from work for an extended period</w:t>
      </w:r>
      <w:r w:rsidR="006237A0" w:rsidRPr="00387344">
        <w:rPr>
          <w:rFonts w:cs="Arial"/>
          <w:lang w:val="en-AU"/>
        </w:rPr>
        <w:t xml:space="preserve">.  </w:t>
      </w:r>
      <w:r w:rsidR="00481822" w:rsidRPr="00387344">
        <w:rPr>
          <w:rFonts w:cs="Arial"/>
          <w:lang w:val="en-AU"/>
        </w:rPr>
        <w:t xml:space="preserve">A complaint of impairment discrimination by </w:t>
      </w:r>
      <w:r w:rsidR="005E659C" w:rsidRPr="00387344">
        <w:rPr>
          <w:rFonts w:cs="Arial"/>
          <w:lang w:val="en-AU"/>
        </w:rPr>
        <w:t xml:space="preserve">the hospital </w:t>
      </w:r>
      <w:r w:rsidR="00481822" w:rsidRPr="00387344">
        <w:rPr>
          <w:rFonts w:cs="Arial"/>
          <w:lang w:val="en-AU"/>
        </w:rPr>
        <w:t>was dismissed after a hearing in the tribunal</w:t>
      </w:r>
      <w:r w:rsidR="006237A0" w:rsidRPr="00387344">
        <w:rPr>
          <w:rFonts w:cs="Arial"/>
          <w:lang w:val="en-AU"/>
        </w:rPr>
        <w:t>.</w:t>
      </w:r>
      <w:r w:rsidR="006237A0" w:rsidRPr="00387344">
        <w:rPr>
          <w:rStyle w:val="FootnoteReference"/>
          <w:rFonts w:cs="Arial"/>
          <w:lang w:val="en-AU"/>
        </w:rPr>
        <w:footnoteReference w:id="6"/>
      </w:r>
    </w:p>
    <w:p w:rsidR="007A4193" w:rsidRPr="00387344" w:rsidRDefault="007A4193" w:rsidP="00B17372">
      <w:pPr>
        <w:pStyle w:val="NormalWeb"/>
        <w:numPr>
          <w:ilvl w:val="1"/>
          <w:numId w:val="2"/>
        </w:numPr>
        <w:spacing w:before="120" w:beforeAutospacing="0" w:after="240" w:afterAutospacing="0" w:line="360" w:lineRule="auto"/>
        <w:rPr>
          <w:rFonts w:cs="Arial"/>
          <w:lang w:val="en-AU"/>
        </w:rPr>
      </w:pPr>
      <w:r w:rsidRPr="00387344">
        <w:rPr>
          <w:rFonts w:cs="Arial"/>
          <w:lang w:val="en-AU"/>
        </w:rPr>
        <w:t xml:space="preserve">The tribunal found that the </w:t>
      </w:r>
      <w:r w:rsidR="00F03DB1" w:rsidRPr="00387344">
        <w:rPr>
          <w:rFonts w:cs="Arial"/>
          <w:lang w:val="en-AU"/>
        </w:rPr>
        <w:t xml:space="preserve">investigation of complaints by a hospital worker of sexual harassment and bullying was unsatisfactory, and that it contributed to the worker’s </w:t>
      </w:r>
      <w:r w:rsidR="00F03DB1" w:rsidRPr="00387344">
        <w:rPr>
          <w:rFonts w:cs="Arial"/>
          <w:lang w:val="en-AU"/>
        </w:rPr>
        <w:lastRenderedPageBreak/>
        <w:t>psychological injury.  The investigator was inexperienced, made comments that appeared to be biased, did not consider all the available statements and conclusions were not supported by the evidence.</w:t>
      </w:r>
      <w:r w:rsidR="00F03DB1" w:rsidRPr="00387344">
        <w:rPr>
          <w:rStyle w:val="FootnoteReference"/>
          <w:rFonts w:cs="Arial"/>
          <w:lang w:val="en-AU"/>
        </w:rPr>
        <w:footnoteReference w:id="7"/>
      </w:r>
    </w:p>
    <w:p w:rsidR="00B17372" w:rsidRPr="00387344" w:rsidRDefault="00E70378" w:rsidP="008238F6">
      <w:pPr>
        <w:pStyle w:val="NormalWeb"/>
        <w:numPr>
          <w:ilvl w:val="0"/>
          <w:numId w:val="2"/>
        </w:numPr>
        <w:spacing w:before="120" w:beforeAutospacing="0" w:after="240" w:afterAutospacing="0" w:line="360" w:lineRule="auto"/>
        <w:ind w:left="567" w:hanging="567"/>
        <w:rPr>
          <w:rFonts w:cs="Arial"/>
          <w:lang w:val="en-AU"/>
        </w:rPr>
      </w:pPr>
      <w:r>
        <w:rPr>
          <w:rFonts w:cs="Arial"/>
          <w:lang w:val="en-AU"/>
        </w:rPr>
        <w:t>Though not a panacea, individual complaints have to capacity to effect systemic change.  A fair, transparent and effective complaints process within each workplace is a crucial component to addressing discrimination, bullying and harassment in any workplace.</w:t>
      </w:r>
    </w:p>
    <w:p w:rsidR="00550733" w:rsidRPr="00387344" w:rsidRDefault="0005388E" w:rsidP="00FE175D">
      <w:pPr>
        <w:pStyle w:val="Heading1"/>
      </w:pPr>
      <w:bookmarkStart w:id="8" w:name="_Toc425154206"/>
      <w:r w:rsidRPr="00387344">
        <w:t>Conclusion</w:t>
      </w:r>
      <w:bookmarkEnd w:id="8"/>
    </w:p>
    <w:p w:rsidR="00037314" w:rsidRDefault="00A17A52" w:rsidP="00037314">
      <w:pPr>
        <w:pStyle w:val="NormalWeb"/>
        <w:numPr>
          <w:ilvl w:val="0"/>
          <w:numId w:val="2"/>
        </w:numPr>
        <w:spacing w:before="120" w:beforeAutospacing="0" w:after="240" w:afterAutospacing="0" w:line="360" w:lineRule="auto"/>
        <w:ind w:left="567" w:hanging="567"/>
        <w:rPr>
          <w:rFonts w:cs="Arial"/>
          <w:color w:val="000000"/>
          <w:lang w:val="en-AU"/>
        </w:rPr>
      </w:pPr>
      <w:r>
        <w:rPr>
          <w:rFonts w:cs="Arial"/>
          <w:color w:val="000000"/>
          <w:lang w:val="en-AU"/>
        </w:rPr>
        <w:t>By the time complaints of discrimination and sexual harassment in the workplace reach the Commission, the employment relationship has usually deteriorated to an irreparable extent, or has come to an end.  This is a negative outcome for both the individual and the workplace.</w:t>
      </w:r>
    </w:p>
    <w:p w:rsidR="00A17A52" w:rsidRDefault="00A17A52" w:rsidP="00037314">
      <w:pPr>
        <w:pStyle w:val="NormalWeb"/>
        <w:numPr>
          <w:ilvl w:val="0"/>
          <w:numId w:val="2"/>
        </w:numPr>
        <w:spacing w:before="120" w:beforeAutospacing="0" w:after="240" w:afterAutospacing="0" w:line="360" w:lineRule="auto"/>
        <w:ind w:left="567" w:hanging="567"/>
        <w:rPr>
          <w:rFonts w:cs="Arial"/>
          <w:color w:val="000000"/>
          <w:lang w:val="en-AU"/>
        </w:rPr>
      </w:pPr>
      <w:r>
        <w:rPr>
          <w:rFonts w:cs="Arial"/>
          <w:color w:val="000000"/>
          <w:lang w:val="en-AU"/>
        </w:rPr>
        <w:t xml:space="preserve">An effective complaints process will not of itself fix the problems </w:t>
      </w:r>
      <w:r w:rsidR="007C24B1">
        <w:rPr>
          <w:rFonts w:cs="Arial"/>
          <w:color w:val="000000"/>
          <w:lang w:val="en-AU"/>
        </w:rPr>
        <w:t>associated with discrimination, bullying and harassment in the practice of surgery.  Cultural and structural change are necessary to create a gender inclusive profession respecting and valuing diversity.</w:t>
      </w:r>
    </w:p>
    <w:p w:rsidR="007C24B1" w:rsidRPr="00387344" w:rsidRDefault="007C24B1" w:rsidP="00037314">
      <w:pPr>
        <w:pStyle w:val="NormalWeb"/>
        <w:numPr>
          <w:ilvl w:val="0"/>
          <w:numId w:val="2"/>
        </w:numPr>
        <w:spacing w:before="120" w:beforeAutospacing="0" w:after="240" w:afterAutospacing="0" w:line="360" w:lineRule="auto"/>
        <w:ind w:left="567" w:hanging="567"/>
        <w:rPr>
          <w:rFonts w:cs="Arial"/>
          <w:color w:val="000000"/>
          <w:lang w:val="en-AU"/>
        </w:rPr>
      </w:pPr>
      <w:r>
        <w:rPr>
          <w:rFonts w:cs="Arial"/>
          <w:color w:val="000000"/>
          <w:lang w:val="en-AU"/>
        </w:rPr>
        <w:t>The Commission commends the College and the Expert Advisory Group on working towards eliminating discrimination, bullying and harassment in the practice of surgery.</w:t>
      </w:r>
    </w:p>
    <w:p w:rsidR="00FE229B" w:rsidRPr="00387344" w:rsidRDefault="00FE229B" w:rsidP="00A17A52">
      <w:pPr>
        <w:pStyle w:val="NormalWeb"/>
        <w:spacing w:before="120" w:beforeAutospacing="0" w:after="240" w:afterAutospacing="0" w:line="360" w:lineRule="auto"/>
        <w:rPr>
          <w:rFonts w:cs="Arial"/>
          <w:color w:val="000000"/>
          <w:lang w:val="en-AU"/>
        </w:rPr>
      </w:pPr>
    </w:p>
    <w:p w:rsidR="00FE229B" w:rsidRPr="00387344" w:rsidRDefault="00FE229B" w:rsidP="00FE229B">
      <w:pPr>
        <w:pStyle w:val="NormalWeb"/>
        <w:spacing w:before="120" w:beforeAutospacing="0" w:after="240" w:afterAutospacing="0" w:line="360" w:lineRule="auto"/>
        <w:rPr>
          <w:rFonts w:cs="Arial"/>
          <w:color w:val="000000"/>
          <w:lang w:val="en-AU"/>
        </w:rPr>
        <w:sectPr w:rsidR="00FE229B" w:rsidRPr="00387344" w:rsidSect="004C560B">
          <w:headerReference w:type="default" r:id="rId13"/>
          <w:headerReference w:type="first" r:id="rId14"/>
          <w:footerReference w:type="first" r:id="rId15"/>
          <w:pgSz w:w="11906" w:h="16838" w:code="9"/>
          <w:pgMar w:top="851" w:right="1797" w:bottom="1134" w:left="1797" w:header="567" w:footer="59" w:gutter="0"/>
          <w:cols w:space="708"/>
          <w:titlePg/>
          <w:docGrid w:linePitch="360"/>
        </w:sectPr>
      </w:pPr>
    </w:p>
    <w:p w:rsidR="00FE229B" w:rsidRPr="00387344" w:rsidRDefault="00FE229B" w:rsidP="00FE229B">
      <w:pPr>
        <w:spacing w:after="120"/>
        <w:rPr>
          <w:rFonts w:cs="Arial"/>
          <w:b/>
        </w:rPr>
      </w:pPr>
      <w:r w:rsidRPr="00387344">
        <w:rPr>
          <w:rFonts w:cs="Arial"/>
          <w:b/>
        </w:rPr>
        <w:lastRenderedPageBreak/>
        <w:t>Impacts on victims of sexual harassment and discrimination at work</w:t>
      </w:r>
    </w:p>
    <w:tbl>
      <w:tblPr>
        <w:tblStyle w:val="TableGrid"/>
        <w:tblW w:w="0" w:type="auto"/>
        <w:tblLook w:val="04A0" w:firstRow="1" w:lastRow="0" w:firstColumn="1" w:lastColumn="0" w:noHBand="0" w:noVBand="1"/>
        <w:tblCaption w:val="Impacts on victims of sexual harassment and discrimination at work"/>
        <w:tblDescription w:val="Lists numerous examples of impact on vicitim and condduct of perpetrator"/>
      </w:tblPr>
      <w:tblGrid>
        <w:gridCol w:w="4261"/>
        <w:gridCol w:w="4261"/>
      </w:tblGrid>
      <w:tr w:rsidR="00FE229B" w:rsidRPr="00387344" w:rsidTr="00C71E04">
        <w:trPr>
          <w:tblHeader/>
        </w:trPr>
        <w:tc>
          <w:tcPr>
            <w:tcW w:w="4261" w:type="dxa"/>
          </w:tcPr>
          <w:p w:rsidR="00FE229B" w:rsidRPr="00387344" w:rsidRDefault="00FE229B" w:rsidP="00FE229B">
            <w:pPr>
              <w:rPr>
                <w:rFonts w:cs="Arial"/>
                <w:b/>
                <w:sz w:val="22"/>
                <w:szCs w:val="22"/>
              </w:rPr>
            </w:pPr>
            <w:r w:rsidRPr="00387344">
              <w:rPr>
                <w:rFonts w:cs="Arial"/>
                <w:b/>
                <w:sz w:val="22"/>
                <w:szCs w:val="22"/>
              </w:rPr>
              <w:t>Impact</w:t>
            </w:r>
          </w:p>
        </w:tc>
        <w:tc>
          <w:tcPr>
            <w:tcW w:w="4261" w:type="dxa"/>
          </w:tcPr>
          <w:p w:rsidR="00FE229B" w:rsidRPr="00387344" w:rsidRDefault="00FE229B" w:rsidP="00FE229B">
            <w:pPr>
              <w:rPr>
                <w:rFonts w:cs="Arial"/>
                <w:b/>
                <w:sz w:val="22"/>
                <w:szCs w:val="22"/>
              </w:rPr>
            </w:pPr>
            <w:r w:rsidRPr="00387344">
              <w:rPr>
                <w:rFonts w:cs="Arial"/>
                <w:b/>
                <w:sz w:val="22"/>
                <w:szCs w:val="22"/>
              </w:rPr>
              <w:t>Conduct</w:t>
            </w:r>
          </w:p>
        </w:tc>
      </w:tr>
      <w:tr w:rsidR="00FE229B" w:rsidRPr="00387344" w:rsidTr="00C71E04">
        <w:tc>
          <w:tcPr>
            <w:tcW w:w="4261" w:type="dxa"/>
          </w:tcPr>
          <w:p w:rsidR="00FE229B" w:rsidRPr="00387344" w:rsidRDefault="00FE229B" w:rsidP="00FE229B">
            <w:pPr>
              <w:rPr>
                <w:rFonts w:cs="Arial"/>
                <w:sz w:val="22"/>
                <w:szCs w:val="22"/>
              </w:rPr>
            </w:pPr>
            <w:r w:rsidRPr="00387344">
              <w:rPr>
                <w:rFonts w:cs="Arial"/>
                <w:sz w:val="22"/>
                <w:szCs w:val="22"/>
              </w:rPr>
              <w:t>Adjustment disorder with mixed anxiety and depressed mood over a period of approximately 9 months, with psychological effects lasting longer.</w:t>
            </w:r>
          </w:p>
        </w:tc>
        <w:tc>
          <w:tcPr>
            <w:tcW w:w="4261" w:type="dxa"/>
          </w:tcPr>
          <w:p w:rsidR="00FE229B" w:rsidRPr="00387344" w:rsidRDefault="00FE229B" w:rsidP="00FE229B">
            <w:pPr>
              <w:rPr>
                <w:rFonts w:cs="Arial"/>
                <w:sz w:val="22"/>
                <w:szCs w:val="22"/>
              </w:rPr>
            </w:pPr>
            <w:r w:rsidRPr="00387344">
              <w:rPr>
                <w:rFonts w:cs="Arial"/>
                <w:sz w:val="22"/>
                <w:szCs w:val="22"/>
              </w:rPr>
              <w:t>Sexual harassment - comments subsisting for a period of 3 days</w:t>
            </w:r>
          </w:p>
          <w:p w:rsidR="00FE229B" w:rsidRPr="00387344" w:rsidRDefault="00FE229B" w:rsidP="00FE229B">
            <w:pPr>
              <w:spacing w:before="240"/>
              <w:rPr>
                <w:rFonts w:cs="Arial"/>
                <w:sz w:val="22"/>
                <w:szCs w:val="22"/>
              </w:rPr>
            </w:pPr>
            <w:r w:rsidRPr="00387344">
              <w:rPr>
                <w:rFonts w:cs="Arial"/>
                <w:i/>
                <w:sz w:val="22"/>
                <w:szCs w:val="22"/>
              </w:rPr>
              <w:t>McCauley v Club Resort Holdings (No. 2)</w:t>
            </w:r>
            <w:r w:rsidRPr="00387344">
              <w:rPr>
                <w:rFonts w:cs="Arial"/>
                <w:sz w:val="22"/>
                <w:szCs w:val="22"/>
              </w:rPr>
              <w:t xml:space="preserve"> [2013] QCAT 243</w:t>
            </w:r>
          </w:p>
        </w:tc>
      </w:tr>
      <w:tr w:rsidR="00FE229B" w:rsidRPr="00387344" w:rsidTr="00C71E04">
        <w:tc>
          <w:tcPr>
            <w:tcW w:w="4261" w:type="dxa"/>
          </w:tcPr>
          <w:p w:rsidR="00FE229B" w:rsidRPr="00387344" w:rsidRDefault="00FE229B" w:rsidP="00FE229B">
            <w:pPr>
              <w:rPr>
                <w:rFonts w:cs="Arial"/>
                <w:sz w:val="22"/>
                <w:szCs w:val="22"/>
              </w:rPr>
            </w:pPr>
            <w:r w:rsidRPr="00387344">
              <w:rPr>
                <w:rFonts w:cs="Arial"/>
                <w:sz w:val="22"/>
                <w:szCs w:val="22"/>
              </w:rPr>
              <w:t>Major Depressive Disorder which remained untreated and lasted for over 3 years and which was not necessarily going to resolve after the litigation ended.</w:t>
            </w:r>
          </w:p>
        </w:tc>
        <w:tc>
          <w:tcPr>
            <w:tcW w:w="4261" w:type="dxa"/>
          </w:tcPr>
          <w:p w:rsidR="00FE229B" w:rsidRPr="00387344" w:rsidRDefault="00FE229B" w:rsidP="00FE229B">
            <w:pPr>
              <w:rPr>
                <w:rFonts w:cs="Arial"/>
                <w:sz w:val="22"/>
                <w:szCs w:val="22"/>
              </w:rPr>
            </w:pPr>
            <w:r w:rsidRPr="00387344">
              <w:rPr>
                <w:rFonts w:cs="Arial"/>
                <w:sz w:val="22"/>
                <w:szCs w:val="22"/>
              </w:rPr>
              <w:t>Sexual harassment - comments, questions, touching</w:t>
            </w:r>
          </w:p>
          <w:p w:rsidR="00FE229B" w:rsidRPr="00387344" w:rsidRDefault="00FE229B" w:rsidP="00FE229B">
            <w:pPr>
              <w:rPr>
                <w:rFonts w:cs="Arial"/>
                <w:i/>
                <w:sz w:val="22"/>
                <w:szCs w:val="22"/>
              </w:rPr>
            </w:pPr>
          </w:p>
          <w:p w:rsidR="00FE229B" w:rsidRPr="00387344" w:rsidRDefault="00FE229B" w:rsidP="00FE229B">
            <w:pPr>
              <w:rPr>
                <w:rFonts w:cs="Arial"/>
                <w:sz w:val="22"/>
                <w:szCs w:val="22"/>
              </w:rPr>
            </w:pPr>
            <w:r w:rsidRPr="00387344">
              <w:rPr>
                <w:rFonts w:cs="Arial"/>
                <w:i/>
                <w:sz w:val="22"/>
                <w:szCs w:val="22"/>
              </w:rPr>
              <w:t>KW v BG Limited, DP &amp; DF</w:t>
            </w:r>
            <w:r w:rsidRPr="00387344">
              <w:rPr>
                <w:rFonts w:cs="Arial"/>
                <w:sz w:val="22"/>
                <w:szCs w:val="22"/>
              </w:rPr>
              <w:t xml:space="preserve"> [2009] QADT 7</w:t>
            </w:r>
          </w:p>
        </w:tc>
      </w:tr>
      <w:tr w:rsidR="00FE229B" w:rsidRPr="00387344" w:rsidTr="00C71E04">
        <w:tc>
          <w:tcPr>
            <w:tcW w:w="4261" w:type="dxa"/>
          </w:tcPr>
          <w:p w:rsidR="00FE229B" w:rsidRPr="00387344" w:rsidRDefault="00FE229B" w:rsidP="00FE229B">
            <w:pPr>
              <w:rPr>
                <w:rFonts w:cs="Arial"/>
                <w:sz w:val="22"/>
                <w:szCs w:val="22"/>
              </w:rPr>
            </w:pPr>
            <w:r w:rsidRPr="00387344">
              <w:rPr>
                <w:rFonts w:cs="Arial"/>
                <w:sz w:val="22"/>
                <w:szCs w:val="22"/>
              </w:rPr>
              <w:t>Endured sexual harassment for over a year and was then dismissed because she did not accept the behaviour.</w:t>
            </w:r>
          </w:p>
          <w:p w:rsidR="00FE229B" w:rsidRPr="00387344" w:rsidRDefault="00FE229B" w:rsidP="00FE229B">
            <w:pPr>
              <w:rPr>
                <w:rFonts w:cs="Arial"/>
                <w:sz w:val="22"/>
                <w:szCs w:val="22"/>
              </w:rPr>
            </w:pPr>
            <w:r w:rsidRPr="00387344">
              <w:rPr>
                <w:rFonts w:cs="Arial"/>
                <w:sz w:val="22"/>
                <w:szCs w:val="22"/>
              </w:rPr>
              <w:t>Suffered severe depression over the 3 years before the hearing, expected to improve after the hearing and return to work in 1 or 2 years.</w:t>
            </w:r>
          </w:p>
        </w:tc>
        <w:tc>
          <w:tcPr>
            <w:tcW w:w="4261" w:type="dxa"/>
          </w:tcPr>
          <w:p w:rsidR="00FE229B" w:rsidRPr="00387344" w:rsidRDefault="00FE229B" w:rsidP="00FE229B">
            <w:pPr>
              <w:rPr>
                <w:rFonts w:cs="Arial"/>
                <w:sz w:val="22"/>
                <w:szCs w:val="22"/>
              </w:rPr>
            </w:pPr>
            <w:r w:rsidRPr="00387344">
              <w:rPr>
                <w:rFonts w:cs="Arial"/>
                <w:sz w:val="22"/>
                <w:szCs w:val="22"/>
              </w:rPr>
              <w:t>Sexual harassment - comments,, requests for sexual relationship, sending a picture, kiss</w:t>
            </w:r>
          </w:p>
          <w:p w:rsidR="00FE229B" w:rsidRPr="00387344" w:rsidRDefault="00FE229B" w:rsidP="00FE229B">
            <w:pPr>
              <w:rPr>
                <w:rFonts w:cs="Arial"/>
                <w:sz w:val="22"/>
                <w:szCs w:val="22"/>
              </w:rPr>
            </w:pPr>
          </w:p>
          <w:p w:rsidR="00FE229B" w:rsidRPr="00387344" w:rsidRDefault="00FE229B" w:rsidP="00FE229B">
            <w:pPr>
              <w:rPr>
                <w:rFonts w:cs="Arial"/>
                <w:i/>
                <w:sz w:val="22"/>
                <w:szCs w:val="22"/>
              </w:rPr>
            </w:pPr>
          </w:p>
          <w:p w:rsidR="00FE229B" w:rsidRPr="00387344" w:rsidRDefault="00FE229B" w:rsidP="00FE229B">
            <w:pPr>
              <w:rPr>
                <w:rFonts w:cs="Arial"/>
                <w:sz w:val="22"/>
                <w:szCs w:val="22"/>
              </w:rPr>
            </w:pPr>
            <w:proofErr w:type="spellStart"/>
            <w:r w:rsidRPr="00387344">
              <w:rPr>
                <w:rFonts w:cs="Arial"/>
                <w:i/>
                <w:sz w:val="22"/>
                <w:szCs w:val="22"/>
              </w:rPr>
              <w:t>Poniatowska</w:t>
            </w:r>
            <w:proofErr w:type="spellEnd"/>
            <w:r w:rsidRPr="00387344">
              <w:rPr>
                <w:rFonts w:cs="Arial"/>
                <w:i/>
                <w:sz w:val="22"/>
                <w:szCs w:val="22"/>
              </w:rPr>
              <w:t xml:space="preserve"> v </w:t>
            </w:r>
            <w:proofErr w:type="spellStart"/>
            <w:r w:rsidRPr="00387344">
              <w:rPr>
                <w:rFonts w:cs="Arial"/>
                <w:i/>
                <w:sz w:val="22"/>
                <w:szCs w:val="22"/>
              </w:rPr>
              <w:t>Hickinbotham</w:t>
            </w:r>
            <w:proofErr w:type="spellEnd"/>
            <w:r w:rsidRPr="00387344">
              <w:rPr>
                <w:rFonts w:cs="Arial"/>
                <w:i/>
                <w:sz w:val="22"/>
                <w:szCs w:val="22"/>
              </w:rPr>
              <w:t xml:space="preserve"> </w:t>
            </w:r>
            <w:r w:rsidRPr="00387344">
              <w:rPr>
                <w:rFonts w:cs="Arial"/>
                <w:sz w:val="22"/>
                <w:szCs w:val="22"/>
              </w:rPr>
              <w:t>[2009] FCA 680</w:t>
            </w:r>
          </w:p>
        </w:tc>
      </w:tr>
      <w:tr w:rsidR="00FE229B" w:rsidRPr="00387344" w:rsidTr="00C71E04">
        <w:tc>
          <w:tcPr>
            <w:tcW w:w="4261" w:type="dxa"/>
          </w:tcPr>
          <w:p w:rsidR="00FE229B" w:rsidRPr="00387344" w:rsidRDefault="00FE229B" w:rsidP="00FE229B">
            <w:pPr>
              <w:rPr>
                <w:rFonts w:cs="Arial"/>
                <w:sz w:val="22"/>
                <w:szCs w:val="22"/>
              </w:rPr>
            </w:pPr>
            <w:r w:rsidRPr="00387344">
              <w:rPr>
                <w:rFonts w:cs="Arial"/>
                <w:sz w:val="22"/>
                <w:szCs w:val="22"/>
              </w:rPr>
              <w:t>Clinical depression over a period of about 6 months, which continued 3 years later as mild depression.</w:t>
            </w:r>
          </w:p>
        </w:tc>
        <w:tc>
          <w:tcPr>
            <w:tcW w:w="4261" w:type="dxa"/>
          </w:tcPr>
          <w:p w:rsidR="00FE229B" w:rsidRPr="00387344" w:rsidRDefault="00FE229B" w:rsidP="00FE229B">
            <w:pPr>
              <w:rPr>
                <w:rFonts w:cs="Arial"/>
                <w:sz w:val="22"/>
                <w:szCs w:val="22"/>
              </w:rPr>
            </w:pPr>
            <w:r w:rsidRPr="00387344">
              <w:rPr>
                <w:rFonts w:cs="Arial"/>
                <w:sz w:val="22"/>
                <w:szCs w:val="22"/>
              </w:rPr>
              <w:t>Sex discrimination – single parent criticised for taking carer’s leave &amp; contract not renewed</w:t>
            </w:r>
          </w:p>
          <w:p w:rsidR="00FE229B" w:rsidRPr="00387344" w:rsidRDefault="00FE229B" w:rsidP="00FE229B">
            <w:pPr>
              <w:spacing w:before="240"/>
              <w:rPr>
                <w:rFonts w:cs="Arial"/>
                <w:sz w:val="22"/>
                <w:szCs w:val="22"/>
              </w:rPr>
            </w:pPr>
            <w:r w:rsidRPr="00387344">
              <w:rPr>
                <w:rFonts w:cs="Arial"/>
                <w:i/>
                <w:sz w:val="22"/>
                <w:szCs w:val="22"/>
              </w:rPr>
              <w:t xml:space="preserve">Evans v National Crime Authority </w:t>
            </w:r>
            <w:r w:rsidRPr="00387344">
              <w:rPr>
                <w:rFonts w:cs="Arial"/>
                <w:sz w:val="22"/>
                <w:szCs w:val="22"/>
              </w:rPr>
              <w:t>[2003] FMCA 375</w:t>
            </w:r>
          </w:p>
        </w:tc>
      </w:tr>
      <w:tr w:rsidR="00FE229B" w:rsidRPr="00387344" w:rsidTr="00C71E04">
        <w:tc>
          <w:tcPr>
            <w:tcW w:w="4261" w:type="dxa"/>
          </w:tcPr>
          <w:p w:rsidR="00FE229B" w:rsidRPr="00387344" w:rsidRDefault="00FE229B" w:rsidP="00FE229B">
            <w:pPr>
              <w:rPr>
                <w:rFonts w:cs="Arial"/>
                <w:sz w:val="22"/>
                <w:szCs w:val="22"/>
              </w:rPr>
            </w:pPr>
            <w:r w:rsidRPr="00387344">
              <w:rPr>
                <w:rFonts w:cs="Arial"/>
                <w:sz w:val="22"/>
                <w:szCs w:val="22"/>
              </w:rPr>
              <w:t>Major depressive episode of moderate severity with symptoms continuing over approximately 20 months, but still having an affect 5 years later.</w:t>
            </w:r>
          </w:p>
        </w:tc>
        <w:tc>
          <w:tcPr>
            <w:tcW w:w="4261" w:type="dxa"/>
          </w:tcPr>
          <w:p w:rsidR="00FE229B" w:rsidRPr="00387344" w:rsidRDefault="00FE229B" w:rsidP="00FE229B">
            <w:pPr>
              <w:rPr>
                <w:rFonts w:cs="Arial"/>
                <w:sz w:val="22"/>
                <w:szCs w:val="22"/>
              </w:rPr>
            </w:pPr>
            <w:r w:rsidRPr="00387344">
              <w:rPr>
                <w:rFonts w:cs="Arial"/>
                <w:sz w:val="22"/>
                <w:szCs w:val="22"/>
              </w:rPr>
              <w:t>Bullying, harassment and racial abuse at work – called a ‘black fella’</w:t>
            </w:r>
          </w:p>
          <w:p w:rsidR="00FE229B" w:rsidRPr="00387344" w:rsidRDefault="00FE229B" w:rsidP="00FE229B">
            <w:pPr>
              <w:spacing w:before="240"/>
              <w:rPr>
                <w:rFonts w:cs="Arial"/>
                <w:sz w:val="22"/>
                <w:szCs w:val="22"/>
              </w:rPr>
            </w:pPr>
            <w:r w:rsidRPr="00387344">
              <w:rPr>
                <w:rFonts w:cs="Arial"/>
                <w:i/>
                <w:sz w:val="22"/>
                <w:szCs w:val="22"/>
              </w:rPr>
              <w:t xml:space="preserve">Barney v State of Queensland </w:t>
            </w:r>
            <w:r w:rsidRPr="00387344">
              <w:rPr>
                <w:rFonts w:cs="Arial"/>
                <w:sz w:val="22"/>
                <w:szCs w:val="22"/>
              </w:rPr>
              <w:t>[2012] QCAT 695</w:t>
            </w:r>
          </w:p>
        </w:tc>
      </w:tr>
      <w:tr w:rsidR="00FE229B" w:rsidRPr="00387344" w:rsidTr="00C71E04">
        <w:tc>
          <w:tcPr>
            <w:tcW w:w="4261" w:type="dxa"/>
          </w:tcPr>
          <w:p w:rsidR="00FE229B" w:rsidRPr="00387344" w:rsidRDefault="00FE229B" w:rsidP="00FE229B">
            <w:pPr>
              <w:rPr>
                <w:rFonts w:cs="Arial"/>
                <w:sz w:val="22"/>
                <w:szCs w:val="22"/>
              </w:rPr>
            </w:pPr>
            <w:r w:rsidRPr="00387344">
              <w:rPr>
                <w:rFonts w:cs="Arial"/>
                <w:sz w:val="22"/>
                <w:szCs w:val="22"/>
              </w:rPr>
              <w:t>Suffered an emotional breakdown, tried but was unable to return to work and resigned. Diagnosed with anxiety disorder with panic attacks, depression and reduced functioning – worsened and became a Major Depressive Disorder of moderate severity which encompassed also a Generalised Anxiety Disorder</w:t>
            </w:r>
          </w:p>
          <w:p w:rsidR="00FE229B" w:rsidRPr="00387344" w:rsidRDefault="00FE229B" w:rsidP="00FE229B">
            <w:pPr>
              <w:rPr>
                <w:rFonts w:cs="Arial"/>
                <w:sz w:val="22"/>
                <w:szCs w:val="22"/>
              </w:rPr>
            </w:pPr>
            <w:r w:rsidRPr="00387344">
              <w:rPr>
                <w:rFonts w:cs="Arial"/>
                <w:sz w:val="22"/>
                <w:szCs w:val="22"/>
              </w:rPr>
              <w:t>The serious effects of the sexual harassment would continue over a total period of about 3 years.</w:t>
            </w:r>
          </w:p>
        </w:tc>
        <w:tc>
          <w:tcPr>
            <w:tcW w:w="4261" w:type="dxa"/>
          </w:tcPr>
          <w:p w:rsidR="00591EDA" w:rsidRDefault="00FE229B" w:rsidP="00591EDA">
            <w:pPr>
              <w:rPr>
                <w:rFonts w:cs="Arial"/>
                <w:sz w:val="22"/>
                <w:szCs w:val="22"/>
              </w:rPr>
            </w:pPr>
            <w:r w:rsidRPr="00387344">
              <w:rPr>
                <w:rFonts w:cs="Arial"/>
                <w:sz w:val="22"/>
                <w:szCs w:val="22"/>
              </w:rPr>
              <w:t>Sexual harassment – comments, questions, noises and gestures on a daily basis over a period of 5 months</w:t>
            </w:r>
          </w:p>
          <w:p w:rsidR="00FE229B" w:rsidRPr="00387344" w:rsidRDefault="00FE229B" w:rsidP="00591EDA">
            <w:pPr>
              <w:spacing w:before="1320"/>
              <w:rPr>
                <w:rFonts w:cs="Arial"/>
                <w:sz w:val="22"/>
                <w:szCs w:val="22"/>
              </w:rPr>
            </w:pPr>
            <w:proofErr w:type="spellStart"/>
            <w:r w:rsidRPr="00387344">
              <w:rPr>
                <w:rFonts w:cs="Arial"/>
                <w:i/>
                <w:sz w:val="22"/>
                <w:szCs w:val="22"/>
              </w:rPr>
              <w:t>Nunan</w:t>
            </w:r>
            <w:proofErr w:type="spellEnd"/>
            <w:r w:rsidRPr="00387344">
              <w:rPr>
                <w:rFonts w:cs="Arial"/>
                <w:i/>
                <w:sz w:val="22"/>
                <w:szCs w:val="22"/>
              </w:rPr>
              <w:t xml:space="preserve"> v </w:t>
            </w:r>
            <w:proofErr w:type="spellStart"/>
            <w:r w:rsidRPr="00387344">
              <w:rPr>
                <w:rFonts w:cs="Arial"/>
                <w:i/>
                <w:sz w:val="22"/>
                <w:szCs w:val="22"/>
              </w:rPr>
              <w:t>Aacton</w:t>
            </w:r>
            <w:proofErr w:type="spellEnd"/>
            <w:r w:rsidRPr="00387344">
              <w:rPr>
                <w:rFonts w:cs="Arial"/>
                <w:i/>
                <w:sz w:val="22"/>
                <w:szCs w:val="22"/>
              </w:rPr>
              <w:t xml:space="preserve"> Traffic services Pty Ltd</w:t>
            </w:r>
            <w:r w:rsidRPr="00387344">
              <w:rPr>
                <w:rFonts w:cs="Arial"/>
                <w:sz w:val="22"/>
                <w:szCs w:val="22"/>
              </w:rPr>
              <w:t xml:space="preserve"> [2013] QCAT 565</w:t>
            </w:r>
          </w:p>
        </w:tc>
        <w:bookmarkStart w:id="9" w:name="_GoBack"/>
        <w:bookmarkEnd w:id="9"/>
      </w:tr>
      <w:tr w:rsidR="00FE229B" w:rsidRPr="00387344" w:rsidTr="00C71E04">
        <w:tc>
          <w:tcPr>
            <w:tcW w:w="4261" w:type="dxa"/>
          </w:tcPr>
          <w:p w:rsidR="00FE229B" w:rsidRPr="00387344" w:rsidRDefault="00FE229B" w:rsidP="00FE229B">
            <w:pPr>
              <w:rPr>
                <w:rFonts w:cs="Arial"/>
                <w:sz w:val="22"/>
                <w:szCs w:val="22"/>
              </w:rPr>
            </w:pPr>
            <w:r w:rsidRPr="00387344">
              <w:rPr>
                <w:rFonts w:cs="Arial"/>
                <w:sz w:val="22"/>
                <w:szCs w:val="22"/>
              </w:rPr>
              <w:t>Psychological damage described as ‘not insignificant’ including distress that manifested in changed demeanour; chronic adjustment disorder with mixed features of anxiety and depression; physical symptoms.</w:t>
            </w:r>
          </w:p>
        </w:tc>
        <w:tc>
          <w:tcPr>
            <w:tcW w:w="4261" w:type="dxa"/>
          </w:tcPr>
          <w:p w:rsidR="00FE229B" w:rsidRPr="00387344" w:rsidRDefault="00FE229B" w:rsidP="00FE229B">
            <w:pPr>
              <w:rPr>
                <w:rFonts w:cs="Arial"/>
                <w:sz w:val="22"/>
                <w:szCs w:val="22"/>
              </w:rPr>
            </w:pPr>
            <w:r w:rsidRPr="00387344">
              <w:rPr>
                <w:rFonts w:cs="Arial"/>
                <w:sz w:val="22"/>
                <w:szCs w:val="22"/>
              </w:rPr>
              <w:t>Sexual harassment – persistent slurs and sexual advances over a period of months</w:t>
            </w:r>
          </w:p>
          <w:p w:rsidR="00FE229B" w:rsidRPr="00387344" w:rsidRDefault="00FE229B" w:rsidP="00FE229B">
            <w:pPr>
              <w:rPr>
                <w:rFonts w:cs="Arial"/>
                <w:sz w:val="22"/>
                <w:szCs w:val="22"/>
              </w:rPr>
            </w:pPr>
          </w:p>
          <w:p w:rsidR="00FE229B" w:rsidRPr="00387344" w:rsidRDefault="00FE229B" w:rsidP="00FE229B">
            <w:pPr>
              <w:spacing w:before="240"/>
              <w:rPr>
                <w:rFonts w:cs="Arial"/>
                <w:sz w:val="22"/>
                <w:szCs w:val="22"/>
              </w:rPr>
            </w:pPr>
            <w:r w:rsidRPr="00387344">
              <w:rPr>
                <w:rFonts w:cs="Arial"/>
                <w:i/>
                <w:sz w:val="22"/>
                <w:szCs w:val="22"/>
              </w:rPr>
              <w:t>Richardson v Oracle Corporation Pty Limited</w:t>
            </w:r>
            <w:r w:rsidRPr="00387344">
              <w:rPr>
                <w:rFonts w:cs="Arial"/>
                <w:sz w:val="22"/>
                <w:szCs w:val="22"/>
              </w:rPr>
              <w:t xml:space="preserve"> [2014] FCAFC 82</w:t>
            </w:r>
          </w:p>
        </w:tc>
      </w:tr>
      <w:tr w:rsidR="00FE229B" w:rsidRPr="00387344" w:rsidTr="00C71E04">
        <w:tc>
          <w:tcPr>
            <w:tcW w:w="4261" w:type="dxa"/>
          </w:tcPr>
          <w:p w:rsidR="00FE229B" w:rsidRPr="00387344" w:rsidRDefault="00FE229B" w:rsidP="00FE229B">
            <w:pPr>
              <w:rPr>
                <w:rFonts w:cs="Arial"/>
                <w:sz w:val="22"/>
                <w:szCs w:val="22"/>
              </w:rPr>
            </w:pPr>
            <w:r w:rsidRPr="00387344">
              <w:rPr>
                <w:rFonts w:cs="Arial"/>
                <w:sz w:val="22"/>
                <w:szCs w:val="22"/>
              </w:rPr>
              <w:t>PTSD and depression; resigned from employment; psychological injuries endured for over 3 years (to hearing) and likely to continue for some time.  Dramatic changes to personality and lifestyle – often crippled with fear and suffered agoraphobia, disconnected with family and alienated from friends, suicidal ideation.</w:t>
            </w:r>
          </w:p>
        </w:tc>
        <w:tc>
          <w:tcPr>
            <w:tcW w:w="4261" w:type="dxa"/>
          </w:tcPr>
          <w:p w:rsidR="00FE229B" w:rsidRPr="00387344" w:rsidRDefault="00FE229B" w:rsidP="00FE229B">
            <w:pPr>
              <w:rPr>
                <w:rFonts w:cs="Arial"/>
                <w:sz w:val="22"/>
                <w:szCs w:val="22"/>
              </w:rPr>
            </w:pPr>
            <w:r w:rsidRPr="00387344">
              <w:rPr>
                <w:rFonts w:cs="Arial"/>
                <w:sz w:val="22"/>
                <w:szCs w:val="22"/>
              </w:rPr>
              <w:t>Sexual harassment – sexual propositions followed by unwanted sexual intercourse</w:t>
            </w:r>
          </w:p>
          <w:p w:rsidR="00FE229B" w:rsidRPr="00387344" w:rsidRDefault="00FE229B" w:rsidP="00C71E04">
            <w:pPr>
              <w:spacing w:before="960"/>
              <w:rPr>
                <w:rFonts w:cs="Arial"/>
                <w:i/>
                <w:sz w:val="22"/>
                <w:szCs w:val="22"/>
              </w:rPr>
            </w:pPr>
            <w:proofErr w:type="spellStart"/>
            <w:r w:rsidRPr="00387344">
              <w:rPr>
                <w:rFonts w:cs="Arial"/>
                <w:i/>
                <w:sz w:val="22"/>
                <w:szCs w:val="22"/>
              </w:rPr>
              <w:t>Ewin</w:t>
            </w:r>
            <w:proofErr w:type="spellEnd"/>
            <w:r w:rsidRPr="00387344">
              <w:rPr>
                <w:rFonts w:cs="Arial"/>
                <w:i/>
                <w:sz w:val="22"/>
                <w:szCs w:val="22"/>
              </w:rPr>
              <w:t xml:space="preserve"> v Vergara (No. 3)</w:t>
            </w:r>
            <w:r w:rsidRPr="00387344">
              <w:rPr>
                <w:rFonts w:cs="Arial"/>
                <w:sz w:val="22"/>
                <w:szCs w:val="22"/>
              </w:rPr>
              <w:t xml:space="preserve"> [2013] FCA 1311; appeal </w:t>
            </w:r>
            <w:r w:rsidRPr="00387344">
              <w:rPr>
                <w:rFonts w:cs="Arial"/>
                <w:i/>
                <w:sz w:val="22"/>
                <w:szCs w:val="22"/>
              </w:rPr>
              <w:t xml:space="preserve">Vergara v </w:t>
            </w:r>
            <w:proofErr w:type="spellStart"/>
            <w:r w:rsidRPr="00387344">
              <w:rPr>
                <w:rFonts w:cs="Arial"/>
                <w:i/>
                <w:sz w:val="22"/>
                <w:szCs w:val="22"/>
              </w:rPr>
              <w:t>Ewin</w:t>
            </w:r>
            <w:proofErr w:type="spellEnd"/>
            <w:r w:rsidRPr="00387344">
              <w:rPr>
                <w:rFonts w:cs="Arial"/>
                <w:i/>
                <w:sz w:val="22"/>
                <w:szCs w:val="22"/>
              </w:rPr>
              <w:t xml:space="preserve"> </w:t>
            </w:r>
            <w:r w:rsidRPr="00387344">
              <w:rPr>
                <w:rFonts w:cs="Arial"/>
                <w:sz w:val="22"/>
                <w:szCs w:val="22"/>
              </w:rPr>
              <w:t xml:space="preserve">[2014] FCAFC 100; </w:t>
            </w:r>
          </w:p>
        </w:tc>
      </w:tr>
      <w:tr w:rsidR="00FE229B" w:rsidRPr="00387344" w:rsidTr="00C71E04">
        <w:tc>
          <w:tcPr>
            <w:tcW w:w="4261" w:type="dxa"/>
          </w:tcPr>
          <w:p w:rsidR="00FE229B" w:rsidRPr="00387344" w:rsidRDefault="00FE229B" w:rsidP="00FE229B">
            <w:pPr>
              <w:rPr>
                <w:rFonts w:cs="Arial"/>
                <w:sz w:val="22"/>
                <w:szCs w:val="22"/>
              </w:rPr>
            </w:pPr>
            <w:r w:rsidRPr="00387344">
              <w:rPr>
                <w:rFonts w:cs="Arial"/>
                <w:sz w:val="22"/>
                <w:szCs w:val="22"/>
              </w:rPr>
              <w:lastRenderedPageBreak/>
              <w:t>PTSD, chronic adjustment disorder and depressed moor.  Suffered for 5-6 years.  Unable to work or enjoy a relationship with partner, and impaired social functioning with son and other family members.  Suffered fear and at time suicidal.</w:t>
            </w:r>
          </w:p>
        </w:tc>
        <w:tc>
          <w:tcPr>
            <w:tcW w:w="4261" w:type="dxa"/>
          </w:tcPr>
          <w:p w:rsidR="00FE229B" w:rsidRPr="00387344" w:rsidRDefault="00FE229B" w:rsidP="00FE229B">
            <w:pPr>
              <w:rPr>
                <w:rFonts w:cs="Arial"/>
                <w:sz w:val="22"/>
                <w:szCs w:val="22"/>
              </w:rPr>
            </w:pPr>
            <w:r w:rsidRPr="00387344">
              <w:rPr>
                <w:rFonts w:cs="Arial"/>
                <w:sz w:val="22"/>
                <w:szCs w:val="22"/>
              </w:rPr>
              <w:t>Sexual harassment – rape</w:t>
            </w:r>
          </w:p>
          <w:p w:rsidR="00FE229B" w:rsidRPr="00387344" w:rsidRDefault="00FE229B" w:rsidP="00C71E04">
            <w:pPr>
              <w:spacing w:before="840"/>
              <w:rPr>
                <w:rFonts w:cs="Arial"/>
                <w:sz w:val="22"/>
                <w:szCs w:val="22"/>
              </w:rPr>
            </w:pPr>
            <w:r w:rsidRPr="00387344">
              <w:rPr>
                <w:rFonts w:cs="Arial"/>
                <w:i/>
                <w:sz w:val="22"/>
                <w:szCs w:val="22"/>
              </w:rPr>
              <w:t>Lee v Smith</w:t>
            </w:r>
            <w:r w:rsidRPr="00387344">
              <w:rPr>
                <w:rFonts w:cs="Arial"/>
                <w:sz w:val="22"/>
                <w:szCs w:val="22"/>
              </w:rPr>
              <w:t xml:space="preserve"> [2007] FMCA 59</w:t>
            </w:r>
          </w:p>
        </w:tc>
      </w:tr>
    </w:tbl>
    <w:p w:rsidR="00FE229B" w:rsidRPr="00387344" w:rsidRDefault="00FE229B" w:rsidP="00FE229B">
      <w:pPr>
        <w:pStyle w:val="NormalWeb"/>
        <w:spacing w:before="120" w:beforeAutospacing="0" w:after="240" w:afterAutospacing="0" w:line="360" w:lineRule="auto"/>
        <w:rPr>
          <w:rFonts w:cs="Arial"/>
          <w:color w:val="000000"/>
          <w:lang w:val="en-AU"/>
        </w:rPr>
      </w:pPr>
    </w:p>
    <w:sectPr w:rsidR="00FE229B" w:rsidRPr="00387344" w:rsidSect="00B14B87">
      <w:headerReference w:type="default" r:id="rId16"/>
      <w:headerReference w:type="first" r:id="rId17"/>
      <w:pgSz w:w="11906" w:h="16838" w:code="9"/>
      <w:pgMar w:top="851" w:right="1797" w:bottom="851" w:left="1797"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A52" w:rsidRDefault="00A17A52">
      <w:r>
        <w:separator/>
      </w:r>
    </w:p>
  </w:endnote>
  <w:endnote w:type="continuationSeparator" w:id="0">
    <w:p w:rsidR="00A17A52" w:rsidRDefault="00A1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52" w:rsidRDefault="00A17A52" w:rsidP="00B1368D">
    <w:pPr>
      <w:pStyle w:val="Footer"/>
      <w:pBdr>
        <w:bottom w:val="single" w:sz="6" w:space="1" w:color="auto"/>
      </w:pBdr>
      <w:rPr>
        <w:rFonts w:cs="Arial"/>
        <w:sz w:val="20"/>
        <w:szCs w:val="20"/>
      </w:rPr>
    </w:pPr>
  </w:p>
  <w:p w:rsidR="00A17A52" w:rsidRPr="00B306D5" w:rsidRDefault="00A17A52" w:rsidP="00B1368D">
    <w:pPr>
      <w:pStyle w:val="Footer"/>
      <w:jc w:val="right"/>
      <w:rPr>
        <w:rFonts w:cs="Arial"/>
        <w:sz w:val="20"/>
        <w:szCs w:val="20"/>
      </w:rPr>
    </w:pPr>
    <w:r w:rsidRPr="00B306D5">
      <w:rPr>
        <w:rFonts w:cs="Arial"/>
        <w:sz w:val="20"/>
        <w:szCs w:val="20"/>
      </w:rPr>
      <w:t xml:space="preserve">Page </w:t>
    </w:r>
    <w:r w:rsidRPr="00B306D5">
      <w:rPr>
        <w:rFonts w:cs="Arial"/>
        <w:sz w:val="20"/>
        <w:szCs w:val="20"/>
      </w:rPr>
      <w:fldChar w:fldCharType="begin"/>
    </w:r>
    <w:r w:rsidRPr="00B306D5">
      <w:rPr>
        <w:rFonts w:cs="Arial"/>
        <w:sz w:val="20"/>
        <w:szCs w:val="20"/>
      </w:rPr>
      <w:instrText xml:space="preserve"> PAGE   \* MERGEFORMAT </w:instrText>
    </w:r>
    <w:r w:rsidRPr="00B306D5">
      <w:rPr>
        <w:rFonts w:cs="Arial"/>
        <w:sz w:val="20"/>
        <w:szCs w:val="20"/>
      </w:rPr>
      <w:fldChar w:fldCharType="separate"/>
    </w:r>
    <w:r w:rsidR="00591EDA">
      <w:rPr>
        <w:rFonts w:cs="Arial"/>
        <w:noProof/>
        <w:sz w:val="20"/>
        <w:szCs w:val="20"/>
      </w:rPr>
      <w:t>10</w:t>
    </w:r>
    <w:r w:rsidRPr="00B306D5">
      <w:rPr>
        <w:rFonts w:cs="Arial"/>
        <w:noProof/>
        <w:sz w:val="20"/>
        <w:szCs w:val="20"/>
      </w:rPr>
      <w:fldChar w:fldCharType="end"/>
    </w:r>
  </w:p>
  <w:p w:rsidR="00A17A52" w:rsidRDefault="00A17A52" w:rsidP="00B1368D">
    <w:pPr>
      <w:pStyle w:val="Footer"/>
    </w:pPr>
  </w:p>
  <w:p w:rsidR="00A17A52" w:rsidRPr="00B1368D" w:rsidRDefault="00A17A52" w:rsidP="00B13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52" w:rsidRPr="00A461EC" w:rsidRDefault="00B830DF" w:rsidP="00A461EC">
    <w:pPr>
      <w:pStyle w:val="Footer"/>
      <w:jc w:val="center"/>
      <w:rPr>
        <w:rFonts w:cs="Arial"/>
        <w:b/>
        <w:sz w:val="28"/>
        <w:szCs w:val="28"/>
      </w:rPr>
    </w:pPr>
    <w:r>
      <w:rPr>
        <w:rFonts w:cs="Arial"/>
        <w:b/>
        <w:sz w:val="28"/>
        <w:szCs w:val="28"/>
      </w:rPr>
      <w:t>20</w:t>
    </w:r>
    <w:r w:rsidR="00A17A52">
      <w:rPr>
        <w:rFonts w:cs="Arial"/>
        <w:b/>
        <w:sz w:val="28"/>
        <w:szCs w:val="28"/>
      </w:rPr>
      <w:t xml:space="preserve"> July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52" w:rsidRPr="00A461EC" w:rsidRDefault="00A17A52" w:rsidP="00A46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A52" w:rsidRDefault="00A17A52">
      <w:r>
        <w:separator/>
      </w:r>
    </w:p>
  </w:footnote>
  <w:footnote w:type="continuationSeparator" w:id="0">
    <w:p w:rsidR="00A17A52" w:rsidRDefault="00A17A52">
      <w:r>
        <w:continuationSeparator/>
      </w:r>
    </w:p>
  </w:footnote>
  <w:footnote w:id="1">
    <w:p w:rsidR="00A17A52" w:rsidRPr="00EE24CC" w:rsidRDefault="00A17A52">
      <w:pPr>
        <w:pStyle w:val="FootnoteText"/>
      </w:pPr>
      <w:r>
        <w:rPr>
          <w:rStyle w:val="FootnoteReference"/>
        </w:rPr>
        <w:footnoteRef/>
      </w:r>
      <w:r>
        <w:t xml:space="preserve"> </w:t>
      </w:r>
      <w:r>
        <w:rPr>
          <w:i/>
          <w:lang w:val="en-US"/>
        </w:rPr>
        <w:t xml:space="preserve">Styles v Clayton </w:t>
      </w:r>
      <w:proofErr w:type="spellStart"/>
      <w:r>
        <w:rPr>
          <w:i/>
          <w:lang w:val="en-US"/>
        </w:rPr>
        <w:t>Utz</w:t>
      </w:r>
      <w:proofErr w:type="spellEnd"/>
      <w:r>
        <w:rPr>
          <w:i/>
          <w:lang w:val="en-US"/>
        </w:rPr>
        <w:t xml:space="preserve"> (No. 3) </w:t>
      </w:r>
      <w:r>
        <w:rPr>
          <w:lang w:val="en-US"/>
        </w:rPr>
        <w:t xml:space="preserve">(2011) FLR 364; [2011] NSWSC 1452 – a female solicitor alleged that she was subjected to sexual harassment, and that when she complained to the </w:t>
      </w:r>
      <w:r w:rsidRPr="00EE24CC">
        <w:t xml:space="preserve">employer she was victimised; and </w:t>
      </w:r>
      <w:proofErr w:type="spellStart"/>
      <w:r w:rsidRPr="00EE24CC">
        <w:rPr>
          <w:i/>
        </w:rPr>
        <w:t>Hickie</w:t>
      </w:r>
      <w:proofErr w:type="spellEnd"/>
      <w:r w:rsidRPr="00EE24CC">
        <w:rPr>
          <w:i/>
        </w:rPr>
        <w:t xml:space="preserve"> v Hunt and Hunt</w:t>
      </w:r>
      <w:r>
        <w:t xml:space="preserve"> [1998 HREOCA 8 (extract at (1998) EOC 92-910 – a female solicitor was required to work full time after returning from maternity leave in order to maintain her area of practice.</w:t>
      </w:r>
    </w:p>
  </w:footnote>
  <w:footnote w:id="2">
    <w:p w:rsidR="00A17A52" w:rsidRPr="00EE24CC" w:rsidRDefault="00A17A52">
      <w:pPr>
        <w:pStyle w:val="FootnoteText"/>
        <w:rPr>
          <w:lang w:val="en-US"/>
        </w:rPr>
      </w:pPr>
      <w:r>
        <w:rPr>
          <w:rStyle w:val="FootnoteReference"/>
        </w:rPr>
        <w:footnoteRef/>
      </w:r>
      <w:r>
        <w:t xml:space="preserve"> </w:t>
      </w:r>
      <w:proofErr w:type="spellStart"/>
      <w:proofErr w:type="gramStart"/>
      <w:r>
        <w:rPr>
          <w:i/>
          <w:lang w:val="en-US"/>
        </w:rPr>
        <w:t>Nunan</w:t>
      </w:r>
      <w:proofErr w:type="spellEnd"/>
      <w:r>
        <w:rPr>
          <w:i/>
          <w:lang w:val="en-US"/>
        </w:rPr>
        <w:t xml:space="preserve"> v </w:t>
      </w:r>
      <w:proofErr w:type="spellStart"/>
      <w:r>
        <w:rPr>
          <w:i/>
          <w:lang w:val="en-US"/>
        </w:rPr>
        <w:t>Aacton</w:t>
      </w:r>
      <w:proofErr w:type="spellEnd"/>
      <w:r>
        <w:rPr>
          <w:i/>
          <w:lang w:val="en-US"/>
        </w:rPr>
        <w:t xml:space="preserve"> Traffic Services Pty Ltd </w:t>
      </w:r>
      <w:r>
        <w:rPr>
          <w:lang w:val="en-US"/>
        </w:rPr>
        <w:t>[2013] QCAT 565.</w:t>
      </w:r>
      <w:proofErr w:type="gramEnd"/>
    </w:p>
  </w:footnote>
  <w:footnote w:id="3">
    <w:p w:rsidR="00A17A52" w:rsidRPr="004A3A2C" w:rsidRDefault="00A17A52">
      <w:pPr>
        <w:pStyle w:val="FootnoteText"/>
        <w:rPr>
          <w:lang w:val="en-US"/>
        </w:rPr>
      </w:pPr>
      <w:r>
        <w:rPr>
          <w:rStyle w:val="FootnoteReference"/>
        </w:rPr>
        <w:footnoteRef/>
      </w:r>
      <w:r>
        <w:t xml:space="preserve"> </w:t>
      </w:r>
      <w:proofErr w:type="gramStart"/>
      <w:r>
        <w:rPr>
          <w:i/>
          <w:lang w:val="en-US"/>
        </w:rPr>
        <w:t xml:space="preserve">Barney v State of Queensland </w:t>
      </w:r>
      <w:r>
        <w:rPr>
          <w:lang w:val="en-US"/>
        </w:rPr>
        <w:t>[2012] QCAT 695.</w:t>
      </w:r>
      <w:proofErr w:type="gramEnd"/>
    </w:p>
  </w:footnote>
  <w:footnote w:id="4">
    <w:p w:rsidR="00A17A52" w:rsidRPr="002E048A" w:rsidRDefault="00A17A52">
      <w:pPr>
        <w:pStyle w:val="FootnoteText"/>
        <w:rPr>
          <w:lang w:val="en-US"/>
        </w:rPr>
      </w:pPr>
      <w:r>
        <w:rPr>
          <w:rStyle w:val="FootnoteReference"/>
        </w:rPr>
        <w:footnoteRef/>
      </w:r>
      <w:r>
        <w:t xml:space="preserve"> </w:t>
      </w:r>
      <w:proofErr w:type="gramStart"/>
      <w:r>
        <w:rPr>
          <w:i/>
          <w:lang w:val="en-US"/>
        </w:rPr>
        <w:t>McCauley v Club Resort Holdings (No. 2)</w:t>
      </w:r>
      <w:r>
        <w:rPr>
          <w:lang w:val="en-US"/>
        </w:rPr>
        <w:t xml:space="preserve"> [2013] QCAT 234.</w:t>
      </w:r>
      <w:proofErr w:type="gramEnd"/>
    </w:p>
  </w:footnote>
  <w:footnote w:id="5">
    <w:p w:rsidR="00A17A52" w:rsidRPr="002D6A1B" w:rsidRDefault="00A17A52">
      <w:pPr>
        <w:pStyle w:val="FootnoteText"/>
        <w:rPr>
          <w:lang w:val="en-US"/>
        </w:rPr>
      </w:pPr>
      <w:r>
        <w:rPr>
          <w:rStyle w:val="FootnoteReference"/>
        </w:rPr>
        <w:footnoteRef/>
      </w:r>
      <w:r>
        <w:t xml:space="preserve"> </w:t>
      </w:r>
      <w:proofErr w:type="gramStart"/>
      <w:r>
        <w:rPr>
          <w:i/>
          <w:lang w:val="en-US"/>
        </w:rPr>
        <w:t xml:space="preserve">Richardson v Oracle Corporation Pty Limited </w:t>
      </w:r>
      <w:r>
        <w:rPr>
          <w:lang w:val="en-US"/>
        </w:rPr>
        <w:t>[2014] FCAFC 82.</w:t>
      </w:r>
      <w:proofErr w:type="gramEnd"/>
    </w:p>
  </w:footnote>
  <w:footnote w:id="6">
    <w:p w:rsidR="00A17A52" w:rsidRPr="006237A0" w:rsidRDefault="00A17A52">
      <w:pPr>
        <w:pStyle w:val="FootnoteText"/>
        <w:rPr>
          <w:lang w:val="en-US"/>
        </w:rPr>
      </w:pPr>
      <w:r>
        <w:rPr>
          <w:rStyle w:val="FootnoteReference"/>
        </w:rPr>
        <w:footnoteRef/>
      </w:r>
      <w:r>
        <w:t xml:space="preserve"> </w:t>
      </w:r>
      <w:proofErr w:type="gramStart"/>
      <w:r>
        <w:rPr>
          <w:i/>
          <w:lang w:val="en-US"/>
        </w:rPr>
        <w:t xml:space="preserve">Webb v Sunshine Coast Hospital and Health Service </w:t>
      </w:r>
      <w:r>
        <w:rPr>
          <w:lang w:val="en-US"/>
        </w:rPr>
        <w:t>[2015] QCAT 31.</w:t>
      </w:r>
      <w:proofErr w:type="gramEnd"/>
      <w:r>
        <w:rPr>
          <w:lang w:val="en-US"/>
        </w:rPr>
        <w:t xml:space="preserve">  The decision on the complaint of impairment discrimination is subject to an appeal to Appeal Tribunal.</w:t>
      </w:r>
    </w:p>
  </w:footnote>
  <w:footnote w:id="7">
    <w:p w:rsidR="00A17A52" w:rsidRPr="00F03DB1" w:rsidRDefault="00A17A52">
      <w:pPr>
        <w:pStyle w:val="FootnoteText"/>
        <w:rPr>
          <w:lang w:val="en-US"/>
        </w:rPr>
      </w:pPr>
      <w:r>
        <w:rPr>
          <w:rStyle w:val="FootnoteReference"/>
        </w:rPr>
        <w:footnoteRef/>
      </w:r>
      <w:r>
        <w:t xml:space="preserve"> </w:t>
      </w:r>
      <w:proofErr w:type="gramStart"/>
      <w:r>
        <w:rPr>
          <w:i/>
          <w:lang w:val="en-US"/>
        </w:rPr>
        <w:t xml:space="preserve">Bell v State of Queensland (No. 1) </w:t>
      </w:r>
      <w:r>
        <w:rPr>
          <w:lang w:val="en-US"/>
        </w:rPr>
        <w:t>[2014] QCAT 297.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52" w:rsidRPr="00CD332E" w:rsidRDefault="00A17A52" w:rsidP="00B1368D">
    <w:pPr>
      <w:pBdr>
        <w:bottom w:val="single" w:sz="6" w:space="1" w:color="auto"/>
      </w:pBdr>
      <w:rPr>
        <w:rFonts w:cs="Arial"/>
        <w:sz w:val="20"/>
        <w:szCs w:val="20"/>
      </w:rPr>
    </w:pPr>
    <w:r>
      <w:rPr>
        <w:rFonts w:cs="Arial"/>
        <w:sz w:val="20"/>
        <w:szCs w:val="20"/>
      </w:rPr>
      <w:t>Issues Paper: discrimination, bullying and sexual harassment in the practice of surgery</w:t>
    </w:r>
  </w:p>
  <w:p w:rsidR="00A17A52" w:rsidRPr="00B1368D" w:rsidRDefault="00A17A52" w:rsidP="00B1368D">
    <w:pPr>
      <w:pBdr>
        <w:bottom w:val="single" w:sz="6" w:space="1" w:color="auto"/>
      </w:pBdr>
      <w:rPr>
        <w:rFonts w:cs="Arial"/>
        <w:sz w:val="20"/>
        <w:szCs w:val="20"/>
      </w:rPr>
    </w:pPr>
  </w:p>
  <w:p w:rsidR="00A17A52" w:rsidRPr="00B1368D" w:rsidRDefault="00A17A52">
    <w:pPr>
      <w:rPr>
        <w:rFonts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52" w:rsidRDefault="00A17A52" w:rsidP="00A461EC">
    <w:pPr>
      <w:pStyle w:val="Header"/>
      <w:jc w:val="center"/>
    </w:pPr>
  </w:p>
  <w:p w:rsidR="00A17A52" w:rsidRDefault="00A17A52" w:rsidP="00A461EC">
    <w:pPr>
      <w:pStyle w:val="Header"/>
      <w:jc w:val="center"/>
    </w:pPr>
  </w:p>
  <w:p w:rsidR="00A17A52" w:rsidRPr="00A461EC" w:rsidRDefault="00A17A52" w:rsidP="00C71E04">
    <w:pPr>
      <w:pStyle w:val="Header"/>
      <w:jc w:val="center"/>
    </w:pPr>
    <w:r>
      <w:rPr>
        <w:noProof/>
      </w:rPr>
      <w:drawing>
        <wp:inline distT="0" distB="0" distL="0" distR="0" wp14:anchorId="2005B2FA" wp14:editId="15AFF57E">
          <wp:extent cx="4524375" cy="647700"/>
          <wp:effectExtent l="0" t="0" r="9525" b="0"/>
          <wp:docPr id="2" name="Picture 2" title="Anti-Discrimination Commission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K ADC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6477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52" w:rsidRPr="00B1368D" w:rsidRDefault="00A17A52" w:rsidP="0005388E">
    <w:pPr>
      <w:pBdr>
        <w:bottom w:val="single" w:sz="6" w:space="1" w:color="auto"/>
      </w:pBdr>
      <w:rPr>
        <w:rFonts w:cs="Arial"/>
        <w:sz w:val="20"/>
        <w:szCs w:val="20"/>
      </w:rPr>
    </w:pPr>
    <w:r>
      <w:rPr>
        <w:rFonts w:cs="Arial"/>
        <w:sz w:val="20"/>
        <w:szCs w:val="20"/>
      </w:rPr>
      <w:t>Issues Paper: Discrimination, bullying and sexual harassment in the practice of surgery</w:t>
    </w:r>
  </w:p>
  <w:p w:rsidR="00A17A52" w:rsidRPr="00B1368D" w:rsidRDefault="00A17A52" w:rsidP="0005388E">
    <w:pPr>
      <w:rPr>
        <w:rFonts w:cs="Arial"/>
        <w:sz w:val="20"/>
        <w:szCs w:val="20"/>
      </w:rPr>
    </w:pPr>
  </w:p>
  <w:p w:rsidR="00A17A52" w:rsidRPr="008238F6" w:rsidRDefault="00A17A52" w:rsidP="008238F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52" w:rsidRPr="004C560B" w:rsidRDefault="00A17A52" w:rsidP="004C560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52" w:rsidRPr="004C560B" w:rsidRDefault="00A17A52" w:rsidP="004C560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52" w:rsidRPr="004C560B" w:rsidRDefault="00A17A52" w:rsidP="004C560B">
    <w:pPr>
      <w:pStyle w:val="Header"/>
      <w:tabs>
        <w:tab w:val="clear" w:pos="4153"/>
        <w:tab w:val="clear" w:pos="8306"/>
        <w:tab w:val="center" w:pos="4156"/>
      </w:tabs>
      <w:spacing w:after="240"/>
      <w:rPr>
        <w:b/>
        <w:sz w:val="28"/>
        <w:szCs w:val="28"/>
      </w:rPr>
    </w:pPr>
    <w:r w:rsidRPr="004C560B">
      <w:rPr>
        <w:b/>
        <w:sz w:val="28"/>
        <w:szCs w:val="28"/>
      </w:rPr>
      <w:t xml:space="preserve">Annexure — </w:t>
    </w:r>
    <w:r w:rsidRPr="004C560B">
      <w:rPr>
        <w:rFonts w:cs="Arial"/>
        <w:sz w:val="28"/>
        <w:szCs w:val="28"/>
      </w:rPr>
      <w:t>Issues Paper: Discrimination, bullying and sexual harassment in the practice of surgery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78F"/>
    <w:multiLevelType w:val="hybridMultilevel"/>
    <w:tmpl w:val="DF566544"/>
    <w:lvl w:ilvl="0" w:tplc="39A28192">
      <w:start w:val="1"/>
      <w:numFmt w:val="decimal"/>
      <w:lvlText w:val="(%1)"/>
      <w:lvlJc w:val="left"/>
      <w:pPr>
        <w:ind w:left="1429" w:hanging="360"/>
      </w:pPr>
      <w:rPr>
        <w:rFonts w:hint="default"/>
        <w:b w:val="0"/>
        <w:i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nsid w:val="10DE4577"/>
    <w:multiLevelType w:val="hybridMultilevel"/>
    <w:tmpl w:val="2452B20A"/>
    <w:lvl w:ilvl="0" w:tplc="D3DC5C82">
      <w:start w:val="1"/>
      <w:numFmt w:val="decimal"/>
      <w:lvlText w:val="%1."/>
      <w:lvlJc w:val="left"/>
      <w:pPr>
        <w:ind w:left="502" w:hanging="360"/>
      </w:pPr>
      <w:rPr>
        <w:b w:val="0"/>
        <w:sz w:val="24"/>
        <w:szCs w:val="24"/>
      </w:rPr>
    </w:lvl>
    <w:lvl w:ilvl="1" w:tplc="7746597A">
      <w:start w:val="1"/>
      <w:numFmt w:val="bullet"/>
      <w:lvlText w:val=""/>
      <w:lvlJc w:val="left"/>
      <w:pPr>
        <w:ind w:left="1440" w:hanging="360"/>
      </w:pPr>
      <w:rPr>
        <w:rFonts w:ascii="Symbol" w:hAnsi="Symbol" w:hint="default"/>
        <w:b w:val="0"/>
        <w:i w:val="0"/>
        <w:sz w:val="20"/>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2004D08"/>
    <w:multiLevelType w:val="hybridMultilevel"/>
    <w:tmpl w:val="D0FE31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7E56B1C"/>
    <w:multiLevelType w:val="hybridMultilevel"/>
    <w:tmpl w:val="BFF24252"/>
    <w:lvl w:ilvl="0" w:tplc="59207552">
      <w:start w:val="1"/>
      <w:numFmt w:val="bullet"/>
      <w:lvlText w:val=""/>
      <w:lvlJc w:val="left"/>
      <w:pPr>
        <w:ind w:left="1440" w:hanging="360"/>
      </w:pPr>
      <w:rPr>
        <w:rFonts w:ascii="Symbol" w:hAnsi="Symbol"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BC104C3"/>
    <w:multiLevelType w:val="hybridMultilevel"/>
    <w:tmpl w:val="DEE461D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nsid w:val="22F6657D"/>
    <w:multiLevelType w:val="hybridMultilevel"/>
    <w:tmpl w:val="CDC0D042"/>
    <w:lvl w:ilvl="0" w:tplc="C84A794E">
      <w:start w:val="1"/>
      <w:numFmt w:val="bullet"/>
      <w:pStyle w:val="tablelist"/>
      <w:lvlText w:val=""/>
      <w:lvlJc w:val="left"/>
      <w:pPr>
        <w:tabs>
          <w:tab w:val="num" w:pos="391"/>
        </w:tabs>
        <w:ind w:left="391" w:hanging="391"/>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C085199"/>
    <w:multiLevelType w:val="hybridMultilevel"/>
    <w:tmpl w:val="448639BE"/>
    <w:lvl w:ilvl="0" w:tplc="58A2A2D6">
      <w:start w:val="1"/>
      <w:numFmt w:val="lowerRoman"/>
      <w:lvlText w:val="(%1)"/>
      <w:lvlJc w:val="right"/>
      <w:pPr>
        <w:ind w:left="1287" w:hanging="720"/>
      </w:pPr>
      <w:rPr>
        <w:rFonts w:hint="default"/>
      </w:rPr>
    </w:lvl>
    <w:lvl w:ilvl="1" w:tplc="C2363AF6">
      <w:start w:val="1"/>
      <w:numFmt w:val="lowerLetter"/>
      <w:lvlText w:val="(%2)"/>
      <w:lvlJc w:val="left"/>
      <w:pPr>
        <w:ind w:left="1647" w:hanging="360"/>
      </w:pPr>
      <w:rPr>
        <w:rFonts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nsid w:val="48292355"/>
    <w:multiLevelType w:val="hybridMultilevel"/>
    <w:tmpl w:val="4BE27B26"/>
    <w:lvl w:ilvl="0" w:tplc="39A28192">
      <w:start w:val="1"/>
      <w:numFmt w:val="decimal"/>
      <w:lvlText w:val="(%1)"/>
      <w:lvlJc w:val="left"/>
      <w:pPr>
        <w:ind w:left="1429" w:hanging="360"/>
      </w:pPr>
      <w:rPr>
        <w:rFonts w:hint="default"/>
        <w:b w:val="0"/>
        <w:i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8">
    <w:nsid w:val="55B13D3C"/>
    <w:multiLevelType w:val="hybridMultilevel"/>
    <w:tmpl w:val="F082720E"/>
    <w:lvl w:ilvl="0" w:tplc="ADA2BD32">
      <w:start w:val="1"/>
      <w:numFmt w:val="bullet"/>
      <w:lvlText w:val=""/>
      <w:lvlJc w:val="left"/>
      <w:pPr>
        <w:ind w:left="2574" w:hanging="360"/>
      </w:pPr>
      <w:rPr>
        <w:rFonts w:ascii="Symbol" w:hAnsi="Symbol" w:hint="default"/>
        <w:sz w:val="18"/>
      </w:rPr>
    </w:lvl>
    <w:lvl w:ilvl="1" w:tplc="6900B9A4">
      <w:start w:val="1"/>
      <w:numFmt w:val="bullet"/>
      <w:lvlText w:val=""/>
      <w:lvlJc w:val="left"/>
      <w:pPr>
        <w:ind w:left="2574" w:hanging="360"/>
      </w:pPr>
      <w:rPr>
        <w:rFonts w:ascii="Symbol" w:hAnsi="Symbol" w:hint="default"/>
        <w:sz w:val="16"/>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
    <w:nsid w:val="5C6D0B7C"/>
    <w:multiLevelType w:val="hybridMultilevel"/>
    <w:tmpl w:val="B15A8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4817306"/>
    <w:multiLevelType w:val="hybridMultilevel"/>
    <w:tmpl w:val="448639BE"/>
    <w:lvl w:ilvl="0" w:tplc="58A2A2D6">
      <w:start w:val="1"/>
      <w:numFmt w:val="lowerRoman"/>
      <w:lvlText w:val="(%1)"/>
      <w:lvlJc w:val="right"/>
      <w:pPr>
        <w:ind w:left="1287" w:hanging="720"/>
      </w:pPr>
      <w:rPr>
        <w:rFonts w:hint="default"/>
      </w:rPr>
    </w:lvl>
    <w:lvl w:ilvl="1" w:tplc="C2363AF6">
      <w:start w:val="1"/>
      <w:numFmt w:val="lowerLetter"/>
      <w:lvlText w:val="(%2)"/>
      <w:lvlJc w:val="left"/>
      <w:pPr>
        <w:ind w:left="1647" w:hanging="360"/>
      </w:pPr>
      <w:rPr>
        <w:rFonts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nsid w:val="672A1274"/>
    <w:multiLevelType w:val="multilevel"/>
    <w:tmpl w:val="93C6913C"/>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Times" w:hAnsi="Times" w:hint="default"/>
        <w:sz w:val="22"/>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498"/>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upperRoman"/>
      <w:lvlText w:val="(%6)"/>
      <w:lvlJc w:val="left"/>
      <w:pPr>
        <w:tabs>
          <w:tab w:val="num" w:pos="3915"/>
        </w:tabs>
        <w:ind w:left="3544" w:hanging="709"/>
      </w:pPr>
      <w:rPr>
        <w:rFonts w:hint="default"/>
      </w:rPr>
    </w:lvl>
    <w:lvl w:ilvl="6">
      <w:start w:val="1"/>
      <w:numFmt w:val="decimal"/>
      <w:lvlText w:val="%7"/>
      <w:lvlJc w:val="left"/>
      <w:pPr>
        <w:tabs>
          <w:tab w:val="num" w:pos="4253"/>
        </w:tabs>
        <w:ind w:left="4253" w:hanging="709"/>
      </w:pPr>
      <w:rPr>
        <w:rFonts w:hint="default"/>
      </w:rPr>
    </w:lvl>
    <w:lvl w:ilvl="7">
      <w:start w:val="1"/>
      <w:numFmt w:val="upperLetter"/>
      <w:lvlText w:val="%8."/>
      <w:lvlJc w:val="left"/>
      <w:pPr>
        <w:tabs>
          <w:tab w:val="num" w:pos="4961"/>
        </w:tabs>
        <w:ind w:left="4961" w:hanging="708"/>
      </w:pPr>
      <w:rPr>
        <w:rFonts w:hint="default"/>
      </w:rPr>
    </w:lvl>
    <w:lvl w:ilvl="8">
      <w:start w:val="1"/>
      <w:numFmt w:val="decimal"/>
      <w:lvlText w:val="%1.%2.%3.%4.%5.%6.%7.%8.%9."/>
      <w:lvlJc w:val="left"/>
      <w:pPr>
        <w:tabs>
          <w:tab w:val="num" w:pos="6761"/>
        </w:tabs>
        <w:ind w:left="5670" w:hanging="709"/>
      </w:pPr>
      <w:rPr>
        <w:rFonts w:hint="default"/>
      </w:rPr>
    </w:lvl>
  </w:abstractNum>
  <w:abstractNum w:abstractNumId="12">
    <w:nsid w:val="7257460E"/>
    <w:multiLevelType w:val="hybridMultilevel"/>
    <w:tmpl w:val="17A8FFB4"/>
    <w:lvl w:ilvl="0" w:tplc="8B12A622">
      <w:start w:val="1"/>
      <w:numFmt w:val="bullet"/>
      <w:lvlText w:val=""/>
      <w:lvlJc w:val="left"/>
      <w:pPr>
        <w:ind w:left="1854" w:hanging="360"/>
      </w:pPr>
      <w:rPr>
        <w:rFonts w:ascii="Symbol" w:hAnsi="Symbol" w:hint="default"/>
        <w:sz w:val="16"/>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nsid w:val="7F5F312B"/>
    <w:multiLevelType w:val="hybridMultilevel"/>
    <w:tmpl w:val="F9061622"/>
    <w:lvl w:ilvl="0" w:tplc="72D84600">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8"/>
  </w:num>
  <w:num w:numId="4">
    <w:abstractNumId w:val="5"/>
  </w:num>
  <w:num w:numId="5">
    <w:abstractNumId w:val="6"/>
  </w:num>
  <w:num w:numId="6">
    <w:abstractNumId w:val="12"/>
  </w:num>
  <w:num w:numId="7">
    <w:abstractNumId w:val="2"/>
  </w:num>
  <w:num w:numId="8">
    <w:abstractNumId w:val="0"/>
  </w:num>
  <w:num w:numId="9">
    <w:abstractNumId w:val="7"/>
  </w:num>
  <w:num w:numId="10">
    <w:abstractNumId w:val="4"/>
  </w:num>
  <w:num w:numId="11">
    <w:abstractNumId w:val="9"/>
  </w:num>
  <w:num w:numId="12">
    <w:abstractNumId w:val="13"/>
  </w:num>
  <w:num w:numId="13">
    <w:abstractNumId w:val="3"/>
  </w:num>
  <w:num w:numId="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3A9"/>
    <w:rsid w:val="000016BB"/>
    <w:rsid w:val="00002FFB"/>
    <w:rsid w:val="00005715"/>
    <w:rsid w:val="0000585D"/>
    <w:rsid w:val="00005A0A"/>
    <w:rsid w:val="00006DC7"/>
    <w:rsid w:val="0001012E"/>
    <w:rsid w:val="000102FB"/>
    <w:rsid w:val="00010DFA"/>
    <w:rsid w:val="0001107C"/>
    <w:rsid w:val="000114C0"/>
    <w:rsid w:val="000116F3"/>
    <w:rsid w:val="00016DA9"/>
    <w:rsid w:val="000173F1"/>
    <w:rsid w:val="00017B8B"/>
    <w:rsid w:val="000215EF"/>
    <w:rsid w:val="00026C2A"/>
    <w:rsid w:val="00027E14"/>
    <w:rsid w:val="00030891"/>
    <w:rsid w:val="00033A8B"/>
    <w:rsid w:val="00034641"/>
    <w:rsid w:val="00037314"/>
    <w:rsid w:val="00037503"/>
    <w:rsid w:val="00041BBC"/>
    <w:rsid w:val="000429F5"/>
    <w:rsid w:val="00042FB6"/>
    <w:rsid w:val="0004762B"/>
    <w:rsid w:val="00047D5A"/>
    <w:rsid w:val="0005137F"/>
    <w:rsid w:val="0005257E"/>
    <w:rsid w:val="0005388E"/>
    <w:rsid w:val="00060BFB"/>
    <w:rsid w:val="00062E90"/>
    <w:rsid w:val="00064464"/>
    <w:rsid w:val="0006453B"/>
    <w:rsid w:val="00065511"/>
    <w:rsid w:val="0006650B"/>
    <w:rsid w:val="000706D7"/>
    <w:rsid w:val="00070794"/>
    <w:rsid w:val="000715DE"/>
    <w:rsid w:val="00082E18"/>
    <w:rsid w:val="00082E6D"/>
    <w:rsid w:val="00085507"/>
    <w:rsid w:val="0008676D"/>
    <w:rsid w:val="00087C82"/>
    <w:rsid w:val="0009051C"/>
    <w:rsid w:val="000923B4"/>
    <w:rsid w:val="00092BB3"/>
    <w:rsid w:val="0009438A"/>
    <w:rsid w:val="0009487F"/>
    <w:rsid w:val="00094CDA"/>
    <w:rsid w:val="000955CA"/>
    <w:rsid w:val="00095848"/>
    <w:rsid w:val="0009748A"/>
    <w:rsid w:val="000A028F"/>
    <w:rsid w:val="000A0941"/>
    <w:rsid w:val="000A13A6"/>
    <w:rsid w:val="000A29E9"/>
    <w:rsid w:val="000A4349"/>
    <w:rsid w:val="000A68BE"/>
    <w:rsid w:val="000A76D6"/>
    <w:rsid w:val="000A7A04"/>
    <w:rsid w:val="000B4528"/>
    <w:rsid w:val="000B5555"/>
    <w:rsid w:val="000B5D9E"/>
    <w:rsid w:val="000B7DE2"/>
    <w:rsid w:val="000B7ECC"/>
    <w:rsid w:val="000C0356"/>
    <w:rsid w:val="000C170A"/>
    <w:rsid w:val="000C24CD"/>
    <w:rsid w:val="000C32FD"/>
    <w:rsid w:val="000C443A"/>
    <w:rsid w:val="000C471C"/>
    <w:rsid w:val="000C4764"/>
    <w:rsid w:val="000D1239"/>
    <w:rsid w:val="000D1590"/>
    <w:rsid w:val="000D2137"/>
    <w:rsid w:val="000D468A"/>
    <w:rsid w:val="000D4BFD"/>
    <w:rsid w:val="000D5395"/>
    <w:rsid w:val="000D55C0"/>
    <w:rsid w:val="000D577A"/>
    <w:rsid w:val="000D703C"/>
    <w:rsid w:val="000D7A3C"/>
    <w:rsid w:val="000D7D21"/>
    <w:rsid w:val="000E0027"/>
    <w:rsid w:val="000E3C9C"/>
    <w:rsid w:val="000E4806"/>
    <w:rsid w:val="000E51C3"/>
    <w:rsid w:val="000E6B4E"/>
    <w:rsid w:val="000F027C"/>
    <w:rsid w:val="000F129A"/>
    <w:rsid w:val="000F1F01"/>
    <w:rsid w:val="000F5CA3"/>
    <w:rsid w:val="000F5D92"/>
    <w:rsid w:val="00100BA2"/>
    <w:rsid w:val="0010204E"/>
    <w:rsid w:val="0010281E"/>
    <w:rsid w:val="00103D60"/>
    <w:rsid w:val="00103F0C"/>
    <w:rsid w:val="0010667A"/>
    <w:rsid w:val="001073C5"/>
    <w:rsid w:val="001077B4"/>
    <w:rsid w:val="001113AE"/>
    <w:rsid w:val="0011398B"/>
    <w:rsid w:val="00113BA2"/>
    <w:rsid w:val="00114DCB"/>
    <w:rsid w:val="00115200"/>
    <w:rsid w:val="00116845"/>
    <w:rsid w:val="00117B22"/>
    <w:rsid w:val="00122755"/>
    <w:rsid w:val="00122AA0"/>
    <w:rsid w:val="001315F3"/>
    <w:rsid w:val="00131FD0"/>
    <w:rsid w:val="0013218E"/>
    <w:rsid w:val="00133146"/>
    <w:rsid w:val="00134BAD"/>
    <w:rsid w:val="00136642"/>
    <w:rsid w:val="00137B6A"/>
    <w:rsid w:val="0014059B"/>
    <w:rsid w:val="001439F0"/>
    <w:rsid w:val="00144C0E"/>
    <w:rsid w:val="00145197"/>
    <w:rsid w:val="0014540C"/>
    <w:rsid w:val="00146D67"/>
    <w:rsid w:val="0014761F"/>
    <w:rsid w:val="00150AC7"/>
    <w:rsid w:val="001521C6"/>
    <w:rsid w:val="00152C8B"/>
    <w:rsid w:val="001548FD"/>
    <w:rsid w:val="001560BF"/>
    <w:rsid w:val="0016012F"/>
    <w:rsid w:val="00162937"/>
    <w:rsid w:val="00162D05"/>
    <w:rsid w:val="00162F99"/>
    <w:rsid w:val="001633AF"/>
    <w:rsid w:val="00164002"/>
    <w:rsid w:val="00165038"/>
    <w:rsid w:val="001659CE"/>
    <w:rsid w:val="001672EA"/>
    <w:rsid w:val="00167FCE"/>
    <w:rsid w:val="00170356"/>
    <w:rsid w:val="00172053"/>
    <w:rsid w:val="001730A7"/>
    <w:rsid w:val="00174FB9"/>
    <w:rsid w:val="00176EC1"/>
    <w:rsid w:val="00177884"/>
    <w:rsid w:val="00177907"/>
    <w:rsid w:val="00177F8B"/>
    <w:rsid w:val="00180BB0"/>
    <w:rsid w:val="001811B9"/>
    <w:rsid w:val="001827B0"/>
    <w:rsid w:val="0018486E"/>
    <w:rsid w:val="00185644"/>
    <w:rsid w:val="001878D7"/>
    <w:rsid w:val="0019074F"/>
    <w:rsid w:val="00190CE3"/>
    <w:rsid w:val="00191E14"/>
    <w:rsid w:val="00193143"/>
    <w:rsid w:val="00193D90"/>
    <w:rsid w:val="0019445D"/>
    <w:rsid w:val="0019563D"/>
    <w:rsid w:val="001961EC"/>
    <w:rsid w:val="001A0336"/>
    <w:rsid w:val="001A0D63"/>
    <w:rsid w:val="001A22AC"/>
    <w:rsid w:val="001A3990"/>
    <w:rsid w:val="001A6089"/>
    <w:rsid w:val="001A63C1"/>
    <w:rsid w:val="001A7713"/>
    <w:rsid w:val="001B1044"/>
    <w:rsid w:val="001B1EEE"/>
    <w:rsid w:val="001B3484"/>
    <w:rsid w:val="001B550D"/>
    <w:rsid w:val="001B582B"/>
    <w:rsid w:val="001C0014"/>
    <w:rsid w:val="001C0670"/>
    <w:rsid w:val="001C12FB"/>
    <w:rsid w:val="001C2931"/>
    <w:rsid w:val="001C2A6A"/>
    <w:rsid w:val="001C3D9B"/>
    <w:rsid w:val="001C582D"/>
    <w:rsid w:val="001C5BA8"/>
    <w:rsid w:val="001C5C10"/>
    <w:rsid w:val="001C6E70"/>
    <w:rsid w:val="001E17DF"/>
    <w:rsid w:val="001E28CD"/>
    <w:rsid w:val="001E45E0"/>
    <w:rsid w:val="001F1CBB"/>
    <w:rsid w:val="001F1F47"/>
    <w:rsid w:val="001F4807"/>
    <w:rsid w:val="001F51E6"/>
    <w:rsid w:val="001F5E47"/>
    <w:rsid w:val="001F6693"/>
    <w:rsid w:val="00200B43"/>
    <w:rsid w:val="00200CD9"/>
    <w:rsid w:val="00201F29"/>
    <w:rsid w:val="002020CD"/>
    <w:rsid w:val="00202DBB"/>
    <w:rsid w:val="00204BF1"/>
    <w:rsid w:val="0020575F"/>
    <w:rsid w:val="00205DD0"/>
    <w:rsid w:val="00206167"/>
    <w:rsid w:val="00207597"/>
    <w:rsid w:val="0021054C"/>
    <w:rsid w:val="00210826"/>
    <w:rsid w:val="00210C13"/>
    <w:rsid w:val="00214BBA"/>
    <w:rsid w:val="00215F5B"/>
    <w:rsid w:val="00216BAB"/>
    <w:rsid w:val="002247EE"/>
    <w:rsid w:val="00225589"/>
    <w:rsid w:val="002270C8"/>
    <w:rsid w:val="00230FB4"/>
    <w:rsid w:val="0023102E"/>
    <w:rsid w:val="002347FF"/>
    <w:rsid w:val="00241501"/>
    <w:rsid w:val="002417D3"/>
    <w:rsid w:val="00241F0C"/>
    <w:rsid w:val="00244971"/>
    <w:rsid w:val="00245B86"/>
    <w:rsid w:val="0025013B"/>
    <w:rsid w:val="002523CF"/>
    <w:rsid w:val="00256721"/>
    <w:rsid w:val="00260D45"/>
    <w:rsid w:val="0026313F"/>
    <w:rsid w:val="002671C7"/>
    <w:rsid w:val="00267A44"/>
    <w:rsid w:val="00270DBA"/>
    <w:rsid w:val="00270DF5"/>
    <w:rsid w:val="00270F1C"/>
    <w:rsid w:val="00271750"/>
    <w:rsid w:val="002723B3"/>
    <w:rsid w:val="00272581"/>
    <w:rsid w:val="002731DA"/>
    <w:rsid w:val="0027378A"/>
    <w:rsid w:val="00274D6A"/>
    <w:rsid w:val="00275F18"/>
    <w:rsid w:val="00276554"/>
    <w:rsid w:val="00277D0C"/>
    <w:rsid w:val="0028137B"/>
    <w:rsid w:val="00281A81"/>
    <w:rsid w:val="00281CB7"/>
    <w:rsid w:val="0028206B"/>
    <w:rsid w:val="00284090"/>
    <w:rsid w:val="00285FB9"/>
    <w:rsid w:val="0028769D"/>
    <w:rsid w:val="00287D66"/>
    <w:rsid w:val="0029051D"/>
    <w:rsid w:val="00290E39"/>
    <w:rsid w:val="00292052"/>
    <w:rsid w:val="002951A8"/>
    <w:rsid w:val="00296D7B"/>
    <w:rsid w:val="00297F2A"/>
    <w:rsid w:val="002A0529"/>
    <w:rsid w:val="002A0911"/>
    <w:rsid w:val="002A155C"/>
    <w:rsid w:val="002A2C36"/>
    <w:rsid w:val="002A2D51"/>
    <w:rsid w:val="002A4DA5"/>
    <w:rsid w:val="002A54A2"/>
    <w:rsid w:val="002A6B35"/>
    <w:rsid w:val="002A7A5D"/>
    <w:rsid w:val="002B2DF7"/>
    <w:rsid w:val="002B3C94"/>
    <w:rsid w:val="002B6EBB"/>
    <w:rsid w:val="002B7CD3"/>
    <w:rsid w:val="002C0569"/>
    <w:rsid w:val="002C0648"/>
    <w:rsid w:val="002C0FCA"/>
    <w:rsid w:val="002C2544"/>
    <w:rsid w:val="002C25B4"/>
    <w:rsid w:val="002C2C97"/>
    <w:rsid w:val="002C4AF4"/>
    <w:rsid w:val="002C66B3"/>
    <w:rsid w:val="002C69FE"/>
    <w:rsid w:val="002C79C0"/>
    <w:rsid w:val="002D00BE"/>
    <w:rsid w:val="002D0858"/>
    <w:rsid w:val="002D1C4B"/>
    <w:rsid w:val="002D3074"/>
    <w:rsid w:val="002D5036"/>
    <w:rsid w:val="002D5CF8"/>
    <w:rsid w:val="002D6057"/>
    <w:rsid w:val="002D6864"/>
    <w:rsid w:val="002D6A1B"/>
    <w:rsid w:val="002E048A"/>
    <w:rsid w:val="002E0BFC"/>
    <w:rsid w:val="002E0D75"/>
    <w:rsid w:val="002E1295"/>
    <w:rsid w:val="002E2341"/>
    <w:rsid w:val="002E340D"/>
    <w:rsid w:val="002E420F"/>
    <w:rsid w:val="002E46ED"/>
    <w:rsid w:val="002E48C7"/>
    <w:rsid w:val="002E5D90"/>
    <w:rsid w:val="002E7F41"/>
    <w:rsid w:val="002F20DE"/>
    <w:rsid w:val="002F3221"/>
    <w:rsid w:val="002F3D0B"/>
    <w:rsid w:val="002F61BA"/>
    <w:rsid w:val="002F6B7E"/>
    <w:rsid w:val="002F71A9"/>
    <w:rsid w:val="003018EE"/>
    <w:rsid w:val="0030192D"/>
    <w:rsid w:val="00301E4D"/>
    <w:rsid w:val="00303766"/>
    <w:rsid w:val="00304382"/>
    <w:rsid w:val="00305CEA"/>
    <w:rsid w:val="003063BE"/>
    <w:rsid w:val="00306C25"/>
    <w:rsid w:val="003108C3"/>
    <w:rsid w:val="00312102"/>
    <w:rsid w:val="003124EF"/>
    <w:rsid w:val="0031435F"/>
    <w:rsid w:val="003156AF"/>
    <w:rsid w:val="00317E09"/>
    <w:rsid w:val="00320592"/>
    <w:rsid w:val="00320DCB"/>
    <w:rsid w:val="003210E0"/>
    <w:rsid w:val="0032443C"/>
    <w:rsid w:val="00324B12"/>
    <w:rsid w:val="003257A0"/>
    <w:rsid w:val="00327F88"/>
    <w:rsid w:val="003318BE"/>
    <w:rsid w:val="00334A83"/>
    <w:rsid w:val="00334B27"/>
    <w:rsid w:val="00342098"/>
    <w:rsid w:val="003423CE"/>
    <w:rsid w:val="00344975"/>
    <w:rsid w:val="00344BFB"/>
    <w:rsid w:val="00345260"/>
    <w:rsid w:val="00345DFB"/>
    <w:rsid w:val="00346230"/>
    <w:rsid w:val="00346644"/>
    <w:rsid w:val="00346AEE"/>
    <w:rsid w:val="003517D4"/>
    <w:rsid w:val="0035209E"/>
    <w:rsid w:val="003521A0"/>
    <w:rsid w:val="00353D93"/>
    <w:rsid w:val="00355926"/>
    <w:rsid w:val="00355D33"/>
    <w:rsid w:val="00355DBF"/>
    <w:rsid w:val="00356DE8"/>
    <w:rsid w:val="0036104E"/>
    <w:rsid w:val="00362104"/>
    <w:rsid w:val="00362F75"/>
    <w:rsid w:val="00363C6C"/>
    <w:rsid w:val="0036513B"/>
    <w:rsid w:val="00365CD8"/>
    <w:rsid w:val="003662B0"/>
    <w:rsid w:val="003703A6"/>
    <w:rsid w:val="00370D69"/>
    <w:rsid w:val="003711A2"/>
    <w:rsid w:val="00373040"/>
    <w:rsid w:val="00373402"/>
    <w:rsid w:val="0037412C"/>
    <w:rsid w:val="00375DD6"/>
    <w:rsid w:val="00376D71"/>
    <w:rsid w:val="00376E60"/>
    <w:rsid w:val="00377C9E"/>
    <w:rsid w:val="003808CA"/>
    <w:rsid w:val="003832FE"/>
    <w:rsid w:val="0038337A"/>
    <w:rsid w:val="003844D1"/>
    <w:rsid w:val="00384924"/>
    <w:rsid w:val="003849EA"/>
    <w:rsid w:val="00386AF7"/>
    <w:rsid w:val="00386CB6"/>
    <w:rsid w:val="00387344"/>
    <w:rsid w:val="00391316"/>
    <w:rsid w:val="0039458A"/>
    <w:rsid w:val="00394858"/>
    <w:rsid w:val="003A1B11"/>
    <w:rsid w:val="003A34E4"/>
    <w:rsid w:val="003A4B30"/>
    <w:rsid w:val="003A6B67"/>
    <w:rsid w:val="003A6CA8"/>
    <w:rsid w:val="003A76C7"/>
    <w:rsid w:val="003A7A65"/>
    <w:rsid w:val="003B0F67"/>
    <w:rsid w:val="003B4868"/>
    <w:rsid w:val="003B59AE"/>
    <w:rsid w:val="003B5E35"/>
    <w:rsid w:val="003B6112"/>
    <w:rsid w:val="003B7781"/>
    <w:rsid w:val="003B7D31"/>
    <w:rsid w:val="003C11DE"/>
    <w:rsid w:val="003C2555"/>
    <w:rsid w:val="003C331D"/>
    <w:rsid w:val="003C3534"/>
    <w:rsid w:val="003C55C5"/>
    <w:rsid w:val="003C6A50"/>
    <w:rsid w:val="003C76F2"/>
    <w:rsid w:val="003D1585"/>
    <w:rsid w:val="003D18B4"/>
    <w:rsid w:val="003D375A"/>
    <w:rsid w:val="003D44E3"/>
    <w:rsid w:val="003D44F6"/>
    <w:rsid w:val="003E0F1B"/>
    <w:rsid w:val="003E16F5"/>
    <w:rsid w:val="003E1D97"/>
    <w:rsid w:val="003E5639"/>
    <w:rsid w:val="003E759C"/>
    <w:rsid w:val="003E7E9C"/>
    <w:rsid w:val="003F0117"/>
    <w:rsid w:val="003F04D6"/>
    <w:rsid w:val="003F24FE"/>
    <w:rsid w:val="003F265E"/>
    <w:rsid w:val="003F35AB"/>
    <w:rsid w:val="003F6F09"/>
    <w:rsid w:val="003F7D62"/>
    <w:rsid w:val="003F7FFD"/>
    <w:rsid w:val="004008CA"/>
    <w:rsid w:val="00401BEC"/>
    <w:rsid w:val="00405741"/>
    <w:rsid w:val="0040700A"/>
    <w:rsid w:val="004070EE"/>
    <w:rsid w:val="004103B8"/>
    <w:rsid w:val="004103BA"/>
    <w:rsid w:val="0041040D"/>
    <w:rsid w:val="0041142C"/>
    <w:rsid w:val="00411C6A"/>
    <w:rsid w:val="00413AF7"/>
    <w:rsid w:val="00414833"/>
    <w:rsid w:val="0041623D"/>
    <w:rsid w:val="00421463"/>
    <w:rsid w:val="00422353"/>
    <w:rsid w:val="00423565"/>
    <w:rsid w:val="0042376F"/>
    <w:rsid w:val="00423ADA"/>
    <w:rsid w:val="00424286"/>
    <w:rsid w:val="0042488E"/>
    <w:rsid w:val="00424B4C"/>
    <w:rsid w:val="00425B41"/>
    <w:rsid w:val="00430488"/>
    <w:rsid w:val="004327C0"/>
    <w:rsid w:val="0043381D"/>
    <w:rsid w:val="00435A13"/>
    <w:rsid w:val="00436712"/>
    <w:rsid w:val="0044330A"/>
    <w:rsid w:val="00443DF1"/>
    <w:rsid w:val="00444584"/>
    <w:rsid w:val="004445F8"/>
    <w:rsid w:val="004478DA"/>
    <w:rsid w:val="00450F22"/>
    <w:rsid w:val="004517C2"/>
    <w:rsid w:val="004538FA"/>
    <w:rsid w:val="00454F8C"/>
    <w:rsid w:val="0045584A"/>
    <w:rsid w:val="004562BB"/>
    <w:rsid w:val="004569C8"/>
    <w:rsid w:val="00457BE8"/>
    <w:rsid w:val="00457EA3"/>
    <w:rsid w:val="00460762"/>
    <w:rsid w:val="00461A05"/>
    <w:rsid w:val="00461DA0"/>
    <w:rsid w:val="00462C5D"/>
    <w:rsid w:val="0046334B"/>
    <w:rsid w:val="00464395"/>
    <w:rsid w:val="004656ED"/>
    <w:rsid w:val="00466093"/>
    <w:rsid w:val="00466C9F"/>
    <w:rsid w:val="00467A49"/>
    <w:rsid w:val="00471795"/>
    <w:rsid w:val="0047270F"/>
    <w:rsid w:val="00474EF8"/>
    <w:rsid w:val="0047548F"/>
    <w:rsid w:val="00475D96"/>
    <w:rsid w:val="0047618D"/>
    <w:rsid w:val="00476478"/>
    <w:rsid w:val="00477EAB"/>
    <w:rsid w:val="00481822"/>
    <w:rsid w:val="00481F8E"/>
    <w:rsid w:val="0048245B"/>
    <w:rsid w:val="00483DF6"/>
    <w:rsid w:val="00484BF6"/>
    <w:rsid w:val="00492C2A"/>
    <w:rsid w:val="00493279"/>
    <w:rsid w:val="004937D0"/>
    <w:rsid w:val="00493AA5"/>
    <w:rsid w:val="0049553D"/>
    <w:rsid w:val="00495B66"/>
    <w:rsid w:val="00495C18"/>
    <w:rsid w:val="00496AB8"/>
    <w:rsid w:val="0049735F"/>
    <w:rsid w:val="004A04FA"/>
    <w:rsid w:val="004A35CB"/>
    <w:rsid w:val="004A3A2C"/>
    <w:rsid w:val="004A5103"/>
    <w:rsid w:val="004A67B0"/>
    <w:rsid w:val="004A7318"/>
    <w:rsid w:val="004A7EEA"/>
    <w:rsid w:val="004B09CF"/>
    <w:rsid w:val="004B3BF9"/>
    <w:rsid w:val="004B5A27"/>
    <w:rsid w:val="004C0AF8"/>
    <w:rsid w:val="004C2A5E"/>
    <w:rsid w:val="004C378D"/>
    <w:rsid w:val="004C4B30"/>
    <w:rsid w:val="004C560B"/>
    <w:rsid w:val="004C5C58"/>
    <w:rsid w:val="004C7143"/>
    <w:rsid w:val="004D07AE"/>
    <w:rsid w:val="004D1587"/>
    <w:rsid w:val="004D164C"/>
    <w:rsid w:val="004D4F0F"/>
    <w:rsid w:val="004D7BBA"/>
    <w:rsid w:val="004E18D5"/>
    <w:rsid w:val="004E2313"/>
    <w:rsid w:val="004E269A"/>
    <w:rsid w:val="004E2745"/>
    <w:rsid w:val="004E2C23"/>
    <w:rsid w:val="004E2D90"/>
    <w:rsid w:val="004E7BB1"/>
    <w:rsid w:val="004E7E51"/>
    <w:rsid w:val="004F06FB"/>
    <w:rsid w:val="004F0F8A"/>
    <w:rsid w:val="004F2D60"/>
    <w:rsid w:val="004F3994"/>
    <w:rsid w:val="004F46BA"/>
    <w:rsid w:val="004F49F8"/>
    <w:rsid w:val="004F4A3D"/>
    <w:rsid w:val="004F5078"/>
    <w:rsid w:val="004F6101"/>
    <w:rsid w:val="004F6CC2"/>
    <w:rsid w:val="0050227D"/>
    <w:rsid w:val="0050399F"/>
    <w:rsid w:val="005045AC"/>
    <w:rsid w:val="00504AA4"/>
    <w:rsid w:val="005059F7"/>
    <w:rsid w:val="00505E7B"/>
    <w:rsid w:val="00514CE9"/>
    <w:rsid w:val="0052150A"/>
    <w:rsid w:val="00523340"/>
    <w:rsid w:val="00523B23"/>
    <w:rsid w:val="00524111"/>
    <w:rsid w:val="0052672A"/>
    <w:rsid w:val="00526F4E"/>
    <w:rsid w:val="00527DF6"/>
    <w:rsid w:val="005307CB"/>
    <w:rsid w:val="00530B7E"/>
    <w:rsid w:val="00532B23"/>
    <w:rsid w:val="00532B9E"/>
    <w:rsid w:val="00532CA5"/>
    <w:rsid w:val="00533934"/>
    <w:rsid w:val="00533BC2"/>
    <w:rsid w:val="0053520F"/>
    <w:rsid w:val="005363DB"/>
    <w:rsid w:val="00537DE7"/>
    <w:rsid w:val="00541F8C"/>
    <w:rsid w:val="005432DA"/>
    <w:rsid w:val="00550201"/>
    <w:rsid w:val="00550733"/>
    <w:rsid w:val="005524E9"/>
    <w:rsid w:val="00553FFC"/>
    <w:rsid w:val="0055468A"/>
    <w:rsid w:val="0055561C"/>
    <w:rsid w:val="005558C1"/>
    <w:rsid w:val="00555FD9"/>
    <w:rsid w:val="0055791F"/>
    <w:rsid w:val="00557AF6"/>
    <w:rsid w:val="005619E1"/>
    <w:rsid w:val="00561B6B"/>
    <w:rsid w:val="0056683A"/>
    <w:rsid w:val="00566A66"/>
    <w:rsid w:val="00566B7C"/>
    <w:rsid w:val="0056726F"/>
    <w:rsid w:val="005717DC"/>
    <w:rsid w:val="00571AFC"/>
    <w:rsid w:val="0057475B"/>
    <w:rsid w:val="005751E2"/>
    <w:rsid w:val="00576ACB"/>
    <w:rsid w:val="00576B3A"/>
    <w:rsid w:val="0057712E"/>
    <w:rsid w:val="00577681"/>
    <w:rsid w:val="00577777"/>
    <w:rsid w:val="00577A95"/>
    <w:rsid w:val="00577E94"/>
    <w:rsid w:val="00577F6B"/>
    <w:rsid w:val="00581659"/>
    <w:rsid w:val="005830F4"/>
    <w:rsid w:val="00583F45"/>
    <w:rsid w:val="00587A9F"/>
    <w:rsid w:val="00587CF3"/>
    <w:rsid w:val="00590E35"/>
    <w:rsid w:val="0059149A"/>
    <w:rsid w:val="00591EDA"/>
    <w:rsid w:val="00594599"/>
    <w:rsid w:val="005A0707"/>
    <w:rsid w:val="005A1D90"/>
    <w:rsid w:val="005A2191"/>
    <w:rsid w:val="005A2ECB"/>
    <w:rsid w:val="005A31F3"/>
    <w:rsid w:val="005A4AE8"/>
    <w:rsid w:val="005A62B5"/>
    <w:rsid w:val="005A73BC"/>
    <w:rsid w:val="005A7A54"/>
    <w:rsid w:val="005A7D87"/>
    <w:rsid w:val="005B1BCE"/>
    <w:rsid w:val="005B22E4"/>
    <w:rsid w:val="005B342F"/>
    <w:rsid w:val="005B4A40"/>
    <w:rsid w:val="005B4B80"/>
    <w:rsid w:val="005B51EA"/>
    <w:rsid w:val="005B6137"/>
    <w:rsid w:val="005B6CFB"/>
    <w:rsid w:val="005B6D18"/>
    <w:rsid w:val="005B7867"/>
    <w:rsid w:val="005C07AC"/>
    <w:rsid w:val="005C0916"/>
    <w:rsid w:val="005C1763"/>
    <w:rsid w:val="005C33A0"/>
    <w:rsid w:val="005C4564"/>
    <w:rsid w:val="005C4C39"/>
    <w:rsid w:val="005C54DF"/>
    <w:rsid w:val="005C58BF"/>
    <w:rsid w:val="005C7352"/>
    <w:rsid w:val="005C76EA"/>
    <w:rsid w:val="005D011B"/>
    <w:rsid w:val="005D04C0"/>
    <w:rsid w:val="005D18A9"/>
    <w:rsid w:val="005D1F32"/>
    <w:rsid w:val="005D27DB"/>
    <w:rsid w:val="005D40B4"/>
    <w:rsid w:val="005D59EC"/>
    <w:rsid w:val="005E0F90"/>
    <w:rsid w:val="005E21A6"/>
    <w:rsid w:val="005E2DAF"/>
    <w:rsid w:val="005E5184"/>
    <w:rsid w:val="005E570C"/>
    <w:rsid w:val="005E5D4D"/>
    <w:rsid w:val="005E61BC"/>
    <w:rsid w:val="005E6386"/>
    <w:rsid w:val="005E659C"/>
    <w:rsid w:val="005E7080"/>
    <w:rsid w:val="005F07D5"/>
    <w:rsid w:val="005F0AB1"/>
    <w:rsid w:val="005F0B25"/>
    <w:rsid w:val="005F3302"/>
    <w:rsid w:val="005F3487"/>
    <w:rsid w:val="005F520E"/>
    <w:rsid w:val="005F625D"/>
    <w:rsid w:val="005F643D"/>
    <w:rsid w:val="006003DB"/>
    <w:rsid w:val="00602C71"/>
    <w:rsid w:val="006030C3"/>
    <w:rsid w:val="00603F6B"/>
    <w:rsid w:val="00604B51"/>
    <w:rsid w:val="00605F58"/>
    <w:rsid w:val="006068F5"/>
    <w:rsid w:val="00611491"/>
    <w:rsid w:val="0061208F"/>
    <w:rsid w:val="006131EC"/>
    <w:rsid w:val="00614166"/>
    <w:rsid w:val="006148DF"/>
    <w:rsid w:val="006219C4"/>
    <w:rsid w:val="00621B5E"/>
    <w:rsid w:val="00622231"/>
    <w:rsid w:val="006228D8"/>
    <w:rsid w:val="006237A0"/>
    <w:rsid w:val="0062579B"/>
    <w:rsid w:val="00626DAD"/>
    <w:rsid w:val="00627275"/>
    <w:rsid w:val="0063378D"/>
    <w:rsid w:val="0063560C"/>
    <w:rsid w:val="00640984"/>
    <w:rsid w:val="00641280"/>
    <w:rsid w:val="0064161D"/>
    <w:rsid w:val="006425F2"/>
    <w:rsid w:val="00643C9E"/>
    <w:rsid w:val="0064509D"/>
    <w:rsid w:val="00650574"/>
    <w:rsid w:val="00651224"/>
    <w:rsid w:val="0065136F"/>
    <w:rsid w:val="0065244D"/>
    <w:rsid w:val="00653569"/>
    <w:rsid w:val="006548CE"/>
    <w:rsid w:val="00655100"/>
    <w:rsid w:val="006607F2"/>
    <w:rsid w:val="006609DC"/>
    <w:rsid w:val="00660A0F"/>
    <w:rsid w:val="00661759"/>
    <w:rsid w:val="00661BED"/>
    <w:rsid w:val="00663AFC"/>
    <w:rsid w:val="00663F02"/>
    <w:rsid w:val="00666E7D"/>
    <w:rsid w:val="00670F52"/>
    <w:rsid w:val="00672160"/>
    <w:rsid w:val="006728C2"/>
    <w:rsid w:val="006757CD"/>
    <w:rsid w:val="00676AB4"/>
    <w:rsid w:val="006774A1"/>
    <w:rsid w:val="006812EF"/>
    <w:rsid w:val="0068143E"/>
    <w:rsid w:val="0068151B"/>
    <w:rsid w:val="0068171E"/>
    <w:rsid w:val="0068187D"/>
    <w:rsid w:val="00683308"/>
    <w:rsid w:val="00683F37"/>
    <w:rsid w:val="0068452B"/>
    <w:rsid w:val="00684A17"/>
    <w:rsid w:val="00686568"/>
    <w:rsid w:val="0068799B"/>
    <w:rsid w:val="00690F07"/>
    <w:rsid w:val="00691DEB"/>
    <w:rsid w:val="0069209E"/>
    <w:rsid w:val="00693FB8"/>
    <w:rsid w:val="0069483F"/>
    <w:rsid w:val="006959E5"/>
    <w:rsid w:val="00697DA7"/>
    <w:rsid w:val="006A09BB"/>
    <w:rsid w:val="006A1EF8"/>
    <w:rsid w:val="006A2631"/>
    <w:rsid w:val="006A4AE4"/>
    <w:rsid w:val="006A5CE7"/>
    <w:rsid w:val="006A65AA"/>
    <w:rsid w:val="006A681B"/>
    <w:rsid w:val="006B3900"/>
    <w:rsid w:val="006B3E9B"/>
    <w:rsid w:val="006B537F"/>
    <w:rsid w:val="006B545C"/>
    <w:rsid w:val="006B7FB4"/>
    <w:rsid w:val="006C14DD"/>
    <w:rsid w:val="006C285C"/>
    <w:rsid w:val="006C3DFD"/>
    <w:rsid w:val="006C4F5D"/>
    <w:rsid w:val="006D01BE"/>
    <w:rsid w:val="006D04FF"/>
    <w:rsid w:val="006D0687"/>
    <w:rsid w:val="006D1D58"/>
    <w:rsid w:val="006D324F"/>
    <w:rsid w:val="006D3751"/>
    <w:rsid w:val="006D3F9A"/>
    <w:rsid w:val="006D7648"/>
    <w:rsid w:val="006E10E5"/>
    <w:rsid w:val="006E194B"/>
    <w:rsid w:val="006E1EF2"/>
    <w:rsid w:val="006E3C28"/>
    <w:rsid w:val="006E478A"/>
    <w:rsid w:val="006E4AF2"/>
    <w:rsid w:val="006E5314"/>
    <w:rsid w:val="006E552C"/>
    <w:rsid w:val="006E559E"/>
    <w:rsid w:val="006E7264"/>
    <w:rsid w:val="006E78AE"/>
    <w:rsid w:val="006F0A19"/>
    <w:rsid w:val="006F0E69"/>
    <w:rsid w:val="006F1E47"/>
    <w:rsid w:val="006F3A07"/>
    <w:rsid w:val="006F3DC3"/>
    <w:rsid w:val="006F3FDE"/>
    <w:rsid w:val="006F4824"/>
    <w:rsid w:val="006F51CE"/>
    <w:rsid w:val="006F56AE"/>
    <w:rsid w:val="006F5FB1"/>
    <w:rsid w:val="006F6C1A"/>
    <w:rsid w:val="007014ED"/>
    <w:rsid w:val="0070229F"/>
    <w:rsid w:val="007031FE"/>
    <w:rsid w:val="00703892"/>
    <w:rsid w:val="0071022C"/>
    <w:rsid w:val="007103FE"/>
    <w:rsid w:val="00710623"/>
    <w:rsid w:val="00710AAD"/>
    <w:rsid w:val="00710CEC"/>
    <w:rsid w:val="00712AD3"/>
    <w:rsid w:val="0071549C"/>
    <w:rsid w:val="00715A9F"/>
    <w:rsid w:val="00717F8F"/>
    <w:rsid w:val="007205B4"/>
    <w:rsid w:val="00721149"/>
    <w:rsid w:val="00721223"/>
    <w:rsid w:val="0072223C"/>
    <w:rsid w:val="0072352C"/>
    <w:rsid w:val="00723ED0"/>
    <w:rsid w:val="007243B6"/>
    <w:rsid w:val="00725B1A"/>
    <w:rsid w:val="007271DB"/>
    <w:rsid w:val="0073096D"/>
    <w:rsid w:val="00733496"/>
    <w:rsid w:val="007336A0"/>
    <w:rsid w:val="00733E47"/>
    <w:rsid w:val="00735E23"/>
    <w:rsid w:val="00736576"/>
    <w:rsid w:val="007368A7"/>
    <w:rsid w:val="00737E0A"/>
    <w:rsid w:val="007401A1"/>
    <w:rsid w:val="00741055"/>
    <w:rsid w:val="007423D3"/>
    <w:rsid w:val="00742C16"/>
    <w:rsid w:val="00744347"/>
    <w:rsid w:val="00744627"/>
    <w:rsid w:val="00745BD3"/>
    <w:rsid w:val="00746A89"/>
    <w:rsid w:val="007527E6"/>
    <w:rsid w:val="00752D2E"/>
    <w:rsid w:val="0075353C"/>
    <w:rsid w:val="007560C9"/>
    <w:rsid w:val="007576FD"/>
    <w:rsid w:val="00760577"/>
    <w:rsid w:val="00762838"/>
    <w:rsid w:val="00762C5B"/>
    <w:rsid w:val="00763B5A"/>
    <w:rsid w:val="0076454E"/>
    <w:rsid w:val="007676DC"/>
    <w:rsid w:val="00770494"/>
    <w:rsid w:val="00772111"/>
    <w:rsid w:val="0077411C"/>
    <w:rsid w:val="007744E7"/>
    <w:rsid w:val="0077476E"/>
    <w:rsid w:val="00776F23"/>
    <w:rsid w:val="00777234"/>
    <w:rsid w:val="00777C50"/>
    <w:rsid w:val="00780C2C"/>
    <w:rsid w:val="007835A2"/>
    <w:rsid w:val="00784E5C"/>
    <w:rsid w:val="00785408"/>
    <w:rsid w:val="00785D97"/>
    <w:rsid w:val="0079213A"/>
    <w:rsid w:val="00792BCB"/>
    <w:rsid w:val="00792E37"/>
    <w:rsid w:val="0079519D"/>
    <w:rsid w:val="00796C01"/>
    <w:rsid w:val="0079752D"/>
    <w:rsid w:val="00797FEF"/>
    <w:rsid w:val="007A1745"/>
    <w:rsid w:val="007A1FC2"/>
    <w:rsid w:val="007A35FD"/>
    <w:rsid w:val="007A3B90"/>
    <w:rsid w:val="007A4193"/>
    <w:rsid w:val="007A69EA"/>
    <w:rsid w:val="007A6B71"/>
    <w:rsid w:val="007A7039"/>
    <w:rsid w:val="007B0526"/>
    <w:rsid w:val="007B0B38"/>
    <w:rsid w:val="007B3523"/>
    <w:rsid w:val="007B3758"/>
    <w:rsid w:val="007B7B8C"/>
    <w:rsid w:val="007C01AF"/>
    <w:rsid w:val="007C0538"/>
    <w:rsid w:val="007C24B1"/>
    <w:rsid w:val="007C2D66"/>
    <w:rsid w:val="007C4B49"/>
    <w:rsid w:val="007C4EDE"/>
    <w:rsid w:val="007C5ED7"/>
    <w:rsid w:val="007C6096"/>
    <w:rsid w:val="007D183A"/>
    <w:rsid w:val="007D19D9"/>
    <w:rsid w:val="007D2060"/>
    <w:rsid w:val="007D22A1"/>
    <w:rsid w:val="007D285A"/>
    <w:rsid w:val="007D598F"/>
    <w:rsid w:val="007D75E3"/>
    <w:rsid w:val="007D76C7"/>
    <w:rsid w:val="007E088E"/>
    <w:rsid w:val="007E57D1"/>
    <w:rsid w:val="007E62E9"/>
    <w:rsid w:val="007E64CB"/>
    <w:rsid w:val="007F2139"/>
    <w:rsid w:val="007F2F62"/>
    <w:rsid w:val="007F3EFF"/>
    <w:rsid w:val="007F58DD"/>
    <w:rsid w:val="007F5BB0"/>
    <w:rsid w:val="007F6445"/>
    <w:rsid w:val="007F6A76"/>
    <w:rsid w:val="007F777E"/>
    <w:rsid w:val="008029A8"/>
    <w:rsid w:val="008041B3"/>
    <w:rsid w:val="008043E9"/>
    <w:rsid w:val="0081074C"/>
    <w:rsid w:val="008115F0"/>
    <w:rsid w:val="008126F9"/>
    <w:rsid w:val="00814A02"/>
    <w:rsid w:val="0081650A"/>
    <w:rsid w:val="008166F7"/>
    <w:rsid w:val="00817F36"/>
    <w:rsid w:val="00820CC2"/>
    <w:rsid w:val="00821515"/>
    <w:rsid w:val="00822E80"/>
    <w:rsid w:val="008238F6"/>
    <w:rsid w:val="00824D6A"/>
    <w:rsid w:val="008253D2"/>
    <w:rsid w:val="00827597"/>
    <w:rsid w:val="00827B7D"/>
    <w:rsid w:val="00831D98"/>
    <w:rsid w:val="00835B42"/>
    <w:rsid w:val="008361E5"/>
    <w:rsid w:val="00841A4E"/>
    <w:rsid w:val="00841EC2"/>
    <w:rsid w:val="00842F8D"/>
    <w:rsid w:val="00843177"/>
    <w:rsid w:val="0084380B"/>
    <w:rsid w:val="008441A6"/>
    <w:rsid w:val="00844F2F"/>
    <w:rsid w:val="0084791D"/>
    <w:rsid w:val="00847AA5"/>
    <w:rsid w:val="00850DCC"/>
    <w:rsid w:val="00852177"/>
    <w:rsid w:val="00853BDA"/>
    <w:rsid w:val="00855B35"/>
    <w:rsid w:val="00855EC9"/>
    <w:rsid w:val="008566F8"/>
    <w:rsid w:val="0085762B"/>
    <w:rsid w:val="00863189"/>
    <w:rsid w:val="0086336F"/>
    <w:rsid w:val="00866C43"/>
    <w:rsid w:val="008677EF"/>
    <w:rsid w:val="008727AA"/>
    <w:rsid w:val="00873853"/>
    <w:rsid w:val="00873E78"/>
    <w:rsid w:val="00874724"/>
    <w:rsid w:val="00874A3A"/>
    <w:rsid w:val="008753DF"/>
    <w:rsid w:val="0087554C"/>
    <w:rsid w:val="00877A99"/>
    <w:rsid w:val="00882540"/>
    <w:rsid w:val="00883C86"/>
    <w:rsid w:val="0088486B"/>
    <w:rsid w:val="0088706F"/>
    <w:rsid w:val="0088770E"/>
    <w:rsid w:val="00890129"/>
    <w:rsid w:val="00890D99"/>
    <w:rsid w:val="008911AB"/>
    <w:rsid w:val="008922D8"/>
    <w:rsid w:val="008927B9"/>
    <w:rsid w:val="00893C07"/>
    <w:rsid w:val="008943AD"/>
    <w:rsid w:val="0089499C"/>
    <w:rsid w:val="00895515"/>
    <w:rsid w:val="00895C8F"/>
    <w:rsid w:val="00897745"/>
    <w:rsid w:val="00897D1C"/>
    <w:rsid w:val="008A1800"/>
    <w:rsid w:val="008A2480"/>
    <w:rsid w:val="008A375B"/>
    <w:rsid w:val="008A4382"/>
    <w:rsid w:val="008A464E"/>
    <w:rsid w:val="008A61C5"/>
    <w:rsid w:val="008A76D5"/>
    <w:rsid w:val="008A78EF"/>
    <w:rsid w:val="008A7E46"/>
    <w:rsid w:val="008B05DF"/>
    <w:rsid w:val="008B0657"/>
    <w:rsid w:val="008B068F"/>
    <w:rsid w:val="008B112F"/>
    <w:rsid w:val="008B26E6"/>
    <w:rsid w:val="008B2DDF"/>
    <w:rsid w:val="008B3471"/>
    <w:rsid w:val="008B560F"/>
    <w:rsid w:val="008B5743"/>
    <w:rsid w:val="008B7B86"/>
    <w:rsid w:val="008C1F8F"/>
    <w:rsid w:val="008C4762"/>
    <w:rsid w:val="008C5938"/>
    <w:rsid w:val="008C689B"/>
    <w:rsid w:val="008C7559"/>
    <w:rsid w:val="008C7940"/>
    <w:rsid w:val="008D09AB"/>
    <w:rsid w:val="008D09DB"/>
    <w:rsid w:val="008D35DB"/>
    <w:rsid w:val="008D4625"/>
    <w:rsid w:val="008E0170"/>
    <w:rsid w:val="008E2791"/>
    <w:rsid w:val="008E4A96"/>
    <w:rsid w:val="008E665D"/>
    <w:rsid w:val="008F0505"/>
    <w:rsid w:val="008F0FE1"/>
    <w:rsid w:val="008F1362"/>
    <w:rsid w:val="008F2812"/>
    <w:rsid w:val="008F3788"/>
    <w:rsid w:val="008F500B"/>
    <w:rsid w:val="008F53FF"/>
    <w:rsid w:val="008F605E"/>
    <w:rsid w:val="0090249A"/>
    <w:rsid w:val="00903605"/>
    <w:rsid w:val="0090385A"/>
    <w:rsid w:val="00903E21"/>
    <w:rsid w:val="009069A4"/>
    <w:rsid w:val="00906E3F"/>
    <w:rsid w:val="009106E1"/>
    <w:rsid w:val="009110B0"/>
    <w:rsid w:val="009123AA"/>
    <w:rsid w:val="00913724"/>
    <w:rsid w:val="00914C96"/>
    <w:rsid w:val="00916A68"/>
    <w:rsid w:val="0092101B"/>
    <w:rsid w:val="009226E5"/>
    <w:rsid w:val="00922878"/>
    <w:rsid w:val="009271C1"/>
    <w:rsid w:val="009304FA"/>
    <w:rsid w:val="00930D6C"/>
    <w:rsid w:val="00931A72"/>
    <w:rsid w:val="00932250"/>
    <w:rsid w:val="009325F5"/>
    <w:rsid w:val="009331B0"/>
    <w:rsid w:val="009331C8"/>
    <w:rsid w:val="00934860"/>
    <w:rsid w:val="00935399"/>
    <w:rsid w:val="00935836"/>
    <w:rsid w:val="00936EF9"/>
    <w:rsid w:val="00936FF8"/>
    <w:rsid w:val="00937A04"/>
    <w:rsid w:val="00940C8F"/>
    <w:rsid w:val="00943047"/>
    <w:rsid w:val="00943B65"/>
    <w:rsid w:val="00944540"/>
    <w:rsid w:val="0094620D"/>
    <w:rsid w:val="0094694E"/>
    <w:rsid w:val="009477F7"/>
    <w:rsid w:val="00950004"/>
    <w:rsid w:val="009502FD"/>
    <w:rsid w:val="009540A3"/>
    <w:rsid w:val="009571B2"/>
    <w:rsid w:val="0095789B"/>
    <w:rsid w:val="0096032D"/>
    <w:rsid w:val="00960C95"/>
    <w:rsid w:val="0096152C"/>
    <w:rsid w:val="009648DC"/>
    <w:rsid w:val="00964A2B"/>
    <w:rsid w:val="00964CC3"/>
    <w:rsid w:val="00965741"/>
    <w:rsid w:val="00971A64"/>
    <w:rsid w:val="009728DB"/>
    <w:rsid w:val="00973889"/>
    <w:rsid w:val="00974089"/>
    <w:rsid w:val="009745F4"/>
    <w:rsid w:val="00976069"/>
    <w:rsid w:val="009774E5"/>
    <w:rsid w:val="00982161"/>
    <w:rsid w:val="009832F8"/>
    <w:rsid w:val="00983947"/>
    <w:rsid w:val="00987011"/>
    <w:rsid w:val="00987BDE"/>
    <w:rsid w:val="00990029"/>
    <w:rsid w:val="00992FF2"/>
    <w:rsid w:val="00993514"/>
    <w:rsid w:val="00994727"/>
    <w:rsid w:val="0099520A"/>
    <w:rsid w:val="00997D3E"/>
    <w:rsid w:val="009A03B1"/>
    <w:rsid w:val="009A1AEE"/>
    <w:rsid w:val="009A47CB"/>
    <w:rsid w:val="009A51E8"/>
    <w:rsid w:val="009A577A"/>
    <w:rsid w:val="009A6577"/>
    <w:rsid w:val="009A6689"/>
    <w:rsid w:val="009A6FB4"/>
    <w:rsid w:val="009A7D91"/>
    <w:rsid w:val="009B1170"/>
    <w:rsid w:val="009B1BDE"/>
    <w:rsid w:val="009B279D"/>
    <w:rsid w:val="009B36D8"/>
    <w:rsid w:val="009B47EF"/>
    <w:rsid w:val="009B6C9C"/>
    <w:rsid w:val="009B7615"/>
    <w:rsid w:val="009B774E"/>
    <w:rsid w:val="009B7F20"/>
    <w:rsid w:val="009C02D4"/>
    <w:rsid w:val="009C722C"/>
    <w:rsid w:val="009C73DD"/>
    <w:rsid w:val="009C76F7"/>
    <w:rsid w:val="009D068D"/>
    <w:rsid w:val="009D0929"/>
    <w:rsid w:val="009D5343"/>
    <w:rsid w:val="009D58E6"/>
    <w:rsid w:val="009D5AA7"/>
    <w:rsid w:val="009D5B88"/>
    <w:rsid w:val="009E0EC8"/>
    <w:rsid w:val="009E15CE"/>
    <w:rsid w:val="009E1C37"/>
    <w:rsid w:val="009E1F5B"/>
    <w:rsid w:val="009E2A26"/>
    <w:rsid w:val="009E3949"/>
    <w:rsid w:val="009E4121"/>
    <w:rsid w:val="009E6926"/>
    <w:rsid w:val="009E6D1D"/>
    <w:rsid w:val="009E7053"/>
    <w:rsid w:val="009E7471"/>
    <w:rsid w:val="009E75CE"/>
    <w:rsid w:val="009E76CD"/>
    <w:rsid w:val="009F023C"/>
    <w:rsid w:val="009F0AD3"/>
    <w:rsid w:val="009F0D1C"/>
    <w:rsid w:val="009F1555"/>
    <w:rsid w:val="009F2C1F"/>
    <w:rsid w:val="009F4D9C"/>
    <w:rsid w:val="009F5653"/>
    <w:rsid w:val="009F7E03"/>
    <w:rsid w:val="00A00E53"/>
    <w:rsid w:val="00A02800"/>
    <w:rsid w:val="00A02E77"/>
    <w:rsid w:val="00A06A63"/>
    <w:rsid w:val="00A10360"/>
    <w:rsid w:val="00A10366"/>
    <w:rsid w:val="00A111C9"/>
    <w:rsid w:val="00A117B4"/>
    <w:rsid w:val="00A11B96"/>
    <w:rsid w:val="00A12D4E"/>
    <w:rsid w:val="00A13550"/>
    <w:rsid w:val="00A1451D"/>
    <w:rsid w:val="00A163C5"/>
    <w:rsid w:val="00A16BA9"/>
    <w:rsid w:val="00A17642"/>
    <w:rsid w:val="00A17A52"/>
    <w:rsid w:val="00A20C85"/>
    <w:rsid w:val="00A22259"/>
    <w:rsid w:val="00A22BA0"/>
    <w:rsid w:val="00A22DD7"/>
    <w:rsid w:val="00A24B7D"/>
    <w:rsid w:val="00A2558F"/>
    <w:rsid w:val="00A25770"/>
    <w:rsid w:val="00A269AC"/>
    <w:rsid w:val="00A2711C"/>
    <w:rsid w:val="00A27947"/>
    <w:rsid w:val="00A325F7"/>
    <w:rsid w:val="00A330F6"/>
    <w:rsid w:val="00A3708A"/>
    <w:rsid w:val="00A37268"/>
    <w:rsid w:val="00A37AD5"/>
    <w:rsid w:val="00A41804"/>
    <w:rsid w:val="00A438D2"/>
    <w:rsid w:val="00A446A6"/>
    <w:rsid w:val="00A451D7"/>
    <w:rsid w:val="00A45666"/>
    <w:rsid w:val="00A461EC"/>
    <w:rsid w:val="00A46B88"/>
    <w:rsid w:val="00A47E3B"/>
    <w:rsid w:val="00A503DD"/>
    <w:rsid w:val="00A50516"/>
    <w:rsid w:val="00A506CC"/>
    <w:rsid w:val="00A5145B"/>
    <w:rsid w:val="00A51ED6"/>
    <w:rsid w:val="00A52639"/>
    <w:rsid w:val="00A54D81"/>
    <w:rsid w:val="00A557E6"/>
    <w:rsid w:val="00A56901"/>
    <w:rsid w:val="00A60A96"/>
    <w:rsid w:val="00A618F2"/>
    <w:rsid w:val="00A63DAB"/>
    <w:rsid w:val="00A65577"/>
    <w:rsid w:val="00A65AB6"/>
    <w:rsid w:val="00A65B46"/>
    <w:rsid w:val="00A65E59"/>
    <w:rsid w:val="00A6607F"/>
    <w:rsid w:val="00A667DC"/>
    <w:rsid w:val="00A6712F"/>
    <w:rsid w:val="00A676C4"/>
    <w:rsid w:val="00A6782C"/>
    <w:rsid w:val="00A7145A"/>
    <w:rsid w:val="00A72490"/>
    <w:rsid w:val="00A74A19"/>
    <w:rsid w:val="00A74B65"/>
    <w:rsid w:val="00A77678"/>
    <w:rsid w:val="00A81595"/>
    <w:rsid w:val="00A823B9"/>
    <w:rsid w:val="00A82AC1"/>
    <w:rsid w:val="00A865CB"/>
    <w:rsid w:val="00A87DFD"/>
    <w:rsid w:val="00A910DD"/>
    <w:rsid w:val="00A916EF"/>
    <w:rsid w:val="00A92D77"/>
    <w:rsid w:val="00A95D4A"/>
    <w:rsid w:val="00A97C6E"/>
    <w:rsid w:val="00AA06CB"/>
    <w:rsid w:val="00AA3254"/>
    <w:rsid w:val="00AA788E"/>
    <w:rsid w:val="00AA7FAF"/>
    <w:rsid w:val="00AB07E1"/>
    <w:rsid w:val="00AB1952"/>
    <w:rsid w:val="00AB238C"/>
    <w:rsid w:val="00AB3A71"/>
    <w:rsid w:val="00AB4077"/>
    <w:rsid w:val="00AB5763"/>
    <w:rsid w:val="00AB59B7"/>
    <w:rsid w:val="00AB65C1"/>
    <w:rsid w:val="00AB6C3B"/>
    <w:rsid w:val="00AB7003"/>
    <w:rsid w:val="00AB75CB"/>
    <w:rsid w:val="00AC12D2"/>
    <w:rsid w:val="00AC48C3"/>
    <w:rsid w:val="00AC5A07"/>
    <w:rsid w:val="00AC7BA3"/>
    <w:rsid w:val="00AD169F"/>
    <w:rsid w:val="00AD3C2B"/>
    <w:rsid w:val="00AD4A4C"/>
    <w:rsid w:val="00AD59E9"/>
    <w:rsid w:val="00AE06F3"/>
    <w:rsid w:val="00AE07E3"/>
    <w:rsid w:val="00AE0E68"/>
    <w:rsid w:val="00AE1FB8"/>
    <w:rsid w:val="00AE27EE"/>
    <w:rsid w:val="00AE47BA"/>
    <w:rsid w:val="00AE4D09"/>
    <w:rsid w:val="00AE50F5"/>
    <w:rsid w:val="00AE7FEE"/>
    <w:rsid w:val="00AF1913"/>
    <w:rsid w:val="00AF1A6F"/>
    <w:rsid w:val="00AF2774"/>
    <w:rsid w:val="00AF4006"/>
    <w:rsid w:val="00AF443E"/>
    <w:rsid w:val="00AF44EE"/>
    <w:rsid w:val="00AF4E56"/>
    <w:rsid w:val="00AF5DBE"/>
    <w:rsid w:val="00AF7D83"/>
    <w:rsid w:val="00B0245B"/>
    <w:rsid w:val="00B031F0"/>
    <w:rsid w:val="00B03413"/>
    <w:rsid w:val="00B04800"/>
    <w:rsid w:val="00B04DBA"/>
    <w:rsid w:val="00B05094"/>
    <w:rsid w:val="00B06270"/>
    <w:rsid w:val="00B075B6"/>
    <w:rsid w:val="00B07B0C"/>
    <w:rsid w:val="00B07DB7"/>
    <w:rsid w:val="00B12E6B"/>
    <w:rsid w:val="00B1304E"/>
    <w:rsid w:val="00B1368D"/>
    <w:rsid w:val="00B14B87"/>
    <w:rsid w:val="00B16A8D"/>
    <w:rsid w:val="00B17372"/>
    <w:rsid w:val="00B1795E"/>
    <w:rsid w:val="00B20F54"/>
    <w:rsid w:val="00B2104A"/>
    <w:rsid w:val="00B212A8"/>
    <w:rsid w:val="00B227BA"/>
    <w:rsid w:val="00B23D83"/>
    <w:rsid w:val="00B24022"/>
    <w:rsid w:val="00B25C72"/>
    <w:rsid w:val="00B27011"/>
    <w:rsid w:val="00B2774B"/>
    <w:rsid w:val="00B27DE7"/>
    <w:rsid w:val="00B306D5"/>
    <w:rsid w:val="00B32C02"/>
    <w:rsid w:val="00B34CC3"/>
    <w:rsid w:val="00B35015"/>
    <w:rsid w:val="00B36373"/>
    <w:rsid w:val="00B367C0"/>
    <w:rsid w:val="00B369EE"/>
    <w:rsid w:val="00B3710A"/>
    <w:rsid w:val="00B3757E"/>
    <w:rsid w:val="00B40342"/>
    <w:rsid w:val="00B41626"/>
    <w:rsid w:val="00B420E3"/>
    <w:rsid w:val="00B42770"/>
    <w:rsid w:val="00B44AA4"/>
    <w:rsid w:val="00B44BB4"/>
    <w:rsid w:val="00B4513B"/>
    <w:rsid w:val="00B47261"/>
    <w:rsid w:val="00B472E6"/>
    <w:rsid w:val="00B47B2E"/>
    <w:rsid w:val="00B56C0C"/>
    <w:rsid w:val="00B611C0"/>
    <w:rsid w:val="00B613BE"/>
    <w:rsid w:val="00B63E27"/>
    <w:rsid w:val="00B659E2"/>
    <w:rsid w:val="00B660A4"/>
    <w:rsid w:val="00B700C5"/>
    <w:rsid w:val="00B707FC"/>
    <w:rsid w:val="00B7080B"/>
    <w:rsid w:val="00B71556"/>
    <w:rsid w:val="00B725D5"/>
    <w:rsid w:val="00B75D33"/>
    <w:rsid w:val="00B7686D"/>
    <w:rsid w:val="00B770DE"/>
    <w:rsid w:val="00B8160F"/>
    <w:rsid w:val="00B81D88"/>
    <w:rsid w:val="00B830DF"/>
    <w:rsid w:val="00B83847"/>
    <w:rsid w:val="00B85E4E"/>
    <w:rsid w:val="00B878BA"/>
    <w:rsid w:val="00B906C9"/>
    <w:rsid w:val="00B91C1F"/>
    <w:rsid w:val="00B91FBD"/>
    <w:rsid w:val="00B9234E"/>
    <w:rsid w:val="00B92989"/>
    <w:rsid w:val="00B92C80"/>
    <w:rsid w:val="00B94A0E"/>
    <w:rsid w:val="00B94EB7"/>
    <w:rsid w:val="00B95781"/>
    <w:rsid w:val="00B96F44"/>
    <w:rsid w:val="00BA03FA"/>
    <w:rsid w:val="00BA1D88"/>
    <w:rsid w:val="00BA2181"/>
    <w:rsid w:val="00BB318D"/>
    <w:rsid w:val="00BB3E31"/>
    <w:rsid w:val="00BB46F3"/>
    <w:rsid w:val="00BB49F5"/>
    <w:rsid w:val="00BB4B2E"/>
    <w:rsid w:val="00BB5BFB"/>
    <w:rsid w:val="00BB64EE"/>
    <w:rsid w:val="00BC0433"/>
    <w:rsid w:val="00BC171F"/>
    <w:rsid w:val="00BC239A"/>
    <w:rsid w:val="00BC2C4D"/>
    <w:rsid w:val="00BC3C66"/>
    <w:rsid w:val="00BC533A"/>
    <w:rsid w:val="00BC6D6F"/>
    <w:rsid w:val="00BC759A"/>
    <w:rsid w:val="00BD0E7C"/>
    <w:rsid w:val="00BD352A"/>
    <w:rsid w:val="00BD3790"/>
    <w:rsid w:val="00BD4949"/>
    <w:rsid w:val="00BD5590"/>
    <w:rsid w:val="00BD623C"/>
    <w:rsid w:val="00BD6D6E"/>
    <w:rsid w:val="00BD6DB2"/>
    <w:rsid w:val="00BD6DF4"/>
    <w:rsid w:val="00BE0624"/>
    <w:rsid w:val="00BE0A61"/>
    <w:rsid w:val="00BE21C6"/>
    <w:rsid w:val="00BE26F6"/>
    <w:rsid w:val="00BE3749"/>
    <w:rsid w:val="00BE4438"/>
    <w:rsid w:val="00BE4C77"/>
    <w:rsid w:val="00BE53A9"/>
    <w:rsid w:val="00BE5C42"/>
    <w:rsid w:val="00BE70BE"/>
    <w:rsid w:val="00BE70FB"/>
    <w:rsid w:val="00BE7D1C"/>
    <w:rsid w:val="00BF0D30"/>
    <w:rsid w:val="00BF10B1"/>
    <w:rsid w:val="00BF2334"/>
    <w:rsid w:val="00BF50BF"/>
    <w:rsid w:val="00BF54E3"/>
    <w:rsid w:val="00BF58F2"/>
    <w:rsid w:val="00C01D61"/>
    <w:rsid w:val="00C04DB6"/>
    <w:rsid w:val="00C051CE"/>
    <w:rsid w:val="00C062A9"/>
    <w:rsid w:val="00C065F7"/>
    <w:rsid w:val="00C068A3"/>
    <w:rsid w:val="00C0756E"/>
    <w:rsid w:val="00C10E5D"/>
    <w:rsid w:val="00C11C45"/>
    <w:rsid w:val="00C11FBA"/>
    <w:rsid w:val="00C12C58"/>
    <w:rsid w:val="00C13A76"/>
    <w:rsid w:val="00C13AAE"/>
    <w:rsid w:val="00C14330"/>
    <w:rsid w:val="00C1589F"/>
    <w:rsid w:val="00C20BEE"/>
    <w:rsid w:val="00C215D5"/>
    <w:rsid w:val="00C22224"/>
    <w:rsid w:val="00C30719"/>
    <w:rsid w:val="00C30C42"/>
    <w:rsid w:val="00C314FD"/>
    <w:rsid w:val="00C32948"/>
    <w:rsid w:val="00C343A0"/>
    <w:rsid w:val="00C35B4F"/>
    <w:rsid w:val="00C3606F"/>
    <w:rsid w:val="00C36ACC"/>
    <w:rsid w:val="00C37137"/>
    <w:rsid w:val="00C37B6F"/>
    <w:rsid w:val="00C403A4"/>
    <w:rsid w:val="00C409A2"/>
    <w:rsid w:val="00C43186"/>
    <w:rsid w:val="00C43942"/>
    <w:rsid w:val="00C44204"/>
    <w:rsid w:val="00C45A84"/>
    <w:rsid w:val="00C45DD1"/>
    <w:rsid w:val="00C47A66"/>
    <w:rsid w:val="00C47FBC"/>
    <w:rsid w:val="00C523EE"/>
    <w:rsid w:val="00C5271D"/>
    <w:rsid w:val="00C534D1"/>
    <w:rsid w:val="00C53FCD"/>
    <w:rsid w:val="00C541DB"/>
    <w:rsid w:val="00C54307"/>
    <w:rsid w:val="00C57509"/>
    <w:rsid w:val="00C610C6"/>
    <w:rsid w:val="00C709E9"/>
    <w:rsid w:val="00C70AA0"/>
    <w:rsid w:val="00C71E04"/>
    <w:rsid w:val="00C738D4"/>
    <w:rsid w:val="00C74EBB"/>
    <w:rsid w:val="00C825BC"/>
    <w:rsid w:val="00C83979"/>
    <w:rsid w:val="00C84C26"/>
    <w:rsid w:val="00C8580C"/>
    <w:rsid w:val="00C8624B"/>
    <w:rsid w:val="00C909F3"/>
    <w:rsid w:val="00C96118"/>
    <w:rsid w:val="00C96726"/>
    <w:rsid w:val="00CA0967"/>
    <w:rsid w:val="00CA1834"/>
    <w:rsid w:val="00CA3F28"/>
    <w:rsid w:val="00CA3FC1"/>
    <w:rsid w:val="00CA4E6C"/>
    <w:rsid w:val="00CA6FD5"/>
    <w:rsid w:val="00CB1029"/>
    <w:rsid w:val="00CB2638"/>
    <w:rsid w:val="00CB2981"/>
    <w:rsid w:val="00CB2FA2"/>
    <w:rsid w:val="00CB305C"/>
    <w:rsid w:val="00CB315D"/>
    <w:rsid w:val="00CB4102"/>
    <w:rsid w:val="00CB4643"/>
    <w:rsid w:val="00CB5AC0"/>
    <w:rsid w:val="00CB7386"/>
    <w:rsid w:val="00CC049D"/>
    <w:rsid w:val="00CC1725"/>
    <w:rsid w:val="00CC257F"/>
    <w:rsid w:val="00CC30C3"/>
    <w:rsid w:val="00CC395D"/>
    <w:rsid w:val="00CC3CB9"/>
    <w:rsid w:val="00CC4D38"/>
    <w:rsid w:val="00CC521C"/>
    <w:rsid w:val="00CC6188"/>
    <w:rsid w:val="00CC6D04"/>
    <w:rsid w:val="00CC7C60"/>
    <w:rsid w:val="00CD01BE"/>
    <w:rsid w:val="00CD1053"/>
    <w:rsid w:val="00CD2CF6"/>
    <w:rsid w:val="00CD332E"/>
    <w:rsid w:val="00CD413A"/>
    <w:rsid w:val="00CD438D"/>
    <w:rsid w:val="00CD5565"/>
    <w:rsid w:val="00CD5ED3"/>
    <w:rsid w:val="00CE17C0"/>
    <w:rsid w:val="00CE2CD4"/>
    <w:rsid w:val="00CE44DE"/>
    <w:rsid w:val="00CE60AA"/>
    <w:rsid w:val="00CE6C7A"/>
    <w:rsid w:val="00CF4A36"/>
    <w:rsid w:val="00CF50C1"/>
    <w:rsid w:val="00CF53FF"/>
    <w:rsid w:val="00CF7368"/>
    <w:rsid w:val="00D001DD"/>
    <w:rsid w:val="00D00672"/>
    <w:rsid w:val="00D00C16"/>
    <w:rsid w:val="00D03083"/>
    <w:rsid w:val="00D050B1"/>
    <w:rsid w:val="00D069D2"/>
    <w:rsid w:val="00D10CB0"/>
    <w:rsid w:val="00D11F56"/>
    <w:rsid w:val="00D120DF"/>
    <w:rsid w:val="00D122D0"/>
    <w:rsid w:val="00D130DC"/>
    <w:rsid w:val="00D13825"/>
    <w:rsid w:val="00D15107"/>
    <w:rsid w:val="00D15180"/>
    <w:rsid w:val="00D15E7E"/>
    <w:rsid w:val="00D17AB4"/>
    <w:rsid w:val="00D232A0"/>
    <w:rsid w:val="00D23DFF"/>
    <w:rsid w:val="00D247B5"/>
    <w:rsid w:val="00D26D56"/>
    <w:rsid w:val="00D274E0"/>
    <w:rsid w:val="00D30BA0"/>
    <w:rsid w:val="00D313D1"/>
    <w:rsid w:val="00D35E4E"/>
    <w:rsid w:val="00D37DD8"/>
    <w:rsid w:val="00D4067D"/>
    <w:rsid w:val="00D41E36"/>
    <w:rsid w:val="00D43AA5"/>
    <w:rsid w:val="00D4409D"/>
    <w:rsid w:val="00D447FA"/>
    <w:rsid w:val="00D44FDD"/>
    <w:rsid w:val="00D454A3"/>
    <w:rsid w:val="00D46200"/>
    <w:rsid w:val="00D47C57"/>
    <w:rsid w:val="00D505DA"/>
    <w:rsid w:val="00D506E5"/>
    <w:rsid w:val="00D51FE2"/>
    <w:rsid w:val="00D5371D"/>
    <w:rsid w:val="00D53E17"/>
    <w:rsid w:val="00D55393"/>
    <w:rsid w:val="00D56A4C"/>
    <w:rsid w:val="00D57CB4"/>
    <w:rsid w:val="00D60CB6"/>
    <w:rsid w:val="00D61262"/>
    <w:rsid w:val="00D61293"/>
    <w:rsid w:val="00D61F8E"/>
    <w:rsid w:val="00D62520"/>
    <w:rsid w:val="00D62562"/>
    <w:rsid w:val="00D66C4E"/>
    <w:rsid w:val="00D66DA4"/>
    <w:rsid w:val="00D66FA6"/>
    <w:rsid w:val="00D67C37"/>
    <w:rsid w:val="00D67F33"/>
    <w:rsid w:val="00D718F8"/>
    <w:rsid w:val="00D777CA"/>
    <w:rsid w:val="00D77D2A"/>
    <w:rsid w:val="00D8001D"/>
    <w:rsid w:val="00D8192C"/>
    <w:rsid w:val="00D81BF8"/>
    <w:rsid w:val="00D83277"/>
    <w:rsid w:val="00D84094"/>
    <w:rsid w:val="00D85243"/>
    <w:rsid w:val="00D852B6"/>
    <w:rsid w:val="00D852F0"/>
    <w:rsid w:val="00D8582C"/>
    <w:rsid w:val="00D91720"/>
    <w:rsid w:val="00D9539C"/>
    <w:rsid w:val="00D95B5F"/>
    <w:rsid w:val="00D95CF8"/>
    <w:rsid w:val="00D96040"/>
    <w:rsid w:val="00D96D64"/>
    <w:rsid w:val="00D976C6"/>
    <w:rsid w:val="00DA22CC"/>
    <w:rsid w:val="00DA3C1A"/>
    <w:rsid w:val="00DA484F"/>
    <w:rsid w:val="00DA50F3"/>
    <w:rsid w:val="00DA569B"/>
    <w:rsid w:val="00DA68D7"/>
    <w:rsid w:val="00DA77F3"/>
    <w:rsid w:val="00DB0426"/>
    <w:rsid w:val="00DB2CA4"/>
    <w:rsid w:val="00DB2DDE"/>
    <w:rsid w:val="00DB3CE8"/>
    <w:rsid w:val="00DB65C8"/>
    <w:rsid w:val="00DB6DEB"/>
    <w:rsid w:val="00DB7444"/>
    <w:rsid w:val="00DB7D44"/>
    <w:rsid w:val="00DC0960"/>
    <w:rsid w:val="00DC0E0C"/>
    <w:rsid w:val="00DC13C1"/>
    <w:rsid w:val="00DC18ED"/>
    <w:rsid w:val="00DC4E88"/>
    <w:rsid w:val="00DC4F52"/>
    <w:rsid w:val="00DC581D"/>
    <w:rsid w:val="00DC61DE"/>
    <w:rsid w:val="00DC6C6D"/>
    <w:rsid w:val="00DC6F77"/>
    <w:rsid w:val="00DC7202"/>
    <w:rsid w:val="00DD0CB8"/>
    <w:rsid w:val="00DD1930"/>
    <w:rsid w:val="00DD1BE7"/>
    <w:rsid w:val="00DD3F77"/>
    <w:rsid w:val="00DE1D92"/>
    <w:rsid w:val="00DE4A34"/>
    <w:rsid w:val="00DE6F8B"/>
    <w:rsid w:val="00DE759A"/>
    <w:rsid w:val="00DE764E"/>
    <w:rsid w:val="00DE768F"/>
    <w:rsid w:val="00DE7AAA"/>
    <w:rsid w:val="00DE7B6D"/>
    <w:rsid w:val="00DF30AA"/>
    <w:rsid w:val="00E05C92"/>
    <w:rsid w:val="00E0782D"/>
    <w:rsid w:val="00E104D0"/>
    <w:rsid w:val="00E110F3"/>
    <w:rsid w:val="00E153C1"/>
    <w:rsid w:val="00E154BE"/>
    <w:rsid w:val="00E1623F"/>
    <w:rsid w:val="00E16416"/>
    <w:rsid w:val="00E1730E"/>
    <w:rsid w:val="00E17B1A"/>
    <w:rsid w:val="00E21AAC"/>
    <w:rsid w:val="00E223B1"/>
    <w:rsid w:val="00E23DC7"/>
    <w:rsid w:val="00E2420E"/>
    <w:rsid w:val="00E258E8"/>
    <w:rsid w:val="00E31F9D"/>
    <w:rsid w:val="00E33D08"/>
    <w:rsid w:val="00E371BD"/>
    <w:rsid w:val="00E374C2"/>
    <w:rsid w:val="00E378D7"/>
    <w:rsid w:val="00E4056E"/>
    <w:rsid w:val="00E41E7F"/>
    <w:rsid w:val="00E42BFE"/>
    <w:rsid w:val="00E432CF"/>
    <w:rsid w:val="00E43F11"/>
    <w:rsid w:val="00E442CC"/>
    <w:rsid w:val="00E44971"/>
    <w:rsid w:val="00E53B57"/>
    <w:rsid w:val="00E54C76"/>
    <w:rsid w:val="00E55F38"/>
    <w:rsid w:val="00E572B9"/>
    <w:rsid w:val="00E60CC7"/>
    <w:rsid w:val="00E61032"/>
    <w:rsid w:val="00E614C3"/>
    <w:rsid w:val="00E61F9D"/>
    <w:rsid w:val="00E6313A"/>
    <w:rsid w:val="00E63D6F"/>
    <w:rsid w:val="00E6502B"/>
    <w:rsid w:val="00E6700D"/>
    <w:rsid w:val="00E70378"/>
    <w:rsid w:val="00E709F9"/>
    <w:rsid w:val="00E71B47"/>
    <w:rsid w:val="00E71BB2"/>
    <w:rsid w:val="00E7321F"/>
    <w:rsid w:val="00E733C6"/>
    <w:rsid w:val="00E80FD6"/>
    <w:rsid w:val="00E82C35"/>
    <w:rsid w:val="00E84205"/>
    <w:rsid w:val="00E84430"/>
    <w:rsid w:val="00E8521D"/>
    <w:rsid w:val="00E85B39"/>
    <w:rsid w:val="00E861A4"/>
    <w:rsid w:val="00E90DAD"/>
    <w:rsid w:val="00E92B8D"/>
    <w:rsid w:val="00E93BC1"/>
    <w:rsid w:val="00E95CE8"/>
    <w:rsid w:val="00E9635D"/>
    <w:rsid w:val="00E970B2"/>
    <w:rsid w:val="00EA0402"/>
    <w:rsid w:val="00EA197A"/>
    <w:rsid w:val="00EA3300"/>
    <w:rsid w:val="00EA46AC"/>
    <w:rsid w:val="00EA542E"/>
    <w:rsid w:val="00EA5E59"/>
    <w:rsid w:val="00EA7674"/>
    <w:rsid w:val="00EB0313"/>
    <w:rsid w:val="00EB5CE7"/>
    <w:rsid w:val="00EB7321"/>
    <w:rsid w:val="00EB76F2"/>
    <w:rsid w:val="00EC1879"/>
    <w:rsid w:val="00EC2AE3"/>
    <w:rsid w:val="00EC475C"/>
    <w:rsid w:val="00EC6C09"/>
    <w:rsid w:val="00EC7BFE"/>
    <w:rsid w:val="00ED16C5"/>
    <w:rsid w:val="00ED2B52"/>
    <w:rsid w:val="00ED407F"/>
    <w:rsid w:val="00ED45DE"/>
    <w:rsid w:val="00ED599D"/>
    <w:rsid w:val="00ED6136"/>
    <w:rsid w:val="00EE2391"/>
    <w:rsid w:val="00EE24CC"/>
    <w:rsid w:val="00EE29DE"/>
    <w:rsid w:val="00EE2F19"/>
    <w:rsid w:val="00EE407A"/>
    <w:rsid w:val="00EE40BA"/>
    <w:rsid w:val="00EE5729"/>
    <w:rsid w:val="00EE6703"/>
    <w:rsid w:val="00EF018B"/>
    <w:rsid w:val="00EF03DA"/>
    <w:rsid w:val="00EF20EE"/>
    <w:rsid w:val="00EF3181"/>
    <w:rsid w:val="00EF4020"/>
    <w:rsid w:val="00EF56B9"/>
    <w:rsid w:val="00EF5836"/>
    <w:rsid w:val="00F003EC"/>
    <w:rsid w:val="00F01B11"/>
    <w:rsid w:val="00F027C1"/>
    <w:rsid w:val="00F03614"/>
    <w:rsid w:val="00F039D1"/>
    <w:rsid w:val="00F03DB1"/>
    <w:rsid w:val="00F03E23"/>
    <w:rsid w:val="00F0604F"/>
    <w:rsid w:val="00F07D79"/>
    <w:rsid w:val="00F1062D"/>
    <w:rsid w:val="00F1208B"/>
    <w:rsid w:val="00F12C71"/>
    <w:rsid w:val="00F13A57"/>
    <w:rsid w:val="00F14AE1"/>
    <w:rsid w:val="00F151B9"/>
    <w:rsid w:val="00F200EC"/>
    <w:rsid w:val="00F20BBF"/>
    <w:rsid w:val="00F252A0"/>
    <w:rsid w:val="00F25E95"/>
    <w:rsid w:val="00F27340"/>
    <w:rsid w:val="00F30847"/>
    <w:rsid w:val="00F30B13"/>
    <w:rsid w:val="00F3413D"/>
    <w:rsid w:val="00F34B20"/>
    <w:rsid w:val="00F353E1"/>
    <w:rsid w:val="00F374EC"/>
    <w:rsid w:val="00F401C5"/>
    <w:rsid w:val="00F40682"/>
    <w:rsid w:val="00F4584B"/>
    <w:rsid w:val="00F45AE0"/>
    <w:rsid w:val="00F47990"/>
    <w:rsid w:val="00F50C7C"/>
    <w:rsid w:val="00F53B4A"/>
    <w:rsid w:val="00F53C9E"/>
    <w:rsid w:val="00F54A87"/>
    <w:rsid w:val="00F55875"/>
    <w:rsid w:val="00F55B80"/>
    <w:rsid w:val="00F5614A"/>
    <w:rsid w:val="00F60A65"/>
    <w:rsid w:val="00F613E8"/>
    <w:rsid w:val="00F620BF"/>
    <w:rsid w:val="00F65073"/>
    <w:rsid w:val="00F657BF"/>
    <w:rsid w:val="00F6769A"/>
    <w:rsid w:val="00F71218"/>
    <w:rsid w:val="00F718F4"/>
    <w:rsid w:val="00F738C2"/>
    <w:rsid w:val="00F747A9"/>
    <w:rsid w:val="00F75163"/>
    <w:rsid w:val="00F77FCD"/>
    <w:rsid w:val="00F82143"/>
    <w:rsid w:val="00F82569"/>
    <w:rsid w:val="00F82E7E"/>
    <w:rsid w:val="00F86DDE"/>
    <w:rsid w:val="00F87852"/>
    <w:rsid w:val="00F90517"/>
    <w:rsid w:val="00F906CE"/>
    <w:rsid w:val="00F9109B"/>
    <w:rsid w:val="00F92E16"/>
    <w:rsid w:val="00F95A07"/>
    <w:rsid w:val="00FA0BD5"/>
    <w:rsid w:val="00FA14E7"/>
    <w:rsid w:val="00FA1962"/>
    <w:rsid w:val="00FA4BDE"/>
    <w:rsid w:val="00FA61ED"/>
    <w:rsid w:val="00FA7326"/>
    <w:rsid w:val="00FB0304"/>
    <w:rsid w:val="00FB1BE3"/>
    <w:rsid w:val="00FB388D"/>
    <w:rsid w:val="00FB4896"/>
    <w:rsid w:val="00FB4B2D"/>
    <w:rsid w:val="00FB5D1E"/>
    <w:rsid w:val="00FB611B"/>
    <w:rsid w:val="00FC1014"/>
    <w:rsid w:val="00FC420F"/>
    <w:rsid w:val="00FC4A0B"/>
    <w:rsid w:val="00FC58E3"/>
    <w:rsid w:val="00FC5AC7"/>
    <w:rsid w:val="00FC6940"/>
    <w:rsid w:val="00FC6D5C"/>
    <w:rsid w:val="00FC7784"/>
    <w:rsid w:val="00FD014A"/>
    <w:rsid w:val="00FD0380"/>
    <w:rsid w:val="00FD1435"/>
    <w:rsid w:val="00FD15CF"/>
    <w:rsid w:val="00FD1B4B"/>
    <w:rsid w:val="00FD4F36"/>
    <w:rsid w:val="00FD6250"/>
    <w:rsid w:val="00FD68C4"/>
    <w:rsid w:val="00FD6D38"/>
    <w:rsid w:val="00FD7005"/>
    <w:rsid w:val="00FD71C8"/>
    <w:rsid w:val="00FE1739"/>
    <w:rsid w:val="00FE175D"/>
    <w:rsid w:val="00FE229B"/>
    <w:rsid w:val="00FE41F3"/>
    <w:rsid w:val="00FE6170"/>
    <w:rsid w:val="00FE6BBC"/>
    <w:rsid w:val="00FE6EF6"/>
    <w:rsid w:val="00FF26CD"/>
    <w:rsid w:val="00FF2A8D"/>
    <w:rsid w:val="00FF3E58"/>
    <w:rsid w:val="00FF49FA"/>
    <w:rsid w:val="00FF4ABE"/>
    <w:rsid w:val="00FF4C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930"/>
    <w:rPr>
      <w:rFonts w:ascii="Arial" w:hAnsi="Arial"/>
      <w:sz w:val="24"/>
      <w:szCs w:val="24"/>
    </w:rPr>
  </w:style>
  <w:style w:type="paragraph" w:styleId="Heading1">
    <w:name w:val="heading 1"/>
    <w:basedOn w:val="Normal"/>
    <w:next w:val="Normal"/>
    <w:qFormat/>
    <w:rsid w:val="004937D0"/>
    <w:pPr>
      <w:keepNext/>
      <w:spacing w:before="360" w:after="120"/>
      <w:outlineLvl w:val="0"/>
    </w:pPr>
    <w:rPr>
      <w:rFonts w:cs="Arial"/>
      <w:b/>
      <w:bCs/>
      <w:kern w:val="32"/>
      <w:sz w:val="32"/>
      <w:szCs w:val="32"/>
    </w:rPr>
  </w:style>
  <w:style w:type="paragraph" w:styleId="Heading2">
    <w:name w:val="heading 2"/>
    <w:basedOn w:val="Normal"/>
    <w:next w:val="Normal"/>
    <w:link w:val="Heading2Char"/>
    <w:qFormat/>
    <w:rsid w:val="00844F2F"/>
    <w:pPr>
      <w:keepNext/>
      <w:spacing w:before="240" w:after="120" w:line="360" w:lineRule="auto"/>
      <w:outlineLvl w:val="1"/>
    </w:pPr>
    <w:rPr>
      <w:rFonts w:cs="Arial"/>
      <w:b/>
      <w:sz w:val="26"/>
    </w:rPr>
  </w:style>
  <w:style w:type="paragraph" w:styleId="Heading3">
    <w:name w:val="heading 3"/>
    <w:basedOn w:val="Normal"/>
    <w:next w:val="Normal"/>
    <w:qFormat/>
    <w:rsid w:val="009E7471"/>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9E7471"/>
    <w:pPr>
      <w:keepNext/>
      <w:numPr>
        <w:ilvl w:val="3"/>
        <w:numId w:val="1"/>
      </w:numPr>
      <w:spacing w:before="240" w:after="60"/>
      <w:outlineLvl w:val="3"/>
    </w:pPr>
    <w:rPr>
      <w:b/>
      <w:bCs/>
      <w:sz w:val="28"/>
      <w:szCs w:val="28"/>
    </w:rPr>
  </w:style>
  <w:style w:type="paragraph" w:styleId="Heading5">
    <w:name w:val="heading 5"/>
    <w:basedOn w:val="Normal"/>
    <w:next w:val="Normal"/>
    <w:qFormat/>
    <w:rsid w:val="009E7471"/>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3AF7"/>
    <w:pPr>
      <w:tabs>
        <w:tab w:val="center" w:pos="4153"/>
        <w:tab w:val="right" w:pos="8306"/>
      </w:tabs>
    </w:pPr>
  </w:style>
  <w:style w:type="paragraph" w:styleId="Footer">
    <w:name w:val="footer"/>
    <w:basedOn w:val="Normal"/>
    <w:link w:val="FooterChar"/>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paragraph" w:styleId="FootnoteText">
    <w:name w:val="footnote text"/>
    <w:basedOn w:val="Normal"/>
    <w:link w:val="FootnoteTextChar"/>
    <w:rsid w:val="004C5C58"/>
    <w:rPr>
      <w:sz w:val="20"/>
      <w:szCs w:val="20"/>
    </w:rPr>
  </w:style>
  <w:style w:type="character" w:styleId="FootnoteReference">
    <w:name w:val="footnote reference"/>
    <w:rsid w:val="004C5C58"/>
    <w:rPr>
      <w:vertAlign w:val="superscript"/>
    </w:rPr>
  </w:style>
  <w:style w:type="character" w:styleId="Hyperlink">
    <w:name w:val="Hyperlink"/>
    <w:uiPriority w:val="99"/>
    <w:rsid w:val="00193D90"/>
    <w:rPr>
      <w:color w:val="0000FF"/>
      <w:u w:val="single"/>
    </w:rPr>
  </w:style>
  <w:style w:type="paragraph" w:styleId="NormalWeb">
    <w:name w:val="Normal (Web)"/>
    <w:basedOn w:val="Normal"/>
    <w:uiPriority w:val="99"/>
    <w:rsid w:val="00A56901"/>
    <w:pPr>
      <w:spacing w:before="100" w:beforeAutospacing="1" w:after="100" w:afterAutospacing="1"/>
    </w:pPr>
    <w:rPr>
      <w:lang w:val="en-US" w:eastAsia="en-US"/>
    </w:rPr>
  </w:style>
  <w:style w:type="paragraph" w:styleId="HTMLPreformatted">
    <w:name w:val="HTML Preformatted"/>
    <w:basedOn w:val="Normal"/>
    <w:link w:val="HTMLPreformattedChar"/>
    <w:uiPriority w:val="99"/>
    <w:rsid w:val="00A5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Style12ptBoldUnderlineBefore12ptAfter12pt">
    <w:name w:val="Style 12 pt Bold Underline Before:  12 pt After:  12 pt"/>
    <w:basedOn w:val="Normal"/>
    <w:rsid w:val="00A56901"/>
    <w:pPr>
      <w:spacing w:before="240" w:after="240"/>
    </w:pPr>
    <w:rPr>
      <w:b/>
      <w:bCs/>
      <w:szCs w:val="20"/>
    </w:rPr>
  </w:style>
  <w:style w:type="character" w:customStyle="1" w:styleId="FooterChar">
    <w:name w:val="Footer Char"/>
    <w:link w:val="Footer"/>
    <w:uiPriority w:val="99"/>
    <w:rsid w:val="001811B9"/>
    <w:rPr>
      <w:sz w:val="24"/>
      <w:szCs w:val="24"/>
    </w:rPr>
  </w:style>
  <w:style w:type="character" w:customStyle="1" w:styleId="HeaderChar">
    <w:name w:val="Header Char"/>
    <w:link w:val="Header"/>
    <w:rsid w:val="001811B9"/>
    <w:rPr>
      <w:sz w:val="24"/>
      <w:szCs w:val="24"/>
    </w:rPr>
  </w:style>
  <w:style w:type="character" w:styleId="HTMLCite">
    <w:name w:val="HTML Cite"/>
    <w:uiPriority w:val="99"/>
    <w:unhideWhenUsed/>
    <w:rsid w:val="00005715"/>
    <w:rPr>
      <w:i/>
      <w:iCs/>
    </w:rPr>
  </w:style>
  <w:style w:type="character" w:customStyle="1" w:styleId="FootnoteTextChar">
    <w:name w:val="Footnote Text Char"/>
    <w:link w:val="FootnoteText"/>
    <w:rsid w:val="00005715"/>
  </w:style>
  <w:style w:type="paragraph" w:styleId="EndnoteText">
    <w:name w:val="endnote text"/>
    <w:basedOn w:val="Normal"/>
    <w:link w:val="EndnoteTextChar"/>
    <w:rsid w:val="00784E5C"/>
    <w:rPr>
      <w:rFonts w:ascii="Calibri" w:eastAsia="Calibri" w:hAnsi="Calibri" w:cs="Calibri"/>
      <w:sz w:val="20"/>
      <w:szCs w:val="20"/>
    </w:rPr>
  </w:style>
  <w:style w:type="character" w:customStyle="1" w:styleId="EndnoteTextChar">
    <w:name w:val="Endnote Text Char"/>
    <w:link w:val="EndnoteText"/>
    <w:rsid w:val="00784E5C"/>
    <w:rPr>
      <w:rFonts w:ascii="Calibri" w:eastAsia="Calibri" w:hAnsi="Calibri" w:cs="Calibri"/>
    </w:rPr>
  </w:style>
  <w:style w:type="character" w:styleId="EndnoteReference">
    <w:name w:val="endnote reference"/>
    <w:rsid w:val="00784E5C"/>
    <w:rPr>
      <w:vertAlign w:val="superscript"/>
    </w:rPr>
  </w:style>
  <w:style w:type="paragraph" w:styleId="ListParagraph">
    <w:name w:val="List Paragraph"/>
    <w:basedOn w:val="Normal"/>
    <w:uiPriority w:val="34"/>
    <w:qFormat/>
    <w:rsid w:val="002020CD"/>
    <w:pPr>
      <w:ind w:left="720"/>
      <w:contextualSpacing/>
    </w:pPr>
  </w:style>
  <w:style w:type="table" w:styleId="TableGrid">
    <w:name w:val="Table Grid"/>
    <w:basedOn w:val="TableNormal"/>
    <w:rsid w:val="0016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66FA6"/>
    <w:rPr>
      <w:sz w:val="16"/>
      <w:szCs w:val="16"/>
    </w:rPr>
  </w:style>
  <w:style w:type="paragraph" w:styleId="CommentText">
    <w:name w:val="annotation text"/>
    <w:basedOn w:val="Normal"/>
    <w:link w:val="CommentTextChar"/>
    <w:rsid w:val="00D66FA6"/>
    <w:rPr>
      <w:sz w:val="20"/>
      <w:szCs w:val="20"/>
    </w:rPr>
  </w:style>
  <w:style w:type="character" w:customStyle="1" w:styleId="CommentTextChar">
    <w:name w:val="Comment Text Char"/>
    <w:basedOn w:val="DefaultParagraphFont"/>
    <w:link w:val="CommentText"/>
    <w:rsid w:val="00D66FA6"/>
  </w:style>
  <w:style w:type="paragraph" w:styleId="CommentSubject">
    <w:name w:val="annotation subject"/>
    <w:basedOn w:val="CommentText"/>
    <w:next w:val="CommentText"/>
    <w:link w:val="CommentSubjectChar"/>
    <w:rsid w:val="00D66FA6"/>
    <w:rPr>
      <w:b/>
      <w:bCs/>
    </w:rPr>
  </w:style>
  <w:style w:type="character" w:customStyle="1" w:styleId="CommentSubjectChar">
    <w:name w:val="Comment Subject Char"/>
    <w:basedOn w:val="CommentTextChar"/>
    <w:link w:val="CommentSubject"/>
    <w:rsid w:val="00D66FA6"/>
    <w:rPr>
      <w:b/>
      <w:bCs/>
    </w:rPr>
  </w:style>
  <w:style w:type="table" w:styleId="LightShading-Accent1">
    <w:name w:val="Light Shading Accent 1"/>
    <w:basedOn w:val="TableNormal"/>
    <w:uiPriority w:val="60"/>
    <w:rsid w:val="00C5750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TMLPreformattedChar">
    <w:name w:val="HTML Preformatted Char"/>
    <w:basedOn w:val="DefaultParagraphFont"/>
    <w:link w:val="HTMLPreformatted"/>
    <w:uiPriority w:val="99"/>
    <w:rsid w:val="00CB2981"/>
    <w:rPr>
      <w:rFonts w:ascii="Courier New" w:hAnsi="Courier New" w:cs="Courier New"/>
      <w:lang w:val="en-US" w:eastAsia="en-US"/>
    </w:rPr>
  </w:style>
  <w:style w:type="paragraph" w:styleId="TOCHeading">
    <w:name w:val="TOC Heading"/>
    <w:basedOn w:val="Heading1"/>
    <w:next w:val="Normal"/>
    <w:uiPriority w:val="39"/>
    <w:semiHidden/>
    <w:unhideWhenUsed/>
    <w:qFormat/>
    <w:rsid w:val="004937D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5A62B5"/>
    <w:pPr>
      <w:tabs>
        <w:tab w:val="right" w:leader="dot" w:pos="8302"/>
      </w:tabs>
      <w:spacing w:before="120" w:after="120"/>
    </w:pPr>
    <w:rPr>
      <w:rFonts w:cs="Arial"/>
      <w:noProof/>
    </w:rPr>
  </w:style>
  <w:style w:type="paragraph" w:customStyle="1" w:styleId="Default">
    <w:name w:val="Default"/>
    <w:rsid w:val="00095848"/>
    <w:pPr>
      <w:autoSpaceDE w:val="0"/>
      <w:autoSpaceDN w:val="0"/>
      <w:adjustRightInd w:val="0"/>
    </w:pPr>
    <w:rPr>
      <w:color w:val="000000"/>
      <w:sz w:val="24"/>
      <w:szCs w:val="24"/>
    </w:rPr>
  </w:style>
  <w:style w:type="character" w:styleId="FollowedHyperlink">
    <w:name w:val="FollowedHyperlink"/>
    <w:basedOn w:val="DefaultParagraphFont"/>
    <w:rsid w:val="0028206B"/>
    <w:rPr>
      <w:color w:val="800080" w:themeColor="followedHyperlink"/>
      <w:u w:val="single"/>
    </w:rPr>
  </w:style>
  <w:style w:type="character" w:styleId="Emphasis">
    <w:name w:val="Emphasis"/>
    <w:basedOn w:val="DefaultParagraphFont"/>
    <w:uiPriority w:val="20"/>
    <w:qFormat/>
    <w:rsid w:val="00C8580C"/>
    <w:rPr>
      <w:i/>
      <w:iCs/>
      <w:color w:val="000000"/>
    </w:rPr>
  </w:style>
  <w:style w:type="character" w:customStyle="1" w:styleId="field-content">
    <w:name w:val="field-content"/>
    <w:basedOn w:val="DefaultParagraphFont"/>
    <w:rsid w:val="00C8580C"/>
  </w:style>
  <w:style w:type="character" w:styleId="Strong">
    <w:name w:val="Strong"/>
    <w:basedOn w:val="DefaultParagraphFont"/>
    <w:uiPriority w:val="22"/>
    <w:qFormat/>
    <w:rsid w:val="00F30B13"/>
    <w:rPr>
      <w:b/>
      <w:bCs/>
    </w:rPr>
  </w:style>
  <w:style w:type="character" w:customStyle="1" w:styleId="docsearchterm">
    <w:name w:val="docsearchterm"/>
    <w:basedOn w:val="DefaultParagraphFont"/>
    <w:rsid w:val="00F30B13"/>
  </w:style>
  <w:style w:type="paragraph" w:customStyle="1" w:styleId="tablelist">
    <w:name w:val="table list"/>
    <w:basedOn w:val="Normal"/>
    <w:rsid w:val="00F30B13"/>
    <w:pPr>
      <w:numPr>
        <w:numId w:val="4"/>
      </w:numPr>
    </w:pPr>
    <w:rPr>
      <w:rFonts w:eastAsiaTheme="minorHAnsi"/>
      <w:lang w:eastAsia="en-US"/>
    </w:rPr>
  </w:style>
  <w:style w:type="paragraph" w:styleId="PlainText">
    <w:name w:val="Plain Text"/>
    <w:basedOn w:val="Normal"/>
    <w:link w:val="PlainTextChar"/>
    <w:uiPriority w:val="99"/>
    <w:unhideWhenUsed/>
    <w:rsid w:val="00F30B13"/>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F30B13"/>
    <w:rPr>
      <w:rFonts w:ascii="Calibri" w:eastAsiaTheme="minorHAnsi" w:hAnsi="Calibri"/>
      <w:sz w:val="22"/>
      <w:szCs w:val="22"/>
      <w:lang w:eastAsia="en-US"/>
    </w:rPr>
  </w:style>
  <w:style w:type="paragraph" w:styleId="TOC2">
    <w:name w:val="toc 2"/>
    <w:basedOn w:val="Normal"/>
    <w:next w:val="Normal"/>
    <w:autoRedefine/>
    <w:uiPriority w:val="39"/>
    <w:rsid w:val="00272581"/>
    <w:pPr>
      <w:spacing w:after="100"/>
      <w:ind w:left="240"/>
    </w:pPr>
  </w:style>
  <w:style w:type="paragraph" w:styleId="BodyText">
    <w:name w:val="Body Text"/>
    <w:basedOn w:val="Normal"/>
    <w:link w:val="BodyTextChar"/>
    <w:uiPriority w:val="99"/>
    <w:unhideWhenUsed/>
    <w:rsid w:val="00210C13"/>
    <w:pPr>
      <w:spacing w:after="160" w:line="252" w:lineRule="exact"/>
    </w:pPr>
    <w:rPr>
      <w:rFonts w:ascii="Calibri" w:eastAsiaTheme="minorHAnsi" w:hAnsi="Calibri" w:cs="Calibri"/>
      <w:sz w:val="22"/>
      <w:szCs w:val="22"/>
    </w:rPr>
  </w:style>
  <w:style w:type="character" w:customStyle="1" w:styleId="BodyTextChar">
    <w:name w:val="Body Text Char"/>
    <w:basedOn w:val="DefaultParagraphFont"/>
    <w:link w:val="BodyText"/>
    <w:uiPriority w:val="99"/>
    <w:rsid w:val="00210C13"/>
    <w:rPr>
      <w:rFonts w:ascii="Calibri" w:eastAsiaTheme="minorHAnsi" w:hAnsi="Calibri" w:cs="Calibri"/>
      <w:sz w:val="22"/>
      <w:szCs w:val="22"/>
    </w:rPr>
  </w:style>
  <w:style w:type="paragraph" w:customStyle="1" w:styleId="nzMiscellaneousBody">
    <w:name w:val="nzMiscellaneous Body"/>
    <w:basedOn w:val="Normal"/>
    <w:uiPriority w:val="99"/>
    <w:rsid w:val="00FE175D"/>
    <w:pPr>
      <w:spacing w:before="80"/>
      <w:ind w:left="567" w:right="284"/>
    </w:pPr>
    <w:rPr>
      <w:rFonts w:eastAsiaTheme="minorEastAsia"/>
      <w:sz w:val="20"/>
      <w:szCs w:val="20"/>
    </w:rPr>
  </w:style>
  <w:style w:type="character" w:customStyle="1" w:styleId="Heading2Char">
    <w:name w:val="Heading 2 Char"/>
    <w:basedOn w:val="DefaultParagraphFont"/>
    <w:link w:val="Heading2"/>
    <w:rsid w:val="00844F2F"/>
    <w:rPr>
      <w:rFonts w:ascii="Arial" w:hAnsi="Arial" w:cs="Arial"/>
      <w:b/>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930"/>
    <w:rPr>
      <w:rFonts w:ascii="Arial" w:hAnsi="Arial"/>
      <w:sz w:val="24"/>
      <w:szCs w:val="24"/>
    </w:rPr>
  </w:style>
  <w:style w:type="paragraph" w:styleId="Heading1">
    <w:name w:val="heading 1"/>
    <w:basedOn w:val="Normal"/>
    <w:next w:val="Normal"/>
    <w:qFormat/>
    <w:rsid w:val="004937D0"/>
    <w:pPr>
      <w:keepNext/>
      <w:spacing w:before="360" w:after="120"/>
      <w:outlineLvl w:val="0"/>
    </w:pPr>
    <w:rPr>
      <w:rFonts w:cs="Arial"/>
      <w:b/>
      <w:bCs/>
      <w:kern w:val="32"/>
      <w:sz w:val="32"/>
      <w:szCs w:val="32"/>
    </w:rPr>
  </w:style>
  <w:style w:type="paragraph" w:styleId="Heading2">
    <w:name w:val="heading 2"/>
    <w:basedOn w:val="Normal"/>
    <w:next w:val="Normal"/>
    <w:link w:val="Heading2Char"/>
    <w:qFormat/>
    <w:rsid w:val="00844F2F"/>
    <w:pPr>
      <w:keepNext/>
      <w:spacing w:before="240" w:after="120" w:line="360" w:lineRule="auto"/>
      <w:outlineLvl w:val="1"/>
    </w:pPr>
    <w:rPr>
      <w:rFonts w:cs="Arial"/>
      <w:b/>
      <w:sz w:val="26"/>
    </w:rPr>
  </w:style>
  <w:style w:type="paragraph" w:styleId="Heading3">
    <w:name w:val="heading 3"/>
    <w:basedOn w:val="Normal"/>
    <w:next w:val="Normal"/>
    <w:qFormat/>
    <w:rsid w:val="009E7471"/>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9E7471"/>
    <w:pPr>
      <w:keepNext/>
      <w:numPr>
        <w:ilvl w:val="3"/>
        <w:numId w:val="1"/>
      </w:numPr>
      <w:spacing w:before="240" w:after="60"/>
      <w:outlineLvl w:val="3"/>
    </w:pPr>
    <w:rPr>
      <w:b/>
      <w:bCs/>
      <w:sz w:val="28"/>
      <w:szCs w:val="28"/>
    </w:rPr>
  </w:style>
  <w:style w:type="paragraph" w:styleId="Heading5">
    <w:name w:val="heading 5"/>
    <w:basedOn w:val="Normal"/>
    <w:next w:val="Normal"/>
    <w:qFormat/>
    <w:rsid w:val="009E7471"/>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3AF7"/>
    <w:pPr>
      <w:tabs>
        <w:tab w:val="center" w:pos="4153"/>
        <w:tab w:val="right" w:pos="8306"/>
      </w:tabs>
    </w:pPr>
  </w:style>
  <w:style w:type="paragraph" w:styleId="Footer">
    <w:name w:val="footer"/>
    <w:basedOn w:val="Normal"/>
    <w:link w:val="FooterChar"/>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paragraph" w:styleId="FootnoteText">
    <w:name w:val="footnote text"/>
    <w:basedOn w:val="Normal"/>
    <w:link w:val="FootnoteTextChar"/>
    <w:rsid w:val="004C5C58"/>
    <w:rPr>
      <w:sz w:val="20"/>
      <w:szCs w:val="20"/>
    </w:rPr>
  </w:style>
  <w:style w:type="character" w:styleId="FootnoteReference">
    <w:name w:val="footnote reference"/>
    <w:rsid w:val="004C5C58"/>
    <w:rPr>
      <w:vertAlign w:val="superscript"/>
    </w:rPr>
  </w:style>
  <w:style w:type="character" w:styleId="Hyperlink">
    <w:name w:val="Hyperlink"/>
    <w:uiPriority w:val="99"/>
    <w:rsid w:val="00193D90"/>
    <w:rPr>
      <w:color w:val="0000FF"/>
      <w:u w:val="single"/>
    </w:rPr>
  </w:style>
  <w:style w:type="paragraph" w:styleId="NormalWeb">
    <w:name w:val="Normal (Web)"/>
    <w:basedOn w:val="Normal"/>
    <w:uiPriority w:val="99"/>
    <w:rsid w:val="00A56901"/>
    <w:pPr>
      <w:spacing w:before="100" w:beforeAutospacing="1" w:after="100" w:afterAutospacing="1"/>
    </w:pPr>
    <w:rPr>
      <w:lang w:val="en-US" w:eastAsia="en-US"/>
    </w:rPr>
  </w:style>
  <w:style w:type="paragraph" w:styleId="HTMLPreformatted">
    <w:name w:val="HTML Preformatted"/>
    <w:basedOn w:val="Normal"/>
    <w:link w:val="HTMLPreformattedChar"/>
    <w:uiPriority w:val="99"/>
    <w:rsid w:val="00A5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Style12ptBoldUnderlineBefore12ptAfter12pt">
    <w:name w:val="Style 12 pt Bold Underline Before:  12 pt After:  12 pt"/>
    <w:basedOn w:val="Normal"/>
    <w:rsid w:val="00A56901"/>
    <w:pPr>
      <w:spacing w:before="240" w:after="240"/>
    </w:pPr>
    <w:rPr>
      <w:b/>
      <w:bCs/>
      <w:szCs w:val="20"/>
    </w:rPr>
  </w:style>
  <w:style w:type="character" w:customStyle="1" w:styleId="FooterChar">
    <w:name w:val="Footer Char"/>
    <w:link w:val="Footer"/>
    <w:uiPriority w:val="99"/>
    <w:rsid w:val="001811B9"/>
    <w:rPr>
      <w:sz w:val="24"/>
      <w:szCs w:val="24"/>
    </w:rPr>
  </w:style>
  <w:style w:type="character" w:customStyle="1" w:styleId="HeaderChar">
    <w:name w:val="Header Char"/>
    <w:link w:val="Header"/>
    <w:rsid w:val="001811B9"/>
    <w:rPr>
      <w:sz w:val="24"/>
      <w:szCs w:val="24"/>
    </w:rPr>
  </w:style>
  <w:style w:type="character" w:styleId="HTMLCite">
    <w:name w:val="HTML Cite"/>
    <w:uiPriority w:val="99"/>
    <w:unhideWhenUsed/>
    <w:rsid w:val="00005715"/>
    <w:rPr>
      <w:i/>
      <w:iCs/>
    </w:rPr>
  </w:style>
  <w:style w:type="character" w:customStyle="1" w:styleId="FootnoteTextChar">
    <w:name w:val="Footnote Text Char"/>
    <w:link w:val="FootnoteText"/>
    <w:rsid w:val="00005715"/>
  </w:style>
  <w:style w:type="paragraph" w:styleId="EndnoteText">
    <w:name w:val="endnote text"/>
    <w:basedOn w:val="Normal"/>
    <w:link w:val="EndnoteTextChar"/>
    <w:rsid w:val="00784E5C"/>
    <w:rPr>
      <w:rFonts w:ascii="Calibri" w:eastAsia="Calibri" w:hAnsi="Calibri" w:cs="Calibri"/>
      <w:sz w:val="20"/>
      <w:szCs w:val="20"/>
    </w:rPr>
  </w:style>
  <w:style w:type="character" w:customStyle="1" w:styleId="EndnoteTextChar">
    <w:name w:val="Endnote Text Char"/>
    <w:link w:val="EndnoteText"/>
    <w:rsid w:val="00784E5C"/>
    <w:rPr>
      <w:rFonts w:ascii="Calibri" w:eastAsia="Calibri" w:hAnsi="Calibri" w:cs="Calibri"/>
    </w:rPr>
  </w:style>
  <w:style w:type="character" w:styleId="EndnoteReference">
    <w:name w:val="endnote reference"/>
    <w:rsid w:val="00784E5C"/>
    <w:rPr>
      <w:vertAlign w:val="superscript"/>
    </w:rPr>
  </w:style>
  <w:style w:type="paragraph" w:styleId="ListParagraph">
    <w:name w:val="List Paragraph"/>
    <w:basedOn w:val="Normal"/>
    <w:uiPriority w:val="34"/>
    <w:qFormat/>
    <w:rsid w:val="002020CD"/>
    <w:pPr>
      <w:ind w:left="720"/>
      <w:contextualSpacing/>
    </w:pPr>
  </w:style>
  <w:style w:type="table" w:styleId="TableGrid">
    <w:name w:val="Table Grid"/>
    <w:basedOn w:val="TableNormal"/>
    <w:rsid w:val="0016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66FA6"/>
    <w:rPr>
      <w:sz w:val="16"/>
      <w:szCs w:val="16"/>
    </w:rPr>
  </w:style>
  <w:style w:type="paragraph" w:styleId="CommentText">
    <w:name w:val="annotation text"/>
    <w:basedOn w:val="Normal"/>
    <w:link w:val="CommentTextChar"/>
    <w:rsid w:val="00D66FA6"/>
    <w:rPr>
      <w:sz w:val="20"/>
      <w:szCs w:val="20"/>
    </w:rPr>
  </w:style>
  <w:style w:type="character" w:customStyle="1" w:styleId="CommentTextChar">
    <w:name w:val="Comment Text Char"/>
    <w:basedOn w:val="DefaultParagraphFont"/>
    <w:link w:val="CommentText"/>
    <w:rsid w:val="00D66FA6"/>
  </w:style>
  <w:style w:type="paragraph" w:styleId="CommentSubject">
    <w:name w:val="annotation subject"/>
    <w:basedOn w:val="CommentText"/>
    <w:next w:val="CommentText"/>
    <w:link w:val="CommentSubjectChar"/>
    <w:rsid w:val="00D66FA6"/>
    <w:rPr>
      <w:b/>
      <w:bCs/>
    </w:rPr>
  </w:style>
  <w:style w:type="character" w:customStyle="1" w:styleId="CommentSubjectChar">
    <w:name w:val="Comment Subject Char"/>
    <w:basedOn w:val="CommentTextChar"/>
    <w:link w:val="CommentSubject"/>
    <w:rsid w:val="00D66FA6"/>
    <w:rPr>
      <w:b/>
      <w:bCs/>
    </w:rPr>
  </w:style>
  <w:style w:type="table" w:styleId="LightShading-Accent1">
    <w:name w:val="Light Shading Accent 1"/>
    <w:basedOn w:val="TableNormal"/>
    <w:uiPriority w:val="60"/>
    <w:rsid w:val="00C5750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TMLPreformattedChar">
    <w:name w:val="HTML Preformatted Char"/>
    <w:basedOn w:val="DefaultParagraphFont"/>
    <w:link w:val="HTMLPreformatted"/>
    <w:uiPriority w:val="99"/>
    <w:rsid w:val="00CB2981"/>
    <w:rPr>
      <w:rFonts w:ascii="Courier New" w:hAnsi="Courier New" w:cs="Courier New"/>
      <w:lang w:val="en-US" w:eastAsia="en-US"/>
    </w:rPr>
  </w:style>
  <w:style w:type="paragraph" w:styleId="TOCHeading">
    <w:name w:val="TOC Heading"/>
    <w:basedOn w:val="Heading1"/>
    <w:next w:val="Normal"/>
    <w:uiPriority w:val="39"/>
    <w:semiHidden/>
    <w:unhideWhenUsed/>
    <w:qFormat/>
    <w:rsid w:val="004937D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5A62B5"/>
    <w:pPr>
      <w:tabs>
        <w:tab w:val="right" w:leader="dot" w:pos="8302"/>
      </w:tabs>
      <w:spacing w:before="120" w:after="120"/>
    </w:pPr>
    <w:rPr>
      <w:rFonts w:cs="Arial"/>
      <w:noProof/>
    </w:rPr>
  </w:style>
  <w:style w:type="paragraph" w:customStyle="1" w:styleId="Default">
    <w:name w:val="Default"/>
    <w:rsid w:val="00095848"/>
    <w:pPr>
      <w:autoSpaceDE w:val="0"/>
      <w:autoSpaceDN w:val="0"/>
      <w:adjustRightInd w:val="0"/>
    </w:pPr>
    <w:rPr>
      <w:color w:val="000000"/>
      <w:sz w:val="24"/>
      <w:szCs w:val="24"/>
    </w:rPr>
  </w:style>
  <w:style w:type="character" w:styleId="FollowedHyperlink">
    <w:name w:val="FollowedHyperlink"/>
    <w:basedOn w:val="DefaultParagraphFont"/>
    <w:rsid w:val="0028206B"/>
    <w:rPr>
      <w:color w:val="800080" w:themeColor="followedHyperlink"/>
      <w:u w:val="single"/>
    </w:rPr>
  </w:style>
  <w:style w:type="character" w:styleId="Emphasis">
    <w:name w:val="Emphasis"/>
    <w:basedOn w:val="DefaultParagraphFont"/>
    <w:uiPriority w:val="20"/>
    <w:qFormat/>
    <w:rsid w:val="00C8580C"/>
    <w:rPr>
      <w:i/>
      <w:iCs/>
      <w:color w:val="000000"/>
    </w:rPr>
  </w:style>
  <w:style w:type="character" w:customStyle="1" w:styleId="field-content">
    <w:name w:val="field-content"/>
    <w:basedOn w:val="DefaultParagraphFont"/>
    <w:rsid w:val="00C8580C"/>
  </w:style>
  <w:style w:type="character" w:styleId="Strong">
    <w:name w:val="Strong"/>
    <w:basedOn w:val="DefaultParagraphFont"/>
    <w:uiPriority w:val="22"/>
    <w:qFormat/>
    <w:rsid w:val="00F30B13"/>
    <w:rPr>
      <w:b/>
      <w:bCs/>
    </w:rPr>
  </w:style>
  <w:style w:type="character" w:customStyle="1" w:styleId="docsearchterm">
    <w:name w:val="docsearchterm"/>
    <w:basedOn w:val="DefaultParagraphFont"/>
    <w:rsid w:val="00F30B13"/>
  </w:style>
  <w:style w:type="paragraph" w:customStyle="1" w:styleId="tablelist">
    <w:name w:val="table list"/>
    <w:basedOn w:val="Normal"/>
    <w:rsid w:val="00F30B13"/>
    <w:pPr>
      <w:numPr>
        <w:numId w:val="4"/>
      </w:numPr>
    </w:pPr>
    <w:rPr>
      <w:rFonts w:eastAsiaTheme="minorHAnsi"/>
      <w:lang w:eastAsia="en-US"/>
    </w:rPr>
  </w:style>
  <w:style w:type="paragraph" w:styleId="PlainText">
    <w:name w:val="Plain Text"/>
    <w:basedOn w:val="Normal"/>
    <w:link w:val="PlainTextChar"/>
    <w:uiPriority w:val="99"/>
    <w:unhideWhenUsed/>
    <w:rsid w:val="00F30B13"/>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F30B13"/>
    <w:rPr>
      <w:rFonts w:ascii="Calibri" w:eastAsiaTheme="minorHAnsi" w:hAnsi="Calibri"/>
      <w:sz w:val="22"/>
      <w:szCs w:val="22"/>
      <w:lang w:eastAsia="en-US"/>
    </w:rPr>
  </w:style>
  <w:style w:type="paragraph" w:styleId="TOC2">
    <w:name w:val="toc 2"/>
    <w:basedOn w:val="Normal"/>
    <w:next w:val="Normal"/>
    <w:autoRedefine/>
    <w:uiPriority w:val="39"/>
    <w:rsid w:val="00272581"/>
    <w:pPr>
      <w:spacing w:after="100"/>
      <w:ind w:left="240"/>
    </w:pPr>
  </w:style>
  <w:style w:type="paragraph" w:styleId="BodyText">
    <w:name w:val="Body Text"/>
    <w:basedOn w:val="Normal"/>
    <w:link w:val="BodyTextChar"/>
    <w:uiPriority w:val="99"/>
    <w:unhideWhenUsed/>
    <w:rsid w:val="00210C13"/>
    <w:pPr>
      <w:spacing w:after="160" w:line="252" w:lineRule="exact"/>
    </w:pPr>
    <w:rPr>
      <w:rFonts w:ascii="Calibri" w:eastAsiaTheme="minorHAnsi" w:hAnsi="Calibri" w:cs="Calibri"/>
      <w:sz w:val="22"/>
      <w:szCs w:val="22"/>
    </w:rPr>
  </w:style>
  <w:style w:type="character" w:customStyle="1" w:styleId="BodyTextChar">
    <w:name w:val="Body Text Char"/>
    <w:basedOn w:val="DefaultParagraphFont"/>
    <w:link w:val="BodyText"/>
    <w:uiPriority w:val="99"/>
    <w:rsid w:val="00210C13"/>
    <w:rPr>
      <w:rFonts w:ascii="Calibri" w:eastAsiaTheme="minorHAnsi" w:hAnsi="Calibri" w:cs="Calibri"/>
      <w:sz w:val="22"/>
      <w:szCs w:val="22"/>
    </w:rPr>
  </w:style>
  <w:style w:type="paragraph" w:customStyle="1" w:styleId="nzMiscellaneousBody">
    <w:name w:val="nzMiscellaneous Body"/>
    <w:basedOn w:val="Normal"/>
    <w:uiPriority w:val="99"/>
    <w:rsid w:val="00FE175D"/>
    <w:pPr>
      <w:spacing w:before="80"/>
      <w:ind w:left="567" w:right="284"/>
    </w:pPr>
    <w:rPr>
      <w:rFonts w:eastAsiaTheme="minorEastAsia"/>
      <w:sz w:val="20"/>
      <w:szCs w:val="20"/>
    </w:rPr>
  </w:style>
  <w:style w:type="character" w:customStyle="1" w:styleId="Heading2Char">
    <w:name w:val="Heading 2 Char"/>
    <w:basedOn w:val="DefaultParagraphFont"/>
    <w:link w:val="Heading2"/>
    <w:rsid w:val="00844F2F"/>
    <w:rPr>
      <w:rFonts w:ascii="Arial" w:hAnsi="Arial" w:cs="Arial"/>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7975">
      <w:bodyDiv w:val="1"/>
      <w:marLeft w:val="0"/>
      <w:marRight w:val="0"/>
      <w:marTop w:val="0"/>
      <w:marBottom w:val="0"/>
      <w:divBdr>
        <w:top w:val="none" w:sz="0" w:space="0" w:color="auto"/>
        <w:left w:val="none" w:sz="0" w:space="0" w:color="auto"/>
        <w:bottom w:val="none" w:sz="0" w:space="0" w:color="auto"/>
        <w:right w:val="none" w:sz="0" w:space="0" w:color="auto"/>
      </w:divBdr>
    </w:div>
    <w:div w:id="218175513">
      <w:bodyDiv w:val="1"/>
      <w:marLeft w:val="0"/>
      <w:marRight w:val="0"/>
      <w:marTop w:val="0"/>
      <w:marBottom w:val="0"/>
      <w:divBdr>
        <w:top w:val="none" w:sz="0" w:space="0" w:color="auto"/>
        <w:left w:val="none" w:sz="0" w:space="0" w:color="auto"/>
        <w:bottom w:val="none" w:sz="0" w:space="0" w:color="auto"/>
        <w:right w:val="none" w:sz="0" w:space="0" w:color="auto"/>
      </w:divBdr>
      <w:divsChild>
        <w:div w:id="2013336594">
          <w:marLeft w:val="0"/>
          <w:marRight w:val="0"/>
          <w:marTop w:val="0"/>
          <w:marBottom w:val="0"/>
          <w:divBdr>
            <w:top w:val="none" w:sz="0" w:space="0" w:color="auto"/>
            <w:left w:val="none" w:sz="0" w:space="0" w:color="auto"/>
            <w:bottom w:val="none" w:sz="0" w:space="0" w:color="auto"/>
            <w:right w:val="none" w:sz="0" w:space="0" w:color="auto"/>
          </w:divBdr>
          <w:divsChild>
            <w:div w:id="777063178">
              <w:marLeft w:val="0"/>
              <w:marRight w:val="0"/>
              <w:marTop w:val="0"/>
              <w:marBottom w:val="0"/>
              <w:divBdr>
                <w:top w:val="none" w:sz="0" w:space="0" w:color="auto"/>
                <w:left w:val="none" w:sz="0" w:space="0" w:color="auto"/>
                <w:bottom w:val="none" w:sz="0" w:space="0" w:color="auto"/>
                <w:right w:val="none" w:sz="0" w:space="0" w:color="auto"/>
              </w:divBdr>
              <w:divsChild>
                <w:div w:id="1970236692">
                  <w:marLeft w:val="1"/>
                  <w:marRight w:val="0"/>
                  <w:marTop w:val="0"/>
                  <w:marBottom w:val="0"/>
                  <w:divBdr>
                    <w:top w:val="none" w:sz="0" w:space="0" w:color="auto"/>
                    <w:left w:val="none" w:sz="0" w:space="0" w:color="auto"/>
                    <w:bottom w:val="none" w:sz="0" w:space="0" w:color="auto"/>
                    <w:right w:val="none" w:sz="0" w:space="0" w:color="auto"/>
                  </w:divBdr>
                  <w:divsChild>
                    <w:div w:id="1070885538">
                      <w:marLeft w:val="0"/>
                      <w:marRight w:val="0"/>
                      <w:marTop w:val="0"/>
                      <w:marBottom w:val="0"/>
                      <w:divBdr>
                        <w:top w:val="none" w:sz="0" w:space="0" w:color="auto"/>
                        <w:left w:val="none" w:sz="0" w:space="0" w:color="auto"/>
                        <w:bottom w:val="none" w:sz="0" w:space="0" w:color="auto"/>
                        <w:right w:val="none" w:sz="0" w:space="0" w:color="auto"/>
                      </w:divBdr>
                      <w:divsChild>
                        <w:div w:id="64692445">
                          <w:marLeft w:val="0"/>
                          <w:marRight w:val="0"/>
                          <w:marTop w:val="0"/>
                          <w:marBottom w:val="0"/>
                          <w:divBdr>
                            <w:top w:val="none" w:sz="0" w:space="0" w:color="auto"/>
                            <w:left w:val="none" w:sz="0" w:space="0" w:color="auto"/>
                            <w:bottom w:val="none" w:sz="0" w:space="0" w:color="auto"/>
                            <w:right w:val="none" w:sz="0" w:space="0" w:color="auto"/>
                          </w:divBdr>
                          <w:divsChild>
                            <w:div w:id="1199974189">
                              <w:marLeft w:val="150"/>
                              <w:marRight w:val="150"/>
                              <w:marTop w:val="0"/>
                              <w:marBottom w:val="2"/>
                              <w:divBdr>
                                <w:top w:val="none" w:sz="0" w:space="0" w:color="auto"/>
                                <w:left w:val="none" w:sz="0" w:space="0" w:color="auto"/>
                                <w:bottom w:val="none" w:sz="0" w:space="0" w:color="auto"/>
                                <w:right w:val="none" w:sz="0" w:space="0" w:color="auto"/>
                              </w:divBdr>
                              <w:divsChild>
                                <w:div w:id="975834338">
                                  <w:marLeft w:val="0"/>
                                  <w:marRight w:val="0"/>
                                  <w:marTop w:val="0"/>
                                  <w:marBottom w:val="0"/>
                                  <w:divBdr>
                                    <w:top w:val="none" w:sz="0" w:space="0" w:color="auto"/>
                                    <w:left w:val="none" w:sz="0" w:space="0" w:color="auto"/>
                                    <w:bottom w:val="none" w:sz="0" w:space="0" w:color="auto"/>
                                    <w:right w:val="none" w:sz="0" w:space="0" w:color="auto"/>
                                  </w:divBdr>
                                  <w:divsChild>
                                    <w:div w:id="1477140335">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6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8C094-12C8-4FAD-8D45-F47F67DC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2745</Words>
  <Characters>15876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Inquiry into the Justice and Other Legislation Amendment Bill 2014</vt:lpstr>
    </vt:vector>
  </TitlesOfParts>
  <Company>Anti-Discrimination Commission Qld</Company>
  <LinksUpToDate>false</LinksUpToDate>
  <CharactersWithSpaces>18584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Inquiry into the Justice and Other Legislation Amendment Bill 2014</dc:title>
  <dc:subject>Legislative amendment</dc:subject>
  <dc:creator>Julie Ball</dc:creator>
  <cp:keywords>submission, Anti-Discrimination Act 1991, Legal Affairs and Community Safety Committee, legislative amendment, Queensland legislation, proof of identity</cp:keywords>
  <cp:lastModifiedBy>Coral Logan</cp:lastModifiedBy>
  <cp:revision>5</cp:revision>
  <cp:lastPrinted>2015-07-20T01:15:00Z</cp:lastPrinted>
  <dcterms:created xsi:type="dcterms:W3CDTF">2015-07-20T01:15:00Z</dcterms:created>
  <dcterms:modified xsi:type="dcterms:W3CDTF">2015-07-31T03:47:00Z</dcterms:modified>
  <cp:category>Submission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