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79" w:rsidRPr="00387344" w:rsidRDefault="003B0F67" w:rsidP="00B830DF">
      <w:pPr>
        <w:tabs>
          <w:tab w:val="left" w:pos="2642"/>
          <w:tab w:val="center" w:pos="4156"/>
        </w:tabs>
        <w:autoSpaceDE w:val="0"/>
        <w:autoSpaceDN w:val="0"/>
        <w:adjustRightInd w:val="0"/>
        <w:spacing w:before="1440"/>
        <w:jc w:val="center"/>
        <w:rPr>
          <w:rFonts w:cs="Arial"/>
          <w:b/>
          <w:sz w:val="36"/>
          <w:szCs w:val="36"/>
        </w:rPr>
      </w:pPr>
      <w:r w:rsidRPr="00387344">
        <w:rPr>
          <w:rFonts w:cs="Arial"/>
          <w:b/>
          <w:sz w:val="36"/>
          <w:szCs w:val="36"/>
        </w:rPr>
        <w:t>Submission</w:t>
      </w:r>
    </w:p>
    <w:p w:rsidR="00BF58F2" w:rsidRPr="00387344" w:rsidRDefault="003B0F67" w:rsidP="008043E9">
      <w:pPr>
        <w:autoSpaceDE w:val="0"/>
        <w:autoSpaceDN w:val="0"/>
        <w:adjustRightInd w:val="0"/>
        <w:spacing w:before="480" w:after="240"/>
        <w:jc w:val="center"/>
        <w:rPr>
          <w:rFonts w:cs="Arial"/>
          <w:b/>
          <w:sz w:val="36"/>
          <w:szCs w:val="36"/>
        </w:rPr>
      </w:pPr>
      <w:proofErr w:type="gramStart"/>
      <w:r w:rsidRPr="00387344">
        <w:rPr>
          <w:rFonts w:cs="Arial"/>
          <w:b/>
          <w:sz w:val="36"/>
          <w:szCs w:val="36"/>
        </w:rPr>
        <w:t>to</w:t>
      </w:r>
      <w:proofErr w:type="gramEnd"/>
    </w:p>
    <w:p w:rsidR="005B6CFB" w:rsidRPr="00387344" w:rsidRDefault="00C94368" w:rsidP="002E0BFC">
      <w:pPr>
        <w:autoSpaceDE w:val="0"/>
        <w:autoSpaceDN w:val="0"/>
        <w:adjustRightInd w:val="0"/>
        <w:spacing w:before="480" w:after="240"/>
        <w:jc w:val="center"/>
        <w:rPr>
          <w:rFonts w:cs="Arial"/>
          <w:b/>
          <w:sz w:val="36"/>
          <w:szCs w:val="36"/>
        </w:rPr>
      </w:pPr>
      <w:r>
        <w:rPr>
          <w:rFonts w:cs="Arial"/>
          <w:b/>
          <w:sz w:val="36"/>
          <w:szCs w:val="36"/>
        </w:rPr>
        <w:t>Finance and Administration Committee</w:t>
      </w:r>
    </w:p>
    <w:p w:rsidR="001811B9" w:rsidRPr="00C94368" w:rsidRDefault="00C94368" w:rsidP="002E0BFC">
      <w:pPr>
        <w:autoSpaceDE w:val="0"/>
        <w:autoSpaceDN w:val="0"/>
        <w:adjustRightInd w:val="0"/>
        <w:spacing w:before="1440" w:after="240"/>
        <w:jc w:val="center"/>
        <w:rPr>
          <w:rFonts w:cs="Arial"/>
          <w:b/>
          <w:i/>
          <w:sz w:val="44"/>
          <w:szCs w:val="44"/>
        </w:rPr>
      </w:pPr>
      <w:r>
        <w:rPr>
          <w:rFonts w:cs="Arial"/>
          <w:b/>
          <w:sz w:val="44"/>
          <w:szCs w:val="44"/>
        </w:rPr>
        <w:t xml:space="preserve">Inquiry into the </w:t>
      </w:r>
      <w:r>
        <w:rPr>
          <w:rFonts w:cs="Arial"/>
          <w:b/>
          <w:i/>
          <w:sz w:val="44"/>
          <w:szCs w:val="44"/>
        </w:rPr>
        <w:t>Workers</w:t>
      </w:r>
      <w:r w:rsidR="00112E2B">
        <w:rPr>
          <w:rFonts w:cs="Arial"/>
          <w:b/>
          <w:i/>
          <w:sz w:val="44"/>
          <w:szCs w:val="44"/>
        </w:rPr>
        <w:t>’</w:t>
      </w:r>
      <w:r>
        <w:rPr>
          <w:rFonts w:cs="Arial"/>
          <w:b/>
          <w:i/>
          <w:sz w:val="44"/>
          <w:szCs w:val="44"/>
        </w:rPr>
        <w:t xml:space="preserve"> Compensation and Rehabilitation and Other Legislation Amendment Bill 2015</w:t>
      </w:r>
    </w:p>
    <w:p w:rsidR="00C909F3" w:rsidRPr="00387344" w:rsidRDefault="00C5271D" w:rsidP="002E0BFC">
      <w:pPr>
        <w:autoSpaceDE w:val="0"/>
        <w:autoSpaceDN w:val="0"/>
        <w:adjustRightInd w:val="0"/>
        <w:spacing w:before="1440" w:after="240"/>
        <w:jc w:val="center"/>
        <w:rPr>
          <w:rFonts w:cs="Arial"/>
          <w:b/>
          <w:sz w:val="36"/>
          <w:szCs w:val="36"/>
        </w:rPr>
      </w:pPr>
      <w:proofErr w:type="gramStart"/>
      <w:r w:rsidRPr="00387344">
        <w:rPr>
          <w:rFonts w:cs="Arial"/>
          <w:b/>
          <w:sz w:val="36"/>
          <w:szCs w:val="36"/>
        </w:rPr>
        <w:t>by</w:t>
      </w:r>
      <w:proofErr w:type="gramEnd"/>
      <w:r w:rsidRPr="00387344">
        <w:rPr>
          <w:rFonts w:cs="Arial"/>
          <w:b/>
          <w:sz w:val="36"/>
          <w:szCs w:val="36"/>
        </w:rPr>
        <w:t xml:space="preserve"> the</w:t>
      </w:r>
    </w:p>
    <w:p w:rsidR="00C5271D" w:rsidRPr="00387344" w:rsidRDefault="00C5271D" w:rsidP="002E0BFC">
      <w:pPr>
        <w:autoSpaceDE w:val="0"/>
        <w:autoSpaceDN w:val="0"/>
        <w:adjustRightInd w:val="0"/>
        <w:spacing w:before="480" w:after="240"/>
        <w:jc w:val="center"/>
        <w:rPr>
          <w:rFonts w:cs="Arial"/>
          <w:b/>
          <w:sz w:val="36"/>
          <w:szCs w:val="36"/>
        </w:rPr>
      </w:pPr>
      <w:r w:rsidRPr="00387344">
        <w:rPr>
          <w:rFonts w:cs="Arial"/>
          <w:b/>
          <w:sz w:val="36"/>
          <w:szCs w:val="36"/>
        </w:rPr>
        <w:t>Anti-Discrimination Commission Queensland</w:t>
      </w:r>
    </w:p>
    <w:p w:rsidR="001C2A6A" w:rsidRPr="00387344" w:rsidRDefault="001C2A6A"/>
    <w:p w:rsidR="001C2A6A" w:rsidRPr="00387344" w:rsidRDefault="001C2A6A" w:rsidP="001C2A6A"/>
    <w:p w:rsidR="001C2A6A" w:rsidRPr="00387344" w:rsidRDefault="001C2A6A" w:rsidP="001C2A6A">
      <w:pPr>
        <w:tabs>
          <w:tab w:val="left" w:pos="5370"/>
        </w:tabs>
      </w:pPr>
      <w:r w:rsidRPr="00387344">
        <w:tab/>
      </w:r>
    </w:p>
    <w:p w:rsidR="001C2A6A" w:rsidRPr="00387344" w:rsidRDefault="001C2A6A" w:rsidP="001C2A6A"/>
    <w:p w:rsidR="00C909F3" w:rsidRPr="00387344" w:rsidRDefault="00C909F3" w:rsidP="001C2A6A">
      <w:pPr>
        <w:sectPr w:rsidR="00C909F3" w:rsidRPr="00387344" w:rsidSect="00A461EC">
          <w:headerReference w:type="even" r:id="rId9"/>
          <w:headerReference w:type="default" r:id="rId10"/>
          <w:footerReference w:type="even" r:id="rId11"/>
          <w:footerReference w:type="default" r:id="rId12"/>
          <w:headerReference w:type="first" r:id="rId13"/>
          <w:footerReference w:type="first" r:id="rId14"/>
          <w:pgSz w:w="11906" w:h="16838" w:code="9"/>
          <w:pgMar w:top="851" w:right="1797" w:bottom="1440" w:left="1797" w:header="737" w:footer="737" w:gutter="0"/>
          <w:cols w:space="708"/>
          <w:titlePg/>
          <w:docGrid w:linePitch="360"/>
        </w:sectPr>
      </w:pPr>
    </w:p>
    <w:sdt>
      <w:sdtPr>
        <w:rPr>
          <w:rFonts w:ascii="Arial" w:eastAsia="Times New Roman" w:hAnsi="Arial" w:cs="Arial"/>
          <w:b w:val="0"/>
          <w:bCs w:val="0"/>
          <w:color w:val="auto"/>
          <w:sz w:val="26"/>
          <w:szCs w:val="24"/>
          <w:lang w:val="en-AU" w:eastAsia="en-AU"/>
        </w:rPr>
        <w:id w:val="-843864030"/>
        <w:docPartObj>
          <w:docPartGallery w:val="Table of Contents"/>
          <w:docPartUnique/>
        </w:docPartObj>
      </w:sdtPr>
      <w:sdtEndPr>
        <w:rPr>
          <w:b/>
          <w:noProof/>
        </w:rPr>
      </w:sdtEndPr>
      <w:sdtContent>
        <w:p w:rsidR="004937D0" w:rsidRPr="00387344" w:rsidRDefault="004937D0" w:rsidP="005A62B5">
          <w:pPr>
            <w:pStyle w:val="TOCHeading"/>
            <w:spacing w:before="120" w:line="360" w:lineRule="auto"/>
            <w:rPr>
              <w:rFonts w:ascii="Arial" w:hAnsi="Arial" w:cs="Arial"/>
              <w:color w:val="auto"/>
              <w:sz w:val="32"/>
              <w:szCs w:val="32"/>
              <w:lang w:val="en-AU"/>
            </w:rPr>
          </w:pPr>
          <w:r w:rsidRPr="00387344">
            <w:rPr>
              <w:rFonts w:ascii="Arial" w:hAnsi="Arial" w:cs="Arial"/>
              <w:color w:val="auto"/>
              <w:sz w:val="32"/>
              <w:szCs w:val="32"/>
              <w:lang w:val="en-AU"/>
            </w:rPr>
            <w:t>Contents</w:t>
          </w:r>
        </w:p>
        <w:p w:rsidR="00213B50" w:rsidRDefault="004937D0">
          <w:pPr>
            <w:pStyle w:val="TOC1"/>
            <w:rPr>
              <w:rFonts w:asciiTheme="minorHAnsi" w:eastAsiaTheme="minorEastAsia" w:hAnsiTheme="minorHAnsi" w:cstheme="minorBidi"/>
              <w:sz w:val="22"/>
              <w:szCs w:val="22"/>
            </w:rPr>
          </w:pPr>
          <w:r w:rsidRPr="00387344">
            <w:fldChar w:fldCharType="begin"/>
          </w:r>
          <w:r w:rsidRPr="00387344">
            <w:instrText xml:space="preserve"> TOC \o "1-3" \h \z \u </w:instrText>
          </w:r>
          <w:r w:rsidRPr="00387344">
            <w:fldChar w:fldCharType="separate"/>
          </w:r>
          <w:hyperlink w:anchor="_Toc425773000" w:history="1">
            <w:r w:rsidR="00213B50" w:rsidRPr="00631F01">
              <w:rPr>
                <w:rStyle w:val="Hyperlink"/>
              </w:rPr>
              <w:t>Introduction</w:t>
            </w:r>
            <w:r w:rsidR="00213B50">
              <w:rPr>
                <w:webHidden/>
              </w:rPr>
              <w:tab/>
            </w:r>
            <w:r w:rsidR="00213B50">
              <w:rPr>
                <w:webHidden/>
              </w:rPr>
              <w:fldChar w:fldCharType="begin"/>
            </w:r>
            <w:r w:rsidR="00213B50">
              <w:rPr>
                <w:webHidden/>
              </w:rPr>
              <w:instrText xml:space="preserve"> PAGEREF _Toc425773000 \h </w:instrText>
            </w:r>
            <w:r w:rsidR="00213B50">
              <w:rPr>
                <w:webHidden/>
              </w:rPr>
            </w:r>
            <w:r w:rsidR="00213B50">
              <w:rPr>
                <w:webHidden/>
              </w:rPr>
              <w:fldChar w:fldCharType="separate"/>
            </w:r>
            <w:r w:rsidR="0019098B">
              <w:rPr>
                <w:webHidden/>
              </w:rPr>
              <w:t>3</w:t>
            </w:r>
            <w:r w:rsidR="00213B50">
              <w:rPr>
                <w:webHidden/>
              </w:rPr>
              <w:fldChar w:fldCharType="end"/>
            </w:r>
          </w:hyperlink>
        </w:p>
        <w:p w:rsidR="00213B50" w:rsidRDefault="00F1787B">
          <w:pPr>
            <w:pStyle w:val="TOC1"/>
            <w:rPr>
              <w:rFonts w:asciiTheme="minorHAnsi" w:eastAsiaTheme="minorEastAsia" w:hAnsiTheme="minorHAnsi" w:cstheme="minorBidi"/>
              <w:sz w:val="22"/>
              <w:szCs w:val="22"/>
            </w:rPr>
          </w:pPr>
          <w:hyperlink w:anchor="_Toc425773001" w:history="1">
            <w:r w:rsidR="00213B50" w:rsidRPr="00631F01">
              <w:rPr>
                <w:rStyle w:val="Hyperlink"/>
              </w:rPr>
              <w:t>Executive summary</w:t>
            </w:r>
            <w:r w:rsidR="00213B50">
              <w:rPr>
                <w:webHidden/>
              </w:rPr>
              <w:tab/>
            </w:r>
            <w:r w:rsidR="00213B50">
              <w:rPr>
                <w:webHidden/>
              </w:rPr>
              <w:fldChar w:fldCharType="begin"/>
            </w:r>
            <w:r w:rsidR="00213B50">
              <w:rPr>
                <w:webHidden/>
              </w:rPr>
              <w:instrText xml:space="preserve"> PAGEREF _Toc425773001 \h </w:instrText>
            </w:r>
            <w:r w:rsidR="00213B50">
              <w:rPr>
                <w:webHidden/>
              </w:rPr>
            </w:r>
            <w:r w:rsidR="00213B50">
              <w:rPr>
                <w:webHidden/>
              </w:rPr>
              <w:fldChar w:fldCharType="separate"/>
            </w:r>
            <w:r w:rsidR="0019098B">
              <w:rPr>
                <w:webHidden/>
              </w:rPr>
              <w:t>3</w:t>
            </w:r>
            <w:r w:rsidR="00213B50">
              <w:rPr>
                <w:webHidden/>
              </w:rPr>
              <w:fldChar w:fldCharType="end"/>
            </w:r>
          </w:hyperlink>
        </w:p>
        <w:p w:rsidR="00213B50" w:rsidRDefault="00F1787B">
          <w:pPr>
            <w:pStyle w:val="TOC1"/>
            <w:rPr>
              <w:rFonts w:asciiTheme="minorHAnsi" w:eastAsiaTheme="minorEastAsia" w:hAnsiTheme="minorHAnsi" w:cstheme="minorBidi"/>
              <w:sz w:val="22"/>
              <w:szCs w:val="22"/>
            </w:rPr>
          </w:pPr>
          <w:hyperlink w:anchor="_Toc425773002" w:history="1">
            <w:r w:rsidR="00213B50" w:rsidRPr="00631F01">
              <w:rPr>
                <w:rStyle w:val="Hyperlink"/>
              </w:rPr>
              <w:t>Background</w:t>
            </w:r>
            <w:r w:rsidR="00213B50">
              <w:rPr>
                <w:webHidden/>
              </w:rPr>
              <w:tab/>
            </w:r>
            <w:r w:rsidR="00213B50">
              <w:rPr>
                <w:webHidden/>
              </w:rPr>
              <w:fldChar w:fldCharType="begin"/>
            </w:r>
            <w:r w:rsidR="00213B50">
              <w:rPr>
                <w:webHidden/>
              </w:rPr>
              <w:instrText xml:space="preserve"> PAGEREF _Toc425773002 \h </w:instrText>
            </w:r>
            <w:r w:rsidR="00213B50">
              <w:rPr>
                <w:webHidden/>
              </w:rPr>
            </w:r>
            <w:r w:rsidR="00213B50">
              <w:rPr>
                <w:webHidden/>
              </w:rPr>
              <w:fldChar w:fldCharType="separate"/>
            </w:r>
            <w:r w:rsidR="0019098B">
              <w:rPr>
                <w:webHidden/>
              </w:rPr>
              <w:t>4</w:t>
            </w:r>
            <w:r w:rsidR="00213B50">
              <w:rPr>
                <w:webHidden/>
              </w:rPr>
              <w:fldChar w:fldCharType="end"/>
            </w:r>
          </w:hyperlink>
        </w:p>
        <w:p w:rsidR="00213B50" w:rsidRDefault="00F1787B">
          <w:pPr>
            <w:pStyle w:val="TOC2"/>
            <w:tabs>
              <w:tab w:val="right" w:leader="dot" w:pos="8302"/>
            </w:tabs>
            <w:rPr>
              <w:rFonts w:asciiTheme="minorHAnsi" w:eastAsiaTheme="minorEastAsia" w:hAnsiTheme="minorHAnsi" w:cstheme="minorBidi"/>
              <w:noProof/>
              <w:sz w:val="22"/>
              <w:szCs w:val="22"/>
            </w:rPr>
          </w:pPr>
          <w:hyperlink w:anchor="_Toc425773003" w:history="1">
            <w:r w:rsidR="00213B50" w:rsidRPr="00631F01">
              <w:rPr>
                <w:rStyle w:val="Hyperlink"/>
                <w:noProof/>
              </w:rPr>
              <w:t xml:space="preserve">Pre-2013 amendments to the </w:t>
            </w:r>
            <w:r w:rsidR="00213B50" w:rsidRPr="00631F01">
              <w:rPr>
                <w:rStyle w:val="Hyperlink"/>
                <w:i/>
                <w:noProof/>
              </w:rPr>
              <w:t>Workers’ Compensation and Rehabilitation Act 2003</w:t>
            </w:r>
            <w:r w:rsidR="00213B50">
              <w:rPr>
                <w:noProof/>
                <w:webHidden/>
              </w:rPr>
              <w:tab/>
            </w:r>
            <w:r w:rsidR="00213B50">
              <w:rPr>
                <w:noProof/>
                <w:webHidden/>
              </w:rPr>
              <w:fldChar w:fldCharType="begin"/>
            </w:r>
            <w:r w:rsidR="00213B50">
              <w:rPr>
                <w:noProof/>
                <w:webHidden/>
              </w:rPr>
              <w:instrText xml:space="preserve"> PAGEREF _Toc425773003 \h </w:instrText>
            </w:r>
            <w:r w:rsidR="00213B50">
              <w:rPr>
                <w:noProof/>
                <w:webHidden/>
              </w:rPr>
            </w:r>
            <w:r w:rsidR="00213B50">
              <w:rPr>
                <w:noProof/>
                <w:webHidden/>
              </w:rPr>
              <w:fldChar w:fldCharType="separate"/>
            </w:r>
            <w:r w:rsidR="0019098B">
              <w:rPr>
                <w:noProof/>
                <w:webHidden/>
              </w:rPr>
              <w:t>4</w:t>
            </w:r>
            <w:r w:rsidR="00213B50">
              <w:rPr>
                <w:noProof/>
                <w:webHidden/>
              </w:rPr>
              <w:fldChar w:fldCharType="end"/>
            </w:r>
          </w:hyperlink>
        </w:p>
        <w:p w:rsidR="00213B50" w:rsidRDefault="00F1787B">
          <w:pPr>
            <w:pStyle w:val="TOC2"/>
            <w:tabs>
              <w:tab w:val="right" w:leader="dot" w:pos="8302"/>
            </w:tabs>
            <w:rPr>
              <w:rFonts w:asciiTheme="minorHAnsi" w:eastAsiaTheme="minorEastAsia" w:hAnsiTheme="minorHAnsi" w:cstheme="minorBidi"/>
              <w:noProof/>
              <w:sz w:val="22"/>
              <w:szCs w:val="22"/>
            </w:rPr>
          </w:pPr>
          <w:hyperlink w:anchor="_Toc425773004" w:history="1">
            <w:r w:rsidR="00213B50" w:rsidRPr="00631F01">
              <w:rPr>
                <w:rStyle w:val="Hyperlink"/>
                <w:noProof/>
              </w:rPr>
              <w:t xml:space="preserve">2013 amendment of chapter 14 of the </w:t>
            </w:r>
            <w:r w:rsidR="00213B50" w:rsidRPr="00631F01">
              <w:rPr>
                <w:rStyle w:val="Hyperlink"/>
                <w:i/>
                <w:noProof/>
              </w:rPr>
              <w:t>Workers’ Compensation and Rehabilitation Act 2003</w:t>
            </w:r>
            <w:r w:rsidR="00213B50">
              <w:rPr>
                <w:noProof/>
                <w:webHidden/>
              </w:rPr>
              <w:tab/>
            </w:r>
            <w:r w:rsidR="00213B50">
              <w:rPr>
                <w:noProof/>
                <w:webHidden/>
              </w:rPr>
              <w:fldChar w:fldCharType="begin"/>
            </w:r>
            <w:r w:rsidR="00213B50">
              <w:rPr>
                <w:noProof/>
                <w:webHidden/>
              </w:rPr>
              <w:instrText xml:space="preserve"> PAGEREF _Toc425773004 \h </w:instrText>
            </w:r>
            <w:r w:rsidR="00213B50">
              <w:rPr>
                <w:noProof/>
                <w:webHidden/>
              </w:rPr>
            </w:r>
            <w:r w:rsidR="00213B50">
              <w:rPr>
                <w:noProof/>
                <w:webHidden/>
              </w:rPr>
              <w:fldChar w:fldCharType="separate"/>
            </w:r>
            <w:r w:rsidR="0019098B">
              <w:rPr>
                <w:noProof/>
                <w:webHidden/>
              </w:rPr>
              <w:t>5</w:t>
            </w:r>
            <w:r w:rsidR="00213B50">
              <w:rPr>
                <w:noProof/>
                <w:webHidden/>
              </w:rPr>
              <w:fldChar w:fldCharType="end"/>
            </w:r>
          </w:hyperlink>
        </w:p>
        <w:p w:rsidR="00213B50" w:rsidRDefault="00F1787B">
          <w:pPr>
            <w:pStyle w:val="TOC1"/>
            <w:rPr>
              <w:rFonts w:asciiTheme="minorHAnsi" w:eastAsiaTheme="minorEastAsia" w:hAnsiTheme="minorHAnsi" w:cstheme="minorBidi"/>
              <w:sz w:val="22"/>
              <w:szCs w:val="22"/>
            </w:rPr>
          </w:pPr>
          <w:hyperlink w:anchor="_Toc425773005" w:history="1">
            <w:r w:rsidR="00213B50" w:rsidRPr="00631F01">
              <w:rPr>
                <w:rStyle w:val="Hyperlink"/>
              </w:rPr>
              <w:t>Access to documents and information</w:t>
            </w:r>
            <w:r w:rsidR="00213B50">
              <w:rPr>
                <w:webHidden/>
              </w:rPr>
              <w:tab/>
            </w:r>
            <w:r w:rsidR="00213B50">
              <w:rPr>
                <w:webHidden/>
              </w:rPr>
              <w:fldChar w:fldCharType="begin"/>
            </w:r>
            <w:r w:rsidR="00213B50">
              <w:rPr>
                <w:webHidden/>
              </w:rPr>
              <w:instrText xml:space="preserve"> PAGEREF _Toc425773005 \h </w:instrText>
            </w:r>
            <w:r w:rsidR="00213B50">
              <w:rPr>
                <w:webHidden/>
              </w:rPr>
            </w:r>
            <w:r w:rsidR="00213B50">
              <w:rPr>
                <w:webHidden/>
              </w:rPr>
              <w:fldChar w:fldCharType="separate"/>
            </w:r>
            <w:r w:rsidR="0019098B">
              <w:rPr>
                <w:webHidden/>
              </w:rPr>
              <w:t>7</w:t>
            </w:r>
            <w:r w:rsidR="00213B50">
              <w:rPr>
                <w:webHidden/>
              </w:rPr>
              <w:fldChar w:fldCharType="end"/>
            </w:r>
          </w:hyperlink>
        </w:p>
        <w:p w:rsidR="00213B50" w:rsidRDefault="00F1787B">
          <w:pPr>
            <w:pStyle w:val="TOC2"/>
            <w:tabs>
              <w:tab w:val="right" w:leader="dot" w:pos="8302"/>
            </w:tabs>
            <w:rPr>
              <w:rFonts w:asciiTheme="minorHAnsi" w:eastAsiaTheme="minorEastAsia" w:hAnsiTheme="minorHAnsi" w:cstheme="minorBidi"/>
              <w:noProof/>
              <w:sz w:val="22"/>
              <w:szCs w:val="22"/>
            </w:rPr>
          </w:pPr>
          <w:hyperlink w:anchor="_Toc425773006" w:history="1">
            <w:r w:rsidR="00213B50" w:rsidRPr="00631F01">
              <w:rPr>
                <w:rStyle w:val="Hyperlink"/>
                <w:noProof/>
              </w:rPr>
              <w:t>Claims histories and workers’ compensation documents</w:t>
            </w:r>
            <w:r w:rsidR="00213B50">
              <w:rPr>
                <w:noProof/>
                <w:webHidden/>
              </w:rPr>
              <w:tab/>
            </w:r>
            <w:r w:rsidR="00213B50">
              <w:rPr>
                <w:noProof/>
                <w:webHidden/>
              </w:rPr>
              <w:fldChar w:fldCharType="begin"/>
            </w:r>
            <w:r w:rsidR="00213B50">
              <w:rPr>
                <w:noProof/>
                <w:webHidden/>
              </w:rPr>
              <w:instrText xml:space="preserve"> PAGEREF _Toc425773006 \h </w:instrText>
            </w:r>
            <w:r w:rsidR="00213B50">
              <w:rPr>
                <w:noProof/>
                <w:webHidden/>
              </w:rPr>
            </w:r>
            <w:r w:rsidR="00213B50">
              <w:rPr>
                <w:noProof/>
                <w:webHidden/>
              </w:rPr>
              <w:fldChar w:fldCharType="separate"/>
            </w:r>
            <w:r w:rsidR="0019098B">
              <w:rPr>
                <w:noProof/>
                <w:webHidden/>
              </w:rPr>
              <w:t>7</w:t>
            </w:r>
            <w:r w:rsidR="00213B50">
              <w:rPr>
                <w:noProof/>
                <w:webHidden/>
              </w:rPr>
              <w:fldChar w:fldCharType="end"/>
            </w:r>
          </w:hyperlink>
        </w:p>
        <w:p w:rsidR="00213B50" w:rsidRDefault="00F1787B">
          <w:pPr>
            <w:pStyle w:val="TOC2"/>
            <w:tabs>
              <w:tab w:val="right" w:leader="dot" w:pos="8302"/>
            </w:tabs>
            <w:rPr>
              <w:rFonts w:asciiTheme="minorHAnsi" w:eastAsiaTheme="minorEastAsia" w:hAnsiTheme="minorHAnsi" w:cstheme="minorBidi"/>
              <w:noProof/>
              <w:sz w:val="22"/>
              <w:szCs w:val="22"/>
            </w:rPr>
          </w:pPr>
          <w:hyperlink w:anchor="_Toc425773007" w:history="1">
            <w:r w:rsidR="00213B50" w:rsidRPr="00631F01">
              <w:rPr>
                <w:rStyle w:val="Hyperlink"/>
                <w:noProof/>
              </w:rPr>
              <w:t>Disclosing existing medical conditions and injuries during recruitment</w:t>
            </w:r>
            <w:r w:rsidR="00213B50">
              <w:rPr>
                <w:noProof/>
                <w:webHidden/>
              </w:rPr>
              <w:tab/>
            </w:r>
            <w:r w:rsidR="00213B50">
              <w:rPr>
                <w:noProof/>
                <w:webHidden/>
              </w:rPr>
              <w:fldChar w:fldCharType="begin"/>
            </w:r>
            <w:r w:rsidR="00213B50">
              <w:rPr>
                <w:noProof/>
                <w:webHidden/>
              </w:rPr>
              <w:instrText xml:space="preserve"> PAGEREF _Toc425773007 \h </w:instrText>
            </w:r>
            <w:r w:rsidR="00213B50">
              <w:rPr>
                <w:noProof/>
                <w:webHidden/>
              </w:rPr>
            </w:r>
            <w:r w:rsidR="00213B50">
              <w:rPr>
                <w:noProof/>
                <w:webHidden/>
              </w:rPr>
              <w:fldChar w:fldCharType="separate"/>
            </w:r>
            <w:r w:rsidR="0019098B">
              <w:rPr>
                <w:noProof/>
                <w:webHidden/>
              </w:rPr>
              <w:t>8</w:t>
            </w:r>
            <w:r w:rsidR="00213B50">
              <w:rPr>
                <w:noProof/>
                <w:webHidden/>
              </w:rPr>
              <w:fldChar w:fldCharType="end"/>
            </w:r>
          </w:hyperlink>
        </w:p>
        <w:p w:rsidR="00A74B65" w:rsidRPr="00387344" w:rsidRDefault="004937D0" w:rsidP="00532CA5">
          <w:pPr>
            <w:pStyle w:val="Heading2"/>
            <w:spacing w:before="120"/>
          </w:pPr>
          <w:r w:rsidRPr="00387344">
            <w:rPr>
              <w:bCs/>
              <w:noProof/>
              <w:sz w:val="24"/>
            </w:rPr>
            <w:fldChar w:fldCharType="end"/>
          </w:r>
        </w:p>
      </w:sdtContent>
    </w:sdt>
    <w:p w:rsidR="004937D0" w:rsidRPr="00387344" w:rsidRDefault="004937D0" w:rsidP="003849EA">
      <w:pPr>
        <w:pStyle w:val="Heading2"/>
        <w:rPr>
          <w:kern w:val="32"/>
          <w:sz w:val="32"/>
          <w:szCs w:val="32"/>
        </w:rPr>
      </w:pPr>
      <w:r w:rsidRPr="00387344">
        <w:br w:type="page"/>
      </w:r>
    </w:p>
    <w:p w:rsidR="00CE17C0" w:rsidRPr="00387344" w:rsidRDefault="00CE17C0" w:rsidP="00AE06F3">
      <w:pPr>
        <w:pStyle w:val="Heading1"/>
        <w:keepNext w:val="0"/>
        <w:pageBreakBefore/>
        <w:spacing w:before="0" w:after="240"/>
        <w:rPr>
          <w:color w:val="000000"/>
        </w:rPr>
      </w:pPr>
      <w:bookmarkStart w:id="0" w:name="_Toc425773000"/>
      <w:r w:rsidRPr="00387344">
        <w:lastRenderedPageBreak/>
        <w:t>Introduction</w:t>
      </w:r>
      <w:bookmarkEnd w:id="0"/>
    </w:p>
    <w:p w:rsidR="00D001DD" w:rsidRPr="00387344" w:rsidRDefault="00D001DD" w:rsidP="004D164C">
      <w:pPr>
        <w:pStyle w:val="NormalWeb"/>
        <w:numPr>
          <w:ilvl w:val="0"/>
          <w:numId w:val="2"/>
        </w:numPr>
        <w:spacing w:before="120" w:beforeAutospacing="0" w:after="240" w:afterAutospacing="0" w:line="360" w:lineRule="auto"/>
        <w:ind w:left="567" w:hanging="567"/>
        <w:rPr>
          <w:rFonts w:cs="Arial"/>
          <w:color w:val="000000"/>
          <w:lang w:val="en-AU"/>
        </w:rPr>
      </w:pPr>
      <w:r w:rsidRPr="00387344">
        <w:rPr>
          <w:rFonts w:cs="Arial"/>
          <w:color w:val="000000"/>
          <w:lang w:val="en-AU"/>
        </w:rPr>
        <w:t xml:space="preserve">The Anti-Discrimination Commission Queensland </w:t>
      </w:r>
      <w:r w:rsidR="00C5271D" w:rsidRPr="00387344">
        <w:rPr>
          <w:rFonts w:cs="Arial"/>
          <w:color w:val="000000"/>
          <w:lang w:val="en-AU"/>
        </w:rPr>
        <w:t xml:space="preserve">(Commission) </w:t>
      </w:r>
      <w:r w:rsidRPr="00387344">
        <w:rPr>
          <w:rFonts w:cs="Arial"/>
          <w:color w:val="000000"/>
          <w:lang w:val="en-AU"/>
        </w:rPr>
        <w:t xml:space="preserve">is an independent statutory authority established under the Queensland </w:t>
      </w:r>
      <w:r w:rsidRPr="00387344">
        <w:rPr>
          <w:rStyle w:val="HTMLCite"/>
          <w:rFonts w:cs="Arial"/>
          <w:color w:val="000000"/>
          <w:lang w:val="en-AU"/>
        </w:rPr>
        <w:t>Anti-Discrimination Act 1991</w:t>
      </w:r>
      <w:r w:rsidRPr="00387344">
        <w:rPr>
          <w:rFonts w:cs="Arial"/>
          <w:color w:val="000000"/>
          <w:lang w:val="en-AU"/>
        </w:rPr>
        <w:t>.</w:t>
      </w:r>
    </w:p>
    <w:p w:rsidR="003018EE" w:rsidRPr="00387344" w:rsidRDefault="00D001DD" w:rsidP="004D164C">
      <w:pPr>
        <w:pStyle w:val="NormalWeb"/>
        <w:numPr>
          <w:ilvl w:val="0"/>
          <w:numId w:val="2"/>
        </w:numPr>
        <w:spacing w:before="120" w:beforeAutospacing="0" w:after="240" w:afterAutospacing="0" w:line="360" w:lineRule="auto"/>
        <w:ind w:left="567" w:hanging="567"/>
        <w:rPr>
          <w:rFonts w:cs="Arial"/>
          <w:color w:val="000000"/>
          <w:lang w:val="en-AU"/>
        </w:rPr>
      </w:pPr>
      <w:r w:rsidRPr="00387344">
        <w:rPr>
          <w:rFonts w:cs="Arial"/>
          <w:color w:val="000000"/>
          <w:lang w:val="en-AU"/>
        </w:rPr>
        <w:t>The functions of the Commission include promoting an understanding, acceptance and public discussion of human rights in Queensland</w:t>
      </w:r>
      <w:r w:rsidR="00D122D0" w:rsidRPr="00387344">
        <w:rPr>
          <w:rFonts w:cs="Arial"/>
          <w:color w:val="000000"/>
          <w:lang w:val="en-AU"/>
        </w:rPr>
        <w:t xml:space="preserve">, and </w:t>
      </w:r>
      <w:r w:rsidR="00541F8C" w:rsidRPr="00387344">
        <w:rPr>
          <w:rFonts w:cs="Arial"/>
          <w:color w:val="000000"/>
          <w:lang w:val="en-AU"/>
        </w:rPr>
        <w:t>deal</w:t>
      </w:r>
      <w:r w:rsidR="00D122D0" w:rsidRPr="00387344">
        <w:rPr>
          <w:rFonts w:cs="Arial"/>
          <w:color w:val="000000"/>
          <w:lang w:val="en-AU"/>
        </w:rPr>
        <w:t>ing</w:t>
      </w:r>
      <w:r w:rsidR="00541F8C" w:rsidRPr="00387344">
        <w:rPr>
          <w:rFonts w:cs="Arial"/>
          <w:color w:val="000000"/>
          <w:lang w:val="en-AU"/>
        </w:rPr>
        <w:t xml:space="preserve"> with complaints </w:t>
      </w:r>
      <w:r w:rsidR="00EF56B9" w:rsidRPr="00387344">
        <w:rPr>
          <w:rFonts w:cs="Arial"/>
          <w:color w:val="000000"/>
          <w:lang w:val="en-AU"/>
        </w:rPr>
        <w:t xml:space="preserve">alleging contraventions of the </w:t>
      </w:r>
      <w:r w:rsidR="00EF56B9" w:rsidRPr="00387344">
        <w:rPr>
          <w:rStyle w:val="HTMLCite"/>
          <w:rFonts w:cs="Arial"/>
          <w:color w:val="000000"/>
          <w:lang w:val="en-AU"/>
        </w:rPr>
        <w:t>Anti-Discrimination Act 1991</w:t>
      </w:r>
      <w:r w:rsidR="00EF56B9" w:rsidRPr="00387344">
        <w:rPr>
          <w:rStyle w:val="HTMLCite"/>
          <w:rFonts w:cs="Arial"/>
          <w:i w:val="0"/>
          <w:color w:val="000000"/>
          <w:lang w:val="en-AU"/>
        </w:rPr>
        <w:t xml:space="preserve"> and of whistle-blower reprisal</w:t>
      </w:r>
      <w:r w:rsidR="00AF2774" w:rsidRPr="00387344">
        <w:rPr>
          <w:rFonts w:cs="Arial"/>
          <w:color w:val="000000"/>
          <w:lang w:val="en-AU"/>
        </w:rPr>
        <w:t>.</w:t>
      </w:r>
      <w:r w:rsidR="00EF56B9" w:rsidRPr="00387344">
        <w:rPr>
          <w:rFonts w:cs="Arial"/>
          <w:color w:val="000000"/>
          <w:lang w:val="en-AU"/>
        </w:rPr>
        <w:t xml:space="preserve">  Complaints that are not resolved through conciliation can be referred to the Queensland Civil and Administrative Tribunal for hearing and determination.</w:t>
      </w:r>
    </w:p>
    <w:p w:rsidR="00F47990" w:rsidRDefault="00B75D33" w:rsidP="004D164C">
      <w:pPr>
        <w:pStyle w:val="NormalWeb"/>
        <w:numPr>
          <w:ilvl w:val="0"/>
          <w:numId w:val="2"/>
        </w:numPr>
        <w:spacing w:before="120" w:beforeAutospacing="0" w:after="240" w:afterAutospacing="0" w:line="360" w:lineRule="auto"/>
        <w:ind w:left="567" w:hanging="567"/>
        <w:rPr>
          <w:rFonts w:cs="Arial"/>
          <w:color w:val="000000"/>
          <w:lang w:val="en-AU"/>
        </w:rPr>
      </w:pPr>
      <w:r w:rsidRPr="00387344">
        <w:rPr>
          <w:rFonts w:cs="Arial"/>
          <w:color w:val="000000"/>
          <w:lang w:val="en-AU"/>
        </w:rPr>
        <w:t>The Commission has been dealing with complaints of discrimination and sexual harassment for over twenty years.  Our work also includes engaging with stakeholder groups, providing training, and receiving feedback on human rights issues such as discrimination</w:t>
      </w:r>
      <w:r w:rsidR="00C94368">
        <w:rPr>
          <w:rFonts w:cs="Arial"/>
          <w:color w:val="000000"/>
          <w:lang w:val="en-AU"/>
        </w:rPr>
        <w:t xml:space="preserve"> </w:t>
      </w:r>
      <w:r w:rsidRPr="00387344">
        <w:rPr>
          <w:rFonts w:cs="Arial"/>
          <w:color w:val="000000"/>
          <w:lang w:val="en-AU"/>
        </w:rPr>
        <w:t>in workplaces</w:t>
      </w:r>
      <w:r w:rsidR="00C94368">
        <w:rPr>
          <w:rFonts w:cs="Arial"/>
          <w:color w:val="000000"/>
          <w:lang w:val="en-AU"/>
        </w:rPr>
        <w:t xml:space="preserve"> and applying for work</w:t>
      </w:r>
      <w:r w:rsidRPr="00387344">
        <w:rPr>
          <w:rFonts w:cs="Arial"/>
          <w:color w:val="000000"/>
          <w:lang w:val="en-AU"/>
        </w:rPr>
        <w:t xml:space="preserve">.  </w:t>
      </w:r>
    </w:p>
    <w:p w:rsidR="0046351C" w:rsidRDefault="0046351C" w:rsidP="004D164C">
      <w:pPr>
        <w:pStyle w:val="NormalWeb"/>
        <w:numPr>
          <w:ilvl w:val="0"/>
          <w:numId w:val="2"/>
        </w:numPr>
        <w:spacing w:before="120" w:beforeAutospacing="0" w:after="240" w:afterAutospacing="0" w:line="360" w:lineRule="auto"/>
        <w:ind w:left="567" w:hanging="567"/>
        <w:rPr>
          <w:rFonts w:cs="Arial"/>
          <w:color w:val="000000"/>
          <w:lang w:val="en-AU"/>
        </w:rPr>
      </w:pPr>
      <w:r>
        <w:rPr>
          <w:rFonts w:cs="Arial"/>
          <w:color w:val="000000"/>
          <w:lang w:val="en-AU"/>
        </w:rPr>
        <w:t>The highest number of complaints the Commission deals with is consistently in the work area, and impairment is consistently the attribute with the highest number of complaints across all areas.  In the 2013 to 2014 reporting period, 64% of complaints accepted by the Commission were associated with work, 35% alleged impairment discrimination in work, and 4% alleged requests for unnecessary information in the work area.</w:t>
      </w:r>
    </w:p>
    <w:p w:rsidR="00657044" w:rsidRPr="00387344" w:rsidRDefault="00657044" w:rsidP="004D164C">
      <w:pPr>
        <w:pStyle w:val="NormalWeb"/>
        <w:numPr>
          <w:ilvl w:val="0"/>
          <w:numId w:val="2"/>
        </w:numPr>
        <w:spacing w:before="120" w:beforeAutospacing="0" w:after="240" w:afterAutospacing="0" w:line="360" w:lineRule="auto"/>
        <w:ind w:left="567" w:hanging="567"/>
        <w:rPr>
          <w:rFonts w:cs="Arial"/>
          <w:color w:val="000000"/>
          <w:lang w:val="en-AU"/>
        </w:rPr>
      </w:pPr>
      <w:r w:rsidRPr="00387344">
        <w:rPr>
          <w:rFonts w:cs="Arial"/>
          <w:color w:val="000000"/>
          <w:lang w:val="en-AU"/>
        </w:rPr>
        <w:t>This submission</w:t>
      </w:r>
      <w:r>
        <w:rPr>
          <w:rFonts w:cs="Arial"/>
          <w:color w:val="000000"/>
          <w:lang w:val="en-AU"/>
        </w:rPr>
        <w:t xml:space="preserve"> </w:t>
      </w:r>
      <w:r w:rsidRPr="00387344">
        <w:rPr>
          <w:rFonts w:cs="Arial"/>
          <w:color w:val="000000"/>
          <w:lang w:val="en-AU"/>
        </w:rPr>
        <w:t xml:space="preserve">is based on our experiences and knowledge acquired in carrying out </w:t>
      </w:r>
      <w:r>
        <w:rPr>
          <w:rFonts w:cs="Arial"/>
          <w:color w:val="000000"/>
          <w:lang w:val="en-AU"/>
        </w:rPr>
        <w:t>our</w:t>
      </w:r>
      <w:r w:rsidRPr="00387344">
        <w:rPr>
          <w:rFonts w:cs="Arial"/>
          <w:color w:val="000000"/>
          <w:lang w:val="en-AU"/>
        </w:rPr>
        <w:t xml:space="preserve"> functions</w:t>
      </w:r>
      <w:r>
        <w:rPr>
          <w:rFonts w:cs="Arial"/>
          <w:color w:val="000000"/>
          <w:lang w:val="en-AU"/>
        </w:rPr>
        <w:t>, and focuses on the provisions relating to access to documents and information</w:t>
      </w:r>
      <w:r w:rsidRPr="00387344">
        <w:rPr>
          <w:rFonts w:cs="Arial"/>
          <w:color w:val="000000"/>
          <w:lang w:val="en-AU"/>
        </w:rPr>
        <w:t xml:space="preserve">.  </w:t>
      </w:r>
    </w:p>
    <w:p w:rsidR="008B112F" w:rsidRPr="00387344" w:rsidRDefault="00C94368" w:rsidP="00D122D0">
      <w:pPr>
        <w:pStyle w:val="Heading1"/>
        <w:spacing w:after="240"/>
      </w:pPr>
      <w:bookmarkStart w:id="1" w:name="_Toc425773001"/>
      <w:r>
        <w:t>Executive summary</w:t>
      </w:r>
      <w:bookmarkEnd w:id="1"/>
    </w:p>
    <w:p w:rsidR="008A54C5" w:rsidRDefault="00112E2B"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 xml:space="preserve">The Commission supports </w:t>
      </w:r>
      <w:r w:rsidR="00F34D0A">
        <w:rPr>
          <w:rFonts w:cs="Arial"/>
          <w:lang w:val="en-AU"/>
        </w:rPr>
        <w:t xml:space="preserve">restoring the limitation on access to claims histories by </w:t>
      </w:r>
      <w:r>
        <w:rPr>
          <w:rFonts w:cs="Arial"/>
          <w:lang w:val="en-AU"/>
        </w:rPr>
        <w:t>remov</w:t>
      </w:r>
      <w:r w:rsidR="00F34D0A">
        <w:rPr>
          <w:rFonts w:cs="Arial"/>
          <w:lang w:val="en-AU"/>
        </w:rPr>
        <w:t xml:space="preserve">ing the right of </w:t>
      </w:r>
      <w:r>
        <w:rPr>
          <w:rFonts w:cs="Arial"/>
          <w:lang w:val="en-AU"/>
        </w:rPr>
        <w:t>prospective employers to obtain from the Regulator the claims histories of job applicants</w:t>
      </w:r>
      <w:r w:rsidR="009F023C" w:rsidRPr="00387344">
        <w:rPr>
          <w:rFonts w:cs="Arial"/>
          <w:lang w:val="en-AU"/>
        </w:rPr>
        <w:t xml:space="preserve">.  </w:t>
      </w:r>
    </w:p>
    <w:p w:rsidR="004517C2" w:rsidRPr="00387344" w:rsidRDefault="008A54C5"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 xml:space="preserve">The right of the insurer or document holder to refuse to </w:t>
      </w:r>
      <w:r w:rsidR="0093621D">
        <w:rPr>
          <w:rFonts w:cs="Arial"/>
          <w:lang w:val="en-AU"/>
        </w:rPr>
        <w:t>provide a workers’ compensation document where there is suspicion it is intended for an unlawful purpose</w:t>
      </w:r>
      <w:r w:rsidR="00F34D0A">
        <w:rPr>
          <w:rFonts w:cs="Arial"/>
          <w:lang w:val="en-AU"/>
        </w:rPr>
        <w:t xml:space="preserve">, should </w:t>
      </w:r>
      <w:r w:rsidR="0093621D">
        <w:rPr>
          <w:rFonts w:cs="Arial"/>
          <w:lang w:val="en-AU"/>
        </w:rPr>
        <w:t>also be restored</w:t>
      </w:r>
      <w:r w:rsidR="00F34D0A">
        <w:rPr>
          <w:rFonts w:cs="Arial"/>
          <w:lang w:val="en-AU"/>
        </w:rPr>
        <w:t xml:space="preserve">. </w:t>
      </w:r>
    </w:p>
    <w:p w:rsidR="0005388E" w:rsidRPr="00387344" w:rsidRDefault="00112E2B"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The Commission rec</w:t>
      </w:r>
      <w:r w:rsidR="0093621D">
        <w:rPr>
          <w:rFonts w:cs="Arial"/>
          <w:lang w:val="en-AU"/>
        </w:rPr>
        <w:t xml:space="preserve">ommends amendment of sections amending sections 571A to 571C to make it clearer that the obligation to disclose relates to injuries or medical conditions that are in existence during the recruitment process. </w:t>
      </w:r>
    </w:p>
    <w:p w:rsidR="00CE17C0" w:rsidRPr="00387344" w:rsidRDefault="00C94368" w:rsidP="00D122D0">
      <w:pPr>
        <w:pStyle w:val="Heading1"/>
        <w:spacing w:after="240"/>
      </w:pPr>
      <w:bookmarkStart w:id="2" w:name="_Toc425773002"/>
      <w:r>
        <w:t>Background</w:t>
      </w:r>
      <w:bookmarkEnd w:id="2"/>
    </w:p>
    <w:p w:rsidR="00637920" w:rsidRDefault="00637920" w:rsidP="00637920">
      <w:pPr>
        <w:pStyle w:val="Heading2"/>
        <w:spacing w:line="240" w:lineRule="auto"/>
      </w:pPr>
      <w:bookmarkStart w:id="3" w:name="_Toc425773003"/>
      <w:r>
        <w:t xml:space="preserve">Pre-2013 amendments to the </w:t>
      </w:r>
      <w:r w:rsidRPr="00637920">
        <w:rPr>
          <w:i/>
        </w:rPr>
        <w:t>Workers’ Compensation and Rehabilitation Act 2003</w:t>
      </w:r>
      <w:bookmarkEnd w:id="3"/>
    </w:p>
    <w:p w:rsidR="00FE175D" w:rsidRPr="00387344" w:rsidRDefault="00F34D0A" w:rsidP="00FE175D">
      <w:pPr>
        <w:pStyle w:val="NormalWeb"/>
        <w:numPr>
          <w:ilvl w:val="0"/>
          <w:numId w:val="2"/>
        </w:numPr>
        <w:spacing w:before="120" w:beforeAutospacing="0" w:after="240" w:afterAutospacing="0" w:line="360" w:lineRule="auto"/>
        <w:ind w:left="567" w:hanging="567"/>
        <w:rPr>
          <w:rFonts w:cs="Arial"/>
          <w:lang w:val="en-AU"/>
        </w:rPr>
      </w:pPr>
      <w:r>
        <w:rPr>
          <w:rFonts w:cs="Arial"/>
          <w:lang w:val="en-AU"/>
        </w:rPr>
        <w:t xml:space="preserve">In addition to prohibiting discrimination on the basis of impairment and other attributes in areas of activity such as work, the </w:t>
      </w:r>
      <w:r w:rsidRPr="00F34D0A">
        <w:rPr>
          <w:rFonts w:cs="Arial"/>
          <w:i/>
          <w:lang w:val="en-AU"/>
        </w:rPr>
        <w:t xml:space="preserve">Anti-Discrimination Act 1991 </w:t>
      </w:r>
      <w:r>
        <w:rPr>
          <w:rFonts w:cs="Arial"/>
          <w:lang w:val="en-AU"/>
        </w:rPr>
        <w:t>(AD Act) also prohibits requesting information on which discrimination might be based</w:t>
      </w:r>
      <w:r w:rsidR="00BE70BE" w:rsidRPr="00387344">
        <w:rPr>
          <w:rFonts w:cs="Arial"/>
          <w:lang w:val="en-AU"/>
        </w:rPr>
        <w:t>.</w:t>
      </w:r>
      <w:r>
        <w:rPr>
          <w:rStyle w:val="FootnoteReference"/>
          <w:rFonts w:cs="Arial"/>
          <w:lang w:val="en-AU"/>
        </w:rPr>
        <w:footnoteReference w:id="1"/>
      </w:r>
      <w:r w:rsidR="000B1003">
        <w:rPr>
          <w:rFonts w:cs="Arial"/>
          <w:lang w:val="en-AU"/>
        </w:rPr>
        <w:t xml:space="preserve">  Requests for unnecessary information occur mostly in applying for work.</w:t>
      </w:r>
      <w:r w:rsidR="000B1003">
        <w:rPr>
          <w:rStyle w:val="FootnoteReference"/>
          <w:rFonts w:cs="Arial"/>
          <w:lang w:val="en-AU"/>
        </w:rPr>
        <w:footnoteReference w:id="2"/>
      </w:r>
    </w:p>
    <w:p w:rsidR="005E5BB4" w:rsidRDefault="00C46460"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 xml:space="preserve">Before the 2013 amendments to the </w:t>
      </w:r>
      <w:r w:rsidRPr="00F1787B">
        <w:rPr>
          <w:rFonts w:cs="Arial"/>
          <w:i/>
          <w:lang w:val="en-AU"/>
        </w:rPr>
        <w:t>Workers Compensation and Rehabilitation Act 2003</w:t>
      </w:r>
      <w:r>
        <w:rPr>
          <w:rFonts w:cs="Arial"/>
          <w:lang w:val="en-AU"/>
        </w:rPr>
        <w:t xml:space="preserve"> (WCAR Act), it was settled law that job applicants should not be asked </w:t>
      </w:r>
      <w:r w:rsidR="004E5C3B">
        <w:rPr>
          <w:rFonts w:cs="Arial"/>
          <w:lang w:val="en-AU"/>
        </w:rPr>
        <w:t>in a blanket way about their medical history, however it was lawful to enquire whether any special services or facilities might be required, and whether any medical condition might impact their ability to perform the essential components of the position</w:t>
      </w:r>
      <w:r w:rsidR="00C065F7">
        <w:rPr>
          <w:rFonts w:cs="Arial"/>
          <w:lang w:val="en-AU"/>
        </w:rPr>
        <w:t>.</w:t>
      </w:r>
      <w:r w:rsidR="004E5C3B">
        <w:rPr>
          <w:rFonts w:cs="Arial"/>
          <w:lang w:val="en-AU"/>
        </w:rPr>
        <w:t xml:space="preserve">  </w:t>
      </w:r>
      <w:r w:rsidR="005E5BB4">
        <w:rPr>
          <w:rFonts w:cs="Arial"/>
          <w:lang w:val="en-AU"/>
        </w:rPr>
        <w:t>The Commission publishes a fact sheet called ‘Incapacity and work’ to assist both employers and employees in managing illness and injury in the work area.</w:t>
      </w:r>
      <w:r w:rsidR="005E5BB4">
        <w:rPr>
          <w:rStyle w:val="FootnoteReference"/>
          <w:rFonts w:cs="Arial"/>
          <w:lang w:val="en-AU"/>
        </w:rPr>
        <w:footnoteReference w:id="3"/>
      </w:r>
    </w:p>
    <w:p w:rsidR="00C065F7" w:rsidRDefault="00955863"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T</w:t>
      </w:r>
      <w:r w:rsidR="004E5C3B">
        <w:rPr>
          <w:rFonts w:cs="Arial"/>
          <w:lang w:val="en-AU"/>
        </w:rPr>
        <w:t xml:space="preserve">here </w:t>
      </w:r>
      <w:r w:rsidR="005E5BB4">
        <w:rPr>
          <w:rFonts w:cs="Arial"/>
          <w:lang w:val="en-AU"/>
        </w:rPr>
        <w:t xml:space="preserve">are also </w:t>
      </w:r>
      <w:r>
        <w:rPr>
          <w:rFonts w:cs="Arial"/>
          <w:lang w:val="en-AU"/>
        </w:rPr>
        <w:t>a number of</w:t>
      </w:r>
      <w:r w:rsidR="004E5C3B">
        <w:rPr>
          <w:rFonts w:cs="Arial"/>
          <w:lang w:val="en-AU"/>
        </w:rPr>
        <w:t xml:space="preserve"> cases </w:t>
      </w:r>
      <w:r>
        <w:rPr>
          <w:rFonts w:cs="Arial"/>
          <w:lang w:val="en-AU"/>
        </w:rPr>
        <w:t xml:space="preserve">under the AD Act </w:t>
      </w:r>
      <w:r w:rsidR="004E5C3B">
        <w:rPr>
          <w:rFonts w:cs="Arial"/>
          <w:lang w:val="en-AU"/>
        </w:rPr>
        <w:t xml:space="preserve">decided by the tribunal relating to </w:t>
      </w:r>
      <w:r>
        <w:rPr>
          <w:rFonts w:cs="Arial"/>
          <w:lang w:val="en-AU"/>
        </w:rPr>
        <w:t xml:space="preserve">information from </w:t>
      </w:r>
      <w:r w:rsidR="004E5C3B">
        <w:rPr>
          <w:rFonts w:cs="Arial"/>
          <w:lang w:val="en-AU"/>
        </w:rPr>
        <w:t>pre-employment medicals</w:t>
      </w:r>
      <w:r w:rsidR="00676895">
        <w:rPr>
          <w:rFonts w:cs="Arial"/>
          <w:lang w:val="en-AU"/>
        </w:rPr>
        <w:t>, particularly in the early operation of the AD Act</w:t>
      </w:r>
      <w:r w:rsidR="004E5C3B">
        <w:rPr>
          <w:rFonts w:cs="Arial"/>
          <w:lang w:val="en-AU"/>
        </w:rPr>
        <w:t>.</w:t>
      </w:r>
      <w:r>
        <w:rPr>
          <w:rStyle w:val="FootnoteReference"/>
          <w:rFonts w:cs="Arial"/>
          <w:lang w:val="en-AU"/>
        </w:rPr>
        <w:footnoteReference w:id="4"/>
      </w:r>
    </w:p>
    <w:p w:rsidR="00637920" w:rsidRDefault="00637920"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In 2005 the WCAR Act was amended and introduced an offence for a person to seek to obtain or use a workers’ compensation document (e.g. a claims history) in an employment selection process, or in deciding whether the employment of the worker is to continue.  This provision (section 572A) was, and remains, consistent with the AD Act prohibition on seeking information on which unlawful discrimination might be based.</w:t>
      </w:r>
    </w:p>
    <w:p w:rsidR="00637920" w:rsidRDefault="00637920"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 xml:space="preserve">The </w:t>
      </w:r>
      <w:r w:rsidR="00C94D2A">
        <w:rPr>
          <w:rFonts w:cs="Arial"/>
          <w:lang w:val="en-AU"/>
        </w:rPr>
        <w:t xml:space="preserve">prohibition on access </w:t>
      </w:r>
      <w:r>
        <w:rPr>
          <w:rFonts w:cs="Arial"/>
          <w:lang w:val="en-AU"/>
        </w:rPr>
        <w:t>to documents was strengthened by an amendment to section 572 allowing the insurer to refuse to p</w:t>
      </w:r>
      <w:r w:rsidR="00FE792F">
        <w:rPr>
          <w:rFonts w:cs="Arial"/>
          <w:lang w:val="en-AU"/>
        </w:rPr>
        <w:t>rovide a document if it suspected</w:t>
      </w:r>
      <w:r>
        <w:rPr>
          <w:rFonts w:cs="Arial"/>
          <w:lang w:val="en-AU"/>
        </w:rPr>
        <w:t xml:space="preserve"> on reasonable grounds that the document is required for a </w:t>
      </w:r>
      <w:r w:rsidR="00C94D2A">
        <w:rPr>
          <w:rFonts w:cs="Arial"/>
          <w:lang w:val="en-AU"/>
        </w:rPr>
        <w:t>purpose prohibited by section 572A</w:t>
      </w:r>
      <w:r>
        <w:rPr>
          <w:rFonts w:cs="Arial"/>
          <w:lang w:val="en-AU"/>
        </w:rPr>
        <w:t>.</w:t>
      </w:r>
    </w:p>
    <w:p w:rsidR="00676895" w:rsidRDefault="00676895" w:rsidP="00676895">
      <w:pPr>
        <w:pStyle w:val="Heading2"/>
        <w:spacing w:line="240" w:lineRule="auto"/>
      </w:pPr>
      <w:bookmarkStart w:id="4" w:name="_Toc425773004"/>
      <w:r>
        <w:t xml:space="preserve">2013 amendment of chapter 14 of the </w:t>
      </w:r>
      <w:r w:rsidRPr="00CB4CCF">
        <w:rPr>
          <w:i/>
        </w:rPr>
        <w:t>Workers’ Compensation and Rehabilitation Act 2003</w:t>
      </w:r>
      <w:bookmarkEnd w:id="4"/>
    </w:p>
    <w:p w:rsidR="00676895" w:rsidRDefault="00CB4CCF"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The 2013 amendments to the WCAR Act included the introduction of a new part 1 to chapter 14, headed ‘Information and documents about pre-existing injuries and medical conditions of prospective workers</w:t>
      </w:r>
      <w:r w:rsidR="00F1787B">
        <w:rPr>
          <w:rFonts w:cs="Arial"/>
          <w:lang w:val="en-AU"/>
        </w:rPr>
        <w:t>’</w:t>
      </w:r>
      <w:bookmarkStart w:id="5" w:name="_GoBack"/>
      <w:bookmarkEnd w:id="5"/>
      <w:r>
        <w:rPr>
          <w:rFonts w:cs="Arial"/>
          <w:lang w:val="en-AU"/>
        </w:rPr>
        <w:t>.  New sections 571A to 571C impose an obligation on job applicants to disclose, if asked by the employer, any existing medical conditions or injuries that might be aggravated by performing the duties of the position.  The new section 571D enables an employer to obtain a job applicant’s claims history.</w:t>
      </w:r>
    </w:p>
    <w:p w:rsidR="00FE792F" w:rsidRDefault="00FE792F"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Also, the provision enabling an insurer to refuse to provide a document if it suspected the document was required for a prohibited reason</w:t>
      </w:r>
      <w:r>
        <w:rPr>
          <w:rStyle w:val="FootnoteReference"/>
          <w:rFonts w:cs="Arial"/>
          <w:lang w:val="en-AU"/>
        </w:rPr>
        <w:footnoteReference w:id="5"/>
      </w:r>
      <w:r>
        <w:rPr>
          <w:rFonts w:cs="Arial"/>
          <w:lang w:val="en-AU"/>
        </w:rPr>
        <w:t xml:space="preserve"> was removed.</w:t>
      </w:r>
    </w:p>
    <w:p w:rsidR="00FE792F" w:rsidRDefault="00FE792F" w:rsidP="0005388E">
      <w:pPr>
        <w:pStyle w:val="NormalWeb"/>
        <w:numPr>
          <w:ilvl w:val="0"/>
          <w:numId w:val="2"/>
        </w:numPr>
        <w:spacing w:before="120" w:beforeAutospacing="0" w:after="240" w:afterAutospacing="0" w:line="360" w:lineRule="auto"/>
        <w:ind w:left="567" w:hanging="567"/>
        <w:rPr>
          <w:rFonts w:cs="Arial"/>
          <w:lang w:val="en-AU"/>
        </w:rPr>
      </w:pPr>
      <w:r>
        <w:rPr>
          <w:rFonts w:cs="Arial"/>
          <w:lang w:val="en-AU"/>
        </w:rPr>
        <w:t>The Bill was introduced and passed quickly, with the amendments to chapter 14 commencing on 29 October 2013.  The Commission responded quickly and produced fact sheets to assist employers, workers and other stakeholders understand how these new provisions operated with the AD Act.</w:t>
      </w:r>
      <w:r w:rsidR="00ED5446">
        <w:rPr>
          <w:rFonts w:cs="Arial"/>
          <w:lang w:val="en-AU"/>
        </w:rPr>
        <w:t xml:space="preserve">  The Commission was able to assist attendees of the QCOMP Expo and joined with </w:t>
      </w:r>
      <w:proofErr w:type="spellStart"/>
      <w:r w:rsidR="00ED5446">
        <w:rPr>
          <w:rFonts w:cs="Arial"/>
          <w:lang w:val="en-AU"/>
        </w:rPr>
        <w:t>WorkCover</w:t>
      </w:r>
      <w:proofErr w:type="spellEnd"/>
      <w:r w:rsidR="00ED5446">
        <w:rPr>
          <w:rFonts w:cs="Arial"/>
          <w:lang w:val="en-AU"/>
        </w:rPr>
        <w:t xml:space="preserve"> in providing information through a webinar.  The fact sheets were also made available </w:t>
      </w:r>
      <w:r w:rsidR="00A47FD5">
        <w:rPr>
          <w:rFonts w:cs="Arial"/>
          <w:lang w:val="en-AU"/>
        </w:rPr>
        <w:t>from</w:t>
      </w:r>
      <w:r w:rsidR="00ED5446">
        <w:rPr>
          <w:rFonts w:cs="Arial"/>
          <w:lang w:val="en-AU"/>
        </w:rPr>
        <w:t xml:space="preserve"> the </w:t>
      </w:r>
      <w:proofErr w:type="spellStart"/>
      <w:r w:rsidR="00ED5446">
        <w:rPr>
          <w:rFonts w:cs="Arial"/>
          <w:lang w:val="en-AU"/>
        </w:rPr>
        <w:t>WorkCover</w:t>
      </w:r>
      <w:proofErr w:type="spellEnd"/>
      <w:r w:rsidR="00ED5446">
        <w:rPr>
          <w:rFonts w:cs="Arial"/>
          <w:lang w:val="en-AU"/>
        </w:rPr>
        <w:t xml:space="preserve"> web pages dedicated to the 2013 amendments.  The detailed fact sheet </w:t>
      </w:r>
      <w:r w:rsidR="004004DA">
        <w:rPr>
          <w:rFonts w:cs="Arial"/>
          <w:lang w:val="en-AU"/>
        </w:rPr>
        <w:t>accompanies</w:t>
      </w:r>
      <w:r w:rsidR="00ED5446">
        <w:rPr>
          <w:rFonts w:cs="Arial"/>
          <w:lang w:val="en-AU"/>
        </w:rPr>
        <w:t xml:space="preserve"> this submission.</w:t>
      </w:r>
    </w:p>
    <w:p w:rsidR="00A47FD5" w:rsidRDefault="00A47FD5" w:rsidP="001E5FDE">
      <w:pPr>
        <w:pStyle w:val="NormalWeb"/>
        <w:numPr>
          <w:ilvl w:val="0"/>
          <w:numId w:val="2"/>
        </w:numPr>
        <w:spacing w:before="120" w:beforeAutospacing="0" w:after="120" w:afterAutospacing="0" w:line="360" w:lineRule="auto"/>
        <w:ind w:left="567" w:hanging="567"/>
        <w:rPr>
          <w:rFonts w:cs="Arial"/>
          <w:lang w:val="en-AU"/>
        </w:rPr>
      </w:pPr>
      <w:r>
        <w:rPr>
          <w:rFonts w:cs="Arial"/>
          <w:lang w:val="en-AU"/>
        </w:rPr>
        <w:t>The</w:t>
      </w:r>
      <w:r w:rsidR="001E5FDE">
        <w:rPr>
          <w:rFonts w:cs="Arial"/>
          <w:lang w:val="en-AU"/>
        </w:rPr>
        <w:t xml:space="preserve"> 2013 amendments operate</w:t>
      </w:r>
      <w:r>
        <w:rPr>
          <w:rFonts w:cs="Arial"/>
          <w:lang w:val="en-AU"/>
        </w:rPr>
        <w:t xml:space="preserve"> with the AD Act as follows:</w:t>
      </w:r>
    </w:p>
    <w:p w:rsidR="00A47FD5" w:rsidRDefault="00A47FD5" w:rsidP="00A47FD5">
      <w:pPr>
        <w:pStyle w:val="NormalWeb"/>
        <w:numPr>
          <w:ilvl w:val="0"/>
          <w:numId w:val="15"/>
        </w:numPr>
        <w:spacing w:before="120" w:beforeAutospacing="0" w:after="120" w:afterAutospacing="0" w:line="360" w:lineRule="auto"/>
        <w:ind w:left="1276" w:hanging="425"/>
        <w:rPr>
          <w:rFonts w:cs="Arial"/>
          <w:lang w:val="en-AU"/>
        </w:rPr>
      </w:pPr>
      <w:proofErr w:type="gramStart"/>
      <w:r>
        <w:rPr>
          <w:rFonts w:cs="Arial"/>
          <w:lang w:val="en-AU"/>
        </w:rPr>
        <w:t>an</w:t>
      </w:r>
      <w:proofErr w:type="gramEnd"/>
      <w:r>
        <w:rPr>
          <w:rFonts w:cs="Arial"/>
          <w:lang w:val="en-AU"/>
        </w:rPr>
        <w:t xml:space="preserve"> employer may ask a job applicant to disclose any existing medical conditions or injuries that might be aggravated by performing the duties of the position (WCAR Act).</w:t>
      </w:r>
    </w:p>
    <w:p w:rsidR="00A47FD5" w:rsidRDefault="00A47FD5" w:rsidP="00A47FD5">
      <w:pPr>
        <w:pStyle w:val="NormalWeb"/>
        <w:numPr>
          <w:ilvl w:val="0"/>
          <w:numId w:val="15"/>
        </w:numPr>
        <w:spacing w:before="120" w:beforeAutospacing="0" w:after="120" w:afterAutospacing="0" w:line="360" w:lineRule="auto"/>
        <w:ind w:left="1276" w:hanging="425"/>
        <w:rPr>
          <w:rFonts w:cs="Arial"/>
          <w:lang w:val="en-AU"/>
        </w:rPr>
      </w:pPr>
      <w:proofErr w:type="gramStart"/>
      <w:r>
        <w:rPr>
          <w:rFonts w:cs="Arial"/>
          <w:lang w:val="en-AU"/>
        </w:rPr>
        <w:t>the</w:t>
      </w:r>
      <w:proofErr w:type="gramEnd"/>
      <w:r>
        <w:rPr>
          <w:rFonts w:cs="Arial"/>
          <w:lang w:val="en-AU"/>
        </w:rPr>
        <w:t xml:space="preserve"> employer can use the information to consider reasonable adjustments for the applicant to perform the job, and whether any special services or facilities would cause unreasonable hardship for the employer (AD Act).</w:t>
      </w:r>
    </w:p>
    <w:p w:rsidR="004B1847" w:rsidRDefault="00A47FD5" w:rsidP="004B1847">
      <w:pPr>
        <w:pStyle w:val="NormalWeb"/>
        <w:numPr>
          <w:ilvl w:val="0"/>
          <w:numId w:val="15"/>
        </w:numPr>
        <w:spacing w:before="120" w:beforeAutospacing="0" w:after="120" w:afterAutospacing="0" w:line="360" w:lineRule="auto"/>
        <w:ind w:left="1276" w:hanging="425"/>
        <w:rPr>
          <w:rFonts w:cs="Arial"/>
          <w:lang w:val="en-AU"/>
        </w:rPr>
      </w:pPr>
      <w:proofErr w:type="gramStart"/>
      <w:r>
        <w:rPr>
          <w:rFonts w:cs="Arial"/>
          <w:lang w:val="en-AU"/>
        </w:rPr>
        <w:t>the</w:t>
      </w:r>
      <w:proofErr w:type="gramEnd"/>
      <w:r>
        <w:rPr>
          <w:rFonts w:cs="Arial"/>
          <w:lang w:val="en-AU"/>
        </w:rPr>
        <w:t xml:space="preserve"> employer can only refuse to employ the applicant because of the medical condition or injury if the applicant is not able to perform the essential components of the job (AD Act).</w:t>
      </w:r>
      <w:r w:rsidR="004B1847" w:rsidRPr="004B1847">
        <w:rPr>
          <w:rFonts w:cs="Arial"/>
          <w:lang w:val="en-AU"/>
        </w:rPr>
        <w:t xml:space="preserve"> </w:t>
      </w:r>
    </w:p>
    <w:p w:rsidR="004B1847" w:rsidRDefault="004B1847" w:rsidP="004B1847">
      <w:pPr>
        <w:pStyle w:val="NormalWeb"/>
        <w:numPr>
          <w:ilvl w:val="0"/>
          <w:numId w:val="15"/>
        </w:numPr>
        <w:spacing w:before="120" w:beforeAutospacing="0" w:after="120" w:afterAutospacing="0" w:line="360" w:lineRule="auto"/>
        <w:ind w:left="1276" w:hanging="425"/>
        <w:rPr>
          <w:rFonts w:cs="Arial"/>
          <w:lang w:val="en-AU"/>
        </w:rPr>
      </w:pPr>
      <w:proofErr w:type="gramStart"/>
      <w:r>
        <w:rPr>
          <w:rFonts w:cs="Arial"/>
          <w:lang w:val="en-AU"/>
        </w:rPr>
        <w:t>the</w:t>
      </w:r>
      <w:proofErr w:type="gramEnd"/>
      <w:r>
        <w:rPr>
          <w:rFonts w:cs="Arial"/>
          <w:lang w:val="en-AU"/>
        </w:rPr>
        <w:t xml:space="preserve"> employer cannot ask the applicant to disclose past medical conditions or injuries (AD Act).</w:t>
      </w:r>
    </w:p>
    <w:p w:rsidR="00A47FD5" w:rsidRDefault="00A47FD5" w:rsidP="00A47FD5">
      <w:pPr>
        <w:pStyle w:val="NormalWeb"/>
        <w:numPr>
          <w:ilvl w:val="0"/>
          <w:numId w:val="15"/>
        </w:numPr>
        <w:spacing w:before="120" w:beforeAutospacing="0" w:after="120" w:afterAutospacing="0" w:line="360" w:lineRule="auto"/>
        <w:ind w:left="1276" w:hanging="425"/>
        <w:rPr>
          <w:rFonts w:cs="Arial"/>
          <w:lang w:val="en-AU"/>
        </w:rPr>
      </w:pPr>
      <w:proofErr w:type="gramStart"/>
      <w:r>
        <w:rPr>
          <w:rFonts w:cs="Arial"/>
          <w:lang w:val="en-AU"/>
        </w:rPr>
        <w:t>if</w:t>
      </w:r>
      <w:proofErr w:type="gramEnd"/>
      <w:r>
        <w:rPr>
          <w:rFonts w:cs="Arial"/>
          <w:lang w:val="en-AU"/>
        </w:rPr>
        <w:t xml:space="preserve"> the applicant has an existing medical condition or injury and knowingly makes a false or misleading disclosure, the applicant is not entitled to compensation or damages </w:t>
      </w:r>
      <w:r w:rsidR="004B1847">
        <w:rPr>
          <w:rFonts w:cs="Arial"/>
          <w:lang w:val="en-AU"/>
        </w:rPr>
        <w:t>for any event that aggravates the medical injury or medical condition, if he is employed under the employment process (WCAR Act).</w:t>
      </w:r>
    </w:p>
    <w:p w:rsidR="004B1847" w:rsidRDefault="004B1847" w:rsidP="00A47FD5">
      <w:pPr>
        <w:pStyle w:val="NormalWeb"/>
        <w:numPr>
          <w:ilvl w:val="0"/>
          <w:numId w:val="15"/>
        </w:numPr>
        <w:spacing w:before="120" w:beforeAutospacing="0" w:after="120" w:afterAutospacing="0" w:line="360" w:lineRule="auto"/>
        <w:ind w:left="1276" w:hanging="425"/>
        <w:rPr>
          <w:rFonts w:cs="Arial"/>
          <w:lang w:val="en-AU"/>
        </w:rPr>
      </w:pPr>
      <w:proofErr w:type="gramStart"/>
      <w:r>
        <w:rPr>
          <w:rFonts w:cs="Arial"/>
          <w:lang w:val="en-AU"/>
        </w:rPr>
        <w:t>an</w:t>
      </w:r>
      <w:proofErr w:type="gramEnd"/>
      <w:r>
        <w:rPr>
          <w:rFonts w:cs="Arial"/>
          <w:lang w:val="en-AU"/>
        </w:rPr>
        <w:t xml:space="preserve"> employer may obtain, with the applicant’s consent during a recruitment process, a copy of the applicant’s worker’s claims history summary.</w:t>
      </w:r>
    </w:p>
    <w:p w:rsidR="004B1847" w:rsidRDefault="004B1847" w:rsidP="00A47FD5">
      <w:pPr>
        <w:pStyle w:val="NormalWeb"/>
        <w:numPr>
          <w:ilvl w:val="0"/>
          <w:numId w:val="15"/>
        </w:numPr>
        <w:spacing w:before="120" w:beforeAutospacing="0" w:after="120" w:afterAutospacing="0" w:line="360" w:lineRule="auto"/>
        <w:ind w:left="1276" w:hanging="425"/>
        <w:rPr>
          <w:rFonts w:cs="Arial"/>
          <w:lang w:val="en-AU"/>
        </w:rPr>
      </w:pPr>
      <w:proofErr w:type="gramStart"/>
      <w:r>
        <w:rPr>
          <w:rFonts w:cs="Arial"/>
          <w:lang w:val="en-AU"/>
        </w:rPr>
        <w:t>the</w:t>
      </w:r>
      <w:proofErr w:type="gramEnd"/>
      <w:r>
        <w:rPr>
          <w:rFonts w:cs="Arial"/>
          <w:lang w:val="en-AU"/>
        </w:rPr>
        <w:t xml:space="preserve"> claims history can only be used during the recruitment process (WCAR Act) to consider reasonable adjustments, special services or facilities, whether the applicant can perform the essential components of the job, and any reasonable work health and safety issues (AD Act).</w:t>
      </w:r>
    </w:p>
    <w:p w:rsidR="00F30B13" w:rsidRPr="00387344" w:rsidRDefault="008A54C5" w:rsidP="00705810">
      <w:pPr>
        <w:pStyle w:val="Heading1"/>
      </w:pPr>
      <w:bookmarkStart w:id="6" w:name="_Toc425773005"/>
      <w:r>
        <w:t>A</w:t>
      </w:r>
      <w:r w:rsidR="007F6826">
        <w:t>ccess to</w:t>
      </w:r>
      <w:r w:rsidR="00705810">
        <w:t xml:space="preserve"> </w:t>
      </w:r>
      <w:r>
        <w:t xml:space="preserve">documents and </w:t>
      </w:r>
      <w:r w:rsidR="00705810">
        <w:t>information</w:t>
      </w:r>
      <w:bookmarkEnd w:id="6"/>
      <w:r w:rsidR="007F6826">
        <w:t xml:space="preserve"> </w:t>
      </w:r>
    </w:p>
    <w:p w:rsidR="007F6826" w:rsidRDefault="007F6826" w:rsidP="007F6826">
      <w:pPr>
        <w:pStyle w:val="Heading2"/>
      </w:pPr>
      <w:bookmarkStart w:id="7" w:name="_Toc425773006"/>
      <w:r>
        <w:t>Claims histories and workers’ compensation documents</w:t>
      </w:r>
      <w:bookmarkEnd w:id="7"/>
    </w:p>
    <w:p w:rsidR="001C5C10" w:rsidRPr="00387344" w:rsidRDefault="00705810" w:rsidP="008238F6">
      <w:pPr>
        <w:pStyle w:val="NormalWeb"/>
        <w:numPr>
          <w:ilvl w:val="0"/>
          <w:numId w:val="2"/>
        </w:numPr>
        <w:spacing w:before="120" w:beforeAutospacing="0" w:after="240" w:afterAutospacing="0" w:line="360" w:lineRule="auto"/>
        <w:ind w:left="567" w:hanging="567"/>
        <w:rPr>
          <w:rFonts w:cs="Arial"/>
          <w:lang w:val="en-AU"/>
        </w:rPr>
      </w:pPr>
      <w:r>
        <w:rPr>
          <w:rFonts w:cs="Arial"/>
          <w:lang w:val="en-AU"/>
        </w:rPr>
        <w:t xml:space="preserve">The Commission supports the proposed removal of </w:t>
      </w:r>
      <w:r w:rsidR="00C05639">
        <w:rPr>
          <w:rFonts w:cs="Arial"/>
          <w:lang w:val="en-AU"/>
        </w:rPr>
        <w:t xml:space="preserve">the ability of </w:t>
      </w:r>
      <w:r>
        <w:rPr>
          <w:rFonts w:cs="Arial"/>
          <w:lang w:val="en-AU"/>
        </w:rPr>
        <w:t>an employer to obtain the claims history of a job applicant</w:t>
      </w:r>
      <w:r w:rsidR="00C05639">
        <w:rPr>
          <w:rFonts w:cs="Arial"/>
          <w:lang w:val="en-AU"/>
        </w:rPr>
        <w:t>, by removing section 571D of the WCAR Act</w:t>
      </w:r>
      <w:r>
        <w:rPr>
          <w:rFonts w:cs="Arial"/>
          <w:lang w:val="en-AU"/>
        </w:rPr>
        <w:t>.  The claims history has limited use and value to an employer in the recruitment process</w:t>
      </w:r>
      <w:r w:rsidR="00C05639">
        <w:rPr>
          <w:rFonts w:cs="Arial"/>
          <w:lang w:val="en-AU"/>
        </w:rPr>
        <w:t xml:space="preserve">.  The limited use </w:t>
      </w:r>
      <w:r>
        <w:rPr>
          <w:rFonts w:cs="Arial"/>
          <w:lang w:val="en-AU"/>
        </w:rPr>
        <w:t xml:space="preserve">is </w:t>
      </w:r>
      <w:r w:rsidR="00C05639">
        <w:rPr>
          <w:rFonts w:cs="Arial"/>
          <w:lang w:val="en-AU"/>
        </w:rPr>
        <w:t xml:space="preserve">far </w:t>
      </w:r>
      <w:r>
        <w:rPr>
          <w:rFonts w:cs="Arial"/>
          <w:lang w:val="en-AU"/>
        </w:rPr>
        <w:t>outweighed by the potential misuse of the information to the detriment of the applicant.</w:t>
      </w:r>
    </w:p>
    <w:p w:rsidR="00305CEA" w:rsidRDefault="004846CD" w:rsidP="008238F6">
      <w:pPr>
        <w:pStyle w:val="NormalWeb"/>
        <w:numPr>
          <w:ilvl w:val="0"/>
          <w:numId w:val="2"/>
        </w:numPr>
        <w:spacing w:before="120" w:beforeAutospacing="0" w:after="240" w:afterAutospacing="0" w:line="360" w:lineRule="auto"/>
        <w:ind w:left="567" w:hanging="567"/>
        <w:rPr>
          <w:rFonts w:cs="Arial"/>
          <w:lang w:val="en-AU"/>
        </w:rPr>
      </w:pPr>
      <w:r>
        <w:rPr>
          <w:rFonts w:cs="Arial"/>
          <w:lang w:val="en-AU"/>
        </w:rPr>
        <w:t>Also, t</w:t>
      </w:r>
      <w:r w:rsidR="00705810">
        <w:rPr>
          <w:rFonts w:cs="Arial"/>
          <w:lang w:val="en-AU"/>
        </w:rPr>
        <w:t>he right of the insurer to decline to provide a workers’ compensation document</w:t>
      </w:r>
      <w:r w:rsidR="00C05639">
        <w:rPr>
          <w:rFonts w:cs="Arial"/>
          <w:lang w:val="en-AU"/>
        </w:rPr>
        <w:t xml:space="preserve"> on suspicion of it being required for a prohibited </w:t>
      </w:r>
      <w:proofErr w:type="gramStart"/>
      <w:r w:rsidR="00C05639">
        <w:rPr>
          <w:rFonts w:cs="Arial"/>
          <w:lang w:val="en-AU"/>
        </w:rPr>
        <w:t>reason,</w:t>
      </w:r>
      <w:proofErr w:type="gramEnd"/>
      <w:r w:rsidR="00C05639">
        <w:rPr>
          <w:rFonts w:cs="Arial"/>
          <w:lang w:val="en-AU"/>
        </w:rPr>
        <w:t xml:space="preserve"> should be restored.  This involves re-instating subsection 572(3</w:t>
      </w:r>
      <w:proofErr w:type="gramStart"/>
      <w:r w:rsidR="00C05639">
        <w:rPr>
          <w:rFonts w:cs="Arial"/>
          <w:lang w:val="en-AU"/>
        </w:rPr>
        <w:t>)(</w:t>
      </w:r>
      <w:proofErr w:type="gramEnd"/>
      <w:r w:rsidR="00C05639">
        <w:rPr>
          <w:rFonts w:cs="Arial"/>
          <w:lang w:val="en-AU"/>
        </w:rPr>
        <w:t>d).  Before the 2013 amendments, section 572 provided:</w:t>
      </w:r>
      <w:r w:rsidR="00705810">
        <w:rPr>
          <w:rFonts w:cs="Arial"/>
          <w:lang w:val="en-AU"/>
        </w:rPr>
        <w:t xml:space="preserve"> </w:t>
      </w:r>
    </w:p>
    <w:p w:rsidR="00C05639" w:rsidRPr="00A84F39" w:rsidRDefault="00C05639" w:rsidP="00C05639">
      <w:pPr>
        <w:pStyle w:val="NormalWeb"/>
        <w:spacing w:before="120" w:beforeAutospacing="0" w:after="120" w:afterAutospacing="0"/>
        <w:ind w:left="1441" w:right="657" w:hanging="590"/>
        <w:rPr>
          <w:rFonts w:cs="Arial"/>
          <w:b/>
          <w:sz w:val="22"/>
          <w:szCs w:val="22"/>
          <w:lang w:val="en-AU"/>
        </w:rPr>
      </w:pPr>
      <w:r w:rsidRPr="00A84F39">
        <w:rPr>
          <w:rFonts w:cs="Arial"/>
          <w:b/>
          <w:sz w:val="22"/>
          <w:szCs w:val="22"/>
          <w:lang w:val="en-AU"/>
        </w:rPr>
        <w:t>572</w:t>
      </w:r>
      <w:r w:rsidRPr="00A84F39">
        <w:rPr>
          <w:rFonts w:cs="Arial"/>
          <w:b/>
          <w:sz w:val="22"/>
          <w:szCs w:val="22"/>
          <w:lang w:val="en-AU"/>
        </w:rPr>
        <w:tab/>
        <w:t>Claimant or worker entitled to obtain certain documents</w:t>
      </w:r>
    </w:p>
    <w:p w:rsidR="00C05639" w:rsidRDefault="00C05639" w:rsidP="00C05639">
      <w:pPr>
        <w:pStyle w:val="NormalWeb"/>
        <w:spacing w:before="120" w:beforeAutospacing="0" w:after="120" w:afterAutospacing="0"/>
        <w:ind w:left="1441" w:right="657" w:hanging="590"/>
        <w:rPr>
          <w:rFonts w:cs="Arial"/>
          <w:sz w:val="22"/>
          <w:szCs w:val="22"/>
          <w:lang w:val="en-AU"/>
        </w:rPr>
      </w:pPr>
      <w:r>
        <w:rPr>
          <w:rFonts w:cs="Arial"/>
          <w:sz w:val="22"/>
          <w:szCs w:val="22"/>
          <w:lang w:val="en-AU"/>
        </w:rPr>
        <w:t xml:space="preserve">(1)   </w:t>
      </w:r>
      <w:r>
        <w:rPr>
          <w:rFonts w:cs="Arial"/>
          <w:sz w:val="22"/>
          <w:szCs w:val="22"/>
          <w:lang w:val="en-AU"/>
        </w:rPr>
        <w:tab/>
        <w:t>A person who is a claimant or worker for any provision of this Act may, by written notice, ask the Authority or the insurer (the document holder) to give the person a copy of documents required to be kept by the document holder that relate to the person’s application for compensation of claim for damages.</w:t>
      </w:r>
    </w:p>
    <w:p w:rsidR="00C05639" w:rsidRDefault="00C05639" w:rsidP="00C05639">
      <w:pPr>
        <w:pStyle w:val="NormalWeb"/>
        <w:spacing w:before="120" w:beforeAutospacing="0" w:after="120" w:afterAutospacing="0"/>
        <w:ind w:left="1441" w:right="657" w:hanging="590"/>
        <w:rPr>
          <w:rFonts w:cs="Arial"/>
          <w:sz w:val="22"/>
          <w:szCs w:val="22"/>
          <w:lang w:val="en-AU"/>
        </w:rPr>
      </w:pPr>
      <w:r>
        <w:rPr>
          <w:rFonts w:cs="Arial"/>
          <w:sz w:val="22"/>
          <w:szCs w:val="22"/>
          <w:lang w:val="en-AU"/>
        </w:rPr>
        <w:t>(2)</w:t>
      </w:r>
      <w:r>
        <w:rPr>
          <w:rFonts w:cs="Arial"/>
          <w:sz w:val="22"/>
          <w:szCs w:val="22"/>
          <w:lang w:val="en-AU"/>
        </w:rPr>
        <w:tab/>
        <w:t>The document holder must give the claimant or worker a copy of the documents requested within 20 business days after the claimant or worker gives the notice, unless the document holder has a reasonable excuse for not doing so.</w:t>
      </w:r>
    </w:p>
    <w:p w:rsidR="00C05639" w:rsidRDefault="00C05639" w:rsidP="00C05639">
      <w:pPr>
        <w:pStyle w:val="NormalWeb"/>
        <w:spacing w:before="120" w:beforeAutospacing="0" w:after="120" w:afterAutospacing="0"/>
        <w:ind w:left="1441" w:right="657" w:hanging="590"/>
        <w:rPr>
          <w:rFonts w:cs="Arial"/>
          <w:sz w:val="22"/>
          <w:szCs w:val="22"/>
          <w:lang w:val="en-AU"/>
        </w:rPr>
      </w:pPr>
      <w:r>
        <w:rPr>
          <w:rFonts w:cs="Arial"/>
          <w:sz w:val="22"/>
          <w:szCs w:val="22"/>
          <w:lang w:val="en-AU"/>
        </w:rPr>
        <w:t>(3)</w:t>
      </w:r>
      <w:r>
        <w:rPr>
          <w:rFonts w:cs="Arial"/>
          <w:sz w:val="22"/>
          <w:szCs w:val="22"/>
          <w:lang w:val="en-AU"/>
        </w:rPr>
        <w:tab/>
        <w:t xml:space="preserve">Without limiting subsection (2), it is a reasonable excuse for the document holder not to give the document or part of the document if — </w:t>
      </w:r>
    </w:p>
    <w:p w:rsidR="00C05639" w:rsidRDefault="00C05639" w:rsidP="00C94D2A">
      <w:pPr>
        <w:pStyle w:val="NormalWeb"/>
        <w:numPr>
          <w:ilvl w:val="0"/>
          <w:numId w:val="16"/>
        </w:numPr>
        <w:spacing w:before="120" w:beforeAutospacing="0" w:after="120" w:afterAutospacing="0"/>
        <w:ind w:left="1985" w:right="657" w:hanging="567"/>
        <w:rPr>
          <w:rFonts w:cs="Arial"/>
          <w:sz w:val="22"/>
          <w:szCs w:val="22"/>
          <w:lang w:val="en-AU"/>
        </w:rPr>
      </w:pPr>
      <w:r>
        <w:rPr>
          <w:rFonts w:cs="Arial"/>
          <w:sz w:val="22"/>
          <w:szCs w:val="22"/>
          <w:lang w:val="en-AU"/>
        </w:rPr>
        <w:t>the document or part is protected by legal professional privilege;</w:t>
      </w:r>
      <w:r w:rsidR="00C94D2A">
        <w:rPr>
          <w:rFonts w:cs="Arial"/>
          <w:sz w:val="22"/>
          <w:szCs w:val="22"/>
          <w:lang w:val="en-AU"/>
        </w:rPr>
        <w:t xml:space="preserve"> or</w:t>
      </w:r>
    </w:p>
    <w:p w:rsidR="00C94D2A" w:rsidRDefault="00C94D2A" w:rsidP="00C94D2A">
      <w:pPr>
        <w:pStyle w:val="NormalWeb"/>
        <w:numPr>
          <w:ilvl w:val="0"/>
          <w:numId w:val="16"/>
        </w:numPr>
        <w:spacing w:before="120" w:beforeAutospacing="0" w:after="120" w:afterAutospacing="0"/>
        <w:ind w:left="1985" w:right="657" w:hanging="567"/>
        <w:rPr>
          <w:rFonts w:cs="Arial"/>
          <w:sz w:val="22"/>
          <w:szCs w:val="22"/>
          <w:lang w:val="en-AU"/>
        </w:rPr>
      </w:pPr>
      <w:r>
        <w:rPr>
          <w:rFonts w:cs="Arial"/>
          <w:sz w:val="22"/>
          <w:szCs w:val="22"/>
          <w:lang w:val="en-AU"/>
        </w:rPr>
        <w:t>the document or part would alert the claimant or worker to the document holder’s reasonable suspicion of fraud in relation to the application for compensation or claim for damages; or</w:t>
      </w:r>
    </w:p>
    <w:p w:rsidR="00C94D2A" w:rsidRDefault="00C94D2A" w:rsidP="00C94D2A">
      <w:pPr>
        <w:pStyle w:val="NormalWeb"/>
        <w:numPr>
          <w:ilvl w:val="0"/>
          <w:numId w:val="16"/>
        </w:numPr>
        <w:spacing w:before="120" w:beforeAutospacing="0" w:after="120" w:afterAutospacing="0"/>
        <w:ind w:left="1985" w:right="657" w:hanging="567"/>
        <w:rPr>
          <w:rFonts w:cs="Arial"/>
          <w:sz w:val="22"/>
          <w:szCs w:val="22"/>
          <w:lang w:val="en-AU"/>
        </w:rPr>
      </w:pPr>
      <w:r>
        <w:rPr>
          <w:rFonts w:cs="Arial"/>
          <w:sz w:val="22"/>
          <w:szCs w:val="22"/>
          <w:lang w:val="en-AU"/>
        </w:rPr>
        <w:t xml:space="preserve">the document holder believes the matter contained in the document would meet the requirements of the </w:t>
      </w:r>
      <w:r>
        <w:rPr>
          <w:rFonts w:cs="Arial"/>
          <w:i/>
          <w:sz w:val="22"/>
          <w:szCs w:val="22"/>
          <w:lang w:val="en-AU"/>
        </w:rPr>
        <w:t>Right to Information Act 2009</w:t>
      </w:r>
      <w:r>
        <w:rPr>
          <w:rFonts w:cs="Arial"/>
          <w:sz w:val="22"/>
          <w:szCs w:val="22"/>
          <w:lang w:val="en-AU"/>
        </w:rPr>
        <w:t>, schedule 3; or</w:t>
      </w:r>
    </w:p>
    <w:p w:rsidR="00C94D2A" w:rsidRPr="00C05639" w:rsidRDefault="00C94D2A" w:rsidP="00C94D2A">
      <w:pPr>
        <w:pStyle w:val="NormalWeb"/>
        <w:numPr>
          <w:ilvl w:val="0"/>
          <w:numId w:val="16"/>
        </w:numPr>
        <w:spacing w:before="120" w:beforeAutospacing="0" w:after="120" w:afterAutospacing="0"/>
        <w:ind w:left="1985" w:right="657" w:hanging="567"/>
        <w:rPr>
          <w:rFonts w:cs="Arial"/>
          <w:sz w:val="22"/>
          <w:szCs w:val="22"/>
          <w:lang w:val="en-AU"/>
        </w:rPr>
      </w:pPr>
      <w:proofErr w:type="gramStart"/>
      <w:r>
        <w:rPr>
          <w:rFonts w:cs="Arial"/>
          <w:sz w:val="22"/>
          <w:szCs w:val="22"/>
          <w:lang w:val="en-AU"/>
        </w:rPr>
        <w:t>the</w:t>
      </w:r>
      <w:proofErr w:type="gramEnd"/>
      <w:r>
        <w:rPr>
          <w:rFonts w:cs="Arial"/>
          <w:sz w:val="22"/>
          <w:szCs w:val="22"/>
          <w:lang w:val="en-AU"/>
        </w:rPr>
        <w:t xml:space="preserve"> document holder suspects on reasonable grounds that the claimant or worker requires the document for a purpose prohibited by section 572A.</w:t>
      </w:r>
    </w:p>
    <w:p w:rsidR="00C05639" w:rsidRDefault="004846CD" w:rsidP="008238F6">
      <w:pPr>
        <w:pStyle w:val="NormalWeb"/>
        <w:numPr>
          <w:ilvl w:val="0"/>
          <w:numId w:val="2"/>
        </w:numPr>
        <w:spacing w:before="120" w:beforeAutospacing="0" w:after="240" w:afterAutospacing="0" w:line="360" w:lineRule="auto"/>
        <w:ind w:left="567" w:hanging="567"/>
        <w:rPr>
          <w:rFonts w:cs="Arial"/>
          <w:lang w:val="en-AU"/>
        </w:rPr>
      </w:pPr>
      <w:r>
        <w:rPr>
          <w:rFonts w:cs="Arial"/>
          <w:lang w:val="en-AU"/>
        </w:rPr>
        <w:t xml:space="preserve">The </w:t>
      </w:r>
      <w:r w:rsidR="00E56306">
        <w:rPr>
          <w:rFonts w:cs="Arial"/>
          <w:lang w:val="en-AU"/>
        </w:rPr>
        <w:t>rationale</w:t>
      </w:r>
      <w:r>
        <w:rPr>
          <w:rFonts w:cs="Arial"/>
          <w:lang w:val="en-AU"/>
        </w:rPr>
        <w:t xml:space="preserve"> for deleting subsection 572(3</w:t>
      </w:r>
      <w:proofErr w:type="gramStart"/>
      <w:r>
        <w:rPr>
          <w:rFonts w:cs="Arial"/>
          <w:lang w:val="en-AU"/>
        </w:rPr>
        <w:t>)(</w:t>
      </w:r>
      <w:proofErr w:type="gramEnd"/>
      <w:r>
        <w:rPr>
          <w:rFonts w:cs="Arial"/>
          <w:lang w:val="en-AU"/>
        </w:rPr>
        <w:t>d)</w:t>
      </w:r>
      <w:r w:rsidR="00E56306">
        <w:rPr>
          <w:rFonts w:cs="Arial"/>
          <w:lang w:val="en-AU"/>
        </w:rPr>
        <w:t xml:space="preserve"> is not apparent from the Explanatory Notes, and was not subject to </w:t>
      </w:r>
      <w:r w:rsidR="00C9101C">
        <w:rPr>
          <w:rFonts w:cs="Arial"/>
          <w:lang w:val="en-AU"/>
        </w:rPr>
        <w:t xml:space="preserve">parliamentary </w:t>
      </w:r>
      <w:r w:rsidR="00E56306">
        <w:rPr>
          <w:rFonts w:cs="Arial"/>
          <w:lang w:val="en-AU"/>
        </w:rPr>
        <w:t>debate.</w:t>
      </w:r>
    </w:p>
    <w:p w:rsidR="007F6826" w:rsidRDefault="007F6826" w:rsidP="007F6826">
      <w:pPr>
        <w:pStyle w:val="Heading2"/>
        <w:spacing w:line="240" w:lineRule="auto"/>
      </w:pPr>
      <w:bookmarkStart w:id="8" w:name="_Toc425773007"/>
      <w:r>
        <w:t>Disclosing existing medical conditions and injuries during recruitment</w:t>
      </w:r>
      <w:bookmarkEnd w:id="8"/>
    </w:p>
    <w:p w:rsidR="007F6826" w:rsidRDefault="00AB61D8" w:rsidP="008238F6">
      <w:pPr>
        <w:pStyle w:val="NormalWeb"/>
        <w:numPr>
          <w:ilvl w:val="0"/>
          <w:numId w:val="2"/>
        </w:numPr>
        <w:spacing w:before="120" w:beforeAutospacing="0" w:after="240" w:afterAutospacing="0" w:line="360" w:lineRule="auto"/>
        <w:ind w:left="567" w:hanging="567"/>
        <w:rPr>
          <w:rFonts w:cs="Arial"/>
          <w:lang w:val="en-AU"/>
        </w:rPr>
      </w:pPr>
      <w:r>
        <w:rPr>
          <w:rFonts w:cs="Arial"/>
          <w:lang w:val="en-AU"/>
        </w:rPr>
        <w:t xml:space="preserve">Sections 571A to 571C </w:t>
      </w:r>
      <w:r w:rsidR="00173393">
        <w:rPr>
          <w:rFonts w:cs="Arial"/>
          <w:lang w:val="en-AU"/>
        </w:rPr>
        <w:t xml:space="preserve">of the WCAT Act </w:t>
      </w:r>
      <w:r>
        <w:rPr>
          <w:rFonts w:cs="Arial"/>
          <w:lang w:val="en-AU"/>
        </w:rPr>
        <w:t xml:space="preserve">provide a mechanism for </w:t>
      </w:r>
      <w:r w:rsidR="00A32594">
        <w:rPr>
          <w:rFonts w:cs="Arial"/>
          <w:lang w:val="en-AU"/>
        </w:rPr>
        <w:t xml:space="preserve">the </w:t>
      </w:r>
      <w:r>
        <w:rPr>
          <w:rFonts w:cs="Arial"/>
          <w:lang w:val="en-AU"/>
        </w:rPr>
        <w:t>notification</w:t>
      </w:r>
      <w:r w:rsidR="00A32594">
        <w:rPr>
          <w:rFonts w:cs="Arial"/>
          <w:lang w:val="en-AU"/>
        </w:rPr>
        <w:t>,</w:t>
      </w:r>
      <w:r>
        <w:rPr>
          <w:rFonts w:cs="Arial"/>
          <w:lang w:val="en-AU"/>
        </w:rPr>
        <w:t xml:space="preserve"> </w:t>
      </w:r>
      <w:r w:rsidR="00A32594">
        <w:rPr>
          <w:rFonts w:cs="Arial"/>
          <w:lang w:val="en-AU"/>
        </w:rPr>
        <w:t xml:space="preserve">during a recruitment process, </w:t>
      </w:r>
      <w:r>
        <w:rPr>
          <w:rFonts w:cs="Arial"/>
          <w:lang w:val="en-AU"/>
        </w:rPr>
        <w:t xml:space="preserve">of existing injuries or medical conditions </w:t>
      </w:r>
      <w:r w:rsidR="00A32594">
        <w:rPr>
          <w:rFonts w:cs="Arial"/>
          <w:lang w:val="en-AU"/>
        </w:rPr>
        <w:t xml:space="preserve">that might be aggravated by performing the duties of the position.  </w:t>
      </w:r>
      <w:r w:rsidR="00173393">
        <w:rPr>
          <w:rFonts w:cs="Arial"/>
          <w:lang w:val="en-AU"/>
        </w:rPr>
        <w:t xml:space="preserve">Section 571A is a definition section, the obligation to disclosure is provided for in s571B, and section 571C provides for the consequence of a false or misleading disclosure.  </w:t>
      </w:r>
      <w:r w:rsidR="00A32594">
        <w:rPr>
          <w:rFonts w:cs="Arial"/>
          <w:lang w:val="en-AU"/>
        </w:rPr>
        <w:t>The consequence of knowingly making a false or misleading disclosure is loss of entitlement to compensation or damages in respect of any event that aggravates the injury or medical condition.</w:t>
      </w:r>
    </w:p>
    <w:p w:rsidR="00173393" w:rsidRDefault="00173393" w:rsidP="00A32594">
      <w:pPr>
        <w:pStyle w:val="NormalWeb"/>
        <w:numPr>
          <w:ilvl w:val="0"/>
          <w:numId w:val="2"/>
        </w:numPr>
        <w:spacing w:before="120" w:beforeAutospacing="0" w:after="120" w:afterAutospacing="0" w:line="360" w:lineRule="auto"/>
        <w:ind w:left="567" w:hanging="567"/>
        <w:rPr>
          <w:rFonts w:cs="Arial"/>
          <w:lang w:val="en-AU"/>
        </w:rPr>
      </w:pPr>
      <w:r>
        <w:rPr>
          <w:rFonts w:cs="Arial"/>
          <w:lang w:val="en-AU"/>
        </w:rPr>
        <w:t xml:space="preserve">The provisions refer to </w:t>
      </w:r>
      <w:r w:rsidR="00A32594">
        <w:rPr>
          <w:rFonts w:cs="Arial"/>
          <w:lang w:val="en-AU"/>
        </w:rPr>
        <w:t>‘pre-existing injury or medical condition’</w:t>
      </w:r>
      <w:r>
        <w:rPr>
          <w:rFonts w:cs="Arial"/>
          <w:lang w:val="en-AU"/>
        </w:rPr>
        <w:t>.  The obligation in section 571B provides:</w:t>
      </w:r>
    </w:p>
    <w:p w:rsidR="00173393" w:rsidRDefault="00173393" w:rsidP="00173393">
      <w:pPr>
        <w:pStyle w:val="NormalWeb"/>
        <w:spacing w:before="120" w:beforeAutospacing="0" w:after="240" w:afterAutospacing="0"/>
        <w:ind w:left="1560" w:right="658" w:hanging="568"/>
        <w:rPr>
          <w:rFonts w:cs="Arial"/>
          <w:sz w:val="22"/>
          <w:szCs w:val="22"/>
          <w:lang w:val="en-AU"/>
        </w:rPr>
      </w:pPr>
      <w:r>
        <w:rPr>
          <w:rFonts w:cs="Arial"/>
          <w:sz w:val="22"/>
          <w:szCs w:val="22"/>
          <w:lang w:val="en-AU"/>
        </w:rPr>
        <w:t>(1)</w:t>
      </w:r>
      <w:r>
        <w:rPr>
          <w:rFonts w:cs="Arial"/>
          <w:sz w:val="22"/>
          <w:szCs w:val="22"/>
          <w:lang w:val="en-AU"/>
        </w:rPr>
        <w:tab/>
        <w:t>If requested by a prospective employer, a prospective worker must disclose to the prospective employer the prospective worker’s pre-existing injury or medical condition, if any.</w:t>
      </w:r>
    </w:p>
    <w:p w:rsidR="00173393" w:rsidRPr="00173393" w:rsidRDefault="00173393" w:rsidP="00173393">
      <w:pPr>
        <w:pStyle w:val="NormalWeb"/>
        <w:spacing w:before="120" w:beforeAutospacing="0" w:after="240" w:afterAutospacing="0"/>
        <w:ind w:left="1560" w:right="658" w:hanging="568"/>
        <w:rPr>
          <w:rFonts w:cs="Arial"/>
          <w:sz w:val="22"/>
          <w:szCs w:val="22"/>
          <w:lang w:val="en-AU"/>
        </w:rPr>
      </w:pPr>
      <w:r>
        <w:rPr>
          <w:rFonts w:cs="Arial"/>
          <w:sz w:val="22"/>
          <w:szCs w:val="22"/>
          <w:lang w:val="en-AU"/>
        </w:rPr>
        <w:t xml:space="preserve">…  </w:t>
      </w:r>
    </w:p>
    <w:p w:rsidR="007F6826" w:rsidRDefault="005D2713" w:rsidP="00A32594">
      <w:pPr>
        <w:pStyle w:val="NormalWeb"/>
        <w:numPr>
          <w:ilvl w:val="0"/>
          <w:numId w:val="2"/>
        </w:numPr>
        <w:spacing w:before="120" w:beforeAutospacing="0" w:after="120" w:afterAutospacing="0" w:line="360" w:lineRule="auto"/>
        <w:ind w:left="567" w:hanging="567"/>
        <w:rPr>
          <w:rFonts w:cs="Arial"/>
          <w:lang w:val="en-AU"/>
        </w:rPr>
      </w:pPr>
      <w:r>
        <w:rPr>
          <w:rFonts w:cs="Arial"/>
          <w:lang w:val="en-AU"/>
        </w:rPr>
        <w:t xml:space="preserve">Without the definitions in section 571A, the obligation appears to relate to any pre-existing injury or medical condition.  However, ‘pre-existing injury or medical condition </w:t>
      </w:r>
      <w:r w:rsidR="00A32594">
        <w:rPr>
          <w:rFonts w:cs="Arial"/>
          <w:lang w:val="en-AU"/>
        </w:rPr>
        <w:t>is defined for the purpose of the provisions as follows:</w:t>
      </w:r>
    </w:p>
    <w:p w:rsidR="00A32594" w:rsidRPr="00A32594" w:rsidRDefault="00A32594" w:rsidP="00A32594">
      <w:pPr>
        <w:pStyle w:val="NormalWeb"/>
        <w:spacing w:before="120" w:beforeAutospacing="0" w:after="240" w:afterAutospacing="0"/>
        <w:ind w:left="992" w:right="658"/>
        <w:rPr>
          <w:rFonts w:cs="Arial"/>
          <w:sz w:val="22"/>
          <w:szCs w:val="22"/>
          <w:lang w:val="en-AU"/>
        </w:rPr>
      </w:pPr>
      <w:proofErr w:type="gramStart"/>
      <w:r>
        <w:rPr>
          <w:rFonts w:cs="Arial"/>
          <w:b/>
          <w:i/>
          <w:sz w:val="22"/>
          <w:szCs w:val="22"/>
          <w:lang w:val="en-AU"/>
        </w:rPr>
        <w:t>pre-existing</w:t>
      </w:r>
      <w:proofErr w:type="gramEnd"/>
      <w:r>
        <w:rPr>
          <w:rFonts w:cs="Arial"/>
          <w:b/>
          <w:i/>
          <w:sz w:val="22"/>
          <w:szCs w:val="22"/>
          <w:lang w:val="en-AU"/>
        </w:rPr>
        <w:t xml:space="preserve"> injury or medical condition</w:t>
      </w:r>
      <w:r>
        <w:rPr>
          <w:rFonts w:cs="Arial"/>
          <w:sz w:val="22"/>
          <w:szCs w:val="22"/>
          <w:lang w:val="en-AU"/>
        </w:rPr>
        <w:t>, for an employment process, means an injury or medical condition existing during the period of the employment process that a person suspects or, ought reasonably to suspect, would be aggravated by performing the duties the subject of the employment.</w:t>
      </w:r>
    </w:p>
    <w:p w:rsidR="00A32594" w:rsidRDefault="00A32594" w:rsidP="008238F6">
      <w:pPr>
        <w:pStyle w:val="NormalWeb"/>
        <w:numPr>
          <w:ilvl w:val="0"/>
          <w:numId w:val="2"/>
        </w:numPr>
        <w:spacing w:before="120" w:beforeAutospacing="0" w:after="240" w:afterAutospacing="0" w:line="360" w:lineRule="auto"/>
        <w:ind w:left="567" w:hanging="567"/>
        <w:rPr>
          <w:rFonts w:cs="Arial"/>
          <w:lang w:val="en-AU"/>
        </w:rPr>
      </w:pPr>
      <w:r>
        <w:rPr>
          <w:rFonts w:cs="Arial"/>
          <w:lang w:val="en-AU"/>
        </w:rPr>
        <w:t>The expression ‘employment process’ is defined to mean any process for considering and selecting a person for employment.</w:t>
      </w:r>
    </w:p>
    <w:p w:rsidR="005D2713" w:rsidRDefault="005D2713" w:rsidP="008238F6">
      <w:pPr>
        <w:pStyle w:val="NormalWeb"/>
        <w:numPr>
          <w:ilvl w:val="0"/>
          <w:numId w:val="2"/>
        </w:numPr>
        <w:spacing w:before="120" w:beforeAutospacing="0" w:after="240" w:afterAutospacing="0" w:line="360" w:lineRule="auto"/>
        <w:ind w:left="567" w:hanging="567"/>
        <w:rPr>
          <w:rFonts w:cs="Arial"/>
          <w:lang w:val="en-AU"/>
        </w:rPr>
      </w:pPr>
      <w:r>
        <w:rPr>
          <w:rFonts w:cs="Arial"/>
          <w:lang w:val="en-AU"/>
        </w:rPr>
        <w:t xml:space="preserve">In the Commission’s </w:t>
      </w:r>
      <w:r w:rsidR="006E3734">
        <w:rPr>
          <w:rFonts w:cs="Arial"/>
          <w:lang w:val="en-AU"/>
        </w:rPr>
        <w:t>experiences, both employers and employees have misunderstood the obligation to relate to any injury or medical condition that the job applicant has experienced in the past.</w:t>
      </w:r>
      <w:r w:rsidR="00E1720F">
        <w:rPr>
          <w:rFonts w:cs="Arial"/>
          <w:lang w:val="en-AU"/>
        </w:rPr>
        <w:t xml:space="preserve">  This misunderstanding has led to applicants not being offered the job and</w:t>
      </w:r>
      <w:r w:rsidR="00F5659F">
        <w:rPr>
          <w:rFonts w:cs="Arial"/>
          <w:lang w:val="en-AU"/>
        </w:rPr>
        <w:t>, in some cases,</w:t>
      </w:r>
      <w:r w:rsidR="00E1720F">
        <w:rPr>
          <w:rFonts w:cs="Arial"/>
          <w:lang w:val="en-AU"/>
        </w:rPr>
        <w:t xml:space="preserve"> complaints to the Commission.</w:t>
      </w:r>
    </w:p>
    <w:p w:rsidR="006E3734" w:rsidRDefault="006E3734" w:rsidP="00F5659F">
      <w:pPr>
        <w:pStyle w:val="NormalWeb"/>
        <w:numPr>
          <w:ilvl w:val="0"/>
          <w:numId w:val="2"/>
        </w:numPr>
        <w:spacing w:before="120" w:beforeAutospacing="0" w:after="120" w:afterAutospacing="0" w:line="360" w:lineRule="auto"/>
        <w:ind w:left="567" w:hanging="567"/>
        <w:rPr>
          <w:rFonts w:cs="Arial"/>
          <w:lang w:val="en-AU"/>
        </w:rPr>
      </w:pPr>
      <w:r>
        <w:rPr>
          <w:rFonts w:cs="Arial"/>
          <w:lang w:val="en-AU"/>
        </w:rPr>
        <w:t>In order to achieve greater clarity and understanding for employers and employees, the Commission suggests:</w:t>
      </w:r>
    </w:p>
    <w:p w:rsidR="006E3734" w:rsidRDefault="006E3734" w:rsidP="006E3734">
      <w:pPr>
        <w:pStyle w:val="NormalWeb"/>
        <w:numPr>
          <w:ilvl w:val="1"/>
          <w:numId w:val="2"/>
        </w:numPr>
        <w:spacing w:before="120" w:beforeAutospacing="0" w:after="240" w:afterAutospacing="0" w:line="360" w:lineRule="auto"/>
        <w:ind w:left="1560" w:hanging="480"/>
        <w:rPr>
          <w:rFonts w:cs="Arial"/>
          <w:lang w:val="en-AU"/>
        </w:rPr>
      </w:pPr>
      <w:r>
        <w:rPr>
          <w:rFonts w:cs="Arial"/>
          <w:lang w:val="en-AU"/>
        </w:rPr>
        <w:t>the word ‘pre-existing’ should be replaced with either ‘existing’ or ‘current’; and</w:t>
      </w:r>
    </w:p>
    <w:p w:rsidR="008A54C5" w:rsidRPr="00F5659F" w:rsidRDefault="008A54C5" w:rsidP="008A54C5">
      <w:pPr>
        <w:pStyle w:val="NormalWeb"/>
        <w:numPr>
          <w:ilvl w:val="1"/>
          <w:numId w:val="2"/>
        </w:numPr>
        <w:spacing w:before="120" w:beforeAutospacing="0" w:after="240" w:afterAutospacing="0" w:line="360" w:lineRule="auto"/>
        <w:ind w:left="1560" w:hanging="480"/>
        <w:rPr>
          <w:rFonts w:cs="Arial"/>
          <w:sz w:val="22"/>
          <w:szCs w:val="22"/>
          <w:lang w:val="en-AU"/>
        </w:rPr>
      </w:pPr>
      <w:proofErr w:type="gramStart"/>
      <w:r>
        <w:rPr>
          <w:rFonts w:cs="Arial"/>
          <w:lang w:val="en-AU"/>
        </w:rPr>
        <w:t>the</w:t>
      </w:r>
      <w:proofErr w:type="gramEnd"/>
      <w:r>
        <w:rPr>
          <w:rFonts w:cs="Arial"/>
          <w:lang w:val="en-AU"/>
        </w:rPr>
        <w:t xml:space="preserve"> meaning of pre-existing injury or medical condition be incorporated into the body of the obligation to disclose provision.  </w:t>
      </w:r>
    </w:p>
    <w:p w:rsidR="00F5659F" w:rsidRDefault="00F5659F" w:rsidP="00F5659F">
      <w:pPr>
        <w:pStyle w:val="NormalWeb"/>
        <w:numPr>
          <w:ilvl w:val="0"/>
          <w:numId w:val="2"/>
        </w:numPr>
        <w:spacing w:before="120" w:beforeAutospacing="0" w:after="240" w:afterAutospacing="0" w:line="360" w:lineRule="auto"/>
        <w:ind w:left="567" w:hanging="567"/>
        <w:rPr>
          <w:rFonts w:cs="Arial"/>
          <w:lang w:val="en-AU"/>
        </w:rPr>
      </w:pPr>
      <w:r w:rsidRPr="00F5659F">
        <w:rPr>
          <w:rFonts w:cs="Arial"/>
          <w:lang w:val="en-AU"/>
        </w:rPr>
        <w:t xml:space="preserve">These </w:t>
      </w:r>
      <w:r>
        <w:rPr>
          <w:rFonts w:cs="Arial"/>
          <w:lang w:val="en-AU"/>
        </w:rPr>
        <w:t xml:space="preserve">suggested measures should also assist in </w:t>
      </w:r>
      <w:r w:rsidR="0050294A">
        <w:rPr>
          <w:rFonts w:cs="Arial"/>
          <w:lang w:val="en-AU"/>
        </w:rPr>
        <w:t xml:space="preserve">balancing </w:t>
      </w:r>
      <w:r>
        <w:rPr>
          <w:rFonts w:cs="Arial"/>
          <w:lang w:val="en-AU"/>
        </w:rPr>
        <w:t>the interests of workers in having a fair chance at obtaining employment even though they may have past or current injuries or medical conditions, and the interests of employers in being able to recruit people who are able to perform the essential elements of the job.</w:t>
      </w:r>
    </w:p>
    <w:p w:rsidR="002E0EAC" w:rsidRDefault="002E0EAC" w:rsidP="00F5659F">
      <w:pPr>
        <w:pStyle w:val="NormalWeb"/>
        <w:numPr>
          <w:ilvl w:val="0"/>
          <w:numId w:val="2"/>
        </w:numPr>
        <w:spacing w:before="120" w:beforeAutospacing="0" w:after="240" w:afterAutospacing="0" w:line="360" w:lineRule="auto"/>
        <w:ind w:left="567" w:hanging="567"/>
        <w:rPr>
          <w:rFonts w:cs="Arial"/>
          <w:lang w:val="en-AU"/>
        </w:rPr>
      </w:pPr>
      <w:r>
        <w:rPr>
          <w:rFonts w:cs="Arial"/>
          <w:lang w:val="en-AU"/>
        </w:rPr>
        <w:t>The Commission’s preferred approach is that the request for disclosure is only made after the applicant is offered the position.  This then reduces the potential for discrimination, whether conscious or unconscious, in the worker not being considered for the position.</w:t>
      </w:r>
      <w:r w:rsidR="00BB1584">
        <w:rPr>
          <w:rFonts w:cs="Arial"/>
          <w:lang w:val="en-AU"/>
        </w:rPr>
        <w:t xml:space="preserve">  It is also more consistent with the objects, purposes and provisions of the </w:t>
      </w:r>
      <w:r w:rsidR="00BB1584" w:rsidRPr="00BB1584">
        <w:rPr>
          <w:rFonts w:cs="Arial"/>
          <w:i/>
          <w:lang w:val="en-AU"/>
        </w:rPr>
        <w:t>Anti-Discrimination Act 1991</w:t>
      </w:r>
      <w:r w:rsidR="00BB1584">
        <w:rPr>
          <w:rFonts w:cs="Arial"/>
          <w:lang w:val="en-AU"/>
        </w:rPr>
        <w:t>.</w:t>
      </w:r>
    </w:p>
    <w:p w:rsidR="00F5659F" w:rsidRPr="00F5659F" w:rsidRDefault="00F5659F" w:rsidP="00F5659F">
      <w:pPr>
        <w:pStyle w:val="NormalWeb"/>
        <w:numPr>
          <w:ilvl w:val="0"/>
          <w:numId w:val="2"/>
        </w:numPr>
        <w:spacing w:before="120" w:beforeAutospacing="0" w:after="240" w:afterAutospacing="0" w:line="360" w:lineRule="auto"/>
        <w:ind w:left="567" w:hanging="567"/>
        <w:rPr>
          <w:rFonts w:cs="Arial"/>
          <w:lang w:val="en-AU"/>
        </w:rPr>
      </w:pPr>
      <w:r>
        <w:rPr>
          <w:rFonts w:cs="Arial"/>
          <w:lang w:val="en-AU"/>
        </w:rPr>
        <w:t>The Commission thanks the Committee for the opportunity to make this submission.</w:t>
      </w:r>
    </w:p>
    <w:p w:rsidR="004004DA" w:rsidRPr="00387344" w:rsidRDefault="004004DA" w:rsidP="004004DA">
      <w:pPr>
        <w:pStyle w:val="NormalWeb"/>
        <w:spacing w:before="120" w:beforeAutospacing="0" w:after="240" w:afterAutospacing="0" w:line="360" w:lineRule="auto"/>
        <w:rPr>
          <w:rFonts w:cs="Arial"/>
          <w:lang w:val="en-AU"/>
        </w:rPr>
      </w:pPr>
    </w:p>
    <w:sectPr w:rsidR="004004DA" w:rsidRPr="00387344" w:rsidSect="00B14B87">
      <w:headerReference w:type="even" r:id="rId15"/>
      <w:headerReference w:type="default" r:id="rId16"/>
      <w:headerReference w:type="first" r:id="rId17"/>
      <w:footerReference w:type="first" r:id="rId18"/>
      <w:pgSz w:w="11906" w:h="16838" w:code="9"/>
      <w:pgMar w:top="851" w:right="1797" w:bottom="851" w:left="1797"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1BC" w:rsidRDefault="00BC41BC">
      <w:r>
        <w:separator/>
      </w:r>
    </w:p>
  </w:endnote>
  <w:endnote w:type="continuationSeparator" w:id="0">
    <w:p w:rsidR="00BC41BC" w:rsidRDefault="00BC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50" w:rsidRDefault="00213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1BC" w:rsidRDefault="00BC41BC" w:rsidP="00B1368D">
    <w:pPr>
      <w:pStyle w:val="Footer"/>
      <w:pBdr>
        <w:bottom w:val="single" w:sz="6" w:space="1" w:color="auto"/>
      </w:pBdr>
      <w:rPr>
        <w:rFonts w:cs="Arial"/>
        <w:sz w:val="20"/>
        <w:szCs w:val="20"/>
      </w:rPr>
    </w:pPr>
  </w:p>
  <w:p w:rsidR="00BC41BC" w:rsidRPr="00B306D5" w:rsidRDefault="00BC41BC" w:rsidP="00B1368D">
    <w:pPr>
      <w:pStyle w:val="Footer"/>
      <w:jc w:val="right"/>
      <w:rPr>
        <w:rFonts w:cs="Arial"/>
        <w:sz w:val="20"/>
        <w:szCs w:val="20"/>
      </w:rPr>
    </w:pPr>
    <w:r w:rsidRPr="00B306D5">
      <w:rPr>
        <w:rFonts w:cs="Arial"/>
        <w:sz w:val="20"/>
        <w:szCs w:val="20"/>
      </w:rPr>
      <w:t xml:space="preserve">Page </w:t>
    </w:r>
    <w:r w:rsidRPr="00B306D5">
      <w:rPr>
        <w:rFonts w:cs="Arial"/>
        <w:sz w:val="20"/>
        <w:szCs w:val="20"/>
      </w:rPr>
      <w:fldChar w:fldCharType="begin"/>
    </w:r>
    <w:r w:rsidRPr="00B306D5">
      <w:rPr>
        <w:rFonts w:cs="Arial"/>
        <w:sz w:val="20"/>
        <w:szCs w:val="20"/>
      </w:rPr>
      <w:instrText xml:space="preserve"> PAGE   \* MERGEFORMAT </w:instrText>
    </w:r>
    <w:r w:rsidRPr="00B306D5">
      <w:rPr>
        <w:rFonts w:cs="Arial"/>
        <w:sz w:val="20"/>
        <w:szCs w:val="20"/>
      </w:rPr>
      <w:fldChar w:fldCharType="separate"/>
    </w:r>
    <w:r w:rsidR="00F1787B">
      <w:rPr>
        <w:rFonts w:cs="Arial"/>
        <w:noProof/>
        <w:sz w:val="20"/>
        <w:szCs w:val="20"/>
      </w:rPr>
      <w:t>7</w:t>
    </w:r>
    <w:r w:rsidRPr="00B306D5">
      <w:rPr>
        <w:rFonts w:cs="Arial"/>
        <w:noProof/>
        <w:sz w:val="20"/>
        <w:szCs w:val="20"/>
      </w:rPr>
      <w:fldChar w:fldCharType="end"/>
    </w:r>
  </w:p>
  <w:p w:rsidR="00BC41BC" w:rsidRDefault="00BC41BC" w:rsidP="00B1368D">
    <w:pPr>
      <w:pStyle w:val="Footer"/>
    </w:pPr>
  </w:p>
  <w:p w:rsidR="00BC41BC" w:rsidRPr="00B1368D" w:rsidRDefault="00BC41BC" w:rsidP="00B13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1BC" w:rsidRPr="00A461EC" w:rsidRDefault="00BC41BC" w:rsidP="00A461EC">
    <w:pPr>
      <w:pStyle w:val="Footer"/>
      <w:jc w:val="center"/>
      <w:rPr>
        <w:rFonts w:cs="Arial"/>
        <w:b/>
        <w:sz w:val="28"/>
        <w:szCs w:val="28"/>
      </w:rPr>
    </w:pPr>
    <w:r>
      <w:rPr>
        <w:rFonts w:cs="Arial"/>
        <w:b/>
        <w:sz w:val="28"/>
        <w:szCs w:val="28"/>
      </w:rPr>
      <w:t>27 July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1BC" w:rsidRPr="00635BC4" w:rsidRDefault="00BC41BC" w:rsidP="00635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1BC" w:rsidRDefault="00BC41BC">
      <w:r>
        <w:separator/>
      </w:r>
    </w:p>
  </w:footnote>
  <w:footnote w:type="continuationSeparator" w:id="0">
    <w:p w:rsidR="00BC41BC" w:rsidRDefault="00BC41BC">
      <w:r>
        <w:continuationSeparator/>
      </w:r>
    </w:p>
  </w:footnote>
  <w:footnote w:id="1">
    <w:p w:rsidR="00BC41BC" w:rsidRPr="00F34D0A" w:rsidRDefault="00BC41BC">
      <w:pPr>
        <w:pStyle w:val="FootnoteText"/>
      </w:pPr>
      <w:r>
        <w:rPr>
          <w:rStyle w:val="FootnoteReference"/>
        </w:rPr>
        <w:footnoteRef/>
      </w:r>
      <w:r>
        <w:t xml:space="preserve"> </w:t>
      </w:r>
      <w:proofErr w:type="gramStart"/>
      <w:r>
        <w:rPr>
          <w:i/>
        </w:rPr>
        <w:t>Anti-Discrimination Act 1991</w:t>
      </w:r>
      <w:r>
        <w:t>, section 124, Unnecessary information.</w:t>
      </w:r>
      <w:proofErr w:type="gramEnd"/>
    </w:p>
  </w:footnote>
  <w:footnote w:id="2">
    <w:p w:rsidR="00BC41BC" w:rsidRPr="000B1003" w:rsidRDefault="00BC41BC">
      <w:pPr>
        <w:pStyle w:val="FootnoteText"/>
        <w:rPr>
          <w:i/>
        </w:rPr>
      </w:pPr>
      <w:r>
        <w:rPr>
          <w:rStyle w:val="FootnoteReference"/>
        </w:rPr>
        <w:footnoteRef/>
      </w:r>
      <w:r>
        <w:t xml:space="preserve"> For an example, see </w:t>
      </w:r>
      <w:proofErr w:type="spellStart"/>
      <w:r>
        <w:rPr>
          <w:i/>
        </w:rPr>
        <w:t>Willmott</w:t>
      </w:r>
      <w:proofErr w:type="spellEnd"/>
      <w:r>
        <w:rPr>
          <w:i/>
        </w:rPr>
        <w:t xml:space="preserve"> v Woolworths Ltd </w:t>
      </w:r>
      <w:r w:rsidRPr="000B1003">
        <w:t>[2014] QCAT 601</w:t>
      </w:r>
      <w:r>
        <w:t>, where job applicants were required to provide their date of birth and gender, and to upload documents such as a birth certificate or passport to prove their right to work in Australia.</w:t>
      </w:r>
    </w:p>
  </w:footnote>
  <w:footnote w:id="3">
    <w:p w:rsidR="00BC41BC" w:rsidRPr="005E5BB4" w:rsidRDefault="00BC41BC">
      <w:pPr>
        <w:pStyle w:val="FootnoteText"/>
        <w:rPr>
          <w:lang w:val="en-US"/>
        </w:rPr>
      </w:pPr>
      <w:r>
        <w:rPr>
          <w:rStyle w:val="FootnoteReference"/>
        </w:rPr>
        <w:footnoteRef/>
      </w:r>
      <w:r>
        <w:t xml:space="preserve"> </w:t>
      </w:r>
      <w:r w:rsidRPr="005E5BB4">
        <w:t>http://www.adcq.qld.gov.au/resources/brochures-and-guides/fact-sheets/incapacity-and-work</w:t>
      </w:r>
      <w:r>
        <w:t>.</w:t>
      </w:r>
    </w:p>
  </w:footnote>
  <w:footnote w:id="4">
    <w:p w:rsidR="00BC41BC" w:rsidRPr="00676895" w:rsidRDefault="00BC41BC">
      <w:pPr>
        <w:pStyle w:val="FootnoteText"/>
        <w:rPr>
          <w:lang w:val="en-US"/>
        </w:rPr>
      </w:pPr>
      <w:r>
        <w:rPr>
          <w:rStyle w:val="FootnoteReference"/>
        </w:rPr>
        <w:footnoteRef/>
      </w:r>
      <w:r>
        <w:t xml:space="preserve"> </w:t>
      </w:r>
      <w:r>
        <w:rPr>
          <w:lang w:val="en-US"/>
        </w:rPr>
        <w:t xml:space="preserve">See for example, </w:t>
      </w:r>
      <w:r>
        <w:rPr>
          <w:i/>
          <w:lang w:val="en-US"/>
        </w:rPr>
        <w:t>Flannery v O’Sullivan</w:t>
      </w:r>
      <w:r>
        <w:rPr>
          <w:lang w:val="en-US"/>
        </w:rPr>
        <w:t xml:space="preserve"> [1993] QADT 2; </w:t>
      </w:r>
      <w:r>
        <w:rPr>
          <w:i/>
          <w:lang w:val="en-US"/>
        </w:rPr>
        <w:t>Gehrig v McArthur River Mining Pty Ltd</w:t>
      </w:r>
      <w:r>
        <w:rPr>
          <w:lang w:val="en-US"/>
        </w:rPr>
        <w:t xml:space="preserve"> [1996] </w:t>
      </w:r>
      <w:proofErr w:type="spellStart"/>
      <w:r>
        <w:rPr>
          <w:lang w:val="en-US"/>
        </w:rPr>
        <w:t>NTADComm</w:t>
      </w:r>
      <w:proofErr w:type="spellEnd"/>
      <w:r>
        <w:rPr>
          <w:lang w:val="en-US"/>
        </w:rPr>
        <w:t xml:space="preserve"> 4; </w:t>
      </w:r>
      <w:proofErr w:type="gramStart"/>
      <w:r>
        <w:rPr>
          <w:i/>
          <w:lang w:val="en-US"/>
        </w:rPr>
        <w:t>Stevens</w:t>
      </w:r>
      <w:proofErr w:type="gramEnd"/>
      <w:r>
        <w:rPr>
          <w:i/>
          <w:lang w:val="en-US"/>
        </w:rPr>
        <w:t xml:space="preserve"> v Queensland Police Service </w:t>
      </w:r>
      <w:r>
        <w:rPr>
          <w:lang w:val="en-US"/>
        </w:rPr>
        <w:t xml:space="preserve">[1998] QADT 6; </w:t>
      </w:r>
      <w:r>
        <w:rPr>
          <w:i/>
          <w:lang w:val="en-US"/>
        </w:rPr>
        <w:t xml:space="preserve">MacDonald &amp; </w:t>
      </w:r>
      <w:proofErr w:type="spellStart"/>
      <w:r>
        <w:rPr>
          <w:i/>
          <w:lang w:val="en-US"/>
        </w:rPr>
        <w:t>Ors</w:t>
      </w:r>
      <w:proofErr w:type="spellEnd"/>
      <w:r>
        <w:rPr>
          <w:i/>
          <w:lang w:val="en-US"/>
        </w:rPr>
        <w:t xml:space="preserve"> v Queensland Rail </w:t>
      </w:r>
      <w:r>
        <w:rPr>
          <w:lang w:val="en-US"/>
        </w:rPr>
        <w:t xml:space="preserve">[1998] QADT 8; </w:t>
      </w:r>
      <w:r>
        <w:rPr>
          <w:i/>
          <w:lang w:val="en-US"/>
        </w:rPr>
        <w:t>Hobbs v Anglo Coal (</w:t>
      </w:r>
      <w:proofErr w:type="spellStart"/>
      <w:r>
        <w:rPr>
          <w:i/>
          <w:lang w:val="en-US"/>
        </w:rPr>
        <w:t>Moranbah</w:t>
      </w:r>
      <w:proofErr w:type="spellEnd"/>
      <w:r>
        <w:rPr>
          <w:i/>
          <w:lang w:val="en-US"/>
        </w:rPr>
        <w:t xml:space="preserve"> North </w:t>
      </w:r>
      <w:proofErr w:type="spellStart"/>
      <w:r>
        <w:rPr>
          <w:i/>
          <w:lang w:val="en-US"/>
        </w:rPr>
        <w:t>Mgt</w:t>
      </w:r>
      <w:proofErr w:type="spellEnd"/>
      <w:r>
        <w:rPr>
          <w:i/>
          <w:lang w:val="en-US"/>
        </w:rPr>
        <w:t xml:space="preserve">) Pty Ltd &amp; Hendry </w:t>
      </w:r>
      <w:r>
        <w:rPr>
          <w:lang w:val="en-US"/>
        </w:rPr>
        <w:t>[2004] QADT 28.</w:t>
      </w:r>
    </w:p>
  </w:footnote>
  <w:footnote w:id="5">
    <w:p w:rsidR="00BC41BC" w:rsidRPr="00FE792F" w:rsidRDefault="00BC41BC">
      <w:pPr>
        <w:pStyle w:val="FootnoteText"/>
        <w:rPr>
          <w:lang w:val="en-US"/>
        </w:rPr>
      </w:pPr>
      <w:r>
        <w:rPr>
          <w:rStyle w:val="FootnoteReference"/>
        </w:rPr>
        <w:footnoteRef/>
      </w:r>
      <w:r>
        <w:t xml:space="preserve"> </w:t>
      </w:r>
      <w:r>
        <w:rPr>
          <w:i/>
          <w:lang w:val="en-US"/>
        </w:rPr>
        <w:t>Workers’ Compensation and Rehabilitation Act 2003</w:t>
      </w:r>
      <w:r>
        <w:rPr>
          <w:lang w:val="en-US"/>
        </w:rPr>
        <w:t>, section 572(3</w:t>
      </w:r>
      <w:proofErr w:type="gramStart"/>
      <w:r>
        <w:rPr>
          <w:lang w:val="en-US"/>
        </w:rPr>
        <w:t>)(</w:t>
      </w:r>
      <w:proofErr w:type="gramEnd"/>
      <w:r>
        <w:rPr>
          <w:lang w:val="en-US"/>
        </w:rPr>
        <w: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50" w:rsidRDefault="00213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1BC" w:rsidRPr="00CD332E" w:rsidRDefault="00BC41BC" w:rsidP="00B1368D">
    <w:pPr>
      <w:pBdr>
        <w:bottom w:val="single" w:sz="6" w:space="1" w:color="auto"/>
      </w:pBdr>
      <w:rPr>
        <w:rFonts w:cs="Arial"/>
        <w:sz w:val="20"/>
        <w:szCs w:val="20"/>
      </w:rPr>
    </w:pPr>
    <w:r>
      <w:rPr>
        <w:rFonts w:cs="Arial"/>
        <w:sz w:val="20"/>
        <w:szCs w:val="20"/>
      </w:rPr>
      <w:t>Issues Paper: discrimination, bullying and sexual harassment in the practice of surgery</w:t>
    </w:r>
  </w:p>
  <w:p w:rsidR="00BC41BC" w:rsidRPr="00B1368D" w:rsidRDefault="00BC41BC" w:rsidP="00B1368D">
    <w:pPr>
      <w:pBdr>
        <w:bottom w:val="single" w:sz="6" w:space="1" w:color="auto"/>
      </w:pBdr>
      <w:rPr>
        <w:rFonts w:cs="Arial"/>
        <w:sz w:val="20"/>
        <w:szCs w:val="20"/>
      </w:rPr>
    </w:pPr>
  </w:p>
  <w:p w:rsidR="00BC41BC" w:rsidRPr="00B1368D" w:rsidRDefault="00BC41BC">
    <w:pPr>
      <w:rPr>
        <w:rFonts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1BC" w:rsidRDefault="00BC41BC" w:rsidP="00A461EC">
    <w:pPr>
      <w:pStyle w:val="Header"/>
      <w:jc w:val="center"/>
    </w:pPr>
  </w:p>
  <w:p w:rsidR="00BC41BC" w:rsidRDefault="00BC41BC" w:rsidP="00A461EC">
    <w:pPr>
      <w:pStyle w:val="Header"/>
      <w:jc w:val="center"/>
    </w:pPr>
  </w:p>
  <w:p w:rsidR="00BC41BC" w:rsidRDefault="00BC41BC" w:rsidP="00A461EC">
    <w:pPr>
      <w:pStyle w:val="Header"/>
      <w:jc w:val="center"/>
    </w:pPr>
    <w:r>
      <w:rPr>
        <w:noProof/>
      </w:rPr>
      <w:drawing>
        <wp:inline distT="0" distB="0" distL="0" distR="0" wp14:anchorId="1204BF22" wp14:editId="5B2525AF">
          <wp:extent cx="4524375" cy="647700"/>
          <wp:effectExtent l="0" t="0" r="9525" b="0"/>
          <wp:docPr id="2" name="Picture 2" title="Anti-Discrimination Commission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K ADC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647700"/>
                  </a:xfrm>
                  <a:prstGeom prst="rect">
                    <a:avLst/>
                  </a:prstGeom>
                  <a:noFill/>
                  <a:ln>
                    <a:noFill/>
                  </a:ln>
                </pic:spPr>
              </pic:pic>
            </a:graphicData>
          </a:graphic>
        </wp:inline>
      </w:drawing>
    </w:r>
  </w:p>
  <w:p w:rsidR="00BC41BC" w:rsidRDefault="00BC41BC" w:rsidP="00A461EC">
    <w:pPr>
      <w:pStyle w:val="Header"/>
      <w:jc w:val="center"/>
    </w:pPr>
  </w:p>
  <w:p w:rsidR="00BC41BC" w:rsidRPr="002671C7" w:rsidRDefault="00BC41BC" w:rsidP="00A461EC">
    <w:pPr>
      <w:pStyle w:val="Header"/>
      <w:jc w:val="center"/>
    </w:pPr>
  </w:p>
  <w:p w:rsidR="00BC41BC" w:rsidRPr="00A461EC" w:rsidRDefault="00BC41BC" w:rsidP="00A461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746" w:rsidRDefault="0096174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1BC" w:rsidRDefault="00BC41BC" w:rsidP="00112E2B">
    <w:pPr>
      <w:pBdr>
        <w:bottom w:val="single" w:sz="6" w:space="1" w:color="auto"/>
      </w:pBdr>
      <w:rPr>
        <w:rFonts w:cs="Arial"/>
        <w:sz w:val="20"/>
        <w:szCs w:val="20"/>
      </w:rPr>
    </w:pPr>
  </w:p>
  <w:p w:rsidR="00BC41BC" w:rsidRPr="00112E2B" w:rsidRDefault="00BC41BC" w:rsidP="00112E2B">
    <w:pPr>
      <w:pBdr>
        <w:bottom w:val="single" w:sz="6" w:space="1" w:color="auto"/>
      </w:pBdr>
      <w:rPr>
        <w:rFonts w:cs="Arial"/>
        <w:i/>
        <w:sz w:val="20"/>
        <w:szCs w:val="20"/>
      </w:rPr>
    </w:pPr>
    <w:r>
      <w:rPr>
        <w:rFonts w:cs="Arial"/>
        <w:sz w:val="20"/>
        <w:szCs w:val="20"/>
      </w:rPr>
      <w:t xml:space="preserve">Inquiry into the </w:t>
    </w:r>
    <w:r>
      <w:rPr>
        <w:rFonts w:cs="Arial"/>
        <w:i/>
        <w:sz w:val="20"/>
        <w:szCs w:val="20"/>
      </w:rPr>
      <w:t>Workers’ Compensation and Rehabilitation and Other Legislation Amendment Bill 2015</w:t>
    </w:r>
  </w:p>
  <w:p w:rsidR="00BC41BC" w:rsidRPr="00B1368D" w:rsidRDefault="00BC41BC" w:rsidP="00112E2B">
    <w:pPr>
      <w:rPr>
        <w:rFonts w:cs="Arial"/>
        <w:sz w:val="20"/>
        <w:szCs w:val="20"/>
      </w:rPr>
    </w:pPr>
  </w:p>
  <w:p w:rsidR="00BC41BC" w:rsidRPr="008238F6" w:rsidRDefault="00BC41BC" w:rsidP="00112E2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1BC" w:rsidRPr="00112E2B" w:rsidRDefault="00BC41BC" w:rsidP="00112E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78F"/>
    <w:multiLevelType w:val="hybridMultilevel"/>
    <w:tmpl w:val="DF566544"/>
    <w:lvl w:ilvl="0" w:tplc="39A28192">
      <w:start w:val="1"/>
      <w:numFmt w:val="decimal"/>
      <w:lvlText w:val="(%1)"/>
      <w:lvlJc w:val="left"/>
      <w:pPr>
        <w:ind w:left="1429" w:hanging="360"/>
      </w:pPr>
      <w:rPr>
        <w:rFonts w:hint="default"/>
        <w:b w:val="0"/>
        <w:i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nsid w:val="10D62620"/>
    <w:multiLevelType w:val="hybridMultilevel"/>
    <w:tmpl w:val="E37C8C88"/>
    <w:lvl w:ilvl="0" w:tplc="4208BF00">
      <w:start w:val="1"/>
      <w:numFmt w:val="lowerLetter"/>
      <w:lvlText w:val="(%1)"/>
      <w:lvlJc w:val="left"/>
      <w:pPr>
        <w:ind w:left="1883" w:hanging="450"/>
      </w:pPr>
      <w:rPr>
        <w:rFonts w:hint="default"/>
      </w:rPr>
    </w:lvl>
    <w:lvl w:ilvl="1" w:tplc="0C090019" w:tentative="1">
      <w:start w:val="1"/>
      <w:numFmt w:val="lowerLetter"/>
      <w:lvlText w:val="%2."/>
      <w:lvlJc w:val="left"/>
      <w:pPr>
        <w:ind w:left="2513" w:hanging="360"/>
      </w:pPr>
    </w:lvl>
    <w:lvl w:ilvl="2" w:tplc="0C09001B" w:tentative="1">
      <w:start w:val="1"/>
      <w:numFmt w:val="lowerRoman"/>
      <w:lvlText w:val="%3."/>
      <w:lvlJc w:val="right"/>
      <w:pPr>
        <w:ind w:left="3233" w:hanging="180"/>
      </w:pPr>
    </w:lvl>
    <w:lvl w:ilvl="3" w:tplc="0C09000F" w:tentative="1">
      <w:start w:val="1"/>
      <w:numFmt w:val="decimal"/>
      <w:lvlText w:val="%4."/>
      <w:lvlJc w:val="left"/>
      <w:pPr>
        <w:ind w:left="3953" w:hanging="360"/>
      </w:pPr>
    </w:lvl>
    <w:lvl w:ilvl="4" w:tplc="0C090019" w:tentative="1">
      <w:start w:val="1"/>
      <w:numFmt w:val="lowerLetter"/>
      <w:lvlText w:val="%5."/>
      <w:lvlJc w:val="left"/>
      <w:pPr>
        <w:ind w:left="4673" w:hanging="360"/>
      </w:pPr>
    </w:lvl>
    <w:lvl w:ilvl="5" w:tplc="0C09001B" w:tentative="1">
      <w:start w:val="1"/>
      <w:numFmt w:val="lowerRoman"/>
      <w:lvlText w:val="%6."/>
      <w:lvlJc w:val="right"/>
      <w:pPr>
        <w:ind w:left="5393" w:hanging="180"/>
      </w:pPr>
    </w:lvl>
    <w:lvl w:ilvl="6" w:tplc="0C09000F" w:tentative="1">
      <w:start w:val="1"/>
      <w:numFmt w:val="decimal"/>
      <w:lvlText w:val="%7."/>
      <w:lvlJc w:val="left"/>
      <w:pPr>
        <w:ind w:left="6113" w:hanging="360"/>
      </w:pPr>
    </w:lvl>
    <w:lvl w:ilvl="7" w:tplc="0C090019" w:tentative="1">
      <w:start w:val="1"/>
      <w:numFmt w:val="lowerLetter"/>
      <w:lvlText w:val="%8."/>
      <w:lvlJc w:val="left"/>
      <w:pPr>
        <w:ind w:left="6833" w:hanging="360"/>
      </w:pPr>
    </w:lvl>
    <w:lvl w:ilvl="8" w:tplc="0C09001B" w:tentative="1">
      <w:start w:val="1"/>
      <w:numFmt w:val="lowerRoman"/>
      <w:lvlText w:val="%9."/>
      <w:lvlJc w:val="right"/>
      <w:pPr>
        <w:ind w:left="7553" w:hanging="180"/>
      </w:pPr>
    </w:lvl>
  </w:abstractNum>
  <w:abstractNum w:abstractNumId="2">
    <w:nsid w:val="10DE4577"/>
    <w:multiLevelType w:val="hybridMultilevel"/>
    <w:tmpl w:val="2D16F616"/>
    <w:lvl w:ilvl="0" w:tplc="D3DC5C82">
      <w:start w:val="1"/>
      <w:numFmt w:val="decimal"/>
      <w:lvlText w:val="%1."/>
      <w:lvlJc w:val="left"/>
      <w:pPr>
        <w:ind w:left="502" w:hanging="360"/>
      </w:pPr>
      <w:rPr>
        <w:b w:val="0"/>
        <w:sz w:val="24"/>
        <w:szCs w:val="24"/>
      </w:rPr>
    </w:lvl>
    <w:lvl w:ilvl="1" w:tplc="786C4E46">
      <w:start w:val="1"/>
      <w:numFmt w:val="lowerLetter"/>
      <w:lvlText w:val="(%2)"/>
      <w:lvlJc w:val="left"/>
      <w:pPr>
        <w:ind w:left="1440" w:hanging="360"/>
      </w:pPr>
      <w:rPr>
        <w:rFonts w:ascii="Arial" w:hAnsi="Arial" w:cs="Arial" w:hint="default"/>
        <w:b w:val="0"/>
        <w:i w:val="0"/>
        <w:sz w:val="24"/>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2004D08"/>
    <w:multiLevelType w:val="hybridMultilevel"/>
    <w:tmpl w:val="D0FE31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E56B1C"/>
    <w:multiLevelType w:val="hybridMultilevel"/>
    <w:tmpl w:val="BFF24252"/>
    <w:lvl w:ilvl="0" w:tplc="59207552">
      <w:start w:val="1"/>
      <w:numFmt w:val="bullet"/>
      <w:lvlText w:val=""/>
      <w:lvlJc w:val="left"/>
      <w:pPr>
        <w:ind w:left="1440" w:hanging="360"/>
      </w:pPr>
      <w:rPr>
        <w:rFonts w:ascii="Symbol" w:hAnsi="Symbol"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BC104C3"/>
    <w:multiLevelType w:val="hybridMultilevel"/>
    <w:tmpl w:val="DEE461D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nsid w:val="1E5F58B4"/>
    <w:multiLevelType w:val="hybridMultilevel"/>
    <w:tmpl w:val="74266972"/>
    <w:lvl w:ilvl="0" w:tplc="786C4E46">
      <w:start w:val="1"/>
      <w:numFmt w:val="lowerLetter"/>
      <w:lvlText w:val="(%1)"/>
      <w:lvlJc w:val="left"/>
      <w:pPr>
        <w:ind w:left="2160" w:hanging="360"/>
      </w:pPr>
      <w:rPr>
        <w:rFonts w:ascii="Arial" w:hAnsi="Arial" w:cs="Arial" w:hint="default"/>
        <w:b w:val="0"/>
        <w:i w:val="0"/>
        <w:sz w:val="24"/>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nsid w:val="22F6657D"/>
    <w:multiLevelType w:val="hybridMultilevel"/>
    <w:tmpl w:val="CDC0D042"/>
    <w:lvl w:ilvl="0" w:tplc="C84A794E">
      <w:start w:val="1"/>
      <w:numFmt w:val="bullet"/>
      <w:pStyle w:val="tablelist"/>
      <w:lvlText w:val=""/>
      <w:lvlJc w:val="left"/>
      <w:pPr>
        <w:tabs>
          <w:tab w:val="num" w:pos="391"/>
        </w:tabs>
        <w:ind w:left="391" w:hanging="39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C085199"/>
    <w:multiLevelType w:val="hybridMultilevel"/>
    <w:tmpl w:val="448639BE"/>
    <w:lvl w:ilvl="0" w:tplc="58A2A2D6">
      <w:start w:val="1"/>
      <w:numFmt w:val="lowerRoman"/>
      <w:lvlText w:val="(%1)"/>
      <w:lvlJc w:val="right"/>
      <w:pPr>
        <w:ind w:left="1287" w:hanging="720"/>
      </w:pPr>
      <w:rPr>
        <w:rFonts w:hint="default"/>
      </w:rPr>
    </w:lvl>
    <w:lvl w:ilvl="1" w:tplc="C2363AF6">
      <w:start w:val="1"/>
      <w:numFmt w:val="lowerLetter"/>
      <w:lvlText w:val="(%2)"/>
      <w:lvlJc w:val="left"/>
      <w:pPr>
        <w:ind w:left="1647"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nsid w:val="48292355"/>
    <w:multiLevelType w:val="hybridMultilevel"/>
    <w:tmpl w:val="4BE27B26"/>
    <w:lvl w:ilvl="0" w:tplc="39A28192">
      <w:start w:val="1"/>
      <w:numFmt w:val="decimal"/>
      <w:lvlText w:val="(%1)"/>
      <w:lvlJc w:val="left"/>
      <w:pPr>
        <w:ind w:left="1429" w:hanging="360"/>
      </w:pPr>
      <w:rPr>
        <w:rFonts w:hint="default"/>
        <w:b w:val="0"/>
        <w:i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nsid w:val="512C5D7C"/>
    <w:multiLevelType w:val="hybridMultilevel"/>
    <w:tmpl w:val="2F9260C6"/>
    <w:lvl w:ilvl="0" w:tplc="EE90A8BE">
      <w:start w:val="1"/>
      <w:numFmt w:val="bullet"/>
      <w:lvlText w:val=""/>
      <w:lvlJc w:val="left"/>
      <w:pPr>
        <w:ind w:left="927" w:hanging="360"/>
      </w:pPr>
      <w:rPr>
        <w:rFonts w:ascii="Symbol" w:hAnsi="Symbol" w:hint="default"/>
        <w:sz w:val="20"/>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nsid w:val="55B13D3C"/>
    <w:multiLevelType w:val="hybridMultilevel"/>
    <w:tmpl w:val="F082720E"/>
    <w:lvl w:ilvl="0" w:tplc="ADA2BD32">
      <w:start w:val="1"/>
      <w:numFmt w:val="bullet"/>
      <w:lvlText w:val=""/>
      <w:lvlJc w:val="left"/>
      <w:pPr>
        <w:ind w:left="2574" w:hanging="360"/>
      </w:pPr>
      <w:rPr>
        <w:rFonts w:ascii="Symbol" w:hAnsi="Symbol" w:hint="default"/>
        <w:sz w:val="18"/>
      </w:rPr>
    </w:lvl>
    <w:lvl w:ilvl="1" w:tplc="6900B9A4">
      <w:start w:val="1"/>
      <w:numFmt w:val="bullet"/>
      <w:lvlText w:val=""/>
      <w:lvlJc w:val="left"/>
      <w:pPr>
        <w:ind w:left="2574" w:hanging="360"/>
      </w:pPr>
      <w:rPr>
        <w:rFonts w:ascii="Symbol" w:hAnsi="Symbol" w:hint="default"/>
        <w:sz w:val="16"/>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nsid w:val="5C6D0B7C"/>
    <w:multiLevelType w:val="hybridMultilevel"/>
    <w:tmpl w:val="B15A8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4817306"/>
    <w:multiLevelType w:val="hybridMultilevel"/>
    <w:tmpl w:val="448639BE"/>
    <w:lvl w:ilvl="0" w:tplc="58A2A2D6">
      <w:start w:val="1"/>
      <w:numFmt w:val="lowerRoman"/>
      <w:lvlText w:val="(%1)"/>
      <w:lvlJc w:val="right"/>
      <w:pPr>
        <w:ind w:left="1287" w:hanging="720"/>
      </w:pPr>
      <w:rPr>
        <w:rFonts w:hint="default"/>
      </w:rPr>
    </w:lvl>
    <w:lvl w:ilvl="1" w:tplc="C2363AF6">
      <w:start w:val="1"/>
      <w:numFmt w:val="lowerLetter"/>
      <w:lvlText w:val="(%2)"/>
      <w:lvlJc w:val="left"/>
      <w:pPr>
        <w:ind w:left="1647"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nsid w:val="672A1274"/>
    <w:multiLevelType w:val="multilevel"/>
    <w:tmpl w:val="93C6913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Times" w:hAnsi="Times" w:hint="default"/>
        <w:sz w:val="22"/>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498"/>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lvlText w:val="(%6)"/>
      <w:lvlJc w:val="left"/>
      <w:pPr>
        <w:tabs>
          <w:tab w:val="num" w:pos="3915"/>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upperLetter"/>
      <w:lvlText w:val="%8."/>
      <w:lvlJc w:val="left"/>
      <w:pPr>
        <w:tabs>
          <w:tab w:val="num" w:pos="4961"/>
        </w:tabs>
        <w:ind w:left="4961" w:hanging="708"/>
      </w:pPr>
      <w:rPr>
        <w:rFonts w:hint="default"/>
      </w:rPr>
    </w:lvl>
    <w:lvl w:ilvl="8">
      <w:start w:val="1"/>
      <w:numFmt w:val="decimal"/>
      <w:lvlText w:val="%1.%2.%3.%4.%5.%6.%7.%8.%9."/>
      <w:lvlJc w:val="left"/>
      <w:pPr>
        <w:tabs>
          <w:tab w:val="num" w:pos="6761"/>
        </w:tabs>
        <w:ind w:left="5670" w:hanging="709"/>
      </w:pPr>
      <w:rPr>
        <w:rFonts w:hint="default"/>
      </w:rPr>
    </w:lvl>
  </w:abstractNum>
  <w:abstractNum w:abstractNumId="15">
    <w:nsid w:val="7257460E"/>
    <w:multiLevelType w:val="hybridMultilevel"/>
    <w:tmpl w:val="17A8FFB4"/>
    <w:lvl w:ilvl="0" w:tplc="8B12A622">
      <w:start w:val="1"/>
      <w:numFmt w:val="bullet"/>
      <w:lvlText w:val=""/>
      <w:lvlJc w:val="left"/>
      <w:pPr>
        <w:ind w:left="1854" w:hanging="360"/>
      </w:pPr>
      <w:rPr>
        <w:rFonts w:ascii="Symbol" w:hAnsi="Symbol" w:hint="default"/>
        <w:sz w:val="16"/>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nsid w:val="7F5F312B"/>
    <w:multiLevelType w:val="hybridMultilevel"/>
    <w:tmpl w:val="F9061622"/>
    <w:lvl w:ilvl="0" w:tplc="72D8460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1"/>
  </w:num>
  <w:num w:numId="4">
    <w:abstractNumId w:val="7"/>
  </w:num>
  <w:num w:numId="5">
    <w:abstractNumId w:val="8"/>
  </w:num>
  <w:num w:numId="6">
    <w:abstractNumId w:val="15"/>
  </w:num>
  <w:num w:numId="7">
    <w:abstractNumId w:val="3"/>
  </w:num>
  <w:num w:numId="8">
    <w:abstractNumId w:val="0"/>
  </w:num>
  <w:num w:numId="9">
    <w:abstractNumId w:val="9"/>
  </w:num>
  <w:num w:numId="10">
    <w:abstractNumId w:val="5"/>
  </w:num>
  <w:num w:numId="11">
    <w:abstractNumId w:val="12"/>
  </w:num>
  <w:num w:numId="12">
    <w:abstractNumId w:val="16"/>
  </w:num>
  <w:num w:numId="13">
    <w:abstractNumId w:val="4"/>
  </w:num>
  <w:num w:numId="14">
    <w:abstractNumId w:val="13"/>
  </w:num>
  <w:num w:numId="15">
    <w:abstractNumId w:val="10"/>
  </w:num>
  <w:num w:numId="16">
    <w:abstractNumId w:val="6"/>
  </w:num>
  <w:num w:numId="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A9"/>
    <w:rsid w:val="000016BB"/>
    <w:rsid w:val="00002FFB"/>
    <w:rsid w:val="00005715"/>
    <w:rsid w:val="0000585D"/>
    <w:rsid w:val="00005A0A"/>
    <w:rsid w:val="00006DC7"/>
    <w:rsid w:val="0001012E"/>
    <w:rsid w:val="000102FB"/>
    <w:rsid w:val="00010DFA"/>
    <w:rsid w:val="0001107C"/>
    <w:rsid w:val="000114C0"/>
    <w:rsid w:val="000116F3"/>
    <w:rsid w:val="00016DA9"/>
    <w:rsid w:val="000173F1"/>
    <w:rsid w:val="00017B8B"/>
    <w:rsid w:val="000215EF"/>
    <w:rsid w:val="00026C2A"/>
    <w:rsid w:val="00027E14"/>
    <w:rsid w:val="00030891"/>
    <w:rsid w:val="00033A8B"/>
    <w:rsid w:val="00034641"/>
    <w:rsid w:val="00037314"/>
    <w:rsid w:val="00037503"/>
    <w:rsid w:val="00041BBC"/>
    <w:rsid w:val="000429F5"/>
    <w:rsid w:val="00042FB6"/>
    <w:rsid w:val="0004762B"/>
    <w:rsid w:val="00047D5A"/>
    <w:rsid w:val="0005137F"/>
    <w:rsid w:val="0005257E"/>
    <w:rsid w:val="0005388E"/>
    <w:rsid w:val="00060BFB"/>
    <w:rsid w:val="00062E90"/>
    <w:rsid w:val="00064464"/>
    <w:rsid w:val="0006453B"/>
    <w:rsid w:val="00065511"/>
    <w:rsid w:val="0006650B"/>
    <w:rsid w:val="000706D7"/>
    <w:rsid w:val="00070794"/>
    <w:rsid w:val="000715DE"/>
    <w:rsid w:val="00082E18"/>
    <w:rsid w:val="00082E6D"/>
    <w:rsid w:val="00085507"/>
    <w:rsid w:val="0008676D"/>
    <w:rsid w:val="00087C82"/>
    <w:rsid w:val="0009051C"/>
    <w:rsid w:val="000923B4"/>
    <w:rsid w:val="00092BB3"/>
    <w:rsid w:val="0009438A"/>
    <w:rsid w:val="0009487F"/>
    <w:rsid w:val="00094CDA"/>
    <w:rsid w:val="000955CA"/>
    <w:rsid w:val="00095848"/>
    <w:rsid w:val="0009748A"/>
    <w:rsid w:val="000A028F"/>
    <w:rsid w:val="000A0941"/>
    <w:rsid w:val="000A13A6"/>
    <w:rsid w:val="000A29E9"/>
    <w:rsid w:val="000A4349"/>
    <w:rsid w:val="000A68BE"/>
    <w:rsid w:val="000A76D6"/>
    <w:rsid w:val="000A7A04"/>
    <w:rsid w:val="000B1003"/>
    <w:rsid w:val="000B4528"/>
    <w:rsid w:val="000B5555"/>
    <w:rsid w:val="000B5D9E"/>
    <w:rsid w:val="000B7DE2"/>
    <w:rsid w:val="000B7ECC"/>
    <w:rsid w:val="000C0356"/>
    <w:rsid w:val="000C170A"/>
    <w:rsid w:val="000C24CD"/>
    <w:rsid w:val="000C32FD"/>
    <w:rsid w:val="000C443A"/>
    <w:rsid w:val="000C471C"/>
    <w:rsid w:val="000C4764"/>
    <w:rsid w:val="000D1239"/>
    <w:rsid w:val="000D1590"/>
    <w:rsid w:val="000D2137"/>
    <w:rsid w:val="000D468A"/>
    <w:rsid w:val="000D4BFD"/>
    <w:rsid w:val="000D5395"/>
    <w:rsid w:val="000D55C0"/>
    <w:rsid w:val="000D577A"/>
    <w:rsid w:val="000D703C"/>
    <w:rsid w:val="000D7A3C"/>
    <w:rsid w:val="000D7D21"/>
    <w:rsid w:val="000E0027"/>
    <w:rsid w:val="000E3C9C"/>
    <w:rsid w:val="000E4806"/>
    <w:rsid w:val="000E51C3"/>
    <w:rsid w:val="000E6B4E"/>
    <w:rsid w:val="000F027C"/>
    <w:rsid w:val="000F129A"/>
    <w:rsid w:val="000F1F01"/>
    <w:rsid w:val="000F5CA3"/>
    <w:rsid w:val="000F5D92"/>
    <w:rsid w:val="00100BA2"/>
    <w:rsid w:val="0010204E"/>
    <w:rsid w:val="0010281E"/>
    <w:rsid w:val="00103D60"/>
    <w:rsid w:val="00103F0C"/>
    <w:rsid w:val="0010667A"/>
    <w:rsid w:val="001073C5"/>
    <w:rsid w:val="001077B4"/>
    <w:rsid w:val="001113AE"/>
    <w:rsid w:val="00112E2B"/>
    <w:rsid w:val="0011398B"/>
    <w:rsid w:val="00113BA2"/>
    <w:rsid w:val="00114DCB"/>
    <w:rsid w:val="00115200"/>
    <w:rsid w:val="00116845"/>
    <w:rsid w:val="00117B22"/>
    <w:rsid w:val="00122755"/>
    <w:rsid w:val="00122AA0"/>
    <w:rsid w:val="001315F3"/>
    <w:rsid w:val="00131FD0"/>
    <w:rsid w:val="0013218E"/>
    <w:rsid w:val="00133146"/>
    <w:rsid w:val="00134BAD"/>
    <w:rsid w:val="00136642"/>
    <w:rsid w:val="00137B6A"/>
    <w:rsid w:val="0014059B"/>
    <w:rsid w:val="001439F0"/>
    <w:rsid w:val="00144C0E"/>
    <w:rsid w:val="00145197"/>
    <w:rsid w:val="0014540C"/>
    <w:rsid w:val="00146D67"/>
    <w:rsid w:val="0014761F"/>
    <w:rsid w:val="00150AC7"/>
    <w:rsid w:val="001521C6"/>
    <w:rsid w:val="00152C8B"/>
    <w:rsid w:val="001548FD"/>
    <w:rsid w:val="001560BF"/>
    <w:rsid w:val="0016012F"/>
    <w:rsid w:val="00162937"/>
    <w:rsid w:val="00162D05"/>
    <w:rsid w:val="00162F99"/>
    <w:rsid w:val="001633AF"/>
    <w:rsid w:val="00164002"/>
    <w:rsid w:val="00165038"/>
    <w:rsid w:val="001659CE"/>
    <w:rsid w:val="001672EA"/>
    <w:rsid w:val="00167FCE"/>
    <w:rsid w:val="00170356"/>
    <w:rsid w:val="001730A7"/>
    <w:rsid w:val="00173393"/>
    <w:rsid w:val="00174FB9"/>
    <w:rsid w:val="00176EC1"/>
    <w:rsid w:val="00177884"/>
    <w:rsid w:val="00177907"/>
    <w:rsid w:val="00177F8B"/>
    <w:rsid w:val="00180BB0"/>
    <w:rsid w:val="001811B9"/>
    <w:rsid w:val="001827B0"/>
    <w:rsid w:val="0018486E"/>
    <w:rsid w:val="00185644"/>
    <w:rsid w:val="001878D7"/>
    <w:rsid w:val="0019074F"/>
    <w:rsid w:val="0019098B"/>
    <w:rsid w:val="00190CE3"/>
    <w:rsid w:val="00191E14"/>
    <w:rsid w:val="00193143"/>
    <w:rsid w:val="00193D90"/>
    <w:rsid w:val="0019445D"/>
    <w:rsid w:val="0019563D"/>
    <w:rsid w:val="001961EC"/>
    <w:rsid w:val="001A0336"/>
    <w:rsid w:val="001A0D63"/>
    <w:rsid w:val="001A22AC"/>
    <w:rsid w:val="001A3990"/>
    <w:rsid w:val="001A6089"/>
    <w:rsid w:val="001A63C1"/>
    <w:rsid w:val="001A7713"/>
    <w:rsid w:val="001B1044"/>
    <w:rsid w:val="001B1EEE"/>
    <w:rsid w:val="001B3484"/>
    <w:rsid w:val="001B550D"/>
    <w:rsid w:val="001B582B"/>
    <w:rsid w:val="001C0014"/>
    <w:rsid w:val="001C0670"/>
    <w:rsid w:val="001C12FB"/>
    <w:rsid w:val="001C2931"/>
    <w:rsid w:val="001C2A6A"/>
    <w:rsid w:val="001C3D9B"/>
    <w:rsid w:val="001C582D"/>
    <w:rsid w:val="001C5BA8"/>
    <w:rsid w:val="001C5C10"/>
    <w:rsid w:val="001C6E70"/>
    <w:rsid w:val="001E17DF"/>
    <w:rsid w:val="001E28CD"/>
    <w:rsid w:val="001E45E0"/>
    <w:rsid w:val="001E5FDE"/>
    <w:rsid w:val="001F1CBB"/>
    <w:rsid w:val="001F1F47"/>
    <w:rsid w:val="001F4807"/>
    <w:rsid w:val="001F51E6"/>
    <w:rsid w:val="001F5E47"/>
    <w:rsid w:val="001F6693"/>
    <w:rsid w:val="00200B43"/>
    <w:rsid w:val="00200CD9"/>
    <w:rsid w:val="00201F29"/>
    <w:rsid w:val="002020CD"/>
    <w:rsid w:val="00202DBB"/>
    <w:rsid w:val="00204BF1"/>
    <w:rsid w:val="0020575F"/>
    <w:rsid w:val="00205DD0"/>
    <w:rsid w:val="00206167"/>
    <w:rsid w:val="00207597"/>
    <w:rsid w:val="0021054C"/>
    <w:rsid w:val="00210826"/>
    <w:rsid w:val="00210C13"/>
    <w:rsid w:val="00212671"/>
    <w:rsid w:val="00213B50"/>
    <w:rsid w:val="00214BBA"/>
    <w:rsid w:val="00215F5B"/>
    <w:rsid w:val="00216BAB"/>
    <w:rsid w:val="002247EE"/>
    <w:rsid w:val="00225589"/>
    <w:rsid w:val="002270C8"/>
    <w:rsid w:val="00230FB4"/>
    <w:rsid w:val="0023102E"/>
    <w:rsid w:val="002347FF"/>
    <w:rsid w:val="00241501"/>
    <w:rsid w:val="002417D3"/>
    <w:rsid w:val="00241F0C"/>
    <w:rsid w:val="00244971"/>
    <w:rsid w:val="00245B86"/>
    <w:rsid w:val="0025013B"/>
    <w:rsid w:val="002523CF"/>
    <w:rsid w:val="00256721"/>
    <w:rsid w:val="00260D45"/>
    <w:rsid w:val="0026313F"/>
    <w:rsid w:val="002671C7"/>
    <w:rsid w:val="00267A44"/>
    <w:rsid w:val="00270DBA"/>
    <w:rsid w:val="00270DF5"/>
    <w:rsid w:val="00270F1C"/>
    <w:rsid w:val="00271750"/>
    <w:rsid w:val="002723B3"/>
    <w:rsid w:val="00272581"/>
    <w:rsid w:val="002731DA"/>
    <w:rsid w:val="0027378A"/>
    <w:rsid w:val="00274D6A"/>
    <w:rsid w:val="00275F18"/>
    <w:rsid w:val="00276554"/>
    <w:rsid w:val="00277D0C"/>
    <w:rsid w:val="0028137B"/>
    <w:rsid w:val="00281A81"/>
    <w:rsid w:val="00281CB7"/>
    <w:rsid w:val="0028206B"/>
    <w:rsid w:val="00284090"/>
    <w:rsid w:val="00285FB9"/>
    <w:rsid w:val="0028769D"/>
    <w:rsid w:val="00287D66"/>
    <w:rsid w:val="0029051D"/>
    <w:rsid w:val="00290E39"/>
    <w:rsid w:val="00292052"/>
    <w:rsid w:val="002951A8"/>
    <w:rsid w:val="00296D7B"/>
    <w:rsid w:val="00297F2A"/>
    <w:rsid w:val="002A0529"/>
    <w:rsid w:val="002A0911"/>
    <w:rsid w:val="002A155C"/>
    <w:rsid w:val="002A2C36"/>
    <w:rsid w:val="002A2D51"/>
    <w:rsid w:val="002A4DA5"/>
    <w:rsid w:val="002A54A2"/>
    <w:rsid w:val="002A6B35"/>
    <w:rsid w:val="002A7A5D"/>
    <w:rsid w:val="002B2DF7"/>
    <w:rsid w:val="002B3C94"/>
    <w:rsid w:val="002B6EBB"/>
    <w:rsid w:val="002B7CD3"/>
    <w:rsid w:val="002C0569"/>
    <w:rsid w:val="002C0648"/>
    <w:rsid w:val="002C0FCA"/>
    <w:rsid w:val="002C2544"/>
    <w:rsid w:val="002C25B4"/>
    <w:rsid w:val="002C2C97"/>
    <w:rsid w:val="002C4AF4"/>
    <w:rsid w:val="002C66B3"/>
    <w:rsid w:val="002C69FE"/>
    <w:rsid w:val="002C79C0"/>
    <w:rsid w:val="002D00BE"/>
    <w:rsid w:val="002D0858"/>
    <w:rsid w:val="002D1C4B"/>
    <w:rsid w:val="002D3074"/>
    <w:rsid w:val="002D5036"/>
    <w:rsid w:val="002D5CF8"/>
    <w:rsid w:val="002D6057"/>
    <w:rsid w:val="002D6864"/>
    <w:rsid w:val="002D6A1B"/>
    <w:rsid w:val="002E048A"/>
    <w:rsid w:val="002E0BFC"/>
    <w:rsid w:val="002E0D75"/>
    <w:rsid w:val="002E0EAC"/>
    <w:rsid w:val="002E1295"/>
    <w:rsid w:val="002E2341"/>
    <w:rsid w:val="002E340D"/>
    <w:rsid w:val="002E420F"/>
    <w:rsid w:val="002E46ED"/>
    <w:rsid w:val="002E48C7"/>
    <w:rsid w:val="002E5D90"/>
    <w:rsid w:val="002E7F41"/>
    <w:rsid w:val="002F20DE"/>
    <w:rsid w:val="002F3221"/>
    <w:rsid w:val="002F3D0B"/>
    <w:rsid w:val="002F61BA"/>
    <w:rsid w:val="002F6B7E"/>
    <w:rsid w:val="002F71A9"/>
    <w:rsid w:val="003018EE"/>
    <w:rsid w:val="0030192D"/>
    <w:rsid w:val="00301E4D"/>
    <w:rsid w:val="00303766"/>
    <w:rsid w:val="00304382"/>
    <w:rsid w:val="00305CEA"/>
    <w:rsid w:val="003063BE"/>
    <w:rsid w:val="00306C25"/>
    <w:rsid w:val="003108C3"/>
    <w:rsid w:val="00312102"/>
    <w:rsid w:val="003124EF"/>
    <w:rsid w:val="0031435F"/>
    <w:rsid w:val="003156AF"/>
    <w:rsid w:val="00317E09"/>
    <w:rsid w:val="00320592"/>
    <w:rsid w:val="00320DCB"/>
    <w:rsid w:val="003210E0"/>
    <w:rsid w:val="0032443C"/>
    <w:rsid w:val="00324B12"/>
    <w:rsid w:val="003257A0"/>
    <w:rsid w:val="00327F88"/>
    <w:rsid w:val="003318BE"/>
    <w:rsid w:val="00334A83"/>
    <w:rsid w:val="00334B27"/>
    <w:rsid w:val="00342098"/>
    <w:rsid w:val="003423CE"/>
    <w:rsid w:val="00344975"/>
    <w:rsid w:val="00344BFB"/>
    <w:rsid w:val="00345260"/>
    <w:rsid w:val="00345DFB"/>
    <w:rsid w:val="00346230"/>
    <w:rsid w:val="00346644"/>
    <w:rsid w:val="00346AEE"/>
    <w:rsid w:val="003517D4"/>
    <w:rsid w:val="0035209E"/>
    <w:rsid w:val="003521A0"/>
    <w:rsid w:val="00353D93"/>
    <w:rsid w:val="00355926"/>
    <w:rsid w:val="00355D33"/>
    <w:rsid w:val="00355DBF"/>
    <w:rsid w:val="00356DE8"/>
    <w:rsid w:val="0036104E"/>
    <w:rsid w:val="00362104"/>
    <w:rsid w:val="00362F75"/>
    <w:rsid w:val="00363C6C"/>
    <w:rsid w:val="0036513B"/>
    <w:rsid w:val="00365CD8"/>
    <w:rsid w:val="003662B0"/>
    <w:rsid w:val="003703A6"/>
    <w:rsid w:val="00370D69"/>
    <w:rsid w:val="003711A2"/>
    <w:rsid w:val="00373040"/>
    <w:rsid w:val="00373402"/>
    <w:rsid w:val="0037412C"/>
    <w:rsid w:val="00375DD6"/>
    <w:rsid w:val="00376D71"/>
    <w:rsid w:val="00376E60"/>
    <w:rsid w:val="00377C9E"/>
    <w:rsid w:val="003808CA"/>
    <w:rsid w:val="003832FE"/>
    <w:rsid w:val="0038337A"/>
    <w:rsid w:val="003844D1"/>
    <w:rsid w:val="00384924"/>
    <w:rsid w:val="003849EA"/>
    <w:rsid w:val="00386AF7"/>
    <w:rsid w:val="00386CB6"/>
    <w:rsid w:val="00387344"/>
    <w:rsid w:val="00391316"/>
    <w:rsid w:val="0039458A"/>
    <w:rsid w:val="00394858"/>
    <w:rsid w:val="003A1B11"/>
    <w:rsid w:val="003A34E4"/>
    <w:rsid w:val="003A4B30"/>
    <w:rsid w:val="003A6B67"/>
    <w:rsid w:val="003A6CA8"/>
    <w:rsid w:val="003A76C7"/>
    <w:rsid w:val="003A7A65"/>
    <w:rsid w:val="003B0F67"/>
    <w:rsid w:val="003B4868"/>
    <w:rsid w:val="003B59AE"/>
    <w:rsid w:val="003B5E35"/>
    <w:rsid w:val="003B6112"/>
    <w:rsid w:val="003B7781"/>
    <w:rsid w:val="003B7D31"/>
    <w:rsid w:val="003C11DE"/>
    <w:rsid w:val="003C2555"/>
    <w:rsid w:val="003C331D"/>
    <w:rsid w:val="003C3534"/>
    <w:rsid w:val="003C55C5"/>
    <w:rsid w:val="003C6A50"/>
    <w:rsid w:val="003C76F2"/>
    <w:rsid w:val="003D1585"/>
    <w:rsid w:val="003D18B4"/>
    <w:rsid w:val="003D375A"/>
    <w:rsid w:val="003D44E3"/>
    <w:rsid w:val="003D44F6"/>
    <w:rsid w:val="003E0F1B"/>
    <w:rsid w:val="003E16F5"/>
    <w:rsid w:val="003E1D97"/>
    <w:rsid w:val="003E5639"/>
    <w:rsid w:val="003E759C"/>
    <w:rsid w:val="003E7E9C"/>
    <w:rsid w:val="003F0117"/>
    <w:rsid w:val="003F04D6"/>
    <w:rsid w:val="003F24FE"/>
    <w:rsid w:val="003F265E"/>
    <w:rsid w:val="003F35AB"/>
    <w:rsid w:val="003F6F09"/>
    <w:rsid w:val="003F7D62"/>
    <w:rsid w:val="003F7FFD"/>
    <w:rsid w:val="004004DA"/>
    <w:rsid w:val="004008CA"/>
    <w:rsid w:val="00401BEC"/>
    <w:rsid w:val="00405741"/>
    <w:rsid w:val="0040700A"/>
    <w:rsid w:val="004070EE"/>
    <w:rsid w:val="004103B8"/>
    <w:rsid w:val="004103BA"/>
    <w:rsid w:val="0041040D"/>
    <w:rsid w:val="0041142C"/>
    <w:rsid w:val="00411C6A"/>
    <w:rsid w:val="00413AF7"/>
    <w:rsid w:val="00414833"/>
    <w:rsid w:val="0041623D"/>
    <w:rsid w:val="00421463"/>
    <w:rsid w:val="00422353"/>
    <w:rsid w:val="00423565"/>
    <w:rsid w:val="0042376F"/>
    <w:rsid w:val="00423ADA"/>
    <w:rsid w:val="00424286"/>
    <w:rsid w:val="0042488E"/>
    <w:rsid w:val="00424B4C"/>
    <w:rsid w:val="00425B41"/>
    <w:rsid w:val="00430488"/>
    <w:rsid w:val="004327C0"/>
    <w:rsid w:val="0043381D"/>
    <w:rsid w:val="00435A13"/>
    <w:rsid w:val="00436712"/>
    <w:rsid w:val="0044330A"/>
    <w:rsid w:val="00443DF1"/>
    <w:rsid w:val="00444584"/>
    <w:rsid w:val="004445F8"/>
    <w:rsid w:val="004478DA"/>
    <w:rsid w:val="00450F22"/>
    <w:rsid w:val="004517C2"/>
    <w:rsid w:val="004538FA"/>
    <w:rsid w:val="00454F8C"/>
    <w:rsid w:val="0045584A"/>
    <w:rsid w:val="004562BB"/>
    <w:rsid w:val="004569C8"/>
    <w:rsid w:val="00457BE8"/>
    <w:rsid w:val="00457EA3"/>
    <w:rsid w:val="00460762"/>
    <w:rsid w:val="00461A05"/>
    <w:rsid w:val="00461DA0"/>
    <w:rsid w:val="00462C5D"/>
    <w:rsid w:val="0046334B"/>
    <w:rsid w:val="0046351C"/>
    <w:rsid w:val="00464395"/>
    <w:rsid w:val="004656ED"/>
    <w:rsid w:val="00466093"/>
    <w:rsid w:val="00466C9F"/>
    <w:rsid w:val="00467A49"/>
    <w:rsid w:val="00471795"/>
    <w:rsid w:val="0047270F"/>
    <w:rsid w:val="00474EF8"/>
    <w:rsid w:val="0047548F"/>
    <w:rsid w:val="00475D96"/>
    <w:rsid w:val="0047618D"/>
    <w:rsid w:val="00476478"/>
    <w:rsid w:val="00477EAB"/>
    <w:rsid w:val="00481822"/>
    <w:rsid w:val="00481F8E"/>
    <w:rsid w:val="0048245B"/>
    <w:rsid w:val="00483DF6"/>
    <w:rsid w:val="004846CD"/>
    <w:rsid w:val="00484BF6"/>
    <w:rsid w:val="00492C2A"/>
    <w:rsid w:val="00493279"/>
    <w:rsid w:val="004937D0"/>
    <w:rsid w:val="00493AA5"/>
    <w:rsid w:val="0049553D"/>
    <w:rsid w:val="00495B66"/>
    <w:rsid w:val="00495C18"/>
    <w:rsid w:val="00496AB8"/>
    <w:rsid w:val="0049735F"/>
    <w:rsid w:val="004A04FA"/>
    <w:rsid w:val="004A35CB"/>
    <w:rsid w:val="004A3A2C"/>
    <w:rsid w:val="004A5103"/>
    <w:rsid w:val="004A67B0"/>
    <w:rsid w:val="004A7318"/>
    <w:rsid w:val="004A7EEA"/>
    <w:rsid w:val="004B09CF"/>
    <w:rsid w:val="004B1847"/>
    <w:rsid w:val="004B3BF9"/>
    <w:rsid w:val="004B5A27"/>
    <w:rsid w:val="004C0AF8"/>
    <w:rsid w:val="004C2A5E"/>
    <w:rsid w:val="004C378D"/>
    <w:rsid w:val="004C4B30"/>
    <w:rsid w:val="004C560B"/>
    <w:rsid w:val="004C5C58"/>
    <w:rsid w:val="004C7143"/>
    <w:rsid w:val="004D07AE"/>
    <w:rsid w:val="004D1587"/>
    <w:rsid w:val="004D164C"/>
    <w:rsid w:val="004D4F0F"/>
    <w:rsid w:val="004D7BBA"/>
    <w:rsid w:val="004E18D5"/>
    <w:rsid w:val="004E2313"/>
    <w:rsid w:val="004E269A"/>
    <w:rsid w:val="004E2745"/>
    <w:rsid w:val="004E2C23"/>
    <w:rsid w:val="004E2D90"/>
    <w:rsid w:val="004E5C3B"/>
    <w:rsid w:val="004E7BB1"/>
    <w:rsid w:val="004E7E51"/>
    <w:rsid w:val="004F06FB"/>
    <w:rsid w:val="004F0F8A"/>
    <w:rsid w:val="004F2D60"/>
    <w:rsid w:val="004F3994"/>
    <w:rsid w:val="004F46BA"/>
    <w:rsid w:val="004F49F8"/>
    <w:rsid w:val="004F4A3D"/>
    <w:rsid w:val="004F5078"/>
    <w:rsid w:val="004F6101"/>
    <w:rsid w:val="004F6CC2"/>
    <w:rsid w:val="0050227D"/>
    <w:rsid w:val="0050294A"/>
    <w:rsid w:val="0050399F"/>
    <w:rsid w:val="005045AC"/>
    <w:rsid w:val="00504AA4"/>
    <w:rsid w:val="005059F7"/>
    <w:rsid w:val="00505E7B"/>
    <w:rsid w:val="00514CE9"/>
    <w:rsid w:val="0052150A"/>
    <w:rsid w:val="00523340"/>
    <w:rsid w:val="00523B23"/>
    <w:rsid w:val="00524111"/>
    <w:rsid w:val="0052672A"/>
    <w:rsid w:val="00526F4E"/>
    <w:rsid w:val="00527DF6"/>
    <w:rsid w:val="005307CB"/>
    <w:rsid w:val="00530B7E"/>
    <w:rsid w:val="00532B23"/>
    <w:rsid w:val="00532B9E"/>
    <w:rsid w:val="00532CA5"/>
    <w:rsid w:val="00533934"/>
    <w:rsid w:val="00533BC2"/>
    <w:rsid w:val="0053520F"/>
    <w:rsid w:val="005363DB"/>
    <w:rsid w:val="00537DE7"/>
    <w:rsid w:val="00541F8C"/>
    <w:rsid w:val="005432DA"/>
    <w:rsid w:val="00550201"/>
    <w:rsid w:val="005502E3"/>
    <w:rsid w:val="00550733"/>
    <w:rsid w:val="005524E9"/>
    <w:rsid w:val="00553FFC"/>
    <w:rsid w:val="0055468A"/>
    <w:rsid w:val="0055561C"/>
    <w:rsid w:val="005558C1"/>
    <w:rsid w:val="00555FD9"/>
    <w:rsid w:val="0055791F"/>
    <w:rsid w:val="00557AF6"/>
    <w:rsid w:val="005619E1"/>
    <w:rsid w:val="00561B6B"/>
    <w:rsid w:val="0056683A"/>
    <w:rsid w:val="00566A66"/>
    <w:rsid w:val="00566B7C"/>
    <w:rsid w:val="0056726F"/>
    <w:rsid w:val="005717DC"/>
    <w:rsid w:val="00571AFC"/>
    <w:rsid w:val="0057475B"/>
    <w:rsid w:val="005751E2"/>
    <w:rsid w:val="00576ACB"/>
    <w:rsid w:val="00576B3A"/>
    <w:rsid w:val="0057712E"/>
    <w:rsid w:val="00577681"/>
    <w:rsid w:val="00577777"/>
    <w:rsid w:val="00577A95"/>
    <w:rsid w:val="00577E94"/>
    <w:rsid w:val="00577F6B"/>
    <w:rsid w:val="00581659"/>
    <w:rsid w:val="005830F4"/>
    <w:rsid w:val="00583F45"/>
    <w:rsid w:val="00587A9F"/>
    <w:rsid w:val="00587CF3"/>
    <w:rsid w:val="00590E35"/>
    <w:rsid w:val="0059149A"/>
    <w:rsid w:val="00594599"/>
    <w:rsid w:val="005A0707"/>
    <w:rsid w:val="005A1D90"/>
    <w:rsid w:val="005A2191"/>
    <w:rsid w:val="005A2ECB"/>
    <w:rsid w:val="005A31F3"/>
    <w:rsid w:val="005A4AE8"/>
    <w:rsid w:val="005A62B5"/>
    <w:rsid w:val="005A73BC"/>
    <w:rsid w:val="005A7A54"/>
    <w:rsid w:val="005A7D87"/>
    <w:rsid w:val="005B1BCE"/>
    <w:rsid w:val="005B22E4"/>
    <w:rsid w:val="005B342F"/>
    <w:rsid w:val="005B4A40"/>
    <w:rsid w:val="005B4B80"/>
    <w:rsid w:val="005B51EA"/>
    <w:rsid w:val="005B6137"/>
    <w:rsid w:val="005B6CFB"/>
    <w:rsid w:val="005B6D18"/>
    <w:rsid w:val="005B7867"/>
    <w:rsid w:val="005C07AC"/>
    <w:rsid w:val="005C0916"/>
    <w:rsid w:val="005C1763"/>
    <w:rsid w:val="005C33A0"/>
    <w:rsid w:val="005C4564"/>
    <w:rsid w:val="005C4C39"/>
    <w:rsid w:val="005C54DF"/>
    <w:rsid w:val="005C58BF"/>
    <w:rsid w:val="005C7352"/>
    <w:rsid w:val="005C76EA"/>
    <w:rsid w:val="005D011B"/>
    <w:rsid w:val="005D04C0"/>
    <w:rsid w:val="005D18A9"/>
    <w:rsid w:val="005D1F32"/>
    <w:rsid w:val="005D2713"/>
    <w:rsid w:val="005D27DB"/>
    <w:rsid w:val="005D40B4"/>
    <w:rsid w:val="005D59EC"/>
    <w:rsid w:val="005E0F90"/>
    <w:rsid w:val="005E21A6"/>
    <w:rsid w:val="005E2DAF"/>
    <w:rsid w:val="005E5184"/>
    <w:rsid w:val="005E570C"/>
    <w:rsid w:val="005E5BB4"/>
    <w:rsid w:val="005E5D4D"/>
    <w:rsid w:val="005E61BC"/>
    <w:rsid w:val="005E6386"/>
    <w:rsid w:val="005E659C"/>
    <w:rsid w:val="005E7080"/>
    <w:rsid w:val="005F07D5"/>
    <w:rsid w:val="005F0AB1"/>
    <w:rsid w:val="005F0B25"/>
    <w:rsid w:val="005F3302"/>
    <w:rsid w:val="005F3487"/>
    <w:rsid w:val="005F520E"/>
    <w:rsid w:val="005F625D"/>
    <w:rsid w:val="005F643D"/>
    <w:rsid w:val="006003DB"/>
    <w:rsid w:val="00602C71"/>
    <w:rsid w:val="006030C3"/>
    <w:rsid w:val="00603F6B"/>
    <w:rsid w:val="00604B51"/>
    <w:rsid w:val="00605F58"/>
    <w:rsid w:val="006068F5"/>
    <w:rsid w:val="00611491"/>
    <w:rsid w:val="0061208F"/>
    <w:rsid w:val="006131EC"/>
    <w:rsid w:val="00614166"/>
    <w:rsid w:val="006148DF"/>
    <w:rsid w:val="006219C4"/>
    <w:rsid w:val="00621B5E"/>
    <w:rsid w:val="00622231"/>
    <w:rsid w:val="006228D8"/>
    <w:rsid w:val="006237A0"/>
    <w:rsid w:val="0062579B"/>
    <w:rsid w:val="00626DAD"/>
    <w:rsid w:val="00627275"/>
    <w:rsid w:val="0063378D"/>
    <w:rsid w:val="0063560C"/>
    <w:rsid w:val="00635BC4"/>
    <w:rsid w:val="00637920"/>
    <w:rsid w:val="00640984"/>
    <w:rsid w:val="00641280"/>
    <w:rsid w:val="0064161D"/>
    <w:rsid w:val="006425F2"/>
    <w:rsid w:val="00643C9E"/>
    <w:rsid w:val="0064509D"/>
    <w:rsid w:val="00650574"/>
    <w:rsid w:val="00651224"/>
    <w:rsid w:val="0065136F"/>
    <w:rsid w:val="0065244D"/>
    <w:rsid w:val="00653569"/>
    <w:rsid w:val="006548CE"/>
    <w:rsid w:val="00655100"/>
    <w:rsid w:val="00657044"/>
    <w:rsid w:val="006607F2"/>
    <w:rsid w:val="006609DC"/>
    <w:rsid w:val="00660A0F"/>
    <w:rsid w:val="00661759"/>
    <w:rsid w:val="00661BED"/>
    <w:rsid w:val="00663AFC"/>
    <w:rsid w:val="00663F02"/>
    <w:rsid w:val="00666E7D"/>
    <w:rsid w:val="00670F52"/>
    <w:rsid w:val="00672160"/>
    <w:rsid w:val="006728C2"/>
    <w:rsid w:val="006757CD"/>
    <w:rsid w:val="00676895"/>
    <w:rsid w:val="00676AB4"/>
    <w:rsid w:val="006774A1"/>
    <w:rsid w:val="006812EF"/>
    <w:rsid w:val="0068143E"/>
    <w:rsid w:val="0068151B"/>
    <w:rsid w:val="0068171E"/>
    <w:rsid w:val="0068187D"/>
    <w:rsid w:val="00683308"/>
    <w:rsid w:val="00683F37"/>
    <w:rsid w:val="0068452B"/>
    <w:rsid w:val="00684A17"/>
    <w:rsid w:val="00686568"/>
    <w:rsid w:val="0068799B"/>
    <w:rsid w:val="00690F07"/>
    <w:rsid w:val="00691DEB"/>
    <w:rsid w:val="0069209E"/>
    <w:rsid w:val="00693FB8"/>
    <w:rsid w:val="0069483F"/>
    <w:rsid w:val="006959E5"/>
    <w:rsid w:val="00697DA7"/>
    <w:rsid w:val="006A09BB"/>
    <w:rsid w:val="006A1EF8"/>
    <w:rsid w:val="006A2631"/>
    <w:rsid w:val="006A4AE4"/>
    <w:rsid w:val="006A5CE7"/>
    <w:rsid w:val="006A65AA"/>
    <w:rsid w:val="006A681B"/>
    <w:rsid w:val="006B3900"/>
    <w:rsid w:val="006B3E9B"/>
    <w:rsid w:val="006B537F"/>
    <w:rsid w:val="006B545C"/>
    <w:rsid w:val="006B7FB4"/>
    <w:rsid w:val="006C14DD"/>
    <w:rsid w:val="006C285C"/>
    <w:rsid w:val="006C3DFD"/>
    <w:rsid w:val="006C4F5D"/>
    <w:rsid w:val="006D01BE"/>
    <w:rsid w:val="006D04FF"/>
    <w:rsid w:val="006D0687"/>
    <w:rsid w:val="006D1D58"/>
    <w:rsid w:val="006D324F"/>
    <w:rsid w:val="006D3751"/>
    <w:rsid w:val="006D3F9A"/>
    <w:rsid w:val="006D7648"/>
    <w:rsid w:val="006E10E5"/>
    <w:rsid w:val="006E194B"/>
    <w:rsid w:val="006E1EF2"/>
    <w:rsid w:val="006E3734"/>
    <w:rsid w:val="006E3C28"/>
    <w:rsid w:val="006E478A"/>
    <w:rsid w:val="006E4AF2"/>
    <w:rsid w:val="006E5314"/>
    <w:rsid w:val="006E552C"/>
    <w:rsid w:val="006E559E"/>
    <w:rsid w:val="006E7264"/>
    <w:rsid w:val="006E78AE"/>
    <w:rsid w:val="006F0A19"/>
    <w:rsid w:val="006F0E69"/>
    <w:rsid w:val="006F1E47"/>
    <w:rsid w:val="006F3A07"/>
    <w:rsid w:val="006F3DC3"/>
    <w:rsid w:val="006F3FDE"/>
    <w:rsid w:val="006F4824"/>
    <w:rsid w:val="006F51CE"/>
    <w:rsid w:val="006F56AE"/>
    <w:rsid w:val="006F5FB1"/>
    <w:rsid w:val="006F6C1A"/>
    <w:rsid w:val="007014ED"/>
    <w:rsid w:val="0070229F"/>
    <w:rsid w:val="007031FE"/>
    <w:rsid w:val="00703892"/>
    <w:rsid w:val="00705810"/>
    <w:rsid w:val="0071022C"/>
    <w:rsid w:val="007103FE"/>
    <w:rsid w:val="00710623"/>
    <w:rsid w:val="00710AAD"/>
    <w:rsid w:val="00710CEC"/>
    <w:rsid w:val="00712AD3"/>
    <w:rsid w:val="0071549C"/>
    <w:rsid w:val="00715A9F"/>
    <w:rsid w:val="00717F8F"/>
    <w:rsid w:val="007205B4"/>
    <w:rsid w:val="00721149"/>
    <w:rsid w:val="00721223"/>
    <w:rsid w:val="0072223C"/>
    <w:rsid w:val="0072352C"/>
    <w:rsid w:val="00723ED0"/>
    <w:rsid w:val="007243B6"/>
    <w:rsid w:val="00725B1A"/>
    <w:rsid w:val="007271DB"/>
    <w:rsid w:val="0073096D"/>
    <w:rsid w:val="00733496"/>
    <w:rsid w:val="007336A0"/>
    <w:rsid w:val="00733E47"/>
    <w:rsid w:val="00735E23"/>
    <w:rsid w:val="00736576"/>
    <w:rsid w:val="007368A7"/>
    <w:rsid w:val="00737E0A"/>
    <w:rsid w:val="007401A1"/>
    <w:rsid w:val="00741055"/>
    <w:rsid w:val="007423D3"/>
    <w:rsid w:val="00742C16"/>
    <w:rsid w:val="00744347"/>
    <w:rsid w:val="00744627"/>
    <w:rsid w:val="00745BD3"/>
    <w:rsid w:val="00746A89"/>
    <w:rsid w:val="007527E6"/>
    <w:rsid w:val="00752D2E"/>
    <w:rsid w:val="0075353C"/>
    <w:rsid w:val="007560C9"/>
    <w:rsid w:val="007576FD"/>
    <w:rsid w:val="00760577"/>
    <w:rsid w:val="00762838"/>
    <w:rsid w:val="00762C5B"/>
    <w:rsid w:val="00763B5A"/>
    <w:rsid w:val="0076454E"/>
    <w:rsid w:val="007676DC"/>
    <w:rsid w:val="00770494"/>
    <w:rsid w:val="00772111"/>
    <w:rsid w:val="0077411C"/>
    <w:rsid w:val="007744E7"/>
    <w:rsid w:val="0077476E"/>
    <w:rsid w:val="00776F23"/>
    <w:rsid w:val="00777234"/>
    <w:rsid w:val="00777C50"/>
    <w:rsid w:val="00780C2C"/>
    <w:rsid w:val="007835A2"/>
    <w:rsid w:val="00784E5C"/>
    <w:rsid w:val="00785408"/>
    <w:rsid w:val="00785D97"/>
    <w:rsid w:val="0079213A"/>
    <w:rsid w:val="00792BCB"/>
    <w:rsid w:val="00792E37"/>
    <w:rsid w:val="0079519D"/>
    <w:rsid w:val="00796C01"/>
    <w:rsid w:val="0079752D"/>
    <w:rsid w:val="00797FEF"/>
    <w:rsid w:val="007A1745"/>
    <w:rsid w:val="007A1FC2"/>
    <w:rsid w:val="007A35FD"/>
    <w:rsid w:val="007A3B90"/>
    <w:rsid w:val="007A4193"/>
    <w:rsid w:val="007A69EA"/>
    <w:rsid w:val="007A6B71"/>
    <w:rsid w:val="007A7039"/>
    <w:rsid w:val="007B0526"/>
    <w:rsid w:val="007B0B38"/>
    <w:rsid w:val="007B3523"/>
    <w:rsid w:val="007B3758"/>
    <w:rsid w:val="007B7B8C"/>
    <w:rsid w:val="007C01AF"/>
    <w:rsid w:val="007C0538"/>
    <w:rsid w:val="007C24B1"/>
    <w:rsid w:val="007C2D66"/>
    <w:rsid w:val="007C4B49"/>
    <w:rsid w:val="007C4EDE"/>
    <w:rsid w:val="007C5ED7"/>
    <w:rsid w:val="007C6096"/>
    <w:rsid w:val="007D183A"/>
    <w:rsid w:val="007D19D9"/>
    <w:rsid w:val="007D2060"/>
    <w:rsid w:val="007D22A1"/>
    <w:rsid w:val="007D285A"/>
    <w:rsid w:val="007D598F"/>
    <w:rsid w:val="007D75E3"/>
    <w:rsid w:val="007D76C7"/>
    <w:rsid w:val="007E088E"/>
    <w:rsid w:val="007E57D1"/>
    <w:rsid w:val="007E62E9"/>
    <w:rsid w:val="007E64CB"/>
    <w:rsid w:val="007F2139"/>
    <w:rsid w:val="007F2F62"/>
    <w:rsid w:val="007F3EFF"/>
    <w:rsid w:val="007F58DD"/>
    <w:rsid w:val="007F5BB0"/>
    <w:rsid w:val="007F6445"/>
    <w:rsid w:val="007F6826"/>
    <w:rsid w:val="007F6A76"/>
    <w:rsid w:val="007F777E"/>
    <w:rsid w:val="008029A8"/>
    <w:rsid w:val="00803C18"/>
    <w:rsid w:val="008041B3"/>
    <w:rsid w:val="008043E9"/>
    <w:rsid w:val="0081074C"/>
    <w:rsid w:val="008115F0"/>
    <w:rsid w:val="008126F9"/>
    <w:rsid w:val="00814A02"/>
    <w:rsid w:val="0081650A"/>
    <w:rsid w:val="008166F7"/>
    <w:rsid w:val="00817F36"/>
    <w:rsid w:val="00820CC2"/>
    <w:rsid w:val="00821515"/>
    <w:rsid w:val="00822E80"/>
    <w:rsid w:val="008238F6"/>
    <w:rsid w:val="00824D6A"/>
    <w:rsid w:val="008253D2"/>
    <w:rsid w:val="00827597"/>
    <w:rsid w:val="00827B7D"/>
    <w:rsid w:val="00831D98"/>
    <w:rsid w:val="00835B42"/>
    <w:rsid w:val="008361E5"/>
    <w:rsid w:val="00841A4E"/>
    <w:rsid w:val="00841EC2"/>
    <w:rsid w:val="00842F8D"/>
    <w:rsid w:val="00843177"/>
    <w:rsid w:val="0084380B"/>
    <w:rsid w:val="008441A6"/>
    <w:rsid w:val="00844F2F"/>
    <w:rsid w:val="0084791D"/>
    <w:rsid w:val="00847AA5"/>
    <w:rsid w:val="00850DCC"/>
    <w:rsid w:val="00852177"/>
    <w:rsid w:val="00853BDA"/>
    <w:rsid w:val="00855B35"/>
    <w:rsid w:val="00855EC9"/>
    <w:rsid w:val="008566F8"/>
    <w:rsid w:val="0085762B"/>
    <w:rsid w:val="00863189"/>
    <w:rsid w:val="0086336F"/>
    <w:rsid w:val="00866C43"/>
    <w:rsid w:val="008677EF"/>
    <w:rsid w:val="008727AA"/>
    <w:rsid w:val="00873853"/>
    <w:rsid w:val="00873E78"/>
    <w:rsid w:val="00874724"/>
    <w:rsid w:val="00874A3A"/>
    <w:rsid w:val="008753DF"/>
    <w:rsid w:val="0087554C"/>
    <w:rsid w:val="00877A99"/>
    <w:rsid w:val="00882540"/>
    <w:rsid w:val="00883C86"/>
    <w:rsid w:val="0088486B"/>
    <w:rsid w:val="0088706F"/>
    <w:rsid w:val="0088770E"/>
    <w:rsid w:val="00890129"/>
    <w:rsid w:val="00890D99"/>
    <w:rsid w:val="008911AB"/>
    <w:rsid w:val="008922D8"/>
    <w:rsid w:val="008927B9"/>
    <w:rsid w:val="00893C07"/>
    <w:rsid w:val="008943AD"/>
    <w:rsid w:val="0089499C"/>
    <w:rsid w:val="00895515"/>
    <w:rsid w:val="00895C8F"/>
    <w:rsid w:val="00897745"/>
    <w:rsid w:val="00897D1C"/>
    <w:rsid w:val="008A1800"/>
    <w:rsid w:val="008A2480"/>
    <w:rsid w:val="008A375B"/>
    <w:rsid w:val="008A4382"/>
    <w:rsid w:val="008A464E"/>
    <w:rsid w:val="008A54C5"/>
    <w:rsid w:val="008A61C5"/>
    <w:rsid w:val="008A76D5"/>
    <w:rsid w:val="008A78EF"/>
    <w:rsid w:val="008A7E46"/>
    <w:rsid w:val="008B05DF"/>
    <w:rsid w:val="008B0657"/>
    <w:rsid w:val="008B068F"/>
    <w:rsid w:val="008B112F"/>
    <w:rsid w:val="008B26E6"/>
    <w:rsid w:val="008B2DDF"/>
    <w:rsid w:val="008B3471"/>
    <w:rsid w:val="008B560F"/>
    <w:rsid w:val="008B5743"/>
    <w:rsid w:val="008B7B86"/>
    <w:rsid w:val="008C1F8F"/>
    <w:rsid w:val="008C4762"/>
    <w:rsid w:val="008C5938"/>
    <w:rsid w:val="008C689B"/>
    <w:rsid w:val="008C7559"/>
    <w:rsid w:val="008C7940"/>
    <w:rsid w:val="008D09AB"/>
    <w:rsid w:val="008D09DB"/>
    <w:rsid w:val="008D35DB"/>
    <w:rsid w:val="008D4625"/>
    <w:rsid w:val="008E0170"/>
    <w:rsid w:val="008E2791"/>
    <w:rsid w:val="008E4A96"/>
    <w:rsid w:val="008E665D"/>
    <w:rsid w:val="008F0505"/>
    <w:rsid w:val="008F0FE1"/>
    <w:rsid w:val="008F1362"/>
    <w:rsid w:val="008F2812"/>
    <w:rsid w:val="008F3788"/>
    <w:rsid w:val="008F500B"/>
    <w:rsid w:val="008F53FF"/>
    <w:rsid w:val="008F605E"/>
    <w:rsid w:val="0090249A"/>
    <w:rsid w:val="00903605"/>
    <w:rsid w:val="0090385A"/>
    <w:rsid w:val="00903E21"/>
    <w:rsid w:val="009069A4"/>
    <w:rsid w:val="00906E3F"/>
    <w:rsid w:val="009106E1"/>
    <w:rsid w:val="009110B0"/>
    <w:rsid w:val="009123AA"/>
    <w:rsid w:val="00913724"/>
    <w:rsid w:val="00914C96"/>
    <w:rsid w:val="00916A68"/>
    <w:rsid w:val="0092101B"/>
    <w:rsid w:val="009226E5"/>
    <w:rsid w:val="00922878"/>
    <w:rsid w:val="009271C1"/>
    <w:rsid w:val="009304FA"/>
    <w:rsid w:val="00930D6C"/>
    <w:rsid w:val="00931A72"/>
    <w:rsid w:val="00932250"/>
    <w:rsid w:val="009325F5"/>
    <w:rsid w:val="009331C8"/>
    <w:rsid w:val="00934860"/>
    <w:rsid w:val="00935399"/>
    <w:rsid w:val="00935836"/>
    <w:rsid w:val="0093621D"/>
    <w:rsid w:val="00936EF9"/>
    <w:rsid w:val="00936FF8"/>
    <w:rsid w:val="00937A04"/>
    <w:rsid w:val="00940C8F"/>
    <w:rsid w:val="00943047"/>
    <w:rsid w:val="00943B65"/>
    <w:rsid w:val="00944540"/>
    <w:rsid w:val="0094620D"/>
    <w:rsid w:val="0094694E"/>
    <w:rsid w:val="009477F7"/>
    <w:rsid w:val="00950004"/>
    <w:rsid w:val="009502FD"/>
    <w:rsid w:val="009540A3"/>
    <w:rsid w:val="00955863"/>
    <w:rsid w:val="009571B2"/>
    <w:rsid w:val="0095789B"/>
    <w:rsid w:val="0096032D"/>
    <w:rsid w:val="00960C95"/>
    <w:rsid w:val="0096152C"/>
    <w:rsid w:val="00961746"/>
    <w:rsid w:val="009648DC"/>
    <w:rsid w:val="00964A2B"/>
    <w:rsid w:val="00964CC3"/>
    <w:rsid w:val="00965741"/>
    <w:rsid w:val="00971A64"/>
    <w:rsid w:val="009728DB"/>
    <w:rsid w:val="00973889"/>
    <w:rsid w:val="00974089"/>
    <w:rsid w:val="009745F4"/>
    <w:rsid w:val="00976069"/>
    <w:rsid w:val="00977466"/>
    <w:rsid w:val="009774E5"/>
    <w:rsid w:val="00982161"/>
    <w:rsid w:val="009832F8"/>
    <w:rsid w:val="00983947"/>
    <w:rsid w:val="00987011"/>
    <w:rsid w:val="00987BDE"/>
    <w:rsid w:val="00990029"/>
    <w:rsid w:val="00992FF2"/>
    <w:rsid w:val="00993514"/>
    <w:rsid w:val="00994727"/>
    <w:rsid w:val="0099520A"/>
    <w:rsid w:val="00997D3E"/>
    <w:rsid w:val="009A03B1"/>
    <w:rsid w:val="009A1AEE"/>
    <w:rsid w:val="009A47CB"/>
    <w:rsid w:val="009A51E8"/>
    <w:rsid w:val="009A577A"/>
    <w:rsid w:val="009A6577"/>
    <w:rsid w:val="009A6689"/>
    <w:rsid w:val="009A6FB4"/>
    <w:rsid w:val="009A7D91"/>
    <w:rsid w:val="009B1170"/>
    <w:rsid w:val="009B1BDE"/>
    <w:rsid w:val="009B279D"/>
    <w:rsid w:val="009B36D8"/>
    <w:rsid w:val="009B47EF"/>
    <w:rsid w:val="009B6C9C"/>
    <w:rsid w:val="009B7615"/>
    <w:rsid w:val="009B774E"/>
    <w:rsid w:val="009B7F20"/>
    <w:rsid w:val="009C02D4"/>
    <w:rsid w:val="009C722C"/>
    <w:rsid w:val="009C73DD"/>
    <w:rsid w:val="009C76F7"/>
    <w:rsid w:val="009D068D"/>
    <w:rsid w:val="009D0929"/>
    <w:rsid w:val="009D5343"/>
    <w:rsid w:val="009D58E6"/>
    <w:rsid w:val="009D5AA7"/>
    <w:rsid w:val="009D5B88"/>
    <w:rsid w:val="009E0EC8"/>
    <w:rsid w:val="009E15CE"/>
    <w:rsid w:val="009E1C37"/>
    <w:rsid w:val="009E1F5B"/>
    <w:rsid w:val="009E2A26"/>
    <w:rsid w:val="009E3949"/>
    <w:rsid w:val="009E4121"/>
    <w:rsid w:val="009E6926"/>
    <w:rsid w:val="009E6D1D"/>
    <w:rsid w:val="009E7053"/>
    <w:rsid w:val="009E7471"/>
    <w:rsid w:val="009E75CE"/>
    <w:rsid w:val="009E76CD"/>
    <w:rsid w:val="009F023C"/>
    <w:rsid w:val="009F0AD3"/>
    <w:rsid w:val="009F0D1C"/>
    <w:rsid w:val="009F1555"/>
    <w:rsid w:val="009F2C1F"/>
    <w:rsid w:val="009F4D9C"/>
    <w:rsid w:val="009F5653"/>
    <w:rsid w:val="009F7E03"/>
    <w:rsid w:val="00A00E53"/>
    <w:rsid w:val="00A02800"/>
    <w:rsid w:val="00A02E77"/>
    <w:rsid w:val="00A06A63"/>
    <w:rsid w:val="00A10360"/>
    <w:rsid w:val="00A10366"/>
    <w:rsid w:val="00A111C9"/>
    <w:rsid w:val="00A117B4"/>
    <w:rsid w:val="00A11B96"/>
    <w:rsid w:val="00A12D4E"/>
    <w:rsid w:val="00A13550"/>
    <w:rsid w:val="00A1451D"/>
    <w:rsid w:val="00A163C5"/>
    <w:rsid w:val="00A16BA9"/>
    <w:rsid w:val="00A17642"/>
    <w:rsid w:val="00A17A52"/>
    <w:rsid w:val="00A20C85"/>
    <w:rsid w:val="00A22259"/>
    <w:rsid w:val="00A22BA0"/>
    <w:rsid w:val="00A22DD7"/>
    <w:rsid w:val="00A24B7D"/>
    <w:rsid w:val="00A2558F"/>
    <w:rsid w:val="00A25770"/>
    <w:rsid w:val="00A269AC"/>
    <w:rsid w:val="00A2711C"/>
    <w:rsid w:val="00A27947"/>
    <w:rsid w:val="00A32594"/>
    <w:rsid w:val="00A325F7"/>
    <w:rsid w:val="00A330F6"/>
    <w:rsid w:val="00A3708A"/>
    <w:rsid w:val="00A37268"/>
    <w:rsid w:val="00A37AD5"/>
    <w:rsid w:val="00A41804"/>
    <w:rsid w:val="00A438D2"/>
    <w:rsid w:val="00A446A6"/>
    <w:rsid w:val="00A451D7"/>
    <w:rsid w:val="00A45666"/>
    <w:rsid w:val="00A461EC"/>
    <w:rsid w:val="00A46AB7"/>
    <w:rsid w:val="00A46B88"/>
    <w:rsid w:val="00A47E3B"/>
    <w:rsid w:val="00A47FD5"/>
    <w:rsid w:val="00A503DD"/>
    <w:rsid w:val="00A50516"/>
    <w:rsid w:val="00A506CC"/>
    <w:rsid w:val="00A5145B"/>
    <w:rsid w:val="00A51ED6"/>
    <w:rsid w:val="00A52639"/>
    <w:rsid w:val="00A54D81"/>
    <w:rsid w:val="00A557E6"/>
    <w:rsid w:val="00A56901"/>
    <w:rsid w:val="00A60A96"/>
    <w:rsid w:val="00A618F2"/>
    <w:rsid w:val="00A63DAB"/>
    <w:rsid w:val="00A65577"/>
    <w:rsid w:val="00A65AB6"/>
    <w:rsid w:val="00A65B46"/>
    <w:rsid w:val="00A65E59"/>
    <w:rsid w:val="00A6607F"/>
    <w:rsid w:val="00A667DC"/>
    <w:rsid w:val="00A6712F"/>
    <w:rsid w:val="00A676C4"/>
    <w:rsid w:val="00A6782C"/>
    <w:rsid w:val="00A7145A"/>
    <w:rsid w:val="00A72490"/>
    <w:rsid w:val="00A74A19"/>
    <w:rsid w:val="00A74B65"/>
    <w:rsid w:val="00A77678"/>
    <w:rsid w:val="00A81595"/>
    <w:rsid w:val="00A823B9"/>
    <w:rsid w:val="00A82AC1"/>
    <w:rsid w:val="00A84F39"/>
    <w:rsid w:val="00A865CB"/>
    <w:rsid w:val="00A87DFD"/>
    <w:rsid w:val="00A910DD"/>
    <w:rsid w:val="00A916EF"/>
    <w:rsid w:val="00A92D77"/>
    <w:rsid w:val="00A95D4A"/>
    <w:rsid w:val="00A97C6E"/>
    <w:rsid w:val="00AA06CB"/>
    <w:rsid w:val="00AA3254"/>
    <w:rsid w:val="00AA788E"/>
    <w:rsid w:val="00AA7FAF"/>
    <w:rsid w:val="00AB07E1"/>
    <w:rsid w:val="00AB1952"/>
    <w:rsid w:val="00AB238C"/>
    <w:rsid w:val="00AB3A71"/>
    <w:rsid w:val="00AB4077"/>
    <w:rsid w:val="00AB5763"/>
    <w:rsid w:val="00AB59B7"/>
    <w:rsid w:val="00AB61D8"/>
    <w:rsid w:val="00AB65C1"/>
    <w:rsid w:val="00AB6C3B"/>
    <w:rsid w:val="00AB7003"/>
    <w:rsid w:val="00AB75CB"/>
    <w:rsid w:val="00AC12D2"/>
    <w:rsid w:val="00AC48C3"/>
    <w:rsid w:val="00AC5A07"/>
    <w:rsid w:val="00AC7BA3"/>
    <w:rsid w:val="00AD169F"/>
    <w:rsid w:val="00AD3C2B"/>
    <w:rsid w:val="00AD4A4C"/>
    <w:rsid w:val="00AD59E9"/>
    <w:rsid w:val="00AE06F3"/>
    <w:rsid w:val="00AE07E3"/>
    <w:rsid w:val="00AE0E68"/>
    <w:rsid w:val="00AE1FB8"/>
    <w:rsid w:val="00AE27EE"/>
    <w:rsid w:val="00AE47BA"/>
    <w:rsid w:val="00AE4D09"/>
    <w:rsid w:val="00AE50F5"/>
    <w:rsid w:val="00AE7FEE"/>
    <w:rsid w:val="00AF1913"/>
    <w:rsid w:val="00AF1A6F"/>
    <w:rsid w:val="00AF2774"/>
    <w:rsid w:val="00AF4006"/>
    <w:rsid w:val="00AF443E"/>
    <w:rsid w:val="00AF44EE"/>
    <w:rsid w:val="00AF4E56"/>
    <w:rsid w:val="00AF5DBE"/>
    <w:rsid w:val="00AF7D83"/>
    <w:rsid w:val="00B0245B"/>
    <w:rsid w:val="00B031F0"/>
    <w:rsid w:val="00B03413"/>
    <w:rsid w:val="00B04800"/>
    <w:rsid w:val="00B04DBA"/>
    <w:rsid w:val="00B05094"/>
    <w:rsid w:val="00B06270"/>
    <w:rsid w:val="00B075B6"/>
    <w:rsid w:val="00B07B0C"/>
    <w:rsid w:val="00B07DB7"/>
    <w:rsid w:val="00B12E6B"/>
    <w:rsid w:val="00B1304E"/>
    <w:rsid w:val="00B1368D"/>
    <w:rsid w:val="00B14B87"/>
    <w:rsid w:val="00B16A8D"/>
    <w:rsid w:val="00B17372"/>
    <w:rsid w:val="00B1795E"/>
    <w:rsid w:val="00B20F54"/>
    <w:rsid w:val="00B2104A"/>
    <w:rsid w:val="00B212A8"/>
    <w:rsid w:val="00B227BA"/>
    <w:rsid w:val="00B23D83"/>
    <w:rsid w:val="00B24022"/>
    <w:rsid w:val="00B25C72"/>
    <w:rsid w:val="00B27011"/>
    <w:rsid w:val="00B2774B"/>
    <w:rsid w:val="00B27DE7"/>
    <w:rsid w:val="00B306D5"/>
    <w:rsid w:val="00B32C02"/>
    <w:rsid w:val="00B34CC3"/>
    <w:rsid w:val="00B35015"/>
    <w:rsid w:val="00B36373"/>
    <w:rsid w:val="00B367C0"/>
    <w:rsid w:val="00B369EE"/>
    <w:rsid w:val="00B3710A"/>
    <w:rsid w:val="00B3757E"/>
    <w:rsid w:val="00B40342"/>
    <w:rsid w:val="00B41626"/>
    <w:rsid w:val="00B420E3"/>
    <w:rsid w:val="00B42770"/>
    <w:rsid w:val="00B44AA4"/>
    <w:rsid w:val="00B44BB4"/>
    <w:rsid w:val="00B4513B"/>
    <w:rsid w:val="00B46AC1"/>
    <w:rsid w:val="00B47261"/>
    <w:rsid w:val="00B472E6"/>
    <w:rsid w:val="00B47B2E"/>
    <w:rsid w:val="00B56C0C"/>
    <w:rsid w:val="00B611C0"/>
    <w:rsid w:val="00B613BE"/>
    <w:rsid w:val="00B63E27"/>
    <w:rsid w:val="00B659E2"/>
    <w:rsid w:val="00B660A4"/>
    <w:rsid w:val="00B700C5"/>
    <w:rsid w:val="00B707FC"/>
    <w:rsid w:val="00B7080B"/>
    <w:rsid w:val="00B71556"/>
    <w:rsid w:val="00B725D5"/>
    <w:rsid w:val="00B75D33"/>
    <w:rsid w:val="00B7686D"/>
    <w:rsid w:val="00B770DE"/>
    <w:rsid w:val="00B8160F"/>
    <w:rsid w:val="00B81D88"/>
    <w:rsid w:val="00B830DF"/>
    <w:rsid w:val="00B83847"/>
    <w:rsid w:val="00B85E4E"/>
    <w:rsid w:val="00B878BA"/>
    <w:rsid w:val="00B906C9"/>
    <w:rsid w:val="00B91C1F"/>
    <w:rsid w:val="00B91FBD"/>
    <w:rsid w:val="00B9234E"/>
    <w:rsid w:val="00B92989"/>
    <w:rsid w:val="00B92C80"/>
    <w:rsid w:val="00B94A0E"/>
    <w:rsid w:val="00B94EB7"/>
    <w:rsid w:val="00B95781"/>
    <w:rsid w:val="00B96F44"/>
    <w:rsid w:val="00BA03FA"/>
    <w:rsid w:val="00BA1D88"/>
    <w:rsid w:val="00BA2181"/>
    <w:rsid w:val="00BB1584"/>
    <w:rsid w:val="00BB318D"/>
    <w:rsid w:val="00BB3E31"/>
    <w:rsid w:val="00BB46F3"/>
    <w:rsid w:val="00BB49F5"/>
    <w:rsid w:val="00BB4B2E"/>
    <w:rsid w:val="00BB5BFB"/>
    <w:rsid w:val="00BB64EE"/>
    <w:rsid w:val="00BC0433"/>
    <w:rsid w:val="00BC171F"/>
    <w:rsid w:val="00BC239A"/>
    <w:rsid w:val="00BC2C4D"/>
    <w:rsid w:val="00BC3C66"/>
    <w:rsid w:val="00BC41BC"/>
    <w:rsid w:val="00BC533A"/>
    <w:rsid w:val="00BC6D6F"/>
    <w:rsid w:val="00BC759A"/>
    <w:rsid w:val="00BD0E7C"/>
    <w:rsid w:val="00BD352A"/>
    <w:rsid w:val="00BD3790"/>
    <w:rsid w:val="00BD4949"/>
    <w:rsid w:val="00BD5590"/>
    <w:rsid w:val="00BD623C"/>
    <w:rsid w:val="00BD6D6E"/>
    <w:rsid w:val="00BD6DB2"/>
    <w:rsid w:val="00BD6DF4"/>
    <w:rsid w:val="00BE0624"/>
    <w:rsid w:val="00BE0A61"/>
    <w:rsid w:val="00BE21C6"/>
    <w:rsid w:val="00BE26F6"/>
    <w:rsid w:val="00BE3749"/>
    <w:rsid w:val="00BE4438"/>
    <w:rsid w:val="00BE4C77"/>
    <w:rsid w:val="00BE53A9"/>
    <w:rsid w:val="00BE5C42"/>
    <w:rsid w:val="00BE70BE"/>
    <w:rsid w:val="00BE70FB"/>
    <w:rsid w:val="00BE7D1C"/>
    <w:rsid w:val="00BF0D30"/>
    <w:rsid w:val="00BF10B1"/>
    <w:rsid w:val="00BF2334"/>
    <w:rsid w:val="00BF50BF"/>
    <w:rsid w:val="00BF54E3"/>
    <w:rsid w:val="00BF58F2"/>
    <w:rsid w:val="00C01D61"/>
    <w:rsid w:val="00C04DB6"/>
    <w:rsid w:val="00C051CE"/>
    <w:rsid w:val="00C05639"/>
    <w:rsid w:val="00C062A9"/>
    <w:rsid w:val="00C065F7"/>
    <w:rsid w:val="00C068A3"/>
    <w:rsid w:val="00C0756E"/>
    <w:rsid w:val="00C10E5D"/>
    <w:rsid w:val="00C11C45"/>
    <w:rsid w:val="00C11FBA"/>
    <w:rsid w:val="00C12C58"/>
    <w:rsid w:val="00C13A76"/>
    <w:rsid w:val="00C13AAE"/>
    <w:rsid w:val="00C14330"/>
    <w:rsid w:val="00C1589F"/>
    <w:rsid w:val="00C20BEE"/>
    <w:rsid w:val="00C215D5"/>
    <w:rsid w:val="00C22224"/>
    <w:rsid w:val="00C30719"/>
    <w:rsid w:val="00C30C42"/>
    <w:rsid w:val="00C314FD"/>
    <w:rsid w:val="00C32948"/>
    <w:rsid w:val="00C343A0"/>
    <w:rsid w:val="00C35B4F"/>
    <w:rsid w:val="00C3606F"/>
    <w:rsid w:val="00C36ACC"/>
    <w:rsid w:val="00C37137"/>
    <w:rsid w:val="00C37B6F"/>
    <w:rsid w:val="00C403A4"/>
    <w:rsid w:val="00C409A2"/>
    <w:rsid w:val="00C43186"/>
    <w:rsid w:val="00C43942"/>
    <w:rsid w:val="00C44204"/>
    <w:rsid w:val="00C45A84"/>
    <w:rsid w:val="00C45DD1"/>
    <w:rsid w:val="00C46460"/>
    <w:rsid w:val="00C47A66"/>
    <w:rsid w:val="00C47FBC"/>
    <w:rsid w:val="00C523EE"/>
    <w:rsid w:val="00C5271D"/>
    <w:rsid w:val="00C534D1"/>
    <w:rsid w:val="00C53FCD"/>
    <w:rsid w:val="00C541DB"/>
    <w:rsid w:val="00C54307"/>
    <w:rsid w:val="00C57509"/>
    <w:rsid w:val="00C610C6"/>
    <w:rsid w:val="00C709E9"/>
    <w:rsid w:val="00C70AA0"/>
    <w:rsid w:val="00C738D4"/>
    <w:rsid w:val="00C74EBB"/>
    <w:rsid w:val="00C825BC"/>
    <w:rsid w:val="00C83979"/>
    <w:rsid w:val="00C84C26"/>
    <w:rsid w:val="00C8580C"/>
    <w:rsid w:val="00C8624B"/>
    <w:rsid w:val="00C909F3"/>
    <w:rsid w:val="00C9101C"/>
    <w:rsid w:val="00C94368"/>
    <w:rsid w:val="00C94D2A"/>
    <w:rsid w:val="00C96118"/>
    <w:rsid w:val="00C96726"/>
    <w:rsid w:val="00CA0967"/>
    <w:rsid w:val="00CA1834"/>
    <w:rsid w:val="00CA3F28"/>
    <w:rsid w:val="00CA3FC1"/>
    <w:rsid w:val="00CA4E6C"/>
    <w:rsid w:val="00CA6FD5"/>
    <w:rsid w:val="00CB1029"/>
    <w:rsid w:val="00CB2638"/>
    <w:rsid w:val="00CB2981"/>
    <w:rsid w:val="00CB2FA2"/>
    <w:rsid w:val="00CB305C"/>
    <w:rsid w:val="00CB315D"/>
    <w:rsid w:val="00CB4102"/>
    <w:rsid w:val="00CB4643"/>
    <w:rsid w:val="00CB4CCF"/>
    <w:rsid w:val="00CB5AC0"/>
    <w:rsid w:val="00CB7386"/>
    <w:rsid w:val="00CC049D"/>
    <w:rsid w:val="00CC1725"/>
    <w:rsid w:val="00CC257F"/>
    <w:rsid w:val="00CC30C3"/>
    <w:rsid w:val="00CC395D"/>
    <w:rsid w:val="00CC3CB9"/>
    <w:rsid w:val="00CC4D38"/>
    <w:rsid w:val="00CC521C"/>
    <w:rsid w:val="00CC6188"/>
    <w:rsid w:val="00CC6D04"/>
    <w:rsid w:val="00CC7C60"/>
    <w:rsid w:val="00CD01BE"/>
    <w:rsid w:val="00CD1053"/>
    <w:rsid w:val="00CD2CF6"/>
    <w:rsid w:val="00CD332E"/>
    <w:rsid w:val="00CD413A"/>
    <w:rsid w:val="00CD438D"/>
    <w:rsid w:val="00CD5565"/>
    <w:rsid w:val="00CD5ED3"/>
    <w:rsid w:val="00CE17C0"/>
    <w:rsid w:val="00CE2CD4"/>
    <w:rsid w:val="00CE44DE"/>
    <w:rsid w:val="00CE60AA"/>
    <w:rsid w:val="00CE6C7A"/>
    <w:rsid w:val="00CF4A36"/>
    <w:rsid w:val="00CF50C1"/>
    <w:rsid w:val="00CF53FF"/>
    <w:rsid w:val="00CF7368"/>
    <w:rsid w:val="00D001DD"/>
    <w:rsid w:val="00D00672"/>
    <w:rsid w:val="00D00C16"/>
    <w:rsid w:val="00D03083"/>
    <w:rsid w:val="00D050B1"/>
    <w:rsid w:val="00D069D2"/>
    <w:rsid w:val="00D10CB0"/>
    <w:rsid w:val="00D11F56"/>
    <w:rsid w:val="00D120DF"/>
    <w:rsid w:val="00D122D0"/>
    <w:rsid w:val="00D130DC"/>
    <w:rsid w:val="00D13825"/>
    <w:rsid w:val="00D15107"/>
    <w:rsid w:val="00D15180"/>
    <w:rsid w:val="00D15E7E"/>
    <w:rsid w:val="00D17AB4"/>
    <w:rsid w:val="00D232A0"/>
    <w:rsid w:val="00D23DFF"/>
    <w:rsid w:val="00D247B5"/>
    <w:rsid w:val="00D26D56"/>
    <w:rsid w:val="00D274E0"/>
    <w:rsid w:val="00D30BA0"/>
    <w:rsid w:val="00D313D1"/>
    <w:rsid w:val="00D35E4E"/>
    <w:rsid w:val="00D37DD8"/>
    <w:rsid w:val="00D4067D"/>
    <w:rsid w:val="00D41E36"/>
    <w:rsid w:val="00D43AA5"/>
    <w:rsid w:val="00D4409D"/>
    <w:rsid w:val="00D447FA"/>
    <w:rsid w:val="00D44FDD"/>
    <w:rsid w:val="00D454A3"/>
    <w:rsid w:val="00D46200"/>
    <w:rsid w:val="00D47C57"/>
    <w:rsid w:val="00D505DA"/>
    <w:rsid w:val="00D506E5"/>
    <w:rsid w:val="00D51FE2"/>
    <w:rsid w:val="00D5371D"/>
    <w:rsid w:val="00D53E17"/>
    <w:rsid w:val="00D55393"/>
    <w:rsid w:val="00D56A4C"/>
    <w:rsid w:val="00D57CB4"/>
    <w:rsid w:val="00D60CB6"/>
    <w:rsid w:val="00D61262"/>
    <w:rsid w:val="00D61293"/>
    <w:rsid w:val="00D61F8E"/>
    <w:rsid w:val="00D62520"/>
    <w:rsid w:val="00D62562"/>
    <w:rsid w:val="00D66C4E"/>
    <w:rsid w:val="00D66DA4"/>
    <w:rsid w:val="00D66FA6"/>
    <w:rsid w:val="00D67C37"/>
    <w:rsid w:val="00D67F33"/>
    <w:rsid w:val="00D718F8"/>
    <w:rsid w:val="00D777CA"/>
    <w:rsid w:val="00D77D2A"/>
    <w:rsid w:val="00D8001D"/>
    <w:rsid w:val="00D8192C"/>
    <w:rsid w:val="00D81BF8"/>
    <w:rsid w:val="00D83277"/>
    <w:rsid w:val="00D84094"/>
    <w:rsid w:val="00D85243"/>
    <w:rsid w:val="00D852B6"/>
    <w:rsid w:val="00D852F0"/>
    <w:rsid w:val="00D8582C"/>
    <w:rsid w:val="00D91720"/>
    <w:rsid w:val="00D9539C"/>
    <w:rsid w:val="00D95B5F"/>
    <w:rsid w:val="00D95CF8"/>
    <w:rsid w:val="00D96040"/>
    <w:rsid w:val="00D96D64"/>
    <w:rsid w:val="00D976C6"/>
    <w:rsid w:val="00DA22CC"/>
    <w:rsid w:val="00DA3C1A"/>
    <w:rsid w:val="00DA484F"/>
    <w:rsid w:val="00DA50F3"/>
    <w:rsid w:val="00DA569B"/>
    <w:rsid w:val="00DA68D7"/>
    <w:rsid w:val="00DA77F3"/>
    <w:rsid w:val="00DB0426"/>
    <w:rsid w:val="00DB2CA4"/>
    <w:rsid w:val="00DB2DDE"/>
    <w:rsid w:val="00DB3CE8"/>
    <w:rsid w:val="00DB65C8"/>
    <w:rsid w:val="00DB6DEB"/>
    <w:rsid w:val="00DB7444"/>
    <w:rsid w:val="00DB7D44"/>
    <w:rsid w:val="00DC0960"/>
    <w:rsid w:val="00DC0E0C"/>
    <w:rsid w:val="00DC13C1"/>
    <w:rsid w:val="00DC18ED"/>
    <w:rsid w:val="00DC4E88"/>
    <w:rsid w:val="00DC4F52"/>
    <w:rsid w:val="00DC581D"/>
    <w:rsid w:val="00DC61DE"/>
    <w:rsid w:val="00DC6C6D"/>
    <w:rsid w:val="00DC6F77"/>
    <w:rsid w:val="00DC7202"/>
    <w:rsid w:val="00DD0CB8"/>
    <w:rsid w:val="00DD1930"/>
    <w:rsid w:val="00DD1BE7"/>
    <w:rsid w:val="00DD3F77"/>
    <w:rsid w:val="00DE1D92"/>
    <w:rsid w:val="00DE4A34"/>
    <w:rsid w:val="00DE6F8B"/>
    <w:rsid w:val="00DE759A"/>
    <w:rsid w:val="00DE764E"/>
    <w:rsid w:val="00DE768F"/>
    <w:rsid w:val="00DE7AAA"/>
    <w:rsid w:val="00DE7B6D"/>
    <w:rsid w:val="00DF30AA"/>
    <w:rsid w:val="00E05C92"/>
    <w:rsid w:val="00E0782D"/>
    <w:rsid w:val="00E104D0"/>
    <w:rsid w:val="00E110F3"/>
    <w:rsid w:val="00E153C1"/>
    <w:rsid w:val="00E154BE"/>
    <w:rsid w:val="00E1623F"/>
    <w:rsid w:val="00E16416"/>
    <w:rsid w:val="00E1720F"/>
    <w:rsid w:val="00E1730E"/>
    <w:rsid w:val="00E17B1A"/>
    <w:rsid w:val="00E21AAC"/>
    <w:rsid w:val="00E223B1"/>
    <w:rsid w:val="00E23DC7"/>
    <w:rsid w:val="00E2420E"/>
    <w:rsid w:val="00E258E8"/>
    <w:rsid w:val="00E31F9D"/>
    <w:rsid w:val="00E33D08"/>
    <w:rsid w:val="00E371BD"/>
    <w:rsid w:val="00E374C2"/>
    <w:rsid w:val="00E378D7"/>
    <w:rsid w:val="00E4056E"/>
    <w:rsid w:val="00E41E7F"/>
    <w:rsid w:val="00E42BFE"/>
    <w:rsid w:val="00E432CF"/>
    <w:rsid w:val="00E43F11"/>
    <w:rsid w:val="00E442CC"/>
    <w:rsid w:val="00E44971"/>
    <w:rsid w:val="00E53B57"/>
    <w:rsid w:val="00E54C76"/>
    <w:rsid w:val="00E55F38"/>
    <w:rsid w:val="00E56306"/>
    <w:rsid w:val="00E572B9"/>
    <w:rsid w:val="00E60CC7"/>
    <w:rsid w:val="00E61032"/>
    <w:rsid w:val="00E614C3"/>
    <w:rsid w:val="00E61F9D"/>
    <w:rsid w:val="00E6313A"/>
    <w:rsid w:val="00E63D6F"/>
    <w:rsid w:val="00E6502B"/>
    <w:rsid w:val="00E6700D"/>
    <w:rsid w:val="00E70378"/>
    <w:rsid w:val="00E709F9"/>
    <w:rsid w:val="00E71B47"/>
    <w:rsid w:val="00E71BB2"/>
    <w:rsid w:val="00E7321F"/>
    <w:rsid w:val="00E733C6"/>
    <w:rsid w:val="00E80FD6"/>
    <w:rsid w:val="00E82C11"/>
    <w:rsid w:val="00E82C35"/>
    <w:rsid w:val="00E83676"/>
    <w:rsid w:val="00E84205"/>
    <w:rsid w:val="00E84430"/>
    <w:rsid w:val="00E8521D"/>
    <w:rsid w:val="00E85B39"/>
    <w:rsid w:val="00E861A4"/>
    <w:rsid w:val="00E90DAD"/>
    <w:rsid w:val="00E92B8D"/>
    <w:rsid w:val="00E93BC1"/>
    <w:rsid w:val="00E95CE8"/>
    <w:rsid w:val="00E9635D"/>
    <w:rsid w:val="00E970B2"/>
    <w:rsid w:val="00EA0402"/>
    <w:rsid w:val="00EA197A"/>
    <w:rsid w:val="00EA3300"/>
    <w:rsid w:val="00EA46AC"/>
    <w:rsid w:val="00EA542E"/>
    <w:rsid w:val="00EA5E59"/>
    <w:rsid w:val="00EA7674"/>
    <w:rsid w:val="00EB0313"/>
    <w:rsid w:val="00EB5CE7"/>
    <w:rsid w:val="00EB7321"/>
    <w:rsid w:val="00EB76F2"/>
    <w:rsid w:val="00EC1879"/>
    <w:rsid w:val="00EC2AE3"/>
    <w:rsid w:val="00EC475C"/>
    <w:rsid w:val="00EC6C09"/>
    <w:rsid w:val="00EC7BFE"/>
    <w:rsid w:val="00ED16C5"/>
    <w:rsid w:val="00ED2B52"/>
    <w:rsid w:val="00ED407F"/>
    <w:rsid w:val="00ED45DE"/>
    <w:rsid w:val="00ED5446"/>
    <w:rsid w:val="00ED599D"/>
    <w:rsid w:val="00ED6136"/>
    <w:rsid w:val="00EE2391"/>
    <w:rsid w:val="00EE24CC"/>
    <w:rsid w:val="00EE29DE"/>
    <w:rsid w:val="00EE2F19"/>
    <w:rsid w:val="00EE407A"/>
    <w:rsid w:val="00EE40BA"/>
    <w:rsid w:val="00EE5729"/>
    <w:rsid w:val="00EE6703"/>
    <w:rsid w:val="00EF018B"/>
    <w:rsid w:val="00EF03DA"/>
    <w:rsid w:val="00EF20EE"/>
    <w:rsid w:val="00EF3181"/>
    <w:rsid w:val="00EF4020"/>
    <w:rsid w:val="00EF56B9"/>
    <w:rsid w:val="00EF5836"/>
    <w:rsid w:val="00F003EC"/>
    <w:rsid w:val="00F01B11"/>
    <w:rsid w:val="00F027C1"/>
    <w:rsid w:val="00F03614"/>
    <w:rsid w:val="00F039D1"/>
    <w:rsid w:val="00F03DB1"/>
    <w:rsid w:val="00F03E23"/>
    <w:rsid w:val="00F0604F"/>
    <w:rsid w:val="00F07D79"/>
    <w:rsid w:val="00F1062D"/>
    <w:rsid w:val="00F1208B"/>
    <w:rsid w:val="00F12C71"/>
    <w:rsid w:val="00F13A57"/>
    <w:rsid w:val="00F14AE1"/>
    <w:rsid w:val="00F151B9"/>
    <w:rsid w:val="00F1787B"/>
    <w:rsid w:val="00F200EC"/>
    <w:rsid w:val="00F20BBF"/>
    <w:rsid w:val="00F252A0"/>
    <w:rsid w:val="00F25E95"/>
    <w:rsid w:val="00F27340"/>
    <w:rsid w:val="00F30847"/>
    <w:rsid w:val="00F30B13"/>
    <w:rsid w:val="00F3413D"/>
    <w:rsid w:val="00F34B20"/>
    <w:rsid w:val="00F34D0A"/>
    <w:rsid w:val="00F353E1"/>
    <w:rsid w:val="00F374EC"/>
    <w:rsid w:val="00F401C5"/>
    <w:rsid w:val="00F40682"/>
    <w:rsid w:val="00F4584B"/>
    <w:rsid w:val="00F45AE0"/>
    <w:rsid w:val="00F47990"/>
    <w:rsid w:val="00F50C7C"/>
    <w:rsid w:val="00F53B4A"/>
    <w:rsid w:val="00F53C9E"/>
    <w:rsid w:val="00F54A87"/>
    <w:rsid w:val="00F55875"/>
    <w:rsid w:val="00F55B80"/>
    <w:rsid w:val="00F5614A"/>
    <w:rsid w:val="00F5659F"/>
    <w:rsid w:val="00F60A65"/>
    <w:rsid w:val="00F613E8"/>
    <w:rsid w:val="00F620BF"/>
    <w:rsid w:val="00F65073"/>
    <w:rsid w:val="00F657BF"/>
    <w:rsid w:val="00F6769A"/>
    <w:rsid w:val="00F71218"/>
    <w:rsid w:val="00F718F4"/>
    <w:rsid w:val="00F738C2"/>
    <w:rsid w:val="00F747A9"/>
    <w:rsid w:val="00F75163"/>
    <w:rsid w:val="00F77FCD"/>
    <w:rsid w:val="00F82143"/>
    <w:rsid w:val="00F82569"/>
    <w:rsid w:val="00F82E7E"/>
    <w:rsid w:val="00F86DDE"/>
    <w:rsid w:val="00F87852"/>
    <w:rsid w:val="00F90517"/>
    <w:rsid w:val="00F906CE"/>
    <w:rsid w:val="00F9109B"/>
    <w:rsid w:val="00F92E16"/>
    <w:rsid w:val="00F95A07"/>
    <w:rsid w:val="00FA0BD5"/>
    <w:rsid w:val="00FA14E7"/>
    <w:rsid w:val="00FA1962"/>
    <w:rsid w:val="00FA4BDE"/>
    <w:rsid w:val="00FA61ED"/>
    <w:rsid w:val="00FA7326"/>
    <w:rsid w:val="00FB0304"/>
    <w:rsid w:val="00FB1BE3"/>
    <w:rsid w:val="00FB388D"/>
    <w:rsid w:val="00FB4896"/>
    <w:rsid w:val="00FB4B2D"/>
    <w:rsid w:val="00FB5D1E"/>
    <w:rsid w:val="00FB611B"/>
    <w:rsid w:val="00FC1014"/>
    <w:rsid w:val="00FC420F"/>
    <w:rsid w:val="00FC4A0B"/>
    <w:rsid w:val="00FC58E3"/>
    <w:rsid w:val="00FC5AC7"/>
    <w:rsid w:val="00FC6940"/>
    <w:rsid w:val="00FC6D5C"/>
    <w:rsid w:val="00FC7784"/>
    <w:rsid w:val="00FD014A"/>
    <w:rsid w:val="00FD0380"/>
    <w:rsid w:val="00FD1435"/>
    <w:rsid w:val="00FD15CF"/>
    <w:rsid w:val="00FD1B4B"/>
    <w:rsid w:val="00FD4F36"/>
    <w:rsid w:val="00FD6250"/>
    <w:rsid w:val="00FD68C4"/>
    <w:rsid w:val="00FD6D38"/>
    <w:rsid w:val="00FD7005"/>
    <w:rsid w:val="00FD71C8"/>
    <w:rsid w:val="00FE1739"/>
    <w:rsid w:val="00FE175D"/>
    <w:rsid w:val="00FE229B"/>
    <w:rsid w:val="00FE41F3"/>
    <w:rsid w:val="00FE6170"/>
    <w:rsid w:val="00FE6BBC"/>
    <w:rsid w:val="00FE6EF6"/>
    <w:rsid w:val="00FE792F"/>
    <w:rsid w:val="00FF26CD"/>
    <w:rsid w:val="00FF2A8D"/>
    <w:rsid w:val="00FF3E58"/>
    <w:rsid w:val="00FF49FA"/>
    <w:rsid w:val="00FF4ABE"/>
    <w:rsid w:val="00FF4C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930"/>
    <w:rPr>
      <w:rFonts w:ascii="Arial" w:hAnsi="Arial"/>
      <w:sz w:val="24"/>
      <w:szCs w:val="24"/>
    </w:rPr>
  </w:style>
  <w:style w:type="paragraph" w:styleId="Heading1">
    <w:name w:val="heading 1"/>
    <w:basedOn w:val="Normal"/>
    <w:next w:val="Normal"/>
    <w:qFormat/>
    <w:rsid w:val="004937D0"/>
    <w:pPr>
      <w:keepNext/>
      <w:spacing w:before="360" w:after="120"/>
      <w:outlineLvl w:val="0"/>
    </w:pPr>
    <w:rPr>
      <w:rFonts w:cs="Arial"/>
      <w:b/>
      <w:bCs/>
      <w:kern w:val="32"/>
      <w:sz w:val="32"/>
      <w:szCs w:val="32"/>
    </w:rPr>
  </w:style>
  <w:style w:type="paragraph" w:styleId="Heading2">
    <w:name w:val="heading 2"/>
    <w:basedOn w:val="Normal"/>
    <w:next w:val="Normal"/>
    <w:link w:val="Heading2Char"/>
    <w:qFormat/>
    <w:rsid w:val="00844F2F"/>
    <w:pPr>
      <w:keepNext/>
      <w:spacing w:before="240" w:after="120" w:line="360" w:lineRule="auto"/>
      <w:outlineLvl w:val="1"/>
    </w:pPr>
    <w:rPr>
      <w:rFonts w:cs="Arial"/>
      <w:b/>
      <w:sz w:val="26"/>
    </w:rPr>
  </w:style>
  <w:style w:type="paragraph" w:styleId="Heading3">
    <w:name w:val="heading 3"/>
    <w:basedOn w:val="Normal"/>
    <w:next w:val="Normal"/>
    <w:qFormat/>
    <w:rsid w:val="009E7471"/>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3AF7"/>
    <w:pPr>
      <w:tabs>
        <w:tab w:val="center" w:pos="4153"/>
        <w:tab w:val="right" w:pos="8306"/>
      </w:tabs>
    </w:pPr>
  </w:style>
  <w:style w:type="paragraph" w:styleId="Footer">
    <w:name w:val="footer"/>
    <w:basedOn w:val="Normal"/>
    <w:link w:val="FooterChar"/>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4C5C58"/>
    <w:rPr>
      <w:sz w:val="20"/>
      <w:szCs w:val="20"/>
    </w:rPr>
  </w:style>
  <w:style w:type="character" w:styleId="FootnoteReference">
    <w:name w:val="footnote reference"/>
    <w:rsid w:val="004C5C58"/>
    <w:rPr>
      <w:vertAlign w:val="superscript"/>
    </w:rPr>
  </w:style>
  <w:style w:type="character" w:styleId="Hyperlink">
    <w:name w:val="Hyperlink"/>
    <w:uiPriority w:val="99"/>
    <w:rsid w:val="00193D90"/>
    <w:rPr>
      <w:color w:val="0000FF"/>
      <w:u w:val="single"/>
    </w:rPr>
  </w:style>
  <w:style w:type="paragraph" w:styleId="NormalWeb">
    <w:name w:val="Normal (Web)"/>
    <w:basedOn w:val="Normal"/>
    <w:uiPriority w:val="99"/>
    <w:rsid w:val="00A56901"/>
    <w:pPr>
      <w:spacing w:before="100" w:beforeAutospacing="1" w:after="100" w:afterAutospacing="1"/>
    </w:pPr>
    <w:rPr>
      <w:lang w:val="en-US" w:eastAsia="en-US"/>
    </w:rPr>
  </w:style>
  <w:style w:type="paragraph" w:styleId="HTMLPreformatted">
    <w:name w:val="HTML Preformatted"/>
    <w:basedOn w:val="Normal"/>
    <w:link w:val="HTMLPreformattedChar"/>
    <w:uiPriority w:val="99"/>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rsid w:val="001811B9"/>
    <w:rPr>
      <w:sz w:val="24"/>
      <w:szCs w:val="24"/>
    </w:rPr>
  </w:style>
  <w:style w:type="character" w:styleId="HTMLCite">
    <w:name w:val="HTML Cite"/>
    <w:uiPriority w:val="99"/>
    <w:unhideWhenUsed/>
    <w:rsid w:val="00005715"/>
    <w:rPr>
      <w:i/>
      <w:iCs/>
    </w:rPr>
  </w:style>
  <w:style w:type="character" w:customStyle="1" w:styleId="FootnoteTextChar">
    <w:name w:val="Footnote Text Char"/>
    <w:link w:val="FootnoteText"/>
    <w:rsid w:val="00005715"/>
  </w:style>
  <w:style w:type="paragraph" w:styleId="EndnoteText">
    <w:name w:val="endnote text"/>
    <w:basedOn w:val="Normal"/>
    <w:link w:val="EndnoteTextChar"/>
    <w:rsid w:val="00784E5C"/>
    <w:rPr>
      <w:rFonts w:ascii="Calibri" w:eastAsia="Calibri" w:hAnsi="Calibri" w:cs="Calibri"/>
      <w:sz w:val="20"/>
      <w:szCs w:val="20"/>
    </w:rPr>
  </w:style>
  <w:style w:type="character" w:customStyle="1" w:styleId="EndnoteTextChar">
    <w:name w:val="Endnote Text Char"/>
    <w:link w:val="EndnoteText"/>
    <w:rsid w:val="00784E5C"/>
    <w:rPr>
      <w:rFonts w:ascii="Calibri" w:eastAsia="Calibri" w:hAnsi="Calibri" w:cs="Calibri"/>
    </w:rPr>
  </w:style>
  <w:style w:type="character" w:styleId="EndnoteReference">
    <w:name w:val="endnote reference"/>
    <w:rsid w:val="00784E5C"/>
    <w:rPr>
      <w:vertAlign w:val="superscript"/>
    </w:rPr>
  </w:style>
  <w:style w:type="paragraph" w:styleId="ListParagraph">
    <w:name w:val="List Paragraph"/>
    <w:basedOn w:val="Normal"/>
    <w:uiPriority w:val="34"/>
    <w:qFormat/>
    <w:rsid w:val="002020CD"/>
    <w:pPr>
      <w:ind w:left="720"/>
      <w:contextualSpacing/>
    </w:pPr>
  </w:style>
  <w:style w:type="table" w:styleId="TableGrid">
    <w:name w:val="Table Grid"/>
    <w:basedOn w:val="TableNormal"/>
    <w:rsid w:val="00162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66FA6"/>
    <w:rPr>
      <w:sz w:val="16"/>
      <w:szCs w:val="16"/>
    </w:rPr>
  </w:style>
  <w:style w:type="paragraph" w:styleId="CommentText">
    <w:name w:val="annotation text"/>
    <w:basedOn w:val="Normal"/>
    <w:link w:val="CommentTextChar"/>
    <w:rsid w:val="00D66FA6"/>
    <w:rPr>
      <w:sz w:val="20"/>
      <w:szCs w:val="20"/>
    </w:rPr>
  </w:style>
  <w:style w:type="character" w:customStyle="1" w:styleId="CommentTextChar">
    <w:name w:val="Comment Text Char"/>
    <w:basedOn w:val="DefaultParagraphFont"/>
    <w:link w:val="CommentText"/>
    <w:rsid w:val="00D66FA6"/>
  </w:style>
  <w:style w:type="paragraph" w:styleId="CommentSubject">
    <w:name w:val="annotation subject"/>
    <w:basedOn w:val="CommentText"/>
    <w:next w:val="CommentText"/>
    <w:link w:val="CommentSubjectChar"/>
    <w:rsid w:val="00D66FA6"/>
    <w:rPr>
      <w:b/>
      <w:bCs/>
    </w:rPr>
  </w:style>
  <w:style w:type="character" w:customStyle="1" w:styleId="CommentSubjectChar">
    <w:name w:val="Comment Subject Char"/>
    <w:basedOn w:val="CommentTextChar"/>
    <w:link w:val="CommentSubject"/>
    <w:rsid w:val="00D66FA6"/>
    <w:rPr>
      <w:b/>
      <w:bCs/>
    </w:rPr>
  </w:style>
  <w:style w:type="table" w:styleId="LightShading-Accent1">
    <w:name w:val="Light Shading Accent 1"/>
    <w:basedOn w:val="TableNormal"/>
    <w:uiPriority w:val="60"/>
    <w:rsid w:val="00C57509"/>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TMLPreformattedChar">
    <w:name w:val="HTML Preformatted Char"/>
    <w:basedOn w:val="DefaultParagraphFont"/>
    <w:link w:val="HTMLPreformatted"/>
    <w:uiPriority w:val="99"/>
    <w:rsid w:val="00CB2981"/>
    <w:rPr>
      <w:rFonts w:ascii="Courier New" w:hAnsi="Courier New" w:cs="Courier New"/>
      <w:lang w:val="en-US" w:eastAsia="en-US"/>
    </w:rPr>
  </w:style>
  <w:style w:type="paragraph" w:styleId="TOCHeading">
    <w:name w:val="TOC Heading"/>
    <w:basedOn w:val="Heading1"/>
    <w:next w:val="Normal"/>
    <w:uiPriority w:val="39"/>
    <w:semiHidden/>
    <w:unhideWhenUsed/>
    <w:qFormat/>
    <w:rsid w:val="004937D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5A62B5"/>
    <w:pPr>
      <w:tabs>
        <w:tab w:val="right" w:leader="dot" w:pos="8302"/>
      </w:tabs>
      <w:spacing w:before="120" w:after="120"/>
    </w:pPr>
    <w:rPr>
      <w:rFonts w:cs="Arial"/>
      <w:noProof/>
    </w:rPr>
  </w:style>
  <w:style w:type="paragraph" w:customStyle="1" w:styleId="Default">
    <w:name w:val="Default"/>
    <w:rsid w:val="00095848"/>
    <w:pPr>
      <w:autoSpaceDE w:val="0"/>
      <w:autoSpaceDN w:val="0"/>
      <w:adjustRightInd w:val="0"/>
    </w:pPr>
    <w:rPr>
      <w:color w:val="000000"/>
      <w:sz w:val="24"/>
      <w:szCs w:val="24"/>
    </w:rPr>
  </w:style>
  <w:style w:type="character" w:styleId="FollowedHyperlink">
    <w:name w:val="FollowedHyperlink"/>
    <w:basedOn w:val="DefaultParagraphFont"/>
    <w:rsid w:val="0028206B"/>
    <w:rPr>
      <w:color w:val="800080" w:themeColor="followedHyperlink"/>
      <w:u w:val="single"/>
    </w:rPr>
  </w:style>
  <w:style w:type="character" w:styleId="Emphasis">
    <w:name w:val="Emphasis"/>
    <w:basedOn w:val="DefaultParagraphFont"/>
    <w:uiPriority w:val="20"/>
    <w:qFormat/>
    <w:rsid w:val="00C8580C"/>
    <w:rPr>
      <w:i/>
      <w:iCs/>
      <w:color w:val="000000"/>
    </w:rPr>
  </w:style>
  <w:style w:type="character" w:customStyle="1" w:styleId="field-content">
    <w:name w:val="field-content"/>
    <w:basedOn w:val="DefaultParagraphFont"/>
    <w:rsid w:val="00C8580C"/>
  </w:style>
  <w:style w:type="character" w:styleId="Strong">
    <w:name w:val="Strong"/>
    <w:basedOn w:val="DefaultParagraphFont"/>
    <w:uiPriority w:val="22"/>
    <w:qFormat/>
    <w:rsid w:val="00F30B13"/>
    <w:rPr>
      <w:b/>
      <w:bCs/>
    </w:rPr>
  </w:style>
  <w:style w:type="character" w:customStyle="1" w:styleId="docsearchterm">
    <w:name w:val="docsearchterm"/>
    <w:basedOn w:val="DefaultParagraphFont"/>
    <w:rsid w:val="00F30B13"/>
  </w:style>
  <w:style w:type="paragraph" w:customStyle="1" w:styleId="tablelist">
    <w:name w:val="table list"/>
    <w:basedOn w:val="Normal"/>
    <w:rsid w:val="00F30B13"/>
    <w:pPr>
      <w:numPr>
        <w:numId w:val="4"/>
      </w:numPr>
    </w:pPr>
    <w:rPr>
      <w:rFonts w:eastAsiaTheme="minorHAnsi"/>
      <w:lang w:eastAsia="en-US"/>
    </w:rPr>
  </w:style>
  <w:style w:type="paragraph" w:styleId="PlainText">
    <w:name w:val="Plain Text"/>
    <w:basedOn w:val="Normal"/>
    <w:link w:val="PlainTextChar"/>
    <w:uiPriority w:val="99"/>
    <w:unhideWhenUsed/>
    <w:rsid w:val="00F30B13"/>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F30B13"/>
    <w:rPr>
      <w:rFonts w:ascii="Calibri" w:eastAsiaTheme="minorHAnsi" w:hAnsi="Calibri"/>
      <w:sz w:val="22"/>
      <w:szCs w:val="22"/>
      <w:lang w:eastAsia="en-US"/>
    </w:rPr>
  </w:style>
  <w:style w:type="paragraph" w:styleId="TOC2">
    <w:name w:val="toc 2"/>
    <w:basedOn w:val="Normal"/>
    <w:next w:val="Normal"/>
    <w:autoRedefine/>
    <w:uiPriority w:val="39"/>
    <w:rsid w:val="00272581"/>
    <w:pPr>
      <w:spacing w:after="100"/>
      <w:ind w:left="240"/>
    </w:pPr>
  </w:style>
  <w:style w:type="paragraph" w:styleId="BodyText">
    <w:name w:val="Body Text"/>
    <w:basedOn w:val="Normal"/>
    <w:link w:val="BodyTextChar"/>
    <w:uiPriority w:val="99"/>
    <w:unhideWhenUsed/>
    <w:rsid w:val="00210C13"/>
    <w:pPr>
      <w:spacing w:after="160" w:line="252" w:lineRule="exact"/>
    </w:pPr>
    <w:rPr>
      <w:rFonts w:ascii="Calibri" w:eastAsiaTheme="minorHAnsi" w:hAnsi="Calibri" w:cs="Calibri"/>
      <w:sz w:val="22"/>
      <w:szCs w:val="22"/>
    </w:rPr>
  </w:style>
  <w:style w:type="character" w:customStyle="1" w:styleId="BodyTextChar">
    <w:name w:val="Body Text Char"/>
    <w:basedOn w:val="DefaultParagraphFont"/>
    <w:link w:val="BodyText"/>
    <w:uiPriority w:val="99"/>
    <w:rsid w:val="00210C13"/>
    <w:rPr>
      <w:rFonts w:ascii="Calibri" w:eastAsiaTheme="minorHAnsi" w:hAnsi="Calibri" w:cs="Calibri"/>
      <w:sz w:val="22"/>
      <w:szCs w:val="22"/>
    </w:rPr>
  </w:style>
  <w:style w:type="paragraph" w:customStyle="1" w:styleId="nzMiscellaneousBody">
    <w:name w:val="nzMiscellaneous Body"/>
    <w:basedOn w:val="Normal"/>
    <w:uiPriority w:val="99"/>
    <w:rsid w:val="00FE175D"/>
    <w:pPr>
      <w:spacing w:before="80"/>
      <w:ind w:left="567" w:right="284"/>
    </w:pPr>
    <w:rPr>
      <w:rFonts w:eastAsiaTheme="minorEastAsia"/>
      <w:sz w:val="20"/>
      <w:szCs w:val="20"/>
    </w:rPr>
  </w:style>
  <w:style w:type="character" w:customStyle="1" w:styleId="Heading2Char">
    <w:name w:val="Heading 2 Char"/>
    <w:basedOn w:val="DefaultParagraphFont"/>
    <w:link w:val="Heading2"/>
    <w:rsid w:val="00844F2F"/>
    <w:rPr>
      <w:rFonts w:ascii="Arial" w:hAnsi="Arial" w:cs="Arial"/>
      <w:b/>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930"/>
    <w:rPr>
      <w:rFonts w:ascii="Arial" w:hAnsi="Arial"/>
      <w:sz w:val="24"/>
      <w:szCs w:val="24"/>
    </w:rPr>
  </w:style>
  <w:style w:type="paragraph" w:styleId="Heading1">
    <w:name w:val="heading 1"/>
    <w:basedOn w:val="Normal"/>
    <w:next w:val="Normal"/>
    <w:qFormat/>
    <w:rsid w:val="004937D0"/>
    <w:pPr>
      <w:keepNext/>
      <w:spacing w:before="360" w:after="120"/>
      <w:outlineLvl w:val="0"/>
    </w:pPr>
    <w:rPr>
      <w:rFonts w:cs="Arial"/>
      <w:b/>
      <w:bCs/>
      <w:kern w:val="32"/>
      <w:sz w:val="32"/>
      <w:szCs w:val="32"/>
    </w:rPr>
  </w:style>
  <w:style w:type="paragraph" w:styleId="Heading2">
    <w:name w:val="heading 2"/>
    <w:basedOn w:val="Normal"/>
    <w:next w:val="Normal"/>
    <w:link w:val="Heading2Char"/>
    <w:qFormat/>
    <w:rsid w:val="00844F2F"/>
    <w:pPr>
      <w:keepNext/>
      <w:spacing w:before="240" w:after="120" w:line="360" w:lineRule="auto"/>
      <w:outlineLvl w:val="1"/>
    </w:pPr>
    <w:rPr>
      <w:rFonts w:cs="Arial"/>
      <w:b/>
      <w:sz w:val="26"/>
    </w:rPr>
  </w:style>
  <w:style w:type="paragraph" w:styleId="Heading3">
    <w:name w:val="heading 3"/>
    <w:basedOn w:val="Normal"/>
    <w:next w:val="Normal"/>
    <w:qFormat/>
    <w:rsid w:val="009E7471"/>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9E7471"/>
    <w:pPr>
      <w:keepNext/>
      <w:numPr>
        <w:ilvl w:val="3"/>
        <w:numId w:val="1"/>
      </w:numPr>
      <w:spacing w:before="240" w:after="60"/>
      <w:outlineLvl w:val="3"/>
    </w:pPr>
    <w:rPr>
      <w:b/>
      <w:bCs/>
      <w:sz w:val="28"/>
      <w:szCs w:val="28"/>
    </w:rPr>
  </w:style>
  <w:style w:type="paragraph" w:styleId="Heading5">
    <w:name w:val="heading 5"/>
    <w:basedOn w:val="Normal"/>
    <w:next w:val="Normal"/>
    <w:qFormat/>
    <w:rsid w:val="009E7471"/>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3AF7"/>
    <w:pPr>
      <w:tabs>
        <w:tab w:val="center" w:pos="4153"/>
        <w:tab w:val="right" w:pos="8306"/>
      </w:tabs>
    </w:pPr>
  </w:style>
  <w:style w:type="paragraph" w:styleId="Footer">
    <w:name w:val="footer"/>
    <w:basedOn w:val="Normal"/>
    <w:link w:val="FooterChar"/>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link w:val="FootnoteTextChar"/>
    <w:rsid w:val="004C5C58"/>
    <w:rPr>
      <w:sz w:val="20"/>
      <w:szCs w:val="20"/>
    </w:rPr>
  </w:style>
  <w:style w:type="character" w:styleId="FootnoteReference">
    <w:name w:val="footnote reference"/>
    <w:rsid w:val="004C5C58"/>
    <w:rPr>
      <w:vertAlign w:val="superscript"/>
    </w:rPr>
  </w:style>
  <w:style w:type="character" w:styleId="Hyperlink">
    <w:name w:val="Hyperlink"/>
    <w:uiPriority w:val="99"/>
    <w:rsid w:val="00193D90"/>
    <w:rPr>
      <w:color w:val="0000FF"/>
      <w:u w:val="single"/>
    </w:rPr>
  </w:style>
  <w:style w:type="paragraph" w:styleId="NormalWeb">
    <w:name w:val="Normal (Web)"/>
    <w:basedOn w:val="Normal"/>
    <w:uiPriority w:val="99"/>
    <w:rsid w:val="00A56901"/>
    <w:pPr>
      <w:spacing w:before="100" w:beforeAutospacing="1" w:after="100" w:afterAutospacing="1"/>
    </w:pPr>
    <w:rPr>
      <w:lang w:val="en-US" w:eastAsia="en-US"/>
    </w:rPr>
  </w:style>
  <w:style w:type="paragraph" w:styleId="HTMLPreformatted">
    <w:name w:val="HTML Preformatted"/>
    <w:basedOn w:val="Normal"/>
    <w:link w:val="HTMLPreformattedChar"/>
    <w:uiPriority w:val="99"/>
    <w:rsid w:val="00A5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Style12ptBoldUnderlineBefore12ptAfter12pt">
    <w:name w:val="Style 12 pt Bold Underline Before:  12 pt After:  12 pt"/>
    <w:basedOn w:val="Normal"/>
    <w:rsid w:val="00A56901"/>
    <w:pPr>
      <w:spacing w:before="240" w:after="240"/>
    </w:pPr>
    <w:rPr>
      <w:b/>
      <w:bCs/>
      <w:szCs w:val="20"/>
    </w:rPr>
  </w:style>
  <w:style w:type="character" w:customStyle="1" w:styleId="FooterChar">
    <w:name w:val="Footer Char"/>
    <w:link w:val="Footer"/>
    <w:uiPriority w:val="99"/>
    <w:rsid w:val="001811B9"/>
    <w:rPr>
      <w:sz w:val="24"/>
      <w:szCs w:val="24"/>
    </w:rPr>
  </w:style>
  <w:style w:type="character" w:customStyle="1" w:styleId="HeaderChar">
    <w:name w:val="Header Char"/>
    <w:link w:val="Header"/>
    <w:rsid w:val="001811B9"/>
    <w:rPr>
      <w:sz w:val="24"/>
      <w:szCs w:val="24"/>
    </w:rPr>
  </w:style>
  <w:style w:type="character" w:styleId="HTMLCite">
    <w:name w:val="HTML Cite"/>
    <w:uiPriority w:val="99"/>
    <w:unhideWhenUsed/>
    <w:rsid w:val="00005715"/>
    <w:rPr>
      <w:i/>
      <w:iCs/>
    </w:rPr>
  </w:style>
  <w:style w:type="character" w:customStyle="1" w:styleId="FootnoteTextChar">
    <w:name w:val="Footnote Text Char"/>
    <w:link w:val="FootnoteText"/>
    <w:rsid w:val="00005715"/>
  </w:style>
  <w:style w:type="paragraph" w:styleId="EndnoteText">
    <w:name w:val="endnote text"/>
    <w:basedOn w:val="Normal"/>
    <w:link w:val="EndnoteTextChar"/>
    <w:rsid w:val="00784E5C"/>
    <w:rPr>
      <w:rFonts w:ascii="Calibri" w:eastAsia="Calibri" w:hAnsi="Calibri" w:cs="Calibri"/>
      <w:sz w:val="20"/>
      <w:szCs w:val="20"/>
    </w:rPr>
  </w:style>
  <w:style w:type="character" w:customStyle="1" w:styleId="EndnoteTextChar">
    <w:name w:val="Endnote Text Char"/>
    <w:link w:val="EndnoteText"/>
    <w:rsid w:val="00784E5C"/>
    <w:rPr>
      <w:rFonts w:ascii="Calibri" w:eastAsia="Calibri" w:hAnsi="Calibri" w:cs="Calibri"/>
    </w:rPr>
  </w:style>
  <w:style w:type="character" w:styleId="EndnoteReference">
    <w:name w:val="endnote reference"/>
    <w:rsid w:val="00784E5C"/>
    <w:rPr>
      <w:vertAlign w:val="superscript"/>
    </w:rPr>
  </w:style>
  <w:style w:type="paragraph" w:styleId="ListParagraph">
    <w:name w:val="List Paragraph"/>
    <w:basedOn w:val="Normal"/>
    <w:uiPriority w:val="34"/>
    <w:qFormat/>
    <w:rsid w:val="002020CD"/>
    <w:pPr>
      <w:ind w:left="720"/>
      <w:contextualSpacing/>
    </w:pPr>
  </w:style>
  <w:style w:type="table" w:styleId="TableGrid">
    <w:name w:val="Table Grid"/>
    <w:basedOn w:val="TableNormal"/>
    <w:rsid w:val="00162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66FA6"/>
    <w:rPr>
      <w:sz w:val="16"/>
      <w:szCs w:val="16"/>
    </w:rPr>
  </w:style>
  <w:style w:type="paragraph" w:styleId="CommentText">
    <w:name w:val="annotation text"/>
    <w:basedOn w:val="Normal"/>
    <w:link w:val="CommentTextChar"/>
    <w:rsid w:val="00D66FA6"/>
    <w:rPr>
      <w:sz w:val="20"/>
      <w:szCs w:val="20"/>
    </w:rPr>
  </w:style>
  <w:style w:type="character" w:customStyle="1" w:styleId="CommentTextChar">
    <w:name w:val="Comment Text Char"/>
    <w:basedOn w:val="DefaultParagraphFont"/>
    <w:link w:val="CommentText"/>
    <w:rsid w:val="00D66FA6"/>
  </w:style>
  <w:style w:type="paragraph" w:styleId="CommentSubject">
    <w:name w:val="annotation subject"/>
    <w:basedOn w:val="CommentText"/>
    <w:next w:val="CommentText"/>
    <w:link w:val="CommentSubjectChar"/>
    <w:rsid w:val="00D66FA6"/>
    <w:rPr>
      <w:b/>
      <w:bCs/>
    </w:rPr>
  </w:style>
  <w:style w:type="character" w:customStyle="1" w:styleId="CommentSubjectChar">
    <w:name w:val="Comment Subject Char"/>
    <w:basedOn w:val="CommentTextChar"/>
    <w:link w:val="CommentSubject"/>
    <w:rsid w:val="00D66FA6"/>
    <w:rPr>
      <w:b/>
      <w:bCs/>
    </w:rPr>
  </w:style>
  <w:style w:type="table" w:styleId="LightShading-Accent1">
    <w:name w:val="Light Shading Accent 1"/>
    <w:basedOn w:val="TableNormal"/>
    <w:uiPriority w:val="60"/>
    <w:rsid w:val="00C57509"/>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TMLPreformattedChar">
    <w:name w:val="HTML Preformatted Char"/>
    <w:basedOn w:val="DefaultParagraphFont"/>
    <w:link w:val="HTMLPreformatted"/>
    <w:uiPriority w:val="99"/>
    <w:rsid w:val="00CB2981"/>
    <w:rPr>
      <w:rFonts w:ascii="Courier New" w:hAnsi="Courier New" w:cs="Courier New"/>
      <w:lang w:val="en-US" w:eastAsia="en-US"/>
    </w:rPr>
  </w:style>
  <w:style w:type="paragraph" w:styleId="TOCHeading">
    <w:name w:val="TOC Heading"/>
    <w:basedOn w:val="Heading1"/>
    <w:next w:val="Normal"/>
    <w:uiPriority w:val="39"/>
    <w:semiHidden/>
    <w:unhideWhenUsed/>
    <w:qFormat/>
    <w:rsid w:val="004937D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5A62B5"/>
    <w:pPr>
      <w:tabs>
        <w:tab w:val="right" w:leader="dot" w:pos="8302"/>
      </w:tabs>
      <w:spacing w:before="120" w:after="120"/>
    </w:pPr>
    <w:rPr>
      <w:rFonts w:cs="Arial"/>
      <w:noProof/>
    </w:rPr>
  </w:style>
  <w:style w:type="paragraph" w:customStyle="1" w:styleId="Default">
    <w:name w:val="Default"/>
    <w:rsid w:val="00095848"/>
    <w:pPr>
      <w:autoSpaceDE w:val="0"/>
      <w:autoSpaceDN w:val="0"/>
      <w:adjustRightInd w:val="0"/>
    </w:pPr>
    <w:rPr>
      <w:color w:val="000000"/>
      <w:sz w:val="24"/>
      <w:szCs w:val="24"/>
    </w:rPr>
  </w:style>
  <w:style w:type="character" w:styleId="FollowedHyperlink">
    <w:name w:val="FollowedHyperlink"/>
    <w:basedOn w:val="DefaultParagraphFont"/>
    <w:rsid w:val="0028206B"/>
    <w:rPr>
      <w:color w:val="800080" w:themeColor="followedHyperlink"/>
      <w:u w:val="single"/>
    </w:rPr>
  </w:style>
  <w:style w:type="character" w:styleId="Emphasis">
    <w:name w:val="Emphasis"/>
    <w:basedOn w:val="DefaultParagraphFont"/>
    <w:uiPriority w:val="20"/>
    <w:qFormat/>
    <w:rsid w:val="00C8580C"/>
    <w:rPr>
      <w:i/>
      <w:iCs/>
      <w:color w:val="000000"/>
    </w:rPr>
  </w:style>
  <w:style w:type="character" w:customStyle="1" w:styleId="field-content">
    <w:name w:val="field-content"/>
    <w:basedOn w:val="DefaultParagraphFont"/>
    <w:rsid w:val="00C8580C"/>
  </w:style>
  <w:style w:type="character" w:styleId="Strong">
    <w:name w:val="Strong"/>
    <w:basedOn w:val="DefaultParagraphFont"/>
    <w:uiPriority w:val="22"/>
    <w:qFormat/>
    <w:rsid w:val="00F30B13"/>
    <w:rPr>
      <w:b/>
      <w:bCs/>
    </w:rPr>
  </w:style>
  <w:style w:type="character" w:customStyle="1" w:styleId="docsearchterm">
    <w:name w:val="docsearchterm"/>
    <w:basedOn w:val="DefaultParagraphFont"/>
    <w:rsid w:val="00F30B13"/>
  </w:style>
  <w:style w:type="paragraph" w:customStyle="1" w:styleId="tablelist">
    <w:name w:val="table list"/>
    <w:basedOn w:val="Normal"/>
    <w:rsid w:val="00F30B13"/>
    <w:pPr>
      <w:numPr>
        <w:numId w:val="4"/>
      </w:numPr>
    </w:pPr>
    <w:rPr>
      <w:rFonts w:eastAsiaTheme="minorHAnsi"/>
      <w:lang w:eastAsia="en-US"/>
    </w:rPr>
  </w:style>
  <w:style w:type="paragraph" w:styleId="PlainText">
    <w:name w:val="Plain Text"/>
    <w:basedOn w:val="Normal"/>
    <w:link w:val="PlainTextChar"/>
    <w:uiPriority w:val="99"/>
    <w:unhideWhenUsed/>
    <w:rsid w:val="00F30B13"/>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F30B13"/>
    <w:rPr>
      <w:rFonts w:ascii="Calibri" w:eastAsiaTheme="minorHAnsi" w:hAnsi="Calibri"/>
      <w:sz w:val="22"/>
      <w:szCs w:val="22"/>
      <w:lang w:eastAsia="en-US"/>
    </w:rPr>
  </w:style>
  <w:style w:type="paragraph" w:styleId="TOC2">
    <w:name w:val="toc 2"/>
    <w:basedOn w:val="Normal"/>
    <w:next w:val="Normal"/>
    <w:autoRedefine/>
    <w:uiPriority w:val="39"/>
    <w:rsid w:val="00272581"/>
    <w:pPr>
      <w:spacing w:after="100"/>
      <w:ind w:left="240"/>
    </w:pPr>
  </w:style>
  <w:style w:type="paragraph" w:styleId="BodyText">
    <w:name w:val="Body Text"/>
    <w:basedOn w:val="Normal"/>
    <w:link w:val="BodyTextChar"/>
    <w:uiPriority w:val="99"/>
    <w:unhideWhenUsed/>
    <w:rsid w:val="00210C13"/>
    <w:pPr>
      <w:spacing w:after="160" w:line="252" w:lineRule="exact"/>
    </w:pPr>
    <w:rPr>
      <w:rFonts w:ascii="Calibri" w:eastAsiaTheme="minorHAnsi" w:hAnsi="Calibri" w:cs="Calibri"/>
      <w:sz w:val="22"/>
      <w:szCs w:val="22"/>
    </w:rPr>
  </w:style>
  <w:style w:type="character" w:customStyle="1" w:styleId="BodyTextChar">
    <w:name w:val="Body Text Char"/>
    <w:basedOn w:val="DefaultParagraphFont"/>
    <w:link w:val="BodyText"/>
    <w:uiPriority w:val="99"/>
    <w:rsid w:val="00210C13"/>
    <w:rPr>
      <w:rFonts w:ascii="Calibri" w:eastAsiaTheme="minorHAnsi" w:hAnsi="Calibri" w:cs="Calibri"/>
      <w:sz w:val="22"/>
      <w:szCs w:val="22"/>
    </w:rPr>
  </w:style>
  <w:style w:type="paragraph" w:customStyle="1" w:styleId="nzMiscellaneousBody">
    <w:name w:val="nzMiscellaneous Body"/>
    <w:basedOn w:val="Normal"/>
    <w:uiPriority w:val="99"/>
    <w:rsid w:val="00FE175D"/>
    <w:pPr>
      <w:spacing w:before="80"/>
      <w:ind w:left="567" w:right="284"/>
    </w:pPr>
    <w:rPr>
      <w:rFonts w:eastAsiaTheme="minorEastAsia"/>
      <w:sz w:val="20"/>
      <w:szCs w:val="20"/>
    </w:rPr>
  </w:style>
  <w:style w:type="character" w:customStyle="1" w:styleId="Heading2Char">
    <w:name w:val="Heading 2 Char"/>
    <w:basedOn w:val="DefaultParagraphFont"/>
    <w:link w:val="Heading2"/>
    <w:rsid w:val="00844F2F"/>
    <w:rPr>
      <w:rFonts w:ascii="Arial" w:hAnsi="Arial" w:cs="Arial"/>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7975">
      <w:bodyDiv w:val="1"/>
      <w:marLeft w:val="0"/>
      <w:marRight w:val="0"/>
      <w:marTop w:val="0"/>
      <w:marBottom w:val="0"/>
      <w:divBdr>
        <w:top w:val="none" w:sz="0" w:space="0" w:color="auto"/>
        <w:left w:val="none" w:sz="0" w:space="0" w:color="auto"/>
        <w:bottom w:val="none" w:sz="0" w:space="0" w:color="auto"/>
        <w:right w:val="none" w:sz="0" w:space="0" w:color="auto"/>
      </w:divBdr>
    </w:div>
    <w:div w:id="218175513">
      <w:bodyDiv w:val="1"/>
      <w:marLeft w:val="0"/>
      <w:marRight w:val="0"/>
      <w:marTop w:val="0"/>
      <w:marBottom w:val="0"/>
      <w:divBdr>
        <w:top w:val="none" w:sz="0" w:space="0" w:color="auto"/>
        <w:left w:val="none" w:sz="0" w:space="0" w:color="auto"/>
        <w:bottom w:val="none" w:sz="0" w:space="0" w:color="auto"/>
        <w:right w:val="none" w:sz="0" w:space="0" w:color="auto"/>
      </w:divBdr>
      <w:divsChild>
        <w:div w:id="2013336594">
          <w:marLeft w:val="0"/>
          <w:marRight w:val="0"/>
          <w:marTop w:val="0"/>
          <w:marBottom w:val="0"/>
          <w:divBdr>
            <w:top w:val="none" w:sz="0" w:space="0" w:color="auto"/>
            <w:left w:val="none" w:sz="0" w:space="0" w:color="auto"/>
            <w:bottom w:val="none" w:sz="0" w:space="0" w:color="auto"/>
            <w:right w:val="none" w:sz="0" w:space="0" w:color="auto"/>
          </w:divBdr>
          <w:divsChild>
            <w:div w:id="777063178">
              <w:marLeft w:val="0"/>
              <w:marRight w:val="0"/>
              <w:marTop w:val="0"/>
              <w:marBottom w:val="0"/>
              <w:divBdr>
                <w:top w:val="none" w:sz="0" w:space="0" w:color="auto"/>
                <w:left w:val="none" w:sz="0" w:space="0" w:color="auto"/>
                <w:bottom w:val="none" w:sz="0" w:space="0" w:color="auto"/>
                <w:right w:val="none" w:sz="0" w:space="0" w:color="auto"/>
              </w:divBdr>
              <w:divsChild>
                <w:div w:id="1970236692">
                  <w:marLeft w:val="1"/>
                  <w:marRight w:val="0"/>
                  <w:marTop w:val="0"/>
                  <w:marBottom w:val="0"/>
                  <w:divBdr>
                    <w:top w:val="none" w:sz="0" w:space="0" w:color="auto"/>
                    <w:left w:val="none" w:sz="0" w:space="0" w:color="auto"/>
                    <w:bottom w:val="none" w:sz="0" w:space="0" w:color="auto"/>
                    <w:right w:val="none" w:sz="0" w:space="0" w:color="auto"/>
                  </w:divBdr>
                  <w:divsChild>
                    <w:div w:id="1070885538">
                      <w:marLeft w:val="0"/>
                      <w:marRight w:val="0"/>
                      <w:marTop w:val="0"/>
                      <w:marBottom w:val="0"/>
                      <w:divBdr>
                        <w:top w:val="none" w:sz="0" w:space="0" w:color="auto"/>
                        <w:left w:val="none" w:sz="0" w:space="0" w:color="auto"/>
                        <w:bottom w:val="none" w:sz="0" w:space="0" w:color="auto"/>
                        <w:right w:val="none" w:sz="0" w:space="0" w:color="auto"/>
                      </w:divBdr>
                      <w:divsChild>
                        <w:div w:id="64692445">
                          <w:marLeft w:val="0"/>
                          <w:marRight w:val="0"/>
                          <w:marTop w:val="0"/>
                          <w:marBottom w:val="0"/>
                          <w:divBdr>
                            <w:top w:val="none" w:sz="0" w:space="0" w:color="auto"/>
                            <w:left w:val="none" w:sz="0" w:space="0" w:color="auto"/>
                            <w:bottom w:val="none" w:sz="0" w:space="0" w:color="auto"/>
                            <w:right w:val="none" w:sz="0" w:space="0" w:color="auto"/>
                          </w:divBdr>
                          <w:divsChild>
                            <w:div w:id="1199974189">
                              <w:marLeft w:val="150"/>
                              <w:marRight w:val="150"/>
                              <w:marTop w:val="0"/>
                              <w:marBottom w:val="2"/>
                              <w:divBdr>
                                <w:top w:val="none" w:sz="0" w:space="0" w:color="auto"/>
                                <w:left w:val="none" w:sz="0" w:space="0" w:color="auto"/>
                                <w:bottom w:val="none" w:sz="0" w:space="0" w:color="auto"/>
                                <w:right w:val="none" w:sz="0" w:space="0" w:color="auto"/>
                              </w:divBdr>
                              <w:divsChild>
                                <w:div w:id="975834338">
                                  <w:marLeft w:val="0"/>
                                  <w:marRight w:val="0"/>
                                  <w:marTop w:val="0"/>
                                  <w:marBottom w:val="0"/>
                                  <w:divBdr>
                                    <w:top w:val="none" w:sz="0" w:space="0" w:color="auto"/>
                                    <w:left w:val="none" w:sz="0" w:space="0" w:color="auto"/>
                                    <w:bottom w:val="none" w:sz="0" w:space="0" w:color="auto"/>
                                    <w:right w:val="none" w:sz="0" w:space="0" w:color="auto"/>
                                  </w:divBdr>
                                  <w:divsChild>
                                    <w:div w:id="147714033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048E-ADC0-40D4-9690-8E67A02D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3D845526</Template>
  <TotalTime>7</TotalTime>
  <Pages>9</Pages>
  <Words>1942</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Inquiry into the Justice and Other Legislation Amendment Bill 2014</vt:lpstr>
    </vt:vector>
  </TitlesOfParts>
  <Company>Anti-Discrimination Commission Qld</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 into the Justice and Other Legislation Amendment Bill 2014</dc:title>
  <dc:subject>Legislative amendment</dc:subject>
  <dc:creator>Julie Ball</dc:creator>
  <cp:keywords>submission, Anti-Discrimination Act 1991, Legal Affairs and Community Safety Committee, legislative amendment, Queensland legislation, proof of identity</cp:keywords>
  <cp:lastModifiedBy>Julie Ball</cp:lastModifiedBy>
  <cp:revision>4</cp:revision>
  <cp:lastPrinted>2015-07-27T05:31:00Z</cp:lastPrinted>
  <dcterms:created xsi:type="dcterms:W3CDTF">2015-07-27T05:30:00Z</dcterms:created>
  <dcterms:modified xsi:type="dcterms:W3CDTF">2015-08-13T01:16:00Z</dcterms:modified>
  <cp:category>Submission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