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F41" w:rsidRPr="00AC7B17" w:rsidRDefault="002E7F41" w:rsidP="00993DBA">
      <w:pPr>
        <w:spacing w:before="0" w:after="0"/>
        <w:ind w:hanging="567"/>
        <w:rPr>
          <w:rFonts w:cs="Arial"/>
          <w:sz w:val="24"/>
          <w:szCs w:val="24"/>
        </w:rPr>
      </w:pPr>
    </w:p>
    <w:p w:rsidR="003460DA" w:rsidRDefault="003460DA" w:rsidP="00AC7B17">
      <w:pPr>
        <w:spacing w:before="0" w:after="0"/>
        <w:rPr>
          <w:rFonts w:cs="Arial"/>
          <w:sz w:val="24"/>
          <w:szCs w:val="24"/>
        </w:rPr>
      </w:pPr>
    </w:p>
    <w:p w:rsidR="00265C89" w:rsidRDefault="008E7765" w:rsidP="00AC7B17">
      <w:pPr>
        <w:spacing w:before="0" w:after="0"/>
        <w:rPr>
          <w:rFonts w:cs="Arial"/>
          <w:sz w:val="24"/>
          <w:szCs w:val="24"/>
        </w:rPr>
      </w:pPr>
      <w:r>
        <w:rPr>
          <w:rFonts w:cs="Arial"/>
          <w:sz w:val="24"/>
          <w:szCs w:val="24"/>
        </w:rPr>
        <w:t>13 January 2016</w:t>
      </w:r>
    </w:p>
    <w:p w:rsidR="00265C89" w:rsidRDefault="00265C89" w:rsidP="00AC7B17">
      <w:pPr>
        <w:spacing w:before="0" w:after="0"/>
        <w:rPr>
          <w:rFonts w:cs="Arial"/>
          <w:sz w:val="24"/>
          <w:szCs w:val="24"/>
        </w:rPr>
      </w:pPr>
    </w:p>
    <w:p w:rsidR="00265C89" w:rsidRDefault="00265C89" w:rsidP="00AC7B17">
      <w:pPr>
        <w:spacing w:before="0" w:after="0"/>
        <w:rPr>
          <w:rFonts w:cs="Arial"/>
          <w:sz w:val="24"/>
          <w:szCs w:val="24"/>
        </w:rPr>
      </w:pPr>
    </w:p>
    <w:p w:rsidR="00265C89" w:rsidRDefault="00F772BF" w:rsidP="00AC7B17">
      <w:pPr>
        <w:spacing w:before="0" w:after="0"/>
        <w:rPr>
          <w:rFonts w:cs="Arial"/>
          <w:sz w:val="24"/>
          <w:szCs w:val="24"/>
        </w:rPr>
      </w:pPr>
      <w:r>
        <w:rPr>
          <w:rFonts w:cs="Arial"/>
          <w:sz w:val="24"/>
          <w:szCs w:val="24"/>
        </w:rPr>
        <w:t>The Research Director</w:t>
      </w:r>
    </w:p>
    <w:p w:rsidR="00F772BF" w:rsidRDefault="00F772BF" w:rsidP="00AC7B17">
      <w:pPr>
        <w:spacing w:before="0" w:after="0"/>
        <w:rPr>
          <w:rFonts w:cs="Arial"/>
          <w:sz w:val="24"/>
          <w:szCs w:val="24"/>
        </w:rPr>
      </w:pPr>
      <w:r>
        <w:rPr>
          <w:rFonts w:cs="Arial"/>
          <w:sz w:val="24"/>
          <w:szCs w:val="24"/>
        </w:rPr>
        <w:t>Legal Affairs and Community Safety Committee</w:t>
      </w:r>
    </w:p>
    <w:p w:rsidR="00F772BF" w:rsidRDefault="00F772BF" w:rsidP="00AC7B17">
      <w:pPr>
        <w:spacing w:before="0" w:after="0"/>
        <w:rPr>
          <w:rFonts w:cs="Arial"/>
          <w:sz w:val="24"/>
          <w:szCs w:val="24"/>
        </w:rPr>
      </w:pPr>
      <w:r>
        <w:rPr>
          <w:rFonts w:cs="Arial"/>
          <w:sz w:val="24"/>
          <w:szCs w:val="24"/>
        </w:rPr>
        <w:t>Parliament House</w:t>
      </w:r>
    </w:p>
    <w:p w:rsidR="00F772BF" w:rsidRDefault="00F772BF" w:rsidP="00AC7B17">
      <w:pPr>
        <w:spacing w:before="0" w:after="0"/>
        <w:rPr>
          <w:rFonts w:cs="Arial"/>
          <w:sz w:val="24"/>
          <w:szCs w:val="24"/>
        </w:rPr>
      </w:pPr>
      <w:r>
        <w:rPr>
          <w:rFonts w:cs="Arial"/>
          <w:sz w:val="24"/>
          <w:szCs w:val="24"/>
        </w:rPr>
        <w:t>BRISBANE QLD 4000</w:t>
      </w:r>
    </w:p>
    <w:p w:rsidR="00265C89" w:rsidRDefault="00265C89" w:rsidP="00AC7B17">
      <w:pPr>
        <w:spacing w:before="0" w:after="0"/>
        <w:rPr>
          <w:rFonts w:cs="Arial"/>
          <w:sz w:val="24"/>
          <w:szCs w:val="24"/>
        </w:rPr>
      </w:pPr>
    </w:p>
    <w:p w:rsidR="00265C89" w:rsidRDefault="00265C89" w:rsidP="00265C89">
      <w:pPr>
        <w:spacing w:after="240"/>
        <w:rPr>
          <w:rFonts w:cs="Arial"/>
          <w:sz w:val="24"/>
          <w:szCs w:val="24"/>
        </w:rPr>
      </w:pPr>
      <w:r>
        <w:rPr>
          <w:rFonts w:cs="Arial"/>
          <w:sz w:val="24"/>
          <w:szCs w:val="24"/>
        </w:rPr>
        <w:t xml:space="preserve">Dear </w:t>
      </w:r>
      <w:r w:rsidR="00F772BF">
        <w:rPr>
          <w:rFonts w:cs="Arial"/>
          <w:sz w:val="24"/>
          <w:szCs w:val="24"/>
        </w:rPr>
        <w:t>Sir/Madam</w:t>
      </w:r>
    </w:p>
    <w:p w:rsidR="00265C89" w:rsidRPr="00265C89" w:rsidRDefault="00394C2A" w:rsidP="00E166EC">
      <w:pPr>
        <w:rPr>
          <w:rFonts w:cs="Arial"/>
          <w:b/>
          <w:sz w:val="24"/>
          <w:szCs w:val="24"/>
        </w:rPr>
      </w:pPr>
      <w:r>
        <w:rPr>
          <w:rFonts w:cs="Arial"/>
          <w:b/>
          <w:sz w:val="24"/>
          <w:szCs w:val="24"/>
        </w:rPr>
        <w:t>INQUIRY INTO THE YOUTH JUSTICE AND OTHER LEGISLATION AMENDMENT BILL 2015</w:t>
      </w:r>
    </w:p>
    <w:p w:rsidR="00265C89" w:rsidRDefault="00F772BF" w:rsidP="00265C89">
      <w:pPr>
        <w:spacing w:after="240"/>
        <w:rPr>
          <w:rFonts w:cs="Arial"/>
          <w:sz w:val="24"/>
          <w:szCs w:val="24"/>
        </w:rPr>
      </w:pPr>
      <w:r>
        <w:rPr>
          <w:rFonts w:cs="Arial"/>
          <w:sz w:val="24"/>
          <w:szCs w:val="24"/>
        </w:rPr>
        <w:t>The Anti-Discrimination Commission welcomes the opportunity to make a submission to the Legal Affairs and Community Safety Committee on its inquiry into the Youth Justice and Other Legislation Amendment Bill</w:t>
      </w:r>
      <w:r w:rsidR="00530C75">
        <w:rPr>
          <w:rFonts w:cs="Arial"/>
          <w:sz w:val="24"/>
          <w:szCs w:val="24"/>
        </w:rPr>
        <w:t>.</w:t>
      </w:r>
    </w:p>
    <w:p w:rsidR="00F772BF" w:rsidRDefault="00FD080E" w:rsidP="00265C89">
      <w:pPr>
        <w:spacing w:after="240"/>
        <w:rPr>
          <w:rFonts w:cs="Arial"/>
          <w:sz w:val="24"/>
          <w:szCs w:val="24"/>
        </w:rPr>
      </w:pPr>
      <w:r>
        <w:rPr>
          <w:rFonts w:cs="Arial"/>
          <w:sz w:val="24"/>
          <w:szCs w:val="24"/>
        </w:rPr>
        <w:t>The Bill reflects the g</w:t>
      </w:r>
      <w:r w:rsidR="00F772BF">
        <w:rPr>
          <w:rFonts w:cs="Arial"/>
          <w:sz w:val="24"/>
          <w:szCs w:val="24"/>
        </w:rPr>
        <w:t xml:space="preserve">overnment’s election commitment to </w:t>
      </w:r>
      <w:r w:rsidR="006A3CF1">
        <w:rPr>
          <w:rFonts w:cs="Arial"/>
          <w:sz w:val="24"/>
          <w:szCs w:val="24"/>
        </w:rPr>
        <w:t xml:space="preserve">repeal the youth justice reforms made in 2014 by the previous Government.  </w:t>
      </w:r>
      <w:r w:rsidR="000014FF">
        <w:rPr>
          <w:rFonts w:cs="Arial"/>
          <w:sz w:val="24"/>
          <w:szCs w:val="24"/>
        </w:rPr>
        <w:t>The Commission has made previous s</w:t>
      </w:r>
      <w:r w:rsidR="006A3CF1">
        <w:rPr>
          <w:rFonts w:cs="Arial"/>
          <w:sz w:val="24"/>
          <w:szCs w:val="24"/>
        </w:rPr>
        <w:t>ubmissions to the department and to the Committee</w:t>
      </w:r>
      <w:r w:rsidR="00D737DC">
        <w:rPr>
          <w:rFonts w:cs="Arial"/>
          <w:sz w:val="24"/>
          <w:szCs w:val="24"/>
        </w:rPr>
        <w:t>,</w:t>
      </w:r>
      <w:r w:rsidR="006A3CF1">
        <w:rPr>
          <w:rFonts w:cs="Arial"/>
          <w:sz w:val="24"/>
          <w:szCs w:val="24"/>
        </w:rPr>
        <w:t xml:space="preserve"> </w:t>
      </w:r>
      <w:r w:rsidR="000014FF">
        <w:rPr>
          <w:rFonts w:cs="Arial"/>
          <w:sz w:val="24"/>
          <w:szCs w:val="24"/>
        </w:rPr>
        <w:t xml:space="preserve">in which </w:t>
      </w:r>
      <w:r w:rsidR="006A3CF1">
        <w:rPr>
          <w:rFonts w:cs="Arial"/>
          <w:sz w:val="24"/>
          <w:szCs w:val="24"/>
        </w:rPr>
        <w:t xml:space="preserve">the Commission </w:t>
      </w:r>
      <w:r w:rsidR="000014FF">
        <w:rPr>
          <w:rFonts w:cs="Arial"/>
          <w:sz w:val="24"/>
          <w:szCs w:val="24"/>
        </w:rPr>
        <w:t>has opposed reforms that impact human rights principles</w:t>
      </w:r>
      <w:r w:rsidR="006A3CF1">
        <w:rPr>
          <w:rFonts w:cs="Arial"/>
          <w:sz w:val="24"/>
          <w:szCs w:val="24"/>
        </w:rPr>
        <w:t xml:space="preserve"> </w:t>
      </w:r>
      <w:r w:rsidR="000014FF">
        <w:rPr>
          <w:rFonts w:cs="Arial"/>
          <w:sz w:val="24"/>
          <w:szCs w:val="24"/>
        </w:rPr>
        <w:t>and focused</w:t>
      </w:r>
      <w:r w:rsidR="006A3CF1">
        <w:rPr>
          <w:rFonts w:cs="Arial"/>
          <w:sz w:val="24"/>
          <w:szCs w:val="24"/>
        </w:rPr>
        <w:t xml:space="preserve"> on sentencing principles, </w:t>
      </w:r>
      <w:r w:rsidR="000014FF">
        <w:rPr>
          <w:rFonts w:cs="Arial"/>
          <w:sz w:val="24"/>
          <w:szCs w:val="24"/>
        </w:rPr>
        <w:t xml:space="preserve">the </w:t>
      </w:r>
      <w:r w:rsidR="006A3CF1">
        <w:rPr>
          <w:rFonts w:cs="Arial"/>
          <w:sz w:val="24"/>
          <w:szCs w:val="24"/>
        </w:rPr>
        <w:t>publication of identifying information</w:t>
      </w:r>
      <w:r w:rsidR="00D737DC">
        <w:rPr>
          <w:rFonts w:cs="Arial"/>
          <w:sz w:val="24"/>
          <w:szCs w:val="24"/>
        </w:rPr>
        <w:t>, and 17-year-</w:t>
      </w:r>
      <w:r w:rsidR="006A3CF1">
        <w:rPr>
          <w:rFonts w:cs="Arial"/>
          <w:sz w:val="24"/>
          <w:szCs w:val="24"/>
        </w:rPr>
        <w:t>olds in prison.</w:t>
      </w:r>
      <w:r w:rsidR="000014FF">
        <w:rPr>
          <w:rStyle w:val="FootnoteReference"/>
          <w:rFonts w:cs="Arial"/>
          <w:sz w:val="24"/>
          <w:szCs w:val="24"/>
        </w:rPr>
        <w:footnoteReference w:id="1"/>
      </w:r>
    </w:p>
    <w:p w:rsidR="006A3CF1" w:rsidRPr="006A3CF1" w:rsidRDefault="006A3CF1" w:rsidP="00524231">
      <w:pPr>
        <w:keepNext/>
        <w:rPr>
          <w:rFonts w:cs="Arial"/>
          <w:b/>
          <w:sz w:val="24"/>
          <w:szCs w:val="24"/>
        </w:rPr>
      </w:pPr>
      <w:r>
        <w:rPr>
          <w:rFonts w:cs="Arial"/>
          <w:b/>
          <w:sz w:val="24"/>
          <w:szCs w:val="24"/>
        </w:rPr>
        <w:t>Human rights and children</w:t>
      </w:r>
    </w:p>
    <w:p w:rsidR="006A3CF1" w:rsidRDefault="006A3CF1" w:rsidP="00265C89">
      <w:pPr>
        <w:spacing w:after="240"/>
        <w:rPr>
          <w:rFonts w:cs="Arial"/>
          <w:sz w:val="24"/>
          <w:szCs w:val="24"/>
        </w:rPr>
      </w:pPr>
      <w:r>
        <w:rPr>
          <w:rFonts w:cs="Arial"/>
          <w:sz w:val="24"/>
          <w:szCs w:val="24"/>
        </w:rPr>
        <w:t xml:space="preserve">The </w:t>
      </w:r>
      <w:r w:rsidRPr="00C17D11">
        <w:rPr>
          <w:rFonts w:cs="Arial"/>
          <w:i/>
          <w:sz w:val="24"/>
          <w:szCs w:val="24"/>
        </w:rPr>
        <w:t>Universal Declaration of Human Rights</w:t>
      </w:r>
      <w:r>
        <w:rPr>
          <w:rFonts w:cs="Arial"/>
          <w:sz w:val="24"/>
          <w:szCs w:val="24"/>
        </w:rPr>
        <w:t xml:space="preserve"> </w:t>
      </w:r>
      <w:r w:rsidR="00524231">
        <w:rPr>
          <w:rFonts w:cs="Arial"/>
          <w:sz w:val="24"/>
          <w:szCs w:val="24"/>
        </w:rPr>
        <w:t xml:space="preserve">at Article 25 </w:t>
      </w:r>
      <w:r w:rsidR="00F56D2D">
        <w:rPr>
          <w:rFonts w:cs="Arial"/>
          <w:sz w:val="24"/>
          <w:szCs w:val="24"/>
        </w:rPr>
        <w:t xml:space="preserve">asserts </w:t>
      </w:r>
      <w:r>
        <w:rPr>
          <w:rFonts w:cs="Arial"/>
          <w:sz w:val="24"/>
          <w:szCs w:val="24"/>
        </w:rPr>
        <w:t xml:space="preserve">that </w:t>
      </w:r>
      <w:r w:rsidR="00524231">
        <w:rPr>
          <w:rFonts w:cs="Arial"/>
          <w:sz w:val="24"/>
          <w:szCs w:val="24"/>
        </w:rPr>
        <w:t>‘</w:t>
      </w:r>
      <w:r>
        <w:rPr>
          <w:rFonts w:cs="Arial"/>
          <w:sz w:val="24"/>
          <w:szCs w:val="24"/>
        </w:rPr>
        <w:t>childhood is entitled to special care and assistance</w:t>
      </w:r>
      <w:r w:rsidR="00524231">
        <w:rPr>
          <w:rFonts w:cs="Arial"/>
          <w:sz w:val="24"/>
          <w:szCs w:val="24"/>
        </w:rPr>
        <w:t>’</w:t>
      </w:r>
      <w:r>
        <w:rPr>
          <w:rFonts w:cs="Arial"/>
          <w:sz w:val="24"/>
          <w:szCs w:val="24"/>
        </w:rPr>
        <w:t xml:space="preserve">, and children are specifically provided for in a number of the international human rights instruments to which Australia is a party.  The </w:t>
      </w:r>
      <w:r w:rsidRPr="00C17D11">
        <w:rPr>
          <w:rFonts w:cs="Arial"/>
          <w:i/>
          <w:sz w:val="24"/>
          <w:szCs w:val="24"/>
        </w:rPr>
        <w:t>International Covenant on Civil and Political Rights</w:t>
      </w:r>
      <w:r>
        <w:rPr>
          <w:rFonts w:cs="Arial"/>
          <w:sz w:val="24"/>
          <w:szCs w:val="24"/>
        </w:rPr>
        <w:t xml:space="preserve"> provides that every child shall have the right to such measures of protection as are required by their status as a minor, and </w:t>
      </w:r>
      <w:r w:rsidR="0089342F">
        <w:rPr>
          <w:rFonts w:cs="Arial"/>
          <w:sz w:val="24"/>
          <w:szCs w:val="24"/>
        </w:rPr>
        <w:t xml:space="preserve">the </w:t>
      </w:r>
      <w:r w:rsidRPr="00C17D11">
        <w:rPr>
          <w:rFonts w:cs="Arial"/>
          <w:i/>
          <w:sz w:val="24"/>
          <w:szCs w:val="24"/>
        </w:rPr>
        <w:t>International Covenant on Economic, Social and Cultural Rights</w:t>
      </w:r>
      <w:r>
        <w:rPr>
          <w:rFonts w:cs="Arial"/>
          <w:sz w:val="24"/>
          <w:szCs w:val="24"/>
        </w:rPr>
        <w:t xml:space="preserve"> </w:t>
      </w:r>
      <w:r w:rsidR="0089342F">
        <w:rPr>
          <w:rFonts w:cs="Arial"/>
          <w:sz w:val="24"/>
          <w:szCs w:val="24"/>
        </w:rPr>
        <w:t xml:space="preserve">recognises </w:t>
      </w:r>
      <w:r>
        <w:rPr>
          <w:rFonts w:cs="Arial"/>
          <w:sz w:val="24"/>
          <w:szCs w:val="24"/>
        </w:rPr>
        <w:t>that special measures of protection and assistance should be taken on behalf of chi</w:t>
      </w:r>
      <w:r w:rsidR="00C17D11">
        <w:rPr>
          <w:rFonts w:cs="Arial"/>
          <w:sz w:val="24"/>
          <w:szCs w:val="24"/>
        </w:rPr>
        <w:t>ldren and young persons.</w:t>
      </w:r>
    </w:p>
    <w:p w:rsidR="00C17D11" w:rsidRDefault="00C17D11" w:rsidP="00265C89">
      <w:pPr>
        <w:spacing w:after="240"/>
        <w:rPr>
          <w:rFonts w:cs="Arial"/>
          <w:sz w:val="24"/>
          <w:szCs w:val="24"/>
        </w:rPr>
      </w:pPr>
      <w:r>
        <w:rPr>
          <w:rFonts w:cs="Arial"/>
          <w:sz w:val="24"/>
          <w:szCs w:val="24"/>
        </w:rPr>
        <w:t xml:space="preserve">The </w:t>
      </w:r>
      <w:r w:rsidRPr="00C17D11">
        <w:rPr>
          <w:rFonts w:cs="Arial"/>
          <w:i/>
          <w:sz w:val="24"/>
          <w:szCs w:val="24"/>
        </w:rPr>
        <w:t>Convention on the Rights of the Child</w:t>
      </w:r>
      <w:r>
        <w:rPr>
          <w:rFonts w:cs="Arial"/>
          <w:sz w:val="24"/>
          <w:szCs w:val="24"/>
        </w:rPr>
        <w:t xml:space="preserve"> sets out a number of rights and protections of children</w:t>
      </w:r>
      <w:r w:rsidR="00746801">
        <w:rPr>
          <w:rFonts w:cs="Arial"/>
          <w:sz w:val="24"/>
          <w:szCs w:val="24"/>
        </w:rPr>
        <w:t>.  Importantly</w:t>
      </w:r>
      <w:r>
        <w:rPr>
          <w:rFonts w:cs="Arial"/>
          <w:sz w:val="24"/>
          <w:szCs w:val="24"/>
        </w:rPr>
        <w:t xml:space="preserve">, </w:t>
      </w:r>
      <w:r w:rsidR="0089342F">
        <w:rPr>
          <w:rFonts w:cs="Arial"/>
          <w:sz w:val="24"/>
          <w:szCs w:val="24"/>
        </w:rPr>
        <w:t>‘</w:t>
      </w:r>
      <w:r>
        <w:rPr>
          <w:rFonts w:cs="Arial"/>
          <w:sz w:val="24"/>
          <w:szCs w:val="24"/>
        </w:rPr>
        <w:t>child</w:t>
      </w:r>
      <w:r w:rsidR="0089342F">
        <w:rPr>
          <w:rFonts w:cs="Arial"/>
          <w:sz w:val="24"/>
          <w:szCs w:val="24"/>
        </w:rPr>
        <w:t>’</w:t>
      </w:r>
      <w:r>
        <w:rPr>
          <w:rFonts w:cs="Arial"/>
          <w:sz w:val="24"/>
          <w:szCs w:val="24"/>
        </w:rPr>
        <w:t xml:space="preserve"> </w:t>
      </w:r>
      <w:r w:rsidR="00746801">
        <w:rPr>
          <w:rFonts w:cs="Arial"/>
          <w:sz w:val="24"/>
          <w:szCs w:val="24"/>
        </w:rPr>
        <w:t xml:space="preserve">is defined </w:t>
      </w:r>
      <w:r>
        <w:rPr>
          <w:rFonts w:cs="Arial"/>
          <w:sz w:val="24"/>
          <w:szCs w:val="24"/>
        </w:rPr>
        <w:t>to mean every human being below the age of 18 years.</w:t>
      </w:r>
    </w:p>
    <w:p w:rsidR="00C17D11" w:rsidRPr="00C17D11" w:rsidRDefault="00C17D11" w:rsidP="00C17D11">
      <w:pPr>
        <w:keepNext/>
        <w:rPr>
          <w:rFonts w:cs="Arial"/>
          <w:b/>
          <w:sz w:val="24"/>
          <w:szCs w:val="24"/>
        </w:rPr>
      </w:pPr>
      <w:r w:rsidRPr="00C17D11">
        <w:rPr>
          <w:rFonts w:cs="Arial"/>
          <w:b/>
          <w:sz w:val="24"/>
          <w:szCs w:val="24"/>
        </w:rPr>
        <w:t>Sentencing principles</w:t>
      </w:r>
    </w:p>
    <w:p w:rsidR="00C17D11" w:rsidRDefault="00C17D11" w:rsidP="00265C89">
      <w:pPr>
        <w:spacing w:after="240"/>
        <w:rPr>
          <w:rFonts w:cs="Arial"/>
          <w:sz w:val="24"/>
          <w:szCs w:val="24"/>
        </w:rPr>
      </w:pPr>
      <w:r>
        <w:rPr>
          <w:rFonts w:cs="Arial"/>
          <w:sz w:val="24"/>
          <w:szCs w:val="24"/>
        </w:rPr>
        <w:t xml:space="preserve">The Bill restores </w:t>
      </w:r>
      <w:r w:rsidR="006473E5">
        <w:rPr>
          <w:rFonts w:cs="Arial"/>
          <w:sz w:val="24"/>
          <w:szCs w:val="24"/>
        </w:rPr>
        <w:t xml:space="preserve">to the </w:t>
      </w:r>
      <w:r w:rsidR="006473E5" w:rsidRPr="006473E5">
        <w:rPr>
          <w:rFonts w:cs="Arial"/>
          <w:i/>
          <w:sz w:val="24"/>
          <w:szCs w:val="24"/>
        </w:rPr>
        <w:t>Youth Justice Act</w:t>
      </w:r>
      <w:r w:rsidR="00CC14E4">
        <w:rPr>
          <w:rFonts w:cs="Arial"/>
          <w:i/>
          <w:sz w:val="24"/>
          <w:szCs w:val="24"/>
        </w:rPr>
        <w:t xml:space="preserve"> 1992</w:t>
      </w:r>
      <w:r w:rsidR="006473E5">
        <w:rPr>
          <w:rFonts w:cs="Arial"/>
          <w:sz w:val="24"/>
          <w:szCs w:val="24"/>
        </w:rPr>
        <w:t xml:space="preserve"> sentencing principles</w:t>
      </w:r>
      <w:r w:rsidR="0089342F">
        <w:rPr>
          <w:rFonts w:cs="Arial"/>
          <w:sz w:val="24"/>
          <w:szCs w:val="24"/>
        </w:rPr>
        <w:t>, namely</w:t>
      </w:r>
      <w:r w:rsidR="006473E5">
        <w:rPr>
          <w:rFonts w:cs="Arial"/>
          <w:sz w:val="24"/>
          <w:szCs w:val="24"/>
        </w:rPr>
        <w:t xml:space="preserve"> </w:t>
      </w:r>
      <w:r>
        <w:rPr>
          <w:rFonts w:cs="Arial"/>
          <w:sz w:val="24"/>
          <w:szCs w:val="24"/>
        </w:rPr>
        <w:t>that detentio</w:t>
      </w:r>
      <w:r w:rsidR="006473E5">
        <w:rPr>
          <w:rFonts w:cs="Arial"/>
          <w:sz w:val="24"/>
          <w:szCs w:val="24"/>
        </w:rPr>
        <w:t>n should be imposed only as a la</w:t>
      </w:r>
      <w:r>
        <w:rPr>
          <w:rFonts w:cs="Arial"/>
          <w:sz w:val="24"/>
          <w:szCs w:val="24"/>
        </w:rPr>
        <w:t xml:space="preserve">st resort and for the shortest </w:t>
      </w:r>
      <w:r>
        <w:rPr>
          <w:rFonts w:cs="Arial"/>
          <w:sz w:val="24"/>
          <w:szCs w:val="24"/>
        </w:rPr>
        <w:lastRenderedPageBreak/>
        <w:t>appropriate period, and that detention must be the only appropri</w:t>
      </w:r>
      <w:r w:rsidR="006473E5">
        <w:rPr>
          <w:rFonts w:cs="Arial"/>
          <w:sz w:val="24"/>
          <w:szCs w:val="24"/>
        </w:rPr>
        <w:t>ate sentence</w:t>
      </w:r>
      <w:r>
        <w:rPr>
          <w:rFonts w:cs="Arial"/>
          <w:sz w:val="24"/>
          <w:szCs w:val="24"/>
        </w:rPr>
        <w:t>.</w:t>
      </w:r>
      <w:r w:rsidR="006473E5">
        <w:rPr>
          <w:rFonts w:cs="Arial"/>
          <w:sz w:val="24"/>
          <w:szCs w:val="24"/>
        </w:rPr>
        <w:t xml:space="preserve">  </w:t>
      </w:r>
      <w:r w:rsidR="00046A96">
        <w:rPr>
          <w:rFonts w:cs="Arial"/>
          <w:sz w:val="24"/>
          <w:szCs w:val="24"/>
        </w:rPr>
        <w:t>The Bill</w:t>
      </w:r>
      <w:r w:rsidR="006473E5">
        <w:rPr>
          <w:rFonts w:cs="Arial"/>
          <w:sz w:val="24"/>
          <w:szCs w:val="24"/>
        </w:rPr>
        <w:t xml:space="preserve"> also restores the principle</w:t>
      </w:r>
      <w:r w:rsidR="00046A96">
        <w:rPr>
          <w:rFonts w:cs="Arial"/>
          <w:sz w:val="24"/>
          <w:szCs w:val="24"/>
        </w:rPr>
        <w:t>s</w:t>
      </w:r>
      <w:r w:rsidR="006473E5">
        <w:rPr>
          <w:rFonts w:cs="Arial"/>
          <w:sz w:val="24"/>
          <w:szCs w:val="24"/>
        </w:rPr>
        <w:t xml:space="preserve"> that a sentence of imprisonment should only be imposed as a last resort</w:t>
      </w:r>
      <w:r w:rsidR="001A205A">
        <w:rPr>
          <w:rFonts w:cs="Arial"/>
          <w:sz w:val="24"/>
          <w:szCs w:val="24"/>
        </w:rPr>
        <w:t>,</w:t>
      </w:r>
      <w:r w:rsidR="006473E5">
        <w:rPr>
          <w:rFonts w:cs="Arial"/>
          <w:sz w:val="24"/>
          <w:szCs w:val="24"/>
        </w:rPr>
        <w:t xml:space="preserve"> and a sentence</w:t>
      </w:r>
      <w:r w:rsidR="00046A96">
        <w:rPr>
          <w:rFonts w:cs="Arial"/>
          <w:sz w:val="24"/>
          <w:szCs w:val="24"/>
        </w:rPr>
        <w:t xml:space="preserve"> that allows the offender to stay in the community is preferable</w:t>
      </w:r>
      <w:r w:rsidR="00746801">
        <w:rPr>
          <w:rFonts w:cs="Arial"/>
          <w:sz w:val="24"/>
          <w:szCs w:val="24"/>
        </w:rPr>
        <w:t xml:space="preserve"> for sentencing adults and children aged 17 years and over</w:t>
      </w:r>
      <w:r w:rsidR="00046A96">
        <w:rPr>
          <w:rFonts w:cs="Arial"/>
          <w:sz w:val="24"/>
          <w:szCs w:val="24"/>
        </w:rPr>
        <w:t>.</w:t>
      </w:r>
    </w:p>
    <w:p w:rsidR="006473E5" w:rsidRDefault="006473E5" w:rsidP="00265C89">
      <w:pPr>
        <w:spacing w:after="240"/>
        <w:rPr>
          <w:rFonts w:cs="Arial"/>
          <w:sz w:val="24"/>
          <w:szCs w:val="24"/>
        </w:rPr>
      </w:pPr>
      <w:r>
        <w:rPr>
          <w:rFonts w:cs="Arial"/>
          <w:sz w:val="24"/>
          <w:szCs w:val="24"/>
        </w:rPr>
        <w:t>The Commission supports these amendments</w:t>
      </w:r>
      <w:r w:rsidR="00046A96">
        <w:rPr>
          <w:rFonts w:cs="Arial"/>
          <w:sz w:val="24"/>
          <w:szCs w:val="24"/>
        </w:rPr>
        <w:t xml:space="preserve">, and agrees that the principles </w:t>
      </w:r>
      <w:r w:rsidR="00CC14E4">
        <w:rPr>
          <w:rFonts w:cs="Arial"/>
          <w:sz w:val="24"/>
          <w:szCs w:val="24"/>
        </w:rPr>
        <w:t>should</w:t>
      </w:r>
      <w:r w:rsidR="00046A96">
        <w:rPr>
          <w:rFonts w:cs="Arial"/>
          <w:sz w:val="24"/>
          <w:szCs w:val="24"/>
        </w:rPr>
        <w:t xml:space="preserve"> apply to the sentencing of </w:t>
      </w:r>
      <w:r w:rsidR="00CC14E4">
        <w:rPr>
          <w:rFonts w:cs="Arial"/>
          <w:sz w:val="24"/>
          <w:szCs w:val="24"/>
        </w:rPr>
        <w:t xml:space="preserve">a </w:t>
      </w:r>
      <w:r w:rsidR="00046A96">
        <w:rPr>
          <w:rFonts w:cs="Arial"/>
          <w:sz w:val="24"/>
          <w:szCs w:val="24"/>
        </w:rPr>
        <w:t>child</w:t>
      </w:r>
      <w:r w:rsidR="001A205A">
        <w:rPr>
          <w:rFonts w:cs="Arial"/>
          <w:sz w:val="24"/>
          <w:szCs w:val="24"/>
        </w:rPr>
        <w:t>,</w:t>
      </w:r>
      <w:r w:rsidR="00046A96">
        <w:rPr>
          <w:rFonts w:cs="Arial"/>
          <w:sz w:val="24"/>
          <w:szCs w:val="24"/>
        </w:rPr>
        <w:t xml:space="preserve"> or other offender</w:t>
      </w:r>
      <w:r w:rsidR="001A205A">
        <w:rPr>
          <w:rFonts w:cs="Arial"/>
          <w:sz w:val="24"/>
          <w:szCs w:val="24"/>
        </w:rPr>
        <w:t>,</w:t>
      </w:r>
      <w:r w:rsidR="00046A96">
        <w:rPr>
          <w:rFonts w:cs="Arial"/>
          <w:sz w:val="24"/>
          <w:szCs w:val="24"/>
        </w:rPr>
        <w:t xml:space="preserve"> </w:t>
      </w:r>
      <w:r w:rsidR="00CC14E4">
        <w:rPr>
          <w:rFonts w:cs="Arial"/>
          <w:sz w:val="24"/>
          <w:szCs w:val="24"/>
        </w:rPr>
        <w:t>where</w:t>
      </w:r>
      <w:r w:rsidR="00046A96">
        <w:rPr>
          <w:rFonts w:cs="Arial"/>
          <w:sz w:val="24"/>
          <w:szCs w:val="24"/>
        </w:rPr>
        <w:t xml:space="preserve"> the offence or conviction happened before commencement</w:t>
      </w:r>
      <w:r w:rsidR="001A205A">
        <w:rPr>
          <w:rFonts w:cs="Arial"/>
          <w:sz w:val="24"/>
          <w:szCs w:val="24"/>
        </w:rPr>
        <w:t xml:space="preserve"> of the amendments</w:t>
      </w:r>
      <w:r w:rsidR="00046A96">
        <w:rPr>
          <w:rFonts w:cs="Arial"/>
          <w:sz w:val="24"/>
          <w:szCs w:val="24"/>
        </w:rPr>
        <w:t>, as provided for in the transitional provisions</w:t>
      </w:r>
      <w:r>
        <w:rPr>
          <w:rFonts w:cs="Arial"/>
          <w:sz w:val="24"/>
          <w:szCs w:val="24"/>
        </w:rPr>
        <w:t>.</w:t>
      </w:r>
      <w:r w:rsidR="00046A96">
        <w:rPr>
          <w:rStyle w:val="FootnoteReference"/>
          <w:rFonts w:cs="Arial"/>
          <w:sz w:val="24"/>
          <w:szCs w:val="24"/>
        </w:rPr>
        <w:footnoteReference w:id="2"/>
      </w:r>
    </w:p>
    <w:p w:rsidR="00732533" w:rsidRDefault="00732533" w:rsidP="00265C89">
      <w:pPr>
        <w:spacing w:after="240"/>
        <w:rPr>
          <w:rFonts w:cs="Arial"/>
          <w:sz w:val="24"/>
          <w:szCs w:val="24"/>
        </w:rPr>
      </w:pPr>
      <w:r>
        <w:rPr>
          <w:rFonts w:cs="Arial"/>
          <w:sz w:val="24"/>
          <w:szCs w:val="24"/>
        </w:rPr>
        <w:t xml:space="preserve">Sentencing as a last resort is embedded in the common law.  It is also specifically provided for in the </w:t>
      </w:r>
      <w:r w:rsidRPr="00394C2A">
        <w:rPr>
          <w:rFonts w:cs="Arial"/>
          <w:i/>
          <w:sz w:val="24"/>
          <w:szCs w:val="24"/>
        </w:rPr>
        <w:t>Convention of the Rights of the Child</w:t>
      </w:r>
      <w:r>
        <w:rPr>
          <w:rFonts w:cs="Arial"/>
          <w:sz w:val="24"/>
          <w:szCs w:val="24"/>
        </w:rPr>
        <w:t>.  Article 37(b) states:</w:t>
      </w:r>
    </w:p>
    <w:p w:rsidR="00732533" w:rsidRPr="00732533" w:rsidRDefault="00732533" w:rsidP="00732533">
      <w:pPr>
        <w:spacing w:after="240"/>
        <w:ind w:left="720" w:right="941"/>
        <w:rPr>
          <w:rFonts w:cs="Arial"/>
          <w:szCs w:val="22"/>
        </w:rPr>
      </w:pPr>
      <w:r>
        <w:rPr>
          <w:rFonts w:cs="Arial"/>
          <w:szCs w:val="22"/>
        </w:rPr>
        <w:t>No child shall be deprived of his or her liberty unlawfully or arbitrarily.  The arrest, detention or imprisonment of a child shall be in conformity with the law and shall be used only as a measure of last resort and for the shortest appropriate period of time.</w:t>
      </w:r>
    </w:p>
    <w:p w:rsidR="00732533" w:rsidRDefault="00C6242A" w:rsidP="00265C89">
      <w:pPr>
        <w:spacing w:after="240"/>
        <w:rPr>
          <w:rFonts w:cs="Arial"/>
          <w:sz w:val="24"/>
          <w:szCs w:val="24"/>
        </w:rPr>
      </w:pPr>
      <w:r>
        <w:rPr>
          <w:rFonts w:cs="Arial"/>
          <w:sz w:val="24"/>
          <w:szCs w:val="24"/>
        </w:rPr>
        <w:t>The principle of arrest and detention as a last resort has long been recognised as best practice policy.  Over 20 years ago</w:t>
      </w:r>
      <w:r w:rsidR="00EC7ADD">
        <w:rPr>
          <w:rFonts w:cs="Arial"/>
          <w:sz w:val="24"/>
          <w:szCs w:val="24"/>
        </w:rPr>
        <w:t>,</w:t>
      </w:r>
      <w:r>
        <w:rPr>
          <w:rFonts w:cs="Arial"/>
          <w:sz w:val="24"/>
          <w:szCs w:val="24"/>
        </w:rPr>
        <w:t xml:space="preserve"> the Royal Commission into Aboriginal Deaths in Custody recommended that imprisonment should be utilised only as a sanction of last resort</w:t>
      </w:r>
      <w:r w:rsidR="00370868">
        <w:rPr>
          <w:rStyle w:val="FootnoteReference"/>
          <w:rFonts w:cs="Arial"/>
          <w:sz w:val="24"/>
          <w:szCs w:val="24"/>
        </w:rPr>
        <w:footnoteReference w:id="3"/>
      </w:r>
      <w:r>
        <w:rPr>
          <w:rFonts w:cs="Arial"/>
          <w:sz w:val="24"/>
          <w:szCs w:val="24"/>
        </w:rPr>
        <w:t>, that Governments should ensure an appropriate range of non-custodial sentencing options is available</w:t>
      </w:r>
      <w:r w:rsidR="00370868">
        <w:rPr>
          <w:rStyle w:val="FootnoteReference"/>
          <w:rFonts w:cs="Arial"/>
          <w:sz w:val="24"/>
          <w:szCs w:val="24"/>
        </w:rPr>
        <w:footnoteReference w:id="4"/>
      </w:r>
      <w:r>
        <w:rPr>
          <w:rFonts w:cs="Arial"/>
          <w:sz w:val="24"/>
          <w:szCs w:val="24"/>
        </w:rPr>
        <w:t>, and that resources be available to ensure that non-custodial sentencing options are capable of implementation in practice</w:t>
      </w:r>
      <w:r w:rsidR="00370868">
        <w:rPr>
          <w:rStyle w:val="FootnoteReference"/>
          <w:rFonts w:cs="Arial"/>
          <w:sz w:val="24"/>
          <w:szCs w:val="24"/>
        </w:rPr>
        <w:footnoteReference w:id="5"/>
      </w:r>
      <w:r>
        <w:rPr>
          <w:rFonts w:cs="Arial"/>
          <w:sz w:val="24"/>
          <w:szCs w:val="24"/>
        </w:rPr>
        <w:t>.</w:t>
      </w:r>
    </w:p>
    <w:p w:rsidR="00370868" w:rsidRDefault="00370868" w:rsidP="00265C89">
      <w:pPr>
        <w:spacing w:after="240"/>
        <w:rPr>
          <w:rFonts w:cs="Arial"/>
          <w:sz w:val="24"/>
          <w:szCs w:val="24"/>
        </w:rPr>
      </w:pPr>
      <w:r>
        <w:rPr>
          <w:rFonts w:cs="Arial"/>
          <w:sz w:val="24"/>
          <w:szCs w:val="24"/>
        </w:rPr>
        <w:t>Research and studies consistently show that detention is the least effective option to reduce re-offending</w:t>
      </w:r>
      <w:r w:rsidR="00EC7ADD">
        <w:rPr>
          <w:rFonts w:cs="Arial"/>
          <w:sz w:val="24"/>
          <w:szCs w:val="24"/>
        </w:rPr>
        <w:t>,</w:t>
      </w:r>
      <w:r>
        <w:rPr>
          <w:rFonts w:cs="Arial"/>
          <w:sz w:val="24"/>
          <w:szCs w:val="24"/>
        </w:rPr>
        <w:t xml:space="preserve"> and an effective pathway to adult offending.</w:t>
      </w:r>
      <w:r>
        <w:rPr>
          <w:rStyle w:val="FootnoteReference"/>
          <w:rFonts w:cs="Arial"/>
          <w:sz w:val="24"/>
          <w:szCs w:val="24"/>
        </w:rPr>
        <w:footnoteReference w:id="6"/>
      </w:r>
    </w:p>
    <w:p w:rsidR="00A02560" w:rsidRPr="00A02560" w:rsidRDefault="00A02560" w:rsidP="00725AAD">
      <w:pPr>
        <w:keepNext/>
        <w:rPr>
          <w:rFonts w:cs="Arial"/>
          <w:b/>
          <w:sz w:val="24"/>
          <w:szCs w:val="24"/>
        </w:rPr>
      </w:pPr>
      <w:r w:rsidRPr="00A02560">
        <w:rPr>
          <w:rFonts w:cs="Arial"/>
          <w:b/>
          <w:sz w:val="24"/>
          <w:szCs w:val="24"/>
        </w:rPr>
        <w:t>Publication of identifying information</w:t>
      </w:r>
    </w:p>
    <w:p w:rsidR="00A02560" w:rsidRDefault="00E30567" w:rsidP="00265C89">
      <w:pPr>
        <w:spacing w:after="240"/>
        <w:rPr>
          <w:rFonts w:cs="Arial"/>
          <w:sz w:val="24"/>
          <w:szCs w:val="24"/>
        </w:rPr>
      </w:pPr>
      <w:r>
        <w:rPr>
          <w:rFonts w:cs="Arial"/>
          <w:sz w:val="24"/>
          <w:szCs w:val="24"/>
        </w:rPr>
        <w:t xml:space="preserve">The 2014 reforms allowed the identity of repeat offenders to be </w:t>
      </w:r>
      <w:proofErr w:type="gramStart"/>
      <w:r>
        <w:rPr>
          <w:rFonts w:cs="Arial"/>
          <w:sz w:val="24"/>
          <w:szCs w:val="24"/>
        </w:rPr>
        <w:t>published</w:t>
      </w:r>
      <w:r w:rsidR="00AB7DAC">
        <w:rPr>
          <w:rFonts w:cs="Arial"/>
          <w:sz w:val="24"/>
          <w:szCs w:val="24"/>
        </w:rPr>
        <w:t>,</w:t>
      </w:r>
      <w:proofErr w:type="gramEnd"/>
      <w:r>
        <w:rPr>
          <w:rFonts w:cs="Arial"/>
          <w:sz w:val="24"/>
          <w:szCs w:val="24"/>
        </w:rPr>
        <w:t xml:space="preserve"> and required proceedings involving a child with a previous conviction to be held in public.  The Bill restores the prohibition on publication of information identifying repeat offenders while maintaining the discretion for the court to allow publication in relation to violent and particularly heinous crimes</w:t>
      </w:r>
      <w:r w:rsidR="00AB7DAC">
        <w:rPr>
          <w:rFonts w:cs="Arial"/>
          <w:sz w:val="24"/>
          <w:szCs w:val="24"/>
        </w:rPr>
        <w:t>,</w:t>
      </w:r>
      <w:r>
        <w:rPr>
          <w:rFonts w:cs="Arial"/>
          <w:sz w:val="24"/>
          <w:szCs w:val="24"/>
        </w:rPr>
        <w:t xml:space="preserve"> when it is in the public interest to do so.</w:t>
      </w:r>
    </w:p>
    <w:p w:rsidR="00E30567" w:rsidRDefault="00E30567" w:rsidP="00265C89">
      <w:pPr>
        <w:spacing w:after="240"/>
        <w:rPr>
          <w:rFonts w:cs="Arial"/>
          <w:sz w:val="24"/>
          <w:szCs w:val="24"/>
        </w:rPr>
      </w:pPr>
      <w:r>
        <w:rPr>
          <w:rFonts w:cs="Arial"/>
          <w:sz w:val="24"/>
          <w:szCs w:val="24"/>
        </w:rPr>
        <w:t xml:space="preserve">The Commission supports the restoration of the general prohibition on the publication of identifying information of children dealt with under the </w:t>
      </w:r>
      <w:r w:rsidRPr="00E30567">
        <w:rPr>
          <w:rFonts w:cs="Arial"/>
          <w:i/>
          <w:sz w:val="24"/>
          <w:szCs w:val="24"/>
        </w:rPr>
        <w:t>Youth Justice Act 1992</w:t>
      </w:r>
      <w:r>
        <w:rPr>
          <w:rFonts w:cs="Arial"/>
          <w:sz w:val="24"/>
          <w:szCs w:val="24"/>
        </w:rPr>
        <w:t xml:space="preserve">.  </w:t>
      </w:r>
      <w:r w:rsidR="00725AAD">
        <w:rPr>
          <w:rFonts w:cs="Arial"/>
          <w:sz w:val="24"/>
          <w:szCs w:val="24"/>
        </w:rPr>
        <w:t>The removal of the p</w:t>
      </w:r>
      <w:r w:rsidR="00031F5D">
        <w:rPr>
          <w:rFonts w:cs="Arial"/>
          <w:sz w:val="24"/>
          <w:szCs w:val="24"/>
        </w:rPr>
        <w:t>r</w:t>
      </w:r>
      <w:r w:rsidR="00725AAD">
        <w:rPr>
          <w:rFonts w:cs="Arial"/>
          <w:sz w:val="24"/>
          <w:szCs w:val="24"/>
        </w:rPr>
        <w:t>ohibition</w:t>
      </w:r>
      <w:r>
        <w:rPr>
          <w:rFonts w:cs="Arial"/>
          <w:sz w:val="24"/>
          <w:szCs w:val="24"/>
        </w:rPr>
        <w:t xml:space="preserve"> was inconsistent with the </w:t>
      </w:r>
      <w:r w:rsidR="00475DCB" w:rsidRPr="00475DCB">
        <w:rPr>
          <w:rFonts w:cs="Arial"/>
          <w:i/>
          <w:sz w:val="24"/>
          <w:szCs w:val="24"/>
        </w:rPr>
        <w:t>Convention on the Rights of the Child</w:t>
      </w:r>
      <w:r w:rsidR="00475DCB">
        <w:rPr>
          <w:rFonts w:cs="Arial"/>
          <w:sz w:val="24"/>
          <w:szCs w:val="24"/>
        </w:rPr>
        <w:t xml:space="preserve"> and the </w:t>
      </w:r>
      <w:r w:rsidR="00031F5D">
        <w:rPr>
          <w:rFonts w:cs="Arial"/>
          <w:sz w:val="24"/>
          <w:szCs w:val="24"/>
        </w:rPr>
        <w:t xml:space="preserve">United Nations </w:t>
      </w:r>
      <w:r w:rsidR="00031F5D" w:rsidRPr="00031F5D">
        <w:rPr>
          <w:rFonts w:cs="Arial"/>
          <w:i/>
          <w:sz w:val="24"/>
          <w:szCs w:val="24"/>
        </w:rPr>
        <w:t>Standard Minimum Rules for the Administration of Juvenile Justice 198</w:t>
      </w:r>
      <w:r w:rsidR="00031F5D">
        <w:rPr>
          <w:rFonts w:cs="Arial"/>
          <w:i/>
          <w:sz w:val="24"/>
          <w:szCs w:val="24"/>
        </w:rPr>
        <w:t>5</w:t>
      </w:r>
      <w:r w:rsidR="00031F5D">
        <w:rPr>
          <w:rFonts w:cs="Arial"/>
          <w:sz w:val="24"/>
          <w:szCs w:val="24"/>
        </w:rPr>
        <w:t xml:space="preserve"> (the </w:t>
      </w:r>
      <w:r w:rsidR="00475DCB">
        <w:rPr>
          <w:rFonts w:cs="Arial"/>
          <w:sz w:val="24"/>
          <w:szCs w:val="24"/>
        </w:rPr>
        <w:t>Beijing Rules</w:t>
      </w:r>
      <w:r w:rsidR="00031F5D">
        <w:rPr>
          <w:rFonts w:cs="Arial"/>
          <w:sz w:val="24"/>
          <w:szCs w:val="24"/>
        </w:rPr>
        <w:t>)</w:t>
      </w:r>
      <w:r w:rsidR="00475DCB">
        <w:rPr>
          <w:rFonts w:cs="Arial"/>
          <w:sz w:val="24"/>
          <w:szCs w:val="24"/>
        </w:rPr>
        <w:t>.</w:t>
      </w:r>
      <w:r w:rsidR="00031F5D">
        <w:rPr>
          <w:rFonts w:cs="Arial"/>
          <w:sz w:val="24"/>
          <w:szCs w:val="24"/>
        </w:rPr>
        <w:t xml:space="preserve">  The </w:t>
      </w:r>
      <w:r w:rsidR="00031F5D" w:rsidRPr="00031F5D">
        <w:rPr>
          <w:rFonts w:cs="Arial"/>
          <w:i/>
          <w:sz w:val="24"/>
          <w:szCs w:val="24"/>
        </w:rPr>
        <w:t>Convention</w:t>
      </w:r>
      <w:r w:rsidR="00031F5D">
        <w:rPr>
          <w:rFonts w:cs="Arial"/>
          <w:sz w:val="24"/>
          <w:szCs w:val="24"/>
        </w:rPr>
        <w:t xml:space="preserve"> requires that every child accused of having infringed </w:t>
      </w:r>
      <w:r w:rsidR="00AB7DAC">
        <w:rPr>
          <w:rFonts w:cs="Arial"/>
          <w:sz w:val="24"/>
          <w:szCs w:val="24"/>
        </w:rPr>
        <w:t>the penal law has</w:t>
      </w:r>
      <w:r w:rsidR="00031F5D">
        <w:rPr>
          <w:rFonts w:cs="Arial"/>
          <w:sz w:val="24"/>
          <w:szCs w:val="24"/>
        </w:rPr>
        <w:t xml:space="preserve"> the guarantee </w:t>
      </w:r>
      <w:r w:rsidR="00AB7DAC">
        <w:rPr>
          <w:rFonts w:cs="Arial"/>
          <w:sz w:val="24"/>
          <w:szCs w:val="24"/>
        </w:rPr>
        <w:t>that</w:t>
      </w:r>
      <w:r w:rsidR="00031F5D">
        <w:rPr>
          <w:rFonts w:cs="Arial"/>
          <w:sz w:val="24"/>
          <w:szCs w:val="24"/>
        </w:rPr>
        <w:t xml:space="preserve"> their privacy </w:t>
      </w:r>
      <w:r w:rsidR="00AB7DAC">
        <w:rPr>
          <w:rFonts w:cs="Arial"/>
          <w:sz w:val="24"/>
          <w:szCs w:val="24"/>
        </w:rPr>
        <w:t xml:space="preserve">will be </w:t>
      </w:r>
      <w:r w:rsidR="00031F5D">
        <w:rPr>
          <w:rFonts w:cs="Arial"/>
          <w:sz w:val="24"/>
          <w:szCs w:val="24"/>
        </w:rPr>
        <w:t xml:space="preserve">fully respected at all </w:t>
      </w:r>
      <w:r w:rsidR="00031F5D">
        <w:rPr>
          <w:rFonts w:cs="Arial"/>
          <w:sz w:val="24"/>
          <w:szCs w:val="24"/>
        </w:rPr>
        <w:lastRenderedPageBreak/>
        <w:t>stages of the proceedings</w:t>
      </w:r>
      <w:r w:rsidR="00031F5D">
        <w:rPr>
          <w:rStyle w:val="FootnoteReference"/>
          <w:rFonts w:cs="Arial"/>
          <w:sz w:val="24"/>
          <w:szCs w:val="24"/>
        </w:rPr>
        <w:footnoteReference w:id="7"/>
      </w:r>
      <w:r w:rsidR="00031F5D">
        <w:rPr>
          <w:rFonts w:cs="Arial"/>
          <w:sz w:val="24"/>
          <w:szCs w:val="24"/>
        </w:rPr>
        <w:t>, and the Beijing Rules prohibit the publication of identifying information</w:t>
      </w:r>
      <w:r w:rsidR="00AB7DAC">
        <w:rPr>
          <w:rFonts w:cs="Arial"/>
          <w:sz w:val="24"/>
          <w:szCs w:val="24"/>
        </w:rPr>
        <w:t>,</w:t>
      </w:r>
      <w:r w:rsidR="00031F5D">
        <w:rPr>
          <w:rFonts w:cs="Arial"/>
          <w:sz w:val="24"/>
          <w:szCs w:val="24"/>
        </w:rPr>
        <w:t xml:space="preserve"> and require records of juvenile offenders to be kept strictly confidential</w:t>
      </w:r>
      <w:r w:rsidR="00031F5D">
        <w:rPr>
          <w:rStyle w:val="FootnoteReference"/>
          <w:rFonts w:cs="Arial"/>
          <w:sz w:val="24"/>
          <w:szCs w:val="24"/>
        </w:rPr>
        <w:footnoteReference w:id="8"/>
      </w:r>
      <w:r w:rsidR="00031F5D">
        <w:rPr>
          <w:rFonts w:cs="Arial"/>
          <w:sz w:val="24"/>
          <w:szCs w:val="24"/>
        </w:rPr>
        <w:t>.</w:t>
      </w:r>
    </w:p>
    <w:p w:rsidR="00031F5D" w:rsidRDefault="00031F5D" w:rsidP="00265C89">
      <w:pPr>
        <w:spacing w:after="240"/>
        <w:rPr>
          <w:rFonts w:cs="Arial"/>
          <w:sz w:val="24"/>
          <w:szCs w:val="24"/>
        </w:rPr>
      </w:pPr>
      <w:r>
        <w:rPr>
          <w:rFonts w:cs="Arial"/>
          <w:sz w:val="24"/>
          <w:szCs w:val="24"/>
        </w:rPr>
        <w:t xml:space="preserve">Young people are particularly susceptible to stigmatisation, and </w:t>
      </w:r>
      <w:r w:rsidR="00F3417A">
        <w:rPr>
          <w:rFonts w:cs="Arial"/>
          <w:sz w:val="24"/>
          <w:szCs w:val="24"/>
        </w:rPr>
        <w:t xml:space="preserve">may </w:t>
      </w:r>
      <w:r>
        <w:rPr>
          <w:rFonts w:cs="Arial"/>
          <w:sz w:val="24"/>
          <w:szCs w:val="24"/>
        </w:rPr>
        <w:t xml:space="preserve">experience adverse effects from </w:t>
      </w:r>
      <w:r w:rsidR="00F3417A">
        <w:rPr>
          <w:rFonts w:cs="Arial"/>
          <w:sz w:val="24"/>
          <w:szCs w:val="24"/>
        </w:rPr>
        <w:t xml:space="preserve">being </w:t>
      </w:r>
      <w:r>
        <w:rPr>
          <w:rFonts w:cs="Arial"/>
          <w:sz w:val="24"/>
          <w:szCs w:val="24"/>
        </w:rPr>
        <w:t>labell</w:t>
      </w:r>
      <w:r w:rsidR="00F3417A">
        <w:rPr>
          <w:rFonts w:cs="Arial"/>
          <w:sz w:val="24"/>
          <w:szCs w:val="24"/>
        </w:rPr>
        <w:t>ed</w:t>
      </w:r>
      <w:r>
        <w:rPr>
          <w:rFonts w:cs="Arial"/>
          <w:sz w:val="24"/>
          <w:szCs w:val="24"/>
        </w:rPr>
        <w:t xml:space="preserve"> as ‘delinquent’ or ‘criminal’</w:t>
      </w:r>
      <w:r w:rsidR="00AB7DAC">
        <w:rPr>
          <w:rFonts w:cs="Arial"/>
          <w:sz w:val="24"/>
          <w:szCs w:val="24"/>
        </w:rPr>
        <w:t>,</w:t>
      </w:r>
      <w:r w:rsidR="00F3417A">
        <w:rPr>
          <w:rFonts w:cs="Arial"/>
          <w:sz w:val="24"/>
          <w:szCs w:val="24"/>
        </w:rPr>
        <w:t xml:space="preserve"> and from publication in the media</w:t>
      </w:r>
      <w:r w:rsidR="00AB7DAC">
        <w:rPr>
          <w:rFonts w:cs="Arial"/>
          <w:sz w:val="24"/>
          <w:szCs w:val="24"/>
        </w:rPr>
        <w:t xml:space="preserve"> of information about the case</w:t>
      </w:r>
      <w:r w:rsidR="00F3417A">
        <w:rPr>
          <w:rFonts w:cs="Arial"/>
          <w:sz w:val="24"/>
          <w:szCs w:val="24"/>
        </w:rPr>
        <w:t>.</w:t>
      </w:r>
    </w:p>
    <w:p w:rsidR="00A02560" w:rsidRDefault="00E30567" w:rsidP="00265C89">
      <w:pPr>
        <w:spacing w:after="240"/>
        <w:rPr>
          <w:rFonts w:cs="Arial"/>
          <w:sz w:val="24"/>
          <w:szCs w:val="24"/>
        </w:rPr>
      </w:pPr>
      <w:r>
        <w:rPr>
          <w:rFonts w:cs="Arial"/>
          <w:sz w:val="24"/>
          <w:szCs w:val="24"/>
        </w:rPr>
        <w:t xml:space="preserve">The Commission notes </w:t>
      </w:r>
      <w:r w:rsidR="00275887">
        <w:rPr>
          <w:rFonts w:cs="Arial"/>
          <w:sz w:val="24"/>
          <w:szCs w:val="24"/>
        </w:rPr>
        <w:t xml:space="preserve">that the Bill is the first stage of legislative reform of youth justice, and that the second stage in early 2016 will include the repeal of open proceedings of the </w:t>
      </w:r>
      <w:proofErr w:type="spellStart"/>
      <w:r w:rsidR="00275887">
        <w:rPr>
          <w:rFonts w:cs="Arial"/>
          <w:sz w:val="24"/>
          <w:szCs w:val="24"/>
        </w:rPr>
        <w:t>Childrens</w:t>
      </w:r>
      <w:proofErr w:type="spellEnd"/>
      <w:r w:rsidR="00275887">
        <w:rPr>
          <w:rFonts w:cs="Arial"/>
          <w:sz w:val="24"/>
          <w:szCs w:val="24"/>
        </w:rPr>
        <w:t xml:space="preserve"> Court.</w:t>
      </w:r>
      <w:r w:rsidR="001E44F2">
        <w:rPr>
          <w:rStyle w:val="FootnoteReference"/>
          <w:rFonts w:cs="Arial"/>
          <w:sz w:val="24"/>
          <w:szCs w:val="24"/>
        </w:rPr>
        <w:footnoteReference w:id="9"/>
      </w:r>
      <w:r w:rsidR="00275887">
        <w:rPr>
          <w:rFonts w:cs="Arial"/>
          <w:sz w:val="24"/>
          <w:szCs w:val="24"/>
        </w:rPr>
        <w:t xml:space="preserve">  This will be another important measure for ensuring the privacy of young people in the criminal justice system.</w:t>
      </w:r>
    </w:p>
    <w:p w:rsidR="00A02560" w:rsidRPr="00A02560" w:rsidRDefault="00AB7DAC" w:rsidP="00725AAD">
      <w:pPr>
        <w:keepNext/>
        <w:rPr>
          <w:rFonts w:cs="Arial"/>
          <w:b/>
          <w:sz w:val="24"/>
          <w:szCs w:val="24"/>
        </w:rPr>
      </w:pPr>
      <w:r>
        <w:rPr>
          <w:rFonts w:cs="Arial"/>
          <w:b/>
          <w:sz w:val="24"/>
          <w:szCs w:val="24"/>
        </w:rPr>
        <w:t>17-year-</w:t>
      </w:r>
      <w:r w:rsidR="00A02560" w:rsidRPr="00A02560">
        <w:rPr>
          <w:rFonts w:cs="Arial"/>
          <w:b/>
          <w:sz w:val="24"/>
          <w:szCs w:val="24"/>
        </w:rPr>
        <w:t>olds in adult prisons</w:t>
      </w:r>
    </w:p>
    <w:p w:rsidR="00823316" w:rsidRDefault="00823316" w:rsidP="00265C89">
      <w:pPr>
        <w:spacing w:after="240"/>
        <w:rPr>
          <w:rFonts w:cs="Arial"/>
          <w:sz w:val="24"/>
          <w:szCs w:val="24"/>
        </w:rPr>
      </w:pPr>
      <w:r>
        <w:rPr>
          <w:rFonts w:cs="Arial"/>
          <w:sz w:val="24"/>
          <w:szCs w:val="24"/>
        </w:rPr>
        <w:t>Queensland is the only jurisdiction in Australia where 17-year-olds are treated as adults in the criminal justice system</w:t>
      </w:r>
      <w:r w:rsidR="0009714B">
        <w:rPr>
          <w:rFonts w:cs="Arial"/>
          <w:sz w:val="24"/>
          <w:szCs w:val="24"/>
        </w:rPr>
        <w:t xml:space="preserve">.  This is contrary to the </w:t>
      </w:r>
      <w:r w:rsidR="0009714B" w:rsidRPr="00AB7DAC">
        <w:rPr>
          <w:rFonts w:cs="Arial"/>
          <w:i/>
          <w:sz w:val="24"/>
          <w:szCs w:val="24"/>
        </w:rPr>
        <w:t>Convention on the Rights of the Child</w:t>
      </w:r>
      <w:r w:rsidR="0009714B">
        <w:rPr>
          <w:rFonts w:cs="Arial"/>
          <w:sz w:val="24"/>
          <w:szCs w:val="24"/>
        </w:rPr>
        <w:t>, which requires that children in detention are separated from adults</w:t>
      </w:r>
      <w:r w:rsidR="00AB7DAC">
        <w:rPr>
          <w:rFonts w:cs="Arial"/>
          <w:sz w:val="24"/>
          <w:szCs w:val="24"/>
        </w:rPr>
        <w:t>,</w:t>
      </w:r>
      <w:r w:rsidR="0009714B">
        <w:rPr>
          <w:rFonts w:cs="Arial"/>
          <w:sz w:val="24"/>
          <w:szCs w:val="24"/>
        </w:rPr>
        <w:t xml:space="preserve"> unless it is considered in the child’s best interest not to do so.</w:t>
      </w:r>
      <w:r w:rsidR="0009714B">
        <w:rPr>
          <w:rStyle w:val="FootnoteReference"/>
          <w:rFonts w:cs="Arial"/>
          <w:sz w:val="24"/>
          <w:szCs w:val="24"/>
        </w:rPr>
        <w:footnoteReference w:id="10"/>
      </w:r>
      <w:r w:rsidR="0009714B">
        <w:rPr>
          <w:rFonts w:cs="Arial"/>
          <w:sz w:val="24"/>
          <w:szCs w:val="24"/>
        </w:rPr>
        <w:t xml:space="preserve">  Australia’</w:t>
      </w:r>
      <w:r w:rsidR="00AB7DAC">
        <w:rPr>
          <w:rFonts w:cs="Arial"/>
          <w:sz w:val="24"/>
          <w:szCs w:val="24"/>
        </w:rPr>
        <w:t>s</w:t>
      </w:r>
      <w:r w:rsidR="0009714B">
        <w:rPr>
          <w:rFonts w:cs="Arial"/>
          <w:sz w:val="24"/>
          <w:szCs w:val="24"/>
        </w:rPr>
        <w:t xml:space="preserve"> reservation to the article is limited to </w:t>
      </w:r>
      <w:r w:rsidR="00AB7DAC">
        <w:rPr>
          <w:rFonts w:cs="Arial"/>
          <w:sz w:val="24"/>
          <w:szCs w:val="24"/>
        </w:rPr>
        <w:t>maintaining</w:t>
      </w:r>
      <w:r w:rsidR="0009714B">
        <w:rPr>
          <w:rFonts w:cs="Arial"/>
          <w:sz w:val="24"/>
          <w:szCs w:val="24"/>
        </w:rPr>
        <w:t xml:space="preserve"> contact with families</w:t>
      </w:r>
      <w:r w:rsidR="00AB7DAC">
        <w:rPr>
          <w:rFonts w:cs="Arial"/>
          <w:sz w:val="24"/>
          <w:szCs w:val="24"/>
        </w:rPr>
        <w:t>,</w:t>
      </w:r>
      <w:r w:rsidR="0009714B">
        <w:rPr>
          <w:rFonts w:cs="Arial"/>
          <w:sz w:val="24"/>
          <w:szCs w:val="24"/>
        </w:rPr>
        <w:t xml:space="preserve"> having regard to the geography and demography of Australia.</w:t>
      </w:r>
    </w:p>
    <w:p w:rsidR="0009714B" w:rsidRDefault="0009714B" w:rsidP="00265C89">
      <w:pPr>
        <w:spacing w:after="240"/>
        <w:rPr>
          <w:rFonts w:cs="Arial"/>
          <w:sz w:val="24"/>
          <w:szCs w:val="24"/>
        </w:rPr>
      </w:pPr>
      <w:r>
        <w:rPr>
          <w:rFonts w:cs="Arial"/>
          <w:sz w:val="24"/>
          <w:szCs w:val="24"/>
        </w:rPr>
        <w:t xml:space="preserve">When the Juvenile Justice Bill 1992 (now the </w:t>
      </w:r>
      <w:r w:rsidRPr="009515BF">
        <w:rPr>
          <w:rFonts w:cs="Arial"/>
          <w:i/>
          <w:sz w:val="24"/>
          <w:szCs w:val="24"/>
        </w:rPr>
        <w:t>Youth Justice Act 1992</w:t>
      </w:r>
      <w:r>
        <w:rPr>
          <w:rFonts w:cs="Arial"/>
          <w:sz w:val="24"/>
          <w:szCs w:val="24"/>
        </w:rPr>
        <w:t>) was introduced in 1992</w:t>
      </w:r>
      <w:r w:rsidR="008549D6">
        <w:rPr>
          <w:rFonts w:cs="Arial"/>
          <w:sz w:val="24"/>
          <w:szCs w:val="24"/>
        </w:rPr>
        <w:t>,</w:t>
      </w:r>
      <w:r>
        <w:rPr>
          <w:rFonts w:cs="Arial"/>
          <w:sz w:val="24"/>
          <w:szCs w:val="24"/>
        </w:rPr>
        <w:t xml:space="preserve"> the government of the day intended that 17-year-old children would be dealt with in the juvenile</w:t>
      </w:r>
      <w:r w:rsidR="008549D6">
        <w:rPr>
          <w:rFonts w:cs="Arial"/>
          <w:sz w:val="24"/>
          <w:szCs w:val="24"/>
        </w:rPr>
        <w:t>,</w:t>
      </w:r>
      <w:r>
        <w:rPr>
          <w:rFonts w:cs="Arial"/>
          <w:sz w:val="24"/>
          <w:szCs w:val="24"/>
        </w:rPr>
        <w:t xml:space="preserve"> rather than the adult</w:t>
      </w:r>
      <w:r w:rsidR="008549D6">
        <w:rPr>
          <w:rFonts w:cs="Arial"/>
          <w:sz w:val="24"/>
          <w:szCs w:val="24"/>
        </w:rPr>
        <w:t>,</w:t>
      </w:r>
      <w:r>
        <w:rPr>
          <w:rFonts w:cs="Arial"/>
          <w:sz w:val="24"/>
          <w:szCs w:val="24"/>
        </w:rPr>
        <w:t xml:space="preserve"> justice system</w:t>
      </w:r>
      <w:r w:rsidR="00A93D66">
        <w:rPr>
          <w:rFonts w:cs="Arial"/>
          <w:sz w:val="24"/>
          <w:szCs w:val="24"/>
        </w:rPr>
        <w:t xml:space="preserve"> in accordance with the 1988 Kennedy report into prisons.  In the second reading speech the then Minister for Family Services and Aboriginal and Islander Affairs, Mrs Anne Warner, said:</w:t>
      </w:r>
    </w:p>
    <w:p w:rsidR="00A93D66" w:rsidRPr="00A93D66" w:rsidRDefault="00A93D66" w:rsidP="00A93D66">
      <w:pPr>
        <w:spacing w:after="240"/>
        <w:ind w:left="720" w:right="941"/>
        <w:rPr>
          <w:rFonts w:cs="Arial"/>
          <w:szCs w:val="22"/>
        </w:rPr>
      </w:pPr>
      <w:r>
        <w:rPr>
          <w:rFonts w:cs="Arial"/>
          <w:szCs w:val="22"/>
        </w:rPr>
        <w:t>…This is consistent with the age of majority and avoids such children being exposed to the effects of adults in prisons, thereby increasing their chances of remaining in the system and becoming recidivists.  This change will occur at an appropriate time in the future.</w:t>
      </w:r>
    </w:p>
    <w:p w:rsidR="00C67512" w:rsidRDefault="00C67512" w:rsidP="00265C89">
      <w:pPr>
        <w:spacing w:after="240"/>
        <w:rPr>
          <w:rFonts w:cs="Arial"/>
          <w:sz w:val="24"/>
          <w:szCs w:val="24"/>
        </w:rPr>
      </w:pPr>
      <w:r>
        <w:rPr>
          <w:rFonts w:cs="Arial"/>
          <w:sz w:val="24"/>
          <w:szCs w:val="24"/>
        </w:rPr>
        <w:t>That</w:t>
      </w:r>
      <w:r w:rsidR="00A93D66">
        <w:rPr>
          <w:rFonts w:cs="Arial"/>
          <w:sz w:val="24"/>
          <w:szCs w:val="24"/>
        </w:rPr>
        <w:t xml:space="preserve"> intention is evident in the drafting of section 6</w:t>
      </w:r>
      <w:r w:rsidR="008549D6">
        <w:rPr>
          <w:rFonts w:cs="Arial"/>
          <w:sz w:val="24"/>
          <w:szCs w:val="24"/>
        </w:rPr>
        <w:t>,</w:t>
      </w:r>
      <w:r w:rsidR="00A93D66">
        <w:rPr>
          <w:rFonts w:cs="Arial"/>
          <w:sz w:val="24"/>
          <w:szCs w:val="24"/>
        </w:rPr>
        <w:t xml:space="preserve"> </w:t>
      </w:r>
      <w:r w:rsidR="009515BF">
        <w:rPr>
          <w:rFonts w:cs="Arial"/>
          <w:sz w:val="24"/>
          <w:szCs w:val="24"/>
        </w:rPr>
        <w:t xml:space="preserve">and </w:t>
      </w:r>
      <w:r w:rsidR="008549D6">
        <w:rPr>
          <w:rFonts w:cs="Arial"/>
          <w:sz w:val="24"/>
          <w:szCs w:val="24"/>
        </w:rPr>
        <w:t xml:space="preserve">in </w:t>
      </w:r>
      <w:r w:rsidR="009515BF">
        <w:rPr>
          <w:rFonts w:cs="Arial"/>
          <w:sz w:val="24"/>
          <w:szCs w:val="24"/>
        </w:rPr>
        <w:t xml:space="preserve">the definition of </w:t>
      </w:r>
      <w:r w:rsidR="008549D6">
        <w:rPr>
          <w:rFonts w:cs="Arial"/>
          <w:sz w:val="24"/>
          <w:szCs w:val="24"/>
        </w:rPr>
        <w:t>‘</w:t>
      </w:r>
      <w:r w:rsidR="009515BF">
        <w:rPr>
          <w:rFonts w:cs="Arial"/>
          <w:sz w:val="24"/>
          <w:szCs w:val="24"/>
        </w:rPr>
        <w:t>child</w:t>
      </w:r>
      <w:r w:rsidR="008549D6">
        <w:rPr>
          <w:rFonts w:cs="Arial"/>
          <w:sz w:val="24"/>
          <w:szCs w:val="24"/>
        </w:rPr>
        <w:t>’</w:t>
      </w:r>
      <w:r w:rsidR="009515BF">
        <w:rPr>
          <w:rFonts w:cs="Arial"/>
          <w:sz w:val="24"/>
          <w:szCs w:val="24"/>
        </w:rPr>
        <w:t xml:space="preserve"> in </w:t>
      </w:r>
      <w:r w:rsidR="00A93D66">
        <w:rPr>
          <w:rFonts w:cs="Arial"/>
          <w:sz w:val="24"/>
          <w:szCs w:val="24"/>
        </w:rPr>
        <w:t xml:space="preserve">the </w:t>
      </w:r>
      <w:r w:rsidR="00A93D66" w:rsidRPr="009515BF">
        <w:rPr>
          <w:rFonts w:cs="Arial"/>
          <w:i/>
          <w:sz w:val="24"/>
          <w:szCs w:val="24"/>
        </w:rPr>
        <w:t xml:space="preserve">Youth Justice Act </w:t>
      </w:r>
      <w:r w:rsidR="009515BF" w:rsidRPr="009515BF">
        <w:rPr>
          <w:rFonts w:cs="Arial"/>
          <w:i/>
          <w:sz w:val="24"/>
          <w:szCs w:val="24"/>
        </w:rPr>
        <w:t>1992</w:t>
      </w:r>
      <w:r w:rsidR="009515BF">
        <w:rPr>
          <w:rFonts w:cs="Arial"/>
          <w:sz w:val="24"/>
          <w:szCs w:val="24"/>
        </w:rPr>
        <w:t>.  These provisions have not been changed and still contemplate the removal of 17-year-olds from the adult criminal justice system to the youth justice system.</w:t>
      </w:r>
      <w:r w:rsidR="009515BF">
        <w:rPr>
          <w:rStyle w:val="FootnoteReference"/>
          <w:rFonts w:cs="Arial"/>
          <w:sz w:val="24"/>
          <w:szCs w:val="24"/>
        </w:rPr>
        <w:footnoteReference w:id="11"/>
      </w:r>
      <w:r>
        <w:rPr>
          <w:rFonts w:cs="Arial"/>
          <w:sz w:val="24"/>
          <w:szCs w:val="24"/>
        </w:rPr>
        <w:t xml:space="preserve">  </w:t>
      </w:r>
    </w:p>
    <w:p w:rsidR="00A93D66" w:rsidRDefault="00C67512" w:rsidP="00265C89">
      <w:pPr>
        <w:spacing w:after="240"/>
        <w:rPr>
          <w:rFonts w:cs="Arial"/>
          <w:sz w:val="24"/>
          <w:szCs w:val="24"/>
        </w:rPr>
      </w:pPr>
      <w:r>
        <w:rPr>
          <w:rFonts w:cs="Arial"/>
          <w:sz w:val="24"/>
          <w:szCs w:val="24"/>
        </w:rPr>
        <w:t>Twenty-two years after commencement</w:t>
      </w:r>
      <w:r w:rsidR="000372A6">
        <w:rPr>
          <w:rFonts w:cs="Arial"/>
          <w:sz w:val="24"/>
          <w:szCs w:val="24"/>
        </w:rPr>
        <w:t xml:space="preserve"> of the </w:t>
      </w:r>
      <w:r w:rsidR="000372A6" w:rsidRPr="000372A6">
        <w:rPr>
          <w:rFonts w:cs="Arial"/>
          <w:i/>
          <w:sz w:val="24"/>
          <w:szCs w:val="24"/>
        </w:rPr>
        <w:t>Youth Justice Act 1992</w:t>
      </w:r>
      <w:r w:rsidR="006903AE">
        <w:rPr>
          <w:rFonts w:cs="Arial"/>
          <w:i/>
          <w:sz w:val="24"/>
          <w:szCs w:val="24"/>
        </w:rPr>
        <w:t>,</w:t>
      </w:r>
      <w:r w:rsidR="000372A6">
        <w:rPr>
          <w:rFonts w:cs="Arial"/>
          <w:sz w:val="24"/>
          <w:szCs w:val="24"/>
        </w:rPr>
        <w:t xml:space="preserve"> </w:t>
      </w:r>
      <w:r>
        <w:rPr>
          <w:rFonts w:cs="Arial"/>
          <w:sz w:val="24"/>
          <w:szCs w:val="24"/>
        </w:rPr>
        <w:t>17-year-olds remain subject to the adult criminal justice system.</w:t>
      </w:r>
      <w:r w:rsidR="00B4757A">
        <w:rPr>
          <w:rFonts w:cs="Arial"/>
          <w:sz w:val="24"/>
          <w:szCs w:val="24"/>
        </w:rPr>
        <w:t xml:space="preserve"> </w:t>
      </w:r>
      <w:r w:rsidR="001E44F2">
        <w:rPr>
          <w:rFonts w:cs="Arial"/>
          <w:sz w:val="24"/>
          <w:szCs w:val="24"/>
        </w:rPr>
        <w:t xml:space="preserve">  Queensland has been criticised by the United Nations Committee on the Rights of the Child in this regard.  In the 2012 Concluding Observations</w:t>
      </w:r>
      <w:r w:rsidR="006903AE">
        <w:rPr>
          <w:rFonts w:cs="Arial"/>
          <w:sz w:val="24"/>
          <w:szCs w:val="24"/>
        </w:rPr>
        <w:t>,</w:t>
      </w:r>
      <w:r w:rsidR="001E44F2">
        <w:rPr>
          <w:rFonts w:cs="Arial"/>
          <w:sz w:val="24"/>
          <w:szCs w:val="24"/>
        </w:rPr>
        <w:t xml:space="preserve"> the United Nations Committee noted with regret that previous recommendations had not been </w:t>
      </w:r>
      <w:r w:rsidR="001E44F2">
        <w:rPr>
          <w:rFonts w:cs="Arial"/>
          <w:sz w:val="24"/>
          <w:szCs w:val="24"/>
        </w:rPr>
        <w:lastRenderedPageBreak/>
        <w:t>accepted</w:t>
      </w:r>
      <w:r w:rsidR="006903AE">
        <w:rPr>
          <w:rFonts w:cs="Arial"/>
          <w:sz w:val="24"/>
          <w:szCs w:val="24"/>
        </w:rPr>
        <w:t>,</w:t>
      </w:r>
      <w:r w:rsidR="001E44F2">
        <w:rPr>
          <w:rFonts w:cs="Arial"/>
          <w:sz w:val="24"/>
          <w:szCs w:val="24"/>
        </w:rPr>
        <w:t xml:space="preserve"> and again expressed concern that in Queensland 17-year-old child offenders continue to be tried under the criminal justice system.  It again recommended that the juvenile justice system be brought fully in line with the </w:t>
      </w:r>
      <w:r w:rsidR="001E44F2" w:rsidRPr="006903AE">
        <w:rPr>
          <w:rFonts w:cs="Arial"/>
          <w:i/>
          <w:sz w:val="24"/>
          <w:szCs w:val="24"/>
        </w:rPr>
        <w:t>Convention on the Rights of the Child</w:t>
      </w:r>
      <w:r w:rsidR="001E44F2">
        <w:rPr>
          <w:rFonts w:cs="Arial"/>
          <w:sz w:val="24"/>
          <w:szCs w:val="24"/>
        </w:rPr>
        <w:t xml:space="preserve"> and other relevant standards, and reiterated its previous recommendation to remove children who are 17 years old from the Queensland adult justice system.</w:t>
      </w:r>
      <w:r w:rsidR="001E44F2">
        <w:rPr>
          <w:rStyle w:val="FootnoteReference"/>
          <w:rFonts w:cs="Arial"/>
          <w:sz w:val="24"/>
          <w:szCs w:val="24"/>
        </w:rPr>
        <w:footnoteReference w:id="12"/>
      </w:r>
    </w:p>
    <w:p w:rsidR="00A02560" w:rsidRDefault="00275887" w:rsidP="00265C89">
      <w:pPr>
        <w:spacing w:after="240"/>
        <w:rPr>
          <w:rFonts w:cs="Arial"/>
          <w:sz w:val="24"/>
          <w:szCs w:val="24"/>
        </w:rPr>
      </w:pPr>
      <w:r>
        <w:rPr>
          <w:rFonts w:cs="Arial"/>
          <w:sz w:val="24"/>
          <w:szCs w:val="24"/>
        </w:rPr>
        <w:t xml:space="preserve">The Commission urges the </w:t>
      </w:r>
      <w:r w:rsidR="001E44F2">
        <w:rPr>
          <w:rFonts w:cs="Arial"/>
          <w:sz w:val="24"/>
          <w:szCs w:val="24"/>
        </w:rPr>
        <w:t xml:space="preserve">Legal Affairs and Community Safety </w:t>
      </w:r>
      <w:r>
        <w:rPr>
          <w:rFonts w:cs="Arial"/>
          <w:sz w:val="24"/>
          <w:szCs w:val="24"/>
        </w:rPr>
        <w:t>Committee to recommend</w:t>
      </w:r>
      <w:r w:rsidR="008C336E">
        <w:rPr>
          <w:rFonts w:cs="Arial"/>
          <w:sz w:val="24"/>
          <w:szCs w:val="24"/>
        </w:rPr>
        <w:t xml:space="preserve"> the making of the regulation under section 6 of the </w:t>
      </w:r>
      <w:r w:rsidR="008C336E" w:rsidRPr="008C336E">
        <w:rPr>
          <w:rFonts w:cs="Arial"/>
          <w:i/>
          <w:sz w:val="24"/>
          <w:szCs w:val="24"/>
        </w:rPr>
        <w:t>Youth Justice Act 1992</w:t>
      </w:r>
      <w:r w:rsidR="008B3FB6">
        <w:rPr>
          <w:rFonts w:cs="Arial"/>
          <w:sz w:val="24"/>
          <w:szCs w:val="24"/>
        </w:rPr>
        <w:t xml:space="preserve"> to change </w:t>
      </w:r>
      <w:r w:rsidR="008C336E">
        <w:rPr>
          <w:rFonts w:cs="Arial"/>
          <w:sz w:val="24"/>
          <w:szCs w:val="24"/>
        </w:rPr>
        <w:t xml:space="preserve">the age </w:t>
      </w:r>
      <w:r w:rsidR="006903AE">
        <w:rPr>
          <w:rFonts w:cs="Arial"/>
          <w:sz w:val="24"/>
          <w:szCs w:val="24"/>
        </w:rPr>
        <w:t xml:space="preserve">at </w:t>
      </w:r>
      <w:r w:rsidR="008C336E">
        <w:rPr>
          <w:rFonts w:cs="Arial"/>
          <w:sz w:val="24"/>
          <w:szCs w:val="24"/>
        </w:rPr>
        <w:t>which a person will be a child for the purposes of the Act</w:t>
      </w:r>
      <w:r w:rsidR="006903AE">
        <w:rPr>
          <w:rFonts w:cs="Arial"/>
          <w:sz w:val="24"/>
          <w:szCs w:val="24"/>
        </w:rPr>
        <w:t xml:space="preserve"> to </w:t>
      </w:r>
      <w:proofErr w:type="gramStart"/>
      <w:r w:rsidR="006903AE">
        <w:rPr>
          <w:rFonts w:cs="Arial"/>
          <w:sz w:val="24"/>
          <w:szCs w:val="24"/>
        </w:rPr>
        <w:t>under</w:t>
      </w:r>
      <w:proofErr w:type="gramEnd"/>
      <w:r w:rsidR="006903AE">
        <w:rPr>
          <w:rFonts w:cs="Arial"/>
          <w:sz w:val="24"/>
          <w:szCs w:val="24"/>
        </w:rPr>
        <w:t xml:space="preserve"> 18 years</w:t>
      </w:r>
      <w:r w:rsidR="008C336E">
        <w:rPr>
          <w:rFonts w:cs="Arial"/>
          <w:sz w:val="24"/>
          <w:szCs w:val="24"/>
        </w:rPr>
        <w:t>.</w:t>
      </w:r>
    </w:p>
    <w:p w:rsidR="00A02560" w:rsidRPr="00A02560" w:rsidRDefault="00A02560" w:rsidP="00725AAD">
      <w:pPr>
        <w:keepNext/>
        <w:rPr>
          <w:rFonts w:cs="Arial"/>
          <w:b/>
          <w:sz w:val="24"/>
          <w:szCs w:val="24"/>
        </w:rPr>
      </w:pPr>
      <w:r w:rsidRPr="00A02560">
        <w:rPr>
          <w:rFonts w:cs="Arial"/>
          <w:b/>
          <w:sz w:val="24"/>
          <w:szCs w:val="24"/>
        </w:rPr>
        <w:t>Justice reinvestment</w:t>
      </w:r>
    </w:p>
    <w:p w:rsidR="001E44F2" w:rsidRDefault="001E44F2" w:rsidP="00265C89">
      <w:pPr>
        <w:spacing w:after="240"/>
        <w:rPr>
          <w:rFonts w:cs="Arial"/>
          <w:sz w:val="24"/>
          <w:szCs w:val="24"/>
        </w:rPr>
      </w:pPr>
      <w:r>
        <w:rPr>
          <w:rFonts w:cs="Arial"/>
          <w:sz w:val="24"/>
          <w:szCs w:val="24"/>
        </w:rPr>
        <w:t>The Commission notes</w:t>
      </w:r>
      <w:r w:rsidR="00B3004D">
        <w:rPr>
          <w:rFonts w:cs="Arial"/>
          <w:sz w:val="24"/>
          <w:szCs w:val="24"/>
        </w:rPr>
        <w:t xml:space="preserve"> that the first and second stage legislative reforms will be complemented by the development of a comprehensive youth justice policy that will guide investment in the youth justice system based on evidence of what works to effectively rehabilitate and deter young people from further entrenchment in the criminal justice system.</w:t>
      </w:r>
      <w:r w:rsidR="00B3004D">
        <w:rPr>
          <w:rStyle w:val="FootnoteReference"/>
          <w:rFonts w:cs="Arial"/>
          <w:sz w:val="24"/>
          <w:szCs w:val="24"/>
        </w:rPr>
        <w:footnoteReference w:id="13"/>
      </w:r>
    </w:p>
    <w:p w:rsidR="00B3004D" w:rsidRDefault="00B3004D" w:rsidP="00265C89">
      <w:pPr>
        <w:spacing w:after="240"/>
        <w:rPr>
          <w:rFonts w:cs="Arial"/>
          <w:sz w:val="24"/>
          <w:szCs w:val="24"/>
        </w:rPr>
      </w:pPr>
      <w:r>
        <w:rPr>
          <w:rFonts w:cs="Arial"/>
          <w:sz w:val="24"/>
          <w:szCs w:val="24"/>
        </w:rPr>
        <w:t xml:space="preserve">The </w:t>
      </w:r>
      <w:r w:rsidRPr="008169FE">
        <w:rPr>
          <w:rFonts w:cs="Arial"/>
          <w:i/>
          <w:sz w:val="24"/>
          <w:szCs w:val="24"/>
        </w:rPr>
        <w:t>Convention on the Rights of the Child</w:t>
      </w:r>
      <w:r>
        <w:rPr>
          <w:rFonts w:cs="Arial"/>
          <w:sz w:val="24"/>
          <w:szCs w:val="24"/>
        </w:rPr>
        <w:t xml:space="preserve"> requires</w:t>
      </w:r>
      <w:r w:rsidR="008169FE">
        <w:rPr>
          <w:rFonts w:cs="Arial"/>
          <w:sz w:val="24"/>
          <w:szCs w:val="24"/>
        </w:rPr>
        <w:t xml:space="preserve"> there to be a range of options available to ensure children are dealt with appropriately and proportionately to their circumstances and the offence, such as care, guidance and supervision orders, counselling, probation, education and vocational programs and other alternatives to institutional care.  There should also be measures for dealing with children without resort to judicial proceedings.</w:t>
      </w:r>
      <w:r w:rsidR="008169FE">
        <w:rPr>
          <w:rStyle w:val="FootnoteReference"/>
          <w:rFonts w:cs="Arial"/>
          <w:sz w:val="24"/>
          <w:szCs w:val="24"/>
        </w:rPr>
        <w:footnoteReference w:id="14"/>
      </w:r>
    </w:p>
    <w:p w:rsidR="008169FE" w:rsidRDefault="008169FE" w:rsidP="00265C89">
      <w:pPr>
        <w:spacing w:after="240"/>
        <w:rPr>
          <w:rFonts w:cs="Arial"/>
          <w:sz w:val="24"/>
          <w:szCs w:val="24"/>
        </w:rPr>
      </w:pPr>
      <w:r>
        <w:rPr>
          <w:rFonts w:cs="Arial"/>
          <w:sz w:val="24"/>
          <w:szCs w:val="24"/>
        </w:rPr>
        <w:t>There is a great deal of r</w:t>
      </w:r>
      <w:r w:rsidR="00FD080E">
        <w:rPr>
          <w:rFonts w:cs="Arial"/>
          <w:sz w:val="24"/>
          <w:szCs w:val="24"/>
        </w:rPr>
        <w:t>esearch available to guide the g</w:t>
      </w:r>
      <w:r>
        <w:rPr>
          <w:rFonts w:cs="Arial"/>
          <w:sz w:val="24"/>
          <w:szCs w:val="24"/>
        </w:rPr>
        <w:t>o</w:t>
      </w:r>
      <w:r w:rsidR="00FD080E">
        <w:rPr>
          <w:rFonts w:cs="Arial"/>
          <w:sz w:val="24"/>
          <w:szCs w:val="24"/>
        </w:rPr>
        <w:t>vernment in developing evidence-</w:t>
      </w:r>
      <w:r>
        <w:rPr>
          <w:rFonts w:cs="Arial"/>
          <w:sz w:val="24"/>
          <w:szCs w:val="24"/>
        </w:rPr>
        <w:t>based policy for youth justice.  The development and implementation of a range of diversionary and early intervention strategies</w:t>
      </w:r>
      <w:r w:rsidR="008E7765">
        <w:rPr>
          <w:rFonts w:cs="Arial"/>
          <w:sz w:val="24"/>
          <w:szCs w:val="24"/>
        </w:rPr>
        <w:t>, including justice reinvestment,</w:t>
      </w:r>
      <w:r>
        <w:rPr>
          <w:rFonts w:cs="Arial"/>
          <w:sz w:val="24"/>
          <w:szCs w:val="24"/>
        </w:rPr>
        <w:t xml:space="preserve"> would be consistent with the principles of the </w:t>
      </w:r>
      <w:r w:rsidRPr="00D6379C">
        <w:rPr>
          <w:rFonts w:cs="Arial"/>
          <w:i/>
          <w:sz w:val="24"/>
          <w:szCs w:val="24"/>
        </w:rPr>
        <w:t>Convention on the Rights of the Child</w:t>
      </w:r>
      <w:r w:rsidR="00FD080E">
        <w:rPr>
          <w:rFonts w:cs="Arial"/>
          <w:i/>
          <w:sz w:val="24"/>
          <w:szCs w:val="24"/>
        </w:rPr>
        <w:t>,</w:t>
      </w:r>
      <w:r>
        <w:rPr>
          <w:rFonts w:cs="Arial"/>
          <w:sz w:val="24"/>
          <w:szCs w:val="24"/>
        </w:rPr>
        <w:t xml:space="preserve"> </w:t>
      </w:r>
      <w:r w:rsidR="00FD080E">
        <w:rPr>
          <w:rFonts w:cs="Arial"/>
          <w:sz w:val="24"/>
          <w:szCs w:val="24"/>
        </w:rPr>
        <w:t>which requires</w:t>
      </w:r>
      <w:r>
        <w:rPr>
          <w:rFonts w:cs="Arial"/>
          <w:sz w:val="24"/>
          <w:szCs w:val="24"/>
        </w:rPr>
        <w:t xml:space="preserve"> </w:t>
      </w:r>
      <w:r w:rsidR="00FD080E">
        <w:rPr>
          <w:rFonts w:cs="Arial"/>
          <w:sz w:val="24"/>
          <w:szCs w:val="24"/>
        </w:rPr>
        <w:t xml:space="preserve">that </w:t>
      </w:r>
      <w:r>
        <w:rPr>
          <w:rFonts w:cs="Arial"/>
          <w:sz w:val="24"/>
          <w:szCs w:val="24"/>
        </w:rPr>
        <w:t xml:space="preserve">the primary consideration </w:t>
      </w:r>
      <w:r w:rsidR="00FD080E">
        <w:rPr>
          <w:rFonts w:cs="Arial"/>
          <w:sz w:val="24"/>
          <w:szCs w:val="24"/>
        </w:rPr>
        <w:t>is</w:t>
      </w:r>
      <w:r>
        <w:rPr>
          <w:rFonts w:cs="Arial"/>
          <w:sz w:val="24"/>
          <w:szCs w:val="24"/>
        </w:rPr>
        <w:t xml:space="preserve"> the best interests of the child.</w:t>
      </w:r>
    </w:p>
    <w:p w:rsidR="00506E5F" w:rsidRDefault="00506E5F" w:rsidP="009154A9">
      <w:pPr>
        <w:spacing w:before="360"/>
        <w:rPr>
          <w:rFonts w:cs="Arial"/>
          <w:sz w:val="24"/>
          <w:szCs w:val="24"/>
        </w:rPr>
      </w:pPr>
      <w:r>
        <w:rPr>
          <w:rFonts w:cs="Arial"/>
          <w:sz w:val="24"/>
          <w:szCs w:val="24"/>
        </w:rPr>
        <w:t>Yours sincerely</w:t>
      </w:r>
    </w:p>
    <w:p w:rsidR="00506E5F" w:rsidRDefault="00506E5F" w:rsidP="00111034">
      <w:pPr>
        <w:rPr>
          <w:rFonts w:cs="Arial"/>
          <w:sz w:val="24"/>
          <w:szCs w:val="24"/>
        </w:rPr>
      </w:pPr>
    </w:p>
    <w:p w:rsidR="00506E5F" w:rsidRDefault="00395AC6" w:rsidP="00111034">
      <w:pPr>
        <w:rPr>
          <w:rFonts w:cs="Arial"/>
          <w:sz w:val="24"/>
          <w:szCs w:val="24"/>
        </w:rPr>
      </w:pPr>
      <w:r>
        <w:rPr>
          <w:rFonts w:cs="Arial"/>
          <w:noProof/>
          <w:sz w:val="24"/>
          <w:szCs w:val="24"/>
          <w14:ligatures w14:val="none"/>
          <w14:cntxtAlts w14:val="0"/>
        </w:rPr>
        <w:drawing>
          <wp:inline distT="0" distB="0" distL="0" distR="0">
            <wp:extent cx="1296140" cy="337351"/>
            <wp:effectExtent l="0" t="0" r="0" b="5715"/>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298050" cy="337848"/>
                    </a:xfrm>
                    <a:prstGeom prst="rect">
                      <a:avLst/>
                    </a:prstGeom>
                  </pic:spPr>
                </pic:pic>
              </a:graphicData>
            </a:graphic>
          </wp:inline>
        </w:drawing>
      </w:r>
    </w:p>
    <w:p w:rsidR="00D531A5" w:rsidRPr="00D531A5" w:rsidRDefault="00D531A5" w:rsidP="00506E5F">
      <w:pPr>
        <w:spacing w:before="0" w:after="0"/>
        <w:rPr>
          <w:rFonts w:cs="Arial"/>
          <w:sz w:val="24"/>
          <w:szCs w:val="24"/>
        </w:rPr>
      </w:pPr>
    </w:p>
    <w:p w:rsidR="00506E5F" w:rsidRPr="00506E5F" w:rsidRDefault="00D229FD" w:rsidP="00506E5F">
      <w:pPr>
        <w:spacing w:before="0" w:after="0"/>
        <w:rPr>
          <w:rFonts w:cs="Arial"/>
          <w:b/>
          <w:sz w:val="24"/>
          <w:szCs w:val="24"/>
        </w:rPr>
      </w:pPr>
      <w:r>
        <w:rPr>
          <w:rFonts w:cs="Arial"/>
          <w:b/>
          <w:sz w:val="24"/>
          <w:szCs w:val="24"/>
        </w:rPr>
        <w:t>NEROLI HOLMES</w:t>
      </w:r>
    </w:p>
    <w:p w:rsidR="00111034" w:rsidRPr="00732533" w:rsidRDefault="00D229FD" w:rsidP="00732533">
      <w:pPr>
        <w:spacing w:before="0" w:after="0"/>
        <w:rPr>
          <w:rFonts w:cs="Arial"/>
          <w:b/>
          <w:sz w:val="24"/>
          <w:szCs w:val="24"/>
        </w:rPr>
      </w:pPr>
      <w:r>
        <w:rPr>
          <w:rFonts w:cs="Arial"/>
          <w:b/>
          <w:sz w:val="24"/>
          <w:szCs w:val="24"/>
        </w:rPr>
        <w:t xml:space="preserve">Acting </w:t>
      </w:r>
      <w:r w:rsidR="00506E5F" w:rsidRPr="00506E5F">
        <w:rPr>
          <w:rFonts w:cs="Arial"/>
          <w:b/>
          <w:sz w:val="24"/>
          <w:szCs w:val="24"/>
        </w:rPr>
        <w:t>Anti-Discrim</w:t>
      </w:r>
      <w:bookmarkStart w:id="0" w:name="_GoBack"/>
      <w:bookmarkEnd w:id="0"/>
      <w:r w:rsidR="00506E5F" w:rsidRPr="00506E5F">
        <w:rPr>
          <w:rFonts w:cs="Arial"/>
          <w:b/>
          <w:sz w:val="24"/>
          <w:szCs w:val="24"/>
        </w:rPr>
        <w:t>ination Commissioner</w:t>
      </w:r>
    </w:p>
    <w:sectPr w:rsidR="00111034" w:rsidRPr="00732533" w:rsidSect="00993DBA">
      <w:headerReference w:type="default" r:id="rId10"/>
      <w:headerReference w:type="first" r:id="rId11"/>
      <w:footerReference w:type="first" r:id="rId12"/>
      <w:pgSz w:w="11906" w:h="16838" w:code="9"/>
      <w:pgMar w:top="992" w:right="1797" w:bottom="1021" w:left="1797"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4A9" w:rsidRDefault="009154A9">
      <w:r>
        <w:separator/>
      </w:r>
    </w:p>
  </w:endnote>
  <w:endnote w:type="continuationSeparator" w:id="0">
    <w:p w:rsidR="009154A9" w:rsidRDefault="00915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4A9" w:rsidRDefault="00993DBA" w:rsidP="00993DBA">
    <w:pPr>
      <w:pStyle w:val="Footer"/>
      <w:ind w:hanging="567"/>
    </w:pPr>
    <w:r>
      <w:rPr>
        <w:noProof/>
        <w14:ligatures w14:val="none"/>
        <w14:cntxtAlts w14:val="0"/>
      </w:rPr>
      <w:drawing>
        <wp:inline distT="0" distB="0" distL="0" distR="0" wp14:anchorId="654031D6" wp14:editId="6AC4DBDF">
          <wp:extent cx="5730875" cy="890270"/>
          <wp:effectExtent l="0" t="0" r="317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89027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4A9" w:rsidRDefault="009154A9">
      <w:r>
        <w:separator/>
      </w:r>
    </w:p>
  </w:footnote>
  <w:footnote w:type="continuationSeparator" w:id="0">
    <w:p w:rsidR="009154A9" w:rsidRDefault="009154A9">
      <w:r>
        <w:continuationSeparator/>
      </w:r>
    </w:p>
  </w:footnote>
  <w:footnote w:id="1">
    <w:p w:rsidR="000014FF" w:rsidRPr="000014FF" w:rsidRDefault="000014FF">
      <w:pPr>
        <w:pStyle w:val="FootnoteText"/>
        <w:rPr>
          <w:lang w:val="en-US"/>
        </w:rPr>
      </w:pPr>
      <w:r>
        <w:rPr>
          <w:rStyle w:val="FootnoteReference"/>
        </w:rPr>
        <w:footnoteRef/>
      </w:r>
      <w:r>
        <w:t xml:space="preserve"> </w:t>
      </w:r>
      <w:r>
        <w:rPr>
          <w:lang w:val="en-US"/>
        </w:rPr>
        <w:t xml:space="preserve">These submissions are available on the Commission’s website at </w:t>
      </w:r>
      <w:hyperlink r:id="rId1" w:history="1">
        <w:r w:rsidRPr="00544331">
          <w:rPr>
            <w:rStyle w:val="Hyperlink"/>
            <w:lang w:val="en-US"/>
          </w:rPr>
          <w:t>www.adcq/qld.gov.au</w:t>
        </w:r>
      </w:hyperlink>
      <w:r>
        <w:rPr>
          <w:lang w:val="en-US"/>
        </w:rPr>
        <w:t xml:space="preserve"> - Review of the </w:t>
      </w:r>
      <w:r w:rsidRPr="000014FF">
        <w:rPr>
          <w:i/>
          <w:lang w:val="en-US"/>
        </w:rPr>
        <w:t>Youth Justice Act 2003</w:t>
      </w:r>
      <w:r>
        <w:rPr>
          <w:lang w:val="en-US"/>
        </w:rPr>
        <w:t>, dated June 2013; and Inquiry into the Youth Justice and Other Legislation Amendment Bill 2014, dated February 2014.</w:t>
      </w:r>
    </w:p>
  </w:footnote>
  <w:footnote w:id="2">
    <w:p w:rsidR="009154A9" w:rsidRPr="00046A96" w:rsidRDefault="009154A9">
      <w:pPr>
        <w:pStyle w:val="FootnoteText"/>
        <w:rPr>
          <w:lang w:val="en-US"/>
        </w:rPr>
      </w:pPr>
      <w:r>
        <w:rPr>
          <w:rStyle w:val="FootnoteReference"/>
        </w:rPr>
        <w:footnoteRef/>
      </w:r>
      <w:r>
        <w:t xml:space="preserve"> </w:t>
      </w:r>
      <w:proofErr w:type="gramStart"/>
      <w:r>
        <w:rPr>
          <w:lang w:val="en-US"/>
        </w:rPr>
        <w:t>Clauses 55 (section 384) and 65.</w:t>
      </w:r>
      <w:proofErr w:type="gramEnd"/>
    </w:p>
  </w:footnote>
  <w:footnote w:id="3">
    <w:p w:rsidR="009154A9" w:rsidRPr="00370868" w:rsidRDefault="009154A9">
      <w:pPr>
        <w:pStyle w:val="FootnoteText"/>
        <w:rPr>
          <w:lang w:val="en-US"/>
        </w:rPr>
      </w:pPr>
      <w:r>
        <w:rPr>
          <w:rStyle w:val="FootnoteReference"/>
        </w:rPr>
        <w:footnoteRef/>
      </w:r>
      <w:r>
        <w:t xml:space="preserve"> </w:t>
      </w:r>
      <w:proofErr w:type="gramStart"/>
      <w:r>
        <w:rPr>
          <w:lang w:val="en-US"/>
        </w:rPr>
        <w:t>Recommendation 92.</w:t>
      </w:r>
      <w:proofErr w:type="gramEnd"/>
    </w:p>
  </w:footnote>
  <w:footnote w:id="4">
    <w:p w:rsidR="009154A9" w:rsidRPr="00370868" w:rsidRDefault="009154A9">
      <w:pPr>
        <w:pStyle w:val="FootnoteText"/>
        <w:rPr>
          <w:lang w:val="en-US"/>
        </w:rPr>
      </w:pPr>
      <w:r>
        <w:rPr>
          <w:rStyle w:val="FootnoteReference"/>
        </w:rPr>
        <w:footnoteRef/>
      </w:r>
      <w:r>
        <w:t xml:space="preserve"> </w:t>
      </w:r>
      <w:proofErr w:type="gramStart"/>
      <w:r>
        <w:rPr>
          <w:lang w:val="en-US"/>
        </w:rPr>
        <w:t>Recommendation 109.</w:t>
      </w:r>
      <w:proofErr w:type="gramEnd"/>
    </w:p>
  </w:footnote>
  <w:footnote w:id="5">
    <w:p w:rsidR="009154A9" w:rsidRPr="00370868" w:rsidRDefault="009154A9">
      <w:pPr>
        <w:pStyle w:val="FootnoteText"/>
        <w:rPr>
          <w:lang w:val="en-US"/>
        </w:rPr>
      </w:pPr>
      <w:r>
        <w:rPr>
          <w:rStyle w:val="FootnoteReference"/>
        </w:rPr>
        <w:footnoteRef/>
      </w:r>
      <w:r>
        <w:t xml:space="preserve"> </w:t>
      </w:r>
      <w:proofErr w:type="gramStart"/>
      <w:r>
        <w:rPr>
          <w:lang w:val="en-US"/>
        </w:rPr>
        <w:t>Recommendation 112.</w:t>
      </w:r>
      <w:proofErr w:type="gramEnd"/>
    </w:p>
  </w:footnote>
  <w:footnote w:id="6">
    <w:p w:rsidR="009154A9" w:rsidRPr="00370868" w:rsidRDefault="009154A9">
      <w:pPr>
        <w:pStyle w:val="FootnoteText"/>
        <w:rPr>
          <w:lang w:val="en-US"/>
        </w:rPr>
      </w:pPr>
      <w:r>
        <w:rPr>
          <w:rStyle w:val="FootnoteReference"/>
        </w:rPr>
        <w:footnoteRef/>
      </w:r>
      <w:r>
        <w:t xml:space="preserve"> See for example the research and studies referred to in: Appendix A to the Australian Institute of Criminology 2007 report </w:t>
      </w:r>
      <w:r>
        <w:rPr>
          <w:i/>
          <w:iCs/>
        </w:rPr>
        <w:t>Recidivism in Australian: findings and future</w:t>
      </w:r>
      <w:r>
        <w:t xml:space="preserve">; Balanced Justice factsheet </w:t>
      </w:r>
      <w:r>
        <w:rPr>
          <w:i/>
          <w:iCs/>
        </w:rPr>
        <w:t>Busting the myths – the facts about addressing youth offending – Part 2</w:t>
      </w:r>
      <w:r>
        <w:rPr>
          <w:iCs/>
        </w:rPr>
        <w:t>.</w:t>
      </w:r>
    </w:p>
  </w:footnote>
  <w:footnote w:id="7">
    <w:p w:rsidR="009154A9" w:rsidRPr="00031F5D" w:rsidRDefault="009154A9">
      <w:pPr>
        <w:pStyle w:val="FootnoteText"/>
        <w:rPr>
          <w:lang w:val="en-US"/>
        </w:rPr>
      </w:pPr>
      <w:r>
        <w:rPr>
          <w:rStyle w:val="FootnoteReference"/>
        </w:rPr>
        <w:footnoteRef/>
      </w:r>
      <w:r>
        <w:t xml:space="preserve"> </w:t>
      </w:r>
      <w:proofErr w:type="gramStart"/>
      <w:r>
        <w:rPr>
          <w:lang w:val="en-US"/>
        </w:rPr>
        <w:t>Article 40.</w:t>
      </w:r>
      <w:proofErr w:type="gramEnd"/>
    </w:p>
  </w:footnote>
  <w:footnote w:id="8">
    <w:p w:rsidR="009154A9" w:rsidRPr="00031F5D" w:rsidRDefault="009154A9">
      <w:pPr>
        <w:pStyle w:val="FootnoteText"/>
        <w:rPr>
          <w:lang w:val="en-US"/>
        </w:rPr>
      </w:pPr>
      <w:r>
        <w:rPr>
          <w:rStyle w:val="FootnoteReference"/>
        </w:rPr>
        <w:footnoteRef/>
      </w:r>
      <w:r>
        <w:t xml:space="preserve"> </w:t>
      </w:r>
      <w:proofErr w:type="gramStart"/>
      <w:r>
        <w:rPr>
          <w:lang w:val="en-US"/>
        </w:rPr>
        <w:t>Rules 8 and 21.</w:t>
      </w:r>
      <w:proofErr w:type="gramEnd"/>
    </w:p>
  </w:footnote>
  <w:footnote w:id="9">
    <w:p w:rsidR="009154A9" w:rsidRPr="001E44F2" w:rsidRDefault="009154A9">
      <w:pPr>
        <w:pStyle w:val="FootnoteText"/>
        <w:rPr>
          <w:lang w:val="en-US"/>
        </w:rPr>
      </w:pPr>
      <w:r>
        <w:rPr>
          <w:rStyle w:val="FootnoteReference"/>
        </w:rPr>
        <w:footnoteRef/>
      </w:r>
      <w:r>
        <w:t xml:space="preserve"> </w:t>
      </w:r>
      <w:proofErr w:type="gramStart"/>
      <w:r>
        <w:rPr>
          <w:lang w:val="en-US"/>
        </w:rPr>
        <w:t xml:space="preserve">First reading speech by the </w:t>
      </w:r>
      <w:r>
        <w:t>Attorney-General and Minister for Justice and Minister for Training and Skills, 1 December 2015.</w:t>
      </w:r>
      <w:proofErr w:type="gramEnd"/>
    </w:p>
  </w:footnote>
  <w:footnote w:id="10">
    <w:p w:rsidR="009154A9" w:rsidRPr="0009714B" w:rsidRDefault="009154A9">
      <w:pPr>
        <w:pStyle w:val="FootnoteText"/>
        <w:rPr>
          <w:lang w:val="en-US"/>
        </w:rPr>
      </w:pPr>
      <w:r>
        <w:rPr>
          <w:rStyle w:val="FootnoteReference"/>
        </w:rPr>
        <w:footnoteRef/>
      </w:r>
      <w:r>
        <w:t xml:space="preserve"> </w:t>
      </w:r>
      <w:r>
        <w:rPr>
          <w:lang w:val="en-US"/>
        </w:rPr>
        <w:t>Article 37(c).</w:t>
      </w:r>
    </w:p>
  </w:footnote>
  <w:footnote w:id="11">
    <w:p w:rsidR="009154A9" w:rsidRPr="009515BF" w:rsidRDefault="009154A9">
      <w:pPr>
        <w:pStyle w:val="FootnoteText"/>
        <w:rPr>
          <w:lang w:val="en-US"/>
        </w:rPr>
      </w:pPr>
      <w:r>
        <w:rPr>
          <w:rStyle w:val="FootnoteReference"/>
        </w:rPr>
        <w:footnoteRef/>
      </w:r>
      <w:r>
        <w:t xml:space="preserve"> </w:t>
      </w:r>
      <w:r>
        <w:rPr>
          <w:lang w:val="en-US"/>
        </w:rPr>
        <w:t>Section 6 was amended in 1993, shortly after the Act commenced, by adding subsection (6) to clarify that subsections (2) to (5) (transitional provisions) only apply to person under 18 years of age who is sentenced after the commencement of the regulation.</w:t>
      </w:r>
    </w:p>
  </w:footnote>
  <w:footnote w:id="12">
    <w:p w:rsidR="009154A9" w:rsidRPr="001E44F2" w:rsidRDefault="009154A9">
      <w:pPr>
        <w:pStyle w:val="FootnoteText"/>
        <w:rPr>
          <w:lang w:val="en-US"/>
        </w:rPr>
      </w:pPr>
      <w:r>
        <w:rPr>
          <w:rStyle w:val="FootnoteReference"/>
        </w:rPr>
        <w:footnoteRef/>
      </w:r>
      <w:r>
        <w:t xml:space="preserve"> </w:t>
      </w:r>
      <w:r>
        <w:rPr>
          <w:rStyle w:val="Emphasis"/>
          <w:lang w:val="en"/>
        </w:rPr>
        <w:t xml:space="preserve">UN Committee on the Rights of the Child: Concluding Observations, Australia, </w:t>
      </w:r>
      <w:r>
        <w:rPr>
          <w:lang w:val="en"/>
        </w:rPr>
        <w:t>28 August 2012, CRC/C/AUS/CO/4.</w:t>
      </w:r>
    </w:p>
  </w:footnote>
  <w:footnote w:id="13">
    <w:p w:rsidR="009154A9" w:rsidRPr="00B3004D" w:rsidRDefault="009154A9">
      <w:pPr>
        <w:pStyle w:val="FootnoteText"/>
        <w:rPr>
          <w:lang w:val="en-US"/>
        </w:rPr>
      </w:pPr>
      <w:r>
        <w:rPr>
          <w:rStyle w:val="FootnoteReference"/>
        </w:rPr>
        <w:footnoteRef/>
      </w:r>
      <w:r>
        <w:t xml:space="preserve"> </w:t>
      </w:r>
      <w:proofErr w:type="gramStart"/>
      <w:r>
        <w:rPr>
          <w:lang w:val="en-US"/>
        </w:rPr>
        <w:t xml:space="preserve">First reading speech by the </w:t>
      </w:r>
      <w:r>
        <w:t>Attorney-General and Minister for Justice and Minister for Training and Skills, 1 December 2015.</w:t>
      </w:r>
      <w:proofErr w:type="gramEnd"/>
    </w:p>
  </w:footnote>
  <w:footnote w:id="14">
    <w:p w:rsidR="009154A9" w:rsidRPr="008169FE" w:rsidRDefault="009154A9">
      <w:pPr>
        <w:pStyle w:val="FootnoteText"/>
        <w:rPr>
          <w:lang w:val="en-US"/>
        </w:rPr>
      </w:pPr>
      <w:r>
        <w:rPr>
          <w:rStyle w:val="FootnoteReference"/>
        </w:rPr>
        <w:footnoteRef/>
      </w:r>
      <w:r>
        <w:t xml:space="preserve"> </w:t>
      </w:r>
      <w:proofErr w:type="gramStart"/>
      <w:r>
        <w:rPr>
          <w:lang w:val="en-US"/>
        </w:rPr>
        <w:t>Article 40.</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65" w:rsidRDefault="009154A9" w:rsidP="008E7765">
    <w:pPr>
      <w:pStyle w:val="Header"/>
      <w:pBdr>
        <w:bottom w:val="single" w:sz="4" w:space="1" w:color="auto"/>
      </w:pBdr>
      <w:spacing w:after="0"/>
      <w:rPr>
        <w:noProof/>
        <w:sz w:val="20"/>
      </w:rPr>
    </w:pPr>
    <w:r>
      <w:rPr>
        <w:sz w:val="20"/>
      </w:rPr>
      <w:t>Inquiry into the Youth Justice and Other Legislation Amendment Bill 2015</w:t>
    </w:r>
    <w:r>
      <w:rPr>
        <w:sz w:val="20"/>
      </w:rPr>
      <w:tab/>
      <w:t>Page</w:t>
    </w:r>
    <w:r w:rsidRPr="003460DA">
      <w:rPr>
        <w:sz w:val="20"/>
      </w:rPr>
      <w:t xml:space="preserve"> </w:t>
    </w:r>
    <w:r w:rsidRPr="003460DA">
      <w:rPr>
        <w:sz w:val="20"/>
      </w:rPr>
      <w:fldChar w:fldCharType="begin"/>
    </w:r>
    <w:r w:rsidRPr="003460DA">
      <w:rPr>
        <w:sz w:val="20"/>
      </w:rPr>
      <w:instrText xml:space="preserve"> PAGE   \* MERGEFORMAT </w:instrText>
    </w:r>
    <w:r w:rsidRPr="003460DA">
      <w:rPr>
        <w:sz w:val="20"/>
      </w:rPr>
      <w:fldChar w:fldCharType="separate"/>
    </w:r>
    <w:r w:rsidR="00395AC6">
      <w:rPr>
        <w:noProof/>
        <w:sz w:val="20"/>
      </w:rPr>
      <w:t>3</w:t>
    </w:r>
    <w:r w:rsidRPr="003460DA">
      <w:rPr>
        <w:noProof/>
        <w:sz w:val="20"/>
      </w:rPr>
      <w:fldChar w:fldCharType="end"/>
    </w:r>
  </w:p>
  <w:p w:rsidR="008E7765" w:rsidRDefault="008E7765" w:rsidP="008E7765">
    <w:pPr>
      <w:pStyle w:val="Header"/>
      <w:spacing w:before="0" w:after="0"/>
      <w:rPr>
        <w:noProof/>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DBA" w:rsidRDefault="00993DBA" w:rsidP="00993DBA">
    <w:pPr>
      <w:pStyle w:val="Header"/>
      <w:ind w:hanging="567"/>
    </w:pPr>
    <w:r>
      <w:rPr>
        <w:noProof/>
        <w14:ligatures w14:val="none"/>
        <w14:cntxtAlts w14:val="0"/>
      </w:rPr>
      <w:drawing>
        <wp:inline distT="0" distB="0" distL="0" distR="0" wp14:anchorId="245FAB66" wp14:editId="053F377C">
          <wp:extent cx="3786926" cy="541538"/>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YK_986x141.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19274" cy="54616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73055"/>
    <w:multiLevelType w:val="hybridMultilevel"/>
    <w:tmpl w:val="34F863E0"/>
    <w:lvl w:ilvl="0" w:tplc="ACD878EA">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DCA1C53"/>
    <w:multiLevelType w:val="hybridMultilevel"/>
    <w:tmpl w:val="AB9AB75E"/>
    <w:lvl w:ilvl="0" w:tplc="AB3CC714">
      <w:numFmt w:val="bullet"/>
      <w:lvlText w:val="·"/>
      <w:lvlJc w:val="left"/>
      <w:pPr>
        <w:ind w:left="1035" w:hanging="675"/>
      </w:pPr>
      <w:rPr>
        <w:rFonts w:ascii="Arial" w:hAnsi="Arial" w:cs="Times New Roman" w:hint="default"/>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7727690A"/>
    <w:multiLevelType w:val="hybridMultilevel"/>
    <w:tmpl w:val="F0268D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B17"/>
    <w:rsid w:val="0000019B"/>
    <w:rsid w:val="00000A42"/>
    <w:rsid w:val="000014FF"/>
    <w:rsid w:val="00001726"/>
    <w:rsid w:val="00001E36"/>
    <w:rsid w:val="00011289"/>
    <w:rsid w:val="0001660A"/>
    <w:rsid w:val="00017B8B"/>
    <w:rsid w:val="00021B77"/>
    <w:rsid w:val="00021CB3"/>
    <w:rsid w:val="00022CFE"/>
    <w:rsid w:val="0002407A"/>
    <w:rsid w:val="000255AA"/>
    <w:rsid w:val="00026C2A"/>
    <w:rsid w:val="00031F5D"/>
    <w:rsid w:val="00034426"/>
    <w:rsid w:val="00035813"/>
    <w:rsid w:val="000372A6"/>
    <w:rsid w:val="0003738B"/>
    <w:rsid w:val="000436B1"/>
    <w:rsid w:val="00043ACE"/>
    <w:rsid w:val="000444CA"/>
    <w:rsid w:val="00044AB9"/>
    <w:rsid w:val="00044DC8"/>
    <w:rsid w:val="00046A96"/>
    <w:rsid w:val="00046BA5"/>
    <w:rsid w:val="0005257E"/>
    <w:rsid w:val="00055999"/>
    <w:rsid w:val="00056179"/>
    <w:rsid w:val="00056E9B"/>
    <w:rsid w:val="00060BA8"/>
    <w:rsid w:val="0006292C"/>
    <w:rsid w:val="000758B1"/>
    <w:rsid w:val="00075E15"/>
    <w:rsid w:val="0008355C"/>
    <w:rsid w:val="00084A79"/>
    <w:rsid w:val="00084C56"/>
    <w:rsid w:val="00085838"/>
    <w:rsid w:val="00091F40"/>
    <w:rsid w:val="000923B4"/>
    <w:rsid w:val="0009438A"/>
    <w:rsid w:val="00094907"/>
    <w:rsid w:val="000955CA"/>
    <w:rsid w:val="0009714B"/>
    <w:rsid w:val="000A0941"/>
    <w:rsid w:val="000A1844"/>
    <w:rsid w:val="000A60AF"/>
    <w:rsid w:val="000A68BE"/>
    <w:rsid w:val="000A6A45"/>
    <w:rsid w:val="000B5115"/>
    <w:rsid w:val="000B5B10"/>
    <w:rsid w:val="000B7DE2"/>
    <w:rsid w:val="000C0356"/>
    <w:rsid w:val="000C365D"/>
    <w:rsid w:val="000C3B16"/>
    <w:rsid w:val="000C3C85"/>
    <w:rsid w:val="000C443A"/>
    <w:rsid w:val="000C68B7"/>
    <w:rsid w:val="000C6BA9"/>
    <w:rsid w:val="000D1452"/>
    <w:rsid w:val="000D2137"/>
    <w:rsid w:val="000D2957"/>
    <w:rsid w:val="000D624C"/>
    <w:rsid w:val="000D6F19"/>
    <w:rsid w:val="000E0027"/>
    <w:rsid w:val="000E2E5F"/>
    <w:rsid w:val="000E4806"/>
    <w:rsid w:val="000E6B4E"/>
    <w:rsid w:val="000E7485"/>
    <w:rsid w:val="000F1F01"/>
    <w:rsid w:val="000F6F0B"/>
    <w:rsid w:val="00100BA2"/>
    <w:rsid w:val="001015B8"/>
    <w:rsid w:val="00101886"/>
    <w:rsid w:val="0010204E"/>
    <w:rsid w:val="00104C79"/>
    <w:rsid w:val="00111034"/>
    <w:rsid w:val="00111043"/>
    <w:rsid w:val="001117C3"/>
    <w:rsid w:val="0011397B"/>
    <w:rsid w:val="00116845"/>
    <w:rsid w:val="001217F7"/>
    <w:rsid w:val="0012585A"/>
    <w:rsid w:val="00125C2C"/>
    <w:rsid w:val="001304AB"/>
    <w:rsid w:val="001315F3"/>
    <w:rsid w:val="00132D68"/>
    <w:rsid w:val="0013570E"/>
    <w:rsid w:val="00135AAF"/>
    <w:rsid w:val="00141B78"/>
    <w:rsid w:val="0016012F"/>
    <w:rsid w:val="0016451E"/>
    <w:rsid w:val="001669A4"/>
    <w:rsid w:val="00170BB7"/>
    <w:rsid w:val="00172E42"/>
    <w:rsid w:val="00175DA5"/>
    <w:rsid w:val="0017757F"/>
    <w:rsid w:val="00177F8B"/>
    <w:rsid w:val="001823D5"/>
    <w:rsid w:val="00182A29"/>
    <w:rsid w:val="001900BF"/>
    <w:rsid w:val="00190317"/>
    <w:rsid w:val="0019074F"/>
    <w:rsid w:val="00191C62"/>
    <w:rsid w:val="0019445D"/>
    <w:rsid w:val="00194D21"/>
    <w:rsid w:val="0019563D"/>
    <w:rsid w:val="001A205A"/>
    <w:rsid w:val="001A3068"/>
    <w:rsid w:val="001A3F82"/>
    <w:rsid w:val="001A63C1"/>
    <w:rsid w:val="001B1EEE"/>
    <w:rsid w:val="001B31AD"/>
    <w:rsid w:val="001B324D"/>
    <w:rsid w:val="001B4B3B"/>
    <w:rsid w:val="001B56A5"/>
    <w:rsid w:val="001B6D46"/>
    <w:rsid w:val="001C332D"/>
    <w:rsid w:val="001C6B68"/>
    <w:rsid w:val="001C706E"/>
    <w:rsid w:val="001D7746"/>
    <w:rsid w:val="001E003E"/>
    <w:rsid w:val="001E17DF"/>
    <w:rsid w:val="001E1E03"/>
    <w:rsid w:val="001E2879"/>
    <w:rsid w:val="001E44F2"/>
    <w:rsid w:val="001E5E0A"/>
    <w:rsid w:val="001F06A8"/>
    <w:rsid w:val="001F1C58"/>
    <w:rsid w:val="001F1C62"/>
    <w:rsid w:val="001F42F9"/>
    <w:rsid w:val="001F5E47"/>
    <w:rsid w:val="00200D0A"/>
    <w:rsid w:val="00205EEE"/>
    <w:rsid w:val="0020694B"/>
    <w:rsid w:val="00211D76"/>
    <w:rsid w:val="002127BA"/>
    <w:rsid w:val="0021319B"/>
    <w:rsid w:val="00214FDD"/>
    <w:rsid w:val="00222A34"/>
    <w:rsid w:val="002247EE"/>
    <w:rsid w:val="00230261"/>
    <w:rsid w:val="00230B5E"/>
    <w:rsid w:val="002347FF"/>
    <w:rsid w:val="00241501"/>
    <w:rsid w:val="00241D9D"/>
    <w:rsid w:val="00245EC7"/>
    <w:rsid w:val="0024640A"/>
    <w:rsid w:val="002479CC"/>
    <w:rsid w:val="00251F96"/>
    <w:rsid w:val="00255599"/>
    <w:rsid w:val="0025622A"/>
    <w:rsid w:val="002577DF"/>
    <w:rsid w:val="00265C89"/>
    <w:rsid w:val="002731DA"/>
    <w:rsid w:val="00274D6A"/>
    <w:rsid w:val="00275887"/>
    <w:rsid w:val="002802D0"/>
    <w:rsid w:val="00281A52"/>
    <w:rsid w:val="00281A81"/>
    <w:rsid w:val="002825BA"/>
    <w:rsid w:val="00283B19"/>
    <w:rsid w:val="00284090"/>
    <w:rsid w:val="00285495"/>
    <w:rsid w:val="002920A1"/>
    <w:rsid w:val="002921A2"/>
    <w:rsid w:val="0029596F"/>
    <w:rsid w:val="00296A16"/>
    <w:rsid w:val="002A0320"/>
    <w:rsid w:val="002A0529"/>
    <w:rsid w:val="002A155C"/>
    <w:rsid w:val="002A163F"/>
    <w:rsid w:val="002A2C36"/>
    <w:rsid w:val="002A2D51"/>
    <w:rsid w:val="002A4505"/>
    <w:rsid w:val="002A54A2"/>
    <w:rsid w:val="002B1E03"/>
    <w:rsid w:val="002B2DF7"/>
    <w:rsid w:val="002C5BCB"/>
    <w:rsid w:val="002D0858"/>
    <w:rsid w:val="002D2336"/>
    <w:rsid w:val="002D3074"/>
    <w:rsid w:val="002D53D7"/>
    <w:rsid w:val="002D5412"/>
    <w:rsid w:val="002D597B"/>
    <w:rsid w:val="002D5AF6"/>
    <w:rsid w:val="002D5CF8"/>
    <w:rsid w:val="002E0D75"/>
    <w:rsid w:val="002E22B0"/>
    <w:rsid w:val="002E2EED"/>
    <w:rsid w:val="002E6627"/>
    <w:rsid w:val="002E6F02"/>
    <w:rsid w:val="002E7F41"/>
    <w:rsid w:val="002F0800"/>
    <w:rsid w:val="002F25A2"/>
    <w:rsid w:val="002F71A9"/>
    <w:rsid w:val="00302CA9"/>
    <w:rsid w:val="00303766"/>
    <w:rsid w:val="00304382"/>
    <w:rsid w:val="003063BE"/>
    <w:rsid w:val="0030666B"/>
    <w:rsid w:val="00306C25"/>
    <w:rsid w:val="00311D92"/>
    <w:rsid w:val="00312C08"/>
    <w:rsid w:val="00314979"/>
    <w:rsid w:val="00314A9B"/>
    <w:rsid w:val="003156AF"/>
    <w:rsid w:val="00322B33"/>
    <w:rsid w:val="00323FEF"/>
    <w:rsid w:val="0032443C"/>
    <w:rsid w:val="00326AE0"/>
    <w:rsid w:val="00326E92"/>
    <w:rsid w:val="00327D5B"/>
    <w:rsid w:val="003300A9"/>
    <w:rsid w:val="00334A83"/>
    <w:rsid w:val="003357B6"/>
    <w:rsid w:val="0033686A"/>
    <w:rsid w:val="003436E6"/>
    <w:rsid w:val="00344975"/>
    <w:rsid w:val="00345260"/>
    <w:rsid w:val="003460DA"/>
    <w:rsid w:val="003517D4"/>
    <w:rsid w:val="0035231A"/>
    <w:rsid w:val="00355D33"/>
    <w:rsid w:val="00356DE8"/>
    <w:rsid w:val="00362104"/>
    <w:rsid w:val="00363FD9"/>
    <w:rsid w:val="00370868"/>
    <w:rsid w:val="00370D69"/>
    <w:rsid w:val="00374EDB"/>
    <w:rsid w:val="00375DD6"/>
    <w:rsid w:val="00377558"/>
    <w:rsid w:val="003778C0"/>
    <w:rsid w:val="00380D78"/>
    <w:rsid w:val="003832FE"/>
    <w:rsid w:val="0038337A"/>
    <w:rsid w:val="00384877"/>
    <w:rsid w:val="003849AD"/>
    <w:rsid w:val="00384A8A"/>
    <w:rsid w:val="00391566"/>
    <w:rsid w:val="00394C2A"/>
    <w:rsid w:val="00395AC6"/>
    <w:rsid w:val="00395CBD"/>
    <w:rsid w:val="0039686A"/>
    <w:rsid w:val="00397F9A"/>
    <w:rsid w:val="003A274F"/>
    <w:rsid w:val="003A6A47"/>
    <w:rsid w:val="003A6B67"/>
    <w:rsid w:val="003B588A"/>
    <w:rsid w:val="003B5ACE"/>
    <w:rsid w:val="003B7781"/>
    <w:rsid w:val="003B7D31"/>
    <w:rsid w:val="003C127C"/>
    <w:rsid w:val="003C2555"/>
    <w:rsid w:val="003C3534"/>
    <w:rsid w:val="003C4FB0"/>
    <w:rsid w:val="003C55C5"/>
    <w:rsid w:val="003D18B4"/>
    <w:rsid w:val="003D2464"/>
    <w:rsid w:val="003D3458"/>
    <w:rsid w:val="003D375A"/>
    <w:rsid w:val="003E1D97"/>
    <w:rsid w:val="003E6496"/>
    <w:rsid w:val="003E7D4E"/>
    <w:rsid w:val="003F2612"/>
    <w:rsid w:val="003F3CB6"/>
    <w:rsid w:val="003F438D"/>
    <w:rsid w:val="003F6520"/>
    <w:rsid w:val="003F7D62"/>
    <w:rsid w:val="003F7FFD"/>
    <w:rsid w:val="00401BEC"/>
    <w:rsid w:val="004050F6"/>
    <w:rsid w:val="00405741"/>
    <w:rsid w:val="00405B77"/>
    <w:rsid w:val="00411C6A"/>
    <w:rsid w:val="00413AF7"/>
    <w:rsid w:val="00414833"/>
    <w:rsid w:val="00415F6C"/>
    <w:rsid w:val="0041623D"/>
    <w:rsid w:val="004218E8"/>
    <w:rsid w:val="00424B4C"/>
    <w:rsid w:val="00426410"/>
    <w:rsid w:val="00427DB6"/>
    <w:rsid w:val="00427EDC"/>
    <w:rsid w:val="00430E59"/>
    <w:rsid w:val="00433286"/>
    <w:rsid w:val="0043381D"/>
    <w:rsid w:val="00447465"/>
    <w:rsid w:val="004478DA"/>
    <w:rsid w:val="00450F22"/>
    <w:rsid w:val="004517BD"/>
    <w:rsid w:val="004538FA"/>
    <w:rsid w:val="00454155"/>
    <w:rsid w:val="0045558E"/>
    <w:rsid w:val="00457C1B"/>
    <w:rsid w:val="00457EA3"/>
    <w:rsid w:val="00460C14"/>
    <w:rsid w:val="00461A05"/>
    <w:rsid w:val="00461DA0"/>
    <w:rsid w:val="00462144"/>
    <w:rsid w:val="00462C5D"/>
    <w:rsid w:val="00466C9F"/>
    <w:rsid w:val="004670F9"/>
    <w:rsid w:val="00470E3A"/>
    <w:rsid w:val="00475D96"/>
    <w:rsid w:val="00475DCB"/>
    <w:rsid w:val="004813C4"/>
    <w:rsid w:val="004833E0"/>
    <w:rsid w:val="0048451E"/>
    <w:rsid w:val="004962BA"/>
    <w:rsid w:val="00496A11"/>
    <w:rsid w:val="0049735F"/>
    <w:rsid w:val="00497B74"/>
    <w:rsid w:val="004A7318"/>
    <w:rsid w:val="004B3081"/>
    <w:rsid w:val="004B375E"/>
    <w:rsid w:val="004B60DD"/>
    <w:rsid w:val="004C0AF8"/>
    <w:rsid w:val="004C1E7C"/>
    <w:rsid w:val="004C224D"/>
    <w:rsid w:val="004C2E9B"/>
    <w:rsid w:val="004C378D"/>
    <w:rsid w:val="004C63C4"/>
    <w:rsid w:val="004D1010"/>
    <w:rsid w:val="004D3F5D"/>
    <w:rsid w:val="004D4015"/>
    <w:rsid w:val="004D4F51"/>
    <w:rsid w:val="004D582F"/>
    <w:rsid w:val="004D62F3"/>
    <w:rsid w:val="004D6A3B"/>
    <w:rsid w:val="004D6C60"/>
    <w:rsid w:val="004E2745"/>
    <w:rsid w:val="004E5BBD"/>
    <w:rsid w:val="005005F7"/>
    <w:rsid w:val="005037DD"/>
    <w:rsid w:val="005045AC"/>
    <w:rsid w:val="00506E5F"/>
    <w:rsid w:val="00507039"/>
    <w:rsid w:val="00507E1A"/>
    <w:rsid w:val="00510A73"/>
    <w:rsid w:val="00514CB3"/>
    <w:rsid w:val="00523B23"/>
    <w:rsid w:val="00524231"/>
    <w:rsid w:val="0052672A"/>
    <w:rsid w:val="00530C75"/>
    <w:rsid w:val="00530FD0"/>
    <w:rsid w:val="00531819"/>
    <w:rsid w:val="00533C0C"/>
    <w:rsid w:val="0053520F"/>
    <w:rsid w:val="005363C1"/>
    <w:rsid w:val="00537DE7"/>
    <w:rsid w:val="005419E2"/>
    <w:rsid w:val="00550201"/>
    <w:rsid w:val="00554432"/>
    <w:rsid w:val="0055468A"/>
    <w:rsid w:val="00563015"/>
    <w:rsid w:val="00563CC1"/>
    <w:rsid w:val="00565E60"/>
    <w:rsid w:val="00566C61"/>
    <w:rsid w:val="0056726F"/>
    <w:rsid w:val="00571939"/>
    <w:rsid w:val="0058388F"/>
    <w:rsid w:val="00583A8D"/>
    <w:rsid w:val="00587C5B"/>
    <w:rsid w:val="00594391"/>
    <w:rsid w:val="005952D3"/>
    <w:rsid w:val="005975EA"/>
    <w:rsid w:val="005A2191"/>
    <w:rsid w:val="005A2ECB"/>
    <w:rsid w:val="005A55E1"/>
    <w:rsid w:val="005B1923"/>
    <w:rsid w:val="005B2EA3"/>
    <w:rsid w:val="005B51EA"/>
    <w:rsid w:val="005B7867"/>
    <w:rsid w:val="005C2881"/>
    <w:rsid w:val="005C2F0B"/>
    <w:rsid w:val="005C33A0"/>
    <w:rsid w:val="005C756A"/>
    <w:rsid w:val="005D55C8"/>
    <w:rsid w:val="005D5820"/>
    <w:rsid w:val="005D59EC"/>
    <w:rsid w:val="005D5ED0"/>
    <w:rsid w:val="005D61CF"/>
    <w:rsid w:val="005E35D0"/>
    <w:rsid w:val="005E7080"/>
    <w:rsid w:val="005F07D5"/>
    <w:rsid w:val="005F0976"/>
    <w:rsid w:val="005F0AB1"/>
    <w:rsid w:val="005F58B5"/>
    <w:rsid w:val="005F625D"/>
    <w:rsid w:val="006003DB"/>
    <w:rsid w:val="00602470"/>
    <w:rsid w:val="00602F7F"/>
    <w:rsid w:val="00610FEE"/>
    <w:rsid w:val="0061208F"/>
    <w:rsid w:val="00613A57"/>
    <w:rsid w:val="0062111E"/>
    <w:rsid w:val="00621C0B"/>
    <w:rsid w:val="00622084"/>
    <w:rsid w:val="006276D6"/>
    <w:rsid w:val="00632ADC"/>
    <w:rsid w:val="00640A1B"/>
    <w:rsid w:val="00641D05"/>
    <w:rsid w:val="00646CA7"/>
    <w:rsid w:val="006473E5"/>
    <w:rsid w:val="006504CD"/>
    <w:rsid w:val="0065244D"/>
    <w:rsid w:val="00655100"/>
    <w:rsid w:val="00655E0A"/>
    <w:rsid w:val="006607F2"/>
    <w:rsid w:val="006624F8"/>
    <w:rsid w:val="00665ADC"/>
    <w:rsid w:val="00672160"/>
    <w:rsid w:val="00672CE4"/>
    <w:rsid w:val="006730FA"/>
    <w:rsid w:val="00681647"/>
    <w:rsid w:val="00682B00"/>
    <w:rsid w:val="00683308"/>
    <w:rsid w:val="00686128"/>
    <w:rsid w:val="00686568"/>
    <w:rsid w:val="006866F1"/>
    <w:rsid w:val="006903AE"/>
    <w:rsid w:val="00697DA7"/>
    <w:rsid w:val="006A0ADA"/>
    <w:rsid w:val="006A0FC8"/>
    <w:rsid w:val="006A3CF1"/>
    <w:rsid w:val="006A4B34"/>
    <w:rsid w:val="006A7F1F"/>
    <w:rsid w:val="006B0908"/>
    <w:rsid w:val="006B1069"/>
    <w:rsid w:val="006B545C"/>
    <w:rsid w:val="006C2826"/>
    <w:rsid w:val="006C2A3E"/>
    <w:rsid w:val="006D04FF"/>
    <w:rsid w:val="006D1EA6"/>
    <w:rsid w:val="006D2D7B"/>
    <w:rsid w:val="006D3058"/>
    <w:rsid w:val="006E10E5"/>
    <w:rsid w:val="006E1EF2"/>
    <w:rsid w:val="006E2A1B"/>
    <w:rsid w:val="006E5819"/>
    <w:rsid w:val="006E5A1B"/>
    <w:rsid w:val="006F0A19"/>
    <w:rsid w:val="006F0E69"/>
    <w:rsid w:val="006F1529"/>
    <w:rsid w:val="006F3DC3"/>
    <w:rsid w:val="006F43EA"/>
    <w:rsid w:val="006F56AE"/>
    <w:rsid w:val="006F6DE8"/>
    <w:rsid w:val="007014ED"/>
    <w:rsid w:val="007031FE"/>
    <w:rsid w:val="00704E9B"/>
    <w:rsid w:val="00705E8B"/>
    <w:rsid w:val="007103FE"/>
    <w:rsid w:val="00715619"/>
    <w:rsid w:val="007166CF"/>
    <w:rsid w:val="00722571"/>
    <w:rsid w:val="0072334C"/>
    <w:rsid w:val="00723E2D"/>
    <w:rsid w:val="00723ED0"/>
    <w:rsid w:val="00725AAD"/>
    <w:rsid w:val="00732533"/>
    <w:rsid w:val="00734171"/>
    <w:rsid w:val="0073589C"/>
    <w:rsid w:val="00736D19"/>
    <w:rsid w:val="00741659"/>
    <w:rsid w:val="00744657"/>
    <w:rsid w:val="0074491E"/>
    <w:rsid w:val="00746801"/>
    <w:rsid w:val="00754860"/>
    <w:rsid w:val="007560C9"/>
    <w:rsid w:val="0075701F"/>
    <w:rsid w:val="00763098"/>
    <w:rsid w:val="00763EDD"/>
    <w:rsid w:val="00764390"/>
    <w:rsid w:val="0076454E"/>
    <w:rsid w:val="007759C2"/>
    <w:rsid w:val="00776A95"/>
    <w:rsid w:val="00776BA2"/>
    <w:rsid w:val="0078175E"/>
    <w:rsid w:val="0078325D"/>
    <w:rsid w:val="0078592F"/>
    <w:rsid w:val="0079213A"/>
    <w:rsid w:val="0079353E"/>
    <w:rsid w:val="007A1745"/>
    <w:rsid w:val="007A6B71"/>
    <w:rsid w:val="007B0163"/>
    <w:rsid w:val="007B0CED"/>
    <w:rsid w:val="007B1018"/>
    <w:rsid w:val="007B5967"/>
    <w:rsid w:val="007B6224"/>
    <w:rsid w:val="007B72FE"/>
    <w:rsid w:val="007C00FC"/>
    <w:rsid w:val="007C08D5"/>
    <w:rsid w:val="007C1F87"/>
    <w:rsid w:val="007C68D0"/>
    <w:rsid w:val="007C6DD9"/>
    <w:rsid w:val="007D3EB1"/>
    <w:rsid w:val="007D4FB4"/>
    <w:rsid w:val="007D598F"/>
    <w:rsid w:val="007D5EEF"/>
    <w:rsid w:val="007D6F3E"/>
    <w:rsid w:val="007D763B"/>
    <w:rsid w:val="007E1309"/>
    <w:rsid w:val="007E52D8"/>
    <w:rsid w:val="007F1CBA"/>
    <w:rsid w:val="007F6445"/>
    <w:rsid w:val="007F6A76"/>
    <w:rsid w:val="008029A8"/>
    <w:rsid w:val="008035AA"/>
    <w:rsid w:val="008041B3"/>
    <w:rsid w:val="00810F2F"/>
    <w:rsid w:val="008115F0"/>
    <w:rsid w:val="0081170C"/>
    <w:rsid w:val="008126F9"/>
    <w:rsid w:val="0081650A"/>
    <w:rsid w:val="008166F7"/>
    <w:rsid w:val="008169FE"/>
    <w:rsid w:val="00823316"/>
    <w:rsid w:val="008253D2"/>
    <w:rsid w:val="00832FF6"/>
    <w:rsid w:val="00833E2E"/>
    <w:rsid w:val="008352FF"/>
    <w:rsid w:val="008361E5"/>
    <w:rsid w:val="00841170"/>
    <w:rsid w:val="008413ED"/>
    <w:rsid w:val="008414DB"/>
    <w:rsid w:val="00841EC2"/>
    <w:rsid w:val="00842F8D"/>
    <w:rsid w:val="00843177"/>
    <w:rsid w:val="0084599F"/>
    <w:rsid w:val="00847AA5"/>
    <w:rsid w:val="008544A3"/>
    <w:rsid w:val="008549D6"/>
    <w:rsid w:val="00855B35"/>
    <w:rsid w:val="00855EC9"/>
    <w:rsid w:val="00864F60"/>
    <w:rsid w:val="008665DA"/>
    <w:rsid w:val="008701DC"/>
    <w:rsid w:val="00870F05"/>
    <w:rsid w:val="008727AA"/>
    <w:rsid w:val="008729E4"/>
    <w:rsid w:val="00872BFA"/>
    <w:rsid w:val="008753DF"/>
    <w:rsid w:val="00877A99"/>
    <w:rsid w:val="00881343"/>
    <w:rsid w:val="0088428A"/>
    <w:rsid w:val="00890121"/>
    <w:rsid w:val="0089097C"/>
    <w:rsid w:val="00890D99"/>
    <w:rsid w:val="00890ED4"/>
    <w:rsid w:val="0089342F"/>
    <w:rsid w:val="00893B29"/>
    <w:rsid w:val="0089499C"/>
    <w:rsid w:val="00895515"/>
    <w:rsid w:val="00895B11"/>
    <w:rsid w:val="008977BC"/>
    <w:rsid w:val="008A0EE6"/>
    <w:rsid w:val="008A375B"/>
    <w:rsid w:val="008A61C5"/>
    <w:rsid w:val="008A6C6F"/>
    <w:rsid w:val="008B05DF"/>
    <w:rsid w:val="008B3FB6"/>
    <w:rsid w:val="008B7B86"/>
    <w:rsid w:val="008C1814"/>
    <w:rsid w:val="008C2B9F"/>
    <w:rsid w:val="008C336E"/>
    <w:rsid w:val="008C496D"/>
    <w:rsid w:val="008C5938"/>
    <w:rsid w:val="008C5A48"/>
    <w:rsid w:val="008C5A64"/>
    <w:rsid w:val="008D09AB"/>
    <w:rsid w:val="008D09DB"/>
    <w:rsid w:val="008D27D9"/>
    <w:rsid w:val="008D4625"/>
    <w:rsid w:val="008D6537"/>
    <w:rsid w:val="008D708A"/>
    <w:rsid w:val="008D771E"/>
    <w:rsid w:val="008E094A"/>
    <w:rsid w:val="008E7364"/>
    <w:rsid w:val="008E73B0"/>
    <w:rsid w:val="008E7765"/>
    <w:rsid w:val="008F3788"/>
    <w:rsid w:val="008F500B"/>
    <w:rsid w:val="008F53FF"/>
    <w:rsid w:val="008F6F9C"/>
    <w:rsid w:val="00904059"/>
    <w:rsid w:val="00904564"/>
    <w:rsid w:val="00906E3F"/>
    <w:rsid w:val="00906EAF"/>
    <w:rsid w:val="009106E1"/>
    <w:rsid w:val="009110B0"/>
    <w:rsid w:val="009154A9"/>
    <w:rsid w:val="0092101B"/>
    <w:rsid w:val="0092249C"/>
    <w:rsid w:val="00922ED9"/>
    <w:rsid w:val="009234DB"/>
    <w:rsid w:val="00924C30"/>
    <w:rsid w:val="00926901"/>
    <w:rsid w:val="00927174"/>
    <w:rsid w:val="009278E4"/>
    <w:rsid w:val="0093191F"/>
    <w:rsid w:val="00932239"/>
    <w:rsid w:val="009325F5"/>
    <w:rsid w:val="00935399"/>
    <w:rsid w:val="00941695"/>
    <w:rsid w:val="009502FD"/>
    <w:rsid w:val="009515BF"/>
    <w:rsid w:val="00952726"/>
    <w:rsid w:val="0095789B"/>
    <w:rsid w:val="0096032D"/>
    <w:rsid w:val="00960C95"/>
    <w:rsid w:val="009648DC"/>
    <w:rsid w:val="00967D84"/>
    <w:rsid w:val="009728DB"/>
    <w:rsid w:val="00973B44"/>
    <w:rsid w:val="00974089"/>
    <w:rsid w:val="009748D8"/>
    <w:rsid w:val="009754B7"/>
    <w:rsid w:val="009832F8"/>
    <w:rsid w:val="00983947"/>
    <w:rsid w:val="009875C3"/>
    <w:rsid w:val="009917EF"/>
    <w:rsid w:val="00992FF2"/>
    <w:rsid w:val="00993DBA"/>
    <w:rsid w:val="00993DC9"/>
    <w:rsid w:val="00995114"/>
    <w:rsid w:val="00997D3E"/>
    <w:rsid w:val="009A139C"/>
    <w:rsid w:val="009A3E44"/>
    <w:rsid w:val="009A6689"/>
    <w:rsid w:val="009B47EF"/>
    <w:rsid w:val="009B6BE5"/>
    <w:rsid w:val="009B774E"/>
    <w:rsid w:val="009C2258"/>
    <w:rsid w:val="009C3FDA"/>
    <w:rsid w:val="009D092B"/>
    <w:rsid w:val="009D6358"/>
    <w:rsid w:val="009D71EC"/>
    <w:rsid w:val="009E0EC8"/>
    <w:rsid w:val="009E2A26"/>
    <w:rsid w:val="009E75CE"/>
    <w:rsid w:val="009E76CD"/>
    <w:rsid w:val="009E79AB"/>
    <w:rsid w:val="009E7B28"/>
    <w:rsid w:val="009E7FAA"/>
    <w:rsid w:val="009F015A"/>
    <w:rsid w:val="009F0D1C"/>
    <w:rsid w:val="009F1555"/>
    <w:rsid w:val="009F739C"/>
    <w:rsid w:val="009F76B9"/>
    <w:rsid w:val="009F7E03"/>
    <w:rsid w:val="00A00363"/>
    <w:rsid w:val="00A01051"/>
    <w:rsid w:val="00A01DBB"/>
    <w:rsid w:val="00A02560"/>
    <w:rsid w:val="00A036B6"/>
    <w:rsid w:val="00A04914"/>
    <w:rsid w:val="00A05C68"/>
    <w:rsid w:val="00A10119"/>
    <w:rsid w:val="00A11B96"/>
    <w:rsid w:val="00A12583"/>
    <w:rsid w:val="00A14C3C"/>
    <w:rsid w:val="00A2103F"/>
    <w:rsid w:val="00A210D4"/>
    <w:rsid w:val="00A21612"/>
    <w:rsid w:val="00A22259"/>
    <w:rsid w:val="00A24B7D"/>
    <w:rsid w:val="00A35AFA"/>
    <w:rsid w:val="00A3708A"/>
    <w:rsid w:val="00A37616"/>
    <w:rsid w:val="00A37C57"/>
    <w:rsid w:val="00A4017E"/>
    <w:rsid w:val="00A44D89"/>
    <w:rsid w:val="00A47EFF"/>
    <w:rsid w:val="00A506A0"/>
    <w:rsid w:val="00A65577"/>
    <w:rsid w:val="00A65D6C"/>
    <w:rsid w:val="00A66478"/>
    <w:rsid w:val="00A666F1"/>
    <w:rsid w:val="00A667DC"/>
    <w:rsid w:val="00A6775D"/>
    <w:rsid w:val="00A711DB"/>
    <w:rsid w:val="00A774B7"/>
    <w:rsid w:val="00A80CDB"/>
    <w:rsid w:val="00A81DFB"/>
    <w:rsid w:val="00A823B9"/>
    <w:rsid w:val="00A835BB"/>
    <w:rsid w:val="00A9358F"/>
    <w:rsid w:val="00A93D66"/>
    <w:rsid w:val="00A95F6E"/>
    <w:rsid w:val="00A96961"/>
    <w:rsid w:val="00AA06CB"/>
    <w:rsid w:val="00AA227C"/>
    <w:rsid w:val="00AA6C04"/>
    <w:rsid w:val="00AA75EC"/>
    <w:rsid w:val="00AB07E1"/>
    <w:rsid w:val="00AB238C"/>
    <w:rsid w:val="00AB7DAC"/>
    <w:rsid w:val="00AC26B7"/>
    <w:rsid w:val="00AC2F33"/>
    <w:rsid w:val="00AC3547"/>
    <w:rsid w:val="00AC48C3"/>
    <w:rsid w:val="00AC5F29"/>
    <w:rsid w:val="00AC7B17"/>
    <w:rsid w:val="00AD6122"/>
    <w:rsid w:val="00AE07E3"/>
    <w:rsid w:val="00AE27EE"/>
    <w:rsid w:val="00AE3DE1"/>
    <w:rsid w:val="00AE43AE"/>
    <w:rsid w:val="00AE4E44"/>
    <w:rsid w:val="00AE625A"/>
    <w:rsid w:val="00AF09DF"/>
    <w:rsid w:val="00AF1A6F"/>
    <w:rsid w:val="00AF7C87"/>
    <w:rsid w:val="00B0319E"/>
    <w:rsid w:val="00B03901"/>
    <w:rsid w:val="00B05094"/>
    <w:rsid w:val="00B06375"/>
    <w:rsid w:val="00B07B0C"/>
    <w:rsid w:val="00B07FF5"/>
    <w:rsid w:val="00B1252B"/>
    <w:rsid w:val="00B12DFA"/>
    <w:rsid w:val="00B15DB0"/>
    <w:rsid w:val="00B2024F"/>
    <w:rsid w:val="00B21F4B"/>
    <w:rsid w:val="00B227BA"/>
    <w:rsid w:val="00B256D9"/>
    <w:rsid w:val="00B25CE0"/>
    <w:rsid w:val="00B26356"/>
    <w:rsid w:val="00B26B66"/>
    <w:rsid w:val="00B3004D"/>
    <w:rsid w:val="00B30F6B"/>
    <w:rsid w:val="00B32C02"/>
    <w:rsid w:val="00B36373"/>
    <w:rsid w:val="00B3757E"/>
    <w:rsid w:val="00B40BB2"/>
    <w:rsid w:val="00B42770"/>
    <w:rsid w:val="00B44BB4"/>
    <w:rsid w:val="00B4513B"/>
    <w:rsid w:val="00B4757A"/>
    <w:rsid w:val="00B63C48"/>
    <w:rsid w:val="00B660A4"/>
    <w:rsid w:val="00B665E8"/>
    <w:rsid w:val="00B71556"/>
    <w:rsid w:val="00B745B4"/>
    <w:rsid w:val="00B74AD5"/>
    <w:rsid w:val="00B84CDF"/>
    <w:rsid w:val="00B85664"/>
    <w:rsid w:val="00B8762C"/>
    <w:rsid w:val="00B91FBD"/>
    <w:rsid w:val="00B94487"/>
    <w:rsid w:val="00B9459F"/>
    <w:rsid w:val="00B95781"/>
    <w:rsid w:val="00B96F44"/>
    <w:rsid w:val="00B97828"/>
    <w:rsid w:val="00BA1D88"/>
    <w:rsid w:val="00BA2181"/>
    <w:rsid w:val="00BA30ED"/>
    <w:rsid w:val="00BB052A"/>
    <w:rsid w:val="00BB318D"/>
    <w:rsid w:val="00BB3E31"/>
    <w:rsid w:val="00BB46F3"/>
    <w:rsid w:val="00BB520F"/>
    <w:rsid w:val="00BB72EC"/>
    <w:rsid w:val="00BC1499"/>
    <w:rsid w:val="00BC239A"/>
    <w:rsid w:val="00BC533A"/>
    <w:rsid w:val="00BD352A"/>
    <w:rsid w:val="00BD3E21"/>
    <w:rsid w:val="00BD6D6E"/>
    <w:rsid w:val="00BD6DB2"/>
    <w:rsid w:val="00BE26F6"/>
    <w:rsid w:val="00BE4670"/>
    <w:rsid w:val="00BE4D6A"/>
    <w:rsid w:val="00BE7A4D"/>
    <w:rsid w:val="00BF0C6C"/>
    <w:rsid w:val="00BF4ED2"/>
    <w:rsid w:val="00BF75FE"/>
    <w:rsid w:val="00C011ED"/>
    <w:rsid w:val="00C0756E"/>
    <w:rsid w:val="00C10E5D"/>
    <w:rsid w:val="00C14330"/>
    <w:rsid w:val="00C148B7"/>
    <w:rsid w:val="00C1589F"/>
    <w:rsid w:val="00C160A5"/>
    <w:rsid w:val="00C17580"/>
    <w:rsid w:val="00C17D11"/>
    <w:rsid w:val="00C23109"/>
    <w:rsid w:val="00C254F3"/>
    <w:rsid w:val="00C25FD1"/>
    <w:rsid w:val="00C25FEA"/>
    <w:rsid w:val="00C27443"/>
    <w:rsid w:val="00C30719"/>
    <w:rsid w:val="00C37413"/>
    <w:rsid w:val="00C37B6F"/>
    <w:rsid w:val="00C428CC"/>
    <w:rsid w:val="00C433D6"/>
    <w:rsid w:val="00C43D25"/>
    <w:rsid w:val="00C4405C"/>
    <w:rsid w:val="00C47F32"/>
    <w:rsid w:val="00C523EE"/>
    <w:rsid w:val="00C54D69"/>
    <w:rsid w:val="00C5508F"/>
    <w:rsid w:val="00C6242A"/>
    <w:rsid w:val="00C657EC"/>
    <w:rsid w:val="00C67512"/>
    <w:rsid w:val="00C71120"/>
    <w:rsid w:val="00C77193"/>
    <w:rsid w:val="00C8165E"/>
    <w:rsid w:val="00C81698"/>
    <w:rsid w:val="00C863AE"/>
    <w:rsid w:val="00C94E27"/>
    <w:rsid w:val="00CA1AFB"/>
    <w:rsid w:val="00CA3182"/>
    <w:rsid w:val="00CA51D3"/>
    <w:rsid w:val="00CB065C"/>
    <w:rsid w:val="00CB4B60"/>
    <w:rsid w:val="00CB7386"/>
    <w:rsid w:val="00CC049D"/>
    <w:rsid w:val="00CC14E4"/>
    <w:rsid w:val="00CC212F"/>
    <w:rsid w:val="00CC4E57"/>
    <w:rsid w:val="00CC6BCC"/>
    <w:rsid w:val="00CD26BD"/>
    <w:rsid w:val="00CE2CD4"/>
    <w:rsid w:val="00CE44DE"/>
    <w:rsid w:val="00CF3675"/>
    <w:rsid w:val="00CF4732"/>
    <w:rsid w:val="00CF53FF"/>
    <w:rsid w:val="00CF742E"/>
    <w:rsid w:val="00CF78AF"/>
    <w:rsid w:val="00D00672"/>
    <w:rsid w:val="00D00C16"/>
    <w:rsid w:val="00D03083"/>
    <w:rsid w:val="00D04D0F"/>
    <w:rsid w:val="00D05FFF"/>
    <w:rsid w:val="00D138EE"/>
    <w:rsid w:val="00D15180"/>
    <w:rsid w:val="00D15B00"/>
    <w:rsid w:val="00D222AB"/>
    <w:rsid w:val="00D229FD"/>
    <w:rsid w:val="00D232A0"/>
    <w:rsid w:val="00D2637B"/>
    <w:rsid w:val="00D27BA4"/>
    <w:rsid w:val="00D27F8A"/>
    <w:rsid w:val="00D313D1"/>
    <w:rsid w:val="00D35574"/>
    <w:rsid w:val="00D36516"/>
    <w:rsid w:val="00D52766"/>
    <w:rsid w:val="00D528E2"/>
    <w:rsid w:val="00D531A5"/>
    <w:rsid w:val="00D61638"/>
    <w:rsid w:val="00D6379C"/>
    <w:rsid w:val="00D639F6"/>
    <w:rsid w:val="00D65E66"/>
    <w:rsid w:val="00D70C85"/>
    <w:rsid w:val="00D72D7B"/>
    <w:rsid w:val="00D737DC"/>
    <w:rsid w:val="00D750A8"/>
    <w:rsid w:val="00D75A50"/>
    <w:rsid w:val="00D75CA9"/>
    <w:rsid w:val="00D76E4C"/>
    <w:rsid w:val="00D77D34"/>
    <w:rsid w:val="00D806AE"/>
    <w:rsid w:val="00D806CE"/>
    <w:rsid w:val="00D81B3A"/>
    <w:rsid w:val="00D83BCE"/>
    <w:rsid w:val="00D85243"/>
    <w:rsid w:val="00D852F0"/>
    <w:rsid w:val="00D8582C"/>
    <w:rsid w:val="00D85A10"/>
    <w:rsid w:val="00D903AE"/>
    <w:rsid w:val="00D91720"/>
    <w:rsid w:val="00D936C1"/>
    <w:rsid w:val="00D9539C"/>
    <w:rsid w:val="00D95B5F"/>
    <w:rsid w:val="00D96BB4"/>
    <w:rsid w:val="00DA2593"/>
    <w:rsid w:val="00DA35D9"/>
    <w:rsid w:val="00DA3E82"/>
    <w:rsid w:val="00DA697A"/>
    <w:rsid w:val="00DB2CA4"/>
    <w:rsid w:val="00DB5988"/>
    <w:rsid w:val="00DB656C"/>
    <w:rsid w:val="00DB6DEB"/>
    <w:rsid w:val="00DB727E"/>
    <w:rsid w:val="00DB7444"/>
    <w:rsid w:val="00DC18ED"/>
    <w:rsid w:val="00DC1C31"/>
    <w:rsid w:val="00DC2B33"/>
    <w:rsid w:val="00DC4E88"/>
    <w:rsid w:val="00DC6C6D"/>
    <w:rsid w:val="00DD191E"/>
    <w:rsid w:val="00DD2FCC"/>
    <w:rsid w:val="00DD3F77"/>
    <w:rsid w:val="00DE1D92"/>
    <w:rsid w:val="00DF105C"/>
    <w:rsid w:val="00DF3255"/>
    <w:rsid w:val="00DF4625"/>
    <w:rsid w:val="00DF7C05"/>
    <w:rsid w:val="00E02BA3"/>
    <w:rsid w:val="00E0411A"/>
    <w:rsid w:val="00E04A1F"/>
    <w:rsid w:val="00E05879"/>
    <w:rsid w:val="00E075E2"/>
    <w:rsid w:val="00E110F3"/>
    <w:rsid w:val="00E153C1"/>
    <w:rsid w:val="00E166EC"/>
    <w:rsid w:val="00E21BC1"/>
    <w:rsid w:val="00E239EE"/>
    <w:rsid w:val="00E2415B"/>
    <w:rsid w:val="00E26268"/>
    <w:rsid w:val="00E27396"/>
    <w:rsid w:val="00E27A9B"/>
    <w:rsid w:val="00E30567"/>
    <w:rsid w:val="00E32451"/>
    <w:rsid w:val="00E35F97"/>
    <w:rsid w:val="00E36592"/>
    <w:rsid w:val="00E378D7"/>
    <w:rsid w:val="00E412BA"/>
    <w:rsid w:val="00E433D5"/>
    <w:rsid w:val="00E47599"/>
    <w:rsid w:val="00E5089F"/>
    <w:rsid w:val="00E50A99"/>
    <w:rsid w:val="00E54072"/>
    <w:rsid w:val="00E55AC0"/>
    <w:rsid w:val="00E55F38"/>
    <w:rsid w:val="00E56CC1"/>
    <w:rsid w:val="00E60CC7"/>
    <w:rsid w:val="00E61F9D"/>
    <w:rsid w:val="00E63D6F"/>
    <w:rsid w:val="00E65357"/>
    <w:rsid w:val="00E66DCF"/>
    <w:rsid w:val="00E67160"/>
    <w:rsid w:val="00E71BB2"/>
    <w:rsid w:val="00E743BE"/>
    <w:rsid w:val="00E770D2"/>
    <w:rsid w:val="00E80FD6"/>
    <w:rsid w:val="00E83ACC"/>
    <w:rsid w:val="00E84430"/>
    <w:rsid w:val="00E87BF1"/>
    <w:rsid w:val="00E934F4"/>
    <w:rsid w:val="00E938D3"/>
    <w:rsid w:val="00E975CF"/>
    <w:rsid w:val="00EA1F73"/>
    <w:rsid w:val="00EB0939"/>
    <w:rsid w:val="00EB3AE4"/>
    <w:rsid w:val="00EB5052"/>
    <w:rsid w:val="00EB76F2"/>
    <w:rsid w:val="00EB7BEE"/>
    <w:rsid w:val="00EC0CE5"/>
    <w:rsid w:val="00EC27C5"/>
    <w:rsid w:val="00EC6ED6"/>
    <w:rsid w:val="00EC7ADD"/>
    <w:rsid w:val="00ED32AD"/>
    <w:rsid w:val="00EE63A6"/>
    <w:rsid w:val="00EF20EE"/>
    <w:rsid w:val="00EF739F"/>
    <w:rsid w:val="00F01B11"/>
    <w:rsid w:val="00F035A5"/>
    <w:rsid w:val="00F0604F"/>
    <w:rsid w:val="00F13A57"/>
    <w:rsid w:val="00F21C78"/>
    <w:rsid w:val="00F2268C"/>
    <w:rsid w:val="00F24F01"/>
    <w:rsid w:val="00F27340"/>
    <w:rsid w:val="00F27E62"/>
    <w:rsid w:val="00F31156"/>
    <w:rsid w:val="00F322C0"/>
    <w:rsid w:val="00F3417A"/>
    <w:rsid w:val="00F34B20"/>
    <w:rsid w:val="00F40682"/>
    <w:rsid w:val="00F41612"/>
    <w:rsid w:val="00F43AE5"/>
    <w:rsid w:val="00F46CEB"/>
    <w:rsid w:val="00F47732"/>
    <w:rsid w:val="00F54858"/>
    <w:rsid w:val="00F5614A"/>
    <w:rsid w:val="00F56B83"/>
    <w:rsid w:val="00F56D2D"/>
    <w:rsid w:val="00F63AF9"/>
    <w:rsid w:val="00F657BF"/>
    <w:rsid w:val="00F70510"/>
    <w:rsid w:val="00F70C0F"/>
    <w:rsid w:val="00F71218"/>
    <w:rsid w:val="00F747A9"/>
    <w:rsid w:val="00F75163"/>
    <w:rsid w:val="00F76878"/>
    <w:rsid w:val="00F772BF"/>
    <w:rsid w:val="00F777A9"/>
    <w:rsid w:val="00F80C67"/>
    <w:rsid w:val="00F86DDE"/>
    <w:rsid w:val="00F906CE"/>
    <w:rsid w:val="00F9109B"/>
    <w:rsid w:val="00F91E70"/>
    <w:rsid w:val="00F94522"/>
    <w:rsid w:val="00FA1FC7"/>
    <w:rsid w:val="00FA5C06"/>
    <w:rsid w:val="00FB388D"/>
    <w:rsid w:val="00FB4B2D"/>
    <w:rsid w:val="00FB4E25"/>
    <w:rsid w:val="00FB53B2"/>
    <w:rsid w:val="00FC3611"/>
    <w:rsid w:val="00FC3720"/>
    <w:rsid w:val="00FC4A0B"/>
    <w:rsid w:val="00FC4D43"/>
    <w:rsid w:val="00FC58E3"/>
    <w:rsid w:val="00FC5C39"/>
    <w:rsid w:val="00FC6F0C"/>
    <w:rsid w:val="00FD014A"/>
    <w:rsid w:val="00FD0380"/>
    <w:rsid w:val="00FD080E"/>
    <w:rsid w:val="00FD2A2C"/>
    <w:rsid w:val="00FD3210"/>
    <w:rsid w:val="00FD388A"/>
    <w:rsid w:val="00FD4F36"/>
    <w:rsid w:val="00FD6250"/>
    <w:rsid w:val="00FD6D38"/>
    <w:rsid w:val="00FE41F3"/>
    <w:rsid w:val="00FE6170"/>
    <w:rsid w:val="00FF2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4FDD"/>
    <w:pPr>
      <w:spacing w:before="120" w:after="120"/>
    </w:pPr>
    <w:rPr>
      <w:rFonts w:ascii="Arial" w:hAnsi="Arial"/>
      <w:color w:val="212120"/>
      <w:kern w:val="28"/>
      <w:sz w:val="22"/>
      <w14:ligatures w14:val="standard"/>
      <w14:cntxtAlts/>
    </w:rPr>
  </w:style>
  <w:style w:type="paragraph" w:styleId="Heading1">
    <w:name w:val="heading 1"/>
    <w:basedOn w:val="Normal"/>
    <w:next w:val="Normal"/>
    <w:link w:val="Heading1Char"/>
    <w:autoRedefine/>
    <w:qFormat/>
    <w:rsid w:val="001F1C62"/>
    <w:pPr>
      <w:keepNext/>
      <w:outlineLvl w:val="0"/>
    </w:pPr>
    <w:rPr>
      <w:b/>
      <w:color w:val="auto"/>
      <w:kern w:val="0"/>
      <w:sz w:val="24"/>
      <w:lang w:val="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3AF7"/>
    <w:pPr>
      <w:tabs>
        <w:tab w:val="center" w:pos="4153"/>
        <w:tab w:val="right" w:pos="8306"/>
      </w:tabs>
    </w:pPr>
  </w:style>
  <w:style w:type="paragraph" w:styleId="Footer">
    <w:name w:val="footer"/>
    <w:basedOn w:val="Normal"/>
    <w:rsid w:val="00413AF7"/>
    <w:pPr>
      <w:tabs>
        <w:tab w:val="center" w:pos="4153"/>
        <w:tab w:val="right" w:pos="8306"/>
      </w:tabs>
    </w:pPr>
  </w:style>
  <w:style w:type="paragraph" w:styleId="BalloonText">
    <w:name w:val="Balloon Text"/>
    <w:basedOn w:val="Normal"/>
    <w:semiHidden/>
    <w:rsid w:val="001A63C1"/>
    <w:rPr>
      <w:rFonts w:ascii="Tahoma" w:hAnsi="Tahoma" w:cs="Tahoma"/>
      <w:sz w:val="16"/>
      <w:szCs w:val="16"/>
    </w:rPr>
  </w:style>
  <w:style w:type="character" w:customStyle="1" w:styleId="Heading1Char">
    <w:name w:val="Heading 1 Char"/>
    <w:basedOn w:val="DefaultParagraphFont"/>
    <w:link w:val="Heading1"/>
    <w:rsid w:val="001F1C62"/>
    <w:rPr>
      <w:rFonts w:ascii="Arial" w:hAnsi="Arial"/>
      <w:b/>
      <w:sz w:val="24"/>
      <w:lang w:val="en-US"/>
    </w:rPr>
  </w:style>
  <w:style w:type="paragraph" w:styleId="FootnoteText">
    <w:name w:val="footnote text"/>
    <w:basedOn w:val="Normal"/>
    <w:link w:val="FootnoteTextChar"/>
    <w:rsid w:val="00B85664"/>
    <w:pPr>
      <w:spacing w:before="0" w:after="0"/>
    </w:pPr>
    <w:rPr>
      <w:sz w:val="20"/>
    </w:rPr>
  </w:style>
  <w:style w:type="character" w:customStyle="1" w:styleId="FootnoteTextChar">
    <w:name w:val="Footnote Text Char"/>
    <w:basedOn w:val="DefaultParagraphFont"/>
    <w:link w:val="FootnoteText"/>
    <w:rsid w:val="00B85664"/>
    <w:rPr>
      <w:rFonts w:ascii="Arial" w:hAnsi="Arial"/>
      <w:color w:val="212120"/>
      <w:kern w:val="28"/>
      <w14:ligatures w14:val="standard"/>
      <w14:cntxtAlts/>
    </w:rPr>
  </w:style>
  <w:style w:type="character" w:styleId="FootnoteReference">
    <w:name w:val="footnote reference"/>
    <w:basedOn w:val="DefaultParagraphFont"/>
    <w:rsid w:val="00B85664"/>
    <w:rPr>
      <w:vertAlign w:val="superscript"/>
    </w:rPr>
  </w:style>
  <w:style w:type="paragraph" w:styleId="ListParagraph">
    <w:name w:val="List Paragraph"/>
    <w:basedOn w:val="Normal"/>
    <w:uiPriority w:val="34"/>
    <w:qFormat/>
    <w:rsid w:val="00A95F6E"/>
    <w:pPr>
      <w:ind w:left="720"/>
      <w:contextualSpacing/>
    </w:pPr>
  </w:style>
  <w:style w:type="table" w:styleId="TableGrid">
    <w:name w:val="Table Grid"/>
    <w:basedOn w:val="TableNormal"/>
    <w:rsid w:val="0056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E44F2"/>
    <w:rPr>
      <w:i/>
      <w:iCs/>
    </w:rPr>
  </w:style>
  <w:style w:type="character" w:styleId="Hyperlink">
    <w:name w:val="Hyperlink"/>
    <w:basedOn w:val="DefaultParagraphFont"/>
    <w:rsid w:val="000014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4FDD"/>
    <w:pPr>
      <w:spacing w:before="120" w:after="120"/>
    </w:pPr>
    <w:rPr>
      <w:rFonts w:ascii="Arial" w:hAnsi="Arial"/>
      <w:color w:val="212120"/>
      <w:kern w:val="28"/>
      <w:sz w:val="22"/>
      <w14:ligatures w14:val="standard"/>
      <w14:cntxtAlts/>
    </w:rPr>
  </w:style>
  <w:style w:type="paragraph" w:styleId="Heading1">
    <w:name w:val="heading 1"/>
    <w:basedOn w:val="Normal"/>
    <w:next w:val="Normal"/>
    <w:link w:val="Heading1Char"/>
    <w:autoRedefine/>
    <w:qFormat/>
    <w:rsid w:val="001F1C62"/>
    <w:pPr>
      <w:keepNext/>
      <w:outlineLvl w:val="0"/>
    </w:pPr>
    <w:rPr>
      <w:b/>
      <w:color w:val="auto"/>
      <w:kern w:val="0"/>
      <w:sz w:val="24"/>
      <w:lang w:val="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3AF7"/>
    <w:pPr>
      <w:tabs>
        <w:tab w:val="center" w:pos="4153"/>
        <w:tab w:val="right" w:pos="8306"/>
      </w:tabs>
    </w:pPr>
  </w:style>
  <w:style w:type="paragraph" w:styleId="Footer">
    <w:name w:val="footer"/>
    <w:basedOn w:val="Normal"/>
    <w:rsid w:val="00413AF7"/>
    <w:pPr>
      <w:tabs>
        <w:tab w:val="center" w:pos="4153"/>
        <w:tab w:val="right" w:pos="8306"/>
      </w:tabs>
    </w:pPr>
  </w:style>
  <w:style w:type="paragraph" w:styleId="BalloonText">
    <w:name w:val="Balloon Text"/>
    <w:basedOn w:val="Normal"/>
    <w:semiHidden/>
    <w:rsid w:val="001A63C1"/>
    <w:rPr>
      <w:rFonts w:ascii="Tahoma" w:hAnsi="Tahoma" w:cs="Tahoma"/>
      <w:sz w:val="16"/>
      <w:szCs w:val="16"/>
    </w:rPr>
  </w:style>
  <w:style w:type="character" w:customStyle="1" w:styleId="Heading1Char">
    <w:name w:val="Heading 1 Char"/>
    <w:basedOn w:val="DefaultParagraphFont"/>
    <w:link w:val="Heading1"/>
    <w:rsid w:val="001F1C62"/>
    <w:rPr>
      <w:rFonts w:ascii="Arial" w:hAnsi="Arial"/>
      <w:b/>
      <w:sz w:val="24"/>
      <w:lang w:val="en-US"/>
    </w:rPr>
  </w:style>
  <w:style w:type="paragraph" w:styleId="FootnoteText">
    <w:name w:val="footnote text"/>
    <w:basedOn w:val="Normal"/>
    <w:link w:val="FootnoteTextChar"/>
    <w:rsid w:val="00B85664"/>
    <w:pPr>
      <w:spacing w:before="0" w:after="0"/>
    </w:pPr>
    <w:rPr>
      <w:sz w:val="20"/>
    </w:rPr>
  </w:style>
  <w:style w:type="character" w:customStyle="1" w:styleId="FootnoteTextChar">
    <w:name w:val="Footnote Text Char"/>
    <w:basedOn w:val="DefaultParagraphFont"/>
    <w:link w:val="FootnoteText"/>
    <w:rsid w:val="00B85664"/>
    <w:rPr>
      <w:rFonts w:ascii="Arial" w:hAnsi="Arial"/>
      <w:color w:val="212120"/>
      <w:kern w:val="28"/>
      <w14:ligatures w14:val="standard"/>
      <w14:cntxtAlts/>
    </w:rPr>
  </w:style>
  <w:style w:type="character" w:styleId="FootnoteReference">
    <w:name w:val="footnote reference"/>
    <w:basedOn w:val="DefaultParagraphFont"/>
    <w:rsid w:val="00B85664"/>
    <w:rPr>
      <w:vertAlign w:val="superscript"/>
    </w:rPr>
  </w:style>
  <w:style w:type="paragraph" w:styleId="ListParagraph">
    <w:name w:val="List Paragraph"/>
    <w:basedOn w:val="Normal"/>
    <w:uiPriority w:val="34"/>
    <w:qFormat/>
    <w:rsid w:val="00A95F6E"/>
    <w:pPr>
      <w:ind w:left="720"/>
      <w:contextualSpacing/>
    </w:pPr>
  </w:style>
  <w:style w:type="table" w:styleId="TableGrid">
    <w:name w:val="Table Grid"/>
    <w:basedOn w:val="TableNormal"/>
    <w:rsid w:val="0056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E44F2"/>
    <w:rPr>
      <w:i/>
      <w:iCs/>
    </w:rPr>
  </w:style>
  <w:style w:type="character" w:styleId="Hyperlink">
    <w:name w:val="Hyperlink"/>
    <w:basedOn w:val="DefaultParagraphFont"/>
    <w:rsid w:val="000014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9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www.adcq/qld.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B386A-F041-441E-81F1-6643D4F4C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4</Pages>
  <Words>1406</Words>
  <Characters>7643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Ball</dc:creator>
  <cp:lastModifiedBy>Coral Logan</cp:lastModifiedBy>
  <cp:revision>25</cp:revision>
  <cp:lastPrinted>2015-12-24T05:13:00Z</cp:lastPrinted>
  <dcterms:created xsi:type="dcterms:W3CDTF">2015-12-16T06:00:00Z</dcterms:created>
  <dcterms:modified xsi:type="dcterms:W3CDTF">2016-05-10T23:50:00Z</dcterms:modified>
</cp:coreProperties>
</file>