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F41" w:rsidRPr="00AF17C8" w:rsidRDefault="002E7F41" w:rsidP="00AC7B17">
      <w:pPr>
        <w:spacing w:before="0" w:after="0"/>
        <w:rPr>
          <w:rFonts w:cs="Arial"/>
          <w:sz w:val="24"/>
          <w:szCs w:val="24"/>
        </w:rPr>
      </w:pPr>
    </w:p>
    <w:p w:rsidR="00AC7B17" w:rsidRPr="00AF17C8" w:rsidRDefault="00AC7B17" w:rsidP="00AC7B17">
      <w:pPr>
        <w:spacing w:before="0" w:after="0"/>
        <w:rPr>
          <w:rFonts w:cs="Arial"/>
          <w:sz w:val="24"/>
          <w:szCs w:val="24"/>
        </w:rPr>
      </w:pPr>
    </w:p>
    <w:p w:rsidR="00265C89" w:rsidRPr="00AF17C8" w:rsidRDefault="00265C89" w:rsidP="00AC7B17">
      <w:pPr>
        <w:spacing w:before="0" w:after="0"/>
        <w:rPr>
          <w:rFonts w:cs="Arial"/>
          <w:sz w:val="24"/>
          <w:szCs w:val="24"/>
        </w:rPr>
      </w:pPr>
    </w:p>
    <w:p w:rsidR="006473E5" w:rsidRPr="00AF17C8" w:rsidRDefault="006473E5" w:rsidP="00AC7B17">
      <w:pPr>
        <w:spacing w:before="0" w:after="0"/>
        <w:rPr>
          <w:rFonts w:cs="Arial"/>
          <w:sz w:val="24"/>
          <w:szCs w:val="24"/>
        </w:rPr>
      </w:pPr>
    </w:p>
    <w:p w:rsidR="003460DA" w:rsidRPr="00AF17C8" w:rsidRDefault="003460DA" w:rsidP="00AC7B17">
      <w:pPr>
        <w:spacing w:before="0" w:after="0"/>
        <w:rPr>
          <w:rFonts w:cs="Arial"/>
          <w:sz w:val="24"/>
          <w:szCs w:val="24"/>
        </w:rPr>
      </w:pPr>
    </w:p>
    <w:p w:rsidR="00265C89" w:rsidRPr="00AF17C8" w:rsidRDefault="00514E63" w:rsidP="00AC7B17">
      <w:pPr>
        <w:spacing w:before="0" w:after="0"/>
        <w:rPr>
          <w:rFonts w:cs="Arial"/>
          <w:sz w:val="24"/>
          <w:szCs w:val="24"/>
        </w:rPr>
      </w:pPr>
      <w:r>
        <w:rPr>
          <w:rFonts w:cs="Arial"/>
          <w:sz w:val="24"/>
          <w:szCs w:val="24"/>
        </w:rPr>
        <w:t>29</w:t>
      </w:r>
      <w:r w:rsidR="008F4FB9" w:rsidRPr="00AF17C8">
        <w:rPr>
          <w:rFonts w:cs="Arial"/>
          <w:sz w:val="24"/>
          <w:szCs w:val="24"/>
        </w:rPr>
        <w:t xml:space="preserve"> January</w:t>
      </w:r>
      <w:r w:rsidR="008E7765" w:rsidRPr="00AF17C8">
        <w:rPr>
          <w:rFonts w:cs="Arial"/>
          <w:sz w:val="24"/>
          <w:szCs w:val="24"/>
        </w:rPr>
        <w:t xml:space="preserve"> 2016</w:t>
      </w:r>
    </w:p>
    <w:p w:rsidR="00265C89" w:rsidRPr="00AF17C8" w:rsidRDefault="00265C89" w:rsidP="00AC7B17">
      <w:pPr>
        <w:spacing w:before="0" w:after="0"/>
        <w:rPr>
          <w:rFonts w:cs="Arial"/>
          <w:sz w:val="24"/>
          <w:szCs w:val="24"/>
        </w:rPr>
      </w:pPr>
    </w:p>
    <w:p w:rsidR="00265C89" w:rsidRPr="00AF17C8" w:rsidRDefault="00265C89" w:rsidP="00AC7B17">
      <w:pPr>
        <w:spacing w:before="0" w:after="0"/>
        <w:rPr>
          <w:rFonts w:cs="Arial"/>
          <w:sz w:val="24"/>
          <w:szCs w:val="24"/>
        </w:rPr>
      </w:pPr>
    </w:p>
    <w:p w:rsidR="00265C89" w:rsidRPr="00AF17C8" w:rsidRDefault="00F772BF" w:rsidP="00AC7B17">
      <w:pPr>
        <w:spacing w:before="0" w:after="0"/>
        <w:rPr>
          <w:rFonts w:cs="Arial"/>
          <w:sz w:val="24"/>
          <w:szCs w:val="24"/>
        </w:rPr>
      </w:pPr>
      <w:r w:rsidRPr="00AF17C8">
        <w:rPr>
          <w:rFonts w:cs="Arial"/>
          <w:sz w:val="24"/>
          <w:szCs w:val="24"/>
        </w:rPr>
        <w:t>The Research Director</w:t>
      </w:r>
    </w:p>
    <w:p w:rsidR="00F772BF" w:rsidRPr="00AF17C8" w:rsidRDefault="00F772BF" w:rsidP="00AC7B17">
      <w:pPr>
        <w:spacing w:before="0" w:after="0"/>
        <w:rPr>
          <w:rFonts w:cs="Arial"/>
          <w:sz w:val="24"/>
          <w:szCs w:val="24"/>
        </w:rPr>
      </w:pPr>
      <w:r w:rsidRPr="00AF17C8">
        <w:rPr>
          <w:rFonts w:cs="Arial"/>
          <w:sz w:val="24"/>
          <w:szCs w:val="24"/>
        </w:rPr>
        <w:t>Committee</w:t>
      </w:r>
      <w:r w:rsidR="008F4FB9" w:rsidRPr="00AF17C8">
        <w:rPr>
          <w:rFonts w:cs="Arial"/>
          <w:sz w:val="24"/>
          <w:szCs w:val="24"/>
        </w:rPr>
        <w:t xml:space="preserve"> of the Legislative Assembly</w:t>
      </w:r>
    </w:p>
    <w:p w:rsidR="00F772BF" w:rsidRPr="00AF17C8" w:rsidRDefault="00F772BF" w:rsidP="00AC7B17">
      <w:pPr>
        <w:spacing w:before="0" w:after="0"/>
        <w:rPr>
          <w:rFonts w:cs="Arial"/>
          <w:sz w:val="24"/>
          <w:szCs w:val="24"/>
        </w:rPr>
      </w:pPr>
      <w:r w:rsidRPr="00AF17C8">
        <w:rPr>
          <w:rFonts w:cs="Arial"/>
          <w:sz w:val="24"/>
          <w:szCs w:val="24"/>
        </w:rPr>
        <w:t>Parliament House</w:t>
      </w:r>
    </w:p>
    <w:p w:rsidR="00F772BF" w:rsidRPr="00AF17C8" w:rsidRDefault="00F772BF" w:rsidP="00AC7B17">
      <w:pPr>
        <w:spacing w:before="0" w:after="0"/>
        <w:rPr>
          <w:rFonts w:cs="Arial"/>
          <w:sz w:val="24"/>
          <w:szCs w:val="24"/>
        </w:rPr>
      </w:pPr>
      <w:r w:rsidRPr="00AF17C8">
        <w:rPr>
          <w:rFonts w:cs="Arial"/>
          <w:sz w:val="24"/>
          <w:szCs w:val="24"/>
        </w:rPr>
        <w:t>BRISBANE QLD 4000</w:t>
      </w:r>
    </w:p>
    <w:p w:rsidR="00265C89" w:rsidRPr="00AF17C8" w:rsidRDefault="00265C89" w:rsidP="00AC7B17">
      <w:pPr>
        <w:spacing w:before="0" w:after="0"/>
        <w:rPr>
          <w:rFonts w:cs="Arial"/>
          <w:sz w:val="24"/>
          <w:szCs w:val="24"/>
        </w:rPr>
      </w:pPr>
    </w:p>
    <w:p w:rsidR="00265C89" w:rsidRPr="00AF17C8" w:rsidRDefault="00265C89" w:rsidP="00265C89">
      <w:pPr>
        <w:spacing w:after="240"/>
        <w:rPr>
          <w:rFonts w:cs="Arial"/>
          <w:sz w:val="24"/>
          <w:szCs w:val="24"/>
        </w:rPr>
      </w:pPr>
      <w:r w:rsidRPr="00AF17C8">
        <w:rPr>
          <w:rFonts w:cs="Arial"/>
          <w:sz w:val="24"/>
          <w:szCs w:val="24"/>
        </w:rPr>
        <w:t xml:space="preserve">Dear </w:t>
      </w:r>
      <w:r w:rsidR="00F772BF" w:rsidRPr="00AF17C8">
        <w:rPr>
          <w:rFonts w:cs="Arial"/>
          <w:sz w:val="24"/>
          <w:szCs w:val="24"/>
        </w:rPr>
        <w:t>Sir/Madam</w:t>
      </w:r>
    </w:p>
    <w:p w:rsidR="00265C89" w:rsidRPr="00AF17C8" w:rsidRDefault="008F4FB9" w:rsidP="00E166EC">
      <w:pPr>
        <w:rPr>
          <w:rFonts w:cs="Arial"/>
          <w:b/>
          <w:sz w:val="24"/>
          <w:szCs w:val="24"/>
        </w:rPr>
      </w:pPr>
      <w:r w:rsidRPr="00AF17C8">
        <w:rPr>
          <w:rFonts w:cs="Arial"/>
          <w:b/>
          <w:sz w:val="24"/>
          <w:szCs w:val="24"/>
        </w:rPr>
        <w:t>PARLIAMENTARY COMMITTEE SYSTEM</w:t>
      </w:r>
      <w:r w:rsidR="00E7419A" w:rsidRPr="00AF17C8">
        <w:rPr>
          <w:rFonts w:cs="Arial"/>
          <w:b/>
          <w:sz w:val="24"/>
          <w:szCs w:val="24"/>
        </w:rPr>
        <w:t xml:space="preserve"> REVIEW</w:t>
      </w:r>
    </w:p>
    <w:p w:rsidR="00265C89" w:rsidRPr="00AF17C8" w:rsidRDefault="00F772BF" w:rsidP="00265C89">
      <w:pPr>
        <w:spacing w:after="240"/>
        <w:rPr>
          <w:rFonts w:cs="Arial"/>
          <w:sz w:val="24"/>
          <w:szCs w:val="24"/>
        </w:rPr>
      </w:pPr>
      <w:r w:rsidRPr="00AF17C8">
        <w:rPr>
          <w:rFonts w:cs="Arial"/>
          <w:sz w:val="24"/>
          <w:szCs w:val="24"/>
        </w:rPr>
        <w:t xml:space="preserve">The Anti-Discrimination Commission welcomes the opportunity to make a submission to the Committee </w:t>
      </w:r>
      <w:r w:rsidR="008F4FB9" w:rsidRPr="00AF17C8">
        <w:rPr>
          <w:rFonts w:cs="Arial"/>
          <w:sz w:val="24"/>
          <w:szCs w:val="24"/>
        </w:rPr>
        <w:t xml:space="preserve">of the Legislative Assembly </w:t>
      </w:r>
      <w:r w:rsidRPr="00AF17C8">
        <w:rPr>
          <w:rFonts w:cs="Arial"/>
          <w:sz w:val="24"/>
          <w:szCs w:val="24"/>
        </w:rPr>
        <w:t xml:space="preserve">on its </w:t>
      </w:r>
      <w:r w:rsidR="008F4FB9" w:rsidRPr="00AF17C8">
        <w:rPr>
          <w:rFonts w:cs="Arial"/>
          <w:sz w:val="24"/>
          <w:szCs w:val="24"/>
        </w:rPr>
        <w:t>review of the parliamentary committee system</w:t>
      </w:r>
      <w:r w:rsidR="00530C75" w:rsidRPr="00AF17C8">
        <w:rPr>
          <w:rFonts w:cs="Arial"/>
          <w:sz w:val="24"/>
          <w:szCs w:val="24"/>
        </w:rPr>
        <w:t>.</w:t>
      </w:r>
    </w:p>
    <w:p w:rsidR="007751D4" w:rsidRDefault="007751D4" w:rsidP="00265C89">
      <w:pPr>
        <w:spacing w:after="240"/>
        <w:rPr>
          <w:rFonts w:cs="Arial"/>
          <w:color w:val="000000"/>
          <w:sz w:val="24"/>
          <w:szCs w:val="24"/>
        </w:rPr>
      </w:pPr>
      <w:r>
        <w:rPr>
          <w:rFonts w:cs="Arial"/>
          <w:sz w:val="24"/>
          <w:szCs w:val="24"/>
        </w:rPr>
        <w:t xml:space="preserve">This review was recommended by the Finance and Administration Committee in its </w:t>
      </w:r>
      <w:r w:rsidRPr="006A014F">
        <w:rPr>
          <w:rFonts w:cs="Arial"/>
          <w:color w:val="000000"/>
          <w:sz w:val="24"/>
          <w:szCs w:val="24"/>
        </w:rPr>
        <w:t>inquiry into the introduction of four year terms for the Queensland Parliament</w:t>
      </w:r>
      <w:r>
        <w:rPr>
          <w:rFonts w:cs="Arial"/>
          <w:color w:val="000000"/>
          <w:sz w:val="24"/>
          <w:szCs w:val="24"/>
        </w:rPr>
        <w:t xml:space="preserve"> and consideration of private member Bills to implement fixed four year terms.  The Finance and Administration Committee was concerned that Queensland has the best and most appropriate committee system in place to accompany the extension of parliamentary terms.  </w:t>
      </w:r>
    </w:p>
    <w:p w:rsidR="00F772BF" w:rsidRPr="006A014F" w:rsidRDefault="008F4FB9" w:rsidP="00265C89">
      <w:pPr>
        <w:spacing w:after="240"/>
        <w:rPr>
          <w:rFonts w:cs="Arial"/>
          <w:sz w:val="24"/>
          <w:szCs w:val="24"/>
        </w:rPr>
      </w:pPr>
      <w:r w:rsidRPr="00AF17C8">
        <w:rPr>
          <w:rFonts w:cs="Arial"/>
          <w:sz w:val="24"/>
          <w:szCs w:val="24"/>
        </w:rPr>
        <w:t>The terms of reference include examining means to strengthen the parliamentary committee system</w:t>
      </w:r>
      <w:r w:rsidR="007F4772" w:rsidRPr="00AF17C8">
        <w:rPr>
          <w:rFonts w:cs="Arial"/>
          <w:sz w:val="24"/>
          <w:szCs w:val="24"/>
        </w:rPr>
        <w:t>,</w:t>
      </w:r>
      <w:r w:rsidRPr="00AF17C8">
        <w:rPr>
          <w:rFonts w:cs="Arial"/>
          <w:sz w:val="24"/>
          <w:szCs w:val="24"/>
        </w:rPr>
        <w:t xml:space="preserve"> and considering </w:t>
      </w:r>
      <w:r w:rsidR="007F4772" w:rsidRPr="00AF17C8">
        <w:rPr>
          <w:rFonts w:cs="Arial"/>
          <w:sz w:val="24"/>
          <w:szCs w:val="24"/>
        </w:rPr>
        <w:t xml:space="preserve">the implications and means </w:t>
      </w:r>
      <w:r w:rsidRPr="00AF17C8">
        <w:rPr>
          <w:rFonts w:cs="Arial"/>
          <w:sz w:val="24"/>
          <w:szCs w:val="24"/>
        </w:rPr>
        <w:t xml:space="preserve">of entrenching the system </w:t>
      </w:r>
      <w:r w:rsidR="00514E63">
        <w:rPr>
          <w:rFonts w:cs="Arial"/>
          <w:sz w:val="24"/>
          <w:szCs w:val="24"/>
        </w:rPr>
        <w:t>and</w:t>
      </w:r>
      <w:r w:rsidRPr="00AF17C8">
        <w:rPr>
          <w:rFonts w:cs="Arial"/>
          <w:sz w:val="24"/>
          <w:szCs w:val="24"/>
        </w:rPr>
        <w:t xml:space="preserve"> alternative accountability mechanisms.</w:t>
      </w:r>
      <w:r w:rsidR="00514E63">
        <w:rPr>
          <w:rFonts w:cs="Arial"/>
          <w:sz w:val="24"/>
          <w:szCs w:val="24"/>
        </w:rPr>
        <w:t xml:space="preserve">  </w:t>
      </w:r>
    </w:p>
    <w:p w:rsidR="008F4FB9" w:rsidRPr="00AF17C8" w:rsidRDefault="008F4FB9" w:rsidP="00265C89">
      <w:pPr>
        <w:spacing w:after="240"/>
        <w:rPr>
          <w:rFonts w:cs="Arial"/>
          <w:sz w:val="24"/>
          <w:szCs w:val="24"/>
        </w:rPr>
      </w:pPr>
      <w:r w:rsidRPr="00AF17C8">
        <w:rPr>
          <w:rFonts w:cs="Arial"/>
          <w:sz w:val="24"/>
          <w:szCs w:val="24"/>
        </w:rPr>
        <w:t xml:space="preserve">This submission </w:t>
      </w:r>
      <w:r w:rsidR="002875BA" w:rsidRPr="00AF17C8">
        <w:rPr>
          <w:rFonts w:cs="Arial"/>
          <w:sz w:val="24"/>
          <w:szCs w:val="24"/>
        </w:rPr>
        <w:t>is focussed on the role of committees in the scrutiny of legislation</w:t>
      </w:r>
      <w:r w:rsidRPr="00AF17C8">
        <w:rPr>
          <w:rFonts w:cs="Arial"/>
          <w:sz w:val="24"/>
          <w:szCs w:val="24"/>
        </w:rPr>
        <w:t>.</w:t>
      </w:r>
    </w:p>
    <w:p w:rsidR="006A3CF1" w:rsidRPr="00AF17C8" w:rsidRDefault="008F4FB9" w:rsidP="00524231">
      <w:pPr>
        <w:keepNext/>
        <w:rPr>
          <w:rFonts w:cs="Arial"/>
          <w:b/>
          <w:sz w:val="24"/>
          <w:szCs w:val="24"/>
        </w:rPr>
      </w:pPr>
      <w:r w:rsidRPr="00AF17C8">
        <w:rPr>
          <w:rFonts w:cs="Arial"/>
          <w:b/>
          <w:sz w:val="24"/>
          <w:szCs w:val="24"/>
        </w:rPr>
        <w:t>Strengthening the parliamentary committee system</w:t>
      </w:r>
    </w:p>
    <w:p w:rsidR="006A3CF1" w:rsidRPr="00AF17C8" w:rsidRDefault="006A3CF1" w:rsidP="00265C89">
      <w:pPr>
        <w:spacing w:after="240"/>
        <w:rPr>
          <w:rFonts w:cs="Arial"/>
          <w:sz w:val="24"/>
          <w:szCs w:val="24"/>
        </w:rPr>
      </w:pPr>
      <w:r w:rsidRPr="00AF17C8">
        <w:rPr>
          <w:rFonts w:cs="Arial"/>
          <w:sz w:val="24"/>
          <w:szCs w:val="24"/>
        </w:rPr>
        <w:t xml:space="preserve">The </w:t>
      </w:r>
      <w:r w:rsidR="003B18D1" w:rsidRPr="00AF17C8">
        <w:rPr>
          <w:rFonts w:cs="Arial"/>
          <w:sz w:val="24"/>
          <w:szCs w:val="24"/>
        </w:rPr>
        <w:t>parliamentary committee system is one of a range of mechanisms for regulating the power of unicameral parliaments and the executives</w:t>
      </w:r>
      <w:r w:rsidR="00DC433B" w:rsidRPr="00AF17C8">
        <w:rPr>
          <w:rFonts w:cs="Arial"/>
          <w:sz w:val="24"/>
          <w:szCs w:val="24"/>
        </w:rPr>
        <w:t xml:space="preserve"> that follow from them</w:t>
      </w:r>
      <w:r w:rsidR="00A27031" w:rsidRPr="00AF17C8">
        <w:rPr>
          <w:rFonts w:cs="Arial"/>
          <w:sz w:val="24"/>
          <w:szCs w:val="24"/>
        </w:rPr>
        <w:t xml:space="preserve">.  A comprehensive committee system </w:t>
      </w:r>
      <w:r w:rsidR="007D5798" w:rsidRPr="00AF17C8">
        <w:rPr>
          <w:rFonts w:cs="Arial"/>
          <w:sz w:val="24"/>
          <w:szCs w:val="24"/>
        </w:rPr>
        <w:t>contributes to a legislature that operates well by reviewing legislation and initiating</w:t>
      </w:r>
      <w:r w:rsidR="00A27031" w:rsidRPr="00AF17C8">
        <w:rPr>
          <w:rFonts w:cs="Arial"/>
          <w:sz w:val="24"/>
          <w:szCs w:val="24"/>
        </w:rPr>
        <w:t xml:space="preserve"> investigations </w:t>
      </w:r>
      <w:r w:rsidR="007D5798" w:rsidRPr="00AF17C8">
        <w:rPr>
          <w:rFonts w:cs="Arial"/>
          <w:sz w:val="24"/>
          <w:szCs w:val="24"/>
        </w:rPr>
        <w:t>to check</w:t>
      </w:r>
      <w:r w:rsidR="00A27031" w:rsidRPr="00AF17C8">
        <w:rPr>
          <w:rFonts w:cs="Arial"/>
          <w:sz w:val="24"/>
          <w:szCs w:val="24"/>
        </w:rPr>
        <w:t xml:space="preserve"> on the p</w:t>
      </w:r>
      <w:r w:rsidR="007D5798" w:rsidRPr="00AF17C8">
        <w:rPr>
          <w:rFonts w:cs="Arial"/>
          <w:sz w:val="24"/>
          <w:szCs w:val="24"/>
        </w:rPr>
        <w:t>assage of new laws and review</w:t>
      </w:r>
      <w:r w:rsidR="00A27031" w:rsidRPr="00AF17C8">
        <w:rPr>
          <w:rFonts w:cs="Arial"/>
          <w:sz w:val="24"/>
          <w:szCs w:val="24"/>
        </w:rPr>
        <w:t xml:space="preserve"> existing laws and government practices. </w:t>
      </w:r>
    </w:p>
    <w:p w:rsidR="007D5798" w:rsidRPr="00AF17C8" w:rsidRDefault="00207713" w:rsidP="00265C89">
      <w:pPr>
        <w:spacing w:after="240"/>
        <w:rPr>
          <w:rFonts w:cs="Arial"/>
          <w:sz w:val="24"/>
          <w:szCs w:val="24"/>
        </w:rPr>
      </w:pPr>
      <w:r w:rsidRPr="00AF17C8">
        <w:rPr>
          <w:rFonts w:cs="Arial"/>
          <w:sz w:val="24"/>
          <w:szCs w:val="24"/>
        </w:rPr>
        <w:t>In Queensland t</w:t>
      </w:r>
      <w:r w:rsidR="007F4772" w:rsidRPr="00AF17C8">
        <w:rPr>
          <w:rFonts w:cs="Arial"/>
          <w:sz w:val="24"/>
          <w:szCs w:val="24"/>
        </w:rPr>
        <w:t xml:space="preserve">he abolition of the upper house in 1922 was not accompanied by any corresponding reform of the lower house or constitution.  </w:t>
      </w:r>
      <w:r w:rsidR="007D5798" w:rsidRPr="00AF17C8">
        <w:rPr>
          <w:rFonts w:cs="Arial"/>
          <w:sz w:val="24"/>
          <w:szCs w:val="24"/>
        </w:rPr>
        <w:t xml:space="preserve">The </w:t>
      </w:r>
      <w:r w:rsidR="00DC433B" w:rsidRPr="00AF17C8">
        <w:rPr>
          <w:rFonts w:cs="Arial"/>
          <w:sz w:val="24"/>
          <w:szCs w:val="24"/>
        </w:rPr>
        <w:t xml:space="preserve">current </w:t>
      </w:r>
      <w:r w:rsidR="007D5798" w:rsidRPr="00AF17C8">
        <w:rPr>
          <w:rFonts w:cs="Arial"/>
          <w:sz w:val="24"/>
          <w:szCs w:val="24"/>
        </w:rPr>
        <w:t xml:space="preserve">accountability mechanisms in Queensland have </w:t>
      </w:r>
      <w:r w:rsidR="00C110C3" w:rsidRPr="00AF17C8">
        <w:rPr>
          <w:rFonts w:cs="Arial"/>
          <w:sz w:val="24"/>
          <w:szCs w:val="24"/>
        </w:rPr>
        <w:t>evolved</w:t>
      </w:r>
      <w:r w:rsidR="007D5798" w:rsidRPr="00AF17C8">
        <w:rPr>
          <w:rFonts w:cs="Arial"/>
          <w:sz w:val="24"/>
          <w:szCs w:val="24"/>
        </w:rPr>
        <w:t xml:space="preserve"> over time.  </w:t>
      </w:r>
      <w:r w:rsidR="007F4772" w:rsidRPr="00AF17C8">
        <w:rPr>
          <w:rFonts w:cs="Arial"/>
          <w:sz w:val="24"/>
          <w:szCs w:val="24"/>
        </w:rPr>
        <w:t xml:space="preserve">Most were implemented following the </w:t>
      </w:r>
      <w:r w:rsidRPr="00AF17C8">
        <w:rPr>
          <w:rFonts w:cs="Arial"/>
          <w:sz w:val="24"/>
          <w:szCs w:val="24"/>
        </w:rPr>
        <w:t xml:space="preserve">1989 report of </w:t>
      </w:r>
      <w:r w:rsidR="00C110C3" w:rsidRPr="00AF17C8">
        <w:rPr>
          <w:rFonts w:cs="Arial"/>
          <w:sz w:val="24"/>
          <w:szCs w:val="24"/>
        </w:rPr>
        <w:t xml:space="preserve">the </w:t>
      </w:r>
      <w:r w:rsidR="007F4772" w:rsidRPr="00AF17C8">
        <w:rPr>
          <w:rFonts w:cs="Arial"/>
          <w:sz w:val="24"/>
          <w:szCs w:val="24"/>
        </w:rPr>
        <w:t>Fitzgerald inquiry into corruption, and have been reviewed and developed since then.</w:t>
      </w:r>
      <w:r w:rsidR="00514E63">
        <w:rPr>
          <w:rFonts w:cs="Arial"/>
          <w:sz w:val="24"/>
          <w:szCs w:val="24"/>
        </w:rPr>
        <w:t xml:space="preserve">  The </w:t>
      </w:r>
      <w:r w:rsidR="00514E63">
        <w:rPr>
          <w:rFonts w:cs="Arial"/>
          <w:sz w:val="24"/>
          <w:szCs w:val="24"/>
        </w:rPr>
        <w:lastRenderedPageBreak/>
        <w:t xml:space="preserve">parliamentary committee system has become an integral component of accountability for Queensland’s unicameral parliament. </w:t>
      </w:r>
    </w:p>
    <w:p w:rsidR="00AF17C8" w:rsidRPr="00AF17C8" w:rsidRDefault="007F4772" w:rsidP="00265C89">
      <w:pPr>
        <w:spacing w:after="240"/>
        <w:rPr>
          <w:rFonts w:cs="Arial"/>
          <w:sz w:val="24"/>
          <w:szCs w:val="24"/>
        </w:rPr>
      </w:pPr>
      <w:r w:rsidRPr="00AF17C8">
        <w:rPr>
          <w:rFonts w:cs="Arial"/>
          <w:sz w:val="24"/>
          <w:szCs w:val="24"/>
        </w:rPr>
        <w:t>The most recent r</w:t>
      </w:r>
      <w:r w:rsidR="0043343A" w:rsidRPr="00AF17C8">
        <w:rPr>
          <w:rFonts w:cs="Arial"/>
          <w:sz w:val="24"/>
          <w:szCs w:val="24"/>
        </w:rPr>
        <w:t>eview of the committee system was conducted by a select committee appointed by the Queensland Parliament in 2010, and</w:t>
      </w:r>
      <w:r w:rsidRPr="00AF17C8">
        <w:rPr>
          <w:rFonts w:cs="Arial"/>
          <w:sz w:val="24"/>
          <w:szCs w:val="24"/>
        </w:rPr>
        <w:t xml:space="preserve"> resulted in the </w:t>
      </w:r>
      <w:r w:rsidR="0043343A" w:rsidRPr="00AF17C8">
        <w:rPr>
          <w:rFonts w:cs="Arial"/>
          <w:sz w:val="24"/>
          <w:szCs w:val="24"/>
        </w:rPr>
        <w:t xml:space="preserve">introduction in 2011 of the </w:t>
      </w:r>
      <w:r w:rsidRPr="00AF17C8">
        <w:rPr>
          <w:rFonts w:cs="Arial"/>
          <w:sz w:val="24"/>
          <w:szCs w:val="24"/>
        </w:rPr>
        <w:t xml:space="preserve">current portfolio committee system.  </w:t>
      </w:r>
      <w:r w:rsidR="00AF17C8" w:rsidRPr="00AF17C8">
        <w:rPr>
          <w:rFonts w:cs="Arial"/>
          <w:sz w:val="24"/>
          <w:szCs w:val="24"/>
        </w:rPr>
        <w:t>The Explanatory Notes for the Bill that introduced the changes sta</w:t>
      </w:r>
      <w:r w:rsidR="00CB393C">
        <w:rPr>
          <w:rFonts w:cs="Arial"/>
          <w:sz w:val="24"/>
          <w:szCs w:val="24"/>
        </w:rPr>
        <w:t>te that the policy objectives w</w:t>
      </w:r>
      <w:r w:rsidR="00AF17C8" w:rsidRPr="00AF17C8">
        <w:rPr>
          <w:rFonts w:cs="Arial"/>
          <w:sz w:val="24"/>
          <w:szCs w:val="24"/>
        </w:rPr>
        <w:t>ere:</w:t>
      </w:r>
    </w:p>
    <w:p w:rsidR="00AF17C8" w:rsidRPr="00AF17C8" w:rsidRDefault="00AF17C8" w:rsidP="00AF17C8">
      <w:pPr>
        <w:spacing w:after="240"/>
        <w:ind w:left="720" w:right="657"/>
        <w:rPr>
          <w:rFonts w:cs="Arial"/>
          <w:szCs w:val="22"/>
        </w:rPr>
      </w:pPr>
      <w:r w:rsidRPr="00AF17C8">
        <w:rPr>
          <w:rFonts w:cs="Arial"/>
          <w:szCs w:val="22"/>
        </w:rPr>
        <w:t>to reform and modernise the Queensland parliamentary committee system to strengthen and support the role of the Legislative Assembly in scrutinising legislation and executive government.</w:t>
      </w:r>
    </w:p>
    <w:p w:rsidR="007F4772" w:rsidRPr="00AF17C8" w:rsidRDefault="00AF17C8" w:rsidP="00265C89">
      <w:pPr>
        <w:spacing w:after="240"/>
        <w:rPr>
          <w:rFonts w:cs="Arial"/>
          <w:sz w:val="24"/>
          <w:szCs w:val="24"/>
        </w:rPr>
      </w:pPr>
      <w:r w:rsidRPr="00AF17C8">
        <w:rPr>
          <w:rFonts w:cs="Arial"/>
          <w:sz w:val="24"/>
          <w:szCs w:val="24"/>
        </w:rPr>
        <w:t>Portfolio committees are established by standing rules and orders, and each department is required to be covered by a portfolio area.</w:t>
      </w:r>
      <w:r w:rsidRPr="00AF17C8">
        <w:rPr>
          <w:rStyle w:val="FootnoteReference"/>
          <w:rFonts w:cs="Arial"/>
          <w:sz w:val="24"/>
          <w:szCs w:val="24"/>
        </w:rPr>
        <w:footnoteReference w:id="1"/>
      </w:r>
      <w:r w:rsidRPr="00AF17C8">
        <w:rPr>
          <w:rFonts w:cs="Arial"/>
          <w:sz w:val="24"/>
          <w:szCs w:val="24"/>
        </w:rPr>
        <w:t xml:space="preserve"> </w:t>
      </w:r>
      <w:r w:rsidR="00696898">
        <w:rPr>
          <w:rFonts w:cs="Arial"/>
          <w:sz w:val="24"/>
          <w:szCs w:val="24"/>
        </w:rPr>
        <w:t xml:space="preserve"> The role of portfolio committees is set out in sections 92 and 93 of the </w:t>
      </w:r>
      <w:r w:rsidR="00696898" w:rsidRPr="00696898">
        <w:rPr>
          <w:rFonts w:cs="Arial"/>
          <w:i/>
          <w:sz w:val="24"/>
          <w:szCs w:val="24"/>
        </w:rPr>
        <w:t>Parliament of Queensland Act 2001</w:t>
      </w:r>
      <w:r w:rsidR="00696898">
        <w:rPr>
          <w:rFonts w:cs="Arial"/>
          <w:sz w:val="24"/>
          <w:szCs w:val="24"/>
        </w:rPr>
        <w:t xml:space="preserve">, and includes considering legislation and proposed legislation.  </w:t>
      </w:r>
      <w:r w:rsidR="007F4772" w:rsidRPr="00AF17C8">
        <w:rPr>
          <w:rFonts w:cs="Arial"/>
          <w:sz w:val="24"/>
          <w:szCs w:val="24"/>
        </w:rPr>
        <w:t>Previously</w:t>
      </w:r>
      <w:r w:rsidR="00FC2D35">
        <w:rPr>
          <w:rFonts w:cs="Arial"/>
          <w:sz w:val="24"/>
          <w:szCs w:val="24"/>
        </w:rPr>
        <w:t>,</w:t>
      </w:r>
      <w:r w:rsidR="007F4772" w:rsidRPr="00AF17C8">
        <w:rPr>
          <w:rFonts w:cs="Arial"/>
          <w:sz w:val="24"/>
          <w:szCs w:val="24"/>
        </w:rPr>
        <w:t xml:space="preserve"> legislation introduced into parliament was considered by one committee, the Scrutiny of Legi</w:t>
      </w:r>
      <w:r w:rsidR="00696898">
        <w:rPr>
          <w:rFonts w:cs="Arial"/>
          <w:sz w:val="24"/>
          <w:szCs w:val="24"/>
        </w:rPr>
        <w:t>slation Committee</w:t>
      </w:r>
      <w:r w:rsidR="007F4772" w:rsidRPr="00AF17C8">
        <w:rPr>
          <w:rFonts w:cs="Arial"/>
          <w:sz w:val="24"/>
          <w:szCs w:val="24"/>
        </w:rPr>
        <w:t>.</w:t>
      </w:r>
    </w:p>
    <w:p w:rsidR="002875BA" w:rsidRPr="00AF17C8" w:rsidRDefault="002875BA" w:rsidP="002875BA">
      <w:pPr>
        <w:spacing w:before="240"/>
        <w:rPr>
          <w:rFonts w:cs="Arial"/>
          <w:sz w:val="24"/>
          <w:szCs w:val="24"/>
        </w:rPr>
      </w:pPr>
      <w:r w:rsidRPr="00AF17C8">
        <w:rPr>
          <w:rFonts w:cs="Arial"/>
          <w:sz w:val="24"/>
          <w:szCs w:val="24"/>
        </w:rPr>
        <w:t xml:space="preserve">The current process </w:t>
      </w:r>
      <w:r w:rsidR="00696898">
        <w:rPr>
          <w:rFonts w:cs="Arial"/>
          <w:sz w:val="24"/>
          <w:szCs w:val="24"/>
        </w:rPr>
        <w:t xml:space="preserve">and legislative framework </w:t>
      </w:r>
      <w:r w:rsidRPr="00AF17C8">
        <w:rPr>
          <w:rFonts w:cs="Arial"/>
          <w:sz w:val="24"/>
          <w:szCs w:val="24"/>
        </w:rPr>
        <w:t>for scrutiny of legislation</w:t>
      </w:r>
      <w:r w:rsidR="00696898">
        <w:rPr>
          <w:rFonts w:cs="Arial"/>
          <w:sz w:val="24"/>
          <w:szCs w:val="24"/>
        </w:rPr>
        <w:t xml:space="preserve"> </w:t>
      </w:r>
      <w:r w:rsidRPr="00AF17C8">
        <w:rPr>
          <w:rFonts w:cs="Arial"/>
          <w:sz w:val="24"/>
          <w:szCs w:val="24"/>
        </w:rPr>
        <w:t>is as follows:</w:t>
      </w:r>
    </w:p>
    <w:p w:rsidR="002875BA" w:rsidRPr="00AF17C8" w:rsidRDefault="002875BA" w:rsidP="002875BA">
      <w:pPr>
        <w:pStyle w:val="ListParagraph"/>
        <w:numPr>
          <w:ilvl w:val="0"/>
          <w:numId w:val="4"/>
        </w:numPr>
        <w:ind w:left="714" w:hanging="357"/>
        <w:contextualSpacing w:val="0"/>
        <w:rPr>
          <w:rFonts w:cs="Arial"/>
          <w:sz w:val="24"/>
          <w:szCs w:val="24"/>
        </w:rPr>
      </w:pPr>
      <w:r w:rsidRPr="00AF17C8">
        <w:rPr>
          <w:rFonts w:cs="Arial"/>
          <w:sz w:val="24"/>
          <w:szCs w:val="24"/>
        </w:rPr>
        <w:t>Bills and proposed subordinate legislation are drafted by the Office of the Queensland Parliamentary Counsel (OPQC).</w:t>
      </w:r>
      <w:r w:rsidRPr="00AF17C8">
        <w:rPr>
          <w:rStyle w:val="FootnoteReference"/>
          <w:rFonts w:cs="Arial"/>
          <w:sz w:val="24"/>
          <w:szCs w:val="24"/>
        </w:rPr>
        <w:footnoteReference w:id="2"/>
      </w:r>
    </w:p>
    <w:p w:rsidR="002875BA" w:rsidRPr="00AF17C8" w:rsidRDefault="002875BA" w:rsidP="002875BA">
      <w:pPr>
        <w:pStyle w:val="ListParagraph"/>
        <w:numPr>
          <w:ilvl w:val="0"/>
          <w:numId w:val="4"/>
        </w:numPr>
        <w:ind w:left="714" w:hanging="357"/>
        <w:contextualSpacing w:val="0"/>
        <w:rPr>
          <w:rFonts w:cs="Arial"/>
          <w:sz w:val="24"/>
          <w:szCs w:val="24"/>
        </w:rPr>
      </w:pPr>
      <w:r w:rsidRPr="00AF17C8">
        <w:rPr>
          <w:rFonts w:cs="Arial"/>
          <w:sz w:val="24"/>
          <w:szCs w:val="24"/>
        </w:rPr>
        <w:t>OPQC must provide advice to Ministers and government entities on alternative ways of achieving policy objectives and on the application of the fundamental legislative principles.</w:t>
      </w:r>
      <w:r w:rsidRPr="00AF17C8">
        <w:rPr>
          <w:rStyle w:val="FootnoteReference"/>
          <w:rFonts w:cs="Arial"/>
          <w:sz w:val="24"/>
          <w:szCs w:val="24"/>
        </w:rPr>
        <w:footnoteReference w:id="3"/>
      </w:r>
    </w:p>
    <w:p w:rsidR="002875BA" w:rsidRPr="00AF17C8" w:rsidRDefault="002875BA" w:rsidP="002875BA">
      <w:pPr>
        <w:pStyle w:val="ListParagraph"/>
        <w:numPr>
          <w:ilvl w:val="0"/>
          <w:numId w:val="4"/>
        </w:numPr>
        <w:ind w:left="714" w:hanging="357"/>
        <w:contextualSpacing w:val="0"/>
        <w:rPr>
          <w:rFonts w:cs="Arial"/>
          <w:sz w:val="24"/>
          <w:szCs w:val="24"/>
        </w:rPr>
      </w:pPr>
      <w:r w:rsidRPr="00AF17C8">
        <w:rPr>
          <w:rFonts w:cs="Arial"/>
          <w:sz w:val="24"/>
          <w:szCs w:val="24"/>
        </w:rPr>
        <w:t>When introducing a Bill in the Legislative Assembly the member must circulate an explanatory note for the Bill to members.</w:t>
      </w:r>
      <w:r w:rsidRPr="00AF17C8">
        <w:rPr>
          <w:rStyle w:val="FootnoteReference"/>
          <w:rFonts w:cs="Arial"/>
          <w:sz w:val="24"/>
          <w:szCs w:val="24"/>
        </w:rPr>
        <w:footnoteReference w:id="4"/>
      </w:r>
    </w:p>
    <w:p w:rsidR="002875BA" w:rsidRPr="00AF17C8" w:rsidRDefault="002875BA" w:rsidP="002875BA">
      <w:pPr>
        <w:pStyle w:val="ListParagraph"/>
        <w:numPr>
          <w:ilvl w:val="0"/>
          <w:numId w:val="4"/>
        </w:numPr>
        <w:ind w:left="714" w:hanging="357"/>
        <w:contextualSpacing w:val="0"/>
        <w:rPr>
          <w:rFonts w:cs="Arial"/>
          <w:sz w:val="24"/>
          <w:szCs w:val="24"/>
        </w:rPr>
      </w:pPr>
      <w:r w:rsidRPr="00AF17C8">
        <w:rPr>
          <w:rFonts w:cs="Arial"/>
          <w:sz w:val="24"/>
          <w:szCs w:val="24"/>
        </w:rPr>
        <w:t>An explanatory note for a Bill must include a brief assessment of consistency with the fundamental legislative principles, and the reasons for any inconsistency.</w:t>
      </w:r>
      <w:r w:rsidRPr="00AF17C8">
        <w:rPr>
          <w:rStyle w:val="FootnoteReference"/>
          <w:rFonts w:cs="Arial"/>
          <w:sz w:val="24"/>
          <w:szCs w:val="24"/>
        </w:rPr>
        <w:footnoteReference w:id="5"/>
      </w:r>
    </w:p>
    <w:p w:rsidR="002875BA" w:rsidRPr="00AF17C8" w:rsidRDefault="002875BA" w:rsidP="002875BA">
      <w:pPr>
        <w:pStyle w:val="ListParagraph"/>
        <w:numPr>
          <w:ilvl w:val="0"/>
          <w:numId w:val="4"/>
        </w:numPr>
        <w:ind w:left="714" w:hanging="357"/>
        <w:contextualSpacing w:val="0"/>
        <w:rPr>
          <w:rFonts w:cs="Arial"/>
          <w:sz w:val="24"/>
          <w:szCs w:val="24"/>
        </w:rPr>
      </w:pPr>
      <w:r w:rsidRPr="00AF17C8">
        <w:rPr>
          <w:rFonts w:cs="Arial"/>
          <w:sz w:val="24"/>
          <w:szCs w:val="24"/>
        </w:rPr>
        <w:t>After the first reading of the Bill (the explanatory speech), it is referred to a portfolio committee for report back to Parliament by a specified date, unless the Bill is declared urgent.</w:t>
      </w:r>
      <w:r w:rsidRPr="00AF17C8">
        <w:rPr>
          <w:rStyle w:val="FootnoteReference"/>
          <w:rFonts w:cs="Arial"/>
          <w:sz w:val="24"/>
          <w:szCs w:val="24"/>
        </w:rPr>
        <w:footnoteReference w:id="6"/>
      </w:r>
    </w:p>
    <w:p w:rsidR="002875BA" w:rsidRPr="00AF17C8" w:rsidRDefault="002875BA" w:rsidP="002875BA">
      <w:pPr>
        <w:pStyle w:val="ListParagraph"/>
        <w:numPr>
          <w:ilvl w:val="0"/>
          <w:numId w:val="4"/>
        </w:numPr>
        <w:ind w:left="714" w:hanging="357"/>
        <w:contextualSpacing w:val="0"/>
        <w:rPr>
          <w:rFonts w:cs="Arial"/>
          <w:sz w:val="24"/>
          <w:szCs w:val="24"/>
        </w:rPr>
      </w:pPr>
      <w:r w:rsidRPr="00AF17C8">
        <w:rPr>
          <w:rFonts w:cs="Arial"/>
          <w:sz w:val="24"/>
          <w:szCs w:val="24"/>
        </w:rPr>
        <w:t>The portfolio committee is responsible for examining Bills in its portfolio area to consider the policy to be given effect by the legislation and the application of the fundamental legislative principles to the legislation.</w:t>
      </w:r>
      <w:r w:rsidRPr="00AF17C8">
        <w:rPr>
          <w:rStyle w:val="FootnoteReference"/>
          <w:rFonts w:cs="Arial"/>
          <w:sz w:val="24"/>
          <w:szCs w:val="24"/>
        </w:rPr>
        <w:footnoteReference w:id="7"/>
      </w:r>
    </w:p>
    <w:p w:rsidR="002875BA" w:rsidRPr="00AF17C8" w:rsidRDefault="002875BA" w:rsidP="002875BA">
      <w:pPr>
        <w:pStyle w:val="ListParagraph"/>
        <w:numPr>
          <w:ilvl w:val="0"/>
          <w:numId w:val="4"/>
        </w:numPr>
        <w:ind w:left="714" w:hanging="357"/>
        <w:contextualSpacing w:val="0"/>
        <w:rPr>
          <w:rFonts w:cs="Arial"/>
          <w:sz w:val="24"/>
          <w:szCs w:val="24"/>
        </w:rPr>
      </w:pPr>
      <w:r w:rsidRPr="00AF17C8">
        <w:rPr>
          <w:rFonts w:cs="Arial"/>
          <w:sz w:val="24"/>
          <w:szCs w:val="24"/>
        </w:rPr>
        <w:t>The portfolio committee determines whether to recommend the Bill be passed, may recommend amendments to the Bill, and considers the application of the fundamental legislative principles and compliance regarding explanatory notes.</w:t>
      </w:r>
      <w:r w:rsidRPr="00AF17C8">
        <w:rPr>
          <w:rStyle w:val="FootnoteReference"/>
          <w:rFonts w:cs="Arial"/>
          <w:sz w:val="24"/>
          <w:szCs w:val="24"/>
        </w:rPr>
        <w:footnoteReference w:id="8"/>
      </w:r>
      <w:r w:rsidRPr="00AF17C8">
        <w:rPr>
          <w:rFonts w:cs="Arial"/>
          <w:sz w:val="24"/>
          <w:szCs w:val="24"/>
        </w:rPr>
        <w:t xml:space="preserve">  </w:t>
      </w:r>
    </w:p>
    <w:p w:rsidR="002875BA" w:rsidRPr="00AF17C8" w:rsidRDefault="002875BA" w:rsidP="002875BA">
      <w:pPr>
        <w:pStyle w:val="ListParagraph"/>
        <w:numPr>
          <w:ilvl w:val="0"/>
          <w:numId w:val="4"/>
        </w:numPr>
        <w:ind w:left="714" w:hanging="357"/>
        <w:contextualSpacing w:val="0"/>
        <w:rPr>
          <w:rFonts w:cs="Arial"/>
          <w:sz w:val="24"/>
          <w:szCs w:val="24"/>
        </w:rPr>
      </w:pPr>
      <w:r w:rsidRPr="00AF17C8">
        <w:rPr>
          <w:rFonts w:cs="Arial"/>
          <w:sz w:val="24"/>
          <w:szCs w:val="24"/>
        </w:rPr>
        <w:t>The portfolio committee is required to report to the House within the time fixed for report.  The Bill is set for its second reading stage regardless of whether the committee has reported in the relevant timeframe.</w:t>
      </w:r>
      <w:r w:rsidRPr="00AF17C8">
        <w:rPr>
          <w:rStyle w:val="FootnoteReference"/>
          <w:rFonts w:cs="Arial"/>
          <w:sz w:val="24"/>
          <w:szCs w:val="24"/>
        </w:rPr>
        <w:footnoteReference w:id="9"/>
      </w:r>
    </w:p>
    <w:p w:rsidR="00B231BB" w:rsidRPr="00B231BB" w:rsidRDefault="00B231BB" w:rsidP="001200BF">
      <w:pPr>
        <w:spacing w:before="240"/>
        <w:rPr>
          <w:rFonts w:cs="Arial"/>
          <w:sz w:val="24"/>
          <w:szCs w:val="24"/>
        </w:rPr>
      </w:pPr>
      <w:r w:rsidRPr="00B231BB">
        <w:rPr>
          <w:rFonts w:cs="Arial"/>
          <w:sz w:val="24"/>
          <w:szCs w:val="24"/>
        </w:rPr>
        <w:t>One of the important tasks of a committee reviewing legislation is to examine and report on its consistency with the fundamental legislative principles.</w:t>
      </w:r>
    </w:p>
    <w:p w:rsidR="00F670B5" w:rsidRPr="00AF17C8" w:rsidRDefault="00F670B5" w:rsidP="001200BF">
      <w:pPr>
        <w:spacing w:before="240"/>
        <w:rPr>
          <w:rFonts w:cs="Arial"/>
          <w:sz w:val="24"/>
          <w:szCs w:val="24"/>
        </w:rPr>
      </w:pPr>
      <w:r w:rsidRPr="00AF17C8">
        <w:rPr>
          <w:rFonts w:cs="Arial"/>
          <w:sz w:val="24"/>
          <w:szCs w:val="24"/>
        </w:rPr>
        <w:t>The fundamental</w:t>
      </w:r>
      <w:r w:rsidR="00F00C2D" w:rsidRPr="00AF17C8">
        <w:rPr>
          <w:rFonts w:cs="Arial"/>
          <w:sz w:val="24"/>
          <w:szCs w:val="24"/>
        </w:rPr>
        <w:t xml:space="preserve"> legislative</w:t>
      </w:r>
      <w:r w:rsidRPr="00AF17C8">
        <w:rPr>
          <w:rFonts w:cs="Arial"/>
          <w:sz w:val="24"/>
          <w:szCs w:val="24"/>
        </w:rPr>
        <w:t xml:space="preserve"> principles are described in the </w:t>
      </w:r>
      <w:r w:rsidRPr="00AF17C8">
        <w:rPr>
          <w:rFonts w:cs="Arial"/>
          <w:i/>
          <w:sz w:val="24"/>
          <w:szCs w:val="24"/>
        </w:rPr>
        <w:t>Legislative Standards Act 1992</w:t>
      </w:r>
      <w:r w:rsidRPr="00AF17C8">
        <w:rPr>
          <w:rFonts w:cs="Arial"/>
          <w:sz w:val="24"/>
          <w:szCs w:val="24"/>
        </w:rPr>
        <w:t xml:space="preserve"> as </w:t>
      </w:r>
      <w:r w:rsidR="00F00C2D" w:rsidRPr="00AF17C8">
        <w:rPr>
          <w:rFonts w:cs="Arial"/>
          <w:sz w:val="24"/>
          <w:szCs w:val="24"/>
        </w:rPr>
        <w:t>‘</w:t>
      </w:r>
      <w:r w:rsidRPr="00AF17C8">
        <w:rPr>
          <w:rFonts w:cs="Arial"/>
          <w:sz w:val="24"/>
          <w:szCs w:val="24"/>
        </w:rPr>
        <w:t>the principles relating to legislation that underlie a parliamentary democracy based on the rule of law</w:t>
      </w:r>
      <w:r w:rsidR="00F00C2D" w:rsidRPr="00AF17C8">
        <w:rPr>
          <w:rFonts w:cs="Arial"/>
          <w:sz w:val="24"/>
          <w:szCs w:val="24"/>
        </w:rPr>
        <w:t>’</w:t>
      </w:r>
      <w:r w:rsidRPr="00AF17C8">
        <w:rPr>
          <w:rFonts w:cs="Arial"/>
          <w:sz w:val="24"/>
          <w:szCs w:val="24"/>
        </w:rPr>
        <w:t>.</w:t>
      </w:r>
      <w:r w:rsidR="00F00C2D" w:rsidRPr="00AF17C8">
        <w:rPr>
          <w:rFonts w:cs="Arial"/>
          <w:sz w:val="24"/>
          <w:szCs w:val="24"/>
        </w:rPr>
        <w:t xml:space="preserve">  The principles include requiring that legislation has sufficient regard to rights and liberties of individuals and </w:t>
      </w:r>
      <w:r w:rsidR="00DE528A" w:rsidRPr="00AF17C8">
        <w:rPr>
          <w:rFonts w:cs="Arial"/>
          <w:sz w:val="24"/>
          <w:szCs w:val="24"/>
        </w:rPr>
        <w:t xml:space="preserve">to </w:t>
      </w:r>
      <w:r w:rsidR="00F00C2D" w:rsidRPr="00AF17C8">
        <w:rPr>
          <w:rFonts w:cs="Arial"/>
          <w:sz w:val="24"/>
          <w:szCs w:val="24"/>
        </w:rPr>
        <w:t xml:space="preserve">the institution of Parliament.  The </w:t>
      </w:r>
      <w:r w:rsidR="00DE528A" w:rsidRPr="00AF17C8">
        <w:rPr>
          <w:rFonts w:cs="Arial"/>
          <w:sz w:val="24"/>
          <w:szCs w:val="24"/>
        </w:rPr>
        <w:t>Act</w:t>
      </w:r>
      <w:r w:rsidR="00F00C2D" w:rsidRPr="00AF17C8">
        <w:rPr>
          <w:rFonts w:cs="Arial"/>
          <w:sz w:val="24"/>
          <w:szCs w:val="24"/>
        </w:rPr>
        <w:t xml:space="preserve"> includes examples of whether legislation has sufficient regard to rights and liberties of individuals and examples of whether a Bill and subordinate legislation has sufficient regard to the institution of Parliament.</w:t>
      </w:r>
    </w:p>
    <w:p w:rsidR="002875BA" w:rsidRPr="00AF17C8" w:rsidRDefault="00AE64D5" w:rsidP="001200BF">
      <w:pPr>
        <w:spacing w:before="240"/>
        <w:rPr>
          <w:rFonts w:cs="Arial"/>
          <w:sz w:val="24"/>
          <w:szCs w:val="24"/>
        </w:rPr>
      </w:pPr>
      <w:r w:rsidRPr="00AF17C8">
        <w:rPr>
          <w:rFonts w:cs="Arial"/>
          <w:sz w:val="24"/>
          <w:szCs w:val="24"/>
        </w:rPr>
        <w:t xml:space="preserve">It is submitted that </w:t>
      </w:r>
      <w:r w:rsidR="00C110C3" w:rsidRPr="00AF17C8">
        <w:rPr>
          <w:rFonts w:cs="Arial"/>
          <w:sz w:val="24"/>
          <w:szCs w:val="24"/>
        </w:rPr>
        <w:t xml:space="preserve">consideration of how the current parliamentary system could be </w:t>
      </w:r>
      <w:r w:rsidR="00804D54" w:rsidRPr="00AF17C8">
        <w:rPr>
          <w:rFonts w:cs="Arial"/>
          <w:sz w:val="24"/>
          <w:szCs w:val="24"/>
        </w:rPr>
        <w:t>strengthen</w:t>
      </w:r>
      <w:r w:rsidR="00C110C3" w:rsidRPr="00AF17C8">
        <w:rPr>
          <w:rFonts w:cs="Arial"/>
          <w:sz w:val="24"/>
          <w:szCs w:val="24"/>
        </w:rPr>
        <w:t>ed to increase accountability</w:t>
      </w:r>
      <w:r w:rsidR="00804D54" w:rsidRPr="00AF17C8">
        <w:rPr>
          <w:rFonts w:cs="Arial"/>
          <w:sz w:val="24"/>
          <w:szCs w:val="24"/>
        </w:rPr>
        <w:t xml:space="preserve"> </w:t>
      </w:r>
      <w:r w:rsidR="00C110C3" w:rsidRPr="00AF17C8">
        <w:rPr>
          <w:rFonts w:cs="Arial"/>
          <w:sz w:val="24"/>
          <w:szCs w:val="24"/>
        </w:rPr>
        <w:t>necessitates</w:t>
      </w:r>
      <w:r w:rsidRPr="00AF17C8">
        <w:rPr>
          <w:rFonts w:cs="Arial"/>
          <w:sz w:val="24"/>
          <w:szCs w:val="24"/>
        </w:rPr>
        <w:t xml:space="preserve"> consideration of the efficacy of the meaning of fun</w:t>
      </w:r>
      <w:r w:rsidR="00804D54" w:rsidRPr="00AF17C8">
        <w:rPr>
          <w:rFonts w:cs="Arial"/>
          <w:sz w:val="24"/>
          <w:szCs w:val="24"/>
        </w:rPr>
        <w:t>damental legislative principles</w:t>
      </w:r>
      <w:r w:rsidRPr="00AF17C8">
        <w:rPr>
          <w:rFonts w:cs="Arial"/>
          <w:sz w:val="24"/>
          <w:szCs w:val="24"/>
        </w:rPr>
        <w:t xml:space="preserve"> </w:t>
      </w:r>
      <w:r w:rsidRPr="00CF5802">
        <w:rPr>
          <w:rFonts w:cs="Arial"/>
          <w:sz w:val="24"/>
          <w:szCs w:val="24"/>
        </w:rPr>
        <w:t xml:space="preserve">and the processes </w:t>
      </w:r>
      <w:r w:rsidR="00C110C3" w:rsidRPr="00CF5802">
        <w:rPr>
          <w:rFonts w:cs="Arial"/>
          <w:sz w:val="24"/>
          <w:szCs w:val="24"/>
        </w:rPr>
        <w:t>for considering</w:t>
      </w:r>
      <w:r w:rsidRPr="00CF5802">
        <w:rPr>
          <w:rFonts w:cs="Arial"/>
          <w:sz w:val="24"/>
          <w:szCs w:val="24"/>
        </w:rPr>
        <w:t xml:space="preserve"> Bills and subordinate legislation</w:t>
      </w:r>
      <w:r w:rsidRPr="00AF17C8">
        <w:rPr>
          <w:rFonts w:cs="Arial"/>
          <w:sz w:val="24"/>
          <w:szCs w:val="24"/>
        </w:rPr>
        <w:t xml:space="preserve">.  </w:t>
      </w:r>
    </w:p>
    <w:p w:rsidR="00AE64D5" w:rsidRPr="00AF17C8" w:rsidRDefault="002875BA" w:rsidP="001200BF">
      <w:pPr>
        <w:spacing w:before="240"/>
        <w:rPr>
          <w:rFonts w:cs="Arial"/>
          <w:sz w:val="24"/>
          <w:szCs w:val="24"/>
        </w:rPr>
      </w:pPr>
      <w:r w:rsidRPr="00AF17C8">
        <w:rPr>
          <w:rFonts w:cs="Arial"/>
          <w:sz w:val="24"/>
          <w:szCs w:val="24"/>
        </w:rPr>
        <w:t>A review of the meaning of the fundamental legislative principles was commenced by the Scrutiny of Legislation Committee in November 2010, and was continued by the Finance and Administration Committee in October 2011.  Unfortunately the review lapsed when Parliament was dissolved in February 2012, before the review was finalised.</w:t>
      </w:r>
      <w:r w:rsidR="00B231BB">
        <w:rPr>
          <w:rFonts w:cs="Arial"/>
          <w:sz w:val="24"/>
          <w:szCs w:val="24"/>
        </w:rPr>
        <w:t xml:space="preserve">  </w:t>
      </w:r>
      <w:r w:rsidR="00736AB5">
        <w:rPr>
          <w:rFonts w:cs="Arial"/>
          <w:sz w:val="24"/>
          <w:szCs w:val="24"/>
        </w:rPr>
        <w:t xml:space="preserve">The Committee does however have the benefit of </w:t>
      </w:r>
      <w:r w:rsidR="00AE64D5" w:rsidRPr="00AF17C8">
        <w:rPr>
          <w:rFonts w:cs="Arial"/>
          <w:sz w:val="24"/>
          <w:szCs w:val="24"/>
        </w:rPr>
        <w:t xml:space="preserve">valuable information in the submissions made to the two previous committees, and in the report of the Scrutiny of Legislation Committee </w:t>
      </w:r>
      <w:r w:rsidR="00736AB5">
        <w:rPr>
          <w:rFonts w:cs="Arial"/>
          <w:sz w:val="24"/>
          <w:szCs w:val="24"/>
        </w:rPr>
        <w:t xml:space="preserve">made </w:t>
      </w:r>
      <w:r w:rsidR="00AE64D5" w:rsidRPr="00AF17C8">
        <w:rPr>
          <w:rFonts w:cs="Arial"/>
          <w:sz w:val="24"/>
          <w:szCs w:val="24"/>
        </w:rPr>
        <w:t>before it was dissolved.</w:t>
      </w:r>
      <w:r w:rsidR="00AE64D5" w:rsidRPr="00AF17C8">
        <w:rPr>
          <w:rStyle w:val="FootnoteReference"/>
          <w:rFonts w:cs="Arial"/>
          <w:sz w:val="24"/>
          <w:szCs w:val="24"/>
        </w:rPr>
        <w:footnoteReference w:id="10"/>
      </w:r>
      <w:r w:rsidR="00B04698">
        <w:rPr>
          <w:rFonts w:cs="Arial"/>
          <w:sz w:val="24"/>
          <w:szCs w:val="24"/>
        </w:rPr>
        <w:t xml:space="preserve">  For example, a submission by a portfolio committee gave examples of issues relating to scrutinising legislation, and noted that the former Scrutiny of Legislation Committee, with its specific purpose of scrutinising legislation in respect of the rights and liberties of individuals and the institution</w:t>
      </w:r>
      <w:r w:rsidR="00FC2D35">
        <w:rPr>
          <w:rFonts w:cs="Arial"/>
          <w:sz w:val="24"/>
          <w:szCs w:val="24"/>
        </w:rPr>
        <w:t xml:space="preserve"> of Parliament</w:t>
      </w:r>
      <w:r w:rsidR="00B04698">
        <w:rPr>
          <w:rFonts w:cs="Arial"/>
          <w:sz w:val="24"/>
          <w:szCs w:val="24"/>
        </w:rPr>
        <w:t>, had developed considerable expertise in the area.</w:t>
      </w:r>
      <w:r w:rsidR="00B04698">
        <w:rPr>
          <w:rStyle w:val="FootnoteReference"/>
          <w:rFonts w:cs="Arial"/>
          <w:sz w:val="24"/>
          <w:szCs w:val="24"/>
        </w:rPr>
        <w:footnoteReference w:id="11"/>
      </w:r>
      <w:r w:rsidR="00B04698">
        <w:rPr>
          <w:rFonts w:cs="Arial"/>
          <w:sz w:val="24"/>
          <w:szCs w:val="24"/>
        </w:rPr>
        <w:t xml:space="preserve">  Submissions also recommended including, or consider including, sufficient regard to the separation of powers </w:t>
      </w:r>
      <w:r w:rsidR="00D85CD9">
        <w:rPr>
          <w:rFonts w:cs="Arial"/>
          <w:sz w:val="24"/>
          <w:szCs w:val="24"/>
        </w:rPr>
        <w:t>as an explicit fundamental legislative principle.</w:t>
      </w:r>
    </w:p>
    <w:p w:rsidR="00736AB5" w:rsidRDefault="00736AB5" w:rsidP="001200BF">
      <w:pPr>
        <w:spacing w:before="240"/>
        <w:rPr>
          <w:rFonts w:cs="Arial"/>
          <w:sz w:val="24"/>
          <w:szCs w:val="24"/>
        </w:rPr>
      </w:pPr>
      <w:r>
        <w:rPr>
          <w:rFonts w:cs="Arial"/>
          <w:sz w:val="24"/>
          <w:szCs w:val="24"/>
        </w:rPr>
        <w:t xml:space="preserve">The Commission considers that accountability in the scrutiny of legislation would be strengthened by making some changes to the process, and </w:t>
      </w:r>
      <w:r w:rsidR="00D85CD9">
        <w:rPr>
          <w:rFonts w:cs="Arial"/>
          <w:sz w:val="24"/>
          <w:szCs w:val="24"/>
        </w:rPr>
        <w:t xml:space="preserve">by </w:t>
      </w:r>
      <w:r>
        <w:rPr>
          <w:rFonts w:cs="Arial"/>
          <w:sz w:val="24"/>
          <w:szCs w:val="24"/>
        </w:rPr>
        <w:t>incorporating human rights more overtly into the meaning of fundamental legislative principles.  The Commission recommends a process similar to the federal model for scrutiny of legislation, namely:</w:t>
      </w:r>
    </w:p>
    <w:p w:rsidR="00C17D11" w:rsidRPr="00736AB5" w:rsidRDefault="00736AB5" w:rsidP="00556723">
      <w:pPr>
        <w:pStyle w:val="ListParagraph"/>
        <w:numPr>
          <w:ilvl w:val="0"/>
          <w:numId w:val="6"/>
        </w:numPr>
        <w:ind w:left="714" w:hanging="357"/>
        <w:contextualSpacing w:val="0"/>
        <w:rPr>
          <w:rFonts w:cs="Arial"/>
          <w:sz w:val="24"/>
          <w:szCs w:val="24"/>
        </w:rPr>
      </w:pPr>
      <w:r w:rsidRPr="00736AB5">
        <w:rPr>
          <w:rFonts w:cs="Arial"/>
          <w:sz w:val="24"/>
          <w:szCs w:val="24"/>
        </w:rPr>
        <w:t>a statement of compatibility with human rights to be prepared and presented to the House for each Bill; and</w:t>
      </w:r>
    </w:p>
    <w:p w:rsidR="00736AB5" w:rsidRDefault="00736AB5" w:rsidP="00736AB5">
      <w:pPr>
        <w:pStyle w:val="ListParagraph"/>
        <w:numPr>
          <w:ilvl w:val="0"/>
          <w:numId w:val="6"/>
        </w:numPr>
        <w:ind w:left="714" w:hanging="357"/>
        <w:contextualSpacing w:val="0"/>
        <w:rPr>
          <w:rFonts w:cs="Arial"/>
          <w:sz w:val="24"/>
          <w:szCs w:val="24"/>
        </w:rPr>
      </w:pPr>
      <w:r w:rsidRPr="00736AB5">
        <w:rPr>
          <w:rFonts w:cs="Arial"/>
          <w:sz w:val="24"/>
          <w:szCs w:val="24"/>
        </w:rPr>
        <w:t xml:space="preserve">there be a specialist </w:t>
      </w:r>
      <w:r w:rsidRPr="00774BE7">
        <w:rPr>
          <w:rFonts w:cs="Arial"/>
          <w:sz w:val="24"/>
          <w:szCs w:val="24"/>
        </w:rPr>
        <w:t>bipartisan</w:t>
      </w:r>
      <w:r w:rsidRPr="00736AB5">
        <w:rPr>
          <w:rFonts w:cs="Arial"/>
          <w:sz w:val="24"/>
          <w:szCs w:val="24"/>
        </w:rPr>
        <w:t xml:space="preserve"> committee on human rights to examine Bills and Acts for compatibility with human rights</w:t>
      </w:r>
      <w:r w:rsidR="007D20E6">
        <w:rPr>
          <w:rFonts w:cs="Arial"/>
          <w:sz w:val="24"/>
          <w:szCs w:val="24"/>
        </w:rPr>
        <w:t>,</w:t>
      </w:r>
      <w:r w:rsidRPr="00736AB5">
        <w:rPr>
          <w:rFonts w:cs="Arial"/>
          <w:sz w:val="24"/>
          <w:szCs w:val="24"/>
        </w:rPr>
        <w:t xml:space="preserve"> and to report to Parliament.</w:t>
      </w:r>
    </w:p>
    <w:p w:rsidR="00E6404F" w:rsidRDefault="00E6404F" w:rsidP="001200BF">
      <w:pPr>
        <w:spacing w:before="240"/>
        <w:rPr>
          <w:rFonts w:cs="Arial"/>
          <w:sz w:val="24"/>
          <w:szCs w:val="24"/>
        </w:rPr>
      </w:pPr>
      <w:r>
        <w:rPr>
          <w:rFonts w:cs="Arial"/>
          <w:sz w:val="24"/>
          <w:szCs w:val="24"/>
        </w:rPr>
        <w:t xml:space="preserve">The role of the portfolio committees to examine other aspects of legislation, as well as the other roles, would continue.  </w:t>
      </w:r>
    </w:p>
    <w:p w:rsidR="00D85CD9" w:rsidRDefault="007D20E6" w:rsidP="001200BF">
      <w:pPr>
        <w:spacing w:before="240"/>
        <w:rPr>
          <w:rFonts w:cs="Arial"/>
          <w:sz w:val="24"/>
          <w:szCs w:val="24"/>
        </w:rPr>
      </w:pPr>
      <w:r>
        <w:rPr>
          <w:rFonts w:cs="Arial"/>
          <w:sz w:val="24"/>
          <w:szCs w:val="24"/>
        </w:rPr>
        <w:t>As part of this process, t</w:t>
      </w:r>
      <w:r w:rsidR="00D85CD9">
        <w:rPr>
          <w:rFonts w:cs="Arial"/>
          <w:sz w:val="24"/>
          <w:szCs w:val="24"/>
        </w:rPr>
        <w:t xml:space="preserve">he </w:t>
      </w:r>
      <w:r>
        <w:rPr>
          <w:rFonts w:cs="Arial"/>
          <w:sz w:val="24"/>
          <w:szCs w:val="24"/>
        </w:rPr>
        <w:t xml:space="preserve">definition of </w:t>
      </w:r>
      <w:r w:rsidR="00514E63">
        <w:rPr>
          <w:rFonts w:cs="Arial"/>
          <w:sz w:val="24"/>
          <w:szCs w:val="24"/>
        </w:rPr>
        <w:t xml:space="preserve">fundamental legislative principles should be </w:t>
      </w:r>
      <w:r>
        <w:rPr>
          <w:rFonts w:cs="Arial"/>
          <w:sz w:val="24"/>
          <w:szCs w:val="24"/>
        </w:rPr>
        <w:t>changed to refer to ‘human rights’ instead of ‘rights and liberties of individuals’,</w:t>
      </w:r>
      <w:r w:rsidR="003F5214">
        <w:rPr>
          <w:rFonts w:cs="Arial"/>
          <w:sz w:val="24"/>
          <w:szCs w:val="24"/>
        </w:rPr>
        <w:t xml:space="preserve"> and to specify also the separation of powers.</w:t>
      </w:r>
    </w:p>
    <w:p w:rsidR="003F5214" w:rsidRDefault="003F5214" w:rsidP="001200BF">
      <w:pPr>
        <w:spacing w:before="240"/>
        <w:rPr>
          <w:rFonts w:cs="Arial"/>
          <w:sz w:val="24"/>
          <w:szCs w:val="24"/>
        </w:rPr>
      </w:pPr>
      <w:r>
        <w:rPr>
          <w:rFonts w:cs="Arial"/>
          <w:sz w:val="24"/>
          <w:szCs w:val="24"/>
        </w:rPr>
        <w:t>‘Human rights’ should be defined in the legislation in an inclusive way, with examples and further explanation detai</w:t>
      </w:r>
      <w:r w:rsidR="00FC2D35">
        <w:rPr>
          <w:rFonts w:cs="Arial"/>
          <w:sz w:val="24"/>
          <w:szCs w:val="24"/>
        </w:rPr>
        <w:t>l</w:t>
      </w:r>
      <w:r>
        <w:rPr>
          <w:rFonts w:cs="Arial"/>
          <w:sz w:val="24"/>
          <w:szCs w:val="24"/>
        </w:rPr>
        <w:t>ed in a guidance note.  The Commission recommends adopting the definition of ‘human rights’ that was suggested by Reverent Professor the Hon. Michael Tate AO to the federal consultation on a Bill of Rights, namely:</w:t>
      </w:r>
    </w:p>
    <w:p w:rsidR="003F5214" w:rsidRPr="003F5214" w:rsidRDefault="003F5214" w:rsidP="003F5214">
      <w:pPr>
        <w:spacing w:after="240"/>
        <w:ind w:left="720" w:right="657"/>
        <w:rPr>
          <w:rFonts w:cs="Arial"/>
          <w:szCs w:val="22"/>
        </w:rPr>
      </w:pPr>
      <w:r>
        <w:rPr>
          <w:rFonts w:cs="Arial"/>
          <w:szCs w:val="22"/>
        </w:rPr>
        <w:t>The personal rights and liberties recognised or expressed under the Constitutions of Queensland and Australia, in statues of the parliaments of Queensland and Australia, or in treaties ratified by the government of Australia.</w:t>
      </w:r>
    </w:p>
    <w:p w:rsidR="003F5214" w:rsidRDefault="003F5214" w:rsidP="001200BF">
      <w:pPr>
        <w:spacing w:before="240"/>
        <w:rPr>
          <w:rFonts w:cs="Arial"/>
          <w:sz w:val="24"/>
          <w:szCs w:val="24"/>
        </w:rPr>
      </w:pPr>
      <w:r>
        <w:rPr>
          <w:rFonts w:cs="Arial"/>
          <w:sz w:val="24"/>
          <w:szCs w:val="24"/>
        </w:rPr>
        <w:t>The Commission recommends the following measures to increase accountability in the scrutiny of legislation:</w:t>
      </w:r>
    </w:p>
    <w:p w:rsidR="003F5214" w:rsidRDefault="003F5214" w:rsidP="003F5214">
      <w:pPr>
        <w:pStyle w:val="ListParagraph"/>
        <w:numPr>
          <w:ilvl w:val="0"/>
          <w:numId w:val="7"/>
        </w:numPr>
        <w:ind w:left="714" w:hanging="357"/>
        <w:contextualSpacing w:val="0"/>
        <w:rPr>
          <w:rFonts w:cs="Arial"/>
          <w:sz w:val="24"/>
          <w:szCs w:val="24"/>
        </w:rPr>
      </w:pPr>
      <w:r>
        <w:rPr>
          <w:rFonts w:cs="Arial"/>
          <w:sz w:val="24"/>
          <w:szCs w:val="24"/>
        </w:rPr>
        <w:t xml:space="preserve">In the </w:t>
      </w:r>
      <w:r w:rsidRPr="00E6404F">
        <w:rPr>
          <w:rFonts w:cs="Arial"/>
          <w:i/>
          <w:sz w:val="24"/>
          <w:szCs w:val="24"/>
        </w:rPr>
        <w:t>Legislative Standards Act 1992</w:t>
      </w:r>
      <w:r>
        <w:rPr>
          <w:rFonts w:cs="Arial"/>
          <w:sz w:val="24"/>
          <w:szCs w:val="24"/>
        </w:rPr>
        <w:t>, include as an express objective that Queensland legislation is consistent with the promotion and protection of human rights;</w:t>
      </w:r>
    </w:p>
    <w:p w:rsidR="003F5214" w:rsidRDefault="003F5214" w:rsidP="003F5214">
      <w:pPr>
        <w:pStyle w:val="ListParagraph"/>
        <w:numPr>
          <w:ilvl w:val="0"/>
          <w:numId w:val="7"/>
        </w:numPr>
        <w:ind w:left="714" w:hanging="357"/>
        <w:contextualSpacing w:val="0"/>
        <w:rPr>
          <w:rFonts w:cs="Arial"/>
          <w:sz w:val="24"/>
          <w:szCs w:val="24"/>
        </w:rPr>
      </w:pPr>
      <w:r>
        <w:rPr>
          <w:rFonts w:cs="Arial"/>
          <w:sz w:val="24"/>
          <w:szCs w:val="24"/>
        </w:rPr>
        <w:t>Replace the expression ‘rights and liberties of individuals’ with ‘human rights’;</w:t>
      </w:r>
    </w:p>
    <w:p w:rsidR="003F5214" w:rsidRDefault="003F5214" w:rsidP="003F5214">
      <w:pPr>
        <w:pStyle w:val="ListParagraph"/>
        <w:numPr>
          <w:ilvl w:val="0"/>
          <w:numId w:val="7"/>
        </w:numPr>
        <w:ind w:left="714" w:hanging="357"/>
        <w:contextualSpacing w:val="0"/>
        <w:rPr>
          <w:rFonts w:cs="Arial"/>
          <w:sz w:val="24"/>
          <w:szCs w:val="24"/>
        </w:rPr>
      </w:pPr>
      <w:r>
        <w:rPr>
          <w:rFonts w:cs="Arial"/>
          <w:sz w:val="24"/>
          <w:szCs w:val="24"/>
        </w:rPr>
        <w:t>Add to the definition of fundamental legislative principles ‘the separation of powers’;</w:t>
      </w:r>
    </w:p>
    <w:p w:rsidR="003F5214" w:rsidRDefault="003F5214" w:rsidP="003F5214">
      <w:pPr>
        <w:pStyle w:val="ListParagraph"/>
        <w:numPr>
          <w:ilvl w:val="0"/>
          <w:numId w:val="7"/>
        </w:numPr>
        <w:ind w:left="714" w:hanging="357"/>
        <w:contextualSpacing w:val="0"/>
        <w:rPr>
          <w:rFonts w:cs="Arial"/>
          <w:sz w:val="24"/>
          <w:szCs w:val="24"/>
        </w:rPr>
      </w:pPr>
      <w:r>
        <w:rPr>
          <w:rFonts w:cs="Arial"/>
          <w:sz w:val="24"/>
          <w:szCs w:val="24"/>
        </w:rPr>
        <w:t>Define ‘human rights’ in an inclusive way (as suggested above);</w:t>
      </w:r>
    </w:p>
    <w:p w:rsidR="003F5214" w:rsidRDefault="003F5214" w:rsidP="003F5214">
      <w:pPr>
        <w:pStyle w:val="ListParagraph"/>
        <w:numPr>
          <w:ilvl w:val="0"/>
          <w:numId w:val="7"/>
        </w:numPr>
        <w:ind w:left="714" w:hanging="357"/>
        <w:contextualSpacing w:val="0"/>
        <w:rPr>
          <w:rFonts w:cs="Arial"/>
          <w:sz w:val="24"/>
          <w:szCs w:val="24"/>
        </w:rPr>
      </w:pPr>
      <w:r>
        <w:rPr>
          <w:rFonts w:cs="Arial"/>
          <w:sz w:val="24"/>
          <w:szCs w:val="24"/>
        </w:rPr>
        <w:t>Develop and implement a guidance note to assist in identifying human rights issues;</w:t>
      </w:r>
    </w:p>
    <w:p w:rsidR="003F5214" w:rsidRDefault="00E6404F" w:rsidP="003F5214">
      <w:pPr>
        <w:pStyle w:val="ListParagraph"/>
        <w:numPr>
          <w:ilvl w:val="0"/>
          <w:numId w:val="7"/>
        </w:numPr>
        <w:ind w:left="714" w:hanging="357"/>
        <w:contextualSpacing w:val="0"/>
        <w:rPr>
          <w:rFonts w:cs="Arial"/>
          <w:sz w:val="24"/>
          <w:szCs w:val="24"/>
        </w:rPr>
      </w:pPr>
      <w:r>
        <w:rPr>
          <w:rFonts w:cs="Arial"/>
          <w:sz w:val="24"/>
          <w:szCs w:val="24"/>
        </w:rPr>
        <w:t>Replace the requirement for explanatory notes to include a ‘brief assessment of consistency’ with a requirement of a ‘statement of compatibility ‘ with fundamental legislative principles for all Bills and amendments;</w:t>
      </w:r>
    </w:p>
    <w:p w:rsidR="00E6404F" w:rsidRDefault="00E6404F" w:rsidP="003F5214">
      <w:pPr>
        <w:pStyle w:val="ListParagraph"/>
        <w:numPr>
          <w:ilvl w:val="0"/>
          <w:numId w:val="7"/>
        </w:numPr>
        <w:ind w:left="714" w:hanging="357"/>
        <w:contextualSpacing w:val="0"/>
        <w:rPr>
          <w:rFonts w:cs="Arial"/>
          <w:sz w:val="24"/>
          <w:szCs w:val="24"/>
        </w:rPr>
      </w:pPr>
      <w:r>
        <w:rPr>
          <w:rFonts w:cs="Arial"/>
          <w:sz w:val="24"/>
          <w:szCs w:val="24"/>
        </w:rPr>
        <w:t xml:space="preserve">Establish under the </w:t>
      </w:r>
      <w:r w:rsidRPr="00E6404F">
        <w:rPr>
          <w:rFonts w:cs="Arial"/>
          <w:i/>
          <w:sz w:val="24"/>
          <w:szCs w:val="24"/>
        </w:rPr>
        <w:t>Parliament of Queensland Act 2001</w:t>
      </w:r>
      <w:r>
        <w:rPr>
          <w:rFonts w:cs="Arial"/>
          <w:sz w:val="24"/>
          <w:szCs w:val="24"/>
        </w:rPr>
        <w:t xml:space="preserve"> a separate specialist </w:t>
      </w:r>
      <w:r w:rsidRPr="00774BE7">
        <w:rPr>
          <w:rFonts w:cs="Arial"/>
          <w:sz w:val="24"/>
          <w:szCs w:val="24"/>
        </w:rPr>
        <w:t>bipartisan</w:t>
      </w:r>
      <w:r>
        <w:rPr>
          <w:rFonts w:cs="Arial"/>
          <w:sz w:val="24"/>
          <w:szCs w:val="24"/>
        </w:rPr>
        <w:t xml:space="preserve"> committee </w:t>
      </w:r>
      <w:r w:rsidR="007D3C00">
        <w:rPr>
          <w:rFonts w:cs="Arial"/>
          <w:sz w:val="24"/>
          <w:szCs w:val="24"/>
        </w:rPr>
        <w:t>(</w:t>
      </w:r>
      <w:r w:rsidR="00556723">
        <w:rPr>
          <w:rFonts w:cs="Arial"/>
          <w:sz w:val="24"/>
          <w:szCs w:val="24"/>
        </w:rPr>
        <w:t xml:space="preserve">a Human Rights Committee) </w:t>
      </w:r>
      <w:r>
        <w:rPr>
          <w:rFonts w:cs="Arial"/>
          <w:sz w:val="24"/>
          <w:szCs w:val="24"/>
        </w:rPr>
        <w:t>with roles to include the examination of all Bills and subordinate legislation for compatibility with fundamental legislative principles</w:t>
      </w:r>
      <w:r w:rsidR="00556723">
        <w:rPr>
          <w:rFonts w:cs="Arial"/>
          <w:sz w:val="24"/>
          <w:szCs w:val="24"/>
        </w:rPr>
        <w:t>.</w:t>
      </w:r>
    </w:p>
    <w:p w:rsidR="00E6404F" w:rsidRPr="003F5214" w:rsidRDefault="00E6404F" w:rsidP="003F5214">
      <w:pPr>
        <w:pStyle w:val="ListParagraph"/>
        <w:numPr>
          <w:ilvl w:val="0"/>
          <w:numId w:val="7"/>
        </w:numPr>
        <w:ind w:left="714" w:hanging="357"/>
        <w:contextualSpacing w:val="0"/>
        <w:rPr>
          <w:rFonts w:cs="Arial"/>
          <w:sz w:val="24"/>
          <w:szCs w:val="24"/>
        </w:rPr>
      </w:pPr>
      <w:r>
        <w:rPr>
          <w:rFonts w:cs="Arial"/>
          <w:sz w:val="24"/>
          <w:szCs w:val="24"/>
        </w:rPr>
        <w:t xml:space="preserve">Amend the </w:t>
      </w:r>
      <w:r w:rsidRPr="00556723">
        <w:rPr>
          <w:rFonts w:cs="Arial"/>
          <w:i/>
          <w:sz w:val="24"/>
          <w:szCs w:val="24"/>
        </w:rPr>
        <w:t>Parliament of Queensland Act 2001</w:t>
      </w:r>
      <w:r>
        <w:rPr>
          <w:rFonts w:cs="Arial"/>
          <w:sz w:val="24"/>
          <w:szCs w:val="24"/>
        </w:rPr>
        <w:t xml:space="preserve"> to require the Member promoting a Bill to respond to any recommendations or concerns raised by the sp</w:t>
      </w:r>
      <w:r w:rsidR="00556723">
        <w:rPr>
          <w:rFonts w:cs="Arial"/>
          <w:sz w:val="24"/>
          <w:szCs w:val="24"/>
        </w:rPr>
        <w:t>ecialist human rights committee.</w:t>
      </w:r>
    </w:p>
    <w:p w:rsidR="00C17D11" w:rsidRPr="00AF17C8" w:rsidRDefault="00C016FB" w:rsidP="003F5214">
      <w:pPr>
        <w:keepNext/>
        <w:spacing w:before="240"/>
        <w:rPr>
          <w:rFonts w:cs="Arial"/>
          <w:b/>
          <w:sz w:val="24"/>
          <w:szCs w:val="24"/>
        </w:rPr>
      </w:pPr>
      <w:r w:rsidRPr="00AF17C8">
        <w:rPr>
          <w:rFonts w:cs="Arial"/>
          <w:b/>
          <w:sz w:val="24"/>
          <w:szCs w:val="24"/>
        </w:rPr>
        <w:t>Entrenchment</w:t>
      </w:r>
      <w:r w:rsidR="00A27031" w:rsidRPr="00AF17C8">
        <w:rPr>
          <w:rFonts w:cs="Arial"/>
          <w:b/>
          <w:sz w:val="24"/>
          <w:szCs w:val="24"/>
        </w:rPr>
        <w:t xml:space="preserve"> and other accountability mechanisms</w:t>
      </w:r>
    </w:p>
    <w:p w:rsidR="00556723" w:rsidRDefault="00207713" w:rsidP="00556723">
      <w:pPr>
        <w:autoSpaceDE w:val="0"/>
        <w:autoSpaceDN w:val="0"/>
        <w:adjustRightInd w:val="0"/>
        <w:rPr>
          <w:rFonts w:cs="Arial"/>
          <w:color w:val="auto"/>
          <w:kern w:val="0"/>
          <w:szCs w:val="22"/>
          <w14:ligatures w14:val="none"/>
          <w14:cntxtAlts w14:val="0"/>
        </w:rPr>
      </w:pPr>
      <w:r w:rsidRPr="00556723">
        <w:rPr>
          <w:rFonts w:cs="Arial"/>
          <w:sz w:val="24"/>
          <w:szCs w:val="24"/>
        </w:rPr>
        <w:t xml:space="preserve">In its inquiry </w:t>
      </w:r>
      <w:r w:rsidRPr="00556723">
        <w:rPr>
          <w:rFonts w:cs="Arial"/>
          <w:color w:val="auto"/>
          <w:kern w:val="0"/>
          <w:szCs w:val="22"/>
          <w14:ligatures w14:val="none"/>
          <w14:cntxtAlts w14:val="0"/>
        </w:rPr>
        <w:t>inquire into the introduction of four year terms for the Queensland Parliament, the Finance and Administration Committee recommended (</w:t>
      </w:r>
      <w:r w:rsidRPr="00556723">
        <w:rPr>
          <w:rFonts w:cs="Arial"/>
          <w:sz w:val="24"/>
          <w:szCs w:val="24"/>
        </w:rPr>
        <w:t xml:space="preserve">Recommendation 9) </w:t>
      </w:r>
      <w:r w:rsidR="00556723">
        <w:rPr>
          <w:rFonts w:cs="Arial"/>
          <w:color w:val="auto"/>
          <w:kern w:val="0"/>
          <w:szCs w:val="22"/>
          <w14:ligatures w14:val="none"/>
          <w14:cntxtAlts w14:val="0"/>
        </w:rPr>
        <w:t>that:</w:t>
      </w:r>
      <w:r w:rsidRPr="00556723">
        <w:rPr>
          <w:rFonts w:cs="Arial"/>
          <w:color w:val="auto"/>
          <w:kern w:val="0"/>
          <w:szCs w:val="22"/>
          <w14:ligatures w14:val="none"/>
          <w14:cntxtAlts w14:val="0"/>
        </w:rPr>
        <w:t xml:space="preserve"> </w:t>
      </w:r>
    </w:p>
    <w:p w:rsidR="00207713" w:rsidRPr="00556723" w:rsidRDefault="00556723" w:rsidP="00556723">
      <w:pPr>
        <w:autoSpaceDE w:val="0"/>
        <w:autoSpaceDN w:val="0"/>
        <w:adjustRightInd w:val="0"/>
        <w:ind w:left="357" w:right="657"/>
        <w:rPr>
          <w:rFonts w:cs="Arial"/>
          <w:color w:val="auto"/>
          <w:kern w:val="0"/>
          <w:szCs w:val="22"/>
          <w14:ligatures w14:val="none"/>
          <w14:cntxtAlts w14:val="0"/>
        </w:rPr>
      </w:pPr>
      <w:r>
        <w:rPr>
          <w:rFonts w:cs="Arial"/>
          <w:color w:val="auto"/>
          <w:kern w:val="0"/>
          <w:szCs w:val="22"/>
          <w14:ligatures w14:val="none"/>
          <w14:cntxtAlts w14:val="0"/>
        </w:rPr>
        <w:t>S</w:t>
      </w:r>
      <w:r w:rsidR="00207713" w:rsidRPr="00556723">
        <w:rPr>
          <w:rFonts w:cs="Arial"/>
          <w:color w:val="auto"/>
          <w:kern w:val="0"/>
          <w:szCs w:val="22"/>
          <w14:ligatures w14:val="none"/>
          <w14:cntxtAlts w14:val="0"/>
        </w:rPr>
        <w:t xml:space="preserve">hould it proceed, the </w:t>
      </w:r>
      <w:r w:rsidR="00207713" w:rsidRPr="00556723">
        <w:rPr>
          <w:rFonts w:cs="Arial"/>
          <w:i/>
          <w:iCs/>
          <w:color w:val="auto"/>
          <w:kern w:val="0"/>
          <w:szCs w:val="22"/>
          <w14:ligatures w14:val="none"/>
          <w14:cntxtAlts w14:val="0"/>
        </w:rPr>
        <w:t xml:space="preserve">Constitution (Fixed Term Parliament) Amendment Bill 2015 </w:t>
      </w:r>
      <w:r w:rsidR="00207713" w:rsidRPr="00556723">
        <w:rPr>
          <w:rFonts w:cs="Arial"/>
          <w:color w:val="auto"/>
          <w:kern w:val="0"/>
          <w:szCs w:val="22"/>
          <w14:ligatures w14:val="none"/>
          <w14:cntxtAlts w14:val="0"/>
        </w:rPr>
        <w:t>should provide for the voters of Queensland’s approval:</w:t>
      </w:r>
    </w:p>
    <w:p w:rsidR="00207713" w:rsidRPr="00556723" w:rsidRDefault="00207713" w:rsidP="00556723">
      <w:pPr>
        <w:pStyle w:val="ListParagraph"/>
        <w:numPr>
          <w:ilvl w:val="0"/>
          <w:numId w:val="6"/>
        </w:numPr>
        <w:autoSpaceDE w:val="0"/>
        <w:autoSpaceDN w:val="0"/>
        <w:adjustRightInd w:val="0"/>
        <w:spacing w:before="0" w:after="0"/>
        <w:ind w:left="1071" w:right="657" w:hanging="357"/>
        <w:contextualSpacing w:val="0"/>
        <w:rPr>
          <w:rFonts w:cs="Arial"/>
          <w:color w:val="auto"/>
          <w:kern w:val="0"/>
          <w:szCs w:val="22"/>
          <w14:ligatures w14:val="none"/>
          <w14:cntxtAlts w14:val="0"/>
        </w:rPr>
      </w:pPr>
      <w:r w:rsidRPr="00556723">
        <w:rPr>
          <w:rFonts w:cs="Arial"/>
          <w:color w:val="auto"/>
          <w:kern w:val="0"/>
          <w:szCs w:val="22"/>
          <w14:ligatures w14:val="none"/>
          <w14:cntxtAlts w14:val="0"/>
        </w:rPr>
        <w:t xml:space="preserve">Every </w:t>
      </w:r>
      <w:r w:rsidRPr="00556723">
        <w:rPr>
          <w:rFonts w:cs="Arial"/>
          <w:szCs w:val="22"/>
        </w:rPr>
        <w:t>Legislative</w:t>
      </w:r>
      <w:r w:rsidRPr="00556723">
        <w:rPr>
          <w:rFonts w:cs="Arial"/>
          <w:color w:val="auto"/>
          <w:kern w:val="0"/>
          <w:szCs w:val="22"/>
          <w14:ligatures w14:val="none"/>
          <w14:cntxtAlts w14:val="0"/>
        </w:rPr>
        <w:t xml:space="preserve"> Assembly summoned after the approval of the Bill must establish at least seven portfolio committees the role of which will include the review of Bills</w:t>
      </w:r>
      <w:r w:rsidR="00556723" w:rsidRPr="00556723">
        <w:rPr>
          <w:rFonts w:cs="Arial"/>
          <w:color w:val="auto"/>
          <w:kern w:val="0"/>
          <w:szCs w:val="22"/>
          <w14:ligatures w14:val="none"/>
          <w14:cntxtAlts w14:val="0"/>
        </w:rPr>
        <w:t xml:space="preserve"> </w:t>
      </w:r>
      <w:r w:rsidRPr="00556723">
        <w:rPr>
          <w:rFonts w:cs="Arial"/>
          <w:color w:val="auto"/>
          <w:kern w:val="0"/>
          <w:szCs w:val="22"/>
          <w14:ligatures w14:val="none"/>
          <w14:cntxtAlts w14:val="0"/>
        </w:rPr>
        <w:t>(including Appropriation Bills) introduced into the Assembly</w:t>
      </w:r>
      <w:r w:rsidR="00556723">
        <w:rPr>
          <w:rFonts w:cs="Arial"/>
          <w:color w:val="auto"/>
          <w:kern w:val="0"/>
          <w:szCs w:val="22"/>
          <w14:ligatures w14:val="none"/>
          <w14:cntxtAlts w14:val="0"/>
        </w:rPr>
        <w:t>.</w:t>
      </w:r>
    </w:p>
    <w:p w:rsidR="00207713" w:rsidRPr="00556723" w:rsidRDefault="00207713" w:rsidP="00556723">
      <w:pPr>
        <w:pStyle w:val="ListParagraph"/>
        <w:numPr>
          <w:ilvl w:val="0"/>
          <w:numId w:val="6"/>
        </w:numPr>
        <w:ind w:left="1071" w:right="657" w:hanging="357"/>
        <w:contextualSpacing w:val="0"/>
        <w:rPr>
          <w:rFonts w:cs="Arial"/>
          <w:color w:val="auto"/>
          <w:kern w:val="0"/>
          <w:szCs w:val="22"/>
          <w14:ligatures w14:val="none"/>
          <w14:cntxtAlts w14:val="0"/>
        </w:rPr>
      </w:pPr>
      <w:r w:rsidRPr="00556723">
        <w:rPr>
          <w:rFonts w:cs="Arial"/>
          <w:color w:val="auto"/>
          <w:kern w:val="0"/>
          <w:szCs w:val="22"/>
          <w14:ligatures w14:val="none"/>
          <w14:cntxtAlts w14:val="0"/>
        </w:rPr>
        <w:t xml:space="preserve">A process for </w:t>
      </w:r>
      <w:r w:rsidRPr="00556723">
        <w:rPr>
          <w:rFonts w:cs="Arial"/>
          <w:szCs w:val="22"/>
        </w:rPr>
        <w:t>consideration</w:t>
      </w:r>
      <w:r w:rsidRPr="00556723">
        <w:rPr>
          <w:rFonts w:cs="Arial"/>
          <w:color w:val="auto"/>
          <w:kern w:val="0"/>
          <w:szCs w:val="22"/>
          <w14:ligatures w14:val="none"/>
          <w14:cntxtAlts w14:val="0"/>
        </w:rPr>
        <w:t xml:space="preserve"> of Budget Estimates must be maintained by the Legislative Assembly.</w:t>
      </w:r>
    </w:p>
    <w:p w:rsidR="00207713" w:rsidRPr="00556723" w:rsidRDefault="00207713" w:rsidP="00556723">
      <w:pPr>
        <w:pStyle w:val="ListParagraph"/>
        <w:numPr>
          <w:ilvl w:val="0"/>
          <w:numId w:val="6"/>
        </w:numPr>
        <w:ind w:left="1071" w:right="657" w:hanging="357"/>
        <w:contextualSpacing w:val="0"/>
        <w:rPr>
          <w:rFonts w:cs="Arial"/>
          <w:color w:val="auto"/>
          <w:kern w:val="0"/>
          <w:szCs w:val="22"/>
          <w14:ligatures w14:val="none"/>
          <w14:cntxtAlts w14:val="0"/>
        </w:rPr>
      </w:pPr>
      <w:r w:rsidRPr="00556723">
        <w:rPr>
          <w:rFonts w:cs="Arial"/>
          <w:color w:val="auto"/>
          <w:kern w:val="0"/>
          <w:szCs w:val="22"/>
          <w14:ligatures w14:val="none"/>
          <w14:cntxtAlts w14:val="0"/>
        </w:rPr>
        <w:t xml:space="preserve">Every Bill </w:t>
      </w:r>
      <w:r w:rsidRPr="00556723">
        <w:rPr>
          <w:rFonts w:cs="Arial"/>
          <w:szCs w:val="22"/>
        </w:rPr>
        <w:t>introduced</w:t>
      </w:r>
      <w:r w:rsidRPr="00556723">
        <w:rPr>
          <w:rFonts w:cs="Arial"/>
          <w:color w:val="auto"/>
          <w:kern w:val="0"/>
          <w:szCs w:val="22"/>
          <w14:ligatures w14:val="none"/>
          <w14:cntxtAlts w14:val="0"/>
        </w:rPr>
        <w:t xml:space="preserve"> into the Legislative Assembly must be referred to and reviewed by a committee of the Legislative Assembly, for a period of n</w:t>
      </w:r>
      <w:r w:rsidR="00556723" w:rsidRPr="00556723">
        <w:rPr>
          <w:rFonts w:cs="Arial"/>
          <w:color w:val="auto"/>
          <w:kern w:val="0"/>
          <w:szCs w:val="22"/>
          <w14:ligatures w14:val="none"/>
          <w14:cntxtAlts w14:val="0"/>
        </w:rPr>
        <w:t>ot less than six weeks, unless:</w:t>
      </w:r>
    </w:p>
    <w:p w:rsidR="00207713" w:rsidRPr="00556723" w:rsidRDefault="00207713" w:rsidP="00556723">
      <w:pPr>
        <w:pStyle w:val="ListParagraph"/>
        <w:numPr>
          <w:ilvl w:val="0"/>
          <w:numId w:val="8"/>
        </w:numPr>
        <w:autoSpaceDE w:val="0"/>
        <w:autoSpaceDN w:val="0"/>
        <w:adjustRightInd w:val="0"/>
        <w:ind w:left="1786" w:right="657" w:hanging="357"/>
        <w:contextualSpacing w:val="0"/>
        <w:rPr>
          <w:rFonts w:cs="Arial"/>
          <w:color w:val="auto"/>
          <w:kern w:val="0"/>
          <w:szCs w:val="22"/>
          <w14:ligatures w14:val="none"/>
          <w14:cntxtAlts w14:val="0"/>
        </w:rPr>
      </w:pPr>
      <w:r w:rsidRPr="00556723">
        <w:rPr>
          <w:rFonts w:cs="Arial"/>
          <w:color w:val="auto"/>
          <w:kern w:val="0"/>
          <w:szCs w:val="22"/>
          <w14:ligatures w14:val="none"/>
          <w14:cntxtAlts w14:val="0"/>
        </w:rPr>
        <w:t>a special majority of the Assembly agrees to the Bill not being referred to a</w:t>
      </w:r>
      <w:r w:rsidR="00556723" w:rsidRPr="00556723">
        <w:rPr>
          <w:rFonts w:cs="Arial"/>
          <w:color w:val="auto"/>
          <w:kern w:val="0"/>
          <w:szCs w:val="22"/>
          <w14:ligatures w14:val="none"/>
          <w14:cntxtAlts w14:val="0"/>
        </w:rPr>
        <w:t xml:space="preserve"> </w:t>
      </w:r>
      <w:r w:rsidRPr="00556723">
        <w:rPr>
          <w:rFonts w:cs="Arial"/>
          <w:color w:val="auto"/>
          <w:kern w:val="0"/>
          <w:szCs w:val="22"/>
          <w14:ligatures w14:val="none"/>
          <w14:cntxtAlts w14:val="0"/>
        </w:rPr>
        <w:t>committee or being referred for a period less than six weeks; or</w:t>
      </w:r>
    </w:p>
    <w:p w:rsidR="00207713" w:rsidRPr="00556723" w:rsidRDefault="00207713" w:rsidP="00556723">
      <w:pPr>
        <w:pStyle w:val="ListParagraph"/>
        <w:numPr>
          <w:ilvl w:val="0"/>
          <w:numId w:val="8"/>
        </w:numPr>
        <w:autoSpaceDE w:val="0"/>
        <w:autoSpaceDN w:val="0"/>
        <w:adjustRightInd w:val="0"/>
        <w:ind w:left="1786" w:right="657" w:hanging="357"/>
        <w:contextualSpacing w:val="0"/>
        <w:rPr>
          <w:rFonts w:cs="Arial"/>
          <w:color w:val="auto"/>
          <w:kern w:val="0"/>
          <w:szCs w:val="22"/>
          <w14:ligatures w14:val="none"/>
          <w14:cntxtAlts w14:val="0"/>
        </w:rPr>
      </w:pPr>
      <w:r w:rsidRPr="00556723">
        <w:rPr>
          <w:rFonts w:cs="Arial"/>
          <w:color w:val="auto"/>
          <w:kern w:val="0"/>
          <w:szCs w:val="22"/>
          <w14:ligatures w14:val="none"/>
          <w14:cntxtAlts w14:val="0"/>
        </w:rPr>
        <w:t>the resolution for the Bill not being referred to a committee is passed without</w:t>
      </w:r>
      <w:r w:rsidR="00556723" w:rsidRPr="00556723">
        <w:rPr>
          <w:rFonts w:cs="Arial"/>
          <w:color w:val="auto"/>
          <w:kern w:val="0"/>
          <w:szCs w:val="22"/>
          <w14:ligatures w14:val="none"/>
          <w14:cntxtAlts w14:val="0"/>
        </w:rPr>
        <w:t xml:space="preserve"> </w:t>
      </w:r>
      <w:r w:rsidRPr="00556723">
        <w:rPr>
          <w:rFonts w:cs="Arial"/>
          <w:color w:val="auto"/>
          <w:kern w:val="0"/>
          <w:szCs w:val="22"/>
          <w14:ligatures w14:val="none"/>
          <w14:cntxtAlts w14:val="0"/>
        </w:rPr>
        <w:t>division or dissent.</w:t>
      </w:r>
    </w:p>
    <w:p w:rsidR="00207713" w:rsidRPr="00556723" w:rsidRDefault="00207713" w:rsidP="00556723">
      <w:pPr>
        <w:pStyle w:val="ListParagraph"/>
        <w:numPr>
          <w:ilvl w:val="0"/>
          <w:numId w:val="6"/>
        </w:numPr>
        <w:autoSpaceDE w:val="0"/>
        <w:autoSpaceDN w:val="0"/>
        <w:adjustRightInd w:val="0"/>
        <w:spacing w:before="0" w:after="0"/>
        <w:ind w:left="1071" w:right="657" w:hanging="357"/>
        <w:contextualSpacing w:val="0"/>
        <w:rPr>
          <w:rFonts w:cs="Arial"/>
          <w:color w:val="auto"/>
          <w:kern w:val="0"/>
          <w:szCs w:val="22"/>
          <w14:ligatures w14:val="none"/>
          <w14:cntxtAlts w14:val="0"/>
        </w:rPr>
      </w:pPr>
      <w:r w:rsidRPr="00556723">
        <w:rPr>
          <w:rFonts w:cs="Arial"/>
          <w:color w:val="auto"/>
          <w:kern w:val="0"/>
          <w:szCs w:val="22"/>
          <w14:ligatures w14:val="none"/>
          <w14:cntxtAlts w14:val="0"/>
        </w:rPr>
        <w:t xml:space="preserve">A </w:t>
      </w:r>
      <w:r w:rsidRPr="00556723">
        <w:rPr>
          <w:rFonts w:cs="Arial"/>
          <w:b/>
          <w:bCs/>
          <w:i/>
          <w:iCs/>
          <w:color w:val="auto"/>
          <w:kern w:val="0"/>
          <w:szCs w:val="22"/>
          <w14:ligatures w14:val="none"/>
          <w14:cntxtAlts w14:val="0"/>
        </w:rPr>
        <w:t xml:space="preserve">special majority </w:t>
      </w:r>
      <w:r w:rsidRPr="00556723">
        <w:rPr>
          <w:rFonts w:cs="Arial"/>
          <w:szCs w:val="22"/>
        </w:rPr>
        <w:t>to</w:t>
      </w:r>
      <w:r w:rsidRPr="00556723">
        <w:rPr>
          <w:rFonts w:cs="Arial"/>
          <w:color w:val="auto"/>
          <w:kern w:val="0"/>
          <w:szCs w:val="22"/>
          <w14:ligatures w14:val="none"/>
          <w14:cntxtAlts w14:val="0"/>
        </w:rPr>
        <w:t xml:space="preserve"> be defined as at least 65 per cent of the Members of the</w:t>
      </w:r>
      <w:r w:rsidR="00556723" w:rsidRPr="00556723">
        <w:rPr>
          <w:rFonts w:cs="Arial"/>
          <w:color w:val="auto"/>
          <w:kern w:val="0"/>
          <w:szCs w:val="22"/>
          <w14:ligatures w14:val="none"/>
          <w14:cntxtAlts w14:val="0"/>
        </w:rPr>
        <w:t xml:space="preserve"> </w:t>
      </w:r>
      <w:r w:rsidRPr="00556723">
        <w:rPr>
          <w:rFonts w:cs="Arial"/>
          <w:color w:val="auto"/>
          <w:kern w:val="0"/>
          <w:szCs w:val="22"/>
          <w14:ligatures w14:val="none"/>
          <w14:cntxtAlts w14:val="0"/>
        </w:rPr>
        <w:t>Legislative Assembly, including at least one Member of the official opposition.</w:t>
      </w:r>
    </w:p>
    <w:p w:rsidR="00207713" w:rsidRPr="00556723" w:rsidRDefault="00207713" w:rsidP="00556723">
      <w:pPr>
        <w:autoSpaceDE w:val="0"/>
        <w:autoSpaceDN w:val="0"/>
        <w:adjustRightInd w:val="0"/>
        <w:ind w:left="357" w:right="657"/>
        <w:rPr>
          <w:rFonts w:cs="Arial"/>
          <w:szCs w:val="22"/>
        </w:rPr>
      </w:pPr>
      <w:r w:rsidRPr="00556723">
        <w:rPr>
          <w:rFonts w:cs="Arial"/>
          <w:color w:val="auto"/>
          <w:kern w:val="0"/>
          <w:szCs w:val="22"/>
          <w14:ligatures w14:val="none"/>
          <w14:cntxtAlts w14:val="0"/>
        </w:rPr>
        <w:t>This recommendation would also apply to any other Bill(s) with similar intent which are introduced.</w:t>
      </w:r>
    </w:p>
    <w:p w:rsidR="00E52DA2" w:rsidRDefault="00E52DA2" w:rsidP="00DB76FA">
      <w:pPr>
        <w:spacing w:before="240"/>
        <w:rPr>
          <w:rFonts w:cs="Arial"/>
          <w:sz w:val="24"/>
          <w:szCs w:val="24"/>
        </w:rPr>
      </w:pPr>
      <w:r w:rsidRPr="00E26E98">
        <w:rPr>
          <w:rFonts w:cs="Arial"/>
          <w:sz w:val="24"/>
          <w:szCs w:val="24"/>
        </w:rPr>
        <w:t xml:space="preserve">The Commission supports </w:t>
      </w:r>
      <w:r w:rsidR="00175856" w:rsidRPr="00E26E98">
        <w:rPr>
          <w:rFonts w:cs="Arial"/>
          <w:sz w:val="24"/>
          <w:szCs w:val="24"/>
        </w:rPr>
        <w:t xml:space="preserve">proposed changes to limit </w:t>
      </w:r>
      <w:r w:rsidR="007D3C00" w:rsidRPr="00E26E98">
        <w:rPr>
          <w:rFonts w:cs="Arial"/>
          <w:sz w:val="24"/>
          <w:szCs w:val="24"/>
        </w:rPr>
        <w:t xml:space="preserve">the declaring </w:t>
      </w:r>
      <w:r w:rsidR="00FC2D35">
        <w:rPr>
          <w:rFonts w:cs="Arial"/>
          <w:sz w:val="24"/>
          <w:szCs w:val="24"/>
        </w:rPr>
        <w:t xml:space="preserve">of </w:t>
      </w:r>
      <w:r w:rsidR="007D3C00" w:rsidRPr="00E26E98">
        <w:rPr>
          <w:rFonts w:cs="Arial"/>
          <w:sz w:val="24"/>
          <w:szCs w:val="24"/>
        </w:rPr>
        <w:t>Bills urgent and thus bypassing the committee system.</w:t>
      </w:r>
    </w:p>
    <w:p w:rsidR="00556723" w:rsidRDefault="00FC47B6" w:rsidP="00DB76FA">
      <w:pPr>
        <w:spacing w:before="240"/>
        <w:rPr>
          <w:rFonts w:cs="Arial"/>
          <w:sz w:val="24"/>
          <w:szCs w:val="24"/>
        </w:rPr>
      </w:pPr>
      <w:r>
        <w:rPr>
          <w:rFonts w:cs="Arial"/>
          <w:sz w:val="24"/>
          <w:szCs w:val="24"/>
        </w:rPr>
        <w:t xml:space="preserve">The Finance and Administration Committee said </w:t>
      </w:r>
      <w:r w:rsidR="003428A2">
        <w:rPr>
          <w:rFonts w:cs="Arial"/>
          <w:sz w:val="24"/>
          <w:szCs w:val="24"/>
        </w:rPr>
        <w:t>that being</w:t>
      </w:r>
      <w:r>
        <w:rPr>
          <w:rFonts w:cs="Arial"/>
          <w:sz w:val="24"/>
          <w:szCs w:val="24"/>
        </w:rPr>
        <w:t xml:space="preserve"> conscious of the historical reasons for entrenchment of three year terms in 1934 and its link to the entrenchment of the abolition of the Upper House</w:t>
      </w:r>
      <w:r w:rsidR="003428A2">
        <w:rPr>
          <w:rFonts w:cs="Arial"/>
          <w:sz w:val="24"/>
          <w:szCs w:val="24"/>
        </w:rPr>
        <w:t>, it considered the committee system, as an important accountability mechanism, should be included in the provisions to be entrenched as part of any extension of the term of parliament</w:t>
      </w:r>
      <w:r>
        <w:rPr>
          <w:rFonts w:cs="Arial"/>
          <w:sz w:val="24"/>
          <w:szCs w:val="24"/>
        </w:rPr>
        <w:t>.</w:t>
      </w:r>
    </w:p>
    <w:p w:rsidR="003428A2" w:rsidRDefault="003428A2" w:rsidP="00610F7C">
      <w:pPr>
        <w:spacing w:before="240"/>
        <w:rPr>
          <w:rFonts w:cs="Arial"/>
          <w:sz w:val="24"/>
          <w:szCs w:val="24"/>
        </w:rPr>
      </w:pPr>
      <w:r>
        <w:rPr>
          <w:rFonts w:cs="Arial"/>
          <w:sz w:val="24"/>
          <w:szCs w:val="24"/>
        </w:rPr>
        <w:t>Entrenchment as proposed in recommendation 9 (set out above) may confine parliament to the current portfolio committee system.  The current system is relatively new, and should not necessarily bind future parliaments.</w:t>
      </w:r>
    </w:p>
    <w:p w:rsidR="003428A2" w:rsidRDefault="003428A2" w:rsidP="00DB76FA">
      <w:pPr>
        <w:spacing w:before="240"/>
        <w:rPr>
          <w:rFonts w:cs="Arial"/>
          <w:sz w:val="24"/>
          <w:szCs w:val="24"/>
        </w:rPr>
      </w:pPr>
      <w:r>
        <w:rPr>
          <w:rFonts w:cs="Arial"/>
          <w:sz w:val="24"/>
          <w:szCs w:val="24"/>
        </w:rPr>
        <w:t xml:space="preserve">The Commission supports entrenchment of a committee system, provided it does not unduly restrict flexibility in the structure of committee systems into the future.  An aspect that should be entrenched </w:t>
      </w:r>
      <w:r w:rsidR="00FC2D35">
        <w:rPr>
          <w:rFonts w:cs="Arial"/>
          <w:sz w:val="24"/>
          <w:szCs w:val="24"/>
        </w:rPr>
        <w:t>is</w:t>
      </w:r>
      <w:r w:rsidR="00FC2D35">
        <w:rPr>
          <w:rFonts w:cs="Arial"/>
          <w:sz w:val="24"/>
          <w:szCs w:val="24"/>
        </w:rPr>
        <w:t xml:space="preserve"> </w:t>
      </w:r>
      <w:r>
        <w:rPr>
          <w:rFonts w:cs="Arial"/>
          <w:sz w:val="24"/>
          <w:szCs w:val="24"/>
        </w:rPr>
        <w:t>the establishment and maintenance of a specialist human rights committee to examine legislation and report on human rights issues, as outlined above.</w:t>
      </w:r>
    </w:p>
    <w:p w:rsidR="00207713" w:rsidRDefault="0021205E" w:rsidP="00610F7C">
      <w:pPr>
        <w:spacing w:before="240"/>
        <w:rPr>
          <w:rFonts w:cs="Arial"/>
          <w:sz w:val="24"/>
          <w:szCs w:val="24"/>
        </w:rPr>
      </w:pPr>
      <w:r>
        <w:rPr>
          <w:rFonts w:cs="Arial"/>
          <w:sz w:val="24"/>
          <w:szCs w:val="24"/>
        </w:rPr>
        <w:t xml:space="preserve">An alternative or further measure to strengthen the committee system and accountability is a Human Rights Act.  </w:t>
      </w:r>
      <w:r w:rsidR="00804D54" w:rsidRPr="00AF17C8">
        <w:rPr>
          <w:rFonts w:cs="Arial"/>
          <w:sz w:val="24"/>
          <w:szCs w:val="24"/>
        </w:rPr>
        <w:t>A common feature of human rights Acts and constitutional charters is that they provide for proposed legislation to be reviewed, before debate in Parliament, for compliance or otherwise with human rights, and for a report to be provided to Parliament.</w:t>
      </w:r>
    </w:p>
    <w:p w:rsidR="0021205E" w:rsidRDefault="0021205E" w:rsidP="00610F7C">
      <w:pPr>
        <w:spacing w:before="240"/>
        <w:rPr>
          <w:rFonts w:cs="Arial"/>
          <w:sz w:val="24"/>
          <w:szCs w:val="24"/>
        </w:rPr>
      </w:pPr>
      <w:r>
        <w:rPr>
          <w:rFonts w:cs="Arial"/>
          <w:sz w:val="24"/>
          <w:szCs w:val="24"/>
        </w:rPr>
        <w:t xml:space="preserve">The Commission supports a Human Rights Act for Queensland, and will be making a submission to the current inquiry before the Legal and </w:t>
      </w:r>
      <w:r w:rsidR="00610F7C">
        <w:rPr>
          <w:rFonts w:cs="Arial"/>
          <w:sz w:val="24"/>
          <w:szCs w:val="24"/>
        </w:rPr>
        <w:t>Community Safety Committee recommending a Human Rights Act that includes the characteristics of providing for:</w:t>
      </w:r>
    </w:p>
    <w:p w:rsidR="00610F7C" w:rsidRDefault="00610F7C" w:rsidP="00610F7C">
      <w:pPr>
        <w:pStyle w:val="ListParagraph"/>
        <w:numPr>
          <w:ilvl w:val="0"/>
          <w:numId w:val="6"/>
        </w:numPr>
        <w:ind w:left="714" w:hanging="357"/>
        <w:contextualSpacing w:val="0"/>
        <w:rPr>
          <w:rFonts w:cs="Arial"/>
          <w:sz w:val="24"/>
          <w:szCs w:val="24"/>
        </w:rPr>
      </w:pPr>
      <w:r>
        <w:rPr>
          <w:rFonts w:cs="Arial"/>
          <w:sz w:val="24"/>
          <w:szCs w:val="24"/>
        </w:rPr>
        <w:t>each Bill table</w:t>
      </w:r>
      <w:r w:rsidR="00FC2D35">
        <w:rPr>
          <w:rFonts w:cs="Arial"/>
          <w:sz w:val="24"/>
          <w:szCs w:val="24"/>
        </w:rPr>
        <w:t>d</w:t>
      </w:r>
      <w:bookmarkStart w:id="0" w:name="_GoBack"/>
      <w:bookmarkEnd w:id="0"/>
      <w:r>
        <w:rPr>
          <w:rFonts w:cs="Arial"/>
          <w:sz w:val="24"/>
          <w:szCs w:val="24"/>
        </w:rPr>
        <w:t xml:space="preserve"> in parliament to be accompanied by a Statement of Compatibility setting out whether and how the Bill is compatible with or infringes on human rights; and</w:t>
      </w:r>
    </w:p>
    <w:p w:rsidR="00610F7C" w:rsidRPr="00AF17C8" w:rsidRDefault="00610F7C" w:rsidP="00610F7C">
      <w:pPr>
        <w:pStyle w:val="ListParagraph"/>
        <w:numPr>
          <w:ilvl w:val="0"/>
          <w:numId w:val="6"/>
        </w:numPr>
        <w:ind w:left="714" w:hanging="357"/>
        <w:contextualSpacing w:val="0"/>
        <w:rPr>
          <w:rFonts w:cs="Arial"/>
          <w:sz w:val="24"/>
          <w:szCs w:val="24"/>
        </w:rPr>
      </w:pPr>
      <w:r>
        <w:rPr>
          <w:rFonts w:cs="Arial"/>
          <w:sz w:val="24"/>
          <w:szCs w:val="24"/>
        </w:rPr>
        <w:t>all legislation to be considered by a specialist parliamentary committee for the purpose of reporting to parliament on whether the legislation is compatible with human rights.</w:t>
      </w:r>
    </w:p>
    <w:p w:rsidR="00207713" w:rsidRDefault="00610F7C" w:rsidP="00610F7C">
      <w:pPr>
        <w:spacing w:before="240"/>
        <w:rPr>
          <w:rFonts w:cs="Arial"/>
          <w:sz w:val="24"/>
          <w:szCs w:val="24"/>
        </w:rPr>
      </w:pPr>
      <w:r>
        <w:rPr>
          <w:rFonts w:cs="Arial"/>
          <w:sz w:val="24"/>
          <w:szCs w:val="24"/>
        </w:rPr>
        <w:t xml:space="preserve">In the interim, accountability in the scrutiny of legislation can be strengthened through amendments to the </w:t>
      </w:r>
      <w:r w:rsidRPr="00610F7C">
        <w:rPr>
          <w:rFonts w:cs="Arial"/>
          <w:i/>
          <w:sz w:val="24"/>
          <w:szCs w:val="24"/>
        </w:rPr>
        <w:t>Parliament of Queensland Act 2001</w:t>
      </w:r>
      <w:r>
        <w:rPr>
          <w:rFonts w:cs="Arial"/>
          <w:sz w:val="24"/>
          <w:szCs w:val="24"/>
        </w:rPr>
        <w:t xml:space="preserve"> and the </w:t>
      </w:r>
      <w:r w:rsidRPr="00610F7C">
        <w:rPr>
          <w:rFonts w:cs="Arial"/>
          <w:i/>
          <w:sz w:val="24"/>
          <w:szCs w:val="24"/>
        </w:rPr>
        <w:t>Scrutiny of Legislation Act 1992</w:t>
      </w:r>
      <w:r>
        <w:rPr>
          <w:rFonts w:cs="Arial"/>
          <w:sz w:val="24"/>
          <w:szCs w:val="24"/>
        </w:rPr>
        <w:t>, as outlined above.</w:t>
      </w:r>
    </w:p>
    <w:p w:rsidR="007D3C00" w:rsidRPr="00E26E98" w:rsidRDefault="007D3C00" w:rsidP="007D3C00">
      <w:pPr>
        <w:keepNext/>
        <w:spacing w:before="240"/>
        <w:rPr>
          <w:rFonts w:cs="Arial"/>
          <w:b/>
          <w:sz w:val="24"/>
          <w:szCs w:val="24"/>
        </w:rPr>
      </w:pPr>
      <w:r w:rsidRPr="00E26E98">
        <w:rPr>
          <w:rFonts w:cs="Arial"/>
          <w:b/>
          <w:sz w:val="24"/>
          <w:szCs w:val="24"/>
        </w:rPr>
        <w:t>Conclusion</w:t>
      </w:r>
    </w:p>
    <w:p w:rsidR="007D3C00" w:rsidRPr="00E26E98" w:rsidRDefault="007D3C00" w:rsidP="007D3C00">
      <w:pPr>
        <w:rPr>
          <w:rFonts w:cs="Arial"/>
          <w:sz w:val="24"/>
          <w:szCs w:val="24"/>
        </w:rPr>
      </w:pPr>
      <w:r w:rsidRPr="00E26E98">
        <w:rPr>
          <w:rFonts w:cs="Arial"/>
          <w:sz w:val="24"/>
          <w:szCs w:val="24"/>
        </w:rPr>
        <w:t>The Commission endorses a robust parliamentary committee system responsible for the scrutiny of legislation and examining and reporting on human rights issues.  Accountability can be strengthened by making changes to the legislation and processes requiring statements of compatibility with human rights and justification for any infringement of human rights.</w:t>
      </w:r>
    </w:p>
    <w:p w:rsidR="007D3C00" w:rsidRPr="00AF17C8" w:rsidRDefault="007D3C00" w:rsidP="00610F7C">
      <w:pPr>
        <w:spacing w:before="240"/>
        <w:rPr>
          <w:rFonts w:cs="Arial"/>
          <w:sz w:val="24"/>
          <w:szCs w:val="24"/>
        </w:rPr>
      </w:pPr>
      <w:r w:rsidRPr="00E26E98">
        <w:rPr>
          <w:rFonts w:cs="Arial"/>
          <w:sz w:val="24"/>
          <w:szCs w:val="24"/>
        </w:rPr>
        <w:t xml:space="preserve">The Commission supports entrenchment of the parliamentary committee system in a way that enables some flexibility but ensures examination and reporting of human rights issues by a specialist bipartisan committee.  The system can be further strengthened by </w:t>
      </w:r>
      <w:r w:rsidR="00E43B10" w:rsidRPr="00E26E98">
        <w:rPr>
          <w:rFonts w:cs="Arial"/>
          <w:sz w:val="24"/>
          <w:szCs w:val="24"/>
        </w:rPr>
        <w:t>a Human Rights Act for Queensland.</w:t>
      </w:r>
    </w:p>
    <w:p w:rsidR="00506E5F" w:rsidRPr="00AF17C8" w:rsidRDefault="00506E5F" w:rsidP="009154A9">
      <w:pPr>
        <w:spacing w:before="360"/>
        <w:rPr>
          <w:rFonts w:cs="Arial"/>
          <w:sz w:val="24"/>
          <w:szCs w:val="24"/>
        </w:rPr>
      </w:pPr>
      <w:r w:rsidRPr="00AF17C8">
        <w:rPr>
          <w:rFonts w:cs="Arial"/>
          <w:sz w:val="24"/>
          <w:szCs w:val="24"/>
        </w:rPr>
        <w:t>Yours sincerely</w:t>
      </w:r>
    </w:p>
    <w:p w:rsidR="00506E5F" w:rsidRPr="00AF17C8" w:rsidRDefault="00506E5F" w:rsidP="00111034">
      <w:pPr>
        <w:rPr>
          <w:rFonts w:cs="Arial"/>
          <w:sz w:val="24"/>
          <w:szCs w:val="24"/>
        </w:rPr>
      </w:pPr>
    </w:p>
    <w:p w:rsidR="00506E5F" w:rsidRPr="00AF17C8" w:rsidRDefault="00506E5F" w:rsidP="00111034">
      <w:pPr>
        <w:rPr>
          <w:rFonts w:cs="Arial"/>
          <w:sz w:val="24"/>
          <w:szCs w:val="24"/>
        </w:rPr>
      </w:pPr>
    </w:p>
    <w:p w:rsidR="00D531A5" w:rsidRPr="00AF17C8" w:rsidRDefault="00D531A5" w:rsidP="00506E5F">
      <w:pPr>
        <w:spacing w:before="0" w:after="0"/>
        <w:rPr>
          <w:rFonts w:cs="Arial"/>
          <w:sz w:val="24"/>
          <w:szCs w:val="24"/>
        </w:rPr>
      </w:pPr>
    </w:p>
    <w:p w:rsidR="00506E5F" w:rsidRPr="00AF17C8" w:rsidRDefault="00CB393C" w:rsidP="00506E5F">
      <w:pPr>
        <w:spacing w:before="0" w:after="0"/>
        <w:rPr>
          <w:rFonts w:cs="Arial"/>
          <w:b/>
          <w:sz w:val="24"/>
          <w:szCs w:val="24"/>
        </w:rPr>
      </w:pPr>
      <w:r>
        <w:rPr>
          <w:rFonts w:cs="Arial"/>
          <w:b/>
          <w:sz w:val="24"/>
          <w:szCs w:val="24"/>
        </w:rPr>
        <w:t>KEVIN COCKS AM</w:t>
      </w:r>
    </w:p>
    <w:p w:rsidR="00111034" w:rsidRPr="00AF17C8" w:rsidRDefault="00506E5F" w:rsidP="00732533">
      <w:pPr>
        <w:spacing w:before="0" w:after="0"/>
        <w:rPr>
          <w:rFonts w:cs="Arial"/>
          <w:b/>
          <w:sz w:val="24"/>
          <w:szCs w:val="24"/>
        </w:rPr>
      </w:pPr>
      <w:r w:rsidRPr="00AF17C8">
        <w:rPr>
          <w:rFonts w:cs="Arial"/>
          <w:b/>
          <w:sz w:val="24"/>
          <w:szCs w:val="24"/>
        </w:rPr>
        <w:t>Anti-Discrimination Commissioner</w:t>
      </w:r>
      <w:r w:rsidR="00CB393C">
        <w:rPr>
          <w:rFonts w:cs="Arial"/>
          <w:b/>
          <w:sz w:val="24"/>
          <w:szCs w:val="24"/>
        </w:rPr>
        <w:t xml:space="preserve"> Queensland</w:t>
      </w:r>
    </w:p>
    <w:sectPr w:rsidR="00111034" w:rsidRPr="00AF17C8" w:rsidSect="008E7765">
      <w:headerReference w:type="default" r:id="rId9"/>
      <w:footerReference w:type="first" r:id="rId10"/>
      <w:pgSz w:w="11906" w:h="16838" w:code="9"/>
      <w:pgMar w:top="992" w:right="1797" w:bottom="1021" w:left="1797" w:header="56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C00" w:rsidRDefault="007D3C00">
      <w:r>
        <w:separator/>
      </w:r>
    </w:p>
  </w:endnote>
  <w:endnote w:type="continuationSeparator" w:id="0">
    <w:p w:rsidR="007D3C00" w:rsidRDefault="007D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C00" w:rsidRDefault="007D3C00">
    <w:pPr>
      <w:pStyle w:val="Footer"/>
    </w:pPr>
  </w:p>
  <w:p w:rsidR="001200BF" w:rsidRDefault="001200BF">
    <w:pPr>
      <w:pStyle w:val="Footer"/>
    </w:pPr>
  </w:p>
  <w:p w:rsidR="007D3C00" w:rsidRDefault="007D3C00">
    <w:pPr>
      <w:pStyle w:val="Footer"/>
    </w:pPr>
  </w:p>
  <w:p w:rsidR="007D3C00" w:rsidRDefault="007D3C00">
    <w:pPr>
      <w:pStyle w:val="Footer"/>
    </w:pPr>
  </w:p>
  <w:p w:rsidR="007D3C00" w:rsidRDefault="007D3C00">
    <w:pPr>
      <w:pStyle w:val="Footer"/>
    </w:pPr>
  </w:p>
  <w:p w:rsidR="007D3C00" w:rsidRDefault="007D3C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C00" w:rsidRDefault="007D3C00">
      <w:r>
        <w:separator/>
      </w:r>
    </w:p>
  </w:footnote>
  <w:footnote w:type="continuationSeparator" w:id="0">
    <w:p w:rsidR="007D3C00" w:rsidRDefault="007D3C00">
      <w:r>
        <w:continuationSeparator/>
      </w:r>
    </w:p>
  </w:footnote>
  <w:footnote w:id="1">
    <w:p w:rsidR="007D3C00" w:rsidRPr="00AF17C8" w:rsidRDefault="007D3C00">
      <w:pPr>
        <w:pStyle w:val="FootnoteText"/>
        <w:rPr>
          <w:lang w:val="en-US"/>
        </w:rPr>
      </w:pPr>
      <w:r>
        <w:rPr>
          <w:rStyle w:val="FootnoteReference"/>
        </w:rPr>
        <w:footnoteRef/>
      </w:r>
      <w:r>
        <w:t xml:space="preserve"> </w:t>
      </w:r>
      <w:r>
        <w:rPr>
          <w:i/>
          <w:lang w:val="en-US"/>
        </w:rPr>
        <w:t>Parliament of Queensland Act 2001</w:t>
      </w:r>
      <w:r>
        <w:rPr>
          <w:lang w:val="en-US"/>
        </w:rPr>
        <w:t>, section 88.</w:t>
      </w:r>
    </w:p>
  </w:footnote>
  <w:footnote w:id="2">
    <w:p w:rsidR="007D3C00" w:rsidRPr="00352FBD" w:rsidRDefault="007D3C00" w:rsidP="002875BA">
      <w:pPr>
        <w:pStyle w:val="FootnoteText"/>
        <w:rPr>
          <w:lang w:val="en-US"/>
        </w:rPr>
      </w:pPr>
      <w:r>
        <w:rPr>
          <w:rStyle w:val="FootnoteReference"/>
        </w:rPr>
        <w:footnoteRef/>
      </w:r>
      <w:r>
        <w:t xml:space="preserve"> </w:t>
      </w:r>
      <w:r>
        <w:rPr>
          <w:i/>
          <w:lang w:val="en-US"/>
        </w:rPr>
        <w:t>Legislative Standards Act 1992</w:t>
      </w:r>
      <w:r>
        <w:rPr>
          <w:lang w:val="en-US"/>
        </w:rPr>
        <w:t>, section 7.</w:t>
      </w:r>
    </w:p>
  </w:footnote>
  <w:footnote w:id="3">
    <w:p w:rsidR="007D3C00" w:rsidRPr="00352FBD" w:rsidRDefault="007D3C00" w:rsidP="002875BA">
      <w:pPr>
        <w:pStyle w:val="FootnoteText"/>
        <w:rPr>
          <w:lang w:val="en-US"/>
        </w:rPr>
      </w:pPr>
      <w:r>
        <w:rPr>
          <w:rStyle w:val="FootnoteReference"/>
        </w:rPr>
        <w:footnoteRef/>
      </w:r>
      <w:r>
        <w:t xml:space="preserve"> </w:t>
      </w:r>
      <w:r>
        <w:rPr>
          <w:i/>
          <w:lang w:val="en-US"/>
        </w:rPr>
        <w:t>Legislative Standards Act 1992</w:t>
      </w:r>
      <w:r>
        <w:rPr>
          <w:lang w:val="en-US"/>
        </w:rPr>
        <w:t>, section 7.</w:t>
      </w:r>
    </w:p>
  </w:footnote>
  <w:footnote w:id="4">
    <w:p w:rsidR="007D3C00" w:rsidRPr="00352FBD" w:rsidRDefault="007D3C00" w:rsidP="002875BA">
      <w:pPr>
        <w:pStyle w:val="FootnoteText"/>
        <w:rPr>
          <w:lang w:val="en-US"/>
        </w:rPr>
      </w:pPr>
      <w:r>
        <w:rPr>
          <w:rStyle w:val="FootnoteReference"/>
        </w:rPr>
        <w:footnoteRef/>
      </w:r>
      <w:r>
        <w:t xml:space="preserve"> </w:t>
      </w:r>
      <w:r>
        <w:rPr>
          <w:i/>
          <w:lang w:val="en-US"/>
        </w:rPr>
        <w:t>Legislative Standards Act 1992</w:t>
      </w:r>
      <w:r>
        <w:rPr>
          <w:lang w:val="en-US"/>
        </w:rPr>
        <w:t>, section 22.</w:t>
      </w:r>
    </w:p>
  </w:footnote>
  <w:footnote w:id="5">
    <w:p w:rsidR="007D3C00" w:rsidRPr="0089155F" w:rsidRDefault="007D3C00" w:rsidP="002875BA">
      <w:pPr>
        <w:pStyle w:val="FootnoteText"/>
        <w:rPr>
          <w:lang w:val="en-US"/>
        </w:rPr>
      </w:pPr>
      <w:r>
        <w:rPr>
          <w:rStyle w:val="FootnoteReference"/>
        </w:rPr>
        <w:footnoteRef/>
      </w:r>
      <w:r>
        <w:t xml:space="preserve"> </w:t>
      </w:r>
      <w:r>
        <w:rPr>
          <w:i/>
          <w:lang w:val="en-US"/>
        </w:rPr>
        <w:t>Legislative Standards Act 1992</w:t>
      </w:r>
      <w:r>
        <w:rPr>
          <w:lang w:val="en-US"/>
        </w:rPr>
        <w:t>, section 23(f).</w:t>
      </w:r>
    </w:p>
  </w:footnote>
  <w:footnote w:id="6">
    <w:p w:rsidR="007D3C00" w:rsidRPr="0089155F" w:rsidRDefault="007D3C00" w:rsidP="002875BA">
      <w:pPr>
        <w:pStyle w:val="FootnoteText"/>
        <w:rPr>
          <w:lang w:val="en-US"/>
        </w:rPr>
      </w:pPr>
      <w:r>
        <w:rPr>
          <w:rStyle w:val="FootnoteReference"/>
        </w:rPr>
        <w:footnoteRef/>
      </w:r>
      <w:r>
        <w:t xml:space="preserve"> </w:t>
      </w:r>
      <w:r>
        <w:rPr>
          <w:lang w:val="en-US"/>
        </w:rPr>
        <w:t xml:space="preserve">Standing Rules and Orders of the Legislative Assembly, Chapter 23, section 131 (Standing rules and orders for the conduct of proceedings in the Assembly are made under section 11 of the </w:t>
      </w:r>
      <w:r w:rsidRPr="00A30FC1">
        <w:rPr>
          <w:i/>
          <w:lang w:val="en-US"/>
        </w:rPr>
        <w:t>Parliament of Queensland Act 2001</w:t>
      </w:r>
      <w:r>
        <w:rPr>
          <w:lang w:val="en-US"/>
        </w:rPr>
        <w:t>).</w:t>
      </w:r>
    </w:p>
  </w:footnote>
  <w:footnote w:id="7">
    <w:p w:rsidR="007D3C00" w:rsidRPr="00535D38" w:rsidRDefault="007D3C00" w:rsidP="002875BA">
      <w:pPr>
        <w:pStyle w:val="FootnoteText"/>
        <w:rPr>
          <w:lang w:val="en-US"/>
        </w:rPr>
      </w:pPr>
      <w:r>
        <w:rPr>
          <w:rStyle w:val="FootnoteReference"/>
        </w:rPr>
        <w:footnoteRef/>
      </w:r>
      <w:r>
        <w:t xml:space="preserve"> </w:t>
      </w:r>
      <w:r>
        <w:rPr>
          <w:i/>
          <w:lang w:val="en-US"/>
        </w:rPr>
        <w:t>Parliament of Queensland Act 2001</w:t>
      </w:r>
      <w:r>
        <w:rPr>
          <w:lang w:val="en-US"/>
        </w:rPr>
        <w:t>, section 93.</w:t>
      </w:r>
    </w:p>
  </w:footnote>
  <w:footnote w:id="8">
    <w:p w:rsidR="007D3C00" w:rsidRPr="005B3115" w:rsidRDefault="007D3C00" w:rsidP="002875BA">
      <w:pPr>
        <w:pStyle w:val="FootnoteText"/>
        <w:rPr>
          <w:lang w:val="en-US"/>
        </w:rPr>
      </w:pPr>
      <w:r>
        <w:rPr>
          <w:rStyle w:val="FootnoteReference"/>
        </w:rPr>
        <w:footnoteRef/>
      </w:r>
      <w:r>
        <w:t xml:space="preserve"> </w:t>
      </w:r>
      <w:r>
        <w:rPr>
          <w:lang w:val="en-US"/>
        </w:rPr>
        <w:t>Standing Rules and Orders of the Legislative Assembly, Chapter 23, section 132.</w:t>
      </w:r>
    </w:p>
  </w:footnote>
  <w:footnote w:id="9">
    <w:p w:rsidR="007D3C00" w:rsidRPr="005B3115" w:rsidRDefault="007D3C00" w:rsidP="002875BA">
      <w:pPr>
        <w:pStyle w:val="FootnoteText"/>
        <w:rPr>
          <w:lang w:val="en-US"/>
        </w:rPr>
      </w:pPr>
      <w:r>
        <w:rPr>
          <w:rStyle w:val="FootnoteReference"/>
        </w:rPr>
        <w:footnoteRef/>
      </w:r>
      <w:r>
        <w:t xml:space="preserve"> </w:t>
      </w:r>
      <w:r>
        <w:rPr>
          <w:lang w:val="en-US"/>
        </w:rPr>
        <w:t>Standing Rules and Orders of the Legislative Assembly, Chapter 23, section 136.</w:t>
      </w:r>
    </w:p>
  </w:footnote>
  <w:footnote w:id="10">
    <w:p w:rsidR="007D3C00" w:rsidRPr="00AE64D5" w:rsidRDefault="007D3C00">
      <w:pPr>
        <w:pStyle w:val="FootnoteText"/>
        <w:rPr>
          <w:lang w:val="en-US"/>
        </w:rPr>
      </w:pPr>
      <w:r>
        <w:rPr>
          <w:rStyle w:val="FootnoteReference"/>
        </w:rPr>
        <w:footnoteRef/>
      </w:r>
      <w:r>
        <w:t xml:space="preserve"> </w:t>
      </w:r>
      <w:r>
        <w:rPr>
          <w:lang w:val="en-US"/>
        </w:rPr>
        <w:t>Report No. 47, Our Principles: Review of the Meaning of ‘Fundamental Legislative Principles’, June 2011.</w:t>
      </w:r>
    </w:p>
  </w:footnote>
  <w:footnote w:id="11">
    <w:p w:rsidR="007D3C00" w:rsidRPr="00B04698" w:rsidRDefault="007D3C00">
      <w:pPr>
        <w:pStyle w:val="FootnoteText"/>
        <w:rPr>
          <w:lang w:val="en-US"/>
        </w:rPr>
      </w:pPr>
      <w:r>
        <w:rPr>
          <w:rStyle w:val="FootnoteReference"/>
        </w:rPr>
        <w:footnoteRef/>
      </w:r>
      <w:r>
        <w:t xml:space="preserve"> </w:t>
      </w:r>
      <w:r>
        <w:rPr>
          <w:lang w:val="en-US"/>
        </w:rPr>
        <w:t>Submission of the Industry, Education, Training and Industrial Relations Committee to the Finance and Administration Committee, 16 February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C00" w:rsidRDefault="007D3C00" w:rsidP="008E7765">
    <w:pPr>
      <w:pStyle w:val="Header"/>
      <w:pBdr>
        <w:bottom w:val="single" w:sz="4" w:space="1" w:color="auto"/>
      </w:pBdr>
      <w:spacing w:after="0"/>
      <w:rPr>
        <w:noProof/>
        <w:sz w:val="20"/>
      </w:rPr>
    </w:pPr>
    <w:r>
      <w:rPr>
        <w:sz w:val="20"/>
      </w:rPr>
      <w:t>Parliamentary committee system review</w:t>
    </w:r>
    <w:r>
      <w:rPr>
        <w:sz w:val="20"/>
      </w:rPr>
      <w:tab/>
      <w:t xml:space="preserve">   </w:t>
    </w:r>
    <w:r>
      <w:rPr>
        <w:sz w:val="20"/>
      </w:rPr>
      <w:tab/>
      <w:t>Page</w:t>
    </w:r>
    <w:r w:rsidRPr="003460DA">
      <w:rPr>
        <w:sz w:val="20"/>
      </w:rPr>
      <w:t xml:space="preserve"> </w:t>
    </w:r>
    <w:r w:rsidRPr="003460DA">
      <w:rPr>
        <w:sz w:val="20"/>
      </w:rPr>
      <w:fldChar w:fldCharType="begin"/>
    </w:r>
    <w:r w:rsidRPr="003460DA">
      <w:rPr>
        <w:sz w:val="20"/>
      </w:rPr>
      <w:instrText xml:space="preserve"> PAGE   \* MERGEFORMAT </w:instrText>
    </w:r>
    <w:r w:rsidRPr="003460DA">
      <w:rPr>
        <w:sz w:val="20"/>
      </w:rPr>
      <w:fldChar w:fldCharType="separate"/>
    </w:r>
    <w:r w:rsidR="000A2F8F">
      <w:rPr>
        <w:noProof/>
        <w:sz w:val="20"/>
      </w:rPr>
      <w:t>4</w:t>
    </w:r>
    <w:r w:rsidRPr="003460DA">
      <w:rPr>
        <w:noProof/>
        <w:sz w:val="20"/>
      </w:rPr>
      <w:fldChar w:fldCharType="end"/>
    </w:r>
  </w:p>
  <w:p w:rsidR="007D3C00" w:rsidRDefault="007D3C00" w:rsidP="008E7765">
    <w:pPr>
      <w:pStyle w:val="Header"/>
      <w:spacing w:before="0" w:after="0"/>
      <w:rPr>
        <w:noProof/>
        <w:sz w:val="20"/>
      </w:rPr>
    </w:pPr>
  </w:p>
  <w:p w:rsidR="007D3C00" w:rsidRDefault="007D3C00" w:rsidP="008E7765">
    <w:pPr>
      <w:pStyle w:val="Header"/>
      <w:spacing w:before="0" w:after="0"/>
      <w:rPr>
        <w:noProo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A6AC3"/>
    <w:multiLevelType w:val="hybridMultilevel"/>
    <w:tmpl w:val="1A7A04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4F52494"/>
    <w:multiLevelType w:val="hybridMultilevel"/>
    <w:tmpl w:val="104ECC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9952813"/>
    <w:multiLevelType w:val="hybridMultilevel"/>
    <w:tmpl w:val="5712E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C873055"/>
    <w:multiLevelType w:val="hybridMultilevel"/>
    <w:tmpl w:val="34F863E0"/>
    <w:lvl w:ilvl="0" w:tplc="ACD878EA">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E337936"/>
    <w:multiLevelType w:val="hybridMultilevel"/>
    <w:tmpl w:val="C23896A8"/>
    <w:lvl w:ilvl="0" w:tplc="0C090005">
      <w:start w:val="1"/>
      <w:numFmt w:val="bullet"/>
      <w:lvlText w:val=""/>
      <w:lvlJc w:val="left"/>
      <w:pPr>
        <w:ind w:left="1434" w:hanging="360"/>
      </w:pPr>
      <w:rPr>
        <w:rFonts w:ascii="Wingdings" w:hAnsi="Wingdings"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5">
    <w:nsid w:val="61914017"/>
    <w:multiLevelType w:val="hybridMultilevel"/>
    <w:tmpl w:val="00784BF6"/>
    <w:lvl w:ilvl="0" w:tplc="4CE0AE9A">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DCA1C53"/>
    <w:multiLevelType w:val="hybridMultilevel"/>
    <w:tmpl w:val="AB9AB75E"/>
    <w:lvl w:ilvl="0" w:tplc="AB3CC714">
      <w:numFmt w:val="bullet"/>
      <w:lvlText w:val="·"/>
      <w:lvlJc w:val="left"/>
      <w:pPr>
        <w:ind w:left="1035" w:hanging="675"/>
      </w:pPr>
      <w:rPr>
        <w:rFonts w:ascii="Arial" w:hAnsi="Arial" w:cs="Times New Roman" w:hint="default"/>
        <w:sz w:val="2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nsid w:val="7727690A"/>
    <w:multiLevelType w:val="hybridMultilevel"/>
    <w:tmpl w:val="F0268D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6"/>
  </w:num>
  <w:num w:numId="3">
    <w:abstractNumId w:val="7"/>
  </w:num>
  <w:num w:numId="4">
    <w:abstractNumId w:val="1"/>
  </w:num>
  <w:num w:numId="5">
    <w:abstractNumId w:val="2"/>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B17"/>
    <w:rsid w:val="0000019B"/>
    <w:rsid w:val="00000A42"/>
    <w:rsid w:val="000014FF"/>
    <w:rsid w:val="00001726"/>
    <w:rsid w:val="00001E36"/>
    <w:rsid w:val="00005879"/>
    <w:rsid w:val="00011289"/>
    <w:rsid w:val="0001660A"/>
    <w:rsid w:val="00017B8B"/>
    <w:rsid w:val="00021B77"/>
    <w:rsid w:val="00021CB3"/>
    <w:rsid w:val="00022CFE"/>
    <w:rsid w:val="0002407A"/>
    <w:rsid w:val="000255AA"/>
    <w:rsid w:val="00026C2A"/>
    <w:rsid w:val="00031F5D"/>
    <w:rsid w:val="00034426"/>
    <w:rsid w:val="00035813"/>
    <w:rsid w:val="000372A6"/>
    <w:rsid w:val="0003738B"/>
    <w:rsid w:val="000436B1"/>
    <w:rsid w:val="00043ACE"/>
    <w:rsid w:val="000444CA"/>
    <w:rsid w:val="00044AB9"/>
    <w:rsid w:val="00044DC8"/>
    <w:rsid w:val="00046A96"/>
    <w:rsid w:val="00046BA5"/>
    <w:rsid w:val="00047CF5"/>
    <w:rsid w:val="0005257E"/>
    <w:rsid w:val="00055999"/>
    <w:rsid w:val="00056179"/>
    <w:rsid w:val="00056E9B"/>
    <w:rsid w:val="00060BA8"/>
    <w:rsid w:val="0006292C"/>
    <w:rsid w:val="000758B1"/>
    <w:rsid w:val="00075E15"/>
    <w:rsid w:val="0008355C"/>
    <w:rsid w:val="00084A79"/>
    <w:rsid w:val="00084C56"/>
    <w:rsid w:val="00085838"/>
    <w:rsid w:val="00091F40"/>
    <w:rsid w:val="000923B4"/>
    <w:rsid w:val="0009438A"/>
    <w:rsid w:val="00094907"/>
    <w:rsid w:val="000955CA"/>
    <w:rsid w:val="0009714B"/>
    <w:rsid w:val="000A0941"/>
    <w:rsid w:val="000A1844"/>
    <w:rsid w:val="000A2F8F"/>
    <w:rsid w:val="000A60AF"/>
    <w:rsid w:val="000A68BE"/>
    <w:rsid w:val="000A6A45"/>
    <w:rsid w:val="000B5115"/>
    <w:rsid w:val="000B5B10"/>
    <w:rsid w:val="000B7DE2"/>
    <w:rsid w:val="000C0356"/>
    <w:rsid w:val="000C365D"/>
    <w:rsid w:val="000C3B16"/>
    <w:rsid w:val="000C3C85"/>
    <w:rsid w:val="000C443A"/>
    <w:rsid w:val="000C68B7"/>
    <w:rsid w:val="000C6BA9"/>
    <w:rsid w:val="000D1452"/>
    <w:rsid w:val="000D2137"/>
    <w:rsid w:val="000D2957"/>
    <w:rsid w:val="000D624C"/>
    <w:rsid w:val="000D6F19"/>
    <w:rsid w:val="000E0027"/>
    <w:rsid w:val="000E2E5F"/>
    <w:rsid w:val="000E4806"/>
    <w:rsid w:val="000E6B4E"/>
    <w:rsid w:val="000E7485"/>
    <w:rsid w:val="000F1F01"/>
    <w:rsid w:val="000F6F0B"/>
    <w:rsid w:val="00100BA2"/>
    <w:rsid w:val="001015B8"/>
    <w:rsid w:val="00101886"/>
    <w:rsid w:val="0010204E"/>
    <w:rsid w:val="00104C79"/>
    <w:rsid w:val="00111034"/>
    <w:rsid w:val="00111043"/>
    <w:rsid w:val="001117C3"/>
    <w:rsid w:val="0011397B"/>
    <w:rsid w:val="00116845"/>
    <w:rsid w:val="001200BF"/>
    <w:rsid w:val="001217F7"/>
    <w:rsid w:val="0012187A"/>
    <w:rsid w:val="0012585A"/>
    <w:rsid w:val="00125C2C"/>
    <w:rsid w:val="001304AB"/>
    <w:rsid w:val="001315F3"/>
    <w:rsid w:val="00132D68"/>
    <w:rsid w:val="0013570E"/>
    <w:rsid w:val="00135AAF"/>
    <w:rsid w:val="00141B78"/>
    <w:rsid w:val="0016012F"/>
    <w:rsid w:val="0016451E"/>
    <w:rsid w:val="001669A4"/>
    <w:rsid w:val="00170BB7"/>
    <w:rsid w:val="00172E42"/>
    <w:rsid w:val="0017515A"/>
    <w:rsid w:val="00175856"/>
    <w:rsid w:val="00175DA5"/>
    <w:rsid w:val="0017757F"/>
    <w:rsid w:val="00177F8B"/>
    <w:rsid w:val="001821B8"/>
    <w:rsid w:val="001823D5"/>
    <w:rsid w:val="00182A29"/>
    <w:rsid w:val="001900BF"/>
    <w:rsid w:val="00190317"/>
    <w:rsid w:val="0019074F"/>
    <w:rsid w:val="00191C62"/>
    <w:rsid w:val="0019445D"/>
    <w:rsid w:val="00194D21"/>
    <w:rsid w:val="0019563D"/>
    <w:rsid w:val="001A205A"/>
    <w:rsid w:val="001A3068"/>
    <w:rsid w:val="001A3F82"/>
    <w:rsid w:val="001A63C1"/>
    <w:rsid w:val="001B1EEE"/>
    <w:rsid w:val="001B31AD"/>
    <w:rsid w:val="001B324D"/>
    <w:rsid w:val="001B4B3B"/>
    <w:rsid w:val="001B56A5"/>
    <w:rsid w:val="001B6D46"/>
    <w:rsid w:val="001C332D"/>
    <w:rsid w:val="001C6B68"/>
    <w:rsid w:val="001C706E"/>
    <w:rsid w:val="001D7746"/>
    <w:rsid w:val="001E003E"/>
    <w:rsid w:val="001E17DF"/>
    <w:rsid w:val="001E1E03"/>
    <w:rsid w:val="001E2879"/>
    <w:rsid w:val="001E44F2"/>
    <w:rsid w:val="001E5E0A"/>
    <w:rsid w:val="001F06A8"/>
    <w:rsid w:val="001F1C58"/>
    <w:rsid w:val="001F1C62"/>
    <w:rsid w:val="001F42F9"/>
    <w:rsid w:val="001F5E47"/>
    <w:rsid w:val="00200D0A"/>
    <w:rsid w:val="00205EEE"/>
    <w:rsid w:val="0020694B"/>
    <w:rsid w:val="00207713"/>
    <w:rsid w:val="00211D76"/>
    <w:rsid w:val="0021205E"/>
    <w:rsid w:val="002127BA"/>
    <w:rsid w:val="0021319B"/>
    <w:rsid w:val="00214FDD"/>
    <w:rsid w:val="00222A34"/>
    <w:rsid w:val="002247EE"/>
    <w:rsid w:val="00230261"/>
    <w:rsid w:val="00230B5E"/>
    <w:rsid w:val="002347FF"/>
    <w:rsid w:val="00241501"/>
    <w:rsid w:val="00241D9D"/>
    <w:rsid w:val="00245EC7"/>
    <w:rsid w:val="0024640A"/>
    <w:rsid w:val="002479CC"/>
    <w:rsid w:val="00251F96"/>
    <w:rsid w:val="00255599"/>
    <w:rsid w:val="0025622A"/>
    <w:rsid w:val="002577DF"/>
    <w:rsid w:val="00265C89"/>
    <w:rsid w:val="002731DA"/>
    <w:rsid w:val="00274D6A"/>
    <w:rsid w:val="00275887"/>
    <w:rsid w:val="002802D0"/>
    <w:rsid w:val="00281A52"/>
    <w:rsid w:val="00281A81"/>
    <w:rsid w:val="002825BA"/>
    <w:rsid w:val="00283B19"/>
    <w:rsid w:val="00284090"/>
    <w:rsid w:val="00285495"/>
    <w:rsid w:val="002875BA"/>
    <w:rsid w:val="002920A1"/>
    <w:rsid w:val="002921A2"/>
    <w:rsid w:val="0029596F"/>
    <w:rsid w:val="00296A16"/>
    <w:rsid w:val="002A0320"/>
    <w:rsid w:val="002A0529"/>
    <w:rsid w:val="002A155C"/>
    <w:rsid w:val="002A163F"/>
    <w:rsid w:val="002A2C36"/>
    <w:rsid w:val="002A2D51"/>
    <w:rsid w:val="002A4505"/>
    <w:rsid w:val="002A54A2"/>
    <w:rsid w:val="002B1E03"/>
    <w:rsid w:val="002B2DF7"/>
    <w:rsid w:val="002C5BCB"/>
    <w:rsid w:val="002C650F"/>
    <w:rsid w:val="002D0858"/>
    <w:rsid w:val="002D2336"/>
    <w:rsid w:val="002D3074"/>
    <w:rsid w:val="002D53D7"/>
    <w:rsid w:val="002D5412"/>
    <w:rsid w:val="002D597B"/>
    <w:rsid w:val="002D5AF6"/>
    <w:rsid w:val="002D5CF8"/>
    <w:rsid w:val="002E0D75"/>
    <w:rsid w:val="002E22B0"/>
    <w:rsid w:val="002E2EED"/>
    <w:rsid w:val="002E6627"/>
    <w:rsid w:val="002E6F02"/>
    <w:rsid w:val="002E7F41"/>
    <w:rsid w:val="002F0800"/>
    <w:rsid w:val="002F25A2"/>
    <w:rsid w:val="002F6EAA"/>
    <w:rsid w:val="002F71A9"/>
    <w:rsid w:val="00302CA9"/>
    <w:rsid w:val="00303766"/>
    <w:rsid w:val="00304382"/>
    <w:rsid w:val="003063BE"/>
    <w:rsid w:val="0030666B"/>
    <w:rsid w:val="00306C25"/>
    <w:rsid w:val="00311D92"/>
    <w:rsid w:val="00312C08"/>
    <w:rsid w:val="00314979"/>
    <w:rsid w:val="00314A9B"/>
    <w:rsid w:val="0031530D"/>
    <w:rsid w:val="003156AF"/>
    <w:rsid w:val="00322B33"/>
    <w:rsid w:val="00323FEF"/>
    <w:rsid w:val="0032443C"/>
    <w:rsid w:val="00326AE0"/>
    <w:rsid w:val="00326E92"/>
    <w:rsid w:val="00327D5B"/>
    <w:rsid w:val="003300A9"/>
    <w:rsid w:val="00334A83"/>
    <w:rsid w:val="003357B6"/>
    <w:rsid w:val="0033686A"/>
    <w:rsid w:val="003428A2"/>
    <w:rsid w:val="003436E6"/>
    <w:rsid w:val="00344975"/>
    <w:rsid w:val="00345260"/>
    <w:rsid w:val="003460DA"/>
    <w:rsid w:val="003517D4"/>
    <w:rsid w:val="0035231A"/>
    <w:rsid w:val="00352FBD"/>
    <w:rsid w:val="00355D33"/>
    <w:rsid w:val="00356DE8"/>
    <w:rsid w:val="00362104"/>
    <w:rsid w:val="00363FD9"/>
    <w:rsid w:val="00370868"/>
    <w:rsid w:val="00370D69"/>
    <w:rsid w:val="00374EDB"/>
    <w:rsid w:val="00375DD6"/>
    <w:rsid w:val="00377558"/>
    <w:rsid w:val="003778C0"/>
    <w:rsid w:val="00380D78"/>
    <w:rsid w:val="003832FE"/>
    <w:rsid w:val="0038337A"/>
    <w:rsid w:val="00384877"/>
    <w:rsid w:val="003849AD"/>
    <w:rsid w:val="00384A8A"/>
    <w:rsid w:val="00391566"/>
    <w:rsid w:val="00394C2A"/>
    <w:rsid w:val="00395CBD"/>
    <w:rsid w:val="0039686A"/>
    <w:rsid w:val="00397F9A"/>
    <w:rsid w:val="003A274F"/>
    <w:rsid w:val="003A6A47"/>
    <w:rsid w:val="003A6B67"/>
    <w:rsid w:val="003B18D1"/>
    <w:rsid w:val="003B588A"/>
    <w:rsid w:val="003B5ACE"/>
    <w:rsid w:val="003B7781"/>
    <w:rsid w:val="003B7D31"/>
    <w:rsid w:val="003C127C"/>
    <w:rsid w:val="003C2555"/>
    <w:rsid w:val="003C3534"/>
    <w:rsid w:val="003C4FB0"/>
    <w:rsid w:val="003C55C5"/>
    <w:rsid w:val="003D18B4"/>
    <w:rsid w:val="003D2464"/>
    <w:rsid w:val="003D3458"/>
    <w:rsid w:val="003D375A"/>
    <w:rsid w:val="003E1D97"/>
    <w:rsid w:val="003E6496"/>
    <w:rsid w:val="003E7D4E"/>
    <w:rsid w:val="003F2612"/>
    <w:rsid w:val="003F3CB6"/>
    <w:rsid w:val="003F438D"/>
    <w:rsid w:val="003F5214"/>
    <w:rsid w:val="003F6520"/>
    <w:rsid w:val="003F7D62"/>
    <w:rsid w:val="003F7FFD"/>
    <w:rsid w:val="00401BEC"/>
    <w:rsid w:val="004050F6"/>
    <w:rsid w:val="00405741"/>
    <w:rsid w:val="00405B77"/>
    <w:rsid w:val="00411C6A"/>
    <w:rsid w:val="00413AF7"/>
    <w:rsid w:val="00414833"/>
    <w:rsid w:val="00415F6C"/>
    <w:rsid w:val="0041623D"/>
    <w:rsid w:val="004218E8"/>
    <w:rsid w:val="00424B4C"/>
    <w:rsid w:val="00426410"/>
    <w:rsid w:val="00427DB6"/>
    <w:rsid w:val="00427EDC"/>
    <w:rsid w:val="00430E59"/>
    <w:rsid w:val="00433286"/>
    <w:rsid w:val="0043343A"/>
    <w:rsid w:val="0043381D"/>
    <w:rsid w:val="00447465"/>
    <w:rsid w:val="004478DA"/>
    <w:rsid w:val="00450F22"/>
    <w:rsid w:val="004517BD"/>
    <w:rsid w:val="004538FA"/>
    <w:rsid w:val="00454155"/>
    <w:rsid w:val="0045558E"/>
    <w:rsid w:val="00457C1B"/>
    <w:rsid w:val="00457EA3"/>
    <w:rsid w:val="00460C14"/>
    <w:rsid w:val="00461A05"/>
    <w:rsid w:val="00461DA0"/>
    <w:rsid w:val="00462144"/>
    <w:rsid w:val="00462C5D"/>
    <w:rsid w:val="00466C9F"/>
    <w:rsid w:val="004670F9"/>
    <w:rsid w:val="00470E3A"/>
    <w:rsid w:val="00475D96"/>
    <w:rsid w:val="00475DCB"/>
    <w:rsid w:val="004813C4"/>
    <w:rsid w:val="004833E0"/>
    <w:rsid w:val="0048451E"/>
    <w:rsid w:val="004962BA"/>
    <w:rsid w:val="00496A11"/>
    <w:rsid w:val="0049735F"/>
    <w:rsid w:val="00497B74"/>
    <w:rsid w:val="004A7318"/>
    <w:rsid w:val="004B3081"/>
    <w:rsid w:val="004B375E"/>
    <w:rsid w:val="004B60DD"/>
    <w:rsid w:val="004C0AF8"/>
    <w:rsid w:val="004C1E7C"/>
    <w:rsid w:val="004C224D"/>
    <w:rsid w:val="004C2E9B"/>
    <w:rsid w:val="004C378D"/>
    <w:rsid w:val="004C63C4"/>
    <w:rsid w:val="004D1010"/>
    <w:rsid w:val="004D3F5D"/>
    <w:rsid w:val="004D4015"/>
    <w:rsid w:val="004D4F51"/>
    <w:rsid w:val="004D582F"/>
    <w:rsid w:val="004D62F3"/>
    <w:rsid w:val="004D6A3B"/>
    <w:rsid w:val="004D6C60"/>
    <w:rsid w:val="004E2745"/>
    <w:rsid w:val="004E5BBD"/>
    <w:rsid w:val="005005F7"/>
    <w:rsid w:val="005037DD"/>
    <w:rsid w:val="005045AC"/>
    <w:rsid w:val="00506E5F"/>
    <w:rsid w:val="00507039"/>
    <w:rsid w:val="00507E1A"/>
    <w:rsid w:val="00510A73"/>
    <w:rsid w:val="00514CB3"/>
    <w:rsid w:val="00514E63"/>
    <w:rsid w:val="00523B23"/>
    <w:rsid w:val="00524231"/>
    <w:rsid w:val="0052672A"/>
    <w:rsid w:val="00530C75"/>
    <w:rsid w:val="00530FD0"/>
    <w:rsid w:val="00531819"/>
    <w:rsid w:val="00533C0C"/>
    <w:rsid w:val="0053520F"/>
    <w:rsid w:val="00535D38"/>
    <w:rsid w:val="005363C1"/>
    <w:rsid w:val="00537DE7"/>
    <w:rsid w:val="005419E2"/>
    <w:rsid w:val="00550201"/>
    <w:rsid w:val="00554432"/>
    <w:rsid w:val="0055468A"/>
    <w:rsid w:val="00556723"/>
    <w:rsid w:val="00563015"/>
    <w:rsid w:val="00563CC1"/>
    <w:rsid w:val="00565E60"/>
    <w:rsid w:val="00566C61"/>
    <w:rsid w:val="0056726F"/>
    <w:rsid w:val="00571939"/>
    <w:rsid w:val="0058388F"/>
    <w:rsid w:val="00583A8D"/>
    <w:rsid w:val="00587C5B"/>
    <w:rsid w:val="00594391"/>
    <w:rsid w:val="005952D3"/>
    <w:rsid w:val="005975EA"/>
    <w:rsid w:val="005A2191"/>
    <w:rsid w:val="005A2ECB"/>
    <w:rsid w:val="005A55E1"/>
    <w:rsid w:val="005B1923"/>
    <w:rsid w:val="005B2EA3"/>
    <w:rsid w:val="005B3115"/>
    <w:rsid w:val="005B51EA"/>
    <w:rsid w:val="005B7867"/>
    <w:rsid w:val="005C2881"/>
    <w:rsid w:val="005C2F0B"/>
    <w:rsid w:val="005C33A0"/>
    <w:rsid w:val="005C756A"/>
    <w:rsid w:val="005D55C8"/>
    <w:rsid w:val="005D5820"/>
    <w:rsid w:val="005D59EC"/>
    <w:rsid w:val="005D5ED0"/>
    <w:rsid w:val="005D61CF"/>
    <w:rsid w:val="005E35D0"/>
    <w:rsid w:val="005E7080"/>
    <w:rsid w:val="005F07D5"/>
    <w:rsid w:val="005F0976"/>
    <w:rsid w:val="005F0AB1"/>
    <w:rsid w:val="005F58B5"/>
    <w:rsid w:val="005F625D"/>
    <w:rsid w:val="006003DB"/>
    <w:rsid w:val="00602470"/>
    <w:rsid w:val="00602F7F"/>
    <w:rsid w:val="006035EB"/>
    <w:rsid w:val="00610F7C"/>
    <w:rsid w:val="00610FEE"/>
    <w:rsid w:val="0061208F"/>
    <w:rsid w:val="00613A57"/>
    <w:rsid w:val="0062111E"/>
    <w:rsid w:val="00621C0B"/>
    <w:rsid w:val="00622084"/>
    <w:rsid w:val="006276D6"/>
    <w:rsid w:val="00632ADC"/>
    <w:rsid w:val="00640A1B"/>
    <w:rsid w:val="00641D05"/>
    <w:rsid w:val="00646CA7"/>
    <w:rsid w:val="006473E5"/>
    <w:rsid w:val="006504CD"/>
    <w:rsid w:val="0065244D"/>
    <w:rsid w:val="00655100"/>
    <w:rsid w:val="00655E0A"/>
    <w:rsid w:val="006607F2"/>
    <w:rsid w:val="006624F8"/>
    <w:rsid w:val="00665ADC"/>
    <w:rsid w:val="00672160"/>
    <w:rsid w:val="00672CE4"/>
    <w:rsid w:val="006730FA"/>
    <w:rsid w:val="00681647"/>
    <w:rsid w:val="00682B00"/>
    <w:rsid w:val="00683308"/>
    <w:rsid w:val="00686128"/>
    <w:rsid w:val="00686568"/>
    <w:rsid w:val="006866F1"/>
    <w:rsid w:val="006903AE"/>
    <w:rsid w:val="00696898"/>
    <w:rsid w:val="00697DA7"/>
    <w:rsid w:val="006A014F"/>
    <w:rsid w:val="006A0ADA"/>
    <w:rsid w:val="006A0FC8"/>
    <w:rsid w:val="006A3CF1"/>
    <w:rsid w:val="006A4B34"/>
    <w:rsid w:val="006A7F1F"/>
    <w:rsid w:val="006B0908"/>
    <w:rsid w:val="006B1069"/>
    <w:rsid w:val="006B545C"/>
    <w:rsid w:val="006C2826"/>
    <w:rsid w:val="006C2A3E"/>
    <w:rsid w:val="006D04FF"/>
    <w:rsid w:val="006D1EA6"/>
    <w:rsid w:val="006D2D7B"/>
    <w:rsid w:val="006D3058"/>
    <w:rsid w:val="006E10E5"/>
    <w:rsid w:val="006E1EF2"/>
    <w:rsid w:val="006E2A1B"/>
    <w:rsid w:val="006E5819"/>
    <w:rsid w:val="006E5A1B"/>
    <w:rsid w:val="006F0A19"/>
    <w:rsid w:val="006F0E69"/>
    <w:rsid w:val="006F1529"/>
    <w:rsid w:val="006F3DC3"/>
    <w:rsid w:val="006F43EA"/>
    <w:rsid w:val="006F56AE"/>
    <w:rsid w:val="006F6DE8"/>
    <w:rsid w:val="007014ED"/>
    <w:rsid w:val="007031FE"/>
    <w:rsid w:val="00704E9B"/>
    <w:rsid w:val="00705520"/>
    <w:rsid w:val="00705E8B"/>
    <w:rsid w:val="007103FE"/>
    <w:rsid w:val="00715619"/>
    <w:rsid w:val="007166CF"/>
    <w:rsid w:val="00722571"/>
    <w:rsid w:val="0072334C"/>
    <w:rsid w:val="00723E2D"/>
    <w:rsid w:val="00723ED0"/>
    <w:rsid w:val="00725AAD"/>
    <w:rsid w:val="00732533"/>
    <w:rsid w:val="00734171"/>
    <w:rsid w:val="0073589C"/>
    <w:rsid w:val="00736AB5"/>
    <w:rsid w:val="00736D19"/>
    <w:rsid w:val="00741659"/>
    <w:rsid w:val="00744657"/>
    <w:rsid w:val="0074491E"/>
    <w:rsid w:val="00746801"/>
    <w:rsid w:val="00753D61"/>
    <w:rsid w:val="00754860"/>
    <w:rsid w:val="007560C9"/>
    <w:rsid w:val="0075701F"/>
    <w:rsid w:val="00763098"/>
    <w:rsid w:val="00763EDD"/>
    <w:rsid w:val="00764390"/>
    <w:rsid w:val="0076454E"/>
    <w:rsid w:val="007749FA"/>
    <w:rsid w:val="00774BE7"/>
    <w:rsid w:val="007751D4"/>
    <w:rsid w:val="007759C2"/>
    <w:rsid w:val="00776A95"/>
    <w:rsid w:val="00776BA2"/>
    <w:rsid w:val="0078175E"/>
    <w:rsid w:val="0078325D"/>
    <w:rsid w:val="0078592F"/>
    <w:rsid w:val="0079213A"/>
    <w:rsid w:val="0079353E"/>
    <w:rsid w:val="007A1745"/>
    <w:rsid w:val="007A6B71"/>
    <w:rsid w:val="007B0163"/>
    <w:rsid w:val="007B0CED"/>
    <w:rsid w:val="007B1018"/>
    <w:rsid w:val="007B5967"/>
    <w:rsid w:val="007B6224"/>
    <w:rsid w:val="007B72FE"/>
    <w:rsid w:val="007C00FC"/>
    <w:rsid w:val="007C08D5"/>
    <w:rsid w:val="007C1F87"/>
    <w:rsid w:val="007C68D0"/>
    <w:rsid w:val="007C6DD9"/>
    <w:rsid w:val="007D20E6"/>
    <w:rsid w:val="007D3C00"/>
    <w:rsid w:val="007D3EB1"/>
    <w:rsid w:val="007D4FB4"/>
    <w:rsid w:val="007D5798"/>
    <w:rsid w:val="007D598F"/>
    <w:rsid w:val="007D5EEF"/>
    <w:rsid w:val="007D6F3E"/>
    <w:rsid w:val="007D763B"/>
    <w:rsid w:val="007E1309"/>
    <w:rsid w:val="007E52D8"/>
    <w:rsid w:val="007F1CBA"/>
    <w:rsid w:val="007F4772"/>
    <w:rsid w:val="007F6445"/>
    <w:rsid w:val="007F6A76"/>
    <w:rsid w:val="008029A8"/>
    <w:rsid w:val="008035AA"/>
    <w:rsid w:val="008041B3"/>
    <w:rsid w:val="00804D54"/>
    <w:rsid w:val="00810F2F"/>
    <w:rsid w:val="008115F0"/>
    <w:rsid w:val="0081170C"/>
    <w:rsid w:val="008126F9"/>
    <w:rsid w:val="0081650A"/>
    <w:rsid w:val="008166F7"/>
    <w:rsid w:val="008169FE"/>
    <w:rsid w:val="00823316"/>
    <w:rsid w:val="008253D2"/>
    <w:rsid w:val="00832FF6"/>
    <w:rsid w:val="00833E2E"/>
    <w:rsid w:val="008352FF"/>
    <w:rsid w:val="008361E5"/>
    <w:rsid w:val="00841170"/>
    <w:rsid w:val="008413ED"/>
    <w:rsid w:val="008414DB"/>
    <w:rsid w:val="00841EC2"/>
    <w:rsid w:val="00842F8D"/>
    <w:rsid w:val="00843177"/>
    <w:rsid w:val="0084599F"/>
    <w:rsid w:val="00847AA5"/>
    <w:rsid w:val="008544A3"/>
    <w:rsid w:val="008549D6"/>
    <w:rsid w:val="00855B35"/>
    <w:rsid w:val="00855EC9"/>
    <w:rsid w:val="00864F60"/>
    <w:rsid w:val="008665DA"/>
    <w:rsid w:val="008701DC"/>
    <w:rsid w:val="00870F05"/>
    <w:rsid w:val="008727AA"/>
    <w:rsid w:val="008729E4"/>
    <w:rsid w:val="00872BFA"/>
    <w:rsid w:val="008753DF"/>
    <w:rsid w:val="00877A99"/>
    <w:rsid w:val="00881343"/>
    <w:rsid w:val="0088428A"/>
    <w:rsid w:val="00890121"/>
    <w:rsid w:val="0089097C"/>
    <w:rsid w:val="00890D99"/>
    <w:rsid w:val="00890ED4"/>
    <w:rsid w:val="0089155F"/>
    <w:rsid w:val="0089342F"/>
    <w:rsid w:val="00893B29"/>
    <w:rsid w:val="0089499C"/>
    <w:rsid w:val="00895515"/>
    <w:rsid w:val="00895B11"/>
    <w:rsid w:val="008977BC"/>
    <w:rsid w:val="008A0EE6"/>
    <w:rsid w:val="008A375B"/>
    <w:rsid w:val="008A61C5"/>
    <w:rsid w:val="008A6C6F"/>
    <w:rsid w:val="008B05DF"/>
    <w:rsid w:val="008B3FB6"/>
    <w:rsid w:val="008B7B86"/>
    <w:rsid w:val="008C1814"/>
    <w:rsid w:val="008C2B9F"/>
    <w:rsid w:val="008C336E"/>
    <w:rsid w:val="008C496D"/>
    <w:rsid w:val="008C5938"/>
    <w:rsid w:val="008C5A48"/>
    <w:rsid w:val="008C5A64"/>
    <w:rsid w:val="008D09AB"/>
    <w:rsid w:val="008D09DB"/>
    <w:rsid w:val="008D27D9"/>
    <w:rsid w:val="008D4625"/>
    <w:rsid w:val="008D6537"/>
    <w:rsid w:val="008D708A"/>
    <w:rsid w:val="008D771E"/>
    <w:rsid w:val="008E094A"/>
    <w:rsid w:val="008E7364"/>
    <w:rsid w:val="008E73B0"/>
    <w:rsid w:val="008E7765"/>
    <w:rsid w:val="008F3788"/>
    <w:rsid w:val="008F4FB9"/>
    <w:rsid w:val="008F500B"/>
    <w:rsid w:val="008F53FF"/>
    <w:rsid w:val="008F6F9C"/>
    <w:rsid w:val="00904059"/>
    <w:rsid w:val="00904564"/>
    <w:rsid w:val="00906E3F"/>
    <w:rsid w:val="00906EAF"/>
    <w:rsid w:val="009106E1"/>
    <w:rsid w:val="009110B0"/>
    <w:rsid w:val="009154A9"/>
    <w:rsid w:val="0092101B"/>
    <w:rsid w:val="0092249C"/>
    <w:rsid w:val="00922ED9"/>
    <w:rsid w:val="009234DB"/>
    <w:rsid w:val="00924C30"/>
    <w:rsid w:val="00926901"/>
    <w:rsid w:val="00927174"/>
    <w:rsid w:val="009278E4"/>
    <w:rsid w:val="0093191F"/>
    <w:rsid w:val="00932239"/>
    <w:rsid w:val="009325F5"/>
    <w:rsid w:val="00935399"/>
    <w:rsid w:val="00941695"/>
    <w:rsid w:val="009502FD"/>
    <w:rsid w:val="009515BF"/>
    <w:rsid w:val="00952726"/>
    <w:rsid w:val="0095789B"/>
    <w:rsid w:val="0096032D"/>
    <w:rsid w:val="00960C95"/>
    <w:rsid w:val="009648DC"/>
    <w:rsid w:val="00967D84"/>
    <w:rsid w:val="009728DB"/>
    <w:rsid w:val="00973B44"/>
    <w:rsid w:val="00974089"/>
    <w:rsid w:val="009748D8"/>
    <w:rsid w:val="009754B7"/>
    <w:rsid w:val="009832F8"/>
    <w:rsid w:val="00983947"/>
    <w:rsid w:val="009875C3"/>
    <w:rsid w:val="009917EF"/>
    <w:rsid w:val="00992FF2"/>
    <w:rsid w:val="00993DC9"/>
    <w:rsid w:val="00995114"/>
    <w:rsid w:val="00997D3E"/>
    <w:rsid w:val="009A139C"/>
    <w:rsid w:val="009A3E44"/>
    <w:rsid w:val="009A6689"/>
    <w:rsid w:val="009B47EF"/>
    <w:rsid w:val="009B6BE5"/>
    <w:rsid w:val="009B774E"/>
    <w:rsid w:val="009C2258"/>
    <w:rsid w:val="009C3FDA"/>
    <w:rsid w:val="009D092B"/>
    <w:rsid w:val="009D6358"/>
    <w:rsid w:val="009D71EC"/>
    <w:rsid w:val="009E0EC8"/>
    <w:rsid w:val="009E2A26"/>
    <w:rsid w:val="009E75CE"/>
    <w:rsid w:val="009E76CD"/>
    <w:rsid w:val="009E79AB"/>
    <w:rsid w:val="009E7B28"/>
    <w:rsid w:val="009E7FAA"/>
    <w:rsid w:val="009F015A"/>
    <w:rsid w:val="009F0D1C"/>
    <w:rsid w:val="009F1555"/>
    <w:rsid w:val="009F739C"/>
    <w:rsid w:val="009F76B9"/>
    <w:rsid w:val="009F7E03"/>
    <w:rsid w:val="00A00363"/>
    <w:rsid w:val="00A01051"/>
    <w:rsid w:val="00A01DBB"/>
    <w:rsid w:val="00A02560"/>
    <w:rsid w:val="00A036B6"/>
    <w:rsid w:val="00A04914"/>
    <w:rsid w:val="00A05C68"/>
    <w:rsid w:val="00A10119"/>
    <w:rsid w:val="00A11B96"/>
    <w:rsid w:val="00A12583"/>
    <w:rsid w:val="00A14C3C"/>
    <w:rsid w:val="00A2103F"/>
    <w:rsid w:val="00A210D4"/>
    <w:rsid w:val="00A21612"/>
    <w:rsid w:val="00A22259"/>
    <w:rsid w:val="00A24B7D"/>
    <w:rsid w:val="00A27031"/>
    <w:rsid w:val="00A30FC1"/>
    <w:rsid w:val="00A35AFA"/>
    <w:rsid w:val="00A3708A"/>
    <w:rsid w:val="00A37616"/>
    <w:rsid w:val="00A37C57"/>
    <w:rsid w:val="00A4017E"/>
    <w:rsid w:val="00A44D89"/>
    <w:rsid w:val="00A47EFF"/>
    <w:rsid w:val="00A506A0"/>
    <w:rsid w:val="00A65577"/>
    <w:rsid w:val="00A65D6C"/>
    <w:rsid w:val="00A66478"/>
    <w:rsid w:val="00A666F1"/>
    <w:rsid w:val="00A667DC"/>
    <w:rsid w:val="00A6775D"/>
    <w:rsid w:val="00A711DB"/>
    <w:rsid w:val="00A774B7"/>
    <w:rsid w:val="00A80CDB"/>
    <w:rsid w:val="00A81DFB"/>
    <w:rsid w:val="00A823B9"/>
    <w:rsid w:val="00A835BB"/>
    <w:rsid w:val="00A9358F"/>
    <w:rsid w:val="00A93D66"/>
    <w:rsid w:val="00A95F6E"/>
    <w:rsid w:val="00A96961"/>
    <w:rsid w:val="00AA06CB"/>
    <w:rsid w:val="00AA227C"/>
    <w:rsid w:val="00AA6C04"/>
    <w:rsid w:val="00AA75EC"/>
    <w:rsid w:val="00AB07E1"/>
    <w:rsid w:val="00AB238C"/>
    <w:rsid w:val="00AB7DAC"/>
    <w:rsid w:val="00AC26B7"/>
    <w:rsid w:val="00AC2F33"/>
    <w:rsid w:val="00AC3547"/>
    <w:rsid w:val="00AC48C3"/>
    <w:rsid w:val="00AC5F29"/>
    <w:rsid w:val="00AC7B17"/>
    <w:rsid w:val="00AD6122"/>
    <w:rsid w:val="00AE07E3"/>
    <w:rsid w:val="00AE27EE"/>
    <w:rsid w:val="00AE3DE1"/>
    <w:rsid w:val="00AE43AE"/>
    <w:rsid w:val="00AE4E44"/>
    <w:rsid w:val="00AE625A"/>
    <w:rsid w:val="00AE64D5"/>
    <w:rsid w:val="00AF09DF"/>
    <w:rsid w:val="00AF17C8"/>
    <w:rsid w:val="00AF1A6F"/>
    <w:rsid w:val="00AF7C87"/>
    <w:rsid w:val="00B0319E"/>
    <w:rsid w:val="00B03901"/>
    <w:rsid w:val="00B04698"/>
    <w:rsid w:val="00B05094"/>
    <w:rsid w:val="00B06375"/>
    <w:rsid w:val="00B07B0C"/>
    <w:rsid w:val="00B07FF5"/>
    <w:rsid w:val="00B1252B"/>
    <w:rsid w:val="00B12DFA"/>
    <w:rsid w:val="00B15DB0"/>
    <w:rsid w:val="00B2024F"/>
    <w:rsid w:val="00B21F4B"/>
    <w:rsid w:val="00B227BA"/>
    <w:rsid w:val="00B231BB"/>
    <w:rsid w:val="00B256D9"/>
    <w:rsid w:val="00B25CE0"/>
    <w:rsid w:val="00B26356"/>
    <w:rsid w:val="00B26B66"/>
    <w:rsid w:val="00B3004D"/>
    <w:rsid w:val="00B30F6B"/>
    <w:rsid w:val="00B32C02"/>
    <w:rsid w:val="00B36373"/>
    <w:rsid w:val="00B3757E"/>
    <w:rsid w:val="00B40BB2"/>
    <w:rsid w:val="00B42770"/>
    <w:rsid w:val="00B44BB4"/>
    <w:rsid w:val="00B4513B"/>
    <w:rsid w:val="00B4757A"/>
    <w:rsid w:val="00B63C48"/>
    <w:rsid w:val="00B660A4"/>
    <w:rsid w:val="00B665E8"/>
    <w:rsid w:val="00B71556"/>
    <w:rsid w:val="00B745B4"/>
    <w:rsid w:val="00B74AD5"/>
    <w:rsid w:val="00B84CDF"/>
    <w:rsid w:val="00B85664"/>
    <w:rsid w:val="00B8762C"/>
    <w:rsid w:val="00B91FBD"/>
    <w:rsid w:val="00B94487"/>
    <w:rsid w:val="00B9459F"/>
    <w:rsid w:val="00B95781"/>
    <w:rsid w:val="00B96F44"/>
    <w:rsid w:val="00B97828"/>
    <w:rsid w:val="00BA1D88"/>
    <w:rsid w:val="00BA2181"/>
    <w:rsid w:val="00BA30ED"/>
    <w:rsid w:val="00BB052A"/>
    <w:rsid w:val="00BB318D"/>
    <w:rsid w:val="00BB3E31"/>
    <w:rsid w:val="00BB46F3"/>
    <w:rsid w:val="00BB520F"/>
    <w:rsid w:val="00BB72EC"/>
    <w:rsid w:val="00BC1499"/>
    <w:rsid w:val="00BC239A"/>
    <w:rsid w:val="00BC533A"/>
    <w:rsid w:val="00BD352A"/>
    <w:rsid w:val="00BD3E21"/>
    <w:rsid w:val="00BD6D6E"/>
    <w:rsid w:val="00BD6DB2"/>
    <w:rsid w:val="00BE26F6"/>
    <w:rsid w:val="00BE4670"/>
    <w:rsid w:val="00BE4D6A"/>
    <w:rsid w:val="00BE7A4D"/>
    <w:rsid w:val="00BF0C6C"/>
    <w:rsid w:val="00BF4ED2"/>
    <w:rsid w:val="00BF75FE"/>
    <w:rsid w:val="00C011ED"/>
    <w:rsid w:val="00C016FB"/>
    <w:rsid w:val="00C0756E"/>
    <w:rsid w:val="00C10E5D"/>
    <w:rsid w:val="00C110C3"/>
    <w:rsid w:val="00C14330"/>
    <w:rsid w:val="00C148B7"/>
    <w:rsid w:val="00C1589F"/>
    <w:rsid w:val="00C160A5"/>
    <w:rsid w:val="00C17580"/>
    <w:rsid w:val="00C17D11"/>
    <w:rsid w:val="00C23109"/>
    <w:rsid w:val="00C254F3"/>
    <w:rsid w:val="00C25FD1"/>
    <w:rsid w:val="00C25FEA"/>
    <w:rsid w:val="00C27443"/>
    <w:rsid w:val="00C30719"/>
    <w:rsid w:val="00C37413"/>
    <w:rsid w:val="00C37B6F"/>
    <w:rsid w:val="00C428CC"/>
    <w:rsid w:val="00C433D6"/>
    <w:rsid w:val="00C43D25"/>
    <w:rsid w:val="00C4405C"/>
    <w:rsid w:val="00C47F32"/>
    <w:rsid w:val="00C523EE"/>
    <w:rsid w:val="00C54D69"/>
    <w:rsid w:val="00C5508F"/>
    <w:rsid w:val="00C6242A"/>
    <w:rsid w:val="00C657EC"/>
    <w:rsid w:val="00C67512"/>
    <w:rsid w:val="00C71120"/>
    <w:rsid w:val="00C77193"/>
    <w:rsid w:val="00C8165E"/>
    <w:rsid w:val="00C81698"/>
    <w:rsid w:val="00C863AE"/>
    <w:rsid w:val="00C94E27"/>
    <w:rsid w:val="00CA1AFB"/>
    <w:rsid w:val="00CA3182"/>
    <w:rsid w:val="00CA51D3"/>
    <w:rsid w:val="00CB065C"/>
    <w:rsid w:val="00CB393C"/>
    <w:rsid w:val="00CB4B60"/>
    <w:rsid w:val="00CB7386"/>
    <w:rsid w:val="00CC049D"/>
    <w:rsid w:val="00CC14E4"/>
    <w:rsid w:val="00CC212F"/>
    <w:rsid w:val="00CC4E57"/>
    <w:rsid w:val="00CC6BCC"/>
    <w:rsid w:val="00CC7B71"/>
    <w:rsid w:val="00CD26BD"/>
    <w:rsid w:val="00CE2CD4"/>
    <w:rsid w:val="00CE44DE"/>
    <w:rsid w:val="00CF3675"/>
    <w:rsid w:val="00CF4732"/>
    <w:rsid w:val="00CF53FF"/>
    <w:rsid w:val="00CF5802"/>
    <w:rsid w:val="00CF742E"/>
    <w:rsid w:val="00CF78AF"/>
    <w:rsid w:val="00D00672"/>
    <w:rsid w:val="00D00C16"/>
    <w:rsid w:val="00D03083"/>
    <w:rsid w:val="00D04D0F"/>
    <w:rsid w:val="00D05FFF"/>
    <w:rsid w:val="00D138EE"/>
    <w:rsid w:val="00D15180"/>
    <w:rsid w:val="00D15B00"/>
    <w:rsid w:val="00D20A10"/>
    <w:rsid w:val="00D222AB"/>
    <w:rsid w:val="00D229FD"/>
    <w:rsid w:val="00D232A0"/>
    <w:rsid w:val="00D2637B"/>
    <w:rsid w:val="00D27BA4"/>
    <w:rsid w:val="00D27F8A"/>
    <w:rsid w:val="00D313D1"/>
    <w:rsid w:val="00D35574"/>
    <w:rsid w:val="00D36516"/>
    <w:rsid w:val="00D52766"/>
    <w:rsid w:val="00D528E2"/>
    <w:rsid w:val="00D531A5"/>
    <w:rsid w:val="00D61638"/>
    <w:rsid w:val="00D6379C"/>
    <w:rsid w:val="00D639F6"/>
    <w:rsid w:val="00D65E66"/>
    <w:rsid w:val="00D70C85"/>
    <w:rsid w:val="00D72D7B"/>
    <w:rsid w:val="00D737DC"/>
    <w:rsid w:val="00D750A8"/>
    <w:rsid w:val="00D75A50"/>
    <w:rsid w:val="00D75CA9"/>
    <w:rsid w:val="00D76E4C"/>
    <w:rsid w:val="00D77D34"/>
    <w:rsid w:val="00D80196"/>
    <w:rsid w:val="00D806AE"/>
    <w:rsid w:val="00D806CE"/>
    <w:rsid w:val="00D81B3A"/>
    <w:rsid w:val="00D83BCE"/>
    <w:rsid w:val="00D85243"/>
    <w:rsid w:val="00D852F0"/>
    <w:rsid w:val="00D8582C"/>
    <w:rsid w:val="00D85A10"/>
    <w:rsid w:val="00D85CD9"/>
    <w:rsid w:val="00D903AE"/>
    <w:rsid w:val="00D91720"/>
    <w:rsid w:val="00D936C1"/>
    <w:rsid w:val="00D9539C"/>
    <w:rsid w:val="00D95B5F"/>
    <w:rsid w:val="00D96BB4"/>
    <w:rsid w:val="00DA2593"/>
    <w:rsid w:val="00DA35D9"/>
    <w:rsid w:val="00DA3E82"/>
    <w:rsid w:val="00DA697A"/>
    <w:rsid w:val="00DB2CA4"/>
    <w:rsid w:val="00DB5988"/>
    <w:rsid w:val="00DB656C"/>
    <w:rsid w:val="00DB6DEB"/>
    <w:rsid w:val="00DB727E"/>
    <w:rsid w:val="00DB7444"/>
    <w:rsid w:val="00DB76FA"/>
    <w:rsid w:val="00DC18ED"/>
    <w:rsid w:val="00DC1C31"/>
    <w:rsid w:val="00DC2B33"/>
    <w:rsid w:val="00DC433B"/>
    <w:rsid w:val="00DC4E88"/>
    <w:rsid w:val="00DC6C6D"/>
    <w:rsid w:val="00DD191E"/>
    <w:rsid w:val="00DD2FCC"/>
    <w:rsid w:val="00DD3F77"/>
    <w:rsid w:val="00DE1D92"/>
    <w:rsid w:val="00DE528A"/>
    <w:rsid w:val="00DF105C"/>
    <w:rsid w:val="00DF3255"/>
    <w:rsid w:val="00DF4625"/>
    <w:rsid w:val="00DF7C05"/>
    <w:rsid w:val="00E02BA3"/>
    <w:rsid w:val="00E0411A"/>
    <w:rsid w:val="00E04A1F"/>
    <w:rsid w:val="00E05879"/>
    <w:rsid w:val="00E075E2"/>
    <w:rsid w:val="00E110F3"/>
    <w:rsid w:val="00E153C1"/>
    <w:rsid w:val="00E166EC"/>
    <w:rsid w:val="00E21BC1"/>
    <w:rsid w:val="00E239EE"/>
    <w:rsid w:val="00E2415B"/>
    <w:rsid w:val="00E26268"/>
    <w:rsid w:val="00E26E98"/>
    <w:rsid w:val="00E27396"/>
    <w:rsid w:val="00E27A9B"/>
    <w:rsid w:val="00E30567"/>
    <w:rsid w:val="00E31DDC"/>
    <w:rsid w:val="00E32451"/>
    <w:rsid w:val="00E35F97"/>
    <w:rsid w:val="00E36592"/>
    <w:rsid w:val="00E378D7"/>
    <w:rsid w:val="00E412BA"/>
    <w:rsid w:val="00E433D5"/>
    <w:rsid w:val="00E43B10"/>
    <w:rsid w:val="00E47599"/>
    <w:rsid w:val="00E5089F"/>
    <w:rsid w:val="00E50A99"/>
    <w:rsid w:val="00E52DA2"/>
    <w:rsid w:val="00E54072"/>
    <w:rsid w:val="00E55AC0"/>
    <w:rsid w:val="00E55F38"/>
    <w:rsid w:val="00E56CC1"/>
    <w:rsid w:val="00E60CC7"/>
    <w:rsid w:val="00E61F9D"/>
    <w:rsid w:val="00E63D6F"/>
    <w:rsid w:val="00E6404F"/>
    <w:rsid w:val="00E65357"/>
    <w:rsid w:val="00E66DCF"/>
    <w:rsid w:val="00E67160"/>
    <w:rsid w:val="00E71BB2"/>
    <w:rsid w:val="00E7419A"/>
    <w:rsid w:val="00E743BE"/>
    <w:rsid w:val="00E770D2"/>
    <w:rsid w:val="00E80FD6"/>
    <w:rsid w:val="00E83ACC"/>
    <w:rsid w:val="00E84430"/>
    <w:rsid w:val="00E87BF1"/>
    <w:rsid w:val="00E934F4"/>
    <w:rsid w:val="00E938D3"/>
    <w:rsid w:val="00E975CF"/>
    <w:rsid w:val="00EA1F73"/>
    <w:rsid w:val="00EB0939"/>
    <w:rsid w:val="00EB3AE4"/>
    <w:rsid w:val="00EB5052"/>
    <w:rsid w:val="00EB76F2"/>
    <w:rsid w:val="00EB7BEE"/>
    <w:rsid w:val="00EC0CE5"/>
    <w:rsid w:val="00EC27C5"/>
    <w:rsid w:val="00EC6ED6"/>
    <w:rsid w:val="00EC7ADD"/>
    <w:rsid w:val="00ED32AD"/>
    <w:rsid w:val="00EE63A6"/>
    <w:rsid w:val="00EF20EE"/>
    <w:rsid w:val="00EF739F"/>
    <w:rsid w:val="00F00C2D"/>
    <w:rsid w:val="00F01B11"/>
    <w:rsid w:val="00F035A5"/>
    <w:rsid w:val="00F0604F"/>
    <w:rsid w:val="00F13A57"/>
    <w:rsid w:val="00F21C78"/>
    <w:rsid w:val="00F2268C"/>
    <w:rsid w:val="00F24F01"/>
    <w:rsid w:val="00F27340"/>
    <w:rsid w:val="00F27E62"/>
    <w:rsid w:val="00F31156"/>
    <w:rsid w:val="00F322C0"/>
    <w:rsid w:val="00F3417A"/>
    <w:rsid w:val="00F34B20"/>
    <w:rsid w:val="00F40682"/>
    <w:rsid w:val="00F41612"/>
    <w:rsid w:val="00F43AE5"/>
    <w:rsid w:val="00F46CEB"/>
    <w:rsid w:val="00F47732"/>
    <w:rsid w:val="00F54858"/>
    <w:rsid w:val="00F5614A"/>
    <w:rsid w:val="00F56B83"/>
    <w:rsid w:val="00F56D2D"/>
    <w:rsid w:val="00F63AF9"/>
    <w:rsid w:val="00F657BF"/>
    <w:rsid w:val="00F670B5"/>
    <w:rsid w:val="00F70510"/>
    <w:rsid w:val="00F70C0F"/>
    <w:rsid w:val="00F71218"/>
    <w:rsid w:val="00F747A9"/>
    <w:rsid w:val="00F75163"/>
    <w:rsid w:val="00F76878"/>
    <w:rsid w:val="00F772BF"/>
    <w:rsid w:val="00F777A9"/>
    <w:rsid w:val="00F80C67"/>
    <w:rsid w:val="00F86DDE"/>
    <w:rsid w:val="00F906CE"/>
    <w:rsid w:val="00F9109B"/>
    <w:rsid w:val="00F91E70"/>
    <w:rsid w:val="00F94522"/>
    <w:rsid w:val="00FA1FC7"/>
    <w:rsid w:val="00FA5C06"/>
    <w:rsid w:val="00FB388D"/>
    <w:rsid w:val="00FB4B2D"/>
    <w:rsid w:val="00FB4E25"/>
    <w:rsid w:val="00FB53B2"/>
    <w:rsid w:val="00FC2D35"/>
    <w:rsid w:val="00FC3611"/>
    <w:rsid w:val="00FC3720"/>
    <w:rsid w:val="00FC47B6"/>
    <w:rsid w:val="00FC4A0B"/>
    <w:rsid w:val="00FC4D43"/>
    <w:rsid w:val="00FC58E3"/>
    <w:rsid w:val="00FC5C39"/>
    <w:rsid w:val="00FC6F0C"/>
    <w:rsid w:val="00FD014A"/>
    <w:rsid w:val="00FD0380"/>
    <w:rsid w:val="00FD080E"/>
    <w:rsid w:val="00FD2A2C"/>
    <w:rsid w:val="00FD3210"/>
    <w:rsid w:val="00FD388A"/>
    <w:rsid w:val="00FD4F36"/>
    <w:rsid w:val="00FD6250"/>
    <w:rsid w:val="00FD6D38"/>
    <w:rsid w:val="00FE41F3"/>
    <w:rsid w:val="00FE6170"/>
    <w:rsid w:val="00FF20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4FDD"/>
    <w:pPr>
      <w:spacing w:before="120" w:after="120"/>
    </w:pPr>
    <w:rPr>
      <w:rFonts w:ascii="Arial" w:hAnsi="Arial"/>
      <w:color w:val="212120"/>
      <w:kern w:val="28"/>
      <w:sz w:val="22"/>
      <w14:ligatures w14:val="standard"/>
      <w14:cntxtAlts/>
    </w:rPr>
  </w:style>
  <w:style w:type="paragraph" w:styleId="Heading1">
    <w:name w:val="heading 1"/>
    <w:basedOn w:val="Normal"/>
    <w:next w:val="Normal"/>
    <w:link w:val="Heading1Char"/>
    <w:autoRedefine/>
    <w:qFormat/>
    <w:rsid w:val="001F1C62"/>
    <w:pPr>
      <w:keepNext/>
      <w:outlineLvl w:val="0"/>
    </w:pPr>
    <w:rPr>
      <w:b/>
      <w:color w:val="auto"/>
      <w:kern w:val="0"/>
      <w:sz w:val="24"/>
      <w:lang w:val="en-US"/>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3AF7"/>
    <w:pPr>
      <w:tabs>
        <w:tab w:val="center" w:pos="4153"/>
        <w:tab w:val="right" w:pos="8306"/>
      </w:tabs>
    </w:pPr>
  </w:style>
  <w:style w:type="paragraph" w:styleId="Footer">
    <w:name w:val="footer"/>
    <w:basedOn w:val="Normal"/>
    <w:rsid w:val="00413AF7"/>
    <w:pPr>
      <w:tabs>
        <w:tab w:val="center" w:pos="4153"/>
        <w:tab w:val="right" w:pos="8306"/>
      </w:tabs>
    </w:pPr>
  </w:style>
  <w:style w:type="paragraph" w:styleId="BalloonText">
    <w:name w:val="Balloon Text"/>
    <w:basedOn w:val="Normal"/>
    <w:semiHidden/>
    <w:rsid w:val="001A63C1"/>
    <w:rPr>
      <w:rFonts w:ascii="Tahoma" w:hAnsi="Tahoma" w:cs="Tahoma"/>
      <w:sz w:val="16"/>
      <w:szCs w:val="16"/>
    </w:rPr>
  </w:style>
  <w:style w:type="character" w:customStyle="1" w:styleId="Heading1Char">
    <w:name w:val="Heading 1 Char"/>
    <w:basedOn w:val="DefaultParagraphFont"/>
    <w:link w:val="Heading1"/>
    <w:rsid w:val="001F1C62"/>
    <w:rPr>
      <w:rFonts w:ascii="Arial" w:hAnsi="Arial"/>
      <w:b/>
      <w:sz w:val="24"/>
      <w:lang w:val="en-US"/>
    </w:rPr>
  </w:style>
  <w:style w:type="paragraph" w:styleId="FootnoteText">
    <w:name w:val="footnote text"/>
    <w:basedOn w:val="Normal"/>
    <w:link w:val="FootnoteTextChar"/>
    <w:rsid w:val="00B85664"/>
    <w:pPr>
      <w:spacing w:before="0" w:after="0"/>
    </w:pPr>
    <w:rPr>
      <w:sz w:val="20"/>
    </w:rPr>
  </w:style>
  <w:style w:type="character" w:customStyle="1" w:styleId="FootnoteTextChar">
    <w:name w:val="Footnote Text Char"/>
    <w:basedOn w:val="DefaultParagraphFont"/>
    <w:link w:val="FootnoteText"/>
    <w:rsid w:val="00B85664"/>
    <w:rPr>
      <w:rFonts w:ascii="Arial" w:hAnsi="Arial"/>
      <w:color w:val="212120"/>
      <w:kern w:val="28"/>
      <w14:ligatures w14:val="standard"/>
      <w14:cntxtAlts/>
    </w:rPr>
  </w:style>
  <w:style w:type="character" w:styleId="FootnoteReference">
    <w:name w:val="footnote reference"/>
    <w:basedOn w:val="DefaultParagraphFont"/>
    <w:rsid w:val="00B85664"/>
    <w:rPr>
      <w:vertAlign w:val="superscript"/>
    </w:rPr>
  </w:style>
  <w:style w:type="paragraph" w:styleId="ListParagraph">
    <w:name w:val="List Paragraph"/>
    <w:basedOn w:val="Normal"/>
    <w:uiPriority w:val="34"/>
    <w:qFormat/>
    <w:rsid w:val="00A95F6E"/>
    <w:pPr>
      <w:ind w:left="720"/>
      <w:contextualSpacing/>
    </w:pPr>
  </w:style>
  <w:style w:type="table" w:styleId="TableGrid">
    <w:name w:val="Table Grid"/>
    <w:basedOn w:val="TableNormal"/>
    <w:rsid w:val="00563C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1E44F2"/>
    <w:rPr>
      <w:i/>
      <w:iCs/>
    </w:rPr>
  </w:style>
  <w:style w:type="character" w:styleId="Hyperlink">
    <w:name w:val="Hyperlink"/>
    <w:basedOn w:val="DefaultParagraphFont"/>
    <w:rsid w:val="000014F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4FDD"/>
    <w:pPr>
      <w:spacing w:before="120" w:after="120"/>
    </w:pPr>
    <w:rPr>
      <w:rFonts w:ascii="Arial" w:hAnsi="Arial"/>
      <w:color w:val="212120"/>
      <w:kern w:val="28"/>
      <w:sz w:val="22"/>
      <w14:ligatures w14:val="standard"/>
      <w14:cntxtAlts/>
    </w:rPr>
  </w:style>
  <w:style w:type="paragraph" w:styleId="Heading1">
    <w:name w:val="heading 1"/>
    <w:basedOn w:val="Normal"/>
    <w:next w:val="Normal"/>
    <w:link w:val="Heading1Char"/>
    <w:autoRedefine/>
    <w:qFormat/>
    <w:rsid w:val="001F1C62"/>
    <w:pPr>
      <w:keepNext/>
      <w:outlineLvl w:val="0"/>
    </w:pPr>
    <w:rPr>
      <w:b/>
      <w:color w:val="auto"/>
      <w:kern w:val="0"/>
      <w:sz w:val="24"/>
      <w:lang w:val="en-US"/>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3AF7"/>
    <w:pPr>
      <w:tabs>
        <w:tab w:val="center" w:pos="4153"/>
        <w:tab w:val="right" w:pos="8306"/>
      </w:tabs>
    </w:pPr>
  </w:style>
  <w:style w:type="paragraph" w:styleId="Footer">
    <w:name w:val="footer"/>
    <w:basedOn w:val="Normal"/>
    <w:rsid w:val="00413AF7"/>
    <w:pPr>
      <w:tabs>
        <w:tab w:val="center" w:pos="4153"/>
        <w:tab w:val="right" w:pos="8306"/>
      </w:tabs>
    </w:pPr>
  </w:style>
  <w:style w:type="paragraph" w:styleId="BalloonText">
    <w:name w:val="Balloon Text"/>
    <w:basedOn w:val="Normal"/>
    <w:semiHidden/>
    <w:rsid w:val="001A63C1"/>
    <w:rPr>
      <w:rFonts w:ascii="Tahoma" w:hAnsi="Tahoma" w:cs="Tahoma"/>
      <w:sz w:val="16"/>
      <w:szCs w:val="16"/>
    </w:rPr>
  </w:style>
  <w:style w:type="character" w:customStyle="1" w:styleId="Heading1Char">
    <w:name w:val="Heading 1 Char"/>
    <w:basedOn w:val="DefaultParagraphFont"/>
    <w:link w:val="Heading1"/>
    <w:rsid w:val="001F1C62"/>
    <w:rPr>
      <w:rFonts w:ascii="Arial" w:hAnsi="Arial"/>
      <w:b/>
      <w:sz w:val="24"/>
      <w:lang w:val="en-US"/>
    </w:rPr>
  </w:style>
  <w:style w:type="paragraph" w:styleId="FootnoteText">
    <w:name w:val="footnote text"/>
    <w:basedOn w:val="Normal"/>
    <w:link w:val="FootnoteTextChar"/>
    <w:rsid w:val="00B85664"/>
    <w:pPr>
      <w:spacing w:before="0" w:after="0"/>
    </w:pPr>
    <w:rPr>
      <w:sz w:val="20"/>
    </w:rPr>
  </w:style>
  <w:style w:type="character" w:customStyle="1" w:styleId="FootnoteTextChar">
    <w:name w:val="Footnote Text Char"/>
    <w:basedOn w:val="DefaultParagraphFont"/>
    <w:link w:val="FootnoteText"/>
    <w:rsid w:val="00B85664"/>
    <w:rPr>
      <w:rFonts w:ascii="Arial" w:hAnsi="Arial"/>
      <w:color w:val="212120"/>
      <w:kern w:val="28"/>
      <w14:ligatures w14:val="standard"/>
      <w14:cntxtAlts/>
    </w:rPr>
  </w:style>
  <w:style w:type="character" w:styleId="FootnoteReference">
    <w:name w:val="footnote reference"/>
    <w:basedOn w:val="DefaultParagraphFont"/>
    <w:rsid w:val="00B85664"/>
    <w:rPr>
      <w:vertAlign w:val="superscript"/>
    </w:rPr>
  </w:style>
  <w:style w:type="paragraph" w:styleId="ListParagraph">
    <w:name w:val="List Paragraph"/>
    <w:basedOn w:val="Normal"/>
    <w:uiPriority w:val="34"/>
    <w:qFormat/>
    <w:rsid w:val="00A95F6E"/>
    <w:pPr>
      <w:ind w:left="720"/>
      <w:contextualSpacing/>
    </w:pPr>
  </w:style>
  <w:style w:type="table" w:styleId="TableGrid">
    <w:name w:val="Table Grid"/>
    <w:basedOn w:val="TableNormal"/>
    <w:rsid w:val="00563C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1E44F2"/>
    <w:rPr>
      <w:i/>
      <w:iCs/>
    </w:rPr>
  </w:style>
  <w:style w:type="character" w:styleId="Hyperlink">
    <w:name w:val="Hyperlink"/>
    <w:basedOn w:val="DefaultParagraphFont"/>
    <w:rsid w:val="000014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59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E02E1-5154-4698-87D9-209DE6498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EA29EA8A</Template>
  <TotalTime>0</TotalTime>
  <Pages>6</Pages>
  <Words>2037</Words>
  <Characters>11622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Ball</dc:creator>
  <cp:lastModifiedBy>Julie Ball</cp:lastModifiedBy>
  <cp:revision>2</cp:revision>
  <cp:lastPrinted>2016-01-29T00:31:00Z</cp:lastPrinted>
  <dcterms:created xsi:type="dcterms:W3CDTF">2016-02-09T00:55:00Z</dcterms:created>
  <dcterms:modified xsi:type="dcterms:W3CDTF">2016-02-09T00:55:00Z</dcterms:modified>
</cp:coreProperties>
</file>