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HAnsi" w:eastAsiaTheme="majorEastAsia" w:hAnsiTheme="majorHAnsi" w:cstheme="majorBidi"/>
          <w:sz w:val="72"/>
          <w:szCs w:val="80"/>
        </w:rPr>
        <w:id w:val="856778157"/>
        <w:docPartObj>
          <w:docPartGallery w:val="Cover Pages"/>
          <w:docPartUnique/>
        </w:docPartObj>
      </w:sdtPr>
      <w:sdtEndPr>
        <w:rPr>
          <w:rFonts w:asciiTheme="minorHAnsi" w:eastAsiaTheme="minorHAnsi" w:hAnsiTheme="minorHAnsi" w:cstheme="minorBidi"/>
          <w:sz w:val="22"/>
          <w:szCs w:val="22"/>
        </w:rPr>
      </w:sdtEndPr>
      <w:sdtContent>
        <w:tbl>
          <w:tblPr>
            <w:tblW w:w="5000" w:type="pct"/>
            <w:jc w:val="center"/>
            <w:tblLook w:val="04A0" w:firstRow="1" w:lastRow="0" w:firstColumn="1" w:lastColumn="0" w:noHBand="0" w:noVBand="1"/>
          </w:tblPr>
          <w:tblGrid>
            <w:gridCol w:w="9237"/>
          </w:tblGrid>
          <w:tr w:rsidR="003E7498" w:rsidRPr="00D95D9E" w:rsidTr="002F1ADC">
            <w:trPr>
              <w:trHeight w:val="360"/>
              <w:jc w:val="center"/>
            </w:trPr>
            <w:tc>
              <w:tcPr>
                <w:tcW w:w="5000" w:type="pct"/>
                <w:tcBorders>
                  <w:top w:val="thinThickSmallGap" w:sz="24" w:space="0" w:color="1F497D" w:themeColor="text2"/>
                </w:tcBorders>
                <w:vAlign w:val="center"/>
              </w:tcPr>
              <w:p w:rsidR="00D375A5" w:rsidRPr="00D95D9E" w:rsidRDefault="00D375A5" w:rsidP="002F1ADC">
                <w:pPr>
                  <w:pStyle w:val="NoSpacing"/>
                  <w:spacing w:before="720" w:after="240"/>
                  <w:jc w:val="center"/>
                  <w:rPr>
                    <w:b/>
                    <w:bCs/>
                    <w:sz w:val="28"/>
                  </w:rPr>
                </w:pPr>
              </w:p>
            </w:tc>
          </w:tr>
          <w:tr w:rsidR="003E7498" w:rsidRPr="00D95D9E" w:rsidTr="002F1ADC">
            <w:trPr>
              <w:trHeight w:val="360"/>
              <w:jc w:val="center"/>
            </w:trPr>
            <w:tc>
              <w:tcPr>
                <w:tcW w:w="5000" w:type="pct"/>
                <w:vAlign w:val="center"/>
              </w:tcPr>
              <w:p w:rsidR="003E7498" w:rsidRPr="00D95D9E" w:rsidRDefault="003E7498" w:rsidP="002F1ADC">
                <w:pPr>
                  <w:pStyle w:val="NoSpacing"/>
                  <w:spacing w:after="240"/>
                  <w:jc w:val="center"/>
                  <w:rPr>
                    <w:b/>
                    <w:bCs/>
                    <w:sz w:val="28"/>
                  </w:rPr>
                </w:pPr>
              </w:p>
            </w:tc>
          </w:tr>
          <w:tr w:rsidR="004B0C87" w:rsidRPr="00D95D9E" w:rsidTr="002F1ADC">
            <w:trPr>
              <w:trHeight w:val="2506"/>
              <w:jc w:val="center"/>
            </w:trPr>
            <w:sdt>
              <w:sdtPr>
                <w:rPr>
                  <w:rFonts w:asciiTheme="majorHAnsi" w:eastAsiaTheme="majorEastAsia" w:hAnsiTheme="majorHAnsi" w:cstheme="majorBidi"/>
                  <w:color w:val="1F497D" w:themeColor="text2"/>
                  <w:sz w:val="60"/>
                  <w:szCs w:val="60"/>
                </w:rPr>
                <w:alias w:val="Title"/>
                <w:id w:val="15524250"/>
                <w:dataBinding w:prefixMappings="xmlns:ns0='http://schemas.openxmlformats.org/package/2006/metadata/core-properties' xmlns:ns1='http://purl.org/dc/elements/1.1/'" w:xpath="/ns0:coreProperties[1]/ns1:title[1]" w:storeItemID="{6C3C8BC8-F283-45AE-878A-BAB7291924A1}"/>
                <w:text/>
              </w:sdtPr>
              <w:sdtEndPr/>
              <w:sdtContent>
                <w:tc>
                  <w:tcPr>
                    <w:tcW w:w="5000" w:type="pct"/>
                    <w:vAlign w:val="center"/>
                  </w:tcPr>
                  <w:p w:rsidR="004B0C87" w:rsidRPr="00D95D9E" w:rsidRDefault="004B0C87" w:rsidP="002F1ADC">
                    <w:pPr>
                      <w:pStyle w:val="NoSpacing"/>
                      <w:spacing w:after="240"/>
                      <w:jc w:val="center"/>
                      <w:rPr>
                        <w:rFonts w:asciiTheme="majorHAnsi" w:eastAsiaTheme="majorEastAsia" w:hAnsiTheme="majorHAnsi" w:cstheme="majorBidi"/>
                        <w:sz w:val="80"/>
                        <w:szCs w:val="80"/>
                      </w:rPr>
                    </w:pPr>
                    <w:r w:rsidRPr="00D95D9E">
                      <w:rPr>
                        <w:rFonts w:asciiTheme="majorHAnsi" w:eastAsiaTheme="majorEastAsia" w:hAnsiTheme="majorHAnsi" w:cstheme="majorBidi"/>
                        <w:color w:val="1F497D" w:themeColor="text2"/>
                        <w:sz w:val="60"/>
                        <w:szCs w:val="60"/>
                      </w:rPr>
                      <w:t>Human Rights Inquiry</w:t>
                    </w:r>
                  </w:p>
                </w:tc>
              </w:sdtContent>
            </w:sdt>
            <w:bookmarkStart w:id="0" w:name="_GoBack"/>
            <w:bookmarkEnd w:id="0"/>
          </w:tr>
          <w:tr w:rsidR="004B0C87" w:rsidRPr="00D95D9E" w:rsidTr="002F1ADC">
            <w:trPr>
              <w:trHeight w:val="360"/>
              <w:jc w:val="center"/>
            </w:trPr>
            <w:tc>
              <w:tcPr>
                <w:tcW w:w="5000" w:type="pct"/>
                <w:vAlign w:val="center"/>
              </w:tcPr>
              <w:p w:rsidR="004B0C87" w:rsidRPr="00D95D9E" w:rsidRDefault="004B0C87" w:rsidP="002F1ADC">
                <w:pPr>
                  <w:pStyle w:val="NoSpacing"/>
                  <w:spacing w:after="240"/>
                  <w:jc w:val="center"/>
                  <w:rPr>
                    <w:b/>
                    <w:bCs/>
                    <w:sz w:val="28"/>
                  </w:rPr>
                </w:pPr>
              </w:p>
            </w:tc>
          </w:tr>
          <w:tr w:rsidR="003E7498" w:rsidRPr="00D95D9E" w:rsidTr="002F1ADC">
            <w:trPr>
              <w:trHeight w:val="360"/>
              <w:jc w:val="center"/>
            </w:trPr>
            <w:tc>
              <w:tcPr>
                <w:tcW w:w="5000" w:type="pct"/>
                <w:tcBorders>
                  <w:bottom w:val="thickThinSmallGap" w:sz="24" w:space="0" w:color="1F497D" w:themeColor="text2"/>
                </w:tcBorders>
                <w:vAlign w:val="center"/>
              </w:tcPr>
              <w:p w:rsidR="003E7498" w:rsidRPr="00D95D9E" w:rsidRDefault="003E7498" w:rsidP="00632BB9">
                <w:pPr>
                  <w:pStyle w:val="NoSpacing"/>
                  <w:spacing w:after="1080"/>
                  <w:jc w:val="right"/>
                  <w:rPr>
                    <w:b/>
                    <w:bCs/>
                    <w:sz w:val="28"/>
                  </w:rPr>
                </w:pPr>
                <w:r w:rsidRPr="00D95D9E">
                  <w:rPr>
                    <w:b/>
                    <w:bCs/>
                    <w:sz w:val="28"/>
                  </w:rPr>
                  <w:t>Anti-Discrimination Commission Queensland</w:t>
                </w:r>
                <w:r w:rsidR="0026575A" w:rsidRPr="00D95D9E">
                  <w:rPr>
                    <w:b/>
                    <w:bCs/>
                    <w:sz w:val="28"/>
                  </w:rPr>
                  <w:t xml:space="preserve"> Submission to</w:t>
                </w:r>
                <w:r w:rsidR="001D52B3">
                  <w:rPr>
                    <w:b/>
                    <w:bCs/>
                    <w:sz w:val="28"/>
                  </w:rPr>
                  <w:t xml:space="preserve"> </w:t>
                </w:r>
                <w:r w:rsidR="0026575A" w:rsidRPr="00D95D9E">
                  <w:rPr>
                    <w:b/>
                    <w:bCs/>
                    <w:sz w:val="28"/>
                  </w:rPr>
                  <w:t xml:space="preserve">the Queensland </w:t>
                </w:r>
                <w:r w:rsidR="001D52B3">
                  <w:rPr>
                    <w:b/>
                    <w:bCs/>
                    <w:sz w:val="28"/>
                  </w:rPr>
                  <w:t xml:space="preserve">Parliament, Legal Affairs and </w:t>
                </w:r>
                <w:r w:rsidR="0026575A" w:rsidRPr="00D95D9E">
                  <w:rPr>
                    <w:b/>
                    <w:bCs/>
                    <w:sz w:val="28"/>
                  </w:rPr>
                  <w:t>Community Safety Committee</w:t>
                </w:r>
              </w:p>
              <w:p w:rsidR="0026575A" w:rsidRPr="00D95D9E" w:rsidRDefault="0026575A" w:rsidP="00632BB9">
                <w:pPr>
                  <w:pStyle w:val="NoSpacing"/>
                  <w:spacing w:after="1080"/>
                  <w:jc w:val="right"/>
                  <w:rPr>
                    <w:b/>
                    <w:bCs/>
                    <w:sz w:val="28"/>
                  </w:rPr>
                </w:pPr>
                <w:r w:rsidRPr="00D95D9E">
                  <w:rPr>
                    <w:b/>
                    <w:bCs/>
                    <w:sz w:val="28"/>
                  </w:rPr>
                  <w:t>April 2016</w:t>
                </w:r>
              </w:p>
            </w:tc>
          </w:tr>
        </w:tbl>
        <w:p w:rsidR="002F1ADC" w:rsidRPr="00D95D9E" w:rsidRDefault="002F1ADC" w:rsidP="005D03A5">
          <w:pPr>
            <w:sectPr w:rsidR="002F1ADC" w:rsidRPr="00D95D9E" w:rsidSect="002F1ADC">
              <w:headerReference w:type="default" r:id="rId9"/>
              <w:footerReference w:type="default" r:id="rId10"/>
              <w:headerReference w:type="first" r:id="rId11"/>
              <w:footerReference w:type="first" r:id="rId12"/>
              <w:pgSz w:w="11907" w:h="16839" w:code="9"/>
              <w:pgMar w:top="1134" w:right="1327" w:bottom="1418" w:left="1559" w:header="709" w:footer="737" w:gutter="0"/>
              <w:pgNumType w:start="0"/>
              <w:cols w:space="708"/>
              <w:vAlign w:val="center"/>
              <w:titlePg/>
              <w:docGrid w:linePitch="360"/>
            </w:sectPr>
          </w:pPr>
        </w:p>
        <w:sdt>
          <w:sdtPr>
            <w:rPr>
              <w:rFonts w:asciiTheme="minorHAnsi" w:eastAsiaTheme="minorHAnsi" w:hAnsiTheme="minorHAnsi" w:cstheme="minorBidi"/>
              <w:b w:val="0"/>
              <w:bCs w:val="0"/>
              <w:color w:val="auto"/>
              <w:sz w:val="22"/>
              <w:szCs w:val="22"/>
            </w:rPr>
            <w:id w:val="-772629836"/>
            <w:docPartObj>
              <w:docPartGallery w:val="Table of Contents"/>
              <w:docPartUnique/>
            </w:docPartObj>
          </w:sdtPr>
          <w:sdtEndPr>
            <w:rPr>
              <w:noProof/>
            </w:rPr>
          </w:sdtEndPr>
          <w:sdtContent>
            <w:p w:rsidR="00A927D8" w:rsidRPr="00D95D9E" w:rsidRDefault="00A927D8">
              <w:pPr>
                <w:pStyle w:val="TOCHeading"/>
              </w:pPr>
              <w:r w:rsidRPr="00D95D9E">
                <w:t>Contents</w:t>
              </w:r>
            </w:p>
            <w:p w:rsidR="006D4282" w:rsidRDefault="00A927D8">
              <w:pPr>
                <w:pStyle w:val="TOC1"/>
                <w:tabs>
                  <w:tab w:val="right" w:pos="9011"/>
                </w:tabs>
                <w:rPr>
                  <w:rFonts w:eastAsiaTheme="minorEastAsia"/>
                  <w:noProof/>
                </w:rPr>
              </w:pPr>
              <w:r w:rsidRPr="002D6014">
                <w:fldChar w:fldCharType="begin"/>
              </w:r>
              <w:r w:rsidRPr="00D95D9E">
                <w:instrText xml:space="preserve"> TOC \o "1-3" \h \z \u </w:instrText>
              </w:r>
              <w:r w:rsidRPr="002D6014">
                <w:fldChar w:fldCharType="separate"/>
              </w:r>
              <w:hyperlink w:anchor="_Toc448747745" w:history="1">
                <w:r w:rsidR="006D4282" w:rsidRPr="001435E8">
                  <w:rPr>
                    <w:rStyle w:val="Hyperlink"/>
                    <w:noProof/>
                  </w:rPr>
                  <w:t>Introduction</w:t>
                </w:r>
                <w:r w:rsidR="006D4282">
                  <w:rPr>
                    <w:noProof/>
                    <w:webHidden/>
                  </w:rPr>
                  <w:tab/>
                </w:r>
                <w:r w:rsidR="006D4282">
                  <w:rPr>
                    <w:noProof/>
                    <w:webHidden/>
                  </w:rPr>
                  <w:fldChar w:fldCharType="begin"/>
                </w:r>
                <w:r w:rsidR="006D4282">
                  <w:rPr>
                    <w:noProof/>
                    <w:webHidden/>
                  </w:rPr>
                  <w:instrText xml:space="preserve"> PAGEREF _Toc448747745 \h </w:instrText>
                </w:r>
                <w:r w:rsidR="006D4282">
                  <w:rPr>
                    <w:noProof/>
                    <w:webHidden/>
                  </w:rPr>
                </w:r>
                <w:r w:rsidR="006D4282">
                  <w:rPr>
                    <w:noProof/>
                    <w:webHidden/>
                  </w:rPr>
                  <w:fldChar w:fldCharType="separate"/>
                </w:r>
                <w:r w:rsidR="00645E7C">
                  <w:rPr>
                    <w:noProof/>
                    <w:webHidden/>
                  </w:rPr>
                  <w:t>3</w:t>
                </w:r>
                <w:r w:rsidR="006D4282">
                  <w:rPr>
                    <w:noProof/>
                    <w:webHidden/>
                  </w:rPr>
                  <w:fldChar w:fldCharType="end"/>
                </w:r>
              </w:hyperlink>
            </w:p>
            <w:p w:rsidR="006D4282" w:rsidRDefault="001D52B3">
              <w:pPr>
                <w:pStyle w:val="TOC1"/>
                <w:tabs>
                  <w:tab w:val="right" w:pos="9011"/>
                </w:tabs>
                <w:rPr>
                  <w:rFonts w:eastAsiaTheme="minorEastAsia"/>
                  <w:noProof/>
                </w:rPr>
              </w:pPr>
              <w:hyperlink w:anchor="_Toc448747746" w:history="1">
                <w:r w:rsidR="006D4282" w:rsidRPr="001435E8">
                  <w:rPr>
                    <w:rStyle w:val="Hyperlink"/>
                    <w:noProof/>
                  </w:rPr>
                  <w:t>The Anti-Discrimination Commission supports a Human Rights Act</w:t>
                </w:r>
                <w:r w:rsidR="006D4282">
                  <w:rPr>
                    <w:noProof/>
                    <w:webHidden/>
                  </w:rPr>
                  <w:tab/>
                </w:r>
                <w:r w:rsidR="006D4282">
                  <w:rPr>
                    <w:noProof/>
                    <w:webHidden/>
                  </w:rPr>
                  <w:fldChar w:fldCharType="begin"/>
                </w:r>
                <w:r w:rsidR="006D4282">
                  <w:rPr>
                    <w:noProof/>
                    <w:webHidden/>
                  </w:rPr>
                  <w:instrText xml:space="preserve"> PAGEREF _Toc448747746 \h </w:instrText>
                </w:r>
                <w:r w:rsidR="006D4282">
                  <w:rPr>
                    <w:noProof/>
                    <w:webHidden/>
                  </w:rPr>
                </w:r>
                <w:r w:rsidR="006D4282">
                  <w:rPr>
                    <w:noProof/>
                    <w:webHidden/>
                  </w:rPr>
                  <w:fldChar w:fldCharType="separate"/>
                </w:r>
                <w:r w:rsidR="00645E7C">
                  <w:rPr>
                    <w:noProof/>
                    <w:webHidden/>
                  </w:rPr>
                  <w:t>3</w:t>
                </w:r>
                <w:r w:rsidR="006D4282">
                  <w:rPr>
                    <w:noProof/>
                    <w:webHidden/>
                  </w:rPr>
                  <w:fldChar w:fldCharType="end"/>
                </w:r>
              </w:hyperlink>
            </w:p>
            <w:p w:rsidR="006D4282" w:rsidRDefault="001D52B3">
              <w:pPr>
                <w:pStyle w:val="TOC1"/>
                <w:tabs>
                  <w:tab w:val="right" w:pos="9011"/>
                </w:tabs>
                <w:rPr>
                  <w:rFonts w:eastAsiaTheme="minorEastAsia"/>
                  <w:noProof/>
                </w:rPr>
              </w:pPr>
              <w:hyperlink w:anchor="_Toc448747747" w:history="1">
                <w:r w:rsidR="006D4282" w:rsidRPr="001435E8">
                  <w:rPr>
                    <w:rStyle w:val="Hyperlink"/>
                    <w:noProof/>
                  </w:rPr>
                  <w:t>Effectiveness of current laws and mechanisms</w:t>
                </w:r>
                <w:r w:rsidR="006D4282">
                  <w:rPr>
                    <w:noProof/>
                    <w:webHidden/>
                  </w:rPr>
                  <w:tab/>
                </w:r>
                <w:r w:rsidR="006D4282">
                  <w:rPr>
                    <w:noProof/>
                    <w:webHidden/>
                  </w:rPr>
                  <w:fldChar w:fldCharType="begin"/>
                </w:r>
                <w:r w:rsidR="006D4282">
                  <w:rPr>
                    <w:noProof/>
                    <w:webHidden/>
                  </w:rPr>
                  <w:instrText xml:space="preserve"> PAGEREF _Toc448747747 \h </w:instrText>
                </w:r>
                <w:r w:rsidR="006D4282">
                  <w:rPr>
                    <w:noProof/>
                    <w:webHidden/>
                  </w:rPr>
                </w:r>
                <w:r w:rsidR="006D4282">
                  <w:rPr>
                    <w:noProof/>
                    <w:webHidden/>
                  </w:rPr>
                  <w:fldChar w:fldCharType="separate"/>
                </w:r>
                <w:r w:rsidR="00645E7C">
                  <w:rPr>
                    <w:noProof/>
                    <w:webHidden/>
                  </w:rPr>
                  <w:t>4</w:t>
                </w:r>
                <w:r w:rsidR="006D4282">
                  <w:rPr>
                    <w:noProof/>
                    <w:webHidden/>
                  </w:rPr>
                  <w:fldChar w:fldCharType="end"/>
                </w:r>
              </w:hyperlink>
            </w:p>
            <w:p w:rsidR="006D4282" w:rsidRDefault="001D52B3">
              <w:pPr>
                <w:pStyle w:val="TOC2"/>
                <w:tabs>
                  <w:tab w:val="right" w:pos="9011"/>
                </w:tabs>
                <w:rPr>
                  <w:rFonts w:eastAsiaTheme="minorEastAsia"/>
                  <w:noProof/>
                </w:rPr>
              </w:pPr>
              <w:hyperlink w:anchor="_Toc448747748" w:history="1">
                <w:r w:rsidR="006D4282" w:rsidRPr="001435E8">
                  <w:rPr>
                    <w:rStyle w:val="Hyperlink"/>
                    <w:noProof/>
                  </w:rPr>
                  <w:t>Common law</w:t>
                </w:r>
                <w:r w:rsidR="006D4282">
                  <w:rPr>
                    <w:noProof/>
                    <w:webHidden/>
                  </w:rPr>
                  <w:tab/>
                </w:r>
                <w:r w:rsidR="006D4282">
                  <w:rPr>
                    <w:noProof/>
                    <w:webHidden/>
                  </w:rPr>
                  <w:fldChar w:fldCharType="begin"/>
                </w:r>
                <w:r w:rsidR="006D4282">
                  <w:rPr>
                    <w:noProof/>
                    <w:webHidden/>
                  </w:rPr>
                  <w:instrText xml:space="preserve"> PAGEREF _Toc448747748 \h </w:instrText>
                </w:r>
                <w:r w:rsidR="006D4282">
                  <w:rPr>
                    <w:noProof/>
                    <w:webHidden/>
                  </w:rPr>
                </w:r>
                <w:r w:rsidR="006D4282">
                  <w:rPr>
                    <w:noProof/>
                    <w:webHidden/>
                  </w:rPr>
                  <w:fldChar w:fldCharType="separate"/>
                </w:r>
                <w:r w:rsidR="00645E7C">
                  <w:rPr>
                    <w:noProof/>
                    <w:webHidden/>
                  </w:rPr>
                  <w:t>5</w:t>
                </w:r>
                <w:r w:rsidR="006D4282">
                  <w:rPr>
                    <w:noProof/>
                    <w:webHidden/>
                  </w:rPr>
                  <w:fldChar w:fldCharType="end"/>
                </w:r>
              </w:hyperlink>
            </w:p>
            <w:p w:rsidR="006D4282" w:rsidRDefault="001D52B3">
              <w:pPr>
                <w:pStyle w:val="TOC2"/>
                <w:tabs>
                  <w:tab w:val="right" w:pos="9011"/>
                </w:tabs>
                <w:rPr>
                  <w:rFonts w:eastAsiaTheme="minorEastAsia"/>
                  <w:noProof/>
                </w:rPr>
              </w:pPr>
              <w:hyperlink w:anchor="_Toc448747749" w:history="1">
                <w:r w:rsidR="006D4282" w:rsidRPr="001435E8">
                  <w:rPr>
                    <w:rStyle w:val="Hyperlink"/>
                    <w:noProof/>
                  </w:rPr>
                  <w:t>Administrative law</w:t>
                </w:r>
                <w:r w:rsidR="006D4282">
                  <w:rPr>
                    <w:noProof/>
                    <w:webHidden/>
                  </w:rPr>
                  <w:tab/>
                </w:r>
                <w:r w:rsidR="006D4282">
                  <w:rPr>
                    <w:noProof/>
                    <w:webHidden/>
                  </w:rPr>
                  <w:fldChar w:fldCharType="begin"/>
                </w:r>
                <w:r w:rsidR="006D4282">
                  <w:rPr>
                    <w:noProof/>
                    <w:webHidden/>
                  </w:rPr>
                  <w:instrText xml:space="preserve"> PAGEREF _Toc448747749 \h </w:instrText>
                </w:r>
                <w:r w:rsidR="006D4282">
                  <w:rPr>
                    <w:noProof/>
                    <w:webHidden/>
                  </w:rPr>
                </w:r>
                <w:r w:rsidR="006D4282">
                  <w:rPr>
                    <w:noProof/>
                    <w:webHidden/>
                  </w:rPr>
                  <w:fldChar w:fldCharType="separate"/>
                </w:r>
                <w:r w:rsidR="00645E7C">
                  <w:rPr>
                    <w:noProof/>
                    <w:webHidden/>
                  </w:rPr>
                  <w:t>6</w:t>
                </w:r>
                <w:r w:rsidR="006D4282">
                  <w:rPr>
                    <w:noProof/>
                    <w:webHidden/>
                  </w:rPr>
                  <w:fldChar w:fldCharType="end"/>
                </w:r>
              </w:hyperlink>
            </w:p>
            <w:p w:rsidR="006D4282" w:rsidRDefault="001D52B3">
              <w:pPr>
                <w:pStyle w:val="TOC2"/>
                <w:tabs>
                  <w:tab w:val="right" w:pos="9011"/>
                </w:tabs>
                <w:rPr>
                  <w:rFonts w:eastAsiaTheme="minorEastAsia"/>
                  <w:noProof/>
                </w:rPr>
              </w:pPr>
              <w:hyperlink w:anchor="_Toc448747750" w:history="1">
                <w:r w:rsidR="006D4282" w:rsidRPr="001435E8">
                  <w:rPr>
                    <w:rStyle w:val="Hyperlink"/>
                    <w:noProof/>
                  </w:rPr>
                  <w:t>Queensland Parliamentary Committee system</w:t>
                </w:r>
                <w:r w:rsidR="006D4282">
                  <w:rPr>
                    <w:noProof/>
                    <w:webHidden/>
                  </w:rPr>
                  <w:tab/>
                </w:r>
                <w:r w:rsidR="006D4282">
                  <w:rPr>
                    <w:noProof/>
                    <w:webHidden/>
                  </w:rPr>
                  <w:fldChar w:fldCharType="begin"/>
                </w:r>
                <w:r w:rsidR="006D4282">
                  <w:rPr>
                    <w:noProof/>
                    <w:webHidden/>
                  </w:rPr>
                  <w:instrText xml:space="preserve"> PAGEREF _Toc448747750 \h </w:instrText>
                </w:r>
                <w:r w:rsidR="006D4282">
                  <w:rPr>
                    <w:noProof/>
                    <w:webHidden/>
                  </w:rPr>
                </w:r>
                <w:r w:rsidR="006D4282">
                  <w:rPr>
                    <w:noProof/>
                    <w:webHidden/>
                  </w:rPr>
                  <w:fldChar w:fldCharType="separate"/>
                </w:r>
                <w:r w:rsidR="00645E7C">
                  <w:rPr>
                    <w:noProof/>
                    <w:webHidden/>
                  </w:rPr>
                  <w:t>7</w:t>
                </w:r>
                <w:r w:rsidR="006D4282">
                  <w:rPr>
                    <w:noProof/>
                    <w:webHidden/>
                  </w:rPr>
                  <w:fldChar w:fldCharType="end"/>
                </w:r>
              </w:hyperlink>
            </w:p>
            <w:p w:rsidR="006D4282" w:rsidRDefault="001D52B3">
              <w:pPr>
                <w:pStyle w:val="TOC2"/>
                <w:tabs>
                  <w:tab w:val="right" w:pos="9011"/>
                </w:tabs>
                <w:rPr>
                  <w:rFonts w:eastAsiaTheme="minorEastAsia"/>
                  <w:noProof/>
                </w:rPr>
              </w:pPr>
              <w:hyperlink w:anchor="_Toc448747751" w:history="1">
                <w:r w:rsidR="006D4282" w:rsidRPr="001435E8">
                  <w:rPr>
                    <w:rStyle w:val="Hyperlink"/>
                    <w:noProof/>
                  </w:rPr>
                  <w:t>Anti-discrimination laws</w:t>
                </w:r>
                <w:r w:rsidR="006D4282">
                  <w:rPr>
                    <w:noProof/>
                    <w:webHidden/>
                  </w:rPr>
                  <w:tab/>
                </w:r>
                <w:r w:rsidR="006D4282">
                  <w:rPr>
                    <w:noProof/>
                    <w:webHidden/>
                  </w:rPr>
                  <w:fldChar w:fldCharType="begin"/>
                </w:r>
                <w:r w:rsidR="006D4282">
                  <w:rPr>
                    <w:noProof/>
                    <w:webHidden/>
                  </w:rPr>
                  <w:instrText xml:space="preserve"> PAGEREF _Toc448747751 \h </w:instrText>
                </w:r>
                <w:r w:rsidR="006D4282">
                  <w:rPr>
                    <w:noProof/>
                    <w:webHidden/>
                  </w:rPr>
                </w:r>
                <w:r w:rsidR="006D4282">
                  <w:rPr>
                    <w:noProof/>
                    <w:webHidden/>
                  </w:rPr>
                  <w:fldChar w:fldCharType="separate"/>
                </w:r>
                <w:r w:rsidR="00645E7C">
                  <w:rPr>
                    <w:noProof/>
                    <w:webHidden/>
                  </w:rPr>
                  <w:t>11</w:t>
                </w:r>
                <w:r w:rsidR="006D4282">
                  <w:rPr>
                    <w:noProof/>
                    <w:webHidden/>
                  </w:rPr>
                  <w:fldChar w:fldCharType="end"/>
                </w:r>
              </w:hyperlink>
            </w:p>
            <w:p w:rsidR="006D4282" w:rsidRDefault="001D52B3">
              <w:pPr>
                <w:pStyle w:val="TOC3"/>
                <w:tabs>
                  <w:tab w:val="right" w:pos="9011"/>
                </w:tabs>
                <w:rPr>
                  <w:rFonts w:eastAsiaTheme="minorEastAsia"/>
                  <w:noProof/>
                </w:rPr>
              </w:pPr>
              <w:hyperlink w:anchor="_Toc448747752" w:history="1">
                <w:r w:rsidR="006D4282" w:rsidRPr="001435E8">
                  <w:rPr>
                    <w:rStyle w:val="Hyperlink"/>
                    <w:noProof/>
                  </w:rPr>
                  <w:t>The complaints process</w:t>
                </w:r>
                <w:r w:rsidR="006D4282">
                  <w:rPr>
                    <w:noProof/>
                    <w:webHidden/>
                  </w:rPr>
                  <w:tab/>
                </w:r>
                <w:r w:rsidR="006D4282">
                  <w:rPr>
                    <w:noProof/>
                    <w:webHidden/>
                  </w:rPr>
                  <w:fldChar w:fldCharType="begin"/>
                </w:r>
                <w:r w:rsidR="006D4282">
                  <w:rPr>
                    <w:noProof/>
                    <w:webHidden/>
                  </w:rPr>
                  <w:instrText xml:space="preserve"> PAGEREF _Toc448747752 \h </w:instrText>
                </w:r>
                <w:r w:rsidR="006D4282">
                  <w:rPr>
                    <w:noProof/>
                    <w:webHidden/>
                  </w:rPr>
                </w:r>
                <w:r w:rsidR="006D4282">
                  <w:rPr>
                    <w:noProof/>
                    <w:webHidden/>
                  </w:rPr>
                  <w:fldChar w:fldCharType="separate"/>
                </w:r>
                <w:r w:rsidR="00645E7C">
                  <w:rPr>
                    <w:noProof/>
                    <w:webHidden/>
                  </w:rPr>
                  <w:t>11</w:t>
                </w:r>
                <w:r w:rsidR="006D4282">
                  <w:rPr>
                    <w:noProof/>
                    <w:webHidden/>
                  </w:rPr>
                  <w:fldChar w:fldCharType="end"/>
                </w:r>
              </w:hyperlink>
            </w:p>
            <w:p w:rsidR="006D4282" w:rsidRDefault="001D52B3">
              <w:pPr>
                <w:pStyle w:val="TOC3"/>
                <w:tabs>
                  <w:tab w:val="right" w:pos="9011"/>
                </w:tabs>
                <w:rPr>
                  <w:rFonts w:eastAsiaTheme="minorEastAsia"/>
                  <w:noProof/>
                </w:rPr>
              </w:pPr>
              <w:hyperlink w:anchor="_Toc448747753" w:history="1">
                <w:r w:rsidR="006D4282" w:rsidRPr="001435E8">
                  <w:rPr>
                    <w:rStyle w:val="Hyperlink"/>
                    <w:noProof/>
                  </w:rPr>
                  <w:t>Other processes within anti-discrimination laws</w:t>
                </w:r>
                <w:r w:rsidR="006D4282">
                  <w:rPr>
                    <w:noProof/>
                    <w:webHidden/>
                  </w:rPr>
                  <w:tab/>
                </w:r>
                <w:r w:rsidR="006D4282">
                  <w:rPr>
                    <w:noProof/>
                    <w:webHidden/>
                  </w:rPr>
                  <w:fldChar w:fldCharType="begin"/>
                </w:r>
                <w:r w:rsidR="006D4282">
                  <w:rPr>
                    <w:noProof/>
                    <w:webHidden/>
                  </w:rPr>
                  <w:instrText xml:space="preserve"> PAGEREF _Toc448747753 \h </w:instrText>
                </w:r>
                <w:r w:rsidR="006D4282">
                  <w:rPr>
                    <w:noProof/>
                    <w:webHidden/>
                  </w:rPr>
                </w:r>
                <w:r w:rsidR="006D4282">
                  <w:rPr>
                    <w:noProof/>
                    <w:webHidden/>
                  </w:rPr>
                  <w:fldChar w:fldCharType="separate"/>
                </w:r>
                <w:r w:rsidR="00645E7C">
                  <w:rPr>
                    <w:noProof/>
                    <w:webHidden/>
                  </w:rPr>
                  <w:t>11</w:t>
                </w:r>
                <w:r w:rsidR="006D4282">
                  <w:rPr>
                    <w:noProof/>
                    <w:webHidden/>
                  </w:rPr>
                  <w:fldChar w:fldCharType="end"/>
                </w:r>
              </w:hyperlink>
            </w:p>
            <w:p w:rsidR="006D4282" w:rsidRDefault="001D52B3">
              <w:pPr>
                <w:pStyle w:val="TOC2"/>
                <w:tabs>
                  <w:tab w:val="right" w:pos="9011"/>
                </w:tabs>
                <w:rPr>
                  <w:rFonts w:eastAsiaTheme="minorEastAsia"/>
                  <w:noProof/>
                </w:rPr>
              </w:pPr>
              <w:hyperlink w:anchor="_Toc448747754" w:history="1">
                <w:r w:rsidR="006D4282" w:rsidRPr="001435E8">
                  <w:rPr>
                    <w:rStyle w:val="Hyperlink"/>
                    <w:noProof/>
                  </w:rPr>
                  <w:t>Other Queensland legislation</w:t>
                </w:r>
                <w:r w:rsidR="006D4282">
                  <w:rPr>
                    <w:noProof/>
                    <w:webHidden/>
                  </w:rPr>
                  <w:tab/>
                </w:r>
                <w:r w:rsidR="006D4282">
                  <w:rPr>
                    <w:noProof/>
                    <w:webHidden/>
                  </w:rPr>
                  <w:fldChar w:fldCharType="begin"/>
                </w:r>
                <w:r w:rsidR="006D4282">
                  <w:rPr>
                    <w:noProof/>
                    <w:webHidden/>
                  </w:rPr>
                  <w:instrText xml:space="preserve"> PAGEREF _Toc448747754 \h </w:instrText>
                </w:r>
                <w:r w:rsidR="006D4282">
                  <w:rPr>
                    <w:noProof/>
                    <w:webHidden/>
                  </w:rPr>
                </w:r>
                <w:r w:rsidR="006D4282">
                  <w:rPr>
                    <w:noProof/>
                    <w:webHidden/>
                  </w:rPr>
                  <w:fldChar w:fldCharType="separate"/>
                </w:r>
                <w:r w:rsidR="00645E7C">
                  <w:rPr>
                    <w:noProof/>
                    <w:webHidden/>
                  </w:rPr>
                  <w:t>12</w:t>
                </w:r>
                <w:r w:rsidR="006D4282">
                  <w:rPr>
                    <w:noProof/>
                    <w:webHidden/>
                  </w:rPr>
                  <w:fldChar w:fldCharType="end"/>
                </w:r>
              </w:hyperlink>
            </w:p>
            <w:p w:rsidR="006D4282" w:rsidRDefault="001D52B3">
              <w:pPr>
                <w:pStyle w:val="TOC1"/>
                <w:tabs>
                  <w:tab w:val="right" w:pos="9011"/>
                </w:tabs>
                <w:rPr>
                  <w:rFonts w:eastAsiaTheme="minorEastAsia"/>
                  <w:noProof/>
                </w:rPr>
              </w:pPr>
              <w:hyperlink w:anchor="_Toc448747755" w:history="1">
                <w:r w:rsidR="006D4282" w:rsidRPr="001435E8">
                  <w:rPr>
                    <w:rStyle w:val="Hyperlink"/>
                    <w:noProof/>
                  </w:rPr>
                  <w:t>Operation and effectiveness of human rights legislation elsewhere</w:t>
                </w:r>
                <w:r w:rsidR="006D4282">
                  <w:rPr>
                    <w:noProof/>
                    <w:webHidden/>
                  </w:rPr>
                  <w:tab/>
                </w:r>
                <w:r w:rsidR="006D4282">
                  <w:rPr>
                    <w:noProof/>
                    <w:webHidden/>
                  </w:rPr>
                  <w:fldChar w:fldCharType="begin"/>
                </w:r>
                <w:r w:rsidR="006D4282">
                  <w:rPr>
                    <w:noProof/>
                    <w:webHidden/>
                  </w:rPr>
                  <w:instrText xml:space="preserve"> PAGEREF _Toc448747755 \h </w:instrText>
                </w:r>
                <w:r w:rsidR="006D4282">
                  <w:rPr>
                    <w:noProof/>
                    <w:webHidden/>
                  </w:rPr>
                </w:r>
                <w:r w:rsidR="006D4282">
                  <w:rPr>
                    <w:noProof/>
                    <w:webHidden/>
                  </w:rPr>
                  <w:fldChar w:fldCharType="separate"/>
                </w:r>
                <w:r w:rsidR="00645E7C">
                  <w:rPr>
                    <w:noProof/>
                    <w:webHidden/>
                  </w:rPr>
                  <w:t>12</w:t>
                </w:r>
                <w:r w:rsidR="006D4282">
                  <w:rPr>
                    <w:noProof/>
                    <w:webHidden/>
                  </w:rPr>
                  <w:fldChar w:fldCharType="end"/>
                </w:r>
              </w:hyperlink>
            </w:p>
            <w:p w:rsidR="006D4282" w:rsidRDefault="001D52B3">
              <w:pPr>
                <w:pStyle w:val="TOC2"/>
                <w:tabs>
                  <w:tab w:val="right" w:pos="9011"/>
                </w:tabs>
                <w:rPr>
                  <w:rFonts w:eastAsiaTheme="minorEastAsia"/>
                  <w:noProof/>
                </w:rPr>
              </w:pPr>
              <w:hyperlink w:anchor="_Toc448747756" w:history="1">
                <w:r w:rsidR="006D4282" w:rsidRPr="001435E8">
                  <w:rPr>
                    <w:rStyle w:val="Hyperlink"/>
                    <w:noProof/>
                  </w:rPr>
                  <w:t>Victoria and Australian Capital Territory</w:t>
                </w:r>
                <w:r w:rsidR="006D4282">
                  <w:rPr>
                    <w:noProof/>
                    <w:webHidden/>
                  </w:rPr>
                  <w:tab/>
                </w:r>
                <w:r w:rsidR="006D4282">
                  <w:rPr>
                    <w:noProof/>
                    <w:webHidden/>
                  </w:rPr>
                  <w:fldChar w:fldCharType="begin"/>
                </w:r>
                <w:r w:rsidR="006D4282">
                  <w:rPr>
                    <w:noProof/>
                    <w:webHidden/>
                  </w:rPr>
                  <w:instrText xml:space="preserve"> PAGEREF _Toc448747756 \h </w:instrText>
                </w:r>
                <w:r w:rsidR="006D4282">
                  <w:rPr>
                    <w:noProof/>
                    <w:webHidden/>
                  </w:rPr>
                </w:r>
                <w:r w:rsidR="006D4282">
                  <w:rPr>
                    <w:noProof/>
                    <w:webHidden/>
                  </w:rPr>
                  <w:fldChar w:fldCharType="separate"/>
                </w:r>
                <w:r w:rsidR="00645E7C">
                  <w:rPr>
                    <w:noProof/>
                    <w:webHidden/>
                  </w:rPr>
                  <w:t>12</w:t>
                </w:r>
                <w:r w:rsidR="006D4282">
                  <w:rPr>
                    <w:noProof/>
                    <w:webHidden/>
                  </w:rPr>
                  <w:fldChar w:fldCharType="end"/>
                </w:r>
              </w:hyperlink>
            </w:p>
            <w:p w:rsidR="006D4282" w:rsidRDefault="001D52B3">
              <w:pPr>
                <w:pStyle w:val="TOC2"/>
                <w:tabs>
                  <w:tab w:val="right" w:pos="9011"/>
                </w:tabs>
                <w:rPr>
                  <w:rFonts w:eastAsiaTheme="minorEastAsia"/>
                  <w:noProof/>
                </w:rPr>
              </w:pPr>
              <w:hyperlink w:anchor="_Toc448747757" w:history="1">
                <w:r w:rsidR="006D4282" w:rsidRPr="001435E8">
                  <w:rPr>
                    <w:rStyle w:val="Hyperlink"/>
                    <w:noProof/>
                  </w:rPr>
                  <w:t>United Kingdom Human Rights Act</w:t>
                </w:r>
                <w:r w:rsidR="006D4282">
                  <w:rPr>
                    <w:noProof/>
                    <w:webHidden/>
                  </w:rPr>
                  <w:tab/>
                </w:r>
                <w:r w:rsidR="006D4282">
                  <w:rPr>
                    <w:noProof/>
                    <w:webHidden/>
                  </w:rPr>
                  <w:fldChar w:fldCharType="begin"/>
                </w:r>
                <w:r w:rsidR="006D4282">
                  <w:rPr>
                    <w:noProof/>
                    <w:webHidden/>
                  </w:rPr>
                  <w:instrText xml:space="preserve"> PAGEREF _Toc448747757 \h </w:instrText>
                </w:r>
                <w:r w:rsidR="006D4282">
                  <w:rPr>
                    <w:noProof/>
                    <w:webHidden/>
                  </w:rPr>
                </w:r>
                <w:r w:rsidR="006D4282">
                  <w:rPr>
                    <w:noProof/>
                    <w:webHidden/>
                  </w:rPr>
                  <w:fldChar w:fldCharType="separate"/>
                </w:r>
                <w:r w:rsidR="00645E7C">
                  <w:rPr>
                    <w:noProof/>
                    <w:webHidden/>
                  </w:rPr>
                  <w:t>14</w:t>
                </w:r>
                <w:r w:rsidR="006D4282">
                  <w:rPr>
                    <w:noProof/>
                    <w:webHidden/>
                  </w:rPr>
                  <w:fldChar w:fldCharType="end"/>
                </w:r>
              </w:hyperlink>
            </w:p>
            <w:p w:rsidR="006D4282" w:rsidRDefault="001D52B3">
              <w:pPr>
                <w:pStyle w:val="TOC2"/>
                <w:tabs>
                  <w:tab w:val="right" w:pos="9011"/>
                </w:tabs>
                <w:rPr>
                  <w:rFonts w:eastAsiaTheme="minorEastAsia"/>
                  <w:noProof/>
                </w:rPr>
              </w:pPr>
              <w:hyperlink w:anchor="_Toc448747758" w:history="1">
                <w:r w:rsidR="006D4282" w:rsidRPr="001435E8">
                  <w:rPr>
                    <w:rStyle w:val="Hyperlink"/>
                    <w:noProof/>
                  </w:rPr>
                  <w:t>New Zealand Bill of Rights Act</w:t>
                </w:r>
                <w:r w:rsidR="006D4282">
                  <w:rPr>
                    <w:noProof/>
                    <w:webHidden/>
                  </w:rPr>
                  <w:tab/>
                </w:r>
                <w:r w:rsidR="006D4282">
                  <w:rPr>
                    <w:noProof/>
                    <w:webHidden/>
                  </w:rPr>
                  <w:fldChar w:fldCharType="begin"/>
                </w:r>
                <w:r w:rsidR="006D4282">
                  <w:rPr>
                    <w:noProof/>
                    <w:webHidden/>
                  </w:rPr>
                  <w:instrText xml:space="preserve"> PAGEREF _Toc448747758 \h </w:instrText>
                </w:r>
                <w:r w:rsidR="006D4282">
                  <w:rPr>
                    <w:noProof/>
                    <w:webHidden/>
                  </w:rPr>
                </w:r>
                <w:r w:rsidR="006D4282">
                  <w:rPr>
                    <w:noProof/>
                    <w:webHidden/>
                  </w:rPr>
                  <w:fldChar w:fldCharType="separate"/>
                </w:r>
                <w:r w:rsidR="00645E7C">
                  <w:rPr>
                    <w:noProof/>
                    <w:webHidden/>
                  </w:rPr>
                  <w:t>14</w:t>
                </w:r>
                <w:r w:rsidR="006D4282">
                  <w:rPr>
                    <w:noProof/>
                    <w:webHidden/>
                  </w:rPr>
                  <w:fldChar w:fldCharType="end"/>
                </w:r>
              </w:hyperlink>
            </w:p>
            <w:p w:rsidR="006D4282" w:rsidRDefault="001D52B3">
              <w:pPr>
                <w:pStyle w:val="TOC2"/>
                <w:tabs>
                  <w:tab w:val="right" w:pos="9011"/>
                </w:tabs>
                <w:rPr>
                  <w:rFonts w:eastAsiaTheme="minorEastAsia"/>
                  <w:noProof/>
                </w:rPr>
              </w:pPr>
              <w:hyperlink w:anchor="_Toc448747759" w:history="1">
                <w:r w:rsidR="006D4282" w:rsidRPr="001435E8">
                  <w:rPr>
                    <w:rStyle w:val="Hyperlink"/>
                    <w:noProof/>
                  </w:rPr>
                  <w:t>Case studies in which human rights legislation has been used</w:t>
                </w:r>
                <w:r w:rsidR="006D4282">
                  <w:rPr>
                    <w:noProof/>
                    <w:webHidden/>
                  </w:rPr>
                  <w:tab/>
                </w:r>
                <w:r w:rsidR="006D4282">
                  <w:rPr>
                    <w:noProof/>
                    <w:webHidden/>
                  </w:rPr>
                  <w:fldChar w:fldCharType="begin"/>
                </w:r>
                <w:r w:rsidR="006D4282">
                  <w:rPr>
                    <w:noProof/>
                    <w:webHidden/>
                  </w:rPr>
                  <w:instrText xml:space="preserve"> PAGEREF _Toc448747759 \h </w:instrText>
                </w:r>
                <w:r w:rsidR="006D4282">
                  <w:rPr>
                    <w:noProof/>
                    <w:webHidden/>
                  </w:rPr>
                </w:r>
                <w:r w:rsidR="006D4282">
                  <w:rPr>
                    <w:noProof/>
                    <w:webHidden/>
                  </w:rPr>
                  <w:fldChar w:fldCharType="separate"/>
                </w:r>
                <w:r w:rsidR="00645E7C">
                  <w:rPr>
                    <w:noProof/>
                    <w:webHidden/>
                  </w:rPr>
                  <w:t>15</w:t>
                </w:r>
                <w:r w:rsidR="006D4282">
                  <w:rPr>
                    <w:noProof/>
                    <w:webHidden/>
                  </w:rPr>
                  <w:fldChar w:fldCharType="end"/>
                </w:r>
              </w:hyperlink>
            </w:p>
            <w:p w:rsidR="006D4282" w:rsidRDefault="001D52B3">
              <w:pPr>
                <w:pStyle w:val="TOC1"/>
                <w:tabs>
                  <w:tab w:val="right" w:pos="9011"/>
                </w:tabs>
                <w:rPr>
                  <w:rFonts w:eastAsiaTheme="minorEastAsia"/>
                  <w:noProof/>
                </w:rPr>
              </w:pPr>
              <w:hyperlink w:anchor="_Toc448747760" w:history="1">
                <w:r w:rsidR="006D4282" w:rsidRPr="001435E8">
                  <w:rPr>
                    <w:rStyle w:val="Hyperlink"/>
                    <w:noProof/>
                  </w:rPr>
                  <w:t>Costs and benefits of adopting a Human Rights Act</w:t>
                </w:r>
                <w:r w:rsidR="006D4282">
                  <w:rPr>
                    <w:noProof/>
                    <w:webHidden/>
                  </w:rPr>
                  <w:tab/>
                </w:r>
                <w:r w:rsidR="006D4282">
                  <w:rPr>
                    <w:noProof/>
                    <w:webHidden/>
                  </w:rPr>
                  <w:fldChar w:fldCharType="begin"/>
                </w:r>
                <w:r w:rsidR="006D4282">
                  <w:rPr>
                    <w:noProof/>
                    <w:webHidden/>
                  </w:rPr>
                  <w:instrText xml:space="preserve"> PAGEREF _Toc448747760 \h </w:instrText>
                </w:r>
                <w:r w:rsidR="006D4282">
                  <w:rPr>
                    <w:noProof/>
                    <w:webHidden/>
                  </w:rPr>
                </w:r>
                <w:r w:rsidR="006D4282">
                  <w:rPr>
                    <w:noProof/>
                    <w:webHidden/>
                  </w:rPr>
                  <w:fldChar w:fldCharType="separate"/>
                </w:r>
                <w:r w:rsidR="00645E7C">
                  <w:rPr>
                    <w:noProof/>
                    <w:webHidden/>
                  </w:rPr>
                  <w:t>15</w:t>
                </w:r>
                <w:r w:rsidR="006D4282">
                  <w:rPr>
                    <w:noProof/>
                    <w:webHidden/>
                  </w:rPr>
                  <w:fldChar w:fldCharType="end"/>
                </w:r>
              </w:hyperlink>
            </w:p>
            <w:p w:rsidR="006D4282" w:rsidRDefault="001D52B3">
              <w:pPr>
                <w:pStyle w:val="TOC1"/>
                <w:tabs>
                  <w:tab w:val="right" w:pos="9011"/>
                </w:tabs>
                <w:rPr>
                  <w:rFonts w:eastAsiaTheme="minorEastAsia"/>
                  <w:noProof/>
                </w:rPr>
              </w:pPr>
              <w:hyperlink w:anchor="_Toc448747761" w:history="1">
                <w:r w:rsidR="006D4282" w:rsidRPr="001435E8">
                  <w:rPr>
                    <w:rStyle w:val="Hyperlink"/>
                    <w:noProof/>
                  </w:rPr>
                  <w:t>Human rights legislation reviews</w:t>
                </w:r>
                <w:r w:rsidR="006D4282">
                  <w:rPr>
                    <w:noProof/>
                    <w:webHidden/>
                  </w:rPr>
                  <w:tab/>
                </w:r>
                <w:r w:rsidR="006D4282">
                  <w:rPr>
                    <w:noProof/>
                    <w:webHidden/>
                  </w:rPr>
                  <w:fldChar w:fldCharType="begin"/>
                </w:r>
                <w:r w:rsidR="006D4282">
                  <w:rPr>
                    <w:noProof/>
                    <w:webHidden/>
                  </w:rPr>
                  <w:instrText xml:space="preserve"> PAGEREF _Toc448747761 \h </w:instrText>
                </w:r>
                <w:r w:rsidR="006D4282">
                  <w:rPr>
                    <w:noProof/>
                    <w:webHidden/>
                  </w:rPr>
                </w:r>
                <w:r w:rsidR="006D4282">
                  <w:rPr>
                    <w:noProof/>
                    <w:webHidden/>
                  </w:rPr>
                  <w:fldChar w:fldCharType="separate"/>
                </w:r>
                <w:r w:rsidR="00645E7C">
                  <w:rPr>
                    <w:noProof/>
                    <w:webHidden/>
                  </w:rPr>
                  <w:t>17</w:t>
                </w:r>
                <w:r w:rsidR="006D4282">
                  <w:rPr>
                    <w:noProof/>
                    <w:webHidden/>
                  </w:rPr>
                  <w:fldChar w:fldCharType="end"/>
                </w:r>
              </w:hyperlink>
            </w:p>
            <w:p w:rsidR="006D4282" w:rsidRDefault="001D52B3">
              <w:pPr>
                <w:pStyle w:val="TOC2"/>
                <w:tabs>
                  <w:tab w:val="right" w:pos="9011"/>
                </w:tabs>
                <w:rPr>
                  <w:rFonts w:eastAsiaTheme="minorEastAsia"/>
                  <w:noProof/>
                </w:rPr>
              </w:pPr>
              <w:hyperlink w:anchor="_Toc448747762" w:history="1">
                <w:r w:rsidR="006D4282" w:rsidRPr="001435E8">
                  <w:rPr>
                    <w:rStyle w:val="Hyperlink"/>
                    <w:noProof/>
                  </w:rPr>
                  <w:t>Western Australian and Tasmanian reviews</w:t>
                </w:r>
                <w:r w:rsidR="006D4282">
                  <w:rPr>
                    <w:noProof/>
                    <w:webHidden/>
                  </w:rPr>
                  <w:tab/>
                </w:r>
                <w:r w:rsidR="006D4282">
                  <w:rPr>
                    <w:noProof/>
                    <w:webHidden/>
                  </w:rPr>
                  <w:fldChar w:fldCharType="begin"/>
                </w:r>
                <w:r w:rsidR="006D4282">
                  <w:rPr>
                    <w:noProof/>
                    <w:webHidden/>
                  </w:rPr>
                  <w:instrText xml:space="preserve"> PAGEREF _Toc448747762 \h </w:instrText>
                </w:r>
                <w:r w:rsidR="006D4282">
                  <w:rPr>
                    <w:noProof/>
                    <w:webHidden/>
                  </w:rPr>
                </w:r>
                <w:r w:rsidR="006D4282">
                  <w:rPr>
                    <w:noProof/>
                    <w:webHidden/>
                  </w:rPr>
                  <w:fldChar w:fldCharType="separate"/>
                </w:r>
                <w:r w:rsidR="00645E7C">
                  <w:rPr>
                    <w:noProof/>
                    <w:webHidden/>
                  </w:rPr>
                  <w:t>17</w:t>
                </w:r>
                <w:r w:rsidR="006D4282">
                  <w:rPr>
                    <w:noProof/>
                    <w:webHidden/>
                  </w:rPr>
                  <w:fldChar w:fldCharType="end"/>
                </w:r>
              </w:hyperlink>
            </w:p>
            <w:p w:rsidR="006D4282" w:rsidRDefault="001D52B3">
              <w:pPr>
                <w:pStyle w:val="TOC2"/>
                <w:tabs>
                  <w:tab w:val="right" w:pos="9011"/>
                </w:tabs>
                <w:rPr>
                  <w:rFonts w:eastAsiaTheme="minorEastAsia"/>
                  <w:noProof/>
                </w:rPr>
              </w:pPr>
              <w:hyperlink w:anchor="_Toc448747763" w:history="1">
                <w:r w:rsidR="006D4282" w:rsidRPr="001435E8">
                  <w:rPr>
                    <w:rStyle w:val="Hyperlink"/>
                    <w:noProof/>
                  </w:rPr>
                  <w:t>Northern Territory</w:t>
                </w:r>
                <w:r w:rsidR="006D4282">
                  <w:rPr>
                    <w:noProof/>
                    <w:webHidden/>
                  </w:rPr>
                  <w:tab/>
                </w:r>
                <w:r w:rsidR="006D4282">
                  <w:rPr>
                    <w:noProof/>
                    <w:webHidden/>
                  </w:rPr>
                  <w:fldChar w:fldCharType="begin"/>
                </w:r>
                <w:r w:rsidR="006D4282">
                  <w:rPr>
                    <w:noProof/>
                    <w:webHidden/>
                  </w:rPr>
                  <w:instrText xml:space="preserve"> PAGEREF _Toc448747763 \h </w:instrText>
                </w:r>
                <w:r w:rsidR="006D4282">
                  <w:rPr>
                    <w:noProof/>
                    <w:webHidden/>
                  </w:rPr>
                </w:r>
                <w:r w:rsidR="006D4282">
                  <w:rPr>
                    <w:noProof/>
                    <w:webHidden/>
                  </w:rPr>
                  <w:fldChar w:fldCharType="separate"/>
                </w:r>
                <w:r w:rsidR="00645E7C">
                  <w:rPr>
                    <w:noProof/>
                    <w:webHidden/>
                  </w:rPr>
                  <w:t>18</w:t>
                </w:r>
                <w:r w:rsidR="006D4282">
                  <w:rPr>
                    <w:noProof/>
                    <w:webHidden/>
                  </w:rPr>
                  <w:fldChar w:fldCharType="end"/>
                </w:r>
              </w:hyperlink>
            </w:p>
            <w:p w:rsidR="006D4282" w:rsidRDefault="001D52B3">
              <w:pPr>
                <w:pStyle w:val="TOC2"/>
                <w:tabs>
                  <w:tab w:val="right" w:pos="9011"/>
                </w:tabs>
                <w:rPr>
                  <w:rFonts w:eastAsiaTheme="minorEastAsia"/>
                  <w:noProof/>
                </w:rPr>
              </w:pPr>
              <w:hyperlink w:anchor="_Toc448747764" w:history="1">
                <w:r w:rsidR="006D4282" w:rsidRPr="001435E8">
                  <w:rPr>
                    <w:rStyle w:val="Hyperlink"/>
                    <w:rFonts w:eastAsia="Times New Roman"/>
                    <w:noProof/>
                  </w:rPr>
                  <w:t>National Human Rights Consultation</w:t>
                </w:r>
                <w:r w:rsidR="006D4282">
                  <w:rPr>
                    <w:noProof/>
                    <w:webHidden/>
                  </w:rPr>
                  <w:tab/>
                </w:r>
                <w:r w:rsidR="006D4282">
                  <w:rPr>
                    <w:noProof/>
                    <w:webHidden/>
                  </w:rPr>
                  <w:fldChar w:fldCharType="begin"/>
                </w:r>
                <w:r w:rsidR="006D4282">
                  <w:rPr>
                    <w:noProof/>
                    <w:webHidden/>
                  </w:rPr>
                  <w:instrText xml:space="preserve"> PAGEREF _Toc448747764 \h </w:instrText>
                </w:r>
                <w:r w:rsidR="006D4282">
                  <w:rPr>
                    <w:noProof/>
                    <w:webHidden/>
                  </w:rPr>
                </w:r>
                <w:r w:rsidR="006D4282">
                  <w:rPr>
                    <w:noProof/>
                    <w:webHidden/>
                  </w:rPr>
                  <w:fldChar w:fldCharType="separate"/>
                </w:r>
                <w:r w:rsidR="00645E7C">
                  <w:rPr>
                    <w:noProof/>
                    <w:webHidden/>
                  </w:rPr>
                  <w:t>18</w:t>
                </w:r>
                <w:r w:rsidR="006D4282">
                  <w:rPr>
                    <w:noProof/>
                    <w:webHidden/>
                  </w:rPr>
                  <w:fldChar w:fldCharType="end"/>
                </w:r>
              </w:hyperlink>
            </w:p>
            <w:p w:rsidR="006D4282" w:rsidRDefault="001D52B3">
              <w:pPr>
                <w:pStyle w:val="TOC1"/>
                <w:tabs>
                  <w:tab w:val="right" w:pos="9011"/>
                </w:tabs>
                <w:rPr>
                  <w:rFonts w:eastAsiaTheme="minorEastAsia"/>
                  <w:noProof/>
                </w:rPr>
              </w:pPr>
              <w:hyperlink w:anchor="_Toc448747765" w:history="1">
                <w:r w:rsidR="006D4282" w:rsidRPr="001435E8">
                  <w:rPr>
                    <w:rStyle w:val="Hyperlink"/>
                    <w:noProof/>
                  </w:rPr>
                  <w:t>A Human Rights Act for Queensland</w:t>
                </w:r>
                <w:r w:rsidR="006D4282">
                  <w:rPr>
                    <w:noProof/>
                    <w:webHidden/>
                  </w:rPr>
                  <w:tab/>
                </w:r>
                <w:r w:rsidR="006D4282">
                  <w:rPr>
                    <w:noProof/>
                    <w:webHidden/>
                  </w:rPr>
                  <w:fldChar w:fldCharType="begin"/>
                </w:r>
                <w:r w:rsidR="006D4282">
                  <w:rPr>
                    <w:noProof/>
                    <w:webHidden/>
                  </w:rPr>
                  <w:instrText xml:space="preserve"> PAGEREF _Toc448747765 \h </w:instrText>
                </w:r>
                <w:r w:rsidR="006D4282">
                  <w:rPr>
                    <w:noProof/>
                    <w:webHidden/>
                  </w:rPr>
                </w:r>
                <w:r w:rsidR="006D4282">
                  <w:rPr>
                    <w:noProof/>
                    <w:webHidden/>
                  </w:rPr>
                  <w:fldChar w:fldCharType="separate"/>
                </w:r>
                <w:r w:rsidR="00645E7C">
                  <w:rPr>
                    <w:noProof/>
                    <w:webHidden/>
                  </w:rPr>
                  <w:t>20</w:t>
                </w:r>
                <w:r w:rsidR="006D4282">
                  <w:rPr>
                    <w:noProof/>
                    <w:webHidden/>
                  </w:rPr>
                  <w:fldChar w:fldCharType="end"/>
                </w:r>
              </w:hyperlink>
            </w:p>
            <w:p w:rsidR="006D4282" w:rsidRDefault="001D52B3">
              <w:pPr>
                <w:pStyle w:val="TOC2"/>
                <w:tabs>
                  <w:tab w:val="right" w:pos="9011"/>
                </w:tabs>
                <w:rPr>
                  <w:rFonts w:eastAsiaTheme="minorEastAsia"/>
                  <w:noProof/>
                </w:rPr>
              </w:pPr>
              <w:hyperlink w:anchor="_Toc448747766" w:history="1">
                <w:r w:rsidR="006D4282" w:rsidRPr="001435E8">
                  <w:rPr>
                    <w:rStyle w:val="Hyperlink"/>
                    <w:noProof/>
                  </w:rPr>
                  <w:t>The objectives of the legislation</w:t>
                </w:r>
                <w:r w:rsidR="006D4282">
                  <w:rPr>
                    <w:noProof/>
                    <w:webHidden/>
                  </w:rPr>
                  <w:tab/>
                </w:r>
                <w:r w:rsidR="006D4282">
                  <w:rPr>
                    <w:noProof/>
                    <w:webHidden/>
                  </w:rPr>
                  <w:fldChar w:fldCharType="begin"/>
                </w:r>
                <w:r w:rsidR="006D4282">
                  <w:rPr>
                    <w:noProof/>
                    <w:webHidden/>
                  </w:rPr>
                  <w:instrText xml:space="preserve"> PAGEREF _Toc448747766 \h </w:instrText>
                </w:r>
                <w:r w:rsidR="006D4282">
                  <w:rPr>
                    <w:noProof/>
                    <w:webHidden/>
                  </w:rPr>
                </w:r>
                <w:r w:rsidR="006D4282">
                  <w:rPr>
                    <w:noProof/>
                    <w:webHidden/>
                  </w:rPr>
                  <w:fldChar w:fldCharType="separate"/>
                </w:r>
                <w:r w:rsidR="00645E7C">
                  <w:rPr>
                    <w:noProof/>
                    <w:webHidden/>
                  </w:rPr>
                  <w:t>20</w:t>
                </w:r>
                <w:r w:rsidR="006D4282">
                  <w:rPr>
                    <w:noProof/>
                    <w:webHidden/>
                  </w:rPr>
                  <w:fldChar w:fldCharType="end"/>
                </w:r>
              </w:hyperlink>
            </w:p>
            <w:p w:rsidR="006D4282" w:rsidRDefault="001D52B3">
              <w:pPr>
                <w:pStyle w:val="TOC2"/>
                <w:tabs>
                  <w:tab w:val="right" w:pos="9011"/>
                </w:tabs>
                <w:rPr>
                  <w:rFonts w:eastAsiaTheme="minorEastAsia"/>
                  <w:noProof/>
                </w:rPr>
              </w:pPr>
              <w:hyperlink w:anchor="_Toc448747767" w:history="1">
                <w:r w:rsidR="006D4282" w:rsidRPr="001435E8">
                  <w:rPr>
                    <w:rStyle w:val="Hyperlink"/>
                    <w:noProof/>
                  </w:rPr>
                  <w:t>Rights to be protected</w:t>
                </w:r>
                <w:r w:rsidR="006D4282">
                  <w:rPr>
                    <w:noProof/>
                    <w:webHidden/>
                  </w:rPr>
                  <w:tab/>
                </w:r>
                <w:r w:rsidR="006D4282">
                  <w:rPr>
                    <w:noProof/>
                    <w:webHidden/>
                  </w:rPr>
                  <w:fldChar w:fldCharType="begin"/>
                </w:r>
                <w:r w:rsidR="006D4282">
                  <w:rPr>
                    <w:noProof/>
                    <w:webHidden/>
                  </w:rPr>
                  <w:instrText xml:space="preserve"> PAGEREF _Toc448747767 \h </w:instrText>
                </w:r>
                <w:r w:rsidR="006D4282">
                  <w:rPr>
                    <w:noProof/>
                    <w:webHidden/>
                  </w:rPr>
                </w:r>
                <w:r w:rsidR="006D4282">
                  <w:rPr>
                    <w:noProof/>
                    <w:webHidden/>
                  </w:rPr>
                  <w:fldChar w:fldCharType="separate"/>
                </w:r>
                <w:r w:rsidR="00645E7C">
                  <w:rPr>
                    <w:noProof/>
                    <w:webHidden/>
                  </w:rPr>
                  <w:t>23</w:t>
                </w:r>
                <w:r w:rsidR="006D4282">
                  <w:rPr>
                    <w:noProof/>
                    <w:webHidden/>
                  </w:rPr>
                  <w:fldChar w:fldCharType="end"/>
                </w:r>
              </w:hyperlink>
            </w:p>
            <w:p w:rsidR="006D4282" w:rsidRDefault="001D52B3">
              <w:pPr>
                <w:pStyle w:val="TOC3"/>
                <w:tabs>
                  <w:tab w:val="right" w:pos="9011"/>
                </w:tabs>
                <w:rPr>
                  <w:rFonts w:eastAsiaTheme="minorEastAsia"/>
                  <w:noProof/>
                </w:rPr>
              </w:pPr>
              <w:hyperlink w:anchor="_Toc448747768" w:history="1">
                <w:r w:rsidR="006D4282" w:rsidRPr="001435E8">
                  <w:rPr>
                    <w:rStyle w:val="Hyperlink"/>
                    <w:noProof/>
                  </w:rPr>
                  <w:t>Civil and political rights</w:t>
                </w:r>
                <w:r w:rsidR="006D4282">
                  <w:rPr>
                    <w:noProof/>
                    <w:webHidden/>
                  </w:rPr>
                  <w:tab/>
                </w:r>
                <w:r w:rsidR="006D4282">
                  <w:rPr>
                    <w:noProof/>
                    <w:webHidden/>
                  </w:rPr>
                  <w:fldChar w:fldCharType="begin"/>
                </w:r>
                <w:r w:rsidR="006D4282">
                  <w:rPr>
                    <w:noProof/>
                    <w:webHidden/>
                  </w:rPr>
                  <w:instrText xml:space="preserve"> PAGEREF _Toc448747768 \h </w:instrText>
                </w:r>
                <w:r w:rsidR="006D4282">
                  <w:rPr>
                    <w:noProof/>
                    <w:webHidden/>
                  </w:rPr>
                </w:r>
                <w:r w:rsidR="006D4282">
                  <w:rPr>
                    <w:noProof/>
                    <w:webHidden/>
                  </w:rPr>
                  <w:fldChar w:fldCharType="separate"/>
                </w:r>
                <w:r w:rsidR="00645E7C">
                  <w:rPr>
                    <w:noProof/>
                    <w:webHidden/>
                  </w:rPr>
                  <w:t>23</w:t>
                </w:r>
                <w:r w:rsidR="006D4282">
                  <w:rPr>
                    <w:noProof/>
                    <w:webHidden/>
                  </w:rPr>
                  <w:fldChar w:fldCharType="end"/>
                </w:r>
              </w:hyperlink>
            </w:p>
            <w:p w:rsidR="006D4282" w:rsidRDefault="001D52B3">
              <w:pPr>
                <w:pStyle w:val="TOC3"/>
                <w:tabs>
                  <w:tab w:val="right" w:pos="9011"/>
                </w:tabs>
                <w:rPr>
                  <w:rFonts w:eastAsiaTheme="minorEastAsia"/>
                  <w:noProof/>
                </w:rPr>
              </w:pPr>
              <w:hyperlink w:anchor="_Toc448747769" w:history="1">
                <w:r w:rsidR="006D4282" w:rsidRPr="001435E8">
                  <w:rPr>
                    <w:rStyle w:val="Hyperlink"/>
                    <w:noProof/>
                  </w:rPr>
                  <w:t>Economic, social and cultural rights</w:t>
                </w:r>
                <w:r w:rsidR="006D4282">
                  <w:rPr>
                    <w:noProof/>
                    <w:webHidden/>
                  </w:rPr>
                  <w:tab/>
                </w:r>
                <w:r w:rsidR="006D4282">
                  <w:rPr>
                    <w:noProof/>
                    <w:webHidden/>
                  </w:rPr>
                  <w:fldChar w:fldCharType="begin"/>
                </w:r>
                <w:r w:rsidR="006D4282">
                  <w:rPr>
                    <w:noProof/>
                    <w:webHidden/>
                  </w:rPr>
                  <w:instrText xml:space="preserve"> PAGEREF _Toc448747769 \h </w:instrText>
                </w:r>
                <w:r w:rsidR="006D4282">
                  <w:rPr>
                    <w:noProof/>
                    <w:webHidden/>
                  </w:rPr>
                </w:r>
                <w:r w:rsidR="006D4282">
                  <w:rPr>
                    <w:noProof/>
                    <w:webHidden/>
                  </w:rPr>
                  <w:fldChar w:fldCharType="separate"/>
                </w:r>
                <w:r w:rsidR="00645E7C">
                  <w:rPr>
                    <w:noProof/>
                    <w:webHidden/>
                  </w:rPr>
                  <w:t>24</w:t>
                </w:r>
                <w:r w:rsidR="006D4282">
                  <w:rPr>
                    <w:noProof/>
                    <w:webHidden/>
                  </w:rPr>
                  <w:fldChar w:fldCharType="end"/>
                </w:r>
              </w:hyperlink>
            </w:p>
            <w:p w:rsidR="006D4282" w:rsidRDefault="001D52B3">
              <w:pPr>
                <w:pStyle w:val="TOC3"/>
                <w:tabs>
                  <w:tab w:val="right" w:pos="9011"/>
                </w:tabs>
                <w:rPr>
                  <w:rFonts w:eastAsiaTheme="minorEastAsia"/>
                  <w:noProof/>
                </w:rPr>
              </w:pPr>
              <w:hyperlink w:anchor="_Toc448747770" w:history="1">
                <w:r w:rsidR="006D4282" w:rsidRPr="001435E8">
                  <w:rPr>
                    <w:rStyle w:val="Hyperlink"/>
                    <w:noProof/>
                  </w:rPr>
                  <w:t>Property Rights</w:t>
                </w:r>
                <w:r w:rsidR="006D4282">
                  <w:rPr>
                    <w:noProof/>
                    <w:webHidden/>
                  </w:rPr>
                  <w:tab/>
                </w:r>
                <w:r w:rsidR="006D4282">
                  <w:rPr>
                    <w:noProof/>
                    <w:webHidden/>
                  </w:rPr>
                  <w:fldChar w:fldCharType="begin"/>
                </w:r>
                <w:r w:rsidR="006D4282">
                  <w:rPr>
                    <w:noProof/>
                    <w:webHidden/>
                  </w:rPr>
                  <w:instrText xml:space="preserve"> PAGEREF _Toc448747770 \h </w:instrText>
                </w:r>
                <w:r w:rsidR="006D4282">
                  <w:rPr>
                    <w:noProof/>
                    <w:webHidden/>
                  </w:rPr>
                </w:r>
                <w:r w:rsidR="006D4282">
                  <w:rPr>
                    <w:noProof/>
                    <w:webHidden/>
                  </w:rPr>
                  <w:fldChar w:fldCharType="separate"/>
                </w:r>
                <w:r w:rsidR="00645E7C">
                  <w:rPr>
                    <w:noProof/>
                    <w:webHidden/>
                  </w:rPr>
                  <w:t>25</w:t>
                </w:r>
                <w:r w:rsidR="006D4282">
                  <w:rPr>
                    <w:noProof/>
                    <w:webHidden/>
                  </w:rPr>
                  <w:fldChar w:fldCharType="end"/>
                </w:r>
              </w:hyperlink>
            </w:p>
            <w:p w:rsidR="006D4282" w:rsidRDefault="001D52B3">
              <w:pPr>
                <w:pStyle w:val="TOC3"/>
                <w:tabs>
                  <w:tab w:val="right" w:pos="9011"/>
                </w:tabs>
                <w:rPr>
                  <w:rFonts w:eastAsiaTheme="minorEastAsia"/>
                  <w:noProof/>
                </w:rPr>
              </w:pPr>
              <w:hyperlink w:anchor="_Toc448747771" w:history="1">
                <w:r w:rsidR="006D4282" w:rsidRPr="001435E8">
                  <w:rPr>
                    <w:rStyle w:val="Hyperlink"/>
                    <w:noProof/>
                  </w:rPr>
                  <w:t>Right to self-determination and Aboriginal and Torres Strait Islander Queenslanders</w:t>
                </w:r>
                <w:r w:rsidR="006D4282">
                  <w:rPr>
                    <w:noProof/>
                    <w:webHidden/>
                  </w:rPr>
                  <w:tab/>
                </w:r>
                <w:r w:rsidR="006D4282">
                  <w:rPr>
                    <w:noProof/>
                    <w:webHidden/>
                  </w:rPr>
                  <w:fldChar w:fldCharType="begin"/>
                </w:r>
                <w:r w:rsidR="006D4282">
                  <w:rPr>
                    <w:noProof/>
                    <w:webHidden/>
                  </w:rPr>
                  <w:instrText xml:space="preserve"> PAGEREF _Toc448747771 \h </w:instrText>
                </w:r>
                <w:r w:rsidR="006D4282">
                  <w:rPr>
                    <w:noProof/>
                    <w:webHidden/>
                  </w:rPr>
                </w:r>
                <w:r w:rsidR="006D4282">
                  <w:rPr>
                    <w:noProof/>
                    <w:webHidden/>
                  </w:rPr>
                  <w:fldChar w:fldCharType="separate"/>
                </w:r>
                <w:r w:rsidR="00645E7C">
                  <w:rPr>
                    <w:noProof/>
                    <w:webHidden/>
                  </w:rPr>
                  <w:t>26</w:t>
                </w:r>
                <w:r w:rsidR="006D4282">
                  <w:rPr>
                    <w:noProof/>
                    <w:webHidden/>
                  </w:rPr>
                  <w:fldChar w:fldCharType="end"/>
                </w:r>
              </w:hyperlink>
            </w:p>
            <w:p w:rsidR="006D4282" w:rsidRDefault="001D52B3">
              <w:pPr>
                <w:pStyle w:val="TOC2"/>
                <w:tabs>
                  <w:tab w:val="right" w:pos="9011"/>
                </w:tabs>
                <w:rPr>
                  <w:rFonts w:eastAsiaTheme="minorEastAsia"/>
                  <w:noProof/>
                </w:rPr>
              </w:pPr>
              <w:hyperlink w:anchor="_Toc448747772" w:history="1">
                <w:r w:rsidR="006D4282" w:rsidRPr="001435E8">
                  <w:rPr>
                    <w:rStyle w:val="Hyperlink"/>
                    <w:noProof/>
                  </w:rPr>
                  <w:t>Limitation Clauses</w:t>
                </w:r>
                <w:r w:rsidR="006D4282">
                  <w:rPr>
                    <w:noProof/>
                    <w:webHidden/>
                  </w:rPr>
                  <w:tab/>
                </w:r>
                <w:r w:rsidR="006D4282">
                  <w:rPr>
                    <w:noProof/>
                    <w:webHidden/>
                  </w:rPr>
                  <w:fldChar w:fldCharType="begin"/>
                </w:r>
                <w:r w:rsidR="006D4282">
                  <w:rPr>
                    <w:noProof/>
                    <w:webHidden/>
                  </w:rPr>
                  <w:instrText xml:space="preserve"> PAGEREF _Toc448747772 \h </w:instrText>
                </w:r>
                <w:r w:rsidR="006D4282">
                  <w:rPr>
                    <w:noProof/>
                    <w:webHidden/>
                  </w:rPr>
                </w:r>
                <w:r w:rsidR="006D4282">
                  <w:rPr>
                    <w:noProof/>
                    <w:webHidden/>
                  </w:rPr>
                  <w:fldChar w:fldCharType="separate"/>
                </w:r>
                <w:r w:rsidR="00645E7C">
                  <w:rPr>
                    <w:noProof/>
                    <w:webHidden/>
                  </w:rPr>
                  <w:t>27</w:t>
                </w:r>
                <w:r w:rsidR="006D4282">
                  <w:rPr>
                    <w:noProof/>
                    <w:webHidden/>
                  </w:rPr>
                  <w:fldChar w:fldCharType="end"/>
                </w:r>
              </w:hyperlink>
            </w:p>
            <w:p w:rsidR="006D4282" w:rsidRDefault="001D52B3">
              <w:pPr>
                <w:pStyle w:val="TOC1"/>
                <w:tabs>
                  <w:tab w:val="right" w:pos="9011"/>
                </w:tabs>
                <w:rPr>
                  <w:rFonts w:eastAsiaTheme="minorEastAsia"/>
                  <w:noProof/>
                </w:rPr>
              </w:pPr>
              <w:hyperlink w:anchor="_Toc448747773" w:history="1">
                <w:r w:rsidR="006D4282" w:rsidRPr="001435E8">
                  <w:rPr>
                    <w:rStyle w:val="Hyperlink"/>
                    <w:noProof/>
                  </w:rPr>
                  <w:t>Making of laws, courts and tribunals and other entities</w:t>
                </w:r>
                <w:r w:rsidR="006D4282">
                  <w:rPr>
                    <w:noProof/>
                    <w:webHidden/>
                  </w:rPr>
                  <w:tab/>
                </w:r>
                <w:r w:rsidR="006D4282">
                  <w:rPr>
                    <w:noProof/>
                    <w:webHidden/>
                  </w:rPr>
                  <w:fldChar w:fldCharType="begin"/>
                </w:r>
                <w:r w:rsidR="006D4282">
                  <w:rPr>
                    <w:noProof/>
                    <w:webHidden/>
                  </w:rPr>
                  <w:instrText xml:space="preserve"> PAGEREF _Toc448747773 \h </w:instrText>
                </w:r>
                <w:r w:rsidR="006D4282">
                  <w:rPr>
                    <w:noProof/>
                    <w:webHidden/>
                  </w:rPr>
                </w:r>
                <w:r w:rsidR="006D4282">
                  <w:rPr>
                    <w:noProof/>
                    <w:webHidden/>
                  </w:rPr>
                  <w:fldChar w:fldCharType="separate"/>
                </w:r>
                <w:r w:rsidR="00645E7C">
                  <w:rPr>
                    <w:noProof/>
                    <w:webHidden/>
                  </w:rPr>
                  <w:t>28</w:t>
                </w:r>
                <w:r w:rsidR="006D4282">
                  <w:rPr>
                    <w:noProof/>
                    <w:webHidden/>
                  </w:rPr>
                  <w:fldChar w:fldCharType="end"/>
                </w:r>
              </w:hyperlink>
            </w:p>
            <w:p w:rsidR="006D4282" w:rsidRDefault="001D52B3">
              <w:pPr>
                <w:pStyle w:val="TOC2"/>
                <w:tabs>
                  <w:tab w:val="right" w:pos="9011"/>
                </w:tabs>
                <w:rPr>
                  <w:rFonts w:eastAsiaTheme="minorEastAsia"/>
                  <w:noProof/>
                </w:rPr>
              </w:pPr>
              <w:hyperlink w:anchor="_Toc448747774" w:history="1">
                <w:r w:rsidR="006D4282" w:rsidRPr="001435E8">
                  <w:rPr>
                    <w:rStyle w:val="Hyperlink"/>
                    <w:noProof/>
                  </w:rPr>
                  <w:t>The making of laws</w:t>
                </w:r>
                <w:r w:rsidR="006D4282">
                  <w:rPr>
                    <w:noProof/>
                    <w:webHidden/>
                  </w:rPr>
                  <w:tab/>
                </w:r>
                <w:r w:rsidR="006D4282">
                  <w:rPr>
                    <w:noProof/>
                    <w:webHidden/>
                  </w:rPr>
                  <w:fldChar w:fldCharType="begin"/>
                </w:r>
                <w:r w:rsidR="006D4282">
                  <w:rPr>
                    <w:noProof/>
                    <w:webHidden/>
                  </w:rPr>
                  <w:instrText xml:space="preserve"> PAGEREF _Toc448747774 \h </w:instrText>
                </w:r>
                <w:r w:rsidR="006D4282">
                  <w:rPr>
                    <w:noProof/>
                    <w:webHidden/>
                  </w:rPr>
                </w:r>
                <w:r w:rsidR="006D4282">
                  <w:rPr>
                    <w:noProof/>
                    <w:webHidden/>
                  </w:rPr>
                  <w:fldChar w:fldCharType="separate"/>
                </w:r>
                <w:r w:rsidR="00645E7C">
                  <w:rPr>
                    <w:noProof/>
                    <w:webHidden/>
                  </w:rPr>
                  <w:t>28</w:t>
                </w:r>
                <w:r w:rsidR="006D4282">
                  <w:rPr>
                    <w:noProof/>
                    <w:webHidden/>
                  </w:rPr>
                  <w:fldChar w:fldCharType="end"/>
                </w:r>
              </w:hyperlink>
            </w:p>
            <w:p w:rsidR="006D4282" w:rsidRDefault="001D52B3">
              <w:pPr>
                <w:pStyle w:val="TOC2"/>
                <w:tabs>
                  <w:tab w:val="right" w:pos="9011"/>
                </w:tabs>
                <w:rPr>
                  <w:rFonts w:eastAsiaTheme="minorEastAsia"/>
                  <w:noProof/>
                </w:rPr>
              </w:pPr>
              <w:hyperlink w:anchor="_Toc448747775" w:history="1">
                <w:r w:rsidR="006D4282" w:rsidRPr="001435E8">
                  <w:rPr>
                    <w:rStyle w:val="Hyperlink"/>
                    <w:noProof/>
                  </w:rPr>
                  <w:t>Courts and Tribunals</w:t>
                </w:r>
                <w:r w:rsidR="006D4282">
                  <w:rPr>
                    <w:noProof/>
                    <w:webHidden/>
                  </w:rPr>
                  <w:tab/>
                </w:r>
                <w:r w:rsidR="006D4282">
                  <w:rPr>
                    <w:noProof/>
                    <w:webHidden/>
                  </w:rPr>
                  <w:fldChar w:fldCharType="begin"/>
                </w:r>
                <w:r w:rsidR="006D4282">
                  <w:rPr>
                    <w:noProof/>
                    <w:webHidden/>
                  </w:rPr>
                  <w:instrText xml:space="preserve"> PAGEREF _Toc448747775 \h </w:instrText>
                </w:r>
                <w:r w:rsidR="006D4282">
                  <w:rPr>
                    <w:noProof/>
                    <w:webHidden/>
                  </w:rPr>
                </w:r>
                <w:r w:rsidR="006D4282">
                  <w:rPr>
                    <w:noProof/>
                    <w:webHidden/>
                  </w:rPr>
                  <w:fldChar w:fldCharType="separate"/>
                </w:r>
                <w:r w:rsidR="00645E7C">
                  <w:rPr>
                    <w:noProof/>
                    <w:webHidden/>
                  </w:rPr>
                  <w:t>29</w:t>
                </w:r>
                <w:r w:rsidR="006D4282">
                  <w:rPr>
                    <w:noProof/>
                    <w:webHidden/>
                  </w:rPr>
                  <w:fldChar w:fldCharType="end"/>
                </w:r>
              </w:hyperlink>
            </w:p>
            <w:p w:rsidR="006D4282" w:rsidRDefault="001D52B3">
              <w:pPr>
                <w:pStyle w:val="TOC3"/>
                <w:tabs>
                  <w:tab w:val="right" w:pos="9011"/>
                </w:tabs>
                <w:rPr>
                  <w:rFonts w:eastAsiaTheme="minorEastAsia"/>
                  <w:noProof/>
                </w:rPr>
              </w:pPr>
              <w:hyperlink w:anchor="_Toc448747776" w:history="1">
                <w:r w:rsidR="006D4282" w:rsidRPr="001435E8">
                  <w:rPr>
                    <w:rStyle w:val="Hyperlink"/>
                    <w:noProof/>
                  </w:rPr>
                  <w:t>Judicial interpretation</w:t>
                </w:r>
                <w:r w:rsidR="006D4282">
                  <w:rPr>
                    <w:noProof/>
                    <w:webHidden/>
                  </w:rPr>
                  <w:tab/>
                </w:r>
                <w:r w:rsidR="006D4282">
                  <w:rPr>
                    <w:noProof/>
                    <w:webHidden/>
                  </w:rPr>
                  <w:fldChar w:fldCharType="begin"/>
                </w:r>
                <w:r w:rsidR="006D4282">
                  <w:rPr>
                    <w:noProof/>
                    <w:webHidden/>
                  </w:rPr>
                  <w:instrText xml:space="preserve"> PAGEREF _Toc448747776 \h </w:instrText>
                </w:r>
                <w:r w:rsidR="006D4282">
                  <w:rPr>
                    <w:noProof/>
                    <w:webHidden/>
                  </w:rPr>
                </w:r>
                <w:r w:rsidR="006D4282">
                  <w:rPr>
                    <w:noProof/>
                    <w:webHidden/>
                  </w:rPr>
                  <w:fldChar w:fldCharType="separate"/>
                </w:r>
                <w:r w:rsidR="00645E7C">
                  <w:rPr>
                    <w:noProof/>
                    <w:webHidden/>
                  </w:rPr>
                  <w:t>29</w:t>
                </w:r>
                <w:r w:rsidR="006D4282">
                  <w:rPr>
                    <w:noProof/>
                    <w:webHidden/>
                  </w:rPr>
                  <w:fldChar w:fldCharType="end"/>
                </w:r>
              </w:hyperlink>
            </w:p>
            <w:p w:rsidR="006D4282" w:rsidRDefault="001D52B3">
              <w:pPr>
                <w:pStyle w:val="TOC3"/>
                <w:tabs>
                  <w:tab w:val="right" w:pos="9011"/>
                </w:tabs>
                <w:rPr>
                  <w:rFonts w:eastAsiaTheme="minorEastAsia"/>
                  <w:noProof/>
                </w:rPr>
              </w:pPr>
              <w:hyperlink w:anchor="_Toc448747777" w:history="1">
                <w:r w:rsidR="006D4282" w:rsidRPr="001435E8">
                  <w:rPr>
                    <w:rStyle w:val="Hyperlink"/>
                    <w:noProof/>
                  </w:rPr>
                  <w:t>Judicial decision making function</w:t>
                </w:r>
                <w:r w:rsidR="006D4282">
                  <w:rPr>
                    <w:noProof/>
                    <w:webHidden/>
                  </w:rPr>
                  <w:tab/>
                </w:r>
                <w:r w:rsidR="006D4282">
                  <w:rPr>
                    <w:noProof/>
                    <w:webHidden/>
                  </w:rPr>
                  <w:fldChar w:fldCharType="begin"/>
                </w:r>
                <w:r w:rsidR="006D4282">
                  <w:rPr>
                    <w:noProof/>
                    <w:webHidden/>
                  </w:rPr>
                  <w:instrText xml:space="preserve"> PAGEREF _Toc448747777 \h </w:instrText>
                </w:r>
                <w:r w:rsidR="006D4282">
                  <w:rPr>
                    <w:noProof/>
                    <w:webHidden/>
                  </w:rPr>
                </w:r>
                <w:r w:rsidR="006D4282">
                  <w:rPr>
                    <w:noProof/>
                    <w:webHidden/>
                  </w:rPr>
                  <w:fldChar w:fldCharType="separate"/>
                </w:r>
                <w:r w:rsidR="00645E7C">
                  <w:rPr>
                    <w:noProof/>
                    <w:webHidden/>
                  </w:rPr>
                  <w:t>30</w:t>
                </w:r>
                <w:r w:rsidR="006D4282">
                  <w:rPr>
                    <w:noProof/>
                    <w:webHidden/>
                  </w:rPr>
                  <w:fldChar w:fldCharType="end"/>
                </w:r>
              </w:hyperlink>
            </w:p>
            <w:p w:rsidR="006D4282" w:rsidRDefault="001D52B3">
              <w:pPr>
                <w:pStyle w:val="TOC2"/>
                <w:tabs>
                  <w:tab w:val="right" w:pos="9011"/>
                </w:tabs>
                <w:rPr>
                  <w:rFonts w:eastAsiaTheme="minorEastAsia"/>
                  <w:noProof/>
                </w:rPr>
              </w:pPr>
              <w:hyperlink w:anchor="_Toc448747778" w:history="1">
                <w:r w:rsidR="006D4282" w:rsidRPr="001435E8">
                  <w:rPr>
                    <w:rStyle w:val="Hyperlink"/>
                    <w:noProof/>
                  </w:rPr>
                  <w:t>Breaches of human rights by public authorities</w:t>
                </w:r>
                <w:r w:rsidR="006D4282">
                  <w:rPr>
                    <w:noProof/>
                    <w:webHidden/>
                  </w:rPr>
                  <w:tab/>
                </w:r>
                <w:r w:rsidR="006D4282">
                  <w:rPr>
                    <w:noProof/>
                    <w:webHidden/>
                  </w:rPr>
                  <w:fldChar w:fldCharType="begin"/>
                </w:r>
                <w:r w:rsidR="006D4282">
                  <w:rPr>
                    <w:noProof/>
                    <w:webHidden/>
                  </w:rPr>
                  <w:instrText xml:space="preserve"> PAGEREF _Toc448747778 \h </w:instrText>
                </w:r>
                <w:r w:rsidR="006D4282">
                  <w:rPr>
                    <w:noProof/>
                    <w:webHidden/>
                  </w:rPr>
                </w:r>
                <w:r w:rsidR="006D4282">
                  <w:rPr>
                    <w:noProof/>
                    <w:webHidden/>
                  </w:rPr>
                  <w:fldChar w:fldCharType="separate"/>
                </w:r>
                <w:r w:rsidR="00645E7C">
                  <w:rPr>
                    <w:noProof/>
                    <w:webHidden/>
                  </w:rPr>
                  <w:t>32</w:t>
                </w:r>
                <w:r w:rsidR="006D4282">
                  <w:rPr>
                    <w:noProof/>
                    <w:webHidden/>
                  </w:rPr>
                  <w:fldChar w:fldCharType="end"/>
                </w:r>
              </w:hyperlink>
            </w:p>
            <w:p w:rsidR="006D4282" w:rsidRDefault="001D52B3">
              <w:pPr>
                <w:pStyle w:val="TOC2"/>
                <w:tabs>
                  <w:tab w:val="right" w:pos="9011"/>
                </w:tabs>
                <w:rPr>
                  <w:rFonts w:eastAsiaTheme="minorEastAsia"/>
                  <w:noProof/>
                </w:rPr>
              </w:pPr>
              <w:hyperlink w:anchor="_Toc448747779" w:history="1">
                <w:r w:rsidR="006D4282" w:rsidRPr="001435E8">
                  <w:rPr>
                    <w:rStyle w:val="Hyperlink"/>
                    <w:noProof/>
                  </w:rPr>
                  <w:t>Damages</w:t>
                </w:r>
                <w:r w:rsidR="006D4282">
                  <w:rPr>
                    <w:noProof/>
                    <w:webHidden/>
                  </w:rPr>
                  <w:tab/>
                </w:r>
                <w:r w:rsidR="006D4282">
                  <w:rPr>
                    <w:noProof/>
                    <w:webHidden/>
                  </w:rPr>
                  <w:fldChar w:fldCharType="begin"/>
                </w:r>
                <w:r w:rsidR="006D4282">
                  <w:rPr>
                    <w:noProof/>
                    <w:webHidden/>
                  </w:rPr>
                  <w:instrText xml:space="preserve"> PAGEREF _Toc448747779 \h </w:instrText>
                </w:r>
                <w:r w:rsidR="006D4282">
                  <w:rPr>
                    <w:noProof/>
                    <w:webHidden/>
                  </w:rPr>
                </w:r>
                <w:r w:rsidR="006D4282">
                  <w:rPr>
                    <w:noProof/>
                    <w:webHidden/>
                  </w:rPr>
                  <w:fldChar w:fldCharType="separate"/>
                </w:r>
                <w:r w:rsidR="00645E7C">
                  <w:rPr>
                    <w:noProof/>
                    <w:webHidden/>
                  </w:rPr>
                  <w:t>33</w:t>
                </w:r>
                <w:r w:rsidR="006D4282">
                  <w:rPr>
                    <w:noProof/>
                    <w:webHidden/>
                  </w:rPr>
                  <w:fldChar w:fldCharType="end"/>
                </w:r>
              </w:hyperlink>
            </w:p>
            <w:p w:rsidR="006D4282" w:rsidRDefault="001D52B3">
              <w:pPr>
                <w:pStyle w:val="TOC2"/>
                <w:tabs>
                  <w:tab w:val="right" w:pos="9011"/>
                </w:tabs>
                <w:rPr>
                  <w:rFonts w:eastAsiaTheme="minorEastAsia"/>
                  <w:noProof/>
                </w:rPr>
              </w:pPr>
              <w:hyperlink w:anchor="_Toc448747780" w:history="1">
                <w:r w:rsidR="006D4282" w:rsidRPr="001435E8">
                  <w:rPr>
                    <w:rStyle w:val="Hyperlink"/>
                    <w:noProof/>
                  </w:rPr>
                  <w:t>Public Authorities</w:t>
                </w:r>
                <w:r w:rsidR="006D4282">
                  <w:rPr>
                    <w:noProof/>
                    <w:webHidden/>
                  </w:rPr>
                  <w:tab/>
                </w:r>
                <w:r w:rsidR="006D4282">
                  <w:rPr>
                    <w:noProof/>
                    <w:webHidden/>
                  </w:rPr>
                  <w:fldChar w:fldCharType="begin"/>
                </w:r>
                <w:r w:rsidR="006D4282">
                  <w:rPr>
                    <w:noProof/>
                    <w:webHidden/>
                  </w:rPr>
                  <w:instrText xml:space="preserve"> PAGEREF _Toc448747780 \h </w:instrText>
                </w:r>
                <w:r w:rsidR="006D4282">
                  <w:rPr>
                    <w:noProof/>
                    <w:webHidden/>
                  </w:rPr>
                </w:r>
                <w:r w:rsidR="006D4282">
                  <w:rPr>
                    <w:noProof/>
                    <w:webHidden/>
                  </w:rPr>
                  <w:fldChar w:fldCharType="separate"/>
                </w:r>
                <w:r w:rsidR="00645E7C">
                  <w:rPr>
                    <w:noProof/>
                    <w:webHidden/>
                  </w:rPr>
                  <w:t>33</w:t>
                </w:r>
                <w:r w:rsidR="006D4282">
                  <w:rPr>
                    <w:noProof/>
                    <w:webHidden/>
                  </w:rPr>
                  <w:fldChar w:fldCharType="end"/>
                </w:r>
              </w:hyperlink>
            </w:p>
            <w:p w:rsidR="006D4282" w:rsidRDefault="001D52B3">
              <w:pPr>
                <w:pStyle w:val="TOC2"/>
                <w:tabs>
                  <w:tab w:val="right" w:pos="9011"/>
                </w:tabs>
                <w:rPr>
                  <w:rFonts w:eastAsiaTheme="minorEastAsia"/>
                  <w:noProof/>
                </w:rPr>
              </w:pPr>
              <w:hyperlink w:anchor="_Toc448747781" w:history="1">
                <w:r w:rsidR="006D4282" w:rsidRPr="001435E8">
                  <w:rPr>
                    <w:rStyle w:val="Hyperlink"/>
                    <w:noProof/>
                  </w:rPr>
                  <w:t>Other Entities</w:t>
                </w:r>
                <w:r w:rsidR="006D4282">
                  <w:rPr>
                    <w:noProof/>
                    <w:webHidden/>
                  </w:rPr>
                  <w:tab/>
                </w:r>
                <w:r w:rsidR="006D4282">
                  <w:rPr>
                    <w:noProof/>
                    <w:webHidden/>
                  </w:rPr>
                  <w:fldChar w:fldCharType="begin"/>
                </w:r>
                <w:r w:rsidR="006D4282">
                  <w:rPr>
                    <w:noProof/>
                    <w:webHidden/>
                  </w:rPr>
                  <w:instrText xml:space="preserve"> PAGEREF _Toc448747781 \h </w:instrText>
                </w:r>
                <w:r w:rsidR="006D4282">
                  <w:rPr>
                    <w:noProof/>
                    <w:webHidden/>
                  </w:rPr>
                </w:r>
                <w:r w:rsidR="006D4282">
                  <w:rPr>
                    <w:noProof/>
                    <w:webHidden/>
                  </w:rPr>
                  <w:fldChar w:fldCharType="separate"/>
                </w:r>
                <w:r w:rsidR="00645E7C">
                  <w:rPr>
                    <w:noProof/>
                    <w:webHidden/>
                  </w:rPr>
                  <w:t>34</w:t>
                </w:r>
                <w:r w:rsidR="006D4282">
                  <w:rPr>
                    <w:noProof/>
                    <w:webHidden/>
                  </w:rPr>
                  <w:fldChar w:fldCharType="end"/>
                </w:r>
              </w:hyperlink>
            </w:p>
            <w:p w:rsidR="006D4282" w:rsidRDefault="001D52B3">
              <w:pPr>
                <w:pStyle w:val="TOC1"/>
                <w:tabs>
                  <w:tab w:val="right" w:pos="9011"/>
                </w:tabs>
                <w:rPr>
                  <w:rFonts w:eastAsiaTheme="minorEastAsia"/>
                  <w:noProof/>
                </w:rPr>
              </w:pPr>
              <w:hyperlink w:anchor="_Toc448747782" w:history="1">
                <w:r w:rsidR="006D4282" w:rsidRPr="001435E8">
                  <w:rPr>
                    <w:rStyle w:val="Hyperlink"/>
                    <w:noProof/>
                  </w:rPr>
                  <w:t>Inconsistency of laws and decisions</w:t>
                </w:r>
                <w:r w:rsidR="006D4282">
                  <w:rPr>
                    <w:noProof/>
                    <w:webHidden/>
                  </w:rPr>
                  <w:tab/>
                </w:r>
                <w:r w:rsidR="006D4282">
                  <w:rPr>
                    <w:noProof/>
                    <w:webHidden/>
                  </w:rPr>
                  <w:fldChar w:fldCharType="begin"/>
                </w:r>
                <w:r w:rsidR="006D4282">
                  <w:rPr>
                    <w:noProof/>
                    <w:webHidden/>
                  </w:rPr>
                  <w:instrText xml:space="preserve"> PAGEREF _Toc448747782 \h </w:instrText>
                </w:r>
                <w:r w:rsidR="006D4282">
                  <w:rPr>
                    <w:noProof/>
                    <w:webHidden/>
                  </w:rPr>
                </w:r>
                <w:r w:rsidR="006D4282">
                  <w:rPr>
                    <w:noProof/>
                    <w:webHidden/>
                  </w:rPr>
                  <w:fldChar w:fldCharType="separate"/>
                </w:r>
                <w:r w:rsidR="00645E7C">
                  <w:rPr>
                    <w:noProof/>
                    <w:webHidden/>
                  </w:rPr>
                  <w:t>34</w:t>
                </w:r>
                <w:r w:rsidR="006D4282">
                  <w:rPr>
                    <w:noProof/>
                    <w:webHidden/>
                  </w:rPr>
                  <w:fldChar w:fldCharType="end"/>
                </w:r>
              </w:hyperlink>
            </w:p>
            <w:p w:rsidR="006D4282" w:rsidRDefault="001D52B3">
              <w:pPr>
                <w:pStyle w:val="TOC1"/>
                <w:tabs>
                  <w:tab w:val="right" w:pos="9011"/>
                </w:tabs>
                <w:rPr>
                  <w:rFonts w:eastAsiaTheme="minorEastAsia"/>
                  <w:noProof/>
                </w:rPr>
              </w:pPr>
              <w:hyperlink w:anchor="_Toc448747783" w:history="1">
                <w:r w:rsidR="006D4282" w:rsidRPr="001435E8">
                  <w:rPr>
                    <w:rStyle w:val="Hyperlink"/>
                    <w:noProof/>
                  </w:rPr>
                  <w:t>Existing statutory complaints processes</w:t>
                </w:r>
                <w:r w:rsidR="006D4282">
                  <w:rPr>
                    <w:noProof/>
                    <w:webHidden/>
                  </w:rPr>
                  <w:tab/>
                </w:r>
                <w:r w:rsidR="006D4282">
                  <w:rPr>
                    <w:noProof/>
                    <w:webHidden/>
                  </w:rPr>
                  <w:fldChar w:fldCharType="begin"/>
                </w:r>
                <w:r w:rsidR="006D4282">
                  <w:rPr>
                    <w:noProof/>
                    <w:webHidden/>
                  </w:rPr>
                  <w:instrText xml:space="preserve"> PAGEREF _Toc448747783 \h </w:instrText>
                </w:r>
                <w:r w:rsidR="006D4282">
                  <w:rPr>
                    <w:noProof/>
                    <w:webHidden/>
                  </w:rPr>
                </w:r>
                <w:r w:rsidR="006D4282">
                  <w:rPr>
                    <w:noProof/>
                    <w:webHidden/>
                  </w:rPr>
                  <w:fldChar w:fldCharType="separate"/>
                </w:r>
                <w:r w:rsidR="00645E7C">
                  <w:rPr>
                    <w:noProof/>
                    <w:webHidden/>
                  </w:rPr>
                  <w:t>34</w:t>
                </w:r>
                <w:r w:rsidR="006D4282">
                  <w:rPr>
                    <w:noProof/>
                    <w:webHidden/>
                  </w:rPr>
                  <w:fldChar w:fldCharType="end"/>
                </w:r>
              </w:hyperlink>
            </w:p>
            <w:p w:rsidR="006D4282" w:rsidRDefault="001D52B3">
              <w:pPr>
                <w:pStyle w:val="TOC2"/>
                <w:tabs>
                  <w:tab w:val="right" w:pos="9011"/>
                </w:tabs>
                <w:rPr>
                  <w:rFonts w:eastAsiaTheme="minorEastAsia"/>
                  <w:noProof/>
                </w:rPr>
              </w:pPr>
              <w:hyperlink w:anchor="_Toc448747784" w:history="1">
                <w:r w:rsidR="006D4282" w:rsidRPr="001435E8">
                  <w:rPr>
                    <w:rStyle w:val="Hyperlink"/>
                    <w:noProof/>
                  </w:rPr>
                  <w:t>Existing Internal complaints mechanisms</w:t>
                </w:r>
                <w:r w:rsidR="006D4282">
                  <w:rPr>
                    <w:noProof/>
                    <w:webHidden/>
                  </w:rPr>
                  <w:tab/>
                </w:r>
                <w:r w:rsidR="006D4282">
                  <w:rPr>
                    <w:noProof/>
                    <w:webHidden/>
                  </w:rPr>
                  <w:fldChar w:fldCharType="begin"/>
                </w:r>
                <w:r w:rsidR="006D4282">
                  <w:rPr>
                    <w:noProof/>
                    <w:webHidden/>
                  </w:rPr>
                  <w:instrText xml:space="preserve"> PAGEREF _Toc448747784 \h </w:instrText>
                </w:r>
                <w:r w:rsidR="006D4282">
                  <w:rPr>
                    <w:noProof/>
                    <w:webHidden/>
                  </w:rPr>
                </w:r>
                <w:r w:rsidR="006D4282">
                  <w:rPr>
                    <w:noProof/>
                    <w:webHidden/>
                  </w:rPr>
                  <w:fldChar w:fldCharType="separate"/>
                </w:r>
                <w:r w:rsidR="00645E7C">
                  <w:rPr>
                    <w:noProof/>
                    <w:webHidden/>
                  </w:rPr>
                  <w:t>34</w:t>
                </w:r>
                <w:r w:rsidR="006D4282">
                  <w:rPr>
                    <w:noProof/>
                    <w:webHidden/>
                  </w:rPr>
                  <w:fldChar w:fldCharType="end"/>
                </w:r>
              </w:hyperlink>
            </w:p>
            <w:p w:rsidR="006D4282" w:rsidRDefault="001D52B3">
              <w:pPr>
                <w:pStyle w:val="TOC2"/>
                <w:tabs>
                  <w:tab w:val="right" w:pos="9011"/>
                </w:tabs>
                <w:rPr>
                  <w:rFonts w:eastAsiaTheme="minorEastAsia"/>
                  <w:noProof/>
                </w:rPr>
              </w:pPr>
              <w:hyperlink w:anchor="_Toc448747785" w:history="1">
                <w:r w:rsidR="006D4282" w:rsidRPr="001435E8">
                  <w:rPr>
                    <w:rStyle w:val="Hyperlink"/>
                    <w:noProof/>
                  </w:rPr>
                  <w:t>Anti-Discrimination Commission</w:t>
                </w:r>
                <w:r w:rsidR="006D4282">
                  <w:rPr>
                    <w:noProof/>
                    <w:webHidden/>
                  </w:rPr>
                  <w:tab/>
                </w:r>
                <w:r w:rsidR="006D4282">
                  <w:rPr>
                    <w:noProof/>
                    <w:webHidden/>
                  </w:rPr>
                  <w:fldChar w:fldCharType="begin"/>
                </w:r>
                <w:r w:rsidR="006D4282">
                  <w:rPr>
                    <w:noProof/>
                    <w:webHidden/>
                  </w:rPr>
                  <w:instrText xml:space="preserve"> PAGEREF _Toc448747785 \h </w:instrText>
                </w:r>
                <w:r w:rsidR="006D4282">
                  <w:rPr>
                    <w:noProof/>
                    <w:webHidden/>
                  </w:rPr>
                </w:r>
                <w:r w:rsidR="006D4282">
                  <w:rPr>
                    <w:noProof/>
                    <w:webHidden/>
                  </w:rPr>
                  <w:fldChar w:fldCharType="separate"/>
                </w:r>
                <w:r w:rsidR="00645E7C">
                  <w:rPr>
                    <w:noProof/>
                    <w:webHidden/>
                  </w:rPr>
                  <w:t>35</w:t>
                </w:r>
                <w:r w:rsidR="006D4282">
                  <w:rPr>
                    <w:noProof/>
                    <w:webHidden/>
                  </w:rPr>
                  <w:fldChar w:fldCharType="end"/>
                </w:r>
              </w:hyperlink>
            </w:p>
            <w:p w:rsidR="006D4282" w:rsidRDefault="001D52B3">
              <w:pPr>
                <w:pStyle w:val="TOC2"/>
                <w:tabs>
                  <w:tab w:val="right" w:pos="9011"/>
                </w:tabs>
                <w:rPr>
                  <w:rFonts w:eastAsiaTheme="minorEastAsia"/>
                  <w:noProof/>
                </w:rPr>
              </w:pPr>
              <w:hyperlink w:anchor="_Toc448747786" w:history="1">
                <w:r w:rsidR="006D4282" w:rsidRPr="001435E8">
                  <w:rPr>
                    <w:rStyle w:val="Hyperlink"/>
                    <w:noProof/>
                  </w:rPr>
                  <w:t>Queensland Ombudsman</w:t>
                </w:r>
                <w:r w:rsidR="006D4282">
                  <w:rPr>
                    <w:noProof/>
                    <w:webHidden/>
                  </w:rPr>
                  <w:tab/>
                </w:r>
                <w:r w:rsidR="006D4282">
                  <w:rPr>
                    <w:noProof/>
                    <w:webHidden/>
                  </w:rPr>
                  <w:fldChar w:fldCharType="begin"/>
                </w:r>
                <w:r w:rsidR="006D4282">
                  <w:rPr>
                    <w:noProof/>
                    <w:webHidden/>
                  </w:rPr>
                  <w:instrText xml:space="preserve"> PAGEREF _Toc448747786 \h </w:instrText>
                </w:r>
                <w:r w:rsidR="006D4282">
                  <w:rPr>
                    <w:noProof/>
                    <w:webHidden/>
                  </w:rPr>
                </w:r>
                <w:r w:rsidR="006D4282">
                  <w:rPr>
                    <w:noProof/>
                    <w:webHidden/>
                  </w:rPr>
                  <w:fldChar w:fldCharType="separate"/>
                </w:r>
                <w:r w:rsidR="00645E7C">
                  <w:rPr>
                    <w:noProof/>
                    <w:webHidden/>
                  </w:rPr>
                  <w:t>35</w:t>
                </w:r>
                <w:r w:rsidR="006D4282">
                  <w:rPr>
                    <w:noProof/>
                    <w:webHidden/>
                  </w:rPr>
                  <w:fldChar w:fldCharType="end"/>
                </w:r>
              </w:hyperlink>
            </w:p>
            <w:p w:rsidR="006D4282" w:rsidRDefault="001D52B3">
              <w:pPr>
                <w:pStyle w:val="TOC2"/>
                <w:tabs>
                  <w:tab w:val="right" w:pos="9011"/>
                </w:tabs>
                <w:rPr>
                  <w:rFonts w:eastAsiaTheme="minorEastAsia"/>
                  <w:noProof/>
                </w:rPr>
              </w:pPr>
              <w:hyperlink w:anchor="_Toc448747787" w:history="1">
                <w:r w:rsidR="006D4282" w:rsidRPr="001435E8">
                  <w:rPr>
                    <w:rStyle w:val="Hyperlink"/>
                    <w:noProof/>
                  </w:rPr>
                  <w:t>Crime and Corruption Commission</w:t>
                </w:r>
                <w:r w:rsidR="006D4282">
                  <w:rPr>
                    <w:noProof/>
                    <w:webHidden/>
                  </w:rPr>
                  <w:tab/>
                </w:r>
                <w:r w:rsidR="006D4282">
                  <w:rPr>
                    <w:noProof/>
                    <w:webHidden/>
                  </w:rPr>
                  <w:fldChar w:fldCharType="begin"/>
                </w:r>
                <w:r w:rsidR="006D4282">
                  <w:rPr>
                    <w:noProof/>
                    <w:webHidden/>
                  </w:rPr>
                  <w:instrText xml:space="preserve"> PAGEREF _Toc448747787 \h </w:instrText>
                </w:r>
                <w:r w:rsidR="006D4282">
                  <w:rPr>
                    <w:noProof/>
                    <w:webHidden/>
                  </w:rPr>
                </w:r>
                <w:r w:rsidR="006D4282">
                  <w:rPr>
                    <w:noProof/>
                    <w:webHidden/>
                  </w:rPr>
                  <w:fldChar w:fldCharType="separate"/>
                </w:r>
                <w:r w:rsidR="00645E7C">
                  <w:rPr>
                    <w:noProof/>
                    <w:webHidden/>
                  </w:rPr>
                  <w:t>35</w:t>
                </w:r>
                <w:r w:rsidR="006D4282">
                  <w:rPr>
                    <w:noProof/>
                    <w:webHidden/>
                  </w:rPr>
                  <w:fldChar w:fldCharType="end"/>
                </w:r>
              </w:hyperlink>
            </w:p>
            <w:p w:rsidR="006D4282" w:rsidRDefault="001D52B3">
              <w:pPr>
                <w:pStyle w:val="TOC2"/>
                <w:tabs>
                  <w:tab w:val="right" w:pos="9011"/>
                </w:tabs>
                <w:rPr>
                  <w:rFonts w:eastAsiaTheme="minorEastAsia"/>
                  <w:noProof/>
                </w:rPr>
              </w:pPr>
              <w:hyperlink w:anchor="_Toc448747788" w:history="1">
                <w:r w:rsidR="006D4282" w:rsidRPr="001435E8">
                  <w:rPr>
                    <w:rStyle w:val="Hyperlink"/>
                    <w:noProof/>
                  </w:rPr>
                  <w:t>Relationship with other complaints handling bodies</w:t>
                </w:r>
                <w:r w:rsidR="006D4282">
                  <w:rPr>
                    <w:noProof/>
                    <w:webHidden/>
                  </w:rPr>
                  <w:tab/>
                </w:r>
                <w:r w:rsidR="006D4282">
                  <w:rPr>
                    <w:noProof/>
                    <w:webHidden/>
                  </w:rPr>
                  <w:fldChar w:fldCharType="begin"/>
                </w:r>
                <w:r w:rsidR="006D4282">
                  <w:rPr>
                    <w:noProof/>
                    <w:webHidden/>
                  </w:rPr>
                  <w:instrText xml:space="preserve"> PAGEREF _Toc448747788 \h </w:instrText>
                </w:r>
                <w:r w:rsidR="006D4282">
                  <w:rPr>
                    <w:noProof/>
                    <w:webHidden/>
                  </w:rPr>
                </w:r>
                <w:r w:rsidR="006D4282">
                  <w:rPr>
                    <w:noProof/>
                    <w:webHidden/>
                  </w:rPr>
                  <w:fldChar w:fldCharType="separate"/>
                </w:r>
                <w:r w:rsidR="00645E7C">
                  <w:rPr>
                    <w:noProof/>
                    <w:webHidden/>
                  </w:rPr>
                  <w:t>36</w:t>
                </w:r>
                <w:r w:rsidR="006D4282">
                  <w:rPr>
                    <w:noProof/>
                    <w:webHidden/>
                  </w:rPr>
                  <w:fldChar w:fldCharType="end"/>
                </w:r>
              </w:hyperlink>
            </w:p>
            <w:p w:rsidR="006D4282" w:rsidRDefault="001D52B3">
              <w:pPr>
                <w:pStyle w:val="TOC1"/>
                <w:tabs>
                  <w:tab w:val="right" w:pos="9011"/>
                </w:tabs>
                <w:rPr>
                  <w:rFonts w:eastAsiaTheme="minorEastAsia"/>
                  <w:noProof/>
                </w:rPr>
              </w:pPr>
              <w:hyperlink w:anchor="_Toc448747789" w:history="1">
                <w:r w:rsidR="006D4282" w:rsidRPr="001435E8">
                  <w:rPr>
                    <w:rStyle w:val="Hyperlink"/>
                    <w:noProof/>
                  </w:rPr>
                  <w:t>The functions and responsibilities under a Human Rights Act</w:t>
                </w:r>
                <w:r w:rsidR="006D4282">
                  <w:rPr>
                    <w:noProof/>
                    <w:webHidden/>
                  </w:rPr>
                  <w:tab/>
                </w:r>
                <w:r w:rsidR="006D4282">
                  <w:rPr>
                    <w:noProof/>
                    <w:webHidden/>
                  </w:rPr>
                  <w:fldChar w:fldCharType="begin"/>
                </w:r>
                <w:r w:rsidR="006D4282">
                  <w:rPr>
                    <w:noProof/>
                    <w:webHidden/>
                  </w:rPr>
                  <w:instrText xml:space="preserve"> PAGEREF _Toc448747789 \h </w:instrText>
                </w:r>
                <w:r w:rsidR="006D4282">
                  <w:rPr>
                    <w:noProof/>
                    <w:webHidden/>
                  </w:rPr>
                </w:r>
                <w:r w:rsidR="006D4282">
                  <w:rPr>
                    <w:noProof/>
                    <w:webHidden/>
                  </w:rPr>
                  <w:fldChar w:fldCharType="separate"/>
                </w:r>
                <w:r w:rsidR="00645E7C">
                  <w:rPr>
                    <w:noProof/>
                    <w:webHidden/>
                  </w:rPr>
                  <w:t>36</w:t>
                </w:r>
                <w:r w:rsidR="006D4282">
                  <w:rPr>
                    <w:noProof/>
                    <w:webHidden/>
                  </w:rPr>
                  <w:fldChar w:fldCharType="end"/>
                </w:r>
              </w:hyperlink>
            </w:p>
            <w:p w:rsidR="006D4282" w:rsidRDefault="001D52B3">
              <w:pPr>
                <w:pStyle w:val="TOC2"/>
                <w:tabs>
                  <w:tab w:val="right" w:pos="9011"/>
                </w:tabs>
                <w:rPr>
                  <w:rFonts w:eastAsiaTheme="minorEastAsia"/>
                  <w:noProof/>
                </w:rPr>
              </w:pPr>
              <w:hyperlink w:anchor="_Toc448747790" w:history="1">
                <w:r w:rsidR="006D4282" w:rsidRPr="001435E8">
                  <w:rPr>
                    <w:rStyle w:val="Hyperlink"/>
                    <w:noProof/>
                  </w:rPr>
                  <w:t>The Legislative Assembly</w:t>
                </w:r>
                <w:r w:rsidR="006D4282">
                  <w:rPr>
                    <w:noProof/>
                    <w:webHidden/>
                  </w:rPr>
                  <w:tab/>
                </w:r>
                <w:r w:rsidR="006D4282">
                  <w:rPr>
                    <w:noProof/>
                    <w:webHidden/>
                  </w:rPr>
                  <w:fldChar w:fldCharType="begin"/>
                </w:r>
                <w:r w:rsidR="006D4282">
                  <w:rPr>
                    <w:noProof/>
                    <w:webHidden/>
                  </w:rPr>
                  <w:instrText xml:space="preserve"> PAGEREF _Toc448747790 \h </w:instrText>
                </w:r>
                <w:r w:rsidR="006D4282">
                  <w:rPr>
                    <w:noProof/>
                    <w:webHidden/>
                  </w:rPr>
                </w:r>
                <w:r w:rsidR="006D4282">
                  <w:rPr>
                    <w:noProof/>
                    <w:webHidden/>
                  </w:rPr>
                  <w:fldChar w:fldCharType="separate"/>
                </w:r>
                <w:r w:rsidR="00645E7C">
                  <w:rPr>
                    <w:noProof/>
                    <w:webHidden/>
                  </w:rPr>
                  <w:t>36</w:t>
                </w:r>
                <w:r w:rsidR="006D4282">
                  <w:rPr>
                    <w:noProof/>
                    <w:webHidden/>
                  </w:rPr>
                  <w:fldChar w:fldCharType="end"/>
                </w:r>
              </w:hyperlink>
            </w:p>
            <w:p w:rsidR="006D4282" w:rsidRDefault="001D52B3">
              <w:pPr>
                <w:pStyle w:val="TOC2"/>
                <w:tabs>
                  <w:tab w:val="right" w:pos="9011"/>
                </w:tabs>
                <w:rPr>
                  <w:rFonts w:eastAsiaTheme="minorEastAsia"/>
                  <w:noProof/>
                </w:rPr>
              </w:pPr>
              <w:hyperlink w:anchor="_Toc448747791" w:history="1">
                <w:r w:rsidR="006D4282" w:rsidRPr="001435E8">
                  <w:rPr>
                    <w:rStyle w:val="Hyperlink"/>
                    <w:noProof/>
                  </w:rPr>
                  <w:t>The Judiciary</w:t>
                </w:r>
                <w:r w:rsidR="006D4282">
                  <w:rPr>
                    <w:noProof/>
                    <w:webHidden/>
                  </w:rPr>
                  <w:tab/>
                </w:r>
                <w:r w:rsidR="006D4282">
                  <w:rPr>
                    <w:noProof/>
                    <w:webHidden/>
                  </w:rPr>
                  <w:fldChar w:fldCharType="begin"/>
                </w:r>
                <w:r w:rsidR="006D4282">
                  <w:rPr>
                    <w:noProof/>
                    <w:webHidden/>
                  </w:rPr>
                  <w:instrText xml:space="preserve"> PAGEREF _Toc448747791 \h </w:instrText>
                </w:r>
                <w:r w:rsidR="006D4282">
                  <w:rPr>
                    <w:noProof/>
                    <w:webHidden/>
                  </w:rPr>
                </w:r>
                <w:r w:rsidR="006D4282">
                  <w:rPr>
                    <w:noProof/>
                    <w:webHidden/>
                  </w:rPr>
                  <w:fldChar w:fldCharType="separate"/>
                </w:r>
                <w:r w:rsidR="00645E7C">
                  <w:rPr>
                    <w:noProof/>
                    <w:webHidden/>
                  </w:rPr>
                  <w:t>36</w:t>
                </w:r>
                <w:r w:rsidR="006D4282">
                  <w:rPr>
                    <w:noProof/>
                    <w:webHidden/>
                  </w:rPr>
                  <w:fldChar w:fldCharType="end"/>
                </w:r>
              </w:hyperlink>
            </w:p>
            <w:p w:rsidR="006D4282" w:rsidRDefault="001D52B3">
              <w:pPr>
                <w:pStyle w:val="TOC2"/>
                <w:tabs>
                  <w:tab w:val="right" w:pos="9011"/>
                </w:tabs>
                <w:rPr>
                  <w:rFonts w:eastAsiaTheme="minorEastAsia"/>
                  <w:noProof/>
                </w:rPr>
              </w:pPr>
              <w:hyperlink w:anchor="_Toc448747792" w:history="1">
                <w:r w:rsidR="006D4282" w:rsidRPr="001435E8">
                  <w:rPr>
                    <w:rStyle w:val="Hyperlink"/>
                    <w:noProof/>
                  </w:rPr>
                  <w:t>The Public Sector</w:t>
                </w:r>
                <w:r w:rsidR="006D4282">
                  <w:rPr>
                    <w:noProof/>
                    <w:webHidden/>
                  </w:rPr>
                  <w:tab/>
                </w:r>
                <w:r w:rsidR="006D4282">
                  <w:rPr>
                    <w:noProof/>
                    <w:webHidden/>
                  </w:rPr>
                  <w:fldChar w:fldCharType="begin"/>
                </w:r>
                <w:r w:rsidR="006D4282">
                  <w:rPr>
                    <w:noProof/>
                    <w:webHidden/>
                  </w:rPr>
                  <w:instrText xml:space="preserve"> PAGEREF _Toc448747792 \h </w:instrText>
                </w:r>
                <w:r w:rsidR="006D4282">
                  <w:rPr>
                    <w:noProof/>
                    <w:webHidden/>
                  </w:rPr>
                </w:r>
                <w:r w:rsidR="006D4282">
                  <w:rPr>
                    <w:noProof/>
                    <w:webHidden/>
                  </w:rPr>
                  <w:fldChar w:fldCharType="separate"/>
                </w:r>
                <w:r w:rsidR="00645E7C">
                  <w:rPr>
                    <w:noProof/>
                    <w:webHidden/>
                  </w:rPr>
                  <w:t>37</w:t>
                </w:r>
                <w:r w:rsidR="006D4282">
                  <w:rPr>
                    <w:noProof/>
                    <w:webHidden/>
                  </w:rPr>
                  <w:fldChar w:fldCharType="end"/>
                </w:r>
              </w:hyperlink>
            </w:p>
            <w:p w:rsidR="006D4282" w:rsidRDefault="001D52B3">
              <w:pPr>
                <w:pStyle w:val="TOC2"/>
                <w:tabs>
                  <w:tab w:val="right" w:pos="9011"/>
                </w:tabs>
                <w:rPr>
                  <w:rFonts w:eastAsiaTheme="minorEastAsia"/>
                  <w:noProof/>
                </w:rPr>
              </w:pPr>
              <w:hyperlink w:anchor="_Toc448747793" w:history="1">
                <w:r w:rsidR="006D4282" w:rsidRPr="001435E8">
                  <w:rPr>
                    <w:rStyle w:val="Hyperlink"/>
                    <w:noProof/>
                  </w:rPr>
                  <w:t>The Anti-Discrimination Commission</w:t>
                </w:r>
                <w:r w:rsidR="006D4282">
                  <w:rPr>
                    <w:noProof/>
                    <w:webHidden/>
                  </w:rPr>
                  <w:tab/>
                </w:r>
                <w:r w:rsidR="006D4282">
                  <w:rPr>
                    <w:noProof/>
                    <w:webHidden/>
                  </w:rPr>
                  <w:fldChar w:fldCharType="begin"/>
                </w:r>
                <w:r w:rsidR="006D4282">
                  <w:rPr>
                    <w:noProof/>
                    <w:webHidden/>
                  </w:rPr>
                  <w:instrText xml:space="preserve"> PAGEREF _Toc448747793 \h </w:instrText>
                </w:r>
                <w:r w:rsidR="006D4282">
                  <w:rPr>
                    <w:noProof/>
                    <w:webHidden/>
                  </w:rPr>
                </w:r>
                <w:r w:rsidR="006D4282">
                  <w:rPr>
                    <w:noProof/>
                    <w:webHidden/>
                  </w:rPr>
                  <w:fldChar w:fldCharType="separate"/>
                </w:r>
                <w:r w:rsidR="00645E7C">
                  <w:rPr>
                    <w:noProof/>
                    <w:webHidden/>
                  </w:rPr>
                  <w:t>37</w:t>
                </w:r>
                <w:r w:rsidR="006D4282">
                  <w:rPr>
                    <w:noProof/>
                    <w:webHidden/>
                  </w:rPr>
                  <w:fldChar w:fldCharType="end"/>
                </w:r>
              </w:hyperlink>
            </w:p>
            <w:p w:rsidR="006D4282" w:rsidRDefault="001D52B3">
              <w:pPr>
                <w:pStyle w:val="TOC2"/>
                <w:tabs>
                  <w:tab w:val="right" w:pos="9011"/>
                </w:tabs>
                <w:rPr>
                  <w:rFonts w:eastAsiaTheme="minorEastAsia"/>
                  <w:noProof/>
                </w:rPr>
              </w:pPr>
              <w:hyperlink w:anchor="_Toc448747794" w:history="1">
                <w:r w:rsidR="006D4282" w:rsidRPr="001435E8">
                  <w:rPr>
                    <w:rStyle w:val="Hyperlink"/>
                    <w:noProof/>
                  </w:rPr>
                  <w:t>Other Complaint handling entities</w:t>
                </w:r>
                <w:r w:rsidR="006D4282">
                  <w:rPr>
                    <w:noProof/>
                    <w:webHidden/>
                  </w:rPr>
                  <w:tab/>
                </w:r>
                <w:r w:rsidR="006D4282">
                  <w:rPr>
                    <w:noProof/>
                    <w:webHidden/>
                  </w:rPr>
                  <w:fldChar w:fldCharType="begin"/>
                </w:r>
                <w:r w:rsidR="006D4282">
                  <w:rPr>
                    <w:noProof/>
                    <w:webHidden/>
                  </w:rPr>
                  <w:instrText xml:space="preserve"> PAGEREF _Toc448747794 \h </w:instrText>
                </w:r>
                <w:r w:rsidR="006D4282">
                  <w:rPr>
                    <w:noProof/>
                    <w:webHidden/>
                  </w:rPr>
                </w:r>
                <w:r w:rsidR="006D4282">
                  <w:rPr>
                    <w:noProof/>
                    <w:webHidden/>
                  </w:rPr>
                  <w:fldChar w:fldCharType="separate"/>
                </w:r>
                <w:r w:rsidR="00645E7C">
                  <w:rPr>
                    <w:noProof/>
                    <w:webHidden/>
                  </w:rPr>
                  <w:t>37</w:t>
                </w:r>
                <w:r w:rsidR="006D4282">
                  <w:rPr>
                    <w:noProof/>
                    <w:webHidden/>
                  </w:rPr>
                  <w:fldChar w:fldCharType="end"/>
                </w:r>
              </w:hyperlink>
            </w:p>
            <w:p w:rsidR="006D4282" w:rsidRDefault="001D52B3">
              <w:pPr>
                <w:pStyle w:val="TOC1"/>
                <w:tabs>
                  <w:tab w:val="right" w:pos="9011"/>
                </w:tabs>
                <w:rPr>
                  <w:rFonts w:eastAsiaTheme="minorEastAsia"/>
                  <w:noProof/>
                </w:rPr>
              </w:pPr>
              <w:hyperlink w:anchor="_Toc448747795" w:history="1">
                <w:r w:rsidR="006D4282" w:rsidRPr="001435E8">
                  <w:rPr>
                    <w:rStyle w:val="Hyperlink"/>
                    <w:noProof/>
                  </w:rPr>
                  <w:t>Recommendations</w:t>
                </w:r>
                <w:r w:rsidR="006D4282">
                  <w:rPr>
                    <w:noProof/>
                    <w:webHidden/>
                  </w:rPr>
                  <w:tab/>
                </w:r>
                <w:r w:rsidR="006D4282">
                  <w:rPr>
                    <w:noProof/>
                    <w:webHidden/>
                  </w:rPr>
                  <w:fldChar w:fldCharType="begin"/>
                </w:r>
                <w:r w:rsidR="006D4282">
                  <w:rPr>
                    <w:noProof/>
                    <w:webHidden/>
                  </w:rPr>
                  <w:instrText xml:space="preserve"> PAGEREF _Toc448747795 \h </w:instrText>
                </w:r>
                <w:r w:rsidR="006D4282">
                  <w:rPr>
                    <w:noProof/>
                    <w:webHidden/>
                  </w:rPr>
                </w:r>
                <w:r w:rsidR="006D4282">
                  <w:rPr>
                    <w:noProof/>
                    <w:webHidden/>
                  </w:rPr>
                  <w:fldChar w:fldCharType="separate"/>
                </w:r>
                <w:r w:rsidR="00645E7C">
                  <w:rPr>
                    <w:noProof/>
                    <w:webHidden/>
                  </w:rPr>
                  <w:t>38</w:t>
                </w:r>
                <w:r w:rsidR="006D4282">
                  <w:rPr>
                    <w:noProof/>
                    <w:webHidden/>
                  </w:rPr>
                  <w:fldChar w:fldCharType="end"/>
                </w:r>
              </w:hyperlink>
            </w:p>
            <w:p w:rsidR="006D4282" w:rsidRDefault="001D52B3">
              <w:pPr>
                <w:pStyle w:val="TOC1"/>
                <w:tabs>
                  <w:tab w:val="right" w:pos="9011"/>
                </w:tabs>
                <w:rPr>
                  <w:rFonts w:eastAsiaTheme="minorEastAsia"/>
                  <w:noProof/>
                </w:rPr>
              </w:pPr>
              <w:hyperlink w:anchor="_Toc448747796" w:history="1">
                <w:r w:rsidR="006D4282" w:rsidRPr="001435E8">
                  <w:rPr>
                    <w:rStyle w:val="Hyperlink"/>
                    <w:noProof/>
                  </w:rPr>
                  <w:t>Examples of Cases that have used human rights legislation</w:t>
                </w:r>
                <w:r w:rsidR="006D4282">
                  <w:rPr>
                    <w:noProof/>
                    <w:webHidden/>
                  </w:rPr>
                  <w:tab/>
                </w:r>
                <w:r w:rsidR="006D4282">
                  <w:rPr>
                    <w:noProof/>
                    <w:webHidden/>
                  </w:rPr>
                  <w:fldChar w:fldCharType="begin"/>
                </w:r>
                <w:r w:rsidR="006D4282">
                  <w:rPr>
                    <w:noProof/>
                    <w:webHidden/>
                  </w:rPr>
                  <w:instrText xml:space="preserve"> PAGEREF _Toc448747796 \h </w:instrText>
                </w:r>
                <w:r w:rsidR="006D4282">
                  <w:rPr>
                    <w:noProof/>
                    <w:webHidden/>
                  </w:rPr>
                </w:r>
                <w:r w:rsidR="006D4282">
                  <w:rPr>
                    <w:noProof/>
                    <w:webHidden/>
                  </w:rPr>
                  <w:fldChar w:fldCharType="separate"/>
                </w:r>
                <w:r w:rsidR="00645E7C">
                  <w:rPr>
                    <w:noProof/>
                    <w:webHidden/>
                  </w:rPr>
                  <w:t>40</w:t>
                </w:r>
                <w:r w:rsidR="006D4282">
                  <w:rPr>
                    <w:noProof/>
                    <w:webHidden/>
                  </w:rPr>
                  <w:fldChar w:fldCharType="end"/>
                </w:r>
              </w:hyperlink>
            </w:p>
            <w:p w:rsidR="006D4282" w:rsidRDefault="001D52B3">
              <w:pPr>
                <w:pStyle w:val="TOC2"/>
                <w:tabs>
                  <w:tab w:val="right" w:pos="9011"/>
                </w:tabs>
                <w:rPr>
                  <w:rFonts w:eastAsiaTheme="minorEastAsia"/>
                  <w:noProof/>
                </w:rPr>
              </w:pPr>
              <w:hyperlink w:anchor="_Toc448747797" w:history="1">
                <w:r w:rsidR="006D4282" w:rsidRPr="001435E8">
                  <w:rPr>
                    <w:rStyle w:val="Hyperlink"/>
                    <w:noProof/>
                  </w:rPr>
                  <w:t>Helping an older couple live in the same care home</w:t>
                </w:r>
                <w:r w:rsidR="006D4282">
                  <w:rPr>
                    <w:noProof/>
                    <w:webHidden/>
                  </w:rPr>
                  <w:tab/>
                </w:r>
                <w:r w:rsidR="006D4282">
                  <w:rPr>
                    <w:noProof/>
                    <w:webHidden/>
                  </w:rPr>
                  <w:fldChar w:fldCharType="begin"/>
                </w:r>
                <w:r w:rsidR="006D4282">
                  <w:rPr>
                    <w:noProof/>
                    <w:webHidden/>
                  </w:rPr>
                  <w:instrText xml:space="preserve"> PAGEREF _Toc448747797 \h </w:instrText>
                </w:r>
                <w:r w:rsidR="006D4282">
                  <w:rPr>
                    <w:noProof/>
                    <w:webHidden/>
                  </w:rPr>
                </w:r>
                <w:r w:rsidR="006D4282">
                  <w:rPr>
                    <w:noProof/>
                    <w:webHidden/>
                  </w:rPr>
                  <w:fldChar w:fldCharType="separate"/>
                </w:r>
                <w:r w:rsidR="00645E7C">
                  <w:rPr>
                    <w:noProof/>
                    <w:webHidden/>
                  </w:rPr>
                  <w:t>40</w:t>
                </w:r>
                <w:r w:rsidR="006D4282">
                  <w:rPr>
                    <w:noProof/>
                    <w:webHidden/>
                  </w:rPr>
                  <w:fldChar w:fldCharType="end"/>
                </w:r>
              </w:hyperlink>
            </w:p>
            <w:p w:rsidR="006D4282" w:rsidRDefault="001D52B3">
              <w:pPr>
                <w:pStyle w:val="TOC2"/>
                <w:tabs>
                  <w:tab w:val="right" w:pos="9011"/>
                </w:tabs>
                <w:rPr>
                  <w:rFonts w:eastAsiaTheme="minorEastAsia"/>
                  <w:noProof/>
                </w:rPr>
              </w:pPr>
              <w:hyperlink w:anchor="_Toc448747798" w:history="1">
                <w:r w:rsidR="006D4282" w:rsidRPr="001435E8">
                  <w:rPr>
                    <w:rStyle w:val="Hyperlink"/>
                    <w:noProof/>
                  </w:rPr>
                  <w:t>Reuniting separated older couple</w:t>
                </w:r>
                <w:r w:rsidR="006D4282">
                  <w:rPr>
                    <w:noProof/>
                    <w:webHidden/>
                  </w:rPr>
                  <w:tab/>
                </w:r>
                <w:r w:rsidR="006D4282">
                  <w:rPr>
                    <w:noProof/>
                    <w:webHidden/>
                  </w:rPr>
                  <w:fldChar w:fldCharType="begin"/>
                </w:r>
                <w:r w:rsidR="006D4282">
                  <w:rPr>
                    <w:noProof/>
                    <w:webHidden/>
                  </w:rPr>
                  <w:instrText xml:space="preserve"> PAGEREF _Toc448747798 \h </w:instrText>
                </w:r>
                <w:r w:rsidR="006D4282">
                  <w:rPr>
                    <w:noProof/>
                    <w:webHidden/>
                  </w:rPr>
                </w:r>
                <w:r w:rsidR="006D4282">
                  <w:rPr>
                    <w:noProof/>
                    <w:webHidden/>
                  </w:rPr>
                  <w:fldChar w:fldCharType="separate"/>
                </w:r>
                <w:r w:rsidR="00645E7C">
                  <w:rPr>
                    <w:noProof/>
                    <w:webHidden/>
                  </w:rPr>
                  <w:t>40</w:t>
                </w:r>
                <w:r w:rsidR="006D4282">
                  <w:rPr>
                    <w:noProof/>
                    <w:webHidden/>
                  </w:rPr>
                  <w:fldChar w:fldCharType="end"/>
                </w:r>
              </w:hyperlink>
            </w:p>
            <w:p w:rsidR="006D4282" w:rsidRDefault="001D52B3">
              <w:pPr>
                <w:pStyle w:val="TOC2"/>
                <w:tabs>
                  <w:tab w:val="right" w:pos="9011"/>
                </w:tabs>
                <w:rPr>
                  <w:rFonts w:eastAsiaTheme="minorEastAsia"/>
                  <w:noProof/>
                </w:rPr>
              </w:pPr>
              <w:hyperlink w:anchor="_Toc448747799" w:history="1">
                <w:r w:rsidR="006D4282" w:rsidRPr="001435E8">
                  <w:rPr>
                    <w:rStyle w:val="Hyperlink"/>
                    <w:noProof/>
                  </w:rPr>
                  <w:t>Supporting an older woman strapped into her wheelchair against her wishes</w:t>
                </w:r>
                <w:r w:rsidR="006D4282">
                  <w:rPr>
                    <w:noProof/>
                    <w:webHidden/>
                  </w:rPr>
                  <w:tab/>
                </w:r>
                <w:r w:rsidR="006D4282">
                  <w:rPr>
                    <w:noProof/>
                    <w:webHidden/>
                  </w:rPr>
                  <w:fldChar w:fldCharType="begin"/>
                </w:r>
                <w:r w:rsidR="006D4282">
                  <w:rPr>
                    <w:noProof/>
                    <w:webHidden/>
                  </w:rPr>
                  <w:instrText xml:space="preserve"> PAGEREF _Toc448747799 \h </w:instrText>
                </w:r>
                <w:r w:rsidR="006D4282">
                  <w:rPr>
                    <w:noProof/>
                    <w:webHidden/>
                  </w:rPr>
                </w:r>
                <w:r w:rsidR="006D4282">
                  <w:rPr>
                    <w:noProof/>
                    <w:webHidden/>
                  </w:rPr>
                  <w:fldChar w:fldCharType="separate"/>
                </w:r>
                <w:r w:rsidR="00645E7C">
                  <w:rPr>
                    <w:noProof/>
                    <w:webHidden/>
                  </w:rPr>
                  <w:t>40</w:t>
                </w:r>
                <w:r w:rsidR="006D4282">
                  <w:rPr>
                    <w:noProof/>
                    <w:webHidden/>
                  </w:rPr>
                  <w:fldChar w:fldCharType="end"/>
                </w:r>
              </w:hyperlink>
            </w:p>
            <w:p w:rsidR="006D4282" w:rsidRDefault="001D52B3">
              <w:pPr>
                <w:pStyle w:val="TOC2"/>
                <w:tabs>
                  <w:tab w:val="right" w:pos="9011"/>
                </w:tabs>
                <w:rPr>
                  <w:rFonts w:eastAsiaTheme="minorEastAsia"/>
                  <w:noProof/>
                </w:rPr>
              </w:pPr>
              <w:hyperlink w:anchor="_Toc448747800" w:history="1">
                <w:r w:rsidR="006D4282" w:rsidRPr="001435E8">
                  <w:rPr>
                    <w:rStyle w:val="Hyperlink"/>
                    <w:noProof/>
                  </w:rPr>
                  <w:t>Investigating unexplained bruising on a boy living in a care home</w:t>
                </w:r>
                <w:r w:rsidR="006D4282">
                  <w:rPr>
                    <w:noProof/>
                    <w:webHidden/>
                  </w:rPr>
                  <w:tab/>
                </w:r>
                <w:r w:rsidR="006D4282">
                  <w:rPr>
                    <w:noProof/>
                    <w:webHidden/>
                  </w:rPr>
                  <w:fldChar w:fldCharType="begin"/>
                </w:r>
                <w:r w:rsidR="006D4282">
                  <w:rPr>
                    <w:noProof/>
                    <w:webHidden/>
                  </w:rPr>
                  <w:instrText xml:space="preserve"> PAGEREF _Toc448747800 \h </w:instrText>
                </w:r>
                <w:r w:rsidR="006D4282">
                  <w:rPr>
                    <w:noProof/>
                    <w:webHidden/>
                  </w:rPr>
                </w:r>
                <w:r w:rsidR="006D4282">
                  <w:rPr>
                    <w:noProof/>
                    <w:webHidden/>
                  </w:rPr>
                  <w:fldChar w:fldCharType="separate"/>
                </w:r>
                <w:r w:rsidR="00645E7C">
                  <w:rPr>
                    <w:noProof/>
                    <w:webHidden/>
                  </w:rPr>
                  <w:t>41</w:t>
                </w:r>
                <w:r w:rsidR="006D4282">
                  <w:rPr>
                    <w:noProof/>
                    <w:webHidden/>
                  </w:rPr>
                  <w:fldChar w:fldCharType="end"/>
                </w:r>
              </w:hyperlink>
            </w:p>
            <w:p w:rsidR="006D4282" w:rsidRDefault="001D52B3">
              <w:pPr>
                <w:pStyle w:val="TOC2"/>
                <w:tabs>
                  <w:tab w:val="right" w:pos="9011"/>
                </w:tabs>
                <w:rPr>
                  <w:rFonts w:eastAsiaTheme="minorEastAsia"/>
                  <w:noProof/>
                </w:rPr>
              </w:pPr>
              <w:hyperlink w:anchor="_Toc448747801" w:history="1">
                <w:r w:rsidR="006D4282" w:rsidRPr="001435E8">
                  <w:rPr>
                    <w:rStyle w:val="Hyperlink"/>
                    <w:noProof/>
                  </w:rPr>
                  <w:t>Securing safe housing for a family fleeing domestic violence</w:t>
                </w:r>
                <w:r w:rsidR="006D4282">
                  <w:rPr>
                    <w:noProof/>
                    <w:webHidden/>
                  </w:rPr>
                  <w:tab/>
                </w:r>
                <w:r w:rsidR="006D4282">
                  <w:rPr>
                    <w:noProof/>
                    <w:webHidden/>
                  </w:rPr>
                  <w:fldChar w:fldCharType="begin"/>
                </w:r>
                <w:r w:rsidR="006D4282">
                  <w:rPr>
                    <w:noProof/>
                    <w:webHidden/>
                  </w:rPr>
                  <w:instrText xml:space="preserve"> PAGEREF _Toc448747801 \h </w:instrText>
                </w:r>
                <w:r w:rsidR="006D4282">
                  <w:rPr>
                    <w:noProof/>
                    <w:webHidden/>
                  </w:rPr>
                </w:r>
                <w:r w:rsidR="006D4282">
                  <w:rPr>
                    <w:noProof/>
                    <w:webHidden/>
                  </w:rPr>
                  <w:fldChar w:fldCharType="separate"/>
                </w:r>
                <w:r w:rsidR="00645E7C">
                  <w:rPr>
                    <w:noProof/>
                    <w:webHidden/>
                  </w:rPr>
                  <w:t>41</w:t>
                </w:r>
                <w:r w:rsidR="006D4282">
                  <w:rPr>
                    <w:noProof/>
                    <w:webHidden/>
                  </w:rPr>
                  <w:fldChar w:fldCharType="end"/>
                </w:r>
              </w:hyperlink>
            </w:p>
            <w:p w:rsidR="006D4282" w:rsidRDefault="001D52B3">
              <w:pPr>
                <w:pStyle w:val="TOC2"/>
                <w:tabs>
                  <w:tab w:val="right" w:pos="9011"/>
                </w:tabs>
                <w:rPr>
                  <w:rFonts w:eastAsiaTheme="minorEastAsia"/>
                  <w:noProof/>
                </w:rPr>
              </w:pPr>
              <w:hyperlink w:anchor="_Toc448747802" w:history="1">
                <w:r w:rsidR="006D4282" w:rsidRPr="001435E8">
                  <w:rPr>
                    <w:rStyle w:val="Hyperlink"/>
                    <w:noProof/>
                  </w:rPr>
                  <w:t>Preventing a woman and her newborn baby being made homeless</w:t>
                </w:r>
                <w:r w:rsidR="006D4282">
                  <w:rPr>
                    <w:noProof/>
                    <w:webHidden/>
                  </w:rPr>
                  <w:tab/>
                </w:r>
                <w:r w:rsidR="006D4282">
                  <w:rPr>
                    <w:noProof/>
                    <w:webHidden/>
                  </w:rPr>
                  <w:fldChar w:fldCharType="begin"/>
                </w:r>
                <w:r w:rsidR="006D4282">
                  <w:rPr>
                    <w:noProof/>
                    <w:webHidden/>
                  </w:rPr>
                  <w:instrText xml:space="preserve"> PAGEREF _Toc448747802 \h </w:instrText>
                </w:r>
                <w:r w:rsidR="006D4282">
                  <w:rPr>
                    <w:noProof/>
                    <w:webHidden/>
                  </w:rPr>
                </w:r>
                <w:r w:rsidR="006D4282">
                  <w:rPr>
                    <w:noProof/>
                    <w:webHidden/>
                  </w:rPr>
                  <w:fldChar w:fldCharType="separate"/>
                </w:r>
                <w:r w:rsidR="00645E7C">
                  <w:rPr>
                    <w:noProof/>
                    <w:webHidden/>
                  </w:rPr>
                  <w:t>42</w:t>
                </w:r>
                <w:r w:rsidR="006D4282">
                  <w:rPr>
                    <w:noProof/>
                    <w:webHidden/>
                  </w:rPr>
                  <w:fldChar w:fldCharType="end"/>
                </w:r>
              </w:hyperlink>
            </w:p>
            <w:p w:rsidR="006D4282" w:rsidRDefault="001D52B3">
              <w:pPr>
                <w:pStyle w:val="TOC2"/>
                <w:tabs>
                  <w:tab w:val="right" w:pos="9011"/>
                </w:tabs>
                <w:rPr>
                  <w:rFonts w:eastAsiaTheme="minorEastAsia"/>
                  <w:noProof/>
                </w:rPr>
              </w:pPr>
              <w:hyperlink w:anchor="_Toc448747803" w:history="1">
                <w:r w:rsidR="006D4282" w:rsidRPr="001435E8">
                  <w:rPr>
                    <w:rStyle w:val="Hyperlink"/>
                    <w:noProof/>
                  </w:rPr>
                  <w:t>Supporting children to visit their mum in a mental health care home</w:t>
                </w:r>
                <w:r w:rsidR="006D4282">
                  <w:rPr>
                    <w:noProof/>
                    <w:webHidden/>
                  </w:rPr>
                  <w:tab/>
                </w:r>
                <w:r w:rsidR="006D4282">
                  <w:rPr>
                    <w:noProof/>
                    <w:webHidden/>
                  </w:rPr>
                  <w:fldChar w:fldCharType="begin"/>
                </w:r>
                <w:r w:rsidR="006D4282">
                  <w:rPr>
                    <w:noProof/>
                    <w:webHidden/>
                  </w:rPr>
                  <w:instrText xml:space="preserve"> PAGEREF _Toc448747803 \h </w:instrText>
                </w:r>
                <w:r w:rsidR="006D4282">
                  <w:rPr>
                    <w:noProof/>
                    <w:webHidden/>
                  </w:rPr>
                </w:r>
                <w:r w:rsidR="006D4282">
                  <w:rPr>
                    <w:noProof/>
                    <w:webHidden/>
                  </w:rPr>
                  <w:fldChar w:fldCharType="separate"/>
                </w:r>
                <w:r w:rsidR="00645E7C">
                  <w:rPr>
                    <w:noProof/>
                    <w:webHidden/>
                  </w:rPr>
                  <w:t>42</w:t>
                </w:r>
                <w:r w:rsidR="006D4282">
                  <w:rPr>
                    <w:noProof/>
                    <w:webHidden/>
                  </w:rPr>
                  <w:fldChar w:fldCharType="end"/>
                </w:r>
              </w:hyperlink>
            </w:p>
            <w:p w:rsidR="006D4282" w:rsidRDefault="001D52B3">
              <w:pPr>
                <w:pStyle w:val="TOC2"/>
                <w:tabs>
                  <w:tab w:val="right" w:pos="9011"/>
                </w:tabs>
                <w:rPr>
                  <w:rFonts w:eastAsiaTheme="minorEastAsia"/>
                  <w:noProof/>
                </w:rPr>
              </w:pPr>
              <w:hyperlink w:anchor="_Toc448747804" w:history="1">
                <w:r w:rsidR="006D4282" w:rsidRPr="001435E8">
                  <w:rPr>
                    <w:rStyle w:val="Hyperlink"/>
                    <w:noProof/>
                  </w:rPr>
                  <w:t>Getting justice for a war veteran unlawfully detained by the Council</w:t>
                </w:r>
                <w:r w:rsidR="006D4282">
                  <w:rPr>
                    <w:noProof/>
                    <w:webHidden/>
                  </w:rPr>
                  <w:tab/>
                </w:r>
                <w:r w:rsidR="006D4282">
                  <w:rPr>
                    <w:noProof/>
                    <w:webHidden/>
                  </w:rPr>
                  <w:fldChar w:fldCharType="begin"/>
                </w:r>
                <w:r w:rsidR="006D4282">
                  <w:rPr>
                    <w:noProof/>
                    <w:webHidden/>
                  </w:rPr>
                  <w:instrText xml:space="preserve"> PAGEREF _Toc448747804 \h </w:instrText>
                </w:r>
                <w:r w:rsidR="006D4282">
                  <w:rPr>
                    <w:noProof/>
                    <w:webHidden/>
                  </w:rPr>
                </w:r>
                <w:r w:rsidR="006D4282">
                  <w:rPr>
                    <w:noProof/>
                    <w:webHidden/>
                  </w:rPr>
                  <w:fldChar w:fldCharType="separate"/>
                </w:r>
                <w:r w:rsidR="00645E7C">
                  <w:rPr>
                    <w:noProof/>
                    <w:webHidden/>
                  </w:rPr>
                  <w:t>42</w:t>
                </w:r>
                <w:r w:rsidR="006D4282">
                  <w:rPr>
                    <w:noProof/>
                    <w:webHidden/>
                  </w:rPr>
                  <w:fldChar w:fldCharType="end"/>
                </w:r>
              </w:hyperlink>
            </w:p>
            <w:p w:rsidR="006D4282" w:rsidRDefault="001D52B3">
              <w:pPr>
                <w:pStyle w:val="TOC2"/>
                <w:tabs>
                  <w:tab w:val="right" w:pos="9011"/>
                </w:tabs>
                <w:rPr>
                  <w:rFonts w:eastAsiaTheme="minorEastAsia"/>
                  <w:noProof/>
                </w:rPr>
              </w:pPr>
              <w:hyperlink w:anchor="_Toc448747805" w:history="1">
                <w:r w:rsidR="006D4282" w:rsidRPr="001435E8">
                  <w:rPr>
                    <w:rStyle w:val="Hyperlink"/>
                    <w:noProof/>
                  </w:rPr>
                  <w:t>Challenging unannounced daily visits from social workers</w:t>
                </w:r>
                <w:r w:rsidR="006D4282">
                  <w:rPr>
                    <w:noProof/>
                    <w:webHidden/>
                  </w:rPr>
                  <w:tab/>
                </w:r>
                <w:r w:rsidR="006D4282">
                  <w:rPr>
                    <w:noProof/>
                    <w:webHidden/>
                  </w:rPr>
                  <w:fldChar w:fldCharType="begin"/>
                </w:r>
                <w:r w:rsidR="006D4282">
                  <w:rPr>
                    <w:noProof/>
                    <w:webHidden/>
                  </w:rPr>
                  <w:instrText xml:space="preserve"> PAGEREF _Toc448747805 \h </w:instrText>
                </w:r>
                <w:r w:rsidR="006D4282">
                  <w:rPr>
                    <w:noProof/>
                    <w:webHidden/>
                  </w:rPr>
                </w:r>
                <w:r w:rsidR="006D4282">
                  <w:rPr>
                    <w:noProof/>
                    <w:webHidden/>
                  </w:rPr>
                  <w:fldChar w:fldCharType="separate"/>
                </w:r>
                <w:r w:rsidR="00645E7C">
                  <w:rPr>
                    <w:noProof/>
                    <w:webHidden/>
                  </w:rPr>
                  <w:t>43</w:t>
                </w:r>
                <w:r w:rsidR="006D4282">
                  <w:rPr>
                    <w:noProof/>
                    <w:webHidden/>
                  </w:rPr>
                  <w:fldChar w:fldCharType="end"/>
                </w:r>
              </w:hyperlink>
            </w:p>
            <w:p w:rsidR="006D4282" w:rsidRDefault="001D52B3">
              <w:pPr>
                <w:pStyle w:val="TOC2"/>
                <w:tabs>
                  <w:tab w:val="right" w:pos="9011"/>
                </w:tabs>
                <w:rPr>
                  <w:rFonts w:eastAsiaTheme="minorEastAsia"/>
                  <w:noProof/>
                </w:rPr>
              </w:pPr>
              <w:hyperlink w:anchor="_Toc448747806" w:history="1">
                <w:r w:rsidR="006D4282" w:rsidRPr="001435E8">
                  <w:rPr>
                    <w:rStyle w:val="Hyperlink"/>
                    <w:noProof/>
                  </w:rPr>
                  <w:t>Protecting the dignity of a learning disabled man in residential care</w:t>
                </w:r>
                <w:r w:rsidR="006D4282">
                  <w:rPr>
                    <w:noProof/>
                    <w:webHidden/>
                  </w:rPr>
                  <w:tab/>
                </w:r>
                <w:r w:rsidR="006D4282">
                  <w:rPr>
                    <w:noProof/>
                    <w:webHidden/>
                  </w:rPr>
                  <w:fldChar w:fldCharType="begin"/>
                </w:r>
                <w:r w:rsidR="006D4282">
                  <w:rPr>
                    <w:noProof/>
                    <w:webHidden/>
                  </w:rPr>
                  <w:instrText xml:space="preserve"> PAGEREF _Toc448747806 \h </w:instrText>
                </w:r>
                <w:r w:rsidR="006D4282">
                  <w:rPr>
                    <w:noProof/>
                    <w:webHidden/>
                  </w:rPr>
                </w:r>
                <w:r w:rsidR="006D4282">
                  <w:rPr>
                    <w:noProof/>
                    <w:webHidden/>
                  </w:rPr>
                  <w:fldChar w:fldCharType="separate"/>
                </w:r>
                <w:r w:rsidR="00645E7C">
                  <w:rPr>
                    <w:noProof/>
                    <w:webHidden/>
                  </w:rPr>
                  <w:t>43</w:t>
                </w:r>
                <w:r w:rsidR="006D4282">
                  <w:rPr>
                    <w:noProof/>
                    <w:webHidden/>
                  </w:rPr>
                  <w:fldChar w:fldCharType="end"/>
                </w:r>
              </w:hyperlink>
            </w:p>
            <w:p w:rsidR="006D4282" w:rsidRDefault="001D52B3">
              <w:pPr>
                <w:pStyle w:val="TOC2"/>
                <w:tabs>
                  <w:tab w:val="right" w:pos="9011"/>
                </w:tabs>
                <w:rPr>
                  <w:rFonts w:eastAsiaTheme="minorEastAsia"/>
                  <w:noProof/>
                </w:rPr>
              </w:pPr>
              <w:hyperlink w:anchor="_Toc448747807" w:history="1">
                <w:r w:rsidR="006D4282" w:rsidRPr="001435E8">
                  <w:rPr>
                    <w:rStyle w:val="Hyperlink"/>
                    <w:noProof/>
                  </w:rPr>
                  <w:t>Supporting a disabled man to visit a gay pub</w:t>
                </w:r>
                <w:r w:rsidR="006D4282">
                  <w:rPr>
                    <w:noProof/>
                    <w:webHidden/>
                  </w:rPr>
                  <w:tab/>
                </w:r>
                <w:r w:rsidR="006D4282">
                  <w:rPr>
                    <w:noProof/>
                    <w:webHidden/>
                  </w:rPr>
                  <w:fldChar w:fldCharType="begin"/>
                </w:r>
                <w:r w:rsidR="006D4282">
                  <w:rPr>
                    <w:noProof/>
                    <w:webHidden/>
                  </w:rPr>
                  <w:instrText xml:space="preserve"> PAGEREF _Toc448747807 \h </w:instrText>
                </w:r>
                <w:r w:rsidR="006D4282">
                  <w:rPr>
                    <w:noProof/>
                    <w:webHidden/>
                  </w:rPr>
                </w:r>
                <w:r w:rsidR="006D4282">
                  <w:rPr>
                    <w:noProof/>
                    <w:webHidden/>
                  </w:rPr>
                  <w:fldChar w:fldCharType="separate"/>
                </w:r>
                <w:r w:rsidR="00645E7C">
                  <w:rPr>
                    <w:noProof/>
                    <w:webHidden/>
                  </w:rPr>
                  <w:t>44</w:t>
                </w:r>
                <w:r w:rsidR="006D4282">
                  <w:rPr>
                    <w:noProof/>
                    <w:webHidden/>
                  </w:rPr>
                  <w:fldChar w:fldCharType="end"/>
                </w:r>
              </w:hyperlink>
            </w:p>
            <w:p w:rsidR="00A927D8" w:rsidRPr="002D6014" w:rsidRDefault="00A927D8" w:rsidP="00973CD7">
              <w:pPr>
                <w:pStyle w:val="TOC2"/>
                <w:tabs>
                  <w:tab w:val="right" w:pos="8931"/>
                </w:tabs>
                <w:ind w:right="516"/>
              </w:pPr>
              <w:r w:rsidRPr="002D6014">
                <w:rPr>
                  <w:b/>
                  <w:bCs/>
                  <w:noProof/>
                </w:rPr>
                <w:fldChar w:fldCharType="end"/>
              </w:r>
            </w:p>
          </w:sdtContent>
        </w:sdt>
        <w:p w:rsidR="004B0C87" w:rsidRPr="002D6014" w:rsidRDefault="004B0C87" w:rsidP="005D03A5"/>
        <w:p w:rsidR="004B0C87" w:rsidRPr="00D95D9E" w:rsidRDefault="004B0C87" w:rsidP="005D03A5">
          <w:pPr>
            <w:tabs>
              <w:tab w:val="clear" w:pos="567"/>
            </w:tabs>
          </w:pPr>
          <w:r w:rsidRPr="002D6014">
            <w:br w:type="page"/>
          </w:r>
        </w:p>
      </w:sdtContent>
    </w:sdt>
    <w:p w:rsidR="00C310B8" w:rsidRPr="00D95D9E" w:rsidRDefault="00C310B8" w:rsidP="005D03A5">
      <w:pPr>
        <w:pStyle w:val="Heading1"/>
        <w:spacing w:before="0"/>
      </w:pPr>
      <w:r w:rsidRPr="00D95D9E">
        <w:lastRenderedPageBreak/>
        <w:t xml:space="preserve"> </w:t>
      </w:r>
      <w:bookmarkStart w:id="1" w:name="_Toc448747745"/>
      <w:r w:rsidRPr="00D95D9E">
        <w:t>Introduction</w:t>
      </w:r>
      <w:bookmarkEnd w:id="1"/>
    </w:p>
    <w:p w:rsidR="00C310B8" w:rsidRPr="002D6014" w:rsidRDefault="00C310B8" w:rsidP="005B2260">
      <w:pPr>
        <w:pStyle w:val="ListParagraph"/>
        <w:numPr>
          <w:ilvl w:val="0"/>
          <w:numId w:val="5"/>
        </w:numPr>
        <w:tabs>
          <w:tab w:val="clear" w:pos="567"/>
          <w:tab w:val="left" w:pos="-4253"/>
        </w:tabs>
        <w:contextualSpacing w:val="0"/>
        <w:rPr>
          <w:rFonts w:cstheme="minorHAnsi"/>
        </w:rPr>
      </w:pPr>
      <w:r w:rsidRPr="00D95D9E">
        <w:rPr>
          <w:rFonts w:cstheme="minorHAnsi"/>
        </w:rPr>
        <w:t>The Anti-Discriminatio</w:t>
      </w:r>
      <w:r w:rsidRPr="002D6014">
        <w:rPr>
          <w:rFonts w:cstheme="minorHAnsi"/>
        </w:rPr>
        <w:t>n Commission make</w:t>
      </w:r>
      <w:r w:rsidR="00E91257" w:rsidRPr="002D6014">
        <w:rPr>
          <w:rFonts w:cstheme="minorHAnsi"/>
        </w:rPr>
        <w:t>s</w:t>
      </w:r>
      <w:r w:rsidRPr="002D6014">
        <w:rPr>
          <w:rFonts w:cstheme="minorHAnsi"/>
        </w:rPr>
        <w:t xml:space="preserve"> this submission to the </w:t>
      </w:r>
      <w:r w:rsidR="00504255" w:rsidRPr="002D6014">
        <w:rPr>
          <w:rFonts w:cstheme="minorHAnsi"/>
        </w:rPr>
        <w:t>Queensland Parliament</w:t>
      </w:r>
      <w:r w:rsidR="00F06BDA" w:rsidRPr="002D6014">
        <w:rPr>
          <w:rFonts w:cstheme="minorHAnsi"/>
        </w:rPr>
        <w:t>ary</w:t>
      </w:r>
      <w:r w:rsidR="00504255" w:rsidRPr="002D6014">
        <w:rPr>
          <w:rFonts w:cstheme="minorHAnsi"/>
        </w:rPr>
        <w:t xml:space="preserve"> </w:t>
      </w:r>
      <w:r w:rsidRPr="002D6014">
        <w:rPr>
          <w:rFonts w:cstheme="minorHAnsi"/>
        </w:rPr>
        <w:t xml:space="preserve">Legal Affairs and Community Safety Committee </w:t>
      </w:r>
      <w:r w:rsidR="00504255" w:rsidRPr="002D6014">
        <w:rPr>
          <w:rFonts w:cstheme="minorHAnsi"/>
        </w:rPr>
        <w:t>I</w:t>
      </w:r>
      <w:r w:rsidRPr="002D6014">
        <w:rPr>
          <w:rFonts w:cstheme="minorHAnsi"/>
        </w:rPr>
        <w:t>nquiry into whether it is appropriate and desirable to legislate for a Human Rights Act (HR Act) in Queensland, other than through a constitutionally entrenched model.</w:t>
      </w:r>
    </w:p>
    <w:p w:rsidR="00C310B8" w:rsidRPr="002D6014" w:rsidRDefault="00C310B8" w:rsidP="005B2260">
      <w:pPr>
        <w:pStyle w:val="ListParagraph"/>
        <w:numPr>
          <w:ilvl w:val="0"/>
          <w:numId w:val="5"/>
        </w:numPr>
        <w:tabs>
          <w:tab w:val="clear" w:pos="567"/>
          <w:tab w:val="left" w:pos="-4253"/>
        </w:tabs>
        <w:rPr>
          <w:i/>
        </w:rPr>
      </w:pPr>
      <w:r w:rsidRPr="002D6014">
        <w:rPr>
          <w:rFonts w:cstheme="minorHAnsi"/>
        </w:rPr>
        <w:t>The Anti-Discrimination Commission Queensland (</w:t>
      </w:r>
      <w:r w:rsidR="00504255" w:rsidRPr="002D6014">
        <w:rPr>
          <w:rFonts w:cstheme="minorHAnsi"/>
        </w:rPr>
        <w:t xml:space="preserve">the </w:t>
      </w:r>
      <w:r w:rsidRPr="002D6014">
        <w:rPr>
          <w:rFonts w:cstheme="minorHAnsi"/>
        </w:rPr>
        <w:t>Commission) is an independent</w:t>
      </w:r>
      <w:r w:rsidRPr="002D6014">
        <w:t xml:space="preserve"> statutory authority established under the Queensland </w:t>
      </w:r>
      <w:r w:rsidRPr="002D6014">
        <w:rPr>
          <w:i/>
        </w:rPr>
        <w:t>Anti-Discrimination Act 1991</w:t>
      </w:r>
      <w:r w:rsidRPr="002D6014">
        <w:t>.</w:t>
      </w:r>
      <w:r w:rsidR="00E91257" w:rsidRPr="002D6014">
        <w:t xml:space="preserve"> </w:t>
      </w:r>
      <w:r w:rsidRPr="002D6014">
        <w:rPr>
          <w:rFonts w:cstheme="minorHAnsi"/>
          <w:color w:val="000000"/>
        </w:rPr>
        <w:t>The functions of the Commission include promoting an understanding, acceptance</w:t>
      </w:r>
      <w:r w:rsidR="00504255" w:rsidRPr="002D6014">
        <w:rPr>
          <w:rFonts w:cstheme="minorHAnsi"/>
          <w:color w:val="000000"/>
        </w:rPr>
        <w:t>,</w:t>
      </w:r>
      <w:r w:rsidRPr="002D6014">
        <w:rPr>
          <w:rFonts w:cstheme="minorHAnsi"/>
          <w:color w:val="000000"/>
        </w:rPr>
        <w:t xml:space="preserve"> and public discussion of human rights in Queensland, and dealing with complaints alleging contraventions of the </w:t>
      </w:r>
      <w:r w:rsidRPr="002D6014">
        <w:rPr>
          <w:rStyle w:val="HTMLCite"/>
          <w:rFonts w:cstheme="minorHAnsi"/>
          <w:color w:val="000000"/>
        </w:rPr>
        <w:t xml:space="preserve">Anti-Discrimination Act 1991 </w:t>
      </w:r>
      <w:r w:rsidRPr="002D6014">
        <w:rPr>
          <w:rStyle w:val="HTMLCite"/>
          <w:rFonts w:cstheme="minorHAnsi"/>
          <w:i w:val="0"/>
          <w:color w:val="000000"/>
        </w:rPr>
        <w:t>and of whistle-blower reprisal</w:t>
      </w:r>
      <w:r w:rsidRPr="002D6014">
        <w:rPr>
          <w:rFonts w:cstheme="minorHAnsi"/>
          <w:i/>
          <w:color w:val="000000"/>
        </w:rPr>
        <w:t xml:space="preserve">.  </w:t>
      </w:r>
    </w:p>
    <w:p w:rsidR="00C24B84" w:rsidRPr="002D6014" w:rsidRDefault="00AC5611" w:rsidP="005D03A5">
      <w:pPr>
        <w:pStyle w:val="Heading1"/>
        <w:spacing w:before="0"/>
      </w:pPr>
      <w:bookmarkStart w:id="2" w:name="_Toc448747746"/>
      <w:r w:rsidRPr="002D6014">
        <w:t>The Anti-Discrimination Commission s</w:t>
      </w:r>
      <w:r w:rsidR="00C24B84" w:rsidRPr="002D6014">
        <w:t>upports a Human Rights Act</w:t>
      </w:r>
      <w:bookmarkEnd w:id="2"/>
    </w:p>
    <w:p w:rsidR="00C310B8" w:rsidRPr="002D6014" w:rsidRDefault="00C310B8" w:rsidP="005B2260">
      <w:pPr>
        <w:pStyle w:val="ListParagraph"/>
        <w:numPr>
          <w:ilvl w:val="0"/>
          <w:numId w:val="5"/>
        </w:numPr>
        <w:tabs>
          <w:tab w:val="clear" w:pos="567"/>
        </w:tabs>
        <w:contextualSpacing w:val="0"/>
      </w:pPr>
      <w:r w:rsidRPr="002D6014">
        <w:t xml:space="preserve">The </w:t>
      </w:r>
      <w:r w:rsidR="00AC5611" w:rsidRPr="002D6014">
        <w:t xml:space="preserve">Commission </w:t>
      </w:r>
      <w:r w:rsidRPr="002D6014">
        <w:t>support</w:t>
      </w:r>
      <w:r w:rsidR="00AC5611" w:rsidRPr="002D6014">
        <w:t>s</w:t>
      </w:r>
      <w:r w:rsidRPr="002D6014">
        <w:t xml:space="preserve"> a </w:t>
      </w:r>
      <w:r w:rsidR="00CC31F0" w:rsidRPr="002D6014">
        <w:t xml:space="preserve">Queensland </w:t>
      </w:r>
      <w:r w:rsidRPr="002D6014">
        <w:t>Human Rights Act that:</w:t>
      </w:r>
    </w:p>
    <w:p w:rsidR="00C24B84" w:rsidRPr="002D6014" w:rsidRDefault="002827E3" w:rsidP="005B2260">
      <w:pPr>
        <w:pStyle w:val="ListParagraph"/>
        <w:numPr>
          <w:ilvl w:val="0"/>
          <w:numId w:val="26"/>
        </w:numPr>
        <w:tabs>
          <w:tab w:val="clear" w:pos="567"/>
        </w:tabs>
        <w:ind w:left="1134" w:hanging="567"/>
        <w:contextualSpacing w:val="0"/>
      </w:pPr>
      <w:r w:rsidRPr="002D6014">
        <w:t>r</w:t>
      </w:r>
      <w:r w:rsidR="008B5DE2" w:rsidRPr="002D6014">
        <w:t>eflects our key h</w:t>
      </w:r>
      <w:r w:rsidR="00C24B84" w:rsidRPr="002D6014">
        <w:t xml:space="preserve">uman </w:t>
      </w:r>
      <w:r w:rsidR="008B5DE2" w:rsidRPr="002D6014">
        <w:t>r</w:t>
      </w:r>
      <w:r w:rsidR="00C24B84" w:rsidRPr="002D6014">
        <w:t>ights obligations, including civil, political, economic, social and cultural rights</w:t>
      </w:r>
      <w:r w:rsidR="00F06BDA" w:rsidRPr="002D6014">
        <w:t xml:space="preserve">, property rights, and the right </w:t>
      </w:r>
      <w:r w:rsidR="00F16A47" w:rsidRPr="002D6014">
        <w:t>to self-</w:t>
      </w:r>
      <w:r w:rsidR="00F06BDA" w:rsidRPr="002D6014">
        <w:t>determination for Aboriginal and Torres Strait Islander Queenslanders</w:t>
      </w:r>
      <w:r w:rsidRPr="002D6014">
        <w:t>;</w:t>
      </w:r>
    </w:p>
    <w:p w:rsidR="00C24B84" w:rsidRPr="002D6014" w:rsidRDefault="002827E3" w:rsidP="005B2260">
      <w:pPr>
        <w:pStyle w:val="ListParagraph"/>
        <w:numPr>
          <w:ilvl w:val="0"/>
          <w:numId w:val="26"/>
        </w:numPr>
        <w:tabs>
          <w:tab w:val="clear" w:pos="567"/>
        </w:tabs>
        <w:ind w:left="1134" w:hanging="567"/>
        <w:contextualSpacing w:val="0"/>
      </w:pPr>
      <w:r w:rsidRPr="002D6014">
        <w:t>w</w:t>
      </w:r>
      <w:r w:rsidR="00C24B84" w:rsidRPr="002D6014">
        <w:t>ill respect, protect and fulfil these human rights obligations</w:t>
      </w:r>
      <w:r w:rsidRPr="002D6014">
        <w:t>;</w:t>
      </w:r>
      <w:r w:rsidR="00C24B84" w:rsidRPr="002D6014">
        <w:t xml:space="preserve"> </w:t>
      </w:r>
    </w:p>
    <w:p w:rsidR="00C24B84" w:rsidRPr="002D6014" w:rsidRDefault="002827E3" w:rsidP="005B2260">
      <w:pPr>
        <w:pStyle w:val="ListParagraph"/>
        <w:numPr>
          <w:ilvl w:val="0"/>
          <w:numId w:val="26"/>
        </w:numPr>
        <w:tabs>
          <w:tab w:val="clear" w:pos="567"/>
        </w:tabs>
        <w:ind w:left="1134" w:hanging="567"/>
        <w:contextualSpacing w:val="0"/>
      </w:pPr>
      <w:r w:rsidRPr="002D6014">
        <w:t>t</w:t>
      </w:r>
      <w:r w:rsidR="00C24B84" w:rsidRPr="002D6014">
        <w:t>akes a holistic and unified approach to maximise cultural change and educative function</w:t>
      </w:r>
      <w:r w:rsidRPr="002D6014">
        <w:t>;</w:t>
      </w:r>
    </w:p>
    <w:p w:rsidR="00C24B84" w:rsidRPr="002D6014" w:rsidRDefault="002827E3" w:rsidP="005B2260">
      <w:pPr>
        <w:pStyle w:val="ListParagraph"/>
        <w:numPr>
          <w:ilvl w:val="0"/>
          <w:numId w:val="26"/>
        </w:numPr>
        <w:tabs>
          <w:tab w:val="clear" w:pos="567"/>
        </w:tabs>
        <w:ind w:left="1134" w:hanging="567"/>
        <w:contextualSpacing w:val="0"/>
      </w:pPr>
      <w:r w:rsidRPr="002D6014">
        <w:t>p</w:t>
      </w:r>
      <w:r w:rsidR="00C24B84" w:rsidRPr="002D6014">
        <w:t xml:space="preserve">rovides a process for </w:t>
      </w:r>
      <w:r w:rsidRPr="002D6014">
        <w:t>p</w:t>
      </w:r>
      <w:r w:rsidR="00C24B84" w:rsidRPr="002D6014">
        <w:t>arliament to explain how new laws impact on human rights, while retaining parliamentary sovereignty</w:t>
      </w:r>
      <w:r w:rsidRPr="002D6014">
        <w:t>;</w:t>
      </w:r>
    </w:p>
    <w:p w:rsidR="00C24B84" w:rsidRPr="002D6014" w:rsidRDefault="002827E3" w:rsidP="005B2260">
      <w:pPr>
        <w:pStyle w:val="ListParagraph"/>
        <w:numPr>
          <w:ilvl w:val="0"/>
          <w:numId w:val="26"/>
        </w:numPr>
        <w:tabs>
          <w:tab w:val="clear" w:pos="567"/>
        </w:tabs>
        <w:ind w:left="1134" w:hanging="567"/>
        <w:contextualSpacing w:val="0"/>
      </w:pPr>
      <w:r w:rsidRPr="002D6014">
        <w:t>r</w:t>
      </w:r>
      <w:r w:rsidR="00C24B84" w:rsidRPr="002D6014">
        <w:t>equires compliance with human rights at all levels of government policy and decision</w:t>
      </w:r>
      <w:r w:rsidRPr="002D6014">
        <w:t>-</w:t>
      </w:r>
      <w:r w:rsidR="00C24B84" w:rsidRPr="002D6014">
        <w:t>making</w:t>
      </w:r>
      <w:r w:rsidRPr="002D6014">
        <w:t>;</w:t>
      </w:r>
    </w:p>
    <w:p w:rsidR="00C24B84" w:rsidRPr="002D6014" w:rsidRDefault="002827E3" w:rsidP="005B2260">
      <w:pPr>
        <w:pStyle w:val="ListParagraph"/>
        <w:numPr>
          <w:ilvl w:val="0"/>
          <w:numId w:val="26"/>
        </w:numPr>
        <w:tabs>
          <w:tab w:val="clear" w:pos="567"/>
        </w:tabs>
        <w:ind w:left="1134" w:hanging="567"/>
        <w:contextualSpacing w:val="0"/>
      </w:pPr>
      <w:r w:rsidRPr="002D6014">
        <w:t>p</w:t>
      </w:r>
      <w:r w:rsidR="00C24B84" w:rsidRPr="002D6014">
        <w:t>rovides a process for independent investigation and resolution of human rights complaints</w:t>
      </w:r>
      <w:r w:rsidRPr="002D6014">
        <w:t>;</w:t>
      </w:r>
    </w:p>
    <w:p w:rsidR="003E71D4" w:rsidRPr="002D6014" w:rsidRDefault="002827E3" w:rsidP="005B2260">
      <w:pPr>
        <w:pStyle w:val="ListParagraph"/>
        <w:numPr>
          <w:ilvl w:val="0"/>
          <w:numId w:val="26"/>
        </w:numPr>
        <w:tabs>
          <w:tab w:val="clear" w:pos="567"/>
        </w:tabs>
        <w:ind w:left="1134" w:hanging="567"/>
        <w:contextualSpacing w:val="0"/>
      </w:pPr>
      <w:r w:rsidRPr="002D6014">
        <w:t>p</w:t>
      </w:r>
      <w:r w:rsidR="003E71D4" w:rsidRPr="002D6014">
        <w:t>rovides a process for education, training</w:t>
      </w:r>
      <w:r w:rsidRPr="002D6014">
        <w:t>,</w:t>
      </w:r>
      <w:r w:rsidR="003E71D4" w:rsidRPr="002D6014">
        <w:t xml:space="preserve"> and information dissemination</w:t>
      </w:r>
      <w:r w:rsidRPr="002D6014">
        <w:t>;</w:t>
      </w:r>
    </w:p>
    <w:p w:rsidR="003E71D4" w:rsidRPr="002D6014" w:rsidRDefault="002827E3" w:rsidP="005B2260">
      <w:pPr>
        <w:pStyle w:val="ListParagraph"/>
        <w:numPr>
          <w:ilvl w:val="0"/>
          <w:numId w:val="26"/>
        </w:numPr>
        <w:tabs>
          <w:tab w:val="clear" w:pos="567"/>
        </w:tabs>
        <w:ind w:left="1134" w:hanging="567"/>
        <w:contextualSpacing w:val="0"/>
      </w:pPr>
      <w:r w:rsidRPr="002D6014">
        <w:t>p</w:t>
      </w:r>
      <w:r w:rsidR="003E71D4" w:rsidRPr="002D6014">
        <w:t>rovides a regular and independent assessment of steps taken by government to meet human rights responsibilities</w:t>
      </w:r>
      <w:r w:rsidRPr="002D6014">
        <w:t>;</w:t>
      </w:r>
    </w:p>
    <w:p w:rsidR="00C24B84" w:rsidRPr="002D6014" w:rsidRDefault="002827E3" w:rsidP="005B2260">
      <w:pPr>
        <w:pStyle w:val="ListParagraph"/>
        <w:numPr>
          <w:ilvl w:val="0"/>
          <w:numId w:val="26"/>
        </w:numPr>
        <w:tabs>
          <w:tab w:val="clear" w:pos="567"/>
        </w:tabs>
        <w:ind w:left="1134" w:hanging="567"/>
        <w:contextualSpacing w:val="0"/>
      </w:pPr>
      <w:r w:rsidRPr="002D6014">
        <w:t>r</w:t>
      </w:r>
      <w:r w:rsidR="00C24B84" w:rsidRPr="002D6014">
        <w:t xml:space="preserve">equires courts </w:t>
      </w:r>
      <w:r w:rsidR="0029570E" w:rsidRPr="002D6014">
        <w:t xml:space="preserve">and tribunals </w:t>
      </w:r>
      <w:r w:rsidR="00C24B84" w:rsidRPr="002D6014">
        <w:t>to interpret laws consistently with human rights</w:t>
      </w:r>
      <w:r w:rsidRPr="002D6014">
        <w:t>;</w:t>
      </w:r>
    </w:p>
    <w:p w:rsidR="00C24B84" w:rsidRPr="002D6014" w:rsidRDefault="002827E3" w:rsidP="005B2260">
      <w:pPr>
        <w:pStyle w:val="ListParagraph"/>
        <w:numPr>
          <w:ilvl w:val="0"/>
          <w:numId w:val="26"/>
        </w:numPr>
        <w:tabs>
          <w:tab w:val="clear" w:pos="567"/>
        </w:tabs>
        <w:ind w:left="1134" w:hanging="567"/>
        <w:contextualSpacing w:val="0"/>
      </w:pPr>
      <w:r w:rsidRPr="002D6014">
        <w:t>a</w:t>
      </w:r>
      <w:r w:rsidR="00C24B84" w:rsidRPr="002D6014">
        <w:t>llows people to bring freestanding human rights matters to the courts and receive enforceable remedies, including damages, for breaches of human rights</w:t>
      </w:r>
      <w:r w:rsidRPr="002D6014">
        <w:t>, and;</w:t>
      </w:r>
    </w:p>
    <w:p w:rsidR="00C24B84" w:rsidRPr="002D6014" w:rsidRDefault="002827E3" w:rsidP="005B2260">
      <w:pPr>
        <w:pStyle w:val="ListParagraph"/>
        <w:numPr>
          <w:ilvl w:val="0"/>
          <w:numId w:val="26"/>
        </w:numPr>
        <w:tabs>
          <w:tab w:val="clear" w:pos="567"/>
        </w:tabs>
        <w:ind w:left="1134" w:hanging="567"/>
        <w:contextualSpacing w:val="0"/>
      </w:pPr>
      <w:proofErr w:type="gramStart"/>
      <w:r w:rsidRPr="002D6014">
        <w:t>a</w:t>
      </w:r>
      <w:r w:rsidR="00C24B84" w:rsidRPr="002D6014">
        <w:t>llows</w:t>
      </w:r>
      <w:proofErr w:type="gramEnd"/>
      <w:r w:rsidR="00C24B84" w:rsidRPr="002D6014">
        <w:t xml:space="preserve"> private entities the opportunity to comply with human rights obligations</w:t>
      </w:r>
      <w:r w:rsidR="00F25A6F" w:rsidRPr="002D6014">
        <w:t>.</w:t>
      </w:r>
    </w:p>
    <w:p w:rsidR="009E1CAA" w:rsidRPr="002D6014" w:rsidRDefault="009E1CAA" w:rsidP="00B01A74">
      <w:pPr>
        <w:pStyle w:val="ListParagraph"/>
        <w:numPr>
          <w:ilvl w:val="0"/>
          <w:numId w:val="5"/>
        </w:numPr>
        <w:tabs>
          <w:tab w:val="clear" w:pos="567"/>
        </w:tabs>
        <w:contextualSpacing w:val="0"/>
      </w:pPr>
      <w:r w:rsidRPr="002D6014">
        <w:t>A Human Rights Act, if passed, would be a demonstration by the Queensland Parliament of its strong commitment to working with the people of Queensland to ensure that human rights breaches could be challenged and remedied appropriately.</w:t>
      </w:r>
    </w:p>
    <w:p w:rsidR="009E1CAA" w:rsidRPr="002D6014" w:rsidRDefault="009E1CAA" w:rsidP="00930CA2">
      <w:pPr>
        <w:pStyle w:val="ListParagraph"/>
        <w:numPr>
          <w:ilvl w:val="0"/>
          <w:numId w:val="5"/>
        </w:numPr>
        <w:tabs>
          <w:tab w:val="clear" w:pos="567"/>
        </w:tabs>
        <w:contextualSpacing w:val="0"/>
      </w:pPr>
      <w:r w:rsidRPr="002D6014">
        <w:rPr>
          <w:rFonts w:ascii="Arial" w:hAnsi="Arial" w:cs="Arial"/>
        </w:rPr>
        <w:lastRenderedPageBreak/>
        <w:t xml:space="preserve">A Human Rights Act could provide a process for citizens </w:t>
      </w:r>
      <w:r w:rsidR="008B69C7" w:rsidRPr="002D6014">
        <w:rPr>
          <w:rFonts w:ascii="Arial" w:hAnsi="Arial" w:cs="Arial"/>
        </w:rPr>
        <w:t>whose</w:t>
      </w:r>
      <w:r w:rsidRPr="002D6014">
        <w:rPr>
          <w:rFonts w:ascii="Arial" w:hAnsi="Arial" w:cs="Arial"/>
        </w:rPr>
        <w:t xml:space="preserve"> rights have not been protected or fulfilled in the delivery of government </w:t>
      </w:r>
      <w:r w:rsidR="008B69C7" w:rsidRPr="002D6014">
        <w:rPr>
          <w:rFonts w:ascii="Arial" w:hAnsi="Arial" w:cs="Arial"/>
        </w:rPr>
        <w:t>(</w:t>
      </w:r>
      <w:r w:rsidRPr="002D6014">
        <w:rPr>
          <w:rFonts w:ascii="Arial" w:hAnsi="Arial" w:cs="Arial"/>
        </w:rPr>
        <w:t>or government</w:t>
      </w:r>
      <w:r w:rsidR="008B69C7" w:rsidRPr="002D6014">
        <w:rPr>
          <w:rFonts w:ascii="Arial" w:hAnsi="Arial" w:cs="Arial"/>
        </w:rPr>
        <w:t>-</w:t>
      </w:r>
      <w:r w:rsidRPr="002D6014">
        <w:rPr>
          <w:rFonts w:ascii="Arial" w:hAnsi="Arial" w:cs="Arial"/>
        </w:rPr>
        <w:t>funded</w:t>
      </w:r>
      <w:r w:rsidR="008B69C7" w:rsidRPr="002D6014">
        <w:rPr>
          <w:rFonts w:ascii="Arial" w:hAnsi="Arial" w:cs="Arial"/>
        </w:rPr>
        <w:t>)</w:t>
      </w:r>
      <w:r w:rsidRPr="002D6014">
        <w:rPr>
          <w:rFonts w:ascii="Arial" w:hAnsi="Arial" w:cs="Arial"/>
        </w:rPr>
        <w:t xml:space="preserve"> services to have their rights upheld</w:t>
      </w:r>
      <w:r w:rsidR="008B69C7" w:rsidRPr="002D6014">
        <w:rPr>
          <w:rFonts w:ascii="Arial" w:hAnsi="Arial" w:cs="Arial"/>
        </w:rPr>
        <w:t>,</w:t>
      </w:r>
      <w:r w:rsidRPr="002D6014">
        <w:rPr>
          <w:rFonts w:ascii="Arial" w:hAnsi="Arial" w:cs="Arial"/>
        </w:rPr>
        <w:t xml:space="preserve"> as articulated within the proposed specific human rights legislation. Additionally, a Human Rights Act</w:t>
      </w:r>
      <w:r w:rsidR="008B69C7" w:rsidRPr="002D6014">
        <w:rPr>
          <w:rFonts w:ascii="Arial" w:hAnsi="Arial" w:cs="Arial"/>
        </w:rPr>
        <w:t>,</w:t>
      </w:r>
      <w:r w:rsidRPr="002D6014">
        <w:rPr>
          <w:rFonts w:ascii="Arial" w:hAnsi="Arial" w:cs="Arial"/>
        </w:rPr>
        <w:t xml:space="preserve"> over time</w:t>
      </w:r>
      <w:r w:rsidR="008B69C7" w:rsidRPr="002D6014">
        <w:rPr>
          <w:rFonts w:ascii="Arial" w:hAnsi="Arial" w:cs="Arial"/>
        </w:rPr>
        <w:t>, would</w:t>
      </w:r>
      <w:r w:rsidRPr="002D6014">
        <w:rPr>
          <w:rFonts w:ascii="Arial" w:hAnsi="Arial" w:cs="Arial"/>
        </w:rPr>
        <w:t xml:space="preserve"> provide a mechanism for significant cultural reform</w:t>
      </w:r>
      <w:r w:rsidR="008B69C7" w:rsidRPr="002D6014">
        <w:rPr>
          <w:rFonts w:ascii="Arial" w:hAnsi="Arial" w:cs="Arial"/>
        </w:rPr>
        <w:t xml:space="preserve"> by influencing positively </w:t>
      </w:r>
      <w:r w:rsidRPr="002D6014">
        <w:rPr>
          <w:rFonts w:ascii="Arial" w:hAnsi="Arial" w:cs="Arial"/>
        </w:rPr>
        <w:t>the way that services are designed and delivered</w:t>
      </w:r>
      <w:r w:rsidR="008B69C7" w:rsidRPr="002D6014">
        <w:rPr>
          <w:rFonts w:ascii="Arial" w:hAnsi="Arial" w:cs="Arial"/>
        </w:rPr>
        <w:t>,</w:t>
      </w:r>
      <w:r w:rsidRPr="002D6014">
        <w:rPr>
          <w:rFonts w:ascii="Arial" w:hAnsi="Arial" w:cs="Arial"/>
        </w:rPr>
        <w:t xml:space="preserve"> </w:t>
      </w:r>
      <w:r w:rsidR="008B69C7" w:rsidRPr="002D6014">
        <w:rPr>
          <w:rFonts w:ascii="Arial" w:hAnsi="Arial" w:cs="Arial"/>
        </w:rPr>
        <w:t>so that</w:t>
      </w:r>
      <w:r w:rsidRPr="002D6014">
        <w:rPr>
          <w:rFonts w:ascii="Arial" w:hAnsi="Arial" w:cs="Arial"/>
        </w:rPr>
        <w:t xml:space="preserve"> they promote an inclusive and fair Queensland society.</w:t>
      </w:r>
    </w:p>
    <w:p w:rsidR="009E1CAA" w:rsidRPr="002D6014" w:rsidRDefault="009E1CAA" w:rsidP="00930CA2">
      <w:pPr>
        <w:pStyle w:val="ListParagraph"/>
        <w:numPr>
          <w:ilvl w:val="0"/>
          <w:numId w:val="5"/>
        </w:numPr>
        <w:tabs>
          <w:tab w:val="clear" w:pos="567"/>
        </w:tabs>
        <w:contextualSpacing w:val="0"/>
      </w:pPr>
      <w:r w:rsidRPr="002D6014">
        <w:rPr>
          <w:rFonts w:ascii="Arial" w:hAnsi="Arial" w:cs="Arial"/>
        </w:rPr>
        <w:t xml:space="preserve">A culture of human rights </w:t>
      </w:r>
      <w:r w:rsidR="008B69C7" w:rsidRPr="002D6014">
        <w:rPr>
          <w:rFonts w:ascii="Arial" w:hAnsi="Arial" w:cs="Arial"/>
        </w:rPr>
        <w:t>is</w:t>
      </w:r>
      <w:r w:rsidRPr="002D6014">
        <w:rPr>
          <w:rFonts w:ascii="Arial" w:hAnsi="Arial" w:cs="Arial"/>
        </w:rPr>
        <w:t>, by its very nature</w:t>
      </w:r>
      <w:r w:rsidR="008B69C7" w:rsidRPr="002D6014">
        <w:rPr>
          <w:rFonts w:ascii="Arial" w:hAnsi="Arial" w:cs="Arial"/>
        </w:rPr>
        <w:t xml:space="preserve">, </w:t>
      </w:r>
      <w:r w:rsidRPr="002D6014">
        <w:rPr>
          <w:rFonts w:ascii="Arial" w:hAnsi="Arial" w:cs="Arial"/>
        </w:rPr>
        <w:t>inclusive rather than exclusive. The foundation of human rights is that every man</w:t>
      </w:r>
      <w:r w:rsidR="008B69C7" w:rsidRPr="002D6014">
        <w:rPr>
          <w:rFonts w:ascii="Arial" w:hAnsi="Arial" w:cs="Arial"/>
        </w:rPr>
        <w:t>,</w:t>
      </w:r>
      <w:r w:rsidRPr="002D6014">
        <w:rPr>
          <w:rFonts w:ascii="Arial" w:hAnsi="Arial" w:cs="Arial"/>
        </w:rPr>
        <w:t xml:space="preserve"> woman</w:t>
      </w:r>
      <w:r w:rsidR="008B69C7" w:rsidRPr="002D6014">
        <w:rPr>
          <w:rFonts w:ascii="Arial" w:hAnsi="Arial" w:cs="Arial"/>
        </w:rPr>
        <w:t>,</w:t>
      </w:r>
      <w:r w:rsidRPr="002D6014">
        <w:rPr>
          <w:rFonts w:ascii="Arial" w:hAnsi="Arial" w:cs="Arial"/>
        </w:rPr>
        <w:t xml:space="preserve"> and child</w:t>
      </w:r>
      <w:r w:rsidR="008B69C7" w:rsidRPr="002D6014">
        <w:rPr>
          <w:rFonts w:ascii="Arial" w:hAnsi="Arial" w:cs="Arial"/>
        </w:rPr>
        <w:t>, because of their humanity,</w:t>
      </w:r>
      <w:r w:rsidRPr="002D6014">
        <w:rPr>
          <w:rFonts w:ascii="Arial" w:hAnsi="Arial" w:cs="Arial"/>
        </w:rPr>
        <w:t xml:space="preserve"> can seek equal justice, equal opportunity, and live life with dignity</w:t>
      </w:r>
      <w:r w:rsidR="008B69C7" w:rsidRPr="002D6014">
        <w:rPr>
          <w:rFonts w:ascii="Arial" w:hAnsi="Arial" w:cs="Arial"/>
        </w:rPr>
        <w:t xml:space="preserve">, </w:t>
      </w:r>
      <w:r w:rsidRPr="002D6014">
        <w:rPr>
          <w:rFonts w:ascii="Arial" w:hAnsi="Arial" w:cs="Arial"/>
        </w:rPr>
        <w:t xml:space="preserve">free from discrimination. </w:t>
      </w:r>
    </w:p>
    <w:p w:rsidR="00930CA2" w:rsidRPr="00D95D9E" w:rsidRDefault="008B69C7" w:rsidP="006E3741">
      <w:pPr>
        <w:ind w:left="1134" w:right="1083"/>
        <w:rPr>
          <w:rStyle w:val="apple-converted-space"/>
          <w:rFonts w:ascii="Arial" w:hAnsi="Arial" w:cs="Arial"/>
          <w:iCs/>
          <w:color w:val="333333"/>
          <w:sz w:val="20"/>
          <w:szCs w:val="20"/>
          <w:bdr w:val="none" w:sz="0" w:space="0" w:color="auto" w:frame="1"/>
        </w:rPr>
      </w:pPr>
      <w:r w:rsidRPr="002D6014">
        <w:rPr>
          <w:rStyle w:val="Emphasis"/>
          <w:rFonts w:ascii="Arial" w:hAnsi="Arial" w:cs="Arial"/>
          <w:i w:val="0"/>
          <w:color w:val="333333"/>
          <w:sz w:val="20"/>
          <w:szCs w:val="20"/>
          <w:bdr w:val="none" w:sz="0" w:space="0" w:color="auto" w:frame="1"/>
        </w:rPr>
        <w:t>‘</w:t>
      </w:r>
      <w:r w:rsidR="00930CA2" w:rsidRPr="002D6014">
        <w:rPr>
          <w:rStyle w:val="Emphasis"/>
          <w:rFonts w:ascii="Arial" w:hAnsi="Arial" w:cs="Arial"/>
          <w:i w:val="0"/>
          <w:color w:val="333333"/>
          <w:sz w:val="20"/>
          <w:szCs w:val="20"/>
          <w:bdr w:val="none" w:sz="0" w:space="0" w:color="auto" w:frame="1"/>
        </w:rPr>
        <w:t>I am convinced that the development of a culture of human rights throughout the world is one of the most important contributions that can be made to future generations. The foundation for this culture is enshrined in the principles of the Universal Declaration. A culture of human rights would result in a profound change in how individuals, communities, states and the international community view relationships in all matters. Such a culture would make human rights as much a part of the lives of individuals as are language, customs, the arts, faith and ties to place. In this culture, human rights would not be seen as the job of 'someone else,' but the obligation and duty of all.</w:t>
      </w:r>
      <w:r w:rsidRPr="002D6014">
        <w:rPr>
          <w:rStyle w:val="Emphasis"/>
          <w:rFonts w:ascii="Arial" w:hAnsi="Arial" w:cs="Arial"/>
          <w:i w:val="0"/>
          <w:color w:val="333333"/>
          <w:sz w:val="20"/>
          <w:szCs w:val="20"/>
          <w:bdr w:val="none" w:sz="0" w:space="0" w:color="auto" w:frame="1"/>
        </w:rPr>
        <w:t>’</w:t>
      </w:r>
      <w:r w:rsidR="00930CA2" w:rsidRPr="002D6014">
        <w:rPr>
          <w:rStyle w:val="apple-converted-space"/>
          <w:rFonts w:ascii="Arial" w:hAnsi="Arial" w:cs="Arial"/>
          <w:i/>
          <w:iCs/>
          <w:color w:val="333333"/>
          <w:sz w:val="20"/>
          <w:szCs w:val="20"/>
          <w:bdr w:val="none" w:sz="0" w:space="0" w:color="auto" w:frame="1"/>
        </w:rPr>
        <w:t> </w:t>
      </w:r>
      <w:r w:rsidRPr="00D95D9E">
        <w:rPr>
          <w:rStyle w:val="FootnoteReference"/>
          <w:rFonts w:ascii="Arial" w:hAnsi="Arial" w:cs="Arial"/>
          <w:iCs/>
          <w:color w:val="333333"/>
          <w:sz w:val="20"/>
          <w:szCs w:val="20"/>
          <w:bdr w:val="none" w:sz="0" w:space="0" w:color="auto" w:frame="1"/>
        </w:rPr>
        <w:footnoteReference w:id="1"/>
      </w:r>
    </w:p>
    <w:p w:rsidR="00930CA2" w:rsidRPr="00D95D9E" w:rsidRDefault="00930CA2" w:rsidP="006E3741">
      <w:pPr>
        <w:ind w:left="1134" w:right="1083"/>
        <w:rPr>
          <w:rFonts w:ascii="Arial" w:hAnsi="Arial" w:cs="Arial"/>
          <w:color w:val="333333"/>
          <w:sz w:val="18"/>
          <w:szCs w:val="18"/>
        </w:rPr>
      </w:pPr>
      <w:r w:rsidRPr="00D95D9E">
        <w:rPr>
          <w:rFonts w:ascii="Arial" w:hAnsi="Arial" w:cs="Arial"/>
          <w:color w:val="333333"/>
          <w:sz w:val="18"/>
          <w:szCs w:val="18"/>
        </w:rPr>
        <w:t>(José Ayala Lasso, the first United Nations High Commissioner for Human Rights)</w:t>
      </w:r>
    </w:p>
    <w:p w:rsidR="00310229" w:rsidRPr="002D6014" w:rsidRDefault="00605027">
      <w:pPr>
        <w:pStyle w:val="ListParagraph"/>
        <w:numPr>
          <w:ilvl w:val="0"/>
          <w:numId w:val="5"/>
        </w:numPr>
        <w:tabs>
          <w:tab w:val="clear" w:pos="567"/>
        </w:tabs>
        <w:contextualSpacing w:val="0"/>
      </w:pPr>
      <w:r w:rsidRPr="002D6014">
        <w:t xml:space="preserve">The benefits of protecting and fulfilling human rights and creating a human rights culture can </w:t>
      </w:r>
      <w:r w:rsidR="00310229" w:rsidRPr="002D6014">
        <w:t xml:space="preserve">be felt </w:t>
      </w:r>
      <w:r w:rsidRPr="002D6014">
        <w:t xml:space="preserve">on a very </w:t>
      </w:r>
      <w:r w:rsidR="00EF3F15" w:rsidRPr="002D6014">
        <w:t xml:space="preserve">simple and </w:t>
      </w:r>
      <w:r w:rsidRPr="002D6014">
        <w:t xml:space="preserve">practical everyday level. </w:t>
      </w:r>
    </w:p>
    <w:p w:rsidR="009E1CAA" w:rsidRPr="002D6014" w:rsidRDefault="00605027" w:rsidP="00632BB9">
      <w:pPr>
        <w:pStyle w:val="ListParagraph"/>
        <w:tabs>
          <w:tab w:val="clear" w:pos="567"/>
        </w:tabs>
        <w:ind w:left="567"/>
        <w:contextualSpacing w:val="0"/>
      </w:pPr>
      <w:r w:rsidRPr="002D6014">
        <w:t>The former Attorney General of Victoria</w:t>
      </w:r>
      <w:r w:rsidR="00310229" w:rsidRPr="002D6014">
        <w:t>,</w:t>
      </w:r>
      <w:r w:rsidRPr="002D6014">
        <w:t xml:space="preserve"> Rob Hulls</w:t>
      </w:r>
      <w:r w:rsidR="00310229" w:rsidRPr="002D6014">
        <w:t>,</w:t>
      </w:r>
      <w:r w:rsidR="006946AE" w:rsidRPr="002D6014">
        <w:t xml:space="preserve"> has </w:t>
      </w:r>
      <w:r w:rsidRPr="002D6014">
        <w:t>describe</w:t>
      </w:r>
      <w:r w:rsidR="006946AE" w:rsidRPr="002D6014">
        <w:t>d</w:t>
      </w:r>
      <w:r w:rsidRPr="002D6014">
        <w:t xml:space="preserve"> </w:t>
      </w:r>
      <w:r w:rsidR="00310229" w:rsidRPr="002D6014">
        <w:t xml:space="preserve">an </w:t>
      </w:r>
      <w:r w:rsidRPr="002D6014">
        <w:t xml:space="preserve">instance where the Victorian </w:t>
      </w:r>
      <w:r w:rsidR="00310229" w:rsidRPr="002D6014">
        <w:rPr>
          <w:i/>
        </w:rPr>
        <w:t xml:space="preserve">Charter of </w:t>
      </w:r>
      <w:r w:rsidRPr="002D6014">
        <w:rPr>
          <w:i/>
        </w:rPr>
        <w:t xml:space="preserve">Human Rights </w:t>
      </w:r>
      <w:r w:rsidR="00310229" w:rsidRPr="002D6014">
        <w:rPr>
          <w:i/>
        </w:rPr>
        <w:t xml:space="preserve">and Responsibilities </w:t>
      </w:r>
      <w:r w:rsidRPr="002D6014">
        <w:rPr>
          <w:i/>
        </w:rPr>
        <w:t>Act</w:t>
      </w:r>
      <w:r w:rsidRPr="002D6014">
        <w:t xml:space="preserve"> was used by the family and advocates of a very elderly</w:t>
      </w:r>
      <w:r w:rsidR="00310229" w:rsidRPr="002D6014">
        <w:t>,</w:t>
      </w:r>
      <w:r w:rsidRPr="002D6014">
        <w:t xml:space="preserve"> Victorian woman living in a nursing home. </w:t>
      </w:r>
      <w:r w:rsidR="006946AE" w:rsidRPr="002D6014">
        <w:t>Staff at the home were</w:t>
      </w:r>
      <w:r w:rsidRPr="002D6014">
        <w:t xml:space="preserve"> in the habit of showering the resident without drawing the shower curtain. This breach of privacy and lack of respect for her dignity greatly distressed this</w:t>
      </w:r>
      <w:r w:rsidR="00EF3F15" w:rsidRPr="002D6014">
        <w:t xml:space="preserve"> elderly female </w:t>
      </w:r>
      <w:r w:rsidR="00171C95" w:rsidRPr="002D6014">
        <w:t xml:space="preserve">resident. </w:t>
      </w:r>
      <w:r w:rsidRPr="002D6014">
        <w:t xml:space="preserve">Relying on </w:t>
      </w:r>
      <w:r w:rsidR="006946AE" w:rsidRPr="002D6014">
        <w:t xml:space="preserve">her </w:t>
      </w:r>
      <w:r w:rsidRPr="002D6014">
        <w:t xml:space="preserve">right to </w:t>
      </w:r>
      <w:r w:rsidR="006946AE" w:rsidRPr="002D6014">
        <w:t>privacy</w:t>
      </w:r>
      <w:r w:rsidRPr="002D6014">
        <w:t xml:space="preserve"> and </w:t>
      </w:r>
      <w:r w:rsidR="006946AE" w:rsidRPr="002D6014">
        <w:t xml:space="preserve">her </w:t>
      </w:r>
      <w:r w:rsidRPr="002D6014">
        <w:t>right to freedom from degrading treatment</w:t>
      </w:r>
      <w:r w:rsidR="00310229" w:rsidRPr="002D6014">
        <w:t>,</w:t>
      </w:r>
      <w:r w:rsidRPr="002D6014">
        <w:t xml:space="preserve"> advocates were able to draw attention to the inappropriate showering practice, and to have a discussion about changing the practice. The </w:t>
      </w:r>
      <w:r w:rsidR="00310229" w:rsidRPr="002D6014">
        <w:rPr>
          <w:i/>
        </w:rPr>
        <w:t>Charter</w:t>
      </w:r>
      <w:r w:rsidRPr="002D6014">
        <w:t xml:space="preserve"> gave them the platform and right to have this discussion, and to </w:t>
      </w:r>
      <w:r w:rsidR="00310229" w:rsidRPr="002D6014">
        <w:t>e</w:t>
      </w:r>
      <w:r w:rsidRPr="002D6014">
        <w:t xml:space="preserve">ffect a change in practice. In time, with </w:t>
      </w:r>
      <w:r w:rsidR="00FD4C45" w:rsidRPr="002D6014">
        <w:t xml:space="preserve">the development of </w:t>
      </w:r>
      <w:r w:rsidRPr="002D6014">
        <w:t xml:space="preserve">a human rights culture in </w:t>
      </w:r>
      <w:r w:rsidR="00FD4C45" w:rsidRPr="002D6014">
        <w:t xml:space="preserve">all </w:t>
      </w:r>
      <w:r w:rsidRPr="002D6014">
        <w:t xml:space="preserve">agencies, such a practice would hopefully be </w:t>
      </w:r>
      <w:r w:rsidR="006946AE" w:rsidRPr="002D6014">
        <w:t xml:space="preserve">eliminated without the need </w:t>
      </w:r>
      <w:r w:rsidR="00310229" w:rsidRPr="002D6014">
        <w:t>for</w:t>
      </w:r>
      <w:r w:rsidR="00FD4C45" w:rsidRPr="002D6014">
        <w:t xml:space="preserve"> an </w:t>
      </w:r>
      <w:r w:rsidR="006946AE" w:rsidRPr="002D6014">
        <w:t>external intervention.</w:t>
      </w:r>
    </w:p>
    <w:p w:rsidR="009B4F1A" w:rsidRPr="002D6014" w:rsidRDefault="00310229">
      <w:pPr>
        <w:pStyle w:val="Heading1"/>
      </w:pPr>
      <w:bookmarkStart w:id="3" w:name="_Toc448747747"/>
      <w:r w:rsidRPr="002D6014">
        <w:t>E</w:t>
      </w:r>
      <w:r w:rsidR="009B4F1A" w:rsidRPr="002D6014">
        <w:t>ffectiveness of current laws and mechanisms</w:t>
      </w:r>
      <w:bookmarkEnd w:id="3"/>
      <w:r w:rsidR="009B4F1A" w:rsidRPr="002D6014">
        <w:t xml:space="preserve"> </w:t>
      </w:r>
      <w:r w:rsidR="00F51DB0" w:rsidRPr="002D6014">
        <w:t xml:space="preserve"> </w:t>
      </w:r>
    </w:p>
    <w:p w:rsidR="00310229" w:rsidRPr="002D6014" w:rsidRDefault="00310229" w:rsidP="005B2260">
      <w:pPr>
        <w:pStyle w:val="ListParagraph"/>
        <w:numPr>
          <w:ilvl w:val="0"/>
          <w:numId w:val="5"/>
        </w:numPr>
        <w:shd w:val="clear" w:color="auto" w:fill="FFFFFF"/>
        <w:tabs>
          <w:tab w:val="clear" w:pos="567"/>
        </w:tabs>
        <w:contextualSpacing w:val="0"/>
        <w:rPr>
          <w:rFonts w:cstheme="minorHAnsi"/>
        </w:rPr>
      </w:pPr>
      <w:r w:rsidRPr="002D6014">
        <w:rPr>
          <w:rFonts w:cstheme="minorHAnsi"/>
          <w:b/>
        </w:rPr>
        <w:t>Terms of Reference 2a: the effectiveness of current laws and mechanisms for protecting human rights in Queensland and possible improvements to these mechanisms</w:t>
      </w:r>
      <w:r w:rsidR="007B21A7" w:rsidRPr="002D6014">
        <w:rPr>
          <w:rFonts w:cstheme="minorHAnsi"/>
        </w:rPr>
        <w:t>.</w:t>
      </w:r>
    </w:p>
    <w:p w:rsidR="007B21A7" w:rsidRPr="002D6014" w:rsidRDefault="0076367A" w:rsidP="00632BB9">
      <w:pPr>
        <w:pStyle w:val="ListParagraph"/>
        <w:shd w:val="clear" w:color="auto" w:fill="FFFFFF"/>
        <w:tabs>
          <w:tab w:val="clear" w:pos="567"/>
        </w:tabs>
        <w:ind w:left="567"/>
        <w:contextualSpacing w:val="0"/>
        <w:rPr>
          <w:rFonts w:cstheme="minorHAnsi"/>
        </w:rPr>
      </w:pPr>
      <w:r w:rsidRPr="002D6014">
        <w:rPr>
          <w:rFonts w:cstheme="minorHAnsi"/>
        </w:rPr>
        <w:t>There is no comprehensive statement of human rights in Queensland that operates as a minimum standard for the protection of rights. The paper</w:t>
      </w:r>
      <w:r w:rsidR="007B21A7" w:rsidRPr="002D6014">
        <w:rPr>
          <w:rFonts w:cstheme="minorHAnsi"/>
        </w:rPr>
        <w:t xml:space="preserve">, </w:t>
      </w:r>
      <w:r w:rsidR="007B21A7" w:rsidRPr="002D6014">
        <w:rPr>
          <w:rFonts w:cstheme="minorHAnsi"/>
          <w:i/>
        </w:rPr>
        <w:t xml:space="preserve">The </w:t>
      </w:r>
      <w:r w:rsidRPr="002D6014">
        <w:rPr>
          <w:rFonts w:cstheme="minorHAnsi"/>
          <w:i/>
          <w:iCs/>
        </w:rPr>
        <w:t xml:space="preserve">National Human </w:t>
      </w:r>
      <w:r w:rsidRPr="002D6014">
        <w:rPr>
          <w:rFonts w:cstheme="minorHAnsi"/>
          <w:i/>
          <w:iCs/>
        </w:rPr>
        <w:lastRenderedPageBreak/>
        <w:t>Rights Consultation - Engaging in the Debate</w:t>
      </w:r>
      <w:r w:rsidR="007B21A7" w:rsidRPr="002D6014">
        <w:rPr>
          <w:rFonts w:cstheme="minorHAnsi"/>
          <w:i/>
          <w:iCs/>
        </w:rPr>
        <w:t>,</w:t>
      </w:r>
      <w:r w:rsidRPr="002D6014">
        <w:rPr>
          <w:rFonts w:cstheme="minorHAnsi"/>
          <w:i/>
          <w:iCs/>
        </w:rPr>
        <w:t xml:space="preserve"> </w:t>
      </w:r>
      <w:r w:rsidRPr="002D6014">
        <w:rPr>
          <w:rFonts w:cstheme="minorHAnsi"/>
        </w:rPr>
        <w:t>prepared by the Human Rights Law Resource Centre, in conjunction with Allens Arthur Robinson, comprehensively discusses existing human rights protections in Australia.</w:t>
      </w:r>
      <w:r w:rsidRPr="00D95D9E">
        <w:rPr>
          <w:rStyle w:val="FootnoteReference"/>
          <w:rFonts w:cstheme="minorHAnsi"/>
        </w:rPr>
        <w:footnoteReference w:id="2"/>
      </w:r>
      <w:r w:rsidRPr="00D95D9E">
        <w:rPr>
          <w:rFonts w:cstheme="minorHAnsi"/>
        </w:rPr>
        <w:t xml:space="preserve"> </w:t>
      </w:r>
    </w:p>
    <w:p w:rsidR="00740C14" w:rsidRPr="002D6014" w:rsidRDefault="0076367A" w:rsidP="00632BB9">
      <w:pPr>
        <w:pStyle w:val="ListParagraph"/>
        <w:shd w:val="clear" w:color="auto" w:fill="FFFFFF"/>
        <w:tabs>
          <w:tab w:val="clear" w:pos="567"/>
        </w:tabs>
        <w:ind w:left="567"/>
        <w:contextualSpacing w:val="0"/>
        <w:rPr>
          <w:rFonts w:cstheme="minorHAnsi"/>
        </w:rPr>
      </w:pPr>
      <w:r w:rsidRPr="002D6014">
        <w:rPr>
          <w:rFonts w:cstheme="minorHAnsi"/>
        </w:rPr>
        <w:t>In this submission</w:t>
      </w:r>
      <w:r w:rsidR="007B21A7" w:rsidRPr="002D6014">
        <w:rPr>
          <w:rFonts w:cstheme="minorHAnsi"/>
        </w:rPr>
        <w:t>,</w:t>
      </w:r>
      <w:r w:rsidRPr="002D6014">
        <w:rPr>
          <w:rFonts w:cstheme="minorHAnsi"/>
        </w:rPr>
        <w:t xml:space="preserve"> the </w:t>
      </w:r>
      <w:r w:rsidR="007B21A7" w:rsidRPr="002D6014">
        <w:rPr>
          <w:rFonts w:cstheme="minorHAnsi"/>
        </w:rPr>
        <w:t xml:space="preserve">Commission </w:t>
      </w:r>
      <w:r w:rsidRPr="002D6014">
        <w:rPr>
          <w:rFonts w:cstheme="minorHAnsi"/>
        </w:rPr>
        <w:t xml:space="preserve">proposes to look at some of the significant </w:t>
      </w:r>
      <w:r w:rsidR="004503D9" w:rsidRPr="002D6014">
        <w:rPr>
          <w:rFonts w:cstheme="minorHAnsi"/>
        </w:rPr>
        <w:t>common law, administrative law</w:t>
      </w:r>
      <w:r w:rsidR="007B21A7" w:rsidRPr="002D6014">
        <w:rPr>
          <w:rFonts w:cstheme="minorHAnsi"/>
        </w:rPr>
        <w:t>,</w:t>
      </w:r>
      <w:r w:rsidR="004503D9" w:rsidRPr="002D6014">
        <w:rPr>
          <w:rFonts w:cstheme="minorHAnsi"/>
        </w:rPr>
        <w:t xml:space="preserve"> and parliamentary </w:t>
      </w:r>
      <w:r w:rsidRPr="002D6014">
        <w:rPr>
          <w:rFonts w:cstheme="minorHAnsi"/>
        </w:rPr>
        <w:t>protections of human rights that currently exist in Queensland</w:t>
      </w:r>
      <w:r w:rsidR="00886FCF" w:rsidRPr="002D6014">
        <w:rPr>
          <w:rFonts w:cstheme="minorHAnsi"/>
        </w:rPr>
        <w:t xml:space="preserve">, and to discuss the current deficits in the protection of </w:t>
      </w:r>
      <w:r w:rsidR="007B21A7" w:rsidRPr="002D6014">
        <w:rPr>
          <w:rFonts w:cstheme="minorHAnsi"/>
        </w:rPr>
        <w:t xml:space="preserve">the </w:t>
      </w:r>
      <w:r w:rsidR="00886FCF" w:rsidRPr="002D6014">
        <w:rPr>
          <w:rFonts w:cstheme="minorHAnsi"/>
        </w:rPr>
        <w:t>human rights</w:t>
      </w:r>
      <w:r w:rsidRPr="002D6014">
        <w:rPr>
          <w:rFonts w:cstheme="minorHAnsi"/>
        </w:rPr>
        <w:t xml:space="preserve"> </w:t>
      </w:r>
      <w:r w:rsidR="007B21A7" w:rsidRPr="002D6014">
        <w:rPr>
          <w:rFonts w:cstheme="minorHAnsi"/>
        </w:rPr>
        <w:t>of Queenslanders.</w:t>
      </w:r>
    </w:p>
    <w:p w:rsidR="00740C14" w:rsidRPr="002D6014" w:rsidRDefault="00740C14" w:rsidP="003F4C92">
      <w:pPr>
        <w:pStyle w:val="Heading2"/>
      </w:pPr>
      <w:bookmarkStart w:id="4" w:name="_Toc448747748"/>
      <w:r w:rsidRPr="002D6014">
        <w:t xml:space="preserve">Common </w:t>
      </w:r>
      <w:r w:rsidR="0013156F" w:rsidRPr="002D6014">
        <w:t>l</w:t>
      </w:r>
      <w:r w:rsidRPr="002D6014">
        <w:t>aw</w:t>
      </w:r>
      <w:bookmarkEnd w:id="4"/>
      <w:r w:rsidRPr="002D6014">
        <w:t xml:space="preserve"> </w:t>
      </w:r>
    </w:p>
    <w:p w:rsidR="00A754C5" w:rsidRPr="002D6014" w:rsidRDefault="00A754C5" w:rsidP="004902F3">
      <w:pPr>
        <w:pStyle w:val="ListParagraph"/>
        <w:numPr>
          <w:ilvl w:val="0"/>
          <w:numId w:val="5"/>
        </w:numPr>
        <w:tabs>
          <w:tab w:val="clear" w:pos="567"/>
        </w:tabs>
        <w:spacing w:after="120"/>
        <w:contextualSpacing w:val="0"/>
        <w:rPr>
          <w:rFonts w:eastAsia="Times New Roman" w:cstheme="minorHAnsi"/>
        </w:rPr>
      </w:pPr>
      <w:r w:rsidRPr="002D6014">
        <w:rPr>
          <w:rFonts w:eastAsia="Times New Roman" w:cstheme="minorHAnsi"/>
        </w:rPr>
        <w:t>The Hon Robert French AC, Chief Justice of the High Court, has said that</w:t>
      </w:r>
    </w:p>
    <w:p w:rsidR="00A754C5" w:rsidRPr="00D95D9E" w:rsidRDefault="0013156F" w:rsidP="006E3741">
      <w:pPr>
        <w:tabs>
          <w:tab w:val="clear" w:pos="567"/>
        </w:tabs>
        <w:ind w:left="1134" w:right="1083"/>
        <w:rPr>
          <w:rFonts w:eastAsia="Times New Roman" w:cstheme="minorHAnsi"/>
          <w:sz w:val="20"/>
          <w:szCs w:val="20"/>
        </w:rPr>
      </w:pPr>
      <w:r w:rsidRPr="002D6014">
        <w:rPr>
          <w:rFonts w:eastAsia="Times New Roman" w:cstheme="minorHAnsi"/>
          <w:sz w:val="20"/>
          <w:szCs w:val="20"/>
        </w:rPr>
        <w:t>‘</w:t>
      </w:r>
      <w:r w:rsidR="00A754C5" w:rsidRPr="002D6014">
        <w:rPr>
          <w:rFonts w:eastAsia="Times New Roman" w:cstheme="minorHAnsi"/>
          <w:sz w:val="20"/>
          <w:szCs w:val="20"/>
        </w:rPr>
        <w:t>many of the things we think of as basic rights and freedoms come from the common law and how the common law is used to interpret Acts of Parliament and regulations made under them so as to minimise intrusion into those rights and freedoms.</w:t>
      </w:r>
      <w:r w:rsidRPr="002D6014">
        <w:rPr>
          <w:rFonts w:eastAsia="Times New Roman" w:cstheme="minorHAnsi"/>
          <w:sz w:val="20"/>
          <w:szCs w:val="20"/>
        </w:rPr>
        <w:t>’</w:t>
      </w:r>
      <w:r w:rsidR="00A754C5" w:rsidRPr="00D95D9E">
        <w:rPr>
          <w:rStyle w:val="FootnoteReference"/>
          <w:rFonts w:eastAsia="Times New Roman" w:cstheme="minorHAnsi"/>
          <w:sz w:val="20"/>
          <w:szCs w:val="20"/>
        </w:rPr>
        <w:footnoteReference w:id="3"/>
      </w:r>
    </w:p>
    <w:p w:rsidR="00A754C5" w:rsidRPr="002D6014" w:rsidRDefault="00A754C5" w:rsidP="005B2260">
      <w:pPr>
        <w:pStyle w:val="ListParagraph"/>
        <w:numPr>
          <w:ilvl w:val="0"/>
          <w:numId w:val="5"/>
        </w:numPr>
        <w:tabs>
          <w:tab w:val="clear" w:pos="567"/>
        </w:tabs>
        <w:rPr>
          <w:rFonts w:cstheme="minorHAnsi"/>
        </w:rPr>
      </w:pPr>
      <w:r w:rsidRPr="00D95D9E">
        <w:rPr>
          <w:rFonts w:cstheme="minorHAnsi"/>
        </w:rPr>
        <w:t>Some r</w:t>
      </w:r>
      <w:r w:rsidRPr="002D6014">
        <w:rPr>
          <w:rFonts w:cstheme="minorHAnsi"/>
        </w:rPr>
        <w:t xml:space="preserve">ights and freedoms give rise to </w:t>
      </w:r>
      <w:r w:rsidR="0031645C" w:rsidRPr="002D6014">
        <w:rPr>
          <w:rFonts w:cstheme="minorHAnsi"/>
        </w:rPr>
        <w:t xml:space="preserve">direct </w:t>
      </w:r>
      <w:r w:rsidRPr="002D6014">
        <w:rPr>
          <w:rFonts w:cstheme="minorHAnsi"/>
        </w:rPr>
        <w:t xml:space="preserve">legal obligations </w:t>
      </w:r>
      <w:r w:rsidR="0031645C" w:rsidRPr="002D6014">
        <w:rPr>
          <w:rFonts w:cstheme="minorHAnsi"/>
        </w:rPr>
        <w:t xml:space="preserve">that </w:t>
      </w:r>
      <w:r w:rsidRPr="002D6014">
        <w:rPr>
          <w:rFonts w:cstheme="minorHAnsi"/>
        </w:rPr>
        <w:t>may be enforced in courts of law. Other</w:t>
      </w:r>
      <w:r w:rsidR="0031645C" w:rsidRPr="002D6014">
        <w:rPr>
          <w:rFonts w:cstheme="minorHAnsi"/>
        </w:rPr>
        <w:t xml:space="preserve"> rights and freedoms exist</w:t>
      </w:r>
      <w:r w:rsidRPr="002D6014">
        <w:rPr>
          <w:rFonts w:cstheme="minorHAnsi"/>
        </w:rPr>
        <w:t xml:space="preserve"> to the extent that laws do not encroach on </w:t>
      </w:r>
      <w:r w:rsidR="0031645C" w:rsidRPr="002D6014">
        <w:rPr>
          <w:rFonts w:cstheme="minorHAnsi"/>
        </w:rPr>
        <w:t>them</w:t>
      </w:r>
      <w:r w:rsidRPr="002D6014">
        <w:rPr>
          <w:rFonts w:cstheme="minorHAnsi"/>
        </w:rPr>
        <w:t xml:space="preserve">. The High Court said in </w:t>
      </w:r>
      <w:r w:rsidRPr="002D6014">
        <w:rPr>
          <w:rFonts w:cstheme="minorHAnsi"/>
          <w:i/>
          <w:iCs/>
        </w:rPr>
        <w:t>Lange v Australian Broadcasting Corporation</w:t>
      </w:r>
      <w:r w:rsidRPr="002D6014">
        <w:rPr>
          <w:rFonts w:cstheme="minorHAnsi"/>
        </w:rPr>
        <w:t>:</w:t>
      </w:r>
    </w:p>
    <w:p w:rsidR="00A754C5" w:rsidRPr="002D6014" w:rsidRDefault="004F6FFB" w:rsidP="006E3741">
      <w:pPr>
        <w:pStyle w:val="NormalWeb"/>
        <w:spacing w:before="0" w:beforeAutospacing="0" w:after="240"/>
        <w:ind w:left="1134" w:right="1083"/>
        <w:rPr>
          <w:rFonts w:asciiTheme="minorHAnsi" w:hAnsiTheme="minorHAnsi" w:cstheme="minorHAnsi"/>
          <w:sz w:val="20"/>
          <w:szCs w:val="20"/>
        </w:rPr>
      </w:pPr>
      <w:r w:rsidRPr="002D6014">
        <w:rPr>
          <w:rFonts w:asciiTheme="minorHAnsi" w:hAnsiTheme="minorHAnsi" w:cstheme="minorHAnsi"/>
          <w:sz w:val="20"/>
          <w:szCs w:val="20"/>
        </w:rPr>
        <w:t>‘</w:t>
      </w:r>
      <w:r w:rsidR="00A754C5" w:rsidRPr="002D6014">
        <w:rPr>
          <w:rFonts w:asciiTheme="minorHAnsi" w:hAnsiTheme="minorHAnsi" w:cstheme="minorHAnsi"/>
          <w:sz w:val="20"/>
          <w:szCs w:val="20"/>
        </w:rPr>
        <w:t xml:space="preserve">Under a legal system based on the common law, </w:t>
      </w:r>
      <w:r w:rsidRPr="002D6014">
        <w:rPr>
          <w:rFonts w:asciiTheme="minorHAnsi" w:hAnsiTheme="minorHAnsi" w:cstheme="minorHAnsi"/>
          <w:sz w:val="20"/>
          <w:szCs w:val="20"/>
        </w:rPr>
        <w:t>“</w:t>
      </w:r>
      <w:r w:rsidR="00A754C5" w:rsidRPr="002D6014">
        <w:rPr>
          <w:rFonts w:asciiTheme="minorHAnsi" w:hAnsiTheme="minorHAnsi" w:cstheme="minorHAnsi"/>
          <w:sz w:val="20"/>
          <w:szCs w:val="20"/>
        </w:rPr>
        <w:t>everybody is free to do anything, subject only to the provisions of the law</w:t>
      </w:r>
      <w:r w:rsidRPr="002D6014">
        <w:rPr>
          <w:rFonts w:asciiTheme="minorHAnsi" w:hAnsiTheme="minorHAnsi" w:cstheme="minorHAnsi"/>
          <w:sz w:val="20"/>
          <w:szCs w:val="20"/>
        </w:rPr>
        <w:t>”</w:t>
      </w:r>
      <w:r w:rsidR="00A754C5" w:rsidRPr="002D6014">
        <w:rPr>
          <w:rFonts w:asciiTheme="minorHAnsi" w:hAnsiTheme="minorHAnsi" w:cstheme="minorHAnsi"/>
          <w:sz w:val="20"/>
          <w:szCs w:val="20"/>
        </w:rPr>
        <w:t xml:space="preserve">, so that one proceeds </w:t>
      </w:r>
      <w:r w:rsidRPr="002D6014">
        <w:rPr>
          <w:rFonts w:asciiTheme="minorHAnsi" w:hAnsiTheme="minorHAnsi" w:cstheme="minorHAnsi"/>
          <w:sz w:val="20"/>
          <w:szCs w:val="20"/>
        </w:rPr>
        <w:t>“</w:t>
      </w:r>
      <w:r w:rsidR="00A754C5" w:rsidRPr="002D6014">
        <w:rPr>
          <w:rFonts w:asciiTheme="minorHAnsi" w:hAnsiTheme="minorHAnsi" w:cstheme="minorHAnsi"/>
          <w:sz w:val="20"/>
          <w:szCs w:val="20"/>
        </w:rPr>
        <w:t>upon an assumption of freedom of speech</w:t>
      </w:r>
      <w:r w:rsidRPr="002D6014">
        <w:rPr>
          <w:rFonts w:asciiTheme="minorHAnsi" w:hAnsiTheme="minorHAnsi" w:cstheme="minorHAnsi"/>
          <w:sz w:val="20"/>
          <w:szCs w:val="20"/>
        </w:rPr>
        <w:t>”</w:t>
      </w:r>
      <w:r w:rsidR="00A754C5" w:rsidRPr="002D6014">
        <w:rPr>
          <w:rFonts w:asciiTheme="minorHAnsi" w:hAnsiTheme="minorHAnsi" w:cstheme="minorHAnsi"/>
          <w:sz w:val="20"/>
          <w:szCs w:val="20"/>
        </w:rPr>
        <w:t xml:space="preserve"> and turns to the law </w:t>
      </w:r>
      <w:r w:rsidRPr="002D6014">
        <w:rPr>
          <w:rFonts w:asciiTheme="minorHAnsi" w:hAnsiTheme="minorHAnsi" w:cstheme="minorHAnsi"/>
          <w:sz w:val="20"/>
          <w:szCs w:val="20"/>
        </w:rPr>
        <w:t>“</w:t>
      </w:r>
      <w:r w:rsidR="00A754C5" w:rsidRPr="002D6014">
        <w:rPr>
          <w:rFonts w:asciiTheme="minorHAnsi" w:hAnsiTheme="minorHAnsi" w:cstheme="minorHAnsi"/>
          <w:sz w:val="20"/>
          <w:szCs w:val="20"/>
        </w:rPr>
        <w:t>to discover the established exceptions to it</w:t>
      </w:r>
      <w:r w:rsidRPr="002D6014">
        <w:rPr>
          <w:rFonts w:asciiTheme="minorHAnsi" w:hAnsiTheme="minorHAnsi" w:cstheme="minorHAnsi"/>
          <w:sz w:val="20"/>
          <w:szCs w:val="20"/>
        </w:rPr>
        <w:t>.”’</w:t>
      </w:r>
      <w:r w:rsidR="00A754C5" w:rsidRPr="002D6014">
        <w:rPr>
          <w:rStyle w:val="FootnoteReference"/>
          <w:rFonts w:asciiTheme="minorHAnsi" w:hAnsiTheme="minorHAnsi" w:cstheme="minorHAnsi"/>
          <w:sz w:val="20"/>
          <w:szCs w:val="20"/>
        </w:rPr>
        <w:footnoteReference w:id="4"/>
      </w:r>
    </w:p>
    <w:p w:rsidR="00886FCF" w:rsidRPr="002D6014" w:rsidRDefault="00886FCF" w:rsidP="005B2260">
      <w:pPr>
        <w:pStyle w:val="ListParagraph"/>
        <w:numPr>
          <w:ilvl w:val="0"/>
          <w:numId w:val="5"/>
        </w:numPr>
        <w:shd w:val="clear" w:color="auto" w:fill="FFFFFF"/>
        <w:tabs>
          <w:tab w:val="clear" w:pos="567"/>
        </w:tabs>
        <w:contextualSpacing w:val="0"/>
        <w:rPr>
          <w:rFonts w:cstheme="minorHAnsi"/>
        </w:rPr>
      </w:pPr>
      <w:r w:rsidRPr="002D6014">
        <w:rPr>
          <w:rFonts w:cstheme="minorHAnsi"/>
        </w:rPr>
        <w:t>In statutory interpretation there is a presumption</w:t>
      </w:r>
      <w:r w:rsidR="00464CC2" w:rsidRPr="002D6014">
        <w:rPr>
          <w:rFonts w:cstheme="minorHAnsi"/>
        </w:rPr>
        <w:t>, known as ‘the principle of legality’,</w:t>
      </w:r>
      <w:r w:rsidRPr="002D6014">
        <w:rPr>
          <w:rFonts w:cstheme="minorHAnsi"/>
        </w:rPr>
        <w:t xml:space="preserve"> that legislation is not intended to encroach upon common law fundamental rights and freedoms. The principle of legality can be displaced by the parliament in writing laws. </w:t>
      </w:r>
    </w:p>
    <w:p w:rsidR="00740C14" w:rsidRPr="002D6014" w:rsidRDefault="00886FCF" w:rsidP="005B2260">
      <w:pPr>
        <w:pStyle w:val="ListParagraph"/>
        <w:numPr>
          <w:ilvl w:val="0"/>
          <w:numId w:val="5"/>
        </w:numPr>
        <w:shd w:val="clear" w:color="auto" w:fill="FFFFFF"/>
        <w:tabs>
          <w:tab w:val="clear" w:pos="567"/>
        </w:tabs>
        <w:contextualSpacing w:val="0"/>
        <w:rPr>
          <w:rFonts w:cstheme="minorHAnsi"/>
        </w:rPr>
      </w:pPr>
      <w:r w:rsidRPr="002D6014">
        <w:rPr>
          <w:rFonts w:cstheme="minorHAnsi"/>
        </w:rPr>
        <w:t>The rights and freedoms upheld by the courts include the freedom of speech, personal liberty, access to courts, legal professional privilege, protection from self-incrimination, procedural fairness, no alienation of property without compensation, and equality of religion.</w:t>
      </w:r>
      <w:r w:rsidR="00C310B8" w:rsidRPr="002D6014">
        <w:rPr>
          <w:rFonts w:cstheme="minorHAnsi"/>
        </w:rPr>
        <w:t xml:space="preserve"> </w:t>
      </w:r>
      <w:r w:rsidRPr="002D6014">
        <w:rPr>
          <w:rFonts w:cstheme="minorHAnsi"/>
        </w:rPr>
        <w:t>However, u</w:t>
      </w:r>
      <w:r w:rsidR="00A754C5" w:rsidRPr="002D6014">
        <w:rPr>
          <w:rFonts w:cstheme="minorHAnsi"/>
        </w:rPr>
        <w:t>nder the common law t</w:t>
      </w:r>
      <w:r w:rsidR="0076367A" w:rsidRPr="002D6014">
        <w:rPr>
          <w:rFonts w:cstheme="minorHAnsi"/>
        </w:rPr>
        <w:t xml:space="preserve">here </w:t>
      </w:r>
      <w:r w:rsidR="00464067" w:rsidRPr="002D6014">
        <w:rPr>
          <w:rFonts w:cstheme="minorHAnsi"/>
        </w:rPr>
        <w:t>is</w:t>
      </w:r>
      <w:r w:rsidR="0076367A" w:rsidRPr="002D6014">
        <w:rPr>
          <w:rFonts w:cstheme="minorHAnsi"/>
        </w:rPr>
        <w:t xml:space="preserve"> no settled list of </w:t>
      </w:r>
      <w:r w:rsidR="00A754C5" w:rsidRPr="002D6014">
        <w:rPr>
          <w:rFonts w:cstheme="minorHAnsi"/>
        </w:rPr>
        <w:t xml:space="preserve">protected </w:t>
      </w:r>
      <w:r w:rsidR="0076367A" w:rsidRPr="002D6014">
        <w:rPr>
          <w:rFonts w:cstheme="minorHAnsi"/>
        </w:rPr>
        <w:t xml:space="preserve">rights </w:t>
      </w:r>
      <w:r w:rsidR="004503D9" w:rsidRPr="002D6014">
        <w:rPr>
          <w:rFonts w:cstheme="minorHAnsi"/>
        </w:rPr>
        <w:t>(</w:t>
      </w:r>
      <w:r w:rsidR="00A754C5" w:rsidRPr="002D6014">
        <w:rPr>
          <w:rFonts w:cstheme="minorHAnsi"/>
        </w:rPr>
        <w:t>unlike the</w:t>
      </w:r>
      <w:r w:rsidR="004503D9" w:rsidRPr="002D6014">
        <w:rPr>
          <w:rFonts w:cstheme="minorHAnsi"/>
        </w:rPr>
        <w:t xml:space="preserve"> </w:t>
      </w:r>
      <w:r w:rsidR="00CB4455" w:rsidRPr="002D6014">
        <w:rPr>
          <w:rFonts w:cstheme="minorHAnsi"/>
        </w:rPr>
        <w:t>h</w:t>
      </w:r>
      <w:r w:rsidR="004503D9" w:rsidRPr="002D6014">
        <w:rPr>
          <w:rFonts w:cstheme="minorHAnsi"/>
        </w:rPr>
        <w:t xml:space="preserve">uman </w:t>
      </w:r>
      <w:r w:rsidR="00CB4455" w:rsidRPr="002D6014">
        <w:rPr>
          <w:rFonts w:cstheme="minorHAnsi"/>
        </w:rPr>
        <w:t>r</w:t>
      </w:r>
      <w:r w:rsidR="004503D9" w:rsidRPr="002D6014">
        <w:rPr>
          <w:rFonts w:cstheme="minorHAnsi"/>
        </w:rPr>
        <w:t xml:space="preserve">ights </w:t>
      </w:r>
      <w:r w:rsidR="00CB4455" w:rsidRPr="002D6014">
        <w:rPr>
          <w:rFonts w:cstheme="minorHAnsi"/>
        </w:rPr>
        <w:t>c</w:t>
      </w:r>
      <w:r w:rsidR="004503D9" w:rsidRPr="002D6014">
        <w:rPr>
          <w:rFonts w:cstheme="minorHAnsi"/>
        </w:rPr>
        <w:t>ovenants)</w:t>
      </w:r>
      <w:r w:rsidR="00CB4455" w:rsidRPr="002D6014">
        <w:rPr>
          <w:rFonts w:cstheme="minorHAnsi"/>
        </w:rPr>
        <w:t>;</w:t>
      </w:r>
      <w:r w:rsidR="00464067" w:rsidRPr="002D6014">
        <w:rPr>
          <w:rFonts w:cstheme="minorHAnsi"/>
        </w:rPr>
        <w:t xml:space="preserve"> instead</w:t>
      </w:r>
      <w:r w:rsidR="00CB4455" w:rsidRPr="002D6014">
        <w:rPr>
          <w:rFonts w:cstheme="minorHAnsi"/>
        </w:rPr>
        <w:t>,</w:t>
      </w:r>
      <w:r w:rsidR="00464067" w:rsidRPr="002D6014">
        <w:rPr>
          <w:rFonts w:cstheme="minorHAnsi"/>
        </w:rPr>
        <w:t xml:space="preserve"> </w:t>
      </w:r>
      <w:r w:rsidR="0076367A" w:rsidRPr="002D6014">
        <w:rPr>
          <w:rFonts w:cstheme="minorHAnsi"/>
        </w:rPr>
        <w:t xml:space="preserve">rights are </w:t>
      </w:r>
      <w:r w:rsidR="00464067" w:rsidRPr="002D6014">
        <w:rPr>
          <w:rFonts w:cstheme="minorHAnsi"/>
        </w:rPr>
        <w:t xml:space="preserve">incrementally </w:t>
      </w:r>
      <w:r w:rsidR="0076367A" w:rsidRPr="002D6014">
        <w:rPr>
          <w:rFonts w:cstheme="minorHAnsi"/>
        </w:rPr>
        <w:t>d</w:t>
      </w:r>
      <w:r w:rsidR="00464067" w:rsidRPr="002D6014">
        <w:rPr>
          <w:rFonts w:cstheme="minorHAnsi"/>
        </w:rPr>
        <w:t xml:space="preserve">eveloped on a case </w:t>
      </w:r>
      <w:r w:rsidR="0076367A" w:rsidRPr="002D6014">
        <w:rPr>
          <w:rFonts w:cstheme="minorHAnsi"/>
        </w:rPr>
        <w:t xml:space="preserve">by case basis.  </w:t>
      </w:r>
      <w:r w:rsidR="00464067" w:rsidRPr="002D6014">
        <w:rPr>
          <w:rFonts w:cstheme="minorHAnsi"/>
        </w:rPr>
        <w:t xml:space="preserve">Common law rights </w:t>
      </w:r>
      <w:r w:rsidR="0076367A" w:rsidRPr="002D6014">
        <w:rPr>
          <w:rFonts w:cstheme="minorHAnsi"/>
        </w:rPr>
        <w:t xml:space="preserve">play a significant role in the protection of </w:t>
      </w:r>
      <w:r w:rsidR="00464067" w:rsidRPr="002D6014">
        <w:rPr>
          <w:rFonts w:cstheme="minorHAnsi"/>
        </w:rPr>
        <w:t xml:space="preserve">our </w:t>
      </w:r>
      <w:r w:rsidR="0076367A" w:rsidRPr="002D6014">
        <w:rPr>
          <w:rFonts w:cstheme="minorHAnsi"/>
        </w:rPr>
        <w:t>rights and freedoms</w:t>
      </w:r>
      <w:r w:rsidRPr="002D6014">
        <w:rPr>
          <w:rFonts w:cstheme="minorHAnsi"/>
        </w:rPr>
        <w:t>,</w:t>
      </w:r>
      <w:r w:rsidR="0076367A" w:rsidRPr="002D6014">
        <w:rPr>
          <w:rFonts w:cstheme="minorHAnsi"/>
        </w:rPr>
        <w:t xml:space="preserve"> but do not replace </w:t>
      </w:r>
      <w:r w:rsidR="00464067" w:rsidRPr="002D6014">
        <w:rPr>
          <w:rFonts w:cstheme="minorHAnsi"/>
        </w:rPr>
        <w:t xml:space="preserve">statutory </w:t>
      </w:r>
      <w:r w:rsidR="00930CA2" w:rsidRPr="002D6014">
        <w:rPr>
          <w:rFonts w:cstheme="minorHAnsi"/>
        </w:rPr>
        <w:t>human rights protections.</w:t>
      </w:r>
    </w:p>
    <w:p w:rsidR="00740C14" w:rsidRPr="002D6014" w:rsidRDefault="0076367A" w:rsidP="005B2260">
      <w:pPr>
        <w:pStyle w:val="ListParagraph"/>
        <w:numPr>
          <w:ilvl w:val="0"/>
          <w:numId w:val="5"/>
        </w:numPr>
        <w:shd w:val="clear" w:color="auto" w:fill="FFFFFF"/>
        <w:tabs>
          <w:tab w:val="clear" w:pos="567"/>
          <w:tab w:val="left" w:pos="-4253"/>
        </w:tabs>
        <w:contextualSpacing w:val="0"/>
        <w:rPr>
          <w:rFonts w:cstheme="minorHAnsi"/>
        </w:rPr>
      </w:pPr>
      <w:r w:rsidRPr="002D6014">
        <w:rPr>
          <w:rFonts w:cstheme="minorHAnsi"/>
        </w:rPr>
        <w:t xml:space="preserve">Protection of rights </w:t>
      </w:r>
      <w:r w:rsidR="00886FCF" w:rsidRPr="002D6014">
        <w:rPr>
          <w:rFonts w:cstheme="minorHAnsi"/>
        </w:rPr>
        <w:t xml:space="preserve">and freedoms </w:t>
      </w:r>
      <w:r w:rsidRPr="002D6014">
        <w:rPr>
          <w:rFonts w:cstheme="minorHAnsi"/>
        </w:rPr>
        <w:t xml:space="preserve">under </w:t>
      </w:r>
      <w:r w:rsidR="00886FCF" w:rsidRPr="002D6014">
        <w:rPr>
          <w:rFonts w:cstheme="minorHAnsi"/>
        </w:rPr>
        <w:t xml:space="preserve">the </w:t>
      </w:r>
      <w:r w:rsidRPr="002D6014">
        <w:rPr>
          <w:rFonts w:cstheme="minorHAnsi"/>
        </w:rPr>
        <w:t xml:space="preserve">common law </w:t>
      </w:r>
      <w:r w:rsidR="00886FCF" w:rsidRPr="002D6014">
        <w:rPr>
          <w:rFonts w:cstheme="minorHAnsi"/>
        </w:rPr>
        <w:t xml:space="preserve">can be contrasted with </w:t>
      </w:r>
      <w:r w:rsidR="0031645C" w:rsidRPr="002D6014">
        <w:rPr>
          <w:rFonts w:cstheme="minorHAnsi"/>
        </w:rPr>
        <w:t xml:space="preserve">protection of </w:t>
      </w:r>
      <w:r w:rsidR="00886FCF" w:rsidRPr="002D6014">
        <w:rPr>
          <w:rFonts w:cstheme="minorHAnsi"/>
        </w:rPr>
        <w:t xml:space="preserve">rights under a </w:t>
      </w:r>
      <w:r w:rsidR="00CB4455" w:rsidRPr="002D6014">
        <w:rPr>
          <w:rFonts w:cstheme="minorHAnsi"/>
        </w:rPr>
        <w:t>H</w:t>
      </w:r>
      <w:r w:rsidRPr="002D6014">
        <w:rPr>
          <w:rFonts w:cstheme="minorHAnsi"/>
        </w:rPr>
        <w:t xml:space="preserve">uman </w:t>
      </w:r>
      <w:r w:rsidR="00CB4455" w:rsidRPr="002D6014">
        <w:rPr>
          <w:rFonts w:cstheme="minorHAnsi"/>
        </w:rPr>
        <w:t>R</w:t>
      </w:r>
      <w:r w:rsidRPr="002D6014">
        <w:rPr>
          <w:rFonts w:cstheme="minorHAnsi"/>
        </w:rPr>
        <w:t>ight</w:t>
      </w:r>
      <w:r w:rsidR="00886FCF" w:rsidRPr="002D6014">
        <w:rPr>
          <w:rFonts w:cstheme="minorHAnsi"/>
        </w:rPr>
        <w:t xml:space="preserve">s </w:t>
      </w:r>
      <w:r w:rsidR="00CB4455" w:rsidRPr="002D6014">
        <w:rPr>
          <w:rFonts w:cstheme="minorHAnsi"/>
        </w:rPr>
        <w:t>A</w:t>
      </w:r>
      <w:r w:rsidR="00886FCF" w:rsidRPr="002D6014">
        <w:rPr>
          <w:rFonts w:cstheme="minorHAnsi"/>
        </w:rPr>
        <w:t xml:space="preserve">ct. </w:t>
      </w:r>
      <w:r w:rsidRPr="002D6014">
        <w:rPr>
          <w:rFonts w:cstheme="minorHAnsi"/>
        </w:rPr>
        <w:t xml:space="preserve">Common law rights </w:t>
      </w:r>
      <w:r w:rsidR="00740C14" w:rsidRPr="002D6014">
        <w:rPr>
          <w:rFonts w:cstheme="minorHAnsi"/>
        </w:rPr>
        <w:t xml:space="preserve">have been </w:t>
      </w:r>
      <w:r w:rsidRPr="002D6014">
        <w:rPr>
          <w:rFonts w:cstheme="minorHAnsi"/>
        </w:rPr>
        <w:t xml:space="preserve">described </w:t>
      </w:r>
      <w:r w:rsidR="00740C14" w:rsidRPr="002D6014">
        <w:rPr>
          <w:rFonts w:cstheme="minorHAnsi"/>
        </w:rPr>
        <w:t>a</w:t>
      </w:r>
      <w:r w:rsidR="00464067" w:rsidRPr="002D6014">
        <w:rPr>
          <w:rFonts w:cstheme="minorHAnsi"/>
        </w:rPr>
        <w:t>s freedoms</w:t>
      </w:r>
      <w:r w:rsidR="00CB4455" w:rsidRPr="002D6014">
        <w:rPr>
          <w:rFonts w:cstheme="minorHAnsi"/>
        </w:rPr>
        <w:t>,</w:t>
      </w:r>
      <w:r w:rsidR="00464067" w:rsidRPr="002D6014">
        <w:rPr>
          <w:rFonts w:cstheme="minorHAnsi"/>
        </w:rPr>
        <w:t xml:space="preserve"> rather than rights</w:t>
      </w:r>
      <w:r w:rsidR="00CB4455" w:rsidRPr="002D6014">
        <w:rPr>
          <w:rFonts w:cstheme="minorHAnsi"/>
        </w:rPr>
        <w:t>,</w:t>
      </w:r>
      <w:r w:rsidR="00464067" w:rsidRPr="002D6014">
        <w:rPr>
          <w:rFonts w:cstheme="minorHAnsi"/>
        </w:rPr>
        <w:t xml:space="preserve"> and </w:t>
      </w:r>
      <w:r w:rsidR="00886FCF" w:rsidRPr="002D6014">
        <w:rPr>
          <w:rFonts w:cstheme="minorHAnsi"/>
        </w:rPr>
        <w:t xml:space="preserve">are often </w:t>
      </w:r>
      <w:r w:rsidR="00740C14" w:rsidRPr="002D6014">
        <w:rPr>
          <w:rFonts w:cstheme="minorHAnsi"/>
        </w:rPr>
        <w:t>limit</w:t>
      </w:r>
      <w:r w:rsidR="00464067" w:rsidRPr="002D6014">
        <w:rPr>
          <w:rFonts w:cstheme="minorHAnsi"/>
        </w:rPr>
        <w:t>ed</w:t>
      </w:r>
      <w:r w:rsidR="007978A1" w:rsidRPr="002D6014">
        <w:rPr>
          <w:rFonts w:cstheme="minorHAnsi"/>
        </w:rPr>
        <w:t xml:space="preserve"> in how they</w:t>
      </w:r>
      <w:r w:rsidR="00930CA2" w:rsidRPr="002D6014">
        <w:rPr>
          <w:rFonts w:cstheme="minorHAnsi"/>
        </w:rPr>
        <w:t xml:space="preserve"> can be enforced.</w:t>
      </w:r>
    </w:p>
    <w:p w:rsidR="0076367A" w:rsidRPr="00D95D9E" w:rsidRDefault="0076367A" w:rsidP="005B2260">
      <w:pPr>
        <w:pStyle w:val="ListParagraph"/>
        <w:numPr>
          <w:ilvl w:val="0"/>
          <w:numId w:val="5"/>
        </w:numPr>
        <w:shd w:val="clear" w:color="auto" w:fill="FFFFFF"/>
        <w:tabs>
          <w:tab w:val="clear" w:pos="567"/>
          <w:tab w:val="left" w:pos="-4253"/>
        </w:tabs>
        <w:contextualSpacing w:val="0"/>
        <w:rPr>
          <w:rFonts w:cstheme="minorHAnsi"/>
        </w:rPr>
      </w:pPr>
      <w:r w:rsidRPr="002D6014">
        <w:rPr>
          <w:rFonts w:cstheme="minorHAnsi"/>
        </w:rPr>
        <w:t xml:space="preserve">Under </w:t>
      </w:r>
      <w:r w:rsidR="00886FCF" w:rsidRPr="002D6014">
        <w:rPr>
          <w:rFonts w:cstheme="minorHAnsi"/>
        </w:rPr>
        <w:t xml:space="preserve">a </w:t>
      </w:r>
      <w:r w:rsidR="00CB4455" w:rsidRPr="002D6014">
        <w:rPr>
          <w:rFonts w:cstheme="minorHAnsi"/>
        </w:rPr>
        <w:t>H</w:t>
      </w:r>
      <w:r w:rsidRPr="002D6014">
        <w:rPr>
          <w:rFonts w:cstheme="minorHAnsi"/>
        </w:rPr>
        <w:t xml:space="preserve">uman </w:t>
      </w:r>
      <w:r w:rsidR="00CB4455" w:rsidRPr="002D6014">
        <w:rPr>
          <w:rFonts w:cstheme="minorHAnsi"/>
        </w:rPr>
        <w:t>R</w:t>
      </w:r>
      <w:r w:rsidRPr="002D6014">
        <w:rPr>
          <w:rFonts w:cstheme="minorHAnsi"/>
        </w:rPr>
        <w:t>ights</w:t>
      </w:r>
      <w:r w:rsidR="00886FCF" w:rsidRPr="002D6014">
        <w:rPr>
          <w:rFonts w:cstheme="minorHAnsi"/>
        </w:rPr>
        <w:t xml:space="preserve"> </w:t>
      </w:r>
      <w:r w:rsidR="00CB4455" w:rsidRPr="002D6014">
        <w:rPr>
          <w:rFonts w:cstheme="minorHAnsi"/>
        </w:rPr>
        <w:t>A</w:t>
      </w:r>
      <w:r w:rsidR="00886FCF" w:rsidRPr="002D6014">
        <w:rPr>
          <w:rFonts w:cstheme="minorHAnsi"/>
        </w:rPr>
        <w:t>ct</w:t>
      </w:r>
      <w:r w:rsidRPr="002D6014">
        <w:rPr>
          <w:rFonts w:cstheme="minorHAnsi"/>
        </w:rPr>
        <w:t xml:space="preserve">, there is more likely to be a positive duty to </w:t>
      </w:r>
      <w:r w:rsidR="00740C14" w:rsidRPr="002D6014">
        <w:rPr>
          <w:rFonts w:cstheme="minorHAnsi"/>
        </w:rPr>
        <w:t>enforce</w:t>
      </w:r>
      <w:r w:rsidRPr="002D6014">
        <w:rPr>
          <w:rFonts w:cstheme="minorHAnsi"/>
        </w:rPr>
        <w:t xml:space="preserve"> </w:t>
      </w:r>
      <w:r w:rsidR="00740C14" w:rsidRPr="002D6014">
        <w:rPr>
          <w:rFonts w:cstheme="minorHAnsi"/>
        </w:rPr>
        <w:t>a</w:t>
      </w:r>
      <w:r w:rsidRPr="002D6014">
        <w:rPr>
          <w:rFonts w:cstheme="minorHAnsi"/>
        </w:rPr>
        <w:t xml:space="preserve"> right, rather than merely a negative duty to leave people to be free to go their own way.</w:t>
      </w:r>
      <w:r w:rsidRPr="00D95D9E">
        <w:rPr>
          <w:rStyle w:val="FootnoteReference"/>
          <w:rFonts w:cstheme="minorHAnsi"/>
        </w:rPr>
        <w:footnoteReference w:id="5"/>
      </w:r>
      <w:r w:rsidRPr="00D95D9E">
        <w:rPr>
          <w:rFonts w:cstheme="minorHAnsi"/>
        </w:rPr>
        <w:t xml:space="preserve">  For example, in the U</w:t>
      </w:r>
      <w:r w:rsidR="007978A1" w:rsidRPr="00D95D9E">
        <w:rPr>
          <w:rFonts w:cstheme="minorHAnsi"/>
        </w:rPr>
        <w:t xml:space="preserve">nited </w:t>
      </w:r>
      <w:r w:rsidRPr="00D95D9E">
        <w:rPr>
          <w:rFonts w:cstheme="minorHAnsi"/>
        </w:rPr>
        <w:t>K</w:t>
      </w:r>
      <w:r w:rsidR="007978A1" w:rsidRPr="007004AD">
        <w:rPr>
          <w:rFonts w:cstheme="minorHAnsi"/>
        </w:rPr>
        <w:t>ingdom</w:t>
      </w:r>
      <w:r w:rsidRPr="00066EEA">
        <w:rPr>
          <w:rFonts w:cstheme="minorHAnsi"/>
        </w:rPr>
        <w:t xml:space="preserve"> case of </w:t>
      </w:r>
      <w:r w:rsidRPr="002D6014">
        <w:rPr>
          <w:rStyle w:val="Emphasis"/>
          <w:rFonts w:cstheme="minorHAnsi"/>
        </w:rPr>
        <w:t xml:space="preserve">DSD &amp; NBV v The Commissioner of Police for </w:t>
      </w:r>
      <w:r w:rsidRPr="002D6014">
        <w:rPr>
          <w:rStyle w:val="Emphasis"/>
          <w:rFonts w:cstheme="minorHAnsi"/>
        </w:rPr>
        <w:lastRenderedPageBreak/>
        <w:t xml:space="preserve">the Metropolis </w:t>
      </w:r>
      <w:r w:rsidRPr="002D6014">
        <w:rPr>
          <w:rFonts w:cstheme="minorHAnsi"/>
        </w:rPr>
        <w:t>[2014] EWHC 436 (QB), the UK High Court relied on the human right to be free from torture and cruel inhuman and degrading treatment</w:t>
      </w:r>
      <w:r w:rsidR="00283571" w:rsidRPr="002D6014">
        <w:rPr>
          <w:rStyle w:val="FootnoteReference"/>
          <w:rFonts w:cstheme="minorHAnsi"/>
        </w:rPr>
        <w:footnoteReference w:id="6"/>
      </w:r>
      <w:r w:rsidRPr="002D6014">
        <w:rPr>
          <w:rFonts w:cstheme="minorHAnsi"/>
        </w:rPr>
        <w:t xml:space="preserve"> </w:t>
      </w:r>
      <w:r w:rsidR="00283571" w:rsidRPr="002D6014">
        <w:rPr>
          <w:rFonts w:cstheme="minorHAnsi"/>
        </w:rPr>
        <w:t>t</w:t>
      </w:r>
      <w:r w:rsidRPr="002D6014">
        <w:rPr>
          <w:rFonts w:cstheme="minorHAnsi"/>
        </w:rPr>
        <w:t xml:space="preserve">o find that the police have a duty to conduct an investigation in a timely and efficient manner.  In </w:t>
      </w:r>
      <w:r w:rsidR="00CB4455" w:rsidRPr="002D6014">
        <w:rPr>
          <w:rFonts w:cstheme="minorHAnsi"/>
        </w:rPr>
        <w:t xml:space="preserve">that </w:t>
      </w:r>
      <w:r w:rsidRPr="002D6014">
        <w:rPr>
          <w:rFonts w:cstheme="minorHAnsi"/>
        </w:rPr>
        <w:t xml:space="preserve">case, the failure to investigate complaints </w:t>
      </w:r>
      <w:r w:rsidR="007978A1" w:rsidRPr="002D6014">
        <w:rPr>
          <w:rFonts w:cstheme="minorHAnsi"/>
        </w:rPr>
        <w:t>about</w:t>
      </w:r>
      <w:r w:rsidRPr="002D6014">
        <w:rPr>
          <w:rFonts w:cstheme="minorHAnsi"/>
        </w:rPr>
        <w:t xml:space="preserve"> a serial rapist meant that the rapist committed 105 rapes and sexual assaults over a period of </w:t>
      </w:r>
      <w:r w:rsidR="00CB4455" w:rsidRPr="002D6014">
        <w:rPr>
          <w:rFonts w:cstheme="minorHAnsi"/>
        </w:rPr>
        <w:t>six</w:t>
      </w:r>
      <w:r w:rsidRPr="002D6014">
        <w:rPr>
          <w:rFonts w:cstheme="minorHAnsi"/>
        </w:rPr>
        <w:t xml:space="preserve"> years.  The perpetrator was eventually apprehended following a routine search for key words in a crime database.  In Queensland, without </w:t>
      </w:r>
      <w:r w:rsidR="00D905DC" w:rsidRPr="002D6014">
        <w:rPr>
          <w:rFonts w:cstheme="minorHAnsi"/>
        </w:rPr>
        <w:t xml:space="preserve">the explicit requirement for the protection of </w:t>
      </w:r>
      <w:r w:rsidRPr="002D6014">
        <w:rPr>
          <w:rFonts w:cstheme="minorHAnsi"/>
        </w:rPr>
        <w:t>human rights</w:t>
      </w:r>
      <w:r w:rsidR="00D905DC" w:rsidRPr="002D6014">
        <w:rPr>
          <w:rFonts w:cstheme="minorHAnsi"/>
        </w:rPr>
        <w:t xml:space="preserve"> in a </w:t>
      </w:r>
      <w:r w:rsidR="00CB4455" w:rsidRPr="002D6014">
        <w:rPr>
          <w:rFonts w:cstheme="minorHAnsi"/>
        </w:rPr>
        <w:t>H</w:t>
      </w:r>
      <w:r w:rsidR="00D905DC" w:rsidRPr="002D6014">
        <w:rPr>
          <w:rFonts w:cstheme="minorHAnsi"/>
        </w:rPr>
        <w:t xml:space="preserve">uman </w:t>
      </w:r>
      <w:r w:rsidR="00CB4455" w:rsidRPr="002D6014">
        <w:rPr>
          <w:rFonts w:cstheme="minorHAnsi"/>
        </w:rPr>
        <w:t>R</w:t>
      </w:r>
      <w:r w:rsidR="00D905DC" w:rsidRPr="002D6014">
        <w:rPr>
          <w:rFonts w:cstheme="minorHAnsi"/>
        </w:rPr>
        <w:t xml:space="preserve">ights </w:t>
      </w:r>
      <w:r w:rsidR="00CB4455" w:rsidRPr="002D6014">
        <w:rPr>
          <w:rFonts w:cstheme="minorHAnsi"/>
        </w:rPr>
        <w:t>A</w:t>
      </w:r>
      <w:r w:rsidR="00055B64" w:rsidRPr="002D6014">
        <w:rPr>
          <w:rFonts w:cstheme="minorHAnsi"/>
        </w:rPr>
        <w:t>ct,</w:t>
      </w:r>
      <w:r w:rsidRPr="002D6014">
        <w:rPr>
          <w:rFonts w:cstheme="minorHAnsi"/>
        </w:rPr>
        <w:t xml:space="preserve"> police do not have a positive </w:t>
      </w:r>
      <w:r w:rsidR="007978A1" w:rsidRPr="002D6014">
        <w:rPr>
          <w:rFonts w:cstheme="minorHAnsi"/>
        </w:rPr>
        <w:t xml:space="preserve">duty </w:t>
      </w:r>
      <w:r w:rsidRPr="002D6014">
        <w:rPr>
          <w:rFonts w:cstheme="minorHAnsi"/>
        </w:rPr>
        <w:t xml:space="preserve">to take investigative </w:t>
      </w:r>
      <w:r w:rsidR="00740C14" w:rsidRPr="002D6014">
        <w:rPr>
          <w:rFonts w:cstheme="minorHAnsi"/>
        </w:rPr>
        <w:t>action.</w:t>
      </w:r>
    </w:p>
    <w:p w:rsidR="0076367A" w:rsidRPr="002D6014" w:rsidRDefault="0076367A" w:rsidP="006E3741">
      <w:pPr>
        <w:pStyle w:val="ListParagraph"/>
        <w:numPr>
          <w:ilvl w:val="0"/>
          <w:numId w:val="5"/>
        </w:numPr>
        <w:tabs>
          <w:tab w:val="clear" w:pos="567"/>
          <w:tab w:val="left" w:pos="-4253"/>
        </w:tabs>
        <w:autoSpaceDE w:val="0"/>
        <w:autoSpaceDN w:val="0"/>
        <w:adjustRightInd w:val="0"/>
        <w:spacing w:after="120"/>
        <w:contextualSpacing w:val="0"/>
        <w:rPr>
          <w:rFonts w:cstheme="minorHAnsi"/>
        </w:rPr>
      </w:pPr>
      <w:r w:rsidRPr="00D95D9E">
        <w:rPr>
          <w:rFonts w:cstheme="minorHAnsi"/>
        </w:rPr>
        <w:t xml:space="preserve">The relationship between common law rights and human rights </w:t>
      </w:r>
      <w:r w:rsidR="00D905DC" w:rsidRPr="00D95D9E">
        <w:rPr>
          <w:rFonts w:cstheme="minorHAnsi"/>
        </w:rPr>
        <w:t xml:space="preserve">protected by international instruments </w:t>
      </w:r>
      <w:r w:rsidRPr="002D6014">
        <w:rPr>
          <w:rFonts w:cstheme="minorHAnsi"/>
        </w:rPr>
        <w:t xml:space="preserve">was </w:t>
      </w:r>
      <w:r w:rsidR="00B6191D" w:rsidRPr="002D6014">
        <w:rPr>
          <w:rFonts w:cstheme="minorHAnsi"/>
        </w:rPr>
        <w:t xml:space="preserve">recently </w:t>
      </w:r>
      <w:r w:rsidR="00740C14" w:rsidRPr="002D6014">
        <w:rPr>
          <w:rFonts w:cstheme="minorHAnsi"/>
        </w:rPr>
        <w:t>summarised</w:t>
      </w:r>
      <w:r w:rsidR="00FD4C45" w:rsidRPr="002D6014">
        <w:rPr>
          <w:rFonts w:cstheme="minorHAnsi"/>
        </w:rPr>
        <w:t xml:space="preserve"> </w:t>
      </w:r>
      <w:r w:rsidRPr="002D6014">
        <w:rPr>
          <w:rFonts w:cstheme="minorHAnsi"/>
        </w:rPr>
        <w:t>by the A</w:t>
      </w:r>
      <w:r w:rsidR="00BB22CF" w:rsidRPr="002D6014">
        <w:rPr>
          <w:rFonts w:cstheme="minorHAnsi"/>
        </w:rPr>
        <w:t xml:space="preserve">ustralian </w:t>
      </w:r>
      <w:r w:rsidRPr="002D6014">
        <w:rPr>
          <w:rFonts w:cstheme="minorHAnsi"/>
        </w:rPr>
        <w:t>L</w:t>
      </w:r>
      <w:r w:rsidR="00BB22CF" w:rsidRPr="002D6014">
        <w:rPr>
          <w:rFonts w:cstheme="minorHAnsi"/>
        </w:rPr>
        <w:t xml:space="preserve">aw </w:t>
      </w:r>
      <w:r w:rsidRPr="002D6014">
        <w:rPr>
          <w:rFonts w:cstheme="minorHAnsi"/>
        </w:rPr>
        <w:t>R</w:t>
      </w:r>
      <w:r w:rsidR="00BB22CF" w:rsidRPr="002D6014">
        <w:rPr>
          <w:rFonts w:cstheme="minorHAnsi"/>
        </w:rPr>
        <w:t xml:space="preserve">eform </w:t>
      </w:r>
      <w:r w:rsidRPr="002D6014">
        <w:rPr>
          <w:rFonts w:cstheme="minorHAnsi"/>
        </w:rPr>
        <w:t>C</w:t>
      </w:r>
      <w:r w:rsidR="00BB22CF" w:rsidRPr="002D6014">
        <w:rPr>
          <w:rFonts w:cstheme="minorHAnsi"/>
        </w:rPr>
        <w:t>ommission</w:t>
      </w:r>
      <w:r w:rsidRPr="002D6014">
        <w:rPr>
          <w:rFonts w:cstheme="minorHAnsi"/>
        </w:rPr>
        <w:t xml:space="preserve">: </w:t>
      </w:r>
    </w:p>
    <w:p w:rsidR="0076367A" w:rsidRPr="00D95D9E" w:rsidRDefault="00BB22CF" w:rsidP="006E3741">
      <w:pPr>
        <w:tabs>
          <w:tab w:val="clear" w:pos="567"/>
        </w:tabs>
        <w:autoSpaceDE w:val="0"/>
        <w:autoSpaceDN w:val="0"/>
        <w:adjustRightInd w:val="0"/>
        <w:spacing w:after="0"/>
        <w:ind w:left="1134" w:right="1083"/>
        <w:rPr>
          <w:rFonts w:cstheme="minorHAnsi"/>
          <w:sz w:val="20"/>
          <w:szCs w:val="20"/>
        </w:rPr>
      </w:pPr>
      <w:r w:rsidRPr="002D6014">
        <w:rPr>
          <w:rFonts w:cstheme="minorHAnsi"/>
          <w:sz w:val="20"/>
          <w:szCs w:val="20"/>
        </w:rPr>
        <w:t>‘</w:t>
      </w:r>
      <w:r w:rsidR="00F504FE" w:rsidRPr="002D6014">
        <w:rPr>
          <w:rFonts w:cstheme="minorHAnsi"/>
          <w:sz w:val="20"/>
          <w:szCs w:val="20"/>
        </w:rPr>
        <w:t>Common law rights overlap with the rights protected in these international</w:t>
      </w:r>
      <w:r w:rsidR="006E3741" w:rsidRPr="002D6014">
        <w:rPr>
          <w:rFonts w:cstheme="minorHAnsi"/>
          <w:sz w:val="20"/>
          <w:szCs w:val="20"/>
        </w:rPr>
        <w:t xml:space="preserve"> </w:t>
      </w:r>
      <w:r w:rsidR="00F504FE" w:rsidRPr="002D6014">
        <w:rPr>
          <w:rFonts w:cstheme="minorHAnsi"/>
          <w:sz w:val="20"/>
          <w:szCs w:val="20"/>
        </w:rPr>
        <w:t>instruments and bills of rights. In their history and development, each may be seen as</w:t>
      </w:r>
      <w:r w:rsidR="006E3741" w:rsidRPr="002D6014">
        <w:rPr>
          <w:rFonts w:cstheme="minorHAnsi"/>
          <w:sz w:val="20"/>
          <w:szCs w:val="20"/>
        </w:rPr>
        <w:t xml:space="preserve"> </w:t>
      </w:r>
      <w:r w:rsidR="00F504FE" w:rsidRPr="002D6014">
        <w:rPr>
          <w:rFonts w:cstheme="minorHAnsi"/>
          <w:sz w:val="20"/>
          <w:szCs w:val="20"/>
        </w:rPr>
        <w:t>an important influence on the other. A statute that encroaches on a traditional common</w:t>
      </w:r>
      <w:r w:rsidR="006E3741" w:rsidRPr="002D6014">
        <w:rPr>
          <w:rFonts w:cstheme="minorHAnsi"/>
          <w:sz w:val="20"/>
          <w:szCs w:val="20"/>
        </w:rPr>
        <w:t xml:space="preserve"> </w:t>
      </w:r>
      <w:r w:rsidR="00F504FE" w:rsidRPr="002D6014">
        <w:rPr>
          <w:rFonts w:cstheme="minorHAnsi"/>
          <w:sz w:val="20"/>
          <w:szCs w:val="20"/>
        </w:rPr>
        <w:t>law right will often, therefore, also encroach on its related human right. However, the</w:t>
      </w:r>
      <w:r w:rsidR="006E3741" w:rsidRPr="002D6014">
        <w:rPr>
          <w:rFonts w:cstheme="minorHAnsi"/>
          <w:sz w:val="20"/>
          <w:szCs w:val="20"/>
        </w:rPr>
        <w:t xml:space="preserve"> </w:t>
      </w:r>
      <w:r w:rsidR="00F504FE" w:rsidRPr="002D6014">
        <w:rPr>
          <w:rFonts w:cstheme="minorHAnsi"/>
          <w:sz w:val="20"/>
          <w:szCs w:val="20"/>
        </w:rPr>
        <w:t>two rights may not always have the same scope. While some common law rights are</w:t>
      </w:r>
      <w:r w:rsidR="006E3741" w:rsidRPr="002D6014">
        <w:rPr>
          <w:rFonts w:cstheme="minorHAnsi"/>
          <w:sz w:val="20"/>
          <w:szCs w:val="20"/>
        </w:rPr>
        <w:t xml:space="preserve"> </w:t>
      </w:r>
      <w:r w:rsidR="00F504FE" w:rsidRPr="002D6014">
        <w:rPr>
          <w:rFonts w:cstheme="minorHAnsi"/>
          <w:sz w:val="20"/>
          <w:szCs w:val="20"/>
        </w:rPr>
        <w:t>often conceived of as residual, human rights are rarely thought of in this way. Moreover, human rights have been said to tend to grow in content and form.</w:t>
      </w:r>
      <w:r w:rsidRPr="002D6014">
        <w:rPr>
          <w:rFonts w:cstheme="minorHAnsi"/>
          <w:sz w:val="20"/>
          <w:szCs w:val="20"/>
        </w:rPr>
        <w:t>’</w:t>
      </w:r>
      <w:r w:rsidR="0076367A" w:rsidRPr="00D95D9E">
        <w:rPr>
          <w:rStyle w:val="FootnoteReference"/>
          <w:rFonts w:cstheme="minorHAnsi"/>
          <w:sz w:val="20"/>
          <w:szCs w:val="20"/>
        </w:rPr>
        <w:footnoteReference w:id="7"/>
      </w:r>
    </w:p>
    <w:p w:rsidR="00F504FE" w:rsidRPr="00D95D9E" w:rsidRDefault="00F504FE" w:rsidP="00632BB9">
      <w:pPr>
        <w:tabs>
          <w:tab w:val="clear" w:pos="567"/>
        </w:tabs>
        <w:autoSpaceDE w:val="0"/>
        <w:autoSpaceDN w:val="0"/>
        <w:adjustRightInd w:val="0"/>
        <w:spacing w:after="0"/>
        <w:ind w:left="567" w:firstLine="153"/>
        <w:rPr>
          <w:rFonts w:cstheme="minorHAnsi"/>
          <w:sz w:val="20"/>
          <w:szCs w:val="20"/>
        </w:rPr>
      </w:pPr>
    </w:p>
    <w:p w:rsidR="002A39FA" w:rsidRPr="002D6014" w:rsidRDefault="00E665A1" w:rsidP="005B2260">
      <w:pPr>
        <w:pStyle w:val="ListParagraph"/>
        <w:numPr>
          <w:ilvl w:val="0"/>
          <w:numId w:val="5"/>
        </w:numPr>
        <w:tabs>
          <w:tab w:val="clear" w:pos="567"/>
          <w:tab w:val="left" w:pos="-4253"/>
        </w:tabs>
        <w:contextualSpacing w:val="0"/>
        <w:rPr>
          <w:rFonts w:cstheme="minorHAnsi"/>
        </w:rPr>
      </w:pPr>
      <w:r w:rsidRPr="002D6014">
        <w:rPr>
          <w:rFonts w:cstheme="minorHAnsi"/>
        </w:rPr>
        <w:t xml:space="preserve">If </w:t>
      </w:r>
      <w:r w:rsidR="0031645C" w:rsidRPr="002D6014">
        <w:rPr>
          <w:rFonts w:cstheme="minorHAnsi"/>
        </w:rPr>
        <w:t>P</w:t>
      </w:r>
      <w:r w:rsidRPr="002D6014">
        <w:rPr>
          <w:rFonts w:cstheme="minorHAnsi"/>
        </w:rPr>
        <w:t>arliament</w:t>
      </w:r>
      <w:r w:rsidR="00BE29AB" w:rsidRPr="002D6014">
        <w:rPr>
          <w:rFonts w:cstheme="minorHAnsi"/>
        </w:rPr>
        <w:t xml:space="preserve"> so desired, the principle of legality could be codified in a Queensland statute, such as the </w:t>
      </w:r>
      <w:r w:rsidR="00BE29AB" w:rsidRPr="002D6014">
        <w:rPr>
          <w:rFonts w:cstheme="minorHAnsi"/>
          <w:i/>
          <w:iCs/>
        </w:rPr>
        <w:t>Acts Interpretation Act</w:t>
      </w:r>
      <w:r w:rsidR="00870A64" w:rsidRPr="002D6014">
        <w:rPr>
          <w:rFonts w:cstheme="minorHAnsi"/>
          <w:i/>
          <w:iCs/>
        </w:rPr>
        <w:t xml:space="preserve"> 1954</w:t>
      </w:r>
      <w:r w:rsidR="00BE29AB" w:rsidRPr="002D6014">
        <w:rPr>
          <w:rFonts w:cstheme="minorHAnsi"/>
        </w:rPr>
        <w:t xml:space="preserve">. This could act as a clear statement of parliamentary support for the principle of legality and further protect fundamental rights and freedoms from statutory limitation. </w:t>
      </w:r>
      <w:r w:rsidR="00055B64" w:rsidRPr="002D6014">
        <w:rPr>
          <w:rFonts w:cstheme="minorHAnsi"/>
        </w:rPr>
        <w:t xml:space="preserve">Alternatively, the Act </w:t>
      </w:r>
      <w:r w:rsidR="002A39FA" w:rsidRPr="002D6014">
        <w:rPr>
          <w:rFonts w:cstheme="minorHAnsi"/>
        </w:rPr>
        <w:t xml:space="preserve">could be amended to require that, as far as it is possible to do so consistently with the legislation’s purpose, all state legislation be interpreted </w:t>
      </w:r>
      <w:r w:rsidR="009A765F" w:rsidRPr="002D6014">
        <w:rPr>
          <w:rFonts w:cstheme="minorHAnsi"/>
        </w:rPr>
        <w:t xml:space="preserve">in a manner that is compatible </w:t>
      </w:r>
      <w:r w:rsidR="002A39FA" w:rsidRPr="002D6014">
        <w:rPr>
          <w:rFonts w:cstheme="minorHAnsi"/>
        </w:rPr>
        <w:t>with a list of Australia’s human rights obligations.</w:t>
      </w:r>
    </w:p>
    <w:p w:rsidR="00BE29AB" w:rsidRPr="002D6014" w:rsidRDefault="00BE29AB" w:rsidP="005B2260">
      <w:pPr>
        <w:pStyle w:val="ListParagraph"/>
        <w:numPr>
          <w:ilvl w:val="0"/>
          <w:numId w:val="5"/>
        </w:numPr>
        <w:tabs>
          <w:tab w:val="clear" w:pos="567"/>
          <w:tab w:val="left" w:pos="-4253"/>
        </w:tabs>
        <w:rPr>
          <w:rFonts w:cstheme="minorHAnsi"/>
        </w:rPr>
      </w:pPr>
      <w:r w:rsidRPr="002D6014">
        <w:rPr>
          <w:rFonts w:cstheme="minorHAnsi"/>
        </w:rPr>
        <w:t>Ho</w:t>
      </w:r>
      <w:r w:rsidR="00930CA2" w:rsidRPr="002D6014">
        <w:rPr>
          <w:rFonts w:cstheme="minorHAnsi"/>
        </w:rPr>
        <w:t>wever, while</w:t>
      </w:r>
      <w:r w:rsidR="002A39FA" w:rsidRPr="002D6014">
        <w:rPr>
          <w:rFonts w:cstheme="minorHAnsi"/>
        </w:rPr>
        <w:t xml:space="preserve"> both </w:t>
      </w:r>
      <w:r w:rsidRPr="002D6014">
        <w:rPr>
          <w:rFonts w:cstheme="minorHAnsi"/>
        </w:rPr>
        <w:t>step</w:t>
      </w:r>
      <w:r w:rsidR="002A39FA" w:rsidRPr="002D6014">
        <w:rPr>
          <w:rFonts w:cstheme="minorHAnsi"/>
        </w:rPr>
        <w:t xml:space="preserve">s are </w:t>
      </w:r>
      <w:r w:rsidRPr="002D6014">
        <w:rPr>
          <w:rFonts w:cstheme="minorHAnsi"/>
        </w:rPr>
        <w:t xml:space="preserve">worthy of consideration, it would not </w:t>
      </w:r>
      <w:r w:rsidR="002A39FA" w:rsidRPr="002D6014">
        <w:rPr>
          <w:rFonts w:cstheme="minorHAnsi"/>
        </w:rPr>
        <w:t xml:space="preserve">achieve </w:t>
      </w:r>
      <w:r w:rsidRPr="002D6014">
        <w:rPr>
          <w:rFonts w:cstheme="minorHAnsi"/>
        </w:rPr>
        <w:t xml:space="preserve">the framework, breadth of purpose , or ability to drive an enhanced  human rights culture in Queensland to the extent  that a Human Rights Act could achieve. </w:t>
      </w:r>
    </w:p>
    <w:p w:rsidR="00740C14" w:rsidRPr="002D6014" w:rsidRDefault="00740C14" w:rsidP="003F2D0A">
      <w:pPr>
        <w:pStyle w:val="Heading2"/>
      </w:pPr>
      <w:bookmarkStart w:id="5" w:name="_Toc448747749"/>
      <w:r w:rsidRPr="002D6014">
        <w:t xml:space="preserve">Administrative </w:t>
      </w:r>
      <w:r w:rsidR="00530DE8" w:rsidRPr="002D6014">
        <w:t>l</w:t>
      </w:r>
      <w:r w:rsidRPr="002D6014">
        <w:t>aw</w:t>
      </w:r>
      <w:bookmarkEnd w:id="5"/>
      <w:r w:rsidRPr="002D6014">
        <w:t xml:space="preserve"> </w:t>
      </w:r>
    </w:p>
    <w:p w:rsidR="0076367A" w:rsidRPr="002D6014" w:rsidRDefault="00B24A9D" w:rsidP="005B2260">
      <w:pPr>
        <w:pStyle w:val="loose"/>
        <w:numPr>
          <w:ilvl w:val="0"/>
          <w:numId w:val="5"/>
        </w:numPr>
        <w:spacing w:before="0" w:beforeAutospacing="0" w:after="240" w:afterAutospacing="0"/>
        <w:rPr>
          <w:rFonts w:asciiTheme="minorHAnsi" w:hAnsiTheme="minorHAnsi" w:cstheme="minorHAnsi"/>
          <w:sz w:val="22"/>
          <w:szCs w:val="22"/>
        </w:rPr>
      </w:pPr>
      <w:r w:rsidRPr="002D6014">
        <w:rPr>
          <w:rFonts w:asciiTheme="minorHAnsi" w:hAnsiTheme="minorHAnsi" w:cstheme="minorHAnsi"/>
          <w:sz w:val="22"/>
          <w:szCs w:val="22"/>
        </w:rPr>
        <w:t xml:space="preserve">Judicial review is an </w:t>
      </w:r>
      <w:r w:rsidR="007978A1" w:rsidRPr="002D6014">
        <w:rPr>
          <w:rFonts w:asciiTheme="minorHAnsi" w:hAnsiTheme="minorHAnsi" w:cstheme="minorHAnsi"/>
          <w:sz w:val="22"/>
          <w:szCs w:val="22"/>
        </w:rPr>
        <w:t xml:space="preserve">administrative law </w:t>
      </w:r>
      <w:r w:rsidR="0076367A" w:rsidRPr="002D6014">
        <w:rPr>
          <w:rFonts w:asciiTheme="minorHAnsi" w:hAnsiTheme="minorHAnsi" w:cstheme="minorHAnsi"/>
          <w:sz w:val="22"/>
          <w:szCs w:val="22"/>
        </w:rPr>
        <w:t>mechanism for protecting common law rights in Queensland</w:t>
      </w:r>
      <w:r w:rsidR="00FC0704" w:rsidRPr="002D6014">
        <w:rPr>
          <w:rFonts w:asciiTheme="minorHAnsi" w:hAnsiTheme="minorHAnsi" w:cstheme="minorHAnsi"/>
          <w:sz w:val="22"/>
          <w:szCs w:val="22"/>
        </w:rPr>
        <w:t>,</w:t>
      </w:r>
      <w:r w:rsidR="0076367A" w:rsidRPr="002D6014">
        <w:rPr>
          <w:rFonts w:asciiTheme="minorHAnsi" w:hAnsiTheme="minorHAnsi" w:cstheme="minorHAnsi"/>
          <w:sz w:val="22"/>
          <w:szCs w:val="22"/>
        </w:rPr>
        <w:t xml:space="preserve"> through the powers of the Supreme Court to consider the legality of a</w:t>
      </w:r>
      <w:r w:rsidR="00D905DC" w:rsidRPr="002D6014">
        <w:rPr>
          <w:rFonts w:asciiTheme="minorHAnsi" w:hAnsiTheme="minorHAnsi" w:cstheme="minorHAnsi"/>
          <w:sz w:val="22"/>
          <w:szCs w:val="22"/>
        </w:rPr>
        <w:t>n</w:t>
      </w:r>
      <w:r w:rsidR="0076367A" w:rsidRPr="002D6014">
        <w:rPr>
          <w:rFonts w:asciiTheme="minorHAnsi" w:hAnsiTheme="minorHAnsi" w:cstheme="minorHAnsi"/>
          <w:sz w:val="22"/>
          <w:szCs w:val="22"/>
        </w:rPr>
        <w:t xml:space="preserve"> </w:t>
      </w:r>
      <w:r w:rsidRPr="002D6014">
        <w:rPr>
          <w:rFonts w:asciiTheme="minorHAnsi" w:hAnsiTheme="minorHAnsi" w:cstheme="minorHAnsi"/>
          <w:sz w:val="22"/>
          <w:szCs w:val="22"/>
        </w:rPr>
        <w:t xml:space="preserve">administrative </w:t>
      </w:r>
      <w:r w:rsidR="0076367A" w:rsidRPr="002D6014">
        <w:rPr>
          <w:rFonts w:asciiTheme="minorHAnsi" w:hAnsiTheme="minorHAnsi" w:cstheme="minorHAnsi"/>
          <w:sz w:val="22"/>
          <w:szCs w:val="22"/>
        </w:rPr>
        <w:t xml:space="preserve">decision. The power of judicial review to protect human rights is limited by the threshold tests for judicial review, the separation of powers, the distinction between law and merits and the restriction to public power. </w:t>
      </w:r>
      <w:r w:rsidR="006B559B" w:rsidRPr="002D6014">
        <w:rPr>
          <w:rFonts w:asciiTheme="minorHAnsi" w:hAnsiTheme="minorHAnsi" w:cstheme="minorHAnsi"/>
          <w:sz w:val="22"/>
          <w:szCs w:val="22"/>
        </w:rPr>
        <w:t xml:space="preserve">Judicial review </w:t>
      </w:r>
      <w:r w:rsidR="00283571" w:rsidRPr="002D6014">
        <w:rPr>
          <w:rFonts w:asciiTheme="minorHAnsi" w:hAnsiTheme="minorHAnsi" w:cstheme="minorHAnsi"/>
          <w:sz w:val="22"/>
          <w:szCs w:val="22"/>
        </w:rPr>
        <w:t>has been described as</w:t>
      </w:r>
      <w:r w:rsidR="006B559B" w:rsidRPr="002D6014">
        <w:rPr>
          <w:rFonts w:asciiTheme="minorHAnsi" w:hAnsiTheme="minorHAnsi" w:cstheme="minorHAnsi"/>
          <w:sz w:val="22"/>
          <w:szCs w:val="22"/>
        </w:rPr>
        <w:t xml:space="preserve"> sporadic and lacking in follow</w:t>
      </w:r>
      <w:r w:rsidR="00FC0704" w:rsidRPr="002D6014">
        <w:rPr>
          <w:rFonts w:asciiTheme="minorHAnsi" w:hAnsiTheme="minorHAnsi" w:cstheme="minorHAnsi"/>
          <w:sz w:val="22"/>
          <w:szCs w:val="22"/>
        </w:rPr>
        <w:t>-</w:t>
      </w:r>
      <w:r w:rsidR="006B559B" w:rsidRPr="002D6014">
        <w:rPr>
          <w:rFonts w:asciiTheme="minorHAnsi" w:hAnsiTheme="minorHAnsi" w:cstheme="minorHAnsi"/>
          <w:sz w:val="22"/>
          <w:szCs w:val="22"/>
        </w:rPr>
        <w:t>up mechanisms to ensure broader systemic change</w:t>
      </w:r>
      <w:r w:rsidR="00205B81" w:rsidRPr="002D6014">
        <w:rPr>
          <w:rFonts w:asciiTheme="minorHAnsi" w:hAnsiTheme="minorHAnsi" w:cstheme="minorHAnsi"/>
          <w:sz w:val="22"/>
          <w:szCs w:val="22"/>
        </w:rPr>
        <w:t>.</w:t>
      </w:r>
      <w:r w:rsidR="00283571" w:rsidRPr="002D6014">
        <w:rPr>
          <w:rStyle w:val="FootnoteReference"/>
          <w:rFonts w:asciiTheme="minorHAnsi" w:hAnsiTheme="minorHAnsi" w:cstheme="minorHAnsi"/>
          <w:sz w:val="22"/>
          <w:szCs w:val="22"/>
        </w:rPr>
        <w:footnoteReference w:id="8"/>
      </w:r>
      <w:r w:rsidR="006B559B" w:rsidRPr="002D6014">
        <w:rPr>
          <w:rFonts w:asciiTheme="minorHAnsi" w:hAnsiTheme="minorHAnsi" w:cstheme="minorHAnsi"/>
          <w:sz w:val="22"/>
          <w:szCs w:val="22"/>
        </w:rPr>
        <w:t xml:space="preserve"> </w:t>
      </w:r>
    </w:p>
    <w:p w:rsidR="00205B81" w:rsidRPr="00D95D9E" w:rsidRDefault="006B559B" w:rsidP="00343B7C">
      <w:pPr>
        <w:pStyle w:val="ListParagraph"/>
        <w:numPr>
          <w:ilvl w:val="0"/>
          <w:numId w:val="5"/>
        </w:numPr>
        <w:contextualSpacing w:val="0"/>
        <w:rPr>
          <w:rFonts w:cstheme="minorHAnsi"/>
          <w:bCs/>
        </w:rPr>
      </w:pPr>
      <w:r w:rsidRPr="002D6014">
        <w:rPr>
          <w:rFonts w:cstheme="minorHAnsi"/>
        </w:rPr>
        <w:t>Th</w:t>
      </w:r>
      <w:r w:rsidR="007978A1" w:rsidRPr="002D6014">
        <w:rPr>
          <w:rFonts w:cstheme="minorHAnsi"/>
        </w:rPr>
        <w:t>e th</w:t>
      </w:r>
      <w:r w:rsidRPr="002D6014">
        <w:rPr>
          <w:rFonts w:cstheme="minorHAnsi"/>
        </w:rPr>
        <w:t xml:space="preserve">reshold tests for the application of </w:t>
      </w:r>
      <w:r w:rsidR="00166CFD" w:rsidRPr="002D6014">
        <w:rPr>
          <w:rFonts w:cstheme="minorHAnsi"/>
        </w:rPr>
        <w:t>j</w:t>
      </w:r>
      <w:r w:rsidRPr="002D6014">
        <w:rPr>
          <w:rFonts w:cstheme="minorHAnsi"/>
        </w:rPr>
        <w:t xml:space="preserve">udicial </w:t>
      </w:r>
      <w:r w:rsidR="00166CFD" w:rsidRPr="002D6014">
        <w:rPr>
          <w:rFonts w:cstheme="minorHAnsi"/>
        </w:rPr>
        <w:t>r</w:t>
      </w:r>
      <w:r w:rsidRPr="002D6014">
        <w:rPr>
          <w:rFonts w:cstheme="minorHAnsi"/>
        </w:rPr>
        <w:t xml:space="preserve">eview </w:t>
      </w:r>
      <w:r w:rsidR="007978A1" w:rsidRPr="002D6014">
        <w:rPr>
          <w:rFonts w:cstheme="minorHAnsi"/>
        </w:rPr>
        <w:t>include</w:t>
      </w:r>
      <w:r w:rsidRPr="002D6014">
        <w:rPr>
          <w:rFonts w:cstheme="minorHAnsi"/>
        </w:rPr>
        <w:t xml:space="preserve"> the making of a decision of administrative character that is made under an enactment</w:t>
      </w:r>
      <w:r w:rsidR="00DB5D99" w:rsidRPr="002D6014">
        <w:rPr>
          <w:rFonts w:cstheme="minorHAnsi"/>
        </w:rPr>
        <w:t>.</w:t>
      </w:r>
      <w:r w:rsidR="00DB5D99" w:rsidRPr="00D95D9E">
        <w:rPr>
          <w:rStyle w:val="FootnoteReference"/>
          <w:rFonts w:cstheme="minorHAnsi"/>
        </w:rPr>
        <w:footnoteReference w:id="9"/>
      </w:r>
      <w:r w:rsidRPr="00D95D9E">
        <w:rPr>
          <w:rFonts w:cstheme="minorHAnsi"/>
        </w:rPr>
        <w:t xml:space="preserve">  Many decisions do not meet this test</w:t>
      </w:r>
      <w:r w:rsidR="00205B81" w:rsidRPr="002D6014">
        <w:rPr>
          <w:rFonts w:cstheme="minorHAnsi"/>
        </w:rPr>
        <w:t>,</w:t>
      </w:r>
      <w:r w:rsidRPr="002D6014">
        <w:rPr>
          <w:rFonts w:cstheme="minorHAnsi"/>
        </w:rPr>
        <w:t xml:space="preserve"> either because they are not of administrative character </w:t>
      </w:r>
      <w:r w:rsidRPr="002D6014">
        <w:rPr>
          <w:rFonts w:cstheme="minorHAnsi"/>
        </w:rPr>
        <w:lastRenderedPageBreak/>
        <w:t>(for example where they are contractual decisions)</w:t>
      </w:r>
      <w:r w:rsidR="00205B81" w:rsidRPr="002D6014">
        <w:rPr>
          <w:rFonts w:cstheme="minorHAnsi"/>
        </w:rPr>
        <w:t>,</w:t>
      </w:r>
      <w:r w:rsidRPr="002D6014">
        <w:rPr>
          <w:rFonts w:cstheme="minorHAnsi"/>
        </w:rPr>
        <w:t xml:space="preserve"> or where the legislation does not authorise the specific decision.  Such decisions are not able to be judicially reviewed</w:t>
      </w:r>
      <w:r w:rsidR="004450EC" w:rsidRPr="002D6014">
        <w:rPr>
          <w:rFonts w:cstheme="minorHAnsi"/>
        </w:rPr>
        <w:t>.</w:t>
      </w:r>
      <w:r w:rsidR="004450EC" w:rsidRPr="00D95D9E">
        <w:rPr>
          <w:rStyle w:val="FootnoteReference"/>
          <w:rFonts w:cstheme="minorHAnsi"/>
        </w:rPr>
        <w:footnoteReference w:id="10"/>
      </w:r>
      <w:r w:rsidRPr="00D95D9E">
        <w:rPr>
          <w:rFonts w:cstheme="minorHAnsi"/>
        </w:rPr>
        <w:t xml:space="preserve"> </w:t>
      </w:r>
    </w:p>
    <w:p w:rsidR="006B559B" w:rsidRPr="002D6014" w:rsidRDefault="006B559B">
      <w:pPr>
        <w:pStyle w:val="ListParagraph"/>
        <w:numPr>
          <w:ilvl w:val="0"/>
          <w:numId w:val="5"/>
        </w:numPr>
        <w:contextualSpacing w:val="0"/>
        <w:rPr>
          <w:rFonts w:cstheme="minorHAnsi"/>
          <w:bCs/>
        </w:rPr>
      </w:pPr>
      <w:r w:rsidRPr="002D6014">
        <w:rPr>
          <w:rFonts w:cstheme="minorHAnsi"/>
        </w:rPr>
        <w:t xml:space="preserve">In the case of </w:t>
      </w:r>
      <w:r w:rsidRPr="002D6014">
        <w:rPr>
          <w:rFonts w:cstheme="minorHAnsi"/>
          <w:i/>
          <w:iCs/>
        </w:rPr>
        <w:t xml:space="preserve">King v Director of Housing </w:t>
      </w:r>
      <w:r w:rsidR="00205B81" w:rsidRPr="002D6014">
        <w:t>[2013] TASFC 9,</w:t>
      </w:r>
      <w:r w:rsidRPr="002D6014">
        <w:t xml:space="preserve"> </w:t>
      </w:r>
      <w:r w:rsidRPr="002D6014">
        <w:rPr>
          <w:rFonts w:cstheme="minorHAnsi"/>
        </w:rPr>
        <w:t xml:space="preserve">a mother with three young children </w:t>
      </w:r>
      <w:r w:rsidR="007978A1" w:rsidRPr="002D6014">
        <w:rPr>
          <w:rFonts w:cstheme="minorHAnsi"/>
        </w:rPr>
        <w:t xml:space="preserve">faced homelessness after being </w:t>
      </w:r>
      <w:r w:rsidRPr="002D6014">
        <w:rPr>
          <w:rFonts w:cstheme="minorHAnsi"/>
        </w:rPr>
        <w:t xml:space="preserve">evicted from her public housing home </w:t>
      </w:r>
      <w:r w:rsidR="00432B29" w:rsidRPr="002D6014">
        <w:rPr>
          <w:rFonts w:cstheme="minorHAnsi"/>
        </w:rPr>
        <w:t>for</w:t>
      </w:r>
      <w:r w:rsidR="007978A1" w:rsidRPr="002D6014">
        <w:rPr>
          <w:rFonts w:cstheme="minorHAnsi"/>
        </w:rPr>
        <w:t xml:space="preserve"> no fault of her own.  She</w:t>
      </w:r>
      <w:r w:rsidRPr="002D6014">
        <w:rPr>
          <w:rFonts w:cstheme="minorHAnsi"/>
        </w:rPr>
        <w:t xml:space="preserve"> was unable to access a remedy through judicial review as the eviction decision was not expressly provided for in legislation</w:t>
      </w:r>
      <w:r w:rsidR="00205B81" w:rsidRPr="002D6014">
        <w:rPr>
          <w:rFonts w:cstheme="minorHAnsi"/>
        </w:rPr>
        <w:t>,</w:t>
      </w:r>
      <w:r w:rsidRPr="002D6014">
        <w:rPr>
          <w:rFonts w:cstheme="minorHAnsi"/>
        </w:rPr>
        <w:t xml:space="preserve"> and cons</w:t>
      </w:r>
      <w:r w:rsidR="00383083" w:rsidRPr="002D6014">
        <w:rPr>
          <w:rFonts w:cstheme="minorHAnsi"/>
        </w:rPr>
        <w:t>idered contractual in nature.</w:t>
      </w:r>
      <w:r w:rsidR="00205B81" w:rsidRPr="002D6014">
        <w:rPr>
          <w:rFonts w:cstheme="minorHAnsi"/>
        </w:rPr>
        <w:t xml:space="preserve"> </w:t>
      </w:r>
      <w:r w:rsidRPr="002D6014">
        <w:rPr>
          <w:rFonts w:cstheme="minorHAnsi"/>
        </w:rPr>
        <w:t xml:space="preserve">The resulting homelessness could not be considered by the court because the matter did not meet the jurisdictional threshold for any </w:t>
      </w:r>
      <w:r w:rsidR="00205B81" w:rsidRPr="002D6014">
        <w:rPr>
          <w:rFonts w:cstheme="minorHAnsi"/>
        </w:rPr>
        <w:t>j</w:t>
      </w:r>
      <w:r w:rsidRPr="002D6014">
        <w:rPr>
          <w:rFonts w:cstheme="minorHAnsi"/>
        </w:rPr>
        <w:t xml:space="preserve">udicial </w:t>
      </w:r>
      <w:r w:rsidR="00205B81" w:rsidRPr="002D6014">
        <w:rPr>
          <w:rFonts w:cstheme="minorHAnsi"/>
        </w:rPr>
        <w:t>r</w:t>
      </w:r>
      <w:r w:rsidRPr="002D6014">
        <w:rPr>
          <w:rFonts w:cstheme="minorHAnsi"/>
        </w:rPr>
        <w:t xml:space="preserve">eview, namely that there was a decision of administrative character made under an enactment.  </w:t>
      </w:r>
    </w:p>
    <w:p w:rsidR="006B559B" w:rsidRPr="002D6014" w:rsidRDefault="006B559B" w:rsidP="00343B7C">
      <w:pPr>
        <w:pStyle w:val="ListParagraph"/>
        <w:numPr>
          <w:ilvl w:val="0"/>
          <w:numId w:val="5"/>
        </w:numPr>
        <w:contextualSpacing w:val="0"/>
        <w:rPr>
          <w:rFonts w:cstheme="minorHAnsi"/>
        </w:rPr>
      </w:pPr>
      <w:r w:rsidRPr="002D6014">
        <w:rPr>
          <w:rFonts w:cstheme="minorHAnsi"/>
        </w:rPr>
        <w:t xml:space="preserve">Many decisions that affect human rights are similarly outside the reach of judicial review. </w:t>
      </w:r>
    </w:p>
    <w:p w:rsidR="006B559B" w:rsidRPr="002D6014" w:rsidRDefault="007978A1" w:rsidP="00343B7C">
      <w:pPr>
        <w:pStyle w:val="ListParagraph"/>
        <w:numPr>
          <w:ilvl w:val="0"/>
          <w:numId w:val="5"/>
        </w:numPr>
        <w:tabs>
          <w:tab w:val="clear" w:pos="567"/>
          <w:tab w:val="left" w:pos="-2977"/>
        </w:tabs>
        <w:contextualSpacing w:val="0"/>
        <w:rPr>
          <w:rFonts w:cstheme="minorHAnsi"/>
        </w:rPr>
      </w:pPr>
      <w:r w:rsidRPr="002D6014">
        <w:rPr>
          <w:rStyle w:val="Emphasis"/>
          <w:rFonts w:cstheme="minorHAnsi"/>
          <w:i w:val="0"/>
        </w:rPr>
        <w:t>A comparison can be made with the A</w:t>
      </w:r>
      <w:r w:rsidR="00205B81" w:rsidRPr="002D6014">
        <w:rPr>
          <w:rStyle w:val="Emphasis"/>
          <w:rFonts w:cstheme="minorHAnsi"/>
          <w:i w:val="0"/>
        </w:rPr>
        <w:t xml:space="preserve">ustralian </w:t>
      </w:r>
      <w:r w:rsidRPr="002D6014">
        <w:rPr>
          <w:rStyle w:val="Emphasis"/>
          <w:rFonts w:cstheme="minorHAnsi"/>
          <w:i w:val="0"/>
        </w:rPr>
        <w:t>C</w:t>
      </w:r>
      <w:r w:rsidR="00205B81" w:rsidRPr="002D6014">
        <w:rPr>
          <w:rStyle w:val="Emphasis"/>
          <w:rFonts w:cstheme="minorHAnsi"/>
          <w:i w:val="0"/>
        </w:rPr>
        <w:t xml:space="preserve">apital </w:t>
      </w:r>
      <w:r w:rsidRPr="002D6014">
        <w:rPr>
          <w:rStyle w:val="Emphasis"/>
          <w:rFonts w:cstheme="minorHAnsi"/>
          <w:i w:val="0"/>
        </w:rPr>
        <w:t>T</w:t>
      </w:r>
      <w:r w:rsidR="00205B81" w:rsidRPr="002D6014">
        <w:rPr>
          <w:rStyle w:val="Emphasis"/>
          <w:rFonts w:cstheme="minorHAnsi"/>
          <w:i w:val="0"/>
        </w:rPr>
        <w:t>erritory (the ACT)</w:t>
      </w:r>
      <w:r w:rsidRPr="002D6014">
        <w:rPr>
          <w:rStyle w:val="Emphasis"/>
          <w:rFonts w:cstheme="minorHAnsi"/>
          <w:i w:val="0"/>
        </w:rPr>
        <w:t xml:space="preserve">, a human rights jurisdiction, in </w:t>
      </w:r>
      <w:r w:rsidR="00205B81" w:rsidRPr="002D6014">
        <w:rPr>
          <w:rStyle w:val="Emphasis"/>
          <w:rFonts w:cstheme="minorHAnsi"/>
          <w:i w:val="0"/>
        </w:rPr>
        <w:t xml:space="preserve">the case of </w:t>
      </w:r>
      <w:r w:rsidR="006B559B" w:rsidRPr="002D6014">
        <w:rPr>
          <w:rStyle w:val="Emphasis"/>
          <w:rFonts w:cstheme="minorHAnsi"/>
        </w:rPr>
        <w:t>Canberra Fathers and Children Services Inc v Michael Watson</w:t>
      </w:r>
      <w:r w:rsidR="006B559B" w:rsidRPr="002D6014">
        <w:rPr>
          <w:rFonts w:cstheme="minorHAnsi"/>
        </w:rPr>
        <w:t xml:space="preserve"> [2010] ACAT 74 (29 October 2010).  </w:t>
      </w:r>
      <w:r w:rsidR="00205B81" w:rsidRPr="002D6014">
        <w:rPr>
          <w:rFonts w:cstheme="minorHAnsi"/>
        </w:rPr>
        <w:t xml:space="preserve">There, </w:t>
      </w:r>
      <w:r w:rsidR="006B559B" w:rsidRPr="002D6014">
        <w:rPr>
          <w:rFonts w:cstheme="minorHAnsi"/>
        </w:rPr>
        <w:t xml:space="preserve">the ACT Civil and Administrative Tribunal found that an eviction from social housing that would result in homelessness </w:t>
      </w:r>
      <w:r w:rsidR="000953B4" w:rsidRPr="002D6014">
        <w:rPr>
          <w:rFonts w:cstheme="minorHAnsi"/>
        </w:rPr>
        <w:t xml:space="preserve">was </w:t>
      </w:r>
      <w:r w:rsidR="006B559B" w:rsidRPr="002D6014">
        <w:rPr>
          <w:rFonts w:cstheme="minorHAnsi"/>
        </w:rPr>
        <w:t xml:space="preserve">a breach of the </w:t>
      </w:r>
      <w:r w:rsidRPr="002D6014">
        <w:rPr>
          <w:rFonts w:cstheme="minorHAnsi"/>
        </w:rPr>
        <w:t xml:space="preserve">human </w:t>
      </w:r>
      <w:r w:rsidR="006B559B" w:rsidRPr="002D6014">
        <w:rPr>
          <w:rFonts w:cstheme="minorHAnsi"/>
        </w:rPr>
        <w:t xml:space="preserve">right to be free from unlawful or arbitrary interference with the home.  </w:t>
      </w:r>
    </w:p>
    <w:p w:rsidR="006B559B" w:rsidRPr="002D6014" w:rsidRDefault="006B559B" w:rsidP="006E3741">
      <w:pPr>
        <w:pStyle w:val="ListParagraph"/>
        <w:numPr>
          <w:ilvl w:val="0"/>
          <w:numId w:val="5"/>
        </w:numPr>
        <w:tabs>
          <w:tab w:val="clear" w:pos="567"/>
        </w:tabs>
        <w:spacing w:after="120"/>
        <w:contextualSpacing w:val="0"/>
        <w:rPr>
          <w:rFonts w:cstheme="minorHAnsi"/>
        </w:rPr>
      </w:pPr>
      <w:r w:rsidRPr="002D6014">
        <w:rPr>
          <w:rFonts w:cstheme="minorHAnsi"/>
        </w:rPr>
        <w:t>In th</w:t>
      </w:r>
      <w:r w:rsidR="00205B81" w:rsidRPr="002D6014">
        <w:rPr>
          <w:rFonts w:cstheme="minorHAnsi"/>
        </w:rPr>
        <w:t>at</w:t>
      </w:r>
      <w:r w:rsidRPr="002D6014">
        <w:rPr>
          <w:rFonts w:cstheme="minorHAnsi"/>
        </w:rPr>
        <w:t xml:space="preserve"> case, crisis accommodation</w:t>
      </w:r>
      <w:r w:rsidR="007978A1" w:rsidRPr="002D6014">
        <w:rPr>
          <w:rFonts w:cstheme="minorHAnsi"/>
        </w:rPr>
        <w:t xml:space="preserve"> was provided</w:t>
      </w:r>
      <w:r w:rsidRPr="002D6014">
        <w:rPr>
          <w:rFonts w:cstheme="minorHAnsi"/>
        </w:rPr>
        <w:t xml:space="preserve"> to Mr Watson and his three sons</w:t>
      </w:r>
      <w:r w:rsidR="007978A1" w:rsidRPr="002D6014">
        <w:rPr>
          <w:rFonts w:cstheme="minorHAnsi"/>
        </w:rPr>
        <w:t xml:space="preserve">.  Despite attempts </w:t>
      </w:r>
      <w:r w:rsidRPr="002D6014">
        <w:rPr>
          <w:rFonts w:cstheme="minorHAnsi"/>
        </w:rPr>
        <w:t>to find alternate accommodati</w:t>
      </w:r>
      <w:r w:rsidR="007978A1" w:rsidRPr="002D6014">
        <w:rPr>
          <w:rFonts w:cstheme="minorHAnsi"/>
        </w:rPr>
        <w:t xml:space="preserve">on, Mr Watson </w:t>
      </w:r>
      <w:r w:rsidRPr="002D6014">
        <w:rPr>
          <w:rFonts w:cstheme="minorHAnsi"/>
        </w:rPr>
        <w:t>was unable to obtain private rental accommodation due to his family situation and income level.  If he was evicted from the premises</w:t>
      </w:r>
      <w:r w:rsidR="00205B81" w:rsidRPr="002D6014">
        <w:rPr>
          <w:rFonts w:cstheme="minorHAnsi"/>
        </w:rPr>
        <w:t>,</w:t>
      </w:r>
      <w:r w:rsidRPr="002D6014">
        <w:rPr>
          <w:rFonts w:cstheme="minorHAnsi"/>
        </w:rPr>
        <w:t xml:space="preserve"> he and his family would again be homeless.  Mr Watson was on the standard waiting list for public housing, and would not receive an offer of housing for a year or more.  </w:t>
      </w:r>
      <w:r w:rsidR="007978A1" w:rsidRPr="002D6014">
        <w:rPr>
          <w:rFonts w:cstheme="minorHAnsi"/>
        </w:rPr>
        <w:t>He was ordered to vacate the premises</w:t>
      </w:r>
      <w:r w:rsidR="004450EC" w:rsidRPr="002D6014">
        <w:rPr>
          <w:rFonts w:cstheme="minorHAnsi"/>
        </w:rPr>
        <w:t>.  In considering th</w:t>
      </w:r>
      <w:r w:rsidR="00205B81" w:rsidRPr="002D6014">
        <w:rPr>
          <w:rFonts w:cstheme="minorHAnsi"/>
        </w:rPr>
        <w:t>e</w:t>
      </w:r>
      <w:r w:rsidR="004450EC" w:rsidRPr="002D6014">
        <w:rPr>
          <w:rFonts w:cstheme="minorHAnsi"/>
        </w:rPr>
        <w:t xml:space="preserve"> case</w:t>
      </w:r>
      <w:r w:rsidR="00205B81" w:rsidRPr="002D6014">
        <w:rPr>
          <w:rFonts w:cstheme="minorHAnsi"/>
        </w:rPr>
        <w:t>,</w:t>
      </w:r>
      <w:r w:rsidR="004450EC" w:rsidRPr="002D6014">
        <w:rPr>
          <w:rFonts w:cstheme="minorHAnsi"/>
        </w:rPr>
        <w:t xml:space="preserve"> </w:t>
      </w:r>
      <w:r w:rsidR="007978A1" w:rsidRPr="002D6014">
        <w:rPr>
          <w:rFonts w:cstheme="minorHAnsi"/>
        </w:rPr>
        <w:t>the Tribunal said:</w:t>
      </w:r>
    </w:p>
    <w:p w:rsidR="006B559B" w:rsidRPr="002D6014" w:rsidRDefault="00205B81" w:rsidP="006E3741">
      <w:pPr>
        <w:tabs>
          <w:tab w:val="clear" w:pos="567"/>
        </w:tabs>
        <w:ind w:left="1134" w:right="1083"/>
        <w:rPr>
          <w:rFonts w:eastAsia="Times New Roman" w:cstheme="minorHAnsi"/>
          <w:color w:val="000000"/>
        </w:rPr>
      </w:pPr>
      <w:r w:rsidRPr="00D95D9E">
        <w:rPr>
          <w:rFonts w:eastAsia="Times New Roman" w:cstheme="minorHAnsi"/>
          <w:color w:val="000000"/>
          <w:sz w:val="20"/>
          <w:szCs w:val="20"/>
        </w:rPr>
        <w:t>‘</w:t>
      </w:r>
      <w:r w:rsidR="006B559B" w:rsidRPr="00D95D9E">
        <w:rPr>
          <w:rFonts w:eastAsia="Times New Roman" w:cstheme="minorHAnsi"/>
          <w:color w:val="000000"/>
          <w:sz w:val="20"/>
          <w:szCs w:val="20"/>
        </w:rPr>
        <w:t>The Tribunal adopts the view that the question of arbitrary interference is not answered by asserting lawfulness based on contract. The Tribunal notes that it is unlawful for a public authority to act in a way t</w:t>
      </w:r>
      <w:r w:rsidR="006B559B" w:rsidRPr="002D6014">
        <w:rPr>
          <w:rFonts w:eastAsia="Times New Roman" w:cstheme="minorHAnsi"/>
          <w:color w:val="000000"/>
          <w:sz w:val="20"/>
          <w:szCs w:val="20"/>
        </w:rPr>
        <w:t>hat is incompatible with a human right or, in making a decision, to fail to give proper consideration to a relevant human right. Thus, the exercise of a contractual right can be unlawful.</w:t>
      </w:r>
      <w:r w:rsidRPr="002D6014">
        <w:rPr>
          <w:rFonts w:eastAsia="Times New Roman" w:cstheme="minorHAnsi"/>
          <w:color w:val="000000"/>
          <w:sz w:val="20"/>
          <w:szCs w:val="20"/>
        </w:rPr>
        <w:t>’</w:t>
      </w:r>
      <w:r w:rsidR="00345EA6" w:rsidRPr="002D6014">
        <w:rPr>
          <w:rFonts w:eastAsia="Times New Roman" w:cstheme="minorHAnsi"/>
          <w:color w:val="000000"/>
        </w:rPr>
        <w:t xml:space="preserve"> </w:t>
      </w:r>
      <w:r w:rsidR="00AD6DE8" w:rsidRPr="002D6014">
        <w:rPr>
          <w:rStyle w:val="FootnoteReference"/>
          <w:rFonts w:eastAsia="Times New Roman" w:cstheme="minorHAnsi"/>
          <w:color w:val="000000"/>
        </w:rPr>
        <w:footnoteReference w:id="11"/>
      </w:r>
    </w:p>
    <w:p w:rsidR="00DB5D99" w:rsidRPr="002D6014" w:rsidRDefault="002A39FA" w:rsidP="005B2260">
      <w:pPr>
        <w:pStyle w:val="ListParagraph"/>
        <w:numPr>
          <w:ilvl w:val="0"/>
          <w:numId w:val="5"/>
        </w:numPr>
        <w:tabs>
          <w:tab w:val="clear" w:pos="567"/>
        </w:tabs>
        <w:rPr>
          <w:rFonts w:cstheme="minorHAnsi"/>
        </w:rPr>
      </w:pPr>
      <w:r w:rsidRPr="002D6014">
        <w:rPr>
          <w:rFonts w:eastAsia="Times New Roman" w:cstheme="minorHAnsi"/>
          <w:color w:val="000000"/>
        </w:rPr>
        <w:t xml:space="preserve">The </w:t>
      </w:r>
      <w:r w:rsidRPr="002D6014">
        <w:rPr>
          <w:rFonts w:eastAsia="Times New Roman" w:cstheme="minorHAnsi"/>
          <w:i/>
          <w:color w:val="000000"/>
        </w:rPr>
        <w:t>Judicial Review Act</w:t>
      </w:r>
      <w:r w:rsidRPr="002D6014">
        <w:rPr>
          <w:rFonts w:eastAsia="Times New Roman" w:cstheme="minorHAnsi"/>
          <w:color w:val="000000"/>
        </w:rPr>
        <w:t xml:space="preserve"> </w:t>
      </w:r>
      <w:r w:rsidRPr="002D6014">
        <w:rPr>
          <w:rFonts w:eastAsia="Times New Roman" w:cstheme="minorHAnsi"/>
          <w:i/>
          <w:color w:val="000000"/>
        </w:rPr>
        <w:t>1991</w:t>
      </w:r>
      <w:r w:rsidR="00DB5D99" w:rsidRPr="002D6014">
        <w:rPr>
          <w:rFonts w:eastAsia="Times New Roman" w:cstheme="minorHAnsi"/>
          <w:color w:val="000000"/>
        </w:rPr>
        <w:t xml:space="preserve"> could be amended to make list</w:t>
      </w:r>
      <w:r w:rsidR="000953B4" w:rsidRPr="002D6014">
        <w:rPr>
          <w:rFonts w:eastAsia="Times New Roman" w:cstheme="minorHAnsi"/>
          <w:color w:val="000000"/>
        </w:rPr>
        <w:t>ed</w:t>
      </w:r>
      <w:r w:rsidR="00DB5D99" w:rsidRPr="002D6014">
        <w:rPr>
          <w:rFonts w:eastAsia="Times New Roman" w:cstheme="minorHAnsi"/>
          <w:color w:val="000000"/>
        </w:rPr>
        <w:t xml:space="preserve"> of human rights obligations a relevant consideration in government decision</w:t>
      </w:r>
      <w:r w:rsidR="00647CDB" w:rsidRPr="002D6014">
        <w:rPr>
          <w:rFonts w:eastAsia="Times New Roman" w:cstheme="minorHAnsi"/>
          <w:color w:val="000000"/>
        </w:rPr>
        <w:t>-</w:t>
      </w:r>
      <w:r w:rsidR="00DB5D99" w:rsidRPr="002D6014">
        <w:rPr>
          <w:rFonts w:eastAsia="Times New Roman" w:cstheme="minorHAnsi"/>
          <w:color w:val="000000"/>
        </w:rPr>
        <w:t xml:space="preserve">making. </w:t>
      </w:r>
      <w:r w:rsidR="00DB5D99" w:rsidRPr="002D6014">
        <w:rPr>
          <w:rFonts w:cstheme="minorHAnsi"/>
        </w:rPr>
        <w:t xml:space="preserve">However, while  such a step is worthy of consideration, it would not achieve the framework,  breadth of purpose, or ability to drive an enhanced  human rights culture in Queensland to the extent  that a new Human Rights Act could achieve. </w:t>
      </w:r>
    </w:p>
    <w:p w:rsidR="006B559B" w:rsidRPr="002D6014" w:rsidRDefault="004450EC" w:rsidP="003F2D0A">
      <w:pPr>
        <w:pStyle w:val="Heading2"/>
      </w:pPr>
      <w:bookmarkStart w:id="6" w:name="_Toc448747750"/>
      <w:r w:rsidRPr="002D6014">
        <w:t>Q</w:t>
      </w:r>
      <w:r w:rsidR="00AF32C1" w:rsidRPr="002D6014">
        <w:t>ueensland</w:t>
      </w:r>
      <w:r w:rsidRPr="002D6014">
        <w:t xml:space="preserve"> </w:t>
      </w:r>
      <w:r w:rsidR="006B559B" w:rsidRPr="002D6014">
        <w:t>Parliamentary Committee</w:t>
      </w:r>
      <w:r w:rsidRPr="002D6014">
        <w:t xml:space="preserve"> system</w:t>
      </w:r>
      <w:bookmarkEnd w:id="6"/>
    </w:p>
    <w:p w:rsidR="00B24A9D" w:rsidRPr="002D6014" w:rsidRDefault="006B559B" w:rsidP="002D6014">
      <w:pPr>
        <w:pStyle w:val="ListParagraph"/>
        <w:numPr>
          <w:ilvl w:val="0"/>
          <w:numId w:val="5"/>
        </w:numPr>
        <w:shd w:val="clear" w:color="auto" w:fill="FFFFFF"/>
        <w:tabs>
          <w:tab w:val="clear" w:pos="567"/>
        </w:tabs>
        <w:spacing w:after="120"/>
        <w:contextualSpacing w:val="0"/>
        <w:rPr>
          <w:rFonts w:cstheme="minorHAnsi"/>
        </w:rPr>
      </w:pPr>
      <w:r w:rsidRPr="002D6014">
        <w:rPr>
          <w:rFonts w:cstheme="minorHAnsi"/>
        </w:rPr>
        <w:t xml:space="preserve">Under the </w:t>
      </w:r>
      <w:r w:rsidRPr="002D6014">
        <w:rPr>
          <w:rFonts w:cstheme="minorHAnsi"/>
          <w:i/>
          <w:iCs/>
        </w:rPr>
        <w:t xml:space="preserve">Legislative Standards Act 1992 </w:t>
      </w:r>
      <w:r w:rsidRPr="002D6014">
        <w:rPr>
          <w:rFonts w:cstheme="minorHAnsi"/>
        </w:rPr>
        <w:t>(Qld), Queensland’s Parliamentary Counsel must provide advice to Ministers, government entities, and members of the Legislative Assembly on the application of fundamental legislative principles</w:t>
      </w:r>
      <w:r w:rsidR="000953B4" w:rsidRPr="002D6014">
        <w:rPr>
          <w:rFonts w:cstheme="minorHAnsi"/>
        </w:rPr>
        <w:t xml:space="preserve"> to the Bills and subordinate legislation it drafts for them</w:t>
      </w:r>
      <w:r w:rsidRPr="002D6014">
        <w:rPr>
          <w:rFonts w:cstheme="minorHAnsi"/>
        </w:rPr>
        <w:t>.</w:t>
      </w:r>
      <w:r w:rsidR="000953B4" w:rsidRPr="00D95D9E">
        <w:rPr>
          <w:rStyle w:val="FootnoteReference"/>
          <w:rFonts w:cstheme="minorHAnsi"/>
        </w:rPr>
        <w:footnoteReference w:id="12"/>
      </w:r>
      <w:r w:rsidRPr="00D95D9E">
        <w:rPr>
          <w:rFonts w:cstheme="minorHAnsi"/>
        </w:rPr>
        <w:t xml:space="preserve"> The </w:t>
      </w:r>
      <w:r w:rsidR="00EC2DD0" w:rsidRPr="00D95D9E">
        <w:rPr>
          <w:rFonts w:cstheme="minorHAnsi"/>
        </w:rPr>
        <w:t xml:space="preserve">fundamental legislative </w:t>
      </w:r>
      <w:r w:rsidRPr="00D95D9E">
        <w:rPr>
          <w:rFonts w:cstheme="minorHAnsi"/>
        </w:rPr>
        <w:t>principles include</w:t>
      </w:r>
      <w:r w:rsidR="002D07DA" w:rsidRPr="00D95D9E">
        <w:rPr>
          <w:rFonts w:cstheme="minorHAnsi"/>
        </w:rPr>
        <w:t>:</w:t>
      </w:r>
      <w:r w:rsidRPr="00066EEA">
        <w:rPr>
          <w:rFonts w:cstheme="minorHAnsi"/>
        </w:rPr>
        <w:t xml:space="preserve"> requiring that legislation has sufficient regar</w:t>
      </w:r>
      <w:r w:rsidRPr="002D6014">
        <w:rPr>
          <w:rFonts w:cstheme="minorHAnsi"/>
        </w:rPr>
        <w:t xml:space="preserve">d to the rights and liberties of individuals. The </w:t>
      </w:r>
      <w:r w:rsidRPr="002D6014">
        <w:rPr>
          <w:rFonts w:cstheme="minorHAnsi"/>
          <w:i/>
          <w:iCs/>
        </w:rPr>
        <w:t xml:space="preserve">Legislative Standards Act 1992 </w:t>
      </w:r>
      <w:r w:rsidRPr="002D6014">
        <w:rPr>
          <w:rFonts w:cstheme="minorHAnsi"/>
        </w:rPr>
        <w:t>states</w:t>
      </w:r>
      <w:r w:rsidR="00AF32C1" w:rsidRPr="002D6014">
        <w:rPr>
          <w:rFonts w:cstheme="minorHAnsi"/>
        </w:rPr>
        <w:t xml:space="preserve"> at section 4</w:t>
      </w:r>
      <w:r w:rsidRPr="002D6014">
        <w:rPr>
          <w:rFonts w:cstheme="minorHAnsi"/>
        </w:rPr>
        <w:t xml:space="preserve">: </w:t>
      </w:r>
    </w:p>
    <w:p w:rsidR="00B24A9D" w:rsidRPr="002D6014" w:rsidRDefault="00AF32C1" w:rsidP="006E3741">
      <w:pPr>
        <w:pStyle w:val="ListParagraph"/>
        <w:shd w:val="clear" w:color="auto" w:fill="FFFFFF"/>
        <w:tabs>
          <w:tab w:val="clear" w:pos="567"/>
        </w:tabs>
        <w:spacing w:after="120"/>
        <w:ind w:left="1134" w:right="1083"/>
        <w:contextualSpacing w:val="0"/>
        <w:rPr>
          <w:rFonts w:cstheme="minorHAnsi"/>
          <w:sz w:val="20"/>
          <w:szCs w:val="20"/>
        </w:rPr>
      </w:pPr>
      <w:r w:rsidRPr="002D6014">
        <w:rPr>
          <w:rFonts w:cstheme="minorHAnsi"/>
          <w:sz w:val="20"/>
          <w:szCs w:val="20"/>
        </w:rPr>
        <w:lastRenderedPageBreak/>
        <w:t xml:space="preserve">(3) </w:t>
      </w:r>
      <w:r w:rsidR="006B559B" w:rsidRPr="002D6014">
        <w:rPr>
          <w:rFonts w:cstheme="minorHAnsi"/>
          <w:sz w:val="20"/>
          <w:szCs w:val="20"/>
        </w:rPr>
        <w:t xml:space="preserve">Whether legislation has sufficient regard to rights and liberties of individuals depends on whether, for example, the legislation: </w:t>
      </w:r>
    </w:p>
    <w:p w:rsidR="00B24A9D" w:rsidRPr="002D6014" w:rsidRDefault="006B559B" w:rsidP="006E3741">
      <w:pPr>
        <w:pStyle w:val="ListParagraph"/>
        <w:numPr>
          <w:ilvl w:val="1"/>
          <w:numId w:val="29"/>
        </w:numPr>
        <w:shd w:val="clear" w:color="auto" w:fill="FFFFFF"/>
        <w:tabs>
          <w:tab w:val="clear" w:pos="567"/>
        </w:tabs>
        <w:ind w:left="1985" w:right="1083" w:hanging="425"/>
        <w:contextualSpacing w:val="0"/>
        <w:rPr>
          <w:rFonts w:cstheme="minorHAnsi"/>
          <w:sz w:val="20"/>
          <w:szCs w:val="20"/>
        </w:rPr>
      </w:pPr>
      <w:r w:rsidRPr="002D6014">
        <w:rPr>
          <w:rFonts w:cstheme="minorHAnsi"/>
          <w:sz w:val="20"/>
          <w:szCs w:val="20"/>
        </w:rPr>
        <w:t xml:space="preserve">makes rights and liberties, or obligations, dependent on administrative power only if the power is sufficiently defined and subject to appropriate review; and </w:t>
      </w:r>
    </w:p>
    <w:p w:rsidR="00B24A9D" w:rsidRPr="002D6014" w:rsidRDefault="006B559B" w:rsidP="006E3741">
      <w:pPr>
        <w:pStyle w:val="ListParagraph"/>
        <w:numPr>
          <w:ilvl w:val="1"/>
          <w:numId w:val="29"/>
        </w:numPr>
        <w:shd w:val="clear" w:color="auto" w:fill="FFFFFF"/>
        <w:tabs>
          <w:tab w:val="clear" w:pos="567"/>
        </w:tabs>
        <w:spacing w:after="120"/>
        <w:ind w:left="1984" w:right="1083" w:hanging="425"/>
        <w:contextualSpacing w:val="0"/>
        <w:rPr>
          <w:rFonts w:cstheme="minorHAnsi"/>
          <w:sz w:val="20"/>
          <w:szCs w:val="20"/>
        </w:rPr>
      </w:pPr>
      <w:r w:rsidRPr="002D6014">
        <w:rPr>
          <w:rFonts w:cstheme="minorHAnsi"/>
          <w:sz w:val="20"/>
          <w:szCs w:val="20"/>
        </w:rPr>
        <w:t xml:space="preserve">is consistent with principles of natural justice; and </w:t>
      </w:r>
    </w:p>
    <w:p w:rsidR="00B24A9D" w:rsidRPr="002D6014" w:rsidRDefault="006B559B" w:rsidP="006E3741">
      <w:pPr>
        <w:pStyle w:val="ListParagraph"/>
        <w:numPr>
          <w:ilvl w:val="1"/>
          <w:numId w:val="29"/>
        </w:numPr>
        <w:shd w:val="clear" w:color="auto" w:fill="FFFFFF"/>
        <w:tabs>
          <w:tab w:val="clear" w:pos="567"/>
        </w:tabs>
        <w:spacing w:after="120"/>
        <w:ind w:left="1984" w:right="1083" w:hanging="425"/>
        <w:contextualSpacing w:val="0"/>
        <w:rPr>
          <w:rFonts w:cstheme="minorHAnsi"/>
          <w:sz w:val="20"/>
          <w:szCs w:val="20"/>
        </w:rPr>
      </w:pPr>
      <w:r w:rsidRPr="002D6014">
        <w:rPr>
          <w:rFonts w:cstheme="minorHAnsi"/>
          <w:sz w:val="20"/>
          <w:szCs w:val="20"/>
        </w:rPr>
        <w:t xml:space="preserve">allows the delegation of administrative power only in appropriate cases and to appropriate persons; and </w:t>
      </w:r>
    </w:p>
    <w:p w:rsidR="00B24A9D" w:rsidRPr="002D6014" w:rsidRDefault="006B559B" w:rsidP="006E3741">
      <w:pPr>
        <w:pStyle w:val="ListParagraph"/>
        <w:numPr>
          <w:ilvl w:val="1"/>
          <w:numId w:val="29"/>
        </w:numPr>
        <w:shd w:val="clear" w:color="auto" w:fill="FFFFFF"/>
        <w:tabs>
          <w:tab w:val="clear" w:pos="567"/>
        </w:tabs>
        <w:spacing w:after="120"/>
        <w:ind w:left="1984" w:right="1083" w:hanging="425"/>
        <w:contextualSpacing w:val="0"/>
        <w:rPr>
          <w:rFonts w:cstheme="minorHAnsi"/>
          <w:sz w:val="20"/>
          <w:szCs w:val="20"/>
        </w:rPr>
      </w:pPr>
      <w:r w:rsidRPr="002D6014">
        <w:rPr>
          <w:rFonts w:cstheme="minorHAnsi"/>
          <w:sz w:val="20"/>
          <w:szCs w:val="20"/>
        </w:rPr>
        <w:t xml:space="preserve">does not reverse the onus of proof in criminal proceedings without adequate justification; and </w:t>
      </w:r>
    </w:p>
    <w:p w:rsidR="00B24A9D" w:rsidRPr="002D6014" w:rsidRDefault="006B559B" w:rsidP="006E3741">
      <w:pPr>
        <w:pStyle w:val="ListParagraph"/>
        <w:numPr>
          <w:ilvl w:val="1"/>
          <w:numId w:val="29"/>
        </w:numPr>
        <w:shd w:val="clear" w:color="auto" w:fill="FFFFFF"/>
        <w:tabs>
          <w:tab w:val="clear" w:pos="567"/>
        </w:tabs>
        <w:spacing w:after="120"/>
        <w:ind w:left="1984" w:right="1083" w:hanging="425"/>
        <w:contextualSpacing w:val="0"/>
        <w:rPr>
          <w:rFonts w:cstheme="minorHAnsi"/>
          <w:sz w:val="20"/>
          <w:szCs w:val="20"/>
        </w:rPr>
      </w:pPr>
      <w:r w:rsidRPr="002D6014">
        <w:rPr>
          <w:rFonts w:cstheme="minorHAnsi"/>
          <w:sz w:val="20"/>
          <w:szCs w:val="20"/>
        </w:rPr>
        <w:t xml:space="preserve">confers power to enter premises, and search for or seize documents or other property, only with a warrant issued by a judge or other judicial officer; and </w:t>
      </w:r>
    </w:p>
    <w:p w:rsidR="00B24A9D" w:rsidRPr="002D6014" w:rsidRDefault="006B559B" w:rsidP="006E3741">
      <w:pPr>
        <w:pStyle w:val="ListParagraph"/>
        <w:numPr>
          <w:ilvl w:val="1"/>
          <w:numId w:val="29"/>
        </w:numPr>
        <w:shd w:val="clear" w:color="auto" w:fill="FFFFFF"/>
        <w:tabs>
          <w:tab w:val="clear" w:pos="567"/>
        </w:tabs>
        <w:spacing w:after="120"/>
        <w:ind w:left="1984" w:right="1083" w:hanging="425"/>
        <w:contextualSpacing w:val="0"/>
        <w:rPr>
          <w:rFonts w:cstheme="minorHAnsi"/>
          <w:sz w:val="20"/>
          <w:szCs w:val="20"/>
        </w:rPr>
      </w:pPr>
      <w:r w:rsidRPr="002D6014">
        <w:rPr>
          <w:rFonts w:cstheme="minorHAnsi"/>
          <w:sz w:val="20"/>
          <w:szCs w:val="20"/>
        </w:rPr>
        <w:t>provides appropriate protection against self-incrimination; and</w:t>
      </w:r>
    </w:p>
    <w:p w:rsidR="00B24A9D" w:rsidRPr="002D6014" w:rsidRDefault="006B559B" w:rsidP="006E3741">
      <w:pPr>
        <w:pStyle w:val="ListParagraph"/>
        <w:numPr>
          <w:ilvl w:val="1"/>
          <w:numId w:val="29"/>
        </w:numPr>
        <w:shd w:val="clear" w:color="auto" w:fill="FFFFFF"/>
        <w:tabs>
          <w:tab w:val="clear" w:pos="567"/>
        </w:tabs>
        <w:spacing w:after="120"/>
        <w:ind w:left="1984" w:right="1083" w:hanging="425"/>
        <w:contextualSpacing w:val="0"/>
        <w:rPr>
          <w:rFonts w:cstheme="minorHAnsi"/>
          <w:sz w:val="20"/>
          <w:szCs w:val="20"/>
        </w:rPr>
      </w:pPr>
      <w:r w:rsidRPr="002D6014">
        <w:rPr>
          <w:rFonts w:cstheme="minorHAnsi"/>
          <w:sz w:val="20"/>
          <w:szCs w:val="20"/>
        </w:rPr>
        <w:t xml:space="preserve">does not adversely affect rights and liberties, or impose obligations, retrospectively; and </w:t>
      </w:r>
    </w:p>
    <w:p w:rsidR="00B24A9D" w:rsidRPr="002D6014" w:rsidRDefault="006B559B" w:rsidP="006E3741">
      <w:pPr>
        <w:pStyle w:val="ListParagraph"/>
        <w:numPr>
          <w:ilvl w:val="1"/>
          <w:numId w:val="29"/>
        </w:numPr>
        <w:shd w:val="clear" w:color="auto" w:fill="FFFFFF"/>
        <w:tabs>
          <w:tab w:val="clear" w:pos="567"/>
        </w:tabs>
        <w:spacing w:after="120"/>
        <w:ind w:left="1984" w:right="1083" w:hanging="425"/>
        <w:contextualSpacing w:val="0"/>
        <w:rPr>
          <w:rFonts w:cstheme="minorHAnsi"/>
          <w:sz w:val="20"/>
          <w:szCs w:val="20"/>
        </w:rPr>
      </w:pPr>
      <w:r w:rsidRPr="002D6014">
        <w:rPr>
          <w:rFonts w:cstheme="minorHAnsi"/>
          <w:sz w:val="20"/>
          <w:szCs w:val="20"/>
        </w:rPr>
        <w:t xml:space="preserve">does not confer immunity from proceeding or prosecution without adequate justification; and </w:t>
      </w:r>
    </w:p>
    <w:p w:rsidR="00B24A9D" w:rsidRPr="002D6014" w:rsidRDefault="006B559B" w:rsidP="006E3741">
      <w:pPr>
        <w:pStyle w:val="ListParagraph"/>
        <w:numPr>
          <w:ilvl w:val="1"/>
          <w:numId w:val="29"/>
        </w:numPr>
        <w:shd w:val="clear" w:color="auto" w:fill="FFFFFF"/>
        <w:tabs>
          <w:tab w:val="clear" w:pos="567"/>
        </w:tabs>
        <w:spacing w:after="120"/>
        <w:ind w:left="1984" w:right="1083" w:hanging="425"/>
        <w:contextualSpacing w:val="0"/>
        <w:rPr>
          <w:rFonts w:cstheme="minorHAnsi"/>
          <w:sz w:val="20"/>
          <w:szCs w:val="20"/>
        </w:rPr>
      </w:pPr>
      <w:r w:rsidRPr="002D6014">
        <w:rPr>
          <w:rFonts w:cstheme="minorHAnsi"/>
          <w:sz w:val="20"/>
          <w:szCs w:val="20"/>
        </w:rPr>
        <w:t xml:space="preserve">provides for the compulsory acquisition of property only with fair compensation; and </w:t>
      </w:r>
    </w:p>
    <w:p w:rsidR="00B24A9D" w:rsidRPr="002D6014" w:rsidRDefault="006B559B" w:rsidP="006E3741">
      <w:pPr>
        <w:pStyle w:val="ListParagraph"/>
        <w:numPr>
          <w:ilvl w:val="1"/>
          <w:numId w:val="29"/>
        </w:numPr>
        <w:shd w:val="clear" w:color="auto" w:fill="FFFFFF"/>
        <w:tabs>
          <w:tab w:val="clear" w:pos="567"/>
        </w:tabs>
        <w:spacing w:after="120"/>
        <w:ind w:left="1984" w:right="1083" w:hanging="425"/>
        <w:contextualSpacing w:val="0"/>
        <w:rPr>
          <w:rFonts w:cstheme="minorHAnsi"/>
          <w:sz w:val="20"/>
          <w:szCs w:val="20"/>
        </w:rPr>
      </w:pPr>
      <w:r w:rsidRPr="002D6014">
        <w:rPr>
          <w:rFonts w:cstheme="minorHAnsi"/>
          <w:sz w:val="20"/>
          <w:szCs w:val="20"/>
        </w:rPr>
        <w:t xml:space="preserve">has sufficient regard to Aboriginal tradition and Island custom; and </w:t>
      </w:r>
    </w:p>
    <w:p w:rsidR="006B559B" w:rsidRPr="002D6014" w:rsidRDefault="006B559B" w:rsidP="006E3741">
      <w:pPr>
        <w:pStyle w:val="ListParagraph"/>
        <w:numPr>
          <w:ilvl w:val="1"/>
          <w:numId w:val="29"/>
        </w:numPr>
        <w:shd w:val="clear" w:color="auto" w:fill="FFFFFF"/>
        <w:tabs>
          <w:tab w:val="clear" w:pos="567"/>
        </w:tabs>
        <w:ind w:left="1985" w:right="1083" w:hanging="425"/>
        <w:contextualSpacing w:val="0"/>
        <w:rPr>
          <w:rFonts w:cstheme="minorHAnsi"/>
          <w:sz w:val="20"/>
          <w:szCs w:val="20"/>
        </w:rPr>
      </w:pPr>
      <w:proofErr w:type="gramStart"/>
      <w:r w:rsidRPr="002D6014">
        <w:rPr>
          <w:rFonts w:cstheme="minorHAnsi"/>
          <w:sz w:val="20"/>
          <w:szCs w:val="20"/>
        </w:rPr>
        <w:t>is</w:t>
      </w:r>
      <w:proofErr w:type="gramEnd"/>
      <w:r w:rsidRPr="002D6014">
        <w:rPr>
          <w:rFonts w:cstheme="minorHAnsi"/>
          <w:sz w:val="20"/>
          <w:szCs w:val="20"/>
        </w:rPr>
        <w:t xml:space="preserve"> unambiguous and drafted in a sufficiently clear and precise way. </w:t>
      </w:r>
    </w:p>
    <w:p w:rsidR="00005E40" w:rsidRPr="002D6014" w:rsidRDefault="006B559B" w:rsidP="005B2260">
      <w:pPr>
        <w:pStyle w:val="ListParagraph"/>
        <w:numPr>
          <w:ilvl w:val="0"/>
          <w:numId w:val="5"/>
        </w:numPr>
        <w:shd w:val="clear" w:color="auto" w:fill="FFFFFF"/>
        <w:tabs>
          <w:tab w:val="clear" w:pos="567"/>
        </w:tabs>
        <w:contextualSpacing w:val="0"/>
        <w:rPr>
          <w:rFonts w:cstheme="minorHAnsi"/>
        </w:rPr>
      </w:pPr>
      <w:r w:rsidRPr="002D6014">
        <w:rPr>
          <w:rFonts w:cstheme="minorHAnsi"/>
        </w:rPr>
        <w:t>The Parliamentary Counsel is required to provide a brief assessment of the consistency of the Bill with fundamental legislative principles</w:t>
      </w:r>
      <w:r w:rsidR="000953B4" w:rsidRPr="002D6014">
        <w:rPr>
          <w:rFonts w:cstheme="minorHAnsi"/>
        </w:rPr>
        <w:t>,</w:t>
      </w:r>
      <w:r w:rsidRPr="002D6014">
        <w:rPr>
          <w:rFonts w:cstheme="minorHAnsi"/>
        </w:rPr>
        <w:t xml:space="preserve"> in the explanatory notes to a Bill before the Queensland Parliament.</w:t>
      </w:r>
      <w:r w:rsidR="000953B4" w:rsidRPr="002D6014">
        <w:rPr>
          <w:rFonts w:cstheme="minorHAnsi"/>
        </w:rPr>
        <w:t xml:space="preserve"> </w:t>
      </w:r>
      <w:r w:rsidRPr="002D6014">
        <w:rPr>
          <w:rFonts w:cstheme="minorHAnsi"/>
        </w:rPr>
        <w:t xml:space="preserve"> If the Bill is inconsistent with fundamental legislative principles, the reasons for the inconsistency must also be stated. </w:t>
      </w:r>
    </w:p>
    <w:p w:rsidR="00005E40" w:rsidRPr="002D6014" w:rsidRDefault="00005E40" w:rsidP="005B2260">
      <w:pPr>
        <w:pStyle w:val="ListParagraph"/>
        <w:numPr>
          <w:ilvl w:val="0"/>
          <w:numId w:val="5"/>
        </w:numPr>
        <w:tabs>
          <w:tab w:val="clear" w:pos="567"/>
        </w:tabs>
        <w:contextualSpacing w:val="0"/>
        <w:rPr>
          <w:rFonts w:cstheme="minorHAnsi"/>
        </w:rPr>
      </w:pPr>
      <w:r w:rsidRPr="002D6014">
        <w:rPr>
          <w:rFonts w:cstheme="minorHAnsi"/>
        </w:rPr>
        <w:t>Portfolio committees are established by standing rules and orders, and each department is required to be covered by a portfolio area.</w:t>
      </w:r>
      <w:r w:rsidRPr="00D95D9E">
        <w:rPr>
          <w:rStyle w:val="FootnoteReference"/>
          <w:rFonts w:cstheme="minorHAnsi"/>
        </w:rPr>
        <w:footnoteReference w:id="13"/>
      </w:r>
      <w:r w:rsidRPr="00D95D9E">
        <w:rPr>
          <w:rFonts w:cstheme="minorHAnsi"/>
        </w:rPr>
        <w:t xml:space="preserve">  The role of portfolio committees is set out in sections 92 and 93 of the </w:t>
      </w:r>
      <w:r w:rsidRPr="00D95D9E">
        <w:rPr>
          <w:rFonts w:cstheme="minorHAnsi"/>
          <w:i/>
        </w:rPr>
        <w:t>Parliament of Queensland Act 2001</w:t>
      </w:r>
      <w:r w:rsidRPr="00D95D9E">
        <w:rPr>
          <w:rFonts w:cstheme="minorHAnsi"/>
        </w:rPr>
        <w:t>, and includes considering legislation and proposed legislation. Previously</w:t>
      </w:r>
      <w:r w:rsidR="003D1E34" w:rsidRPr="002D6014">
        <w:rPr>
          <w:rFonts w:cstheme="minorHAnsi"/>
        </w:rPr>
        <w:t>,</w:t>
      </w:r>
      <w:r w:rsidRPr="002D6014">
        <w:rPr>
          <w:rFonts w:cstheme="minorHAnsi"/>
        </w:rPr>
        <w:t xml:space="preserve"> legislation introduced into parliament was considered by one committee, the Scrutiny of Legislation Committee.</w:t>
      </w:r>
    </w:p>
    <w:p w:rsidR="00005E40" w:rsidRPr="002D6014" w:rsidRDefault="00005E40" w:rsidP="006E3741">
      <w:pPr>
        <w:pStyle w:val="ListParagraph"/>
        <w:numPr>
          <w:ilvl w:val="0"/>
          <w:numId w:val="5"/>
        </w:numPr>
        <w:tabs>
          <w:tab w:val="clear" w:pos="567"/>
          <w:tab w:val="left" w:pos="-3261"/>
        </w:tabs>
        <w:spacing w:after="120"/>
        <w:contextualSpacing w:val="0"/>
        <w:rPr>
          <w:rFonts w:cstheme="minorHAnsi"/>
        </w:rPr>
      </w:pPr>
      <w:r w:rsidRPr="002D6014">
        <w:rPr>
          <w:rFonts w:cstheme="minorHAnsi"/>
        </w:rPr>
        <w:t>The current process and legislative framework for scrutiny of legislation is as follows:</w:t>
      </w:r>
    </w:p>
    <w:p w:rsidR="00005E40" w:rsidRPr="00D95D9E" w:rsidRDefault="00005E40" w:rsidP="006E3741">
      <w:pPr>
        <w:pStyle w:val="ListParagraph"/>
        <w:numPr>
          <w:ilvl w:val="0"/>
          <w:numId w:val="34"/>
        </w:numPr>
        <w:tabs>
          <w:tab w:val="clear" w:pos="567"/>
        </w:tabs>
        <w:ind w:left="1134" w:hanging="283"/>
        <w:contextualSpacing w:val="0"/>
        <w:rPr>
          <w:rFonts w:cstheme="minorHAnsi"/>
        </w:rPr>
      </w:pPr>
      <w:r w:rsidRPr="002D6014">
        <w:rPr>
          <w:rFonts w:cstheme="minorHAnsi"/>
        </w:rPr>
        <w:t>Bills and proposed subordinate legislation are drafted by the Office of the Queensland Parliamentary Counsel (OPQC).</w:t>
      </w:r>
      <w:r w:rsidRPr="00D95D9E">
        <w:rPr>
          <w:rStyle w:val="FootnoteReference"/>
          <w:rFonts w:cstheme="minorHAnsi"/>
        </w:rPr>
        <w:footnoteReference w:id="14"/>
      </w:r>
    </w:p>
    <w:p w:rsidR="00005E40" w:rsidRPr="00D95D9E" w:rsidRDefault="00005E40" w:rsidP="006E3741">
      <w:pPr>
        <w:pStyle w:val="ListParagraph"/>
        <w:numPr>
          <w:ilvl w:val="0"/>
          <w:numId w:val="34"/>
        </w:numPr>
        <w:tabs>
          <w:tab w:val="clear" w:pos="567"/>
        </w:tabs>
        <w:ind w:left="1134" w:hanging="283"/>
        <w:contextualSpacing w:val="0"/>
        <w:rPr>
          <w:rFonts w:cstheme="minorHAnsi"/>
        </w:rPr>
      </w:pPr>
      <w:r w:rsidRPr="00D95D9E">
        <w:rPr>
          <w:rFonts w:cstheme="minorHAnsi"/>
        </w:rPr>
        <w:t>OPQC must provide advice to Ministers and government entities on alternative ways of achieving policy objectives and on the application of the fundamental legislative principles.</w:t>
      </w:r>
      <w:r w:rsidRPr="00D95D9E">
        <w:rPr>
          <w:rStyle w:val="FootnoteReference"/>
          <w:rFonts w:cstheme="minorHAnsi"/>
        </w:rPr>
        <w:footnoteReference w:id="15"/>
      </w:r>
    </w:p>
    <w:p w:rsidR="00005E40" w:rsidRPr="00D95D9E" w:rsidRDefault="00005E40" w:rsidP="006E3741">
      <w:pPr>
        <w:pStyle w:val="ListParagraph"/>
        <w:numPr>
          <w:ilvl w:val="0"/>
          <w:numId w:val="34"/>
        </w:numPr>
        <w:tabs>
          <w:tab w:val="clear" w:pos="567"/>
        </w:tabs>
        <w:ind w:left="1134" w:hanging="283"/>
        <w:contextualSpacing w:val="0"/>
        <w:rPr>
          <w:rFonts w:cstheme="minorHAnsi"/>
        </w:rPr>
      </w:pPr>
      <w:r w:rsidRPr="00D95D9E">
        <w:rPr>
          <w:rFonts w:cstheme="minorHAnsi"/>
        </w:rPr>
        <w:t>When introducing a Bill in the Legislative Assembly the member must circulate an explanatory note for the Bill to members.</w:t>
      </w:r>
      <w:r w:rsidRPr="00D95D9E">
        <w:rPr>
          <w:rStyle w:val="FootnoteReference"/>
          <w:rFonts w:cstheme="minorHAnsi"/>
        </w:rPr>
        <w:footnoteReference w:id="16"/>
      </w:r>
    </w:p>
    <w:p w:rsidR="00005E40" w:rsidRPr="00D95D9E" w:rsidRDefault="00005E40" w:rsidP="006E3741">
      <w:pPr>
        <w:pStyle w:val="ListParagraph"/>
        <w:numPr>
          <w:ilvl w:val="0"/>
          <w:numId w:val="34"/>
        </w:numPr>
        <w:tabs>
          <w:tab w:val="clear" w:pos="567"/>
        </w:tabs>
        <w:ind w:left="1134" w:hanging="283"/>
        <w:contextualSpacing w:val="0"/>
        <w:rPr>
          <w:rFonts w:cstheme="minorHAnsi"/>
        </w:rPr>
      </w:pPr>
      <w:r w:rsidRPr="00D95D9E">
        <w:rPr>
          <w:rFonts w:cstheme="minorHAnsi"/>
        </w:rPr>
        <w:lastRenderedPageBreak/>
        <w:t>An explanatory note for a Bill must include a brief assessment of consistency with the fundamental legislative principles, and the reasons for any inconsistency.</w:t>
      </w:r>
      <w:r w:rsidRPr="00D95D9E">
        <w:rPr>
          <w:rStyle w:val="FootnoteReference"/>
          <w:rFonts w:cstheme="minorHAnsi"/>
        </w:rPr>
        <w:footnoteReference w:id="17"/>
      </w:r>
    </w:p>
    <w:p w:rsidR="00005E40" w:rsidRPr="00D95D9E" w:rsidRDefault="00005E40" w:rsidP="006E3741">
      <w:pPr>
        <w:pStyle w:val="ListParagraph"/>
        <w:numPr>
          <w:ilvl w:val="0"/>
          <w:numId w:val="34"/>
        </w:numPr>
        <w:tabs>
          <w:tab w:val="clear" w:pos="567"/>
        </w:tabs>
        <w:ind w:left="1134" w:hanging="283"/>
        <w:contextualSpacing w:val="0"/>
        <w:rPr>
          <w:rFonts w:cstheme="minorHAnsi"/>
        </w:rPr>
      </w:pPr>
      <w:r w:rsidRPr="00D95D9E">
        <w:rPr>
          <w:rFonts w:cstheme="minorHAnsi"/>
        </w:rPr>
        <w:t>After the first reading of the Bill (the explanatory speech), it is referred to a portfolio committee for report back to Parliament by a specified date, unless the Bill is declared urgent.</w:t>
      </w:r>
      <w:r w:rsidRPr="00D95D9E">
        <w:rPr>
          <w:rStyle w:val="FootnoteReference"/>
          <w:rFonts w:cstheme="minorHAnsi"/>
        </w:rPr>
        <w:footnoteReference w:id="18"/>
      </w:r>
    </w:p>
    <w:p w:rsidR="00005E40" w:rsidRPr="00D95D9E" w:rsidRDefault="00005E40" w:rsidP="006E3741">
      <w:pPr>
        <w:pStyle w:val="ListParagraph"/>
        <w:numPr>
          <w:ilvl w:val="0"/>
          <w:numId w:val="34"/>
        </w:numPr>
        <w:tabs>
          <w:tab w:val="clear" w:pos="567"/>
        </w:tabs>
        <w:ind w:left="1134" w:hanging="283"/>
        <w:contextualSpacing w:val="0"/>
        <w:rPr>
          <w:rFonts w:cstheme="minorHAnsi"/>
        </w:rPr>
      </w:pPr>
      <w:r w:rsidRPr="00D95D9E">
        <w:rPr>
          <w:rFonts w:cstheme="minorHAnsi"/>
        </w:rPr>
        <w:t>The portfolio committee is responsible for examining Bills in its portfolio area to consider the policy to be given effect by the legislation and the appli</w:t>
      </w:r>
      <w:r w:rsidRPr="002D6014">
        <w:rPr>
          <w:rFonts w:cstheme="minorHAnsi"/>
        </w:rPr>
        <w:t>cation of the fundamental legislative principles to the legislation.</w:t>
      </w:r>
      <w:r w:rsidRPr="00D95D9E">
        <w:rPr>
          <w:rStyle w:val="FootnoteReference"/>
          <w:rFonts w:cstheme="minorHAnsi"/>
        </w:rPr>
        <w:footnoteReference w:id="19"/>
      </w:r>
    </w:p>
    <w:p w:rsidR="00005E40" w:rsidRPr="00D95D9E" w:rsidRDefault="00005E40" w:rsidP="006E3741">
      <w:pPr>
        <w:pStyle w:val="ListParagraph"/>
        <w:numPr>
          <w:ilvl w:val="0"/>
          <w:numId w:val="34"/>
        </w:numPr>
        <w:tabs>
          <w:tab w:val="clear" w:pos="567"/>
        </w:tabs>
        <w:ind w:left="1134" w:hanging="283"/>
        <w:contextualSpacing w:val="0"/>
        <w:rPr>
          <w:rFonts w:cstheme="minorHAnsi"/>
        </w:rPr>
      </w:pPr>
      <w:r w:rsidRPr="00D95D9E">
        <w:rPr>
          <w:rFonts w:cstheme="minorHAnsi"/>
        </w:rPr>
        <w:t xml:space="preserve">The portfolio committee determines whether to recommend the Bill be passed, may recommend amendments to the Bill, and considers the application of the fundamental legislative principles </w:t>
      </w:r>
      <w:r w:rsidRPr="007004AD">
        <w:rPr>
          <w:rFonts w:cstheme="minorHAnsi"/>
        </w:rPr>
        <w:t>and compliance regarding explanatory notes.</w:t>
      </w:r>
      <w:r w:rsidRPr="00D95D9E">
        <w:rPr>
          <w:rStyle w:val="FootnoteReference"/>
          <w:rFonts w:cstheme="minorHAnsi"/>
        </w:rPr>
        <w:footnoteReference w:id="20"/>
      </w:r>
      <w:r w:rsidRPr="00D95D9E">
        <w:rPr>
          <w:rFonts w:cstheme="minorHAnsi"/>
        </w:rPr>
        <w:t xml:space="preserve">  </w:t>
      </w:r>
    </w:p>
    <w:p w:rsidR="00005E40" w:rsidRPr="00D95D9E" w:rsidRDefault="00005E40" w:rsidP="006E3741">
      <w:pPr>
        <w:pStyle w:val="ListParagraph"/>
        <w:numPr>
          <w:ilvl w:val="0"/>
          <w:numId w:val="34"/>
        </w:numPr>
        <w:tabs>
          <w:tab w:val="clear" w:pos="567"/>
        </w:tabs>
        <w:ind w:left="1134" w:hanging="283"/>
        <w:contextualSpacing w:val="0"/>
        <w:rPr>
          <w:rFonts w:cstheme="minorHAnsi"/>
        </w:rPr>
      </w:pPr>
      <w:r w:rsidRPr="00D95D9E">
        <w:rPr>
          <w:rFonts w:cstheme="minorHAnsi"/>
        </w:rPr>
        <w:t>The portfolio committee is required to report to the House within the time fixed for report.  The Bill is set for its second reading stage regardless of whether the committee has reported in the relevant timef</w:t>
      </w:r>
      <w:r w:rsidRPr="007004AD">
        <w:rPr>
          <w:rFonts w:cstheme="minorHAnsi"/>
        </w:rPr>
        <w:t>rame.</w:t>
      </w:r>
      <w:r w:rsidRPr="00D95D9E">
        <w:rPr>
          <w:rStyle w:val="FootnoteReference"/>
          <w:rFonts w:cstheme="minorHAnsi"/>
        </w:rPr>
        <w:footnoteReference w:id="21"/>
      </w:r>
    </w:p>
    <w:p w:rsidR="00675973" w:rsidRPr="002D6014" w:rsidRDefault="004B2B0C" w:rsidP="005B2260">
      <w:pPr>
        <w:pStyle w:val="ListParagraph"/>
        <w:numPr>
          <w:ilvl w:val="0"/>
          <w:numId w:val="5"/>
        </w:numPr>
        <w:shd w:val="clear" w:color="auto" w:fill="FFFFFF"/>
        <w:tabs>
          <w:tab w:val="clear" w:pos="567"/>
        </w:tabs>
        <w:contextualSpacing w:val="0"/>
        <w:rPr>
          <w:rFonts w:cstheme="minorHAnsi"/>
        </w:rPr>
      </w:pPr>
      <w:r w:rsidRPr="00D95D9E">
        <w:rPr>
          <w:rFonts w:cstheme="minorHAnsi"/>
        </w:rPr>
        <w:t>Thus</w:t>
      </w:r>
      <w:r w:rsidR="003D1E34" w:rsidRPr="00D95D9E">
        <w:rPr>
          <w:rFonts w:cstheme="minorHAnsi"/>
        </w:rPr>
        <w:t>,</w:t>
      </w:r>
      <w:r w:rsidR="00675973" w:rsidRPr="00D95D9E">
        <w:rPr>
          <w:rFonts w:cstheme="minorHAnsi"/>
        </w:rPr>
        <w:t xml:space="preserve"> one of the important tasks of a committee reviewing legislation is to examine and report on its consistency with fundamental legislative principles.</w:t>
      </w:r>
      <w:r w:rsidR="00341F75" w:rsidRPr="007004AD">
        <w:rPr>
          <w:rFonts w:cstheme="minorHAnsi"/>
        </w:rPr>
        <w:t xml:space="preserve">  </w:t>
      </w:r>
      <w:r w:rsidR="00341F75" w:rsidRPr="00066EEA">
        <w:rPr>
          <w:rFonts w:cstheme="minorHAnsi"/>
        </w:rPr>
        <w:t>However, there is no mandatory requirement for the Minister promoting the Bill to provide a</w:t>
      </w:r>
      <w:r w:rsidR="00341F75" w:rsidRPr="002D6014">
        <w:rPr>
          <w:rFonts w:cstheme="minorHAnsi"/>
        </w:rPr>
        <w:t xml:space="preserve"> response to the committee’s recommendation.</w:t>
      </w:r>
    </w:p>
    <w:p w:rsidR="004E6D5B" w:rsidRPr="00AA207A" w:rsidRDefault="006F3C48" w:rsidP="006E3741">
      <w:pPr>
        <w:pStyle w:val="ListParagraph"/>
        <w:numPr>
          <w:ilvl w:val="0"/>
          <w:numId w:val="5"/>
        </w:numPr>
        <w:tabs>
          <w:tab w:val="clear" w:pos="567"/>
        </w:tabs>
        <w:spacing w:after="120"/>
        <w:contextualSpacing w:val="0"/>
        <w:rPr>
          <w:rFonts w:cstheme="minorHAnsi"/>
        </w:rPr>
      </w:pPr>
      <w:r w:rsidRPr="002D6014">
        <w:rPr>
          <w:rFonts w:cstheme="minorHAnsi"/>
        </w:rPr>
        <w:t xml:space="preserve">In a </w:t>
      </w:r>
      <w:r w:rsidR="00080E4E" w:rsidRPr="002D6014">
        <w:rPr>
          <w:rFonts w:cstheme="minorHAnsi"/>
        </w:rPr>
        <w:t xml:space="preserve">recent </w:t>
      </w:r>
      <w:r w:rsidR="00C62F3F" w:rsidRPr="002D6014">
        <w:rPr>
          <w:rFonts w:cstheme="minorHAnsi"/>
        </w:rPr>
        <w:t xml:space="preserve">inquiry </w:t>
      </w:r>
      <w:r w:rsidR="004E6D5B" w:rsidRPr="002D6014">
        <w:rPr>
          <w:rFonts w:cstheme="minorHAnsi"/>
        </w:rPr>
        <w:t xml:space="preserve">by the Committee </w:t>
      </w:r>
      <w:r w:rsidR="005B45B1" w:rsidRPr="002D6014">
        <w:rPr>
          <w:rFonts w:cstheme="minorHAnsi"/>
        </w:rPr>
        <w:t>of the Legislative Assemb</w:t>
      </w:r>
      <w:r w:rsidR="008D45E2">
        <w:rPr>
          <w:rFonts w:cstheme="minorHAnsi"/>
        </w:rPr>
        <w:t>l</w:t>
      </w:r>
      <w:r w:rsidR="005B45B1" w:rsidRPr="002D6014">
        <w:rPr>
          <w:rFonts w:cstheme="minorHAnsi"/>
        </w:rPr>
        <w:t xml:space="preserve">y </w:t>
      </w:r>
      <w:r w:rsidR="004E6D5B" w:rsidRPr="002D6014">
        <w:rPr>
          <w:rFonts w:cstheme="minorHAnsi"/>
        </w:rPr>
        <w:t>reviewing Queensland’ s</w:t>
      </w:r>
      <w:r w:rsidR="00C62F3F" w:rsidRPr="002D6014">
        <w:rPr>
          <w:rFonts w:cstheme="minorHAnsi"/>
        </w:rPr>
        <w:t xml:space="preserve"> </w:t>
      </w:r>
      <w:r w:rsidRPr="002D6014">
        <w:rPr>
          <w:rFonts w:cstheme="minorHAnsi"/>
        </w:rPr>
        <w:t>Parliamentary</w:t>
      </w:r>
      <w:r w:rsidR="00C62F3F" w:rsidRPr="002D6014">
        <w:rPr>
          <w:rFonts w:cstheme="minorHAnsi"/>
        </w:rPr>
        <w:t xml:space="preserve"> committee system, </w:t>
      </w:r>
      <w:r w:rsidR="004E6D5B" w:rsidRPr="002D6014">
        <w:rPr>
          <w:rFonts w:cstheme="minorHAnsi"/>
        </w:rPr>
        <w:t xml:space="preserve">the </w:t>
      </w:r>
      <w:r w:rsidR="00AA207A">
        <w:rPr>
          <w:rFonts w:cstheme="minorHAnsi"/>
        </w:rPr>
        <w:t xml:space="preserve">Anti-Discrimination </w:t>
      </w:r>
      <w:r w:rsidR="004E6D5B" w:rsidRPr="00AA207A">
        <w:rPr>
          <w:rFonts w:cstheme="minorHAnsi"/>
        </w:rPr>
        <w:t xml:space="preserve">Commission recommended  the following measures be adopted to increase </w:t>
      </w:r>
      <w:r w:rsidR="00BE29AB" w:rsidRPr="00AA207A">
        <w:rPr>
          <w:rFonts w:cstheme="minorHAnsi"/>
        </w:rPr>
        <w:t xml:space="preserve">human rights </w:t>
      </w:r>
      <w:r w:rsidR="004E6D5B" w:rsidRPr="00AA207A">
        <w:rPr>
          <w:rFonts w:cstheme="minorHAnsi"/>
        </w:rPr>
        <w:t>accountability in the scrutiny of legislation:</w:t>
      </w:r>
    </w:p>
    <w:p w:rsidR="004E6D5B" w:rsidRPr="00AA207A" w:rsidRDefault="004E6D5B" w:rsidP="002D6014">
      <w:pPr>
        <w:pStyle w:val="ListParagraph"/>
        <w:numPr>
          <w:ilvl w:val="0"/>
          <w:numId w:val="34"/>
        </w:numPr>
        <w:tabs>
          <w:tab w:val="clear" w:pos="567"/>
        </w:tabs>
        <w:spacing w:after="120"/>
        <w:ind w:left="1135" w:hanging="284"/>
        <w:contextualSpacing w:val="0"/>
        <w:rPr>
          <w:rFonts w:cstheme="minorHAnsi"/>
        </w:rPr>
      </w:pPr>
      <w:r w:rsidRPr="00AA207A">
        <w:rPr>
          <w:rFonts w:cstheme="minorHAnsi"/>
        </w:rPr>
        <w:t xml:space="preserve">In the </w:t>
      </w:r>
      <w:r w:rsidRPr="00AA207A">
        <w:rPr>
          <w:rFonts w:cstheme="minorHAnsi"/>
          <w:i/>
        </w:rPr>
        <w:t>Legislative Standards Act 1992</w:t>
      </w:r>
      <w:r w:rsidRPr="00AA207A">
        <w:rPr>
          <w:rFonts w:cstheme="minorHAnsi"/>
        </w:rPr>
        <w:t>, include as an express objective that Queensland legislation is consistent with the promotion and protection of human rights;</w:t>
      </w:r>
    </w:p>
    <w:p w:rsidR="004E6D5B" w:rsidRPr="002D6014" w:rsidRDefault="004E6D5B" w:rsidP="002D6014">
      <w:pPr>
        <w:pStyle w:val="ListParagraph"/>
        <w:numPr>
          <w:ilvl w:val="0"/>
          <w:numId w:val="34"/>
        </w:numPr>
        <w:tabs>
          <w:tab w:val="clear" w:pos="567"/>
        </w:tabs>
        <w:spacing w:after="120"/>
        <w:ind w:left="1135" w:hanging="284"/>
        <w:contextualSpacing w:val="0"/>
        <w:rPr>
          <w:rFonts w:cstheme="minorHAnsi"/>
        </w:rPr>
      </w:pPr>
      <w:r w:rsidRPr="002D6014">
        <w:rPr>
          <w:rFonts w:cstheme="minorHAnsi"/>
        </w:rPr>
        <w:t>Replace the expression ‘rights and liberties of individuals’ with ‘human rights’;</w:t>
      </w:r>
    </w:p>
    <w:p w:rsidR="004E6D5B" w:rsidRPr="002D6014" w:rsidRDefault="004E6D5B" w:rsidP="002D6014">
      <w:pPr>
        <w:pStyle w:val="ListParagraph"/>
        <w:numPr>
          <w:ilvl w:val="0"/>
          <w:numId w:val="34"/>
        </w:numPr>
        <w:tabs>
          <w:tab w:val="clear" w:pos="567"/>
        </w:tabs>
        <w:spacing w:after="120"/>
        <w:ind w:left="1135" w:hanging="284"/>
        <w:contextualSpacing w:val="0"/>
        <w:rPr>
          <w:rFonts w:cstheme="minorHAnsi"/>
        </w:rPr>
      </w:pPr>
      <w:r w:rsidRPr="002D6014">
        <w:rPr>
          <w:rFonts w:cstheme="minorHAnsi"/>
        </w:rPr>
        <w:t>Add to the definition of fundamental legislative principles ‘the separation of powers’;</w:t>
      </w:r>
    </w:p>
    <w:p w:rsidR="004E6D5B" w:rsidRPr="002D6014" w:rsidRDefault="004E6D5B" w:rsidP="002D6014">
      <w:pPr>
        <w:pStyle w:val="ListParagraph"/>
        <w:numPr>
          <w:ilvl w:val="0"/>
          <w:numId w:val="34"/>
        </w:numPr>
        <w:tabs>
          <w:tab w:val="clear" w:pos="567"/>
        </w:tabs>
        <w:spacing w:after="120"/>
        <w:ind w:left="1135" w:hanging="284"/>
        <w:contextualSpacing w:val="0"/>
        <w:rPr>
          <w:rFonts w:cstheme="minorHAnsi"/>
        </w:rPr>
      </w:pPr>
      <w:r w:rsidRPr="002D6014">
        <w:rPr>
          <w:rFonts w:cstheme="minorHAnsi"/>
        </w:rPr>
        <w:t>Define ‘human rights’ in an inclusive way such as ‘the personal rights and liberties recognised or expressed under the Constitutions of Queensland and Australia, in statues of the parliaments of Queensland and Australia, or in treaties ratified by the government of Australia’;</w:t>
      </w:r>
    </w:p>
    <w:p w:rsidR="004E6D5B" w:rsidRPr="002D6014" w:rsidRDefault="004E6D5B" w:rsidP="002D6014">
      <w:pPr>
        <w:pStyle w:val="ListParagraph"/>
        <w:numPr>
          <w:ilvl w:val="0"/>
          <w:numId w:val="34"/>
        </w:numPr>
        <w:tabs>
          <w:tab w:val="clear" w:pos="567"/>
        </w:tabs>
        <w:spacing w:after="120"/>
        <w:ind w:left="1135" w:hanging="284"/>
        <w:contextualSpacing w:val="0"/>
        <w:rPr>
          <w:rFonts w:cstheme="minorHAnsi"/>
        </w:rPr>
      </w:pPr>
      <w:r w:rsidRPr="002D6014">
        <w:rPr>
          <w:rFonts w:cstheme="minorHAnsi"/>
        </w:rPr>
        <w:t>Develop and implement a guidance note to assist in identifying human rights issues;</w:t>
      </w:r>
    </w:p>
    <w:p w:rsidR="004E6D5B" w:rsidRPr="002D6014" w:rsidRDefault="004E6D5B" w:rsidP="002D6014">
      <w:pPr>
        <w:pStyle w:val="ListParagraph"/>
        <w:numPr>
          <w:ilvl w:val="0"/>
          <w:numId w:val="34"/>
        </w:numPr>
        <w:tabs>
          <w:tab w:val="clear" w:pos="567"/>
        </w:tabs>
        <w:spacing w:after="120"/>
        <w:ind w:left="1135" w:hanging="284"/>
        <w:contextualSpacing w:val="0"/>
        <w:rPr>
          <w:rFonts w:cstheme="minorHAnsi"/>
        </w:rPr>
      </w:pPr>
      <w:r w:rsidRPr="002D6014">
        <w:rPr>
          <w:rFonts w:cstheme="minorHAnsi"/>
        </w:rPr>
        <w:t>Replace the requirement for explanatory notes to include a ‘brief assessment of consistency’ with a requirement of a ‘statement of compatibility ‘ with fundamental legislative principles for all Bills and amendments;</w:t>
      </w:r>
    </w:p>
    <w:p w:rsidR="0057774A" w:rsidRPr="002D6014" w:rsidRDefault="004E6D5B" w:rsidP="002D6014">
      <w:pPr>
        <w:pStyle w:val="ListParagraph"/>
        <w:numPr>
          <w:ilvl w:val="0"/>
          <w:numId w:val="34"/>
        </w:numPr>
        <w:tabs>
          <w:tab w:val="clear" w:pos="567"/>
        </w:tabs>
        <w:spacing w:after="120"/>
        <w:ind w:left="1135" w:hanging="284"/>
        <w:contextualSpacing w:val="0"/>
        <w:rPr>
          <w:rFonts w:cstheme="minorHAnsi"/>
        </w:rPr>
      </w:pPr>
      <w:r w:rsidRPr="002D6014">
        <w:rPr>
          <w:rFonts w:cstheme="minorHAnsi"/>
        </w:rPr>
        <w:lastRenderedPageBreak/>
        <w:t xml:space="preserve">Establish under the </w:t>
      </w:r>
      <w:r w:rsidRPr="002D6014">
        <w:rPr>
          <w:rFonts w:cstheme="minorHAnsi"/>
          <w:i/>
        </w:rPr>
        <w:t>Parliament of Queensland Act 2001</w:t>
      </w:r>
      <w:r w:rsidRPr="002D6014">
        <w:rPr>
          <w:rFonts w:cstheme="minorHAnsi"/>
        </w:rPr>
        <w:t xml:space="preserve"> a separate specialist bipartisan committee (a Human Rights Committee) with roles to include the examination of all Bills and subordinate legislation for compatibility with fundamental legislative principles.</w:t>
      </w:r>
    </w:p>
    <w:p w:rsidR="004E6D5B" w:rsidRPr="002D6014" w:rsidRDefault="004E6D5B" w:rsidP="006E3741">
      <w:pPr>
        <w:pStyle w:val="ListParagraph"/>
        <w:numPr>
          <w:ilvl w:val="0"/>
          <w:numId w:val="34"/>
        </w:numPr>
        <w:tabs>
          <w:tab w:val="clear" w:pos="567"/>
        </w:tabs>
        <w:ind w:left="1134" w:hanging="283"/>
        <w:contextualSpacing w:val="0"/>
        <w:rPr>
          <w:rFonts w:cstheme="minorHAnsi"/>
        </w:rPr>
      </w:pPr>
      <w:r w:rsidRPr="002D6014">
        <w:rPr>
          <w:rFonts w:cstheme="minorHAnsi"/>
        </w:rPr>
        <w:t>Amend the Parliament</w:t>
      </w:r>
      <w:r w:rsidRPr="002D6014">
        <w:rPr>
          <w:rFonts w:cstheme="minorHAnsi"/>
          <w:i/>
        </w:rPr>
        <w:t xml:space="preserve"> of Queensland Act 2001</w:t>
      </w:r>
      <w:r w:rsidRPr="002D6014">
        <w:rPr>
          <w:rFonts w:cstheme="minorHAnsi"/>
        </w:rPr>
        <w:t xml:space="preserve"> to require the Member promoting a Bill to respond to any recommendations or concerns raised by the specialist human rights committee.</w:t>
      </w:r>
    </w:p>
    <w:p w:rsidR="00C62F3F" w:rsidRPr="002D6014" w:rsidRDefault="00CE1A36" w:rsidP="005B2260">
      <w:pPr>
        <w:pStyle w:val="ListParagraph"/>
        <w:numPr>
          <w:ilvl w:val="0"/>
          <w:numId w:val="5"/>
        </w:numPr>
        <w:tabs>
          <w:tab w:val="clear" w:pos="567"/>
          <w:tab w:val="left" w:pos="-4253"/>
        </w:tabs>
        <w:contextualSpacing w:val="0"/>
        <w:rPr>
          <w:rFonts w:cstheme="minorHAnsi"/>
        </w:rPr>
      </w:pPr>
      <w:r w:rsidRPr="002D6014">
        <w:rPr>
          <w:rFonts w:cstheme="minorHAnsi"/>
        </w:rPr>
        <w:t>In its report on the review of the Parliamentary Committee System, the Committee of the Legislative Assembly discussed the Commission’s submission at length</w:t>
      </w:r>
      <w:r w:rsidR="006F3C48" w:rsidRPr="002D6014">
        <w:rPr>
          <w:rFonts w:cstheme="minorHAnsi"/>
        </w:rPr>
        <w:t>.</w:t>
      </w:r>
      <w:r w:rsidRPr="00D95D9E">
        <w:rPr>
          <w:rStyle w:val="FootnoteReference"/>
          <w:rFonts w:cstheme="minorHAnsi"/>
        </w:rPr>
        <w:footnoteReference w:id="22"/>
      </w:r>
      <w:r w:rsidRPr="00D95D9E">
        <w:rPr>
          <w:rFonts w:cstheme="minorHAnsi"/>
        </w:rPr>
        <w:t xml:space="preserve">  It noted that the Legal Affairs and Communit</w:t>
      </w:r>
      <w:r w:rsidRPr="002D6014">
        <w:rPr>
          <w:rFonts w:cstheme="minorHAnsi"/>
        </w:rPr>
        <w:t>y Safety Committee is undertaking this inquiry into a Human Rights Act for Queensland, and awaits the report to consider the issues and recommendations made.</w:t>
      </w:r>
    </w:p>
    <w:p w:rsidR="006B559B" w:rsidRPr="002D6014" w:rsidRDefault="006B559B" w:rsidP="005B2260">
      <w:pPr>
        <w:pStyle w:val="ListParagraph"/>
        <w:numPr>
          <w:ilvl w:val="0"/>
          <w:numId w:val="5"/>
        </w:numPr>
        <w:shd w:val="clear" w:color="auto" w:fill="FFFFFF"/>
        <w:tabs>
          <w:tab w:val="clear" w:pos="567"/>
        </w:tabs>
        <w:contextualSpacing w:val="0"/>
        <w:rPr>
          <w:rFonts w:cstheme="minorHAnsi"/>
        </w:rPr>
      </w:pPr>
      <w:r w:rsidRPr="002D6014">
        <w:rPr>
          <w:rFonts w:cstheme="minorHAnsi"/>
        </w:rPr>
        <w:t xml:space="preserve">Aside from the </w:t>
      </w:r>
      <w:r w:rsidR="004E6D5B" w:rsidRPr="002D6014">
        <w:rPr>
          <w:rFonts w:cstheme="minorHAnsi"/>
        </w:rPr>
        <w:t xml:space="preserve">existing </w:t>
      </w:r>
      <w:r w:rsidRPr="002D6014">
        <w:rPr>
          <w:rFonts w:cstheme="minorHAnsi"/>
        </w:rPr>
        <w:t xml:space="preserve">provisions in the </w:t>
      </w:r>
      <w:r w:rsidRPr="002D6014">
        <w:rPr>
          <w:rFonts w:cstheme="minorHAnsi"/>
          <w:i/>
          <w:iCs/>
        </w:rPr>
        <w:t>Legislative Standards Act 1992</w:t>
      </w:r>
      <w:r w:rsidR="00341F75" w:rsidRPr="002D6014">
        <w:rPr>
          <w:rFonts w:cstheme="minorHAnsi"/>
          <w:iCs/>
        </w:rPr>
        <w:t>,</w:t>
      </w:r>
      <w:r w:rsidRPr="002D6014">
        <w:rPr>
          <w:rFonts w:cstheme="minorHAnsi"/>
          <w:i/>
          <w:iCs/>
        </w:rPr>
        <w:t xml:space="preserve"> </w:t>
      </w:r>
      <w:r w:rsidRPr="002D6014">
        <w:rPr>
          <w:rFonts w:cstheme="minorHAnsi"/>
        </w:rPr>
        <w:t xml:space="preserve">and the </w:t>
      </w:r>
      <w:r w:rsidRPr="002D6014">
        <w:rPr>
          <w:rFonts w:cstheme="minorHAnsi"/>
          <w:i/>
          <w:iCs/>
        </w:rPr>
        <w:t>Parliament of Queensland Act 2001</w:t>
      </w:r>
      <w:r w:rsidRPr="002D6014">
        <w:rPr>
          <w:rFonts w:cstheme="minorHAnsi"/>
        </w:rPr>
        <w:t xml:space="preserve">, which have a limited impact on the protection of rights, there are no other formal or legislative requirements requiring the Queensland Legislative Assembly to have regard to the rights and liberties of individuals before passing legislation. </w:t>
      </w:r>
    </w:p>
    <w:p w:rsidR="006B559B" w:rsidRPr="002D6014" w:rsidRDefault="006B559B" w:rsidP="005B2260">
      <w:pPr>
        <w:pStyle w:val="ListParagraph"/>
        <w:numPr>
          <w:ilvl w:val="0"/>
          <w:numId w:val="5"/>
        </w:numPr>
        <w:shd w:val="clear" w:color="auto" w:fill="FFFFFF"/>
        <w:tabs>
          <w:tab w:val="clear" w:pos="567"/>
        </w:tabs>
        <w:contextualSpacing w:val="0"/>
        <w:rPr>
          <w:rFonts w:cstheme="minorHAnsi"/>
        </w:rPr>
      </w:pPr>
      <w:r w:rsidRPr="002D6014">
        <w:rPr>
          <w:rFonts w:cstheme="minorHAnsi"/>
        </w:rPr>
        <w:t xml:space="preserve">Neither </w:t>
      </w:r>
      <w:r w:rsidR="00217A7D" w:rsidRPr="002D6014">
        <w:rPr>
          <w:rFonts w:cstheme="minorHAnsi"/>
        </w:rPr>
        <w:t>A</w:t>
      </w:r>
      <w:r w:rsidRPr="002D6014">
        <w:rPr>
          <w:rFonts w:cstheme="minorHAnsi"/>
        </w:rPr>
        <w:t>ct has any applicability once legislation has been considered by the Legislative Assembly, meaning there is no capacity for review of existing legislation</w:t>
      </w:r>
      <w:r w:rsidR="00917657" w:rsidRPr="002D6014">
        <w:rPr>
          <w:rFonts w:cstheme="minorHAnsi"/>
        </w:rPr>
        <w:t>,</w:t>
      </w:r>
      <w:r w:rsidRPr="002D6014">
        <w:rPr>
          <w:rFonts w:cstheme="minorHAnsi"/>
        </w:rPr>
        <w:t xml:space="preserve"> </w:t>
      </w:r>
      <w:proofErr w:type="gramStart"/>
      <w:r w:rsidRPr="002D6014">
        <w:rPr>
          <w:rFonts w:cstheme="minorHAnsi"/>
        </w:rPr>
        <w:t>The</w:t>
      </w:r>
      <w:proofErr w:type="gramEnd"/>
      <w:r w:rsidRPr="002D6014">
        <w:rPr>
          <w:rFonts w:cstheme="minorHAnsi"/>
        </w:rPr>
        <w:t xml:space="preserve"> provisions have no ongoing or broad purpose of protecting individuals from breaches of human rights. </w:t>
      </w:r>
    </w:p>
    <w:p w:rsidR="006B559B" w:rsidRPr="002D6014" w:rsidRDefault="006B559B" w:rsidP="002D6014">
      <w:pPr>
        <w:pStyle w:val="ListParagraph"/>
        <w:numPr>
          <w:ilvl w:val="0"/>
          <w:numId w:val="5"/>
        </w:numPr>
        <w:tabs>
          <w:tab w:val="clear" w:pos="567"/>
        </w:tabs>
        <w:spacing w:after="120"/>
        <w:contextualSpacing w:val="0"/>
        <w:rPr>
          <w:rFonts w:cstheme="minorHAnsi"/>
        </w:rPr>
      </w:pPr>
      <w:r w:rsidRPr="002D6014">
        <w:rPr>
          <w:rFonts w:cstheme="minorHAnsi"/>
        </w:rPr>
        <w:t>The key deficits in the current procedure</w:t>
      </w:r>
      <w:r w:rsidR="00917657" w:rsidRPr="002D6014">
        <w:rPr>
          <w:rFonts w:cstheme="minorHAnsi"/>
        </w:rPr>
        <w:t>,</w:t>
      </w:r>
      <w:r w:rsidRPr="002D6014">
        <w:rPr>
          <w:rFonts w:cstheme="minorHAnsi"/>
        </w:rPr>
        <w:t xml:space="preserve"> as compared </w:t>
      </w:r>
      <w:r w:rsidR="00917657" w:rsidRPr="002D6014">
        <w:rPr>
          <w:rFonts w:cstheme="minorHAnsi"/>
        </w:rPr>
        <w:t xml:space="preserve">to </w:t>
      </w:r>
      <w:r w:rsidR="006F3C48" w:rsidRPr="002D6014">
        <w:rPr>
          <w:rFonts w:cstheme="minorHAnsi"/>
        </w:rPr>
        <w:t xml:space="preserve">those that could be mandated by a </w:t>
      </w:r>
      <w:r w:rsidRPr="002D6014">
        <w:rPr>
          <w:rFonts w:cstheme="minorHAnsi"/>
        </w:rPr>
        <w:t xml:space="preserve">human rights </w:t>
      </w:r>
      <w:r w:rsidR="006F3C48" w:rsidRPr="002D6014">
        <w:rPr>
          <w:rFonts w:cstheme="minorHAnsi"/>
        </w:rPr>
        <w:t>act</w:t>
      </w:r>
      <w:r w:rsidR="00917657" w:rsidRPr="002D6014">
        <w:rPr>
          <w:rFonts w:cstheme="minorHAnsi"/>
        </w:rPr>
        <w:t>,</w:t>
      </w:r>
      <w:r w:rsidR="006F3C48" w:rsidRPr="002D6014">
        <w:rPr>
          <w:rFonts w:cstheme="minorHAnsi"/>
        </w:rPr>
        <w:t xml:space="preserve"> </w:t>
      </w:r>
      <w:r w:rsidR="00675973" w:rsidRPr="002D6014">
        <w:rPr>
          <w:rFonts w:cstheme="minorHAnsi"/>
        </w:rPr>
        <w:t>are:</w:t>
      </w:r>
    </w:p>
    <w:p w:rsidR="006B559B" w:rsidRPr="002D6014" w:rsidRDefault="00917657" w:rsidP="006E3741">
      <w:pPr>
        <w:pStyle w:val="ListParagraph"/>
        <w:numPr>
          <w:ilvl w:val="0"/>
          <w:numId w:val="34"/>
        </w:numPr>
        <w:tabs>
          <w:tab w:val="clear" w:pos="567"/>
        </w:tabs>
        <w:ind w:left="1134" w:hanging="283"/>
        <w:contextualSpacing w:val="0"/>
        <w:rPr>
          <w:rFonts w:cstheme="minorHAnsi"/>
        </w:rPr>
      </w:pPr>
      <w:r w:rsidRPr="002D6014">
        <w:rPr>
          <w:rFonts w:cstheme="minorHAnsi"/>
        </w:rPr>
        <w:t>H</w:t>
      </w:r>
      <w:r w:rsidR="006B559B" w:rsidRPr="002D6014">
        <w:rPr>
          <w:rFonts w:cstheme="minorHAnsi"/>
        </w:rPr>
        <w:t xml:space="preserve">uman rights are not </w:t>
      </w:r>
      <w:r w:rsidR="00A84441" w:rsidRPr="002D6014">
        <w:rPr>
          <w:rFonts w:cstheme="minorHAnsi"/>
        </w:rPr>
        <w:t xml:space="preserve">fully </w:t>
      </w:r>
      <w:r w:rsidR="006B559B" w:rsidRPr="002D6014">
        <w:rPr>
          <w:rFonts w:cstheme="minorHAnsi"/>
        </w:rPr>
        <w:t>incorporated into the meaning of 'fundamental legislative principles'</w:t>
      </w:r>
      <w:r w:rsidRPr="002D6014">
        <w:rPr>
          <w:rFonts w:cstheme="minorHAnsi"/>
        </w:rPr>
        <w:t>.</w:t>
      </w:r>
      <w:r w:rsidR="006B559B" w:rsidRPr="002D6014">
        <w:rPr>
          <w:rFonts w:cstheme="minorHAnsi"/>
        </w:rPr>
        <w:t xml:space="preserve"> </w:t>
      </w:r>
    </w:p>
    <w:p w:rsidR="006B559B" w:rsidRPr="00D95D9E" w:rsidRDefault="006B559B" w:rsidP="006E3741">
      <w:pPr>
        <w:pStyle w:val="ListParagraph"/>
        <w:numPr>
          <w:ilvl w:val="0"/>
          <w:numId w:val="34"/>
        </w:numPr>
        <w:tabs>
          <w:tab w:val="clear" w:pos="567"/>
        </w:tabs>
        <w:ind w:left="1134" w:hanging="283"/>
        <w:contextualSpacing w:val="0"/>
        <w:rPr>
          <w:rFonts w:cstheme="minorHAnsi"/>
        </w:rPr>
      </w:pPr>
      <w:r w:rsidRPr="002D6014">
        <w:rPr>
          <w:rFonts w:cstheme="minorHAnsi"/>
        </w:rPr>
        <w:t xml:space="preserve">There is no </w:t>
      </w:r>
      <w:r w:rsidR="00A84441" w:rsidRPr="002D6014">
        <w:rPr>
          <w:rFonts w:cstheme="minorHAnsi"/>
        </w:rPr>
        <w:t>requirement for the explanatory notes or a committee’s report to</w:t>
      </w:r>
      <w:r w:rsidRPr="002D6014">
        <w:rPr>
          <w:rFonts w:cstheme="minorHAnsi"/>
        </w:rPr>
        <w:t xml:space="preserve"> include reasons for any departure</w:t>
      </w:r>
      <w:r w:rsidR="00A84441" w:rsidRPr="002D6014">
        <w:rPr>
          <w:rFonts w:cstheme="minorHAnsi"/>
        </w:rPr>
        <w:t xml:space="preserve"> from the fundamental legislative principles</w:t>
      </w:r>
      <w:r w:rsidR="00917657" w:rsidRPr="002D6014">
        <w:rPr>
          <w:rFonts w:cstheme="minorHAnsi"/>
        </w:rPr>
        <w:t>.</w:t>
      </w:r>
    </w:p>
    <w:p w:rsidR="006B559B" w:rsidRPr="002D6014" w:rsidRDefault="006B559B" w:rsidP="00A84441">
      <w:pPr>
        <w:pStyle w:val="ListParagraph"/>
        <w:numPr>
          <w:ilvl w:val="0"/>
          <w:numId w:val="34"/>
        </w:numPr>
        <w:tabs>
          <w:tab w:val="clear" w:pos="567"/>
        </w:tabs>
        <w:ind w:left="1134" w:hanging="283"/>
        <w:contextualSpacing w:val="0"/>
        <w:rPr>
          <w:rFonts w:cstheme="minorHAnsi"/>
        </w:rPr>
      </w:pPr>
      <w:r w:rsidRPr="00D95D9E">
        <w:rPr>
          <w:rFonts w:cstheme="minorHAnsi"/>
        </w:rPr>
        <w:t xml:space="preserve">There is no requirement that the </w:t>
      </w:r>
      <w:r w:rsidR="00917657" w:rsidRPr="00D95D9E">
        <w:rPr>
          <w:rFonts w:cstheme="minorHAnsi"/>
        </w:rPr>
        <w:t>m</w:t>
      </w:r>
      <w:r w:rsidRPr="00D95D9E">
        <w:rPr>
          <w:rFonts w:cstheme="minorHAnsi"/>
        </w:rPr>
        <w:t xml:space="preserve">ember promoting a Bill respond to </w:t>
      </w:r>
      <w:r w:rsidRPr="002D6014">
        <w:rPr>
          <w:rFonts w:cstheme="minorHAnsi"/>
        </w:rPr>
        <w:t xml:space="preserve">concerns raised by the </w:t>
      </w:r>
      <w:r w:rsidR="006F3C48" w:rsidRPr="002D6014">
        <w:rPr>
          <w:rFonts w:cstheme="minorHAnsi"/>
        </w:rPr>
        <w:t xml:space="preserve">portfolio </w:t>
      </w:r>
      <w:r w:rsidR="00217A7D" w:rsidRPr="002D6014">
        <w:rPr>
          <w:rFonts w:cstheme="minorHAnsi"/>
        </w:rPr>
        <w:t>c</w:t>
      </w:r>
      <w:r w:rsidRPr="002D6014">
        <w:rPr>
          <w:rFonts w:cstheme="minorHAnsi"/>
        </w:rPr>
        <w:t>ommittee</w:t>
      </w:r>
      <w:r w:rsidR="00A84441" w:rsidRPr="002D6014">
        <w:rPr>
          <w:rFonts w:cstheme="minorHAnsi"/>
        </w:rPr>
        <w:t xml:space="preserve"> about consistency with the fundamental legislative principles</w:t>
      </w:r>
      <w:r w:rsidRPr="002D6014">
        <w:rPr>
          <w:rFonts w:cstheme="minorHAnsi"/>
        </w:rPr>
        <w:t xml:space="preserve">.  Specialised knowledge of human rights </w:t>
      </w:r>
      <w:r w:rsidR="00A84441" w:rsidRPr="002D6014">
        <w:rPr>
          <w:rFonts w:cstheme="minorHAnsi"/>
        </w:rPr>
        <w:t xml:space="preserve">would </w:t>
      </w:r>
      <w:r w:rsidR="008C0191" w:rsidRPr="002D6014">
        <w:rPr>
          <w:rFonts w:cstheme="minorHAnsi"/>
        </w:rPr>
        <w:t>improve governance</w:t>
      </w:r>
      <w:r w:rsidR="00D80EB7" w:rsidRPr="002D6014">
        <w:rPr>
          <w:rFonts w:cstheme="minorHAnsi"/>
        </w:rPr>
        <w:t xml:space="preserve"> and </w:t>
      </w:r>
      <w:r w:rsidR="008C0191" w:rsidRPr="002D6014">
        <w:rPr>
          <w:rFonts w:cstheme="minorHAnsi"/>
        </w:rPr>
        <w:t>decision</w:t>
      </w:r>
      <w:r w:rsidR="00917657" w:rsidRPr="002D6014">
        <w:rPr>
          <w:rFonts w:cstheme="minorHAnsi"/>
        </w:rPr>
        <w:t>-</w:t>
      </w:r>
      <w:r w:rsidR="00D80EB7" w:rsidRPr="002D6014">
        <w:rPr>
          <w:rFonts w:cstheme="minorHAnsi"/>
        </w:rPr>
        <w:t xml:space="preserve">making by </w:t>
      </w:r>
      <w:r w:rsidR="00A84441" w:rsidRPr="002D6014">
        <w:rPr>
          <w:rFonts w:cstheme="minorHAnsi"/>
        </w:rPr>
        <w:t>P</w:t>
      </w:r>
      <w:r w:rsidR="00D80EB7" w:rsidRPr="002D6014">
        <w:rPr>
          <w:rFonts w:cstheme="minorHAnsi"/>
        </w:rPr>
        <w:t>arliament</w:t>
      </w:r>
      <w:r w:rsidR="008C0191" w:rsidRPr="002D6014">
        <w:rPr>
          <w:rFonts w:cstheme="minorHAnsi"/>
        </w:rPr>
        <w:t>.</w:t>
      </w:r>
      <w:r w:rsidRPr="002D6014">
        <w:rPr>
          <w:rFonts w:cstheme="minorHAnsi"/>
        </w:rPr>
        <w:t xml:space="preserve"> Human </w:t>
      </w:r>
      <w:r w:rsidR="00917657" w:rsidRPr="002D6014">
        <w:rPr>
          <w:rFonts w:cstheme="minorHAnsi"/>
        </w:rPr>
        <w:t>r</w:t>
      </w:r>
      <w:r w:rsidRPr="002D6014">
        <w:rPr>
          <w:rFonts w:cstheme="minorHAnsi"/>
        </w:rPr>
        <w:t xml:space="preserve">ights reports should be prepared by a </w:t>
      </w:r>
      <w:r w:rsidR="008C0191" w:rsidRPr="002D6014">
        <w:rPr>
          <w:rFonts w:cstheme="minorHAnsi"/>
        </w:rPr>
        <w:t xml:space="preserve">human rights </w:t>
      </w:r>
      <w:r w:rsidR="006F3C48" w:rsidRPr="002D6014">
        <w:rPr>
          <w:rFonts w:cstheme="minorHAnsi"/>
        </w:rPr>
        <w:t>subcommittee</w:t>
      </w:r>
      <w:r w:rsidRPr="002D6014">
        <w:rPr>
          <w:rFonts w:cstheme="minorHAnsi"/>
        </w:rPr>
        <w:t xml:space="preserve"> with adequate resources</w:t>
      </w:r>
      <w:r w:rsidR="006F3C48" w:rsidRPr="002D6014">
        <w:rPr>
          <w:rFonts w:cstheme="minorHAnsi"/>
        </w:rPr>
        <w:t xml:space="preserve"> and expertise</w:t>
      </w:r>
      <w:r w:rsidRPr="002D6014">
        <w:rPr>
          <w:rFonts w:cstheme="minorHAnsi"/>
        </w:rPr>
        <w:t>.</w:t>
      </w:r>
    </w:p>
    <w:p w:rsidR="006B559B" w:rsidRPr="002D6014" w:rsidRDefault="006B559B" w:rsidP="006E3741">
      <w:pPr>
        <w:pStyle w:val="ListParagraph"/>
        <w:numPr>
          <w:ilvl w:val="0"/>
          <w:numId w:val="34"/>
        </w:numPr>
        <w:tabs>
          <w:tab w:val="clear" w:pos="567"/>
        </w:tabs>
        <w:ind w:left="1134" w:hanging="283"/>
        <w:contextualSpacing w:val="0"/>
        <w:rPr>
          <w:rFonts w:cstheme="minorHAnsi"/>
        </w:rPr>
      </w:pPr>
      <w:r w:rsidRPr="002D6014">
        <w:rPr>
          <w:rFonts w:cstheme="minorHAnsi"/>
        </w:rPr>
        <w:t xml:space="preserve">There </w:t>
      </w:r>
      <w:r w:rsidR="008C0191" w:rsidRPr="002D6014">
        <w:rPr>
          <w:rFonts w:cstheme="minorHAnsi"/>
        </w:rPr>
        <w:t xml:space="preserve">currently </w:t>
      </w:r>
      <w:r w:rsidR="00E96A28" w:rsidRPr="002D6014">
        <w:rPr>
          <w:rFonts w:cstheme="minorHAnsi"/>
        </w:rPr>
        <w:t>are no</w:t>
      </w:r>
      <w:r w:rsidRPr="002D6014">
        <w:rPr>
          <w:rFonts w:cstheme="minorHAnsi"/>
        </w:rPr>
        <w:t xml:space="preserve"> standards or </w:t>
      </w:r>
      <w:r w:rsidR="00E96A28" w:rsidRPr="002D6014">
        <w:rPr>
          <w:rFonts w:cstheme="minorHAnsi"/>
        </w:rPr>
        <w:t>requirements for</w:t>
      </w:r>
      <w:r w:rsidR="006F3C48" w:rsidRPr="002D6014">
        <w:rPr>
          <w:rFonts w:cstheme="minorHAnsi"/>
        </w:rPr>
        <w:t xml:space="preserve"> </w:t>
      </w:r>
      <w:r w:rsidRPr="002D6014">
        <w:rPr>
          <w:rFonts w:cstheme="minorHAnsi"/>
        </w:rPr>
        <w:t>public engagement</w:t>
      </w:r>
      <w:r w:rsidR="008C0191" w:rsidRPr="002D6014">
        <w:rPr>
          <w:rFonts w:cstheme="minorHAnsi"/>
        </w:rPr>
        <w:t xml:space="preserve"> if legislation is proposed that will impact on human rights</w:t>
      </w:r>
      <w:r w:rsidRPr="002D6014">
        <w:rPr>
          <w:rFonts w:cstheme="minorHAnsi"/>
        </w:rPr>
        <w:t xml:space="preserve">. Depending on the level of human rights concerns, a formal opportunity for public submissions should be provided unless there are exceptional circumstances. </w:t>
      </w:r>
    </w:p>
    <w:p w:rsidR="006B559B" w:rsidRPr="002D6014" w:rsidRDefault="006B559B" w:rsidP="005B2260">
      <w:pPr>
        <w:pStyle w:val="ListParagraph"/>
        <w:numPr>
          <w:ilvl w:val="0"/>
          <w:numId w:val="5"/>
        </w:numPr>
        <w:tabs>
          <w:tab w:val="clear" w:pos="567"/>
        </w:tabs>
        <w:autoSpaceDE w:val="0"/>
        <w:autoSpaceDN w:val="0"/>
        <w:adjustRightInd w:val="0"/>
        <w:rPr>
          <w:rFonts w:cstheme="minorHAnsi"/>
        </w:rPr>
      </w:pPr>
      <w:r w:rsidRPr="002D6014">
        <w:rPr>
          <w:rFonts w:cstheme="minorHAnsi"/>
        </w:rPr>
        <w:t xml:space="preserve">Greater consideration of human rights is needed in the development of legislation and </w:t>
      </w:r>
      <w:proofErr w:type="gramStart"/>
      <w:r w:rsidRPr="002D6014">
        <w:rPr>
          <w:rFonts w:cstheme="minorHAnsi"/>
        </w:rPr>
        <w:t>policy</w:t>
      </w:r>
      <w:r w:rsidR="00917657" w:rsidRPr="002D6014">
        <w:rPr>
          <w:rFonts w:cstheme="minorHAnsi"/>
        </w:rPr>
        <w:t>,</w:t>
      </w:r>
      <w:proofErr w:type="gramEnd"/>
      <w:r w:rsidRPr="002D6014">
        <w:rPr>
          <w:rFonts w:cstheme="minorHAnsi"/>
        </w:rPr>
        <w:t xml:space="preserve"> and in the parliamentary process in general. The primary aim of such consideration is to ensure that human rights concerns are identified early, so that policy and legislation can be developed in ways that do not impinge on human rights or, in circumstances where limitations on rights are necessary, those limitations can be justified to </w:t>
      </w:r>
      <w:r w:rsidR="00A84441" w:rsidRPr="002D6014">
        <w:rPr>
          <w:rFonts w:cstheme="minorHAnsi"/>
        </w:rPr>
        <w:t>P</w:t>
      </w:r>
      <w:r w:rsidRPr="002D6014">
        <w:rPr>
          <w:rFonts w:cstheme="minorHAnsi"/>
        </w:rPr>
        <w:t>arliament and the community.</w:t>
      </w:r>
    </w:p>
    <w:p w:rsidR="006B559B" w:rsidRPr="002D6014" w:rsidRDefault="00A84441" w:rsidP="003F2D0A">
      <w:pPr>
        <w:pStyle w:val="Heading2"/>
      </w:pPr>
      <w:bookmarkStart w:id="7" w:name="_Toc448747751"/>
      <w:r w:rsidRPr="002D6014">
        <w:lastRenderedPageBreak/>
        <w:t>A</w:t>
      </w:r>
      <w:r w:rsidR="006B559B" w:rsidRPr="002D6014">
        <w:t>nti-</w:t>
      </w:r>
      <w:r w:rsidR="00917657" w:rsidRPr="002D6014">
        <w:t>d</w:t>
      </w:r>
      <w:r w:rsidR="006B559B" w:rsidRPr="002D6014">
        <w:t>iscrimination laws</w:t>
      </w:r>
      <w:bookmarkEnd w:id="7"/>
      <w:r w:rsidR="006B559B" w:rsidRPr="002D6014">
        <w:t xml:space="preserve"> </w:t>
      </w:r>
    </w:p>
    <w:p w:rsidR="005A702E" w:rsidRPr="002D6014" w:rsidRDefault="006B559B" w:rsidP="00675973">
      <w:pPr>
        <w:pStyle w:val="ListParagraph"/>
        <w:numPr>
          <w:ilvl w:val="0"/>
          <w:numId w:val="5"/>
        </w:numPr>
        <w:shd w:val="clear" w:color="auto" w:fill="FFFFFF"/>
        <w:tabs>
          <w:tab w:val="clear" w:pos="567"/>
        </w:tabs>
        <w:contextualSpacing w:val="0"/>
        <w:rPr>
          <w:rFonts w:cstheme="minorHAnsi"/>
        </w:rPr>
      </w:pPr>
      <w:r w:rsidRPr="002D6014">
        <w:rPr>
          <w:rFonts w:cstheme="minorHAnsi"/>
        </w:rPr>
        <w:t xml:space="preserve">The Commonwealth, </w:t>
      </w:r>
      <w:r w:rsidR="00A84441" w:rsidRPr="002D6014">
        <w:rPr>
          <w:rFonts w:cstheme="minorHAnsi"/>
        </w:rPr>
        <w:t>S</w:t>
      </w:r>
      <w:r w:rsidRPr="002D6014">
        <w:rPr>
          <w:rFonts w:cstheme="minorHAnsi"/>
        </w:rPr>
        <w:t>tates</w:t>
      </w:r>
      <w:r w:rsidR="00FA23EA" w:rsidRPr="002D6014">
        <w:rPr>
          <w:rFonts w:cstheme="minorHAnsi"/>
        </w:rPr>
        <w:t>,</w:t>
      </w:r>
      <w:r w:rsidRPr="002D6014">
        <w:rPr>
          <w:rFonts w:cstheme="minorHAnsi"/>
        </w:rPr>
        <w:t xml:space="preserve"> and territories have passed legislation prohibiting discri</w:t>
      </w:r>
      <w:r w:rsidR="00675973" w:rsidRPr="002D6014">
        <w:rPr>
          <w:rFonts w:cstheme="minorHAnsi"/>
        </w:rPr>
        <w:t xml:space="preserve">mination on a range of grounds.  </w:t>
      </w:r>
      <w:r w:rsidRPr="002D6014">
        <w:rPr>
          <w:rFonts w:cstheme="minorHAnsi"/>
        </w:rPr>
        <w:t>The anti-discrimination legislation does not purport to provide comprehensive protection for every human right articulated in the international human rights instruments. Rather, the legislation aims to promote equality of opportunity for everyone by providing protection from unfair discrimination in certain areas of public activity. The main process for remedying acts of unlawful discrimination is the compla</w:t>
      </w:r>
      <w:r w:rsidR="00675973" w:rsidRPr="002D6014">
        <w:rPr>
          <w:rFonts w:cstheme="minorHAnsi"/>
        </w:rPr>
        <w:t>int</w:t>
      </w:r>
      <w:r w:rsidR="00A84441" w:rsidRPr="002D6014">
        <w:rPr>
          <w:rFonts w:cstheme="minorHAnsi"/>
        </w:rPr>
        <w:t>s</w:t>
      </w:r>
      <w:r w:rsidR="00675973" w:rsidRPr="002D6014">
        <w:rPr>
          <w:rFonts w:cstheme="minorHAnsi"/>
        </w:rPr>
        <w:t xml:space="preserve"> process in the legislation.</w:t>
      </w:r>
    </w:p>
    <w:p w:rsidR="005A702E" w:rsidRPr="002D6014" w:rsidRDefault="006B559B" w:rsidP="00632BB9">
      <w:pPr>
        <w:pStyle w:val="Heading3"/>
      </w:pPr>
      <w:bookmarkStart w:id="8" w:name="_Toc448747752"/>
      <w:r w:rsidRPr="002D6014">
        <w:t xml:space="preserve">The </w:t>
      </w:r>
      <w:r w:rsidR="00FA23EA" w:rsidRPr="002D6014">
        <w:t>c</w:t>
      </w:r>
      <w:r w:rsidRPr="002D6014">
        <w:t xml:space="preserve">omplaints </w:t>
      </w:r>
      <w:r w:rsidR="00FA23EA" w:rsidRPr="002D6014">
        <w:t>p</w:t>
      </w:r>
      <w:r w:rsidRPr="002D6014">
        <w:t>rocess</w:t>
      </w:r>
      <w:bookmarkEnd w:id="8"/>
    </w:p>
    <w:p w:rsidR="005A702E" w:rsidRPr="002D6014" w:rsidRDefault="006B559B" w:rsidP="00675973">
      <w:pPr>
        <w:pStyle w:val="ListParagraph"/>
        <w:numPr>
          <w:ilvl w:val="0"/>
          <w:numId w:val="5"/>
        </w:numPr>
        <w:shd w:val="clear" w:color="auto" w:fill="FFFFFF"/>
        <w:tabs>
          <w:tab w:val="clear" w:pos="567"/>
        </w:tabs>
        <w:contextualSpacing w:val="0"/>
        <w:rPr>
          <w:rFonts w:cstheme="minorHAnsi"/>
        </w:rPr>
      </w:pPr>
      <w:r w:rsidRPr="002D6014">
        <w:rPr>
          <w:rFonts w:cstheme="minorHAnsi"/>
        </w:rPr>
        <w:t>The complaint</w:t>
      </w:r>
      <w:r w:rsidR="00B05BB7" w:rsidRPr="002D6014">
        <w:rPr>
          <w:rFonts w:cstheme="minorHAnsi"/>
        </w:rPr>
        <w:t>s</w:t>
      </w:r>
      <w:r w:rsidRPr="002D6014">
        <w:rPr>
          <w:rFonts w:cstheme="minorHAnsi"/>
        </w:rPr>
        <w:t xml:space="preserve"> process allows for individuals who believe they have been discriminated against on the prohibited grounds to make a co</w:t>
      </w:r>
      <w:r w:rsidR="001427FF" w:rsidRPr="002D6014">
        <w:rPr>
          <w:rFonts w:cstheme="minorHAnsi"/>
        </w:rPr>
        <w:t>mplaint to the relevant agency.</w:t>
      </w:r>
      <w:r w:rsidR="00675973" w:rsidRPr="002D6014">
        <w:rPr>
          <w:rFonts w:cstheme="minorHAnsi"/>
        </w:rPr>
        <w:t xml:space="preserve">  </w:t>
      </w:r>
      <w:r w:rsidRPr="002D6014">
        <w:rPr>
          <w:rFonts w:cstheme="minorHAnsi"/>
        </w:rPr>
        <w:t xml:space="preserve">At the conciliation stage there are numerous ways in which complaints may be resolved, including negotiating changes in processes or procedures, changes in work conditions, and the giving of an apology. Negotiations, where successful, may lead to beneficial outcomes for the individuals involved in the complaint. </w:t>
      </w:r>
      <w:r w:rsidR="00B05BB7" w:rsidRPr="002D6014">
        <w:rPr>
          <w:rFonts w:cstheme="minorHAnsi"/>
        </w:rPr>
        <w:t xml:space="preserve"> </w:t>
      </w:r>
      <w:r w:rsidRPr="002D6014">
        <w:rPr>
          <w:rFonts w:cstheme="minorHAnsi"/>
        </w:rPr>
        <w:t xml:space="preserve">However, the terms remain confidential and cannot serve as binding precedent, although de-identified information can be used for general educational purposes. </w:t>
      </w:r>
    </w:p>
    <w:p w:rsidR="005A702E" w:rsidRPr="002D6014" w:rsidRDefault="006B559B" w:rsidP="001427FF">
      <w:pPr>
        <w:pStyle w:val="ListParagraph"/>
        <w:numPr>
          <w:ilvl w:val="0"/>
          <w:numId w:val="5"/>
        </w:numPr>
        <w:shd w:val="clear" w:color="auto" w:fill="FFFFFF"/>
        <w:contextualSpacing w:val="0"/>
        <w:rPr>
          <w:rFonts w:cstheme="minorHAnsi"/>
        </w:rPr>
      </w:pPr>
      <w:r w:rsidRPr="002D6014">
        <w:rPr>
          <w:rFonts w:cstheme="minorHAnsi"/>
        </w:rPr>
        <w:t>Not all complaints can be successfully conciliated</w:t>
      </w:r>
      <w:r w:rsidR="00FA23EA" w:rsidRPr="002D6014">
        <w:rPr>
          <w:rFonts w:cstheme="minorHAnsi"/>
        </w:rPr>
        <w:t>,</w:t>
      </w:r>
      <w:r w:rsidRPr="002D6014">
        <w:rPr>
          <w:rFonts w:cstheme="minorHAnsi"/>
        </w:rPr>
        <w:t xml:space="preserve"> and some may ultimately proceed to a public hearing before a tribunal or court. The decisions can indirectly affect more individuals and organisations than those involved in the specific complaint. The broader public benefit of tribunal or court decisions is that it builds a body of case law that can illustrate the circumstances and parameters of unlawful discriminatory conduct. Unfortunately, developing a body of case law can be slow and cannot efficiently assist the development of larger systemic changes that may be necessary to comprehensively protect an individual's human rights.</w:t>
      </w:r>
    </w:p>
    <w:p w:rsidR="006B559B" w:rsidRPr="002D6014" w:rsidRDefault="006B559B" w:rsidP="005B2260">
      <w:pPr>
        <w:pStyle w:val="ListParagraph"/>
        <w:numPr>
          <w:ilvl w:val="0"/>
          <w:numId w:val="5"/>
        </w:numPr>
        <w:shd w:val="clear" w:color="auto" w:fill="FFFFFF"/>
        <w:rPr>
          <w:rFonts w:cstheme="minorHAnsi"/>
        </w:rPr>
      </w:pPr>
      <w:r w:rsidRPr="002D6014">
        <w:rPr>
          <w:rFonts w:cstheme="minorHAnsi"/>
        </w:rPr>
        <w:t>A complaints</w:t>
      </w:r>
      <w:r w:rsidR="009C544C" w:rsidRPr="002D6014">
        <w:rPr>
          <w:rFonts w:cstheme="minorHAnsi"/>
        </w:rPr>
        <w:t xml:space="preserve"> </w:t>
      </w:r>
      <w:r w:rsidRPr="002D6014">
        <w:rPr>
          <w:rFonts w:cstheme="minorHAnsi"/>
        </w:rPr>
        <w:t>based mechanism under existing discrimination legislation has an important</w:t>
      </w:r>
      <w:r w:rsidR="00FA23EA" w:rsidRPr="002D6014">
        <w:rPr>
          <w:rFonts w:cstheme="minorHAnsi"/>
        </w:rPr>
        <w:t>,</w:t>
      </w:r>
      <w:r w:rsidRPr="002D6014">
        <w:rPr>
          <w:rFonts w:cstheme="minorHAnsi"/>
        </w:rPr>
        <w:t xml:space="preserve"> but limited</w:t>
      </w:r>
      <w:r w:rsidR="00FA23EA" w:rsidRPr="002D6014">
        <w:rPr>
          <w:rFonts w:cstheme="minorHAnsi"/>
        </w:rPr>
        <w:t>,</w:t>
      </w:r>
      <w:r w:rsidRPr="002D6014">
        <w:rPr>
          <w:rFonts w:cstheme="minorHAnsi"/>
        </w:rPr>
        <w:t xml:space="preserve"> effectiveness in comprehensively protecting human rights. The complaints mechanism, while valuable in dealing with instances of unlawful discrimination, cannot be relied upon as the primary means of ensuring an individual’s human rights are comprehensively protected. </w:t>
      </w:r>
      <w:r w:rsidR="009C544C" w:rsidRPr="002D6014">
        <w:rPr>
          <w:rFonts w:cstheme="minorHAnsi"/>
        </w:rPr>
        <w:t xml:space="preserve"> </w:t>
      </w:r>
      <w:r w:rsidRPr="002D6014">
        <w:rPr>
          <w:rFonts w:cstheme="minorHAnsi"/>
        </w:rPr>
        <w:t>Comprehensive protection is best achieved through</w:t>
      </w:r>
      <w:r w:rsidR="00FF2878" w:rsidRPr="002D6014">
        <w:rPr>
          <w:rFonts w:cstheme="minorHAnsi"/>
        </w:rPr>
        <w:t xml:space="preserve"> the passing by </w:t>
      </w:r>
      <w:r w:rsidR="009C544C" w:rsidRPr="002D6014">
        <w:rPr>
          <w:rFonts w:cstheme="minorHAnsi"/>
        </w:rPr>
        <w:t>P</w:t>
      </w:r>
      <w:r w:rsidR="00FF2878" w:rsidRPr="002D6014">
        <w:rPr>
          <w:rFonts w:cstheme="minorHAnsi"/>
        </w:rPr>
        <w:t xml:space="preserve">arliament of </w:t>
      </w:r>
      <w:r w:rsidRPr="002D6014">
        <w:rPr>
          <w:rFonts w:cstheme="minorHAnsi"/>
        </w:rPr>
        <w:t>a</w:t>
      </w:r>
      <w:r w:rsidR="00FF2878" w:rsidRPr="002D6014">
        <w:rPr>
          <w:rFonts w:cstheme="minorHAnsi"/>
        </w:rPr>
        <w:t xml:space="preserve"> Human Rights Act</w:t>
      </w:r>
      <w:r w:rsidRPr="002D6014">
        <w:rPr>
          <w:rFonts w:cstheme="minorHAnsi"/>
        </w:rPr>
        <w:t xml:space="preserve">.  </w:t>
      </w:r>
      <w:r w:rsidR="00FF2878" w:rsidRPr="002D6014">
        <w:rPr>
          <w:rFonts w:cstheme="minorHAnsi"/>
        </w:rPr>
        <w:t>A</w:t>
      </w:r>
      <w:r w:rsidRPr="002D6014">
        <w:rPr>
          <w:rFonts w:cstheme="minorHAnsi"/>
        </w:rPr>
        <w:t xml:space="preserve"> complaint </w:t>
      </w:r>
      <w:r w:rsidR="003F2D0A" w:rsidRPr="002D6014">
        <w:rPr>
          <w:rFonts w:cstheme="minorHAnsi"/>
        </w:rPr>
        <w:t>process should</w:t>
      </w:r>
      <w:r w:rsidR="00FF2878" w:rsidRPr="002D6014">
        <w:rPr>
          <w:rFonts w:cstheme="minorHAnsi"/>
        </w:rPr>
        <w:t xml:space="preserve"> be </w:t>
      </w:r>
      <w:r w:rsidRPr="002D6014">
        <w:rPr>
          <w:rFonts w:cstheme="minorHAnsi"/>
        </w:rPr>
        <w:t xml:space="preserve">an important remedy under a </w:t>
      </w:r>
      <w:r w:rsidR="00FF2878" w:rsidRPr="002D6014">
        <w:rPr>
          <w:rFonts w:cstheme="minorHAnsi"/>
        </w:rPr>
        <w:t xml:space="preserve">Human Rights Act </w:t>
      </w:r>
      <w:r w:rsidRPr="002D6014">
        <w:rPr>
          <w:rFonts w:cstheme="minorHAnsi"/>
        </w:rPr>
        <w:t xml:space="preserve">to enable the rights to be enforced. The anti-discrimination legislation and processes </w:t>
      </w:r>
      <w:r w:rsidR="000A5221" w:rsidRPr="002D6014">
        <w:rPr>
          <w:rFonts w:cstheme="minorHAnsi"/>
        </w:rPr>
        <w:t xml:space="preserve">may </w:t>
      </w:r>
      <w:r w:rsidRPr="002D6014">
        <w:rPr>
          <w:rFonts w:cstheme="minorHAnsi"/>
        </w:rPr>
        <w:t>be an important component in the framework of remedies under a</w:t>
      </w:r>
      <w:r w:rsidR="00055B64" w:rsidRPr="002D6014">
        <w:rPr>
          <w:rFonts w:cstheme="minorHAnsi"/>
        </w:rPr>
        <w:t xml:space="preserve"> </w:t>
      </w:r>
      <w:r w:rsidR="00FF2878" w:rsidRPr="002D6014">
        <w:rPr>
          <w:rFonts w:cstheme="minorHAnsi"/>
        </w:rPr>
        <w:t>Human Rights Act</w:t>
      </w:r>
      <w:r w:rsidRPr="002D6014">
        <w:rPr>
          <w:rFonts w:cstheme="minorHAnsi"/>
        </w:rPr>
        <w:t xml:space="preserve">. </w:t>
      </w:r>
    </w:p>
    <w:p w:rsidR="00055B64" w:rsidRPr="002D6014" w:rsidRDefault="006B559B" w:rsidP="00632BB9">
      <w:pPr>
        <w:pStyle w:val="Heading3"/>
      </w:pPr>
      <w:bookmarkStart w:id="9" w:name="_Toc448747753"/>
      <w:r w:rsidRPr="002D6014">
        <w:t>Other processes within anti-discrimination laws</w:t>
      </w:r>
      <w:bookmarkEnd w:id="9"/>
      <w:r w:rsidRPr="002D6014">
        <w:t xml:space="preserve"> </w:t>
      </w:r>
    </w:p>
    <w:p w:rsidR="00241927" w:rsidRPr="002D6014" w:rsidRDefault="00B664E5" w:rsidP="006E3741">
      <w:pPr>
        <w:pStyle w:val="ListParagraph"/>
        <w:numPr>
          <w:ilvl w:val="0"/>
          <w:numId w:val="5"/>
        </w:numPr>
        <w:shd w:val="clear" w:color="auto" w:fill="FFFFFF"/>
        <w:spacing w:after="120"/>
        <w:contextualSpacing w:val="0"/>
        <w:rPr>
          <w:rFonts w:cstheme="minorHAnsi"/>
        </w:rPr>
      </w:pPr>
      <w:r w:rsidRPr="002D6014">
        <w:rPr>
          <w:rFonts w:cstheme="minorHAnsi"/>
        </w:rPr>
        <w:t>A</w:t>
      </w:r>
      <w:r w:rsidR="006B559B" w:rsidRPr="002D6014">
        <w:rPr>
          <w:rFonts w:cstheme="minorHAnsi"/>
        </w:rPr>
        <w:t>nti-discrimination laws also provide a limited range of mechanisms to protect human rights.</w:t>
      </w:r>
      <w:r w:rsidR="004C7391" w:rsidRPr="002D6014">
        <w:rPr>
          <w:rFonts w:cstheme="minorHAnsi"/>
        </w:rPr>
        <w:t xml:space="preserve"> For example, provisions exist </w:t>
      </w:r>
      <w:r w:rsidR="00FF2878" w:rsidRPr="002D6014">
        <w:rPr>
          <w:rFonts w:cstheme="minorHAnsi"/>
        </w:rPr>
        <w:t>under the</w:t>
      </w:r>
      <w:r w:rsidRPr="002D6014">
        <w:rPr>
          <w:rFonts w:cstheme="minorHAnsi"/>
        </w:rPr>
        <w:t xml:space="preserve"> Queensland</w:t>
      </w:r>
      <w:r w:rsidR="00FF2878" w:rsidRPr="002D6014">
        <w:rPr>
          <w:rFonts w:cstheme="minorHAnsi"/>
        </w:rPr>
        <w:t xml:space="preserve"> </w:t>
      </w:r>
      <w:r w:rsidR="00FF2878" w:rsidRPr="002D6014">
        <w:rPr>
          <w:rFonts w:cstheme="minorHAnsi"/>
          <w:i/>
        </w:rPr>
        <w:t>Anti- Discrimination Act 1991</w:t>
      </w:r>
      <w:r w:rsidR="00FF2878" w:rsidRPr="002D6014">
        <w:rPr>
          <w:rFonts w:cstheme="minorHAnsi"/>
        </w:rPr>
        <w:t xml:space="preserve"> </w:t>
      </w:r>
      <w:r w:rsidR="006B559B" w:rsidRPr="002D6014">
        <w:rPr>
          <w:rFonts w:cstheme="minorHAnsi"/>
        </w:rPr>
        <w:t xml:space="preserve">to permit the </w:t>
      </w:r>
      <w:r w:rsidR="00FF2878" w:rsidRPr="002D6014">
        <w:rPr>
          <w:rFonts w:cstheme="minorHAnsi"/>
        </w:rPr>
        <w:t xml:space="preserve">Anti-Discrimination </w:t>
      </w:r>
      <w:r w:rsidR="006B559B" w:rsidRPr="002D6014">
        <w:rPr>
          <w:rFonts w:cstheme="minorHAnsi"/>
        </w:rPr>
        <w:t>Commission</w:t>
      </w:r>
      <w:r w:rsidRPr="002D6014">
        <w:rPr>
          <w:rFonts w:cstheme="minorHAnsi"/>
        </w:rPr>
        <w:t xml:space="preserve"> to</w:t>
      </w:r>
      <w:r w:rsidR="006B559B" w:rsidRPr="002D6014">
        <w:rPr>
          <w:rFonts w:cstheme="minorHAnsi"/>
        </w:rPr>
        <w:t>:</w:t>
      </w:r>
    </w:p>
    <w:p w:rsidR="00241927" w:rsidRPr="002D6014" w:rsidRDefault="006B559B" w:rsidP="002D6014">
      <w:pPr>
        <w:pStyle w:val="ListParagraph"/>
        <w:numPr>
          <w:ilvl w:val="0"/>
          <w:numId w:val="34"/>
        </w:numPr>
        <w:tabs>
          <w:tab w:val="clear" w:pos="567"/>
        </w:tabs>
        <w:spacing w:after="120"/>
        <w:ind w:left="1135" w:hanging="284"/>
        <w:contextualSpacing w:val="0"/>
        <w:rPr>
          <w:rFonts w:cstheme="minorHAnsi"/>
        </w:rPr>
      </w:pPr>
      <w:r w:rsidRPr="002D6014">
        <w:rPr>
          <w:rFonts w:cstheme="minorHAnsi"/>
        </w:rPr>
        <w:t>intervene,</w:t>
      </w:r>
      <w:r w:rsidR="00B664E5" w:rsidRPr="002D6014">
        <w:rPr>
          <w:rFonts w:cstheme="minorHAnsi"/>
        </w:rPr>
        <w:t xml:space="preserve"> </w:t>
      </w:r>
      <w:r w:rsidRPr="002D6014">
        <w:rPr>
          <w:rFonts w:cstheme="minorHAnsi"/>
        </w:rPr>
        <w:t>with the leave of the court, where a proceeding involves human rights issues</w:t>
      </w:r>
      <w:r w:rsidR="00B664E5" w:rsidRPr="002D6014">
        <w:rPr>
          <w:rFonts w:cstheme="minorHAnsi"/>
        </w:rPr>
        <w:t>;</w:t>
      </w:r>
      <w:r w:rsidRPr="002D6014">
        <w:rPr>
          <w:rFonts w:cstheme="minorHAnsi"/>
        </w:rPr>
        <w:t xml:space="preserve"> </w:t>
      </w:r>
    </w:p>
    <w:p w:rsidR="00241927" w:rsidRPr="002D6014" w:rsidRDefault="006B559B" w:rsidP="002D6014">
      <w:pPr>
        <w:pStyle w:val="ListParagraph"/>
        <w:numPr>
          <w:ilvl w:val="0"/>
          <w:numId w:val="34"/>
        </w:numPr>
        <w:tabs>
          <w:tab w:val="clear" w:pos="567"/>
        </w:tabs>
        <w:spacing w:after="120"/>
        <w:ind w:left="1135" w:hanging="284"/>
        <w:contextualSpacing w:val="0"/>
        <w:rPr>
          <w:rFonts w:cstheme="minorHAnsi"/>
        </w:rPr>
      </w:pPr>
      <w:r w:rsidRPr="002D6014">
        <w:rPr>
          <w:rFonts w:cstheme="minorHAnsi"/>
        </w:rPr>
        <w:t>scrutinise legislation</w:t>
      </w:r>
      <w:r w:rsidR="00B664E5" w:rsidRPr="002D6014">
        <w:rPr>
          <w:rFonts w:cstheme="minorHAnsi"/>
        </w:rPr>
        <w:t xml:space="preserve">, </w:t>
      </w:r>
      <w:r w:rsidR="009C544C" w:rsidRPr="002D6014">
        <w:rPr>
          <w:rFonts w:cstheme="minorHAnsi"/>
        </w:rPr>
        <w:t xml:space="preserve">in </w:t>
      </w:r>
      <w:r w:rsidR="00B664E5" w:rsidRPr="002D6014">
        <w:rPr>
          <w:rFonts w:cstheme="minorHAnsi"/>
        </w:rPr>
        <w:t>limited circumstances;</w:t>
      </w:r>
    </w:p>
    <w:p w:rsidR="00241927" w:rsidRPr="002D6014" w:rsidRDefault="006B559B" w:rsidP="006E3741">
      <w:pPr>
        <w:pStyle w:val="ListParagraph"/>
        <w:numPr>
          <w:ilvl w:val="0"/>
          <w:numId w:val="34"/>
        </w:numPr>
        <w:tabs>
          <w:tab w:val="clear" w:pos="567"/>
        </w:tabs>
        <w:ind w:left="1134" w:hanging="283"/>
        <w:contextualSpacing w:val="0"/>
        <w:rPr>
          <w:rFonts w:cstheme="minorHAnsi"/>
        </w:rPr>
      </w:pPr>
      <w:proofErr w:type="gramStart"/>
      <w:r w:rsidRPr="002D6014">
        <w:rPr>
          <w:rFonts w:cstheme="minorHAnsi"/>
        </w:rPr>
        <w:t>conduct</w:t>
      </w:r>
      <w:proofErr w:type="gramEnd"/>
      <w:r w:rsidRPr="002D6014">
        <w:rPr>
          <w:rFonts w:cstheme="minorHAnsi"/>
        </w:rPr>
        <w:t xml:space="preserve"> inquiries</w:t>
      </w:r>
      <w:r w:rsidR="00B664E5" w:rsidRPr="002D6014">
        <w:rPr>
          <w:rFonts w:cstheme="minorHAnsi"/>
        </w:rPr>
        <w:t xml:space="preserve">, </w:t>
      </w:r>
      <w:r w:rsidR="009C544C" w:rsidRPr="002D6014">
        <w:rPr>
          <w:rFonts w:cstheme="minorHAnsi"/>
        </w:rPr>
        <w:t xml:space="preserve">in </w:t>
      </w:r>
      <w:r w:rsidR="00B664E5" w:rsidRPr="002D6014">
        <w:rPr>
          <w:rFonts w:cstheme="minorHAnsi"/>
        </w:rPr>
        <w:t>limited circumstances</w:t>
      </w:r>
      <w:r w:rsidRPr="002D6014">
        <w:rPr>
          <w:rFonts w:cstheme="minorHAnsi"/>
        </w:rPr>
        <w:t>.</w:t>
      </w:r>
    </w:p>
    <w:p w:rsidR="006B559B" w:rsidRPr="002D6014" w:rsidRDefault="006B559B" w:rsidP="005B2260">
      <w:pPr>
        <w:pStyle w:val="ListParagraph"/>
        <w:numPr>
          <w:ilvl w:val="0"/>
          <w:numId w:val="5"/>
        </w:numPr>
        <w:shd w:val="clear" w:color="auto" w:fill="FFFFFF"/>
        <w:tabs>
          <w:tab w:val="clear" w:pos="567"/>
        </w:tabs>
        <w:contextualSpacing w:val="0"/>
        <w:rPr>
          <w:rFonts w:cstheme="minorHAnsi"/>
        </w:rPr>
      </w:pPr>
      <w:r w:rsidRPr="002D6014">
        <w:rPr>
          <w:rFonts w:cstheme="minorHAnsi"/>
        </w:rPr>
        <w:t>To effectively protect human rights,</w:t>
      </w:r>
      <w:r w:rsidR="00FF2878" w:rsidRPr="002D6014">
        <w:rPr>
          <w:rFonts w:cstheme="minorHAnsi"/>
        </w:rPr>
        <w:t xml:space="preserve"> the </w:t>
      </w:r>
      <w:r w:rsidRPr="002D6014">
        <w:rPr>
          <w:rFonts w:cstheme="minorHAnsi"/>
        </w:rPr>
        <w:t xml:space="preserve">Commission </w:t>
      </w:r>
      <w:r w:rsidR="00FF2878" w:rsidRPr="002D6014">
        <w:rPr>
          <w:rFonts w:cstheme="minorHAnsi"/>
        </w:rPr>
        <w:t xml:space="preserve">ought to </w:t>
      </w:r>
      <w:r w:rsidRPr="002D6014">
        <w:rPr>
          <w:rFonts w:cstheme="minorHAnsi"/>
        </w:rPr>
        <w:t xml:space="preserve">be given </w:t>
      </w:r>
      <w:r w:rsidR="009C544C" w:rsidRPr="002D6014">
        <w:rPr>
          <w:rFonts w:cstheme="minorHAnsi"/>
        </w:rPr>
        <w:t xml:space="preserve">powers </w:t>
      </w:r>
      <w:r w:rsidRPr="002D6014">
        <w:rPr>
          <w:rFonts w:cstheme="minorHAnsi"/>
        </w:rPr>
        <w:t xml:space="preserve">to intervene in proceedings involving significant human rights issues, to scrutinise and </w:t>
      </w:r>
      <w:r w:rsidRPr="002D6014">
        <w:rPr>
          <w:rFonts w:cstheme="minorHAnsi"/>
        </w:rPr>
        <w:lastRenderedPageBreak/>
        <w:t>report on existing or proposed legislation, and to conduct inquiries on any matter affecting human rights within the Commission’s jurisdiction. The existence of a legislated human rights framework</w:t>
      </w:r>
      <w:r w:rsidR="00B664E5" w:rsidRPr="002D6014">
        <w:rPr>
          <w:rFonts w:cstheme="minorHAnsi"/>
        </w:rPr>
        <w:t>,</w:t>
      </w:r>
      <w:r w:rsidRPr="002D6014">
        <w:rPr>
          <w:rFonts w:cstheme="minorHAnsi"/>
        </w:rPr>
        <w:t xml:space="preserve"> such as a </w:t>
      </w:r>
      <w:r w:rsidR="00217A7D" w:rsidRPr="002D6014">
        <w:rPr>
          <w:rFonts w:cstheme="minorHAnsi"/>
        </w:rPr>
        <w:t>Human Rights Act</w:t>
      </w:r>
      <w:r w:rsidR="00B664E5" w:rsidRPr="002D6014">
        <w:rPr>
          <w:rFonts w:cstheme="minorHAnsi"/>
        </w:rPr>
        <w:t xml:space="preserve">, </w:t>
      </w:r>
      <w:r w:rsidRPr="002D6014">
        <w:rPr>
          <w:rFonts w:cstheme="minorHAnsi"/>
        </w:rPr>
        <w:t xml:space="preserve">would greatly facilitate the appropriate use of these powers, and the appropriate consideration by the legislature or the courts of any submissions made by a Commission pursuant to the powers. </w:t>
      </w:r>
    </w:p>
    <w:p w:rsidR="0076367A" w:rsidRPr="002D6014" w:rsidRDefault="00F15DD3" w:rsidP="005B2260">
      <w:pPr>
        <w:pStyle w:val="ListParagraph"/>
        <w:numPr>
          <w:ilvl w:val="0"/>
          <w:numId w:val="5"/>
        </w:numPr>
        <w:tabs>
          <w:tab w:val="clear" w:pos="567"/>
        </w:tabs>
        <w:contextualSpacing w:val="0"/>
        <w:rPr>
          <w:rFonts w:cstheme="minorHAnsi"/>
        </w:rPr>
      </w:pPr>
      <w:r w:rsidRPr="002D6014">
        <w:rPr>
          <w:rFonts w:cstheme="minorHAnsi"/>
        </w:rPr>
        <w:t xml:space="preserve">Improvements could be made to the </w:t>
      </w:r>
      <w:r w:rsidRPr="002D6014">
        <w:rPr>
          <w:rFonts w:cstheme="minorHAnsi"/>
          <w:i/>
        </w:rPr>
        <w:t>Anti-Discrimination Act</w:t>
      </w:r>
      <w:r w:rsidRPr="002D6014">
        <w:rPr>
          <w:rFonts w:cstheme="minorHAnsi"/>
        </w:rPr>
        <w:t xml:space="preserve"> </w:t>
      </w:r>
      <w:r w:rsidR="00DB3B5B" w:rsidRPr="002D6014">
        <w:rPr>
          <w:rFonts w:cstheme="minorHAnsi"/>
          <w:i/>
        </w:rPr>
        <w:t>1991</w:t>
      </w:r>
      <w:r w:rsidR="00DB3B5B" w:rsidRPr="002D6014">
        <w:rPr>
          <w:rFonts w:cstheme="minorHAnsi"/>
        </w:rPr>
        <w:t xml:space="preserve"> </w:t>
      </w:r>
      <w:r w:rsidRPr="002D6014">
        <w:rPr>
          <w:rFonts w:cstheme="minorHAnsi"/>
        </w:rPr>
        <w:t xml:space="preserve">which is now </w:t>
      </w:r>
      <w:r w:rsidR="00B664E5" w:rsidRPr="002D6014">
        <w:rPr>
          <w:rFonts w:cstheme="minorHAnsi"/>
        </w:rPr>
        <w:t xml:space="preserve">twenty-five </w:t>
      </w:r>
      <w:r w:rsidRPr="002D6014">
        <w:rPr>
          <w:rFonts w:cstheme="minorHAnsi"/>
        </w:rPr>
        <w:t xml:space="preserve">years old, to provide better protection from discrimination, sexual harassment, victimisation and vilification. The Commission has recommended the Act be referred for review by the </w:t>
      </w:r>
      <w:r w:rsidR="00B664E5" w:rsidRPr="002D6014">
        <w:rPr>
          <w:rFonts w:cstheme="minorHAnsi"/>
        </w:rPr>
        <w:t xml:space="preserve">Queensland </w:t>
      </w:r>
      <w:r w:rsidRPr="002D6014">
        <w:rPr>
          <w:rFonts w:cstheme="minorHAnsi"/>
        </w:rPr>
        <w:t xml:space="preserve">Law Reform Commission. </w:t>
      </w:r>
      <w:r w:rsidR="00BE29AB" w:rsidRPr="002D6014">
        <w:rPr>
          <w:rFonts w:cstheme="minorHAnsi"/>
        </w:rPr>
        <w:t>However, eve</w:t>
      </w:r>
      <w:r w:rsidR="000F4746" w:rsidRPr="002D6014">
        <w:rPr>
          <w:rFonts w:cstheme="minorHAnsi"/>
        </w:rPr>
        <w:t>n</w:t>
      </w:r>
      <w:r w:rsidRPr="002D6014">
        <w:rPr>
          <w:rFonts w:cstheme="minorHAnsi"/>
        </w:rPr>
        <w:t xml:space="preserve"> if the Act was reviewed to align it with contemporary discrimination legislation in other </w:t>
      </w:r>
      <w:r w:rsidR="00BE29AB" w:rsidRPr="002D6014">
        <w:rPr>
          <w:rFonts w:cstheme="minorHAnsi"/>
        </w:rPr>
        <w:t>jurisdictions</w:t>
      </w:r>
      <w:r w:rsidRPr="002D6014">
        <w:rPr>
          <w:rFonts w:cstheme="minorHAnsi"/>
        </w:rPr>
        <w:t>, it would not have the framework</w:t>
      </w:r>
      <w:r w:rsidR="00BE29AB" w:rsidRPr="002D6014">
        <w:rPr>
          <w:rFonts w:cstheme="minorHAnsi"/>
        </w:rPr>
        <w:t xml:space="preserve">, </w:t>
      </w:r>
      <w:r w:rsidRPr="002D6014">
        <w:rPr>
          <w:rFonts w:cstheme="minorHAnsi"/>
        </w:rPr>
        <w:t xml:space="preserve">breadth of </w:t>
      </w:r>
      <w:r w:rsidR="00AE3B39" w:rsidRPr="002D6014">
        <w:rPr>
          <w:rFonts w:cstheme="minorHAnsi"/>
        </w:rPr>
        <w:t>purpose,</w:t>
      </w:r>
      <w:r w:rsidR="00BE29AB" w:rsidRPr="002D6014">
        <w:rPr>
          <w:rFonts w:cstheme="minorHAnsi"/>
        </w:rPr>
        <w:t xml:space="preserve"> or ability to drive an </w:t>
      </w:r>
      <w:r w:rsidR="00055B64" w:rsidRPr="002D6014">
        <w:rPr>
          <w:rFonts w:cstheme="minorHAnsi"/>
        </w:rPr>
        <w:t>enhanced human</w:t>
      </w:r>
      <w:r w:rsidR="00BE29AB" w:rsidRPr="002D6014">
        <w:rPr>
          <w:rFonts w:cstheme="minorHAnsi"/>
        </w:rPr>
        <w:t xml:space="preserve"> rights culture in Queensland to the </w:t>
      </w:r>
      <w:r w:rsidR="00DB3B5B" w:rsidRPr="002D6014">
        <w:rPr>
          <w:rFonts w:cstheme="minorHAnsi"/>
        </w:rPr>
        <w:t>extent that</w:t>
      </w:r>
      <w:r w:rsidR="00BE29AB" w:rsidRPr="002D6014">
        <w:rPr>
          <w:rFonts w:cstheme="minorHAnsi"/>
        </w:rPr>
        <w:t xml:space="preserve"> a Human Rights Act could achieve.</w:t>
      </w:r>
      <w:r w:rsidRPr="002D6014">
        <w:rPr>
          <w:rFonts w:cstheme="minorHAnsi"/>
        </w:rPr>
        <w:t xml:space="preserve"> </w:t>
      </w:r>
    </w:p>
    <w:p w:rsidR="00867453" w:rsidRPr="002D6014" w:rsidRDefault="00867453" w:rsidP="008D45E2">
      <w:pPr>
        <w:pStyle w:val="Heading2"/>
      </w:pPr>
      <w:bookmarkStart w:id="10" w:name="_Toc448747754"/>
      <w:r w:rsidRPr="002D6014">
        <w:t>Other Queensland legislation</w:t>
      </w:r>
      <w:bookmarkEnd w:id="10"/>
    </w:p>
    <w:p w:rsidR="00867453" w:rsidRPr="000D3E76" w:rsidRDefault="00867453" w:rsidP="002D6014">
      <w:pPr>
        <w:pStyle w:val="PlainText"/>
        <w:numPr>
          <w:ilvl w:val="0"/>
          <w:numId w:val="5"/>
        </w:numPr>
        <w:spacing w:before="120" w:after="240"/>
      </w:pPr>
      <w:r w:rsidRPr="002D6014">
        <w:t xml:space="preserve">Some </w:t>
      </w:r>
      <w:r w:rsidR="000D3E76">
        <w:t xml:space="preserve">existing </w:t>
      </w:r>
      <w:r w:rsidRPr="000D3E76">
        <w:t xml:space="preserve">Queensland legislation </w:t>
      </w:r>
      <w:r w:rsidR="000D3E76">
        <w:t xml:space="preserve">specifically refers </w:t>
      </w:r>
      <w:r w:rsidR="00132A0D">
        <w:t>to</w:t>
      </w:r>
      <w:r w:rsidR="000D3E76">
        <w:t xml:space="preserve"> human rights</w:t>
      </w:r>
      <w:r w:rsidRPr="000D3E76">
        <w:t xml:space="preserve">.  For example, </w:t>
      </w:r>
      <w:r w:rsidR="006D5451" w:rsidRPr="000D3E76">
        <w:t xml:space="preserve">the </w:t>
      </w:r>
      <w:r w:rsidR="006D5451" w:rsidRPr="002D6014">
        <w:rPr>
          <w:i/>
        </w:rPr>
        <w:t>Mental Health Act</w:t>
      </w:r>
      <w:r w:rsidR="006D5451" w:rsidRPr="00D95D9E">
        <w:t xml:space="preserve"> and the </w:t>
      </w:r>
      <w:r w:rsidR="006D5451" w:rsidRPr="002D6014">
        <w:rPr>
          <w:i/>
        </w:rPr>
        <w:t>Guardianship and Administration Act</w:t>
      </w:r>
      <w:r w:rsidR="006D5451" w:rsidRPr="00D95D9E">
        <w:t xml:space="preserve"> both </w:t>
      </w:r>
      <w:r w:rsidR="002D07DA" w:rsidRPr="00D95D9E">
        <w:t xml:space="preserve">set out principles </w:t>
      </w:r>
      <w:r w:rsidR="006D5451" w:rsidRPr="000D3E76">
        <w:t xml:space="preserve">that must be applied in performing functions and exercising powers under those Acts.  The principles include </w:t>
      </w:r>
      <w:r w:rsidR="00433B9A">
        <w:t>‘</w:t>
      </w:r>
      <w:r w:rsidR="006D5451" w:rsidRPr="00433B9A">
        <w:t>the right of all persons to the same basic human rights to be recognised and taken into account</w:t>
      </w:r>
      <w:r w:rsidR="00433B9A">
        <w:t>’</w:t>
      </w:r>
      <w:r w:rsidR="006D5451" w:rsidRPr="00433B9A">
        <w:t xml:space="preserve">. </w:t>
      </w:r>
      <w:r w:rsidRPr="00433B9A">
        <w:t xml:space="preserve"> However ‘human rights’ or ‘basic human rights’ are not defined in </w:t>
      </w:r>
      <w:r w:rsidR="000D3E76">
        <w:t>those</w:t>
      </w:r>
      <w:r w:rsidRPr="00433B9A">
        <w:t xml:space="preserve"> Acts, </w:t>
      </w:r>
      <w:r w:rsidR="000D3E76">
        <w:t>or</w:t>
      </w:r>
      <w:r w:rsidRPr="00433B9A">
        <w:t xml:space="preserve"> </w:t>
      </w:r>
      <w:r w:rsidR="006D5451" w:rsidRPr="000D3E76">
        <w:t xml:space="preserve">in </w:t>
      </w:r>
      <w:r w:rsidRPr="000D3E76">
        <w:t xml:space="preserve">the </w:t>
      </w:r>
      <w:r w:rsidRPr="002D6014">
        <w:rPr>
          <w:i/>
        </w:rPr>
        <w:t>Acts Interpretation Act</w:t>
      </w:r>
      <w:r w:rsidRPr="00D95D9E">
        <w:t xml:space="preserve">.  </w:t>
      </w:r>
      <w:r w:rsidR="00132A0D">
        <w:t>So that public servants and others can comply with the principles, the human rights that must be taken into account should be clearly articulated</w:t>
      </w:r>
      <w:r w:rsidRPr="000D3E76">
        <w:t xml:space="preserve">.  </w:t>
      </w:r>
    </w:p>
    <w:p w:rsidR="00867453" w:rsidRPr="00132A0D" w:rsidRDefault="00132A0D" w:rsidP="002D6014">
      <w:pPr>
        <w:pStyle w:val="PlainText"/>
        <w:numPr>
          <w:ilvl w:val="0"/>
          <w:numId w:val="5"/>
        </w:numPr>
        <w:spacing w:before="120" w:after="240"/>
      </w:pPr>
      <w:r>
        <w:t xml:space="preserve">The most efficient way of spelling out what human rights means </w:t>
      </w:r>
      <w:r w:rsidR="00867453" w:rsidRPr="00132A0D">
        <w:t xml:space="preserve">is </w:t>
      </w:r>
      <w:r>
        <w:t>through</w:t>
      </w:r>
      <w:r w:rsidR="00867453" w:rsidRPr="00132A0D">
        <w:t xml:space="preserve"> a Human Rights Act</w:t>
      </w:r>
      <w:r w:rsidR="006D5451" w:rsidRPr="00132A0D">
        <w:t>.  It would</w:t>
      </w:r>
      <w:r w:rsidR="00867453" w:rsidRPr="00132A0D">
        <w:t xml:space="preserve"> </w:t>
      </w:r>
      <w:r w:rsidR="001C1C12">
        <w:t>define the standard</w:t>
      </w:r>
      <w:r w:rsidR="00867453" w:rsidRPr="00132A0D">
        <w:t xml:space="preserve"> for </w:t>
      </w:r>
      <w:r w:rsidR="00A17D75">
        <w:t>applying</w:t>
      </w:r>
      <w:r w:rsidR="006D5451" w:rsidRPr="00132A0D">
        <w:t xml:space="preserve"> laws, as well as </w:t>
      </w:r>
      <w:r w:rsidR="00A17D75">
        <w:t xml:space="preserve">for </w:t>
      </w:r>
      <w:r w:rsidR="00867453" w:rsidRPr="00132A0D">
        <w:t>making</w:t>
      </w:r>
      <w:r w:rsidR="006D5451" w:rsidRPr="00132A0D">
        <w:t xml:space="preserve"> and</w:t>
      </w:r>
      <w:r w:rsidR="00867453" w:rsidRPr="00132A0D">
        <w:t xml:space="preserve"> interpreting legislation</w:t>
      </w:r>
      <w:r w:rsidR="001C1C12">
        <w:t>, and promote a human rights culture.</w:t>
      </w:r>
    </w:p>
    <w:p w:rsidR="003244FB" w:rsidRPr="002D6014" w:rsidRDefault="00B664E5" w:rsidP="003F2D0A">
      <w:pPr>
        <w:pStyle w:val="Heading1"/>
      </w:pPr>
      <w:bookmarkStart w:id="11" w:name="_Toc448747755"/>
      <w:r w:rsidRPr="002D6014">
        <w:t>O</w:t>
      </w:r>
      <w:r w:rsidR="009B4F1A" w:rsidRPr="002D6014">
        <w:t xml:space="preserve">peration and effectiveness of human rights legislation </w:t>
      </w:r>
      <w:r w:rsidRPr="002D6014">
        <w:t>elsewhere</w:t>
      </w:r>
      <w:bookmarkEnd w:id="11"/>
      <w:r w:rsidRPr="002D6014">
        <w:t xml:space="preserve"> </w:t>
      </w:r>
    </w:p>
    <w:p w:rsidR="009E1CAA" w:rsidRPr="002D6014" w:rsidRDefault="003244FB" w:rsidP="00632BB9">
      <w:r w:rsidRPr="002D6014">
        <w:rPr>
          <w:b/>
        </w:rPr>
        <w:t>Terms of reference 2b: the operation and effectiveness of human rights legislation in Victoria, the Australian Capital Territory and by ordinary statute internationally.</w:t>
      </w:r>
    </w:p>
    <w:p w:rsidR="009B4F1A" w:rsidRPr="002D6014" w:rsidRDefault="009E1CAA" w:rsidP="003F2D0A">
      <w:pPr>
        <w:pStyle w:val="Heading2"/>
      </w:pPr>
      <w:bookmarkStart w:id="12" w:name="_Toc448747756"/>
      <w:r w:rsidRPr="002D6014">
        <w:t>Victoria and A</w:t>
      </w:r>
      <w:r w:rsidR="001977BD" w:rsidRPr="002D6014">
        <w:t xml:space="preserve">ustralian </w:t>
      </w:r>
      <w:r w:rsidRPr="002D6014">
        <w:t>C</w:t>
      </w:r>
      <w:r w:rsidR="001977BD" w:rsidRPr="002D6014">
        <w:t xml:space="preserve">apital </w:t>
      </w:r>
      <w:r w:rsidRPr="002D6014">
        <w:t>T</w:t>
      </w:r>
      <w:r w:rsidR="001977BD" w:rsidRPr="002D6014">
        <w:t>erritory</w:t>
      </w:r>
      <w:bookmarkEnd w:id="12"/>
    </w:p>
    <w:p w:rsidR="00B664E5" w:rsidRPr="002D6014" w:rsidRDefault="003244FB" w:rsidP="005B2260">
      <w:pPr>
        <w:pStyle w:val="ListParagraph"/>
        <w:numPr>
          <w:ilvl w:val="0"/>
          <w:numId w:val="5"/>
        </w:numPr>
        <w:tabs>
          <w:tab w:val="clear" w:pos="567"/>
        </w:tabs>
        <w:contextualSpacing w:val="0"/>
        <w:rPr>
          <w:rFonts w:cstheme="minorHAnsi"/>
        </w:rPr>
      </w:pPr>
      <w:r w:rsidRPr="002D6014">
        <w:rPr>
          <w:rFonts w:cstheme="minorHAnsi"/>
        </w:rPr>
        <w:t>Terms of reference 2b:</w:t>
      </w:r>
      <w:r w:rsidR="00A556D9" w:rsidRPr="002D6014">
        <w:rPr>
          <w:rFonts w:cstheme="minorHAnsi"/>
        </w:rPr>
        <w:t xml:space="preserve">The </w:t>
      </w:r>
      <w:r w:rsidR="00A556D9" w:rsidRPr="002D6014">
        <w:rPr>
          <w:rFonts w:cstheme="minorHAnsi"/>
          <w:i/>
        </w:rPr>
        <w:t xml:space="preserve">Human Rights Act 2004 </w:t>
      </w:r>
      <w:r w:rsidR="00A556D9" w:rsidRPr="002D6014">
        <w:rPr>
          <w:rFonts w:cstheme="minorHAnsi"/>
        </w:rPr>
        <w:t xml:space="preserve">(ACT) and the </w:t>
      </w:r>
      <w:r w:rsidR="00A556D9" w:rsidRPr="002D6014">
        <w:rPr>
          <w:rFonts w:cstheme="minorHAnsi"/>
          <w:i/>
        </w:rPr>
        <w:t>Charter of Human Rights and Responsibilities Act 2006</w:t>
      </w:r>
      <w:r w:rsidR="00B664E5" w:rsidRPr="002D6014">
        <w:rPr>
          <w:rFonts w:cstheme="minorHAnsi"/>
          <w:i/>
        </w:rPr>
        <w:t xml:space="preserve"> </w:t>
      </w:r>
      <w:r w:rsidR="00A556D9" w:rsidRPr="002D6014">
        <w:rPr>
          <w:rFonts w:cstheme="minorHAnsi"/>
        </w:rPr>
        <w:t xml:space="preserve">(Vic) are examples of the type of Human Rights Act that ought to be enacted in Queensland.  </w:t>
      </w:r>
      <w:r w:rsidR="003E4A9C" w:rsidRPr="002D6014">
        <w:rPr>
          <w:rFonts w:cstheme="minorHAnsi"/>
        </w:rPr>
        <w:t>The framework created by the</w:t>
      </w:r>
      <w:r w:rsidR="00B664E5" w:rsidRPr="002D6014">
        <w:rPr>
          <w:rFonts w:cstheme="minorHAnsi"/>
        </w:rPr>
        <w:t>se</w:t>
      </w:r>
      <w:r w:rsidR="003E4A9C" w:rsidRPr="002D6014">
        <w:rPr>
          <w:rFonts w:cstheme="minorHAnsi"/>
        </w:rPr>
        <w:t xml:space="preserve"> Acts is premised upon</w:t>
      </w:r>
    </w:p>
    <w:p w:rsidR="00A556D9" w:rsidRPr="002D6014" w:rsidRDefault="003E4A9C" w:rsidP="006E3741">
      <w:pPr>
        <w:pStyle w:val="ListParagraph"/>
        <w:tabs>
          <w:tab w:val="clear" w:pos="567"/>
        </w:tabs>
        <w:ind w:left="1134" w:right="1083"/>
        <w:contextualSpacing w:val="0"/>
        <w:rPr>
          <w:rFonts w:cstheme="minorHAnsi"/>
          <w:sz w:val="20"/>
          <w:szCs w:val="20"/>
        </w:rPr>
      </w:pPr>
      <w:r w:rsidRPr="002D6014">
        <w:rPr>
          <w:rFonts w:cstheme="minorHAnsi"/>
          <w:sz w:val="20"/>
          <w:szCs w:val="20"/>
        </w:rPr>
        <w:t xml:space="preserve">‘the shared conviction that there should be a dialogue </w:t>
      </w:r>
      <w:r w:rsidR="007445BE" w:rsidRPr="002D6014">
        <w:rPr>
          <w:rFonts w:cstheme="minorHAnsi"/>
          <w:sz w:val="20"/>
          <w:szCs w:val="20"/>
        </w:rPr>
        <w:t>between</w:t>
      </w:r>
      <w:r w:rsidRPr="002D6014">
        <w:rPr>
          <w:rFonts w:cstheme="minorHAnsi"/>
          <w:sz w:val="20"/>
          <w:szCs w:val="20"/>
        </w:rPr>
        <w:t xml:space="preserve"> the three arms of government, with parliament retaining its legislative supremacy, the courts </w:t>
      </w:r>
      <w:r w:rsidR="00653C5E" w:rsidRPr="002D6014">
        <w:rPr>
          <w:rFonts w:cstheme="minorHAnsi"/>
          <w:sz w:val="20"/>
          <w:szCs w:val="20"/>
        </w:rPr>
        <w:t xml:space="preserve">playing </w:t>
      </w:r>
      <w:r w:rsidRPr="002D6014">
        <w:rPr>
          <w:rFonts w:cstheme="minorHAnsi"/>
          <w:sz w:val="20"/>
          <w:szCs w:val="20"/>
        </w:rPr>
        <w:t>a subsidiary but important interpretive and declaratory rol</w:t>
      </w:r>
      <w:r w:rsidR="00354A43" w:rsidRPr="002D6014">
        <w:rPr>
          <w:rFonts w:cstheme="minorHAnsi"/>
          <w:sz w:val="20"/>
          <w:szCs w:val="20"/>
        </w:rPr>
        <w:t>e</w:t>
      </w:r>
      <w:r w:rsidRPr="002D6014">
        <w:rPr>
          <w:rFonts w:cstheme="minorHAnsi"/>
          <w:sz w:val="20"/>
          <w:szCs w:val="20"/>
        </w:rPr>
        <w:t xml:space="preserve">, </w:t>
      </w:r>
      <w:r w:rsidRPr="002D6014">
        <w:rPr>
          <w:rFonts w:cstheme="minorHAnsi"/>
          <w:sz w:val="20"/>
          <w:szCs w:val="20"/>
        </w:rPr>
        <w:lastRenderedPageBreak/>
        <w:t>and the executive facili</w:t>
      </w:r>
      <w:r w:rsidR="00354A43" w:rsidRPr="002D6014">
        <w:rPr>
          <w:rFonts w:cstheme="minorHAnsi"/>
          <w:sz w:val="20"/>
          <w:szCs w:val="20"/>
        </w:rPr>
        <w:t>ta</w:t>
      </w:r>
      <w:r w:rsidRPr="002D6014">
        <w:rPr>
          <w:rFonts w:cstheme="minorHAnsi"/>
          <w:sz w:val="20"/>
          <w:szCs w:val="20"/>
        </w:rPr>
        <w:t>ting the creation of a human rights culture across government’</w:t>
      </w:r>
      <w:r w:rsidR="00B664E5" w:rsidRPr="002D6014">
        <w:rPr>
          <w:rFonts w:cstheme="minorHAnsi"/>
          <w:sz w:val="20"/>
          <w:szCs w:val="20"/>
        </w:rPr>
        <w:t>.</w:t>
      </w:r>
      <w:r w:rsidRPr="002D6014">
        <w:rPr>
          <w:rStyle w:val="FootnoteReference"/>
          <w:rFonts w:cstheme="minorHAnsi"/>
          <w:sz w:val="20"/>
          <w:szCs w:val="20"/>
        </w:rPr>
        <w:footnoteReference w:id="23"/>
      </w:r>
    </w:p>
    <w:p w:rsidR="00CE2B22" w:rsidRPr="002D6014" w:rsidRDefault="003E4A9C" w:rsidP="005B2260">
      <w:pPr>
        <w:pStyle w:val="ListParagraph"/>
        <w:numPr>
          <w:ilvl w:val="0"/>
          <w:numId w:val="5"/>
        </w:numPr>
        <w:tabs>
          <w:tab w:val="clear" w:pos="567"/>
        </w:tabs>
        <w:contextualSpacing w:val="0"/>
        <w:rPr>
          <w:rFonts w:cstheme="minorHAnsi"/>
        </w:rPr>
      </w:pPr>
      <w:r w:rsidRPr="002D6014">
        <w:rPr>
          <w:rFonts w:cstheme="minorHAnsi"/>
        </w:rPr>
        <w:t>Professor George Williams</w:t>
      </w:r>
      <w:r w:rsidR="006E59B1" w:rsidRPr="002D6014">
        <w:rPr>
          <w:rFonts w:cstheme="minorHAnsi"/>
        </w:rPr>
        <w:t>,</w:t>
      </w:r>
      <w:r w:rsidR="005D366E" w:rsidRPr="002D6014">
        <w:rPr>
          <w:rFonts w:cstheme="minorHAnsi"/>
        </w:rPr>
        <w:t xml:space="preserve"> in his submission to this</w:t>
      </w:r>
      <w:r w:rsidRPr="002D6014">
        <w:rPr>
          <w:rFonts w:cstheme="minorHAnsi"/>
        </w:rPr>
        <w:t xml:space="preserve"> Inquiry</w:t>
      </w:r>
      <w:r w:rsidR="006E59B1" w:rsidRPr="002D6014">
        <w:rPr>
          <w:rFonts w:cstheme="minorHAnsi"/>
        </w:rPr>
        <w:t>,</w:t>
      </w:r>
      <w:r w:rsidRPr="002D6014">
        <w:rPr>
          <w:rFonts w:cstheme="minorHAnsi"/>
        </w:rPr>
        <w:t xml:space="preserve"> writes that recent reviews of each of the Acts reveal </w:t>
      </w:r>
      <w:r w:rsidR="00931D0B" w:rsidRPr="002D6014">
        <w:rPr>
          <w:rFonts w:cstheme="minorHAnsi"/>
        </w:rPr>
        <w:t xml:space="preserve">that they have each enjoyed </w:t>
      </w:r>
      <w:r w:rsidR="00640C27" w:rsidRPr="002D6014">
        <w:rPr>
          <w:rFonts w:cstheme="minorHAnsi"/>
        </w:rPr>
        <w:t xml:space="preserve">a good measure of success. </w:t>
      </w:r>
    </w:p>
    <w:p w:rsidR="00CE2B22" w:rsidRPr="002D6014" w:rsidRDefault="00CE2B22" w:rsidP="006D4282">
      <w:pPr>
        <w:pStyle w:val="ListParagraph"/>
        <w:numPr>
          <w:ilvl w:val="0"/>
          <w:numId w:val="5"/>
        </w:numPr>
        <w:autoSpaceDE w:val="0"/>
        <w:autoSpaceDN w:val="0"/>
        <w:adjustRightInd w:val="0"/>
        <w:spacing w:after="120"/>
        <w:contextualSpacing w:val="0"/>
        <w:rPr>
          <w:rFonts w:ascii="TimesNewRomanPSMT" w:hAnsi="TimesNewRomanPSMT" w:cs="TimesNewRomanPSMT"/>
        </w:rPr>
      </w:pPr>
      <w:r w:rsidRPr="002D6014">
        <w:rPr>
          <w:rFonts w:ascii="TimesNewRomanPSMT" w:hAnsi="TimesNewRomanPSMT" w:cs="TimesNewRomanPSMT"/>
        </w:rPr>
        <w:t>The first review of the ACT Act showed that:</w:t>
      </w:r>
    </w:p>
    <w:p w:rsidR="00CE2B22" w:rsidRPr="002D6014" w:rsidRDefault="009B1535" w:rsidP="006E3741">
      <w:pPr>
        <w:autoSpaceDE w:val="0"/>
        <w:autoSpaceDN w:val="0"/>
        <w:adjustRightInd w:val="0"/>
        <w:ind w:left="1134" w:right="1083"/>
        <w:rPr>
          <w:rFonts w:ascii="TimesNewRomanPSMT" w:hAnsi="TimesNewRomanPSMT" w:cs="TimesNewRomanPSMT"/>
        </w:rPr>
      </w:pPr>
      <w:r w:rsidRPr="002D6014">
        <w:rPr>
          <w:rFonts w:ascii="TimesNewRomanPSMT" w:hAnsi="TimesNewRomanPSMT" w:cs="TimesNewRomanPSMT"/>
          <w:sz w:val="20"/>
          <w:szCs w:val="20"/>
        </w:rPr>
        <w:t>‘</w:t>
      </w:r>
      <w:proofErr w:type="gramStart"/>
      <w:r w:rsidR="00CE2B22" w:rsidRPr="002D6014">
        <w:rPr>
          <w:rFonts w:ascii="TimesNewRomanPSMT" w:hAnsi="TimesNewRomanPSMT" w:cs="TimesNewRomanPSMT"/>
          <w:sz w:val="20"/>
          <w:szCs w:val="20"/>
        </w:rPr>
        <w:t>it</w:t>
      </w:r>
      <w:proofErr w:type="gramEnd"/>
      <w:r w:rsidR="00CE2B22" w:rsidRPr="002D6014">
        <w:rPr>
          <w:rFonts w:ascii="TimesNewRomanPSMT" w:hAnsi="TimesNewRomanPSMT" w:cs="TimesNewRomanPSMT"/>
          <w:sz w:val="20"/>
          <w:szCs w:val="20"/>
        </w:rPr>
        <w:t xml:space="preserve"> has had an impact particularly in such areas as the development and scrutiny of legislation. Emergency electro-convulsive therapy legislation, the use of children for tobacco test purchases, the wearing of headscarves at ACT schools, the banning of car window washers at traffic lights, sentencing laws, the exclusion from public employment of a person with a criminal record and counter-terrorism legislation have all been considered under the new human rights framework. A human rights audit of the ACT’s youth detention facility revealed the existence of many practices inconsistent with human rights including routine strip searches and the use of seclusion and surveillance. In the courts, the Act has not caused a flood of litigation. Nevertheless, it has been cited in a range of cases and has influenced their outcome.’</w:t>
      </w:r>
      <w:r w:rsidR="006E59B1" w:rsidRPr="002D6014">
        <w:rPr>
          <w:rFonts w:ascii="TimesNewRomanPSMT" w:hAnsi="TimesNewRomanPSMT" w:cs="TimesNewRomanPSMT"/>
          <w:sz w:val="20"/>
          <w:szCs w:val="20"/>
        </w:rPr>
        <w:t xml:space="preserve"> </w:t>
      </w:r>
      <w:r w:rsidR="00CE2B22" w:rsidRPr="002D6014">
        <w:rPr>
          <w:rStyle w:val="FootnoteReference"/>
          <w:rFonts w:ascii="TimesNewRomanPSMT" w:hAnsi="TimesNewRomanPSMT" w:cs="TimesNewRomanPSMT"/>
        </w:rPr>
        <w:footnoteReference w:id="24"/>
      </w:r>
    </w:p>
    <w:p w:rsidR="003E4A9C" w:rsidRPr="002D6014" w:rsidRDefault="000073F0" w:rsidP="006E3741">
      <w:pPr>
        <w:pStyle w:val="ListParagraph"/>
        <w:numPr>
          <w:ilvl w:val="0"/>
          <w:numId w:val="5"/>
        </w:numPr>
        <w:spacing w:after="120"/>
        <w:rPr>
          <w:rFonts w:cstheme="minorHAnsi"/>
        </w:rPr>
      </w:pPr>
      <w:r w:rsidRPr="002D6014">
        <w:rPr>
          <w:rFonts w:cstheme="minorHAnsi"/>
        </w:rPr>
        <w:t>T</w:t>
      </w:r>
      <w:r w:rsidR="00640C27" w:rsidRPr="002D6014">
        <w:rPr>
          <w:rFonts w:cstheme="minorHAnsi"/>
        </w:rPr>
        <w:t>he L</w:t>
      </w:r>
      <w:r w:rsidR="00931D0B" w:rsidRPr="002D6014">
        <w:rPr>
          <w:rFonts w:cstheme="minorHAnsi"/>
        </w:rPr>
        <w:t>aw Institute of Victoria</w:t>
      </w:r>
      <w:r w:rsidR="00ED244E" w:rsidRPr="002D6014">
        <w:rPr>
          <w:rFonts w:cstheme="minorHAnsi"/>
        </w:rPr>
        <w:t>,</w:t>
      </w:r>
      <w:r w:rsidR="00931D0B" w:rsidRPr="002D6014">
        <w:rPr>
          <w:rFonts w:cstheme="minorHAnsi"/>
        </w:rPr>
        <w:t xml:space="preserve"> in the 2015 review of the </w:t>
      </w:r>
      <w:r w:rsidR="00CE2B22" w:rsidRPr="002D6014">
        <w:rPr>
          <w:rFonts w:cstheme="minorHAnsi"/>
        </w:rPr>
        <w:t xml:space="preserve">Victorian </w:t>
      </w:r>
      <w:r w:rsidR="00931D0B" w:rsidRPr="002D6014">
        <w:rPr>
          <w:rFonts w:cstheme="minorHAnsi"/>
        </w:rPr>
        <w:t>Charter</w:t>
      </w:r>
      <w:r w:rsidR="00ED244E" w:rsidRPr="002D6014">
        <w:rPr>
          <w:rFonts w:cstheme="minorHAnsi"/>
        </w:rPr>
        <w:t>,</w:t>
      </w:r>
      <w:r w:rsidR="00931D0B" w:rsidRPr="002D6014">
        <w:rPr>
          <w:rFonts w:cstheme="minorHAnsi"/>
        </w:rPr>
        <w:t xml:space="preserve"> highlighted t</w:t>
      </w:r>
      <w:r w:rsidR="007445BE" w:rsidRPr="002D6014">
        <w:rPr>
          <w:rFonts w:cstheme="minorHAnsi"/>
        </w:rPr>
        <w:t>he</w:t>
      </w:r>
      <w:r w:rsidR="00931D0B" w:rsidRPr="002D6014">
        <w:rPr>
          <w:rFonts w:cstheme="minorHAnsi"/>
        </w:rPr>
        <w:t xml:space="preserve"> major benefits of the Act to date were that the Charter has:</w:t>
      </w:r>
    </w:p>
    <w:p w:rsidR="00931D0B" w:rsidRPr="002D6014" w:rsidRDefault="00931D0B" w:rsidP="006E3741">
      <w:pPr>
        <w:numPr>
          <w:ilvl w:val="0"/>
          <w:numId w:val="1"/>
        </w:numPr>
        <w:tabs>
          <w:tab w:val="clear" w:pos="567"/>
          <w:tab w:val="clear" w:pos="1080"/>
        </w:tabs>
        <w:spacing w:before="120" w:after="120"/>
        <w:ind w:left="1276" w:hanging="425"/>
        <w:jc w:val="both"/>
        <w:rPr>
          <w:rFonts w:cstheme="minorHAnsi"/>
        </w:rPr>
      </w:pPr>
      <w:r w:rsidRPr="002D6014">
        <w:rPr>
          <w:rFonts w:cstheme="minorHAnsi"/>
        </w:rPr>
        <w:t>shaped to law and policy development process</w:t>
      </w:r>
      <w:r w:rsidR="00ED244E" w:rsidRPr="002D6014">
        <w:rPr>
          <w:rFonts w:cstheme="minorHAnsi"/>
        </w:rPr>
        <w:t>;</w:t>
      </w:r>
    </w:p>
    <w:p w:rsidR="00931D0B" w:rsidRPr="002D6014" w:rsidRDefault="00931D0B" w:rsidP="006E3741">
      <w:pPr>
        <w:numPr>
          <w:ilvl w:val="0"/>
          <w:numId w:val="1"/>
        </w:numPr>
        <w:tabs>
          <w:tab w:val="clear" w:pos="567"/>
          <w:tab w:val="clear" w:pos="1080"/>
        </w:tabs>
        <w:spacing w:before="120" w:after="120"/>
        <w:ind w:left="1276" w:hanging="425"/>
        <w:jc w:val="both"/>
        <w:rPr>
          <w:rFonts w:cstheme="minorHAnsi"/>
        </w:rPr>
      </w:pPr>
      <w:r w:rsidRPr="002D6014">
        <w:rPr>
          <w:rFonts w:cstheme="minorHAnsi"/>
        </w:rPr>
        <w:t>ensured that Parliament takes human rights  into account when passing laws</w:t>
      </w:r>
      <w:r w:rsidR="00ED244E" w:rsidRPr="002D6014">
        <w:rPr>
          <w:rFonts w:cstheme="minorHAnsi"/>
        </w:rPr>
        <w:t>;</w:t>
      </w:r>
    </w:p>
    <w:p w:rsidR="00931D0B" w:rsidRPr="002D6014" w:rsidRDefault="00931D0B" w:rsidP="006E3741">
      <w:pPr>
        <w:numPr>
          <w:ilvl w:val="0"/>
          <w:numId w:val="1"/>
        </w:numPr>
        <w:tabs>
          <w:tab w:val="clear" w:pos="567"/>
          <w:tab w:val="clear" w:pos="1080"/>
        </w:tabs>
        <w:spacing w:before="120" w:after="120"/>
        <w:ind w:left="1276" w:hanging="425"/>
        <w:jc w:val="both"/>
        <w:rPr>
          <w:rFonts w:cstheme="minorHAnsi"/>
        </w:rPr>
      </w:pPr>
      <w:r w:rsidRPr="002D6014">
        <w:rPr>
          <w:rFonts w:cstheme="minorHAnsi"/>
        </w:rPr>
        <w:t>generated a greater awareness of human rights within public bodies</w:t>
      </w:r>
      <w:r w:rsidR="00ED244E" w:rsidRPr="002D6014">
        <w:rPr>
          <w:rFonts w:cstheme="minorHAnsi"/>
        </w:rPr>
        <w:t>;</w:t>
      </w:r>
    </w:p>
    <w:p w:rsidR="00931D0B" w:rsidRPr="002D6014" w:rsidRDefault="00931D0B" w:rsidP="006E3741">
      <w:pPr>
        <w:numPr>
          <w:ilvl w:val="0"/>
          <w:numId w:val="1"/>
        </w:numPr>
        <w:tabs>
          <w:tab w:val="clear" w:pos="567"/>
          <w:tab w:val="clear" w:pos="1080"/>
        </w:tabs>
        <w:spacing w:before="120" w:after="120"/>
        <w:ind w:left="1276" w:hanging="425"/>
        <w:jc w:val="both"/>
        <w:rPr>
          <w:rFonts w:cstheme="minorHAnsi"/>
        </w:rPr>
      </w:pPr>
      <w:r w:rsidRPr="002D6014">
        <w:rPr>
          <w:rFonts w:cstheme="minorHAnsi"/>
        </w:rPr>
        <w:t>improved decision making in public authorities</w:t>
      </w:r>
      <w:r w:rsidR="00ED244E" w:rsidRPr="002D6014">
        <w:rPr>
          <w:rFonts w:cstheme="minorHAnsi"/>
        </w:rPr>
        <w:t>;</w:t>
      </w:r>
    </w:p>
    <w:p w:rsidR="00931D0B" w:rsidRPr="002D6014" w:rsidRDefault="00931D0B" w:rsidP="006E3741">
      <w:pPr>
        <w:numPr>
          <w:ilvl w:val="0"/>
          <w:numId w:val="1"/>
        </w:numPr>
        <w:tabs>
          <w:tab w:val="clear" w:pos="567"/>
          <w:tab w:val="clear" w:pos="1080"/>
        </w:tabs>
        <w:spacing w:before="120" w:after="120"/>
        <w:ind w:left="1276" w:hanging="425"/>
        <w:jc w:val="both"/>
        <w:rPr>
          <w:rFonts w:cstheme="minorHAnsi"/>
        </w:rPr>
      </w:pPr>
      <w:r w:rsidRPr="002D6014">
        <w:rPr>
          <w:rFonts w:cstheme="minorHAnsi"/>
        </w:rPr>
        <w:t>been an important advocacy tool for people to use whose rights are at risk</w:t>
      </w:r>
      <w:r w:rsidR="00ED244E" w:rsidRPr="002D6014">
        <w:rPr>
          <w:rFonts w:cstheme="minorHAnsi"/>
        </w:rPr>
        <w:t>;</w:t>
      </w:r>
    </w:p>
    <w:p w:rsidR="00931D0B" w:rsidRPr="002D6014" w:rsidRDefault="00931D0B" w:rsidP="006E3741">
      <w:pPr>
        <w:numPr>
          <w:ilvl w:val="0"/>
          <w:numId w:val="1"/>
        </w:numPr>
        <w:tabs>
          <w:tab w:val="clear" w:pos="567"/>
          <w:tab w:val="clear" w:pos="1080"/>
        </w:tabs>
        <w:spacing w:before="120" w:after="120"/>
        <w:ind w:left="1276" w:hanging="425"/>
        <w:jc w:val="both"/>
        <w:rPr>
          <w:rFonts w:cstheme="minorHAnsi"/>
        </w:rPr>
      </w:pPr>
      <w:r w:rsidRPr="002D6014">
        <w:rPr>
          <w:rFonts w:cstheme="minorHAnsi"/>
        </w:rPr>
        <w:t>directed courts to interpret legislation compatibly with human rights</w:t>
      </w:r>
      <w:r w:rsidR="00ED244E" w:rsidRPr="002D6014">
        <w:rPr>
          <w:rFonts w:cstheme="minorHAnsi"/>
        </w:rPr>
        <w:t>; and</w:t>
      </w:r>
    </w:p>
    <w:p w:rsidR="00931D0B" w:rsidRPr="002D6014" w:rsidRDefault="00931D0B" w:rsidP="006E3741">
      <w:pPr>
        <w:numPr>
          <w:ilvl w:val="0"/>
          <w:numId w:val="1"/>
        </w:numPr>
        <w:tabs>
          <w:tab w:val="clear" w:pos="567"/>
          <w:tab w:val="clear" w:pos="1080"/>
        </w:tabs>
        <w:ind w:left="1276" w:hanging="425"/>
        <w:jc w:val="both"/>
        <w:rPr>
          <w:rFonts w:cstheme="minorHAnsi"/>
        </w:rPr>
      </w:pPr>
      <w:proofErr w:type="gramStart"/>
      <w:r w:rsidRPr="002D6014">
        <w:rPr>
          <w:rFonts w:cstheme="minorHAnsi"/>
        </w:rPr>
        <w:t>provided</w:t>
      </w:r>
      <w:proofErr w:type="gramEnd"/>
      <w:r w:rsidRPr="002D6014">
        <w:rPr>
          <w:rFonts w:cstheme="minorHAnsi"/>
        </w:rPr>
        <w:t xml:space="preserve"> remedies for individuals when their human </w:t>
      </w:r>
      <w:r w:rsidR="00793B9D" w:rsidRPr="002D6014">
        <w:rPr>
          <w:rFonts w:cstheme="minorHAnsi"/>
        </w:rPr>
        <w:t>rights</w:t>
      </w:r>
      <w:r w:rsidRPr="002D6014">
        <w:rPr>
          <w:rFonts w:cstheme="minorHAnsi"/>
        </w:rPr>
        <w:t xml:space="preserve"> have been breached.</w:t>
      </w:r>
      <w:r w:rsidRPr="002D6014">
        <w:rPr>
          <w:rStyle w:val="FootnoteReference"/>
          <w:rFonts w:ascii="TimesNewRomanPSMT" w:hAnsi="TimesNewRomanPSMT" w:cs="TimesNewRomanPSMT"/>
        </w:rPr>
        <w:footnoteReference w:id="25"/>
      </w:r>
    </w:p>
    <w:p w:rsidR="003E4A9C" w:rsidRPr="002D6014" w:rsidRDefault="00DB5D99" w:rsidP="006E3741">
      <w:pPr>
        <w:pStyle w:val="ListParagraph"/>
        <w:numPr>
          <w:ilvl w:val="0"/>
          <w:numId w:val="5"/>
        </w:numPr>
        <w:spacing w:after="120"/>
      </w:pPr>
      <w:r w:rsidRPr="002D6014">
        <w:t>Professor Williams</w:t>
      </w:r>
      <w:r w:rsidR="001977BD" w:rsidRPr="002D6014">
        <w:t>,</w:t>
      </w:r>
      <w:r w:rsidRPr="002D6014">
        <w:t xml:space="preserve"> in his submission</w:t>
      </w:r>
      <w:r w:rsidR="001977BD" w:rsidRPr="002D6014">
        <w:t>,</w:t>
      </w:r>
      <w:r w:rsidRPr="002D6014">
        <w:t xml:space="preserve"> has identified some improvements that could be made to </w:t>
      </w:r>
      <w:r w:rsidR="00504370" w:rsidRPr="002D6014">
        <w:t>overcome some deficiencies in the Victorian regime. In particular</w:t>
      </w:r>
      <w:r w:rsidR="001977BD" w:rsidRPr="002D6014">
        <w:t>,</w:t>
      </w:r>
      <w:r w:rsidR="00504370" w:rsidRPr="002D6014">
        <w:t xml:space="preserve"> he has recommended that if Queensland develops its own </w:t>
      </w:r>
      <w:r w:rsidR="001977BD" w:rsidRPr="002D6014">
        <w:t>H</w:t>
      </w:r>
      <w:r w:rsidR="00504370" w:rsidRPr="002D6014">
        <w:t xml:space="preserve">uman </w:t>
      </w:r>
      <w:r w:rsidR="001977BD" w:rsidRPr="002D6014">
        <w:t>R</w:t>
      </w:r>
      <w:r w:rsidR="00504370" w:rsidRPr="002D6014">
        <w:t xml:space="preserve">ights </w:t>
      </w:r>
      <w:r w:rsidR="001977BD" w:rsidRPr="002D6014">
        <w:t>A</w:t>
      </w:r>
      <w:r w:rsidR="00504370" w:rsidRPr="002D6014">
        <w:t>ct, it should:</w:t>
      </w:r>
    </w:p>
    <w:p w:rsidR="00504370" w:rsidRPr="002D6014" w:rsidRDefault="00504370" w:rsidP="006E3741">
      <w:pPr>
        <w:numPr>
          <w:ilvl w:val="0"/>
          <w:numId w:val="1"/>
        </w:numPr>
        <w:tabs>
          <w:tab w:val="clear" w:pos="567"/>
          <w:tab w:val="clear" w:pos="1080"/>
        </w:tabs>
        <w:spacing w:before="120" w:after="120"/>
        <w:ind w:left="1276" w:hanging="425"/>
        <w:jc w:val="both"/>
        <w:rPr>
          <w:rFonts w:cstheme="minorHAnsi"/>
        </w:rPr>
      </w:pPr>
      <w:r w:rsidRPr="002D6014">
        <w:rPr>
          <w:rFonts w:cstheme="minorHAnsi"/>
        </w:rPr>
        <w:t>provide a stand-alone cause of action</w:t>
      </w:r>
      <w:r w:rsidR="001977BD" w:rsidRPr="002D6014">
        <w:rPr>
          <w:rFonts w:cstheme="minorHAnsi"/>
        </w:rPr>
        <w:t>;</w:t>
      </w:r>
    </w:p>
    <w:p w:rsidR="00504370" w:rsidRPr="002D6014" w:rsidRDefault="00504370" w:rsidP="006E3741">
      <w:pPr>
        <w:numPr>
          <w:ilvl w:val="0"/>
          <w:numId w:val="1"/>
        </w:numPr>
        <w:tabs>
          <w:tab w:val="clear" w:pos="567"/>
          <w:tab w:val="clear" w:pos="1080"/>
        </w:tabs>
        <w:spacing w:before="120" w:after="120"/>
        <w:ind w:left="1276" w:hanging="425"/>
        <w:jc w:val="both"/>
        <w:rPr>
          <w:rFonts w:cstheme="minorHAnsi"/>
        </w:rPr>
      </w:pPr>
      <w:r w:rsidRPr="002D6014">
        <w:rPr>
          <w:rFonts w:cstheme="minorHAnsi"/>
        </w:rPr>
        <w:t>ensure that a parliamentary committee charged with a scrutiny function is so empowered to scrutinise all kinds of legislation, and is given enough time to do so; and</w:t>
      </w:r>
    </w:p>
    <w:p w:rsidR="00504370" w:rsidRPr="002D6014" w:rsidRDefault="00504370" w:rsidP="006E3741">
      <w:pPr>
        <w:numPr>
          <w:ilvl w:val="0"/>
          <w:numId w:val="1"/>
        </w:numPr>
        <w:tabs>
          <w:tab w:val="clear" w:pos="567"/>
          <w:tab w:val="clear" w:pos="1080"/>
        </w:tabs>
        <w:spacing w:before="120"/>
        <w:ind w:left="1276" w:hanging="425"/>
        <w:jc w:val="both"/>
        <w:rPr>
          <w:rFonts w:cstheme="minorHAnsi"/>
        </w:rPr>
      </w:pPr>
      <w:proofErr w:type="gramStart"/>
      <w:r w:rsidRPr="002D6014">
        <w:rPr>
          <w:rFonts w:cstheme="minorHAnsi"/>
        </w:rPr>
        <w:t>contain</w:t>
      </w:r>
      <w:proofErr w:type="gramEnd"/>
      <w:r w:rsidRPr="002D6014">
        <w:rPr>
          <w:rFonts w:cstheme="minorHAnsi"/>
        </w:rPr>
        <w:t xml:space="preserve"> a clear judicial interpretive provision.</w:t>
      </w:r>
    </w:p>
    <w:p w:rsidR="000073F0" w:rsidRPr="002D6014" w:rsidRDefault="000073F0" w:rsidP="003F2D0A">
      <w:pPr>
        <w:pStyle w:val="Heading2"/>
      </w:pPr>
      <w:bookmarkStart w:id="13" w:name="_Toc448747757"/>
      <w:r w:rsidRPr="002D6014">
        <w:lastRenderedPageBreak/>
        <w:t>U</w:t>
      </w:r>
      <w:r w:rsidR="001977BD" w:rsidRPr="002D6014">
        <w:t xml:space="preserve">nited </w:t>
      </w:r>
      <w:r w:rsidRPr="002D6014">
        <w:t>K</w:t>
      </w:r>
      <w:r w:rsidR="001977BD" w:rsidRPr="002D6014">
        <w:t>ingdom</w:t>
      </w:r>
      <w:r w:rsidRPr="002D6014">
        <w:t xml:space="preserve"> Human Rights Act</w:t>
      </w:r>
      <w:bookmarkEnd w:id="13"/>
    </w:p>
    <w:p w:rsidR="000073F0" w:rsidRPr="002D6014" w:rsidRDefault="000073F0" w:rsidP="001427FF">
      <w:pPr>
        <w:pStyle w:val="ListParagraph"/>
        <w:numPr>
          <w:ilvl w:val="0"/>
          <w:numId w:val="5"/>
        </w:numPr>
        <w:autoSpaceDE w:val="0"/>
        <w:autoSpaceDN w:val="0"/>
        <w:adjustRightInd w:val="0"/>
        <w:contextualSpacing w:val="0"/>
        <w:rPr>
          <w:rFonts w:cstheme="minorHAnsi"/>
          <w:i/>
          <w:iCs/>
        </w:rPr>
      </w:pPr>
      <w:r w:rsidRPr="002D6014">
        <w:rPr>
          <w:rFonts w:cstheme="minorHAnsi"/>
        </w:rPr>
        <w:t xml:space="preserve">Human rights legislation was enacted in the United Kingdom in 1998. The </w:t>
      </w:r>
      <w:r w:rsidRPr="002D6014">
        <w:rPr>
          <w:rFonts w:cstheme="minorHAnsi"/>
          <w:i/>
          <w:iCs/>
        </w:rPr>
        <w:t xml:space="preserve">Human Rights Act 1998 </w:t>
      </w:r>
      <w:r w:rsidRPr="002D6014">
        <w:rPr>
          <w:rFonts w:cstheme="minorHAnsi"/>
        </w:rPr>
        <w:t>(UK) is an ordinary statute that can be amended or repealed by the British Parliament at any time.</w:t>
      </w:r>
    </w:p>
    <w:p w:rsidR="000073F0" w:rsidRPr="002D6014" w:rsidRDefault="007B45AA" w:rsidP="004902F3">
      <w:pPr>
        <w:pStyle w:val="ListParagraph"/>
        <w:numPr>
          <w:ilvl w:val="0"/>
          <w:numId w:val="5"/>
        </w:numPr>
        <w:autoSpaceDE w:val="0"/>
        <w:autoSpaceDN w:val="0"/>
        <w:adjustRightInd w:val="0"/>
        <w:spacing w:after="120"/>
        <w:contextualSpacing w:val="0"/>
        <w:rPr>
          <w:rFonts w:cstheme="minorHAnsi"/>
          <w:i/>
          <w:iCs/>
        </w:rPr>
      </w:pPr>
      <w:r w:rsidRPr="002D6014">
        <w:rPr>
          <w:rFonts w:cstheme="minorHAnsi"/>
        </w:rPr>
        <w:t>Under t</w:t>
      </w:r>
      <w:r w:rsidR="000073F0" w:rsidRPr="002D6014">
        <w:rPr>
          <w:rFonts w:cstheme="minorHAnsi"/>
        </w:rPr>
        <w:t>he United Kingdom Act:</w:t>
      </w:r>
    </w:p>
    <w:p w:rsidR="007B45AA" w:rsidRPr="002D6014" w:rsidRDefault="007B45AA" w:rsidP="004902F3">
      <w:pPr>
        <w:numPr>
          <w:ilvl w:val="0"/>
          <w:numId w:val="1"/>
        </w:numPr>
        <w:tabs>
          <w:tab w:val="clear" w:pos="567"/>
          <w:tab w:val="clear" w:pos="1080"/>
        </w:tabs>
        <w:spacing w:before="120" w:after="120"/>
        <w:ind w:left="1276" w:hanging="425"/>
        <w:jc w:val="both"/>
        <w:rPr>
          <w:rFonts w:cstheme="minorHAnsi"/>
        </w:rPr>
      </w:pPr>
      <w:r w:rsidRPr="002D6014">
        <w:rPr>
          <w:rFonts w:ascii="TimesNewRomanPSMT" w:hAnsi="TimesNewRomanPSMT" w:cs="TimesNewRomanPSMT"/>
        </w:rPr>
        <w:t xml:space="preserve">The rights protected are those in the </w:t>
      </w:r>
      <w:r w:rsidRPr="002D6014">
        <w:rPr>
          <w:rFonts w:ascii="TimesNewRomanPS-ItalicMT" w:hAnsi="TimesNewRomanPS-ItalicMT" w:cs="TimesNewRomanPS-ItalicMT"/>
          <w:i/>
          <w:iCs/>
        </w:rPr>
        <w:t>European Convention on Human Rights</w:t>
      </w:r>
      <w:r w:rsidRPr="002D6014">
        <w:rPr>
          <w:rFonts w:ascii="TimesNewRomanPSMT" w:hAnsi="TimesNewRomanPSMT" w:cs="TimesNewRomanPSMT"/>
        </w:rPr>
        <w:t>. The focus is on civil and political rights</w:t>
      </w:r>
      <w:r w:rsidR="001977BD" w:rsidRPr="002D6014">
        <w:rPr>
          <w:rFonts w:ascii="TimesNewRomanPSMT" w:hAnsi="TimesNewRomanPSMT" w:cs="TimesNewRomanPSMT"/>
        </w:rPr>
        <w:t>,</w:t>
      </w:r>
      <w:r w:rsidRPr="002D6014">
        <w:rPr>
          <w:rFonts w:ascii="TimesNewRomanPSMT" w:hAnsi="TimesNewRomanPSMT" w:cs="TimesNewRomanPSMT"/>
        </w:rPr>
        <w:t xml:space="preserve"> but some economic, social and cultural rights, such as the right to property and the right to education, are also included.</w:t>
      </w:r>
    </w:p>
    <w:p w:rsidR="000073F0" w:rsidRPr="002D6014" w:rsidRDefault="007B45AA" w:rsidP="004902F3">
      <w:pPr>
        <w:numPr>
          <w:ilvl w:val="0"/>
          <w:numId w:val="1"/>
        </w:numPr>
        <w:tabs>
          <w:tab w:val="clear" w:pos="567"/>
          <w:tab w:val="clear" w:pos="1080"/>
        </w:tabs>
        <w:spacing w:before="120" w:after="120"/>
        <w:ind w:left="1276" w:hanging="425"/>
        <w:jc w:val="both"/>
        <w:rPr>
          <w:rFonts w:cstheme="minorHAnsi"/>
        </w:rPr>
      </w:pPr>
      <w:r w:rsidRPr="002D6014">
        <w:rPr>
          <w:rFonts w:ascii="TimesNewRomanPSMT" w:hAnsi="TimesNewRomanPSMT" w:cs="TimesNewRomanPSMT"/>
        </w:rPr>
        <w:t xml:space="preserve">All public authorities, </w:t>
      </w:r>
      <w:r w:rsidRPr="002D6014">
        <w:rPr>
          <w:rFonts w:cstheme="minorHAnsi"/>
        </w:rPr>
        <w:t>including</w:t>
      </w:r>
      <w:r w:rsidRPr="002D6014">
        <w:rPr>
          <w:rFonts w:ascii="TimesNewRomanPSMT" w:hAnsi="TimesNewRomanPSMT" w:cs="TimesNewRomanPSMT"/>
        </w:rPr>
        <w:t xml:space="preserve"> courts and tribunals but excluding Parliament, must act in a manner that is compatible with the </w:t>
      </w:r>
      <w:r w:rsidRPr="002D6014">
        <w:rPr>
          <w:rFonts w:ascii="TimesNewRomanPS-ItalicMT" w:hAnsi="TimesNewRomanPS-ItalicMT" w:cs="TimesNewRomanPS-ItalicMT"/>
          <w:i/>
          <w:iCs/>
        </w:rPr>
        <w:t>European Convention</w:t>
      </w:r>
      <w:r w:rsidRPr="002D6014">
        <w:rPr>
          <w:rFonts w:ascii="TimesNewRomanPSMT" w:hAnsi="TimesNewRomanPSMT" w:cs="TimesNewRomanPSMT"/>
        </w:rPr>
        <w:t>.</w:t>
      </w:r>
    </w:p>
    <w:p w:rsidR="007B45AA" w:rsidRPr="002D6014" w:rsidRDefault="007B45AA" w:rsidP="004902F3">
      <w:pPr>
        <w:numPr>
          <w:ilvl w:val="0"/>
          <w:numId w:val="1"/>
        </w:numPr>
        <w:tabs>
          <w:tab w:val="clear" w:pos="567"/>
          <w:tab w:val="clear" w:pos="1080"/>
        </w:tabs>
        <w:spacing w:before="120" w:after="120"/>
        <w:ind w:left="1276" w:hanging="425"/>
        <w:jc w:val="both"/>
        <w:rPr>
          <w:rFonts w:cstheme="minorHAnsi"/>
        </w:rPr>
      </w:pPr>
      <w:r w:rsidRPr="002D6014">
        <w:rPr>
          <w:rFonts w:cstheme="minorHAnsi"/>
        </w:rPr>
        <w:t xml:space="preserve">Courts are required to interpret and give effect to legislation in a manner that, as far as possible, is compatible with the </w:t>
      </w:r>
      <w:r w:rsidRPr="002D6014">
        <w:rPr>
          <w:rFonts w:cstheme="minorHAnsi"/>
          <w:i/>
        </w:rPr>
        <w:t>European Convention on Human Rights</w:t>
      </w:r>
      <w:r w:rsidR="001977BD" w:rsidRPr="002D6014">
        <w:rPr>
          <w:rFonts w:cstheme="minorHAnsi"/>
          <w:i/>
        </w:rPr>
        <w:t>.</w:t>
      </w:r>
    </w:p>
    <w:p w:rsidR="007B45AA" w:rsidRPr="002D6014" w:rsidRDefault="007B45AA" w:rsidP="004902F3">
      <w:pPr>
        <w:numPr>
          <w:ilvl w:val="0"/>
          <w:numId w:val="1"/>
        </w:numPr>
        <w:tabs>
          <w:tab w:val="clear" w:pos="567"/>
          <w:tab w:val="clear" w:pos="1080"/>
        </w:tabs>
        <w:spacing w:before="120" w:after="120"/>
        <w:ind w:left="1276" w:hanging="425"/>
        <w:jc w:val="both"/>
        <w:rPr>
          <w:rFonts w:cstheme="minorHAnsi"/>
        </w:rPr>
      </w:pPr>
      <w:r w:rsidRPr="002D6014">
        <w:rPr>
          <w:rFonts w:cstheme="minorHAnsi"/>
        </w:rPr>
        <w:t>Courts have the power to declare legislation incompatible with the Convention but they have no power to invalidate primary legislation</w:t>
      </w:r>
      <w:r w:rsidR="001977BD" w:rsidRPr="002D6014">
        <w:rPr>
          <w:rFonts w:cstheme="minorHAnsi"/>
        </w:rPr>
        <w:t>,</w:t>
      </w:r>
      <w:r w:rsidRPr="002D6014">
        <w:rPr>
          <w:rFonts w:cstheme="minorHAnsi"/>
        </w:rPr>
        <w:t xml:space="preserve"> though they may invalidate subordinate legislation</w:t>
      </w:r>
      <w:r w:rsidR="001977BD" w:rsidRPr="002D6014">
        <w:rPr>
          <w:rFonts w:cstheme="minorHAnsi"/>
        </w:rPr>
        <w:t>,</w:t>
      </w:r>
      <w:r w:rsidRPr="002D6014">
        <w:rPr>
          <w:rFonts w:cstheme="minorHAnsi"/>
        </w:rPr>
        <w:t xml:space="preserve"> such as regulations.</w:t>
      </w:r>
    </w:p>
    <w:p w:rsidR="007B45AA" w:rsidRPr="002D6014" w:rsidRDefault="007B45AA" w:rsidP="004902F3">
      <w:pPr>
        <w:numPr>
          <w:ilvl w:val="0"/>
          <w:numId w:val="1"/>
        </w:numPr>
        <w:tabs>
          <w:tab w:val="clear" w:pos="567"/>
          <w:tab w:val="clear" w:pos="1080"/>
        </w:tabs>
        <w:spacing w:before="120"/>
        <w:ind w:left="1276" w:hanging="425"/>
        <w:jc w:val="both"/>
        <w:rPr>
          <w:rFonts w:cstheme="minorHAnsi"/>
        </w:rPr>
      </w:pPr>
      <w:r w:rsidRPr="002D6014">
        <w:rPr>
          <w:rFonts w:cstheme="minorHAnsi"/>
        </w:rPr>
        <w:t xml:space="preserve">When legislation is introduced into </w:t>
      </w:r>
      <w:r w:rsidR="001977BD" w:rsidRPr="002D6014">
        <w:rPr>
          <w:rFonts w:cstheme="minorHAnsi"/>
        </w:rPr>
        <w:t>p</w:t>
      </w:r>
      <w:r w:rsidRPr="002D6014">
        <w:rPr>
          <w:rFonts w:cstheme="minorHAnsi"/>
        </w:rPr>
        <w:t>arliament, the relevant Minister must make a statement about its compatibility with Convention rights.</w:t>
      </w:r>
    </w:p>
    <w:p w:rsidR="000073F0" w:rsidRPr="002D6014" w:rsidRDefault="007B45AA" w:rsidP="004902F3">
      <w:pPr>
        <w:pStyle w:val="ListParagraph"/>
        <w:numPr>
          <w:ilvl w:val="0"/>
          <w:numId w:val="5"/>
        </w:numPr>
        <w:autoSpaceDE w:val="0"/>
        <w:autoSpaceDN w:val="0"/>
        <w:adjustRightInd w:val="0"/>
        <w:spacing w:after="120"/>
        <w:contextualSpacing w:val="0"/>
        <w:rPr>
          <w:rFonts w:cstheme="minorHAnsi"/>
        </w:rPr>
      </w:pPr>
      <w:r w:rsidRPr="002D6014">
        <w:rPr>
          <w:rFonts w:cstheme="minorHAnsi"/>
        </w:rPr>
        <w:t xml:space="preserve">The </w:t>
      </w:r>
      <w:r w:rsidR="000073F0" w:rsidRPr="002D6014">
        <w:rPr>
          <w:rFonts w:cstheme="minorHAnsi"/>
        </w:rPr>
        <w:t xml:space="preserve">implementation of the </w:t>
      </w:r>
      <w:r w:rsidR="000073F0" w:rsidRPr="002D6014">
        <w:rPr>
          <w:rFonts w:cstheme="minorHAnsi"/>
          <w:i/>
          <w:iCs/>
        </w:rPr>
        <w:t xml:space="preserve">Human Rights </w:t>
      </w:r>
      <w:proofErr w:type="gramStart"/>
      <w:r w:rsidR="000073F0" w:rsidRPr="002D6014">
        <w:rPr>
          <w:rFonts w:cstheme="minorHAnsi"/>
          <w:i/>
          <w:iCs/>
        </w:rPr>
        <w:t>Act</w:t>
      </w:r>
      <w:r w:rsidR="000073F0" w:rsidRPr="002D6014">
        <w:rPr>
          <w:rFonts w:cstheme="minorHAnsi"/>
        </w:rPr>
        <w:t>,</w:t>
      </w:r>
      <w:proofErr w:type="gramEnd"/>
      <w:r w:rsidR="000073F0" w:rsidRPr="002D6014">
        <w:rPr>
          <w:rFonts w:cstheme="minorHAnsi"/>
        </w:rPr>
        <w:t xml:space="preserve"> has had a considerable impact on the case law and legal culture of the United Kingdom. Commenting on that impact two years after the Act came into operation</w:t>
      </w:r>
      <w:r w:rsidR="001977BD" w:rsidRPr="002D6014">
        <w:rPr>
          <w:rFonts w:cstheme="minorHAnsi"/>
        </w:rPr>
        <w:t>,</w:t>
      </w:r>
      <w:r w:rsidR="000073F0" w:rsidRPr="002D6014">
        <w:rPr>
          <w:rFonts w:cstheme="minorHAnsi"/>
        </w:rPr>
        <w:t xml:space="preserve"> the Lord Chancellor said:</w:t>
      </w:r>
    </w:p>
    <w:p w:rsidR="000073F0" w:rsidRPr="002D6014" w:rsidRDefault="000073F0" w:rsidP="004902F3">
      <w:pPr>
        <w:tabs>
          <w:tab w:val="clear" w:pos="567"/>
        </w:tabs>
        <w:autoSpaceDE w:val="0"/>
        <w:autoSpaceDN w:val="0"/>
        <w:adjustRightInd w:val="0"/>
        <w:ind w:left="1134" w:right="1083"/>
        <w:rPr>
          <w:rFonts w:cstheme="minorHAnsi"/>
        </w:rPr>
      </w:pPr>
      <w:r w:rsidRPr="002D6014">
        <w:rPr>
          <w:rFonts w:cstheme="minorHAnsi"/>
          <w:sz w:val="20"/>
          <w:szCs w:val="20"/>
        </w:rPr>
        <w:t>‘The Act represents one small manageable step for our Courts; but it is a major leap for our constitution and our culture. It has transformed our system of law into one of positive rights, responsibilities and freedoms, where before we had the freedom to do what was not prohibited. … [I]t has moved public decision-making in this country up a gear, by harnessing it to a set of fundamental standards. And it has breathed new life into the relationship between Parliament, Government and the Judiciary, so that all three are working together to ensure that a culture of respect for human rights becomes embedded across the whole of our society.’</w:t>
      </w:r>
      <w:r w:rsidRPr="002D6014">
        <w:rPr>
          <w:rStyle w:val="FootnoteReference"/>
          <w:rFonts w:cstheme="minorHAnsi"/>
        </w:rPr>
        <w:footnoteReference w:id="26"/>
      </w:r>
    </w:p>
    <w:p w:rsidR="000073F0" w:rsidRPr="002D6014" w:rsidRDefault="00DB3B5B" w:rsidP="003F2D0A">
      <w:pPr>
        <w:pStyle w:val="Heading2"/>
      </w:pPr>
      <w:bookmarkStart w:id="14" w:name="_Toc448747758"/>
      <w:r w:rsidRPr="002D6014">
        <w:t>N</w:t>
      </w:r>
      <w:r w:rsidR="00945147" w:rsidRPr="002D6014">
        <w:t xml:space="preserve">ew </w:t>
      </w:r>
      <w:r w:rsidRPr="002D6014">
        <w:t>Z</w:t>
      </w:r>
      <w:r w:rsidR="00945147" w:rsidRPr="002D6014">
        <w:t>ealand</w:t>
      </w:r>
      <w:r w:rsidRPr="002D6014">
        <w:t xml:space="preserve"> Bill of Rights Act</w:t>
      </w:r>
      <w:bookmarkEnd w:id="14"/>
      <w:r w:rsidRPr="002D6014">
        <w:t xml:space="preserve"> </w:t>
      </w:r>
    </w:p>
    <w:p w:rsidR="00DB3B5B" w:rsidRPr="002D6014" w:rsidRDefault="00DB3B5B" w:rsidP="001427FF">
      <w:pPr>
        <w:pStyle w:val="ListParagraph"/>
        <w:numPr>
          <w:ilvl w:val="0"/>
          <w:numId w:val="5"/>
        </w:numPr>
        <w:tabs>
          <w:tab w:val="clear" w:pos="567"/>
        </w:tabs>
        <w:autoSpaceDE w:val="0"/>
        <w:autoSpaceDN w:val="0"/>
        <w:adjustRightInd w:val="0"/>
        <w:contextualSpacing w:val="0"/>
        <w:rPr>
          <w:rFonts w:ascii="TimesNewRomanPSMT" w:hAnsi="TimesNewRomanPSMT" w:cs="TimesNewRomanPSMT"/>
        </w:rPr>
      </w:pPr>
      <w:r w:rsidRPr="002D6014">
        <w:rPr>
          <w:rFonts w:ascii="TimesNewRomanPSMT" w:hAnsi="TimesNewRomanPSMT" w:cs="TimesNewRomanPSMT"/>
        </w:rPr>
        <w:t xml:space="preserve">The </w:t>
      </w:r>
      <w:r w:rsidRPr="002D6014">
        <w:rPr>
          <w:rFonts w:ascii="TimesNewRomanPSMT" w:hAnsi="TimesNewRomanPSMT" w:cs="TimesNewRomanPSMT"/>
          <w:i/>
        </w:rPr>
        <w:t xml:space="preserve">New Zealand </w:t>
      </w:r>
      <w:r w:rsidRPr="002D6014">
        <w:rPr>
          <w:rFonts w:ascii="TimesNewRomanPS-ItalicMT" w:hAnsi="TimesNewRomanPS-ItalicMT" w:cs="TimesNewRomanPS-ItalicMT"/>
          <w:i/>
          <w:iCs/>
        </w:rPr>
        <w:t xml:space="preserve">Bill of Rights Act 1990 </w:t>
      </w:r>
      <w:r w:rsidRPr="002D6014">
        <w:rPr>
          <w:rFonts w:ascii="TimesNewRomanPSMT" w:hAnsi="TimesNewRomanPSMT" w:cs="TimesNewRomanPSMT"/>
        </w:rPr>
        <w:t>is an ordinary</w:t>
      </w:r>
      <w:r w:rsidR="0067357D" w:rsidRPr="002D6014">
        <w:rPr>
          <w:rFonts w:ascii="TimesNewRomanPSMT" w:hAnsi="TimesNewRomanPSMT" w:cs="TimesNewRomanPSMT"/>
        </w:rPr>
        <w:t xml:space="preserve"> Act of </w:t>
      </w:r>
      <w:r w:rsidR="00945147" w:rsidRPr="002D6014">
        <w:rPr>
          <w:rFonts w:ascii="TimesNewRomanPSMT" w:hAnsi="TimesNewRomanPSMT" w:cs="TimesNewRomanPSMT"/>
        </w:rPr>
        <w:t>p</w:t>
      </w:r>
      <w:r w:rsidR="0067357D" w:rsidRPr="002D6014">
        <w:rPr>
          <w:rFonts w:ascii="TimesNewRomanPSMT" w:hAnsi="TimesNewRomanPSMT" w:cs="TimesNewRomanPSMT"/>
        </w:rPr>
        <w:t xml:space="preserve">arliament. Even though </w:t>
      </w:r>
      <w:r w:rsidRPr="002D6014">
        <w:rPr>
          <w:rFonts w:ascii="TimesNewRomanPSMT" w:hAnsi="TimesNewRomanPSMT" w:cs="TimesNewRomanPSMT"/>
        </w:rPr>
        <w:t>there are no explicit enforcement provisions for citizens in the Act, the New Zealand Court of Appeal has held that compensation may be obtained from government agencies for any breach of the rights in the Act.</w:t>
      </w:r>
      <w:r w:rsidRPr="002D6014">
        <w:rPr>
          <w:rStyle w:val="FootnoteReference"/>
          <w:rFonts w:ascii="TimesNewRomanPSMT" w:hAnsi="TimesNewRomanPSMT" w:cs="TimesNewRomanPSMT"/>
        </w:rPr>
        <w:footnoteReference w:id="27"/>
      </w:r>
    </w:p>
    <w:p w:rsidR="00DB3B5B" w:rsidRPr="002D6014" w:rsidRDefault="00DB3B5B" w:rsidP="004902F3">
      <w:pPr>
        <w:pStyle w:val="ListParagraph"/>
        <w:numPr>
          <w:ilvl w:val="0"/>
          <w:numId w:val="5"/>
        </w:numPr>
        <w:spacing w:after="120"/>
        <w:contextualSpacing w:val="0"/>
        <w:rPr>
          <w:rFonts w:cstheme="minorHAnsi"/>
        </w:rPr>
      </w:pPr>
      <w:r w:rsidRPr="002D6014">
        <w:rPr>
          <w:rFonts w:cstheme="minorHAnsi"/>
        </w:rPr>
        <w:t xml:space="preserve">Under the </w:t>
      </w:r>
      <w:r w:rsidRPr="002D6014">
        <w:rPr>
          <w:rFonts w:cstheme="minorHAnsi"/>
          <w:i/>
        </w:rPr>
        <w:t>N</w:t>
      </w:r>
      <w:r w:rsidR="00945147" w:rsidRPr="002D6014">
        <w:rPr>
          <w:rFonts w:cstheme="minorHAnsi"/>
          <w:i/>
        </w:rPr>
        <w:t xml:space="preserve">ew </w:t>
      </w:r>
      <w:r w:rsidRPr="002D6014">
        <w:rPr>
          <w:rFonts w:cstheme="minorHAnsi"/>
          <w:i/>
        </w:rPr>
        <w:t>Z</w:t>
      </w:r>
      <w:r w:rsidR="00945147" w:rsidRPr="002D6014">
        <w:rPr>
          <w:rFonts w:cstheme="minorHAnsi"/>
          <w:i/>
        </w:rPr>
        <w:t>ealand</w:t>
      </w:r>
      <w:r w:rsidRPr="002D6014">
        <w:rPr>
          <w:rFonts w:cstheme="minorHAnsi"/>
          <w:i/>
        </w:rPr>
        <w:t xml:space="preserve"> </w:t>
      </w:r>
      <w:r w:rsidR="00945147" w:rsidRPr="002D6014">
        <w:rPr>
          <w:rFonts w:cstheme="minorHAnsi"/>
          <w:i/>
        </w:rPr>
        <w:t>B</w:t>
      </w:r>
      <w:r w:rsidRPr="002D6014">
        <w:rPr>
          <w:rFonts w:cstheme="minorHAnsi"/>
          <w:i/>
        </w:rPr>
        <w:t>ill of Rights Act:</w:t>
      </w:r>
    </w:p>
    <w:p w:rsidR="00B63749" w:rsidRPr="002D6014" w:rsidRDefault="00D50C10" w:rsidP="004902F3">
      <w:pPr>
        <w:numPr>
          <w:ilvl w:val="0"/>
          <w:numId w:val="1"/>
        </w:numPr>
        <w:tabs>
          <w:tab w:val="clear" w:pos="567"/>
          <w:tab w:val="clear" w:pos="1080"/>
        </w:tabs>
        <w:spacing w:before="120" w:after="120"/>
        <w:ind w:left="1276" w:hanging="425"/>
        <w:jc w:val="both"/>
        <w:rPr>
          <w:rFonts w:ascii="TimesNewRomanPSMT" w:hAnsi="TimesNewRomanPSMT" w:cs="TimesNewRomanPSMT"/>
        </w:rPr>
      </w:pPr>
      <w:r w:rsidRPr="002D6014">
        <w:rPr>
          <w:rFonts w:ascii="TimesNewRomanPSMT" w:hAnsi="TimesNewRomanPSMT" w:cs="TimesNewRomanPSMT"/>
        </w:rPr>
        <w:t xml:space="preserve">Primarily, civil </w:t>
      </w:r>
      <w:r w:rsidRPr="002D6014">
        <w:rPr>
          <w:rFonts w:cstheme="minorHAnsi"/>
        </w:rPr>
        <w:t>and</w:t>
      </w:r>
      <w:r w:rsidRPr="002D6014">
        <w:rPr>
          <w:rFonts w:ascii="TimesNewRomanPSMT" w:hAnsi="TimesNewRomanPSMT" w:cs="TimesNewRomanPSMT"/>
        </w:rPr>
        <w:t xml:space="preserve"> political rights are protected. </w:t>
      </w:r>
    </w:p>
    <w:p w:rsidR="00B63749" w:rsidRPr="002D6014" w:rsidRDefault="00D50C10" w:rsidP="004902F3">
      <w:pPr>
        <w:numPr>
          <w:ilvl w:val="0"/>
          <w:numId w:val="1"/>
        </w:numPr>
        <w:tabs>
          <w:tab w:val="clear" w:pos="567"/>
          <w:tab w:val="clear" w:pos="1080"/>
        </w:tabs>
        <w:spacing w:before="120" w:after="120"/>
        <w:ind w:left="1276" w:hanging="425"/>
        <w:jc w:val="both"/>
        <w:rPr>
          <w:rFonts w:ascii="TimesNewRomanPSMT" w:hAnsi="TimesNewRomanPSMT" w:cs="TimesNewRomanPSMT"/>
        </w:rPr>
      </w:pPr>
      <w:r w:rsidRPr="002D6014">
        <w:rPr>
          <w:rFonts w:ascii="TimesNewRomanPSMT" w:hAnsi="TimesNewRomanPSMT" w:cs="TimesNewRomanPSMT"/>
        </w:rPr>
        <w:t>The rights apply to acts done by the legislative, judicial</w:t>
      </w:r>
      <w:r w:rsidR="00945147" w:rsidRPr="002D6014">
        <w:rPr>
          <w:rFonts w:ascii="TimesNewRomanPSMT" w:hAnsi="TimesNewRomanPSMT" w:cs="TimesNewRomanPSMT"/>
        </w:rPr>
        <w:t>,</w:t>
      </w:r>
      <w:r w:rsidRPr="002D6014">
        <w:rPr>
          <w:rFonts w:ascii="TimesNewRomanPSMT" w:hAnsi="TimesNewRomanPSMT" w:cs="TimesNewRomanPSMT"/>
        </w:rPr>
        <w:t xml:space="preserve"> and executive branches of the New Zealand Government and people performing public functions.</w:t>
      </w:r>
    </w:p>
    <w:p w:rsidR="00D50C10" w:rsidRPr="002D6014" w:rsidRDefault="00D50C10" w:rsidP="004902F3">
      <w:pPr>
        <w:numPr>
          <w:ilvl w:val="0"/>
          <w:numId w:val="1"/>
        </w:numPr>
        <w:tabs>
          <w:tab w:val="clear" w:pos="567"/>
          <w:tab w:val="clear" w:pos="1080"/>
        </w:tabs>
        <w:spacing w:before="120" w:after="120"/>
        <w:ind w:left="1276" w:hanging="425"/>
        <w:jc w:val="both"/>
        <w:rPr>
          <w:rFonts w:ascii="TimesNewRomanPSMT" w:hAnsi="TimesNewRomanPSMT" w:cs="TimesNewRomanPSMT"/>
        </w:rPr>
      </w:pPr>
      <w:r w:rsidRPr="002D6014">
        <w:rPr>
          <w:rFonts w:ascii="TimesNewRomanPSMT" w:hAnsi="TimesNewRomanPSMT" w:cs="TimesNewRomanPSMT"/>
        </w:rPr>
        <w:lastRenderedPageBreak/>
        <w:t xml:space="preserve"> The Act </w:t>
      </w:r>
      <w:r w:rsidRPr="002D6014">
        <w:rPr>
          <w:rFonts w:cstheme="minorHAnsi"/>
        </w:rPr>
        <w:t>protects</w:t>
      </w:r>
      <w:r w:rsidRPr="002D6014">
        <w:rPr>
          <w:rFonts w:ascii="TimesNewRomanPSMT" w:hAnsi="TimesNewRomanPSMT" w:cs="TimesNewRomanPSMT"/>
        </w:rPr>
        <w:t xml:space="preserve"> the rights of all legal persons, both corporations and natural persons.</w:t>
      </w:r>
    </w:p>
    <w:p w:rsidR="00DB3B5B" w:rsidRPr="002D6014" w:rsidRDefault="00DB3B5B" w:rsidP="004902F3">
      <w:pPr>
        <w:numPr>
          <w:ilvl w:val="0"/>
          <w:numId w:val="1"/>
        </w:numPr>
        <w:tabs>
          <w:tab w:val="clear" w:pos="567"/>
          <w:tab w:val="clear" w:pos="1080"/>
        </w:tabs>
        <w:spacing w:before="120" w:after="120"/>
        <w:ind w:left="1276" w:hanging="425"/>
        <w:jc w:val="both"/>
        <w:rPr>
          <w:rFonts w:ascii="TimesNewRomanPSMT" w:hAnsi="TimesNewRomanPSMT" w:cs="TimesNewRomanPSMT"/>
        </w:rPr>
      </w:pPr>
      <w:r w:rsidRPr="002D6014">
        <w:rPr>
          <w:rFonts w:ascii="TimesNewRomanPSMT" w:hAnsi="TimesNewRomanPSMT" w:cs="TimesNewRomanPSMT"/>
        </w:rPr>
        <w:t xml:space="preserve">The rights </w:t>
      </w:r>
      <w:r w:rsidRPr="002D6014">
        <w:rPr>
          <w:rFonts w:cstheme="minorHAnsi"/>
        </w:rPr>
        <w:t>covered</w:t>
      </w:r>
      <w:r w:rsidRPr="002D6014">
        <w:rPr>
          <w:rFonts w:ascii="TimesNewRomanPSMT" w:hAnsi="TimesNewRomanPSMT" w:cs="TimesNewRomanPSMT"/>
        </w:rPr>
        <w:t xml:space="preserve"> by the Act are not expressed in absolute terms but are subject ‘only to such reasonable limits prescribed by law as can be demonstrably justified in a free and democratic society’.</w:t>
      </w:r>
      <w:r w:rsidRPr="002D6014">
        <w:rPr>
          <w:rStyle w:val="FootnoteReference"/>
          <w:rFonts w:ascii="TimesNewRomanPSMT" w:hAnsi="TimesNewRomanPSMT" w:cs="TimesNewRomanPSMT"/>
        </w:rPr>
        <w:footnoteReference w:id="28"/>
      </w:r>
    </w:p>
    <w:p w:rsidR="00B63749" w:rsidRPr="002D6014" w:rsidRDefault="00D50C10" w:rsidP="004902F3">
      <w:pPr>
        <w:numPr>
          <w:ilvl w:val="0"/>
          <w:numId w:val="1"/>
        </w:numPr>
        <w:tabs>
          <w:tab w:val="clear" w:pos="567"/>
          <w:tab w:val="clear" w:pos="1080"/>
        </w:tabs>
        <w:spacing w:before="120" w:after="120"/>
        <w:ind w:left="1276" w:hanging="425"/>
        <w:jc w:val="both"/>
        <w:rPr>
          <w:rFonts w:ascii="TimesNewRomanPSMT" w:hAnsi="TimesNewRomanPSMT" w:cs="TimesNewRomanPSMT"/>
        </w:rPr>
      </w:pPr>
      <w:r w:rsidRPr="002D6014">
        <w:t>Th</w:t>
      </w:r>
      <w:r w:rsidRPr="002D6014">
        <w:rPr>
          <w:rFonts w:ascii="TimesNewRomanPSMT" w:hAnsi="TimesNewRomanPSMT" w:cs="TimesNewRomanPSMT"/>
        </w:rPr>
        <w:t xml:space="preserve">e New Zealand government may enact legislation that is inconsistent with the Act, but the Attorney General is required to inform Parliament of this inconsistency on its introduction. </w:t>
      </w:r>
    </w:p>
    <w:p w:rsidR="00D50C10" w:rsidRPr="002D6014" w:rsidRDefault="00D50C10" w:rsidP="004902F3">
      <w:pPr>
        <w:numPr>
          <w:ilvl w:val="0"/>
          <w:numId w:val="1"/>
        </w:numPr>
        <w:tabs>
          <w:tab w:val="clear" w:pos="567"/>
          <w:tab w:val="clear" w:pos="1080"/>
        </w:tabs>
        <w:spacing w:before="120" w:after="120"/>
        <w:ind w:left="1276" w:hanging="425"/>
        <w:jc w:val="both"/>
        <w:rPr>
          <w:rFonts w:ascii="TimesNewRomanPSMT" w:hAnsi="TimesNewRomanPSMT" w:cs="TimesNewRomanPSMT"/>
        </w:rPr>
      </w:pPr>
      <w:r w:rsidRPr="002D6014">
        <w:rPr>
          <w:rFonts w:ascii="TimesNewRomanPSMT" w:hAnsi="TimesNewRomanPSMT" w:cs="TimesNewRomanPSMT"/>
        </w:rPr>
        <w:t xml:space="preserve">Government </w:t>
      </w:r>
      <w:r w:rsidRPr="002D6014">
        <w:rPr>
          <w:rFonts w:cstheme="minorHAnsi"/>
        </w:rPr>
        <w:t>procedures</w:t>
      </w:r>
      <w:r w:rsidRPr="002D6014">
        <w:rPr>
          <w:rFonts w:ascii="TimesNewRomanPSMT" w:hAnsi="TimesNewRomanPSMT" w:cs="TimesNewRomanPSMT"/>
        </w:rPr>
        <w:t xml:space="preserve"> now also require that all draft legislation presented to Cabinet be certified as complying with the Act.</w:t>
      </w:r>
      <w:r w:rsidRPr="002D6014">
        <w:rPr>
          <w:rStyle w:val="FootnoteReference"/>
          <w:rFonts w:ascii="TimesNewRomanPSMT" w:hAnsi="TimesNewRomanPSMT" w:cs="TimesNewRomanPSMT"/>
        </w:rPr>
        <w:footnoteReference w:id="29"/>
      </w:r>
    </w:p>
    <w:p w:rsidR="00D50C10" w:rsidRPr="002D6014" w:rsidRDefault="00D50C10" w:rsidP="004902F3">
      <w:pPr>
        <w:numPr>
          <w:ilvl w:val="0"/>
          <w:numId w:val="1"/>
        </w:numPr>
        <w:tabs>
          <w:tab w:val="clear" w:pos="567"/>
          <w:tab w:val="clear" w:pos="1080"/>
        </w:tabs>
        <w:spacing w:before="120"/>
        <w:ind w:left="1276" w:hanging="425"/>
        <w:jc w:val="both"/>
        <w:rPr>
          <w:rFonts w:ascii="TimesNewRomanPSMT" w:hAnsi="TimesNewRomanPSMT" w:cs="TimesNewRomanPSMT"/>
        </w:rPr>
      </w:pPr>
      <w:r w:rsidRPr="002D6014">
        <w:rPr>
          <w:rFonts w:ascii="TimesNewRomanPSMT" w:hAnsi="TimesNewRomanPSMT" w:cs="TimesNewRomanPSMT"/>
        </w:rPr>
        <w:t xml:space="preserve">In interpreting </w:t>
      </w:r>
      <w:r w:rsidRPr="002D6014">
        <w:rPr>
          <w:rFonts w:cstheme="minorHAnsi"/>
        </w:rPr>
        <w:t>legislation</w:t>
      </w:r>
      <w:r w:rsidR="00945147" w:rsidRPr="002D6014">
        <w:rPr>
          <w:rFonts w:ascii="TimesNewRomanPSMT" w:hAnsi="TimesNewRomanPSMT" w:cs="TimesNewRomanPSMT"/>
        </w:rPr>
        <w:t xml:space="preserve">, </w:t>
      </w:r>
      <w:r w:rsidRPr="002D6014">
        <w:rPr>
          <w:rFonts w:ascii="TimesNewRomanPSMT" w:hAnsi="TimesNewRomanPSMT" w:cs="TimesNewRomanPSMT"/>
        </w:rPr>
        <w:t>New Zealand courts are required to favour a meaning that is consistent with the Act. However, courts do not have the power to override inconsistent legislation</w:t>
      </w:r>
      <w:r w:rsidR="00945147" w:rsidRPr="002D6014">
        <w:rPr>
          <w:rFonts w:ascii="TimesNewRomanPSMT" w:hAnsi="TimesNewRomanPSMT" w:cs="TimesNewRomanPSMT"/>
        </w:rPr>
        <w:t>,</w:t>
      </w:r>
      <w:r w:rsidRPr="002D6014">
        <w:rPr>
          <w:rFonts w:ascii="TimesNewRomanPSMT" w:hAnsi="TimesNewRomanPSMT" w:cs="TimesNewRomanPSMT"/>
        </w:rPr>
        <w:t xml:space="preserve"> and there is no express provision in the Act for the courts to declare legislation to be incompatible with it.</w:t>
      </w:r>
    </w:p>
    <w:p w:rsidR="007C2909" w:rsidRPr="002D6014" w:rsidRDefault="007C2909" w:rsidP="003F2D0A">
      <w:pPr>
        <w:pStyle w:val="Heading2"/>
      </w:pPr>
      <w:bookmarkStart w:id="15" w:name="_Toc448747759"/>
      <w:r w:rsidRPr="002D6014">
        <w:t xml:space="preserve">Case studies </w:t>
      </w:r>
      <w:r w:rsidR="00945147" w:rsidRPr="002D6014">
        <w:t xml:space="preserve">in which </w:t>
      </w:r>
      <w:r w:rsidRPr="002D6014">
        <w:t xml:space="preserve">human rights legislation </w:t>
      </w:r>
      <w:r w:rsidR="00945147" w:rsidRPr="002D6014">
        <w:t>has been used</w:t>
      </w:r>
      <w:bookmarkEnd w:id="15"/>
    </w:p>
    <w:p w:rsidR="007C2909" w:rsidRPr="002D6014" w:rsidRDefault="007C2909" w:rsidP="001427FF">
      <w:pPr>
        <w:pStyle w:val="ListParagraph"/>
        <w:numPr>
          <w:ilvl w:val="0"/>
          <w:numId w:val="5"/>
        </w:numPr>
        <w:rPr>
          <w:rFonts w:cstheme="minorHAnsi"/>
        </w:rPr>
      </w:pPr>
      <w:r w:rsidRPr="002D6014">
        <w:rPr>
          <w:rFonts w:cstheme="minorHAnsi"/>
        </w:rPr>
        <w:t xml:space="preserve">Attached to this submission are a number of case studies that demonstrate the effectiveness of human rights legislation in those jurisdictions that have it. The cases </w:t>
      </w:r>
      <w:r w:rsidR="00960708" w:rsidRPr="002D6014">
        <w:rPr>
          <w:rFonts w:cstheme="minorHAnsi"/>
        </w:rPr>
        <w:t xml:space="preserve">include </w:t>
      </w:r>
      <w:r w:rsidRPr="002D6014">
        <w:rPr>
          <w:rFonts w:cstheme="minorHAnsi"/>
        </w:rPr>
        <w:t>examples of human rights matters solved without litigation, and some examples of cases resolved with litigation. The cases are drawn from a number of sources.</w:t>
      </w:r>
      <w:r w:rsidRPr="002D6014">
        <w:rPr>
          <w:rStyle w:val="FootnoteReference"/>
          <w:rFonts w:cstheme="minorHAnsi"/>
        </w:rPr>
        <w:footnoteReference w:id="30"/>
      </w:r>
    </w:p>
    <w:p w:rsidR="003244FB" w:rsidRPr="002D6014" w:rsidRDefault="00DF4F73" w:rsidP="003F2D0A">
      <w:pPr>
        <w:pStyle w:val="Heading1"/>
      </w:pPr>
      <w:bookmarkStart w:id="16" w:name="_Toc448747760"/>
      <w:r w:rsidRPr="002D6014">
        <w:t>C</w:t>
      </w:r>
      <w:r w:rsidR="00AB4A3B" w:rsidRPr="002D6014">
        <w:t>osts and benefits of adopting a H</w:t>
      </w:r>
      <w:r w:rsidRPr="002D6014">
        <w:t xml:space="preserve">uman </w:t>
      </w:r>
      <w:r w:rsidR="00AB4A3B" w:rsidRPr="002D6014">
        <w:t>R</w:t>
      </w:r>
      <w:r w:rsidRPr="002D6014">
        <w:t>ights</w:t>
      </w:r>
      <w:r w:rsidR="00AB4A3B" w:rsidRPr="002D6014">
        <w:t xml:space="preserve"> Act</w:t>
      </w:r>
      <w:bookmarkEnd w:id="16"/>
    </w:p>
    <w:p w:rsidR="003244FB" w:rsidRPr="002D6014" w:rsidRDefault="003244FB" w:rsidP="003244FB">
      <w:pPr>
        <w:rPr>
          <w:b/>
        </w:rPr>
      </w:pPr>
      <w:r w:rsidRPr="002D6014">
        <w:rPr>
          <w:b/>
        </w:rPr>
        <w:t>Terms of reference 2c: the costs and benefits of adopting a HR Act (including financial, legal, social and otherwise).</w:t>
      </w:r>
    </w:p>
    <w:p w:rsidR="003244FB" w:rsidRPr="002D6014" w:rsidRDefault="003244FB" w:rsidP="006D4282">
      <w:pPr>
        <w:pStyle w:val="ListParagraph"/>
        <w:numPr>
          <w:ilvl w:val="0"/>
          <w:numId w:val="5"/>
        </w:numPr>
        <w:spacing w:after="120"/>
        <w:contextualSpacing w:val="0"/>
        <w:rPr>
          <w:rFonts w:ascii="Arial" w:hAnsi="Arial" w:cs="Arial"/>
        </w:rPr>
      </w:pPr>
      <w:r w:rsidRPr="002D6014">
        <w:rPr>
          <w:rFonts w:ascii="Arial" w:hAnsi="Arial" w:cs="Arial"/>
        </w:rPr>
        <w:t>Professor Gillian Triggs has said:</w:t>
      </w:r>
    </w:p>
    <w:p w:rsidR="003244FB" w:rsidRPr="002D6014" w:rsidRDefault="003244FB" w:rsidP="004902F3">
      <w:pPr>
        <w:pStyle w:val="ListParagraph"/>
        <w:tabs>
          <w:tab w:val="clear" w:pos="567"/>
        </w:tabs>
        <w:autoSpaceDE w:val="0"/>
        <w:autoSpaceDN w:val="0"/>
        <w:adjustRightInd w:val="0"/>
        <w:ind w:left="1134" w:right="1083"/>
        <w:contextualSpacing w:val="0"/>
        <w:rPr>
          <w:rFonts w:ascii="Arial" w:hAnsi="Arial" w:cs="Arial"/>
          <w:sz w:val="20"/>
          <w:szCs w:val="20"/>
        </w:rPr>
      </w:pPr>
      <w:r w:rsidRPr="002D6014">
        <w:rPr>
          <w:rFonts w:ascii="Arial" w:hAnsi="Arial" w:cs="Arial"/>
          <w:sz w:val="20"/>
          <w:szCs w:val="20"/>
        </w:rPr>
        <w:t>‘Australians will cheerfully assert the right to freedom of speech, freedom of assembly, the right to a fair trial and the right to property, without ever being able to point to a specific constitutional or legislative provision.’</w:t>
      </w:r>
      <w:r w:rsidRPr="002D6014">
        <w:rPr>
          <w:rStyle w:val="FootnoteReference"/>
          <w:rFonts w:ascii="Arial" w:hAnsi="Arial" w:cs="Arial"/>
          <w:sz w:val="20"/>
          <w:szCs w:val="20"/>
        </w:rPr>
        <w:footnoteReference w:id="31"/>
      </w:r>
    </w:p>
    <w:p w:rsidR="001F6ED8" w:rsidRPr="002D6014" w:rsidRDefault="009C70A6" w:rsidP="001427FF">
      <w:pPr>
        <w:pStyle w:val="ListParagraph"/>
        <w:numPr>
          <w:ilvl w:val="0"/>
          <w:numId w:val="5"/>
        </w:numPr>
        <w:tabs>
          <w:tab w:val="clear" w:pos="567"/>
        </w:tabs>
        <w:autoSpaceDE w:val="0"/>
        <w:autoSpaceDN w:val="0"/>
        <w:adjustRightInd w:val="0"/>
        <w:contextualSpacing w:val="0"/>
        <w:rPr>
          <w:rFonts w:ascii="Arial" w:hAnsi="Arial" w:cs="Arial"/>
        </w:rPr>
      </w:pPr>
      <w:r w:rsidRPr="002D6014">
        <w:rPr>
          <w:rFonts w:ascii="Arial" w:hAnsi="Arial" w:cs="Arial"/>
        </w:rPr>
        <w:t>A Human Rights Act is legislation that provides the basis or the framework upon which a culture of human rights can adequately be established. It is very difficult to build that culture in Australia or Queensland where we don’t have laws to hang the ideas from.</w:t>
      </w:r>
    </w:p>
    <w:p w:rsidR="00434B87" w:rsidRPr="002D6014" w:rsidRDefault="00434B87" w:rsidP="001427FF">
      <w:pPr>
        <w:pStyle w:val="ListParagraph"/>
        <w:numPr>
          <w:ilvl w:val="0"/>
          <w:numId w:val="5"/>
        </w:numPr>
        <w:autoSpaceDE w:val="0"/>
        <w:autoSpaceDN w:val="0"/>
        <w:contextualSpacing w:val="0"/>
        <w:rPr>
          <w:rFonts w:ascii="Arial" w:hAnsi="Arial" w:cs="Arial"/>
        </w:rPr>
      </w:pPr>
      <w:r w:rsidRPr="002D6014">
        <w:rPr>
          <w:rFonts w:ascii="Arial" w:hAnsi="Arial" w:cs="Arial"/>
        </w:rPr>
        <w:t xml:space="preserve">The benefits of creating a human rights culture are not always obvious, particularly if you have </w:t>
      </w:r>
      <w:r w:rsidR="003244FB" w:rsidRPr="002D6014">
        <w:rPr>
          <w:rFonts w:ascii="Arial" w:hAnsi="Arial" w:cs="Arial"/>
        </w:rPr>
        <w:t xml:space="preserve">no lived </w:t>
      </w:r>
      <w:r w:rsidRPr="002D6014">
        <w:rPr>
          <w:rFonts w:ascii="Arial" w:hAnsi="Arial" w:cs="Arial"/>
        </w:rPr>
        <w:t>experience</w:t>
      </w:r>
      <w:r w:rsidR="003244FB" w:rsidRPr="002D6014">
        <w:rPr>
          <w:rFonts w:ascii="Arial" w:hAnsi="Arial" w:cs="Arial"/>
        </w:rPr>
        <w:t xml:space="preserve"> of</w:t>
      </w:r>
      <w:r w:rsidRPr="002D6014">
        <w:rPr>
          <w:rFonts w:ascii="Arial" w:hAnsi="Arial" w:cs="Arial"/>
        </w:rPr>
        <w:t xml:space="preserve"> discrimination, rejection and humiliation because of such </w:t>
      </w:r>
      <w:r w:rsidR="003244FB" w:rsidRPr="002D6014">
        <w:rPr>
          <w:rFonts w:ascii="Arial" w:hAnsi="Arial" w:cs="Arial"/>
        </w:rPr>
        <w:t xml:space="preserve">things </w:t>
      </w:r>
      <w:r w:rsidRPr="002D6014">
        <w:rPr>
          <w:rFonts w:ascii="Arial" w:hAnsi="Arial" w:cs="Arial"/>
        </w:rPr>
        <w:t>as disability, age</w:t>
      </w:r>
      <w:r w:rsidR="006C524A" w:rsidRPr="002D6014">
        <w:rPr>
          <w:rFonts w:ascii="Arial" w:hAnsi="Arial" w:cs="Arial"/>
        </w:rPr>
        <w:t>-</w:t>
      </w:r>
      <w:r w:rsidRPr="002D6014">
        <w:rPr>
          <w:rFonts w:ascii="Arial" w:hAnsi="Arial" w:cs="Arial"/>
        </w:rPr>
        <w:t xml:space="preserve">related impairment, religious belief, racial identity and poverty. An accessible environment, while particularly relevant for people with disabilities has benefits for a broader range of people. For example, curb ramps assist parents pushing baby strollers. Information in plain language helps </w:t>
      </w:r>
      <w:r w:rsidR="003244FB" w:rsidRPr="002D6014">
        <w:rPr>
          <w:rFonts w:ascii="Arial" w:hAnsi="Arial" w:cs="Arial"/>
        </w:rPr>
        <w:t xml:space="preserve">people </w:t>
      </w:r>
      <w:r w:rsidRPr="002D6014">
        <w:rPr>
          <w:rFonts w:ascii="Arial" w:hAnsi="Arial" w:cs="Arial"/>
        </w:rPr>
        <w:t xml:space="preserve">with less education or people for whom English is a second language. Announcements of each stop on public transport may aid travellers unfamiliar with the route as well as those </w:t>
      </w:r>
      <w:r w:rsidRPr="002D6014">
        <w:rPr>
          <w:rFonts w:ascii="Arial" w:hAnsi="Arial" w:cs="Arial"/>
        </w:rPr>
        <w:lastRenderedPageBreak/>
        <w:t>with visual impairments. Additionally, the benefits for many people can help generate widespread support for making changes to build a more inclusive and fairer society</w:t>
      </w:r>
      <w:r w:rsidRPr="00D95D9E">
        <w:rPr>
          <w:rFonts w:ascii="Arial" w:hAnsi="Arial" w:cs="Arial"/>
        </w:rPr>
        <w:t>.</w:t>
      </w:r>
    </w:p>
    <w:p w:rsidR="00434B87" w:rsidRPr="002D6014" w:rsidRDefault="00434B87" w:rsidP="001427FF">
      <w:pPr>
        <w:pStyle w:val="ListParagraph"/>
        <w:numPr>
          <w:ilvl w:val="0"/>
          <w:numId w:val="5"/>
        </w:numPr>
        <w:autoSpaceDE w:val="0"/>
        <w:autoSpaceDN w:val="0"/>
        <w:contextualSpacing w:val="0"/>
        <w:rPr>
          <w:rFonts w:ascii="Arial" w:hAnsi="Arial" w:cs="Arial"/>
        </w:rPr>
      </w:pPr>
      <w:r w:rsidRPr="002D6014">
        <w:rPr>
          <w:rFonts w:ascii="Arial" w:hAnsi="Arial" w:cs="Arial"/>
        </w:rPr>
        <w:t>It is well documented that</w:t>
      </w:r>
      <w:r w:rsidR="003244FB" w:rsidRPr="002D6014">
        <w:rPr>
          <w:rFonts w:ascii="Arial" w:hAnsi="Arial" w:cs="Arial"/>
        </w:rPr>
        <w:t>,</w:t>
      </w:r>
      <w:r w:rsidRPr="002D6014">
        <w:rPr>
          <w:rFonts w:ascii="Arial" w:hAnsi="Arial" w:cs="Arial"/>
        </w:rPr>
        <w:t xml:space="preserve"> historically</w:t>
      </w:r>
      <w:r w:rsidR="003244FB" w:rsidRPr="002D6014">
        <w:rPr>
          <w:rFonts w:ascii="Arial" w:hAnsi="Arial" w:cs="Arial"/>
        </w:rPr>
        <w:t>,</w:t>
      </w:r>
      <w:r w:rsidRPr="002D6014">
        <w:rPr>
          <w:rFonts w:ascii="Arial" w:hAnsi="Arial" w:cs="Arial"/>
        </w:rPr>
        <w:t xml:space="preserve"> society and government </w:t>
      </w:r>
      <w:r w:rsidR="003244FB" w:rsidRPr="002D6014">
        <w:rPr>
          <w:rFonts w:ascii="Arial" w:hAnsi="Arial" w:cs="Arial"/>
        </w:rPr>
        <w:t>ha</w:t>
      </w:r>
      <w:r w:rsidR="006C524A" w:rsidRPr="002D6014">
        <w:rPr>
          <w:rFonts w:ascii="Arial" w:hAnsi="Arial" w:cs="Arial"/>
        </w:rPr>
        <w:t>ve characterised certain people</w:t>
      </w:r>
      <w:r w:rsidR="003244FB" w:rsidRPr="002D6014">
        <w:rPr>
          <w:rFonts w:ascii="Arial" w:hAnsi="Arial" w:cs="Arial"/>
        </w:rPr>
        <w:t xml:space="preserve"> </w:t>
      </w:r>
      <w:r w:rsidR="006C524A" w:rsidRPr="002D6014">
        <w:rPr>
          <w:rFonts w:ascii="Arial" w:hAnsi="Arial" w:cs="Arial"/>
        </w:rPr>
        <w:t>(</w:t>
      </w:r>
      <w:r w:rsidR="003244FB" w:rsidRPr="002D6014">
        <w:rPr>
          <w:rFonts w:ascii="Arial" w:hAnsi="Arial" w:cs="Arial"/>
        </w:rPr>
        <w:t>such as people with disability</w:t>
      </w:r>
      <w:r w:rsidR="006C524A" w:rsidRPr="002D6014">
        <w:rPr>
          <w:rFonts w:ascii="Arial" w:hAnsi="Arial" w:cs="Arial"/>
        </w:rPr>
        <w:t xml:space="preserve"> and people with age-related impairment)</w:t>
      </w:r>
      <w:r w:rsidR="003244FB" w:rsidRPr="002D6014">
        <w:rPr>
          <w:rFonts w:ascii="Arial" w:hAnsi="Arial" w:cs="Arial"/>
        </w:rPr>
        <w:t xml:space="preserve"> </w:t>
      </w:r>
      <w:r w:rsidRPr="002D6014">
        <w:rPr>
          <w:rFonts w:ascii="Arial" w:hAnsi="Arial" w:cs="Arial"/>
        </w:rPr>
        <w:t xml:space="preserve">as the ‘deserving poor’ required help. Society and </w:t>
      </w:r>
      <w:r w:rsidR="006C524A" w:rsidRPr="002D6014">
        <w:rPr>
          <w:rFonts w:ascii="Arial" w:hAnsi="Arial" w:cs="Arial"/>
        </w:rPr>
        <w:t>g</w:t>
      </w:r>
      <w:r w:rsidRPr="002D6014">
        <w:rPr>
          <w:rFonts w:ascii="Arial" w:hAnsi="Arial" w:cs="Arial"/>
        </w:rPr>
        <w:t>overnments</w:t>
      </w:r>
      <w:r w:rsidR="006C524A" w:rsidRPr="002D6014">
        <w:rPr>
          <w:rFonts w:ascii="Arial" w:hAnsi="Arial" w:cs="Arial"/>
        </w:rPr>
        <w:t>’</w:t>
      </w:r>
      <w:r w:rsidRPr="002D6014">
        <w:rPr>
          <w:rFonts w:ascii="Arial" w:hAnsi="Arial" w:cs="Arial"/>
        </w:rPr>
        <w:t xml:space="preserve"> remedy to alleviate suffering was to establish charitable responses. Charitable responses</w:t>
      </w:r>
      <w:r w:rsidR="006C524A" w:rsidRPr="002D6014">
        <w:rPr>
          <w:rFonts w:ascii="Arial" w:hAnsi="Arial" w:cs="Arial"/>
        </w:rPr>
        <w:t>,</w:t>
      </w:r>
      <w:r w:rsidRPr="002D6014">
        <w:rPr>
          <w:rFonts w:ascii="Arial" w:hAnsi="Arial" w:cs="Arial"/>
        </w:rPr>
        <w:t xml:space="preserve"> although well-meaning, often resulted in the ‘deserving poor’ being viewed as objects of pity and charity and not as subjects who are right</w:t>
      </w:r>
      <w:r w:rsidR="006C524A" w:rsidRPr="002D6014">
        <w:rPr>
          <w:rFonts w:ascii="Arial" w:hAnsi="Arial" w:cs="Arial"/>
        </w:rPr>
        <w:t>-</w:t>
      </w:r>
      <w:r w:rsidRPr="002D6014">
        <w:rPr>
          <w:rFonts w:ascii="Arial" w:hAnsi="Arial" w:cs="Arial"/>
        </w:rPr>
        <w:t>bearers.</w:t>
      </w:r>
      <w:r w:rsidR="006C524A" w:rsidRPr="002D6014">
        <w:rPr>
          <w:rFonts w:ascii="Arial" w:hAnsi="Arial" w:cs="Arial"/>
        </w:rPr>
        <w:t xml:space="preserve"> T</w:t>
      </w:r>
      <w:r w:rsidRPr="002D6014">
        <w:rPr>
          <w:rFonts w:ascii="Arial" w:hAnsi="Arial" w:cs="Arial"/>
        </w:rPr>
        <w:t>hus, a culture has developed that it is acceptable for some population groups to be treated less favo</w:t>
      </w:r>
      <w:r w:rsidR="006D4282">
        <w:rPr>
          <w:rFonts w:ascii="Arial" w:hAnsi="Arial" w:cs="Arial"/>
        </w:rPr>
        <w:t>u</w:t>
      </w:r>
      <w:r w:rsidRPr="002D6014">
        <w:rPr>
          <w:rFonts w:ascii="Arial" w:hAnsi="Arial" w:cs="Arial"/>
        </w:rPr>
        <w:t>rably than those population groups who are valued.</w:t>
      </w:r>
    </w:p>
    <w:p w:rsidR="00B60B55" w:rsidRPr="002D6014" w:rsidRDefault="00B60B55" w:rsidP="001427FF">
      <w:pPr>
        <w:pStyle w:val="ListParagraph"/>
        <w:numPr>
          <w:ilvl w:val="0"/>
          <w:numId w:val="5"/>
        </w:numPr>
        <w:autoSpaceDE w:val="0"/>
        <w:autoSpaceDN w:val="0"/>
        <w:contextualSpacing w:val="0"/>
        <w:rPr>
          <w:rFonts w:ascii="Arial" w:hAnsi="Arial" w:cs="Arial"/>
        </w:rPr>
      </w:pPr>
      <w:r w:rsidRPr="002D6014">
        <w:rPr>
          <w:rFonts w:ascii="Arial" w:hAnsi="Arial" w:cs="Arial"/>
        </w:rPr>
        <w:t>There have been studies that prove the link between racial discrimination and increased costs to the health system.</w:t>
      </w:r>
      <w:r w:rsidRPr="002D6014">
        <w:rPr>
          <w:rStyle w:val="FootnoteReference"/>
          <w:rFonts w:ascii="Arial" w:hAnsi="Arial" w:cs="Arial"/>
        </w:rPr>
        <w:footnoteReference w:id="32"/>
      </w:r>
    </w:p>
    <w:p w:rsidR="00434B87" w:rsidRPr="002D6014" w:rsidRDefault="00434B87" w:rsidP="001427FF">
      <w:pPr>
        <w:pStyle w:val="ListParagraph"/>
        <w:numPr>
          <w:ilvl w:val="0"/>
          <w:numId w:val="5"/>
        </w:numPr>
        <w:autoSpaceDE w:val="0"/>
        <w:autoSpaceDN w:val="0"/>
        <w:contextualSpacing w:val="0"/>
        <w:rPr>
          <w:rFonts w:ascii="Arial" w:hAnsi="Arial" w:cs="Arial"/>
        </w:rPr>
      </w:pPr>
      <w:r w:rsidRPr="002D6014">
        <w:rPr>
          <w:rFonts w:ascii="Arial" w:hAnsi="Arial" w:cs="Arial"/>
        </w:rPr>
        <w:t>A Human Rights Act</w:t>
      </w:r>
      <w:r w:rsidR="00FD29EC" w:rsidRPr="002D6014">
        <w:rPr>
          <w:rFonts w:ascii="Arial" w:hAnsi="Arial" w:cs="Arial"/>
        </w:rPr>
        <w:t>,</w:t>
      </w:r>
      <w:r w:rsidRPr="002D6014">
        <w:rPr>
          <w:rFonts w:ascii="Arial" w:hAnsi="Arial" w:cs="Arial"/>
        </w:rPr>
        <w:t xml:space="preserve"> over time</w:t>
      </w:r>
      <w:r w:rsidR="00FD29EC" w:rsidRPr="002D6014">
        <w:rPr>
          <w:rFonts w:ascii="Arial" w:hAnsi="Arial" w:cs="Arial"/>
        </w:rPr>
        <w:t>, would</w:t>
      </w:r>
      <w:r w:rsidRPr="002D6014">
        <w:rPr>
          <w:rFonts w:ascii="Arial" w:hAnsi="Arial" w:cs="Arial"/>
        </w:rPr>
        <w:t xml:space="preserve"> provide Queenslanders</w:t>
      </w:r>
      <w:r w:rsidR="00FD29EC" w:rsidRPr="002D6014">
        <w:rPr>
          <w:rFonts w:ascii="Arial" w:hAnsi="Arial" w:cs="Arial"/>
        </w:rPr>
        <w:t>,</w:t>
      </w:r>
      <w:r w:rsidRPr="002D6014">
        <w:rPr>
          <w:rFonts w:ascii="Arial" w:hAnsi="Arial" w:cs="Arial"/>
        </w:rPr>
        <w:t xml:space="preserve"> whether they are legislators, policy makers, program developers</w:t>
      </w:r>
      <w:r w:rsidR="00FD29EC" w:rsidRPr="002D6014">
        <w:rPr>
          <w:rFonts w:ascii="Arial" w:hAnsi="Arial" w:cs="Arial"/>
        </w:rPr>
        <w:t>, or</w:t>
      </w:r>
      <w:r w:rsidRPr="002D6014">
        <w:rPr>
          <w:rFonts w:ascii="Arial" w:hAnsi="Arial" w:cs="Arial"/>
        </w:rPr>
        <w:t xml:space="preserve"> service providers </w:t>
      </w:r>
      <w:r w:rsidR="00FD29EC" w:rsidRPr="002D6014">
        <w:rPr>
          <w:rFonts w:ascii="Arial" w:hAnsi="Arial" w:cs="Arial"/>
        </w:rPr>
        <w:t xml:space="preserve">with the means </w:t>
      </w:r>
      <w:r w:rsidRPr="002D6014">
        <w:rPr>
          <w:rFonts w:ascii="Arial" w:hAnsi="Arial" w:cs="Arial"/>
        </w:rPr>
        <w:t xml:space="preserve">to protect and </w:t>
      </w:r>
      <w:r w:rsidR="006D4282">
        <w:rPr>
          <w:rFonts w:ascii="Arial" w:hAnsi="Arial" w:cs="Arial"/>
        </w:rPr>
        <w:t>fulfil</w:t>
      </w:r>
      <w:r w:rsidRPr="002D6014">
        <w:rPr>
          <w:rFonts w:ascii="Arial" w:hAnsi="Arial" w:cs="Arial"/>
        </w:rPr>
        <w:t xml:space="preserve"> the rights of all Queenslanders</w:t>
      </w:r>
      <w:r w:rsidR="00FD29EC" w:rsidRPr="002D6014">
        <w:rPr>
          <w:rFonts w:ascii="Arial" w:hAnsi="Arial" w:cs="Arial"/>
        </w:rPr>
        <w:t>,</w:t>
      </w:r>
      <w:r w:rsidRPr="002D6014">
        <w:rPr>
          <w:rFonts w:ascii="Arial" w:hAnsi="Arial" w:cs="Arial"/>
        </w:rPr>
        <w:t xml:space="preserve"> irrespective of their lived experience. A </w:t>
      </w:r>
      <w:r w:rsidR="00FD29EC" w:rsidRPr="002D6014">
        <w:rPr>
          <w:rFonts w:ascii="Arial" w:hAnsi="Arial" w:cs="Arial"/>
        </w:rPr>
        <w:t>H</w:t>
      </w:r>
      <w:r w:rsidRPr="002D6014">
        <w:rPr>
          <w:rFonts w:ascii="Arial" w:hAnsi="Arial" w:cs="Arial"/>
        </w:rPr>
        <w:t xml:space="preserve">uman </w:t>
      </w:r>
      <w:r w:rsidR="00FD29EC" w:rsidRPr="002D6014">
        <w:rPr>
          <w:rFonts w:ascii="Arial" w:hAnsi="Arial" w:cs="Arial"/>
        </w:rPr>
        <w:t>R</w:t>
      </w:r>
      <w:r w:rsidRPr="002D6014">
        <w:rPr>
          <w:rFonts w:ascii="Arial" w:hAnsi="Arial" w:cs="Arial"/>
        </w:rPr>
        <w:t xml:space="preserve">ights </w:t>
      </w:r>
      <w:r w:rsidR="00FD29EC" w:rsidRPr="002D6014">
        <w:rPr>
          <w:rFonts w:ascii="Arial" w:hAnsi="Arial" w:cs="Arial"/>
        </w:rPr>
        <w:t>A</w:t>
      </w:r>
      <w:r w:rsidRPr="002D6014">
        <w:rPr>
          <w:rFonts w:ascii="Arial" w:hAnsi="Arial" w:cs="Arial"/>
        </w:rPr>
        <w:t xml:space="preserve">ct </w:t>
      </w:r>
      <w:r w:rsidR="00FD29EC" w:rsidRPr="002D6014">
        <w:rPr>
          <w:rFonts w:ascii="Arial" w:hAnsi="Arial" w:cs="Arial"/>
        </w:rPr>
        <w:t xml:space="preserve">would </w:t>
      </w:r>
      <w:r w:rsidRPr="002D6014">
        <w:rPr>
          <w:rFonts w:ascii="Arial" w:hAnsi="Arial" w:cs="Arial"/>
        </w:rPr>
        <w:t xml:space="preserve">provide us </w:t>
      </w:r>
      <w:r w:rsidR="00FD29EC" w:rsidRPr="002D6014">
        <w:rPr>
          <w:rFonts w:ascii="Arial" w:hAnsi="Arial" w:cs="Arial"/>
        </w:rPr>
        <w:t xml:space="preserve">with the chance </w:t>
      </w:r>
      <w:r w:rsidRPr="002D6014">
        <w:rPr>
          <w:rFonts w:ascii="Arial" w:hAnsi="Arial" w:cs="Arial"/>
        </w:rPr>
        <w:t>to create opportunities and spaces to understand and respect each other</w:t>
      </w:r>
      <w:r w:rsidR="00FD29EC" w:rsidRPr="002D6014">
        <w:rPr>
          <w:rFonts w:ascii="Arial" w:hAnsi="Arial" w:cs="Arial"/>
        </w:rPr>
        <w:t>, and</w:t>
      </w:r>
      <w:r w:rsidRPr="002D6014">
        <w:rPr>
          <w:rFonts w:ascii="Arial" w:hAnsi="Arial" w:cs="Arial"/>
        </w:rPr>
        <w:t xml:space="preserve"> to live better lives.</w:t>
      </w:r>
    </w:p>
    <w:p w:rsidR="00434B87" w:rsidRPr="002D6014" w:rsidRDefault="00434B87" w:rsidP="001427FF">
      <w:pPr>
        <w:pStyle w:val="ListParagraph"/>
        <w:numPr>
          <w:ilvl w:val="0"/>
          <w:numId w:val="5"/>
        </w:numPr>
        <w:contextualSpacing w:val="0"/>
        <w:rPr>
          <w:rFonts w:ascii="Arial" w:hAnsi="Arial" w:cs="Arial"/>
        </w:rPr>
      </w:pPr>
      <w:r w:rsidRPr="00D95D9E">
        <w:rPr>
          <w:rFonts w:ascii="Arial" w:hAnsi="Arial" w:cs="Arial"/>
        </w:rPr>
        <w:t xml:space="preserve">The cost of not protecting and fulfilling all Queenslanders human rights </w:t>
      </w:r>
      <w:r w:rsidR="005D32F1" w:rsidRPr="00D95D9E">
        <w:rPr>
          <w:rFonts w:ascii="Arial" w:hAnsi="Arial" w:cs="Arial"/>
        </w:rPr>
        <w:t xml:space="preserve">is </w:t>
      </w:r>
      <w:r w:rsidRPr="00D95D9E">
        <w:rPr>
          <w:rFonts w:ascii="Arial" w:hAnsi="Arial" w:cs="Arial"/>
        </w:rPr>
        <w:t>both tangible and intangible</w:t>
      </w:r>
      <w:r w:rsidR="005D32F1" w:rsidRPr="002D6014">
        <w:rPr>
          <w:rFonts w:ascii="Arial" w:hAnsi="Arial" w:cs="Arial"/>
        </w:rPr>
        <w:t>,</w:t>
      </w:r>
      <w:r w:rsidRPr="002D6014">
        <w:rPr>
          <w:rFonts w:ascii="Arial" w:hAnsi="Arial" w:cs="Arial"/>
        </w:rPr>
        <w:t xml:space="preserve"> and not always quantifiable in dollar terms. However, we know instinctively and anecdotally that </w:t>
      </w:r>
      <w:r w:rsidR="00CB0CE7" w:rsidRPr="002D6014">
        <w:rPr>
          <w:rFonts w:ascii="Arial" w:hAnsi="Arial" w:cs="Arial"/>
        </w:rPr>
        <w:t xml:space="preserve">where there is inequality in </w:t>
      </w:r>
      <w:r w:rsidRPr="002D6014">
        <w:rPr>
          <w:rFonts w:ascii="Arial" w:hAnsi="Arial" w:cs="Arial"/>
        </w:rPr>
        <w:t>society</w:t>
      </w:r>
      <w:r w:rsidR="00CB0CE7" w:rsidRPr="002D6014">
        <w:rPr>
          <w:rFonts w:ascii="Arial" w:hAnsi="Arial" w:cs="Arial"/>
        </w:rPr>
        <w:t>,</w:t>
      </w:r>
      <w:r w:rsidRPr="002D6014">
        <w:rPr>
          <w:rFonts w:ascii="Arial" w:hAnsi="Arial" w:cs="Arial"/>
        </w:rPr>
        <w:t xml:space="preserve"> </w:t>
      </w:r>
      <w:r w:rsidR="00CB0CE7" w:rsidRPr="002D6014">
        <w:rPr>
          <w:rFonts w:ascii="Arial" w:hAnsi="Arial" w:cs="Arial"/>
        </w:rPr>
        <w:t xml:space="preserve">without a </w:t>
      </w:r>
      <w:r w:rsidRPr="002D6014">
        <w:rPr>
          <w:rFonts w:ascii="Arial" w:hAnsi="Arial" w:cs="Arial"/>
        </w:rPr>
        <w:t xml:space="preserve">framework to address </w:t>
      </w:r>
      <w:r w:rsidR="00CB0CE7" w:rsidRPr="002D6014">
        <w:rPr>
          <w:rFonts w:ascii="Arial" w:hAnsi="Arial" w:cs="Arial"/>
        </w:rPr>
        <w:t>it,</w:t>
      </w:r>
      <w:r w:rsidRPr="002D6014">
        <w:rPr>
          <w:rFonts w:ascii="Arial" w:hAnsi="Arial" w:cs="Arial"/>
        </w:rPr>
        <w:t xml:space="preserve"> tha</w:t>
      </w:r>
      <w:r w:rsidR="00CB0CE7" w:rsidRPr="002D6014">
        <w:rPr>
          <w:rFonts w:ascii="Arial" w:hAnsi="Arial" w:cs="Arial"/>
        </w:rPr>
        <w:t>t</w:t>
      </w:r>
      <w:r w:rsidRPr="002D6014">
        <w:rPr>
          <w:rFonts w:ascii="Arial" w:hAnsi="Arial" w:cs="Arial"/>
        </w:rPr>
        <w:t xml:space="preserve"> there are significant costs</w:t>
      </w:r>
      <w:r w:rsidR="00CB0CE7" w:rsidRPr="002D6014">
        <w:rPr>
          <w:rFonts w:ascii="Arial" w:hAnsi="Arial" w:cs="Arial"/>
        </w:rPr>
        <w:t xml:space="preserve"> —</w:t>
      </w:r>
      <w:r w:rsidRPr="002D6014">
        <w:rPr>
          <w:rFonts w:ascii="Arial" w:hAnsi="Arial" w:cs="Arial"/>
        </w:rPr>
        <w:t xml:space="preserve"> socially, economically</w:t>
      </w:r>
      <w:r w:rsidR="00CB0CE7" w:rsidRPr="002D6014">
        <w:rPr>
          <w:rFonts w:ascii="Arial" w:hAnsi="Arial" w:cs="Arial"/>
        </w:rPr>
        <w:t>,</w:t>
      </w:r>
      <w:r w:rsidRPr="002D6014">
        <w:rPr>
          <w:rFonts w:ascii="Arial" w:hAnsi="Arial" w:cs="Arial"/>
        </w:rPr>
        <w:t xml:space="preserve"> and culturally to those individuals directly affected</w:t>
      </w:r>
      <w:r w:rsidR="00CB0CE7" w:rsidRPr="002D6014">
        <w:rPr>
          <w:rFonts w:ascii="Arial" w:hAnsi="Arial" w:cs="Arial"/>
        </w:rPr>
        <w:t>,</w:t>
      </w:r>
      <w:r w:rsidRPr="002D6014">
        <w:rPr>
          <w:rFonts w:ascii="Arial" w:hAnsi="Arial" w:cs="Arial"/>
        </w:rPr>
        <w:t xml:space="preserve"> and the broader society. These costs manifest in anti</w:t>
      </w:r>
      <w:r w:rsidR="00CB656A" w:rsidRPr="002D6014">
        <w:rPr>
          <w:rFonts w:ascii="Arial" w:hAnsi="Arial" w:cs="Arial"/>
        </w:rPr>
        <w:t>social behaviour and disruption;  unhealthy communities;</w:t>
      </w:r>
      <w:r w:rsidRPr="002D6014">
        <w:rPr>
          <w:rFonts w:ascii="Arial" w:hAnsi="Arial" w:cs="Arial"/>
        </w:rPr>
        <w:t xml:space="preserve"> more vio</w:t>
      </w:r>
      <w:r w:rsidR="00CB656A" w:rsidRPr="002D6014">
        <w:rPr>
          <w:rFonts w:ascii="Arial" w:hAnsi="Arial" w:cs="Arial"/>
        </w:rPr>
        <w:t xml:space="preserve">lent communities; </w:t>
      </w:r>
      <w:r w:rsidRPr="002D6014">
        <w:rPr>
          <w:rFonts w:ascii="Arial" w:hAnsi="Arial" w:cs="Arial"/>
        </w:rPr>
        <w:t>greater costs to our health system</w:t>
      </w:r>
      <w:r w:rsidR="00CB656A" w:rsidRPr="002D6014">
        <w:rPr>
          <w:rFonts w:ascii="Arial" w:hAnsi="Arial" w:cs="Arial"/>
        </w:rPr>
        <w:t xml:space="preserve"> and </w:t>
      </w:r>
      <w:r w:rsidRPr="002D6014">
        <w:rPr>
          <w:rFonts w:ascii="Arial" w:hAnsi="Arial" w:cs="Arial"/>
        </w:rPr>
        <w:t xml:space="preserve"> our </w:t>
      </w:r>
      <w:r w:rsidR="00CC4463" w:rsidRPr="002D6014">
        <w:rPr>
          <w:rFonts w:ascii="Arial" w:hAnsi="Arial" w:cs="Arial"/>
        </w:rPr>
        <w:t>police, justice</w:t>
      </w:r>
      <w:r w:rsidR="00CB0CE7" w:rsidRPr="002D6014">
        <w:rPr>
          <w:rFonts w:ascii="Arial" w:hAnsi="Arial" w:cs="Arial"/>
        </w:rPr>
        <w:t>,</w:t>
      </w:r>
      <w:r w:rsidRPr="002D6014">
        <w:rPr>
          <w:rFonts w:ascii="Arial" w:hAnsi="Arial" w:cs="Arial"/>
        </w:rPr>
        <w:t xml:space="preserve"> and corrective services systems</w:t>
      </w:r>
      <w:r w:rsidR="00CB0CE7" w:rsidRPr="002D6014">
        <w:rPr>
          <w:rFonts w:ascii="Arial" w:hAnsi="Arial" w:cs="Arial"/>
        </w:rPr>
        <w:t>,</w:t>
      </w:r>
      <w:r w:rsidRPr="002D6014">
        <w:rPr>
          <w:rFonts w:ascii="Arial" w:hAnsi="Arial" w:cs="Arial"/>
        </w:rPr>
        <w:t xml:space="preserve"> and ultimately</w:t>
      </w:r>
      <w:r w:rsidR="00CB0CE7" w:rsidRPr="002D6014">
        <w:rPr>
          <w:rFonts w:ascii="Arial" w:hAnsi="Arial" w:cs="Arial"/>
        </w:rPr>
        <w:t>,</w:t>
      </w:r>
      <w:r w:rsidRPr="002D6014">
        <w:rPr>
          <w:rFonts w:ascii="Arial" w:hAnsi="Arial" w:cs="Arial"/>
        </w:rPr>
        <w:t xml:space="preserve"> our social services systems. These costs far outweigh the cost to establish and maintain a </w:t>
      </w:r>
      <w:r w:rsidR="00CB0CE7" w:rsidRPr="002D6014">
        <w:rPr>
          <w:rFonts w:ascii="Arial" w:hAnsi="Arial" w:cs="Arial"/>
        </w:rPr>
        <w:t>H</w:t>
      </w:r>
      <w:r w:rsidRPr="002D6014">
        <w:rPr>
          <w:rFonts w:ascii="Arial" w:hAnsi="Arial" w:cs="Arial"/>
        </w:rPr>
        <w:t xml:space="preserve">uman </w:t>
      </w:r>
      <w:r w:rsidR="00CB0CE7" w:rsidRPr="002D6014">
        <w:rPr>
          <w:rFonts w:ascii="Arial" w:hAnsi="Arial" w:cs="Arial"/>
        </w:rPr>
        <w:t>R</w:t>
      </w:r>
      <w:r w:rsidRPr="002D6014">
        <w:rPr>
          <w:rFonts w:ascii="Arial" w:hAnsi="Arial" w:cs="Arial"/>
        </w:rPr>
        <w:t xml:space="preserve">ights </w:t>
      </w:r>
      <w:r w:rsidR="00CB0CE7" w:rsidRPr="002D6014">
        <w:rPr>
          <w:rFonts w:ascii="Arial" w:hAnsi="Arial" w:cs="Arial"/>
        </w:rPr>
        <w:t>A</w:t>
      </w:r>
      <w:r w:rsidRPr="002D6014">
        <w:rPr>
          <w:rFonts w:ascii="Arial" w:hAnsi="Arial" w:cs="Arial"/>
        </w:rPr>
        <w:t>ct.</w:t>
      </w:r>
    </w:p>
    <w:p w:rsidR="006E0110" w:rsidRPr="002D6014" w:rsidRDefault="00FD4C45" w:rsidP="001427FF">
      <w:pPr>
        <w:pStyle w:val="ListParagraph"/>
        <w:numPr>
          <w:ilvl w:val="0"/>
          <w:numId w:val="5"/>
        </w:numPr>
        <w:tabs>
          <w:tab w:val="clear" w:pos="567"/>
        </w:tabs>
        <w:autoSpaceDE w:val="0"/>
        <w:autoSpaceDN w:val="0"/>
        <w:adjustRightInd w:val="0"/>
        <w:contextualSpacing w:val="0"/>
        <w:rPr>
          <w:rFonts w:cstheme="minorHAnsi"/>
        </w:rPr>
      </w:pPr>
      <w:r w:rsidRPr="002D6014">
        <w:rPr>
          <w:rFonts w:cstheme="minorHAnsi"/>
        </w:rPr>
        <w:t xml:space="preserve">The financial costs to government of adopting a Human Rights Act </w:t>
      </w:r>
      <w:r w:rsidR="00F31F76" w:rsidRPr="002D6014">
        <w:rPr>
          <w:rFonts w:cstheme="minorHAnsi"/>
        </w:rPr>
        <w:t xml:space="preserve">would </w:t>
      </w:r>
      <w:r w:rsidR="00CB656A" w:rsidRPr="002D6014">
        <w:rPr>
          <w:rFonts w:cstheme="minorHAnsi"/>
        </w:rPr>
        <w:t xml:space="preserve">also </w:t>
      </w:r>
      <w:r w:rsidRPr="002D6014">
        <w:rPr>
          <w:rFonts w:cstheme="minorHAnsi"/>
        </w:rPr>
        <w:t>depend on the model introduced</w:t>
      </w:r>
      <w:r w:rsidR="00F31F76" w:rsidRPr="002D6014">
        <w:rPr>
          <w:rFonts w:cstheme="minorHAnsi"/>
        </w:rPr>
        <w:t>,</w:t>
      </w:r>
      <w:r w:rsidRPr="002D6014">
        <w:rPr>
          <w:rFonts w:cstheme="minorHAnsi"/>
        </w:rPr>
        <w:t xml:space="preserve"> and the resources devoted to its implementation.</w:t>
      </w:r>
      <w:r w:rsidR="004C7391" w:rsidRPr="002D6014">
        <w:rPr>
          <w:rFonts w:cstheme="minorHAnsi"/>
        </w:rPr>
        <w:t xml:space="preserve"> </w:t>
      </w:r>
      <w:r w:rsidR="00C374CE" w:rsidRPr="002D6014">
        <w:rPr>
          <w:rFonts w:cstheme="minorHAnsi"/>
        </w:rPr>
        <w:t xml:space="preserve">The experience in other jurisdictions with Human Rights Acts is that there has not been a flood of litigation, or </w:t>
      </w:r>
      <w:r w:rsidR="00CB656A" w:rsidRPr="002D6014">
        <w:rPr>
          <w:rFonts w:cstheme="minorHAnsi"/>
        </w:rPr>
        <w:t>other significant</w:t>
      </w:r>
      <w:r w:rsidR="00C374CE" w:rsidRPr="002D6014">
        <w:rPr>
          <w:rFonts w:cstheme="minorHAnsi"/>
        </w:rPr>
        <w:t xml:space="preserve"> financial burden to the </w:t>
      </w:r>
      <w:r w:rsidR="00F31F76" w:rsidRPr="002D6014">
        <w:rPr>
          <w:rFonts w:cstheme="minorHAnsi"/>
        </w:rPr>
        <w:t>s</w:t>
      </w:r>
      <w:r w:rsidR="00C374CE" w:rsidRPr="002D6014">
        <w:rPr>
          <w:rFonts w:cstheme="minorHAnsi"/>
        </w:rPr>
        <w:t>tate. An analysis of the Victorian Charter in 2011 found that it had only cost 50 cents per Victorian</w:t>
      </w:r>
      <w:r w:rsidR="00F31F76" w:rsidRPr="002D6014">
        <w:rPr>
          <w:rFonts w:cstheme="minorHAnsi"/>
        </w:rPr>
        <w:t>,</w:t>
      </w:r>
      <w:r w:rsidR="00C374CE" w:rsidRPr="002D6014">
        <w:rPr>
          <w:rFonts w:cstheme="minorHAnsi"/>
        </w:rPr>
        <w:t xml:space="preserve"> per year.</w:t>
      </w:r>
      <w:r w:rsidR="00C374CE" w:rsidRPr="002D6014">
        <w:rPr>
          <w:rStyle w:val="FootnoteReference"/>
          <w:rFonts w:cstheme="minorHAnsi"/>
        </w:rPr>
        <w:footnoteReference w:id="33"/>
      </w:r>
      <w:r w:rsidR="00C374CE" w:rsidRPr="002D6014">
        <w:rPr>
          <w:rFonts w:cstheme="minorHAnsi"/>
        </w:rPr>
        <w:t xml:space="preserve">  </w:t>
      </w:r>
    </w:p>
    <w:p w:rsidR="00055B64" w:rsidRPr="002D6014" w:rsidRDefault="006E0110" w:rsidP="001427FF">
      <w:pPr>
        <w:pStyle w:val="ListParagraph"/>
        <w:numPr>
          <w:ilvl w:val="0"/>
          <w:numId w:val="5"/>
        </w:numPr>
        <w:contextualSpacing w:val="0"/>
        <w:rPr>
          <w:rFonts w:cstheme="minorHAnsi"/>
        </w:rPr>
      </w:pPr>
      <w:r w:rsidRPr="002D6014">
        <w:rPr>
          <w:rFonts w:cstheme="minorHAnsi"/>
        </w:rPr>
        <w:t xml:space="preserve">The initial costs devoted to the implementation of a Human Rights Act, including the education and training of public servants at all levels on human rights, would be offset by the development of human rights compliant legislation, policies and procedures that benefit the community as a whole, as well as </w:t>
      </w:r>
      <w:r w:rsidR="00C374CE" w:rsidRPr="002D6014">
        <w:rPr>
          <w:rFonts w:cstheme="minorHAnsi"/>
        </w:rPr>
        <w:t xml:space="preserve">those </w:t>
      </w:r>
      <w:r w:rsidRPr="002D6014">
        <w:rPr>
          <w:rFonts w:cstheme="minorHAnsi"/>
        </w:rPr>
        <w:t xml:space="preserve">individuals who may be subjected to human rights breaches. </w:t>
      </w:r>
    </w:p>
    <w:p w:rsidR="00CB656A" w:rsidRPr="002D6014" w:rsidRDefault="00CB656A" w:rsidP="001427FF">
      <w:pPr>
        <w:pStyle w:val="ListParagraph"/>
        <w:numPr>
          <w:ilvl w:val="0"/>
          <w:numId w:val="5"/>
        </w:numPr>
        <w:contextualSpacing w:val="0"/>
        <w:rPr>
          <w:rFonts w:cstheme="minorHAnsi"/>
        </w:rPr>
      </w:pPr>
      <w:r w:rsidRPr="002D6014">
        <w:rPr>
          <w:rFonts w:cstheme="minorHAnsi"/>
        </w:rPr>
        <w:t xml:space="preserve">Attached to this submission </w:t>
      </w:r>
      <w:r w:rsidR="00B86231" w:rsidRPr="002D6014">
        <w:rPr>
          <w:rFonts w:cstheme="minorHAnsi"/>
        </w:rPr>
        <w:t>are examples of</w:t>
      </w:r>
      <w:r w:rsidRPr="002D6014">
        <w:rPr>
          <w:rFonts w:cstheme="minorHAnsi"/>
        </w:rPr>
        <w:t xml:space="preserve"> case </w:t>
      </w:r>
      <w:r w:rsidR="00CC4463" w:rsidRPr="002D6014">
        <w:rPr>
          <w:rFonts w:cstheme="minorHAnsi"/>
        </w:rPr>
        <w:t>studies that</w:t>
      </w:r>
      <w:r w:rsidRPr="002D6014">
        <w:rPr>
          <w:rFonts w:cstheme="minorHAnsi"/>
        </w:rPr>
        <w:t xml:space="preserve"> demonstrate some of the social and financial benefits of adopting a Human Rights Act. The cases are drawn from a number of sources.</w:t>
      </w:r>
      <w:r w:rsidRPr="002D6014">
        <w:rPr>
          <w:rStyle w:val="FootnoteReference"/>
          <w:rFonts w:cstheme="minorHAnsi"/>
        </w:rPr>
        <w:footnoteReference w:id="34"/>
      </w:r>
    </w:p>
    <w:p w:rsidR="00AB4A3B" w:rsidRPr="002D6014" w:rsidRDefault="00347682" w:rsidP="001B5E72">
      <w:pPr>
        <w:pStyle w:val="Heading1"/>
        <w:rPr>
          <w:color w:val="0070C0"/>
        </w:rPr>
      </w:pPr>
      <w:bookmarkStart w:id="17" w:name="_Toc448747761"/>
      <w:r w:rsidRPr="002D6014">
        <w:lastRenderedPageBreak/>
        <w:t>H</w:t>
      </w:r>
      <w:r w:rsidR="00AB4A3B" w:rsidRPr="002D6014">
        <w:t>uman rights legislation</w:t>
      </w:r>
      <w:r w:rsidRPr="002D6014">
        <w:t xml:space="preserve"> reviews</w:t>
      </w:r>
      <w:bookmarkEnd w:id="17"/>
      <w:r w:rsidR="00F63866" w:rsidRPr="002D6014">
        <w:t xml:space="preserve"> </w:t>
      </w:r>
    </w:p>
    <w:p w:rsidR="00347682" w:rsidRPr="002D6014" w:rsidRDefault="00347682" w:rsidP="00632BB9">
      <w:r w:rsidRPr="002D6014">
        <w:rPr>
          <w:b/>
        </w:rPr>
        <w:t xml:space="preserve">Terms of reference 2d: </w:t>
      </w:r>
      <w:r w:rsidR="00113386" w:rsidRPr="002D6014">
        <w:rPr>
          <w:b/>
        </w:rPr>
        <w:t>previous and current reviews and inquiries (in Australia and internationally) on the issue of human rights legislation</w:t>
      </w:r>
      <w:r w:rsidRPr="002D6014">
        <w:rPr>
          <w:b/>
        </w:rPr>
        <w:t>.</w:t>
      </w:r>
    </w:p>
    <w:p w:rsidR="00E11069" w:rsidRPr="002D6014" w:rsidRDefault="00E11069" w:rsidP="001B5E72">
      <w:pPr>
        <w:pStyle w:val="Heading2"/>
      </w:pPr>
      <w:bookmarkStart w:id="18" w:name="_Toc448747762"/>
      <w:r w:rsidRPr="002D6014">
        <w:t>W</w:t>
      </w:r>
      <w:r w:rsidR="0068307A" w:rsidRPr="002D6014">
        <w:t xml:space="preserve">estern </w:t>
      </w:r>
      <w:r w:rsidRPr="002D6014">
        <w:t>A</w:t>
      </w:r>
      <w:r w:rsidR="0068307A" w:rsidRPr="002D6014">
        <w:t>ustralia</w:t>
      </w:r>
      <w:r w:rsidR="00575A57" w:rsidRPr="002D6014">
        <w:t>n</w:t>
      </w:r>
      <w:r w:rsidRPr="002D6014">
        <w:t xml:space="preserve"> and Tasmanian reviews</w:t>
      </w:r>
      <w:bookmarkEnd w:id="18"/>
    </w:p>
    <w:p w:rsidR="0015288B" w:rsidRPr="002D6014" w:rsidRDefault="00656D4D" w:rsidP="001427FF">
      <w:pPr>
        <w:pStyle w:val="ListParagraph"/>
        <w:numPr>
          <w:ilvl w:val="0"/>
          <w:numId w:val="5"/>
        </w:numPr>
        <w:contextualSpacing w:val="0"/>
        <w:rPr>
          <w:rFonts w:cstheme="minorHAnsi"/>
        </w:rPr>
      </w:pPr>
      <w:r w:rsidRPr="002D6014">
        <w:rPr>
          <w:rFonts w:cstheme="minorHAnsi"/>
        </w:rPr>
        <w:t xml:space="preserve">Aside from the ACT and Victoria, </w:t>
      </w:r>
      <w:r w:rsidR="00770393" w:rsidRPr="002D6014">
        <w:rPr>
          <w:rFonts w:cstheme="minorHAnsi"/>
        </w:rPr>
        <w:t xml:space="preserve">the </w:t>
      </w:r>
      <w:r w:rsidRPr="002D6014">
        <w:rPr>
          <w:rFonts w:cstheme="minorHAnsi"/>
        </w:rPr>
        <w:t>o</w:t>
      </w:r>
      <w:r w:rsidR="00A42DF6" w:rsidRPr="002D6014">
        <w:rPr>
          <w:rFonts w:cstheme="minorHAnsi"/>
        </w:rPr>
        <w:t xml:space="preserve">ther </w:t>
      </w:r>
      <w:r w:rsidRPr="002D6014">
        <w:rPr>
          <w:rFonts w:cstheme="minorHAnsi"/>
        </w:rPr>
        <w:t xml:space="preserve">Australian </w:t>
      </w:r>
      <w:r w:rsidR="00A42DF6" w:rsidRPr="002D6014">
        <w:rPr>
          <w:rFonts w:cstheme="minorHAnsi"/>
        </w:rPr>
        <w:t xml:space="preserve">States and Territories have not adopted a Charter of Human Rights. However, in 2006 and 2007, the governments of Tasmania and Western Australia commissioned public consultation processes into human rights protections in those </w:t>
      </w:r>
      <w:r w:rsidR="00770393" w:rsidRPr="002D6014">
        <w:rPr>
          <w:rFonts w:cstheme="minorHAnsi"/>
        </w:rPr>
        <w:t>s</w:t>
      </w:r>
      <w:r w:rsidR="00A42DF6" w:rsidRPr="002D6014">
        <w:rPr>
          <w:rFonts w:cstheme="minorHAnsi"/>
        </w:rPr>
        <w:t xml:space="preserve">tates. Both of these inquiries recommended that a Charter of Human Rights be enacted at a </w:t>
      </w:r>
      <w:r w:rsidR="00770393" w:rsidRPr="002D6014">
        <w:rPr>
          <w:rFonts w:cstheme="minorHAnsi"/>
        </w:rPr>
        <w:t>s</w:t>
      </w:r>
      <w:r w:rsidR="00A42DF6" w:rsidRPr="002D6014">
        <w:rPr>
          <w:rFonts w:cstheme="minorHAnsi"/>
        </w:rPr>
        <w:t>tate level.</w:t>
      </w:r>
    </w:p>
    <w:p w:rsidR="0015288B" w:rsidRPr="002D6014" w:rsidRDefault="0015288B" w:rsidP="001427FF">
      <w:pPr>
        <w:pStyle w:val="ListParagraph"/>
        <w:numPr>
          <w:ilvl w:val="0"/>
          <w:numId w:val="5"/>
        </w:numPr>
        <w:tabs>
          <w:tab w:val="clear" w:pos="567"/>
        </w:tabs>
        <w:contextualSpacing w:val="0"/>
        <w:rPr>
          <w:rFonts w:eastAsia="Times New Roman" w:cstheme="minorHAnsi"/>
        </w:rPr>
      </w:pPr>
      <w:r w:rsidRPr="002D6014">
        <w:rPr>
          <w:rFonts w:eastAsia="Times New Roman" w:cstheme="minorHAnsi"/>
        </w:rPr>
        <w:t>The W</w:t>
      </w:r>
      <w:r w:rsidR="00770393" w:rsidRPr="002D6014">
        <w:rPr>
          <w:rFonts w:eastAsia="Times New Roman" w:cstheme="minorHAnsi"/>
        </w:rPr>
        <w:t xml:space="preserve">estern </w:t>
      </w:r>
      <w:r w:rsidRPr="002D6014">
        <w:rPr>
          <w:rFonts w:eastAsia="Times New Roman" w:cstheme="minorHAnsi"/>
        </w:rPr>
        <w:t>A</w:t>
      </w:r>
      <w:r w:rsidR="00770393" w:rsidRPr="002D6014">
        <w:rPr>
          <w:rFonts w:eastAsia="Times New Roman" w:cstheme="minorHAnsi"/>
        </w:rPr>
        <w:t>ustralian</w:t>
      </w:r>
      <w:r w:rsidRPr="002D6014">
        <w:rPr>
          <w:rFonts w:eastAsia="Times New Roman" w:cstheme="minorHAnsi"/>
        </w:rPr>
        <w:t xml:space="preserve"> Committee found that human rights legislation should:</w:t>
      </w:r>
    </w:p>
    <w:p w:rsidR="0015288B" w:rsidRPr="002D6014" w:rsidRDefault="00770393" w:rsidP="004902F3">
      <w:pPr>
        <w:numPr>
          <w:ilvl w:val="0"/>
          <w:numId w:val="1"/>
        </w:numPr>
        <w:tabs>
          <w:tab w:val="clear" w:pos="567"/>
          <w:tab w:val="clear" w:pos="1080"/>
        </w:tabs>
        <w:spacing w:before="120" w:after="120"/>
        <w:ind w:left="1276" w:hanging="425"/>
        <w:jc w:val="both"/>
        <w:rPr>
          <w:rFonts w:eastAsia="Times New Roman" w:cstheme="minorHAnsi"/>
        </w:rPr>
      </w:pPr>
      <w:r w:rsidRPr="002D6014">
        <w:rPr>
          <w:rFonts w:eastAsia="Times New Roman" w:cstheme="minorHAnsi"/>
        </w:rPr>
        <w:t>m</w:t>
      </w:r>
      <w:r w:rsidR="0015288B" w:rsidRPr="002D6014">
        <w:rPr>
          <w:rFonts w:eastAsia="Times New Roman" w:cstheme="minorHAnsi"/>
        </w:rPr>
        <w:t xml:space="preserve">aintain </w:t>
      </w:r>
      <w:r w:rsidRPr="00D95D9E">
        <w:rPr>
          <w:rFonts w:cstheme="minorHAnsi"/>
        </w:rPr>
        <w:t>p</w:t>
      </w:r>
      <w:r w:rsidR="0015288B" w:rsidRPr="00D95D9E">
        <w:rPr>
          <w:rFonts w:cstheme="minorHAnsi"/>
        </w:rPr>
        <w:t>arliamentary</w:t>
      </w:r>
      <w:r w:rsidR="0015288B" w:rsidRPr="002D6014">
        <w:rPr>
          <w:rFonts w:eastAsia="Times New Roman" w:cstheme="minorHAnsi"/>
        </w:rPr>
        <w:t xml:space="preserve"> sovereignty – democratically elected politicians and not judges should retain the responsibility for determining how rights should be balanced and when rights should be limited for the common good of the community;</w:t>
      </w:r>
    </w:p>
    <w:p w:rsidR="0015288B" w:rsidRPr="002D6014" w:rsidRDefault="00770393" w:rsidP="004902F3">
      <w:pPr>
        <w:numPr>
          <w:ilvl w:val="0"/>
          <w:numId w:val="1"/>
        </w:numPr>
        <w:tabs>
          <w:tab w:val="clear" w:pos="567"/>
          <w:tab w:val="clear" w:pos="1080"/>
        </w:tabs>
        <w:spacing w:before="120" w:after="120"/>
        <w:ind w:left="1276" w:hanging="425"/>
        <w:jc w:val="both"/>
        <w:rPr>
          <w:rFonts w:eastAsia="Times New Roman" w:cstheme="minorHAnsi"/>
        </w:rPr>
      </w:pPr>
      <w:r w:rsidRPr="002D6014">
        <w:rPr>
          <w:rFonts w:eastAsia="Times New Roman" w:cstheme="minorHAnsi"/>
        </w:rPr>
        <w:t>e</w:t>
      </w:r>
      <w:r w:rsidR="0015288B" w:rsidRPr="002D6014">
        <w:rPr>
          <w:rFonts w:eastAsia="Times New Roman" w:cstheme="minorHAnsi"/>
        </w:rPr>
        <w:t xml:space="preserve">ncourage a </w:t>
      </w:r>
      <w:r w:rsidR="0015288B" w:rsidRPr="00D95D9E">
        <w:rPr>
          <w:rFonts w:cstheme="minorHAnsi"/>
        </w:rPr>
        <w:t>human</w:t>
      </w:r>
      <w:r w:rsidR="0015288B" w:rsidRPr="002D6014">
        <w:rPr>
          <w:rFonts w:eastAsia="Times New Roman" w:cstheme="minorHAnsi"/>
        </w:rPr>
        <w:t xml:space="preserve"> rights culture in </w:t>
      </w:r>
      <w:r w:rsidRPr="002D6014">
        <w:rPr>
          <w:rFonts w:eastAsia="Times New Roman" w:cstheme="minorHAnsi"/>
        </w:rPr>
        <w:t>g</w:t>
      </w:r>
      <w:r w:rsidR="0015288B" w:rsidRPr="002D6014">
        <w:rPr>
          <w:rFonts w:eastAsia="Times New Roman" w:cstheme="minorHAnsi"/>
        </w:rPr>
        <w:t>overnment departments and agencies;</w:t>
      </w:r>
    </w:p>
    <w:p w:rsidR="0015288B" w:rsidRPr="002D6014" w:rsidRDefault="00770393" w:rsidP="004902F3">
      <w:pPr>
        <w:numPr>
          <w:ilvl w:val="0"/>
          <w:numId w:val="1"/>
        </w:numPr>
        <w:tabs>
          <w:tab w:val="clear" w:pos="567"/>
          <w:tab w:val="clear" w:pos="1080"/>
        </w:tabs>
        <w:spacing w:before="120" w:after="120"/>
        <w:ind w:left="1276" w:hanging="425"/>
        <w:jc w:val="both"/>
        <w:rPr>
          <w:rFonts w:eastAsia="Times New Roman" w:cstheme="minorHAnsi"/>
        </w:rPr>
      </w:pPr>
      <w:r w:rsidRPr="002D6014">
        <w:rPr>
          <w:rFonts w:eastAsia="Times New Roman" w:cstheme="minorHAnsi"/>
        </w:rPr>
        <w:t>d</w:t>
      </w:r>
      <w:r w:rsidR="0015288B" w:rsidRPr="002D6014">
        <w:rPr>
          <w:rFonts w:eastAsia="Times New Roman" w:cstheme="minorHAnsi"/>
        </w:rPr>
        <w:t xml:space="preserve">iscourage </w:t>
      </w:r>
      <w:r w:rsidR="0015288B" w:rsidRPr="00D95D9E">
        <w:rPr>
          <w:rFonts w:cstheme="minorHAnsi"/>
        </w:rPr>
        <w:t>litigation</w:t>
      </w:r>
      <w:r w:rsidR="0015288B" w:rsidRPr="002D6014">
        <w:rPr>
          <w:rFonts w:eastAsia="Times New Roman" w:cstheme="minorHAnsi"/>
        </w:rPr>
        <w:t xml:space="preserve"> as a way to resolve human rights issues – the emphasis should be placed on conciliation to settle disputes; and</w:t>
      </w:r>
    </w:p>
    <w:p w:rsidR="00D026FB" w:rsidRPr="002D6014" w:rsidRDefault="00770393" w:rsidP="004902F3">
      <w:pPr>
        <w:numPr>
          <w:ilvl w:val="0"/>
          <w:numId w:val="1"/>
        </w:numPr>
        <w:tabs>
          <w:tab w:val="clear" w:pos="567"/>
          <w:tab w:val="clear" w:pos="1080"/>
        </w:tabs>
        <w:spacing w:before="120" w:after="120"/>
        <w:ind w:left="1276" w:hanging="425"/>
        <w:jc w:val="both"/>
        <w:rPr>
          <w:rFonts w:eastAsia="Times New Roman" w:cstheme="minorHAnsi"/>
        </w:rPr>
      </w:pPr>
      <w:proofErr w:type="gramStart"/>
      <w:r w:rsidRPr="002D6014">
        <w:rPr>
          <w:rFonts w:eastAsia="Times New Roman" w:cstheme="minorHAnsi"/>
        </w:rPr>
        <w:t>p</w:t>
      </w:r>
      <w:r w:rsidR="0015288B" w:rsidRPr="002D6014">
        <w:rPr>
          <w:rFonts w:eastAsia="Times New Roman" w:cstheme="minorHAnsi"/>
        </w:rPr>
        <w:t>rotect</w:t>
      </w:r>
      <w:proofErr w:type="gramEnd"/>
      <w:r w:rsidR="0015288B" w:rsidRPr="002D6014">
        <w:rPr>
          <w:rFonts w:eastAsia="Times New Roman" w:cstheme="minorHAnsi"/>
        </w:rPr>
        <w:t xml:space="preserve"> civil and </w:t>
      </w:r>
      <w:r w:rsidR="0015288B" w:rsidRPr="00D95D9E">
        <w:rPr>
          <w:rFonts w:cstheme="minorHAnsi"/>
        </w:rPr>
        <w:t>political</w:t>
      </w:r>
      <w:r w:rsidR="0015288B" w:rsidRPr="002D6014">
        <w:rPr>
          <w:rFonts w:eastAsia="Times New Roman" w:cstheme="minorHAnsi"/>
        </w:rPr>
        <w:t xml:space="preserve"> rights as well as social, economic and cultural rights.</w:t>
      </w:r>
      <w:r w:rsidR="00E25067" w:rsidRPr="002D6014">
        <w:rPr>
          <w:rStyle w:val="FootnoteReference"/>
          <w:rFonts w:eastAsia="Times New Roman" w:cstheme="minorHAnsi"/>
        </w:rPr>
        <w:footnoteReference w:id="35"/>
      </w:r>
    </w:p>
    <w:p w:rsidR="009C1013" w:rsidRPr="00D95D9E" w:rsidRDefault="009C1013" w:rsidP="004902F3">
      <w:pPr>
        <w:pStyle w:val="ListParagraph"/>
        <w:numPr>
          <w:ilvl w:val="0"/>
          <w:numId w:val="5"/>
        </w:numPr>
        <w:tabs>
          <w:tab w:val="clear" w:pos="567"/>
        </w:tabs>
        <w:autoSpaceDE w:val="0"/>
        <w:autoSpaceDN w:val="0"/>
        <w:adjustRightInd w:val="0"/>
        <w:spacing w:after="120"/>
        <w:contextualSpacing w:val="0"/>
        <w:rPr>
          <w:rFonts w:cstheme="minorHAnsi"/>
        </w:rPr>
      </w:pPr>
      <w:r w:rsidRPr="00D95D9E">
        <w:rPr>
          <w:rFonts w:cstheme="minorHAnsi"/>
        </w:rPr>
        <w:t xml:space="preserve">The </w:t>
      </w:r>
      <w:r w:rsidR="00E943DF" w:rsidRPr="00D95D9E">
        <w:rPr>
          <w:rFonts w:cstheme="minorHAnsi"/>
        </w:rPr>
        <w:t>C</w:t>
      </w:r>
      <w:r w:rsidRPr="00D95D9E">
        <w:rPr>
          <w:rFonts w:cstheme="minorHAnsi"/>
        </w:rPr>
        <w:t>ommittee recommended:</w:t>
      </w:r>
    </w:p>
    <w:p w:rsidR="00631951" w:rsidRPr="002D6014" w:rsidRDefault="009C1013" w:rsidP="004902F3">
      <w:pPr>
        <w:tabs>
          <w:tab w:val="clear" w:pos="567"/>
        </w:tabs>
        <w:autoSpaceDE w:val="0"/>
        <w:autoSpaceDN w:val="0"/>
        <w:adjustRightInd w:val="0"/>
        <w:ind w:left="1134" w:right="1083"/>
        <w:rPr>
          <w:rFonts w:cstheme="minorHAnsi"/>
          <w:sz w:val="20"/>
          <w:szCs w:val="20"/>
        </w:rPr>
      </w:pPr>
      <w:r w:rsidRPr="00066EEA">
        <w:rPr>
          <w:rFonts w:cstheme="minorHAnsi"/>
          <w:sz w:val="20"/>
          <w:szCs w:val="20"/>
        </w:rPr>
        <w:t>‘</w:t>
      </w:r>
      <w:proofErr w:type="gramStart"/>
      <w:r w:rsidR="00631951" w:rsidRPr="00066EEA">
        <w:rPr>
          <w:rFonts w:cstheme="minorHAnsi"/>
          <w:sz w:val="20"/>
          <w:szCs w:val="20"/>
        </w:rPr>
        <w:t>that</w:t>
      </w:r>
      <w:proofErr w:type="gramEnd"/>
      <w:r w:rsidR="00631951" w:rsidRPr="00066EEA">
        <w:rPr>
          <w:rFonts w:cstheme="minorHAnsi"/>
          <w:sz w:val="20"/>
          <w:szCs w:val="20"/>
        </w:rPr>
        <w:t xml:space="preserve"> the draft Bill should implement specific </w:t>
      </w:r>
      <w:r w:rsidR="00D95D9E" w:rsidRPr="002D6014">
        <w:rPr>
          <w:rFonts w:cstheme="minorHAnsi"/>
          <w:sz w:val="20"/>
          <w:szCs w:val="20"/>
        </w:rPr>
        <w:t>economic,</w:t>
      </w:r>
      <w:r w:rsidRPr="002D6014">
        <w:rPr>
          <w:rFonts w:cstheme="minorHAnsi"/>
          <w:sz w:val="20"/>
          <w:szCs w:val="20"/>
        </w:rPr>
        <w:t xml:space="preserve"> social and cultural (ESC) r</w:t>
      </w:r>
      <w:r w:rsidR="00631951" w:rsidRPr="002D6014">
        <w:rPr>
          <w:rFonts w:cstheme="minorHAnsi"/>
          <w:sz w:val="20"/>
          <w:szCs w:val="20"/>
        </w:rPr>
        <w:t>ights in the same way that civil and political rights</w:t>
      </w:r>
      <w:r w:rsidRPr="002D6014">
        <w:rPr>
          <w:rFonts w:cstheme="minorHAnsi"/>
          <w:sz w:val="20"/>
          <w:szCs w:val="20"/>
        </w:rPr>
        <w:t xml:space="preserve"> </w:t>
      </w:r>
      <w:r w:rsidR="00631951" w:rsidRPr="002D6014">
        <w:rPr>
          <w:rFonts w:cstheme="minorHAnsi"/>
          <w:sz w:val="20"/>
          <w:szCs w:val="20"/>
        </w:rPr>
        <w:t>are implemented under the draft Bill. A WA Human Rights Act</w:t>
      </w:r>
      <w:r w:rsidRPr="002D6014">
        <w:rPr>
          <w:rFonts w:cstheme="minorHAnsi"/>
          <w:sz w:val="20"/>
          <w:szCs w:val="20"/>
        </w:rPr>
        <w:t xml:space="preserve"> </w:t>
      </w:r>
      <w:r w:rsidR="00631951" w:rsidRPr="002D6014">
        <w:rPr>
          <w:rFonts w:cstheme="minorHAnsi"/>
          <w:sz w:val="20"/>
          <w:szCs w:val="20"/>
        </w:rPr>
        <w:t>should also expressly recognise that ESC rights are to be progressively implemented. The inclus</w:t>
      </w:r>
      <w:r w:rsidRPr="002D6014">
        <w:rPr>
          <w:rFonts w:cstheme="minorHAnsi"/>
          <w:sz w:val="20"/>
          <w:szCs w:val="20"/>
        </w:rPr>
        <w:t xml:space="preserve">ion </w:t>
      </w:r>
      <w:r w:rsidR="00631951" w:rsidRPr="002D6014">
        <w:rPr>
          <w:rFonts w:cstheme="minorHAnsi"/>
          <w:sz w:val="20"/>
          <w:szCs w:val="20"/>
        </w:rPr>
        <w:t>of this statement would be impo</w:t>
      </w:r>
      <w:r w:rsidRPr="002D6014">
        <w:rPr>
          <w:rFonts w:cstheme="minorHAnsi"/>
          <w:sz w:val="20"/>
          <w:szCs w:val="20"/>
        </w:rPr>
        <w:t xml:space="preserve">rtant in ensuring that when the </w:t>
      </w:r>
      <w:r w:rsidR="00631951" w:rsidRPr="002D6014">
        <w:rPr>
          <w:rFonts w:cstheme="minorHAnsi"/>
          <w:sz w:val="20"/>
          <w:szCs w:val="20"/>
        </w:rPr>
        <w:t>Parliament, the Government an</w:t>
      </w:r>
      <w:r w:rsidRPr="002D6014">
        <w:rPr>
          <w:rFonts w:cstheme="minorHAnsi"/>
          <w:sz w:val="20"/>
          <w:szCs w:val="20"/>
        </w:rPr>
        <w:t xml:space="preserve">d the courts (when interpreting </w:t>
      </w:r>
      <w:r w:rsidR="00631951" w:rsidRPr="002D6014">
        <w:rPr>
          <w:rFonts w:cstheme="minorHAnsi"/>
          <w:sz w:val="20"/>
          <w:szCs w:val="20"/>
        </w:rPr>
        <w:t>legislation) consider whether leg</w:t>
      </w:r>
      <w:r w:rsidRPr="002D6014">
        <w:rPr>
          <w:rFonts w:cstheme="minorHAnsi"/>
          <w:sz w:val="20"/>
          <w:szCs w:val="20"/>
        </w:rPr>
        <w:t xml:space="preserve">islation is compatible with ESC </w:t>
      </w:r>
      <w:r w:rsidR="00631951" w:rsidRPr="002D6014">
        <w:rPr>
          <w:rFonts w:cstheme="minorHAnsi"/>
          <w:sz w:val="20"/>
          <w:szCs w:val="20"/>
        </w:rPr>
        <w:t>rights, they will do so on the clear understanding that those rights are to be progressively implemented, and that this implementation wil</w:t>
      </w:r>
      <w:r w:rsidRPr="002D6014">
        <w:rPr>
          <w:rFonts w:cstheme="minorHAnsi"/>
          <w:sz w:val="20"/>
          <w:szCs w:val="20"/>
        </w:rPr>
        <w:t xml:space="preserve">l need to take into account the </w:t>
      </w:r>
      <w:r w:rsidR="00631951" w:rsidRPr="002D6014">
        <w:rPr>
          <w:rFonts w:cstheme="minorHAnsi"/>
          <w:sz w:val="20"/>
          <w:szCs w:val="20"/>
        </w:rPr>
        <w:t>availability of government resources and competing demands for government resources.</w:t>
      </w:r>
      <w:r w:rsidRPr="002D6014">
        <w:rPr>
          <w:rFonts w:cstheme="minorHAnsi"/>
          <w:sz w:val="20"/>
          <w:szCs w:val="20"/>
        </w:rPr>
        <w:t>’</w:t>
      </w:r>
      <w:r w:rsidRPr="002D6014">
        <w:rPr>
          <w:rStyle w:val="FootnoteReference"/>
          <w:rFonts w:cstheme="minorHAnsi"/>
          <w:sz w:val="20"/>
          <w:szCs w:val="20"/>
        </w:rPr>
        <w:footnoteReference w:id="36"/>
      </w:r>
    </w:p>
    <w:p w:rsidR="0015288B" w:rsidRPr="002D6014" w:rsidRDefault="00D026FB" w:rsidP="00BE54B3">
      <w:pPr>
        <w:pStyle w:val="ListParagraph"/>
        <w:numPr>
          <w:ilvl w:val="0"/>
          <w:numId w:val="5"/>
        </w:numPr>
        <w:tabs>
          <w:tab w:val="clear" w:pos="567"/>
        </w:tabs>
        <w:autoSpaceDE w:val="0"/>
        <w:autoSpaceDN w:val="0"/>
        <w:adjustRightInd w:val="0"/>
        <w:spacing w:after="120"/>
        <w:contextualSpacing w:val="0"/>
        <w:rPr>
          <w:rFonts w:cstheme="minorHAnsi"/>
          <w:color w:val="000000"/>
        </w:rPr>
      </w:pPr>
      <w:r w:rsidRPr="002D6014">
        <w:rPr>
          <w:rFonts w:cstheme="minorHAnsi"/>
          <w:color w:val="000000"/>
        </w:rPr>
        <w:t>In 2007</w:t>
      </w:r>
      <w:r w:rsidR="00E943DF" w:rsidRPr="002D6014">
        <w:rPr>
          <w:rFonts w:cstheme="minorHAnsi"/>
          <w:color w:val="000000"/>
        </w:rPr>
        <w:t>,</w:t>
      </w:r>
      <w:r w:rsidRPr="002D6014">
        <w:rPr>
          <w:rFonts w:cstheme="minorHAnsi"/>
          <w:color w:val="000000"/>
        </w:rPr>
        <w:t xml:space="preserve"> the Tasmania Law Reform Institute released its Final Report No 10: </w:t>
      </w:r>
      <w:r w:rsidRPr="002D6014">
        <w:rPr>
          <w:rFonts w:cstheme="minorHAnsi"/>
          <w:i/>
          <w:iCs/>
          <w:color w:val="000000"/>
        </w:rPr>
        <w:t>A Charter of Rights for Tasmania.</w:t>
      </w:r>
      <w:r w:rsidRPr="002D6014">
        <w:rPr>
          <w:rStyle w:val="FootnoteReference"/>
          <w:rFonts w:cstheme="minorHAnsi"/>
          <w:bCs/>
          <w:color w:val="000000"/>
        </w:rPr>
        <w:footnoteReference w:id="37"/>
      </w:r>
      <w:r w:rsidR="002E1057" w:rsidRPr="002D6014">
        <w:rPr>
          <w:rFonts w:cstheme="minorHAnsi"/>
          <w:bCs/>
          <w:color w:val="000000"/>
        </w:rPr>
        <w:t xml:space="preserve"> </w:t>
      </w:r>
      <w:r w:rsidRPr="002D6014">
        <w:rPr>
          <w:rFonts w:cstheme="minorHAnsi"/>
          <w:bCs/>
          <w:color w:val="000000"/>
        </w:rPr>
        <w:t xml:space="preserve">The Institute found that human rights legislation </w:t>
      </w:r>
      <w:r w:rsidR="00656D4D" w:rsidRPr="002D6014">
        <w:rPr>
          <w:rFonts w:cstheme="minorHAnsi"/>
          <w:bCs/>
          <w:color w:val="000000"/>
        </w:rPr>
        <w:t>should:</w:t>
      </w:r>
    </w:p>
    <w:p w:rsidR="00D026FB" w:rsidRPr="002D6014" w:rsidRDefault="007F6281" w:rsidP="00BE54B3">
      <w:pPr>
        <w:numPr>
          <w:ilvl w:val="0"/>
          <w:numId w:val="1"/>
        </w:numPr>
        <w:tabs>
          <w:tab w:val="clear" w:pos="567"/>
          <w:tab w:val="clear" w:pos="1080"/>
        </w:tabs>
        <w:spacing w:before="120" w:after="120"/>
        <w:ind w:left="1276" w:hanging="425"/>
        <w:rPr>
          <w:rFonts w:cstheme="minorHAnsi"/>
          <w:color w:val="000000"/>
        </w:rPr>
      </w:pPr>
      <w:r w:rsidRPr="002D6014">
        <w:rPr>
          <w:rFonts w:cstheme="minorHAnsi"/>
          <w:color w:val="000000"/>
        </w:rPr>
        <w:t>i</w:t>
      </w:r>
      <w:r w:rsidR="00656D4D" w:rsidRPr="002D6014">
        <w:rPr>
          <w:rFonts w:cstheme="minorHAnsi"/>
          <w:color w:val="000000"/>
        </w:rPr>
        <w:t>nclude economic</w:t>
      </w:r>
      <w:r w:rsidR="0015288B" w:rsidRPr="002D6014">
        <w:rPr>
          <w:rFonts w:cstheme="minorHAnsi"/>
          <w:color w:val="000000"/>
        </w:rPr>
        <w:t>, social and cultural rights in the Charter, as well as civil and political rights</w:t>
      </w:r>
      <w:r w:rsidRPr="002D6014">
        <w:rPr>
          <w:rFonts w:cstheme="minorHAnsi"/>
          <w:color w:val="000000"/>
        </w:rPr>
        <w:t>;</w:t>
      </w:r>
    </w:p>
    <w:p w:rsidR="00D026FB" w:rsidRPr="002D6014" w:rsidRDefault="007F6281" w:rsidP="00BE54B3">
      <w:pPr>
        <w:numPr>
          <w:ilvl w:val="0"/>
          <w:numId w:val="1"/>
        </w:numPr>
        <w:tabs>
          <w:tab w:val="clear" w:pos="567"/>
          <w:tab w:val="clear" w:pos="1080"/>
        </w:tabs>
        <w:spacing w:before="120" w:after="120"/>
        <w:ind w:left="1276" w:hanging="425"/>
        <w:rPr>
          <w:rFonts w:cstheme="minorHAnsi"/>
          <w:color w:val="000000"/>
        </w:rPr>
      </w:pPr>
      <w:r w:rsidRPr="002D6014">
        <w:rPr>
          <w:rFonts w:cstheme="minorHAnsi"/>
          <w:color w:val="000000"/>
        </w:rPr>
        <w:t>b</w:t>
      </w:r>
      <w:r w:rsidR="0015288B" w:rsidRPr="002D6014">
        <w:rPr>
          <w:rFonts w:cstheme="minorHAnsi"/>
          <w:color w:val="000000"/>
        </w:rPr>
        <w:t>ind ‘public authorities’ and not private individuals, corporations or community organisations that are not engaged in work for the government or in the performance of public functions</w:t>
      </w:r>
      <w:r w:rsidRPr="002D6014">
        <w:rPr>
          <w:rFonts w:cstheme="minorHAnsi"/>
          <w:color w:val="000000"/>
        </w:rPr>
        <w:t>;</w:t>
      </w:r>
      <w:r w:rsidR="0015288B" w:rsidRPr="002D6014">
        <w:rPr>
          <w:rFonts w:cstheme="minorHAnsi"/>
          <w:color w:val="000000"/>
        </w:rPr>
        <w:t xml:space="preserve"> </w:t>
      </w:r>
    </w:p>
    <w:p w:rsidR="00D026FB" w:rsidRPr="002D6014" w:rsidRDefault="007F6281" w:rsidP="00BE54B3">
      <w:pPr>
        <w:numPr>
          <w:ilvl w:val="0"/>
          <w:numId w:val="1"/>
        </w:numPr>
        <w:tabs>
          <w:tab w:val="clear" w:pos="567"/>
          <w:tab w:val="clear" w:pos="1080"/>
        </w:tabs>
        <w:spacing w:before="120" w:after="120"/>
        <w:ind w:left="1276" w:hanging="425"/>
        <w:rPr>
          <w:rFonts w:cstheme="minorHAnsi"/>
          <w:color w:val="000000"/>
        </w:rPr>
      </w:pPr>
      <w:r w:rsidRPr="002D6014">
        <w:rPr>
          <w:rFonts w:cstheme="minorHAnsi"/>
          <w:color w:val="000000"/>
        </w:rPr>
        <w:t>c</w:t>
      </w:r>
      <w:r w:rsidR="0015288B" w:rsidRPr="002D6014">
        <w:rPr>
          <w:rFonts w:cstheme="minorHAnsi"/>
          <w:color w:val="000000"/>
        </w:rPr>
        <w:t xml:space="preserve">ontain an express provision that where a public authority has acted in a way, or proposes to act in a way, that is made unlawful by the Charter, a person who is or would be the victim of that unlawful act may take legal proceedings </w:t>
      </w:r>
      <w:r w:rsidR="0015288B" w:rsidRPr="002D6014">
        <w:rPr>
          <w:rFonts w:cstheme="minorHAnsi"/>
          <w:color w:val="000000"/>
        </w:rPr>
        <w:lastRenderedPageBreak/>
        <w:t>against the authority in the Supreme Court of Tasmania or may rely on the Charter rights in any legal proceedings</w:t>
      </w:r>
      <w:r w:rsidRPr="002D6014">
        <w:rPr>
          <w:rFonts w:cstheme="minorHAnsi"/>
          <w:color w:val="000000"/>
        </w:rPr>
        <w:t>; and</w:t>
      </w:r>
    </w:p>
    <w:p w:rsidR="00D026FB" w:rsidRPr="002D6014" w:rsidRDefault="007F6281" w:rsidP="00BE54B3">
      <w:pPr>
        <w:numPr>
          <w:ilvl w:val="0"/>
          <w:numId w:val="1"/>
        </w:numPr>
        <w:tabs>
          <w:tab w:val="clear" w:pos="567"/>
          <w:tab w:val="clear" w:pos="1080"/>
        </w:tabs>
        <w:spacing w:before="120" w:after="120"/>
        <w:ind w:left="1276" w:hanging="425"/>
        <w:rPr>
          <w:rFonts w:cstheme="minorHAnsi"/>
          <w:color w:val="000000"/>
        </w:rPr>
      </w:pPr>
      <w:proofErr w:type="gramStart"/>
      <w:r w:rsidRPr="002D6014">
        <w:rPr>
          <w:rFonts w:cstheme="minorHAnsi"/>
        </w:rPr>
        <w:t>n</w:t>
      </w:r>
      <w:r w:rsidR="00656D4D" w:rsidRPr="002D6014">
        <w:rPr>
          <w:rFonts w:cstheme="minorHAnsi"/>
        </w:rPr>
        <w:t>ot</w:t>
      </w:r>
      <w:proofErr w:type="gramEnd"/>
      <w:r w:rsidR="00656D4D" w:rsidRPr="002D6014">
        <w:rPr>
          <w:rFonts w:cstheme="minorHAnsi"/>
        </w:rPr>
        <w:t xml:space="preserve"> restrict t</w:t>
      </w:r>
      <w:r w:rsidR="00D026FB" w:rsidRPr="002D6014">
        <w:rPr>
          <w:rFonts w:cstheme="minorHAnsi"/>
        </w:rPr>
        <w:t>he range of remedies available to the court. A court should be able to grant any remedy that is just and equitable in the circumstances. This would mean that the court could award damages to an individual for breach of Charter obligations.</w:t>
      </w:r>
    </w:p>
    <w:p w:rsidR="00F90F63" w:rsidRPr="002D6014" w:rsidRDefault="00F90F63" w:rsidP="001427FF">
      <w:pPr>
        <w:pStyle w:val="ListParagraph"/>
        <w:numPr>
          <w:ilvl w:val="0"/>
          <w:numId w:val="5"/>
        </w:numPr>
        <w:tabs>
          <w:tab w:val="clear" w:pos="567"/>
        </w:tabs>
        <w:rPr>
          <w:rFonts w:cstheme="minorHAnsi"/>
        </w:rPr>
      </w:pPr>
      <w:r w:rsidRPr="002D6014">
        <w:rPr>
          <w:rFonts w:cstheme="minorHAnsi"/>
        </w:rPr>
        <w:t xml:space="preserve">However, to date the recommendations of the Western Australian </w:t>
      </w:r>
      <w:r w:rsidR="007F6281" w:rsidRPr="002D6014">
        <w:rPr>
          <w:rFonts w:cstheme="minorHAnsi"/>
        </w:rPr>
        <w:t>C</w:t>
      </w:r>
      <w:r w:rsidRPr="002D6014">
        <w:rPr>
          <w:rFonts w:cstheme="minorHAnsi"/>
        </w:rPr>
        <w:t xml:space="preserve">ommittee and </w:t>
      </w:r>
      <w:r w:rsidRPr="00D95D9E">
        <w:rPr>
          <w:rFonts w:cstheme="minorHAnsi"/>
          <w:color w:val="000000"/>
        </w:rPr>
        <w:t>the Tasmania Law Reform Institute</w:t>
      </w:r>
      <w:r w:rsidRPr="002D6014">
        <w:rPr>
          <w:rFonts w:cstheme="minorHAnsi"/>
        </w:rPr>
        <w:t xml:space="preserve"> have not been followed.</w:t>
      </w:r>
    </w:p>
    <w:p w:rsidR="00CE2B22" w:rsidRPr="002D6014" w:rsidRDefault="00682C08" w:rsidP="001B5E72">
      <w:pPr>
        <w:pStyle w:val="Heading2"/>
      </w:pPr>
      <w:bookmarkStart w:id="19" w:name="_Toc448747763"/>
      <w:r w:rsidRPr="002D6014">
        <w:t>Northern Territory</w:t>
      </w:r>
      <w:bookmarkEnd w:id="19"/>
    </w:p>
    <w:p w:rsidR="00CE2B22" w:rsidRPr="002D6014" w:rsidRDefault="00CE2B22" w:rsidP="00BE54B3">
      <w:pPr>
        <w:pStyle w:val="ListParagraph"/>
        <w:numPr>
          <w:ilvl w:val="0"/>
          <w:numId w:val="5"/>
        </w:numPr>
        <w:spacing w:after="120"/>
        <w:contextualSpacing w:val="0"/>
      </w:pPr>
      <w:r w:rsidRPr="002D6014">
        <w:t xml:space="preserve">In 2007, the </w:t>
      </w:r>
      <w:r w:rsidRPr="002D6014">
        <w:rPr>
          <w:rStyle w:val="Strong"/>
          <w:b w:val="0"/>
        </w:rPr>
        <w:t>Northern Territory</w:t>
      </w:r>
      <w:r w:rsidRPr="002D6014">
        <w:t xml:space="preserve"> Statehood Steering Committee released a community discussion paper, </w:t>
      </w:r>
      <w:r w:rsidRPr="002D6014">
        <w:rPr>
          <w:i/>
        </w:rPr>
        <w:t>Constitutional Paths to Statehood</w:t>
      </w:r>
      <w:r w:rsidRPr="002D6014">
        <w:t xml:space="preserve"> addressing, among other issues, the inclusion of a bill of rights in a future Northern Territory Constitution. </w:t>
      </w:r>
      <w:r w:rsidR="00682C08" w:rsidRPr="002D6014">
        <w:t>After considering a range of issues the Committee concluded:</w:t>
      </w:r>
    </w:p>
    <w:p w:rsidR="00CE2B22" w:rsidRPr="002D6014" w:rsidRDefault="007F6281" w:rsidP="004902F3">
      <w:pPr>
        <w:tabs>
          <w:tab w:val="clear" w:pos="567"/>
        </w:tabs>
        <w:autoSpaceDE w:val="0"/>
        <w:autoSpaceDN w:val="0"/>
        <w:adjustRightInd w:val="0"/>
        <w:ind w:left="1134" w:right="1083"/>
        <w:rPr>
          <w:rFonts w:ascii="Helvetica" w:hAnsi="Helvetica" w:cs="Helvetica"/>
          <w:sz w:val="20"/>
          <w:szCs w:val="20"/>
        </w:rPr>
      </w:pPr>
      <w:r w:rsidRPr="00D95D9E">
        <w:rPr>
          <w:rFonts w:ascii="Helvetica" w:hAnsi="Helvetica" w:cs="Helvetica"/>
          <w:sz w:val="20"/>
          <w:szCs w:val="20"/>
        </w:rPr>
        <w:t>‘</w:t>
      </w:r>
      <w:r w:rsidR="00682C08" w:rsidRPr="00D95D9E">
        <w:rPr>
          <w:rFonts w:ascii="Helvetica" w:hAnsi="Helvetica" w:cs="Helvetica"/>
          <w:sz w:val="20"/>
          <w:szCs w:val="20"/>
        </w:rPr>
        <w:t>The Committee strongly believes that Statehood, which will achieve equal status for the Northern Territory as a State of Australia must be achieved before consideration of a Bill of Rights. The two matters should be considered in separate processes. That would give each m</w:t>
      </w:r>
      <w:r w:rsidR="00682C08" w:rsidRPr="002D6014">
        <w:rPr>
          <w:rFonts w:ascii="Helvetica" w:hAnsi="Helvetica" w:cs="Helvetica"/>
          <w:sz w:val="20"/>
          <w:szCs w:val="20"/>
        </w:rPr>
        <w:t>atter the community attention that each deserves. The Committee believes that equal status as a State will mean greater certainty of legislation enacted in the State of the Northern Territory, and that would include a Bill of Rights if the Northern Territory is to have one.</w:t>
      </w:r>
      <w:r w:rsidRPr="002D6014">
        <w:rPr>
          <w:rFonts w:ascii="Helvetica" w:hAnsi="Helvetica" w:cs="Helvetica"/>
          <w:sz w:val="20"/>
          <w:szCs w:val="20"/>
        </w:rPr>
        <w:t>’</w:t>
      </w:r>
      <w:r w:rsidR="00682C08" w:rsidRPr="002D6014">
        <w:rPr>
          <w:rStyle w:val="FootnoteReference"/>
          <w:rFonts w:ascii="Helvetica" w:hAnsi="Helvetica" w:cs="Helvetica"/>
          <w:sz w:val="20"/>
          <w:szCs w:val="20"/>
        </w:rPr>
        <w:footnoteReference w:id="38"/>
      </w:r>
    </w:p>
    <w:p w:rsidR="00E11069" w:rsidRPr="002D6014" w:rsidRDefault="00E11069" w:rsidP="001B5E72">
      <w:pPr>
        <w:pStyle w:val="Heading2"/>
        <w:rPr>
          <w:rFonts w:eastAsia="Times New Roman"/>
        </w:rPr>
      </w:pPr>
      <w:bookmarkStart w:id="20" w:name="_Toc448747764"/>
      <w:r w:rsidRPr="002D6014">
        <w:rPr>
          <w:rFonts w:eastAsia="Times New Roman"/>
        </w:rPr>
        <w:t>National Human Right</w:t>
      </w:r>
      <w:r w:rsidR="002E3CB5" w:rsidRPr="002D6014">
        <w:rPr>
          <w:rFonts w:eastAsia="Times New Roman"/>
        </w:rPr>
        <w:t>s</w:t>
      </w:r>
      <w:r w:rsidRPr="002D6014">
        <w:rPr>
          <w:rFonts w:eastAsia="Times New Roman"/>
        </w:rPr>
        <w:t xml:space="preserve"> </w:t>
      </w:r>
      <w:r w:rsidR="002E3CB5" w:rsidRPr="002D6014">
        <w:rPr>
          <w:rFonts w:eastAsia="Times New Roman"/>
        </w:rPr>
        <w:t>Consultation</w:t>
      </w:r>
      <w:bookmarkEnd w:id="20"/>
    </w:p>
    <w:p w:rsidR="00EC14FE" w:rsidRPr="002D6014" w:rsidRDefault="00EC14FE" w:rsidP="001427FF">
      <w:pPr>
        <w:pStyle w:val="ListParagraph"/>
        <w:numPr>
          <w:ilvl w:val="0"/>
          <w:numId w:val="5"/>
        </w:numPr>
        <w:tabs>
          <w:tab w:val="clear" w:pos="567"/>
        </w:tabs>
        <w:contextualSpacing w:val="0"/>
        <w:rPr>
          <w:rFonts w:eastAsia="Times New Roman" w:cstheme="minorHAnsi"/>
        </w:rPr>
      </w:pPr>
      <w:r w:rsidRPr="002D6014">
        <w:rPr>
          <w:rFonts w:eastAsia="Times New Roman" w:cstheme="minorHAnsi"/>
        </w:rPr>
        <w:t xml:space="preserve">In 2008, the Rudd Government established a National Human Rights Consultation Committee (NHRCC), chaired by Father Frank Brennan, to undertake consultation and report by 30 September 2009. </w:t>
      </w:r>
    </w:p>
    <w:p w:rsidR="00EC14FE" w:rsidRPr="002D6014" w:rsidRDefault="00EC14FE" w:rsidP="001427FF">
      <w:pPr>
        <w:pStyle w:val="ListParagraph"/>
        <w:numPr>
          <w:ilvl w:val="0"/>
          <w:numId w:val="5"/>
        </w:numPr>
        <w:tabs>
          <w:tab w:val="clear" w:pos="567"/>
        </w:tabs>
        <w:contextualSpacing w:val="0"/>
        <w:rPr>
          <w:rFonts w:eastAsia="Times New Roman" w:cstheme="minorHAnsi"/>
        </w:rPr>
      </w:pPr>
      <w:r w:rsidRPr="002D6014">
        <w:rPr>
          <w:rFonts w:eastAsia="Times New Roman" w:cstheme="minorHAnsi"/>
        </w:rPr>
        <w:t xml:space="preserve">The Brennan Committee recommended that Australia adopt a federal Human Rights Act, along the lines of legislation already introduced in the Australian Capital Territory (ACT) and Victoria. The proposed legislation would set out a list of rights drawn from major human rights treaties, ensure that new legislation introduced into the </w:t>
      </w:r>
      <w:r w:rsidR="002E3CB5" w:rsidRPr="002D6014">
        <w:rPr>
          <w:rFonts w:eastAsia="Times New Roman" w:cstheme="minorHAnsi"/>
        </w:rPr>
        <w:t>p</w:t>
      </w:r>
      <w:r w:rsidRPr="002D6014">
        <w:rPr>
          <w:rFonts w:eastAsia="Times New Roman" w:cstheme="minorHAnsi"/>
        </w:rPr>
        <w:t>arliament was compatible with the Act</w:t>
      </w:r>
      <w:r w:rsidR="002E3CB5" w:rsidRPr="002D6014">
        <w:rPr>
          <w:rFonts w:eastAsia="Times New Roman" w:cstheme="minorHAnsi"/>
        </w:rPr>
        <w:t>,</w:t>
      </w:r>
      <w:r w:rsidRPr="002D6014">
        <w:rPr>
          <w:rFonts w:eastAsia="Times New Roman" w:cstheme="minorHAnsi"/>
        </w:rPr>
        <w:t xml:space="preserve"> and provide for the High Court to declare existing legislation incompatible with the Act and to refer the legislation back to </w:t>
      </w:r>
      <w:r w:rsidR="002E3CB5" w:rsidRPr="002D6014">
        <w:rPr>
          <w:rFonts w:eastAsia="Times New Roman" w:cstheme="minorHAnsi"/>
        </w:rPr>
        <w:t>p</w:t>
      </w:r>
      <w:r w:rsidRPr="002D6014">
        <w:rPr>
          <w:rFonts w:eastAsia="Times New Roman" w:cstheme="minorHAnsi"/>
        </w:rPr>
        <w:t>arliament for possible amendment.</w:t>
      </w:r>
    </w:p>
    <w:p w:rsidR="00F013EE" w:rsidRPr="00D95D9E" w:rsidRDefault="00F013EE" w:rsidP="004902F3">
      <w:pPr>
        <w:pStyle w:val="Default"/>
        <w:numPr>
          <w:ilvl w:val="0"/>
          <w:numId w:val="5"/>
        </w:numPr>
        <w:spacing w:after="120"/>
        <w:rPr>
          <w:rFonts w:asciiTheme="minorHAnsi" w:hAnsiTheme="minorHAnsi" w:cstheme="minorHAnsi"/>
          <w:sz w:val="22"/>
          <w:szCs w:val="22"/>
        </w:rPr>
      </w:pPr>
      <w:r w:rsidRPr="00D95D9E">
        <w:rPr>
          <w:rFonts w:asciiTheme="minorHAnsi" w:hAnsiTheme="minorHAnsi" w:cstheme="minorHAnsi"/>
          <w:sz w:val="22"/>
          <w:szCs w:val="22"/>
        </w:rPr>
        <w:t xml:space="preserve">In particular the Committee recommended that Australia adopt a federal Human Rights Act that: </w:t>
      </w:r>
    </w:p>
    <w:p w:rsidR="00F013EE" w:rsidRPr="002D6014" w:rsidRDefault="00F013EE" w:rsidP="00BE54B3">
      <w:pPr>
        <w:numPr>
          <w:ilvl w:val="0"/>
          <w:numId w:val="1"/>
        </w:numPr>
        <w:tabs>
          <w:tab w:val="clear" w:pos="567"/>
          <w:tab w:val="clear" w:pos="1080"/>
        </w:tabs>
        <w:spacing w:before="120" w:after="120"/>
        <w:ind w:left="1276" w:hanging="425"/>
        <w:rPr>
          <w:rFonts w:cstheme="minorHAnsi"/>
        </w:rPr>
      </w:pPr>
      <w:proofErr w:type="gramStart"/>
      <w:r w:rsidRPr="00D95D9E">
        <w:rPr>
          <w:rFonts w:cstheme="minorHAnsi"/>
        </w:rPr>
        <w:t>is</w:t>
      </w:r>
      <w:proofErr w:type="gramEnd"/>
      <w:r w:rsidRPr="00D95D9E">
        <w:rPr>
          <w:rFonts w:cstheme="minorHAnsi"/>
        </w:rPr>
        <w:t xml:space="preserve"> based on the 'dialogue' model which sets out a list of human rights and accords the executive, the legislature and the judiciary specific roles in</w:t>
      </w:r>
      <w:r w:rsidRPr="002D6014">
        <w:rPr>
          <w:rFonts w:cstheme="minorHAnsi"/>
        </w:rPr>
        <w:t xml:space="preserve"> the protection and promotion of those rights. Versions of the dialogue model are the </w:t>
      </w:r>
      <w:r w:rsidRPr="002D6014">
        <w:rPr>
          <w:rFonts w:cstheme="minorHAnsi"/>
          <w:i/>
          <w:iCs/>
        </w:rPr>
        <w:t xml:space="preserve">New Zealand Bill of Rights Act 1990 </w:t>
      </w:r>
      <w:r w:rsidRPr="002D6014">
        <w:rPr>
          <w:rFonts w:cstheme="minorHAnsi"/>
        </w:rPr>
        <w:t xml:space="preserve">(NZ), </w:t>
      </w:r>
      <w:r w:rsidRPr="002D6014">
        <w:rPr>
          <w:rFonts w:cstheme="minorHAnsi"/>
          <w:i/>
          <w:iCs/>
        </w:rPr>
        <w:t xml:space="preserve">Human Rights Act 1998 </w:t>
      </w:r>
      <w:r w:rsidRPr="002D6014">
        <w:rPr>
          <w:rFonts w:cstheme="minorHAnsi"/>
        </w:rPr>
        <w:t xml:space="preserve">(UK), </w:t>
      </w:r>
      <w:r w:rsidRPr="002D6014">
        <w:rPr>
          <w:rFonts w:cstheme="minorHAnsi"/>
          <w:i/>
          <w:iCs/>
        </w:rPr>
        <w:t xml:space="preserve">Human Rights Act 2004 </w:t>
      </w:r>
      <w:r w:rsidRPr="002D6014">
        <w:rPr>
          <w:rFonts w:cstheme="minorHAnsi"/>
        </w:rPr>
        <w:t xml:space="preserve">(ACT) and </w:t>
      </w:r>
      <w:r w:rsidRPr="002D6014">
        <w:rPr>
          <w:rFonts w:cstheme="minorHAnsi"/>
          <w:i/>
          <w:iCs/>
        </w:rPr>
        <w:t xml:space="preserve">Charter of Human Rights and Responsibilities Act 2006 </w:t>
      </w:r>
      <w:r w:rsidRPr="002D6014">
        <w:rPr>
          <w:rFonts w:cstheme="minorHAnsi"/>
        </w:rPr>
        <w:t>(Vic)</w:t>
      </w:r>
      <w:r w:rsidR="002E3CB5" w:rsidRPr="002D6014">
        <w:rPr>
          <w:rFonts w:cstheme="minorHAnsi"/>
        </w:rPr>
        <w:t>;</w:t>
      </w:r>
    </w:p>
    <w:p w:rsidR="00F013EE" w:rsidRPr="002D6014" w:rsidRDefault="00F013EE" w:rsidP="00BE54B3">
      <w:pPr>
        <w:numPr>
          <w:ilvl w:val="0"/>
          <w:numId w:val="1"/>
        </w:numPr>
        <w:tabs>
          <w:tab w:val="clear" w:pos="567"/>
          <w:tab w:val="clear" w:pos="1080"/>
        </w:tabs>
        <w:spacing w:before="120" w:after="120"/>
        <w:ind w:left="1276" w:hanging="425"/>
        <w:rPr>
          <w:rFonts w:cstheme="minorHAnsi"/>
        </w:rPr>
      </w:pPr>
      <w:r w:rsidRPr="002D6014">
        <w:rPr>
          <w:rFonts w:cstheme="minorHAnsi"/>
        </w:rPr>
        <w:t>protects the rights of human beings only, and imposes the obligation to act in accordance with those rights on federal public authorities only (which includes Ministers, officials and entities)</w:t>
      </w:r>
      <w:r w:rsidR="002E3CB5" w:rsidRPr="002D6014">
        <w:rPr>
          <w:rFonts w:cstheme="minorHAnsi"/>
        </w:rPr>
        <w:t>;</w:t>
      </w:r>
      <w:r w:rsidRPr="002D6014">
        <w:rPr>
          <w:rFonts w:cstheme="minorHAnsi"/>
        </w:rPr>
        <w:t xml:space="preserve"> </w:t>
      </w:r>
    </w:p>
    <w:p w:rsidR="00F013EE" w:rsidRPr="002D6014" w:rsidRDefault="00F013EE" w:rsidP="00BE54B3">
      <w:pPr>
        <w:numPr>
          <w:ilvl w:val="0"/>
          <w:numId w:val="1"/>
        </w:numPr>
        <w:tabs>
          <w:tab w:val="clear" w:pos="567"/>
          <w:tab w:val="clear" w:pos="1080"/>
        </w:tabs>
        <w:spacing w:before="120" w:after="120"/>
        <w:ind w:left="1276" w:hanging="425"/>
        <w:rPr>
          <w:rFonts w:cstheme="minorHAnsi"/>
        </w:rPr>
      </w:pPr>
      <w:r w:rsidRPr="002D6014">
        <w:rPr>
          <w:rFonts w:cstheme="minorHAnsi"/>
        </w:rPr>
        <w:lastRenderedPageBreak/>
        <w:t>specifies certain non-derogable civil and political rights</w:t>
      </w:r>
      <w:r w:rsidR="002E3CB5" w:rsidRPr="002D6014">
        <w:rPr>
          <w:rFonts w:cstheme="minorHAnsi"/>
        </w:rPr>
        <w:t>;</w:t>
      </w:r>
      <w:r w:rsidRPr="002D6014">
        <w:rPr>
          <w:rFonts w:cstheme="minorHAnsi"/>
        </w:rPr>
        <w:t xml:space="preserve"> </w:t>
      </w:r>
    </w:p>
    <w:p w:rsidR="00F013EE" w:rsidRPr="002D6014" w:rsidRDefault="00F013EE" w:rsidP="00BE54B3">
      <w:pPr>
        <w:numPr>
          <w:ilvl w:val="0"/>
          <w:numId w:val="1"/>
        </w:numPr>
        <w:tabs>
          <w:tab w:val="clear" w:pos="567"/>
          <w:tab w:val="clear" w:pos="1080"/>
        </w:tabs>
        <w:spacing w:before="120" w:after="120"/>
        <w:ind w:left="1276" w:hanging="425"/>
        <w:rPr>
          <w:rFonts w:cstheme="minorHAnsi"/>
        </w:rPr>
      </w:pPr>
      <w:r w:rsidRPr="002D6014">
        <w:rPr>
          <w:rFonts w:cstheme="minorHAnsi"/>
        </w:rPr>
        <w:t>includes a limitation clause for derogable civil and political rights</w:t>
      </w:r>
      <w:r w:rsidR="002E3CB5" w:rsidRPr="002D6014">
        <w:rPr>
          <w:rFonts w:cstheme="minorHAnsi"/>
        </w:rPr>
        <w:t>;</w:t>
      </w:r>
      <w:r w:rsidRPr="002D6014">
        <w:rPr>
          <w:rFonts w:cstheme="minorHAnsi"/>
        </w:rPr>
        <w:t xml:space="preserve"> </w:t>
      </w:r>
    </w:p>
    <w:p w:rsidR="00F013EE" w:rsidRPr="002D6014" w:rsidRDefault="00F013EE" w:rsidP="00BE54B3">
      <w:pPr>
        <w:numPr>
          <w:ilvl w:val="0"/>
          <w:numId w:val="1"/>
        </w:numPr>
        <w:tabs>
          <w:tab w:val="clear" w:pos="567"/>
          <w:tab w:val="clear" w:pos="1080"/>
        </w:tabs>
        <w:spacing w:before="120" w:after="120"/>
        <w:ind w:left="1276" w:hanging="425"/>
        <w:rPr>
          <w:rFonts w:cstheme="minorHAnsi"/>
        </w:rPr>
      </w:pPr>
      <w:r w:rsidRPr="002D6014">
        <w:rPr>
          <w:rFonts w:cstheme="minorHAnsi"/>
        </w:rPr>
        <w:t>requires statements of compatibility for all Bills and legislative instruments</w:t>
      </w:r>
      <w:r w:rsidR="002E3CB5" w:rsidRPr="002D6014">
        <w:rPr>
          <w:rFonts w:cstheme="minorHAnsi"/>
        </w:rPr>
        <w:t>;</w:t>
      </w:r>
      <w:r w:rsidRPr="002D6014">
        <w:rPr>
          <w:rFonts w:cstheme="minorHAnsi"/>
        </w:rPr>
        <w:t xml:space="preserve"> </w:t>
      </w:r>
    </w:p>
    <w:p w:rsidR="00F013EE" w:rsidRPr="002D6014" w:rsidRDefault="00F013EE" w:rsidP="00BE54B3">
      <w:pPr>
        <w:numPr>
          <w:ilvl w:val="0"/>
          <w:numId w:val="1"/>
        </w:numPr>
        <w:tabs>
          <w:tab w:val="clear" w:pos="567"/>
          <w:tab w:val="clear" w:pos="1080"/>
        </w:tabs>
        <w:spacing w:before="120" w:after="120"/>
        <w:ind w:left="1276" w:hanging="425"/>
        <w:rPr>
          <w:rFonts w:cstheme="minorHAnsi"/>
        </w:rPr>
      </w:pPr>
      <w:r w:rsidRPr="002D6014">
        <w:rPr>
          <w:rFonts w:cstheme="minorHAnsi"/>
        </w:rPr>
        <w:t xml:space="preserve">empowers the Joint Committee to review all Bills and relevant legislative instruments for compliance with the human rights expressed in the Human Rights Act </w:t>
      </w:r>
      <w:r w:rsidR="002E3CB5" w:rsidRPr="002D6014">
        <w:rPr>
          <w:rFonts w:cstheme="minorHAnsi"/>
        </w:rPr>
        <w:t>;</w:t>
      </w:r>
    </w:p>
    <w:p w:rsidR="00E25067" w:rsidRPr="002D6014" w:rsidRDefault="00F013EE" w:rsidP="00BE54B3">
      <w:pPr>
        <w:numPr>
          <w:ilvl w:val="0"/>
          <w:numId w:val="1"/>
        </w:numPr>
        <w:tabs>
          <w:tab w:val="clear" w:pos="567"/>
          <w:tab w:val="clear" w:pos="1080"/>
        </w:tabs>
        <w:spacing w:before="120" w:after="120"/>
        <w:ind w:left="1276" w:hanging="425"/>
        <w:rPr>
          <w:rFonts w:cstheme="minorHAnsi"/>
        </w:rPr>
      </w:pPr>
      <w:r w:rsidRPr="002D6014">
        <w:rPr>
          <w:rFonts w:cstheme="minorHAnsi"/>
        </w:rPr>
        <w:t>contains an interpretative provision (which would not apply to economic, social and cultural rights) requiring federal legislation to be interpreted in a way that is compatible with the human rights expressed in the Human Rights Act and consistent with Parliament's purpose in enacting the legislation</w:t>
      </w:r>
      <w:r w:rsidR="002E3CB5" w:rsidRPr="002D6014">
        <w:rPr>
          <w:rFonts w:cstheme="minorHAnsi"/>
        </w:rPr>
        <w:t>;</w:t>
      </w:r>
      <w:r w:rsidRPr="002D6014">
        <w:rPr>
          <w:rFonts w:cstheme="minorHAnsi"/>
        </w:rPr>
        <w:t xml:space="preserve"> </w:t>
      </w:r>
    </w:p>
    <w:p w:rsidR="00E25067" w:rsidRPr="002D6014" w:rsidRDefault="00F013EE" w:rsidP="00BE54B3">
      <w:pPr>
        <w:numPr>
          <w:ilvl w:val="0"/>
          <w:numId w:val="1"/>
        </w:numPr>
        <w:tabs>
          <w:tab w:val="clear" w:pos="567"/>
          <w:tab w:val="clear" w:pos="1080"/>
        </w:tabs>
        <w:spacing w:before="120" w:after="120"/>
        <w:ind w:left="1276" w:hanging="425"/>
        <w:rPr>
          <w:rFonts w:cstheme="minorHAnsi"/>
        </w:rPr>
      </w:pPr>
      <w:r w:rsidRPr="002D6014">
        <w:rPr>
          <w:rFonts w:cstheme="minorHAnsi"/>
        </w:rPr>
        <w:t>extends to the High Court of Australia a power to make a declaration of incompatibility</w:t>
      </w:r>
      <w:r w:rsidR="002E3CB5" w:rsidRPr="002D6014">
        <w:rPr>
          <w:rFonts w:cstheme="minorHAnsi"/>
        </w:rPr>
        <w:t>;</w:t>
      </w:r>
    </w:p>
    <w:p w:rsidR="00E25067" w:rsidRPr="002D6014" w:rsidRDefault="00F013EE" w:rsidP="00BE54B3">
      <w:pPr>
        <w:numPr>
          <w:ilvl w:val="0"/>
          <w:numId w:val="1"/>
        </w:numPr>
        <w:tabs>
          <w:tab w:val="clear" w:pos="567"/>
          <w:tab w:val="clear" w:pos="1080"/>
        </w:tabs>
        <w:spacing w:before="120" w:after="120"/>
        <w:ind w:left="1276" w:hanging="425"/>
        <w:rPr>
          <w:rFonts w:cstheme="minorHAnsi"/>
        </w:rPr>
      </w:pPr>
      <w:r w:rsidRPr="002D6014">
        <w:rPr>
          <w:rFonts w:cstheme="minorHAnsi"/>
        </w:rPr>
        <w:t>imposes an obligation on federal public authorities to act in a manner compatible with human rights (other than economic, social and cultural rights) and to give consideration to relevant human rights (including economic, social and cultural rights) when making decisions</w:t>
      </w:r>
      <w:r w:rsidR="002E3CB5" w:rsidRPr="002D6014">
        <w:rPr>
          <w:rFonts w:cstheme="minorHAnsi"/>
        </w:rPr>
        <w:t>;</w:t>
      </w:r>
      <w:r w:rsidRPr="002D6014">
        <w:rPr>
          <w:rFonts w:cstheme="minorHAnsi"/>
        </w:rPr>
        <w:t xml:space="preserve"> and </w:t>
      </w:r>
    </w:p>
    <w:p w:rsidR="00F013EE" w:rsidRPr="002D6014" w:rsidRDefault="00F013EE" w:rsidP="00BE54B3">
      <w:pPr>
        <w:numPr>
          <w:ilvl w:val="0"/>
          <w:numId w:val="1"/>
        </w:numPr>
        <w:tabs>
          <w:tab w:val="clear" w:pos="567"/>
          <w:tab w:val="clear" w:pos="1080"/>
        </w:tabs>
        <w:spacing w:before="120"/>
        <w:ind w:left="1276" w:hanging="425"/>
        <w:rPr>
          <w:rFonts w:cstheme="minorHAnsi"/>
        </w:rPr>
      </w:pPr>
      <w:proofErr w:type="gramStart"/>
      <w:r w:rsidRPr="002D6014">
        <w:rPr>
          <w:rFonts w:cstheme="minorHAnsi"/>
        </w:rPr>
        <w:t>enables</w:t>
      </w:r>
      <w:proofErr w:type="gramEnd"/>
      <w:r w:rsidRPr="002D6014">
        <w:rPr>
          <w:rFonts w:cstheme="minorHAnsi"/>
        </w:rPr>
        <w:t xml:space="preserve"> individuals to institute an independent cause of action against federal public authorities for breaches of human rights (other than economic, social and cultural rights). </w:t>
      </w:r>
      <w:r w:rsidR="00E25067" w:rsidRPr="002D6014">
        <w:rPr>
          <w:rStyle w:val="FootnoteReference"/>
          <w:rFonts w:cstheme="minorHAnsi"/>
        </w:rPr>
        <w:footnoteReference w:id="39"/>
      </w:r>
    </w:p>
    <w:p w:rsidR="00EC14FE" w:rsidRPr="002D6014" w:rsidRDefault="00EC14FE" w:rsidP="001427FF">
      <w:pPr>
        <w:pStyle w:val="ListParagraph"/>
        <w:numPr>
          <w:ilvl w:val="0"/>
          <w:numId w:val="5"/>
        </w:numPr>
        <w:tabs>
          <w:tab w:val="clear" w:pos="567"/>
        </w:tabs>
        <w:contextualSpacing w:val="0"/>
        <w:rPr>
          <w:rFonts w:eastAsia="Times New Roman" w:cstheme="minorHAnsi"/>
        </w:rPr>
      </w:pPr>
      <w:r w:rsidRPr="002D6014">
        <w:rPr>
          <w:rFonts w:eastAsia="Times New Roman" w:cstheme="minorHAnsi"/>
        </w:rPr>
        <w:t xml:space="preserve">In 2010, the </w:t>
      </w:r>
      <w:r w:rsidR="00C46DC9" w:rsidRPr="002D6014">
        <w:rPr>
          <w:rFonts w:eastAsia="Times New Roman" w:cstheme="minorHAnsi"/>
        </w:rPr>
        <w:t>g</w:t>
      </w:r>
      <w:r w:rsidRPr="002D6014">
        <w:rPr>
          <w:rFonts w:eastAsia="Times New Roman" w:cstheme="minorHAnsi"/>
        </w:rPr>
        <w:t xml:space="preserve">overnment responded to the NHRCC report by issuing its </w:t>
      </w:r>
      <w:r w:rsidRPr="002D6014">
        <w:rPr>
          <w:rFonts w:eastAsia="Times New Roman" w:cstheme="minorHAnsi"/>
          <w:i/>
          <w:iCs/>
        </w:rPr>
        <w:t>Australia’s Human Rights Framework</w:t>
      </w:r>
      <w:r w:rsidRPr="002D6014">
        <w:rPr>
          <w:rFonts w:eastAsia="Times New Roman" w:cstheme="minorHAnsi"/>
        </w:rPr>
        <w:t xml:space="preserve"> document, which included proposals to establish a statutory Parliamentary Joint Committee on Human Rights</w:t>
      </w:r>
      <w:r w:rsidR="00C46DC9" w:rsidRPr="002D6014">
        <w:rPr>
          <w:rFonts w:eastAsia="Times New Roman" w:cstheme="minorHAnsi"/>
        </w:rPr>
        <w:t>,</w:t>
      </w:r>
      <w:r w:rsidRPr="002D6014">
        <w:rPr>
          <w:rFonts w:eastAsia="Times New Roman" w:cstheme="minorHAnsi"/>
        </w:rPr>
        <w:t xml:space="preserve"> which would scrutinise legislation</w:t>
      </w:r>
      <w:r w:rsidR="00C46DC9" w:rsidRPr="002D6014">
        <w:rPr>
          <w:rFonts w:eastAsia="Times New Roman" w:cstheme="minorHAnsi"/>
        </w:rPr>
        <w:t>’s</w:t>
      </w:r>
      <w:r w:rsidRPr="002D6014">
        <w:rPr>
          <w:rFonts w:eastAsia="Times New Roman" w:cstheme="minorHAnsi"/>
        </w:rPr>
        <w:t xml:space="preserve"> compliance with human rights treaties and a requirement that all new legislation introduced or tabled in Parliament be accompanied by a compatibility statement on human rights. </w:t>
      </w:r>
    </w:p>
    <w:p w:rsidR="00E11069" w:rsidRPr="002D6014" w:rsidRDefault="00055B64" w:rsidP="001427FF">
      <w:pPr>
        <w:pStyle w:val="ListParagraph"/>
        <w:numPr>
          <w:ilvl w:val="0"/>
          <w:numId w:val="5"/>
        </w:numPr>
        <w:tabs>
          <w:tab w:val="clear" w:pos="567"/>
        </w:tabs>
        <w:contextualSpacing w:val="0"/>
        <w:rPr>
          <w:rFonts w:eastAsia="Times New Roman" w:cstheme="minorHAnsi"/>
        </w:rPr>
      </w:pPr>
      <w:r w:rsidRPr="002D6014">
        <w:rPr>
          <w:rFonts w:eastAsia="Times New Roman" w:cstheme="minorHAnsi"/>
          <w:iCs/>
        </w:rPr>
        <w:t>The</w:t>
      </w:r>
      <w:r w:rsidRPr="002D6014">
        <w:rPr>
          <w:rFonts w:eastAsia="Times New Roman" w:cstheme="minorHAnsi"/>
          <w:i/>
          <w:iCs/>
        </w:rPr>
        <w:t xml:space="preserve"> </w:t>
      </w:r>
      <w:r w:rsidR="00E11069" w:rsidRPr="002D6014">
        <w:rPr>
          <w:rFonts w:eastAsia="Times New Roman" w:cstheme="minorHAnsi"/>
          <w:i/>
          <w:iCs/>
        </w:rPr>
        <w:t>Human Rights (Parliamentary Scrutiny) Act 2011</w:t>
      </w:r>
      <w:r w:rsidR="00E11069" w:rsidRPr="002D6014">
        <w:rPr>
          <w:rFonts w:eastAsia="Times New Roman" w:cstheme="minorHAnsi"/>
        </w:rPr>
        <w:t xml:space="preserve"> (Cth)</w:t>
      </w:r>
      <w:r w:rsidRPr="002D6014">
        <w:rPr>
          <w:rFonts w:eastAsia="Times New Roman" w:cstheme="minorHAnsi"/>
        </w:rPr>
        <w:t xml:space="preserve"> was passed by the </w:t>
      </w:r>
      <w:r w:rsidR="00C46DC9" w:rsidRPr="002D6014">
        <w:rPr>
          <w:rFonts w:eastAsia="Times New Roman" w:cstheme="minorHAnsi"/>
        </w:rPr>
        <w:t>f</w:t>
      </w:r>
      <w:r w:rsidRPr="002D6014">
        <w:rPr>
          <w:rFonts w:eastAsia="Times New Roman" w:cstheme="minorHAnsi"/>
        </w:rPr>
        <w:t xml:space="preserve">ederal parliament and </w:t>
      </w:r>
      <w:r w:rsidR="00E11069" w:rsidRPr="002D6014">
        <w:rPr>
          <w:rFonts w:eastAsia="Times New Roman" w:cstheme="minorHAnsi"/>
        </w:rPr>
        <w:t>came into effect on 4 January 2012.</w:t>
      </w:r>
    </w:p>
    <w:p w:rsidR="00E11069" w:rsidRPr="002D6014" w:rsidRDefault="00E11069" w:rsidP="001427FF">
      <w:pPr>
        <w:pStyle w:val="ListParagraph"/>
        <w:numPr>
          <w:ilvl w:val="0"/>
          <w:numId w:val="5"/>
        </w:numPr>
        <w:tabs>
          <w:tab w:val="clear" w:pos="567"/>
        </w:tabs>
        <w:contextualSpacing w:val="0"/>
        <w:rPr>
          <w:rFonts w:eastAsia="Times New Roman" w:cstheme="minorHAnsi"/>
        </w:rPr>
      </w:pPr>
      <w:r w:rsidRPr="002D6014">
        <w:rPr>
          <w:rFonts w:eastAsia="Times New Roman" w:cstheme="minorHAnsi"/>
        </w:rPr>
        <w:t>The Act introduces two significant changes to the way legislation is to be passed through federal parliament:</w:t>
      </w:r>
    </w:p>
    <w:p w:rsidR="00E11069" w:rsidRPr="002D6014" w:rsidRDefault="00E11069" w:rsidP="00BE54B3">
      <w:pPr>
        <w:numPr>
          <w:ilvl w:val="0"/>
          <w:numId w:val="1"/>
        </w:numPr>
        <w:tabs>
          <w:tab w:val="clear" w:pos="567"/>
          <w:tab w:val="clear" w:pos="1080"/>
        </w:tabs>
        <w:spacing w:before="120" w:after="120"/>
        <w:ind w:left="1276" w:hanging="425"/>
        <w:rPr>
          <w:rFonts w:eastAsia="Times New Roman" w:cstheme="minorHAnsi"/>
        </w:rPr>
      </w:pPr>
      <w:r w:rsidRPr="002D6014">
        <w:rPr>
          <w:rFonts w:eastAsia="Times New Roman" w:cstheme="minorHAnsi"/>
        </w:rPr>
        <w:t>It establishes a Parliamentary Joint Committee on Human Rights (‘the Committee’) to examine Bills for compliance with certain human rights; and</w:t>
      </w:r>
    </w:p>
    <w:p w:rsidR="00E11069" w:rsidRPr="002D6014" w:rsidRDefault="00E11069" w:rsidP="00BE54B3">
      <w:pPr>
        <w:numPr>
          <w:ilvl w:val="0"/>
          <w:numId w:val="1"/>
        </w:numPr>
        <w:tabs>
          <w:tab w:val="clear" w:pos="567"/>
          <w:tab w:val="clear" w:pos="1080"/>
        </w:tabs>
        <w:spacing w:before="120"/>
        <w:ind w:left="1276" w:hanging="425"/>
        <w:rPr>
          <w:rFonts w:eastAsia="Times New Roman" w:cstheme="minorHAnsi"/>
        </w:rPr>
      </w:pPr>
      <w:r w:rsidRPr="002D6014">
        <w:rPr>
          <w:rFonts w:eastAsia="Times New Roman" w:cstheme="minorHAnsi"/>
        </w:rPr>
        <w:t>It requires a statement of compatibility to be prepared in respect of each Bill introduced into a house of parliament, which assesses whether the Bill is compatible with human rights.</w:t>
      </w:r>
    </w:p>
    <w:p w:rsidR="00E11069" w:rsidRPr="002D6014" w:rsidRDefault="00E11069" w:rsidP="001427FF">
      <w:pPr>
        <w:pStyle w:val="ListParagraph"/>
        <w:numPr>
          <w:ilvl w:val="0"/>
          <w:numId w:val="5"/>
        </w:numPr>
        <w:tabs>
          <w:tab w:val="clear" w:pos="567"/>
        </w:tabs>
        <w:rPr>
          <w:rFonts w:eastAsia="Times New Roman" w:cstheme="minorHAnsi"/>
        </w:rPr>
      </w:pPr>
      <w:r w:rsidRPr="002D6014">
        <w:rPr>
          <w:rFonts w:eastAsia="Times New Roman" w:cstheme="minorHAnsi"/>
        </w:rPr>
        <w:t xml:space="preserve">The </w:t>
      </w:r>
      <w:r w:rsidR="00E25067" w:rsidRPr="002D6014">
        <w:rPr>
          <w:rFonts w:eastAsia="Times New Roman" w:cstheme="minorHAnsi"/>
        </w:rPr>
        <w:t xml:space="preserve">Brennan Committee </w:t>
      </w:r>
      <w:r w:rsidRPr="002D6014">
        <w:rPr>
          <w:rFonts w:eastAsia="Times New Roman" w:cstheme="minorHAnsi"/>
        </w:rPr>
        <w:t>recommendation to pass</w:t>
      </w:r>
      <w:r w:rsidR="000073F0" w:rsidRPr="002D6014">
        <w:rPr>
          <w:rFonts w:eastAsia="Times New Roman" w:cstheme="minorHAnsi"/>
        </w:rPr>
        <w:t xml:space="preserve"> a</w:t>
      </w:r>
      <w:r w:rsidRPr="002D6014">
        <w:rPr>
          <w:rFonts w:eastAsia="Times New Roman" w:cstheme="minorHAnsi"/>
        </w:rPr>
        <w:t xml:space="preserve"> federal Human Rights Act has not been followed.</w:t>
      </w:r>
    </w:p>
    <w:p w:rsidR="001F11FB" w:rsidRPr="00066EEA" w:rsidRDefault="001F11FB" w:rsidP="001B5E72">
      <w:pPr>
        <w:pStyle w:val="Heading1"/>
      </w:pPr>
      <w:bookmarkStart w:id="21" w:name="_Toc448747765"/>
      <w:r w:rsidRPr="00D95D9E">
        <w:lastRenderedPageBreak/>
        <w:t xml:space="preserve">A </w:t>
      </w:r>
      <w:r w:rsidR="00AB4A3B" w:rsidRPr="00D95D9E">
        <w:t>H</w:t>
      </w:r>
      <w:r w:rsidRPr="00D95D9E">
        <w:t>uman Rights A</w:t>
      </w:r>
      <w:r w:rsidR="00AB4A3B" w:rsidRPr="00D95D9E">
        <w:t xml:space="preserve">ct </w:t>
      </w:r>
      <w:r w:rsidRPr="006E3F71">
        <w:t xml:space="preserve">for </w:t>
      </w:r>
      <w:r w:rsidR="00AB4A3B" w:rsidRPr="00B224CB">
        <w:t>Queensland</w:t>
      </w:r>
      <w:bookmarkEnd w:id="21"/>
    </w:p>
    <w:p w:rsidR="00AB4A3B" w:rsidRPr="002D6014" w:rsidRDefault="001F11FB" w:rsidP="001B5E72">
      <w:pPr>
        <w:pStyle w:val="Heading2"/>
      </w:pPr>
      <w:bookmarkStart w:id="22" w:name="_Toc448747766"/>
      <w:r w:rsidRPr="002D6014">
        <w:t>T</w:t>
      </w:r>
      <w:r w:rsidR="00AB4A3B" w:rsidRPr="002D6014">
        <w:t>he objectives of the legislation</w:t>
      </w:r>
      <w:bookmarkEnd w:id="22"/>
      <w:r w:rsidR="00AB4A3B" w:rsidRPr="002D6014">
        <w:t xml:space="preserve"> </w:t>
      </w:r>
    </w:p>
    <w:p w:rsidR="001C74ED" w:rsidRPr="002D6014" w:rsidRDefault="00F70679" w:rsidP="00632BB9">
      <w:pPr>
        <w:pStyle w:val="NormalWeb"/>
        <w:numPr>
          <w:ilvl w:val="0"/>
          <w:numId w:val="5"/>
        </w:numPr>
        <w:spacing w:before="0" w:beforeAutospacing="0" w:after="240"/>
        <w:ind w:right="-51"/>
        <w:rPr>
          <w:rFonts w:asciiTheme="minorHAnsi" w:hAnsiTheme="minorHAnsi" w:cstheme="minorHAnsi"/>
          <w:sz w:val="22"/>
          <w:szCs w:val="22"/>
        </w:rPr>
      </w:pPr>
      <w:r w:rsidRPr="002D6014">
        <w:rPr>
          <w:rFonts w:asciiTheme="minorHAnsi" w:hAnsiTheme="minorHAnsi" w:cstheme="minorHAnsi"/>
          <w:color w:val="000000"/>
          <w:sz w:val="22"/>
          <w:szCs w:val="22"/>
        </w:rPr>
        <w:t xml:space="preserve">The objective of the legislation should </w:t>
      </w:r>
      <w:r w:rsidR="00C46DC9" w:rsidRPr="002D6014">
        <w:rPr>
          <w:rFonts w:asciiTheme="minorHAnsi" w:hAnsiTheme="minorHAnsi" w:cstheme="minorHAnsi"/>
          <w:color w:val="000000"/>
          <w:sz w:val="22"/>
          <w:szCs w:val="22"/>
        </w:rPr>
        <w:t xml:space="preserve">acknowledge </w:t>
      </w:r>
      <w:r w:rsidRPr="002D6014">
        <w:rPr>
          <w:rFonts w:asciiTheme="minorHAnsi" w:hAnsiTheme="minorHAnsi" w:cstheme="minorHAnsi"/>
          <w:color w:val="000000"/>
          <w:sz w:val="22"/>
          <w:szCs w:val="22"/>
        </w:rPr>
        <w:t>the key purpose of human rights laws</w:t>
      </w:r>
      <w:r w:rsidR="00C46DC9" w:rsidRPr="002D6014">
        <w:rPr>
          <w:rFonts w:asciiTheme="minorHAnsi" w:hAnsiTheme="minorHAnsi" w:cstheme="minorHAnsi"/>
          <w:color w:val="000000"/>
          <w:sz w:val="22"/>
          <w:szCs w:val="22"/>
        </w:rPr>
        <w:t>:</w:t>
      </w:r>
      <w:r w:rsidRPr="002D6014">
        <w:rPr>
          <w:rFonts w:asciiTheme="minorHAnsi" w:hAnsiTheme="minorHAnsi" w:cstheme="minorHAnsi"/>
          <w:color w:val="000000"/>
          <w:sz w:val="22"/>
          <w:szCs w:val="22"/>
        </w:rPr>
        <w:t xml:space="preserve"> </w:t>
      </w:r>
      <w:r w:rsidRPr="002D6014">
        <w:rPr>
          <w:rFonts w:asciiTheme="minorHAnsi" w:eastAsiaTheme="minorHAnsi" w:hAnsiTheme="minorHAnsi" w:cstheme="minorHAnsi"/>
          <w:color w:val="000000"/>
          <w:sz w:val="22"/>
          <w:szCs w:val="22"/>
        </w:rPr>
        <w:t>to</w:t>
      </w:r>
      <w:r w:rsidR="001C74ED" w:rsidRPr="002D6014">
        <w:rPr>
          <w:rFonts w:asciiTheme="minorHAnsi" w:hAnsiTheme="minorHAnsi" w:cstheme="minorHAnsi"/>
          <w:color w:val="000000"/>
          <w:sz w:val="22"/>
          <w:szCs w:val="22"/>
        </w:rPr>
        <w:t xml:space="preserve"> respect, protect</w:t>
      </w:r>
      <w:r w:rsidR="00C46DC9" w:rsidRPr="002D6014">
        <w:rPr>
          <w:rFonts w:asciiTheme="minorHAnsi" w:hAnsiTheme="minorHAnsi" w:cstheme="minorHAnsi"/>
          <w:color w:val="000000"/>
          <w:sz w:val="22"/>
          <w:szCs w:val="22"/>
        </w:rPr>
        <w:t>,</w:t>
      </w:r>
      <w:r w:rsidR="001C74ED" w:rsidRPr="002D6014">
        <w:rPr>
          <w:rFonts w:asciiTheme="minorHAnsi" w:hAnsiTheme="minorHAnsi" w:cstheme="minorHAnsi"/>
          <w:color w:val="000000"/>
          <w:sz w:val="22"/>
          <w:szCs w:val="22"/>
        </w:rPr>
        <w:t xml:space="preserve"> and fulfil human rights. The obligation to respect </w:t>
      </w:r>
      <w:r w:rsidR="00F55294" w:rsidRPr="002D6014">
        <w:rPr>
          <w:rFonts w:asciiTheme="minorHAnsi" w:hAnsiTheme="minorHAnsi" w:cstheme="minorHAnsi"/>
          <w:color w:val="000000"/>
          <w:sz w:val="22"/>
          <w:szCs w:val="22"/>
        </w:rPr>
        <w:t xml:space="preserve">is a negative obligation, requiring </w:t>
      </w:r>
      <w:r w:rsidR="001C74ED" w:rsidRPr="002D6014">
        <w:rPr>
          <w:rFonts w:asciiTheme="minorHAnsi" w:hAnsiTheme="minorHAnsi" w:cstheme="minorHAnsi"/>
          <w:color w:val="000000"/>
          <w:sz w:val="22"/>
          <w:szCs w:val="22"/>
        </w:rPr>
        <w:t xml:space="preserve">government to refrain from violating rights. The obligation to protect </w:t>
      </w:r>
      <w:r w:rsidR="00F55294" w:rsidRPr="002D6014">
        <w:rPr>
          <w:rFonts w:asciiTheme="minorHAnsi" w:hAnsiTheme="minorHAnsi" w:cstheme="minorHAnsi"/>
          <w:color w:val="000000"/>
          <w:sz w:val="22"/>
          <w:szCs w:val="22"/>
        </w:rPr>
        <w:t xml:space="preserve">relates to third parties and </w:t>
      </w:r>
      <w:r w:rsidR="001C74ED" w:rsidRPr="002D6014">
        <w:rPr>
          <w:rFonts w:asciiTheme="minorHAnsi" w:hAnsiTheme="minorHAnsi" w:cstheme="minorHAnsi"/>
          <w:color w:val="000000"/>
          <w:sz w:val="22"/>
          <w:szCs w:val="22"/>
        </w:rPr>
        <w:t>requires government to prevent other</w:t>
      </w:r>
      <w:r w:rsidR="00A20A3B" w:rsidRPr="002D6014">
        <w:rPr>
          <w:rFonts w:asciiTheme="minorHAnsi" w:hAnsiTheme="minorHAnsi" w:cstheme="minorHAnsi"/>
          <w:color w:val="000000"/>
          <w:sz w:val="22"/>
          <w:szCs w:val="22"/>
        </w:rPr>
        <w:t>s</w:t>
      </w:r>
      <w:r w:rsidR="001C74ED" w:rsidRPr="002D6014">
        <w:rPr>
          <w:rFonts w:asciiTheme="minorHAnsi" w:hAnsiTheme="minorHAnsi" w:cstheme="minorHAnsi"/>
          <w:color w:val="000000"/>
          <w:sz w:val="22"/>
          <w:szCs w:val="22"/>
        </w:rPr>
        <w:t xml:space="preserve"> from violating human rights. The obligation to fulfil </w:t>
      </w:r>
      <w:r w:rsidR="00F55294" w:rsidRPr="002D6014">
        <w:rPr>
          <w:rFonts w:asciiTheme="minorHAnsi" w:hAnsiTheme="minorHAnsi" w:cstheme="minorHAnsi"/>
          <w:color w:val="000000"/>
          <w:sz w:val="22"/>
          <w:szCs w:val="22"/>
        </w:rPr>
        <w:t>is a positive obligation</w:t>
      </w:r>
      <w:r w:rsidR="00A20A3B" w:rsidRPr="002D6014">
        <w:rPr>
          <w:rFonts w:asciiTheme="minorHAnsi" w:hAnsiTheme="minorHAnsi" w:cstheme="minorHAnsi"/>
          <w:color w:val="000000"/>
          <w:sz w:val="22"/>
          <w:szCs w:val="22"/>
        </w:rPr>
        <w:t>,</w:t>
      </w:r>
      <w:r w:rsidR="00F55294" w:rsidRPr="002D6014">
        <w:rPr>
          <w:rFonts w:asciiTheme="minorHAnsi" w:hAnsiTheme="minorHAnsi" w:cstheme="minorHAnsi"/>
          <w:color w:val="000000"/>
          <w:sz w:val="22"/>
          <w:szCs w:val="22"/>
        </w:rPr>
        <w:t xml:space="preserve"> and </w:t>
      </w:r>
      <w:r w:rsidR="001C74ED" w:rsidRPr="002D6014">
        <w:rPr>
          <w:rFonts w:asciiTheme="minorHAnsi" w:hAnsiTheme="minorHAnsi" w:cstheme="minorHAnsi"/>
          <w:color w:val="000000"/>
          <w:sz w:val="22"/>
          <w:szCs w:val="22"/>
        </w:rPr>
        <w:t>requires government to take active steps</w:t>
      </w:r>
      <w:r w:rsidR="00A20A3B" w:rsidRPr="002D6014">
        <w:rPr>
          <w:rFonts w:asciiTheme="minorHAnsi" w:hAnsiTheme="minorHAnsi" w:cstheme="minorHAnsi"/>
          <w:color w:val="000000"/>
          <w:sz w:val="22"/>
          <w:szCs w:val="22"/>
        </w:rPr>
        <w:t>,</w:t>
      </w:r>
      <w:r w:rsidR="001C74ED" w:rsidRPr="002D6014">
        <w:rPr>
          <w:rFonts w:asciiTheme="minorHAnsi" w:hAnsiTheme="minorHAnsi" w:cstheme="minorHAnsi"/>
          <w:color w:val="000000"/>
          <w:sz w:val="22"/>
          <w:szCs w:val="22"/>
        </w:rPr>
        <w:t xml:space="preserve"> or positive action</w:t>
      </w:r>
      <w:r w:rsidR="00A20A3B" w:rsidRPr="002D6014">
        <w:rPr>
          <w:rFonts w:asciiTheme="minorHAnsi" w:hAnsiTheme="minorHAnsi" w:cstheme="minorHAnsi"/>
          <w:color w:val="000000"/>
          <w:sz w:val="22"/>
          <w:szCs w:val="22"/>
        </w:rPr>
        <w:t>,</w:t>
      </w:r>
      <w:r w:rsidR="001C74ED" w:rsidRPr="002D6014">
        <w:rPr>
          <w:rFonts w:asciiTheme="minorHAnsi" w:hAnsiTheme="minorHAnsi" w:cstheme="minorHAnsi"/>
          <w:color w:val="000000"/>
          <w:sz w:val="22"/>
          <w:szCs w:val="22"/>
        </w:rPr>
        <w:t xml:space="preserve"> to implement the rights of its citizens.  </w:t>
      </w:r>
      <w:r w:rsidR="00F55294" w:rsidRPr="002D6014">
        <w:rPr>
          <w:rFonts w:asciiTheme="minorHAnsi" w:hAnsiTheme="minorHAnsi" w:cstheme="minorHAnsi"/>
          <w:color w:val="000000"/>
          <w:sz w:val="22"/>
          <w:szCs w:val="22"/>
        </w:rPr>
        <w:t>In international law, t</w:t>
      </w:r>
      <w:r w:rsidR="001C74ED" w:rsidRPr="002D6014">
        <w:rPr>
          <w:rFonts w:asciiTheme="minorHAnsi" w:hAnsiTheme="minorHAnsi" w:cstheme="minorHAnsi"/>
          <w:color w:val="000000"/>
          <w:sz w:val="22"/>
          <w:szCs w:val="22"/>
        </w:rPr>
        <w:t>he obligation</w:t>
      </w:r>
      <w:r w:rsidR="00F55294" w:rsidRPr="002D6014">
        <w:rPr>
          <w:rFonts w:asciiTheme="minorHAnsi" w:hAnsiTheme="minorHAnsi" w:cstheme="minorHAnsi"/>
          <w:color w:val="000000"/>
          <w:sz w:val="22"/>
          <w:szCs w:val="22"/>
        </w:rPr>
        <w:t>s</w:t>
      </w:r>
      <w:r w:rsidR="001C74ED" w:rsidRPr="002D6014">
        <w:rPr>
          <w:rFonts w:asciiTheme="minorHAnsi" w:hAnsiTheme="minorHAnsi" w:cstheme="minorHAnsi"/>
          <w:color w:val="000000"/>
          <w:sz w:val="22"/>
          <w:szCs w:val="22"/>
        </w:rPr>
        <w:t xml:space="preserve"> to respect, protect</w:t>
      </w:r>
      <w:r w:rsidR="00A20A3B" w:rsidRPr="002D6014">
        <w:rPr>
          <w:rFonts w:asciiTheme="minorHAnsi" w:hAnsiTheme="minorHAnsi" w:cstheme="minorHAnsi"/>
          <w:color w:val="000000"/>
          <w:sz w:val="22"/>
          <w:szCs w:val="22"/>
        </w:rPr>
        <w:t>,</w:t>
      </w:r>
      <w:r w:rsidR="001C74ED" w:rsidRPr="002D6014">
        <w:rPr>
          <w:rFonts w:asciiTheme="minorHAnsi" w:hAnsiTheme="minorHAnsi" w:cstheme="minorHAnsi"/>
          <w:color w:val="000000"/>
          <w:sz w:val="22"/>
          <w:szCs w:val="22"/>
        </w:rPr>
        <w:t xml:space="preserve"> and fulfil apply equally to civil, political, economic, social and cultural rights.  </w:t>
      </w:r>
    </w:p>
    <w:p w:rsidR="001C74ED" w:rsidRPr="00D95D9E" w:rsidRDefault="00F55294" w:rsidP="001427FF">
      <w:pPr>
        <w:pStyle w:val="NormalWeb"/>
        <w:numPr>
          <w:ilvl w:val="0"/>
          <w:numId w:val="5"/>
        </w:numPr>
        <w:spacing w:before="0" w:beforeAutospacing="0" w:after="240"/>
        <w:ind w:right="-51"/>
        <w:jc w:val="both"/>
        <w:rPr>
          <w:rFonts w:asciiTheme="minorHAnsi" w:hAnsiTheme="minorHAnsi" w:cstheme="minorHAnsi"/>
          <w:color w:val="000000"/>
          <w:sz w:val="22"/>
          <w:szCs w:val="22"/>
        </w:rPr>
      </w:pPr>
      <w:r w:rsidRPr="00D95D9E">
        <w:rPr>
          <w:rFonts w:asciiTheme="minorHAnsi" w:hAnsiTheme="minorHAnsi" w:cstheme="minorHAnsi"/>
          <w:color w:val="000000"/>
          <w:sz w:val="22"/>
          <w:szCs w:val="22"/>
        </w:rPr>
        <w:t>In practice, this may look like</w:t>
      </w:r>
      <w:r w:rsidR="00A20A3B" w:rsidRPr="00D95D9E">
        <w:rPr>
          <w:rFonts w:asciiTheme="minorHAnsi" w:hAnsiTheme="minorHAnsi" w:cstheme="minorHAnsi"/>
          <w:color w:val="000000"/>
          <w:sz w:val="22"/>
          <w:szCs w:val="22"/>
        </w:rPr>
        <w:t>:</w:t>
      </w:r>
    </w:p>
    <w:tbl>
      <w:tblPr>
        <w:tblW w:w="0" w:type="auto"/>
        <w:tbl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insideH w:val="dotted" w:sz="4" w:space="0" w:color="A6A6A6" w:themeColor="background1" w:themeShade="A6"/>
          <w:insideV w:val="dotted" w:sz="4" w:space="0" w:color="A6A6A6" w:themeColor="background1" w:themeShade="A6"/>
        </w:tblBorders>
        <w:tblLook w:val="01E0" w:firstRow="1" w:lastRow="1" w:firstColumn="1" w:lastColumn="1" w:noHBand="0" w:noVBand="0"/>
      </w:tblPr>
      <w:tblGrid>
        <w:gridCol w:w="1728"/>
        <w:gridCol w:w="3600"/>
        <w:gridCol w:w="3600"/>
      </w:tblGrid>
      <w:tr w:rsidR="00B626CD" w:rsidRPr="002D6014" w:rsidTr="001B0C9C">
        <w:tc>
          <w:tcPr>
            <w:tcW w:w="1728" w:type="dxa"/>
            <w:vAlign w:val="center"/>
          </w:tcPr>
          <w:p w:rsidR="00B626CD" w:rsidRPr="002D6014" w:rsidRDefault="00B626CD" w:rsidP="006D0755">
            <w:pPr>
              <w:autoSpaceDE w:val="0"/>
              <w:autoSpaceDN w:val="0"/>
              <w:adjustRightInd w:val="0"/>
              <w:spacing w:before="120" w:after="120"/>
              <w:jc w:val="center"/>
              <w:rPr>
                <w:rFonts w:cstheme="minorHAnsi"/>
                <w:b/>
                <w:lang w:eastAsia="en-US"/>
              </w:rPr>
            </w:pPr>
          </w:p>
        </w:tc>
        <w:tc>
          <w:tcPr>
            <w:tcW w:w="3600" w:type="dxa"/>
            <w:vAlign w:val="center"/>
            <w:hideMark/>
          </w:tcPr>
          <w:p w:rsidR="00B626CD" w:rsidRPr="002D6014" w:rsidRDefault="00B626CD" w:rsidP="006D0755">
            <w:pPr>
              <w:autoSpaceDE w:val="0"/>
              <w:autoSpaceDN w:val="0"/>
              <w:adjustRightInd w:val="0"/>
              <w:spacing w:before="120" w:after="120"/>
              <w:jc w:val="center"/>
              <w:rPr>
                <w:rFonts w:cstheme="minorHAnsi"/>
                <w:b/>
                <w:lang w:eastAsia="en-US"/>
              </w:rPr>
            </w:pPr>
            <w:r w:rsidRPr="002D6014">
              <w:rPr>
                <w:rFonts w:cstheme="minorHAnsi"/>
                <w:b/>
              </w:rPr>
              <w:t>Right to life</w:t>
            </w:r>
          </w:p>
        </w:tc>
        <w:tc>
          <w:tcPr>
            <w:tcW w:w="3600" w:type="dxa"/>
            <w:vAlign w:val="center"/>
            <w:hideMark/>
          </w:tcPr>
          <w:p w:rsidR="00B626CD" w:rsidRPr="002D6014" w:rsidRDefault="00B626CD" w:rsidP="006D0755">
            <w:pPr>
              <w:autoSpaceDE w:val="0"/>
              <w:autoSpaceDN w:val="0"/>
              <w:adjustRightInd w:val="0"/>
              <w:spacing w:before="120" w:after="120"/>
              <w:jc w:val="center"/>
              <w:rPr>
                <w:rFonts w:cstheme="minorHAnsi"/>
                <w:b/>
                <w:lang w:eastAsia="en-US"/>
              </w:rPr>
            </w:pPr>
            <w:r w:rsidRPr="002D6014">
              <w:rPr>
                <w:rFonts w:cstheme="minorHAnsi"/>
                <w:b/>
              </w:rPr>
              <w:t>Right to housing</w:t>
            </w:r>
          </w:p>
        </w:tc>
      </w:tr>
      <w:tr w:rsidR="00B626CD" w:rsidRPr="002D6014" w:rsidTr="001B0C9C">
        <w:tc>
          <w:tcPr>
            <w:tcW w:w="1728" w:type="dxa"/>
            <w:hideMark/>
          </w:tcPr>
          <w:p w:rsidR="00B626CD" w:rsidRPr="002D6014" w:rsidRDefault="00B626CD" w:rsidP="005D03A5">
            <w:pPr>
              <w:autoSpaceDE w:val="0"/>
              <w:autoSpaceDN w:val="0"/>
              <w:adjustRightInd w:val="0"/>
              <w:rPr>
                <w:rFonts w:cstheme="minorHAnsi"/>
                <w:b/>
                <w:lang w:eastAsia="en-US"/>
              </w:rPr>
            </w:pPr>
            <w:r w:rsidRPr="002D6014">
              <w:rPr>
                <w:rFonts w:cstheme="minorHAnsi"/>
                <w:b/>
              </w:rPr>
              <w:t>Obligation to respect</w:t>
            </w:r>
          </w:p>
        </w:tc>
        <w:tc>
          <w:tcPr>
            <w:tcW w:w="3600" w:type="dxa"/>
            <w:hideMark/>
          </w:tcPr>
          <w:p w:rsidR="00B626CD" w:rsidRPr="00B224CB" w:rsidRDefault="00B626CD" w:rsidP="005D03A5">
            <w:pPr>
              <w:pStyle w:val="NormalWeb"/>
              <w:autoSpaceDE w:val="0"/>
              <w:autoSpaceDN w:val="0"/>
              <w:adjustRightInd w:val="0"/>
              <w:spacing w:before="0" w:beforeAutospacing="0" w:after="240"/>
              <w:rPr>
                <w:rFonts w:asciiTheme="minorHAnsi" w:hAnsiTheme="minorHAnsi" w:cstheme="minorHAnsi"/>
                <w:sz w:val="22"/>
                <w:szCs w:val="22"/>
                <w:lang w:eastAsia="en-US"/>
              </w:rPr>
            </w:pPr>
            <w:r w:rsidRPr="00D95D9E">
              <w:rPr>
                <w:rFonts w:asciiTheme="minorHAnsi" w:hAnsiTheme="minorHAnsi" w:cstheme="minorHAnsi"/>
                <w:sz w:val="22"/>
                <w:szCs w:val="22"/>
              </w:rPr>
              <w:t>A State</w:t>
            </w:r>
            <w:r w:rsidR="00A20A3B" w:rsidRPr="00D95D9E">
              <w:rPr>
                <w:rFonts w:asciiTheme="minorHAnsi" w:hAnsiTheme="minorHAnsi" w:cstheme="minorHAnsi"/>
                <w:sz w:val="22"/>
                <w:szCs w:val="22"/>
              </w:rPr>
              <w:t>,</w:t>
            </w:r>
            <w:r w:rsidRPr="00D95D9E">
              <w:rPr>
                <w:rFonts w:asciiTheme="minorHAnsi" w:hAnsiTheme="minorHAnsi" w:cstheme="minorHAnsi"/>
                <w:sz w:val="22"/>
                <w:szCs w:val="22"/>
              </w:rPr>
              <w:t xml:space="preserve"> or its agents</w:t>
            </w:r>
            <w:r w:rsidR="00A20A3B" w:rsidRPr="00D95D9E">
              <w:rPr>
                <w:rFonts w:asciiTheme="minorHAnsi" w:hAnsiTheme="minorHAnsi" w:cstheme="minorHAnsi"/>
                <w:sz w:val="22"/>
                <w:szCs w:val="22"/>
              </w:rPr>
              <w:t>,</w:t>
            </w:r>
            <w:r w:rsidRPr="006E3F71">
              <w:rPr>
                <w:rFonts w:asciiTheme="minorHAnsi" w:hAnsiTheme="minorHAnsi" w:cstheme="minorHAnsi"/>
                <w:sz w:val="22"/>
                <w:szCs w:val="22"/>
              </w:rPr>
              <w:t xml:space="preserve"> cannot take a person’s life arbitrarily or unlawfully. For example, the police cannot shoot a person unless they are acting in self-defence.</w:t>
            </w:r>
          </w:p>
        </w:tc>
        <w:tc>
          <w:tcPr>
            <w:tcW w:w="3600" w:type="dxa"/>
            <w:hideMark/>
          </w:tcPr>
          <w:p w:rsidR="00B626CD" w:rsidRPr="002D6014" w:rsidRDefault="00B626CD" w:rsidP="0031645C">
            <w:pPr>
              <w:autoSpaceDE w:val="0"/>
              <w:autoSpaceDN w:val="0"/>
              <w:adjustRightInd w:val="0"/>
              <w:rPr>
                <w:rFonts w:cstheme="minorHAnsi"/>
                <w:lang w:eastAsia="en-US"/>
              </w:rPr>
            </w:pPr>
            <w:r w:rsidRPr="002D6014">
              <w:rPr>
                <w:rFonts w:cstheme="minorHAnsi"/>
              </w:rPr>
              <w:t>A State</w:t>
            </w:r>
            <w:r w:rsidR="00A20A3B" w:rsidRPr="002D6014">
              <w:rPr>
                <w:rFonts w:cstheme="minorHAnsi"/>
              </w:rPr>
              <w:t>,</w:t>
            </w:r>
            <w:r w:rsidRPr="002D6014">
              <w:rPr>
                <w:rFonts w:cstheme="minorHAnsi"/>
              </w:rPr>
              <w:t xml:space="preserve"> or its agents</w:t>
            </w:r>
            <w:r w:rsidR="00A20A3B" w:rsidRPr="002D6014">
              <w:rPr>
                <w:rFonts w:cstheme="minorHAnsi"/>
              </w:rPr>
              <w:t>,</w:t>
            </w:r>
            <w:r w:rsidRPr="002D6014">
              <w:rPr>
                <w:rFonts w:cstheme="minorHAnsi"/>
              </w:rPr>
              <w:t xml:space="preserve"> cannot evict or deny a person from access to their home arbitrarily or unlawfully. </w:t>
            </w:r>
          </w:p>
        </w:tc>
      </w:tr>
      <w:tr w:rsidR="00B626CD" w:rsidRPr="002D6014" w:rsidTr="001B0C9C">
        <w:tc>
          <w:tcPr>
            <w:tcW w:w="1728" w:type="dxa"/>
            <w:hideMark/>
          </w:tcPr>
          <w:p w:rsidR="00B626CD" w:rsidRPr="002D6014" w:rsidRDefault="00B626CD" w:rsidP="005D03A5">
            <w:pPr>
              <w:autoSpaceDE w:val="0"/>
              <w:autoSpaceDN w:val="0"/>
              <w:adjustRightInd w:val="0"/>
              <w:rPr>
                <w:rFonts w:cstheme="minorHAnsi"/>
                <w:b/>
                <w:lang w:eastAsia="en-US"/>
              </w:rPr>
            </w:pPr>
            <w:r w:rsidRPr="002D6014">
              <w:rPr>
                <w:rFonts w:cstheme="minorHAnsi"/>
                <w:b/>
              </w:rPr>
              <w:t>Obligation to protect</w:t>
            </w:r>
          </w:p>
        </w:tc>
        <w:tc>
          <w:tcPr>
            <w:tcW w:w="3600" w:type="dxa"/>
            <w:hideMark/>
          </w:tcPr>
          <w:p w:rsidR="00B626CD" w:rsidRPr="002D6014" w:rsidRDefault="00B626CD" w:rsidP="00A20A3B">
            <w:pPr>
              <w:autoSpaceDE w:val="0"/>
              <w:autoSpaceDN w:val="0"/>
              <w:adjustRightInd w:val="0"/>
              <w:rPr>
                <w:rFonts w:cstheme="minorHAnsi"/>
                <w:lang w:eastAsia="en-US"/>
              </w:rPr>
            </w:pPr>
            <w:r w:rsidRPr="002D6014">
              <w:rPr>
                <w:rFonts w:cstheme="minorHAnsi"/>
              </w:rPr>
              <w:t xml:space="preserve">A State must take reasonable measures to ensure that </w:t>
            </w:r>
            <w:r w:rsidRPr="002D6014">
              <w:rPr>
                <w:rFonts w:cstheme="minorHAnsi"/>
                <w:i/>
                <w:iCs/>
              </w:rPr>
              <w:t xml:space="preserve">non-State </w:t>
            </w:r>
            <w:r w:rsidR="00A20A3B" w:rsidRPr="002D6014">
              <w:rPr>
                <w:rFonts w:cstheme="minorHAnsi"/>
                <w:i/>
                <w:iCs/>
              </w:rPr>
              <w:t xml:space="preserve">entities </w:t>
            </w:r>
            <w:r w:rsidR="00A20A3B" w:rsidRPr="002D6014">
              <w:rPr>
                <w:rFonts w:cstheme="minorHAnsi"/>
                <w:i/>
              </w:rPr>
              <w:t>or</w:t>
            </w:r>
            <w:r w:rsidRPr="002D6014">
              <w:rPr>
                <w:rFonts w:cstheme="minorHAnsi"/>
                <w:i/>
              </w:rPr>
              <w:t xml:space="preserve"> private individuals</w:t>
            </w:r>
            <w:r w:rsidRPr="002D6014">
              <w:rPr>
                <w:rFonts w:cstheme="minorHAnsi"/>
              </w:rPr>
              <w:t xml:space="preserve"> do not take a person’s life arbitrarily or unlawfully. For example, a State must create a police force to protect people against violence.</w:t>
            </w:r>
          </w:p>
        </w:tc>
        <w:tc>
          <w:tcPr>
            <w:tcW w:w="3600" w:type="dxa"/>
            <w:hideMark/>
          </w:tcPr>
          <w:p w:rsidR="00B626CD" w:rsidRPr="002D6014" w:rsidRDefault="00B626CD" w:rsidP="00697D62">
            <w:pPr>
              <w:autoSpaceDE w:val="0"/>
              <w:autoSpaceDN w:val="0"/>
              <w:adjustRightInd w:val="0"/>
              <w:rPr>
                <w:rFonts w:cstheme="minorHAnsi"/>
                <w:lang w:eastAsia="en-US"/>
              </w:rPr>
            </w:pPr>
            <w:r w:rsidRPr="002D6014">
              <w:rPr>
                <w:rFonts w:cstheme="minorHAnsi"/>
              </w:rPr>
              <w:t xml:space="preserve">A State must take reasonable measures to ensure that </w:t>
            </w:r>
            <w:r w:rsidRPr="002D6014">
              <w:rPr>
                <w:rFonts w:cstheme="minorHAnsi"/>
                <w:i/>
                <w:iCs/>
              </w:rPr>
              <w:t xml:space="preserve">non-State </w:t>
            </w:r>
            <w:r w:rsidR="00697D62" w:rsidRPr="002D6014">
              <w:rPr>
                <w:rFonts w:cstheme="minorHAnsi"/>
                <w:i/>
                <w:iCs/>
              </w:rPr>
              <w:t xml:space="preserve">entities or </w:t>
            </w:r>
            <w:r w:rsidRPr="002D6014">
              <w:rPr>
                <w:rFonts w:cstheme="minorHAnsi"/>
                <w:i/>
                <w:iCs/>
              </w:rPr>
              <w:t>pri</w:t>
            </w:r>
            <w:r w:rsidRPr="002D6014">
              <w:rPr>
                <w:rFonts w:cstheme="minorHAnsi"/>
              </w:rPr>
              <w:t>vate i</w:t>
            </w:r>
            <w:r w:rsidRPr="002D6014">
              <w:rPr>
                <w:rFonts w:cstheme="minorHAnsi"/>
                <w:i/>
              </w:rPr>
              <w:t>ndividuals</w:t>
            </w:r>
            <w:r w:rsidRPr="002D6014">
              <w:rPr>
                <w:rFonts w:cstheme="minorHAnsi"/>
              </w:rPr>
              <w:t xml:space="preserve"> do not evict or deny a person access to their home arbitrarily or unlawfully. For example, a State must adopt residential tenancy legislation.</w:t>
            </w:r>
          </w:p>
        </w:tc>
      </w:tr>
      <w:tr w:rsidR="00B626CD" w:rsidRPr="002D6014" w:rsidTr="001B0C9C">
        <w:trPr>
          <w:trHeight w:val="2227"/>
        </w:trPr>
        <w:tc>
          <w:tcPr>
            <w:tcW w:w="1728" w:type="dxa"/>
            <w:hideMark/>
          </w:tcPr>
          <w:p w:rsidR="00B626CD" w:rsidRPr="002D6014" w:rsidRDefault="00B626CD" w:rsidP="005D03A5">
            <w:pPr>
              <w:autoSpaceDE w:val="0"/>
              <w:autoSpaceDN w:val="0"/>
              <w:adjustRightInd w:val="0"/>
              <w:rPr>
                <w:rFonts w:cstheme="minorHAnsi"/>
                <w:b/>
                <w:lang w:eastAsia="en-US"/>
              </w:rPr>
            </w:pPr>
            <w:r w:rsidRPr="002D6014">
              <w:rPr>
                <w:rFonts w:cstheme="minorHAnsi"/>
                <w:b/>
              </w:rPr>
              <w:t xml:space="preserve">Obligation to </w:t>
            </w:r>
            <w:r w:rsidR="006D4282" w:rsidRPr="002D6014">
              <w:rPr>
                <w:rFonts w:cstheme="minorHAnsi"/>
                <w:b/>
              </w:rPr>
              <w:t>fulfil</w:t>
            </w:r>
          </w:p>
        </w:tc>
        <w:tc>
          <w:tcPr>
            <w:tcW w:w="3600" w:type="dxa"/>
            <w:hideMark/>
          </w:tcPr>
          <w:p w:rsidR="00B626CD" w:rsidRPr="002D6014" w:rsidRDefault="00B626CD" w:rsidP="005D03A5">
            <w:pPr>
              <w:autoSpaceDE w:val="0"/>
              <w:autoSpaceDN w:val="0"/>
              <w:adjustRightInd w:val="0"/>
              <w:rPr>
                <w:rFonts w:cstheme="minorHAnsi"/>
                <w:lang w:eastAsia="en-US"/>
              </w:rPr>
            </w:pPr>
            <w:r w:rsidRPr="002D6014">
              <w:rPr>
                <w:rFonts w:cstheme="minorHAnsi"/>
              </w:rPr>
              <w:t>The State must take reasonable measures to reduce infant mortality and increase life expectancy by eliminating malnutrition and epidemics. For example, a State must provide access to immunisation.</w:t>
            </w:r>
          </w:p>
        </w:tc>
        <w:tc>
          <w:tcPr>
            <w:tcW w:w="3600" w:type="dxa"/>
            <w:hideMark/>
          </w:tcPr>
          <w:p w:rsidR="00B626CD" w:rsidRPr="002D6014" w:rsidRDefault="00B626CD" w:rsidP="005D03A5">
            <w:pPr>
              <w:autoSpaceDE w:val="0"/>
              <w:autoSpaceDN w:val="0"/>
              <w:adjustRightInd w:val="0"/>
              <w:rPr>
                <w:rFonts w:cstheme="minorHAnsi"/>
                <w:lang w:eastAsia="en-US"/>
              </w:rPr>
            </w:pPr>
            <w:r w:rsidRPr="002D6014">
              <w:rPr>
                <w:rFonts w:cstheme="minorHAnsi"/>
              </w:rPr>
              <w:t>The State must take reasonable measures to ensure that individuals have access to appropriate housing. For example, a State must ensure the provision of public housing for those without sufficient resources.</w:t>
            </w:r>
          </w:p>
        </w:tc>
      </w:tr>
      <w:tr w:rsidR="001C74ED" w:rsidRPr="002D6014" w:rsidTr="001B0C9C">
        <w:tc>
          <w:tcPr>
            <w:tcW w:w="1728" w:type="dxa"/>
          </w:tcPr>
          <w:p w:rsidR="001C74ED" w:rsidRPr="002D6014" w:rsidRDefault="001C74ED" w:rsidP="001B0C9C">
            <w:pPr>
              <w:keepNext/>
              <w:keepLines/>
              <w:autoSpaceDE w:val="0"/>
              <w:autoSpaceDN w:val="0"/>
              <w:adjustRightInd w:val="0"/>
              <w:spacing w:before="120" w:after="120"/>
              <w:jc w:val="center"/>
              <w:rPr>
                <w:rFonts w:cstheme="minorHAnsi"/>
                <w:b/>
                <w:lang w:eastAsia="en-US"/>
              </w:rPr>
            </w:pPr>
          </w:p>
        </w:tc>
        <w:tc>
          <w:tcPr>
            <w:tcW w:w="3600" w:type="dxa"/>
            <w:hideMark/>
          </w:tcPr>
          <w:p w:rsidR="001C74ED" w:rsidRPr="002D6014" w:rsidRDefault="001C74ED" w:rsidP="001B0C9C">
            <w:pPr>
              <w:keepNext/>
              <w:keepLines/>
              <w:autoSpaceDE w:val="0"/>
              <w:autoSpaceDN w:val="0"/>
              <w:adjustRightInd w:val="0"/>
              <w:spacing w:before="120" w:after="120"/>
              <w:jc w:val="center"/>
              <w:rPr>
                <w:rFonts w:cstheme="minorHAnsi"/>
                <w:b/>
                <w:lang w:eastAsia="en-US"/>
              </w:rPr>
            </w:pPr>
            <w:r w:rsidRPr="002D6014">
              <w:rPr>
                <w:rFonts w:cstheme="minorHAnsi"/>
                <w:b/>
                <w:lang w:eastAsia="en-US"/>
              </w:rPr>
              <w:t xml:space="preserve">Right to </w:t>
            </w:r>
            <w:r w:rsidR="00F55294" w:rsidRPr="002D6014">
              <w:rPr>
                <w:rFonts w:cstheme="minorHAnsi"/>
                <w:b/>
                <w:lang w:eastAsia="en-US"/>
              </w:rPr>
              <w:t>freedom from torture</w:t>
            </w:r>
            <w:r w:rsidRPr="002D6014">
              <w:rPr>
                <w:rFonts w:cstheme="minorHAnsi"/>
                <w:b/>
                <w:lang w:eastAsia="en-US"/>
              </w:rPr>
              <w:t xml:space="preserve"> </w:t>
            </w:r>
          </w:p>
        </w:tc>
        <w:tc>
          <w:tcPr>
            <w:tcW w:w="3600" w:type="dxa"/>
            <w:hideMark/>
          </w:tcPr>
          <w:p w:rsidR="001C74ED" w:rsidRPr="002D6014" w:rsidRDefault="001C74ED" w:rsidP="001B0C9C">
            <w:pPr>
              <w:keepNext/>
              <w:keepLines/>
              <w:autoSpaceDE w:val="0"/>
              <w:autoSpaceDN w:val="0"/>
              <w:adjustRightInd w:val="0"/>
              <w:spacing w:before="120" w:after="120"/>
              <w:jc w:val="center"/>
              <w:rPr>
                <w:rFonts w:cstheme="minorHAnsi"/>
                <w:b/>
                <w:lang w:eastAsia="en-US"/>
              </w:rPr>
            </w:pPr>
            <w:r w:rsidRPr="002D6014">
              <w:rPr>
                <w:rFonts w:cstheme="minorHAnsi"/>
                <w:b/>
                <w:lang w:eastAsia="en-US"/>
              </w:rPr>
              <w:t xml:space="preserve">Right to </w:t>
            </w:r>
            <w:r w:rsidR="00F70679" w:rsidRPr="002D6014">
              <w:rPr>
                <w:rFonts w:cstheme="minorHAnsi"/>
                <w:b/>
                <w:lang w:eastAsia="en-US"/>
              </w:rPr>
              <w:t>health</w:t>
            </w:r>
            <w:r w:rsidRPr="002D6014">
              <w:rPr>
                <w:rFonts w:cstheme="minorHAnsi"/>
                <w:b/>
                <w:lang w:eastAsia="en-US"/>
              </w:rPr>
              <w:t xml:space="preserve"> </w:t>
            </w:r>
          </w:p>
        </w:tc>
      </w:tr>
      <w:tr w:rsidR="001C74ED" w:rsidRPr="002D6014" w:rsidTr="001B0C9C">
        <w:tc>
          <w:tcPr>
            <w:tcW w:w="1728" w:type="dxa"/>
            <w:hideMark/>
          </w:tcPr>
          <w:p w:rsidR="001C74ED" w:rsidRPr="002D6014" w:rsidRDefault="001C74ED" w:rsidP="001B0C9C">
            <w:pPr>
              <w:keepNext/>
              <w:keepLines/>
              <w:autoSpaceDE w:val="0"/>
              <w:autoSpaceDN w:val="0"/>
              <w:adjustRightInd w:val="0"/>
              <w:rPr>
                <w:rFonts w:cstheme="minorHAnsi"/>
                <w:b/>
                <w:lang w:eastAsia="en-US"/>
              </w:rPr>
            </w:pPr>
            <w:r w:rsidRPr="002D6014">
              <w:rPr>
                <w:rFonts w:cstheme="minorHAnsi"/>
                <w:b/>
              </w:rPr>
              <w:t>Obligation to respect</w:t>
            </w:r>
          </w:p>
        </w:tc>
        <w:tc>
          <w:tcPr>
            <w:tcW w:w="3600" w:type="dxa"/>
            <w:hideMark/>
          </w:tcPr>
          <w:p w:rsidR="001C74ED" w:rsidRPr="002D6014" w:rsidRDefault="001C74ED" w:rsidP="001B0C9C">
            <w:pPr>
              <w:pStyle w:val="NormalWeb"/>
              <w:keepNext/>
              <w:keepLines/>
              <w:autoSpaceDE w:val="0"/>
              <w:autoSpaceDN w:val="0"/>
              <w:adjustRightInd w:val="0"/>
              <w:spacing w:before="0" w:beforeAutospacing="0" w:after="240"/>
              <w:rPr>
                <w:rFonts w:asciiTheme="minorHAnsi" w:hAnsiTheme="minorHAnsi" w:cstheme="minorHAnsi"/>
                <w:sz w:val="22"/>
                <w:szCs w:val="22"/>
                <w:lang w:eastAsia="en-US"/>
              </w:rPr>
            </w:pPr>
            <w:r w:rsidRPr="00D95D9E">
              <w:rPr>
                <w:rFonts w:asciiTheme="minorHAnsi" w:hAnsiTheme="minorHAnsi" w:cstheme="minorHAnsi"/>
                <w:sz w:val="22"/>
                <w:szCs w:val="22"/>
              </w:rPr>
              <w:t>A State</w:t>
            </w:r>
            <w:r w:rsidR="00CE669B" w:rsidRPr="00D95D9E">
              <w:rPr>
                <w:rFonts w:asciiTheme="minorHAnsi" w:hAnsiTheme="minorHAnsi" w:cstheme="minorHAnsi"/>
                <w:sz w:val="22"/>
                <w:szCs w:val="22"/>
              </w:rPr>
              <w:t>,</w:t>
            </w:r>
            <w:r w:rsidRPr="00D95D9E">
              <w:rPr>
                <w:rFonts w:asciiTheme="minorHAnsi" w:hAnsiTheme="minorHAnsi" w:cstheme="minorHAnsi"/>
                <w:sz w:val="22"/>
                <w:szCs w:val="22"/>
              </w:rPr>
              <w:t xml:space="preserve"> or its agents</w:t>
            </w:r>
            <w:r w:rsidR="00CE669B" w:rsidRPr="006E3F71">
              <w:rPr>
                <w:rFonts w:asciiTheme="minorHAnsi" w:hAnsiTheme="minorHAnsi" w:cstheme="minorHAnsi"/>
                <w:sz w:val="22"/>
                <w:szCs w:val="22"/>
              </w:rPr>
              <w:t>,</w:t>
            </w:r>
            <w:r w:rsidRPr="00B224CB">
              <w:rPr>
                <w:rFonts w:asciiTheme="minorHAnsi" w:hAnsiTheme="minorHAnsi" w:cstheme="minorHAnsi"/>
                <w:sz w:val="22"/>
                <w:szCs w:val="22"/>
              </w:rPr>
              <w:t xml:space="preserve"> cannot </w:t>
            </w:r>
            <w:r w:rsidR="00F55294" w:rsidRPr="002D6014">
              <w:rPr>
                <w:rFonts w:asciiTheme="minorHAnsi" w:hAnsiTheme="minorHAnsi" w:cstheme="minorHAnsi"/>
                <w:sz w:val="22"/>
                <w:szCs w:val="22"/>
              </w:rPr>
              <w:t>torture a person</w:t>
            </w:r>
            <w:r w:rsidRPr="002D6014">
              <w:rPr>
                <w:rFonts w:asciiTheme="minorHAnsi" w:hAnsiTheme="minorHAnsi" w:cstheme="minorHAnsi"/>
                <w:sz w:val="22"/>
                <w:szCs w:val="22"/>
              </w:rPr>
              <w:t xml:space="preserve">. For example, the police cannot </w:t>
            </w:r>
            <w:r w:rsidR="00F55294" w:rsidRPr="002D6014">
              <w:rPr>
                <w:rFonts w:asciiTheme="minorHAnsi" w:hAnsiTheme="minorHAnsi" w:cstheme="minorHAnsi"/>
                <w:sz w:val="22"/>
                <w:szCs w:val="22"/>
              </w:rPr>
              <w:t xml:space="preserve">engage in acts of torture during investigations. </w:t>
            </w:r>
          </w:p>
        </w:tc>
        <w:tc>
          <w:tcPr>
            <w:tcW w:w="3600" w:type="dxa"/>
            <w:hideMark/>
          </w:tcPr>
          <w:p w:rsidR="001C74ED" w:rsidRPr="002D6014" w:rsidRDefault="001C74ED" w:rsidP="00CE669B">
            <w:pPr>
              <w:keepNext/>
              <w:keepLines/>
              <w:autoSpaceDE w:val="0"/>
              <w:autoSpaceDN w:val="0"/>
              <w:adjustRightInd w:val="0"/>
              <w:rPr>
                <w:rFonts w:cstheme="minorHAnsi"/>
                <w:lang w:eastAsia="en-US"/>
              </w:rPr>
            </w:pPr>
            <w:r w:rsidRPr="002D6014">
              <w:rPr>
                <w:rFonts w:cstheme="minorHAnsi"/>
              </w:rPr>
              <w:t>A State</w:t>
            </w:r>
            <w:r w:rsidR="00CE669B" w:rsidRPr="002D6014">
              <w:rPr>
                <w:rFonts w:cstheme="minorHAnsi"/>
              </w:rPr>
              <w:t>,</w:t>
            </w:r>
            <w:r w:rsidRPr="002D6014">
              <w:rPr>
                <w:rFonts w:cstheme="minorHAnsi"/>
              </w:rPr>
              <w:t xml:space="preserve"> or its agents</w:t>
            </w:r>
            <w:r w:rsidR="00CE669B" w:rsidRPr="002D6014">
              <w:rPr>
                <w:rFonts w:cstheme="minorHAnsi"/>
              </w:rPr>
              <w:t>,</w:t>
            </w:r>
            <w:r w:rsidRPr="002D6014">
              <w:rPr>
                <w:rFonts w:cstheme="minorHAnsi"/>
              </w:rPr>
              <w:t xml:space="preserve"> cannot </w:t>
            </w:r>
            <w:r w:rsidR="00753683" w:rsidRPr="002D6014">
              <w:rPr>
                <w:rFonts w:cstheme="minorHAnsi"/>
              </w:rPr>
              <w:t>prohibit</w:t>
            </w:r>
            <w:r w:rsidRPr="002D6014">
              <w:rPr>
                <w:rFonts w:cstheme="minorHAnsi"/>
              </w:rPr>
              <w:t xml:space="preserve"> or deny a person access to </w:t>
            </w:r>
            <w:r w:rsidR="00753683" w:rsidRPr="002D6014">
              <w:rPr>
                <w:rFonts w:cstheme="minorHAnsi"/>
              </w:rPr>
              <w:t>health care arbitrarily</w:t>
            </w:r>
            <w:r w:rsidRPr="002D6014">
              <w:rPr>
                <w:rFonts w:cstheme="minorHAnsi"/>
              </w:rPr>
              <w:t xml:space="preserve"> or unlawfully. For example, laws must be passed to</w:t>
            </w:r>
            <w:r w:rsidR="00753683" w:rsidRPr="002D6014">
              <w:rPr>
                <w:rFonts w:cstheme="minorHAnsi"/>
              </w:rPr>
              <w:t xml:space="preserve"> allow universal access to health facilities</w:t>
            </w:r>
            <w:r w:rsidRPr="002D6014">
              <w:rPr>
                <w:rFonts w:cstheme="minorHAnsi"/>
              </w:rPr>
              <w:t>.</w:t>
            </w:r>
          </w:p>
        </w:tc>
      </w:tr>
      <w:tr w:rsidR="001C74ED" w:rsidRPr="002D6014" w:rsidTr="001B0C9C">
        <w:tc>
          <w:tcPr>
            <w:tcW w:w="1728" w:type="dxa"/>
            <w:hideMark/>
          </w:tcPr>
          <w:p w:rsidR="001C74ED" w:rsidRPr="002D6014" w:rsidRDefault="001C74ED" w:rsidP="005D03A5">
            <w:pPr>
              <w:autoSpaceDE w:val="0"/>
              <w:autoSpaceDN w:val="0"/>
              <w:adjustRightInd w:val="0"/>
              <w:rPr>
                <w:rFonts w:cstheme="minorHAnsi"/>
                <w:b/>
                <w:lang w:eastAsia="en-US"/>
              </w:rPr>
            </w:pPr>
            <w:r w:rsidRPr="002D6014">
              <w:rPr>
                <w:rFonts w:cstheme="minorHAnsi"/>
                <w:b/>
              </w:rPr>
              <w:t>Obligation to protect</w:t>
            </w:r>
          </w:p>
        </w:tc>
        <w:tc>
          <w:tcPr>
            <w:tcW w:w="3600" w:type="dxa"/>
            <w:hideMark/>
          </w:tcPr>
          <w:p w:rsidR="001C74ED" w:rsidRPr="002D6014" w:rsidRDefault="001C74ED" w:rsidP="00CE669B">
            <w:pPr>
              <w:autoSpaceDE w:val="0"/>
              <w:autoSpaceDN w:val="0"/>
              <w:adjustRightInd w:val="0"/>
              <w:rPr>
                <w:rFonts w:cstheme="minorHAnsi"/>
                <w:lang w:eastAsia="en-US"/>
              </w:rPr>
            </w:pPr>
            <w:r w:rsidRPr="002D6014">
              <w:rPr>
                <w:rFonts w:cstheme="minorHAnsi"/>
              </w:rPr>
              <w:t xml:space="preserve">A State must take reasonable measures to ensure that </w:t>
            </w:r>
            <w:r w:rsidRPr="002D6014">
              <w:rPr>
                <w:rFonts w:cstheme="minorHAnsi"/>
                <w:i/>
                <w:iCs/>
              </w:rPr>
              <w:t xml:space="preserve">non-State </w:t>
            </w:r>
            <w:r w:rsidR="00CE669B" w:rsidRPr="002D6014">
              <w:rPr>
                <w:rFonts w:cstheme="minorHAnsi"/>
                <w:i/>
                <w:iCs/>
              </w:rPr>
              <w:t xml:space="preserve">entities </w:t>
            </w:r>
            <w:r w:rsidR="00CE669B" w:rsidRPr="002D6014">
              <w:rPr>
                <w:rFonts w:cstheme="minorHAnsi"/>
                <w:i/>
              </w:rPr>
              <w:t xml:space="preserve">and </w:t>
            </w:r>
            <w:r w:rsidRPr="002D6014">
              <w:rPr>
                <w:rFonts w:cstheme="minorHAnsi"/>
                <w:i/>
              </w:rPr>
              <w:t xml:space="preserve">private </w:t>
            </w:r>
            <w:r w:rsidRPr="002D6014">
              <w:rPr>
                <w:rFonts w:cstheme="minorHAnsi"/>
                <w:i/>
              </w:rPr>
              <w:lastRenderedPageBreak/>
              <w:t>individuals</w:t>
            </w:r>
            <w:r w:rsidRPr="002D6014">
              <w:rPr>
                <w:rFonts w:cstheme="minorHAnsi"/>
              </w:rPr>
              <w:t xml:space="preserve"> do not </w:t>
            </w:r>
            <w:r w:rsidR="00F55294" w:rsidRPr="002D6014">
              <w:rPr>
                <w:rFonts w:cstheme="minorHAnsi"/>
              </w:rPr>
              <w:t>engage in torture</w:t>
            </w:r>
            <w:r w:rsidRPr="002D6014">
              <w:rPr>
                <w:rFonts w:cstheme="minorHAnsi"/>
              </w:rPr>
              <w:t xml:space="preserve">. For example, a State must create a police force to protect people against </w:t>
            </w:r>
            <w:r w:rsidR="00F55294" w:rsidRPr="002D6014">
              <w:rPr>
                <w:rFonts w:cstheme="minorHAnsi"/>
              </w:rPr>
              <w:t>such abuse</w:t>
            </w:r>
            <w:r w:rsidRPr="002D6014">
              <w:rPr>
                <w:rFonts w:cstheme="minorHAnsi"/>
              </w:rPr>
              <w:t>.</w:t>
            </w:r>
            <w:r w:rsidR="00B626CD" w:rsidRPr="002D6014">
              <w:rPr>
                <w:rFonts w:cstheme="minorHAnsi"/>
              </w:rPr>
              <w:t xml:space="preserve"> Social services must protect children and young people from abuse. </w:t>
            </w:r>
          </w:p>
        </w:tc>
        <w:tc>
          <w:tcPr>
            <w:tcW w:w="3600" w:type="dxa"/>
            <w:hideMark/>
          </w:tcPr>
          <w:p w:rsidR="001C74ED" w:rsidRPr="002D6014" w:rsidRDefault="001C74ED" w:rsidP="00CE669B">
            <w:pPr>
              <w:autoSpaceDE w:val="0"/>
              <w:autoSpaceDN w:val="0"/>
              <w:adjustRightInd w:val="0"/>
              <w:rPr>
                <w:rFonts w:cstheme="minorHAnsi"/>
                <w:lang w:eastAsia="en-US"/>
              </w:rPr>
            </w:pPr>
            <w:r w:rsidRPr="002D6014">
              <w:rPr>
                <w:rFonts w:cstheme="minorHAnsi"/>
              </w:rPr>
              <w:lastRenderedPageBreak/>
              <w:t xml:space="preserve">A State must take reasonable measures to ensure that </w:t>
            </w:r>
            <w:r w:rsidRPr="002D6014">
              <w:rPr>
                <w:rFonts w:cstheme="minorHAnsi"/>
                <w:i/>
                <w:iCs/>
              </w:rPr>
              <w:t xml:space="preserve">non-State </w:t>
            </w:r>
            <w:r w:rsidR="00CE669B" w:rsidRPr="002D6014">
              <w:rPr>
                <w:rFonts w:cstheme="minorHAnsi"/>
                <w:i/>
                <w:iCs/>
              </w:rPr>
              <w:t xml:space="preserve">entities and </w:t>
            </w:r>
            <w:r w:rsidRPr="002D6014">
              <w:rPr>
                <w:rFonts w:cstheme="minorHAnsi"/>
                <w:i/>
                <w:iCs/>
              </w:rPr>
              <w:t>pri</w:t>
            </w:r>
            <w:r w:rsidRPr="002D6014">
              <w:rPr>
                <w:rFonts w:cstheme="minorHAnsi"/>
              </w:rPr>
              <w:t xml:space="preserve">vate </w:t>
            </w:r>
            <w:r w:rsidRPr="002D6014">
              <w:rPr>
                <w:rFonts w:cstheme="minorHAnsi"/>
                <w:i/>
              </w:rPr>
              <w:lastRenderedPageBreak/>
              <w:t>individuals</w:t>
            </w:r>
            <w:r w:rsidRPr="002D6014">
              <w:rPr>
                <w:rFonts w:cstheme="minorHAnsi"/>
              </w:rPr>
              <w:t xml:space="preserve"> do not </w:t>
            </w:r>
            <w:r w:rsidR="00F70679" w:rsidRPr="002D6014">
              <w:rPr>
                <w:rFonts w:cstheme="minorHAnsi"/>
              </w:rPr>
              <w:t>cause damage to person</w:t>
            </w:r>
            <w:r w:rsidR="00CE669B" w:rsidRPr="002D6014">
              <w:rPr>
                <w:rFonts w:cstheme="minorHAnsi"/>
              </w:rPr>
              <w:t>’</w:t>
            </w:r>
            <w:r w:rsidR="00F70679" w:rsidRPr="002D6014">
              <w:rPr>
                <w:rFonts w:cstheme="minorHAnsi"/>
              </w:rPr>
              <w:t>s health</w:t>
            </w:r>
            <w:r w:rsidRPr="002D6014">
              <w:rPr>
                <w:rFonts w:cstheme="minorHAnsi"/>
              </w:rPr>
              <w:t>. For example</w:t>
            </w:r>
            <w:proofErr w:type="gramStart"/>
            <w:r w:rsidRPr="002D6014">
              <w:rPr>
                <w:rFonts w:cstheme="minorHAnsi"/>
              </w:rPr>
              <w:t xml:space="preserve">,  </w:t>
            </w:r>
            <w:r w:rsidR="00F70679" w:rsidRPr="002D6014">
              <w:rPr>
                <w:rFonts w:cstheme="minorHAnsi"/>
              </w:rPr>
              <w:t>environmental</w:t>
            </w:r>
            <w:proofErr w:type="gramEnd"/>
            <w:r w:rsidR="00F70679" w:rsidRPr="002D6014">
              <w:rPr>
                <w:rFonts w:cstheme="minorHAnsi"/>
              </w:rPr>
              <w:t xml:space="preserve"> laws to prohibit companies from dumping of hazardous waste </w:t>
            </w:r>
            <w:r w:rsidR="00753683" w:rsidRPr="002D6014">
              <w:rPr>
                <w:rFonts w:cstheme="minorHAnsi"/>
              </w:rPr>
              <w:t xml:space="preserve">that </w:t>
            </w:r>
            <w:r w:rsidR="00CE669B" w:rsidRPr="002D6014">
              <w:rPr>
                <w:rFonts w:cstheme="minorHAnsi"/>
              </w:rPr>
              <w:t xml:space="preserve">affects </w:t>
            </w:r>
            <w:r w:rsidR="00753683" w:rsidRPr="002D6014">
              <w:rPr>
                <w:rFonts w:cstheme="minorHAnsi"/>
              </w:rPr>
              <w:t>public health.</w:t>
            </w:r>
          </w:p>
        </w:tc>
      </w:tr>
      <w:tr w:rsidR="001C74ED" w:rsidRPr="002D6014" w:rsidTr="001B0C9C">
        <w:trPr>
          <w:trHeight w:val="2227"/>
        </w:trPr>
        <w:tc>
          <w:tcPr>
            <w:tcW w:w="1728" w:type="dxa"/>
            <w:hideMark/>
          </w:tcPr>
          <w:p w:rsidR="001C74ED" w:rsidRPr="002D6014" w:rsidRDefault="001C74ED" w:rsidP="005D03A5">
            <w:pPr>
              <w:autoSpaceDE w:val="0"/>
              <w:autoSpaceDN w:val="0"/>
              <w:adjustRightInd w:val="0"/>
              <w:rPr>
                <w:rFonts w:cstheme="minorHAnsi"/>
                <w:b/>
                <w:lang w:eastAsia="en-US"/>
              </w:rPr>
            </w:pPr>
            <w:r w:rsidRPr="002D6014">
              <w:rPr>
                <w:rFonts w:cstheme="minorHAnsi"/>
                <w:b/>
              </w:rPr>
              <w:lastRenderedPageBreak/>
              <w:t xml:space="preserve">Obligation to </w:t>
            </w:r>
            <w:r w:rsidR="006D4282" w:rsidRPr="002D6014">
              <w:rPr>
                <w:rFonts w:cstheme="minorHAnsi"/>
                <w:b/>
              </w:rPr>
              <w:t>fulfil</w:t>
            </w:r>
          </w:p>
        </w:tc>
        <w:tc>
          <w:tcPr>
            <w:tcW w:w="3600" w:type="dxa"/>
            <w:hideMark/>
          </w:tcPr>
          <w:p w:rsidR="001C74ED" w:rsidRPr="002D6014" w:rsidRDefault="001C74ED" w:rsidP="005D03A5">
            <w:pPr>
              <w:autoSpaceDE w:val="0"/>
              <w:autoSpaceDN w:val="0"/>
              <w:adjustRightInd w:val="0"/>
              <w:rPr>
                <w:rFonts w:cstheme="minorHAnsi"/>
                <w:lang w:eastAsia="en-US"/>
              </w:rPr>
            </w:pPr>
            <w:r w:rsidRPr="002D6014">
              <w:rPr>
                <w:rFonts w:cstheme="minorHAnsi"/>
              </w:rPr>
              <w:t xml:space="preserve">The State must take reasonable measures to </w:t>
            </w:r>
            <w:r w:rsidR="00B626CD" w:rsidRPr="002D6014">
              <w:rPr>
                <w:rFonts w:cstheme="minorHAnsi"/>
              </w:rPr>
              <w:t>monitor places of detention to ensure the conditions of detention do not result in torture</w:t>
            </w:r>
            <w:r w:rsidR="00CE669B" w:rsidRPr="002D6014">
              <w:rPr>
                <w:rFonts w:cstheme="minorHAnsi"/>
              </w:rPr>
              <w:t>.</w:t>
            </w:r>
          </w:p>
        </w:tc>
        <w:tc>
          <w:tcPr>
            <w:tcW w:w="3600" w:type="dxa"/>
            <w:hideMark/>
          </w:tcPr>
          <w:p w:rsidR="001C74ED" w:rsidRPr="002D6014" w:rsidRDefault="001C74ED" w:rsidP="00CE669B">
            <w:pPr>
              <w:autoSpaceDE w:val="0"/>
              <w:autoSpaceDN w:val="0"/>
              <w:adjustRightInd w:val="0"/>
              <w:rPr>
                <w:rFonts w:cstheme="minorHAnsi"/>
                <w:lang w:eastAsia="en-US"/>
              </w:rPr>
            </w:pPr>
            <w:r w:rsidRPr="002D6014">
              <w:rPr>
                <w:rFonts w:cstheme="minorHAnsi"/>
              </w:rPr>
              <w:t xml:space="preserve">The State must take reasonable measures to ensure that individuals have access to appropriate </w:t>
            </w:r>
            <w:r w:rsidR="00F70679" w:rsidRPr="002D6014">
              <w:rPr>
                <w:rFonts w:cstheme="minorHAnsi"/>
              </w:rPr>
              <w:t>health services</w:t>
            </w:r>
            <w:r w:rsidRPr="002D6014">
              <w:rPr>
                <w:rFonts w:cstheme="minorHAnsi"/>
              </w:rPr>
              <w:t xml:space="preserve">. For example, a State must ensure the provision of </w:t>
            </w:r>
            <w:r w:rsidR="00F70679" w:rsidRPr="002D6014">
              <w:rPr>
                <w:rFonts w:cstheme="minorHAnsi"/>
              </w:rPr>
              <w:t>emergency medical treatment</w:t>
            </w:r>
            <w:r w:rsidR="00CE669B" w:rsidRPr="002D6014">
              <w:rPr>
                <w:rFonts w:cstheme="minorHAnsi"/>
              </w:rPr>
              <w:t>.</w:t>
            </w:r>
          </w:p>
        </w:tc>
      </w:tr>
    </w:tbl>
    <w:p w:rsidR="00AE63C5" w:rsidRPr="002D6014" w:rsidRDefault="00E34E99" w:rsidP="001427FF">
      <w:pPr>
        <w:pStyle w:val="NormalWeb"/>
        <w:numPr>
          <w:ilvl w:val="0"/>
          <w:numId w:val="5"/>
        </w:numPr>
        <w:spacing w:before="240" w:beforeAutospacing="0" w:after="240"/>
        <w:ind w:right="-51"/>
        <w:jc w:val="both"/>
        <w:rPr>
          <w:rFonts w:asciiTheme="minorHAnsi" w:hAnsiTheme="minorHAnsi" w:cstheme="minorHAnsi"/>
          <w:color w:val="000000"/>
          <w:sz w:val="22"/>
          <w:szCs w:val="22"/>
        </w:rPr>
      </w:pPr>
      <w:r w:rsidRPr="002D6014">
        <w:rPr>
          <w:rFonts w:asciiTheme="minorHAnsi" w:hAnsiTheme="minorHAnsi" w:cstheme="minorHAnsi"/>
          <w:color w:val="000000"/>
          <w:sz w:val="22"/>
          <w:szCs w:val="22"/>
        </w:rPr>
        <w:t>The objectives of the Victorian Charter describe the purpose of the Charter as being to protect and promote human rights by</w:t>
      </w:r>
      <w:r w:rsidR="00B113AD" w:rsidRPr="002D6014">
        <w:rPr>
          <w:rFonts w:asciiTheme="minorHAnsi" w:hAnsiTheme="minorHAnsi" w:cstheme="minorHAnsi"/>
          <w:color w:val="000000"/>
          <w:sz w:val="22"/>
          <w:szCs w:val="22"/>
        </w:rPr>
        <w:t>:</w:t>
      </w:r>
    </w:p>
    <w:p w:rsidR="00E34E99" w:rsidRPr="002D6014" w:rsidRDefault="00E34E99" w:rsidP="001427FF">
      <w:pPr>
        <w:pStyle w:val="NoSpacing"/>
        <w:numPr>
          <w:ilvl w:val="0"/>
          <w:numId w:val="15"/>
        </w:numPr>
        <w:tabs>
          <w:tab w:val="clear" w:pos="567"/>
        </w:tabs>
        <w:spacing w:after="240"/>
        <w:rPr>
          <w:rFonts w:cstheme="minorHAnsi"/>
        </w:rPr>
      </w:pPr>
      <w:r w:rsidRPr="002D6014">
        <w:rPr>
          <w:rFonts w:cstheme="minorHAnsi"/>
        </w:rPr>
        <w:t xml:space="preserve">setting out the </w:t>
      </w:r>
      <w:r w:rsidR="004C5035" w:rsidRPr="002D6014">
        <w:rPr>
          <w:rFonts w:cstheme="minorHAnsi"/>
        </w:rPr>
        <w:t>human rights</w:t>
      </w:r>
      <w:r w:rsidRPr="002D6014">
        <w:rPr>
          <w:rFonts w:cstheme="minorHAnsi"/>
        </w:rPr>
        <w:t xml:space="preserve"> that </w:t>
      </w:r>
      <w:r w:rsidR="00DE296E" w:rsidRPr="002D6014">
        <w:rPr>
          <w:rFonts w:cstheme="minorHAnsi"/>
        </w:rPr>
        <w:t>P</w:t>
      </w:r>
      <w:r w:rsidRPr="002D6014">
        <w:rPr>
          <w:rFonts w:cstheme="minorHAnsi"/>
        </w:rPr>
        <w:t xml:space="preserve">arliament specifically seeks to protect and promote; and </w:t>
      </w:r>
    </w:p>
    <w:p w:rsidR="00E34E99" w:rsidRPr="002D6014" w:rsidRDefault="00E34E99" w:rsidP="001427FF">
      <w:pPr>
        <w:pStyle w:val="NoSpacing"/>
        <w:numPr>
          <w:ilvl w:val="0"/>
          <w:numId w:val="15"/>
        </w:numPr>
        <w:tabs>
          <w:tab w:val="clear" w:pos="567"/>
        </w:tabs>
        <w:spacing w:after="240"/>
        <w:rPr>
          <w:rFonts w:cstheme="minorHAnsi"/>
        </w:rPr>
      </w:pPr>
      <w:r w:rsidRPr="002D6014">
        <w:rPr>
          <w:rFonts w:cstheme="minorHAnsi"/>
        </w:rPr>
        <w:t xml:space="preserve">ensuring that all </w:t>
      </w:r>
      <w:r w:rsidR="004C5035" w:rsidRPr="002D6014">
        <w:rPr>
          <w:rFonts w:cstheme="minorHAnsi"/>
        </w:rPr>
        <w:t>statutory provisions</w:t>
      </w:r>
      <w:r w:rsidRPr="002D6014">
        <w:rPr>
          <w:rFonts w:cstheme="minorHAnsi"/>
        </w:rPr>
        <w:t xml:space="preserve">, whenever enacted, are interpreted so far as is possible in a way that is compatible with </w:t>
      </w:r>
      <w:r w:rsidR="004C5035" w:rsidRPr="002D6014">
        <w:rPr>
          <w:rFonts w:cstheme="minorHAnsi"/>
        </w:rPr>
        <w:t>human rights</w:t>
      </w:r>
      <w:r w:rsidRPr="002D6014">
        <w:rPr>
          <w:rFonts w:cstheme="minorHAnsi"/>
        </w:rPr>
        <w:t xml:space="preserve">; and </w:t>
      </w:r>
    </w:p>
    <w:p w:rsidR="00E34E99" w:rsidRPr="002D6014" w:rsidRDefault="00E34E99" w:rsidP="001427FF">
      <w:pPr>
        <w:pStyle w:val="NoSpacing"/>
        <w:numPr>
          <w:ilvl w:val="0"/>
          <w:numId w:val="15"/>
        </w:numPr>
        <w:tabs>
          <w:tab w:val="clear" w:pos="567"/>
        </w:tabs>
        <w:spacing w:after="240"/>
        <w:rPr>
          <w:rFonts w:cstheme="minorHAnsi"/>
        </w:rPr>
      </w:pPr>
      <w:r w:rsidRPr="002D6014">
        <w:rPr>
          <w:rFonts w:cstheme="minorHAnsi"/>
        </w:rPr>
        <w:t xml:space="preserve">imposing an obligation on all public authorities to act in a way that is compatible with </w:t>
      </w:r>
      <w:r w:rsidR="004C5035" w:rsidRPr="002D6014">
        <w:rPr>
          <w:rFonts w:cstheme="minorHAnsi"/>
        </w:rPr>
        <w:t>human rights</w:t>
      </w:r>
      <w:r w:rsidRPr="002D6014">
        <w:rPr>
          <w:rFonts w:cstheme="minorHAnsi"/>
        </w:rPr>
        <w:t xml:space="preserve">; and </w:t>
      </w:r>
    </w:p>
    <w:p w:rsidR="00E34E99" w:rsidRPr="002D6014" w:rsidRDefault="00E34E99" w:rsidP="001427FF">
      <w:pPr>
        <w:pStyle w:val="NoSpacing"/>
        <w:numPr>
          <w:ilvl w:val="0"/>
          <w:numId w:val="15"/>
        </w:numPr>
        <w:tabs>
          <w:tab w:val="clear" w:pos="567"/>
        </w:tabs>
        <w:spacing w:after="240"/>
        <w:rPr>
          <w:rFonts w:cstheme="minorHAnsi"/>
        </w:rPr>
      </w:pPr>
      <w:r w:rsidRPr="002D6014">
        <w:rPr>
          <w:rFonts w:cstheme="minorHAnsi"/>
        </w:rPr>
        <w:t xml:space="preserve">requiring statements of compatibility with </w:t>
      </w:r>
      <w:r w:rsidR="004C5035" w:rsidRPr="002D6014">
        <w:rPr>
          <w:rFonts w:cstheme="minorHAnsi"/>
        </w:rPr>
        <w:t>human rights</w:t>
      </w:r>
      <w:r w:rsidRPr="002D6014">
        <w:rPr>
          <w:rFonts w:cstheme="minorHAnsi"/>
        </w:rPr>
        <w:t xml:space="preserve"> to be prepared in respect of all Bills introduced into Parliament and enabling the Scrutiny of Acts and Regulations Committee to report on such compatibility; and </w:t>
      </w:r>
    </w:p>
    <w:p w:rsidR="00FD30EB" w:rsidRPr="002D6014" w:rsidRDefault="00E34E99" w:rsidP="001427FF">
      <w:pPr>
        <w:pStyle w:val="NoSpacing"/>
        <w:numPr>
          <w:ilvl w:val="0"/>
          <w:numId w:val="15"/>
        </w:numPr>
        <w:tabs>
          <w:tab w:val="clear" w:pos="567"/>
        </w:tabs>
        <w:spacing w:after="240"/>
        <w:rPr>
          <w:rFonts w:cstheme="minorHAnsi"/>
        </w:rPr>
      </w:pPr>
      <w:proofErr w:type="gramStart"/>
      <w:r w:rsidRPr="002D6014">
        <w:rPr>
          <w:rFonts w:cstheme="minorHAnsi"/>
        </w:rPr>
        <w:t>confe</w:t>
      </w:r>
      <w:r w:rsidR="00DE296E" w:rsidRPr="002D6014">
        <w:rPr>
          <w:rFonts w:cstheme="minorHAnsi"/>
        </w:rPr>
        <w:t>r</w:t>
      </w:r>
      <w:r w:rsidRPr="002D6014">
        <w:rPr>
          <w:rFonts w:cstheme="minorHAnsi"/>
        </w:rPr>
        <w:t>ring</w:t>
      </w:r>
      <w:proofErr w:type="gramEnd"/>
      <w:r w:rsidRPr="002D6014">
        <w:rPr>
          <w:rFonts w:cstheme="minorHAnsi"/>
        </w:rPr>
        <w:t xml:space="preserve"> jurisdiction on the Supreme </w:t>
      </w:r>
      <w:r w:rsidR="004C5035" w:rsidRPr="002D6014">
        <w:rPr>
          <w:rFonts w:cstheme="minorHAnsi"/>
        </w:rPr>
        <w:t>Court</w:t>
      </w:r>
      <w:r w:rsidRPr="002D6014">
        <w:rPr>
          <w:rFonts w:cstheme="minorHAnsi"/>
        </w:rPr>
        <w:t xml:space="preserve"> to declare that a </w:t>
      </w:r>
      <w:r w:rsidR="004C5035" w:rsidRPr="002D6014">
        <w:rPr>
          <w:rFonts w:cstheme="minorHAnsi"/>
        </w:rPr>
        <w:t>statutory provision</w:t>
      </w:r>
      <w:r w:rsidRPr="002D6014">
        <w:rPr>
          <w:rFonts w:cstheme="minorHAnsi"/>
        </w:rPr>
        <w:t xml:space="preserve"> cannot be interpreted consistently with a human right and requiring the relevant Minister to respond to that declaration. </w:t>
      </w:r>
    </w:p>
    <w:p w:rsidR="00CF15A1" w:rsidRPr="002D6014" w:rsidRDefault="00FD30EB" w:rsidP="001427FF">
      <w:pPr>
        <w:pStyle w:val="NormalWeb"/>
        <w:numPr>
          <w:ilvl w:val="0"/>
          <w:numId w:val="5"/>
        </w:numPr>
        <w:spacing w:before="240" w:beforeAutospacing="0" w:after="240"/>
        <w:ind w:right="-51"/>
        <w:jc w:val="both"/>
        <w:rPr>
          <w:rFonts w:asciiTheme="minorHAnsi" w:hAnsiTheme="minorHAnsi" w:cstheme="minorHAnsi"/>
          <w:color w:val="000000"/>
          <w:sz w:val="22"/>
          <w:szCs w:val="22"/>
        </w:rPr>
      </w:pPr>
      <w:r w:rsidRPr="002D6014">
        <w:rPr>
          <w:rFonts w:asciiTheme="minorHAnsi" w:hAnsiTheme="minorHAnsi" w:cstheme="minorHAnsi"/>
          <w:color w:val="000000"/>
          <w:sz w:val="22"/>
          <w:szCs w:val="22"/>
        </w:rPr>
        <w:t>These objectives can be seen to mirror the p</w:t>
      </w:r>
      <w:r w:rsidR="00CF15A1" w:rsidRPr="002D6014">
        <w:rPr>
          <w:rFonts w:asciiTheme="minorHAnsi" w:hAnsiTheme="minorHAnsi" w:cstheme="minorHAnsi"/>
          <w:color w:val="000000"/>
          <w:sz w:val="22"/>
          <w:szCs w:val="22"/>
        </w:rPr>
        <w:t xml:space="preserve">ractical goals of the </w:t>
      </w:r>
      <w:r w:rsidR="00DE296E" w:rsidRPr="002D6014">
        <w:rPr>
          <w:rFonts w:asciiTheme="minorHAnsi" w:hAnsiTheme="minorHAnsi" w:cstheme="minorHAnsi"/>
          <w:color w:val="000000"/>
          <w:sz w:val="22"/>
          <w:szCs w:val="22"/>
        </w:rPr>
        <w:t>C</w:t>
      </w:r>
      <w:r w:rsidR="00CF15A1" w:rsidRPr="002D6014">
        <w:rPr>
          <w:rFonts w:asciiTheme="minorHAnsi" w:hAnsiTheme="minorHAnsi" w:cstheme="minorHAnsi"/>
          <w:color w:val="000000"/>
          <w:sz w:val="22"/>
          <w:szCs w:val="22"/>
        </w:rPr>
        <w:t xml:space="preserve">harter and describe the role of the Charter in protecting and promoting human rights.  </w:t>
      </w:r>
    </w:p>
    <w:p w:rsidR="00AD45C3" w:rsidRPr="002D6014" w:rsidRDefault="00AD45C3" w:rsidP="001427FF">
      <w:pPr>
        <w:pStyle w:val="NormalWeb"/>
        <w:numPr>
          <w:ilvl w:val="0"/>
          <w:numId w:val="5"/>
        </w:numPr>
        <w:spacing w:before="240" w:beforeAutospacing="0" w:after="240"/>
        <w:ind w:right="-51"/>
        <w:jc w:val="both"/>
        <w:rPr>
          <w:rFonts w:asciiTheme="minorHAnsi" w:hAnsiTheme="minorHAnsi" w:cstheme="minorHAnsi"/>
          <w:color w:val="000000"/>
          <w:sz w:val="22"/>
          <w:szCs w:val="22"/>
        </w:rPr>
      </w:pPr>
      <w:r w:rsidRPr="002D6014">
        <w:rPr>
          <w:rFonts w:asciiTheme="minorHAnsi" w:hAnsiTheme="minorHAnsi" w:cstheme="minorHAnsi"/>
          <w:color w:val="000000"/>
          <w:sz w:val="22"/>
          <w:szCs w:val="22"/>
        </w:rPr>
        <w:t xml:space="preserve">Unlike the Victorian Charter, the ACT </w:t>
      </w:r>
      <w:r w:rsidRPr="002D6014">
        <w:rPr>
          <w:rFonts w:asciiTheme="minorHAnsi" w:hAnsiTheme="minorHAnsi" w:cstheme="minorHAnsi"/>
          <w:i/>
          <w:color w:val="000000"/>
          <w:sz w:val="22"/>
          <w:szCs w:val="22"/>
        </w:rPr>
        <w:t>Human Rights Act</w:t>
      </w:r>
      <w:r w:rsidRPr="002D6014">
        <w:rPr>
          <w:rFonts w:asciiTheme="minorHAnsi" w:hAnsiTheme="minorHAnsi" w:cstheme="minorHAnsi"/>
          <w:color w:val="000000"/>
          <w:sz w:val="22"/>
          <w:szCs w:val="22"/>
        </w:rPr>
        <w:t xml:space="preserve"> does not have a separate purposive statement, but includes the following inspiring preamble: </w:t>
      </w:r>
    </w:p>
    <w:p w:rsidR="00AD45C3" w:rsidRPr="002D6014" w:rsidRDefault="00AD45C3" w:rsidP="001427FF">
      <w:pPr>
        <w:pStyle w:val="ListParagraph"/>
        <w:numPr>
          <w:ilvl w:val="0"/>
          <w:numId w:val="16"/>
        </w:numPr>
        <w:tabs>
          <w:tab w:val="clear" w:pos="567"/>
        </w:tabs>
        <w:autoSpaceDE w:val="0"/>
        <w:autoSpaceDN w:val="0"/>
        <w:adjustRightInd w:val="0"/>
        <w:ind w:left="1134" w:hanging="567"/>
        <w:contextualSpacing w:val="0"/>
        <w:rPr>
          <w:rFonts w:cstheme="minorHAnsi"/>
        </w:rPr>
      </w:pPr>
      <w:r w:rsidRPr="002D6014">
        <w:rPr>
          <w:rFonts w:cstheme="minorHAnsi"/>
        </w:rPr>
        <w:t>Human rights are necessary for individuals to live lives of dignity</w:t>
      </w:r>
      <w:r w:rsidR="00B113AD" w:rsidRPr="002D6014">
        <w:rPr>
          <w:rFonts w:cstheme="minorHAnsi"/>
        </w:rPr>
        <w:t xml:space="preserve"> </w:t>
      </w:r>
      <w:r w:rsidRPr="002D6014">
        <w:rPr>
          <w:rFonts w:cstheme="minorHAnsi"/>
        </w:rPr>
        <w:t>and value.</w:t>
      </w:r>
    </w:p>
    <w:p w:rsidR="00AD45C3" w:rsidRPr="002D6014" w:rsidRDefault="00AD45C3" w:rsidP="001427FF">
      <w:pPr>
        <w:pStyle w:val="ListParagraph"/>
        <w:numPr>
          <w:ilvl w:val="0"/>
          <w:numId w:val="16"/>
        </w:numPr>
        <w:tabs>
          <w:tab w:val="clear" w:pos="567"/>
        </w:tabs>
        <w:autoSpaceDE w:val="0"/>
        <w:autoSpaceDN w:val="0"/>
        <w:adjustRightInd w:val="0"/>
        <w:ind w:left="1134" w:hanging="567"/>
        <w:contextualSpacing w:val="0"/>
        <w:rPr>
          <w:rFonts w:cstheme="minorHAnsi"/>
        </w:rPr>
      </w:pPr>
      <w:r w:rsidRPr="002D6014">
        <w:rPr>
          <w:rFonts w:cstheme="minorHAnsi"/>
        </w:rPr>
        <w:t>Respecting, protecting and promoting the rights of individuals</w:t>
      </w:r>
      <w:r w:rsidR="00B113AD" w:rsidRPr="002D6014">
        <w:rPr>
          <w:rFonts w:cstheme="minorHAnsi"/>
        </w:rPr>
        <w:t xml:space="preserve"> </w:t>
      </w:r>
      <w:r w:rsidRPr="002D6014">
        <w:rPr>
          <w:rFonts w:cstheme="minorHAnsi"/>
        </w:rPr>
        <w:t>improves the welfare of the whole community.</w:t>
      </w:r>
    </w:p>
    <w:p w:rsidR="00AD45C3" w:rsidRPr="002D6014" w:rsidRDefault="00AD45C3" w:rsidP="001427FF">
      <w:pPr>
        <w:pStyle w:val="ListParagraph"/>
        <w:numPr>
          <w:ilvl w:val="0"/>
          <w:numId w:val="16"/>
        </w:numPr>
        <w:tabs>
          <w:tab w:val="clear" w:pos="567"/>
        </w:tabs>
        <w:autoSpaceDE w:val="0"/>
        <w:autoSpaceDN w:val="0"/>
        <w:adjustRightInd w:val="0"/>
        <w:ind w:left="1134" w:hanging="567"/>
        <w:contextualSpacing w:val="0"/>
        <w:rPr>
          <w:rFonts w:cstheme="minorHAnsi"/>
        </w:rPr>
      </w:pPr>
      <w:r w:rsidRPr="002D6014">
        <w:rPr>
          <w:rFonts w:cstheme="minorHAnsi"/>
        </w:rPr>
        <w:t>Human rights are set out in this Act so that individuals know what</w:t>
      </w:r>
      <w:r w:rsidR="00B113AD" w:rsidRPr="002D6014">
        <w:rPr>
          <w:rFonts w:cstheme="minorHAnsi"/>
        </w:rPr>
        <w:t xml:space="preserve"> </w:t>
      </w:r>
      <w:r w:rsidRPr="002D6014">
        <w:rPr>
          <w:rFonts w:cstheme="minorHAnsi"/>
        </w:rPr>
        <w:t>their rights are.</w:t>
      </w:r>
    </w:p>
    <w:p w:rsidR="00AD45C3" w:rsidRPr="002D6014" w:rsidRDefault="00AD45C3" w:rsidP="001427FF">
      <w:pPr>
        <w:pStyle w:val="ListParagraph"/>
        <w:numPr>
          <w:ilvl w:val="0"/>
          <w:numId w:val="16"/>
        </w:numPr>
        <w:tabs>
          <w:tab w:val="clear" w:pos="567"/>
        </w:tabs>
        <w:autoSpaceDE w:val="0"/>
        <w:autoSpaceDN w:val="0"/>
        <w:adjustRightInd w:val="0"/>
        <w:ind w:left="1134" w:hanging="567"/>
        <w:contextualSpacing w:val="0"/>
        <w:rPr>
          <w:rFonts w:cstheme="minorHAnsi"/>
        </w:rPr>
      </w:pPr>
      <w:r w:rsidRPr="002D6014">
        <w:rPr>
          <w:rFonts w:cstheme="minorHAnsi"/>
        </w:rPr>
        <w:t>Setting out these human rights also makes it easier for them to be</w:t>
      </w:r>
      <w:r w:rsidR="00B113AD" w:rsidRPr="002D6014">
        <w:rPr>
          <w:rFonts w:cstheme="minorHAnsi"/>
        </w:rPr>
        <w:t xml:space="preserve"> </w:t>
      </w:r>
      <w:r w:rsidRPr="002D6014">
        <w:rPr>
          <w:rFonts w:cstheme="minorHAnsi"/>
        </w:rPr>
        <w:t>taken into consideration in the development and interpretation of</w:t>
      </w:r>
      <w:r w:rsidR="00B113AD" w:rsidRPr="002D6014">
        <w:rPr>
          <w:rFonts w:cstheme="minorHAnsi"/>
        </w:rPr>
        <w:t xml:space="preserve"> </w:t>
      </w:r>
      <w:r w:rsidRPr="002D6014">
        <w:rPr>
          <w:rFonts w:cstheme="minorHAnsi"/>
        </w:rPr>
        <w:t>legislation.</w:t>
      </w:r>
    </w:p>
    <w:p w:rsidR="00AD45C3" w:rsidRPr="002D6014" w:rsidRDefault="00AD45C3" w:rsidP="001427FF">
      <w:pPr>
        <w:pStyle w:val="ListParagraph"/>
        <w:numPr>
          <w:ilvl w:val="0"/>
          <w:numId w:val="16"/>
        </w:numPr>
        <w:tabs>
          <w:tab w:val="clear" w:pos="567"/>
        </w:tabs>
        <w:autoSpaceDE w:val="0"/>
        <w:autoSpaceDN w:val="0"/>
        <w:adjustRightInd w:val="0"/>
        <w:ind w:left="1134" w:hanging="567"/>
        <w:contextualSpacing w:val="0"/>
        <w:rPr>
          <w:rFonts w:cstheme="minorHAnsi"/>
        </w:rPr>
      </w:pPr>
      <w:r w:rsidRPr="002D6014">
        <w:rPr>
          <w:rFonts w:cstheme="minorHAnsi"/>
        </w:rPr>
        <w:lastRenderedPageBreak/>
        <w:t>This Act encourages individuals to see themselves, and each other,</w:t>
      </w:r>
      <w:r w:rsidR="00B113AD" w:rsidRPr="002D6014">
        <w:rPr>
          <w:rFonts w:cstheme="minorHAnsi"/>
        </w:rPr>
        <w:t xml:space="preserve"> </w:t>
      </w:r>
      <w:r w:rsidRPr="002D6014">
        <w:rPr>
          <w:rFonts w:cstheme="minorHAnsi"/>
        </w:rPr>
        <w:t>as the holders of</w:t>
      </w:r>
      <w:r w:rsidR="00B113AD" w:rsidRPr="002D6014">
        <w:rPr>
          <w:rFonts w:cstheme="minorHAnsi"/>
        </w:rPr>
        <w:t xml:space="preserve"> </w:t>
      </w:r>
      <w:r w:rsidRPr="002D6014">
        <w:rPr>
          <w:rFonts w:cstheme="minorHAnsi"/>
        </w:rPr>
        <w:t>rights, and as responsible for upholding the human</w:t>
      </w:r>
      <w:r w:rsidR="00B113AD" w:rsidRPr="002D6014">
        <w:rPr>
          <w:rFonts w:cstheme="minorHAnsi"/>
        </w:rPr>
        <w:t xml:space="preserve"> </w:t>
      </w:r>
      <w:r w:rsidRPr="002D6014">
        <w:rPr>
          <w:rFonts w:cstheme="minorHAnsi"/>
        </w:rPr>
        <w:t>rights of others.</w:t>
      </w:r>
    </w:p>
    <w:p w:rsidR="00AD45C3" w:rsidRPr="002D6014" w:rsidRDefault="00AD45C3" w:rsidP="001427FF">
      <w:pPr>
        <w:pStyle w:val="ListParagraph"/>
        <w:numPr>
          <w:ilvl w:val="0"/>
          <w:numId w:val="16"/>
        </w:numPr>
        <w:tabs>
          <w:tab w:val="clear" w:pos="567"/>
        </w:tabs>
        <w:autoSpaceDE w:val="0"/>
        <w:autoSpaceDN w:val="0"/>
        <w:adjustRightInd w:val="0"/>
        <w:ind w:left="1134" w:hanging="567"/>
        <w:contextualSpacing w:val="0"/>
        <w:rPr>
          <w:rFonts w:cstheme="minorHAnsi"/>
        </w:rPr>
      </w:pPr>
      <w:r w:rsidRPr="002D6014">
        <w:rPr>
          <w:rFonts w:cstheme="minorHAnsi"/>
        </w:rPr>
        <w:t>Few rights are absolute. Human rights may be subject only to the</w:t>
      </w:r>
      <w:r w:rsidR="00B113AD" w:rsidRPr="002D6014">
        <w:rPr>
          <w:rFonts w:cstheme="minorHAnsi"/>
        </w:rPr>
        <w:t xml:space="preserve"> </w:t>
      </w:r>
      <w:r w:rsidRPr="002D6014">
        <w:rPr>
          <w:rFonts w:cstheme="minorHAnsi"/>
        </w:rPr>
        <w:t>reasonable limits in law that can be demonstrably justified in a free</w:t>
      </w:r>
      <w:r w:rsidR="00B113AD" w:rsidRPr="002D6014">
        <w:rPr>
          <w:rFonts w:cstheme="minorHAnsi"/>
        </w:rPr>
        <w:t xml:space="preserve"> </w:t>
      </w:r>
      <w:r w:rsidRPr="002D6014">
        <w:rPr>
          <w:rFonts w:cstheme="minorHAnsi"/>
        </w:rPr>
        <w:t>and democratic society. One individual’s rights may also need to be</w:t>
      </w:r>
      <w:r w:rsidR="00B113AD" w:rsidRPr="002D6014">
        <w:rPr>
          <w:rFonts w:cstheme="minorHAnsi"/>
        </w:rPr>
        <w:t xml:space="preserve"> </w:t>
      </w:r>
      <w:r w:rsidRPr="002D6014">
        <w:rPr>
          <w:rFonts w:cstheme="minorHAnsi"/>
        </w:rPr>
        <w:t>weighed against another individual’s rights.</w:t>
      </w:r>
    </w:p>
    <w:p w:rsidR="00AD45C3" w:rsidRPr="002D6014" w:rsidRDefault="00AD45C3" w:rsidP="001427FF">
      <w:pPr>
        <w:pStyle w:val="ListParagraph"/>
        <w:numPr>
          <w:ilvl w:val="0"/>
          <w:numId w:val="16"/>
        </w:numPr>
        <w:tabs>
          <w:tab w:val="clear" w:pos="567"/>
        </w:tabs>
        <w:autoSpaceDE w:val="0"/>
        <w:autoSpaceDN w:val="0"/>
        <w:adjustRightInd w:val="0"/>
        <w:ind w:left="1134" w:hanging="567"/>
        <w:contextualSpacing w:val="0"/>
      </w:pPr>
      <w:r w:rsidRPr="002D6014">
        <w:rPr>
          <w:rFonts w:cstheme="minorHAnsi"/>
        </w:rPr>
        <w:t>Although human rights belong to all individuals, they have special</w:t>
      </w:r>
      <w:r w:rsidR="00B113AD" w:rsidRPr="002D6014">
        <w:rPr>
          <w:rFonts w:cstheme="minorHAnsi"/>
        </w:rPr>
        <w:t xml:space="preserve"> </w:t>
      </w:r>
      <w:r w:rsidRPr="002D6014">
        <w:rPr>
          <w:rFonts w:cstheme="minorHAnsi"/>
        </w:rPr>
        <w:t>significance for</w:t>
      </w:r>
      <w:r w:rsidR="00B113AD" w:rsidRPr="002D6014">
        <w:rPr>
          <w:rFonts w:cstheme="minorHAnsi"/>
        </w:rPr>
        <w:t xml:space="preserve"> </w:t>
      </w:r>
      <w:r w:rsidRPr="002D6014">
        <w:rPr>
          <w:rFonts w:cstheme="minorHAnsi"/>
        </w:rPr>
        <w:t>Aboriginal and Torres Strait Islander peoples—the</w:t>
      </w:r>
      <w:r w:rsidR="00B113AD" w:rsidRPr="002D6014">
        <w:rPr>
          <w:rFonts w:cstheme="minorHAnsi"/>
        </w:rPr>
        <w:t xml:space="preserve"> </w:t>
      </w:r>
      <w:r w:rsidRPr="002D6014">
        <w:rPr>
          <w:rFonts w:cstheme="minorHAnsi"/>
        </w:rPr>
        <w:t>first owners of this land, members of its most enduring cultures, and</w:t>
      </w:r>
      <w:r w:rsidR="00B113AD" w:rsidRPr="002D6014">
        <w:rPr>
          <w:rFonts w:cstheme="minorHAnsi"/>
        </w:rPr>
        <w:t xml:space="preserve"> </w:t>
      </w:r>
      <w:r w:rsidRPr="002D6014">
        <w:rPr>
          <w:rFonts w:cstheme="minorHAnsi"/>
        </w:rPr>
        <w:t>individuals for whom the issue of rights protection has great and</w:t>
      </w:r>
      <w:r w:rsidR="00B113AD" w:rsidRPr="002D6014">
        <w:rPr>
          <w:rFonts w:cstheme="minorHAnsi"/>
        </w:rPr>
        <w:t xml:space="preserve"> </w:t>
      </w:r>
      <w:r w:rsidRPr="002D6014">
        <w:t>continuing importance.</w:t>
      </w:r>
    </w:p>
    <w:p w:rsidR="00AD45C3" w:rsidRPr="002D6014" w:rsidRDefault="00AD45C3" w:rsidP="00632BB9">
      <w:pPr>
        <w:pStyle w:val="NormalWeb"/>
        <w:numPr>
          <w:ilvl w:val="0"/>
          <w:numId w:val="5"/>
        </w:numPr>
        <w:spacing w:before="240" w:beforeAutospacing="0" w:after="240"/>
        <w:ind w:right="-51"/>
        <w:rPr>
          <w:rFonts w:asciiTheme="minorHAnsi" w:hAnsiTheme="minorHAnsi" w:cstheme="minorHAnsi"/>
          <w:color w:val="000000"/>
          <w:sz w:val="22"/>
          <w:szCs w:val="22"/>
        </w:rPr>
      </w:pPr>
      <w:r w:rsidRPr="002D6014">
        <w:rPr>
          <w:rFonts w:asciiTheme="minorHAnsi" w:hAnsiTheme="minorHAnsi" w:cstheme="minorHAnsi"/>
          <w:color w:val="000000"/>
          <w:sz w:val="22"/>
          <w:szCs w:val="22"/>
        </w:rPr>
        <w:t xml:space="preserve">A preamble such as this demonstrates the </w:t>
      </w:r>
      <w:r w:rsidR="002272F2" w:rsidRPr="002D6014">
        <w:rPr>
          <w:rFonts w:asciiTheme="minorHAnsi" w:hAnsiTheme="minorHAnsi" w:cstheme="minorHAnsi"/>
          <w:color w:val="000000"/>
          <w:sz w:val="22"/>
          <w:szCs w:val="22"/>
        </w:rPr>
        <w:t xml:space="preserve">wider </w:t>
      </w:r>
      <w:r w:rsidRPr="002D6014">
        <w:rPr>
          <w:rFonts w:asciiTheme="minorHAnsi" w:hAnsiTheme="minorHAnsi" w:cstheme="minorHAnsi"/>
          <w:color w:val="000000"/>
          <w:sz w:val="22"/>
          <w:szCs w:val="22"/>
        </w:rPr>
        <w:t xml:space="preserve">value </w:t>
      </w:r>
      <w:r w:rsidR="002272F2" w:rsidRPr="002D6014">
        <w:rPr>
          <w:rFonts w:asciiTheme="minorHAnsi" w:hAnsiTheme="minorHAnsi" w:cstheme="minorHAnsi"/>
          <w:color w:val="000000"/>
          <w:sz w:val="22"/>
          <w:szCs w:val="22"/>
        </w:rPr>
        <w:t xml:space="preserve">of </w:t>
      </w:r>
      <w:r w:rsidRPr="002D6014">
        <w:rPr>
          <w:rFonts w:asciiTheme="minorHAnsi" w:hAnsiTheme="minorHAnsi" w:cstheme="minorHAnsi"/>
          <w:color w:val="000000"/>
          <w:sz w:val="22"/>
          <w:szCs w:val="22"/>
        </w:rPr>
        <w:t xml:space="preserve">human rights and summarises the Act in a way that is accessible to the broader community.  </w:t>
      </w:r>
    </w:p>
    <w:p w:rsidR="003B264B" w:rsidRPr="002D6014" w:rsidRDefault="00AD45C3" w:rsidP="002D6014">
      <w:pPr>
        <w:pStyle w:val="NormalWeb"/>
        <w:numPr>
          <w:ilvl w:val="0"/>
          <w:numId w:val="5"/>
        </w:numPr>
        <w:spacing w:before="240" w:beforeAutospacing="0" w:after="120"/>
        <w:ind w:right="-51"/>
        <w:jc w:val="both"/>
        <w:rPr>
          <w:rFonts w:asciiTheme="minorHAnsi" w:hAnsiTheme="minorHAnsi" w:cstheme="minorHAnsi"/>
          <w:color w:val="000000"/>
          <w:sz w:val="22"/>
          <w:szCs w:val="22"/>
        </w:rPr>
      </w:pPr>
      <w:r w:rsidRPr="002D6014">
        <w:rPr>
          <w:rFonts w:asciiTheme="minorHAnsi" w:hAnsiTheme="minorHAnsi" w:cstheme="minorHAnsi"/>
          <w:color w:val="000000"/>
          <w:sz w:val="22"/>
          <w:szCs w:val="22"/>
        </w:rPr>
        <w:t xml:space="preserve">The ACT </w:t>
      </w:r>
      <w:r w:rsidR="001B5E72" w:rsidRPr="002D6014">
        <w:rPr>
          <w:rFonts w:asciiTheme="minorHAnsi" w:hAnsiTheme="minorHAnsi" w:cstheme="minorHAnsi"/>
          <w:i/>
          <w:color w:val="000000"/>
          <w:sz w:val="22"/>
          <w:szCs w:val="22"/>
        </w:rPr>
        <w:t>Human Rights Act</w:t>
      </w:r>
      <w:r w:rsidR="007F7115" w:rsidRPr="002D6014">
        <w:rPr>
          <w:rFonts w:asciiTheme="minorHAnsi" w:hAnsiTheme="minorHAnsi" w:cstheme="minorHAnsi"/>
          <w:color w:val="000000"/>
          <w:sz w:val="22"/>
          <w:szCs w:val="22"/>
        </w:rPr>
        <w:t>:</w:t>
      </w:r>
    </w:p>
    <w:p w:rsidR="003B264B" w:rsidRPr="002D6014" w:rsidRDefault="00AD45C3" w:rsidP="004902F3">
      <w:pPr>
        <w:numPr>
          <w:ilvl w:val="0"/>
          <w:numId w:val="1"/>
        </w:numPr>
        <w:tabs>
          <w:tab w:val="clear" w:pos="567"/>
          <w:tab w:val="clear" w:pos="1080"/>
        </w:tabs>
        <w:spacing w:before="120" w:after="120"/>
        <w:ind w:left="1276" w:hanging="425"/>
        <w:jc w:val="both"/>
        <w:rPr>
          <w:rFonts w:cstheme="minorHAnsi"/>
        </w:rPr>
      </w:pPr>
      <w:r w:rsidRPr="002D6014">
        <w:rPr>
          <w:rFonts w:cstheme="minorHAnsi"/>
        </w:rPr>
        <w:t>outline</w:t>
      </w:r>
      <w:r w:rsidR="003B264B" w:rsidRPr="002D6014">
        <w:rPr>
          <w:rFonts w:cstheme="minorHAnsi"/>
        </w:rPr>
        <w:t>s the rights that are protected;</w:t>
      </w:r>
      <w:r w:rsidRPr="002D6014">
        <w:rPr>
          <w:rFonts w:cstheme="minorHAnsi"/>
        </w:rPr>
        <w:t xml:space="preserve"> </w:t>
      </w:r>
    </w:p>
    <w:p w:rsidR="003B264B" w:rsidRPr="002D6014" w:rsidRDefault="00AD45C3" w:rsidP="004902F3">
      <w:pPr>
        <w:numPr>
          <w:ilvl w:val="0"/>
          <w:numId w:val="1"/>
        </w:numPr>
        <w:tabs>
          <w:tab w:val="clear" w:pos="567"/>
          <w:tab w:val="clear" w:pos="1080"/>
        </w:tabs>
        <w:spacing w:before="120" w:after="120"/>
        <w:ind w:left="1276" w:hanging="425"/>
        <w:jc w:val="both"/>
        <w:rPr>
          <w:rFonts w:cstheme="minorHAnsi"/>
        </w:rPr>
      </w:pPr>
      <w:r w:rsidRPr="002D6014">
        <w:rPr>
          <w:rFonts w:cstheme="minorHAnsi"/>
        </w:rPr>
        <w:t>states who has human rights</w:t>
      </w:r>
      <w:r w:rsidR="003B264B" w:rsidRPr="002D6014">
        <w:rPr>
          <w:rFonts w:cstheme="minorHAnsi"/>
        </w:rPr>
        <w:t>;</w:t>
      </w:r>
      <w:r w:rsidRPr="002D6014">
        <w:rPr>
          <w:rFonts w:cstheme="minorHAnsi"/>
        </w:rPr>
        <w:t xml:space="preserve"> </w:t>
      </w:r>
    </w:p>
    <w:p w:rsidR="003B264B" w:rsidRPr="002D6014" w:rsidRDefault="00AD45C3" w:rsidP="004902F3">
      <w:pPr>
        <w:numPr>
          <w:ilvl w:val="0"/>
          <w:numId w:val="1"/>
        </w:numPr>
        <w:tabs>
          <w:tab w:val="clear" w:pos="567"/>
          <w:tab w:val="clear" w:pos="1080"/>
        </w:tabs>
        <w:spacing w:before="120" w:after="120"/>
        <w:ind w:left="1276" w:hanging="425"/>
        <w:jc w:val="both"/>
        <w:rPr>
          <w:rFonts w:cstheme="minorHAnsi"/>
        </w:rPr>
      </w:pPr>
      <w:r w:rsidRPr="002D6014">
        <w:rPr>
          <w:rFonts w:cstheme="minorHAnsi"/>
        </w:rPr>
        <w:t xml:space="preserve">provides for limits to human rights where reasonably necessary in a </w:t>
      </w:r>
      <w:r w:rsidR="003B264B" w:rsidRPr="002D6014">
        <w:rPr>
          <w:rFonts w:cstheme="minorHAnsi"/>
        </w:rPr>
        <w:t>free and democratic society;</w:t>
      </w:r>
      <w:r w:rsidRPr="002D6014">
        <w:rPr>
          <w:rFonts w:cstheme="minorHAnsi"/>
        </w:rPr>
        <w:t xml:space="preserve"> </w:t>
      </w:r>
    </w:p>
    <w:p w:rsidR="003B264B" w:rsidRPr="002D6014" w:rsidRDefault="00AD45C3" w:rsidP="004902F3">
      <w:pPr>
        <w:numPr>
          <w:ilvl w:val="0"/>
          <w:numId w:val="1"/>
        </w:numPr>
        <w:tabs>
          <w:tab w:val="clear" w:pos="567"/>
          <w:tab w:val="clear" w:pos="1080"/>
        </w:tabs>
        <w:spacing w:before="120" w:after="120"/>
        <w:ind w:left="1276" w:hanging="425"/>
        <w:jc w:val="both"/>
        <w:rPr>
          <w:rFonts w:cstheme="minorHAnsi"/>
        </w:rPr>
      </w:pPr>
      <w:r w:rsidRPr="002D6014">
        <w:rPr>
          <w:rFonts w:cstheme="minorHAnsi"/>
        </w:rPr>
        <w:t xml:space="preserve">describes how human rights are </w:t>
      </w:r>
      <w:r w:rsidR="003B264B" w:rsidRPr="002D6014">
        <w:rPr>
          <w:rFonts w:cstheme="minorHAnsi"/>
        </w:rPr>
        <w:t>interpreted</w:t>
      </w:r>
      <w:r w:rsidRPr="002D6014">
        <w:rPr>
          <w:rFonts w:cstheme="minorHAnsi"/>
        </w:rPr>
        <w:t xml:space="preserve"> and apply to laws, </w:t>
      </w:r>
      <w:r w:rsidR="003B264B" w:rsidRPr="002D6014">
        <w:rPr>
          <w:rFonts w:cstheme="minorHAnsi"/>
        </w:rPr>
        <w:t>parliament and decision makers;</w:t>
      </w:r>
    </w:p>
    <w:p w:rsidR="003B264B" w:rsidRPr="002D6014" w:rsidRDefault="00AD45C3" w:rsidP="004902F3">
      <w:pPr>
        <w:numPr>
          <w:ilvl w:val="0"/>
          <w:numId w:val="1"/>
        </w:numPr>
        <w:tabs>
          <w:tab w:val="clear" w:pos="567"/>
          <w:tab w:val="clear" w:pos="1080"/>
        </w:tabs>
        <w:spacing w:before="120" w:after="120"/>
        <w:ind w:left="1276" w:hanging="425"/>
        <w:jc w:val="both"/>
        <w:rPr>
          <w:rFonts w:cstheme="minorHAnsi"/>
        </w:rPr>
      </w:pPr>
      <w:r w:rsidRPr="002D6014">
        <w:rPr>
          <w:rFonts w:cstheme="minorHAnsi"/>
        </w:rPr>
        <w:t>provides for private entities to opt in</w:t>
      </w:r>
      <w:r w:rsidR="003B264B" w:rsidRPr="002D6014">
        <w:rPr>
          <w:rFonts w:cstheme="minorHAnsi"/>
        </w:rPr>
        <w:t>;</w:t>
      </w:r>
      <w:r w:rsidRPr="002D6014">
        <w:rPr>
          <w:rFonts w:cstheme="minorHAnsi"/>
        </w:rPr>
        <w:t xml:space="preserve"> and </w:t>
      </w:r>
    </w:p>
    <w:p w:rsidR="00AD45C3" w:rsidRPr="002D6014" w:rsidRDefault="00AD45C3" w:rsidP="004902F3">
      <w:pPr>
        <w:numPr>
          <w:ilvl w:val="0"/>
          <w:numId w:val="1"/>
        </w:numPr>
        <w:tabs>
          <w:tab w:val="clear" w:pos="567"/>
          <w:tab w:val="clear" w:pos="1080"/>
        </w:tabs>
        <w:spacing w:before="120" w:after="120"/>
        <w:ind w:left="1276" w:hanging="425"/>
        <w:jc w:val="both"/>
        <w:rPr>
          <w:rFonts w:cstheme="minorHAnsi"/>
        </w:rPr>
      </w:pPr>
      <w:proofErr w:type="gramStart"/>
      <w:r w:rsidRPr="002D6014">
        <w:rPr>
          <w:rFonts w:cstheme="minorHAnsi"/>
        </w:rPr>
        <w:t>describes</w:t>
      </w:r>
      <w:proofErr w:type="gramEnd"/>
      <w:r w:rsidRPr="002D6014">
        <w:rPr>
          <w:rFonts w:cstheme="minorHAnsi"/>
        </w:rPr>
        <w:t xml:space="preserve"> the roles of public bodies and courts in monitoring and intervening in human rights matters.  </w:t>
      </w:r>
    </w:p>
    <w:p w:rsidR="003B264B" w:rsidRPr="002D6014" w:rsidRDefault="00AD45C3" w:rsidP="00632BB9">
      <w:pPr>
        <w:pStyle w:val="NormalWeb"/>
        <w:numPr>
          <w:ilvl w:val="0"/>
          <w:numId w:val="5"/>
        </w:numPr>
        <w:spacing w:before="240" w:beforeAutospacing="0" w:after="240"/>
        <w:ind w:right="-51"/>
        <w:rPr>
          <w:rFonts w:asciiTheme="minorHAnsi" w:hAnsiTheme="minorHAnsi" w:cstheme="minorHAnsi"/>
          <w:color w:val="000000"/>
          <w:sz w:val="22"/>
          <w:szCs w:val="22"/>
        </w:rPr>
      </w:pPr>
      <w:r w:rsidRPr="002D6014">
        <w:rPr>
          <w:rFonts w:asciiTheme="minorHAnsi" w:hAnsiTheme="minorHAnsi" w:cstheme="minorHAnsi"/>
          <w:color w:val="000000"/>
          <w:sz w:val="22"/>
          <w:szCs w:val="22"/>
        </w:rPr>
        <w:t xml:space="preserve">The UK </w:t>
      </w:r>
      <w:r w:rsidR="003B264B" w:rsidRPr="002D6014">
        <w:rPr>
          <w:rFonts w:asciiTheme="minorHAnsi" w:hAnsiTheme="minorHAnsi" w:cstheme="minorHAnsi"/>
          <w:i/>
          <w:color w:val="000000"/>
          <w:sz w:val="22"/>
          <w:szCs w:val="22"/>
        </w:rPr>
        <w:t xml:space="preserve">Human Rights </w:t>
      </w:r>
      <w:r w:rsidRPr="002D6014">
        <w:rPr>
          <w:rFonts w:asciiTheme="minorHAnsi" w:hAnsiTheme="minorHAnsi" w:cstheme="minorHAnsi"/>
          <w:i/>
          <w:color w:val="000000"/>
          <w:sz w:val="22"/>
          <w:szCs w:val="22"/>
        </w:rPr>
        <w:t>Act</w:t>
      </w:r>
      <w:r w:rsidRPr="002D6014">
        <w:rPr>
          <w:rFonts w:asciiTheme="minorHAnsi" w:hAnsiTheme="minorHAnsi" w:cstheme="minorHAnsi"/>
          <w:color w:val="000000"/>
          <w:sz w:val="22"/>
          <w:szCs w:val="22"/>
        </w:rPr>
        <w:t xml:space="preserve"> gives further effect to the rights and freedoms guaranteed under </w:t>
      </w:r>
      <w:r w:rsidRPr="002D6014">
        <w:rPr>
          <w:rFonts w:asciiTheme="minorHAnsi" w:hAnsiTheme="minorHAnsi" w:cstheme="minorHAnsi"/>
          <w:i/>
          <w:color w:val="000000"/>
          <w:sz w:val="22"/>
          <w:szCs w:val="22"/>
        </w:rPr>
        <w:t xml:space="preserve">the European Convention on Human </w:t>
      </w:r>
      <w:r w:rsidR="00CE54E3" w:rsidRPr="002D6014">
        <w:rPr>
          <w:rFonts w:asciiTheme="minorHAnsi" w:hAnsiTheme="minorHAnsi" w:cstheme="minorHAnsi"/>
          <w:i/>
          <w:color w:val="000000"/>
          <w:sz w:val="22"/>
          <w:szCs w:val="22"/>
        </w:rPr>
        <w:t>R</w:t>
      </w:r>
      <w:r w:rsidR="003B264B" w:rsidRPr="002D6014">
        <w:rPr>
          <w:rFonts w:asciiTheme="minorHAnsi" w:hAnsiTheme="minorHAnsi" w:cstheme="minorHAnsi"/>
          <w:i/>
          <w:color w:val="000000"/>
          <w:sz w:val="22"/>
          <w:szCs w:val="22"/>
        </w:rPr>
        <w:t>ights</w:t>
      </w:r>
      <w:r w:rsidR="003B264B" w:rsidRPr="002D6014">
        <w:rPr>
          <w:rFonts w:asciiTheme="minorHAnsi" w:hAnsiTheme="minorHAnsi" w:cstheme="minorHAnsi"/>
          <w:color w:val="000000"/>
          <w:sz w:val="22"/>
          <w:szCs w:val="22"/>
        </w:rPr>
        <w:t xml:space="preserve">. </w:t>
      </w:r>
    </w:p>
    <w:p w:rsidR="003B264B" w:rsidRPr="002D6014" w:rsidRDefault="003B264B" w:rsidP="004902F3">
      <w:pPr>
        <w:pStyle w:val="NormalWeb"/>
        <w:numPr>
          <w:ilvl w:val="0"/>
          <w:numId w:val="5"/>
        </w:numPr>
        <w:spacing w:before="240" w:beforeAutospacing="0" w:after="120"/>
        <w:ind w:right="-51"/>
        <w:rPr>
          <w:rFonts w:asciiTheme="minorHAnsi" w:hAnsiTheme="minorHAnsi" w:cstheme="minorHAnsi"/>
          <w:color w:val="000000"/>
          <w:sz w:val="22"/>
          <w:szCs w:val="22"/>
        </w:rPr>
      </w:pPr>
      <w:r w:rsidRPr="002D6014">
        <w:rPr>
          <w:rFonts w:asciiTheme="minorHAnsi" w:hAnsiTheme="minorHAnsi" w:cstheme="minorHAnsi"/>
          <w:color w:val="000000"/>
          <w:sz w:val="22"/>
          <w:szCs w:val="22"/>
        </w:rPr>
        <w:t>Considering the comparative legislative provisions and our overall recommendations, the objectives of a Queensland Human Rights Act could be:</w:t>
      </w:r>
    </w:p>
    <w:p w:rsidR="003B264B" w:rsidRPr="002D6014" w:rsidRDefault="003B264B" w:rsidP="00632BB9">
      <w:pPr>
        <w:pStyle w:val="NormalWeb"/>
        <w:spacing w:before="0" w:beforeAutospacing="0" w:after="240"/>
        <w:ind w:left="720" w:right="-51"/>
        <w:jc w:val="both"/>
        <w:rPr>
          <w:rFonts w:asciiTheme="minorHAnsi" w:hAnsiTheme="minorHAnsi" w:cstheme="minorHAnsi"/>
          <w:sz w:val="22"/>
          <w:szCs w:val="22"/>
        </w:rPr>
      </w:pPr>
      <w:r w:rsidRPr="002D6014">
        <w:rPr>
          <w:rFonts w:asciiTheme="minorHAnsi" w:hAnsiTheme="minorHAnsi" w:cstheme="minorHAnsi"/>
          <w:sz w:val="22"/>
          <w:szCs w:val="22"/>
        </w:rPr>
        <w:t>The purpose of this Act is to protect, respect</w:t>
      </w:r>
      <w:r w:rsidR="00CE54E3" w:rsidRPr="002D6014">
        <w:rPr>
          <w:rFonts w:asciiTheme="minorHAnsi" w:hAnsiTheme="minorHAnsi" w:cstheme="minorHAnsi"/>
          <w:sz w:val="22"/>
          <w:szCs w:val="22"/>
        </w:rPr>
        <w:t>,</w:t>
      </w:r>
      <w:r w:rsidRPr="002D6014">
        <w:rPr>
          <w:rFonts w:asciiTheme="minorHAnsi" w:hAnsiTheme="minorHAnsi" w:cstheme="minorHAnsi"/>
          <w:sz w:val="22"/>
          <w:szCs w:val="22"/>
        </w:rPr>
        <w:t xml:space="preserve"> and fulfil human rights by</w:t>
      </w:r>
      <w:r w:rsidR="00CE54E3" w:rsidRPr="002D6014">
        <w:rPr>
          <w:rFonts w:asciiTheme="minorHAnsi" w:hAnsiTheme="minorHAnsi" w:cstheme="minorHAnsi"/>
          <w:sz w:val="22"/>
          <w:szCs w:val="22"/>
        </w:rPr>
        <w:t>:</w:t>
      </w:r>
    </w:p>
    <w:p w:rsidR="003B264B" w:rsidRPr="002D6014" w:rsidRDefault="00CE54E3" w:rsidP="004902F3">
      <w:pPr>
        <w:pStyle w:val="ListParagraph"/>
        <w:numPr>
          <w:ilvl w:val="0"/>
          <w:numId w:val="3"/>
        </w:numPr>
        <w:tabs>
          <w:tab w:val="clear" w:pos="567"/>
        </w:tabs>
        <w:spacing w:before="120" w:after="120"/>
        <w:ind w:left="1287" w:hanging="567"/>
        <w:contextualSpacing w:val="0"/>
        <w:rPr>
          <w:rFonts w:cstheme="minorHAnsi"/>
        </w:rPr>
      </w:pPr>
      <w:r w:rsidRPr="002D6014">
        <w:rPr>
          <w:rFonts w:cstheme="minorHAnsi"/>
        </w:rPr>
        <w:t>s</w:t>
      </w:r>
      <w:r w:rsidR="003B264B" w:rsidRPr="002D6014">
        <w:rPr>
          <w:rFonts w:cstheme="minorHAnsi"/>
        </w:rPr>
        <w:t>etting out the human rights that parliament specifically seeks to protect;</w:t>
      </w:r>
    </w:p>
    <w:p w:rsidR="003B264B" w:rsidRPr="002D6014" w:rsidRDefault="003B264B" w:rsidP="004902F3">
      <w:pPr>
        <w:pStyle w:val="ListParagraph"/>
        <w:numPr>
          <w:ilvl w:val="0"/>
          <w:numId w:val="3"/>
        </w:numPr>
        <w:tabs>
          <w:tab w:val="clear" w:pos="567"/>
        </w:tabs>
        <w:spacing w:before="120" w:after="120"/>
        <w:ind w:left="1287" w:hanging="567"/>
        <w:contextualSpacing w:val="0"/>
        <w:rPr>
          <w:rFonts w:cstheme="minorHAnsi"/>
        </w:rPr>
      </w:pPr>
      <w:r w:rsidRPr="002D6014">
        <w:rPr>
          <w:rFonts w:cstheme="minorHAnsi"/>
        </w:rPr>
        <w:t>requiring statements of compatibility with</w:t>
      </w:r>
      <w:r w:rsidR="007F7115" w:rsidRPr="002D6014">
        <w:rPr>
          <w:rFonts w:cstheme="minorHAnsi"/>
        </w:rPr>
        <w:t xml:space="preserve"> human rights </w:t>
      </w:r>
      <w:r w:rsidRPr="002D6014">
        <w:rPr>
          <w:rFonts w:cstheme="minorHAnsi"/>
        </w:rPr>
        <w:t>to be prepared in respect of all Queensland laws</w:t>
      </w:r>
      <w:r w:rsidR="00CE54E3" w:rsidRPr="002D6014">
        <w:rPr>
          <w:rFonts w:cstheme="minorHAnsi"/>
        </w:rPr>
        <w:t>,</w:t>
      </w:r>
      <w:r w:rsidRPr="002D6014">
        <w:rPr>
          <w:rFonts w:cstheme="minorHAnsi"/>
        </w:rPr>
        <w:t xml:space="preserve"> and enabling a Scrutiny Committee to publically and regularly report on such compatibility ;</w:t>
      </w:r>
    </w:p>
    <w:p w:rsidR="003B264B" w:rsidRPr="002D6014" w:rsidRDefault="003B264B" w:rsidP="004902F3">
      <w:pPr>
        <w:pStyle w:val="ListParagraph"/>
        <w:numPr>
          <w:ilvl w:val="0"/>
          <w:numId w:val="3"/>
        </w:numPr>
        <w:tabs>
          <w:tab w:val="clear" w:pos="567"/>
        </w:tabs>
        <w:spacing w:before="120" w:after="120"/>
        <w:ind w:left="1287" w:hanging="567"/>
        <w:contextualSpacing w:val="0"/>
        <w:rPr>
          <w:rFonts w:cstheme="minorHAnsi"/>
        </w:rPr>
      </w:pPr>
      <w:r w:rsidRPr="002D6014">
        <w:rPr>
          <w:rFonts w:cstheme="minorHAnsi"/>
        </w:rPr>
        <w:t xml:space="preserve">imposing an obligation on all public authorities to act in a way that is compatible with </w:t>
      </w:r>
      <w:r w:rsidR="007F7115" w:rsidRPr="002D6014">
        <w:rPr>
          <w:rFonts w:cstheme="minorHAnsi"/>
        </w:rPr>
        <w:t>human rights</w:t>
      </w:r>
      <w:r w:rsidRPr="002D6014">
        <w:rPr>
          <w:rFonts w:cstheme="minorHAnsi"/>
        </w:rPr>
        <w:t xml:space="preserve">; </w:t>
      </w:r>
    </w:p>
    <w:p w:rsidR="003B264B" w:rsidRPr="002D6014" w:rsidRDefault="003B264B" w:rsidP="004902F3">
      <w:pPr>
        <w:pStyle w:val="ListParagraph"/>
        <w:numPr>
          <w:ilvl w:val="0"/>
          <w:numId w:val="3"/>
        </w:numPr>
        <w:tabs>
          <w:tab w:val="clear" w:pos="567"/>
        </w:tabs>
        <w:spacing w:before="120" w:after="120"/>
        <w:ind w:left="1287" w:hanging="567"/>
        <w:contextualSpacing w:val="0"/>
        <w:rPr>
          <w:rFonts w:cstheme="minorHAnsi"/>
        </w:rPr>
      </w:pPr>
      <w:r w:rsidRPr="002D6014">
        <w:rPr>
          <w:rFonts w:cstheme="minorHAnsi"/>
        </w:rPr>
        <w:t xml:space="preserve">ensuring that all </w:t>
      </w:r>
      <w:r w:rsidR="007F7115" w:rsidRPr="002D6014">
        <w:rPr>
          <w:rFonts w:cstheme="minorHAnsi"/>
        </w:rPr>
        <w:t>statutory provisions</w:t>
      </w:r>
      <w:r w:rsidRPr="002D6014">
        <w:rPr>
          <w:rFonts w:cstheme="minorHAnsi"/>
        </w:rPr>
        <w:t xml:space="preserve">, whenever enacted, are interpreted so far as is possible in a way that is compatible with </w:t>
      </w:r>
      <w:r w:rsidR="007F7115" w:rsidRPr="002D6014">
        <w:rPr>
          <w:rFonts w:cstheme="minorHAnsi"/>
        </w:rPr>
        <w:t>human rights</w:t>
      </w:r>
      <w:r w:rsidRPr="002D6014">
        <w:rPr>
          <w:rFonts w:cstheme="minorHAnsi"/>
        </w:rPr>
        <w:t xml:space="preserve">; </w:t>
      </w:r>
    </w:p>
    <w:p w:rsidR="003B264B" w:rsidRPr="002D6014" w:rsidRDefault="003B264B" w:rsidP="004902F3">
      <w:pPr>
        <w:pStyle w:val="ListParagraph"/>
        <w:numPr>
          <w:ilvl w:val="0"/>
          <w:numId w:val="3"/>
        </w:numPr>
        <w:tabs>
          <w:tab w:val="clear" w:pos="567"/>
        </w:tabs>
        <w:spacing w:before="120" w:after="120"/>
        <w:ind w:left="1287" w:hanging="567"/>
        <w:contextualSpacing w:val="0"/>
        <w:rPr>
          <w:rFonts w:cstheme="minorHAnsi"/>
        </w:rPr>
      </w:pPr>
      <w:r w:rsidRPr="002D6014">
        <w:rPr>
          <w:rFonts w:cstheme="minorHAnsi"/>
        </w:rPr>
        <w:t xml:space="preserve">conferring jurisdiction on the Supreme </w:t>
      </w:r>
      <w:r w:rsidR="007F7115" w:rsidRPr="002D6014">
        <w:rPr>
          <w:rFonts w:cstheme="minorHAnsi"/>
        </w:rPr>
        <w:t>Court</w:t>
      </w:r>
      <w:r w:rsidRPr="002D6014">
        <w:rPr>
          <w:rFonts w:cstheme="minorHAnsi"/>
        </w:rPr>
        <w:t xml:space="preserve"> to declare that a </w:t>
      </w:r>
      <w:r w:rsidR="007F7115" w:rsidRPr="002D6014">
        <w:rPr>
          <w:rFonts w:cstheme="minorHAnsi"/>
        </w:rPr>
        <w:t>statutory provision</w:t>
      </w:r>
      <w:r w:rsidRPr="002D6014">
        <w:rPr>
          <w:rFonts w:cstheme="minorHAnsi"/>
        </w:rPr>
        <w:t xml:space="preserve"> cannot be interpreted consistently with a human right</w:t>
      </w:r>
      <w:r w:rsidR="00833FE8" w:rsidRPr="002D6014">
        <w:rPr>
          <w:rFonts w:cstheme="minorHAnsi"/>
        </w:rPr>
        <w:t>,</w:t>
      </w:r>
      <w:r w:rsidRPr="002D6014">
        <w:rPr>
          <w:rFonts w:cstheme="minorHAnsi"/>
        </w:rPr>
        <w:t xml:space="preserve"> and requiring the relevant Minister to respond to that declaration;</w:t>
      </w:r>
    </w:p>
    <w:p w:rsidR="003B264B" w:rsidRPr="002D6014" w:rsidRDefault="00833FE8" w:rsidP="004902F3">
      <w:pPr>
        <w:pStyle w:val="ListParagraph"/>
        <w:numPr>
          <w:ilvl w:val="0"/>
          <w:numId w:val="3"/>
        </w:numPr>
        <w:tabs>
          <w:tab w:val="clear" w:pos="567"/>
        </w:tabs>
        <w:spacing w:before="120" w:after="120"/>
        <w:ind w:left="1287" w:hanging="567"/>
        <w:contextualSpacing w:val="0"/>
        <w:rPr>
          <w:rFonts w:cstheme="minorHAnsi"/>
        </w:rPr>
      </w:pPr>
      <w:r w:rsidRPr="002D6014">
        <w:rPr>
          <w:rFonts w:cstheme="minorHAnsi"/>
        </w:rPr>
        <w:t>c</w:t>
      </w:r>
      <w:r w:rsidR="003B264B" w:rsidRPr="002D6014">
        <w:rPr>
          <w:rFonts w:cstheme="minorHAnsi"/>
        </w:rPr>
        <w:t>onfer</w:t>
      </w:r>
      <w:r w:rsidRPr="002D6014">
        <w:rPr>
          <w:rFonts w:cstheme="minorHAnsi"/>
        </w:rPr>
        <w:t>ring</w:t>
      </w:r>
      <w:r w:rsidR="003B264B" w:rsidRPr="002D6014">
        <w:rPr>
          <w:rFonts w:cstheme="minorHAnsi"/>
        </w:rPr>
        <w:t xml:space="preserve"> jurisdiction on a</w:t>
      </w:r>
      <w:r w:rsidR="00104DEB" w:rsidRPr="002D6014">
        <w:rPr>
          <w:rFonts w:cstheme="minorHAnsi"/>
        </w:rPr>
        <w:t xml:space="preserve">n </w:t>
      </w:r>
      <w:r w:rsidRPr="002D6014">
        <w:rPr>
          <w:rFonts w:cstheme="minorHAnsi"/>
        </w:rPr>
        <w:t>independent s</w:t>
      </w:r>
      <w:r w:rsidR="00104DEB" w:rsidRPr="002D6014">
        <w:rPr>
          <w:rFonts w:cstheme="minorHAnsi"/>
        </w:rPr>
        <w:t xml:space="preserve">tatutory </w:t>
      </w:r>
      <w:r w:rsidRPr="002D6014">
        <w:rPr>
          <w:rFonts w:cstheme="minorHAnsi"/>
        </w:rPr>
        <w:t>b</w:t>
      </w:r>
      <w:r w:rsidR="00104DEB" w:rsidRPr="002D6014">
        <w:rPr>
          <w:rFonts w:cstheme="minorHAnsi"/>
        </w:rPr>
        <w:t>ody to:</w:t>
      </w:r>
    </w:p>
    <w:p w:rsidR="003B264B" w:rsidRPr="002D6014" w:rsidRDefault="003B264B" w:rsidP="004902F3">
      <w:pPr>
        <w:pStyle w:val="ListParagraph"/>
        <w:numPr>
          <w:ilvl w:val="1"/>
          <w:numId w:val="27"/>
        </w:numPr>
        <w:tabs>
          <w:tab w:val="clear" w:pos="567"/>
        </w:tabs>
        <w:spacing w:before="120" w:after="120"/>
        <w:ind w:left="1854" w:hanging="567"/>
        <w:contextualSpacing w:val="0"/>
        <w:rPr>
          <w:rFonts w:cstheme="minorHAnsi"/>
        </w:rPr>
      </w:pPr>
      <w:r w:rsidRPr="002D6014">
        <w:rPr>
          <w:rFonts w:cstheme="minorHAnsi"/>
        </w:rPr>
        <w:lastRenderedPageBreak/>
        <w:t xml:space="preserve">conduct independent investigation and resolution of human rights complaints; </w:t>
      </w:r>
    </w:p>
    <w:p w:rsidR="003B264B" w:rsidRPr="002D6014" w:rsidRDefault="003B264B" w:rsidP="004902F3">
      <w:pPr>
        <w:pStyle w:val="ListParagraph"/>
        <w:numPr>
          <w:ilvl w:val="1"/>
          <w:numId w:val="27"/>
        </w:numPr>
        <w:tabs>
          <w:tab w:val="clear" w:pos="567"/>
        </w:tabs>
        <w:spacing w:before="120" w:after="120"/>
        <w:ind w:left="1854" w:hanging="567"/>
        <w:contextualSpacing w:val="0"/>
        <w:rPr>
          <w:rFonts w:cstheme="minorHAnsi"/>
        </w:rPr>
      </w:pPr>
      <w:r w:rsidRPr="002D6014">
        <w:rPr>
          <w:rFonts w:cstheme="minorHAnsi"/>
        </w:rPr>
        <w:t>engage in education, training</w:t>
      </w:r>
      <w:r w:rsidR="00833FE8" w:rsidRPr="002D6014">
        <w:rPr>
          <w:rFonts w:cstheme="minorHAnsi"/>
        </w:rPr>
        <w:t>,</w:t>
      </w:r>
      <w:r w:rsidRPr="002D6014">
        <w:rPr>
          <w:rFonts w:cstheme="minorHAnsi"/>
        </w:rPr>
        <w:t xml:space="preserve"> and information dissemination; and</w:t>
      </w:r>
    </w:p>
    <w:p w:rsidR="003B264B" w:rsidRPr="002D6014" w:rsidRDefault="003B264B" w:rsidP="004902F3">
      <w:pPr>
        <w:pStyle w:val="ListParagraph"/>
        <w:numPr>
          <w:ilvl w:val="1"/>
          <w:numId w:val="27"/>
        </w:numPr>
        <w:tabs>
          <w:tab w:val="clear" w:pos="567"/>
        </w:tabs>
        <w:spacing w:before="120" w:after="120"/>
        <w:ind w:left="1854" w:hanging="567"/>
        <w:contextualSpacing w:val="0"/>
        <w:rPr>
          <w:rFonts w:cstheme="minorHAnsi"/>
        </w:rPr>
      </w:pPr>
      <w:r w:rsidRPr="002D6014">
        <w:rPr>
          <w:rFonts w:cstheme="minorHAnsi"/>
        </w:rPr>
        <w:t>provide regular monitoring of government compliance of human rights responsibilities;</w:t>
      </w:r>
    </w:p>
    <w:p w:rsidR="003B264B" w:rsidRPr="002D6014" w:rsidRDefault="00833FE8" w:rsidP="00632BB9">
      <w:pPr>
        <w:pStyle w:val="ListParagraph"/>
        <w:numPr>
          <w:ilvl w:val="0"/>
          <w:numId w:val="3"/>
        </w:numPr>
        <w:tabs>
          <w:tab w:val="clear" w:pos="567"/>
        </w:tabs>
        <w:ind w:left="1287" w:hanging="567"/>
        <w:contextualSpacing w:val="0"/>
        <w:rPr>
          <w:rFonts w:cstheme="minorHAnsi"/>
        </w:rPr>
      </w:pPr>
      <w:r w:rsidRPr="002D6014">
        <w:rPr>
          <w:rFonts w:cstheme="minorHAnsi"/>
        </w:rPr>
        <w:t>e</w:t>
      </w:r>
      <w:r w:rsidR="003B264B" w:rsidRPr="002D6014">
        <w:rPr>
          <w:rFonts w:cstheme="minorHAnsi"/>
        </w:rPr>
        <w:t>nabl</w:t>
      </w:r>
      <w:r w:rsidRPr="002D6014">
        <w:rPr>
          <w:rFonts w:cstheme="minorHAnsi"/>
        </w:rPr>
        <w:t>ing</w:t>
      </w:r>
      <w:r w:rsidR="003B264B" w:rsidRPr="002D6014">
        <w:rPr>
          <w:rFonts w:cstheme="minorHAnsi"/>
        </w:rPr>
        <w:t xml:space="preserve"> </w:t>
      </w:r>
      <w:r w:rsidR="00523C9D" w:rsidRPr="002D6014">
        <w:rPr>
          <w:rFonts w:cstheme="minorHAnsi"/>
        </w:rPr>
        <w:t>people</w:t>
      </w:r>
      <w:r w:rsidR="003B264B" w:rsidRPr="002D6014">
        <w:rPr>
          <w:rFonts w:cstheme="minorHAnsi"/>
        </w:rPr>
        <w:t xml:space="preserve"> to rely on</w:t>
      </w:r>
      <w:r w:rsidR="003B264B" w:rsidRPr="002D6014">
        <w:rPr>
          <w:rFonts w:cstheme="minorHAnsi"/>
          <w:iCs/>
        </w:rPr>
        <w:t xml:space="preserve"> </w:t>
      </w:r>
      <w:r w:rsidR="003B264B" w:rsidRPr="002D6014">
        <w:rPr>
          <w:rFonts w:cstheme="minorHAnsi"/>
        </w:rPr>
        <w:t>human rights in legal proceedings in courts and tribunals</w:t>
      </w:r>
      <w:r w:rsidRPr="002D6014">
        <w:rPr>
          <w:rFonts w:cstheme="minorHAnsi"/>
        </w:rPr>
        <w:t>,</w:t>
      </w:r>
      <w:r w:rsidR="003B264B" w:rsidRPr="002D6014">
        <w:rPr>
          <w:rFonts w:cstheme="minorHAnsi"/>
        </w:rPr>
        <w:t xml:space="preserve"> or to institute an independent</w:t>
      </w:r>
      <w:r w:rsidR="003B264B" w:rsidRPr="002D6014">
        <w:rPr>
          <w:rFonts w:cstheme="minorHAnsi"/>
          <w:iCs/>
        </w:rPr>
        <w:t xml:space="preserve"> </w:t>
      </w:r>
      <w:r w:rsidR="003B264B" w:rsidRPr="002D6014">
        <w:rPr>
          <w:rFonts w:cstheme="minorHAnsi"/>
        </w:rPr>
        <w:t>cause of action; and</w:t>
      </w:r>
    </w:p>
    <w:p w:rsidR="003B264B" w:rsidRPr="002D6014" w:rsidRDefault="00833FE8" w:rsidP="004902F3">
      <w:pPr>
        <w:pStyle w:val="ListParagraph"/>
        <w:numPr>
          <w:ilvl w:val="0"/>
          <w:numId w:val="3"/>
        </w:numPr>
        <w:tabs>
          <w:tab w:val="clear" w:pos="567"/>
        </w:tabs>
        <w:spacing w:before="120"/>
        <w:ind w:left="1287" w:hanging="567"/>
        <w:contextualSpacing w:val="0"/>
        <w:rPr>
          <w:rFonts w:cstheme="minorHAnsi"/>
        </w:rPr>
      </w:pPr>
      <w:proofErr w:type="gramStart"/>
      <w:r w:rsidRPr="002D6014">
        <w:rPr>
          <w:rFonts w:cstheme="minorHAnsi"/>
        </w:rPr>
        <w:t>providing</w:t>
      </w:r>
      <w:proofErr w:type="gramEnd"/>
      <w:r w:rsidR="003B264B" w:rsidRPr="002D6014">
        <w:rPr>
          <w:rFonts w:cstheme="minorHAnsi"/>
        </w:rPr>
        <w:t xml:space="preserve"> private entities </w:t>
      </w:r>
      <w:r w:rsidRPr="002D6014">
        <w:rPr>
          <w:rFonts w:cstheme="minorHAnsi"/>
        </w:rPr>
        <w:t xml:space="preserve">with </w:t>
      </w:r>
      <w:r w:rsidR="003B264B" w:rsidRPr="002D6014">
        <w:rPr>
          <w:rFonts w:cstheme="minorHAnsi"/>
        </w:rPr>
        <w:t>the opportunity to comply with human rights obligations.</w:t>
      </w:r>
    </w:p>
    <w:p w:rsidR="00AD45C3" w:rsidRPr="002D6014" w:rsidRDefault="0003394C" w:rsidP="00CC31F0">
      <w:pPr>
        <w:pStyle w:val="Heading2"/>
      </w:pPr>
      <w:bookmarkStart w:id="23" w:name="_Toc448747767"/>
      <w:r w:rsidRPr="002D6014">
        <w:t>Rights to be protected</w:t>
      </w:r>
      <w:bookmarkEnd w:id="23"/>
      <w:r w:rsidR="00AD45C3" w:rsidRPr="002D6014">
        <w:t xml:space="preserve"> </w:t>
      </w:r>
    </w:p>
    <w:p w:rsidR="00F70679" w:rsidRPr="002D6014" w:rsidRDefault="00A932A3" w:rsidP="00632BB9">
      <w:pPr>
        <w:pStyle w:val="NormalWeb"/>
        <w:numPr>
          <w:ilvl w:val="0"/>
          <w:numId w:val="5"/>
        </w:numPr>
        <w:spacing w:before="240" w:beforeAutospacing="0" w:after="240"/>
        <w:ind w:right="-51"/>
        <w:rPr>
          <w:rFonts w:asciiTheme="minorHAnsi" w:hAnsiTheme="minorHAnsi" w:cstheme="minorHAnsi"/>
          <w:color w:val="000000"/>
          <w:sz w:val="22"/>
          <w:szCs w:val="22"/>
        </w:rPr>
      </w:pPr>
      <w:r w:rsidRPr="002D6014">
        <w:rPr>
          <w:rFonts w:asciiTheme="minorHAnsi" w:hAnsiTheme="minorHAnsi" w:cstheme="minorHAnsi"/>
          <w:color w:val="000000"/>
          <w:sz w:val="22"/>
          <w:szCs w:val="22"/>
        </w:rPr>
        <w:t xml:space="preserve">The Commission </w:t>
      </w:r>
      <w:r w:rsidR="001D5DD1" w:rsidRPr="002D6014">
        <w:rPr>
          <w:rFonts w:asciiTheme="minorHAnsi" w:hAnsiTheme="minorHAnsi" w:cstheme="minorHAnsi"/>
          <w:color w:val="000000"/>
          <w:sz w:val="22"/>
          <w:szCs w:val="22"/>
        </w:rPr>
        <w:t>recommends that t</w:t>
      </w:r>
      <w:r w:rsidR="00F70679" w:rsidRPr="002D6014">
        <w:rPr>
          <w:rFonts w:asciiTheme="minorHAnsi" w:hAnsiTheme="minorHAnsi" w:cstheme="minorHAnsi"/>
          <w:color w:val="000000"/>
          <w:sz w:val="22"/>
          <w:szCs w:val="22"/>
        </w:rPr>
        <w:t xml:space="preserve">he term ‘human rights’ be defined to mean the rights and freedoms recognised by </w:t>
      </w:r>
      <w:r w:rsidRPr="002D6014">
        <w:rPr>
          <w:rFonts w:asciiTheme="minorHAnsi" w:hAnsiTheme="minorHAnsi" w:cstheme="minorHAnsi"/>
          <w:color w:val="000000"/>
          <w:sz w:val="22"/>
          <w:szCs w:val="22"/>
        </w:rPr>
        <w:t>Australia’s commitment to core international agreements.</w:t>
      </w:r>
      <w:r w:rsidR="00F70679" w:rsidRPr="002D6014">
        <w:rPr>
          <w:rFonts w:asciiTheme="minorHAnsi" w:hAnsiTheme="minorHAnsi" w:cstheme="minorHAnsi"/>
          <w:color w:val="000000"/>
          <w:sz w:val="22"/>
          <w:szCs w:val="22"/>
        </w:rPr>
        <w:t xml:space="preserve"> Accordingly, </w:t>
      </w:r>
      <w:r w:rsidR="00D90CA7" w:rsidRPr="002D6014">
        <w:rPr>
          <w:rFonts w:asciiTheme="minorHAnsi" w:hAnsiTheme="minorHAnsi" w:cstheme="minorHAnsi"/>
          <w:color w:val="000000"/>
          <w:sz w:val="22"/>
          <w:szCs w:val="22"/>
        </w:rPr>
        <w:t>the Commission</w:t>
      </w:r>
      <w:r w:rsidR="00F70679" w:rsidRPr="002D6014">
        <w:rPr>
          <w:rFonts w:asciiTheme="minorHAnsi" w:hAnsiTheme="minorHAnsi" w:cstheme="minorHAnsi"/>
          <w:color w:val="000000"/>
          <w:sz w:val="22"/>
          <w:szCs w:val="22"/>
        </w:rPr>
        <w:t xml:space="preserve"> recommends </w:t>
      </w:r>
      <w:r w:rsidR="00B86231" w:rsidRPr="002D6014">
        <w:rPr>
          <w:rFonts w:asciiTheme="minorHAnsi" w:hAnsiTheme="minorHAnsi" w:cstheme="minorHAnsi"/>
          <w:color w:val="000000"/>
          <w:sz w:val="22"/>
          <w:szCs w:val="22"/>
        </w:rPr>
        <w:t>specifies Human Rights Act refer to</w:t>
      </w:r>
      <w:r w:rsidR="00F70679" w:rsidRPr="002D6014">
        <w:rPr>
          <w:rFonts w:asciiTheme="minorHAnsi" w:hAnsiTheme="minorHAnsi" w:cstheme="minorHAnsi"/>
          <w:color w:val="000000"/>
          <w:sz w:val="22"/>
          <w:szCs w:val="22"/>
        </w:rPr>
        <w:t xml:space="preserve"> the seven core human rights agreements</w:t>
      </w:r>
      <w:r w:rsidR="00F70679" w:rsidRPr="00D95D9E">
        <w:rPr>
          <w:rStyle w:val="FootnoteReference"/>
          <w:rFonts w:asciiTheme="minorHAnsi" w:hAnsiTheme="minorHAnsi" w:cstheme="minorHAnsi"/>
          <w:color w:val="000000"/>
          <w:sz w:val="22"/>
          <w:szCs w:val="22"/>
        </w:rPr>
        <w:footnoteReference w:id="40"/>
      </w:r>
      <w:r w:rsidR="00F70679" w:rsidRPr="00D95D9E">
        <w:rPr>
          <w:rFonts w:asciiTheme="minorHAnsi" w:hAnsiTheme="minorHAnsi" w:cstheme="minorHAnsi"/>
          <w:color w:val="000000"/>
          <w:sz w:val="22"/>
          <w:szCs w:val="22"/>
        </w:rPr>
        <w:t xml:space="preserve"> </w:t>
      </w:r>
      <w:r w:rsidRPr="00D95D9E">
        <w:rPr>
          <w:rFonts w:asciiTheme="minorHAnsi" w:hAnsiTheme="minorHAnsi" w:cstheme="minorHAnsi"/>
          <w:color w:val="000000"/>
          <w:sz w:val="22"/>
          <w:szCs w:val="22"/>
        </w:rPr>
        <w:t>ratified by the Australian Government, plus</w:t>
      </w:r>
      <w:r w:rsidR="00F70679" w:rsidRPr="002D6014">
        <w:rPr>
          <w:rFonts w:asciiTheme="minorHAnsi" w:hAnsiTheme="minorHAnsi" w:cstheme="minorHAnsi"/>
          <w:color w:val="000000"/>
          <w:sz w:val="22"/>
          <w:szCs w:val="22"/>
        </w:rPr>
        <w:t xml:space="preserve"> the U</w:t>
      </w:r>
      <w:r w:rsidRPr="002D6014">
        <w:rPr>
          <w:rFonts w:asciiTheme="minorHAnsi" w:hAnsiTheme="minorHAnsi" w:cstheme="minorHAnsi"/>
          <w:color w:val="000000"/>
          <w:sz w:val="22"/>
          <w:szCs w:val="22"/>
        </w:rPr>
        <w:t xml:space="preserve">nited </w:t>
      </w:r>
      <w:r w:rsidR="00F70679" w:rsidRPr="002D6014">
        <w:rPr>
          <w:rFonts w:asciiTheme="minorHAnsi" w:hAnsiTheme="minorHAnsi" w:cstheme="minorHAnsi"/>
          <w:color w:val="000000"/>
          <w:sz w:val="22"/>
          <w:szCs w:val="22"/>
        </w:rPr>
        <w:t>N</w:t>
      </w:r>
      <w:r w:rsidRPr="002D6014">
        <w:rPr>
          <w:rFonts w:asciiTheme="minorHAnsi" w:hAnsiTheme="minorHAnsi" w:cstheme="minorHAnsi"/>
          <w:color w:val="000000"/>
          <w:sz w:val="22"/>
          <w:szCs w:val="22"/>
        </w:rPr>
        <w:t>ations</w:t>
      </w:r>
      <w:r w:rsidR="00F70679" w:rsidRPr="002D6014">
        <w:rPr>
          <w:rFonts w:asciiTheme="minorHAnsi" w:hAnsiTheme="minorHAnsi" w:cstheme="minorHAnsi"/>
          <w:color w:val="000000"/>
          <w:sz w:val="22"/>
          <w:szCs w:val="22"/>
        </w:rPr>
        <w:t xml:space="preserve"> </w:t>
      </w:r>
      <w:r w:rsidR="00F70679" w:rsidRPr="002D6014">
        <w:rPr>
          <w:rFonts w:asciiTheme="minorHAnsi" w:hAnsiTheme="minorHAnsi" w:cstheme="minorHAnsi"/>
          <w:i/>
          <w:color w:val="000000"/>
          <w:sz w:val="22"/>
          <w:szCs w:val="22"/>
        </w:rPr>
        <w:t>Declaration on the Rights of Indigenous Peoples</w:t>
      </w:r>
      <w:r w:rsidR="00B140B6" w:rsidRPr="002D6014">
        <w:rPr>
          <w:rFonts w:asciiTheme="minorHAnsi" w:hAnsiTheme="minorHAnsi" w:cstheme="minorHAnsi"/>
          <w:i/>
          <w:color w:val="000000"/>
          <w:sz w:val="22"/>
          <w:szCs w:val="22"/>
        </w:rPr>
        <w:t>,</w:t>
      </w:r>
      <w:r w:rsidR="00F70679" w:rsidRPr="002D6014">
        <w:rPr>
          <w:rFonts w:asciiTheme="minorHAnsi" w:hAnsiTheme="minorHAnsi" w:cstheme="minorHAnsi"/>
          <w:color w:val="000000"/>
          <w:sz w:val="22"/>
          <w:szCs w:val="22"/>
        </w:rPr>
        <w:t xml:space="preserve"> and the four core I</w:t>
      </w:r>
      <w:r w:rsidRPr="002D6014">
        <w:rPr>
          <w:rFonts w:asciiTheme="minorHAnsi" w:hAnsiTheme="minorHAnsi" w:cstheme="minorHAnsi"/>
          <w:color w:val="000000"/>
          <w:sz w:val="22"/>
          <w:szCs w:val="22"/>
        </w:rPr>
        <w:t xml:space="preserve">nternational </w:t>
      </w:r>
      <w:r w:rsidR="00F70679" w:rsidRPr="002D6014">
        <w:rPr>
          <w:rFonts w:asciiTheme="minorHAnsi" w:hAnsiTheme="minorHAnsi" w:cstheme="minorHAnsi"/>
          <w:color w:val="000000"/>
          <w:sz w:val="22"/>
          <w:szCs w:val="22"/>
        </w:rPr>
        <w:t>L</w:t>
      </w:r>
      <w:r w:rsidRPr="002D6014">
        <w:rPr>
          <w:rFonts w:asciiTheme="minorHAnsi" w:hAnsiTheme="minorHAnsi" w:cstheme="minorHAnsi"/>
          <w:color w:val="000000"/>
          <w:sz w:val="22"/>
          <w:szCs w:val="22"/>
        </w:rPr>
        <w:t xml:space="preserve">abour </w:t>
      </w:r>
      <w:r w:rsidR="00F70679" w:rsidRPr="002D6014">
        <w:rPr>
          <w:rFonts w:asciiTheme="minorHAnsi" w:hAnsiTheme="minorHAnsi" w:cstheme="minorHAnsi"/>
          <w:color w:val="000000"/>
          <w:sz w:val="22"/>
          <w:szCs w:val="22"/>
        </w:rPr>
        <w:t>O</w:t>
      </w:r>
      <w:r w:rsidRPr="002D6014">
        <w:rPr>
          <w:rFonts w:asciiTheme="minorHAnsi" w:hAnsiTheme="minorHAnsi" w:cstheme="minorHAnsi"/>
          <w:color w:val="000000"/>
          <w:sz w:val="22"/>
          <w:szCs w:val="22"/>
        </w:rPr>
        <w:t xml:space="preserve">rganization </w:t>
      </w:r>
      <w:r w:rsidR="00F70679" w:rsidRPr="002D6014">
        <w:rPr>
          <w:rFonts w:asciiTheme="minorHAnsi" w:hAnsiTheme="minorHAnsi" w:cstheme="minorHAnsi"/>
          <w:color w:val="000000"/>
          <w:sz w:val="22"/>
          <w:szCs w:val="22"/>
        </w:rPr>
        <w:t>instruments</w:t>
      </w:r>
      <w:r w:rsidR="00F70679" w:rsidRPr="00D95D9E">
        <w:rPr>
          <w:rStyle w:val="FootnoteReference"/>
          <w:rFonts w:asciiTheme="minorHAnsi" w:hAnsiTheme="minorHAnsi" w:cstheme="minorHAnsi"/>
          <w:color w:val="000000"/>
          <w:sz w:val="22"/>
          <w:szCs w:val="22"/>
        </w:rPr>
        <w:footnoteReference w:id="41"/>
      </w:r>
      <w:r w:rsidR="00F70679" w:rsidRPr="00D95D9E">
        <w:rPr>
          <w:rFonts w:asciiTheme="minorHAnsi" w:hAnsiTheme="minorHAnsi" w:cstheme="minorHAnsi"/>
          <w:color w:val="000000"/>
          <w:sz w:val="22"/>
          <w:szCs w:val="22"/>
        </w:rPr>
        <w:t>. The</w:t>
      </w:r>
      <w:r w:rsidR="00B86231" w:rsidRPr="00D95D9E">
        <w:rPr>
          <w:rFonts w:asciiTheme="minorHAnsi" w:hAnsiTheme="minorHAnsi" w:cstheme="minorHAnsi"/>
          <w:color w:val="000000"/>
          <w:sz w:val="22"/>
          <w:szCs w:val="22"/>
        </w:rPr>
        <w:t>re should be provision</w:t>
      </w:r>
      <w:r w:rsidR="00F70679" w:rsidRPr="00D95D9E">
        <w:rPr>
          <w:rFonts w:asciiTheme="minorHAnsi" w:hAnsiTheme="minorHAnsi" w:cstheme="minorHAnsi"/>
          <w:color w:val="000000"/>
          <w:sz w:val="22"/>
          <w:szCs w:val="22"/>
        </w:rPr>
        <w:t xml:space="preserve"> </w:t>
      </w:r>
      <w:r w:rsidR="00F70679" w:rsidRPr="002D6014">
        <w:rPr>
          <w:rFonts w:asciiTheme="minorHAnsi" w:hAnsiTheme="minorHAnsi" w:cstheme="minorHAnsi"/>
          <w:color w:val="000000"/>
          <w:sz w:val="22"/>
          <w:szCs w:val="22"/>
        </w:rPr>
        <w:t>allow</w:t>
      </w:r>
      <w:r w:rsidR="00B86231" w:rsidRPr="002D6014">
        <w:rPr>
          <w:rFonts w:asciiTheme="minorHAnsi" w:hAnsiTheme="minorHAnsi" w:cstheme="minorHAnsi"/>
          <w:color w:val="000000"/>
          <w:sz w:val="22"/>
          <w:szCs w:val="22"/>
        </w:rPr>
        <w:t>ing</w:t>
      </w:r>
      <w:r w:rsidR="00F70679" w:rsidRPr="002D6014">
        <w:rPr>
          <w:rFonts w:asciiTheme="minorHAnsi" w:hAnsiTheme="minorHAnsi" w:cstheme="minorHAnsi"/>
          <w:color w:val="000000"/>
          <w:sz w:val="22"/>
          <w:szCs w:val="22"/>
        </w:rPr>
        <w:t xml:space="preserve"> for the </w:t>
      </w:r>
      <w:r w:rsidR="00B86231" w:rsidRPr="002D6014">
        <w:rPr>
          <w:rFonts w:asciiTheme="minorHAnsi" w:hAnsiTheme="minorHAnsi" w:cstheme="minorHAnsi"/>
          <w:color w:val="000000"/>
          <w:sz w:val="22"/>
          <w:szCs w:val="22"/>
        </w:rPr>
        <w:t xml:space="preserve">addition </w:t>
      </w:r>
      <w:r w:rsidR="00F70679" w:rsidRPr="002D6014">
        <w:rPr>
          <w:rFonts w:asciiTheme="minorHAnsi" w:hAnsiTheme="minorHAnsi" w:cstheme="minorHAnsi"/>
          <w:color w:val="000000"/>
          <w:sz w:val="22"/>
          <w:szCs w:val="22"/>
        </w:rPr>
        <w:t>of any new instruments that Australia might ratify</w:t>
      </w:r>
      <w:r w:rsidR="00B86231" w:rsidRPr="002D6014">
        <w:rPr>
          <w:rFonts w:asciiTheme="minorHAnsi" w:hAnsiTheme="minorHAnsi" w:cstheme="minorHAnsi"/>
          <w:color w:val="000000"/>
          <w:sz w:val="22"/>
          <w:szCs w:val="22"/>
        </w:rPr>
        <w:t>,</w:t>
      </w:r>
      <w:r w:rsidR="00F70679" w:rsidRPr="002D6014">
        <w:rPr>
          <w:rFonts w:asciiTheme="minorHAnsi" w:hAnsiTheme="minorHAnsi" w:cstheme="minorHAnsi"/>
          <w:color w:val="000000"/>
          <w:sz w:val="22"/>
          <w:szCs w:val="22"/>
        </w:rPr>
        <w:t xml:space="preserve"> without amendment of the Act.</w:t>
      </w:r>
    </w:p>
    <w:p w:rsidR="00B86231" w:rsidRPr="002D6014" w:rsidRDefault="00B86231" w:rsidP="002D6014">
      <w:pPr>
        <w:pStyle w:val="Heading3"/>
      </w:pPr>
      <w:bookmarkStart w:id="24" w:name="_Toc448747768"/>
      <w:r w:rsidRPr="002D6014">
        <w:t>Civil and political rights</w:t>
      </w:r>
      <w:bookmarkEnd w:id="24"/>
    </w:p>
    <w:p w:rsidR="0003394C" w:rsidRPr="002D6014" w:rsidRDefault="001D5DD1" w:rsidP="002D6014">
      <w:pPr>
        <w:pStyle w:val="NormalWeb"/>
        <w:numPr>
          <w:ilvl w:val="0"/>
          <w:numId w:val="5"/>
        </w:numPr>
        <w:spacing w:before="240" w:beforeAutospacing="0" w:after="120"/>
        <w:ind w:right="-51"/>
        <w:rPr>
          <w:rFonts w:asciiTheme="minorHAnsi" w:hAnsiTheme="minorHAnsi" w:cstheme="minorHAnsi"/>
          <w:color w:val="000000"/>
          <w:sz w:val="22"/>
          <w:szCs w:val="22"/>
        </w:rPr>
      </w:pPr>
      <w:r w:rsidRPr="002D6014">
        <w:rPr>
          <w:rFonts w:asciiTheme="minorHAnsi" w:hAnsiTheme="minorHAnsi" w:cstheme="minorHAnsi"/>
          <w:color w:val="000000"/>
          <w:sz w:val="22"/>
          <w:szCs w:val="22"/>
        </w:rPr>
        <w:t xml:space="preserve">The </w:t>
      </w:r>
      <w:r w:rsidR="0026286A" w:rsidRPr="002D6014">
        <w:rPr>
          <w:rFonts w:asciiTheme="minorHAnsi" w:hAnsiTheme="minorHAnsi" w:cstheme="minorHAnsi"/>
          <w:color w:val="000000"/>
          <w:sz w:val="22"/>
          <w:szCs w:val="22"/>
        </w:rPr>
        <w:t>key rights protected by the</w:t>
      </w:r>
      <w:r w:rsidR="00D90CA7" w:rsidRPr="002D6014">
        <w:rPr>
          <w:rFonts w:asciiTheme="minorHAnsi" w:hAnsiTheme="minorHAnsi" w:cstheme="minorHAnsi"/>
          <w:color w:val="000000"/>
          <w:sz w:val="22"/>
          <w:szCs w:val="22"/>
        </w:rPr>
        <w:t xml:space="preserve"> </w:t>
      </w:r>
      <w:r w:rsidR="00D90CA7" w:rsidRPr="002D6014">
        <w:rPr>
          <w:rFonts w:asciiTheme="minorHAnsi" w:hAnsiTheme="minorHAnsi" w:cstheme="minorHAnsi"/>
          <w:i/>
          <w:color w:val="000000"/>
          <w:sz w:val="22"/>
          <w:szCs w:val="22"/>
        </w:rPr>
        <w:t>International Covenant on Civil and Political Rights</w:t>
      </w:r>
      <w:r w:rsidR="0026286A" w:rsidRPr="002D6014">
        <w:rPr>
          <w:rFonts w:asciiTheme="minorHAnsi" w:hAnsiTheme="minorHAnsi" w:cstheme="minorHAnsi"/>
          <w:color w:val="000000"/>
          <w:sz w:val="22"/>
          <w:szCs w:val="22"/>
        </w:rPr>
        <w:t xml:space="preserve"> </w:t>
      </w:r>
      <w:r w:rsidR="00D90CA7" w:rsidRPr="002D6014">
        <w:rPr>
          <w:rFonts w:asciiTheme="minorHAnsi" w:hAnsiTheme="minorHAnsi" w:cstheme="minorHAnsi"/>
          <w:color w:val="000000"/>
          <w:sz w:val="22"/>
          <w:szCs w:val="22"/>
        </w:rPr>
        <w:t>(</w:t>
      </w:r>
      <w:r w:rsidR="0026286A" w:rsidRPr="002D6014">
        <w:rPr>
          <w:rFonts w:asciiTheme="minorHAnsi" w:hAnsiTheme="minorHAnsi" w:cstheme="minorHAnsi"/>
          <w:color w:val="000000"/>
          <w:sz w:val="22"/>
          <w:szCs w:val="22"/>
        </w:rPr>
        <w:t>ICCPR</w:t>
      </w:r>
      <w:r w:rsidR="00BE54B3">
        <w:rPr>
          <w:rFonts w:asciiTheme="minorHAnsi" w:hAnsiTheme="minorHAnsi" w:cstheme="minorHAnsi"/>
          <w:color w:val="000000"/>
          <w:sz w:val="22"/>
          <w:szCs w:val="22"/>
        </w:rPr>
        <w:t>)</w:t>
      </w:r>
      <w:r w:rsidR="0026286A" w:rsidRPr="002D6014">
        <w:rPr>
          <w:rFonts w:asciiTheme="minorHAnsi" w:hAnsiTheme="minorHAnsi" w:cstheme="minorHAnsi"/>
          <w:color w:val="000000"/>
          <w:sz w:val="22"/>
          <w:szCs w:val="22"/>
        </w:rPr>
        <w:t xml:space="preserve"> are set out below</w:t>
      </w:r>
      <w:r w:rsidR="00135F1D" w:rsidRPr="002D6014">
        <w:rPr>
          <w:rFonts w:asciiTheme="minorHAnsi" w:hAnsiTheme="minorHAnsi" w:cstheme="minorHAnsi"/>
          <w:color w:val="000000"/>
          <w:sz w:val="22"/>
          <w:szCs w:val="22"/>
        </w:rPr>
        <w:t xml:space="preserve">. The </w:t>
      </w:r>
      <w:r w:rsidR="00523139" w:rsidRPr="002D6014">
        <w:rPr>
          <w:rFonts w:asciiTheme="minorHAnsi" w:hAnsiTheme="minorHAnsi" w:cstheme="minorHAnsi"/>
          <w:color w:val="000000"/>
          <w:sz w:val="22"/>
          <w:szCs w:val="22"/>
        </w:rPr>
        <w:t xml:space="preserve">ICCPR </w:t>
      </w:r>
      <w:r w:rsidR="00135F1D" w:rsidRPr="002D6014">
        <w:rPr>
          <w:rFonts w:asciiTheme="minorHAnsi" w:hAnsiTheme="minorHAnsi" w:cstheme="minorHAnsi"/>
          <w:color w:val="000000"/>
          <w:sz w:val="22"/>
          <w:szCs w:val="22"/>
        </w:rPr>
        <w:t>specif</w:t>
      </w:r>
      <w:r w:rsidR="00523139" w:rsidRPr="002D6014">
        <w:rPr>
          <w:rFonts w:asciiTheme="minorHAnsi" w:hAnsiTheme="minorHAnsi" w:cstheme="minorHAnsi"/>
          <w:color w:val="000000"/>
          <w:sz w:val="22"/>
          <w:szCs w:val="22"/>
        </w:rPr>
        <w:t>ies</w:t>
      </w:r>
      <w:r w:rsidR="00135F1D" w:rsidRPr="002D6014">
        <w:rPr>
          <w:rFonts w:asciiTheme="minorHAnsi" w:hAnsiTheme="minorHAnsi" w:cstheme="minorHAnsi"/>
          <w:color w:val="000000"/>
          <w:sz w:val="22"/>
          <w:szCs w:val="22"/>
        </w:rPr>
        <w:t xml:space="preserve"> that all people have the right to: </w:t>
      </w:r>
      <w:r w:rsidR="0026286A" w:rsidRPr="002D6014">
        <w:rPr>
          <w:rFonts w:asciiTheme="minorHAnsi" w:hAnsiTheme="minorHAnsi" w:cstheme="minorHAnsi"/>
          <w:color w:val="000000"/>
          <w:sz w:val="22"/>
          <w:szCs w:val="22"/>
        </w:rPr>
        <w:t xml:space="preserve"> </w:t>
      </w:r>
    </w:p>
    <w:p w:rsidR="00523139" w:rsidRPr="00D95D9E" w:rsidRDefault="00523139" w:rsidP="002D6014">
      <w:pPr>
        <w:pStyle w:val="ListParagraph"/>
        <w:numPr>
          <w:ilvl w:val="0"/>
          <w:numId w:val="34"/>
        </w:numPr>
        <w:tabs>
          <w:tab w:val="clear" w:pos="567"/>
        </w:tabs>
        <w:spacing w:after="120"/>
        <w:ind w:left="1135" w:hanging="284"/>
        <w:contextualSpacing w:val="0"/>
        <w:rPr>
          <w:rFonts w:ascii="Arial" w:hAnsi="Arial" w:cs="Arial"/>
          <w:color w:val="000000"/>
        </w:rPr>
      </w:pPr>
      <w:r w:rsidRPr="002D6014">
        <w:rPr>
          <w:rFonts w:ascii="Arial" w:hAnsi="Arial" w:cs="Arial"/>
          <w:color w:val="000000"/>
        </w:rPr>
        <w:t>self-</w:t>
      </w:r>
      <w:r w:rsidRPr="002D6014">
        <w:rPr>
          <w:rFonts w:cstheme="minorHAnsi"/>
        </w:rPr>
        <w:t>determination</w:t>
      </w:r>
      <w:r w:rsidRPr="00D95D9E">
        <w:rPr>
          <w:rFonts w:ascii="Arial" w:hAnsi="Arial" w:cs="Arial"/>
          <w:color w:val="000000"/>
        </w:rPr>
        <w:t xml:space="preserve">; </w:t>
      </w:r>
    </w:p>
    <w:p w:rsidR="00523139" w:rsidRPr="00D95D9E" w:rsidRDefault="00523139" w:rsidP="002D6014">
      <w:pPr>
        <w:pStyle w:val="ListParagraph"/>
        <w:numPr>
          <w:ilvl w:val="0"/>
          <w:numId w:val="34"/>
        </w:numPr>
        <w:tabs>
          <w:tab w:val="clear" w:pos="567"/>
        </w:tabs>
        <w:spacing w:after="120"/>
        <w:ind w:left="1135" w:hanging="284"/>
        <w:contextualSpacing w:val="0"/>
        <w:rPr>
          <w:rFonts w:ascii="Arial" w:hAnsi="Arial" w:cs="Arial"/>
          <w:color w:val="000000"/>
        </w:rPr>
      </w:pPr>
      <w:r w:rsidRPr="00D95D9E">
        <w:rPr>
          <w:rFonts w:ascii="Arial" w:hAnsi="Arial" w:cs="Arial"/>
          <w:color w:val="000000"/>
        </w:rPr>
        <w:t>non-</w:t>
      </w:r>
      <w:r w:rsidRPr="002D6014">
        <w:rPr>
          <w:rFonts w:cstheme="minorHAnsi"/>
        </w:rPr>
        <w:t>discrimination</w:t>
      </w:r>
      <w:r w:rsidRPr="00D95D9E">
        <w:rPr>
          <w:rFonts w:ascii="Arial" w:hAnsi="Arial" w:cs="Arial"/>
          <w:color w:val="000000"/>
        </w:rPr>
        <w:t xml:space="preserve"> in the enjoyment of ICCPR rights; </w:t>
      </w:r>
    </w:p>
    <w:p w:rsidR="00523139" w:rsidRPr="00D95D9E" w:rsidRDefault="00523139" w:rsidP="002D6014">
      <w:pPr>
        <w:pStyle w:val="ListParagraph"/>
        <w:numPr>
          <w:ilvl w:val="0"/>
          <w:numId w:val="34"/>
        </w:numPr>
        <w:tabs>
          <w:tab w:val="clear" w:pos="567"/>
        </w:tabs>
        <w:spacing w:after="120"/>
        <w:ind w:left="1135" w:hanging="284"/>
        <w:contextualSpacing w:val="0"/>
        <w:rPr>
          <w:rFonts w:ascii="Arial" w:hAnsi="Arial" w:cs="Arial"/>
          <w:color w:val="000000"/>
        </w:rPr>
      </w:pPr>
      <w:r w:rsidRPr="002D6014">
        <w:rPr>
          <w:rFonts w:cstheme="minorHAnsi"/>
        </w:rPr>
        <w:t>life</w:t>
      </w:r>
      <w:r w:rsidRPr="00D95D9E">
        <w:rPr>
          <w:rFonts w:ascii="Arial" w:hAnsi="Arial" w:cs="Arial"/>
          <w:color w:val="000000"/>
        </w:rPr>
        <w:t xml:space="preserve">; </w:t>
      </w:r>
    </w:p>
    <w:p w:rsidR="00523139" w:rsidRPr="00D95D9E" w:rsidRDefault="00523139" w:rsidP="002D6014">
      <w:pPr>
        <w:pStyle w:val="ListParagraph"/>
        <w:numPr>
          <w:ilvl w:val="0"/>
          <w:numId w:val="34"/>
        </w:numPr>
        <w:tabs>
          <w:tab w:val="clear" w:pos="567"/>
        </w:tabs>
        <w:spacing w:after="120"/>
        <w:ind w:left="1135" w:hanging="284"/>
        <w:contextualSpacing w:val="0"/>
        <w:rPr>
          <w:rFonts w:ascii="Arial" w:hAnsi="Arial" w:cs="Arial"/>
          <w:color w:val="000000"/>
        </w:rPr>
      </w:pPr>
      <w:r w:rsidRPr="00D95D9E">
        <w:rPr>
          <w:rFonts w:ascii="Arial" w:hAnsi="Arial" w:cs="Arial"/>
          <w:color w:val="000000"/>
        </w:rPr>
        <w:t xml:space="preserve">equality </w:t>
      </w:r>
      <w:r w:rsidRPr="002D6014">
        <w:rPr>
          <w:rFonts w:cstheme="minorHAnsi"/>
        </w:rPr>
        <w:t>before</w:t>
      </w:r>
      <w:r w:rsidRPr="00D95D9E">
        <w:rPr>
          <w:rFonts w:ascii="Arial" w:hAnsi="Arial" w:cs="Arial"/>
          <w:color w:val="000000"/>
        </w:rPr>
        <w:t xml:space="preserve"> the law and equal protection; </w:t>
      </w:r>
    </w:p>
    <w:p w:rsidR="00523139" w:rsidRPr="00D95D9E" w:rsidRDefault="00523139" w:rsidP="002D6014">
      <w:pPr>
        <w:pStyle w:val="ListParagraph"/>
        <w:numPr>
          <w:ilvl w:val="0"/>
          <w:numId w:val="34"/>
        </w:numPr>
        <w:tabs>
          <w:tab w:val="clear" w:pos="567"/>
        </w:tabs>
        <w:spacing w:after="120"/>
        <w:ind w:left="1135" w:hanging="284"/>
        <w:contextualSpacing w:val="0"/>
        <w:rPr>
          <w:rFonts w:ascii="Arial" w:hAnsi="Arial" w:cs="Arial"/>
          <w:color w:val="000000"/>
        </w:rPr>
      </w:pPr>
      <w:r w:rsidRPr="00D95D9E">
        <w:rPr>
          <w:rFonts w:ascii="Arial" w:hAnsi="Arial" w:cs="Arial"/>
          <w:color w:val="000000"/>
        </w:rPr>
        <w:t xml:space="preserve">right to </w:t>
      </w:r>
      <w:r w:rsidRPr="002D6014">
        <w:rPr>
          <w:rFonts w:cstheme="minorHAnsi"/>
        </w:rPr>
        <w:t>freedom</w:t>
      </w:r>
      <w:r w:rsidRPr="00D95D9E">
        <w:rPr>
          <w:rFonts w:ascii="Arial" w:hAnsi="Arial" w:cs="Arial"/>
          <w:color w:val="000000"/>
        </w:rPr>
        <w:t xml:space="preserve"> from torture or other cruel, inhuman or degrading treatment or punishment; </w:t>
      </w:r>
    </w:p>
    <w:p w:rsidR="00523139" w:rsidRPr="00D95D9E" w:rsidRDefault="00523139" w:rsidP="002D6014">
      <w:pPr>
        <w:pStyle w:val="ListParagraph"/>
        <w:numPr>
          <w:ilvl w:val="0"/>
          <w:numId w:val="34"/>
        </w:numPr>
        <w:tabs>
          <w:tab w:val="clear" w:pos="567"/>
        </w:tabs>
        <w:spacing w:after="120"/>
        <w:ind w:left="1135" w:hanging="284"/>
        <w:contextualSpacing w:val="0"/>
        <w:rPr>
          <w:rFonts w:ascii="Arial" w:hAnsi="Arial" w:cs="Arial"/>
          <w:color w:val="000000"/>
        </w:rPr>
      </w:pPr>
      <w:r w:rsidRPr="00D95D9E">
        <w:rPr>
          <w:rFonts w:ascii="Arial" w:hAnsi="Arial" w:cs="Arial"/>
          <w:color w:val="000000"/>
        </w:rPr>
        <w:t xml:space="preserve">freedom from </w:t>
      </w:r>
      <w:r w:rsidRPr="002D6014">
        <w:rPr>
          <w:rFonts w:cstheme="minorHAnsi"/>
        </w:rPr>
        <w:t>slavery</w:t>
      </w:r>
      <w:r w:rsidRPr="00D95D9E">
        <w:rPr>
          <w:rFonts w:ascii="Arial" w:hAnsi="Arial" w:cs="Arial"/>
          <w:color w:val="000000"/>
        </w:rPr>
        <w:t xml:space="preserve"> and servitude; </w:t>
      </w:r>
    </w:p>
    <w:p w:rsidR="00523139" w:rsidRPr="00D95D9E" w:rsidRDefault="00523139" w:rsidP="002D6014">
      <w:pPr>
        <w:pStyle w:val="ListParagraph"/>
        <w:numPr>
          <w:ilvl w:val="0"/>
          <w:numId w:val="34"/>
        </w:numPr>
        <w:tabs>
          <w:tab w:val="clear" w:pos="567"/>
        </w:tabs>
        <w:spacing w:after="120"/>
        <w:ind w:left="1135" w:hanging="284"/>
        <w:contextualSpacing w:val="0"/>
        <w:rPr>
          <w:rFonts w:ascii="Arial" w:hAnsi="Arial" w:cs="Arial"/>
          <w:color w:val="000000"/>
        </w:rPr>
      </w:pPr>
      <w:r w:rsidRPr="002D6014">
        <w:rPr>
          <w:rFonts w:cstheme="minorHAnsi"/>
        </w:rPr>
        <w:t>freedom</w:t>
      </w:r>
      <w:r w:rsidRPr="00D95D9E">
        <w:rPr>
          <w:rFonts w:ascii="Arial" w:hAnsi="Arial" w:cs="Arial"/>
          <w:color w:val="000000"/>
        </w:rPr>
        <w:t xml:space="preserve"> of movement; </w:t>
      </w:r>
    </w:p>
    <w:p w:rsidR="00523139" w:rsidRPr="00D95D9E" w:rsidRDefault="00523139" w:rsidP="002D6014">
      <w:pPr>
        <w:pStyle w:val="ListParagraph"/>
        <w:numPr>
          <w:ilvl w:val="0"/>
          <w:numId w:val="34"/>
        </w:numPr>
        <w:tabs>
          <w:tab w:val="clear" w:pos="567"/>
        </w:tabs>
        <w:spacing w:after="120"/>
        <w:ind w:left="1135" w:hanging="284"/>
        <w:contextualSpacing w:val="0"/>
        <w:rPr>
          <w:rFonts w:ascii="Arial" w:hAnsi="Arial" w:cs="Arial"/>
          <w:color w:val="000000"/>
        </w:rPr>
      </w:pPr>
      <w:r w:rsidRPr="002D6014">
        <w:rPr>
          <w:rFonts w:cstheme="minorHAnsi"/>
        </w:rPr>
        <w:t>privacy</w:t>
      </w:r>
      <w:r w:rsidRPr="00D95D9E">
        <w:rPr>
          <w:rFonts w:ascii="Arial" w:hAnsi="Arial" w:cs="Arial"/>
          <w:color w:val="000000"/>
        </w:rPr>
        <w:t xml:space="preserve">; </w:t>
      </w:r>
    </w:p>
    <w:p w:rsidR="00523139" w:rsidRPr="002D6014" w:rsidRDefault="00523139" w:rsidP="002D6014">
      <w:pPr>
        <w:pStyle w:val="ListParagraph"/>
        <w:numPr>
          <w:ilvl w:val="0"/>
          <w:numId w:val="34"/>
        </w:numPr>
        <w:tabs>
          <w:tab w:val="clear" w:pos="567"/>
        </w:tabs>
        <w:spacing w:after="120"/>
        <w:ind w:left="1135" w:hanging="284"/>
        <w:contextualSpacing w:val="0"/>
        <w:rPr>
          <w:rFonts w:ascii="Arial" w:hAnsi="Arial" w:cs="Arial"/>
          <w:color w:val="000000"/>
        </w:rPr>
      </w:pPr>
      <w:r w:rsidRPr="00D95D9E">
        <w:rPr>
          <w:rFonts w:ascii="Arial" w:hAnsi="Arial" w:cs="Arial"/>
          <w:color w:val="000000"/>
        </w:rPr>
        <w:t>freedom of thought, conscience,</w:t>
      </w:r>
      <w:r w:rsidRPr="002D6014">
        <w:rPr>
          <w:rFonts w:ascii="Arial" w:hAnsi="Arial" w:cs="Arial"/>
          <w:color w:val="000000"/>
        </w:rPr>
        <w:t xml:space="preserve"> and religion; </w:t>
      </w:r>
    </w:p>
    <w:p w:rsidR="00523139" w:rsidRPr="00D95D9E" w:rsidRDefault="00523139" w:rsidP="002D6014">
      <w:pPr>
        <w:pStyle w:val="ListParagraph"/>
        <w:numPr>
          <w:ilvl w:val="0"/>
          <w:numId w:val="34"/>
        </w:numPr>
        <w:tabs>
          <w:tab w:val="clear" w:pos="567"/>
        </w:tabs>
        <w:spacing w:after="120"/>
        <w:ind w:left="1135" w:hanging="284"/>
        <w:contextualSpacing w:val="0"/>
        <w:rPr>
          <w:rFonts w:ascii="Arial" w:hAnsi="Arial" w:cs="Arial"/>
          <w:color w:val="000000"/>
        </w:rPr>
      </w:pPr>
      <w:r w:rsidRPr="002D6014">
        <w:rPr>
          <w:rFonts w:ascii="Arial" w:hAnsi="Arial" w:cs="Arial"/>
          <w:color w:val="000000"/>
        </w:rPr>
        <w:t xml:space="preserve">freedom of </w:t>
      </w:r>
      <w:r w:rsidRPr="002D6014">
        <w:rPr>
          <w:rFonts w:cstheme="minorHAnsi"/>
        </w:rPr>
        <w:t>expression</w:t>
      </w:r>
      <w:r w:rsidRPr="00D95D9E">
        <w:rPr>
          <w:rFonts w:ascii="Arial" w:hAnsi="Arial" w:cs="Arial"/>
          <w:color w:val="000000"/>
        </w:rPr>
        <w:t xml:space="preserve">; </w:t>
      </w:r>
    </w:p>
    <w:p w:rsidR="00523139" w:rsidRPr="00D95D9E" w:rsidRDefault="00523139" w:rsidP="002D6014">
      <w:pPr>
        <w:pStyle w:val="ListParagraph"/>
        <w:numPr>
          <w:ilvl w:val="0"/>
          <w:numId w:val="34"/>
        </w:numPr>
        <w:tabs>
          <w:tab w:val="clear" w:pos="567"/>
        </w:tabs>
        <w:spacing w:after="120"/>
        <w:ind w:left="1135" w:hanging="284"/>
        <w:contextualSpacing w:val="0"/>
        <w:rPr>
          <w:rFonts w:ascii="Arial" w:hAnsi="Arial" w:cs="Arial"/>
          <w:color w:val="000000"/>
        </w:rPr>
      </w:pPr>
      <w:r w:rsidRPr="00D95D9E">
        <w:rPr>
          <w:rFonts w:ascii="Arial" w:hAnsi="Arial" w:cs="Arial"/>
          <w:color w:val="000000"/>
        </w:rPr>
        <w:t xml:space="preserve">freedom of assembly and association; </w:t>
      </w:r>
    </w:p>
    <w:p w:rsidR="00523139" w:rsidRPr="00D95D9E" w:rsidRDefault="00523139" w:rsidP="002D6014">
      <w:pPr>
        <w:pStyle w:val="ListParagraph"/>
        <w:numPr>
          <w:ilvl w:val="0"/>
          <w:numId w:val="34"/>
        </w:numPr>
        <w:tabs>
          <w:tab w:val="clear" w:pos="567"/>
        </w:tabs>
        <w:spacing w:after="120"/>
        <w:ind w:left="1135" w:hanging="284"/>
        <w:contextualSpacing w:val="0"/>
        <w:rPr>
          <w:rFonts w:ascii="Arial" w:hAnsi="Arial" w:cs="Arial"/>
          <w:color w:val="000000"/>
        </w:rPr>
      </w:pPr>
      <w:r w:rsidRPr="00D95D9E">
        <w:rPr>
          <w:rFonts w:ascii="Arial" w:hAnsi="Arial" w:cs="Arial"/>
          <w:color w:val="000000"/>
        </w:rPr>
        <w:lastRenderedPageBreak/>
        <w:t>participat</w:t>
      </w:r>
      <w:r w:rsidRPr="002D6014">
        <w:rPr>
          <w:rFonts w:ascii="Arial" w:hAnsi="Arial" w:cs="Arial"/>
          <w:color w:val="000000"/>
        </w:rPr>
        <w:t xml:space="preserve">ion </w:t>
      </w:r>
      <w:r w:rsidRPr="002D6014">
        <w:rPr>
          <w:rFonts w:cstheme="minorHAnsi"/>
        </w:rPr>
        <w:t>in</w:t>
      </w:r>
      <w:r w:rsidRPr="00D95D9E">
        <w:rPr>
          <w:rFonts w:ascii="Arial" w:hAnsi="Arial" w:cs="Arial"/>
          <w:color w:val="000000"/>
        </w:rPr>
        <w:t xml:space="preserve"> public life, including the right to vote; and </w:t>
      </w:r>
    </w:p>
    <w:p w:rsidR="00523139" w:rsidRPr="002D6014" w:rsidRDefault="00523139" w:rsidP="002D6014">
      <w:pPr>
        <w:pStyle w:val="ListParagraph"/>
        <w:numPr>
          <w:ilvl w:val="0"/>
          <w:numId w:val="34"/>
        </w:numPr>
        <w:tabs>
          <w:tab w:val="clear" w:pos="567"/>
        </w:tabs>
        <w:spacing w:after="120"/>
        <w:ind w:left="1135" w:hanging="284"/>
        <w:contextualSpacing w:val="0"/>
        <w:rPr>
          <w:rFonts w:cstheme="minorHAnsi"/>
          <w:color w:val="000000"/>
        </w:rPr>
      </w:pPr>
      <w:r w:rsidRPr="00D95D9E">
        <w:rPr>
          <w:rFonts w:ascii="Arial" w:hAnsi="Arial" w:cs="Arial"/>
          <w:color w:val="000000"/>
        </w:rPr>
        <w:t>rights concerning criminal proceedings and punishment, including the right to a fair hearing, the presumption of innocence and the prohibition against double jeopardy</w:t>
      </w:r>
    </w:p>
    <w:p w:rsidR="0026286A" w:rsidRPr="002D6014" w:rsidRDefault="0026286A" w:rsidP="001B0C9C">
      <w:pPr>
        <w:pStyle w:val="NormalWeb"/>
        <w:numPr>
          <w:ilvl w:val="0"/>
          <w:numId w:val="5"/>
        </w:numPr>
        <w:spacing w:before="240" w:beforeAutospacing="0" w:after="240"/>
        <w:ind w:right="-51"/>
        <w:jc w:val="both"/>
        <w:rPr>
          <w:rFonts w:ascii="Arial" w:hAnsi="Arial" w:cs="Arial"/>
          <w:color w:val="000000"/>
          <w:sz w:val="20"/>
          <w:szCs w:val="22"/>
        </w:rPr>
      </w:pPr>
      <w:r w:rsidRPr="00D95D9E">
        <w:rPr>
          <w:rFonts w:ascii="Arial" w:hAnsi="Arial" w:cs="Arial"/>
          <w:sz w:val="22"/>
        </w:rPr>
        <w:t>The protect</w:t>
      </w:r>
      <w:r w:rsidRPr="006E3F71">
        <w:rPr>
          <w:rFonts w:ascii="Arial" w:hAnsi="Arial" w:cs="Arial"/>
          <w:sz w:val="22"/>
        </w:rPr>
        <w:t xml:space="preserve">ion of </w:t>
      </w:r>
      <w:r w:rsidR="00135F1D" w:rsidRPr="002D6014">
        <w:rPr>
          <w:rFonts w:ascii="Arial" w:hAnsi="Arial" w:cs="Arial"/>
          <w:sz w:val="22"/>
        </w:rPr>
        <w:t>c</w:t>
      </w:r>
      <w:r w:rsidRPr="002D6014">
        <w:rPr>
          <w:rFonts w:ascii="Arial" w:hAnsi="Arial" w:cs="Arial"/>
          <w:sz w:val="22"/>
        </w:rPr>
        <w:t xml:space="preserve">ivil and </w:t>
      </w:r>
      <w:r w:rsidR="00135F1D" w:rsidRPr="002D6014">
        <w:rPr>
          <w:rFonts w:ascii="Arial" w:hAnsi="Arial" w:cs="Arial"/>
          <w:sz w:val="22"/>
        </w:rPr>
        <w:t>p</w:t>
      </w:r>
      <w:r w:rsidRPr="002D6014">
        <w:rPr>
          <w:rFonts w:ascii="Arial" w:hAnsi="Arial" w:cs="Arial"/>
          <w:sz w:val="22"/>
        </w:rPr>
        <w:t>olitical rights are found in most human rights jurisdictions</w:t>
      </w:r>
      <w:r w:rsidR="00135F1D" w:rsidRPr="002D6014">
        <w:rPr>
          <w:rFonts w:ascii="Arial" w:hAnsi="Arial" w:cs="Arial"/>
          <w:sz w:val="22"/>
        </w:rPr>
        <w:t>,</w:t>
      </w:r>
      <w:r w:rsidRPr="002D6014">
        <w:rPr>
          <w:rFonts w:ascii="Arial" w:hAnsi="Arial" w:cs="Arial"/>
          <w:sz w:val="22"/>
        </w:rPr>
        <w:t xml:space="preserve"> and these protections are recommended for Queensland. </w:t>
      </w:r>
    </w:p>
    <w:p w:rsidR="00B86231" w:rsidRPr="00D95D9E" w:rsidRDefault="00B86231" w:rsidP="002D6014">
      <w:pPr>
        <w:pStyle w:val="Heading3"/>
      </w:pPr>
      <w:bookmarkStart w:id="25" w:name="_Toc448747769"/>
      <w:r w:rsidRPr="00D95D9E">
        <w:t>Economic, social and cultural rights</w:t>
      </w:r>
      <w:bookmarkEnd w:id="25"/>
    </w:p>
    <w:p w:rsidR="00B86231" w:rsidRPr="00D95D9E" w:rsidRDefault="00B86231" w:rsidP="00BE54B3">
      <w:pPr>
        <w:pStyle w:val="NormalWeb"/>
        <w:numPr>
          <w:ilvl w:val="0"/>
          <w:numId w:val="5"/>
        </w:numPr>
        <w:spacing w:before="240" w:beforeAutospacing="0" w:after="240"/>
        <w:ind w:right="-51"/>
        <w:jc w:val="both"/>
        <w:rPr>
          <w:rFonts w:cstheme="minorHAnsi"/>
          <w:color w:val="000000"/>
        </w:rPr>
      </w:pPr>
      <w:r w:rsidRPr="002D6014">
        <w:rPr>
          <w:rFonts w:asciiTheme="minorHAnsi" w:hAnsiTheme="minorHAnsi" w:cstheme="minorHAnsi"/>
          <w:color w:val="000000"/>
          <w:sz w:val="22"/>
          <w:szCs w:val="22"/>
        </w:rPr>
        <w:t xml:space="preserve">The key rights protected by the </w:t>
      </w:r>
      <w:r w:rsidRPr="002D6014">
        <w:rPr>
          <w:rFonts w:asciiTheme="minorHAnsi" w:hAnsiTheme="minorHAnsi" w:cstheme="minorHAnsi"/>
          <w:i/>
          <w:color w:val="000000"/>
          <w:sz w:val="22"/>
          <w:szCs w:val="22"/>
        </w:rPr>
        <w:t>International Covenant on Economic, Social and Cultural Rights</w:t>
      </w:r>
      <w:r w:rsidRPr="002D6014">
        <w:rPr>
          <w:rFonts w:asciiTheme="minorHAnsi" w:hAnsiTheme="minorHAnsi" w:cstheme="minorHAnsi"/>
          <w:color w:val="000000"/>
          <w:sz w:val="22"/>
          <w:szCs w:val="22"/>
        </w:rPr>
        <w:t xml:space="preserve"> (ICESCR) are set out below. The ICESCR specifies that all people have the right to:  </w:t>
      </w:r>
    </w:p>
    <w:p w:rsidR="00523139" w:rsidRPr="00D95D9E" w:rsidRDefault="00523139" w:rsidP="002D6014">
      <w:pPr>
        <w:pStyle w:val="ListParagraph"/>
        <w:numPr>
          <w:ilvl w:val="0"/>
          <w:numId w:val="34"/>
        </w:numPr>
        <w:tabs>
          <w:tab w:val="clear" w:pos="567"/>
        </w:tabs>
        <w:spacing w:after="120"/>
        <w:ind w:left="1135" w:hanging="284"/>
        <w:contextualSpacing w:val="0"/>
        <w:rPr>
          <w:rFonts w:ascii="Arial" w:hAnsi="Arial" w:cs="Arial"/>
          <w:color w:val="000000"/>
        </w:rPr>
      </w:pPr>
      <w:r w:rsidRPr="00D95D9E">
        <w:rPr>
          <w:rFonts w:ascii="Arial" w:hAnsi="Arial" w:cs="Arial"/>
          <w:color w:val="000000"/>
        </w:rPr>
        <w:t>self-</w:t>
      </w:r>
      <w:r w:rsidRPr="002D6014">
        <w:rPr>
          <w:rFonts w:cstheme="minorHAnsi"/>
        </w:rPr>
        <w:t>determination</w:t>
      </w:r>
      <w:r w:rsidRPr="00D95D9E">
        <w:rPr>
          <w:rFonts w:ascii="Arial" w:hAnsi="Arial" w:cs="Arial"/>
          <w:color w:val="000000"/>
        </w:rPr>
        <w:t xml:space="preserve">; </w:t>
      </w:r>
    </w:p>
    <w:p w:rsidR="00523139" w:rsidRPr="00D95D9E" w:rsidRDefault="00523139" w:rsidP="002D6014">
      <w:pPr>
        <w:pStyle w:val="ListParagraph"/>
        <w:numPr>
          <w:ilvl w:val="0"/>
          <w:numId w:val="34"/>
        </w:numPr>
        <w:tabs>
          <w:tab w:val="clear" w:pos="567"/>
        </w:tabs>
        <w:spacing w:after="120"/>
        <w:ind w:left="1135" w:hanging="284"/>
        <w:contextualSpacing w:val="0"/>
        <w:rPr>
          <w:rFonts w:ascii="Arial" w:hAnsi="Arial" w:cs="Arial"/>
          <w:color w:val="000000"/>
        </w:rPr>
      </w:pPr>
      <w:r w:rsidRPr="00D95D9E">
        <w:rPr>
          <w:rFonts w:ascii="Arial" w:hAnsi="Arial" w:cs="Arial"/>
          <w:color w:val="000000"/>
        </w:rPr>
        <w:t xml:space="preserve">work and to have fair conditions of work; </w:t>
      </w:r>
    </w:p>
    <w:p w:rsidR="00523139" w:rsidRPr="002D6014" w:rsidRDefault="00523139" w:rsidP="002D6014">
      <w:pPr>
        <w:pStyle w:val="ListParagraph"/>
        <w:numPr>
          <w:ilvl w:val="0"/>
          <w:numId w:val="34"/>
        </w:numPr>
        <w:tabs>
          <w:tab w:val="clear" w:pos="567"/>
        </w:tabs>
        <w:spacing w:after="120"/>
        <w:ind w:left="1135" w:hanging="284"/>
        <w:contextualSpacing w:val="0"/>
        <w:rPr>
          <w:rFonts w:ascii="Arial" w:hAnsi="Arial" w:cs="Arial"/>
          <w:color w:val="000000"/>
        </w:rPr>
      </w:pPr>
      <w:r w:rsidRPr="002D6014">
        <w:rPr>
          <w:rFonts w:ascii="Arial" w:hAnsi="Arial" w:cs="Arial"/>
          <w:color w:val="000000"/>
        </w:rPr>
        <w:t xml:space="preserve">form trade unions and strike; </w:t>
      </w:r>
    </w:p>
    <w:p w:rsidR="00523139" w:rsidRPr="00D95D9E" w:rsidRDefault="00523139" w:rsidP="002D6014">
      <w:pPr>
        <w:pStyle w:val="ListParagraph"/>
        <w:numPr>
          <w:ilvl w:val="0"/>
          <w:numId w:val="34"/>
        </w:numPr>
        <w:tabs>
          <w:tab w:val="clear" w:pos="567"/>
        </w:tabs>
        <w:spacing w:after="120"/>
        <w:ind w:left="1135" w:hanging="284"/>
        <w:contextualSpacing w:val="0"/>
        <w:rPr>
          <w:rFonts w:ascii="Arial" w:hAnsi="Arial" w:cs="Arial"/>
          <w:color w:val="000000"/>
        </w:rPr>
      </w:pPr>
      <w:r w:rsidRPr="002D6014">
        <w:rPr>
          <w:rFonts w:ascii="Arial" w:hAnsi="Arial" w:cs="Arial"/>
          <w:color w:val="000000"/>
        </w:rPr>
        <w:t xml:space="preserve">family life, </w:t>
      </w:r>
      <w:r w:rsidRPr="002D6014">
        <w:rPr>
          <w:rFonts w:cstheme="minorHAnsi"/>
        </w:rPr>
        <w:t>including</w:t>
      </w:r>
      <w:r w:rsidRPr="00D95D9E">
        <w:rPr>
          <w:rFonts w:ascii="Arial" w:hAnsi="Arial" w:cs="Arial"/>
          <w:color w:val="000000"/>
        </w:rPr>
        <w:t xml:space="preserve"> paid parental leave and the protection of children; </w:t>
      </w:r>
    </w:p>
    <w:p w:rsidR="00523139" w:rsidRPr="00D95D9E" w:rsidRDefault="00523139" w:rsidP="002D6014">
      <w:pPr>
        <w:pStyle w:val="ListParagraph"/>
        <w:numPr>
          <w:ilvl w:val="0"/>
          <w:numId w:val="34"/>
        </w:numPr>
        <w:tabs>
          <w:tab w:val="clear" w:pos="567"/>
        </w:tabs>
        <w:spacing w:after="120"/>
        <w:ind w:left="1135" w:hanging="284"/>
        <w:contextualSpacing w:val="0"/>
        <w:rPr>
          <w:rFonts w:ascii="Arial" w:hAnsi="Arial" w:cs="Arial"/>
          <w:color w:val="000000"/>
        </w:rPr>
      </w:pPr>
      <w:r w:rsidRPr="00D95D9E">
        <w:rPr>
          <w:rFonts w:ascii="Arial" w:hAnsi="Arial" w:cs="Arial"/>
          <w:color w:val="000000"/>
        </w:rPr>
        <w:t xml:space="preserve">adequate </w:t>
      </w:r>
      <w:r w:rsidRPr="002D6014">
        <w:rPr>
          <w:rFonts w:cstheme="minorHAnsi"/>
        </w:rPr>
        <w:t>standard</w:t>
      </w:r>
      <w:r w:rsidRPr="00D95D9E">
        <w:rPr>
          <w:rFonts w:ascii="Arial" w:hAnsi="Arial" w:cs="Arial"/>
          <w:color w:val="000000"/>
        </w:rPr>
        <w:t xml:space="preserve"> of living, including adequate housing; </w:t>
      </w:r>
    </w:p>
    <w:p w:rsidR="00523139" w:rsidRPr="00D95D9E" w:rsidRDefault="00523139" w:rsidP="002D6014">
      <w:pPr>
        <w:pStyle w:val="ListParagraph"/>
        <w:numPr>
          <w:ilvl w:val="0"/>
          <w:numId w:val="34"/>
        </w:numPr>
        <w:tabs>
          <w:tab w:val="clear" w:pos="567"/>
        </w:tabs>
        <w:spacing w:after="120"/>
        <w:ind w:left="1135" w:hanging="284"/>
        <w:contextualSpacing w:val="0"/>
        <w:rPr>
          <w:rFonts w:ascii="Arial" w:hAnsi="Arial" w:cs="Arial"/>
          <w:color w:val="000000"/>
        </w:rPr>
      </w:pPr>
      <w:r w:rsidRPr="00D95D9E">
        <w:rPr>
          <w:rFonts w:ascii="Arial" w:hAnsi="Arial" w:cs="Arial"/>
          <w:color w:val="000000"/>
        </w:rPr>
        <w:t xml:space="preserve">social </w:t>
      </w:r>
      <w:r w:rsidRPr="002D6014">
        <w:rPr>
          <w:rFonts w:cstheme="minorHAnsi"/>
        </w:rPr>
        <w:t>security</w:t>
      </w:r>
      <w:r w:rsidRPr="00D95D9E">
        <w:rPr>
          <w:rFonts w:ascii="Arial" w:hAnsi="Arial" w:cs="Arial"/>
          <w:color w:val="000000"/>
        </w:rPr>
        <w:t xml:space="preserve">; </w:t>
      </w:r>
    </w:p>
    <w:p w:rsidR="00523139" w:rsidRPr="00D95D9E" w:rsidRDefault="00523139" w:rsidP="002D6014">
      <w:pPr>
        <w:pStyle w:val="ListParagraph"/>
        <w:numPr>
          <w:ilvl w:val="0"/>
          <w:numId w:val="34"/>
        </w:numPr>
        <w:tabs>
          <w:tab w:val="clear" w:pos="567"/>
        </w:tabs>
        <w:spacing w:after="120"/>
        <w:ind w:left="1135" w:hanging="284"/>
        <w:contextualSpacing w:val="0"/>
        <w:rPr>
          <w:rFonts w:ascii="Arial" w:hAnsi="Arial" w:cs="Arial"/>
          <w:color w:val="000000"/>
        </w:rPr>
      </w:pPr>
      <w:r w:rsidRPr="00D95D9E">
        <w:rPr>
          <w:rFonts w:ascii="Arial" w:hAnsi="Arial" w:cs="Arial"/>
          <w:color w:val="000000"/>
        </w:rPr>
        <w:t xml:space="preserve">enjoyment </w:t>
      </w:r>
      <w:r w:rsidRPr="002D6014">
        <w:rPr>
          <w:rFonts w:cstheme="minorHAnsi"/>
        </w:rPr>
        <w:t>of</w:t>
      </w:r>
      <w:r w:rsidRPr="00D95D9E">
        <w:rPr>
          <w:rFonts w:ascii="Arial" w:hAnsi="Arial" w:cs="Arial"/>
          <w:color w:val="000000"/>
        </w:rPr>
        <w:t xml:space="preserve"> the highest attainable standard of physical and mental health; </w:t>
      </w:r>
    </w:p>
    <w:p w:rsidR="00523139" w:rsidRPr="00D95D9E" w:rsidRDefault="00523139" w:rsidP="002D6014">
      <w:pPr>
        <w:pStyle w:val="ListParagraph"/>
        <w:numPr>
          <w:ilvl w:val="0"/>
          <w:numId w:val="34"/>
        </w:numPr>
        <w:tabs>
          <w:tab w:val="clear" w:pos="567"/>
        </w:tabs>
        <w:spacing w:after="120"/>
        <w:ind w:left="1135" w:hanging="284"/>
        <w:contextualSpacing w:val="0"/>
        <w:rPr>
          <w:rFonts w:ascii="Arial" w:hAnsi="Arial" w:cs="Arial"/>
          <w:color w:val="000000"/>
        </w:rPr>
      </w:pPr>
      <w:r w:rsidRPr="00D95D9E">
        <w:rPr>
          <w:rFonts w:ascii="Arial" w:hAnsi="Arial" w:cs="Arial"/>
          <w:color w:val="000000"/>
        </w:rPr>
        <w:t xml:space="preserve">education, including free primary education; and </w:t>
      </w:r>
    </w:p>
    <w:p w:rsidR="00B86231" w:rsidRPr="002D6014" w:rsidRDefault="00523139" w:rsidP="002D6014">
      <w:pPr>
        <w:pStyle w:val="ListParagraph"/>
        <w:numPr>
          <w:ilvl w:val="0"/>
          <w:numId w:val="34"/>
        </w:numPr>
        <w:tabs>
          <w:tab w:val="clear" w:pos="567"/>
        </w:tabs>
        <w:ind w:left="1135" w:hanging="284"/>
        <w:contextualSpacing w:val="0"/>
        <w:rPr>
          <w:rFonts w:cstheme="minorHAnsi"/>
          <w:color w:val="000000"/>
        </w:rPr>
      </w:pPr>
      <w:proofErr w:type="gramStart"/>
      <w:r w:rsidRPr="00066EEA">
        <w:rPr>
          <w:rFonts w:ascii="Arial" w:hAnsi="Arial" w:cs="Arial"/>
          <w:color w:val="000000"/>
        </w:rPr>
        <w:t>p</w:t>
      </w:r>
      <w:r w:rsidRPr="00AA207A">
        <w:rPr>
          <w:rFonts w:ascii="Arial" w:hAnsi="Arial" w:cs="Arial"/>
          <w:color w:val="000000"/>
        </w:rPr>
        <w:t>articipation</w:t>
      </w:r>
      <w:proofErr w:type="gramEnd"/>
      <w:r w:rsidRPr="00AA207A">
        <w:rPr>
          <w:rFonts w:ascii="Arial" w:hAnsi="Arial" w:cs="Arial"/>
          <w:color w:val="000000"/>
        </w:rPr>
        <w:t xml:space="preserve"> </w:t>
      </w:r>
      <w:r w:rsidRPr="002D6014">
        <w:rPr>
          <w:rFonts w:cstheme="minorHAnsi"/>
        </w:rPr>
        <w:t>in</w:t>
      </w:r>
      <w:r w:rsidRPr="00D95D9E">
        <w:rPr>
          <w:rFonts w:ascii="Arial" w:hAnsi="Arial" w:cs="Arial"/>
          <w:color w:val="000000"/>
        </w:rPr>
        <w:t xml:space="preserve"> cultural life.</w:t>
      </w:r>
    </w:p>
    <w:p w:rsidR="00E11A85" w:rsidRPr="002D6014" w:rsidRDefault="0026286A" w:rsidP="004902F3">
      <w:pPr>
        <w:pStyle w:val="ListParagraph"/>
        <w:numPr>
          <w:ilvl w:val="0"/>
          <w:numId w:val="5"/>
        </w:numPr>
        <w:spacing w:after="120"/>
        <w:contextualSpacing w:val="0"/>
      </w:pPr>
      <w:r w:rsidRPr="00D95D9E">
        <w:t xml:space="preserve">Protections for </w:t>
      </w:r>
      <w:r w:rsidR="00135F1D" w:rsidRPr="00D95D9E">
        <w:t xml:space="preserve">economic, social and cultural rights </w:t>
      </w:r>
      <w:r w:rsidRPr="00D95D9E">
        <w:t>have been slower in their adoption</w:t>
      </w:r>
      <w:r w:rsidR="00135F1D" w:rsidRPr="00D95D9E">
        <w:t>,</w:t>
      </w:r>
      <w:r w:rsidRPr="00D95D9E">
        <w:t xml:space="preserve"> and </w:t>
      </w:r>
      <w:r w:rsidR="00EE40AE" w:rsidRPr="00D95D9E">
        <w:t>t</w:t>
      </w:r>
      <w:r w:rsidR="00980B4C" w:rsidRPr="00D95D9E">
        <w:t xml:space="preserve">he Victorian Equal Opportunity and Human Rights Commission </w:t>
      </w:r>
      <w:r w:rsidR="00F70679" w:rsidRPr="002D6014">
        <w:t>has</w:t>
      </w:r>
      <w:r w:rsidR="00980B4C" w:rsidRPr="002D6014">
        <w:t xml:space="preserve"> provided a useful paper on the implementation of </w:t>
      </w:r>
      <w:r w:rsidR="00135F1D" w:rsidRPr="002D6014">
        <w:t>economic, social and cultural rights</w:t>
      </w:r>
      <w:r w:rsidR="00980B4C" w:rsidRPr="002D6014">
        <w:t xml:space="preserve"> in that jurisdiction.  Th</w:t>
      </w:r>
      <w:r w:rsidR="00EE40AE" w:rsidRPr="002D6014">
        <w:t>e</w:t>
      </w:r>
      <w:r w:rsidR="00980B4C" w:rsidRPr="002D6014">
        <w:t xml:space="preserve"> paper counters four </w:t>
      </w:r>
      <w:r w:rsidR="003B264B" w:rsidRPr="002D6014">
        <w:t>persistent</w:t>
      </w:r>
      <w:r w:rsidR="00980B4C" w:rsidRPr="002D6014">
        <w:t xml:space="preserve"> assumptions made about these rights, namely that they are</w:t>
      </w:r>
      <w:r w:rsidR="00E11A85" w:rsidRPr="002D6014">
        <w:t>:</w:t>
      </w:r>
    </w:p>
    <w:p w:rsidR="00E11A85" w:rsidRPr="002D6014" w:rsidRDefault="00980B4C" w:rsidP="004902F3">
      <w:pPr>
        <w:numPr>
          <w:ilvl w:val="0"/>
          <w:numId w:val="1"/>
        </w:numPr>
        <w:tabs>
          <w:tab w:val="clear" w:pos="567"/>
          <w:tab w:val="clear" w:pos="1080"/>
        </w:tabs>
        <w:spacing w:before="120" w:after="120"/>
        <w:ind w:left="1276" w:hanging="425"/>
        <w:jc w:val="both"/>
      </w:pPr>
      <w:r w:rsidRPr="002D6014">
        <w:t xml:space="preserve">mere </w:t>
      </w:r>
      <w:r w:rsidRPr="002D6014">
        <w:rPr>
          <w:rFonts w:cstheme="minorHAnsi"/>
        </w:rPr>
        <w:t>aspirations</w:t>
      </w:r>
      <w:r w:rsidR="00E11A85" w:rsidRPr="002D6014">
        <w:t>;</w:t>
      </w:r>
    </w:p>
    <w:p w:rsidR="00E11A85" w:rsidRPr="002D6014" w:rsidRDefault="00980B4C" w:rsidP="004902F3">
      <w:pPr>
        <w:numPr>
          <w:ilvl w:val="0"/>
          <w:numId w:val="1"/>
        </w:numPr>
        <w:tabs>
          <w:tab w:val="clear" w:pos="567"/>
          <w:tab w:val="clear" w:pos="1080"/>
        </w:tabs>
        <w:spacing w:before="120" w:after="120"/>
        <w:ind w:left="1276" w:hanging="425"/>
        <w:jc w:val="both"/>
      </w:pPr>
      <w:r w:rsidRPr="002D6014">
        <w:t xml:space="preserve">vague </w:t>
      </w:r>
      <w:r w:rsidRPr="002D6014">
        <w:rPr>
          <w:rFonts w:cstheme="minorHAnsi"/>
        </w:rPr>
        <w:t>and</w:t>
      </w:r>
      <w:r w:rsidRPr="002D6014">
        <w:t xml:space="preserve"> ambiguous</w:t>
      </w:r>
      <w:r w:rsidR="00E11A85" w:rsidRPr="002D6014">
        <w:t>;</w:t>
      </w:r>
    </w:p>
    <w:p w:rsidR="00E11A85" w:rsidRPr="002D6014" w:rsidRDefault="00980B4C" w:rsidP="004902F3">
      <w:pPr>
        <w:numPr>
          <w:ilvl w:val="0"/>
          <w:numId w:val="1"/>
        </w:numPr>
        <w:tabs>
          <w:tab w:val="clear" w:pos="567"/>
          <w:tab w:val="clear" w:pos="1080"/>
        </w:tabs>
        <w:spacing w:before="120" w:after="120"/>
        <w:ind w:left="1276" w:hanging="425"/>
        <w:jc w:val="both"/>
      </w:pPr>
      <w:r w:rsidRPr="002D6014">
        <w:t xml:space="preserve">too </w:t>
      </w:r>
      <w:r w:rsidRPr="002D6014">
        <w:rPr>
          <w:rFonts w:cstheme="minorHAnsi"/>
        </w:rPr>
        <w:t>expensive</w:t>
      </w:r>
      <w:r w:rsidR="00E11A85" w:rsidRPr="002D6014">
        <w:t>;</w:t>
      </w:r>
      <w:r w:rsidRPr="002D6014">
        <w:t xml:space="preserve"> and</w:t>
      </w:r>
    </w:p>
    <w:p w:rsidR="00E11A85" w:rsidRPr="002D6014" w:rsidRDefault="00980B4C" w:rsidP="004902F3">
      <w:pPr>
        <w:numPr>
          <w:ilvl w:val="0"/>
          <w:numId w:val="1"/>
        </w:numPr>
        <w:tabs>
          <w:tab w:val="clear" w:pos="567"/>
          <w:tab w:val="clear" w:pos="1080"/>
        </w:tabs>
        <w:spacing w:before="120" w:after="120"/>
        <w:ind w:left="1276" w:hanging="425"/>
        <w:jc w:val="both"/>
      </w:pPr>
      <w:proofErr w:type="gramStart"/>
      <w:r w:rsidRPr="002D6014">
        <w:t>cannot</w:t>
      </w:r>
      <w:proofErr w:type="gramEnd"/>
      <w:r w:rsidRPr="002D6014">
        <w:t xml:space="preserve"> be interpreted and enforced by the courts. </w:t>
      </w:r>
    </w:p>
    <w:p w:rsidR="00354A43" w:rsidRPr="00D95D9E" w:rsidRDefault="00980B4C" w:rsidP="00632BB9">
      <w:pPr>
        <w:pStyle w:val="ListParagraph"/>
        <w:ind w:left="567"/>
        <w:contextualSpacing w:val="0"/>
      </w:pPr>
      <w:r w:rsidRPr="002D6014">
        <w:t>The paper demonstrates that each of these assumptions can be challenged by evidence from other jurisdictions</w:t>
      </w:r>
      <w:r w:rsidR="00E11A85" w:rsidRPr="002D6014">
        <w:t>.</w:t>
      </w:r>
      <w:r w:rsidR="0026286A" w:rsidRPr="00D95D9E">
        <w:rPr>
          <w:rStyle w:val="FootnoteReference"/>
          <w:rFonts w:cstheme="minorHAnsi"/>
        </w:rPr>
        <w:footnoteReference w:id="42"/>
      </w:r>
      <w:r w:rsidRPr="00D95D9E">
        <w:t xml:space="preserve"> </w:t>
      </w:r>
    </w:p>
    <w:p w:rsidR="00354A43" w:rsidRPr="00D95D9E" w:rsidRDefault="00354A43" w:rsidP="001B0C9C">
      <w:pPr>
        <w:pStyle w:val="VEOHRCBodytext"/>
        <w:numPr>
          <w:ilvl w:val="0"/>
          <w:numId w:val="5"/>
        </w:numPr>
        <w:spacing w:before="0" w:after="240"/>
        <w:rPr>
          <w:rFonts w:asciiTheme="minorHAnsi" w:hAnsiTheme="minorHAnsi" w:cstheme="minorHAnsi"/>
          <w:sz w:val="22"/>
          <w:szCs w:val="22"/>
        </w:rPr>
      </w:pPr>
      <w:r w:rsidRPr="00D95D9E">
        <w:rPr>
          <w:rFonts w:asciiTheme="minorHAnsi" w:hAnsiTheme="minorHAnsi" w:cstheme="minorHAnsi"/>
          <w:sz w:val="22"/>
          <w:szCs w:val="22"/>
        </w:rPr>
        <w:t>It is recognised that all human rights are interdependent and indivisible. For example, the right to freedom from inhuman and degrading treatment can be threatened by hea</w:t>
      </w:r>
      <w:r w:rsidR="00054438" w:rsidRPr="00D95D9E">
        <w:rPr>
          <w:rFonts w:asciiTheme="minorHAnsi" w:hAnsiTheme="minorHAnsi" w:cstheme="minorHAnsi"/>
          <w:sz w:val="22"/>
          <w:szCs w:val="22"/>
        </w:rPr>
        <w:t>lth care that is not adequate.</w:t>
      </w:r>
    </w:p>
    <w:p w:rsidR="006A25BF" w:rsidRPr="002D6014" w:rsidRDefault="006A25BF" w:rsidP="001B0C9C">
      <w:pPr>
        <w:pStyle w:val="VEOHRCBodytext"/>
        <w:numPr>
          <w:ilvl w:val="0"/>
          <w:numId w:val="5"/>
        </w:numPr>
        <w:spacing w:before="0" w:after="240"/>
        <w:rPr>
          <w:rFonts w:asciiTheme="minorHAnsi" w:hAnsiTheme="minorHAnsi" w:cstheme="minorHAnsi"/>
          <w:sz w:val="22"/>
          <w:szCs w:val="22"/>
        </w:rPr>
      </w:pPr>
      <w:r w:rsidRPr="002D6014">
        <w:rPr>
          <w:rFonts w:asciiTheme="minorHAnsi" w:hAnsiTheme="minorHAnsi" w:cstheme="minorHAnsi"/>
          <w:sz w:val="22"/>
          <w:szCs w:val="22"/>
        </w:rPr>
        <w:t xml:space="preserve">Other Australian jurisdictions considering </w:t>
      </w:r>
      <w:r w:rsidR="00144007" w:rsidRPr="002D6014">
        <w:rPr>
          <w:rFonts w:asciiTheme="minorHAnsi" w:hAnsiTheme="minorHAnsi" w:cstheme="minorHAnsi"/>
          <w:sz w:val="22"/>
          <w:szCs w:val="22"/>
        </w:rPr>
        <w:t xml:space="preserve">economic, social and cultural rights </w:t>
      </w:r>
      <w:r w:rsidRPr="002D6014">
        <w:rPr>
          <w:rFonts w:asciiTheme="minorHAnsi" w:hAnsiTheme="minorHAnsi" w:cstheme="minorHAnsi"/>
          <w:sz w:val="22"/>
          <w:szCs w:val="22"/>
        </w:rPr>
        <w:t xml:space="preserve">have recommended prioritising the right to the highest attainable standard of health and the </w:t>
      </w:r>
      <w:r w:rsidRPr="002D6014">
        <w:rPr>
          <w:rFonts w:asciiTheme="minorHAnsi" w:hAnsiTheme="minorHAnsi" w:cstheme="minorHAnsi"/>
          <w:sz w:val="22"/>
          <w:szCs w:val="22"/>
        </w:rPr>
        <w:lastRenderedPageBreak/>
        <w:t>right to education (WA</w:t>
      </w:r>
      <w:r w:rsidR="00255066" w:rsidRPr="002D6014">
        <w:rPr>
          <w:rStyle w:val="FootnoteReference"/>
          <w:rFonts w:asciiTheme="minorHAnsi" w:hAnsiTheme="minorHAnsi" w:cstheme="minorHAnsi"/>
          <w:sz w:val="22"/>
          <w:szCs w:val="22"/>
        </w:rPr>
        <w:footnoteReference w:id="43"/>
      </w:r>
      <w:r w:rsidRPr="002D6014">
        <w:rPr>
          <w:rFonts w:asciiTheme="minorHAnsi" w:hAnsiTheme="minorHAnsi" w:cstheme="minorHAnsi"/>
          <w:sz w:val="22"/>
          <w:szCs w:val="22"/>
        </w:rPr>
        <w:t xml:space="preserve">, </w:t>
      </w:r>
      <w:r w:rsidR="00255066" w:rsidRPr="002D6014">
        <w:rPr>
          <w:rFonts w:asciiTheme="minorHAnsi" w:hAnsiTheme="minorHAnsi" w:cstheme="minorHAnsi"/>
          <w:sz w:val="22"/>
          <w:szCs w:val="22"/>
        </w:rPr>
        <w:t>Tasmanian</w:t>
      </w:r>
      <w:r w:rsidR="00255066" w:rsidRPr="002D6014">
        <w:rPr>
          <w:rStyle w:val="FootnoteReference"/>
          <w:rFonts w:asciiTheme="minorHAnsi" w:hAnsiTheme="minorHAnsi" w:cstheme="minorHAnsi"/>
          <w:sz w:val="22"/>
          <w:szCs w:val="22"/>
        </w:rPr>
        <w:footnoteReference w:id="44"/>
      </w:r>
      <w:r w:rsidR="00255066" w:rsidRPr="002D6014">
        <w:rPr>
          <w:rFonts w:asciiTheme="minorHAnsi" w:hAnsiTheme="minorHAnsi" w:cstheme="minorHAnsi"/>
          <w:sz w:val="22"/>
          <w:szCs w:val="22"/>
        </w:rPr>
        <w:t xml:space="preserve"> and </w:t>
      </w:r>
      <w:r w:rsidRPr="002D6014">
        <w:rPr>
          <w:rFonts w:asciiTheme="minorHAnsi" w:hAnsiTheme="minorHAnsi" w:cstheme="minorHAnsi"/>
          <w:sz w:val="22"/>
          <w:szCs w:val="22"/>
        </w:rPr>
        <w:t>Commonwealth reviews</w:t>
      </w:r>
      <w:r w:rsidR="00243424" w:rsidRPr="002D6014">
        <w:rPr>
          <w:rStyle w:val="FootnoteReference"/>
          <w:rFonts w:asciiTheme="minorHAnsi" w:hAnsiTheme="minorHAnsi" w:cstheme="minorHAnsi"/>
          <w:sz w:val="22"/>
          <w:szCs w:val="22"/>
        </w:rPr>
        <w:footnoteReference w:id="45"/>
      </w:r>
      <w:r w:rsidRPr="002D6014">
        <w:rPr>
          <w:rFonts w:asciiTheme="minorHAnsi" w:hAnsiTheme="minorHAnsi" w:cstheme="minorHAnsi"/>
          <w:sz w:val="22"/>
          <w:szCs w:val="22"/>
        </w:rPr>
        <w:t>).  T</w:t>
      </w:r>
      <w:r w:rsidR="00472011" w:rsidRPr="002D6014">
        <w:rPr>
          <w:rFonts w:asciiTheme="minorHAnsi" w:hAnsiTheme="minorHAnsi" w:cstheme="minorHAnsi"/>
          <w:sz w:val="22"/>
          <w:szCs w:val="22"/>
        </w:rPr>
        <w:t>he ACT has made a similar choice and provides for</w:t>
      </w:r>
      <w:r w:rsidRPr="002D6014">
        <w:rPr>
          <w:rFonts w:asciiTheme="minorHAnsi" w:hAnsiTheme="minorHAnsi" w:cstheme="minorHAnsi"/>
          <w:sz w:val="22"/>
          <w:szCs w:val="22"/>
        </w:rPr>
        <w:t xml:space="preserve"> the right to education. </w:t>
      </w:r>
      <w:r w:rsidR="00772793" w:rsidRPr="002D6014">
        <w:rPr>
          <w:rFonts w:asciiTheme="minorHAnsi" w:hAnsiTheme="minorHAnsi" w:cstheme="minorHAnsi"/>
          <w:sz w:val="22"/>
          <w:szCs w:val="22"/>
        </w:rPr>
        <w:t>The ACT and Victoria have also included cultural, religious</w:t>
      </w:r>
      <w:r w:rsidR="00F93173" w:rsidRPr="002D6014">
        <w:rPr>
          <w:rFonts w:asciiTheme="minorHAnsi" w:hAnsiTheme="minorHAnsi" w:cstheme="minorHAnsi"/>
          <w:sz w:val="22"/>
          <w:szCs w:val="22"/>
        </w:rPr>
        <w:t>,</w:t>
      </w:r>
      <w:r w:rsidR="00772793" w:rsidRPr="002D6014">
        <w:rPr>
          <w:rFonts w:asciiTheme="minorHAnsi" w:hAnsiTheme="minorHAnsi" w:cstheme="minorHAnsi"/>
          <w:sz w:val="22"/>
          <w:szCs w:val="22"/>
        </w:rPr>
        <w:t xml:space="preserve"> and language rights of minorities</w:t>
      </w:r>
      <w:r w:rsidR="00F93173" w:rsidRPr="002D6014">
        <w:rPr>
          <w:rFonts w:asciiTheme="minorHAnsi" w:hAnsiTheme="minorHAnsi" w:cstheme="minorHAnsi"/>
          <w:sz w:val="22"/>
          <w:szCs w:val="22"/>
        </w:rPr>
        <w:t>,</w:t>
      </w:r>
      <w:r w:rsidR="00772793" w:rsidRPr="002D6014">
        <w:rPr>
          <w:rFonts w:asciiTheme="minorHAnsi" w:hAnsiTheme="minorHAnsi" w:cstheme="minorHAnsi"/>
          <w:sz w:val="22"/>
          <w:szCs w:val="22"/>
        </w:rPr>
        <w:t xml:space="preserve"> and Victoria has included </w:t>
      </w:r>
      <w:r w:rsidR="00472011" w:rsidRPr="002D6014">
        <w:rPr>
          <w:rFonts w:asciiTheme="minorHAnsi" w:hAnsiTheme="minorHAnsi" w:cstheme="minorHAnsi"/>
          <w:sz w:val="22"/>
          <w:szCs w:val="22"/>
        </w:rPr>
        <w:t>cultural rights specific to Aboriginal people</w:t>
      </w:r>
      <w:r w:rsidR="00F93173" w:rsidRPr="002D6014">
        <w:rPr>
          <w:rFonts w:asciiTheme="minorHAnsi" w:hAnsiTheme="minorHAnsi" w:cstheme="minorHAnsi"/>
          <w:sz w:val="22"/>
          <w:szCs w:val="22"/>
        </w:rPr>
        <w:t>s</w:t>
      </w:r>
      <w:r w:rsidR="00472011" w:rsidRPr="002D6014">
        <w:rPr>
          <w:rFonts w:asciiTheme="minorHAnsi" w:hAnsiTheme="minorHAnsi" w:cstheme="minorHAnsi"/>
          <w:sz w:val="22"/>
          <w:szCs w:val="22"/>
        </w:rPr>
        <w:t xml:space="preserve">. </w:t>
      </w:r>
    </w:p>
    <w:p w:rsidR="006A25BF" w:rsidRPr="002D6014" w:rsidRDefault="006A25BF" w:rsidP="001B0C9C">
      <w:pPr>
        <w:pStyle w:val="VEOHRCBodytext"/>
        <w:numPr>
          <w:ilvl w:val="0"/>
          <w:numId w:val="5"/>
        </w:numPr>
        <w:spacing w:before="0" w:after="240"/>
        <w:rPr>
          <w:rFonts w:asciiTheme="minorHAnsi" w:hAnsiTheme="minorHAnsi" w:cstheme="minorHAnsi"/>
          <w:sz w:val="22"/>
          <w:szCs w:val="22"/>
        </w:rPr>
      </w:pPr>
      <w:r w:rsidRPr="002D6014">
        <w:rPr>
          <w:rFonts w:asciiTheme="minorHAnsi" w:hAnsiTheme="minorHAnsi" w:cstheme="minorHAnsi"/>
          <w:sz w:val="22"/>
          <w:szCs w:val="22"/>
        </w:rPr>
        <w:t xml:space="preserve">Some </w:t>
      </w:r>
      <w:r w:rsidR="00F93173" w:rsidRPr="002D6014">
        <w:rPr>
          <w:rFonts w:asciiTheme="minorHAnsi" w:hAnsiTheme="minorHAnsi" w:cstheme="minorHAnsi"/>
          <w:sz w:val="22"/>
          <w:szCs w:val="22"/>
        </w:rPr>
        <w:t xml:space="preserve">economic, social and cultural rights </w:t>
      </w:r>
      <w:r w:rsidRPr="002D6014">
        <w:rPr>
          <w:rFonts w:asciiTheme="minorHAnsi" w:hAnsiTheme="minorHAnsi" w:cstheme="minorHAnsi"/>
          <w:sz w:val="22"/>
          <w:szCs w:val="22"/>
        </w:rPr>
        <w:t>have substantive protection elsewhere in Queensland laws, such as</w:t>
      </w:r>
      <w:r w:rsidR="007F7115" w:rsidRPr="002D6014">
        <w:rPr>
          <w:rFonts w:asciiTheme="minorHAnsi" w:hAnsiTheme="minorHAnsi" w:cstheme="minorHAnsi"/>
          <w:sz w:val="22"/>
          <w:szCs w:val="22"/>
        </w:rPr>
        <w:t xml:space="preserve"> anti-discrimination</w:t>
      </w:r>
      <w:r w:rsidRPr="002D6014">
        <w:rPr>
          <w:rFonts w:asciiTheme="minorHAnsi" w:hAnsiTheme="minorHAnsi" w:cstheme="minorHAnsi"/>
          <w:sz w:val="22"/>
          <w:szCs w:val="22"/>
        </w:rPr>
        <w:t xml:space="preserve"> laws. </w:t>
      </w:r>
      <w:r w:rsidR="00472011" w:rsidRPr="002D6014">
        <w:rPr>
          <w:rFonts w:asciiTheme="minorHAnsi" w:hAnsiTheme="minorHAnsi" w:cstheme="minorHAnsi"/>
          <w:sz w:val="22"/>
          <w:szCs w:val="22"/>
        </w:rPr>
        <w:t>Human rights p</w:t>
      </w:r>
      <w:r w:rsidRPr="002D6014">
        <w:rPr>
          <w:rFonts w:asciiTheme="minorHAnsi" w:hAnsiTheme="minorHAnsi" w:cstheme="minorHAnsi"/>
          <w:sz w:val="22"/>
          <w:szCs w:val="22"/>
        </w:rPr>
        <w:t xml:space="preserve">rotection for such existing rights </w:t>
      </w:r>
      <w:r w:rsidR="00523139" w:rsidRPr="002D6014">
        <w:rPr>
          <w:rFonts w:asciiTheme="minorHAnsi" w:hAnsiTheme="minorHAnsi" w:cstheme="minorHAnsi"/>
          <w:sz w:val="22"/>
          <w:szCs w:val="22"/>
        </w:rPr>
        <w:t xml:space="preserve">would </w:t>
      </w:r>
      <w:r w:rsidRPr="002D6014">
        <w:rPr>
          <w:rFonts w:asciiTheme="minorHAnsi" w:hAnsiTheme="minorHAnsi" w:cstheme="minorHAnsi"/>
          <w:sz w:val="22"/>
          <w:szCs w:val="22"/>
        </w:rPr>
        <w:t xml:space="preserve">enhance and bolster the </w:t>
      </w:r>
      <w:r w:rsidR="00472011" w:rsidRPr="002D6014">
        <w:rPr>
          <w:rFonts w:asciiTheme="minorHAnsi" w:hAnsiTheme="minorHAnsi" w:cstheme="minorHAnsi"/>
          <w:sz w:val="22"/>
          <w:szCs w:val="22"/>
        </w:rPr>
        <w:t>existing legal safeguards</w:t>
      </w:r>
      <w:r w:rsidRPr="002D6014">
        <w:rPr>
          <w:rFonts w:asciiTheme="minorHAnsi" w:hAnsiTheme="minorHAnsi" w:cstheme="minorHAnsi"/>
          <w:sz w:val="22"/>
          <w:szCs w:val="22"/>
        </w:rPr>
        <w:t>.</w:t>
      </w:r>
    </w:p>
    <w:p w:rsidR="00016518" w:rsidRPr="002D6014" w:rsidRDefault="00016518" w:rsidP="001B0C9C">
      <w:pPr>
        <w:pStyle w:val="VEOHRCBodytext"/>
        <w:numPr>
          <w:ilvl w:val="0"/>
          <w:numId w:val="5"/>
        </w:numPr>
        <w:spacing w:before="0" w:after="240"/>
        <w:rPr>
          <w:rFonts w:asciiTheme="minorHAnsi" w:hAnsiTheme="minorHAnsi" w:cstheme="minorHAnsi"/>
          <w:sz w:val="22"/>
          <w:szCs w:val="22"/>
        </w:rPr>
      </w:pPr>
      <w:r w:rsidRPr="002D6014">
        <w:rPr>
          <w:rFonts w:asciiTheme="minorHAnsi" w:hAnsiTheme="minorHAnsi" w:cstheme="minorHAnsi"/>
          <w:sz w:val="22"/>
          <w:szCs w:val="22"/>
        </w:rPr>
        <w:t xml:space="preserve">There is clearly an expectation in Queensland that the </w:t>
      </w:r>
      <w:r w:rsidR="00B4153F" w:rsidRPr="002D6014">
        <w:rPr>
          <w:rFonts w:asciiTheme="minorHAnsi" w:hAnsiTheme="minorHAnsi" w:cstheme="minorHAnsi"/>
          <w:sz w:val="22"/>
          <w:szCs w:val="22"/>
        </w:rPr>
        <w:t>s</w:t>
      </w:r>
      <w:r w:rsidRPr="002D6014">
        <w:rPr>
          <w:rFonts w:asciiTheme="minorHAnsi" w:hAnsiTheme="minorHAnsi" w:cstheme="minorHAnsi"/>
          <w:sz w:val="22"/>
          <w:szCs w:val="22"/>
        </w:rPr>
        <w:t xml:space="preserve">tate has a role to play in securing </w:t>
      </w:r>
      <w:r w:rsidR="00B4153F" w:rsidRPr="002D6014">
        <w:rPr>
          <w:rFonts w:asciiTheme="minorHAnsi" w:hAnsiTheme="minorHAnsi" w:cstheme="minorHAnsi"/>
          <w:sz w:val="22"/>
          <w:szCs w:val="22"/>
        </w:rPr>
        <w:t>economic, social and cultural rights,</w:t>
      </w:r>
      <w:r w:rsidRPr="002D6014">
        <w:rPr>
          <w:rFonts w:asciiTheme="minorHAnsi" w:hAnsiTheme="minorHAnsi" w:cstheme="minorHAnsi"/>
          <w:sz w:val="22"/>
          <w:szCs w:val="22"/>
        </w:rPr>
        <w:t xml:space="preserve"> such as education, housing</w:t>
      </w:r>
      <w:r w:rsidR="00B4153F" w:rsidRPr="002D6014">
        <w:rPr>
          <w:rFonts w:asciiTheme="minorHAnsi" w:hAnsiTheme="minorHAnsi" w:cstheme="minorHAnsi"/>
          <w:sz w:val="22"/>
          <w:szCs w:val="22"/>
        </w:rPr>
        <w:t>,</w:t>
      </w:r>
      <w:r w:rsidRPr="002D6014">
        <w:rPr>
          <w:rFonts w:asciiTheme="minorHAnsi" w:hAnsiTheme="minorHAnsi" w:cstheme="minorHAnsi"/>
          <w:sz w:val="22"/>
          <w:szCs w:val="22"/>
        </w:rPr>
        <w:t xml:space="preserve"> and health.  The inclusion of these rights in a Human Rights Act is a useful accountability mechanism for these community expectations.  </w:t>
      </w:r>
    </w:p>
    <w:p w:rsidR="00016518" w:rsidRPr="002D6014" w:rsidRDefault="00016518" w:rsidP="001B0C9C">
      <w:pPr>
        <w:pStyle w:val="VEOHRCBodytext"/>
        <w:numPr>
          <w:ilvl w:val="0"/>
          <w:numId w:val="5"/>
        </w:numPr>
        <w:spacing w:before="0" w:after="240"/>
        <w:rPr>
          <w:rFonts w:asciiTheme="minorHAnsi" w:hAnsiTheme="minorHAnsi" w:cstheme="minorHAnsi"/>
          <w:sz w:val="22"/>
          <w:szCs w:val="22"/>
        </w:rPr>
      </w:pPr>
      <w:r w:rsidRPr="002D6014">
        <w:rPr>
          <w:rFonts w:asciiTheme="minorHAnsi" w:hAnsiTheme="minorHAnsi" w:cstheme="minorHAnsi"/>
          <w:sz w:val="22"/>
          <w:szCs w:val="22"/>
        </w:rPr>
        <w:t xml:space="preserve">The </w:t>
      </w:r>
      <w:r w:rsidR="00B4153F" w:rsidRPr="002D6014">
        <w:rPr>
          <w:rFonts w:asciiTheme="minorHAnsi" w:hAnsiTheme="minorHAnsi" w:cstheme="minorHAnsi"/>
          <w:i/>
          <w:color w:val="000000"/>
          <w:sz w:val="22"/>
          <w:szCs w:val="22"/>
        </w:rPr>
        <w:t>International Covenant on Economic, Social and Cultural Rights</w:t>
      </w:r>
      <w:r w:rsidRPr="002D6014">
        <w:rPr>
          <w:rFonts w:asciiTheme="minorHAnsi" w:hAnsiTheme="minorHAnsi" w:cstheme="minorHAnsi"/>
          <w:sz w:val="22"/>
          <w:szCs w:val="22"/>
        </w:rPr>
        <w:t xml:space="preserve"> recognises that implementation of rights is to be achieved progressively and s</w:t>
      </w:r>
      <w:r w:rsidR="00054438" w:rsidRPr="002D6014">
        <w:rPr>
          <w:rFonts w:asciiTheme="minorHAnsi" w:hAnsiTheme="minorHAnsi" w:cstheme="minorHAnsi"/>
          <w:sz w:val="22"/>
          <w:szCs w:val="22"/>
        </w:rPr>
        <w:t>ubject to available resources</w:t>
      </w:r>
      <w:r w:rsidR="00596DFB" w:rsidRPr="002D6014">
        <w:rPr>
          <w:rFonts w:asciiTheme="minorHAnsi" w:hAnsiTheme="minorHAnsi" w:cstheme="minorHAnsi"/>
          <w:sz w:val="22"/>
          <w:szCs w:val="22"/>
        </w:rPr>
        <w:t>, and states at Article 2, 1. that:</w:t>
      </w:r>
    </w:p>
    <w:p w:rsidR="00016518" w:rsidRPr="002D6014" w:rsidRDefault="00596DFB" w:rsidP="004902F3">
      <w:pPr>
        <w:pStyle w:val="VEOHRCQuotation"/>
        <w:spacing w:after="240"/>
        <w:ind w:left="1134" w:right="1083"/>
        <w:rPr>
          <w:rFonts w:asciiTheme="minorHAnsi" w:hAnsiTheme="minorHAnsi" w:cstheme="minorHAnsi"/>
          <w:i w:val="0"/>
          <w:sz w:val="20"/>
          <w:szCs w:val="20"/>
        </w:rPr>
      </w:pPr>
      <w:r w:rsidRPr="00D95D9E">
        <w:rPr>
          <w:rFonts w:asciiTheme="minorHAnsi" w:hAnsiTheme="minorHAnsi" w:cstheme="minorHAnsi"/>
          <w:i w:val="0"/>
          <w:sz w:val="20"/>
          <w:szCs w:val="20"/>
        </w:rPr>
        <w:t>‘</w:t>
      </w:r>
      <w:r w:rsidR="00016518" w:rsidRPr="00D95D9E">
        <w:rPr>
          <w:rFonts w:asciiTheme="minorHAnsi" w:hAnsiTheme="minorHAnsi" w:cstheme="minorHAnsi"/>
          <w:i w:val="0"/>
          <w:sz w:val="20"/>
          <w:szCs w:val="20"/>
        </w:rPr>
        <w:t xml:space="preserve">Each State Party to the present Covenant undertakes to take steps, individually and through international assistance and co-operation, especially economic and technical, to the </w:t>
      </w:r>
      <w:r w:rsidR="00016518" w:rsidRPr="002D6014">
        <w:rPr>
          <w:rFonts w:asciiTheme="minorHAnsi" w:hAnsiTheme="minorHAnsi" w:cstheme="minorHAnsi"/>
          <w:b/>
          <w:i w:val="0"/>
          <w:sz w:val="20"/>
          <w:szCs w:val="20"/>
        </w:rPr>
        <w:t>maximum of its available resources</w:t>
      </w:r>
      <w:r w:rsidR="00016518" w:rsidRPr="002D6014">
        <w:rPr>
          <w:rFonts w:asciiTheme="minorHAnsi" w:hAnsiTheme="minorHAnsi" w:cstheme="minorHAnsi"/>
          <w:i w:val="0"/>
          <w:sz w:val="20"/>
          <w:szCs w:val="20"/>
        </w:rPr>
        <w:t xml:space="preserve">, with a view to </w:t>
      </w:r>
      <w:r w:rsidR="00016518" w:rsidRPr="002D6014">
        <w:rPr>
          <w:rFonts w:asciiTheme="minorHAnsi" w:hAnsiTheme="minorHAnsi" w:cstheme="minorHAnsi"/>
          <w:b/>
          <w:i w:val="0"/>
          <w:sz w:val="20"/>
          <w:szCs w:val="20"/>
        </w:rPr>
        <w:t>achieving progressively</w:t>
      </w:r>
      <w:r w:rsidR="00016518" w:rsidRPr="002D6014">
        <w:rPr>
          <w:rFonts w:asciiTheme="minorHAnsi" w:hAnsiTheme="minorHAnsi" w:cstheme="minorHAnsi"/>
          <w:i w:val="0"/>
          <w:sz w:val="20"/>
          <w:szCs w:val="20"/>
        </w:rPr>
        <w:t xml:space="preserve"> the full realization of the rights recognized in the present Covenant by all appropriate means, including particularly the adoption of legislative measures.</w:t>
      </w:r>
      <w:r w:rsidRPr="002D6014">
        <w:rPr>
          <w:rFonts w:asciiTheme="minorHAnsi" w:hAnsiTheme="minorHAnsi" w:cstheme="minorHAnsi"/>
          <w:i w:val="0"/>
          <w:sz w:val="20"/>
          <w:szCs w:val="20"/>
        </w:rPr>
        <w:t xml:space="preserve">’ </w:t>
      </w:r>
    </w:p>
    <w:p w:rsidR="00016518" w:rsidRPr="002D6014" w:rsidRDefault="008658A3" w:rsidP="001B0C9C">
      <w:pPr>
        <w:pStyle w:val="VEOHRCBodytext"/>
        <w:numPr>
          <w:ilvl w:val="0"/>
          <w:numId w:val="5"/>
        </w:numPr>
        <w:spacing w:before="0" w:after="240"/>
        <w:rPr>
          <w:rFonts w:asciiTheme="minorHAnsi" w:hAnsiTheme="minorHAnsi" w:cstheme="minorHAnsi"/>
          <w:sz w:val="22"/>
          <w:szCs w:val="22"/>
        </w:rPr>
      </w:pPr>
      <w:r w:rsidRPr="002D6014">
        <w:rPr>
          <w:rFonts w:asciiTheme="minorHAnsi" w:hAnsiTheme="minorHAnsi" w:cstheme="minorHAnsi"/>
          <w:sz w:val="22"/>
          <w:szCs w:val="22"/>
        </w:rPr>
        <w:t xml:space="preserve">If the immediate protection of all </w:t>
      </w:r>
      <w:r w:rsidR="00E85AE8" w:rsidRPr="002D6014">
        <w:rPr>
          <w:rFonts w:asciiTheme="minorHAnsi" w:hAnsiTheme="minorHAnsi" w:cstheme="minorHAnsi"/>
          <w:sz w:val="22"/>
          <w:szCs w:val="22"/>
        </w:rPr>
        <w:t>economic, social and cultural rights</w:t>
      </w:r>
      <w:r w:rsidR="00E85AE8" w:rsidRPr="002D6014" w:rsidDel="00E85AE8">
        <w:rPr>
          <w:rFonts w:asciiTheme="minorHAnsi" w:hAnsiTheme="minorHAnsi" w:cstheme="minorHAnsi"/>
          <w:sz w:val="22"/>
          <w:szCs w:val="22"/>
        </w:rPr>
        <w:t xml:space="preserve"> </w:t>
      </w:r>
      <w:r w:rsidR="00E85AE8" w:rsidRPr="002D6014">
        <w:rPr>
          <w:rFonts w:asciiTheme="minorHAnsi" w:hAnsiTheme="minorHAnsi" w:cstheme="minorHAnsi"/>
          <w:sz w:val="22"/>
          <w:szCs w:val="22"/>
        </w:rPr>
        <w:t>i</w:t>
      </w:r>
      <w:r w:rsidRPr="002D6014">
        <w:rPr>
          <w:rFonts w:asciiTheme="minorHAnsi" w:hAnsiTheme="minorHAnsi" w:cstheme="minorHAnsi"/>
          <w:sz w:val="22"/>
          <w:szCs w:val="22"/>
        </w:rPr>
        <w:t>s not considered immediately appropriate,</w:t>
      </w:r>
      <w:r w:rsidR="00E85AE8" w:rsidRPr="002D6014">
        <w:rPr>
          <w:rFonts w:asciiTheme="minorHAnsi" w:hAnsiTheme="minorHAnsi" w:cstheme="minorHAnsi"/>
          <w:sz w:val="22"/>
          <w:szCs w:val="22"/>
        </w:rPr>
        <w:t xml:space="preserve"> </w:t>
      </w:r>
      <w:r w:rsidRPr="002D6014">
        <w:rPr>
          <w:rFonts w:asciiTheme="minorHAnsi" w:hAnsiTheme="minorHAnsi" w:cstheme="minorHAnsi"/>
          <w:sz w:val="22"/>
          <w:szCs w:val="22"/>
        </w:rPr>
        <w:t xml:space="preserve">a staged approach can be considered where priority is given to some, immediately realisable </w:t>
      </w:r>
      <w:r w:rsidR="00E85AE8" w:rsidRPr="002D6014">
        <w:rPr>
          <w:rFonts w:asciiTheme="minorHAnsi" w:hAnsiTheme="minorHAnsi" w:cstheme="minorHAnsi"/>
          <w:sz w:val="22"/>
          <w:szCs w:val="22"/>
        </w:rPr>
        <w:t>economic, social and cultural rights</w:t>
      </w:r>
      <w:r w:rsidR="00016518" w:rsidRPr="002D6014">
        <w:rPr>
          <w:rFonts w:asciiTheme="minorHAnsi" w:hAnsiTheme="minorHAnsi" w:cstheme="minorHAnsi"/>
          <w:sz w:val="22"/>
          <w:szCs w:val="22"/>
        </w:rPr>
        <w:t>, for example</w:t>
      </w:r>
      <w:r w:rsidR="00E85AE8" w:rsidRPr="002D6014">
        <w:rPr>
          <w:rFonts w:asciiTheme="minorHAnsi" w:hAnsiTheme="minorHAnsi" w:cstheme="minorHAnsi"/>
          <w:sz w:val="22"/>
          <w:szCs w:val="22"/>
        </w:rPr>
        <w:t>,</w:t>
      </w:r>
      <w:r w:rsidR="00016518" w:rsidRPr="002D6014">
        <w:rPr>
          <w:rFonts w:asciiTheme="minorHAnsi" w:hAnsiTheme="minorHAnsi" w:cstheme="minorHAnsi"/>
          <w:sz w:val="22"/>
          <w:szCs w:val="22"/>
        </w:rPr>
        <w:t xml:space="preserve"> the right to basic education and emergency medical treatment. </w:t>
      </w:r>
      <w:r w:rsidR="006F17F7" w:rsidRPr="002D6014">
        <w:rPr>
          <w:rFonts w:asciiTheme="minorHAnsi" w:hAnsiTheme="minorHAnsi" w:cstheme="minorHAnsi"/>
          <w:sz w:val="22"/>
          <w:szCs w:val="22"/>
        </w:rPr>
        <w:t>This is the approach in the ACT</w:t>
      </w:r>
      <w:r w:rsidR="00E85AE8" w:rsidRPr="002D6014">
        <w:rPr>
          <w:rFonts w:asciiTheme="minorHAnsi" w:hAnsiTheme="minorHAnsi" w:cstheme="minorHAnsi"/>
          <w:sz w:val="22"/>
          <w:szCs w:val="22"/>
        </w:rPr>
        <w:t>,</w:t>
      </w:r>
      <w:r w:rsidR="006F17F7" w:rsidRPr="002D6014">
        <w:rPr>
          <w:rFonts w:asciiTheme="minorHAnsi" w:hAnsiTheme="minorHAnsi" w:cstheme="minorHAnsi"/>
          <w:sz w:val="22"/>
          <w:szCs w:val="22"/>
        </w:rPr>
        <w:t xml:space="preserve"> and is </w:t>
      </w:r>
      <w:r w:rsidR="004D7694" w:rsidRPr="002D6014">
        <w:rPr>
          <w:rFonts w:asciiTheme="minorHAnsi" w:hAnsiTheme="minorHAnsi" w:cstheme="minorHAnsi"/>
          <w:sz w:val="22"/>
          <w:szCs w:val="22"/>
        </w:rPr>
        <w:t xml:space="preserve">the approach </w:t>
      </w:r>
      <w:r w:rsidR="006F17F7" w:rsidRPr="002D6014">
        <w:rPr>
          <w:rFonts w:asciiTheme="minorHAnsi" w:hAnsiTheme="minorHAnsi" w:cstheme="minorHAnsi"/>
          <w:sz w:val="22"/>
          <w:szCs w:val="22"/>
        </w:rPr>
        <w:t>recommended</w:t>
      </w:r>
      <w:r w:rsidR="004D7694" w:rsidRPr="002D6014">
        <w:rPr>
          <w:rFonts w:asciiTheme="minorHAnsi" w:hAnsiTheme="minorHAnsi" w:cstheme="minorHAnsi"/>
          <w:sz w:val="22"/>
          <w:szCs w:val="22"/>
        </w:rPr>
        <w:t xml:space="preserve"> by the Commission</w:t>
      </w:r>
      <w:r w:rsidR="006F17F7" w:rsidRPr="002D6014">
        <w:rPr>
          <w:rFonts w:asciiTheme="minorHAnsi" w:hAnsiTheme="minorHAnsi" w:cstheme="minorHAnsi"/>
          <w:sz w:val="22"/>
          <w:szCs w:val="22"/>
        </w:rPr>
        <w:t xml:space="preserve">. </w:t>
      </w:r>
      <w:r w:rsidR="00016518" w:rsidRPr="002D6014">
        <w:rPr>
          <w:rFonts w:asciiTheme="minorHAnsi" w:hAnsiTheme="minorHAnsi" w:cstheme="minorHAnsi"/>
          <w:sz w:val="22"/>
          <w:szCs w:val="22"/>
        </w:rPr>
        <w:t xml:space="preserve">Alternatively, all </w:t>
      </w:r>
      <w:r w:rsidR="00E85AE8" w:rsidRPr="002D6014">
        <w:rPr>
          <w:rFonts w:asciiTheme="minorHAnsi" w:hAnsiTheme="minorHAnsi" w:cstheme="minorHAnsi"/>
          <w:sz w:val="22"/>
          <w:szCs w:val="22"/>
        </w:rPr>
        <w:t>economic, social and cultural rights</w:t>
      </w:r>
      <w:r w:rsidR="00E85AE8" w:rsidRPr="002D6014" w:rsidDel="00E85AE8">
        <w:rPr>
          <w:rFonts w:asciiTheme="minorHAnsi" w:hAnsiTheme="minorHAnsi" w:cstheme="minorHAnsi"/>
          <w:sz w:val="22"/>
          <w:szCs w:val="22"/>
        </w:rPr>
        <w:t xml:space="preserve"> </w:t>
      </w:r>
      <w:r w:rsidR="00016518" w:rsidRPr="002D6014">
        <w:rPr>
          <w:rFonts w:asciiTheme="minorHAnsi" w:hAnsiTheme="minorHAnsi" w:cstheme="minorHAnsi"/>
          <w:sz w:val="22"/>
          <w:szCs w:val="22"/>
        </w:rPr>
        <w:t>could be listed and explicitly subject to progressive implementation.</w:t>
      </w:r>
    </w:p>
    <w:p w:rsidR="00DF3F20" w:rsidRPr="002D6014" w:rsidRDefault="008658A3" w:rsidP="00DF3F20">
      <w:pPr>
        <w:pStyle w:val="VEOHRCBodytext"/>
        <w:numPr>
          <w:ilvl w:val="0"/>
          <w:numId w:val="5"/>
        </w:numPr>
        <w:spacing w:before="0" w:after="240"/>
        <w:rPr>
          <w:rFonts w:asciiTheme="minorHAnsi" w:hAnsiTheme="minorHAnsi" w:cstheme="minorHAnsi"/>
          <w:sz w:val="22"/>
          <w:szCs w:val="22"/>
        </w:rPr>
      </w:pPr>
      <w:r w:rsidRPr="002D6014">
        <w:rPr>
          <w:rFonts w:asciiTheme="minorHAnsi" w:hAnsiTheme="minorHAnsi" w:cstheme="minorHAnsi"/>
          <w:sz w:val="22"/>
          <w:szCs w:val="22"/>
        </w:rPr>
        <w:t xml:space="preserve">Alternatively, </w:t>
      </w:r>
      <w:r w:rsidR="00E85AE8" w:rsidRPr="002D6014">
        <w:rPr>
          <w:rFonts w:asciiTheme="minorHAnsi" w:hAnsiTheme="minorHAnsi" w:cstheme="minorHAnsi"/>
          <w:sz w:val="22"/>
          <w:szCs w:val="22"/>
        </w:rPr>
        <w:t>economic, social and cultural rights</w:t>
      </w:r>
      <w:r w:rsidRPr="002D6014">
        <w:rPr>
          <w:rFonts w:asciiTheme="minorHAnsi" w:hAnsiTheme="minorHAnsi" w:cstheme="minorHAnsi"/>
          <w:sz w:val="22"/>
          <w:szCs w:val="22"/>
        </w:rPr>
        <w:t xml:space="preserve"> could be implemented </w:t>
      </w:r>
      <w:r w:rsidR="00472011" w:rsidRPr="002D6014">
        <w:rPr>
          <w:rFonts w:asciiTheme="minorHAnsi" w:hAnsiTheme="minorHAnsi" w:cstheme="minorHAnsi"/>
          <w:sz w:val="22"/>
          <w:szCs w:val="22"/>
        </w:rPr>
        <w:t xml:space="preserve">later, after civil and political rights have been implemented.  </w:t>
      </w:r>
    </w:p>
    <w:p w:rsidR="00DF3F20" w:rsidRPr="002D6014" w:rsidRDefault="00DF3F20" w:rsidP="00904410">
      <w:pPr>
        <w:pStyle w:val="Heading3"/>
      </w:pPr>
      <w:bookmarkStart w:id="26" w:name="_Toc448747770"/>
      <w:r w:rsidRPr="002D6014">
        <w:t>Property Rights</w:t>
      </w:r>
      <w:bookmarkEnd w:id="26"/>
    </w:p>
    <w:p w:rsidR="00DF3F20" w:rsidRPr="002D6014" w:rsidRDefault="00DF3F20" w:rsidP="00DF3F20">
      <w:pPr>
        <w:pStyle w:val="VEOHRCBodytext"/>
        <w:numPr>
          <w:ilvl w:val="0"/>
          <w:numId w:val="5"/>
        </w:numPr>
        <w:spacing w:before="0" w:after="240"/>
        <w:rPr>
          <w:rFonts w:asciiTheme="minorHAnsi" w:hAnsiTheme="minorHAnsi" w:cstheme="minorHAnsi"/>
          <w:sz w:val="22"/>
          <w:szCs w:val="22"/>
        </w:rPr>
      </w:pPr>
      <w:r w:rsidRPr="002D6014">
        <w:t xml:space="preserve">The </w:t>
      </w:r>
      <w:r w:rsidRPr="002D6014">
        <w:rPr>
          <w:i/>
        </w:rPr>
        <w:t>Universal Declaration o</w:t>
      </w:r>
      <w:r w:rsidR="00E85AE8" w:rsidRPr="002D6014">
        <w:rPr>
          <w:i/>
        </w:rPr>
        <w:t>f</w:t>
      </w:r>
      <w:r w:rsidRPr="002D6014">
        <w:rPr>
          <w:i/>
        </w:rPr>
        <w:t xml:space="preserve"> Human Rights</w:t>
      </w:r>
      <w:r w:rsidRPr="002D6014">
        <w:t xml:space="preserve"> </w:t>
      </w:r>
      <w:r w:rsidR="00E85AE8" w:rsidRPr="002D6014">
        <w:t>states that there is a</w:t>
      </w:r>
      <w:r w:rsidRPr="002D6014">
        <w:t xml:space="preserve"> right to </w:t>
      </w:r>
      <w:r w:rsidR="00E85AE8" w:rsidRPr="002D6014">
        <w:t xml:space="preserve">own </w:t>
      </w:r>
      <w:r w:rsidRPr="002D6014">
        <w:t>property</w:t>
      </w:r>
      <w:r w:rsidRPr="002D6014">
        <w:rPr>
          <w:rStyle w:val="FootnoteReference"/>
        </w:rPr>
        <w:footnoteReference w:id="46"/>
      </w:r>
      <w:r w:rsidRPr="002D6014">
        <w:t xml:space="preserve">. The Commission suggests property rights ought to be in a </w:t>
      </w:r>
      <w:r w:rsidR="00E85AE8" w:rsidRPr="002D6014">
        <w:t>H</w:t>
      </w:r>
      <w:r w:rsidRPr="002D6014">
        <w:t xml:space="preserve">uman </w:t>
      </w:r>
      <w:r w:rsidR="00E85AE8" w:rsidRPr="002D6014">
        <w:t>R</w:t>
      </w:r>
      <w:r w:rsidRPr="002D6014">
        <w:t xml:space="preserve">ights </w:t>
      </w:r>
      <w:r w:rsidR="00E85AE8" w:rsidRPr="002D6014">
        <w:t>A</w:t>
      </w:r>
      <w:r w:rsidRPr="002D6014">
        <w:t>ct</w:t>
      </w:r>
      <w:r w:rsidR="00E85AE8" w:rsidRPr="002D6014">
        <w:t>,</w:t>
      </w:r>
      <w:r w:rsidRPr="002D6014">
        <w:t xml:space="preserve"> and protected by a provision that states that ever</w:t>
      </w:r>
      <w:r w:rsidR="00523139" w:rsidRPr="002D6014">
        <w:t>y</w:t>
      </w:r>
      <w:r w:rsidRPr="002D6014">
        <w:t xml:space="preserve"> person has a right not to be deprived of his or her property</w:t>
      </w:r>
      <w:r w:rsidR="00E85AE8" w:rsidRPr="002D6014">
        <w:t>,</w:t>
      </w:r>
      <w:r w:rsidRPr="002D6014">
        <w:t xml:space="preserve"> except on fair and just terms. This right ought to be expressed in general terms to ensure that it covers deprivations of property by any means</w:t>
      </w:r>
      <w:r w:rsidR="00E85AE8" w:rsidRPr="002D6014">
        <w:t>,</w:t>
      </w:r>
      <w:r w:rsidRPr="002D6014">
        <w:t xml:space="preserve"> and also deprivations of all forms of property including realty</w:t>
      </w:r>
      <w:r w:rsidR="00523139" w:rsidRPr="002D6014">
        <w:t>,</w:t>
      </w:r>
      <w:r w:rsidRPr="002D6014">
        <w:t xml:space="preserve"> intellectual property</w:t>
      </w:r>
      <w:r w:rsidR="00523139" w:rsidRPr="002D6014">
        <w:t>,</w:t>
      </w:r>
      <w:r w:rsidRPr="002D6014">
        <w:t xml:space="preserve"> and all other forms of personal property.</w:t>
      </w:r>
    </w:p>
    <w:p w:rsidR="007F7115" w:rsidRPr="002D6014" w:rsidRDefault="007F7115" w:rsidP="003218AB">
      <w:pPr>
        <w:pStyle w:val="Heading3"/>
      </w:pPr>
      <w:bookmarkStart w:id="27" w:name="_Toc448747771"/>
      <w:r w:rsidRPr="002D6014">
        <w:lastRenderedPageBreak/>
        <w:t xml:space="preserve">Right to </w:t>
      </w:r>
      <w:r w:rsidR="00635071" w:rsidRPr="002D6014">
        <w:t>s</w:t>
      </w:r>
      <w:r w:rsidR="00054438" w:rsidRPr="002D6014">
        <w:t>elf-determination</w:t>
      </w:r>
      <w:r w:rsidR="00A17ABE" w:rsidRPr="002D6014">
        <w:t xml:space="preserve"> and Aboriginal and Torres Strait Islander Queenslanders</w:t>
      </w:r>
      <w:bookmarkEnd w:id="27"/>
    </w:p>
    <w:p w:rsidR="002330F0" w:rsidRPr="002D6014" w:rsidRDefault="002330F0" w:rsidP="004902F3">
      <w:pPr>
        <w:pStyle w:val="VEOHRCBodytext"/>
        <w:numPr>
          <w:ilvl w:val="0"/>
          <w:numId w:val="5"/>
        </w:numPr>
        <w:spacing w:before="0"/>
        <w:rPr>
          <w:rFonts w:asciiTheme="minorHAnsi" w:hAnsiTheme="minorHAnsi" w:cstheme="minorHAnsi"/>
          <w:sz w:val="22"/>
          <w:szCs w:val="22"/>
        </w:rPr>
      </w:pPr>
      <w:r w:rsidRPr="002D6014">
        <w:rPr>
          <w:rFonts w:asciiTheme="minorHAnsi" w:hAnsiTheme="minorHAnsi" w:cstheme="minorHAnsi"/>
          <w:sz w:val="22"/>
          <w:szCs w:val="22"/>
        </w:rPr>
        <w:t xml:space="preserve">The right to self-determination is a strong theme in </w:t>
      </w:r>
      <w:r w:rsidR="00A17ABE" w:rsidRPr="002D6014">
        <w:rPr>
          <w:rFonts w:asciiTheme="minorHAnsi" w:hAnsiTheme="minorHAnsi" w:cstheme="minorHAnsi"/>
          <w:sz w:val="22"/>
          <w:szCs w:val="22"/>
        </w:rPr>
        <w:t xml:space="preserve">international </w:t>
      </w:r>
      <w:r w:rsidRPr="002D6014">
        <w:rPr>
          <w:rFonts w:asciiTheme="minorHAnsi" w:hAnsiTheme="minorHAnsi" w:cstheme="minorHAnsi"/>
          <w:sz w:val="22"/>
          <w:szCs w:val="22"/>
        </w:rPr>
        <w:t>human rights, enshrined in a number of United Nations instruments including the:</w:t>
      </w:r>
    </w:p>
    <w:p w:rsidR="002330F0" w:rsidRPr="00D95D9E" w:rsidRDefault="002330F0" w:rsidP="004902F3">
      <w:pPr>
        <w:numPr>
          <w:ilvl w:val="0"/>
          <w:numId w:val="1"/>
        </w:numPr>
        <w:tabs>
          <w:tab w:val="clear" w:pos="567"/>
          <w:tab w:val="clear" w:pos="1080"/>
        </w:tabs>
        <w:spacing w:before="120" w:after="120"/>
        <w:ind w:left="1276" w:hanging="425"/>
        <w:jc w:val="both"/>
        <w:rPr>
          <w:rFonts w:cstheme="minorHAnsi"/>
        </w:rPr>
      </w:pPr>
      <w:r w:rsidRPr="002D6014">
        <w:rPr>
          <w:rFonts w:cstheme="minorHAnsi"/>
          <w:i/>
        </w:rPr>
        <w:t>United Nations</w:t>
      </w:r>
      <w:r w:rsidRPr="00D95D9E">
        <w:rPr>
          <w:rFonts w:cstheme="minorHAnsi"/>
          <w:i/>
        </w:rPr>
        <w:t xml:space="preserve"> Charter</w:t>
      </w:r>
      <w:r w:rsidR="00635071" w:rsidRPr="00D95D9E">
        <w:rPr>
          <w:rFonts w:cstheme="minorHAnsi"/>
        </w:rPr>
        <w:t>;</w:t>
      </w:r>
    </w:p>
    <w:p w:rsidR="002330F0" w:rsidRPr="00D95D9E" w:rsidRDefault="002330F0" w:rsidP="004902F3">
      <w:pPr>
        <w:numPr>
          <w:ilvl w:val="0"/>
          <w:numId w:val="1"/>
        </w:numPr>
        <w:tabs>
          <w:tab w:val="clear" w:pos="567"/>
          <w:tab w:val="clear" w:pos="1080"/>
        </w:tabs>
        <w:spacing w:before="120" w:after="120"/>
        <w:ind w:left="1276" w:hanging="425"/>
        <w:jc w:val="both"/>
        <w:rPr>
          <w:rFonts w:cstheme="minorHAnsi"/>
        </w:rPr>
      </w:pPr>
      <w:r w:rsidRPr="002D6014">
        <w:rPr>
          <w:rFonts w:cstheme="minorHAnsi"/>
          <w:i/>
        </w:rPr>
        <w:t>International</w:t>
      </w:r>
      <w:r w:rsidRPr="00D95D9E">
        <w:rPr>
          <w:rFonts w:cstheme="minorHAnsi"/>
          <w:i/>
        </w:rPr>
        <w:t xml:space="preserve"> Covenant on Civil and Political Rights</w:t>
      </w:r>
      <w:r w:rsidRPr="00D95D9E">
        <w:rPr>
          <w:rFonts w:cstheme="minorHAnsi"/>
        </w:rPr>
        <w:t xml:space="preserve"> (ICCPR)</w:t>
      </w:r>
      <w:r w:rsidR="00635071" w:rsidRPr="00D95D9E">
        <w:rPr>
          <w:rFonts w:cstheme="minorHAnsi"/>
        </w:rPr>
        <w:t>;</w:t>
      </w:r>
    </w:p>
    <w:p w:rsidR="002330F0" w:rsidRPr="00D95D9E" w:rsidRDefault="002330F0" w:rsidP="004902F3">
      <w:pPr>
        <w:numPr>
          <w:ilvl w:val="0"/>
          <w:numId w:val="1"/>
        </w:numPr>
        <w:tabs>
          <w:tab w:val="clear" w:pos="567"/>
          <w:tab w:val="clear" w:pos="1080"/>
        </w:tabs>
        <w:spacing w:before="120" w:after="120"/>
        <w:ind w:left="1276" w:hanging="425"/>
        <w:jc w:val="both"/>
        <w:rPr>
          <w:rFonts w:cstheme="minorHAnsi"/>
        </w:rPr>
      </w:pPr>
      <w:r w:rsidRPr="002D6014">
        <w:rPr>
          <w:rFonts w:cstheme="minorHAnsi"/>
          <w:i/>
        </w:rPr>
        <w:t>International</w:t>
      </w:r>
      <w:r w:rsidRPr="00D95D9E">
        <w:rPr>
          <w:rFonts w:cstheme="minorHAnsi"/>
          <w:i/>
        </w:rPr>
        <w:t xml:space="preserve"> Covenant on Economic, Social and Cultural Rights</w:t>
      </w:r>
      <w:r w:rsidRPr="00D95D9E">
        <w:rPr>
          <w:rFonts w:cstheme="minorHAnsi"/>
        </w:rPr>
        <w:t xml:space="preserve"> (ICESCR)</w:t>
      </w:r>
      <w:r w:rsidR="00635071" w:rsidRPr="00D95D9E">
        <w:rPr>
          <w:rFonts w:cstheme="minorHAnsi"/>
        </w:rPr>
        <w:t>; and</w:t>
      </w:r>
      <w:r w:rsidRPr="00D95D9E">
        <w:rPr>
          <w:rFonts w:cstheme="minorHAnsi"/>
        </w:rPr>
        <w:t xml:space="preserve"> </w:t>
      </w:r>
    </w:p>
    <w:p w:rsidR="002330F0" w:rsidRPr="00D95D9E" w:rsidRDefault="002330F0" w:rsidP="004902F3">
      <w:pPr>
        <w:numPr>
          <w:ilvl w:val="0"/>
          <w:numId w:val="1"/>
        </w:numPr>
        <w:tabs>
          <w:tab w:val="clear" w:pos="567"/>
          <w:tab w:val="clear" w:pos="1080"/>
        </w:tabs>
        <w:spacing w:before="120"/>
        <w:ind w:left="1276" w:hanging="425"/>
        <w:jc w:val="both"/>
        <w:rPr>
          <w:rFonts w:cstheme="minorHAnsi"/>
        </w:rPr>
      </w:pPr>
      <w:r w:rsidRPr="002D6014">
        <w:rPr>
          <w:rFonts w:cstheme="minorHAnsi"/>
          <w:i/>
        </w:rPr>
        <w:t>Declaration</w:t>
      </w:r>
      <w:r w:rsidRPr="00D95D9E">
        <w:rPr>
          <w:rFonts w:cstheme="minorHAnsi"/>
          <w:i/>
        </w:rPr>
        <w:t xml:space="preserve"> on the Rights of Indigenous Peoples</w:t>
      </w:r>
      <w:r w:rsidRPr="00D95D9E">
        <w:rPr>
          <w:rFonts w:cstheme="minorHAnsi"/>
        </w:rPr>
        <w:t xml:space="preserve">. </w:t>
      </w:r>
    </w:p>
    <w:p w:rsidR="006F17F7" w:rsidRPr="002D6014" w:rsidRDefault="006F17F7" w:rsidP="001B0C9C">
      <w:pPr>
        <w:pStyle w:val="Default"/>
        <w:numPr>
          <w:ilvl w:val="0"/>
          <w:numId w:val="5"/>
        </w:numPr>
        <w:spacing w:after="240"/>
        <w:rPr>
          <w:rFonts w:asciiTheme="minorHAnsi" w:hAnsiTheme="minorHAnsi" w:cstheme="minorHAnsi"/>
          <w:sz w:val="22"/>
          <w:szCs w:val="22"/>
        </w:rPr>
      </w:pPr>
      <w:r w:rsidRPr="002D6014">
        <w:rPr>
          <w:rFonts w:asciiTheme="minorHAnsi" w:hAnsiTheme="minorHAnsi" w:cstheme="minorHAnsi"/>
          <w:sz w:val="22"/>
          <w:szCs w:val="22"/>
        </w:rPr>
        <w:t xml:space="preserve">In 1999, Patrick Dodson called for a </w:t>
      </w:r>
      <w:r w:rsidR="00635071" w:rsidRPr="002D6014">
        <w:rPr>
          <w:rFonts w:asciiTheme="minorHAnsi" w:hAnsiTheme="minorHAnsi" w:cstheme="minorHAnsi"/>
          <w:sz w:val="22"/>
          <w:szCs w:val="22"/>
        </w:rPr>
        <w:t>T</w:t>
      </w:r>
      <w:r w:rsidRPr="002D6014">
        <w:rPr>
          <w:rFonts w:asciiTheme="minorHAnsi" w:hAnsiTheme="minorHAnsi" w:cstheme="minorHAnsi"/>
          <w:sz w:val="22"/>
          <w:szCs w:val="22"/>
        </w:rPr>
        <w:t>reaty which recognised the right to all the common human rights and fundamental freedoms recognised in national and international law, as well as the distinct rights of Indigenous peoples. In 2002 Larissa Behrendt highlighted this speech as an example of an Indigenous expression of self-determination.</w:t>
      </w:r>
      <w:r w:rsidRPr="002D6014">
        <w:rPr>
          <w:rStyle w:val="FootnoteReference"/>
          <w:rFonts w:asciiTheme="minorHAnsi" w:hAnsiTheme="minorHAnsi" w:cstheme="minorHAnsi"/>
          <w:sz w:val="22"/>
          <w:szCs w:val="22"/>
        </w:rPr>
        <w:footnoteReference w:id="47"/>
      </w:r>
      <w:r w:rsidRPr="002D6014">
        <w:rPr>
          <w:rFonts w:asciiTheme="minorHAnsi" w:hAnsiTheme="minorHAnsi" w:cstheme="minorHAnsi"/>
          <w:sz w:val="22"/>
          <w:szCs w:val="22"/>
        </w:rPr>
        <w:t xml:space="preserve">  </w:t>
      </w:r>
    </w:p>
    <w:p w:rsidR="004D7694" w:rsidRPr="002D6014" w:rsidRDefault="004D7694" w:rsidP="001B0C9C">
      <w:pPr>
        <w:pStyle w:val="Default"/>
        <w:numPr>
          <w:ilvl w:val="0"/>
          <w:numId w:val="5"/>
        </w:numPr>
        <w:spacing w:after="240"/>
        <w:rPr>
          <w:rFonts w:asciiTheme="minorHAnsi" w:hAnsiTheme="minorHAnsi" w:cstheme="minorHAnsi"/>
          <w:i/>
          <w:color w:val="auto"/>
          <w:sz w:val="22"/>
          <w:szCs w:val="22"/>
        </w:rPr>
      </w:pPr>
      <w:r w:rsidRPr="002D6014">
        <w:rPr>
          <w:rFonts w:asciiTheme="minorHAnsi" w:hAnsiTheme="minorHAnsi" w:cstheme="minorHAnsi"/>
          <w:color w:val="auto"/>
          <w:sz w:val="22"/>
          <w:szCs w:val="22"/>
        </w:rPr>
        <w:t>Speaking in favour of a Human Rights Act for Queensland, Mick Gooda, A</w:t>
      </w:r>
      <w:r w:rsidR="00F036C0" w:rsidRPr="002D6014">
        <w:rPr>
          <w:rFonts w:asciiTheme="minorHAnsi" w:hAnsiTheme="minorHAnsi" w:cstheme="minorHAnsi"/>
          <w:color w:val="auto"/>
          <w:sz w:val="22"/>
          <w:szCs w:val="22"/>
        </w:rPr>
        <w:t xml:space="preserve">boriginal and </w:t>
      </w:r>
      <w:r w:rsidRPr="002D6014">
        <w:rPr>
          <w:rFonts w:asciiTheme="minorHAnsi" w:hAnsiTheme="minorHAnsi" w:cstheme="minorHAnsi"/>
          <w:color w:val="auto"/>
          <w:sz w:val="22"/>
          <w:szCs w:val="22"/>
        </w:rPr>
        <w:t>T</w:t>
      </w:r>
      <w:r w:rsidR="00F036C0" w:rsidRPr="002D6014">
        <w:rPr>
          <w:rFonts w:asciiTheme="minorHAnsi" w:hAnsiTheme="minorHAnsi" w:cstheme="minorHAnsi"/>
          <w:color w:val="auto"/>
          <w:sz w:val="22"/>
          <w:szCs w:val="22"/>
        </w:rPr>
        <w:t xml:space="preserve">orres </w:t>
      </w:r>
      <w:r w:rsidRPr="002D6014">
        <w:rPr>
          <w:rFonts w:asciiTheme="minorHAnsi" w:hAnsiTheme="minorHAnsi" w:cstheme="minorHAnsi"/>
          <w:color w:val="auto"/>
          <w:sz w:val="22"/>
          <w:szCs w:val="22"/>
        </w:rPr>
        <w:t>S</w:t>
      </w:r>
      <w:r w:rsidR="00F036C0" w:rsidRPr="002D6014">
        <w:rPr>
          <w:rFonts w:asciiTheme="minorHAnsi" w:hAnsiTheme="minorHAnsi" w:cstheme="minorHAnsi"/>
          <w:color w:val="auto"/>
          <w:sz w:val="22"/>
          <w:szCs w:val="22"/>
        </w:rPr>
        <w:t xml:space="preserve">trait </w:t>
      </w:r>
      <w:r w:rsidRPr="002D6014">
        <w:rPr>
          <w:rFonts w:asciiTheme="minorHAnsi" w:hAnsiTheme="minorHAnsi" w:cstheme="minorHAnsi"/>
          <w:color w:val="auto"/>
          <w:sz w:val="22"/>
          <w:szCs w:val="22"/>
        </w:rPr>
        <w:t>I</w:t>
      </w:r>
      <w:r w:rsidR="00F036C0" w:rsidRPr="002D6014">
        <w:rPr>
          <w:rFonts w:asciiTheme="minorHAnsi" w:hAnsiTheme="minorHAnsi" w:cstheme="minorHAnsi"/>
          <w:color w:val="auto"/>
          <w:sz w:val="22"/>
          <w:szCs w:val="22"/>
        </w:rPr>
        <w:t>slander</w:t>
      </w:r>
      <w:r w:rsidRPr="002D6014">
        <w:rPr>
          <w:rFonts w:asciiTheme="minorHAnsi" w:hAnsiTheme="minorHAnsi" w:cstheme="minorHAnsi"/>
          <w:color w:val="auto"/>
          <w:sz w:val="22"/>
          <w:szCs w:val="22"/>
        </w:rPr>
        <w:t xml:space="preserve"> Social Justice Commissioner with the Australian Human Rights Commission</w:t>
      </w:r>
      <w:r w:rsidR="00F036C0" w:rsidRPr="002D6014">
        <w:rPr>
          <w:rFonts w:asciiTheme="minorHAnsi" w:hAnsiTheme="minorHAnsi" w:cstheme="minorHAnsi"/>
          <w:color w:val="auto"/>
          <w:sz w:val="22"/>
          <w:szCs w:val="22"/>
        </w:rPr>
        <w:t>,</w:t>
      </w:r>
      <w:r w:rsidRPr="002D6014">
        <w:rPr>
          <w:rFonts w:asciiTheme="minorHAnsi" w:hAnsiTheme="minorHAnsi" w:cstheme="minorHAnsi"/>
          <w:color w:val="auto"/>
          <w:sz w:val="22"/>
          <w:szCs w:val="22"/>
        </w:rPr>
        <w:t xml:space="preserve"> questioned</w:t>
      </w:r>
      <w:r w:rsidR="00F036C0" w:rsidRPr="002D6014">
        <w:rPr>
          <w:rFonts w:asciiTheme="minorHAnsi" w:hAnsiTheme="minorHAnsi" w:cstheme="minorHAnsi"/>
          <w:color w:val="auto"/>
          <w:sz w:val="22"/>
          <w:szCs w:val="22"/>
        </w:rPr>
        <w:t>:</w:t>
      </w:r>
      <w:r w:rsidRPr="002D6014">
        <w:rPr>
          <w:rFonts w:asciiTheme="minorHAnsi" w:hAnsiTheme="minorHAnsi" w:cstheme="minorHAnsi"/>
          <w:color w:val="auto"/>
          <w:sz w:val="22"/>
          <w:szCs w:val="22"/>
        </w:rPr>
        <w:t xml:space="preserve"> </w:t>
      </w:r>
      <w:r w:rsidR="00F036C0" w:rsidRPr="002D6014">
        <w:rPr>
          <w:rFonts w:asciiTheme="minorHAnsi" w:hAnsiTheme="minorHAnsi" w:cstheme="minorHAnsi"/>
          <w:color w:val="auto"/>
          <w:sz w:val="22"/>
          <w:szCs w:val="22"/>
        </w:rPr>
        <w:t>‘</w:t>
      </w:r>
      <w:r w:rsidRPr="002D6014">
        <w:rPr>
          <w:rFonts w:asciiTheme="minorHAnsi" w:hAnsiTheme="minorHAnsi" w:cstheme="minorHAnsi"/>
          <w:color w:val="auto"/>
          <w:sz w:val="22"/>
          <w:szCs w:val="22"/>
        </w:rPr>
        <w:t>How do we actually reassure our mob that the Stolen Wages will never happen again in Queensland?  We need checks and balances.</w:t>
      </w:r>
      <w:r w:rsidR="00F036C0" w:rsidRPr="002D6014">
        <w:rPr>
          <w:rFonts w:asciiTheme="minorHAnsi" w:hAnsiTheme="minorHAnsi" w:cstheme="minorHAnsi"/>
          <w:color w:val="auto"/>
          <w:sz w:val="22"/>
          <w:szCs w:val="22"/>
        </w:rPr>
        <w:t>’</w:t>
      </w:r>
    </w:p>
    <w:p w:rsidR="002330F0" w:rsidRPr="002D6014" w:rsidRDefault="002330F0" w:rsidP="00693840">
      <w:pPr>
        <w:pStyle w:val="Default"/>
        <w:numPr>
          <w:ilvl w:val="0"/>
          <w:numId w:val="5"/>
        </w:numPr>
        <w:spacing w:after="120"/>
        <w:rPr>
          <w:rFonts w:asciiTheme="minorHAnsi" w:hAnsiTheme="minorHAnsi" w:cstheme="minorHAnsi"/>
          <w:sz w:val="22"/>
          <w:szCs w:val="22"/>
        </w:rPr>
      </w:pPr>
      <w:r w:rsidRPr="002D6014">
        <w:rPr>
          <w:rFonts w:asciiTheme="minorHAnsi" w:hAnsiTheme="minorHAnsi" w:cstheme="minorHAnsi"/>
          <w:sz w:val="22"/>
          <w:szCs w:val="22"/>
        </w:rPr>
        <w:t xml:space="preserve">The Victorian </w:t>
      </w:r>
      <w:r w:rsidR="0092560D" w:rsidRPr="002D6014">
        <w:rPr>
          <w:rFonts w:asciiTheme="minorHAnsi" w:hAnsiTheme="minorHAnsi" w:cstheme="minorHAnsi"/>
          <w:sz w:val="22"/>
          <w:szCs w:val="22"/>
        </w:rPr>
        <w:t xml:space="preserve">Charter </w:t>
      </w:r>
      <w:r w:rsidRPr="002D6014">
        <w:rPr>
          <w:rFonts w:asciiTheme="minorHAnsi" w:hAnsiTheme="minorHAnsi" w:cstheme="minorHAnsi"/>
          <w:sz w:val="22"/>
          <w:szCs w:val="22"/>
        </w:rPr>
        <w:t>protects cultural rights and specifically applies to Aboriginal people</w:t>
      </w:r>
      <w:r w:rsidR="000923B4" w:rsidRPr="002D6014">
        <w:rPr>
          <w:rFonts w:asciiTheme="minorHAnsi" w:hAnsiTheme="minorHAnsi" w:cstheme="minorHAnsi"/>
          <w:sz w:val="22"/>
          <w:szCs w:val="22"/>
        </w:rPr>
        <w:t>, stating at section 19</w:t>
      </w:r>
      <w:r w:rsidRPr="002D6014">
        <w:rPr>
          <w:rFonts w:asciiTheme="minorHAnsi" w:hAnsiTheme="minorHAnsi" w:cstheme="minorHAnsi"/>
          <w:sz w:val="22"/>
          <w:szCs w:val="22"/>
        </w:rPr>
        <w:t xml:space="preserve">: </w:t>
      </w:r>
    </w:p>
    <w:p w:rsidR="000923B4" w:rsidRPr="00BE54B3" w:rsidRDefault="000923B4" w:rsidP="00BE54B3">
      <w:pPr>
        <w:pStyle w:val="NormalWeb"/>
        <w:spacing w:before="120" w:beforeAutospacing="0" w:after="120"/>
        <w:ind w:left="1701" w:right="1083" w:hanging="567"/>
        <w:rPr>
          <w:rFonts w:ascii="Arial" w:hAnsi="Arial" w:cs="Arial"/>
          <w:sz w:val="20"/>
          <w:szCs w:val="20"/>
        </w:rPr>
      </w:pPr>
      <w:r w:rsidRPr="00BE54B3">
        <w:rPr>
          <w:rFonts w:ascii="Arial" w:hAnsi="Arial" w:cs="Arial"/>
          <w:sz w:val="20"/>
          <w:szCs w:val="20"/>
        </w:rPr>
        <w:t xml:space="preserve">‘(1)     All </w:t>
      </w:r>
      <w:r w:rsidRPr="00BE54B3">
        <w:rPr>
          <w:rFonts w:ascii="Arial" w:eastAsiaTheme="majorEastAsia" w:hAnsi="Arial" w:cs="Arial"/>
          <w:sz w:val="20"/>
          <w:szCs w:val="20"/>
        </w:rPr>
        <w:t>persons</w:t>
      </w:r>
      <w:r w:rsidRPr="00BE54B3">
        <w:rPr>
          <w:rFonts w:ascii="Arial" w:hAnsi="Arial" w:cs="Arial"/>
          <w:sz w:val="20"/>
          <w:szCs w:val="20"/>
        </w:rPr>
        <w:t xml:space="preserve"> with a particular cultural, religious, racial or linguistic background must not be denied the right, in community with other </w:t>
      </w:r>
      <w:r w:rsidRPr="00BE54B3">
        <w:rPr>
          <w:rFonts w:ascii="Arial" w:eastAsiaTheme="majorEastAsia" w:hAnsi="Arial" w:cs="Arial"/>
          <w:sz w:val="20"/>
          <w:szCs w:val="20"/>
        </w:rPr>
        <w:t>persons</w:t>
      </w:r>
      <w:r w:rsidRPr="00BE54B3">
        <w:rPr>
          <w:rFonts w:ascii="Arial" w:hAnsi="Arial" w:cs="Arial"/>
          <w:sz w:val="20"/>
          <w:szCs w:val="20"/>
        </w:rPr>
        <w:t xml:space="preserve"> of that background, to enjoy his or her culture, to declare and practise his or her religion and to use his or her language. </w:t>
      </w:r>
    </w:p>
    <w:p w:rsidR="000923B4" w:rsidRPr="00BE54B3" w:rsidRDefault="000923B4" w:rsidP="00BE54B3">
      <w:pPr>
        <w:pStyle w:val="NormalWeb"/>
        <w:spacing w:before="120" w:beforeAutospacing="0" w:after="120"/>
        <w:ind w:left="1701" w:right="1083" w:hanging="567"/>
        <w:rPr>
          <w:rFonts w:ascii="Arial" w:hAnsi="Arial" w:cs="Arial"/>
          <w:sz w:val="20"/>
          <w:szCs w:val="20"/>
        </w:rPr>
      </w:pPr>
      <w:r w:rsidRPr="00BE54B3">
        <w:rPr>
          <w:rFonts w:ascii="Arial" w:hAnsi="Arial" w:cs="Arial"/>
          <w:sz w:val="20"/>
          <w:szCs w:val="20"/>
        </w:rPr>
        <w:t xml:space="preserve">(2)     </w:t>
      </w:r>
      <w:r w:rsidRPr="00BE54B3">
        <w:rPr>
          <w:rFonts w:ascii="Arial" w:hAnsi="Arial" w:cs="Arial"/>
          <w:bCs/>
          <w:sz w:val="20"/>
          <w:szCs w:val="20"/>
        </w:rPr>
        <w:t> </w:t>
      </w:r>
      <w:r w:rsidRPr="00BE54B3">
        <w:rPr>
          <w:rFonts w:ascii="Arial" w:eastAsiaTheme="majorEastAsia" w:hAnsi="Arial" w:cs="Arial"/>
          <w:sz w:val="20"/>
          <w:szCs w:val="20"/>
        </w:rPr>
        <w:t>Aboriginal</w:t>
      </w:r>
      <w:r w:rsidRPr="00BE54B3">
        <w:rPr>
          <w:rFonts w:ascii="Arial" w:hAnsi="Arial" w:cs="Arial"/>
          <w:sz w:val="20"/>
          <w:szCs w:val="20"/>
        </w:rPr>
        <w:t xml:space="preserve"> </w:t>
      </w:r>
      <w:r w:rsidRPr="00BE54B3">
        <w:rPr>
          <w:rFonts w:ascii="Arial" w:eastAsiaTheme="majorEastAsia" w:hAnsi="Arial" w:cs="Arial"/>
          <w:sz w:val="20"/>
          <w:szCs w:val="20"/>
        </w:rPr>
        <w:t>persons</w:t>
      </w:r>
      <w:r w:rsidRPr="00BE54B3">
        <w:rPr>
          <w:rFonts w:ascii="Arial" w:hAnsi="Arial" w:cs="Arial"/>
          <w:sz w:val="20"/>
          <w:szCs w:val="20"/>
        </w:rPr>
        <w:t xml:space="preserve"> hold distinct cultural rights and must not be denied the right, with other members of their community— </w:t>
      </w:r>
    </w:p>
    <w:p w:rsidR="000923B4" w:rsidRPr="00BE54B3" w:rsidRDefault="000923B4" w:rsidP="00BE54B3">
      <w:pPr>
        <w:pStyle w:val="NormalWeb"/>
        <w:spacing w:before="120" w:beforeAutospacing="0" w:after="120"/>
        <w:ind w:left="1134" w:right="1083"/>
        <w:rPr>
          <w:rFonts w:ascii="Arial" w:hAnsi="Arial" w:cs="Arial"/>
          <w:sz w:val="20"/>
          <w:szCs w:val="20"/>
        </w:rPr>
      </w:pPr>
      <w:r w:rsidRPr="00BE54B3">
        <w:rPr>
          <w:rFonts w:ascii="Arial" w:hAnsi="Arial" w:cs="Arial"/>
          <w:sz w:val="20"/>
          <w:szCs w:val="20"/>
        </w:rPr>
        <w:t xml:space="preserve">        (a)     </w:t>
      </w:r>
      <w:proofErr w:type="gramStart"/>
      <w:r w:rsidRPr="00BE54B3">
        <w:rPr>
          <w:rFonts w:ascii="Arial" w:hAnsi="Arial" w:cs="Arial"/>
          <w:sz w:val="20"/>
          <w:szCs w:val="20"/>
        </w:rPr>
        <w:t>to</w:t>
      </w:r>
      <w:proofErr w:type="gramEnd"/>
      <w:r w:rsidRPr="00BE54B3">
        <w:rPr>
          <w:rFonts w:ascii="Arial" w:hAnsi="Arial" w:cs="Arial"/>
          <w:sz w:val="20"/>
          <w:szCs w:val="20"/>
        </w:rPr>
        <w:t xml:space="preserve"> enjoy their identity and culture; and </w:t>
      </w:r>
    </w:p>
    <w:p w:rsidR="000923B4" w:rsidRPr="00BE54B3" w:rsidRDefault="000923B4" w:rsidP="00BE54B3">
      <w:pPr>
        <w:pStyle w:val="NormalWeb"/>
        <w:spacing w:before="120" w:beforeAutospacing="0" w:after="120"/>
        <w:ind w:left="1134" w:right="1083"/>
        <w:rPr>
          <w:rFonts w:ascii="Arial" w:hAnsi="Arial" w:cs="Arial"/>
          <w:sz w:val="20"/>
          <w:szCs w:val="20"/>
        </w:rPr>
      </w:pPr>
      <w:r w:rsidRPr="00BE54B3">
        <w:rPr>
          <w:rFonts w:ascii="Arial" w:hAnsi="Arial" w:cs="Arial"/>
          <w:sz w:val="20"/>
          <w:szCs w:val="20"/>
        </w:rPr>
        <w:t xml:space="preserve">        (b)     </w:t>
      </w:r>
      <w:proofErr w:type="gramStart"/>
      <w:r w:rsidRPr="00BE54B3">
        <w:rPr>
          <w:rFonts w:ascii="Arial" w:hAnsi="Arial" w:cs="Arial"/>
          <w:sz w:val="20"/>
          <w:szCs w:val="20"/>
        </w:rPr>
        <w:t>to</w:t>
      </w:r>
      <w:proofErr w:type="gramEnd"/>
      <w:r w:rsidRPr="00BE54B3">
        <w:rPr>
          <w:rFonts w:ascii="Arial" w:hAnsi="Arial" w:cs="Arial"/>
          <w:sz w:val="20"/>
          <w:szCs w:val="20"/>
        </w:rPr>
        <w:t xml:space="preserve"> maintain and use their language; and </w:t>
      </w:r>
    </w:p>
    <w:p w:rsidR="000923B4" w:rsidRPr="00BE54B3" w:rsidRDefault="000923B4" w:rsidP="00BE54B3">
      <w:pPr>
        <w:pStyle w:val="NormalWeb"/>
        <w:spacing w:before="120" w:beforeAutospacing="0" w:after="120"/>
        <w:ind w:left="1134" w:right="1083"/>
        <w:rPr>
          <w:rFonts w:ascii="Arial" w:hAnsi="Arial" w:cs="Arial"/>
          <w:sz w:val="20"/>
          <w:szCs w:val="20"/>
        </w:rPr>
      </w:pPr>
      <w:r w:rsidRPr="00BE54B3">
        <w:rPr>
          <w:rFonts w:ascii="Arial" w:hAnsi="Arial" w:cs="Arial"/>
          <w:sz w:val="20"/>
          <w:szCs w:val="20"/>
        </w:rPr>
        <w:t xml:space="preserve">        (c)     </w:t>
      </w:r>
      <w:proofErr w:type="gramStart"/>
      <w:r w:rsidRPr="00BE54B3">
        <w:rPr>
          <w:rFonts w:ascii="Arial" w:hAnsi="Arial" w:cs="Arial"/>
          <w:sz w:val="20"/>
          <w:szCs w:val="20"/>
        </w:rPr>
        <w:t>to</w:t>
      </w:r>
      <w:proofErr w:type="gramEnd"/>
      <w:r w:rsidRPr="00BE54B3">
        <w:rPr>
          <w:rFonts w:ascii="Arial" w:hAnsi="Arial" w:cs="Arial"/>
          <w:sz w:val="20"/>
          <w:szCs w:val="20"/>
        </w:rPr>
        <w:t xml:space="preserve"> maintain their kinship ties; and </w:t>
      </w:r>
    </w:p>
    <w:p w:rsidR="000923B4" w:rsidRPr="002D6014" w:rsidRDefault="000923B4" w:rsidP="00D91097">
      <w:pPr>
        <w:pStyle w:val="NormalWeb"/>
        <w:spacing w:before="120" w:beforeAutospacing="0" w:after="240"/>
        <w:ind w:left="2126" w:right="1083" w:hanging="567"/>
        <w:rPr>
          <w:rFonts w:asciiTheme="minorHAnsi" w:hAnsiTheme="minorHAnsi" w:cstheme="minorHAnsi"/>
          <w:sz w:val="20"/>
          <w:szCs w:val="20"/>
        </w:rPr>
      </w:pPr>
      <w:r w:rsidRPr="002D6014">
        <w:rPr>
          <w:rFonts w:asciiTheme="minorHAnsi" w:hAnsiTheme="minorHAnsi" w:cstheme="minorHAnsi"/>
          <w:sz w:val="20"/>
          <w:szCs w:val="20"/>
        </w:rPr>
        <w:t xml:space="preserve">(d)     </w:t>
      </w:r>
      <w:proofErr w:type="gramStart"/>
      <w:r w:rsidRPr="002D6014">
        <w:rPr>
          <w:rFonts w:asciiTheme="minorHAnsi" w:hAnsiTheme="minorHAnsi" w:cstheme="minorHAnsi"/>
          <w:sz w:val="20"/>
          <w:szCs w:val="20"/>
        </w:rPr>
        <w:t>to</w:t>
      </w:r>
      <w:proofErr w:type="gramEnd"/>
      <w:r w:rsidRPr="002D6014">
        <w:rPr>
          <w:rFonts w:asciiTheme="minorHAnsi" w:hAnsiTheme="minorHAnsi" w:cstheme="minorHAnsi"/>
          <w:sz w:val="20"/>
          <w:szCs w:val="20"/>
        </w:rPr>
        <w:t xml:space="preserve"> maintain their distinctive spiritual, material and economic relationship with the land and waters and other resources with which they have a connection under traditional laws and customs.</w:t>
      </w:r>
      <w:r w:rsidR="005E061B" w:rsidRPr="002D6014">
        <w:rPr>
          <w:rFonts w:asciiTheme="minorHAnsi" w:hAnsiTheme="minorHAnsi" w:cstheme="minorHAnsi"/>
          <w:sz w:val="20"/>
          <w:szCs w:val="20"/>
        </w:rPr>
        <w:t>’</w:t>
      </w:r>
      <w:r w:rsidRPr="002D6014">
        <w:rPr>
          <w:rFonts w:asciiTheme="minorHAnsi" w:hAnsiTheme="minorHAnsi" w:cstheme="minorHAnsi"/>
          <w:sz w:val="20"/>
          <w:szCs w:val="20"/>
        </w:rPr>
        <w:t xml:space="preserve"> </w:t>
      </w:r>
    </w:p>
    <w:p w:rsidR="00C36509" w:rsidRPr="002D6014" w:rsidRDefault="00C36509" w:rsidP="00D91097">
      <w:pPr>
        <w:pStyle w:val="VEOHRCBodytext"/>
        <w:numPr>
          <w:ilvl w:val="0"/>
          <w:numId w:val="5"/>
        </w:numPr>
        <w:spacing w:before="0"/>
        <w:rPr>
          <w:rFonts w:asciiTheme="minorHAnsi" w:hAnsiTheme="minorHAnsi" w:cstheme="minorHAnsi"/>
          <w:sz w:val="22"/>
          <w:szCs w:val="22"/>
        </w:rPr>
      </w:pPr>
      <w:r w:rsidRPr="002D6014">
        <w:rPr>
          <w:rFonts w:asciiTheme="minorHAnsi" w:hAnsiTheme="minorHAnsi" w:cstheme="minorHAnsi"/>
          <w:sz w:val="22"/>
          <w:szCs w:val="22"/>
        </w:rPr>
        <w:t>The ACT Act has a similar recognition in its pream</w:t>
      </w:r>
      <w:r w:rsidR="002546D5" w:rsidRPr="002D6014">
        <w:rPr>
          <w:rFonts w:asciiTheme="minorHAnsi" w:hAnsiTheme="minorHAnsi" w:cstheme="minorHAnsi"/>
          <w:sz w:val="22"/>
          <w:szCs w:val="22"/>
        </w:rPr>
        <w:t>ble:</w:t>
      </w:r>
      <w:r w:rsidRPr="002D6014">
        <w:rPr>
          <w:rFonts w:asciiTheme="minorHAnsi" w:hAnsiTheme="minorHAnsi" w:cstheme="minorHAnsi"/>
          <w:sz w:val="22"/>
          <w:szCs w:val="22"/>
        </w:rPr>
        <w:t xml:space="preserve"> </w:t>
      </w:r>
    </w:p>
    <w:p w:rsidR="00C36509" w:rsidRPr="002D6014" w:rsidRDefault="005E061B" w:rsidP="00D91097">
      <w:pPr>
        <w:tabs>
          <w:tab w:val="clear" w:pos="567"/>
        </w:tabs>
        <w:autoSpaceDE w:val="0"/>
        <w:autoSpaceDN w:val="0"/>
        <w:adjustRightInd w:val="0"/>
        <w:ind w:left="1134" w:right="1083"/>
        <w:rPr>
          <w:sz w:val="20"/>
          <w:szCs w:val="20"/>
        </w:rPr>
      </w:pPr>
      <w:r w:rsidRPr="002D6014">
        <w:rPr>
          <w:rFonts w:cstheme="minorHAnsi"/>
          <w:sz w:val="20"/>
          <w:szCs w:val="20"/>
        </w:rPr>
        <w:t>‘</w:t>
      </w:r>
      <w:r w:rsidR="00C36509" w:rsidRPr="002D6014">
        <w:rPr>
          <w:rFonts w:cstheme="minorHAnsi"/>
          <w:sz w:val="20"/>
          <w:szCs w:val="20"/>
        </w:rPr>
        <w:t xml:space="preserve">Although human rights belong to all individuals, they have special significance for Aboriginal and Torres Strait Islander peoples—the first owners of this land, members of its most enduring cultures, and individuals for whom the issue of rights protection has great and </w:t>
      </w:r>
      <w:r w:rsidR="00C36509" w:rsidRPr="002D6014">
        <w:rPr>
          <w:sz w:val="20"/>
          <w:szCs w:val="20"/>
        </w:rPr>
        <w:t>continuing importance.</w:t>
      </w:r>
      <w:r w:rsidRPr="002D6014">
        <w:rPr>
          <w:sz w:val="20"/>
          <w:szCs w:val="20"/>
        </w:rPr>
        <w:t>’</w:t>
      </w:r>
    </w:p>
    <w:p w:rsidR="00855964" w:rsidRPr="002D6014" w:rsidRDefault="002546D5" w:rsidP="00D91097">
      <w:pPr>
        <w:pStyle w:val="VEOHRCBodytext"/>
        <w:numPr>
          <w:ilvl w:val="0"/>
          <w:numId w:val="5"/>
        </w:numPr>
        <w:spacing w:before="0"/>
        <w:rPr>
          <w:rFonts w:asciiTheme="minorHAnsi" w:hAnsiTheme="minorHAnsi" w:cstheme="minorHAnsi"/>
          <w:sz w:val="22"/>
          <w:szCs w:val="22"/>
        </w:rPr>
      </w:pPr>
      <w:r w:rsidRPr="002D6014">
        <w:rPr>
          <w:rFonts w:asciiTheme="minorHAnsi" w:hAnsiTheme="minorHAnsi" w:cstheme="minorHAnsi"/>
          <w:sz w:val="22"/>
          <w:szCs w:val="22"/>
        </w:rPr>
        <w:t>The Victorian</w:t>
      </w:r>
      <w:r w:rsidR="00A17ABE" w:rsidRPr="002D6014">
        <w:rPr>
          <w:rFonts w:asciiTheme="minorHAnsi" w:hAnsiTheme="minorHAnsi" w:cstheme="minorHAnsi"/>
          <w:sz w:val="22"/>
          <w:szCs w:val="22"/>
        </w:rPr>
        <w:t xml:space="preserve"> Equal Opportunity and Human Rights</w:t>
      </w:r>
      <w:r w:rsidRPr="002D6014">
        <w:rPr>
          <w:rFonts w:asciiTheme="minorHAnsi" w:hAnsiTheme="minorHAnsi" w:cstheme="minorHAnsi"/>
          <w:sz w:val="22"/>
          <w:szCs w:val="22"/>
        </w:rPr>
        <w:t xml:space="preserve"> Commission</w:t>
      </w:r>
      <w:r w:rsidR="00F224AE" w:rsidRPr="002D6014">
        <w:rPr>
          <w:rFonts w:asciiTheme="minorHAnsi" w:hAnsiTheme="minorHAnsi" w:cstheme="minorHAnsi"/>
          <w:sz w:val="22"/>
          <w:szCs w:val="22"/>
        </w:rPr>
        <w:t>,</w:t>
      </w:r>
      <w:r w:rsidRPr="002D6014">
        <w:rPr>
          <w:rFonts w:asciiTheme="minorHAnsi" w:hAnsiTheme="minorHAnsi" w:cstheme="minorHAnsi"/>
          <w:sz w:val="22"/>
          <w:szCs w:val="22"/>
        </w:rPr>
        <w:t xml:space="preserve"> with Professor Larissa Behrendt and Alison Vivian</w:t>
      </w:r>
      <w:r w:rsidR="00F224AE" w:rsidRPr="002D6014">
        <w:rPr>
          <w:rFonts w:asciiTheme="minorHAnsi" w:hAnsiTheme="minorHAnsi" w:cstheme="minorHAnsi"/>
          <w:sz w:val="22"/>
          <w:szCs w:val="22"/>
        </w:rPr>
        <w:t>,</w:t>
      </w:r>
      <w:r w:rsidRPr="002D6014">
        <w:rPr>
          <w:rFonts w:asciiTheme="minorHAnsi" w:hAnsiTheme="minorHAnsi" w:cstheme="minorHAnsi"/>
          <w:sz w:val="22"/>
          <w:szCs w:val="22"/>
        </w:rPr>
        <w:t xml:space="preserve"> engaged in consultation with the Victorian Indigenous community about the inclusion of self</w:t>
      </w:r>
      <w:r w:rsidR="00A17ABE" w:rsidRPr="002D6014">
        <w:rPr>
          <w:rFonts w:asciiTheme="minorHAnsi" w:hAnsiTheme="minorHAnsi" w:cstheme="minorHAnsi"/>
          <w:sz w:val="22"/>
          <w:szCs w:val="22"/>
        </w:rPr>
        <w:t>-</w:t>
      </w:r>
      <w:r w:rsidRPr="002D6014">
        <w:rPr>
          <w:rFonts w:asciiTheme="minorHAnsi" w:hAnsiTheme="minorHAnsi" w:cstheme="minorHAnsi"/>
          <w:sz w:val="22"/>
          <w:szCs w:val="22"/>
        </w:rPr>
        <w:t>determination</w:t>
      </w:r>
      <w:r w:rsidR="00810359" w:rsidRPr="002D6014">
        <w:rPr>
          <w:rFonts w:asciiTheme="minorHAnsi" w:hAnsiTheme="minorHAnsi" w:cstheme="minorHAnsi"/>
          <w:sz w:val="22"/>
          <w:szCs w:val="22"/>
        </w:rPr>
        <w:t xml:space="preserve"> in their C</w:t>
      </w:r>
      <w:r w:rsidR="00A17ABE" w:rsidRPr="002D6014">
        <w:rPr>
          <w:rFonts w:asciiTheme="minorHAnsi" w:hAnsiTheme="minorHAnsi" w:cstheme="minorHAnsi"/>
          <w:sz w:val="22"/>
          <w:szCs w:val="22"/>
        </w:rPr>
        <w:t>harter</w:t>
      </w:r>
      <w:r w:rsidRPr="002D6014">
        <w:rPr>
          <w:rFonts w:asciiTheme="minorHAnsi" w:hAnsiTheme="minorHAnsi" w:cstheme="minorHAnsi"/>
          <w:sz w:val="22"/>
          <w:szCs w:val="22"/>
        </w:rPr>
        <w:t>.</w:t>
      </w:r>
      <w:r w:rsidR="00D72F16" w:rsidRPr="002D6014">
        <w:rPr>
          <w:rStyle w:val="FootnoteReference"/>
          <w:rFonts w:asciiTheme="minorHAnsi" w:hAnsiTheme="minorHAnsi" w:cstheme="minorHAnsi"/>
          <w:sz w:val="22"/>
          <w:szCs w:val="22"/>
        </w:rPr>
        <w:footnoteReference w:id="48"/>
      </w:r>
      <w:r w:rsidRPr="002D6014">
        <w:rPr>
          <w:rFonts w:asciiTheme="minorHAnsi" w:hAnsiTheme="minorHAnsi" w:cstheme="minorHAnsi"/>
          <w:sz w:val="22"/>
          <w:szCs w:val="22"/>
        </w:rPr>
        <w:t xml:space="preserve">  This </w:t>
      </w:r>
      <w:r w:rsidRPr="002D6014">
        <w:rPr>
          <w:rFonts w:asciiTheme="minorHAnsi" w:hAnsiTheme="minorHAnsi" w:cstheme="minorHAnsi"/>
          <w:sz w:val="22"/>
          <w:szCs w:val="22"/>
        </w:rPr>
        <w:lastRenderedPageBreak/>
        <w:t xml:space="preserve">consultation found general support for the inclusion of </w:t>
      </w:r>
      <w:r w:rsidR="00A17ABE" w:rsidRPr="002D6014">
        <w:rPr>
          <w:rFonts w:asciiTheme="minorHAnsi" w:hAnsiTheme="minorHAnsi" w:cstheme="minorHAnsi"/>
          <w:sz w:val="22"/>
          <w:szCs w:val="22"/>
        </w:rPr>
        <w:t>this</w:t>
      </w:r>
      <w:r w:rsidRPr="002D6014">
        <w:rPr>
          <w:rFonts w:asciiTheme="minorHAnsi" w:hAnsiTheme="minorHAnsi" w:cstheme="minorHAnsi"/>
          <w:sz w:val="22"/>
          <w:szCs w:val="22"/>
        </w:rPr>
        <w:t xml:space="preserve"> right. In this </w:t>
      </w:r>
      <w:r w:rsidR="00E82426" w:rsidRPr="002D6014">
        <w:rPr>
          <w:rFonts w:asciiTheme="minorHAnsi" w:hAnsiTheme="minorHAnsi" w:cstheme="minorHAnsi"/>
          <w:sz w:val="22"/>
          <w:szCs w:val="22"/>
        </w:rPr>
        <w:t>paper</w:t>
      </w:r>
      <w:r w:rsidRPr="002D6014">
        <w:rPr>
          <w:rFonts w:asciiTheme="minorHAnsi" w:hAnsiTheme="minorHAnsi" w:cstheme="minorHAnsi"/>
          <w:sz w:val="22"/>
          <w:szCs w:val="22"/>
        </w:rPr>
        <w:t>, decisions of international t</w:t>
      </w:r>
      <w:r w:rsidR="00855964" w:rsidRPr="002D6014">
        <w:rPr>
          <w:rFonts w:asciiTheme="minorHAnsi" w:hAnsiTheme="minorHAnsi" w:cstheme="minorHAnsi"/>
          <w:sz w:val="22"/>
          <w:szCs w:val="22"/>
        </w:rPr>
        <w:t xml:space="preserve">reaty-monitoring bodies </w:t>
      </w:r>
      <w:r w:rsidRPr="002D6014">
        <w:rPr>
          <w:rFonts w:asciiTheme="minorHAnsi" w:hAnsiTheme="minorHAnsi" w:cstheme="minorHAnsi"/>
          <w:sz w:val="22"/>
          <w:szCs w:val="22"/>
        </w:rPr>
        <w:t xml:space="preserve">on self-determination were described to help </w:t>
      </w:r>
      <w:r w:rsidR="00A17ABE" w:rsidRPr="002D6014">
        <w:rPr>
          <w:rFonts w:asciiTheme="minorHAnsi" w:hAnsiTheme="minorHAnsi" w:cstheme="minorHAnsi"/>
          <w:sz w:val="22"/>
          <w:szCs w:val="22"/>
        </w:rPr>
        <w:t>understand</w:t>
      </w:r>
      <w:r w:rsidRPr="002D6014">
        <w:rPr>
          <w:rFonts w:asciiTheme="minorHAnsi" w:hAnsiTheme="minorHAnsi" w:cstheme="minorHAnsi"/>
          <w:sz w:val="22"/>
          <w:szCs w:val="22"/>
        </w:rPr>
        <w:t xml:space="preserve"> what self-determination might mean in practice. Some examples from this </w:t>
      </w:r>
      <w:r w:rsidR="00E82426" w:rsidRPr="002D6014">
        <w:rPr>
          <w:rFonts w:asciiTheme="minorHAnsi" w:hAnsiTheme="minorHAnsi" w:cstheme="minorHAnsi"/>
          <w:sz w:val="22"/>
          <w:szCs w:val="22"/>
        </w:rPr>
        <w:t xml:space="preserve">paper </w:t>
      </w:r>
      <w:r w:rsidRPr="002D6014">
        <w:rPr>
          <w:rFonts w:asciiTheme="minorHAnsi" w:hAnsiTheme="minorHAnsi" w:cstheme="minorHAnsi"/>
          <w:sz w:val="22"/>
          <w:szCs w:val="22"/>
        </w:rPr>
        <w:t xml:space="preserve">include where </w:t>
      </w:r>
      <w:r w:rsidR="00A17ABE" w:rsidRPr="002D6014">
        <w:rPr>
          <w:rFonts w:asciiTheme="minorHAnsi" w:hAnsiTheme="minorHAnsi" w:cstheme="minorHAnsi"/>
          <w:sz w:val="22"/>
          <w:szCs w:val="22"/>
        </w:rPr>
        <w:t>treaty monitoring bodies</w:t>
      </w:r>
      <w:r w:rsidRPr="002D6014">
        <w:rPr>
          <w:rFonts w:asciiTheme="minorHAnsi" w:hAnsiTheme="minorHAnsi" w:cstheme="minorHAnsi"/>
          <w:sz w:val="22"/>
          <w:szCs w:val="22"/>
        </w:rPr>
        <w:t xml:space="preserve">: </w:t>
      </w:r>
    </w:p>
    <w:p w:rsidR="00855964" w:rsidRPr="002D6014" w:rsidRDefault="00855964" w:rsidP="004902F3">
      <w:pPr>
        <w:numPr>
          <w:ilvl w:val="0"/>
          <w:numId w:val="1"/>
        </w:numPr>
        <w:tabs>
          <w:tab w:val="clear" w:pos="567"/>
          <w:tab w:val="clear" w:pos="1080"/>
        </w:tabs>
        <w:spacing w:before="120" w:after="120"/>
        <w:ind w:left="1276" w:hanging="425"/>
        <w:jc w:val="both"/>
        <w:rPr>
          <w:rFonts w:cstheme="minorHAnsi"/>
        </w:rPr>
      </w:pPr>
      <w:r w:rsidRPr="002D6014">
        <w:rPr>
          <w:rFonts w:cstheme="minorHAnsi"/>
        </w:rPr>
        <w:t>emphasised the essential requirement for Indigenous participation in decisions that affect them (CERD requires informed consent)</w:t>
      </w:r>
      <w:r w:rsidR="00E82426" w:rsidRPr="002D6014">
        <w:rPr>
          <w:rFonts w:cstheme="minorHAnsi"/>
        </w:rPr>
        <w:t>;</w:t>
      </w:r>
    </w:p>
    <w:p w:rsidR="00855964" w:rsidRPr="002D6014" w:rsidRDefault="00855964" w:rsidP="004902F3">
      <w:pPr>
        <w:numPr>
          <w:ilvl w:val="0"/>
          <w:numId w:val="1"/>
        </w:numPr>
        <w:tabs>
          <w:tab w:val="clear" w:pos="567"/>
          <w:tab w:val="clear" w:pos="1080"/>
        </w:tabs>
        <w:spacing w:before="120" w:after="120"/>
        <w:ind w:left="1276" w:hanging="425"/>
        <w:jc w:val="both"/>
        <w:rPr>
          <w:rFonts w:cstheme="minorHAnsi"/>
        </w:rPr>
      </w:pPr>
      <w:r w:rsidRPr="002D6014">
        <w:rPr>
          <w:rFonts w:cstheme="minorHAnsi"/>
        </w:rPr>
        <w:t xml:space="preserve">called for increased Indigenous participation in </w:t>
      </w:r>
      <w:r w:rsidR="00E82426" w:rsidRPr="002D6014">
        <w:rPr>
          <w:rFonts w:cstheme="minorHAnsi"/>
        </w:rPr>
        <w:t>s</w:t>
      </w:r>
      <w:r w:rsidRPr="002D6014">
        <w:rPr>
          <w:rFonts w:cstheme="minorHAnsi"/>
        </w:rPr>
        <w:t>tate institutions</w:t>
      </w:r>
      <w:r w:rsidR="00E82426" w:rsidRPr="002D6014">
        <w:rPr>
          <w:rFonts w:cstheme="minorHAnsi"/>
        </w:rPr>
        <w:t>;</w:t>
      </w:r>
    </w:p>
    <w:p w:rsidR="00855964" w:rsidRPr="002D6014" w:rsidRDefault="00855964" w:rsidP="004902F3">
      <w:pPr>
        <w:numPr>
          <w:ilvl w:val="0"/>
          <w:numId w:val="1"/>
        </w:numPr>
        <w:tabs>
          <w:tab w:val="clear" w:pos="567"/>
          <w:tab w:val="clear" w:pos="1080"/>
        </w:tabs>
        <w:spacing w:before="120" w:after="120"/>
        <w:ind w:left="1276" w:hanging="425"/>
        <w:jc w:val="both"/>
        <w:rPr>
          <w:rFonts w:cstheme="minorHAnsi"/>
        </w:rPr>
      </w:pPr>
      <w:r w:rsidRPr="002D6014">
        <w:rPr>
          <w:rFonts w:cstheme="minorHAnsi"/>
        </w:rPr>
        <w:t>criticised the lack of forums for consultation with governments</w:t>
      </w:r>
      <w:r w:rsidR="00E82426" w:rsidRPr="002D6014">
        <w:rPr>
          <w:rFonts w:cstheme="minorHAnsi"/>
        </w:rPr>
        <w:t>;</w:t>
      </w:r>
      <w:r w:rsidRPr="002D6014">
        <w:rPr>
          <w:rFonts w:cstheme="minorHAnsi"/>
        </w:rPr>
        <w:t xml:space="preserve"> </w:t>
      </w:r>
    </w:p>
    <w:p w:rsidR="00855964" w:rsidRPr="002D6014" w:rsidRDefault="00855964" w:rsidP="004902F3">
      <w:pPr>
        <w:numPr>
          <w:ilvl w:val="0"/>
          <w:numId w:val="1"/>
        </w:numPr>
        <w:tabs>
          <w:tab w:val="clear" w:pos="567"/>
          <w:tab w:val="clear" w:pos="1080"/>
        </w:tabs>
        <w:spacing w:before="120" w:after="120"/>
        <w:ind w:left="1276" w:hanging="425"/>
        <w:jc w:val="both"/>
        <w:rPr>
          <w:rFonts w:cstheme="minorHAnsi"/>
        </w:rPr>
      </w:pPr>
      <w:r w:rsidRPr="002D6014">
        <w:rPr>
          <w:rFonts w:cstheme="minorHAnsi"/>
        </w:rPr>
        <w:t>recommended the strengthening of existing self-governance programs</w:t>
      </w:r>
      <w:r w:rsidR="00E82426" w:rsidRPr="002D6014">
        <w:rPr>
          <w:rFonts w:cstheme="minorHAnsi"/>
        </w:rPr>
        <w:t>;</w:t>
      </w:r>
    </w:p>
    <w:p w:rsidR="00855964" w:rsidRPr="002D6014" w:rsidRDefault="00855964" w:rsidP="004902F3">
      <w:pPr>
        <w:numPr>
          <w:ilvl w:val="0"/>
          <w:numId w:val="1"/>
        </w:numPr>
        <w:tabs>
          <w:tab w:val="clear" w:pos="567"/>
          <w:tab w:val="clear" w:pos="1080"/>
        </w:tabs>
        <w:spacing w:before="120" w:after="120"/>
        <w:ind w:left="1276" w:hanging="425"/>
        <w:jc w:val="both"/>
        <w:rPr>
          <w:rFonts w:cstheme="minorHAnsi"/>
        </w:rPr>
      </w:pPr>
      <w:r w:rsidRPr="002D6014">
        <w:rPr>
          <w:rFonts w:cstheme="minorHAnsi"/>
        </w:rPr>
        <w:t xml:space="preserve">cautioned that, rather than trying to assimilate Indigenous peoples, </w:t>
      </w:r>
      <w:r w:rsidR="00E82426" w:rsidRPr="002D6014">
        <w:rPr>
          <w:rFonts w:cstheme="minorHAnsi"/>
        </w:rPr>
        <w:t>s</w:t>
      </w:r>
      <w:r w:rsidRPr="002D6014">
        <w:rPr>
          <w:rFonts w:cstheme="minorHAnsi"/>
        </w:rPr>
        <w:t>tate parties should endeavour to protect their cultural identity</w:t>
      </w:r>
      <w:r w:rsidR="00E82426" w:rsidRPr="002D6014">
        <w:rPr>
          <w:rFonts w:cstheme="minorHAnsi"/>
        </w:rPr>
        <w:t>;</w:t>
      </w:r>
    </w:p>
    <w:p w:rsidR="00855964" w:rsidRPr="002D6014" w:rsidRDefault="00855964" w:rsidP="004902F3">
      <w:pPr>
        <w:numPr>
          <w:ilvl w:val="0"/>
          <w:numId w:val="1"/>
        </w:numPr>
        <w:tabs>
          <w:tab w:val="clear" w:pos="567"/>
          <w:tab w:val="clear" w:pos="1080"/>
        </w:tabs>
        <w:spacing w:before="120" w:after="120"/>
        <w:ind w:left="1276" w:hanging="425"/>
        <w:jc w:val="both"/>
        <w:rPr>
          <w:rFonts w:cstheme="minorHAnsi"/>
        </w:rPr>
      </w:pPr>
      <w:r w:rsidRPr="002D6014">
        <w:rPr>
          <w:rFonts w:cstheme="minorHAnsi"/>
        </w:rPr>
        <w:t>repeatedly emphasised the role of Indigenous peoples in decision making on issues affecting their traditional lands and resources, and economic activities</w:t>
      </w:r>
      <w:r w:rsidR="00E82426" w:rsidRPr="002D6014">
        <w:rPr>
          <w:rFonts w:cstheme="minorHAnsi"/>
        </w:rPr>
        <w:t>;</w:t>
      </w:r>
    </w:p>
    <w:p w:rsidR="00855964" w:rsidRPr="002D6014" w:rsidRDefault="00855964" w:rsidP="004902F3">
      <w:pPr>
        <w:numPr>
          <w:ilvl w:val="0"/>
          <w:numId w:val="1"/>
        </w:numPr>
        <w:tabs>
          <w:tab w:val="clear" w:pos="567"/>
          <w:tab w:val="clear" w:pos="1080"/>
        </w:tabs>
        <w:spacing w:before="120" w:after="120"/>
        <w:ind w:left="1276" w:hanging="425"/>
        <w:jc w:val="both"/>
        <w:rPr>
          <w:rFonts w:cstheme="minorHAnsi"/>
        </w:rPr>
      </w:pPr>
      <w:r w:rsidRPr="002D6014">
        <w:rPr>
          <w:rFonts w:cstheme="minorHAnsi"/>
        </w:rPr>
        <w:t>criticised natural resource concessions granted without full consent of the communities concerned</w:t>
      </w:r>
      <w:r w:rsidR="00E82426" w:rsidRPr="002D6014">
        <w:rPr>
          <w:rFonts w:cstheme="minorHAnsi"/>
        </w:rPr>
        <w:t>;</w:t>
      </w:r>
    </w:p>
    <w:p w:rsidR="00855964" w:rsidRPr="002D6014" w:rsidRDefault="00855964" w:rsidP="004902F3">
      <w:pPr>
        <w:numPr>
          <w:ilvl w:val="0"/>
          <w:numId w:val="1"/>
        </w:numPr>
        <w:tabs>
          <w:tab w:val="clear" w:pos="567"/>
          <w:tab w:val="clear" w:pos="1080"/>
        </w:tabs>
        <w:spacing w:before="120" w:after="120"/>
        <w:ind w:left="1276" w:hanging="425"/>
        <w:jc w:val="both"/>
        <w:rPr>
          <w:rFonts w:cstheme="minorHAnsi"/>
        </w:rPr>
      </w:pPr>
      <w:r w:rsidRPr="002D6014">
        <w:rPr>
          <w:rFonts w:cstheme="minorHAnsi"/>
        </w:rPr>
        <w:t>supported rights to develop language and culture and, in particular, the right to communicate with government authorities in their native language</w:t>
      </w:r>
      <w:r w:rsidR="00E82426" w:rsidRPr="002D6014">
        <w:rPr>
          <w:rFonts w:cstheme="minorHAnsi"/>
        </w:rPr>
        <w:t>; and</w:t>
      </w:r>
      <w:r w:rsidRPr="002D6014">
        <w:rPr>
          <w:rFonts w:cstheme="minorHAnsi"/>
        </w:rPr>
        <w:t xml:space="preserve"> </w:t>
      </w:r>
    </w:p>
    <w:p w:rsidR="00855964" w:rsidRPr="002D6014" w:rsidRDefault="00855964" w:rsidP="004902F3">
      <w:pPr>
        <w:numPr>
          <w:ilvl w:val="0"/>
          <w:numId w:val="1"/>
        </w:numPr>
        <w:tabs>
          <w:tab w:val="clear" w:pos="567"/>
          <w:tab w:val="clear" w:pos="1080"/>
        </w:tabs>
        <w:spacing w:before="120" w:after="120"/>
        <w:ind w:left="1276" w:hanging="425"/>
        <w:jc w:val="both"/>
        <w:rPr>
          <w:rFonts w:cstheme="minorHAnsi"/>
        </w:rPr>
      </w:pPr>
      <w:r w:rsidRPr="002D6014">
        <w:rPr>
          <w:rFonts w:cstheme="minorHAnsi"/>
        </w:rPr>
        <w:t>urged the adoption of measures to safeguard Indigenous communities’ rights and freedoms to which they are entitled individually and as a group.</w:t>
      </w:r>
    </w:p>
    <w:p w:rsidR="00855964" w:rsidRPr="002D6014" w:rsidRDefault="00A17ABE" w:rsidP="00D91097">
      <w:pPr>
        <w:pStyle w:val="ListParagraph"/>
        <w:numPr>
          <w:ilvl w:val="0"/>
          <w:numId w:val="5"/>
        </w:numPr>
        <w:tabs>
          <w:tab w:val="clear" w:pos="567"/>
        </w:tabs>
        <w:spacing w:after="120"/>
        <w:contextualSpacing w:val="0"/>
        <w:rPr>
          <w:rFonts w:cstheme="minorHAnsi"/>
        </w:rPr>
      </w:pPr>
      <w:r w:rsidRPr="002D6014">
        <w:rPr>
          <w:rFonts w:cstheme="minorHAnsi"/>
        </w:rPr>
        <w:t xml:space="preserve">The Victorian consultation </w:t>
      </w:r>
      <w:r w:rsidR="00855964" w:rsidRPr="002D6014">
        <w:rPr>
          <w:rFonts w:cstheme="minorHAnsi"/>
        </w:rPr>
        <w:t xml:space="preserve">explored four possibilities for </w:t>
      </w:r>
      <w:r w:rsidRPr="002D6014">
        <w:rPr>
          <w:rFonts w:cstheme="minorHAnsi"/>
        </w:rPr>
        <w:t xml:space="preserve">the inclusion of </w:t>
      </w:r>
      <w:r w:rsidR="00855964" w:rsidRPr="002D6014">
        <w:rPr>
          <w:rFonts w:cstheme="minorHAnsi"/>
        </w:rPr>
        <w:t>self</w:t>
      </w:r>
      <w:r w:rsidRPr="002D6014">
        <w:rPr>
          <w:rFonts w:cstheme="minorHAnsi"/>
        </w:rPr>
        <w:t>-</w:t>
      </w:r>
      <w:r w:rsidR="00855964" w:rsidRPr="002D6014">
        <w:rPr>
          <w:rFonts w:cstheme="minorHAnsi"/>
        </w:rPr>
        <w:t>determination</w:t>
      </w:r>
      <w:r w:rsidRPr="002D6014">
        <w:rPr>
          <w:rFonts w:cstheme="minorHAnsi"/>
        </w:rPr>
        <w:t>:</w:t>
      </w:r>
    </w:p>
    <w:p w:rsidR="00855964" w:rsidRPr="002D6014" w:rsidRDefault="00035B0C" w:rsidP="004902F3">
      <w:pPr>
        <w:numPr>
          <w:ilvl w:val="0"/>
          <w:numId w:val="1"/>
        </w:numPr>
        <w:tabs>
          <w:tab w:val="clear" w:pos="567"/>
          <w:tab w:val="clear" w:pos="1080"/>
        </w:tabs>
        <w:spacing w:before="120" w:after="120"/>
        <w:ind w:left="1276" w:hanging="425"/>
        <w:jc w:val="both"/>
        <w:rPr>
          <w:rFonts w:cstheme="minorHAnsi"/>
        </w:rPr>
      </w:pPr>
      <w:bookmarkStart w:id="28" w:name="_Toc257816002"/>
      <w:bookmarkStart w:id="29" w:name="_Toc117056398"/>
      <w:bookmarkStart w:id="30" w:name="_Toc257816003"/>
      <w:bookmarkStart w:id="31" w:name="_Toc117056399"/>
      <w:bookmarkStart w:id="32" w:name="_Toc257816004"/>
      <w:bookmarkStart w:id="33" w:name="_Toc117056400"/>
      <w:r w:rsidRPr="002D6014">
        <w:rPr>
          <w:rFonts w:cstheme="minorHAnsi"/>
        </w:rPr>
        <w:t>t</w:t>
      </w:r>
      <w:r w:rsidR="00855964" w:rsidRPr="002D6014">
        <w:rPr>
          <w:rFonts w:cstheme="minorHAnsi"/>
        </w:rPr>
        <w:t>o have the right to self-determination specifically protected in the Charter</w:t>
      </w:r>
      <w:bookmarkEnd w:id="28"/>
      <w:bookmarkEnd w:id="29"/>
      <w:r w:rsidRPr="002D6014">
        <w:rPr>
          <w:rFonts w:cstheme="minorHAnsi"/>
        </w:rPr>
        <w:t>;</w:t>
      </w:r>
      <w:r w:rsidR="00855964" w:rsidRPr="002D6014">
        <w:rPr>
          <w:rFonts w:cstheme="minorHAnsi"/>
        </w:rPr>
        <w:t xml:space="preserve"> </w:t>
      </w:r>
    </w:p>
    <w:p w:rsidR="00855964" w:rsidRPr="002D6014" w:rsidRDefault="00035B0C" w:rsidP="004902F3">
      <w:pPr>
        <w:numPr>
          <w:ilvl w:val="0"/>
          <w:numId w:val="1"/>
        </w:numPr>
        <w:tabs>
          <w:tab w:val="clear" w:pos="567"/>
          <w:tab w:val="clear" w:pos="1080"/>
        </w:tabs>
        <w:spacing w:before="120" w:after="120"/>
        <w:ind w:left="1276" w:hanging="425"/>
        <w:jc w:val="both"/>
        <w:rPr>
          <w:rFonts w:cstheme="minorHAnsi"/>
        </w:rPr>
      </w:pPr>
      <w:r w:rsidRPr="002D6014">
        <w:rPr>
          <w:rFonts w:cstheme="minorHAnsi"/>
        </w:rPr>
        <w:t>t</w:t>
      </w:r>
      <w:r w:rsidR="00855964" w:rsidRPr="002D6014">
        <w:rPr>
          <w:rFonts w:cstheme="minorHAnsi"/>
        </w:rPr>
        <w:t>o have several rights added to the Charter that would assist Aboriginal people in Victoria to exercise the right to self-determination</w:t>
      </w:r>
      <w:bookmarkEnd w:id="30"/>
      <w:bookmarkEnd w:id="31"/>
      <w:r w:rsidRPr="002D6014">
        <w:rPr>
          <w:rFonts w:cstheme="minorHAnsi"/>
        </w:rPr>
        <w:t>;</w:t>
      </w:r>
      <w:r w:rsidR="00855964" w:rsidRPr="002D6014">
        <w:rPr>
          <w:rFonts w:cstheme="minorHAnsi"/>
        </w:rPr>
        <w:t xml:space="preserve"> </w:t>
      </w:r>
    </w:p>
    <w:p w:rsidR="00855964" w:rsidRPr="002D6014" w:rsidRDefault="00035B0C" w:rsidP="004902F3">
      <w:pPr>
        <w:numPr>
          <w:ilvl w:val="0"/>
          <w:numId w:val="1"/>
        </w:numPr>
        <w:tabs>
          <w:tab w:val="clear" w:pos="567"/>
          <w:tab w:val="clear" w:pos="1080"/>
        </w:tabs>
        <w:spacing w:before="120" w:after="120"/>
        <w:ind w:left="1276" w:hanging="425"/>
        <w:jc w:val="both"/>
        <w:rPr>
          <w:rFonts w:cstheme="minorHAnsi"/>
        </w:rPr>
      </w:pPr>
      <w:r w:rsidRPr="002D6014">
        <w:rPr>
          <w:rFonts w:cstheme="minorHAnsi"/>
        </w:rPr>
        <w:t>t</w:t>
      </w:r>
      <w:r w:rsidR="00855964" w:rsidRPr="002D6014">
        <w:rPr>
          <w:rFonts w:cstheme="minorHAnsi"/>
        </w:rPr>
        <w:t>o have a Preamble to the Charter that places self-determination as a key principle against which the rights within the Charter need to be interpreted</w:t>
      </w:r>
      <w:bookmarkEnd w:id="32"/>
      <w:bookmarkEnd w:id="33"/>
      <w:r w:rsidRPr="002D6014">
        <w:rPr>
          <w:rFonts w:cstheme="minorHAnsi"/>
        </w:rPr>
        <w:t>; and</w:t>
      </w:r>
    </w:p>
    <w:p w:rsidR="00855964" w:rsidRPr="002D6014" w:rsidRDefault="00035B0C" w:rsidP="00BE54B3">
      <w:pPr>
        <w:numPr>
          <w:ilvl w:val="0"/>
          <w:numId w:val="1"/>
        </w:numPr>
        <w:tabs>
          <w:tab w:val="clear" w:pos="567"/>
          <w:tab w:val="clear" w:pos="1080"/>
        </w:tabs>
        <w:spacing w:before="120"/>
        <w:ind w:left="1276" w:hanging="425"/>
        <w:jc w:val="both"/>
        <w:rPr>
          <w:rFonts w:cstheme="minorHAnsi"/>
        </w:rPr>
      </w:pPr>
      <w:bookmarkStart w:id="34" w:name="_Toc257816005"/>
      <w:bookmarkStart w:id="35" w:name="_Toc117056401"/>
      <w:r w:rsidRPr="002D6014">
        <w:rPr>
          <w:rFonts w:cstheme="minorHAnsi"/>
        </w:rPr>
        <w:t>t</w:t>
      </w:r>
      <w:r w:rsidR="00855964" w:rsidRPr="002D6014">
        <w:rPr>
          <w:rFonts w:cstheme="minorHAnsi"/>
        </w:rPr>
        <w:t>o have a mechanism that supports the enforcement of rights in the Charter that are central to self-determination</w:t>
      </w:r>
      <w:bookmarkEnd w:id="34"/>
      <w:bookmarkEnd w:id="35"/>
      <w:r w:rsidR="004D7694" w:rsidRPr="002D6014">
        <w:rPr>
          <w:rFonts w:cstheme="minorHAnsi"/>
        </w:rPr>
        <w:t>.</w:t>
      </w:r>
      <w:r w:rsidR="00855964" w:rsidRPr="002D6014">
        <w:rPr>
          <w:rFonts w:cstheme="minorHAnsi"/>
        </w:rPr>
        <w:t xml:space="preserve"> </w:t>
      </w:r>
    </w:p>
    <w:p w:rsidR="00D72F16" w:rsidRPr="002D6014" w:rsidRDefault="00D72F16" w:rsidP="001B0C9C">
      <w:pPr>
        <w:pStyle w:val="ListParagraph"/>
        <w:numPr>
          <w:ilvl w:val="0"/>
          <w:numId w:val="5"/>
        </w:numPr>
        <w:tabs>
          <w:tab w:val="clear" w:pos="567"/>
        </w:tabs>
        <w:contextualSpacing w:val="0"/>
        <w:rPr>
          <w:rFonts w:cstheme="minorHAnsi"/>
        </w:rPr>
      </w:pPr>
      <w:r w:rsidRPr="002D6014">
        <w:rPr>
          <w:rFonts w:cstheme="minorHAnsi"/>
        </w:rPr>
        <w:t>A similar consultation is recommended in Queensland</w:t>
      </w:r>
      <w:r w:rsidR="00035B0C" w:rsidRPr="002D6014">
        <w:rPr>
          <w:rFonts w:cstheme="minorHAnsi"/>
        </w:rPr>
        <w:t>,</w:t>
      </w:r>
      <w:r w:rsidRPr="002D6014">
        <w:rPr>
          <w:rFonts w:cstheme="minorHAnsi"/>
        </w:rPr>
        <w:t xml:space="preserve"> </w:t>
      </w:r>
      <w:r w:rsidR="00523139" w:rsidRPr="002D6014">
        <w:rPr>
          <w:rFonts w:cstheme="minorHAnsi"/>
        </w:rPr>
        <w:t>before</w:t>
      </w:r>
      <w:r w:rsidRPr="002D6014">
        <w:rPr>
          <w:rFonts w:cstheme="minorHAnsi"/>
        </w:rPr>
        <w:t xml:space="preserve"> the introduction of a Human Rights Act.  </w:t>
      </w:r>
    </w:p>
    <w:p w:rsidR="0074245F" w:rsidRPr="002D6014" w:rsidRDefault="00D72F16" w:rsidP="001B0C9C">
      <w:pPr>
        <w:pStyle w:val="ListParagraph"/>
        <w:numPr>
          <w:ilvl w:val="0"/>
          <w:numId w:val="5"/>
        </w:numPr>
        <w:tabs>
          <w:tab w:val="clear" w:pos="567"/>
        </w:tabs>
        <w:contextualSpacing w:val="0"/>
        <w:rPr>
          <w:rFonts w:cstheme="minorHAnsi"/>
        </w:rPr>
      </w:pPr>
      <w:r w:rsidRPr="002D6014">
        <w:rPr>
          <w:rFonts w:cstheme="minorHAnsi"/>
        </w:rPr>
        <w:t>It is noted that both Canada and N</w:t>
      </w:r>
      <w:r w:rsidR="00035B0C" w:rsidRPr="002D6014">
        <w:rPr>
          <w:rFonts w:cstheme="minorHAnsi"/>
        </w:rPr>
        <w:t xml:space="preserve">ew </w:t>
      </w:r>
      <w:r w:rsidRPr="002D6014">
        <w:rPr>
          <w:rFonts w:cstheme="minorHAnsi"/>
        </w:rPr>
        <w:t>Z</w:t>
      </w:r>
      <w:r w:rsidR="00035B0C" w:rsidRPr="002D6014">
        <w:rPr>
          <w:rFonts w:cstheme="minorHAnsi"/>
        </w:rPr>
        <w:t>ealand</w:t>
      </w:r>
      <w:r w:rsidRPr="002D6014">
        <w:rPr>
          <w:rFonts w:cstheme="minorHAnsi"/>
        </w:rPr>
        <w:t xml:space="preserve"> have a significantly more established framework for self-determination because of existing treaties. This experience demonstrates that a framework for self-determination is achievable</w:t>
      </w:r>
      <w:r w:rsidR="00035B0C" w:rsidRPr="002D6014">
        <w:rPr>
          <w:rFonts w:cstheme="minorHAnsi"/>
        </w:rPr>
        <w:t>,</w:t>
      </w:r>
      <w:r w:rsidRPr="002D6014">
        <w:rPr>
          <w:rFonts w:cstheme="minorHAnsi"/>
        </w:rPr>
        <w:t xml:space="preserve"> and is not divisive.  It is noted that the introduction of such a provision would not replace or invalidate calls for a </w:t>
      </w:r>
      <w:r w:rsidR="00035B0C" w:rsidRPr="002D6014">
        <w:rPr>
          <w:rFonts w:cstheme="minorHAnsi"/>
        </w:rPr>
        <w:t>T</w:t>
      </w:r>
      <w:r w:rsidRPr="002D6014">
        <w:rPr>
          <w:rFonts w:cstheme="minorHAnsi"/>
        </w:rPr>
        <w:t>reaty with Aboriginal and Torres Strait Islander peoples here in Australia</w:t>
      </w:r>
      <w:r w:rsidR="00035B0C" w:rsidRPr="002D6014">
        <w:rPr>
          <w:rFonts w:cstheme="minorHAnsi"/>
        </w:rPr>
        <w:t>,</w:t>
      </w:r>
      <w:r w:rsidR="00001A85" w:rsidRPr="002D6014">
        <w:rPr>
          <w:rFonts w:cstheme="minorHAnsi"/>
        </w:rPr>
        <w:t xml:space="preserve"> or Constitutional recognition. </w:t>
      </w:r>
    </w:p>
    <w:p w:rsidR="0074245F" w:rsidRPr="002D6014" w:rsidRDefault="0074245F" w:rsidP="001B5E72">
      <w:pPr>
        <w:pStyle w:val="Heading2"/>
      </w:pPr>
      <w:bookmarkStart w:id="36" w:name="_Toc448747772"/>
      <w:r w:rsidRPr="002D6014">
        <w:t>Limitation Clauses</w:t>
      </w:r>
      <w:bookmarkEnd w:id="36"/>
    </w:p>
    <w:p w:rsidR="0074245F" w:rsidRPr="00D95D9E" w:rsidRDefault="0074245F" w:rsidP="00D91097">
      <w:pPr>
        <w:pStyle w:val="ListParagraph"/>
        <w:numPr>
          <w:ilvl w:val="0"/>
          <w:numId w:val="5"/>
        </w:numPr>
        <w:tabs>
          <w:tab w:val="clear" w:pos="567"/>
        </w:tabs>
        <w:spacing w:after="120"/>
        <w:contextualSpacing w:val="0"/>
        <w:rPr>
          <w:rFonts w:cstheme="minorHAnsi"/>
        </w:rPr>
      </w:pPr>
      <w:r w:rsidRPr="002D6014">
        <w:rPr>
          <w:rFonts w:ascii="Arial" w:hAnsi="Arial" w:cs="Arial"/>
        </w:rPr>
        <w:t>Many human rights jurisdictions include general provisions to limit the application of human rights, in order to allow for the balance of competing, relevant considerations.  The ACT, Victorian and N</w:t>
      </w:r>
      <w:r w:rsidR="00EE72C5" w:rsidRPr="002D6014">
        <w:rPr>
          <w:rFonts w:ascii="Arial" w:hAnsi="Arial" w:cs="Arial"/>
        </w:rPr>
        <w:t xml:space="preserve">ew </w:t>
      </w:r>
      <w:r w:rsidRPr="002D6014">
        <w:rPr>
          <w:rFonts w:ascii="Arial" w:hAnsi="Arial" w:cs="Arial"/>
        </w:rPr>
        <w:t>Z</w:t>
      </w:r>
      <w:r w:rsidR="00EE72C5" w:rsidRPr="002D6014">
        <w:rPr>
          <w:rFonts w:ascii="Arial" w:hAnsi="Arial" w:cs="Arial"/>
        </w:rPr>
        <w:t>ealand</w:t>
      </w:r>
      <w:r w:rsidRPr="002D6014">
        <w:rPr>
          <w:rFonts w:ascii="Arial" w:hAnsi="Arial" w:cs="Arial"/>
        </w:rPr>
        <w:t xml:space="preserve"> Acts provide for the reasonable limiting of </w:t>
      </w:r>
      <w:r w:rsidRPr="002D6014">
        <w:rPr>
          <w:rFonts w:ascii="Arial" w:hAnsi="Arial" w:cs="Arial"/>
        </w:rPr>
        <w:lastRenderedPageBreak/>
        <w:t xml:space="preserve">human rights where </w:t>
      </w:r>
      <w:r w:rsidR="00EE72C5" w:rsidRPr="002D6014">
        <w:rPr>
          <w:rFonts w:ascii="Arial" w:hAnsi="Arial" w:cs="Arial"/>
        </w:rPr>
        <w:t xml:space="preserve">it is </w:t>
      </w:r>
      <w:r w:rsidRPr="002D6014">
        <w:rPr>
          <w:rFonts w:ascii="Arial" w:hAnsi="Arial" w:cs="Arial"/>
        </w:rPr>
        <w:t>demonstrably justified in a free and democratic society, taking into account relevant factors.</w:t>
      </w:r>
      <w:r w:rsidRPr="00D95D9E">
        <w:rPr>
          <w:rStyle w:val="FootnoteReference"/>
          <w:rFonts w:ascii="Arial" w:hAnsi="Arial" w:cs="Arial"/>
        </w:rPr>
        <w:footnoteReference w:id="49"/>
      </w:r>
      <w:r w:rsidRPr="00D95D9E">
        <w:rPr>
          <w:rFonts w:ascii="Arial" w:hAnsi="Arial" w:cs="Arial"/>
        </w:rPr>
        <w:t xml:space="preserve">  Relevant factors could include:</w:t>
      </w:r>
    </w:p>
    <w:p w:rsidR="0074245F" w:rsidRPr="002D6014" w:rsidRDefault="0074245F" w:rsidP="004902F3">
      <w:pPr>
        <w:numPr>
          <w:ilvl w:val="0"/>
          <w:numId w:val="1"/>
        </w:numPr>
        <w:tabs>
          <w:tab w:val="clear" w:pos="567"/>
          <w:tab w:val="clear" w:pos="1080"/>
        </w:tabs>
        <w:spacing w:before="120" w:after="120"/>
        <w:ind w:left="1276" w:hanging="425"/>
        <w:jc w:val="both"/>
        <w:rPr>
          <w:rFonts w:ascii="Arial" w:hAnsi="Arial" w:cs="Arial"/>
        </w:rPr>
      </w:pPr>
      <w:r w:rsidRPr="002D6014">
        <w:rPr>
          <w:rFonts w:ascii="Arial" w:hAnsi="Arial" w:cs="Arial"/>
        </w:rPr>
        <w:t>the nature of the right; and</w:t>
      </w:r>
    </w:p>
    <w:p w:rsidR="0074245F" w:rsidRPr="002D6014" w:rsidRDefault="0074245F" w:rsidP="004902F3">
      <w:pPr>
        <w:numPr>
          <w:ilvl w:val="0"/>
          <w:numId w:val="1"/>
        </w:numPr>
        <w:tabs>
          <w:tab w:val="clear" w:pos="567"/>
          <w:tab w:val="clear" w:pos="1080"/>
        </w:tabs>
        <w:spacing w:before="120" w:after="120"/>
        <w:ind w:left="1276" w:hanging="425"/>
        <w:jc w:val="both"/>
        <w:rPr>
          <w:rFonts w:ascii="Arial" w:hAnsi="Arial" w:cs="Arial"/>
        </w:rPr>
      </w:pPr>
      <w:r w:rsidRPr="002D6014">
        <w:rPr>
          <w:rFonts w:ascii="Arial" w:hAnsi="Arial" w:cs="Arial"/>
        </w:rPr>
        <w:t xml:space="preserve">the </w:t>
      </w:r>
      <w:r w:rsidRPr="002D6014">
        <w:rPr>
          <w:rFonts w:cstheme="minorHAnsi"/>
        </w:rPr>
        <w:t>importance</w:t>
      </w:r>
      <w:r w:rsidRPr="002D6014">
        <w:rPr>
          <w:rFonts w:ascii="Arial" w:hAnsi="Arial" w:cs="Arial"/>
        </w:rPr>
        <w:t xml:space="preserve"> of the purpose of the limitation; and</w:t>
      </w:r>
    </w:p>
    <w:p w:rsidR="0074245F" w:rsidRPr="002D6014" w:rsidRDefault="0074245F" w:rsidP="004902F3">
      <w:pPr>
        <w:numPr>
          <w:ilvl w:val="0"/>
          <w:numId w:val="1"/>
        </w:numPr>
        <w:tabs>
          <w:tab w:val="clear" w:pos="567"/>
          <w:tab w:val="clear" w:pos="1080"/>
        </w:tabs>
        <w:spacing w:before="120" w:after="120"/>
        <w:ind w:left="1276" w:hanging="425"/>
        <w:jc w:val="both"/>
        <w:rPr>
          <w:rFonts w:ascii="Arial" w:hAnsi="Arial" w:cs="Arial"/>
        </w:rPr>
      </w:pPr>
      <w:r w:rsidRPr="002D6014">
        <w:rPr>
          <w:rFonts w:ascii="Arial" w:hAnsi="Arial" w:cs="Arial"/>
        </w:rPr>
        <w:t xml:space="preserve">the nature </w:t>
      </w:r>
      <w:r w:rsidRPr="002D6014">
        <w:rPr>
          <w:rFonts w:cstheme="minorHAnsi"/>
        </w:rPr>
        <w:t>and</w:t>
      </w:r>
      <w:r w:rsidRPr="002D6014">
        <w:rPr>
          <w:rFonts w:ascii="Arial" w:hAnsi="Arial" w:cs="Arial"/>
        </w:rPr>
        <w:t xml:space="preserve"> extent of the limitation; and</w:t>
      </w:r>
    </w:p>
    <w:p w:rsidR="0074245F" w:rsidRPr="002D6014" w:rsidRDefault="0074245F" w:rsidP="004902F3">
      <w:pPr>
        <w:numPr>
          <w:ilvl w:val="0"/>
          <w:numId w:val="1"/>
        </w:numPr>
        <w:tabs>
          <w:tab w:val="clear" w:pos="567"/>
          <w:tab w:val="clear" w:pos="1080"/>
        </w:tabs>
        <w:spacing w:before="120" w:after="120"/>
        <w:ind w:left="1276" w:hanging="425"/>
        <w:jc w:val="both"/>
        <w:rPr>
          <w:rFonts w:ascii="Arial" w:hAnsi="Arial" w:cs="Arial"/>
        </w:rPr>
      </w:pPr>
      <w:r w:rsidRPr="002D6014">
        <w:rPr>
          <w:rFonts w:ascii="Arial" w:hAnsi="Arial" w:cs="Arial"/>
        </w:rPr>
        <w:t xml:space="preserve">the </w:t>
      </w:r>
      <w:r w:rsidRPr="002D6014">
        <w:rPr>
          <w:rFonts w:cstheme="minorHAnsi"/>
        </w:rPr>
        <w:t>relationship</w:t>
      </w:r>
      <w:r w:rsidRPr="002D6014">
        <w:rPr>
          <w:rFonts w:ascii="Arial" w:hAnsi="Arial" w:cs="Arial"/>
        </w:rPr>
        <w:t xml:space="preserve"> between the limitation and its purpose; and</w:t>
      </w:r>
    </w:p>
    <w:p w:rsidR="0074245F" w:rsidRPr="002D6014" w:rsidRDefault="0074245F" w:rsidP="00D91097">
      <w:pPr>
        <w:numPr>
          <w:ilvl w:val="0"/>
          <w:numId w:val="1"/>
        </w:numPr>
        <w:tabs>
          <w:tab w:val="clear" w:pos="567"/>
          <w:tab w:val="clear" w:pos="1080"/>
        </w:tabs>
        <w:spacing w:before="120"/>
        <w:ind w:left="1276" w:hanging="425"/>
        <w:jc w:val="both"/>
        <w:rPr>
          <w:rFonts w:ascii="Arial" w:hAnsi="Arial" w:cs="Arial"/>
        </w:rPr>
      </w:pPr>
      <w:r w:rsidRPr="002D6014">
        <w:rPr>
          <w:rFonts w:ascii="Arial" w:hAnsi="Arial" w:cs="Arial"/>
        </w:rPr>
        <w:t xml:space="preserve">any less </w:t>
      </w:r>
      <w:r w:rsidRPr="002D6014">
        <w:rPr>
          <w:rFonts w:cstheme="minorHAnsi"/>
        </w:rPr>
        <w:t>restrictive</w:t>
      </w:r>
      <w:r w:rsidRPr="002D6014">
        <w:rPr>
          <w:rFonts w:ascii="Arial" w:hAnsi="Arial" w:cs="Arial"/>
        </w:rPr>
        <w:t xml:space="preserve"> means reasonably available to achieve the purpose that the limitation seeks to achieve.</w:t>
      </w:r>
    </w:p>
    <w:p w:rsidR="0074245F" w:rsidRPr="002D6014" w:rsidRDefault="0074245F" w:rsidP="00D91097">
      <w:pPr>
        <w:pStyle w:val="Default"/>
        <w:numPr>
          <w:ilvl w:val="0"/>
          <w:numId w:val="5"/>
        </w:numPr>
        <w:spacing w:after="120"/>
        <w:rPr>
          <w:rFonts w:ascii="Arial" w:hAnsi="Arial" w:cs="Arial"/>
          <w:sz w:val="22"/>
          <w:szCs w:val="22"/>
        </w:rPr>
      </w:pPr>
      <w:r w:rsidRPr="002D6014">
        <w:rPr>
          <w:rFonts w:ascii="Arial" w:hAnsi="Arial" w:cs="Arial"/>
          <w:sz w:val="22"/>
          <w:szCs w:val="22"/>
        </w:rPr>
        <w:t>Some examples of limitations of human rights in practice are:</w:t>
      </w:r>
    </w:p>
    <w:p w:rsidR="0074245F" w:rsidRPr="002D6014" w:rsidRDefault="0074245F" w:rsidP="004902F3">
      <w:pPr>
        <w:numPr>
          <w:ilvl w:val="0"/>
          <w:numId w:val="1"/>
        </w:numPr>
        <w:tabs>
          <w:tab w:val="clear" w:pos="567"/>
          <w:tab w:val="clear" w:pos="1080"/>
        </w:tabs>
        <w:spacing w:before="120" w:after="120"/>
        <w:ind w:left="1276" w:hanging="425"/>
        <w:jc w:val="both"/>
        <w:rPr>
          <w:rFonts w:ascii="Arial" w:hAnsi="Arial" w:cs="Arial"/>
        </w:rPr>
      </w:pPr>
      <w:r w:rsidRPr="002D6014">
        <w:rPr>
          <w:rFonts w:cstheme="minorHAnsi"/>
        </w:rPr>
        <w:t>Freedom</w:t>
      </w:r>
      <w:r w:rsidRPr="002D6014">
        <w:rPr>
          <w:rFonts w:ascii="Arial" w:hAnsi="Arial" w:cs="Arial"/>
        </w:rPr>
        <w:t xml:space="preserve"> of expression may be balanced against the protection of reputation in defamation laws</w:t>
      </w:r>
      <w:r w:rsidR="008D520C" w:rsidRPr="002D6014">
        <w:rPr>
          <w:rFonts w:ascii="Arial" w:hAnsi="Arial" w:cs="Arial"/>
        </w:rPr>
        <w:t>,</w:t>
      </w:r>
      <w:r w:rsidRPr="002D6014">
        <w:rPr>
          <w:rFonts w:ascii="Arial" w:hAnsi="Arial" w:cs="Arial"/>
        </w:rPr>
        <w:t xml:space="preserve"> and against the protection of children through standards limiting adult content on television.  </w:t>
      </w:r>
    </w:p>
    <w:p w:rsidR="0074245F" w:rsidRPr="002D6014" w:rsidRDefault="0074245F" w:rsidP="00D91097">
      <w:pPr>
        <w:numPr>
          <w:ilvl w:val="0"/>
          <w:numId w:val="1"/>
        </w:numPr>
        <w:tabs>
          <w:tab w:val="clear" w:pos="567"/>
          <w:tab w:val="clear" w:pos="1080"/>
        </w:tabs>
        <w:spacing w:before="120"/>
        <w:ind w:left="1276" w:hanging="425"/>
        <w:jc w:val="both"/>
        <w:rPr>
          <w:rFonts w:ascii="Arial" w:hAnsi="Arial" w:cs="Arial"/>
        </w:rPr>
      </w:pPr>
      <w:r w:rsidRPr="002D6014">
        <w:rPr>
          <w:rFonts w:ascii="Arial" w:hAnsi="Arial" w:cs="Arial"/>
        </w:rPr>
        <w:t xml:space="preserve">Freedom of movement may be balanced against public safety when establishing quarantine zones or in cases of criminal arrest.  </w:t>
      </w:r>
    </w:p>
    <w:p w:rsidR="0074245F" w:rsidRPr="00D95D9E" w:rsidRDefault="0074245F" w:rsidP="001B0C9C">
      <w:pPr>
        <w:pStyle w:val="Default"/>
        <w:numPr>
          <w:ilvl w:val="0"/>
          <w:numId w:val="5"/>
        </w:numPr>
        <w:spacing w:after="240"/>
        <w:rPr>
          <w:rFonts w:ascii="Arial" w:hAnsi="Arial" w:cs="Arial"/>
          <w:sz w:val="22"/>
          <w:szCs w:val="22"/>
        </w:rPr>
      </w:pPr>
      <w:r w:rsidRPr="002D6014">
        <w:rPr>
          <w:rFonts w:ascii="Arial" w:hAnsi="Arial" w:cs="Arial"/>
          <w:sz w:val="22"/>
          <w:szCs w:val="22"/>
        </w:rPr>
        <w:t>Any limitations should be explicit in law</w:t>
      </w:r>
      <w:r w:rsidR="008D520C" w:rsidRPr="002D6014">
        <w:rPr>
          <w:rFonts w:ascii="Arial" w:hAnsi="Arial" w:cs="Arial"/>
          <w:sz w:val="22"/>
          <w:szCs w:val="22"/>
        </w:rPr>
        <w:t>,</w:t>
      </w:r>
      <w:r w:rsidRPr="002D6014">
        <w:rPr>
          <w:rFonts w:ascii="Arial" w:hAnsi="Arial" w:cs="Arial"/>
          <w:sz w:val="22"/>
          <w:szCs w:val="22"/>
        </w:rPr>
        <w:t xml:space="preserve"> and should be necessary and proportionate to protect the legitimate aim of the limitation</w:t>
      </w:r>
      <w:r w:rsidR="008D520C" w:rsidRPr="002D6014">
        <w:rPr>
          <w:rFonts w:ascii="Arial" w:hAnsi="Arial" w:cs="Arial"/>
          <w:sz w:val="22"/>
          <w:szCs w:val="22"/>
        </w:rPr>
        <w:t>,</w:t>
      </w:r>
      <w:r w:rsidRPr="002D6014">
        <w:rPr>
          <w:rFonts w:ascii="Arial" w:hAnsi="Arial" w:cs="Arial"/>
          <w:sz w:val="22"/>
          <w:szCs w:val="22"/>
        </w:rPr>
        <w:t xml:space="preserve"> and must be the least intrusive means of achieving the desired result.</w:t>
      </w:r>
    </w:p>
    <w:p w:rsidR="0074245F" w:rsidRPr="002D6014" w:rsidRDefault="0074245F" w:rsidP="001B0C9C">
      <w:pPr>
        <w:pStyle w:val="Default"/>
        <w:numPr>
          <w:ilvl w:val="0"/>
          <w:numId w:val="5"/>
        </w:numPr>
        <w:spacing w:after="240"/>
        <w:rPr>
          <w:rFonts w:ascii="Arial" w:hAnsi="Arial" w:cs="Arial"/>
          <w:sz w:val="22"/>
          <w:szCs w:val="22"/>
        </w:rPr>
      </w:pPr>
      <w:r w:rsidRPr="00D95D9E">
        <w:rPr>
          <w:rFonts w:ascii="Arial" w:hAnsi="Arial" w:cs="Arial"/>
          <w:sz w:val="22"/>
          <w:szCs w:val="22"/>
        </w:rPr>
        <w:t xml:space="preserve">Some rights should not be limited.  The </w:t>
      </w:r>
      <w:r w:rsidR="00C374CE" w:rsidRPr="00D95D9E">
        <w:rPr>
          <w:rFonts w:ascii="Arial" w:hAnsi="Arial" w:cs="Arial"/>
          <w:sz w:val="22"/>
          <w:szCs w:val="22"/>
        </w:rPr>
        <w:t xml:space="preserve">National Human </w:t>
      </w:r>
      <w:r w:rsidRPr="00D95D9E">
        <w:rPr>
          <w:rFonts w:ascii="Arial" w:hAnsi="Arial" w:cs="Arial"/>
          <w:sz w:val="22"/>
          <w:szCs w:val="22"/>
        </w:rPr>
        <w:t>R</w:t>
      </w:r>
      <w:r w:rsidR="00C374CE" w:rsidRPr="002D6014">
        <w:rPr>
          <w:rFonts w:ascii="Arial" w:hAnsi="Arial" w:cs="Arial"/>
          <w:sz w:val="22"/>
          <w:szCs w:val="22"/>
        </w:rPr>
        <w:t xml:space="preserve">ights Consultation Committee </w:t>
      </w:r>
      <w:r w:rsidRPr="002D6014">
        <w:rPr>
          <w:rFonts w:ascii="Arial" w:hAnsi="Arial" w:cs="Arial"/>
          <w:sz w:val="22"/>
          <w:szCs w:val="22"/>
        </w:rPr>
        <w:t>recommended that certain, non-derogable civil and political rights be protected without limitation, including</w:t>
      </w:r>
      <w:r w:rsidR="008D520C" w:rsidRPr="002D6014">
        <w:rPr>
          <w:rFonts w:ascii="Arial" w:hAnsi="Arial" w:cs="Arial"/>
          <w:sz w:val="22"/>
          <w:szCs w:val="22"/>
        </w:rPr>
        <w:t>,</w:t>
      </w:r>
      <w:r w:rsidRPr="002D6014">
        <w:rPr>
          <w:rFonts w:ascii="Arial" w:hAnsi="Arial" w:cs="Arial"/>
          <w:sz w:val="22"/>
          <w:szCs w:val="22"/>
        </w:rPr>
        <w:t xml:space="preserve"> but not limited to</w:t>
      </w:r>
      <w:r w:rsidR="008D520C" w:rsidRPr="002D6014">
        <w:rPr>
          <w:rFonts w:ascii="Arial" w:hAnsi="Arial" w:cs="Arial"/>
          <w:sz w:val="22"/>
          <w:szCs w:val="22"/>
        </w:rPr>
        <w:t>,</w:t>
      </w:r>
      <w:r w:rsidRPr="002D6014">
        <w:rPr>
          <w:rFonts w:ascii="Arial" w:hAnsi="Arial" w:cs="Arial"/>
          <w:sz w:val="22"/>
          <w:szCs w:val="22"/>
        </w:rPr>
        <w:t xml:space="preserve"> the right to life, protection from torture and freedom from slavery. </w:t>
      </w:r>
    </w:p>
    <w:p w:rsidR="00D72F16" w:rsidRPr="002D6014" w:rsidRDefault="0074245F" w:rsidP="001B0C9C">
      <w:pPr>
        <w:pStyle w:val="ListParagraph"/>
        <w:numPr>
          <w:ilvl w:val="0"/>
          <w:numId w:val="5"/>
        </w:numPr>
        <w:tabs>
          <w:tab w:val="clear" w:pos="567"/>
        </w:tabs>
        <w:rPr>
          <w:rFonts w:ascii="Arial" w:hAnsi="Arial" w:cs="Arial"/>
        </w:rPr>
      </w:pPr>
      <w:r w:rsidRPr="002D6014">
        <w:rPr>
          <w:rFonts w:ascii="Arial" w:hAnsi="Arial" w:cs="Arial"/>
        </w:rPr>
        <w:t>Such non-derogable rights should be entrenched in the Human Rights Act. Their limitation or override should be explicitly excluded from the opera</w:t>
      </w:r>
      <w:r w:rsidR="001D52B3">
        <w:rPr>
          <w:rFonts w:ascii="Arial" w:hAnsi="Arial" w:cs="Arial"/>
        </w:rPr>
        <w:t>tion of the limitation clause.</w:t>
      </w:r>
    </w:p>
    <w:p w:rsidR="00AB4A3B" w:rsidRPr="002D6014" w:rsidRDefault="008D520C" w:rsidP="001B5E72">
      <w:pPr>
        <w:pStyle w:val="Heading1"/>
        <w:rPr>
          <w:color w:val="7030A0"/>
        </w:rPr>
      </w:pPr>
      <w:bookmarkStart w:id="37" w:name="_Toc448747773"/>
      <w:r w:rsidRPr="002D6014">
        <w:t>M</w:t>
      </w:r>
      <w:r w:rsidR="00AB4A3B" w:rsidRPr="002D6014">
        <w:t>aking of laws, courts and tribunals and other entities</w:t>
      </w:r>
      <w:bookmarkEnd w:id="37"/>
      <w:r w:rsidR="00F51DB0" w:rsidRPr="002D6014">
        <w:t xml:space="preserve"> </w:t>
      </w:r>
    </w:p>
    <w:p w:rsidR="006A0906" w:rsidRPr="002D6014" w:rsidRDefault="006A0906" w:rsidP="00632BB9">
      <w:r w:rsidRPr="002D6014">
        <w:rPr>
          <w:rStyle w:val="Strong"/>
        </w:rPr>
        <w:t>Ter</w:t>
      </w:r>
      <w:r w:rsidRPr="002D6014">
        <w:rPr>
          <w:b/>
        </w:rPr>
        <w:t>ms of reference 3b: how the legislation</w:t>
      </w:r>
      <w:r w:rsidRPr="002D6014">
        <w:t xml:space="preserve"> would apply to the making of laws, courts and tribunals, public authorities and other entities.</w:t>
      </w:r>
    </w:p>
    <w:p w:rsidR="00505D81" w:rsidRPr="002D6014" w:rsidRDefault="00505D81" w:rsidP="001B5E72">
      <w:pPr>
        <w:pStyle w:val="Heading2"/>
      </w:pPr>
      <w:bookmarkStart w:id="38" w:name="_Toc448747774"/>
      <w:r w:rsidRPr="002D6014">
        <w:t xml:space="preserve">The </w:t>
      </w:r>
      <w:r w:rsidR="006A0906" w:rsidRPr="002D6014">
        <w:t>m</w:t>
      </w:r>
      <w:r w:rsidRPr="002D6014">
        <w:t>aking of laws</w:t>
      </w:r>
      <w:bookmarkEnd w:id="38"/>
    </w:p>
    <w:p w:rsidR="005809D9" w:rsidRPr="002D6014" w:rsidRDefault="00241927" w:rsidP="001B0C9C">
      <w:pPr>
        <w:pStyle w:val="ListParagraph"/>
        <w:numPr>
          <w:ilvl w:val="0"/>
          <w:numId w:val="5"/>
        </w:numPr>
        <w:tabs>
          <w:tab w:val="clear" w:pos="567"/>
        </w:tabs>
        <w:contextualSpacing w:val="0"/>
        <w:rPr>
          <w:rFonts w:ascii="Arial" w:hAnsi="Arial" w:cs="Arial"/>
        </w:rPr>
      </w:pPr>
      <w:r w:rsidRPr="002D6014">
        <w:rPr>
          <w:rFonts w:cstheme="minorHAnsi"/>
        </w:rPr>
        <w:t xml:space="preserve">A Human Rights Act </w:t>
      </w:r>
      <w:r w:rsidR="009D00B0" w:rsidRPr="002D6014">
        <w:rPr>
          <w:rFonts w:cstheme="minorHAnsi"/>
        </w:rPr>
        <w:t>sh</w:t>
      </w:r>
      <w:r w:rsidRPr="002D6014">
        <w:rPr>
          <w:rFonts w:cstheme="minorHAnsi"/>
        </w:rPr>
        <w:t xml:space="preserve">ould </w:t>
      </w:r>
      <w:r w:rsidR="009D00B0" w:rsidRPr="002D6014">
        <w:rPr>
          <w:rFonts w:cstheme="minorHAnsi"/>
        </w:rPr>
        <w:t>require</w:t>
      </w:r>
      <w:r w:rsidRPr="002D6014">
        <w:rPr>
          <w:rFonts w:cstheme="minorHAnsi"/>
        </w:rPr>
        <w:t xml:space="preserve"> the </w:t>
      </w:r>
      <w:r w:rsidR="00F16A47" w:rsidRPr="002D6014">
        <w:rPr>
          <w:rFonts w:cstheme="minorHAnsi"/>
        </w:rPr>
        <w:t>P</w:t>
      </w:r>
      <w:r w:rsidRPr="002D6014">
        <w:rPr>
          <w:rFonts w:cstheme="minorHAnsi"/>
        </w:rPr>
        <w:t>arliament</w:t>
      </w:r>
      <w:r w:rsidR="00505D81" w:rsidRPr="002D6014">
        <w:rPr>
          <w:rFonts w:cstheme="minorHAnsi"/>
        </w:rPr>
        <w:t xml:space="preserve"> to</w:t>
      </w:r>
      <w:r w:rsidRPr="002D6014">
        <w:rPr>
          <w:rFonts w:cstheme="minorHAnsi"/>
        </w:rPr>
        <w:t xml:space="preserve"> consider how laws impact on</w:t>
      </w:r>
      <w:r w:rsidR="00B113AD" w:rsidRPr="002D6014">
        <w:rPr>
          <w:rFonts w:cstheme="minorHAnsi"/>
        </w:rPr>
        <w:t xml:space="preserve"> </w:t>
      </w:r>
      <w:r w:rsidR="00E0058C" w:rsidRPr="002D6014">
        <w:rPr>
          <w:rFonts w:cstheme="minorHAnsi"/>
        </w:rPr>
        <w:t>human</w:t>
      </w:r>
      <w:r w:rsidRPr="002D6014">
        <w:rPr>
          <w:rFonts w:cstheme="minorHAnsi"/>
        </w:rPr>
        <w:t xml:space="preserve"> rights</w:t>
      </w:r>
      <w:r w:rsidR="001568A9" w:rsidRPr="002D6014">
        <w:rPr>
          <w:rFonts w:cstheme="minorHAnsi"/>
        </w:rPr>
        <w:t xml:space="preserve"> and how effectively rights are protected and balanced. </w:t>
      </w:r>
      <w:r w:rsidRPr="002D6014">
        <w:rPr>
          <w:rFonts w:cstheme="minorHAnsi"/>
        </w:rPr>
        <w:t xml:space="preserve">Each Bill tabled in parliament </w:t>
      </w:r>
      <w:r w:rsidR="009D00B0" w:rsidRPr="002D6014">
        <w:rPr>
          <w:rFonts w:cstheme="minorHAnsi"/>
        </w:rPr>
        <w:t xml:space="preserve">should </w:t>
      </w:r>
      <w:r w:rsidRPr="002D6014">
        <w:rPr>
          <w:rFonts w:cstheme="minorHAnsi"/>
        </w:rPr>
        <w:t xml:space="preserve"> be accompanied by a Statement of Compatibility setting out whether and how the Bill is compatible with</w:t>
      </w:r>
      <w:r w:rsidR="00721F12" w:rsidRPr="002D6014">
        <w:rPr>
          <w:rFonts w:cstheme="minorHAnsi"/>
        </w:rPr>
        <w:t>,</w:t>
      </w:r>
      <w:r w:rsidRPr="002D6014">
        <w:rPr>
          <w:rFonts w:cstheme="minorHAnsi"/>
        </w:rPr>
        <w:t xml:space="preserve"> or contravenes human rights. </w:t>
      </w:r>
      <w:r w:rsidR="005809D9" w:rsidRPr="002D6014">
        <w:rPr>
          <w:rFonts w:cstheme="minorHAnsi"/>
        </w:rPr>
        <w:t xml:space="preserve"> These proposals reflect the central role of </w:t>
      </w:r>
      <w:r w:rsidR="006E6392" w:rsidRPr="002D6014">
        <w:rPr>
          <w:rFonts w:cstheme="minorHAnsi"/>
        </w:rPr>
        <w:t>P</w:t>
      </w:r>
      <w:r w:rsidR="005809D9" w:rsidRPr="002D6014">
        <w:rPr>
          <w:rFonts w:cstheme="minorHAnsi"/>
        </w:rPr>
        <w:t>arliament in a H</w:t>
      </w:r>
      <w:r w:rsidR="00721F12" w:rsidRPr="002D6014">
        <w:rPr>
          <w:rFonts w:cstheme="minorHAnsi"/>
        </w:rPr>
        <w:t xml:space="preserve">uman </w:t>
      </w:r>
      <w:r w:rsidR="005809D9" w:rsidRPr="002D6014">
        <w:rPr>
          <w:rFonts w:cstheme="minorHAnsi"/>
        </w:rPr>
        <w:t>R</w:t>
      </w:r>
      <w:r w:rsidR="00721F12" w:rsidRPr="002D6014">
        <w:rPr>
          <w:rFonts w:cstheme="minorHAnsi"/>
        </w:rPr>
        <w:t>ights</w:t>
      </w:r>
      <w:r w:rsidR="005809D9" w:rsidRPr="002D6014">
        <w:rPr>
          <w:rFonts w:cstheme="minorHAnsi"/>
        </w:rPr>
        <w:t xml:space="preserve"> Act dialogue model. They also protect and preser</w:t>
      </w:r>
      <w:r w:rsidR="00054438" w:rsidRPr="002D6014">
        <w:rPr>
          <w:rFonts w:cstheme="minorHAnsi"/>
        </w:rPr>
        <w:t>ve parliamentary supremacy.</w:t>
      </w:r>
    </w:p>
    <w:p w:rsidR="00241927" w:rsidRPr="00D95D9E" w:rsidRDefault="00241927" w:rsidP="001B0C9C">
      <w:pPr>
        <w:pStyle w:val="ListParagraph"/>
        <w:numPr>
          <w:ilvl w:val="0"/>
          <w:numId w:val="5"/>
        </w:numPr>
        <w:tabs>
          <w:tab w:val="clear" w:pos="567"/>
        </w:tabs>
        <w:contextualSpacing w:val="0"/>
        <w:rPr>
          <w:rFonts w:ascii="Arial" w:hAnsi="Arial" w:cs="Arial"/>
        </w:rPr>
      </w:pPr>
      <w:r w:rsidRPr="002D6014">
        <w:rPr>
          <w:rFonts w:cstheme="minorHAnsi"/>
        </w:rPr>
        <w:t xml:space="preserve">All legislation </w:t>
      </w:r>
      <w:r w:rsidR="009D00B0" w:rsidRPr="002D6014">
        <w:rPr>
          <w:rFonts w:cstheme="minorHAnsi"/>
        </w:rPr>
        <w:t xml:space="preserve">ought </w:t>
      </w:r>
      <w:r w:rsidRPr="002D6014">
        <w:rPr>
          <w:rFonts w:cstheme="minorHAnsi"/>
        </w:rPr>
        <w:t xml:space="preserve">to be considered by a </w:t>
      </w:r>
      <w:r w:rsidR="009D00B0" w:rsidRPr="002D6014">
        <w:rPr>
          <w:rFonts w:cstheme="minorHAnsi"/>
        </w:rPr>
        <w:t xml:space="preserve">specialist </w:t>
      </w:r>
      <w:r w:rsidRPr="002D6014">
        <w:rPr>
          <w:rFonts w:cstheme="minorHAnsi"/>
        </w:rPr>
        <w:t>parliamentary committee</w:t>
      </w:r>
      <w:r w:rsidR="002930D1" w:rsidRPr="002D6014">
        <w:rPr>
          <w:rFonts w:cstheme="minorHAnsi"/>
        </w:rPr>
        <w:t>,</w:t>
      </w:r>
      <w:r w:rsidRPr="002D6014">
        <w:rPr>
          <w:rFonts w:cstheme="minorHAnsi"/>
        </w:rPr>
        <w:t xml:space="preserve"> for the purpose of reporting to parliament on whether the legislation is compatible with human rights. </w:t>
      </w:r>
      <w:r w:rsidR="00C60E06" w:rsidRPr="002D6014">
        <w:rPr>
          <w:rFonts w:cstheme="minorHAnsi"/>
        </w:rPr>
        <w:t xml:space="preserve">For this committee to function effectively, it is extremely important that it is given </w:t>
      </w:r>
      <w:r w:rsidR="00C60E06" w:rsidRPr="002D6014">
        <w:rPr>
          <w:rFonts w:cstheme="minorHAnsi"/>
        </w:rPr>
        <w:lastRenderedPageBreak/>
        <w:t xml:space="preserve">sufficient time to do so. In the ACT, where this type of committee has had the greatest impact, there is a requirement that no </w:t>
      </w:r>
      <w:r w:rsidR="005809D9" w:rsidRPr="002D6014">
        <w:rPr>
          <w:rFonts w:cstheme="minorHAnsi"/>
        </w:rPr>
        <w:t>B</w:t>
      </w:r>
      <w:r w:rsidR="00C60E06" w:rsidRPr="002D6014">
        <w:rPr>
          <w:rFonts w:cstheme="minorHAnsi"/>
        </w:rPr>
        <w:t>ill proceeds to debate until the committee has reported.</w:t>
      </w:r>
      <w:r w:rsidR="00C60E06" w:rsidRPr="00D95D9E">
        <w:rPr>
          <w:rStyle w:val="FootnoteReference"/>
          <w:rFonts w:cstheme="minorHAnsi"/>
        </w:rPr>
        <w:footnoteReference w:id="50"/>
      </w:r>
    </w:p>
    <w:p w:rsidR="00241927" w:rsidRPr="00D95D9E" w:rsidRDefault="009D00B0" w:rsidP="001B0C9C">
      <w:pPr>
        <w:pStyle w:val="ListParagraph"/>
        <w:numPr>
          <w:ilvl w:val="0"/>
          <w:numId w:val="5"/>
        </w:numPr>
        <w:tabs>
          <w:tab w:val="clear" w:pos="567"/>
        </w:tabs>
        <w:contextualSpacing w:val="0"/>
        <w:rPr>
          <w:rFonts w:ascii="Arial" w:hAnsi="Arial" w:cs="Arial"/>
        </w:rPr>
      </w:pPr>
      <w:r w:rsidRPr="00D95D9E">
        <w:rPr>
          <w:rFonts w:cstheme="minorHAnsi"/>
        </w:rPr>
        <w:t>There ought to be a</w:t>
      </w:r>
      <w:r w:rsidR="00241927" w:rsidRPr="00D95D9E">
        <w:rPr>
          <w:rFonts w:cstheme="minorHAnsi"/>
        </w:rPr>
        <w:t xml:space="preserve"> requirement that the government respond</w:t>
      </w:r>
      <w:r w:rsidR="002136D8" w:rsidRPr="00D95D9E">
        <w:rPr>
          <w:rFonts w:cstheme="minorHAnsi"/>
        </w:rPr>
        <w:t>s</w:t>
      </w:r>
      <w:r w:rsidR="00241927" w:rsidRPr="00D95D9E">
        <w:rPr>
          <w:rFonts w:cstheme="minorHAnsi"/>
        </w:rPr>
        <w:t xml:space="preserve"> publically to a declaration of incompa</w:t>
      </w:r>
      <w:r w:rsidR="00241927" w:rsidRPr="007004AD">
        <w:rPr>
          <w:rFonts w:cstheme="minorHAnsi"/>
        </w:rPr>
        <w:t>tibility within a prescribed time frame.</w:t>
      </w:r>
    </w:p>
    <w:p w:rsidR="00F932FF" w:rsidRPr="002D6014" w:rsidRDefault="00F932FF" w:rsidP="001B0C9C">
      <w:pPr>
        <w:pStyle w:val="ListParagraph"/>
        <w:numPr>
          <w:ilvl w:val="0"/>
          <w:numId w:val="5"/>
        </w:numPr>
        <w:tabs>
          <w:tab w:val="clear" w:pos="567"/>
        </w:tabs>
        <w:contextualSpacing w:val="0"/>
        <w:rPr>
          <w:rFonts w:ascii="Arial" w:hAnsi="Arial" w:cs="Arial"/>
        </w:rPr>
      </w:pPr>
      <w:r w:rsidRPr="00D95D9E">
        <w:rPr>
          <w:rFonts w:cstheme="minorHAnsi"/>
        </w:rPr>
        <w:t xml:space="preserve">Human </w:t>
      </w:r>
      <w:r w:rsidR="002136D8" w:rsidRPr="00D95D9E">
        <w:rPr>
          <w:rFonts w:cstheme="minorHAnsi"/>
        </w:rPr>
        <w:t>r</w:t>
      </w:r>
      <w:r w:rsidRPr="00D95D9E">
        <w:rPr>
          <w:rFonts w:cstheme="minorHAnsi"/>
        </w:rPr>
        <w:t xml:space="preserve">ights monitoring reports, for example by a Human Rights Commissioner, would be tabled in </w:t>
      </w:r>
      <w:r w:rsidR="00183679" w:rsidRPr="002D6014">
        <w:rPr>
          <w:rFonts w:cstheme="minorHAnsi"/>
        </w:rPr>
        <w:t>P</w:t>
      </w:r>
      <w:r w:rsidRPr="002D6014">
        <w:rPr>
          <w:rFonts w:cstheme="minorHAnsi"/>
        </w:rPr>
        <w:t xml:space="preserve">arliament for consideration. Annual reporting obligations </w:t>
      </w:r>
      <w:r w:rsidR="002136D8" w:rsidRPr="002D6014">
        <w:rPr>
          <w:rFonts w:cstheme="minorHAnsi"/>
        </w:rPr>
        <w:t>for</w:t>
      </w:r>
      <w:r w:rsidRPr="002D6014">
        <w:rPr>
          <w:rFonts w:cstheme="minorHAnsi"/>
        </w:rPr>
        <w:t xml:space="preserve"> all departments and public authorities </w:t>
      </w:r>
      <w:r w:rsidR="001568A9" w:rsidRPr="002D6014">
        <w:rPr>
          <w:rFonts w:cstheme="minorHAnsi"/>
        </w:rPr>
        <w:t xml:space="preserve">required to take steps to implement the Act would also be tabled in </w:t>
      </w:r>
      <w:r w:rsidR="00183679" w:rsidRPr="002D6014">
        <w:rPr>
          <w:rFonts w:cstheme="minorHAnsi"/>
        </w:rPr>
        <w:t xml:space="preserve">Parliament </w:t>
      </w:r>
      <w:r w:rsidR="001568A9" w:rsidRPr="002D6014">
        <w:rPr>
          <w:rFonts w:cstheme="minorHAnsi"/>
        </w:rPr>
        <w:t xml:space="preserve">for consideration. </w:t>
      </w:r>
    </w:p>
    <w:p w:rsidR="005809D9" w:rsidRPr="002D6014" w:rsidRDefault="005809D9" w:rsidP="001B0C9C">
      <w:pPr>
        <w:pStyle w:val="ListParagraph"/>
        <w:numPr>
          <w:ilvl w:val="0"/>
          <w:numId w:val="5"/>
        </w:numPr>
        <w:tabs>
          <w:tab w:val="clear" w:pos="567"/>
        </w:tabs>
        <w:contextualSpacing w:val="0"/>
        <w:rPr>
          <w:rFonts w:ascii="Arial" w:hAnsi="Arial" w:cs="Arial"/>
        </w:rPr>
      </w:pPr>
      <w:r w:rsidRPr="002D6014">
        <w:rPr>
          <w:rFonts w:cstheme="minorHAnsi"/>
        </w:rPr>
        <w:t>A Human Rights Commission</w:t>
      </w:r>
      <w:r w:rsidR="002136D8" w:rsidRPr="002D6014">
        <w:rPr>
          <w:rFonts w:cstheme="minorHAnsi"/>
        </w:rPr>
        <w:t>,</w:t>
      </w:r>
      <w:r w:rsidRPr="002D6014">
        <w:rPr>
          <w:rFonts w:cstheme="minorHAnsi"/>
        </w:rPr>
        <w:t xml:space="preserve"> or equivalent</w:t>
      </w:r>
      <w:r w:rsidR="002136D8" w:rsidRPr="002D6014">
        <w:rPr>
          <w:rFonts w:cstheme="minorHAnsi"/>
        </w:rPr>
        <w:t>,</w:t>
      </w:r>
      <w:r w:rsidRPr="002D6014">
        <w:rPr>
          <w:rFonts w:cstheme="minorHAnsi"/>
        </w:rPr>
        <w:t xml:space="preserve"> could perform an educative and assessment function. In Victoria this role is performed by the V</w:t>
      </w:r>
      <w:r w:rsidR="002136D8" w:rsidRPr="002D6014">
        <w:rPr>
          <w:rFonts w:cstheme="minorHAnsi"/>
        </w:rPr>
        <w:t xml:space="preserve">ictorian </w:t>
      </w:r>
      <w:r w:rsidRPr="002D6014">
        <w:rPr>
          <w:rFonts w:cstheme="minorHAnsi"/>
        </w:rPr>
        <w:t>E</w:t>
      </w:r>
      <w:r w:rsidR="002136D8" w:rsidRPr="002D6014">
        <w:rPr>
          <w:rFonts w:cstheme="minorHAnsi"/>
        </w:rPr>
        <w:t xml:space="preserve">qual </w:t>
      </w:r>
      <w:r w:rsidRPr="002D6014">
        <w:rPr>
          <w:rFonts w:cstheme="minorHAnsi"/>
        </w:rPr>
        <w:t>O</w:t>
      </w:r>
      <w:r w:rsidR="002136D8" w:rsidRPr="002D6014">
        <w:rPr>
          <w:rFonts w:cstheme="minorHAnsi"/>
        </w:rPr>
        <w:t xml:space="preserve">pportunity &amp; </w:t>
      </w:r>
      <w:r w:rsidRPr="002D6014">
        <w:rPr>
          <w:rFonts w:cstheme="minorHAnsi"/>
        </w:rPr>
        <w:t>H</w:t>
      </w:r>
      <w:r w:rsidR="002136D8" w:rsidRPr="002D6014">
        <w:rPr>
          <w:rFonts w:cstheme="minorHAnsi"/>
        </w:rPr>
        <w:t xml:space="preserve">uman </w:t>
      </w:r>
      <w:r w:rsidRPr="002D6014">
        <w:rPr>
          <w:rFonts w:cstheme="minorHAnsi"/>
        </w:rPr>
        <w:t>R</w:t>
      </w:r>
      <w:r w:rsidR="002136D8" w:rsidRPr="002D6014">
        <w:rPr>
          <w:rFonts w:cstheme="minorHAnsi"/>
        </w:rPr>
        <w:t xml:space="preserve">ights </w:t>
      </w:r>
      <w:r w:rsidRPr="002D6014">
        <w:rPr>
          <w:rFonts w:cstheme="minorHAnsi"/>
        </w:rPr>
        <w:t>C</w:t>
      </w:r>
      <w:r w:rsidR="002136D8" w:rsidRPr="002D6014">
        <w:rPr>
          <w:rFonts w:cstheme="minorHAnsi"/>
        </w:rPr>
        <w:t>ommission</w:t>
      </w:r>
      <w:r w:rsidRPr="002D6014">
        <w:rPr>
          <w:rFonts w:cstheme="minorHAnsi"/>
        </w:rPr>
        <w:t>, wh</w:t>
      </w:r>
      <w:r w:rsidR="002136D8" w:rsidRPr="002D6014">
        <w:rPr>
          <w:rFonts w:cstheme="minorHAnsi"/>
        </w:rPr>
        <w:t>ich</w:t>
      </w:r>
      <w:r w:rsidRPr="002D6014">
        <w:rPr>
          <w:rFonts w:cstheme="minorHAnsi"/>
        </w:rPr>
        <w:t xml:space="preserve"> provide</w:t>
      </w:r>
      <w:r w:rsidR="002136D8" w:rsidRPr="002D6014">
        <w:rPr>
          <w:rFonts w:cstheme="minorHAnsi"/>
        </w:rPr>
        <w:t>s</w:t>
      </w:r>
      <w:r w:rsidRPr="002D6014">
        <w:rPr>
          <w:rFonts w:cstheme="minorHAnsi"/>
        </w:rPr>
        <w:t xml:space="preserve"> information, education</w:t>
      </w:r>
      <w:r w:rsidR="002136D8" w:rsidRPr="002D6014">
        <w:rPr>
          <w:rFonts w:cstheme="minorHAnsi"/>
        </w:rPr>
        <w:t>,</w:t>
      </w:r>
      <w:r w:rsidRPr="002D6014">
        <w:rPr>
          <w:rFonts w:cstheme="minorHAnsi"/>
        </w:rPr>
        <w:t xml:space="preserve"> and training programs to the public. </w:t>
      </w:r>
      <w:r w:rsidR="002136D8" w:rsidRPr="002D6014">
        <w:rPr>
          <w:rFonts w:cstheme="minorHAnsi"/>
        </w:rPr>
        <w:t>It</w:t>
      </w:r>
      <w:r w:rsidRPr="002D6014">
        <w:rPr>
          <w:rFonts w:cstheme="minorHAnsi"/>
        </w:rPr>
        <w:t xml:space="preserve"> also h</w:t>
      </w:r>
      <w:r w:rsidR="002136D8" w:rsidRPr="002D6014">
        <w:rPr>
          <w:rFonts w:cstheme="minorHAnsi"/>
        </w:rPr>
        <w:t>as</w:t>
      </w:r>
      <w:r w:rsidRPr="002D6014">
        <w:rPr>
          <w:rFonts w:cstheme="minorHAnsi"/>
        </w:rPr>
        <w:t xml:space="preserve"> the role of regular and </w:t>
      </w:r>
      <w:r w:rsidR="002136D8" w:rsidRPr="002D6014">
        <w:rPr>
          <w:rFonts w:cstheme="minorHAnsi"/>
        </w:rPr>
        <w:t xml:space="preserve">the </w:t>
      </w:r>
      <w:r w:rsidRPr="002D6014">
        <w:rPr>
          <w:rFonts w:cstheme="minorHAnsi"/>
        </w:rPr>
        <w:t>independent assessment of steps taken by government to meet their human rights responsibilities. In the ACT the Human Rights Commiss</w:t>
      </w:r>
      <w:r w:rsidR="001B0C9C" w:rsidRPr="002D6014">
        <w:rPr>
          <w:rFonts w:cstheme="minorHAnsi"/>
        </w:rPr>
        <w:t>ioner performs a similar role.</w:t>
      </w:r>
    </w:p>
    <w:p w:rsidR="00F932FF" w:rsidRPr="002D6014" w:rsidRDefault="00F932FF" w:rsidP="001B0C9C">
      <w:pPr>
        <w:pStyle w:val="ListParagraph"/>
        <w:numPr>
          <w:ilvl w:val="0"/>
          <w:numId w:val="5"/>
        </w:numPr>
        <w:tabs>
          <w:tab w:val="clear" w:pos="567"/>
        </w:tabs>
        <w:contextualSpacing w:val="0"/>
        <w:rPr>
          <w:rFonts w:ascii="Arial" w:hAnsi="Arial" w:cs="Arial"/>
        </w:rPr>
      </w:pPr>
      <w:r w:rsidRPr="002D6014">
        <w:rPr>
          <w:rFonts w:cstheme="minorHAnsi"/>
        </w:rPr>
        <w:t xml:space="preserve">The ACT and Victoria have mandatory review provisions for their </w:t>
      </w:r>
      <w:r w:rsidR="002136D8" w:rsidRPr="002D6014">
        <w:rPr>
          <w:rFonts w:cstheme="minorHAnsi"/>
        </w:rPr>
        <w:t>h</w:t>
      </w:r>
      <w:r w:rsidRPr="002D6014">
        <w:rPr>
          <w:rFonts w:cstheme="minorHAnsi"/>
        </w:rPr>
        <w:t xml:space="preserve">uman </w:t>
      </w:r>
      <w:r w:rsidR="002136D8" w:rsidRPr="002D6014">
        <w:rPr>
          <w:rFonts w:cstheme="minorHAnsi"/>
        </w:rPr>
        <w:t>r</w:t>
      </w:r>
      <w:r w:rsidRPr="002D6014">
        <w:rPr>
          <w:rFonts w:cstheme="minorHAnsi"/>
        </w:rPr>
        <w:t>ights legislation. Such a requirement reflects the flexible and resp</w:t>
      </w:r>
      <w:r w:rsidR="005809D9" w:rsidRPr="002D6014">
        <w:rPr>
          <w:rFonts w:cstheme="minorHAnsi"/>
        </w:rPr>
        <w:t xml:space="preserve">onsive nature of </w:t>
      </w:r>
      <w:r w:rsidR="002136D8" w:rsidRPr="002D6014">
        <w:rPr>
          <w:rFonts w:cstheme="minorHAnsi"/>
        </w:rPr>
        <w:t>h</w:t>
      </w:r>
      <w:r w:rsidR="005809D9" w:rsidRPr="002D6014">
        <w:rPr>
          <w:rFonts w:cstheme="minorHAnsi"/>
        </w:rPr>
        <w:t xml:space="preserve">uman </w:t>
      </w:r>
      <w:r w:rsidR="002136D8" w:rsidRPr="002D6014">
        <w:rPr>
          <w:rFonts w:cstheme="minorHAnsi"/>
        </w:rPr>
        <w:t>r</w:t>
      </w:r>
      <w:r w:rsidR="005809D9" w:rsidRPr="002D6014">
        <w:rPr>
          <w:rFonts w:cstheme="minorHAnsi"/>
        </w:rPr>
        <w:t>ights</w:t>
      </w:r>
      <w:r w:rsidR="002136D8" w:rsidRPr="002D6014">
        <w:rPr>
          <w:rFonts w:cstheme="minorHAnsi"/>
        </w:rPr>
        <w:t>,</w:t>
      </w:r>
      <w:r w:rsidR="005809D9" w:rsidRPr="002D6014">
        <w:rPr>
          <w:rFonts w:cstheme="minorHAnsi"/>
        </w:rPr>
        <w:t xml:space="preserve"> and would assist a Queensland Human Rights Act to remain reflective of contemporary standar</w:t>
      </w:r>
      <w:r w:rsidR="001B0C9C" w:rsidRPr="002D6014">
        <w:rPr>
          <w:rFonts w:cstheme="minorHAnsi"/>
        </w:rPr>
        <w:t>ds and trends in human rights.</w:t>
      </w:r>
    </w:p>
    <w:p w:rsidR="00F932FF" w:rsidRPr="002D6014" w:rsidRDefault="001568A9" w:rsidP="005341CB">
      <w:pPr>
        <w:pStyle w:val="ListParagraph"/>
        <w:numPr>
          <w:ilvl w:val="0"/>
          <w:numId w:val="5"/>
        </w:numPr>
        <w:tabs>
          <w:tab w:val="clear" w:pos="567"/>
        </w:tabs>
        <w:spacing w:after="120"/>
        <w:contextualSpacing w:val="0"/>
        <w:rPr>
          <w:rFonts w:ascii="Arial" w:hAnsi="Arial" w:cs="Arial"/>
        </w:rPr>
      </w:pPr>
      <w:r w:rsidRPr="002D6014">
        <w:rPr>
          <w:rFonts w:cstheme="minorHAnsi"/>
        </w:rPr>
        <w:t xml:space="preserve">The effect of these proposals </w:t>
      </w:r>
      <w:r w:rsidR="00F932FF" w:rsidRPr="002D6014">
        <w:rPr>
          <w:rFonts w:cstheme="minorHAnsi"/>
        </w:rPr>
        <w:t>would be improved quality of law</w:t>
      </w:r>
      <w:r w:rsidR="002136D8" w:rsidRPr="002D6014">
        <w:rPr>
          <w:rFonts w:cstheme="minorHAnsi"/>
        </w:rPr>
        <w:t>-</w:t>
      </w:r>
      <w:r w:rsidR="00F932FF" w:rsidRPr="002D6014">
        <w:rPr>
          <w:rFonts w:cstheme="minorHAnsi"/>
        </w:rPr>
        <w:t>making</w:t>
      </w:r>
      <w:r w:rsidR="002136D8" w:rsidRPr="002D6014">
        <w:rPr>
          <w:rFonts w:cstheme="minorHAnsi"/>
        </w:rPr>
        <w:t>,</w:t>
      </w:r>
      <w:r w:rsidR="00F932FF" w:rsidRPr="002D6014">
        <w:rPr>
          <w:rFonts w:cstheme="minorHAnsi"/>
        </w:rPr>
        <w:t xml:space="preserve"> and cultural change in </w:t>
      </w:r>
      <w:r w:rsidR="00183679" w:rsidRPr="002D6014">
        <w:rPr>
          <w:rFonts w:cstheme="minorHAnsi"/>
        </w:rPr>
        <w:t>Parliament</w:t>
      </w:r>
      <w:r w:rsidR="00F932FF" w:rsidRPr="002D6014">
        <w:rPr>
          <w:rFonts w:cstheme="minorHAnsi"/>
        </w:rPr>
        <w:t xml:space="preserve">. </w:t>
      </w:r>
      <w:r w:rsidR="002136D8" w:rsidRPr="002D6014">
        <w:rPr>
          <w:rFonts w:cstheme="minorHAnsi"/>
        </w:rPr>
        <w:t>T</w:t>
      </w:r>
      <w:r w:rsidR="0029570E" w:rsidRPr="002D6014">
        <w:rPr>
          <w:rFonts w:cstheme="minorHAnsi"/>
        </w:rPr>
        <w:t>he Victorian government</w:t>
      </w:r>
      <w:r w:rsidR="002136D8" w:rsidRPr="002D6014">
        <w:rPr>
          <w:rFonts w:cstheme="minorHAnsi"/>
        </w:rPr>
        <w:t>,</w:t>
      </w:r>
      <w:r w:rsidR="0029570E" w:rsidRPr="002D6014">
        <w:rPr>
          <w:rFonts w:cstheme="minorHAnsi"/>
        </w:rPr>
        <w:t xml:space="preserve"> during its recent review</w:t>
      </w:r>
      <w:r w:rsidR="002136D8" w:rsidRPr="002D6014">
        <w:rPr>
          <w:rFonts w:cstheme="minorHAnsi"/>
        </w:rPr>
        <w:t>,</w:t>
      </w:r>
      <w:r w:rsidR="0029570E" w:rsidRPr="002D6014">
        <w:rPr>
          <w:rFonts w:cstheme="minorHAnsi"/>
        </w:rPr>
        <w:t xml:space="preserve"> found that when drafting legislation </w:t>
      </w:r>
      <w:r w:rsidR="002136D8" w:rsidRPr="002D6014">
        <w:rPr>
          <w:rFonts w:cstheme="minorHAnsi"/>
        </w:rPr>
        <w:t>that ‘</w:t>
      </w:r>
      <w:r w:rsidR="0029570E" w:rsidRPr="002D6014">
        <w:rPr>
          <w:rFonts w:cstheme="minorHAnsi"/>
        </w:rPr>
        <w:t>the Charter has increased the focus on rights concerns’ and ‘provided a legislative basis for raising rights issues.</w:t>
      </w:r>
      <w:r w:rsidR="002136D8" w:rsidRPr="002D6014">
        <w:rPr>
          <w:rFonts w:cstheme="minorHAnsi"/>
        </w:rPr>
        <w:t>’</w:t>
      </w:r>
      <w:r w:rsidR="0029570E" w:rsidRPr="00D95D9E">
        <w:rPr>
          <w:rStyle w:val="FootnoteReference"/>
          <w:rFonts w:cstheme="minorHAnsi"/>
        </w:rPr>
        <w:footnoteReference w:id="51"/>
      </w:r>
      <w:r w:rsidR="0029570E" w:rsidRPr="00D95D9E">
        <w:rPr>
          <w:rFonts w:cstheme="minorHAnsi"/>
        </w:rPr>
        <w:t xml:space="preserve"> </w:t>
      </w:r>
      <w:r w:rsidR="00F932FF" w:rsidRPr="00D95D9E">
        <w:rPr>
          <w:rFonts w:cstheme="minorHAnsi"/>
        </w:rPr>
        <w:t>During the five</w:t>
      </w:r>
      <w:r w:rsidR="00397803" w:rsidRPr="002D6014">
        <w:rPr>
          <w:rFonts w:cstheme="minorHAnsi"/>
        </w:rPr>
        <w:t>-</w:t>
      </w:r>
      <w:r w:rsidR="00F932FF" w:rsidRPr="002D6014">
        <w:rPr>
          <w:rFonts w:cstheme="minorHAnsi"/>
        </w:rPr>
        <w:t>year review</w:t>
      </w:r>
      <w:r w:rsidR="00397803" w:rsidRPr="002D6014">
        <w:rPr>
          <w:rFonts w:cstheme="minorHAnsi"/>
        </w:rPr>
        <w:t xml:space="preserve"> of</w:t>
      </w:r>
      <w:r w:rsidR="00F932FF" w:rsidRPr="002D6014">
        <w:rPr>
          <w:rFonts w:cstheme="minorHAnsi"/>
        </w:rPr>
        <w:t xml:space="preserve"> the ACT </w:t>
      </w:r>
      <w:r w:rsidR="00F932FF" w:rsidRPr="002D6014">
        <w:rPr>
          <w:rFonts w:cstheme="minorHAnsi"/>
          <w:i/>
        </w:rPr>
        <w:t>Human Rights Act it</w:t>
      </w:r>
      <w:r w:rsidR="00F932FF" w:rsidRPr="002D6014">
        <w:rPr>
          <w:rFonts w:cstheme="minorHAnsi"/>
        </w:rPr>
        <w:t xml:space="preserve"> was found that </w:t>
      </w:r>
      <w:r w:rsidR="00397803" w:rsidRPr="002D6014">
        <w:rPr>
          <w:rFonts w:cstheme="minorHAnsi"/>
        </w:rPr>
        <w:t>‘</w:t>
      </w:r>
      <w:r w:rsidR="00F932FF" w:rsidRPr="002D6014">
        <w:rPr>
          <w:rFonts w:cstheme="minorHAnsi"/>
        </w:rPr>
        <w:t>One of the clearest effects of the HRA has been to improve the quality of law-making in the Territory.</w:t>
      </w:r>
      <w:r w:rsidR="00397803" w:rsidRPr="002D6014">
        <w:rPr>
          <w:rFonts w:cstheme="minorHAnsi"/>
        </w:rPr>
        <w:t>’</w:t>
      </w:r>
      <w:r w:rsidR="00F932FF" w:rsidRPr="002D6014">
        <w:rPr>
          <w:rFonts w:cstheme="minorHAnsi"/>
        </w:rPr>
        <w:t xml:space="preserve">  The ACT Human Rights </w:t>
      </w:r>
      <w:r w:rsidR="0029570E" w:rsidRPr="002D6014">
        <w:rPr>
          <w:rFonts w:cstheme="minorHAnsi"/>
        </w:rPr>
        <w:t>Commissioner</w:t>
      </w:r>
      <w:r w:rsidR="00F932FF" w:rsidRPr="002D6014">
        <w:rPr>
          <w:rFonts w:cstheme="minorHAnsi"/>
        </w:rPr>
        <w:t xml:space="preserve"> has recently commented</w:t>
      </w:r>
      <w:r w:rsidR="00820898" w:rsidRPr="002D6014">
        <w:rPr>
          <w:rFonts w:cstheme="minorHAnsi"/>
        </w:rPr>
        <w:t>:</w:t>
      </w:r>
    </w:p>
    <w:p w:rsidR="00F932FF" w:rsidRPr="002D6014" w:rsidRDefault="00397803" w:rsidP="00D91097">
      <w:pPr>
        <w:tabs>
          <w:tab w:val="clear" w:pos="567"/>
        </w:tabs>
        <w:ind w:left="1134" w:right="1083"/>
        <w:rPr>
          <w:rFonts w:cstheme="minorHAnsi"/>
          <w:sz w:val="20"/>
          <w:szCs w:val="20"/>
        </w:rPr>
      </w:pPr>
      <w:r w:rsidRPr="002D6014">
        <w:rPr>
          <w:rFonts w:cstheme="minorHAnsi"/>
          <w:sz w:val="20"/>
          <w:szCs w:val="20"/>
        </w:rPr>
        <w:t>‘</w:t>
      </w:r>
      <w:r w:rsidR="00F932FF" w:rsidRPr="002D6014">
        <w:rPr>
          <w:rFonts w:cstheme="minorHAnsi"/>
          <w:sz w:val="20"/>
          <w:szCs w:val="20"/>
        </w:rPr>
        <w:t>By all accounts, the HR Act’s main influence remains clearest within the Legislature, where there are signs that it has made a genuine cultural difference to the way the Assembly goes about its work. The Act and the standards that it upholds are frequently invoked in parliamentary debates by members across the political divide.</w:t>
      </w:r>
      <w:r w:rsidRPr="002D6014">
        <w:rPr>
          <w:rFonts w:cstheme="minorHAnsi"/>
          <w:sz w:val="20"/>
          <w:szCs w:val="20"/>
        </w:rPr>
        <w:t>’</w:t>
      </w:r>
      <w:r w:rsidR="00F932FF" w:rsidRPr="002D6014">
        <w:rPr>
          <w:rStyle w:val="FootnoteReference"/>
          <w:rFonts w:cstheme="minorHAnsi"/>
          <w:sz w:val="20"/>
          <w:szCs w:val="20"/>
        </w:rPr>
        <w:footnoteReference w:id="52"/>
      </w:r>
    </w:p>
    <w:p w:rsidR="00575F58" w:rsidRPr="002D6014" w:rsidRDefault="00575F58" w:rsidP="00CC31F0">
      <w:pPr>
        <w:pStyle w:val="Heading2"/>
      </w:pPr>
      <w:bookmarkStart w:id="39" w:name="_Toc448747775"/>
      <w:r w:rsidRPr="002D6014">
        <w:t>Courts and Tribunals</w:t>
      </w:r>
      <w:bookmarkEnd w:id="39"/>
    </w:p>
    <w:p w:rsidR="0029570E" w:rsidRPr="002D6014" w:rsidRDefault="00AE5882" w:rsidP="003218AB">
      <w:pPr>
        <w:pStyle w:val="Heading3"/>
      </w:pPr>
      <w:bookmarkStart w:id="40" w:name="_Toc448747776"/>
      <w:r w:rsidRPr="002D6014">
        <w:t>Judicial interpretation</w:t>
      </w:r>
      <w:bookmarkEnd w:id="40"/>
      <w:r w:rsidR="00FF3589" w:rsidRPr="002D6014">
        <w:t xml:space="preserve"> </w:t>
      </w:r>
    </w:p>
    <w:p w:rsidR="007C187D" w:rsidRPr="00D95D9E" w:rsidRDefault="00FE3990" w:rsidP="001B0C9C">
      <w:pPr>
        <w:pStyle w:val="ListParagraph"/>
        <w:numPr>
          <w:ilvl w:val="0"/>
          <w:numId w:val="5"/>
        </w:numPr>
        <w:shd w:val="clear" w:color="auto" w:fill="FFFFFF"/>
        <w:rPr>
          <w:rFonts w:cs="Times New Roman"/>
        </w:rPr>
      </w:pPr>
      <w:r w:rsidRPr="002D6014">
        <w:t>Courts and tribunals ought to be required to interpret and apply legislation consistently with human rights</w:t>
      </w:r>
      <w:r w:rsidR="007C187D" w:rsidRPr="002D6014">
        <w:t xml:space="preserve">. </w:t>
      </w:r>
      <w:r w:rsidR="00D81834" w:rsidRPr="002D6014">
        <w:t>Requiring court</w:t>
      </w:r>
      <w:r w:rsidR="00820898" w:rsidRPr="002D6014">
        <w:t>s</w:t>
      </w:r>
      <w:r w:rsidR="00D81834" w:rsidRPr="002D6014">
        <w:t xml:space="preserve"> and tribunals to interpret laws consistently with human rights is a characteristic of the Victorian and ACT Acts</w:t>
      </w:r>
      <w:r w:rsidR="00820898" w:rsidRPr="002D6014">
        <w:t>,</w:t>
      </w:r>
      <w:r w:rsidR="00D81834" w:rsidRPr="002D6014">
        <w:t xml:space="preserve"> and is consistent with a dialogue model of rights protection. </w:t>
      </w:r>
      <w:r w:rsidRPr="002D6014">
        <w:t xml:space="preserve">A court or tribunal should be </w:t>
      </w:r>
      <w:r w:rsidR="0029570E" w:rsidRPr="002D6014">
        <w:t>empowered to issue a declaration of incompatibility where an interpretation consist</w:t>
      </w:r>
      <w:r w:rsidR="00523C9D" w:rsidRPr="002D6014">
        <w:t>e</w:t>
      </w:r>
      <w:r w:rsidR="0029570E" w:rsidRPr="002D6014">
        <w:t xml:space="preserve">nt with </w:t>
      </w:r>
      <w:r w:rsidR="007C187D" w:rsidRPr="002D6014">
        <w:t>h</w:t>
      </w:r>
      <w:r w:rsidR="0029570E" w:rsidRPr="002D6014">
        <w:t xml:space="preserve">uman rights is </w:t>
      </w:r>
      <w:r w:rsidR="0029570E" w:rsidRPr="002D6014">
        <w:lastRenderedPageBreak/>
        <w:t xml:space="preserve">not possible. </w:t>
      </w:r>
      <w:r w:rsidR="00631A0E" w:rsidRPr="002D6014">
        <w:t xml:space="preserve">This declaration is tabled in </w:t>
      </w:r>
      <w:r w:rsidR="00183679" w:rsidRPr="002D6014">
        <w:t>Parliament</w:t>
      </w:r>
      <w:r w:rsidR="00054438" w:rsidRPr="002D6014">
        <w:t xml:space="preserve">. </w:t>
      </w:r>
      <w:r w:rsidR="007C187D" w:rsidRPr="002D6014">
        <w:rPr>
          <w:rFonts w:cs="Times New Roman"/>
        </w:rPr>
        <w:t>As discussed previously, it is important that the drafting of this judicial interpretative pro</w:t>
      </w:r>
      <w:r w:rsidR="00D81834" w:rsidRPr="002D6014">
        <w:rPr>
          <w:rFonts w:cs="Times New Roman"/>
        </w:rPr>
        <w:t>vision is clear</w:t>
      </w:r>
      <w:r w:rsidR="007C187D" w:rsidRPr="002D6014">
        <w:rPr>
          <w:rFonts w:cs="Times New Roman"/>
        </w:rPr>
        <w:t>.</w:t>
      </w:r>
      <w:r w:rsidR="007C187D" w:rsidRPr="00D95D9E">
        <w:rPr>
          <w:rStyle w:val="FootnoteReference"/>
          <w:rFonts w:cs="Times New Roman"/>
        </w:rPr>
        <w:footnoteReference w:id="53"/>
      </w:r>
    </w:p>
    <w:p w:rsidR="005914CF" w:rsidRPr="00D95D9E" w:rsidRDefault="001F002E" w:rsidP="003218AB">
      <w:pPr>
        <w:pStyle w:val="Heading3"/>
      </w:pPr>
      <w:bookmarkStart w:id="41" w:name="_Toc448747777"/>
      <w:r w:rsidRPr="00D95D9E">
        <w:t xml:space="preserve">Judicial </w:t>
      </w:r>
      <w:r w:rsidR="005914CF" w:rsidRPr="00D95D9E">
        <w:t xml:space="preserve">decision making </w:t>
      </w:r>
      <w:r w:rsidR="00CC31F0" w:rsidRPr="00D95D9E">
        <w:t>function</w:t>
      </w:r>
      <w:bookmarkEnd w:id="41"/>
      <w:r w:rsidR="00CC31F0" w:rsidRPr="00D95D9E">
        <w:t xml:space="preserve"> </w:t>
      </w:r>
    </w:p>
    <w:p w:rsidR="00066114" w:rsidRPr="002D6014" w:rsidRDefault="005914CF" w:rsidP="00C74AE0">
      <w:pPr>
        <w:pStyle w:val="ListParagraph"/>
        <w:numPr>
          <w:ilvl w:val="0"/>
          <w:numId w:val="5"/>
        </w:numPr>
        <w:shd w:val="clear" w:color="auto" w:fill="FFFFFF"/>
        <w:contextualSpacing w:val="0"/>
        <w:rPr>
          <w:rFonts w:ascii="Arial" w:hAnsi="Arial" w:cs="Arial"/>
        </w:rPr>
      </w:pPr>
      <w:r w:rsidRPr="002D6014">
        <w:rPr>
          <w:rFonts w:ascii="Arial" w:hAnsi="Arial" w:cs="Arial"/>
        </w:rPr>
        <w:t>The courts and tribunal</w:t>
      </w:r>
      <w:r w:rsidR="00320BE7" w:rsidRPr="002D6014">
        <w:rPr>
          <w:rFonts w:ascii="Arial" w:hAnsi="Arial" w:cs="Arial"/>
        </w:rPr>
        <w:t>s</w:t>
      </w:r>
      <w:r w:rsidRPr="002D6014">
        <w:rPr>
          <w:rFonts w:ascii="Arial" w:hAnsi="Arial" w:cs="Arial"/>
        </w:rPr>
        <w:t xml:space="preserve"> ought to be required to take in</w:t>
      </w:r>
      <w:r w:rsidR="001F002E" w:rsidRPr="002D6014">
        <w:rPr>
          <w:rFonts w:ascii="Arial" w:hAnsi="Arial" w:cs="Arial"/>
        </w:rPr>
        <w:t>to</w:t>
      </w:r>
      <w:r w:rsidRPr="002D6014">
        <w:rPr>
          <w:rFonts w:ascii="Arial" w:hAnsi="Arial" w:cs="Arial"/>
        </w:rPr>
        <w:t xml:space="preserve"> account human rights when performing their judicial functions. </w:t>
      </w:r>
    </w:p>
    <w:p w:rsidR="00066114" w:rsidRPr="002D6014" w:rsidRDefault="00066114" w:rsidP="00C74AE0">
      <w:pPr>
        <w:pStyle w:val="ListParagraph"/>
        <w:numPr>
          <w:ilvl w:val="0"/>
          <w:numId w:val="5"/>
        </w:numPr>
        <w:contextualSpacing w:val="0"/>
      </w:pPr>
      <w:r w:rsidRPr="002D6014">
        <w:t xml:space="preserve">It is noted that in the ACT and Victoria, courts are excluded from the definition of public authority, except when acting in an administrative capacity. This is not the case in New Zealand and Canada. This exclusion promotes an inconsistent approach to compliance with human rights. </w:t>
      </w:r>
    </w:p>
    <w:p w:rsidR="00066114" w:rsidRPr="002D6014" w:rsidRDefault="00066114" w:rsidP="00C74AE0">
      <w:pPr>
        <w:pStyle w:val="ListParagraph"/>
        <w:numPr>
          <w:ilvl w:val="0"/>
          <w:numId w:val="5"/>
        </w:numPr>
        <w:contextualSpacing w:val="0"/>
      </w:pPr>
      <w:r w:rsidRPr="002D6014">
        <w:t xml:space="preserve">Instead, consideration should be given to the alternative </w:t>
      </w:r>
      <w:r w:rsidR="00820898" w:rsidRPr="002D6014">
        <w:t xml:space="preserve">position, </w:t>
      </w:r>
      <w:r w:rsidRPr="002D6014">
        <w:t xml:space="preserve">canvased in the Tasmanian review, that courts be included in the definition of public authority as for other government entities. It was recognised in the Tasmanian review that </w:t>
      </w:r>
      <w:r w:rsidR="00183679" w:rsidRPr="002D6014">
        <w:t xml:space="preserve">any </w:t>
      </w:r>
      <w:r w:rsidRPr="002D6014">
        <w:t xml:space="preserve">problems associated with the common law could be dealt with by </w:t>
      </w:r>
      <w:r w:rsidR="00183679" w:rsidRPr="002D6014">
        <w:t xml:space="preserve">Parliament </w:t>
      </w:r>
      <w:r w:rsidRPr="002D6014">
        <w:t xml:space="preserve">making common law susceptible to the application of human rights precepts. This would mean the Human Rights Act would apply to the courts like any other public authority. </w:t>
      </w:r>
      <w:r w:rsidRPr="002D6014">
        <w:rPr>
          <w:rFonts w:cstheme="minorHAnsi"/>
          <w:color w:val="000000"/>
        </w:rPr>
        <w:t xml:space="preserve">Such an approach under a Human Rights Act would assist in </w:t>
      </w:r>
      <w:r w:rsidR="002D69B6" w:rsidRPr="002D6014">
        <w:rPr>
          <w:rFonts w:cstheme="minorHAnsi"/>
          <w:color w:val="000000"/>
        </w:rPr>
        <w:t xml:space="preserve">the </w:t>
      </w:r>
      <w:r w:rsidRPr="002D6014">
        <w:rPr>
          <w:rFonts w:cstheme="minorHAnsi"/>
          <w:color w:val="000000"/>
        </w:rPr>
        <w:t>elimination</w:t>
      </w:r>
      <w:r w:rsidR="002D69B6" w:rsidRPr="002D6014">
        <w:rPr>
          <w:rFonts w:cstheme="minorHAnsi"/>
          <w:color w:val="000000"/>
        </w:rPr>
        <w:t xml:space="preserve"> of </w:t>
      </w:r>
      <w:r w:rsidRPr="002D6014">
        <w:rPr>
          <w:rFonts w:cstheme="minorHAnsi"/>
          <w:color w:val="000000"/>
        </w:rPr>
        <w:t>inconsistent interpretation</w:t>
      </w:r>
      <w:r w:rsidR="002D69B6" w:rsidRPr="002D6014">
        <w:rPr>
          <w:rFonts w:cstheme="minorHAnsi"/>
          <w:color w:val="000000"/>
        </w:rPr>
        <w:t>s</w:t>
      </w:r>
      <w:r w:rsidRPr="002D6014">
        <w:rPr>
          <w:rFonts w:cstheme="minorHAnsi"/>
          <w:color w:val="000000"/>
        </w:rPr>
        <w:t xml:space="preserve"> in the decisions of public authorities and inferior and superior courts.  </w:t>
      </w:r>
    </w:p>
    <w:p w:rsidR="00066114" w:rsidRPr="00D95D9E" w:rsidRDefault="00066114" w:rsidP="00C74AE0">
      <w:pPr>
        <w:pStyle w:val="ListParagraph"/>
        <w:numPr>
          <w:ilvl w:val="0"/>
          <w:numId w:val="5"/>
        </w:numPr>
        <w:shd w:val="clear" w:color="auto" w:fill="FFFFFF"/>
        <w:contextualSpacing w:val="0"/>
        <w:rPr>
          <w:rFonts w:cs="Times New Roman"/>
        </w:rPr>
      </w:pPr>
      <w:r w:rsidRPr="002D6014">
        <w:rPr>
          <w:rFonts w:cs="Times New Roman"/>
        </w:rPr>
        <w:t>A uniform Human Rights Act</w:t>
      </w:r>
      <w:r w:rsidR="00820898" w:rsidRPr="002D6014">
        <w:rPr>
          <w:rFonts w:cs="Times New Roman"/>
        </w:rPr>
        <w:t>,</w:t>
      </w:r>
      <w:r w:rsidRPr="002D6014">
        <w:rPr>
          <w:rFonts w:cs="Times New Roman"/>
        </w:rPr>
        <w:t xml:space="preserve"> as </w:t>
      </w:r>
      <w:r w:rsidRPr="002D6014">
        <w:rPr>
          <w:rFonts w:ascii="TimesNewRomanPSMT" w:hAnsi="TimesNewRomanPSMT" w:cs="TimesNewRomanPSMT"/>
        </w:rPr>
        <w:t>Lord Steyn s</w:t>
      </w:r>
      <w:r w:rsidR="00820898" w:rsidRPr="002D6014">
        <w:rPr>
          <w:rFonts w:ascii="TimesNewRomanPSMT" w:hAnsi="TimesNewRomanPSMT" w:cs="TimesNewRomanPSMT"/>
        </w:rPr>
        <w:t>tated</w:t>
      </w:r>
      <w:r w:rsidRPr="002D6014">
        <w:rPr>
          <w:rFonts w:ascii="TimesNewRomanPSMT" w:hAnsi="TimesNewRomanPSMT" w:cs="TimesNewRomanPSMT"/>
        </w:rPr>
        <w:t xml:space="preserve">, </w:t>
      </w:r>
      <w:r w:rsidR="00820898" w:rsidRPr="002D6014">
        <w:rPr>
          <w:rFonts w:ascii="TimesNewRomanPSMT" w:hAnsi="TimesNewRomanPSMT" w:cs="TimesNewRomanPSMT"/>
        </w:rPr>
        <w:t>‘</w:t>
      </w:r>
      <w:r w:rsidRPr="002D6014">
        <w:rPr>
          <w:rFonts w:ascii="TimesNewRomanPSMT" w:hAnsi="TimesNewRomanPSMT" w:cs="TimesNewRomanPSMT"/>
        </w:rPr>
        <w:t>reflects the reality that ultimately</w:t>
      </w:r>
      <w:r w:rsidRPr="002D6014">
        <w:rPr>
          <w:rFonts w:cs="Times New Roman"/>
        </w:rPr>
        <w:t xml:space="preserve"> </w:t>
      </w:r>
      <w:r w:rsidRPr="002D6014">
        <w:rPr>
          <w:rFonts w:ascii="TimesNewRomanPSMT" w:hAnsi="TimesNewRomanPSMT" w:cs="TimesNewRomanPSMT"/>
        </w:rPr>
        <w:t>common law, statute law and human rights law coalesce in one legal system.</w:t>
      </w:r>
      <w:r w:rsidR="00820898" w:rsidRPr="002D6014">
        <w:rPr>
          <w:rFonts w:ascii="TimesNewRomanPSMT" w:hAnsi="TimesNewRomanPSMT" w:cs="TimesNewRomanPSMT"/>
        </w:rPr>
        <w:t>’</w:t>
      </w:r>
      <w:r w:rsidRPr="00D95D9E">
        <w:rPr>
          <w:rStyle w:val="FootnoteReference"/>
          <w:rFonts w:ascii="TimesNewRomanPSMT" w:hAnsi="TimesNewRomanPSMT" w:cs="TimesNewRomanPSMT"/>
        </w:rPr>
        <w:footnoteReference w:id="54"/>
      </w:r>
      <w:r w:rsidRPr="00D95D9E">
        <w:rPr>
          <w:rFonts w:ascii="TimesNewRomanPSMT" w:hAnsi="TimesNewRomanPSMT" w:cs="TimesNewRomanPSMT"/>
        </w:rPr>
        <w:t xml:space="preserve"> </w:t>
      </w:r>
    </w:p>
    <w:p w:rsidR="005914CF" w:rsidRPr="002D6014" w:rsidRDefault="001F002E" w:rsidP="00C74AE0">
      <w:pPr>
        <w:pStyle w:val="ListParagraph"/>
        <w:numPr>
          <w:ilvl w:val="0"/>
          <w:numId w:val="5"/>
        </w:numPr>
        <w:shd w:val="clear" w:color="auto" w:fill="FFFFFF"/>
        <w:contextualSpacing w:val="0"/>
        <w:rPr>
          <w:rFonts w:ascii="Arial" w:hAnsi="Arial" w:cs="Arial"/>
        </w:rPr>
      </w:pPr>
      <w:r w:rsidRPr="002D6014">
        <w:rPr>
          <w:rFonts w:ascii="Arial" w:hAnsi="Arial" w:cs="Arial"/>
        </w:rPr>
        <w:t>Examples of where the court</w:t>
      </w:r>
      <w:r w:rsidR="004C5035" w:rsidRPr="002D6014">
        <w:rPr>
          <w:rFonts w:ascii="Arial" w:hAnsi="Arial" w:cs="Arial"/>
        </w:rPr>
        <w:t>s</w:t>
      </w:r>
      <w:r w:rsidRPr="002D6014">
        <w:rPr>
          <w:rFonts w:ascii="Arial" w:hAnsi="Arial" w:cs="Arial"/>
        </w:rPr>
        <w:t xml:space="preserve"> at first instance failed to </w:t>
      </w:r>
      <w:r w:rsidR="00066114" w:rsidRPr="002D6014">
        <w:rPr>
          <w:rFonts w:ascii="Arial" w:hAnsi="Arial" w:cs="Arial"/>
        </w:rPr>
        <w:t xml:space="preserve">consider human rights </w:t>
      </w:r>
      <w:r w:rsidRPr="002D6014">
        <w:rPr>
          <w:rFonts w:ascii="Arial" w:hAnsi="Arial" w:cs="Arial"/>
        </w:rPr>
        <w:t>in Queensland have</w:t>
      </w:r>
      <w:r w:rsidR="005914CF" w:rsidRPr="002D6014">
        <w:rPr>
          <w:rFonts w:ascii="Arial" w:hAnsi="Arial" w:cs="Arial"/>
        </w:rPr>
        <w:t xml:space="preserve"> been demonstrated in two recent cases.</w:t>
      </w:r>
    </w:p>
    <w:p w:rsidR="001F002E" w:rsidRPr="002D6014" w:rsidRDefault="00463107" w:rsidP="00C74AE0">
      <w:pPr>
        <w:pStyle w:val="ListParagraph"/>
        <w:numPr>
          <w:ilvl w:val="0"/>
          <w:numId w:val="5"/>
        </w:numPr>
        <w:contextualSpacing w:val="0"/>
        <w:rPr>
          <w:rFonts w:ascii="Arial" w:hAnsi="Arial" w:cs="Arial"/>
        </w:rPr>
      </w:pPr>
      <w:r w:rsidRPr="002D6014">
        <w:rPr>
          <w:rFonts w:ascii="Arial" w:hAnsi="Arial" w:cs="Arial"/>
          <w:i/>
        </w:rPr>
        <w:t>Bulsey &amp; Anor v State of Queensland</w:t>
      </w:r>
      <w:r w:rsidRPr="002D6014">
        <w:rPr>
          <w:rFonts w:ascii="Arial" w:hAnsi="Arial" w:cs="Arial"/>
        </w:rPr>
        <w:t xml:space="preserve"> is a case arising out of the 2004 Palm Island riots. </w:t>
      </w:r>
      <w:r w:rsidR="001F002E" w:rsidRPr="002D6014">
        <w:rPr>
          <w:rFonts w:ascii="Arial" w:hAnsi="Arial" w:cs="Arial"/>
        </w:rPr>
        <w:t xml:space="preserve">Following the riots, a police Special Emergency Response Team raided the home of two Palm Island residents. Mr Bulsey was dragged into the street in handcuffs, transported to Townsville, and held in custody. His pregnant partner, Ms Lenoy, was in the house with their children. The police ultimately conceded that they did not have a case against Mr Bulsey and discharged him. </w:t>
      </w:r>
    </w:p>
    <w:p w:rsidR="001F002E" w:rsidRPr="002D6014" w:rsidRDefault="001F002E" w:rsidP="00C74AE0">
      <w:pPr>
        <w:pStyle w:val="ListParagraph"/>
        <w:numPr>
          <w:ilvl w:val="0"/>
          <w:numId w:val="5"/>
        </w:numPr>
        <w:contextualSpacing w:val="0"/>
        <w:rPr>
          <w:rFonts w:ascii="Arial" w:hAnsi="Arial" w:cs="Arial"/>
        </w:rPr>
      </w:pPr>
      <w:r w:rsidRPr="002D6014">
        <w:rPr>
          <w:rFonts w:ascii="Arial" w:hAnsi="Arial" w:cs="Arial"/>
        </w:rPr>
        <w:t>Mr Bulsey and Ms Lenoy sued the State of Queensland for damages for assault and false imprisonment.</w:t>
      </w:r>
    </w:p>
    <w:p w:rsidR="00B66D3F" w:rsidRPr="002D6014" w:rsidRDefault="001F002E" w:rsidP="00C74AE0">
      <w:pPr>
        <w:pStyle w:val="ListParagraph"/>
        <w:numPr>
          <w:ilvl w:val="0"/>
          <w:numId w:val="5"/>
        </w:numPr>
        <w:contextualSpacing w:val="0"/>
        <w:rPr>
          <w:rFonts w:ascii="Arial" w:hAnsi="Arial" w:cs="Arial"/>
        </w:rPr>
      </w:pPr>
      <w:r w:rsidRPr="002D6014">
        <w:rPr>
          <w:rFonts w:ascii="Arial" w:hAnsi="Arial" w:cs="Arial"/>
        </w:rPr>
        <w:t xml:space="preserve">In 2015, the Queensland Court of Appeal found that the conduct of the police in detaining and imprisoning Mr Bulsey was not authorised or excused by law, and awarded Mr Bulsey $165,000 and Ms Lenoy $70,000. </w:t>
      </w:r>
    </w:p>
    <w:p w:rsidR="00820898" w:rsidRPr="002D6014" w:rsidRDefault="00B66D3F" w:rsidP="00D91097">
      <w:pPr>
        <w:pStyle w:val="ListParagraph"/>
        <w:numPr>
          <w:ilvl w:val="0"/>
          <w:numId w:val="5"/>
        </w:numPr>
        <w:spacing w:after="120"/>
        <w:contextualSpacing w:val="0"/>
        <w:rPr>
          <w:rFonts w:ascii="Arial" w:hAnsi="Arial" w:cs="Arial"/>
        </w:rPr>
      </w:pPr>
      <w:r w:rsidRPr="002D6014">
        <w:rPr>
          <w:rFonts w:ascii="Arial" w:hAnsi="Arial" w:cs="Arial"/>
        </w:rPr>
        <w:t xml:space="preserve">The Court of </w:t>
      </w:r>
      <w:r w:rsidR="00054438" w:rsidRPr="002D6014">
        <w:rPr>
          <w:rFonts w:ascii="Arial" w:hAnsi="Arial" w:cs="Arial"/>
        </w:rPr>
        <w:t>Appeal found</w:t>
      </w:r>
      <w:r w:rsidR="00820898" w:rsidRPr="002D6014">
        <w:rPr>
          <w:rFonts w:ascii="Arial" w:hAnsi="Arial" w:cs="Arial"/>
        </w:rPr>
        <w:t>:</w:t>
      </w:r>
    </w:p>
    <w:p w:rsidR="001F002E" w:rsidRPr="002D6014" w:rsidRDefault="00B66D3F" w:rsidP="00D91097">
      <w:pPr>
        <w:pStyle w:val="ListParagraph"/>
        <w:tabs>
          <w:tab w:val="clear" w:pos="567"/>
        </w:tabs>
        <w:ind w:left="1134" w:right="1083"/>
        <w:contextualSpacing w:val="0"/>
        <w:rPr>
          <w:rFonts w:ascii="Arial" w:hAnsi="Arial" w:cs="Arial"/>
          <w:sz w:val="20"/>
          <w:szCs w:val="20"/>
        </w:rPr>
      </w:pPr>
      <w:r w:rsidRPr="002D6014">
        <w:rPr>
          <w:rFonts w:ascii="Arial" w:hAnsi="Arial" w:cs="Arial"/>
        </w:rPr>
        <w:t xml:space="preserve"> </w:t>
      </w:r>
      <w:r w:rsidR="001F002E" w:rsidRPr="002D6014">
        <w:rPr>
          <w:rFonts w:ascii="Arial" w:hAnsi="Arial" w:cs="Arial"/>
          <w:sz w:val="20"/>
          <w:szCs w:val="20"/>
        </w:rPr>
        <w:t>‘… the treatment of the appellants breached their most fundamental right, the right to personal liberty which is the most basic and fundamental of the human rights recognised by the common law…The appellants in this case were not treated as one might expect in a civilised society governed by the rule of law and it is appropriate that they should be adequately compensated for the grievous wrong done to them.’</w:t>
      </w:r>
    </w:p>
    <w:p w:rsidR="00820898" w:rsidRPr="002D6014" w:rsidRDefault="00B66D3F" w:rsidP="00D91097">
      <w:pPr>
        <w:pStyle w:val="ListParagraph"/>
        <w:numPr>
          <w:ilvl w:val="0"/>
          <w:numId w:val="5"/>
        </w:numPr>
        <w:spacing w:after="120"/>
        <w:contextualSpacing w:val="0"/>
        <w:rPr>
          <w:rFonts w:ascii="Arial" w:hAnsi="Arial" w:cs="Arial"/>
        </w:rPr>
      </w:pPr>
      <w:r w:rsidRPr="002D6014">
        <w:rPr>
          <w:rFonts w:ascii="Arial" w:hAnsi="Arial" w:cs="Arial"/>
        </w:rPr>
        <w:lastRenderedPageBreak/>
        <w:t xml:space="preserve">The Court </w:t>
      </w:r>
      <w:r w:rsidR="001F002E" w:rsidRPr="002D6014">
        <w:rPr>
          <w:rFonts w:ascii="Arial" w:hAnsi="Arial" w:cs="Arial"/>
        </w:rPr>
        <w:t>said:</w:t>
      </w:r>
    </w:p>
    <w:p w:rsidR="001F002E" w:rsidRPr="00D95D9E" w:rsidRDefault="00054438" w:rsidP="00D91097">
      <w:pPr>
        <w:pStyle w:val="ListParagraph"/>
        <w:tabs>
          <w:tab w:val="clear" w:pos="567"/>
        </w:tabs>
        <w:ind w:left="1134" w:right="1083"/>
        <w:contextualSpacing w:val="0"/>
        <w:rPr>
          <w:rFonts w:ascii="Arial" w:hAnsi="Arial" w:cs="Arial"/>
        </w:rPr>
      </w:pPr>
      <w:r w:rsidRPr="002D6014">
        <w:rPr>
          <w:rFonts w:ascii="Arial" w:hAnsi="Arial" w:cs="Arial"/>
          <w:sz w:val="20"/>
          <w:szCs w:val="20"/>
        </w:rPr>
        <w:t>‘the</w:t>
      </w:r>
      <w:r w:rsidR="001F002E" w:rsidRPr="002D6014">
        <w:rPr>
          <w:rFonts w:ascii="Arial" w:hAnsi="Arial" w:cs="Arial"/>
          <w:sz w:val="20"/>
          <w:szCs w:val="20"/>
        </w:rPr>
        <w:t xml:space="preserve"> executive, through the police, wielded enormous power. It is essential that that power be used within the confines of the law. It is important that the courts acknowledge fully the hurt that can be done when the power is misused. … This is not a case of human fallibility. A deliberate decision was made to make a dawn raid on a citizen's home by armed, masked men and to treat those found within as one would dangerous criminals with no regard whatever for their dignity or rights. The imprisonment continued for days. The hurt was great.’</w:t>
      </w:r>
      <w:r w:rsidR="001F002E" w:rsidRPr="00D95D9E">
        <w:rPr>
          <w:rStyle w:val="FootnoteReference"/>
          <w:rFonts w:ascii="Arial" w:hAnsi="Arial" w:cs="Arial"/>
        </w:rPr>
        <w:footnoteReference w:id="55"/>
      </w:r>
    </w:p>
    <w:p w:rsidR="001F002E" w:rsidRPr="00D95D9E" w:rsidRDefault="00463107" w:rsidP="00C74AE0">
      <w:pPr>
        <w:pStyle w:val="ListParagraph"/>
        <w:numPr>
          <w:ilvl w:val="0"/>
          <w:numId w:val="5"/>
        </w:numPr>
        <w:shd w:val="clear" w:color="auto" w:fill="FFFFFF"/>
        <w:contextualSpacing w:val="0"/>
        <w:rPr>
          <w:rFonts w:ascii="Arial" w:hAnsi="Arial" w:cs="Arial"/>
        </w:rPr>
      </w:pPr>
      <w:r w:rsidRPr="00D95D9E">
        <w:rPr>
          <w:rFonts w:ascii="Arial" w:hAnsi="Arial" w:cs="Arial"/>
        </w:rPr>
        <w:t xml:space="preserve">In the </w:t>
      </w:r>
      <w:r w:rsidR="001F002E" w:rsidRPr="00D95D9E">
        <w:rPr>
          <w:rFonts w:ascii="Arial" w:hAnsi="Arial" w:cs="Arial"/>
          <w:i/>
        </w:rPr>
        <w:t>Abrah</w:t>
      </w:r>
      <w:r w:rsidRPr="00D95D9E">
        <w:rPr>
          <w:rFonts w:ascii="Arial" w:hAnsi="Arial" w:cs="Arial"/>
          <w:i/>
        </w:rPr>
        <w:t>a</w:t>
      </w:r>
      <w:r w:rsidR="001F002E" w:rsidRPr="00D95D9E">
        <w:rPr>
          <w:rFonts w:ascii="Arial" w:hAnsi="Arial" w:cs="Arial"/>
          <w:i/>
        </w:rPr>
        <w:t>ms</w:t>
      </w:r>
      <w:r w:rsidRPr="00D95D9E">
        <w:rPr>
          <w:rFonts w:ascii="Arial" w:hAnsi="Arial" w:cs="Arial"/>
          <w:i/>
        </w:rPr>
        <w:t xml:space="preserve"> </w:t>
      </w:r>
      <w:r w:rsidRPr="00D95D9E">
        <w:rPr>
          <w:rFonts w:ascii="Arial" w:hAnsi="Arial" w:cs="Arial"/>
        </w:rPr>
        <w:t>case</w:t>
      </w:r>
      <w:r w:rsidR="0090738F" w:rsidRPr="00D95D9E">
        <w:rPr>
          <w:rFonts w:ascii="Arial" w:hAnsi="Arial" w:cs="Arial"/>
        </w:rPr>
        <w:t>,</w:t>
      </w:r>
      <w:r w:rsidRPr="00D95D9E">
        <w:rPr>
          <w:rFonts w:ascii="Arial" w:hAnsi="Arial" w:cs="Arial"/>
        </w:rPr>
        <w:t xml:space="preserve"> t</w:t>
      </w:r>
      <w:r w:rsidR="001F002E" w:rsidRPr="00D95D9E">
        <w:rPr>
          <w:rFonts w:ascii="Arial" w:hAnsi="Arial" w:cs="Arial"/>
        </w:rPr>
        <w:t xml:space="preserve">he Court of Appeal overturned a decision of the District Court that refused to sanction a settlement agreement in a claim by a disabled adult son for provision out of his deceased father’s estate.  </w:t>
      </w:r>
    </w:p>
    <w:p w:rsidR="001F002E" w:rsidRPr="002D6014" w:rsidRDefault="001F002E" w:rsidP="00C74AE0">
      <w:pPr>
        <w:pStyle w:val="ListParagraph"/>
        <w:numPr>
          <w:ilvl w:val="0"/>
          <w:numId w:val="5"/>
        </w:numPr>
        <w:contextualSpacing w:val="0"/>
        <w:rPr>
          <w:rFonts w:ascii="Arial" w:hAnsi="Arial" w:cs="Arial"/>
        </w:rPr>
      </w:pPr>
      <w:r w:rsidRPr="002D6014">
        <w:rPr>
          <w:rFonts w:ascii="Arial" w:hAnsi="Arial" w:cs="Arial"/>
        </w:rPr>
        <w:t>There were five children, the youngest of whom has Down Syndrom</w:t>
      </w:r>
      <w:r w:rsidR="00054438" w:rsidRPr="002D6014">
        <w:rPr>
          <w:rFonts w:ascii="Arial" w:hAnsi="Arial" w:cs="Arial"/>
        </w:rPr>
        <w:t xml:space="preserve">e and other medical conditions. </w:t>
      </w:r>
      <w:r w:rsidRPr="002D6014">
        <w:rPr>
          <w:rFonts w:ascii="Arial" w:hAnsi="Arial" w:cs="Arial"/>
        </w:rPr>
        <w:t xml:space="preserve"> He was cared for by his parents at home until he was 41 years of age.  His mother was his primary carer until she died, and his father continued to care for him until the father suffered a stroke. After the stroke</w:t>
      </w:r>
      <w:r w:rsidR="00620667" w:rsidRPr="002D6014">
        <w:rPr>
          <w:rFonts w:ascii="Arial" w:hAnsi="Arial" w:cs="Arial"/>
        </w:rPr>
        <w:t>,</w:t>
      </w:r>
      <w:r w:rsidRPr="002D6014">
        <w:rPr>
          <w:rFonts w:ascii="Arial" w:hAnsi="Arial" w:cs="Arial"/>
        </w:rPr>
        <w:t xml:space="preserve"> the Public Trustee was appointed administrator of the son for financial matters and he was placed in government</w:t>
      </w:r>
      <w:r w:rsidR="00CE6F2F" w:rsidRPr="002D6014">
        <w:rPr>
          <w:rFonts w:ascii="Arial" w:hAnsi="Arial" w:cs="Arial"/>
        </w:rPr>
        <w:t xml:space="preserve"> </w:t>
      </w:r>
      <w:r w:rsidRPr="002D6014">
        <w:rPr>
          <w:rFonts w:ascii="Arial" w:hAnsi="Arial" w:cs="Arial"/>
        </w:rPr>
        <w:t>funded accommodation. In his Will, the father said he did not provide for his disable</w:t>
      </w:r>
      <w:r w:rsidR="00620667" w:rsidRPr="002D6014">
        <w:rPr>
          <w:rFonts w:ascii="Arial" w:hAnsi="Arial" w:cs="Arial"/>
        </w:rPr>
        <w:t>d</w:t>
      </w:r>
      <w:r w:rsidRPr="002D6014">
        <w:rPr>
          <w:rFonts w:ascii="Arial" w:hAnsi="Arial" w:cs="Arial"/>
        </w:rPr>
        <w:t xml:space="preserve"> son</w:t>
      </w:r>
      <w:r w:rsidR="00620667" w:rsidRPr="002D6014">
        <w:rPr>
          <w:rFonts w:ascii="Arial" w:hAnsi="Arial" w:cs="Arial"/>
        </w:rPr>
        <w:t>,</w:t>
      </w:r>
      <w:r w:rsidRPr="002D6014">
        <w:rPr>
          <w:rFonts w:ascii="Arial" w:hAnsi="Arial" w:cs="Arial"/>
        </w:rPr>
        <w:t xml:space="preserve"> because he was being taken care of by the government. The Public Trustee applied to the District Court on behalf of the disabled son, for provision for him out of the estate. The estate was valued at around $412,000. An agreement was reached between the Public Trustee and the three other children (who were beneficiaries of the estate) to settle the court action on the basis </w:t>
      </w:r>
      <w:r w:rsidR="00620667" w:rsidRPr="002D6014">
        <w:rPr>
          <w:rFonts w:ascii="Arial" w:hAnsi="Arial" w:cs="Arial"/>
        </w:rPr>
        <w:t xml:space="preserve">that </w:t>
      </w:r>
      <w:r w:rsidRPr="002D6014">
        <w:rPr>
          <w:rFonts w:ascii="Arial" w:hAnsi="Arial" w:cs="Arial"/>
        </w:rPr>
        <w:t>the disabled son received $140,000 from the estate. An application was made to the court to approve the agreed settlement</w:t>
      </w:r>
      <w:r w:rsidR="00620667" w:rsidRPr="002D6014">
        <w:rPr>
          <w:rFonts w:ascii="Arial" w:hAnsi="Arial" w:cs="Arial"/>
        </w:rPr>
        <w:t>,</w:t>
      </w:r>
      <w:r w:rsidRPr="002D6014">
        <w:rPr>
          <w:rFonts w:ascii="Arial" w:hAnsi="Arial" w:cs="Arial"/>
        </w:rPr>
        <w:t xml:space="preserve"> but the District Court refused the application on the basis that the son had no needs as he was being cared for by the State. The Public Trustee appealed to the Court of Appeal against that decision.</w:t>
      </w:r>
    </w:p>
    <w:p w:rsidR="001F002E" w:rsidRPr="002D6014" w:rsidRDefault="001F002E" w:rsidP="005341CB">
      <w:pPr>
        <w:pStyle w:val="ListParagraph"/>
        <w:numPr>
          <w:ilvl w:val="0"/>
          <w:numId w:val="5"/>
        </w:numPr>
        <w:spacing w:after="120"/>
        <w:contextualSpacing w:val="0"/>
        <w:rPr>
          <w:rFonts w:ascii="Arial" w:hAnsi="Arial" w:cs="Arial"/>
          <w:sz w:val="24"/>
          <w:szCs w:val="24"/>
        </w:rPr>
      </w:pPr>
      <w:r w:rsidRPr="002D6014">
        <w:rPr>
          <w:rFonts w:ascii="Arial" w:hAnsi="Arial" w:cs="Arial"/>
        </w:rPr>
        <w:t>The Court of Appeal found there had been a denial of natural justice</w:t>
      </w:r>
      <w:r w:rsidR="00620667" w:rsidRPr="002D6014">
        <w:rPr>
          <w:rFonts w:ascii="Arial" w:hAnsi="Arial" w:cs="Arial"/>
        </w:rPr>
        <w:t>,</w:t>
      </w:r>
      <w:r w:rsidRPr="002D6014">
        <w:rPr>
          <w:rFonts w:ascii="Arial" w:hAnsi="Arial" w:cs="Arial"/>
        </w:rPr>
        <w:t xml:space="preserve"> and that the District Court had failed to properly exercise its jurisdiction based on the evidence. Also, the District Court should have taken into account human rights</w:t>
      </w:r>
      <w:r w:rsidRPr="002D6014">
        <w:rPr>
          <w:rFonts w:ascii="Arial" w:hAnsi="Arial" w:cs="Arial"/>
          <w:sz w:val="24"/>
          <w:szCs w:val="24"/>
        </w:rPr>
        <w:t xml:space="preserve"> </w:t>
      </w:r>
      <w:r w:rsidRPr="002D6014">
        <w:rPr>
          <w:rFonts w:ascii="Arial" w:hAnsi="Arial" w:cs="Arial"/>
        </w:rPr>
        <w:t>principles in making a decision about</w:t>
      </w:r>
      <w:r w:rsidRPr="002D6014">
        <w:rPr>
          <w:rFonts w:ascii="Arial" w:hAnsi="Arial" w:cs="Arial"/>
          <w:sz w:val="24"/>
          <w:szCs w:val="24"/>
        </w:rPr>
        <w:t xml:space="preserve"> a </w:t>
      </w:r>
      <w:r w:rsidRPr="002D6014">
        <w:rPr>
          <w:rFonts w:ascii="Arial" w:hAnsi="Arial" w:cs="Arial"/>
        </w:rPr>
        <w:t>person with a disability. The following is an extract from the Court of Appeal decision:</w:t>
      </w:r>
    </w:p>
    <w:p w:rsidR="001F002E" w:rsidRPr="002D6014" w:rsidRDefault="00620667" w:rsidP="00D91097">
      <w:pPr>
        <w:pStyle w:val="Default"/>
        <w:spacing w:after="240"/>
        <w:ind w:left="1134" w:right="1083"/>
        <w:rPr>
          <w:rFonts w:ascii="Arial" w:hAnsi="Arial" w:cs="Arial"/>
          <w:sz w:val="20"/>
          <w:szCs w:val="20"/>
        </w:rPr>
      </w:pPr>
      <w:r w:rsidRPr="002D6014">
        <w:rPr>
          <w:rFonts w:ascii="Arial" w:hAnsi="Arial" w:cs="Arial"/>
          <w:sz w:val="20"/>
          <w:szCs w:val="20"/>
        </w:rPr>
        <w:t>‘</w:t>
      </w:r>
      <w:r w:rsidR="001F002E" w:rsidRPr="002D6014">
        <w:rPr>
          <w:rFonts w:ascii="Arial" w:hAnsi="Arial" w:cs="Arial"/>
          <w:sz w:val="20"/>
          <w:szCs w:val="20"/>
        </w:rPr>
        <w:t xml:space="preserve">[26] Furthermore, the primary judge’s reasons for refusing to sanction the settlement failed to acknowledge the significance of contemporary International Human Rights Instruments, which recognise the rights of people with disabilities, and failed to show an appreciation of the principles which should have been taken into account in making a decision in respect to a person with a disability. The primary judge failed to recognise that the applicant has the same basic human rights as anyone else and that he has a right to respect for his human worth and dignity. </w:t>
      </w:r>
    </w:p>
    <w:p w:rsidR="001F002E" w:rsidRPr="002D6014" w:rsidRDefault="001F002E" w:rsidP="00D91097">
      <w:pPr>
        <w:pStyle w:val="Default"/>
        <w:spacing w:after="240"/>
        <w:ind w:left="1134" w:right="1083"/>
        <w:rPr>
          <w:rFonts w:ascii="Arial" w:hAnsi="Arial" w:cs="Arial"/>
          <w:sz w:val="20"/>
          <w:szCs w:val="20"/>
        </w:rPr>
      </w:pPr>
      <w:r w:rsidRPr="002D6014">
        <w:rPr>
          <w:rFonts w:ascii="Arial" w:hAnsi="Arial" w:cs="Arial"/>
          <w:sz w:val="20"/>
          <w:szCs w:val="20"/>
        </w:rPr>
        <w:t xml:space="preserve">[27] That dignity would be enhanced by extra financial assistance to provide him with new clothes and furniture including a functional television set. The applicant is a valuable member of the community. He should be recognised as such by being encouraged and supported to participate more actively in the community. Such participation would be facilitated by financial assistance from the estate of his late father to attend social and recreational activities and to undertake an annual holiday. </w:t>
      </w:r>
    </w:p>
    <w:p w:rsidR="001F002E" w:rsidRPr="002D6014" w:rsidRDefault="001F002E" w:rsidP="00D91097">
      <w:pPr>
        <w:pStyle w:val="Default"/>
        <w:spacing w:after="240"/>
        <w:ind w:left="1134" w:right="1083"/>
        <w:rPr>
          <w:rFonts w:ascii="Arial" w:hAnsi="Arial" w:cs="Arial"/>
          <w:sz w:val="20"/>
          <w:szCs w:val="20"/>
        </w:rPr>
      </w:pPr>
      <w:r w:rsidRPr="002D6014">
        <w:rPr>
          <w:rFonts w:ascii="Arial" w:hAnsi="Arial" w:cs="Arial"/>
          <w:sz w:val="20"/>
          <w:szCs w:val="20"/>
        </w:rPr>
        <w:lastRenderedPageBreak/>
        <w:t>[28] The relevant human rights principles emphasise the importance of the applicant being encouraged and supported to achieve his maximum, physical, social, emotional and intellectual potential and becoming as self-reliant as possible. The provisions of funds would allow him to have access to a podiatrist and better dental care as well as allowing a reassessment of his ability to communicate so that his views and wishes could be taken into account with respect to decisions affecting his life.</w:t>
      </w:r>
      <w:r w:rsidR="00620667" w:rsidRPr="002D6014">
        <w:rPr>
          <w:rFonts w:ascii="Arial" w:hAnsi="Arial" w:cs="Arial"/>
          <w:sz w:val="20"/>
          <w:szCs w:val="20"/>
        </w:rPr>
        <w:t>’</w:t>
      </w:r>
      <w:r w:rsidRPr="002D6014">
        <w:rPr>
          <w:rFonts w:ascii="Arial" w:hAnsi="Arial" w:cs="Arial"/>
          <w:sz w:val="20"/>
          <w:szCs w:val="20"/>
        </w:rPr>
        <w:t xml:space="preserve"> </w:t>
      </w:r>
      <w:r w:rsidR="00463107" w:rsidRPr="002D6014">
        <w:rPr>
          <w:rStyle w:val="FootnoteReference"/>
          <w:rFonts w:ascii="Arial" w:hAnsi="Arial" w:cs="Arial"/>
          <w:sz w:val="20"/>
          <w:szCs w:val="20"/>
        </w:rPr>
        <w:footnoteReference w:id="56"/>
      </w:r>
    </w:p>
    <w:p w:rsidR="00CC6086" w:rsidRPr="00D95D9E" w:rsidRDefault="00D95D9E" w:rsidP="00620667">
      <w:pPr>
        <w:pStyle w:val="ListParagraph"/>
        <w:numPr>
          <w:ilvl w:val="0"/>
          <w:numId w:val="5"/>
        </w:numPr>
        <w:shd w:val="clear" w:color="auto" w:fill="FFFFFF"/>
        <w:rPr>
          <w:rFonts w:cs="Times New Roman"/>
        </w:rPr>
      </w:pPr>
      <w:r>
        <w:rPr>
          <w:rFonts w:cs="Times New Roman"/>
        </w:rPr>
        <w:t>With</w:t>
      </w:r>
      <w:r w:rsidRPr="00D95D9E">
        <w:rPr>
          <w:rFonts w:cs="Times New Roman"/>
        </w:rPr>
        <w:t xml:space="preserve"> </w:t>
      </w:r>
      <w:r w:rsidR="00CC6086" w:rsidRPr="00D95D9E">
        <w:rPr>
          <w:rFonts w:cs="Times New Roman"/>
        </w:rPr>
        <w:t>a Human Rights Act</w:t>
      </w:r>
      <w:r w:rsidR="00620667" w:rsidRPr="00D95D9E">
        <w:rPr>
          <w:rFonts w:cs="Times New Roman"/>
        </w:rPr>
        <w:t>,</w:t>
      </w:r>
      <w:r w:rsidR="00CC6086" w:rsidRPr="00D95D9E">
        <w:rPr>
          <w:rFonts w:cs="Times New Roman"/>
        </w:rPr>
        <w:t xml:space="preserve"> a court at first instance </w:t>
      </w:r>
      <w:r w:rsidR="00BD3C5D" w:rsidRPr="00D95D9E">
        <w:rPr>
          <w:rFonts w:cs="Times New Roman"/>
        </w:rPr>
        <w:t>c</w:t>
      </w:r>
      <w:r w:rsidR="00CC6086" w:rsidRPr="00D95D9E">
        <w:rPr>
          <w:rFonts w:cs="Times New Roman"/>
        </w:rPr>
        <w:t xml:space="preserve">ould consider </w:t>
      </w:r>
      <w:r w:rsidR="005E304F" w:rsidRPr="00D95D9E">
        <w:rPr>
          <w:rFonts w:cs="Times New Roman"/>
        </w:rPr>
        <w:t xml:space="preserve">relevant </w:t>
      </w:r>
      <w:r w:rsidR="00CC6086" w:rsidRPr="00D95D9E">
        <w:rPr>
          <w:rFonts w:cs="Times New Roman"/>
        </w:rPr>
        <w:t xml:space="preserve">human rights. </w:t>
      </w:r>
      <w:r>
        <w:rPr>
          <w:rFonts w:cs="Times New Roman"/>
        </w:rPr>
        <w:t xml:space="preserve"> </w:t>
      </w:r>
      <w:r w:rsidR="0074245F" w:rsidRPr="00D95D9E">
        <w:rPr>
          <w:rFonts w:cs="Times New Roman"/>
        </w:rPr>
        <w:t>J</w:t>
      </w:r>
      <w:r w:rsidR="00B66D3F" w:rsidRPr="00D95D9E">
        <w:rPr>
          <w:rFonts w:cs="Times New Roman"/>
        </w:rPr>
        <w:t xml:space="preserve">ust as importantly, </w:t>
      </w:r>
      <w:r w:rsidR="00CC6086" w:rsidRPr="00D95D9E">
        <w:rPr>
          <w:rFonts w:cs="Times New Roman"/>
        </w:rPr>
        <w:t>parties and their advocates would have been cognisant of their clients’ human rights being relevant in the proceeding</w:t>
      </w:r>
      <w:r w:rsidR="00CC6086" w:rsidRPr="007004AD">
        <w:rPr>
          <w:rFonts w:cs="Times New Roman"/>
        </w:rPr>
        <w:t xml:space="preserve">, </w:t>
      </w:r>
      <w:r w:rsidR="0074245F" w:rsidRPr="00AA207A">
        <w:rPr>
          <w:rFonts w:cs="Times New Roman"/>
        </w:rPr>
        <w:t>and would have been entitled to put those arguments before the courts.</w:t>
      </w:r>
    </w:p>
    <w:p w:rsidR="00620667" w:rsidRPr="00D95D9E" w:rsidRDefault="00620667" w:rsidP="00632BB9">
      <w:pPr>
        <w:pStyle w:val="ListParagraph"/>
        <w:shd w:val="clear" w:color="auto" w:fill="FFFFFF"/>
        <w:ind w:left="567"/>
        <w:rPr>
          <w:rFonts w:cs="Times New Roman"/>
        </w:rPr>
      </w:pPr>
    </w:p>
    <w:p w:rsidR="00620667" w:rsidRPr="002D6014" w:rsidRDefault="007E0638" w:rsidP="00D91097">
      <w:pPr>
        <w:pStyle w:val="ListParagraph"/>
        <w:numPr>
          <w:ilvl w:val="0"/>
          <w:numId w:val="5"/>
        </w:numPr>
        <w:spacing w:before="120" w:after="120"/>
        <w:contextualSpacing w:val="0"/>
        <w:rPr>
          <w:rFonts w:cstheme="minorHAnsi"/>
          <w:color w:val="000000"/>
        </w:rPr>
      </w:pPr>
      <w:r w:rsidRPr="002D6014">
        <w:rPr>
          <w:rFonts w:cstheme="minorHAnsi"/>
          <w:color w:val="000000"/>
        </w:rPr>
        <w:t>The Abrahams</w:t>
      </w:r>
      <w:r w:rsidR="00620667" w:rsidRPr="002D6014">
        <w:rPr>
          <w:rFonts w:cstheme="minorHAnsi"/>
          <w:color w:val="000000"/>
        </w:rPr>
        <w:t>’</w:t>
      </w:r>
      <w:r w:rsidR="00E56708" w:rsidRPr="002D6014">
        <w:rPr>
          <w:rFonts w:cstheme="minorHAnsi"/>
          <w:color w:val="000000"/>
        </w:rPr>
        <w:t xml:space="preserve"> case does not mean that </w:t>
      </w:r>
      <w:r w:rsidR="00620667" w:rsidRPr="002D6014">
        <w:rPr>
          <w:rFonts w:cstheme="minorHAnsi"/>
          <w:color w:val="000000"/>
        </w:rPr>
        <w:t>h</w:t>
      </w:r>
      <w:r w:rsidR="00E56708" w:rsidRPr="002D6014">
        <w:rPr>
          <w:rFonts w:cstheme="minorHAnsi"/>
          <w:color w:val="000000"/>
        </w:rPr>
        <w:t xml:space="preserve">uman </w:t>
      </w:r>
      <w:r w:rsidR="00620667" w:rsidRPr="002D6014">
        <w:rPr>
          <w:rFonts w:cstheme="minorHAnsi"/>
          <w:color w:val="000000"/>
        </w:rPr>
        <w:t>r</w:t>
      </w:r>
      <w:r w:rsidR="00E56708" w:rsidRPr="002D6014">
        <w:rPr>
          <w:rFonts w:cstheme="minorHAnsi"/>
          <w:color w:val="000000"/>
        </w:rPr>
        <w:t xml:space="preserve">ights will always </w:t>
      </w:r>
      <w:r w:rsidRPr="002D6014">
        <w:rPr>
          <w:rFonts w:cstheme="minorHAnsi"/>
          <w:color w:val="000000"/>
        </w:rPr>
        <w:t xml:space="preserve">be upheld by the Court of Appeal. In one matter, </w:t>
      </w:r>
      <w:r w:rsidRPr="002D6014">
        <w:rPr>
          <w:rFonts w:ascii="Arial" w:hAnsi="Arial" w:cs="Arial"/>
        </w:rPr>
        <w:t>Justice</w:t>
      </w:r>
      <w:r w:rsidRPr="002D6014">
        <w:rPr>
          <w:rFonts w:cstheme="minorHAnsi"/>
          <w:color w:val="000000"/>
        </w:rPr>
        <w:t xml:space="preserve"> Muir confirmed that it is abundantly plain that</w:t>
      </w:r>
      <w:r w:rsidR="00620667" w:rsidRPr="002D6014">
        <w:rPr>
          <w:rFonts w:cstheme="minorHAnsi"/>
          <w:color w:val="000000"/>
        </w:rPr>
        <w:t>:</w:t>
      </w:r>
    </w:p>
    <w:p w:rsidR="00620667" w:rsidRPr="00D95D9E" w:rsidRDefault="00620667" w:rsidP="00D91097">
      <w:pPr>
        <w:pStyle w:val="ListParagraph"/>
        <w:tabs>
          <w:tab w:val="clear" w:pos="567"/>
        </w:tabs>
        <w:autoSpaceDE w:val="0"/>
        <w:autoSpaceDN w:val="0"/>
        <w:adjustRightInd w:val="0"/>
        <w:spacing w:after="120"/>
        <w:ind w:left="1134" w:right="1083"/>
        <w:contextualSpacing w:val="0"/>
        <w:rPr>
          <w:rFonts w:cstheme="minorHAnsi"/>
          <w:color w:val="000000"/>
          <w:sz w:val="20"/>
          <w:szCs w:val="20"/>
        </w:rPr>
      </w:pPr>
      <w:r w:rsidRPr="002D6014">
        <w:rPr>
          <w:rFonts w:cstheme="minorHAnsi"/>
          <w:color w:val="000000"/>
          <w:sz w:val="20"/>
          <w:szCs w:val="20"/>
        </w:rPr>
        <w:t>‘</w:t>
      </w:r>
      <w:r w:rsidR="007E0638" w:rsidRPr="002D6014">
        <w:rPr>
          <w:rFonts w:cstheme="minorHAnsi"/>
          <w:color w:val="000000"/>
          <w:sz w:val="20"/>
          <w:szCs w:val="20"/>
        </w:rPr>
        <w:t>a court is obliged to observe the statute’s dictates irrespective of the content of any international treaty to which Australia may be a party.”</w:t>
      </w:r>
      <w:r w:rsidR="007E0638" w:rsidRPr="00D95D9E">
        <w:rPr>
          <w:rStyle w:val="FootnoteReference"/>
          <w:rFonts w:cstheme="minorHAnsi"/>
          <w:color w:val="000000"/>
          <w:sz w:val="20"/>
          <w:szCs w:val="20"/>
        </w:rPr>
        <w:footnoteReference w:id="57"/>
      </w:r>
      <w:r w:rsidR="007E0638" w:rsidRPr="00D95D9E">
        <w:rPr>
          <w:rFonts w:cstheme="minorHAnsi"/>
          <w:color w:val="000000"/>
          <w:sz w:val="20"/>
          <w:szCs w:val="20"/>
        </w:rPr>
        <w:t xml:space="preserve"> </w:t>
      </w:r>
    </w:p>
    <w:p w:rsidR="007E0638" w:rsidRPr="002D6014" w:rsidRDefault="00937F84" w:rsidP="00632BB9">
      <w:pPr>
        <w:pStyle w:val="ListParagraph"/>
        <w:tabs>
          <w:tab w:val="clear" w:pos="567"/>
        </w:tabs>
        <w:autoSpaceDE w:val="0"/>
        <w:autoSpaceDN w:val="0"/>
        <w:adjustRightInd w:val="0"/>
        <w:ind w:left="567"/>
        <w:rPr>
          <w:rFonts w:cstheme="minorHAnsi"/>
          <w:color w:val="000000"/>
        </w:rPr>
      </w:pPr>
      <w:r w:rsidRPr="002D6014">
        <w:rPr>
          <w:rFonts w:cstheme="minorHAnsi"/>
          <w:color w:val="000000"/>
        </w:rPr>
        <w:t>Under a Human Rights Act, this may still be the case</w:t>
      </w:r>
      <w:r w:rsidR="00620667" w:rsidRPr="002D6014">
        <w:rPr>
          <w:rFonts w:cstheme="minorHAnsi"/>
          <w:color w:val="000000"/>
        </w:rPr>
        <w:t>,</w:t>
      </w:r>
      <w:r w:rsidRPr="002D6014">
        <w:rPr>
          <w:rFonts w:cstheme="minorHAnsi"/>
          <w:color w:val="000000"/>
        </w:rPr>
        <w:t xml:space="preserve"> but the courts could issue a declaration of incompatibility.</w:t>
      </w:r>
    </w:p>
    <w:p w:rsidR="00AE5882" w:rsidRPr="002D6014" w:rsidRDefault="00AE5882" w:rsidP="001B5E72">
      <w:pPr>
        <w:pStyle w:val="Heading2"/>
      </w:pPr>
      <w:bookmarkStart w:id="42" w:name="_Toc448747778"/>
      <w:r w:rsidRPr="002D6014">
        <w:t>Breaches of human rights</w:t>
      </w:r>
      <w:r w:rsidR="00463107" w:rsidRPr="002D6014">
        <w:t xml:space="preserve"> by public authorities</w:t>
      </w:r>
      <w:bookmarkEnd w:id="42"/>
    </w:p>
    <w:p w:rsidR="00071F52" w:rsidRPr="002D6014" w:rsidRDefault="00071F52" w:rsidP="00C74AE0">
      <w:pPr>
        <w:pStyle w:val="ListParagraph"/>
        <w:numPr>
          <w:ilvl w:val="0"/>
          <w:numId w:val="5"/>
        </w:numPr>
        <w:tabs>
          <w:tab w:val="clear" w:pos="567"/>
        </w:tabs>
        <w:autoSpaceDE w:val="0"/>
        <w:autoSpaceDN w:val="0"/>
        <w:adjustRightInd w:val="0"/>
        <w:contextualSpacing w:val="0"/>
        <w:rPr>
          <w:rFonts w:ascii="Arial" w:hAnsi="Arial" w:cs="Arial"/>
        </w:rPr>
      </w:pPr>
      <w:r w:rsidRPr="002D6014">
        <w:rPr>
          <w:rFonts w:ascii="Arial" w:hAnsi="Arial" w:cs="Arial"/>
        </w:rPr>
        <w:t xml:space="preserve">A Human Rights Act ought to provide avenues for complaint and enforceable remedies if a relevant entity breaches human rights. </w:t>
      </w:r>
    </w:p>
    <w:p w:rsidR="00071F52" w:rsidRPr="002D6014" w:rsidRDefault="00071F52" w:rsidP="00C74AE0">
      <w:pPr>
        <w:pStyle w:val="ListParagraph"/>
        <w:numPr>
          <w:ilvl w:val="0"/>
          <w:numId w:val="5"/>
        </w:numPr>
        <w:tabs>
          <w:tab w:val="clear" w:pos="567"/>
        </w:tabs>
        <w:autoSpaceDE w:val="0"/>
        <w:autoSpaceDN w:val="0"/>
        <w:adjustRightInd w:val="0"/>
        <w:contextualSpacing w:val="0"/>
        <w:rPr>
          <w:rFonts w:ascii="Arial" w:hAnsi="Arial" w:cs="Arial"/>
        </w:rPr>
      </w:pPr>
      <w:r w:rsidRPr="002D6014">
        <w:rPr>
          <w:rFonts w:ascii="Arial" w:hAnsi="Arial" w:cs="Arial"/>
        </w:rPr>
        <w:t xml:space="preserve">The Commission advocates a multi-layered approach for dealing with breaches of human rights. </w:t>
      </w:r>
      <w:r w:rsidRPr="002D6014">
        <w:rPr>
          <w:rFonts w:ascii="Arial" w:hAnsi="Arial" w:cs="Arial"/>
          <w:color w:val="000000"/>
        </w:rPr>
        <w:t xml:space="preserve">The layers within that system should ensure that dealing with breaches of human rights should be as accessible, inexpensive, and </w:t>
      </w:r>
      <w:r w:rsidR="001E33A2" w:rsidRPr="002D6014">
        <w:rPr>
          <w:rFonts w:ascii="Arial" w:hAnsi="Arial" w:cs="Arial"/>
          <w:color w:val="000000"/>
        </w:rPr>
        <w:t xml:space="preserve">as </w:t>
      </w:r>
      <w:r w:rsidRPr="002D6014">
        <w:rPr>
          <w:rFonts w:ascii="Arial" w:hAnsi="Arial" w:cs="Arial"/>
          <w:color w:val="000000"/>
        </w:rPr>
        <w:t>speedy as possible, and should not result in increased litigation.</w:t>
      </w:r>
      <w:r w:rsidRPr="002D6014">
        <w:rPr>
          <w:rFonts w:ascii="Arial" w:hAnsi="Arial" w:cs="Arial"/>
        </w:rPr>
        <w:t xml:space="preserve"> The emphasis at first instance should be to promote a culture of human rights by increasing the ability of people to seek some remedy for a breach of their human rights, without resort to litigation.</w:t>
      </w:r>
      <w:r w:rsidRPr="002D6014">
        <w:rPr>
          <w:rFonts w:ascii="Arial" w:hAnsi="Arial" w:cs="Arial"/>
          <w:color w:val="000000"/>
        </w:rPr>
        <w:t xml:space="preserve"> Many people cannot afford to pursue an action against a government agency in a court or tribunal. Even if funding was available, many disadvantaged people, do not have the knowledge, confidence, capacity or time to pursue litigation to vindicate their human rights</w:t>
      </w:r>
      <w:r w:rsidR="001E33A2" w:rsidRPr="002D6014">
        <w:rPr>
          <w:rFonts w:ascii="Arial" w:hAnsi="Arial" w:cs="Arial"/>
          <w:color w:val="000000"/>
        </w:rPr>
        <w:t>.</w:t>
      </w:r>
    </w:p>
    <w:p w:rsidR="00AE5882" w:rsidRPr="002D6014" w:rsidRDefault="00071F52" w:rsidP="00C74AE0">
      <w:pPr>
        <w:pStyle w:val="ListParagraph"/>
        <w:numPr>
          <w:ilvl w:val="0"/>
          <w:numId w:val="5"/>
        </w:numPr>
        <w:tabs>
          <w:tab w:val="clear" w:pos="567"/>
        </w:tabs>
        <w:autoSpaceDE w:val="0"/>
        <w:autoSpaceDN w:val="0"/>
        <w:adjustRightInd w:val="0"/>
        <w:contextualSpacing w:val="0"/>
        <w:rPr>
          <w:rFonts w:ascii="Arial" w:hAnsi="Arial" w:cs="Arial"/>
        </w:rPr>
      </w:pPr>
      <w:r w:rsidRPr="002D6014">
        <w:rPr>
          <w:rFonts w:ascii="Arial" w:hAnsi="Arial" w:cs="Arial"/>
        </w:rPr>
        <w:t>However, i</w:t>
      </w:r>
      <w:r w:rsidR="00AE5882" w:rsidRPr="002D6014">
        <w:rPr>
          <w:rFonts w:ascii="Arial" w:hAnsi="Arial" w:cs="Arial"/>
        </w:rPr>
        <w:t>t is important that breaches of human rights by government agencies have consequences</w:t>
      </w:r>
      <w:r w:rsidRPr="002D6014">
        <w:rPr>
          <w:rFonts w:ascii="Arial" w:hAnsi="Arial" w:cs="Arial"/>
        </w:rPr>
        <w:t>, and courts and tribunals have an important role in rights enforcement.</w:t>
      </w:r>
      <w:r w:rsidR="00AE5882" w:rsidRPr="002D6014">
        <w:rPr>
          <w:rFonts w:ascii="Arial" w:hAnsi="Arial" w:cs="Arial"/>
        </w:rPr>
        <w:t xml:space="preserve"> </w:t>
      </w:r>
    </w:p>
    <w:p w:rsidR="00AE5882" w:rsidRPr="002D6014" w:rsidRDefault="00071F52" w:rsidP="00D91097">
      <w:pPr>
        <w:pStyle w:val="ListParagraph"/>
        <w:numPr>
          <w:ilvl w:val="0"/>
          <w:numId w:val="5"/>
        </w:numPr>
        <w:tabs>
          <w:tab w:val="clear" w:pos="567"/>
        </w:tabs>
        <w:autoSpaceDE w:val="0"/>
        <w:autoSpaceDN w:val="0"/>
        <w:adjustRightInd w:val="0"/>
        <w:spacing w:after="120"/>
        <w:contextualSpacing w:val="0"/>
        <w:rPr>
          <w:rFonts w:ascii="Arial" w:hAnsi="Arial" w:cs="Arial"/>
          <w:color w:val="000000"/>
        </w:rPr>
      </w:pPr>
      <w:r w:rsidRPr="002D6014">
        <w:rPr>
          <w:rFonts w:ascii="Arial" w:hAnsi="Arial" w:cs="Arial"/>
          <w:color w:val="000000"/>
        </w:rPr>
        <w:t>T</w:t>
      </w:r>
      <w:r w:rsidR="00AE5882" w:rsidRPr="002D6014">
        <w:rPr>
          <w:rFonts w:ascii="Arial" w:hAnsi="Arial" w:cs="Arial"/>
          <w:color w:val="000000"/>
        </w:rPr>
        <w:t>his multi-layered system should consist of the following layers, namely:</w:t>
      </w:r>
    </w:p>
    <w:p w:rsidR="00AE5882" w:rsidRPr="002D6014" w:rsidRDefault="00AE5882" w:rsidP="00C74AE0">
      <w:pPr>
        <w:pStyle w:val="ListParagraph"/>
        <w:numPr>
          <w:ilvl w:val="0"/>
          <w:numId w:val="21"/>
        </w:numPr>
        <w:tabs>
          <w:tab w:val="clear" w:pos="567"/>
        </w:tabs>
        <w:autoSpaceDE w:val="0"/>
        <w:autoSpaceDN w:val="0"/>
        <w:adjustRightInd w:val="0"/>
        <w:ind w:left="1134" w:hanging="567"/>
        <w:contextualSpacing w:val="0"/>
        <w:rPr>
          <w:rFonts w:ascii="Arial" w:hAnsi="Arial" w:cs="Arial"/>
          <w:color w:val="000000"/>
        </w:rPr>
      </w:pPr>
      <w:r w:rsidRPr="002D6014">
        <w:rPr>
          <w:rFonts w:ascii="Arial" w:hAnsi="Arial" w:cs="Arial"/>
          <w:color w:val="000000"/>
        </w:rPr>
        <w:t>internal processes within government agencies and contractors for trying to reso</w:t>
      </w:r>
      <w:r w:rsidR="00071F52" w:rsidRPr="002D6014">
        <w:rPr>
          <w:rFonts w:ascii="Arial" w:hAnsi="Arial" w:cs="Arial"/>
          <w:color w:val="000000"/>
        </w:rPr>
        <w:t xml:space="preserve">lve human </w:t>
      </w:r>
      <w:r w:rsidRPr="002D6014">
        <w:rPr>
          <w:rFonts w:ascii="Arial" w:hAnsi="Arial" w:cs="Arial"/>
          <w:color w:val="000000"/>
        </w:rPr>
        <w:t>rights complaints;</w:t>
      </w:r>
    </w:p>
    <w:p w:rsidR="00AE5882" w:rsidRPr="002D6014" w:rsidRDefault="00AE5882" w:rsidP="00C74AE0">
      <w:pPr>
        <w:pStyle w:val="ListParagraph"/>
        <w:numPr>
          <w:ilvl w:val="0"/>
          <w:numId w:val="21"/>
        </w:numPr>
        <w:tabs>
          <w:tab w:val="clear" w:pos="567"/>
        </w:tabs>
        <w:autoSpaceDE w:val="0"/>
        <w:autoSpaceDN w:val="0"/>
        <w:adjustRightInd w:val="0"/>
        <w:ind w:left="1134" w:hanging="567"/>
        <w:contextualSpacing w:val="0"/>
        <w:rPr>
          <w:rFonts w:ascii="Arial" w:hAnsi="Arial" w:cs="Arial"/>
          <w:color w:val="000000"/>
        </w:rPr>
      </w:pPr>
      <w:r w:rsidRPr="002D6014">
        <w:rPr>
          <w:rFonts w:ascii="Arial" w:hAnsi="Arial" w:cs="Arial"/>
          <w:color w:val="000000"/>
        </w:rPr>
        <w:t>a conciliation process run by an independent agency</w:t>
      </w:r>
      <w:r w:rsidR="00243424" w:rsidRPr="002D6014">
        <w:rPr>
          <w:rFonts w:ascii="Arial" w:hAnsi="Arial" w:cs="Arial"/>
          <w:color w:val="000000"/>
        </w:rPr>
        <w:t xml:space="preserve"> such as the Anti- Discrimination Commission</w:t>
      </w:r>
      <w:r w:rsidRPr="002D6014">
        <w:rPr>
          <w:rFonts w:ascii="Arial" w:hAnsi="Arial" w:cs="Arial"/>
          <w:color w:val="000000"/>
        </w:rPr>
        <w:t>; and</w:t>
      </w:r>
    </w:p>
    <w:p w:rsidR="00AE5882" w:rsidRPr="002D6014" w:rsidRDefault="00AE5882" w:rsidP="00C74AE0">
      <w:pPr>
        <w:pStyle w:val="ListParagraph"/>
        <w:numPr>
          <w:ilvl w:val="0"/>
          <w:numId w:val="21"/>
        </w:numPr>
        <w:tabs>
          <w:tab w:val="clear" w:pos="567"/>
        </w:tabs>
        <w:autoSpaceDE w:val="0"/>
        <w:autoSpaceDN w:val="0"/>
        <w:adjustRightInd w:val="0"/>
        <w:ind w:left="1134" w:hanging="567"/>
        <w:contextualSpacing w:val="0"/>
        <w:rPr>
          <w:rFonts w:ascii="Arial" w:hAnsi="Arial" w:cs="Arial"/>
          <w:color w:val="000000"/>
        </w:rPr>
      </w:pPr>
      <w:r w:rsidRPr="002D6014">
        <w:rPr>
          <w:rFonts w:ascii="Arial" w:hAnsi="Arial" w:cs="Arial"/>
          <w:color w:val="000000"/>
        </w:rPr>
        <w:t>rights to take legal action against government agencie</w:t>
      </w:r>
      <w:r w:rsidR="00071F52" w:rsidRPr="002D6014">
        <w:rPr>
          <w:rFonts w:ascii="Arial" w:hAnsi="Arial" w:cs="Arial"/>
          <w:color w:val="000000"/>
        </w:rPr>
        <w:t xml:space="preserve">s in courts and tribunals for a </w:t>
      </w:r>
      <w:r w:rsidRPr="002D6014">
        <w:rPr>
          <w:rFonts w:ascii="Arial" w:hAnsi="Arial" w:cs="Arial"/>
          <w:color w:val="000000"/>
        </w:rPr>
        <w:t>breach</w:t>
      </w:r>
      <w:r w:rsidR="00071F52" w:rsidRPr="002D6014">
        <w:rPr>
          <w:rFonts w:ascii="Arial" w:hAnsi="Arial" w:cs="Arial"/>
          <w:color w:val="000000"/>
        </w:rPr>
        <w:t xml:space="preserve"> </w:t>
      </w:r>
      <w:r w:rsidRPr="002D6014">
        <w:rPr>
          <w:rFonts w:ascii="Arial" w:hAnsi="Arial" w:cs="Arial"/>
          <w:color w:val="000000"/>
        </w:rPr>
        <w:t>of human rights.</w:t>
      </w:r>
    </w:p>
    <w:p w:rsidR="001578B8" w:rsidRPr="00D95D9E" w:rsidRDefault="007C187D" w:rsidP="00C74AE0">
      <w:pPr>
        <w:pStyle w:val="ListParagraph"/>
        <w:numPr>
          <w:ilvl w:val="0"/>
          <w:numId w:val="5"/>
        </w:numPr>
        <w:tabs>
          <w:tab w:val="clear" w:pos="567"/>
        </w:tabs>
        <w:autoSpaceDE w:val="0"/>
        <w:autoSpaceDN w:val="0"/>
        <w:adjustRightInd w:val="0"/>
        <w:contextualSpacing w:val="0"/>
      </w:pPr>
      <w:r w:rsidRPr="002D6014">
        <w:rPr>
          <w:rFonts w:cs="Times New Roman"/>
        </w:rPr>
        <w:lastRenderedPageBreak/>
        <w:t xml:space="preserve">It should be possible for </w:t>
      </w:r>
      <w:r w:rsidR="00523C9D" w:rsidRPr="002D6014">
        <w:rPr>
          <w:rFonts w:cs="Times New Roman"/>
        </w:rPr>
        <w:t>people to rely on</w:t>
      </w:r>
      <w:r w:rsidR="00523C9D" w:rsidRPr="002D6014">
        <w:rPr>
          <w:rFonts w:cs="Times New Roman"/>
          <w:iCs/>
        </w:rPr>
        <w:t xml:space="preserve"> </w:t>
      </w:r>
      <w:r w:rsidR="00523C9D" w:rsidRPr="002D6014">
        <w:rPr>
          <w:rFonts w:cs="Times New Roman"/>
        </w:rPr>
        <w:t>human rights in legal proceedings in courts and tribunals</w:t>
      </w:r>
      <w:r w:rsidR="00255066" w:rsidRPr="002D6014">
        <w:rPr>
          <w:rFonts w:cs="Times New Roman"/>
        </w:rPr>
        <w:t xml:space="preserve">. They should also be able </w:t>
      </w:r>
      <w:r w:rsidR="00523C9D" w:rsidRPr="002D6014">
        <w:rPr>
          <w:rFonts w:cs="Times New Roman"/>
        </w:rPr>
        <w:t>to institute an independent</w:t>
      </w:r>
      <w:r w:rsidR="00523C9D" w:rsidRPr="002D6014">
        <w:rPr>
          <w:rFonts w:cs="Times New Roman"/>
          <w:iCs/>
        </w:rPr>
        <w:t xml:space="preserve"> </w:t>
      </w:r>
      <w:r w:rsidR="00523C9D" w:rsidRPr="002D6014">
        <w:rPr>
          <w:rFonts w:cs="Times New Roman"/>
        </w:rPr>
        <w:t>cause of action</w:t>
      </w:r>
      <w:r w:rsidR="00D81834" w:rsidRPr="002D6014">
        <w:rPr>
          <w:rFonts w:cs="Times New Roman"/>
        </w:rPr>
        <w:t>, and obtain remedies</w:t>
      </w:r>
      <w:r w:rsidR="001E33A2" w:rsidRPr="002D6014">
        <w:rPr>
          <w:rFonts w:cs="Times New Roman"/>
        </w:rPr>
        <w:t>,</w:t>
      </w:r>
      <w:r w:rsidR="00D81834" w:rsidRPr="002D6014">
        <w:rPr>
          <w:rFonts w:cs="Times New Roman"/>
        </w:rPr>
        <w:t xml:space="preserve"> including </w:t>
      </w:r>
      <w:r w:rsidR="001578B8" w:rsidRPr="002D6014">
        <w:rPr>
          <w:rFonts w:cs="Times New Roman"/>
        </w:rPr>
        <w:t>judicial review</w:t>
      </w:r>
      <w:r w:rsidR="001E33A2" w:rsidRPr="002D6014">
        <w:rPr>
          <w:rFonts w:cs="Times New Roman"/>
        </w:rPr>
        <w:t>,</w:t>
      </w:r>
      <w:r w:rsidR="001578B8" w:rsidRPr="002D6014">
        <w:rPr>
          <w:rFonts w:cs="Times New Roman"/>
        </w:rPr>
        <w:t xml:space="preserve"> </w:t>
      </w:r>
      <w:r w:rsidR="008D75B2" w:rsidRPr="002D6014">
        <w:rPr>
          <w:rFonts w:cs="Times New Roman"/>
        </w:rPr>
        <w:t>relief</w:t>
      </w:r>
      <w:r w:rsidR="001E33A2" w:rsidRPr="002D6014">
        <w:rPr>
          <w:rFonts w:cs="Times New Roman"/>
        </w:rPr>
        <w:t>,</w:t>
      </w:r>
      <w:r w:rsidR="00D81834" w:rsidRPr="002D6014">
        <w:rPr>
          <w:rFonts w:cs="Times New Roman"/>
        </w:rPr>
        <w:t xml:space="preserve"> and damages where appropriate. </w:t>
      </w:r>
      <w:r w:rsidR="00D81834" w:rsidRPr="002D6014">
        <w:t>I</w:t>
      </w:r>
      <w:r w:rsidR="00F341A3" w:rsidRPr="002D6014">
        <w:t>n order to be effective in the protection of human rights, direct remedies should be available in both inferior and Supreme courts</w:t>
      </w:r>
      <w:r w:rsidR="00631A0E" w:rsidRPr="002D6014">
        <w:t>.</w:t>
      </w:r>
      <w:r w:rsidR="001578B8" w:rsidRPr="002D6014">
        <w:t xml:space="preserve"> </w:t>
      </w:r>
      <w:r w:rsidR="007004AD">
        <w:t xml:space="preserve"> </w:t>
      </w:r>
      <w:r w:rsidR="001578B8" w:rsidRPr="002D6014">
        <w:t xml:space="preserve">If the court concludes that a decision is unlawful it </w:t>
      </w:r>
      <w:r w:rsidR="007004AD">
        <w:t>could</w:t>
      </w:r>
      <w:r w:rsidR="001578B8" w:rsidRPr="002D6014">
        <w:t>, among other things, declare that the public authority acted unlawfully, cancel the decision</w:t>
      </w:r>
      <w:r w:rsidR="001E33A2" w:rsidRPr="002D6014">
        <w:t>,</w:t>
      </w:r>
      <w:r w:rsidR="001578B8" w:rsidRPr="002D6014">
        <w:t xml:space="preserve"> or prevent a public authority from acting in a certain way. </w:t>
      </w:r>
      <w:r w:rsidR="007004AD">
        <w:t xml:space="preserve"> </w:t>
      </w:r>
      <w:r w:rsidR="001578B8" w:rsidRPr="002D6014">
        <w:t xml:space="preserve">In most situations if a decision is found to be unlawful the court </w:t>
      </w:r>
      <w:r w:rsidR="007004AD">
        <w:t>would</w:t>
      </w:r>
      <w:r w:rsidR="007004AD" w:rsidRPr="002D6014">
        <w:t xml:space="preserve"> </w:t>
      </w:r>
      <w:r w:rsidR="001578B8" w:rsidRPr="002D6014">
        <w:t>remit the issue back to the public authority to make the decision again.</w:t>
      </w:r>
    </w:p>
    <w:p w:rsidR="008D75B2" w:rsidRPr="002D6014" w:rsidRDefault="008D75B2" w:rsidP="00C74AE0">
      <w:pPr>
        <w:pStyle w:val="ListParagraph"/>
        <w:numPr>
          <w:ilvl w:val="0"/>
          <w:numId w:val="5"/>
        </w:numPr>
        <w:tabs>
          <w:tab w:val="clear" w:pos="567"/>
        </w:tabs>
        <w:autoSpaceDE w:val="0"/>
        <w:autoSpaceDN w:val="0"/>
        <w:adjustRightInd w:val="0"/>
        <w:contextualSpacing w:val="0"/>
      </w:pPr>
      <w:r w:rsidRPr="00D95D9E">
        <w:t xml:space="preserve">Having a free standing cause of action for human rights contraventions would ensure that breaches are dealt with in a </w:t>
      </w:r>
      <w:r w:rsidR="00631A0E" w:rsidRPr="002D6014">
        <w:t>consistent</w:t>
      </w:r>
      <w:r w:rsidRPr="002D6014">
        <w:t xml:space="preserve"> and fair manner.  The U</w:t>
      </w:r>
      <w:r w:rsidR="001E33A2" w:rsidRPr="002D6014">
        <w:t xml:space="preserve">nited </w:t>
      </w:r>
      <w:r w:rsidRPr="002D6014">
        <w:t>K</w:t>
      </w:r>
      <w:r w:rsidR="001E33A2" w:rsidRPr="002D6014">
        <w:t>ingdom</w:t>
      </w:r>
      <w:r w:rsidRPr="002D6014">
        <w:t>, N</w:t>
      </w:r>
      <w:r w:rsidR="001E33A2" w:rsidRPr="002D6014">
        <w:t xml:space="preserve">ew </w:t>
      </w:r>
      <w:r w:rsidRPr="002D6014">
        <w:t>Z</w:t>
      </w:r>
      <w:r w:rsidR="001E33A2" w:rsidRPr="002D6014">
        <w:t>ealand</w:t>
      </w:r>
      <w:r w:rsidRPr="002D6014">
        <w:t xml:space="preserve"> and </w:t>
      </w:r>
      <w:r w:rsidR="001E33A2" w:rsidRPr="002D6014">
        <w:t xml:space="preserve">the </w:t>
      </w:r>
      <w:r w:rsidRPr="002D6014">
        <w:t xml:space="preserve">ACT </w:t>
      </w:r>
      <w:r w:rsidR="00255066" w:rsidRPr="002D6014">
        <w:t xml:space="preserve">jurisdictions all </w:t>
      </w:r>
      <w:r w:rsidRPr="002D6014">
        <w:t>have a free</w:t>
      </w:r>
      <w:r w:rsidR="001E33A2" w:rsidRPr="002D6014">
        <w:t>-</w:t>
      </w:r>
      <w:r w:rsidRPr="002D6014">
        <w:t>standing cause of action.</w:t>
      </w:r>
    </w:p>
    <w:p w:rsidR="00255066" w:rsidRPr="002D6014" w:rsidRDefault="00255066" w:rsidP="005D03A5">
      <w:pPr>
        <w:pStyle w:val="ListParagraph"/>
        <w:numPr>
          <w:ilvl w:val="0"/>
          <w:numId w:val="5"/>
        </w:numPr>
        <w:tabs>
          <w:tab w:val="clear" w:pos="567"/>
        </w:tabs>
        <w:autoSpaceDE w:val="0"/>
        <w:autoSpaceDN w:val="0"/>
        <w:adjustRightInd w:val="0"/>
        <w:contextualSpacing w:val="0"/>
      </w:pPr>
      <w:r w:rsidRPr="002D6014">
        <w:rPr>
          <w:rFonts w:ascii="Arial" w:hAnsi="Arial" w:cs="Arial"/>
        </w:rPr>
        <w:t>The availability of both judicial and non-judicial responses provides the legal redress identified as essential in the ICCPR, but also allows people to seek a resolution of</w:t>
      </w:r>
      <w:r w:rsidR="00EB60FB" w:rsidRPr="002D6014">
        <w:rPr>
          <w:rFonts w:ascii="Arial" w:hAnsi="Arial" w:cs="Arial"/>
        </w:rPr>
        <w:t xml:space="preserve"> </w:t>
      </w:r>
      <w:r w:rsidRPr="002D6014">
        <w:rPr>
          <w:rFonts w:ascii="Arial" w:hAnsi="Arial" w:cs="Arial"/>
        </w:rPr>
        <w:t>their complaint without having to resort to litigation.</w:t>
      </w:r>
      <w:r w:rsidR="007004AD">
        <w:rPr>
          <w:rFonts w:ascii="Arial" w:hAnsi="Arial" w:cs="Arial"/>
        </w:rPr>
        <w:t xml:space="preserve"> </w:t>
      </w:r>
      <w:r w:rsidRPr="007004AD">
        <w:rPr>
          <w:rFonts w:ascii="Arial" w:hAnsi="Arial" w:cs="Arial"/>
        </w:rPr>
        <w:t xml:space="preserve"> </w:t>
      </w:r>
      <w:r w:rsidRPr="007004AD">
        <w:rPr>
          <w:rFonts w:ascii="Arial" w:hAnsi="Arial" w:cs="Arial"/>
          <w:color w:val="000000"/>
        </w:rPr>
        <w:t>Under the multi-layered enforcement system</w:t>
      </w:r>
      <w:r w:rsidR="007004AD">
        <w:rPr>
          <w:rFonts w:ascii="Arial" w:hAnsi="Arial" w:cs="Arial"/>
          <w:color w:val="000000"/>
        </w:rPr>
        <w:t>,</w:t>
      </w:r>
      <w:r w:rsidRPr="007004AD">
        <w:rPr>
          <w:rFonts w:ascii="Arial" w:hAnsi="Arial" w:cs="Arial"/>
          <w:color w:val="000000"/>
        </w:rPr>
        <w:t xml:space="preserve"> formal court-based complaints processes and informal complaints processes outside the courts, would be complementary. </w:t>
      </w:r>
    </w:p>
    <w:p w:rsidR="00F341A3" w:rsidRPr="002D6014" w:rsidRDefault="00F341A3" w:rsidP="001B5E72">
      <w:pPr>
        <w:pStyle w:val="Heading2"/>
      </w:pPr>
      <w:bookmarkStart w:id="43" w:name="_Toc448747779"/>
      <w:r w:rsidRPr="002D6014">
        <w:t>Damages</w:t>
      </w:r>
      <w:bookmarkEnd w:id="43"/>
    </w:p>
    <w:p w:rsidR="006F17F7" w:rsidRPr="007004AD" w:rsidRDefault="00F341A3" w:rsidP="00C74AE0">
      <w:pPr>
        <w:pStyle w:val="ListParagraph"/>
        <w:numPr>
          <w:ilvl w:val="0"/>
          <w:numId w:val="5"/>
        </w:numPr>
        <w:contextualSpacing w:val="0"/>
      </w:pPr>
      <w:r w:rsidRPr="002D6014">
        <w:t xml:space="preserve">Including damages would ensure that meritorious claims are not discouraged by the cost and stress associated with litigation.  It is common place </w:t>
      </w:r>
      <w:r w:rsidR="00243424" w:rsidRPr="002D6014">
        <w:t xml:space="preserve">in </w:t>
      </w:r>
      <w:r w:rsidRPr="002D6014">
        <w:t xml:space="preserve">human rights jurisdictions </w:t>
      </w:r>
      <w:r w:rsidR="00243424" w:rsidRPr="002D6014">
        <w:t xml:space="preserve">across the world </w:t>
      </w:r>
      <w:r w:rsidRPr="002D6014">
        <w:t xml:space="preserve">to include damages for victims of human rights abuses, although the ACT and Victoria are exceptions to this rule.  The UK allows for limited damages under section 8 of </w:t>
      </w:r>
      <w:r w:rsidR="007004AD">
        <w:t>its</w:t>
      </w:r>
      <w:r w:rsidR="007004AD" w:rsidRPr="007004AD">
        <w:t xml:space="preserve"> </w:t>
      </w:r>
      <w:r w:rsidRPr="007004AD">
        <w:t xml:space="preserve">Act.  Both the Tasmanian and </w:t>
      </w:r>
      <w:r w:rsidR="00243424" w:rsidRPr="007004AD">
        <w:t>N</w:t>
      </w:r>
      <w:r w:rsidRPr="007004AD">
        <w:t xml:space="preserve">ational consultation reports recommended following the UK model. </w:t>
      </w:r>
      <w:r w:rsidR="008D75B2" w:rsidRPr="007004AD">
        <w:t xml:space="preserve"> In </w:t>
      </w:r>
      <w:r w:rsidR="00631A0E" w:rsidRPr="007004AD">
        <w:t>jurisdictions</w:t>
      </w:r>
      <w:r w:rsidR="008D75B2" w:rsidRPr="007004AD">
        <w:t xml:space="preserve"> where damages are allowed, there has not been a ‘flood’ of litigation.  For example</w:t>
      </w:r>
      <w:r w:rsidR="007004AD">
        <w:t>,</w:t>
      </w:r>
      <w:r w:rsidR="008D75B2" w:rsidRPr="007004AD">
        <w:t xml:space="preserve"> in the first 10 years of the UK Human Rights Act, only three cases resulted in the payment of compensation</w:t>
      </w:r>
      <w:r w:rsidR="00631A0E" w:rsidRPr="007004AD">
        <w:t>, totalling 39</w:t>
      </w:r>
      <w:r w:rsidR="007004AD">
        <w:t>,</w:t>
      </w:r>
      <w:r w:rsidR="00631A0E" w:rsidRPr="007004AD">
        <w:t>000 pounds</w:t>
      </w:r>
      <w:r w:rsidR="008D75B2" w:rsidRPr="007004AD">
        <w:t>.</w:t>
      </w:r>
      <w:r w:rsidR="00243424" w:rsidRPr="007004AD">
        <w:t xml:space="preserve"> </w:t>
      </w:r>
    </w:p>
    <w:p w:rsidR="00F341A3" w:rsidRPr="007004AD" w:rsidRDefault="006F17F7" w:rsidP="00C74AE0">
      <w:pPr>
        <w:pStyle w:val="ListParagraph"/>
        <w:numPr>
          <w:ilvl w:val="0"/>
          <w:numId w:val="5"/>
        </w:numPr>
        <w:contextualSpacing w:val="0"/>
      </w:pPr>
      <w:r w:rsidRPr="007004AD">
        <w:t xml:space="preserve">If damages are included in a Human Rights Act, they could be limited to civil and political, rather than economic social </w:t>
      </w:r>
      <w:r w:rsidR="00ED3E53" w:rsidRPr="007004AD">
        <w:t>and cultural rights.</w:t>
      </w:r>
    </w:p>
    <w:p w:rsidR="00F341A3" w:rsidRPr="007004AD" w:rsidRDefault="00243424" w:rsidP="00C74AE0">
      <w:pPr>
        <w:pStyle w:val="ListParagraph"/>
        <w:numPr>
          <w:ilvl w:val="0"/>
          <w:numId w:val="5"/>
        </w:numPr>
        <w:contextualSpacing w:val="0"/>
      </w:pPr>
      <w:r w:rsidRPr="002D6014">
        <w:t xml:space="preserve">As </w:t>
      </w:r>
      <w:r w:rsidR="000825E7" w:rsidRPr="002D6014">
        <w:t>discussed above</w:t>
      </w:r>
      <w:r w:rsidRPr="002D6014">
        <w:t>, i</w:t>
      </w:r>
      <w:r w:rsidR="00F341A3" w:rsidRPr="002D6014">
        <w:t xml:space="preserve">n order to allow early intervention and efficient resolution of human rights complaints before court and tribunal intervention, a </w:t>
      </w:r>
      <w:r w:rsidR="007004AD">
        <w:t>H</w:t>
      </w:r>
      <w:r w:rsidR="007004AD" w:rsidRPr="007004AD">
        <w:t xml:space="preserve">uman </w:t>
      </w:r>
      <w:r w:rsidR="007004AD">
        <w:t>R</w:t>
      </w:r>
      <w:r w:rsidR="00F341A3" w:rsidRPr="007004AD">
        <w:t xml:space="preserve">ights </w:t>
      </w:r>
      <w:r w:rsidR="007004AD">
        <w:t>A</w:t>
      </w:r>
      <w:r w:rsidR="007004AD" w:rsidRPr="007004AD">
        <w:t xml:space="preserve">ct </w:t>
      </w:r>
      <w:r w:rsidR="00F341A3" w:rsidRPr="007004AD">
        <w:t xml:space="preserve">could provide a process for independent investigation and resolution of human rights complaints.  The </w:t>
      </w:r>
      <w:r w:rsidR="00AA1CDF" w:rsidRPr="007004AD">
        <w:t>Commission</w:t>
      </w:r>
      <w:r w:rsidR="00F341A3" w:rsidRPr="007004AD">
        <w:t xml:space="preserve"> would be well placed to handle this function</w:t>
      </w:r>
      <w:r w:rsidR="007004AD">
        <w:t>,</w:t>
      </w:r>
      <w:r w:rsidR="00F341A3" w:rsidRPr="007004AD">
        <w:t xml:space="preserve"> which </w:t>
      </w:r>
      <w:r w:rsidR="007004AD">
        <w:t xml:space="preserve">would </w:t>
      </w:r>
      <w:r w:rsidR="00F341A3" w:rsidRPr="007004AD">
        <w:t xml:space="preserve">complement </w:t>
      </w:r>
      <w:r w:rsidR="007004AD">
        <w:t>the</w:t>
      </w:r>
      <w:r w:rsidR="007004AD" w:rsidRPr="007004AD">
        <w:t xml:space="preserve"> </w:t>
      </w:r>
      <w:r w:rsidR="00F341A3" w:rsidRPr="007004AD">
        <w:t xml:space="preserve">existing role and processes under the </w:t>
      </w:r>
      <w:r w:rsidR="00F341A3" w:rsidRPr="007004AD">
        <w:rPr>
          <w:i/>
        </w:rPr>
        <w:t>A</w:t>
      </w:r>
      <w:r w:rsidR="00AA1CDF" w:rsidRPr="007004AD">
        <w:rPr>
          <w:i/>
        </w:rPr>
        <w:t>nti-Discrimination Act</w:t>
      </w:r>
      <w:r w:rsidR="00F341A3" w:rsidRPr="007004AD">
        <w:t xml:space="preserve">. </w:t>
      </w:r>
    </w:p>
    <w:p w:rsidR="00575F58" w:rsidRPr="002D6014" w:rsidRDefault="00575F58" w:rsidP="001B5E72">
      <w:pPr>
        <w:pStyle w:val="Heading2"/>
      </w:pPr>
      <w:bookmarkStart w:id="44" w:name="_Toc448747780"/>
      <w:r w:rsidRPr="002D6014">
        <w:t>Public Authorities</w:t>
      </w:r>
      <w:bookmarkEnd w:id="44"/>
    </w:p>
    <w:p w:rsidR="001D5DD1" w:rsidRPr="002D6014" w:rsidRDefault="00241927" w:rsidP="00AA1CDF">
      <w:pPr>
        <w:pStyle w:val="ListParagraph"/>
        <w:numPr>
          <w:ilvl w:val="0"/>
          <w:numId w:val="5"/>
        </w:numPr>
        <w:contextualSpacing w:val="0"/>
      </w:pPr>
      <w:r w:rsidRPr="002D6014">
        <w:t xml:space="preserve">A Human Rights Act </w:t>
      </w:r>
      <w:r w:rsidR="009D00B0" w:rsidRPr="002D6014">
        <w:t>should require</w:t>
      </w:r>
      <w:r w:rsidRPr="002D6014">
        <w:t xml:space="preserve"> the </w:t>
      </w:r>
      <w:r w:rsidR="000825E7" w:rsidRPr="002D6014">
        <w:t>e</w:t>
      </w:r>
      <w:r w:rsidRPr="002D6014">
        <w:t xml:space="preserve">xecutive government </w:t>
      </w:r>
      <w:r w:rsidR="009D00B0" w:rsidRPr="002D6014">
        <w:t xml:space="preserve">to </w:t>
      </w:r>
      <w:r w:rsidRPr="002D6014">
        <w:t>consider how to address human rights issues when it develops policy</w:t>
      </w:r>
      <w:r w:rsidR="00FE3990" w:rsidRPr="002D6014">
        <w:t xml:space="preserve">.  </w:t>
      </w:r>
      <w:r w:rsidR="001D5DD1" w:rsidRPr="002D6014">
        <w:t>All g</w:t>
      </w:r>
      <w:r w:rsidR="000825E7" w:rsidRPr="002D6014">
        <w:t>overnment agencies should be required to develop policy, guidelines and procedures in a way that is</w:t>
      </w:r>
      <w:r w:rsidR="00AA1CDF" w:rsidRPr="002D6014">
        <w:t xml:space="preserve"> consistent with human rights.</w:t>
      </w:r>
    </w:p>
    <w:p w:rsidR="00E95C7A" w:rsidRPr="002D6014" w:rsidRDefault="000825E7" w:rsidP="00AA1CDF">
      <w:pPr>
        <w:pStyle w:val="ListParagraph"/>
        <w:numPr>
          <w:ilvl w:val="0"/>
          <w:numId w:val="5"/>
        </w:numPr>
        <w:contextualSpacing w:val="0"/>
      </w:pPr>
      <w:r w:rsidRPr="002D6014">
        <w:t xml:space="preserve">The first review of the ACT Act considered that one of the most significant impacts of the Act was at the level of policy formation. </w:t>
      </w:r>
      <w:r w:rsidR="00CD7D9D">
        <w:t xml:space="preserve"> </w:t>
      </w:r>
      <w:r w:rsidRPr="00CD7D9D">
        <w:t xml:space="preserve">Policy change has also resulted from </w:t>
      </w:r>
      <w:r w:rsidR="00CD7D9D">
        <w:t>the findings of</w:t>
      </w:r>
      <w:r w:rsidRPr="00CD7D9D">
        <w:t xml:space="preserve"> </w:t>
      </w:r>
      <w:r w:rsidR="00E95C7A" w:rsidRPr="00CD7D9D">
        <w:t xml:space="preserve">courts and tribunals.  In Victoria, the Mental Health Review Board </w:t>
      </w:r>
      <w:r w:rsidR="00001A90" w:rsidRPr="00CD7D9D">
        <w:t>changed</w:t>
      </w:r>
      <w:r w:rsidR="00E95C7A" w:rsidRPr="00CD7D9D">
        <w:t xml:space="preserve"> </w:t>
      </w:r>
      <w:r w:rsidR="00CD7D9D">
        <w:t>its</w:t>
      </w:r>
      <w:r w:rsidR="00CD7D9D" w:rsidRPr="00CD7D9D">
        <w:t xml:space="preserve"> </w:t>
      </w:r>
      <w:r w:rsidR="00001A90" w:rsidRPr="00CD7D9D">
        <w:t xml:space="preserve">review </w:t>
      </w:r>
      <w:r w:rsidR="00E95C7A" w:rsidRPr="00CD7D9D">
        <w:t xml:space="preserve">policy </w:t>
      </w:r>
      <w:r w:rsidR="00001A90" w:rsidRPr="00B224CB">
        <w:t xml:space="preserve">after </w:t>
      </w:r>
      <w:r w:rsidR="00E95C7A" w:rsidRPr="00066EEA">
        <w:t>a case where VC</w:t>
      </w:r>
      <w:r w:rsidR="00E95C7A" w:rsidRPr="00AA207A">
        <w:t xml:space="preserve">AT </w:t>
      </w:r>
      <w:r w:rsidR="001D5DD1" w:rsidRPr="002D6014">
        <w:t>declared that</w:t>
      </w:r>
      <w:r w:rsidR="00E95C7A" w:rsidRPr="002D6014">
        <w:t xml:space="preserve"> </w:t>
      </w:r>
      <w:r w:rsidR="001D5DD1" w:rsidRPr="002D6014">
        <w:t xml:space="preserve">reviews of </w:t>
      </w:r>
      <w:r w:rsidR="00E95C7A" w:rsidRPr="002D6014">
        <w:t xml:space="preserve">involuntary and </w:t>
      </w:r>
      <w:r w:rsidR="00E95C7A" w:rsidRPr="002D6014">
        <w:lastRenderedPageBreak/>
        <w:t xml:space="preserve">community treatment orders </w:t>
      </w:r>
      <w:r w:rsidR="00001A90" w:rsidRPr="002D6014">
        <w:t>were not conducted within a reaso</w:t>
      </w:r>
      <w:r w:rsidR="00E95C7A" w:rsidRPr="002D6014">
        <w:t xml:space="preserve">nable time, resulting in a </w:t>
      </w:r>
      <w:r w:rsidR="00001A90" w:rsidRPr="002D6014">
        <w:t xml:space="preserve">breach of the </w:t>
      </w:r>
      <w:r w:rsidR="00E95C7A" w:rsidRPr="002D6014">
        <w:t xml:space="preserve">right to </w:t>
      </w:r>
      <w:r w:rsidR="00001A90" w:rsidRPr="002D6014">
        <w:t xml:space="preserve">a </w:t>
      </w:r>
      <w:r w:rsidR="00E95C7A" w:rsidRPr="002D6014">
        <w:t>fair hearing</w:t>
      </w:r>
      <w:r w:rsidR="00001A90" w:rsidRPr="002D6014">
        <w:t>.</w:t>
      </w:r>
    </w:p>
    <w:p w:rsidR="00E95C7A" w:rsidRPr="002D6014" w:rsidRDefault="00E95C7A" w:rsidP="00D91097">
      <w:pPr>
        <w:pStyle w:val="ListParagraph"/>
        <w:numPr>
          <w:ilvl w:val="0"/>
          <w:numId w:val="5"/>
        </w:numPr>
        <w:spacing w:after="120"/>
        <w:contextualSpacing w:val="0"/>
      </w:pPr>
      <w:r w:rsidRPr="002D6014">
        <w:t xml:space="preserve">This broader change was anticipated by the </w:t>
      </w:r>
      <w:r w:rsidR="001D5DD1" w:rsidRPr="002D6014">
        <w:t>Justice Bell</w:t>
      </w:r>
      <w:r w:rsidRPr="002D6014">
        <w:t xml:space="preserve">, who commented: </w:t>
      </w:r>
    </w:p>
    <w:p w:rsidR="00E95C7A" w:rsidRPr="00D95D9E" w:rsidRDefault="0014270C" w:rsidP="00ED3E53">
      <w:pPr>
        <w:tabs>
          <w:tab w:val="clear" w:pos="567"/>
        </w:tabs>
        <w:ind w:left="1134" w:right="1083"/>
        <w:rPr>
          <w:i/>
          <w:sz w:val="20"/>
          <w:szCs w:val="20"/>
        </w:rPr>
      </w:pPr>
      <w:r w:rsidRPr="002D6014">
        <w:rPr>
          <w:rFonts w:ascii="Arial" w:hAnsi="Arial" w:cs="Arial"/>
          <w:i/>
          <w:sz w:val="20"/>
          <w:szCs w:val="20"/>
        </w:rPr>
        <w:t>‘</w:t>
      </w:r>
      <w:r w:rsidR="00E95C7A" w:rsidRPr="002D6014">
        <w:rPr>
          <w:rStyle w:val="Emphasis"/>
          <w:rFonts w:ascii="Arial" w:hAnsi="Arial" w:cs="Arial"/>
          <w:i w:val="0"/>
          <w:sz w:val="20"/>
          <w:szCs w:val="20"/>
        </w:rPr>
        <w:t>When a human right is breached, the individual is injured.  Because of the broader role of human rights, society is injured as well.  Human rights protect interests and values which society in Parliament considers to be fundamental, both to the individual and to the maintenance of democratic society based on the rule of law.  Where human rights are breached, both the individual and society have a strong interest in the remedy of a declaration, in which inheres their final vindication.</w:t>
      </w:r>
      <w:r w:rsidRPr="002D6014">
        <w:rPr>
          <w:rStyle w:val="Emphasis"/>
          <w:rFonts w:ascii="Arial" w:hAnsi="Arial" w:cs="Arial"/>
          <w:i w:val="0"/>
          <w:sz w:val="20"/>
          <w:szCs w:val="20"/>
        </w:rPr>
        <w:t>’</w:t>
      </w:r>
    </w:p>
    <w:p w:rsidR="00FE3990" w:rsidRPr="002D6014" w:rsidRDefault="00FE3990" w:rsidP="00AA1CDF">
      <w:pPr>
        <w:pStyle w:val="ListParagraph"/>
        <w:numPr>
          <w:ilvl w:val="0"/>
          <w:numId w:val="5"/>
        </w:numPr>
        <w:contextualSpacing w:val="0"/>
      </w:pPr>
      <w:r w:rsidRPr="00D95D9E">
        <w:t xml:space="preserve">A Human Rights Act </w:t>
      </w:r>
      <w:r w:rsidRPr="007004AD">
        <w:t>should also require public servants to comply with human rights when making decisi</w:t>
      </w:r>
      <w:r w:rsidRPr="00CD7D9D">
        <w:t>ons and delivering services</w:t>
      </w:r>
      <w:r w:rsidR="00B053DD" w:rsidRPr="00CD7D9D">
        <w:t>.</w:t>
      </w:r>
      <w:r w:rsidR="00CD7D9D">
        <w:t xml:space="preserve"> </w:t>
      </w:r>
      <w:r w:rsidR="000825E7" w:rsidRPr="00CD7D9D">
        <w:t xml:space="preserve"> </w:t>
      </w:r>
      <w:r w:rsidR="009D00B0" w:rsidRPr="00CD7D9D">
        <w:t>D</w:t>
      </w:r>
      <w:r w:rsidR="002C75A0" w:rsidRPr="00CD7D9D">
        <w:t>ecision makers</w:t>
      </w:r>
      <w:r w:rsidR="009D00B0" w:rsidRPr="00CD7D9D">
        <w:t xml:space="preserve"> covered by the Act </w:t>
      </w:r>
      <w:r w:rsidRPr="00066EEA">
        <w:t>should be obliged to act in a way that is compatible with human rights</w:t>
      </w:r>
      <w:r w:rsidR="00B053DD" w:rsidRPr="002D6014">
        <w:t>.</w:t>
      </w:r>
    </w:p>
    <w:p w:rsidR="00B72E47" w:rsidRPr="002D6014" w:rsidRDefault="00B72E47" w:rsidP="00AA1CDF">
      <w:pPr>
        <w:pStyle w:val="ListParagraph"/>
        <w:numPr>
          <w:ilvl w:val="0"/>
          <w:numId w:val="5"/>
        </w:numPr>
        <w:contextualSpacing w:val="0"/>
      </w:pPr>
      <w:r w:rsidRPr="002D6014">
        <w:rPr>
          <w:rFonts w:cstheme="minorHAnsi"/>
        </w:rPr>
        <w:t xml:space="preserve">A Human Rights Act should require each public authority to establish internal systems for receiving, considering and responding to, complaints about human rights. </w:t>
      </w:r>
      <w:r w:rsidR="00CD7D9D">
        <w:rPr>
          <w:rFonts w:cstheme="minorHAnsi"/>
        </w:rPr>
        <w:t xml:space="preserve"> </w:t>
      </w:r>
      <w:r w:rsidRPr="00CD7D9D">
        <w:rPr>
          <w:rFonts w:cstheme="minorHAnsi"/>
        </w:rPr>
        <w:t>Internal complaints processes represent a simple, speedy and cost free means by which complaints about human rights can be pursued.</w:t>
      </w:r>
      <w:r w:rsidR="00CD7D9D">
        <w:rPr>
          <w:rFonts w:cstheme="minorHAnsi"/>
        </w:rPr>
        <w:t xml:space="preserve"> </w:t>
      </w:r>
      <w:r w:rsidRPr="00CD7D9D">
        <w:rPr>
          <w:rFonts w:cstheme="minorHAnsi"/>
        </w:rPr>
        <w:t xml:space="preserve"> Internal complaints processes would be need to be accessible to all members of the community.</w:t>
      </w:r>
      <w:r w:rsidR="00CD7D9D">
        <w:rPr>
          <w:rFonts w:cstheme="minorHAnsi"/>
        </w:rPr>
        <w:t xml:space="preserve"> </w:t>
      </w:r>
      <w:r w:rsidRPr="00CD7D9D">
        <w:rPr>
          <w:rFonts w:ascii="HelveticaNeue-Light" w:hAnsi="HelveticaNeue-Light" w:cs="HelveticaNeue-Light"/>
          <w:sz w:val="19"/>
          <w:szCs w:val="19"/>
        </w:rPr>
        <w:t xml:space="preserve"> </w:t>
      </w:r>
      <w:r w:rsidRPr="00342321">
        <w:rPr>
          <w:rFonts w:ascii="Arial" w:hAnsi="Arial" w:cs="Arial"/>
        </w:rPr>
        <w:t>In order for such informal complaints systems to operate successfully, it would be essential that officers designated to receive and respond to complain</w:t>
      </w:r>
      <w:r w:rsidRPr="002D6014">
        <w:rPr>
          <w:rFonts w:ascii="Arial" w:hAnsi="Arial" w:cs="Arial"/>
        </w:rPr>
        <w:t>ts have adequate education in relation to human rights</w:t>
      </w:r>
      <w:r w:rsidRPr="002D6014">
        <w:rPr>
          <w:rFonts w:ascii="HelveticaNeue-Light" w:hAnsi="HelveticaNeue-Light" w:cs="HelveticaNeue-Light"/>
          <w:sz w:val="19"/>
          <w:szCs w:val="19"/>
        </w:rPr>
        <w:t>.</w:t>
      </w:r>
    </w:p>
    <w:p w:rsidR="00FE3990" w:rsidRPr="002D6014" w:rsidRDefault="00FE3990" w:rsidP="00AA1CDF">
      <w:pPr>
        <w:pStyle w:val="ListParagraph"/>
        <w:numPr>
          <w:ilvl w:val="0"/>
          <w:numId w:val="5"/>
        </w:numPr>
        <w:contextualSpacing w:val="0"/>
      </w:pPr>
      <w:r w:rsidRPr="002D6014">
        <w:t>Public Authorities should be required to report on their implementation of human rights in annual reports to parliament</w:t>
      </w:r>
      <w:r w:rsidR="00B053DD" w:rsidRPr="002D6014">
        <w:t>.</w:t>
      </w:r>
    </w:p>
    <w:p w:rsidR="00FE3990" w:rsidRPr="002D6014" w:rsidRDefault="00FE3990" w:rsidP="001B5E72">
      <w:pPr>
        <w:pStyle w:val="Heading2"/>
      </w:pPr>
      <w:bookmarkStart w:id="45" w:name="_Toc448747781"/>
      <w:r w:rsidRPr="002D6014">
        <w:t>Other Entities</w:t>
      </w:r>
      <w:bookmarkEnd w:id="45"/>
    </w:p>
    <w:p w:rsidR="0074245F" w:rsidRPr="00342321" w:rsidRDefault="002C75A0" w:rsidP="00AA1CDF">
      <w:pPr>
        <w:pStyle w:val="ListParagraph"/>
        <w:numPr>
          <w:ilvl w:val="0"/>
          <w:numId w:val="5"/>
        </w:numPr>
      </w:pPr>
      <w:r w:rsidRPr="002D6014">
        <w:t xml:space="preserve">A Human Rights Act </w:t>
      </w:r>
      <w:r w:rsidR="009D00B0" w:rsidRPr="002D6014">
        <w:t xml:space="preserve">ought to </w:t>
      </w:r>
      <w:r w:rsidR="00342321">
        <w:t>provide</w:t>
      </w:r>
      <w:r w:rsidRPr="00342321">
        <w:t xml:space="preserve"> for private entities to </w:t>
      </w:r>
      <w:r w:rsidR="00342321">
        <w:t xml:space="preserve">be able to </w:t>
      </w:r>
      <w:r w:rsidRPr="00342321">
        <w:t xml:space="preserve">‘opt in’ to </w:t>
      </w:r>
      <w:r w:rsidR="00342321">
        <w:t>be bound by the h</w:t>
      </w:r>
      <w:r w:rsidR="00342321" w:rsidRPr="00342321">
        <w:t xml:space="preserve">uman </w:t>
      </w:r>
      <w:r w:rsidR="00342321">
        <w:t>r</w:t>
      </w:r>
      <w:r w:rsidR="00342321" w:rsidRPr="00342321">
        <w:t xml:space="preserve">ights </w:t>
      </w:r>
      <w:r w:rsidR="00342321">
        <w:t>o</w:t>
      </w:r>
      <w:r w:rsidR="00342321" w:rsidRPr="00342321">
        <w:t>bligations</w:t>
      </w:r>
      <w:r w:rsidR="00342321">
        <w:t xml:space="preserve"> under the Act</w:t>
      </w:r>
      <w:r w:rsidR="001D5DD1" w:rsidRPr="00342321">
        <w:t xml:space="preserve">.  This is the model </w:t>
      </w:r>
      <w:r w:rsidR="00342321">
        <w:t>for the</w:t>
      </w:r>
      <w:r w:rsidR="001D5DD1" w:rsidRPr="00342321">
        <w:t xml:space="preserve"> Victoria</w:t>
      </w:r>
      <w:r w:rsidR="00342321">
        <w:t>n</w:t>
      </w:r>
      <w:r w:rsidR="001D5DD1" w:rsidRPr="00342321">
        <w:t xml:space="preserve"> and ACT</w:t>
      </w:r>
      <w:r w:rsidR="00342321">
        <w:t xml:space="preserve"> Acts</w:t>
      </w:r>
      <w:r w:rsidR="001D5DD1" w:rsidRPr="00342321">
        <w:t xml:space="preserve">. </w:t>
      </w:r>
    </w:p>
    <w:p w:rsidR="00BD3F09" w:rsidRPr="002D6014" w:rsidRDefault="0014270C" w:rsidP="001B5E72">
      <w:pPr>
        <w:pStyle w:val="Heading1"/>
      </w:pPr>
      <w:bookmarkStart w:id="46" w:name="_Toc448747782"/>
      <w:r w:rsidRPr="002D6014">
        <w:t xml:space="preserve">Inconsistency </w:t>
      </w:r>
      <w:r w:rsidR="0074245F" w:rsidRPr="002D6014">
        <w:t>of laws and decisions</w:t>
      </w:r>
      <w:bookmarkEnd w:id="46"/>
      <w:r w:rsidR="0074245F" w:rsidRPr="002D6014">
        <w:t xml:space="preserve">  </w:t>
      </w:r>
    </w:p>
    <w:p w:rsidR="0074245F" w:rsidRPr="002D6014" w:rsidRDefault="00BD3F09" w:rsidP="00632BB9">
      <w:r w:rsidRPr="002D6014">
        <w:rPr>
          <w:rStyle w:val="Strong"/>
        </w:rPr>
        <w:t>Ter</w:t>
      </w:r>
      <w:r w:rsidRPr="002D6014">
        <w:rPr>
          <w:b/>
        </w:rPr>
        <w:t>ms of reference 3c: the implications of laws and decisions not being consistent with the legislation.</w:t>
      </w:r>
      <w:r w:rsidRPr="002D6014" w:rsidDel="0014270C">
        <w:t xml:space="preserve"> </w:t>
      </w:r>
    </w:p>
    <w:p w:rsidR="002C75A0" w:rsidRPr="002D6014" w:rsidRDefault="00FE3900" w:rsidP="00AA1CDF">
      <w:pPr>
        <w:pStyle w:val="ListParagraph"/>
        <w:numPr>
          <w:ilvl w:val="0"/>
          <w:numId w:val="5"/>
        </w:numPr>
      </w:pPr>
      <w:r w:rsidRPr="002D6014">
        <w:t xml:space="preserve">The implications of laws and decisions not being consistent with a Human Rights Act have </w:t>
      </w:r>
      <w:r w:rsidR="00066114" w:rsidRPr="002D6014">
        <w:t xml:space="preserve">already </w:t>
      </w:r>
      <w:r w:rsidRPr="002D6014">
        <w:t>been canvassed above in this submission.</w:t>
      </w:r>
    </w:p>
    <w:p w:rsidR="00D7697D" w:rsidRPr="002D6014" w:rsidRDefault="002F5378" w:rsidP="001B5E72">
      <w:pPr>
        <w:pStyle w:val="Heading1"/>
      </w:pPr>
      <w:bookmarkStart w:id="47" w:name="_Toc448747783"/>
      <w:r w:rsidRPr="002D6014">
        <w:t>E</w:t>
      </w:r>
      <w:r w:rsidR="00D7697D" w:rsidRPr="002D6014">
        <w:t>xisting statutory complaints processes</w:t>
      </w:r>
      <w:bookmarkEnd w:id="47"/>
    </w:p>
    <w:p w:rsidR="003413D3" w:rsidRPr="002D6014" w:rsidRDefault="00C35F7B" w:rsidP="001B5E72">
      <w:pPr>
        <w:pStyle w:val="Heading2"/>
      </w:pPr>
      <w:bookmarkStart w:id="48" w:name="_Toc448747784"/>
      <w:r w:rsidRPr="002D6014">
        <w:t xml:space="preserve">Existing </w:t>
      </w:r>
      <w:r w:rsidR="003413D3" w:rsidRPr="002D6014">
        <w:t>Internal complaints mechanisms</w:t>
      </w:r>
      <w:bookmarkEnd w:id="48"/>
      <w:r w:rsidR="003413D3" w:rsidRPr="002D6014">
        <w:t xml:space="preserve"> </w:t>
      </w:r>
    </w:p>
    <w:p w:rsidR="003413D3" w:rsidRPr="002D6014" w:rsidRDefault="003413D3" w:rsidP="00AA1CDF">
      <w:pPr>
        <w:pStyle w:val="ListParagraph"/>
        <w:numPr>
          <w:ilvl w:val="0"/>
          <w:numId w:val="5"/>
        </w:numPr>
        <w:rPr>
          <w:rFonts w:ascii="Arial" w:hAnsi="Arial" w:cs="Arial"/>
          <w:color w:val="000000"/>
        </w:rPr>
      </w:pPr>
      <w:r w:rsidRPr="002D6014">
        <w:rPr>
          <w:rFonts w:ascii="Arial" w:hAnsi="Arial" w:cs="Arial"/>
          <w:color w:val="000000"/>
        </w:rPr>
        <w:t xml:space="preserve">Where a person feels their rights have been breached, </w:t>
      </w:r>
      <w:r w:rsidR="00C35F7B" w:rsidRPr="002D6014">
        <w:rPr>
          <w:rFonts w:ascii="Arial" w:hAnsi="Arial" w:cs="Arial"/>
          <w:color w:val="000000"/>
        </w:rPr>
        <w:t xml:space="preserve">under a Human Rights Act </w:t>
      </w:r>
      <w:r w:rsidRPr="002D6014">
        <w:rPr>
          <w:rFonts w:ascii="Arial" w:hAnsi="Arial" w:cs="Arial"/>
          <w:color w:val="000000"/>
        </w:rPr>
        <w:t>their firs</w:t>
      </w:r>
      <w:r w:rsidR="00C35F7B" w:rsidRPr="002D6014">
        <w:rPr>
          <w:rFonts w:ascii="Arial" w:hAnsi="Arial" w:cs="Arial"/>
          <w:color w:val="000000"/>
        </w:rPr>
        <w:t xml:space="preserve">t option </w:t>
      </w:r>
      <w:r w:rsidR="006E3F71">
        <w:rPr>
          <w:rFonts w:ascii="Arial" w:hAnsi="Arial" w:cs="Arial"/>
          <w:color w:val="000000"/>
        </w:rPr>
        <w:t>would</w:t>
      </w:r>
      <w:r w:rsidR="006E3F71" w:rsidRPr="006E3F71">
        <w:rPr>
          <w:rFonts w:ascii="Arial" w:hAnsi="Arial" w:cs="Arial"/>
          <w:color w:val="000000"/>
        </w:rPr>
        <w:t xml:space="preserve"> </w:t>
      </w:r>
      <w:r w:rsidRPr="006E3F71">
        <w:rPr>
          <w:rFonts w:ascii="Arial" w:hAnsi="Arial" w:cs="Arial"/>
          <w:color w:val="000000"/>
        </w:rPr>
        <w:t>often</w:t>
      </w:r>
      <w:r w:rsidR="00C35F7B" w:rsidRPr="006E3F71">
        <w:rPr>
          <w:rFonts w:ascii="Arial" w:hAnsi="Arial" w:cs="Arial"/>
          <w:color w:val="000000"/>
        </w:rPr>
        <w:t xml:space="preserve"> be</w:t>
      </w:r>
      <w:r w:rsidRPr="006E3F71">
        <w:rPr>
          <w:rFonts w:ascii="Arial" w:hAnsi="Arial" w:cs="Arial"/>
          <w:color w:val="000000"/>
        </w:rPr>
        <w:t xml:space="preserve"> to complain directly to the agency responsible. </w:t>
      </w:r>
      <w:r w:rsidR="006E3F71">
        <w:rPr>
          <w:rFonts w:ascii="Arial" w:hAnsi="Arial" w:cs="Arial"/>
          <w:color w:val="000000"/>
        </w:rPr>
        <w:t xml:space="preserve"> </w:t>
      </w:r>
      <w:r w:rsidR="00C35F7B" w:rsidRPr="006E3F71">
        <w:rPr>
          <w:rFonts w:ascii="Arial" w:hAnsi="Arial" w:cs="Arial"/>
          <w:color w:val="000000"/>
        </w:rPr>
        <w:t xml:space="preserve">Agencies ought to </w:t>
      </w:r>
      <w:r w:rsidRPr="006E3F71">
        <w:rPr>
          <w:rFonts w:ascii="Arial" w:hAnsi="Arial" w:cs="Arial"/>
          <w:color w:val="000000"/>
        </w:rPr>
        <w:t xml:space="preserve">incorporate human rights into their </w:t>
      </w:r>
      <w:r w:rsidR="00C35F7B" w:rsidRPr="006E3F71">
        <w:rPr>
          <w:rFonts w:ascii="Arial" w:hAnsi="Arial" w:cs="Arial"/>
          <w:color w:val="000000"/>
        </w:rPr>
        <w:t xml:space="preserve">existing </w:t>
      </w:r>
      <w:r w:rsidRPr="006E3F71">
        <w:rPr>
          <w:rFonts w:ascii="Arial" w:hAnsi="Arial" w:cs="Arial"/>
          <w:color w:val="000000"/>
        </w:rPr>
        <w:t>complaints processes</w:t>
      </w:r>
      <w:r w:rsidR="00C35F7B" w:rsidRPr="006E3F71">
        <w:rPr>
          <w:rFonts w:ascii="Arial" w:hAnsi="Arial" w:cs="Arial"/>
          <w:color w:val="000000"/>
        </w:rPr>
        <w:t>. There should be a</w:t>
      </w:r>
      <w:r w:rsidRPr="002D6014">
        <w:rPr>
          <w:rFonts w:ascii="Arial" w:hAnsi="Arial" w:cs="Arial"/>
          <w:color w:val="000000"/>
        </w:rPr>
        <w:t xml:space="preserve"> consistent inter</w:t>
      </w:r>
      <w:r w:rsidR="00C35F7B" w:rsidRPr="002D6014">
        <w:rPr>
          <w:rFonts w:ascii="Arial" w:hAnsi="Arial" w:cs="Arial"/>
          <w:color w:val="000000"/>
        </w:rPr>
        <w:t>nal complaint handling process</w:t>
      </w:r>
      <w:r w:rsidRPr="002D6014">
        <w:rPr>
          <w:rFonts w:ascii="Arial" w:hAnsi="Arial" w:cs="Arial"/>
          <w:color w:val="000000"/>
        </w:rPr>
        <w:t xml:space="preserve">. </w:t>
      </w:r>
      <w:r w:rsidR="00C35F7B" w:rsidRPr="002D6014">
        <w:rPr>
          <w:rFonts w:ascii="Arial" w:hAnsi="Arial" w:cs="Arial"/>
          <w:color w:val="000000"/>
        </w:rPr>
        <w:t>G</w:t>
      </w:r>
      <w:r w:rsidRPr="002D6014">
        <w:rPr>
          <w:rFonts w:ascii="Arial" w:hAnsi="Arial" w:cs="Arial"/>
          <w:color w:val="000000"/>
        </w:rPr>
        <w:t xml:space="preserve">uidelines </w:t>
      </w:r>
      <w:r w:rsidR="00C35F7B" w:rsidRPr="002D6014">
        <w:rPr>
          <w:rFonts w:ascii="Arial" w:hAnsi="Arial" w:cs="Arial"/>
          <w:color w:val="000000"/>
        </w:rPr>
        <w:t xml:space="preserve">ought to be </w:t>
      </w:r>
      <w:r w:rsidR="00C35F7B" w:rsidRPr="002D6014">
        <w:rPr>
          <w:rFonts w:ascii="Arial" w:hAnsi="Arial" w:cs="Arial"/>
          <w:color w:val="000000"/>
        </w:rPr>
        <w:lastRenderedPageBreak/>
        <w:t xml:space="preserve">provided </w:t>
      </w:r>
      <w:r w:rsidRPr="002D6014">
        <w:rPr>
          <w:rFonts w:ascii="Arial" w:hAnsi="Arial" w:cs="Arial"/>
          <w:color w:val="000000"/>
        </w:rPr>
        <w:t>to assist public authorities to deal with i</w:t>
      </w:r>
      <w:r w:rsidR="00C35F7B" w:rsidRPr="002D6014">
        <w:rPr>
          <w:rFonts w:ascii="Arial" w:hAnsi="Arial" w:cs="Arial"/>
          <w:color w:val="000000"/>
        </w:rPr>
        <w:t>nternal human rights complaints.</w:t>
      </w:r>
      <w:r w:rsidRPr="002D6014">
        <w:rPr>
          <w:rFonts w:ascii="Arial" w:hAnsi="Arial" w:cs="Arial"/>
          <w:color w:val="000000"/>
        </w:rPr>
        <w:t xml:space="preserve"> However, there still remains a need for external independent avenues of complaint.</w:t>
      </w:r>
    </w:p>
    <w:p w:rsidR="00C35F7B" w:rsidRPr="002D6014" w:rsidRDefault="00973CD7" w:rsidP="001B5E72">
      <w:pPr>
        <w:pStyle w:val="Heading2"/>
      </w:pPr>
      <w:bookmarkStart w:id="49" w:name="_Toc448747785"/>
      <w:r w:rsidRPr="002D6014">
        <w:t>Anti-</w:t>
      </w:r>
      <w:r w:rsidR="00C35F7B" w:rsidRPr="002D6014">
        <w:t>Discrimination Commission</w:t>
      </w:r>
      <w:bookmarkEnd w:id="49"/>
    </w:p>
    <w:p w:rsidR="00C35F7B" w:rsidRPr="002D6014" w:rsidRDefault="00C35F7B" w:rsidP="00AA1CDF">
      <w:pPr>
        <w:pStyle w:val="ListParagraph"/>
        <w:numPr>
          <w:ilvl w:val="0"/>
          <w:numId w:val="5"/>
        </w:numPr>
        <w:tabs>
          <w:tab w:val="clear" w:pos="567"/>
        </w:tabs>
        <w:autoSpaceDE w:val="0"/>
        <w:autoSpaceDN w:val="0"/>
        <w:adjustRightInd w:val="0"/>
        <w:contextualSpacing w:val="0"/>
        <w:rPr>
          <w:rFonts w:ascii="Arial" w:hAnsi="Arial" w:cs="Arial"/>
          <w:color w:val="000000"/>
        </w:rPr>
      </w:pPr>
      <w:r w:rsidRPr="002D6014">
        <w:rPr>
          <w:rFonts w:ascii="Arial" w:hAnsi="Arial" w:cs="Arial"/>
          <w:color w:val="000000"/>
        </w:rPr>
        <w:t xml:space="preserve">Alternative dispute resolution should be included in the </w:t>
      </w:r>
      <w:r w:rsidR="00C374CE" w:rsidRPr="002D6014">
        <w:rPr>
          <w:rFonts w:ascii="Arial" w:hAnsi="Arial" w:cs="Arial"/>
          <w:color w:val="000000"/>
        </w:rPr>
        <w:t xml:space="preserve">Human Rights Act </w:t>
      </w:r>
      <w:r w:rsidRPr="002D6014">
        <w:rPr>
          <w:rFonts w:ascii="Arial" w:hAnsi="Arial" w:cs="Arial"/>
          <w:color w:val="000000"/>
        </w:rPr>
        <w:t xml:space="preserve">as the first level of redress in any remedies provision. Alternative dispute resolution provides a quick, cheap, accessible, informal and easy-to-navigate method of redress outside the traditional court system. Parties can negotiate an outcome that is mutually acceptable and which can provide a personal remedy for the complainant, such as compensation or an apology, or systemic change such as changes to customer practices and procedures, changes to internal or staff practices and procedures, modification of facilities and/or premises and the introduction or review of policies and provision of training. </w:t>
      </w:r>
    </w:p>
    <w:p w:rsidR="00C35F7B" w:rsidRPr="002D6014" w:rsidRDefault="00C35F7B" w:rsidP="00AA1CDF">
      <w:pPr>
        <w:pStyle w:val="ListParagraph"/>
        <w:numPr>
          <w:ilvl w:val="0"/>
          <w:numId w:val="5"/>
        </w:numPr>
        <w:tabs>
          <w:tab w:val="clear" w:pos="567"/>
        </w:tabs>
        <w:autoSpaceDE w:val="0"/>
        <w:autoSpaceDN w:val="0"/>
        <w:adjustRightInd w:val="0"/>
        <w:contextualSpacing w:val="0"/>
        <w:rPr>
          <w:rFonts w:ascii="Arial" w:hAnsi="Arial" w:cs="Arial"/>
          <w:color w:val="000000"/>
        </w:rPr>
      </w:pPr>
      <w:r w:rsidRPr="002D6014">
        <w:rPr>
          <w:rFonts w:ascii="Arial" w:hAnsi="Arial" w:cs="Arial"/>
          <w:color w:val="000000"/>
        </w:rPr>
        <w:t xml:space="preserve">Dispute resolution provided under the Human Rights Act should follow the model set out in the current </w:t>
      </w:r>
      <w:r w:rsidRPr="002D6014">
        <w:rPr>
          <w:rFonts w:ascii="Arial" w:hAnsi="Arial" w:cs="Arial"/>
          <w:i/>
          <w:color w:val="000000"/>
        </w:rPr>
        <w:t>Anti- Discrimination Act 1991</w:t>
      </w:r>
      <w:r w:rsidRPr="002D6014">
        <w:rPr>
          <w:rFonts w:ascii="Arial" w:hAnsi="Arial" w:cs="Arial"/>
          <w:color w:val="000000"/>
        </w:rPr>
        <w:t xml:space="preserve">, which currently exists for complaints of discrimination, sexual harassment, victimisation and vilification. </w:t>
      </w:r>
    </w:p>
    <w:p w:rsidR="00C35F7B" w:rsidRPr="002D6014" w:rsidRDefault="00C35F7B" w:rsidP="00D91097">
      <w:pPr>
        <w:pStyle w:val="ListParagraph"/>
        <w:numPr>
          <w:ilvl w:val="0"/>
          <w:numId w:val="5"/>
        </w:numPr>
        <w:tabs>
          <w:tab w:val="clear" w:pos="567"/>
        </w:tabs>
        <w:autoSpaceDE w:val="0"/>
        <w:autoSpaceDN w:val="0"/>
        <w:adjustRightInd w:val="0"/>
        <w:spacing w:after="120"/>
        <w:contextualSpacing w:val="0"/>
        <w:rPr>
          <w:rFonts w:ascii="Arial" w:hAnsi="Arial" w:cs="Arial"/>
          <w:color w:val="000000"/>
        </w:rPr>
      </w:pPr>
      <w:r w:rsidRPr="002D6014">
        <w:rPr>
          <w:rFonts w:ascii="Arial" w:hAnsi="Arial" w:cs="Arial"/>
          <w:color w:val="000000"/>
        </w:rPr>
        <w:t xml:space="preserve">The principles of dispute resolution offered by the Commission are that dispute resolution: </w:t>
      </w:r>
    </w:p>
    <w:p w:rsidR="00C35F7B" w:rsidRPr="002D6014" w:rsidRDefault="00C35F7B" w:rsidP="004902F3">
      <w:pPr>
        <w:numPr>
          <w:ilvl w:val="0"/>
          <w:numId w:val="1"/>
        </w:numPr>
        <w:tabs>
          <w:tab w:val="clear" w:pos="567"/>
          <w:tab w:val="clear" w:pos="1080"/>
        </w:tabs>
        <w:spacing w:before="120" w:after="120"/>
        <w:ind w:left="1276" w:hanging="425"/>
        <w:jc w:val="both"/>
        <w:rPr>
          <w:rFonts w:ascii="Arial" w:hAnsi="Arial" w:cs="Arial"/>
          <w:color w:val="000000"/>
        </w:rPr>
      </w:pPr>
      <w:r w:rsidRPr="002D6014">
        <w:rPr>
          <w:rFonts w:ascii="Arial" w:hAnsi="Arial" w:cs="Arial"/>
          <w:color w:val="000000"/>
        </w:rPr>
        <w:t xml:space="preserve">should be provided as early as possible </w:t>
      </w:r>
    </w:p>
    <w:p w:rsidR="00C35F7B" w:rsidRPr="002D6014" w:rsidRDefault="00C35F7B" w:rsidP="004902F3">
      <w:pPr>
        <w:numPr>
          <w:ilvl w:val="0"/>
          <w:numId w:val="1"/>
        </w:numPr>
        <w:tabs>
          <w:tab w:val="clear" w:pos="567"/>
          <w:tab w:val="clear" w:pos="1080"/>
        </w:tabs>
        <w:spacing w:before="120" w:after="120"/>
        <w:ind w:left="1276" w:hanging="425"/>
        <w:jc w:val="both"/>
        <w:rPr>
          <w:rFonts w:ascii="Arial" w:hAnsi="Arial" w:cs="Arial"/>
          <w:color w:val="000000"/>
        </w:rPr>
      </w:pPr>
      <w:r w:rsidRPr="002D6014">
        <w:rPr>
          <w:rFonts w:ascii="Arial" w:hAnsi="Arial" w:cs="Arial"/>
          <w:color w:val="000000"/>
        </w:rPr>
        <w:t xml:space="preserve">should be appropriate to the nature of the dispute </w:t>
      </w:r>
    </w:p>
    <w:p w:rsidR="00C35F7B" w:rsidRPr="002D6014" w:rsidRDefault="00C35F7B" w:rsidP="004902F3">
      <w:pPr>
        <w:numPr>
          <w:ilvl w:val="0"/>
          <w:numId w:val="1"/>
        </w:numPr>
        <w:tabs>
          <w:tab w:val="clear" w:pos="567"/>
          <w:tab w:val="clear" w:pos="1080"/>
        </w:tabs>
        <w:spacing w:before="120" w:after="120"/>
        <w:ind w:left="1276" w:hanging="425"/>
        <w:jc w:val="both"/>
        <w:rPr>
          <w:rFonts w:ascii="Arial" w:hAnsi="Arial" w:cs="Arial"/>
          <w:color w:val="000000"/>
        </w:rPr>
      </w:pPr>
      <w:r w:rsidRPr="002D6014">
        <w:rPr>
          <w:rFonts w:ascii="Arial" w:hAnsi="Arial" w:cs="Arial"/>
          <w:color w:val="000000"/>
        </w:rPr>
        <w:t>is fair to all parties</w:t>
      </w:r>
    </w:p>
    <w:p w:rsidR="00C35F7B" w:rsidRPr="002D6014" w:rsidRDefault="00C35F7B" w:rsidP="00D91097">
      <w:pPr>
        <w:numPr>
          <w:ilvl w:val="0"/>
          <w:numId w:val="1"/>
        </w:numPr>
        <w:tabs>
          <w:tab w:val="clear" w:pos="567"/>
          <w:tab w:val="clear" w:pos="1080"/>
        </w:tabs>
        <w:spacing w:before="120"/>
        <w:ind w:left="1276" w:hanging="425"/>
        <w:jc w:val="both"/>
        <w:rPr>
          <w:rFonts w:ascii="Arial" w:hAnsi="Arial" w:cs="Arial"/>
          <w:color w:val="000000"/>
        </w:rPr>
      </w:pPr>
      <w:r w:rsidRPr="002D6014">
        <w:rPr>
          <w:rFonts w:ascii="Arial" w:hAnsi="Arial" w:cs="Arial"/>
          <w:color w:val="000000"/>
        </w:rPr>
        <w:t xml:space="preserve">should </w:t>
      </w:r>
      <w:r w:rsidRPr="002D6014">
        <w:rPr>
          <w:rFonts w:cstheme="minorHAnsi"/>
        </w:rPr>
        <w:t>be</w:t>
      </w:r>
      <w:r w:rsidRPr="002D6014">
        <w:rPr>
          <w:rFonts w:ascii="Arial" w:hAnsi="Arial" w:cs="Arial"/>
          <w:color w:val="000000"/>
        </w:rPr>
        <w:t xml:space="preserve"> consistent with the objectives of the Act.</w:t>
      </w:r>
    </w:p>
    <w:p w:rsidR="00C35F7B" w:rsidRPr="00B224CB" w:rsidRDefault="00C35F7B" w:rsidP="001B5E72">
      <w:pPr>
        <w:pStyle w:val="Heading2"/>
      </w:pPr>
      <w:bookmarkStart w:id="50" w:name="_Toc448747786"/>
      <w:r w:rsidRPr="002D6014">
        <w:t>Queensland Ombudsm</w:t>
      </w:r>
      <w:r w:rsidR="00B224CB">
        <w:t>a</w:t>
      </w:r>
      <w:r w:rsidRPr="00B224CB">
        <w:t>n</w:t>
      </w:r>
      <w:bookmarkEnd w:id="50"/>
    </w:p>
    <w:p w:rsidR="00C35F7B" w:rsidRPr="002D6014" w:rsidRDefault="00C35F7B" w:rsidP="00AA1CDF">
      <w:pPr>
        <w:pStyle w:val="ListParagraph"/>
        <w:numPr>
          <w:ilvl w:val="0"/>
          <w:numId w:val="5"/>
        </w:numPr>
        <w:tabs>
          <w:tab w:val="clear" w:pos="567"/>
        </w:tabs>
        <w:autoSpaceDE w:val="0"/>
        <w:autoSpaceDN w:val="0"/>
        <w:adjustRightInd w:val="0"/>
        <w:contextualSpacing w:val="0"/>
        <w:rPr>
          <w:rFonts w:ascii="Arial" w:hAnsi="Arial" w:cs="Arial"/>
          <w:color w:val="000000"/>
        </w:rPr>
      </w:pPr>
      <w:r w:rsidRPr="002D6014">
        <w:rPr>
          <w:rFonts w:ascii="Arial" w:hAnsi="Arial" w:cs="Arial"/>
          <w:color w:val="000000"/>
        </w:rPr>
        <w:t xml:space="preserve">The Commission considers that the proposed dispute resolution framework would sit alongside and coexist with the </w:t>
      </w:r>
      <w:r w:rsidR="00C24C5D" w:rsidRPr="002D6014">
        <w:rPr>
          <w:rFonts w:ascii="Arial" w:hAnsi="Arial" w:cs="Arial"/>
          <w:color w:val="000000"/>
        </w:rPr>
        <w:t xml:space="preserve">Queensland </w:t>
      </w:r>
      <w:r w:rsidRPr="002D6014">
        <w:rPr>
          <w:rFonts w:ascii="Arial" w:hAnsi="Arial" w:cs="Arial"/>
          <w:color w:val="000000"/>
        </w:rPr>
        <w:t xml:space="preserve">Ombudsman’s </w:t>
      </w:r>
      <w:r w:rsidR="009737E9" w:rsidRPr="002D6014">
        <w:rPr>
          <w:rFonts w:ascii="Arial" w:hAnsi="Arial" w:cs="Arial"/>
          <w:color w:val="000000"/>
        </w:rPr>
        <w:t xml:space="preserve">current </w:t>
      </w:r>
      <w:r w:rsidRPr="002D6014">
        <w:rPr>
          <w:rFonts w:ascii="Arial" w:hAnsi="Arial" w:cs="Arial"/>
          <w:color w:val="000000"/>
        </w:rPr>
        <w:t xml:space="preserve">investigation functions. </w:t>
      </w:r>
    </w:p>
    <w:p w:rsidR="00C35F7B" w:rsidRPr="002D6014" w:rsidRDefault="00C35F7B" w:rsidP="00AA1CDF">
      <w:pPr>
        <w:pStyle w:val="ListParagraph"/>
        <w:numPr>
          <w:ilvl w:val="0"/>
          <w:numId w:val="5"/>
        </w:numPr>
        <w:tabs>
          <w:tab w:val="clear" w:pos="567"/>
        </w:tabs>
        <w:autoSpaceDE w:val="0"/>
        <w:autoSpaceDN w:val="0"/>
        <w:adjustRightInd w:val="0"/>
        <w:contextualSpacing w:val="0"/>
        <w:rPr>
          <w:rFonts w:ascii="Arial" w:hAnsi="Arial" w:cs="Arial"/>
          <w:color w:val="000000"/>
        </w:rPr>
      </w:pPr>
      <w:r w:rsidRPr="002D6014">
        <w:rPr>
          <w:rFonts w:ascii="Arial" w:hAnsi="Arial" w:cs="Arial"/>
          <w:color w:val="000000"/>
        </w:rPr>
        <w:t>The Commission would expect that if it were given the function to undertake dispute resolution under</w:t>
      </w:r>
      <w:r w:rsidR="00132333" w:rsidRPr="002D6014">
        <w:rPr>
          <w:rFonts w:ascii="Arial" w:hAnsi="Arial" w:cs="Arial"/>
          <w:color w:val="000000"/>
        </w:rPr>
        <w:t xml:space="preserve"> a Human Rights Act</w:t>
      </w:r>
      <w:r w:rsidRPr="002D6014">
        <w:rPr>
          <w:rFonts w:ascii="Arial" w:hAnsi="Arial" w:cs="Arial"/>
          <w:color w:val="000000"/>
        </w:rPr>
        <w:t xml:space="preserve">, the Ombudsman would </w:t>
      </w:r>
      <w:r w:rsidR="00C24C5D" w:rsidRPr="002D6014">
        <w:rPr>
          <w:rFonts w:ascii="Arial" w:hAnsi="Arial" w:cs="Arial"/>
          <w:color w:val="000000"/>
        </w:rPr>
        <w:t xml:space="preserve">generally </w:t>
      </w:r>
      <w:r w:rsidRPr="002D6014">
        <w:rPr>
          <w:rFonts w:ascii="Arial" w:hAnsi="Arial" w:cs="Arial"/>
          <w:color w:val="000000"/>
        </w:rPr>
        <w:t xml:space="preserve">refer </w:t>
      </w:r>
      <w:r w:rsidR="00132333" w:rsidRPr="002D6014">
        <w:rPr>
          <w:rFonts w:ascii="Arial" w:hAnsi="Arial" w:cs="Arial"/>
          <w:color w:val="000000"/>
        </w:rPr>
        <w:t xml:space="preserve">human rights </w:t>
      </w:r>
      <w:r w:rsidRPr="002D6014">
        <w:rPr>
          <w:rFonts w:ascii="Arial" w:hAnsi="Arial" w:cs="Arial"/>
          <w:color w:val="000000"/>
        </w:rPr>
        <w:t>complaints to it for resolution, where appropriate.</w:t>
      </w:r>
      <w:r w:rsidR="00C24C5D" w:rsidRPr="002D6014">
        <w:rPr>
          <w:rFonts w:ascii="Arial" w:hAnsi="Arial" w:cs="Arial"/>
          <w:color w:val="000000"/>
          <w:sz w:val="14"/>
          <w:szCs w:val="14"/>
        </w:rPr>
        <w:t xml:space="preserve"> </w:t>
      </w:r>
      <w:r w:rsidR="006E3F71">
        <w:rPr>
          <w:rFonts w:ascii="Arial" w:hAnsi="Arial" w:cs="Arial"/>
          <w:color w:val="000000"/>
          <w:sz w:val="14"/>
          <w:szCs w:val="14"/>
        </w:rPr>
        <w:t xml:space="preserve"> </w:t>
      </w:r>
      <w:r w:rsidRPr="006E3F71">
        <w:rPr>
          <w:rFonts w:ascii="Arial" w:hAnsi="Arial" w:cs="Arial"/>
          <w:color w:val="000000"/>
        </w:rPr>
        <w:t xml:space="preserve">However, </w:t>
      </w:r>
      <w:r w:rsidR="00C24C5D" w:rsidRPr="006E3F71">
        <w:rPr>
          <w:rFonts w:ascii="Arial" w:hAnsi="Arial" w:cs="Arial"/>
          <w:color w:val="000000"/>
        </w:rPr>
        <w:t>the Ombudsman sh</w:t>
      </w:r>
      <w:r w:rsidRPr="002D6014">
        <w:rPr>
          <w:rFonts w:ascii="Arial" w:hAnsi="Arial" w:cs="Arial"/>
          <w:color w:val="000000"/>
        </w:rPr>
        <w:t>ould retain b</w:t>
      </w:r>
      <w:r w:rsidR="00C24C5D" w:rsidRPr="002D6014">
        <w:rPr>
          <w:rFonts w:ascii="Arial" w:hAnsi="Arial" w:cs="Arial"/>
          <w:color w:val="000000"/>
        </w:rPr>
        <w:t>road discretion to investigate</w:t>
      </w:r>
      <w:r w:rsidRPr="002D6014">
        <w:rPr>
          <w:rFonts w:ascii="Arial" w:hAnsi="Arial" w:cs="Arial"/>
          <w:color w:val="000000"/>
        </w:rPr>
        <w:t xml:space="preserve"> </w:t>
      </w:r>
      <w:r w:rsidR="00132333" w:rsidRPr="002D6014">
        <w:rPr>
          <w:rFonts w:ascii="Arial" w:hAnsi="Arial" w:cs="Arial"/>
          <w:color w:val="000000"/>
        </w:rPr>
        <w:t xml:space="preserve">human rights </w:t>
      </w:r>
      <w:r w:rsidRPr="002D6014">
        <w:rPr>
          <w:rFonts w:ascii="Arial" w:hAnsi="Arial" w:cs="Arial"/>
          <w:color w:val="000000"/>
        </w:rPr>
        <w:t xml:space="preserve">complaints where </w:t>
      </w:r>
      <w:r w:rsidR="00C24C5D" w:rsidRPr="002D6014">
        <w:rPr>
          <w:rFonts w:ascii="Arial" w:hAnsi="Arial" w:cs="Arial"/>
          <w:color w:val="000000"/>
        </w:rPr>
        <w:t xml:space="preserve">he </w:t>
      </w:r>
      <w:r w:rsidRPr="002D6014">
        <w:rPr>
          <w:rFonts w:ascii="Arial" w:hAnsi="Arial" w:cs="Arial"/>
          <w:color w:val="000000"/>
        </w:rPr>
        <w:t>is satisfied that the matter merits investigation</w:t>
      </w:r>
      <w:r w:rsidR="00132333" w:rsidRPr="002D6014">
        <w:rPr>
          <w:rFonts w:ascii="Arial" w:hAnsi="Arial" w:cs="Arial"/>
          <w:color w:val="000000"/>
        </w:rPr>
        <w:t>.</w:t>
      </w:r>
      <w:r w:rsidRPr="002D6014">
        <w:rPr>
          <w:rFonts w:ascii="Arial" w:hAnsi="Arial" w:cs="Arial"/>
          <w:color w:val="000000"/>
          <w:sz w:val="14"/>
          <w:szCs w:val="14"/>
        </w:rPr>
        <w:t xml:space="preserve"> </w:t>
      </w:r>
    </w:p>
    <w:p w:rsidR="00C24C5D" w:rsidRPr="002D6014" w:rsidRDefault="00C24C5D" w:rsidP="001B5E72">
      <w:pPr>
        <w:pStyle w:val="Heading2"/>
      </w:pPr>
      <w:bookmarkStart w:id="51" w:name="_Toc448747787"/>
      <w:r w:rsidRPr="002D6014">
        <w:t>Crime and Corruption Commission</w:t>
      </w:r>
      <w:bookmarkEnd w:id="51"/>
    </w:p>
    <w:p w:rsidR="00FE3900" w:rsidRPr="006E3F71" w:rsidRDefault="00C35F7B" w:rsidP="00AA1CDF">
      <w:pPr>
        <w:pStyle w:val="ListParagraph"/>
        <w:numPr>
          <w:ilvl w:val="0"/>
          <w:numId w:val="5"/>
        </w:numPr>
        <w:contextualSpacing w:val="0"/>
      </w:pPr>
      <w:r w:rsidRPr="002D6014">
        <w:rPr>
          <w:rFonts w:ascii="Arial" w:hAnsi="Arial" w:cs="Arial"/>
          <w:color w:val="000000"/>
        </w:rPr>
        <w:t xml:space="preserve">In relation to police personnel conduct complaints, </w:t>
      </w:r>
      <w:r w:rsidR="00C24C5D" w:rsidRPr="002D6014">
        <w:rPr>
          <w:rFonts w:ascii="Arial" w:hAnsi="Arial" w:cs="Arial"/>
          <w:color w:val="000000"/>
        </w:rPr>
        <w:t xml:space="preserve">the </w:t>
      </w:r>
      <w:r w:rsidR="006E3F71">
        <w:t>Crime and Corruption Commission</w:t>
      </w:r>
      <w:r w:rsidR="006E3F71" w:rsidRPr="006E3F71">
        <w:t xml:space="preserve"> </w:t>
      </w:r>
      <w:r w:rsidR="00C24C5D" w:rsidRPr="006E3F71">
        <w:t>is responsible for identifying, exposing and investigating serious corrupt conduct and police misconduct.</w:t>
      </w:r>
    </w:p>
    <w:p w:rsidR="00C35F7B" w:rsidRPr="00B224CB" w:rsidRDefault="00BD3C5D" w:rsidP="00AA1CDF">
      <w:pPr>
        <w:pStyle w:val="ListParagraph"/>
        <w:numPr>
          <w:ilvl w:val="0"/>
          <w:numId w:val="5"/>
        </w:numPr>
        <w:contextualSpacing w:val="0"/>
      </w:pPr>
      <w:r w:rsidRPr="00B224CB">
        <w:t xml:space="preserve">If </w:t>
      </w:r>
      <w:r w:rsidR="00FE3900" w:rsidRPr="00B224CB">
        <w:t xml:space="preserve">a Human Rights Act is passed in Queensland it is suggested the </w:t>
      </w:r>
      <w:r w:rsidR="001A67E6" w:rsidRPr="00B224CB">
        <w:rPr>
          <w:rFonts w:ascii="Arial" w:hAnsi="Arial" w:cs="Arial"/>
          <w:color w:val="000000"/>
        </w:rPr>
        <w:t>Anti- Discrimination Commission</w:t>
      </w:r>
      <w:r w:rsidR="001A67E6" w:rsidRPr="002D6014">
        <w:t xml:space="preserve"> (</w:t>
      </w:r>
      <w:r w:rsidR="00ED3E53" w:rsidRPr="002D6014">
        <w:t>as is</w:t>
      </w:r>
      <w:r w:rsidR="001A67E6" w:rsidRPr="002D6014">
        <w:t xml:space="preserve"> </w:t>
      </w:r>
      <w:r w:rsidR="00ED3E53" w:rsidRPr="002D6014">
        <w:t>already the</w:t>
      </w:r>
      <w:r w:rsidR="00FE3900" w:rsidRPr="002D6014">
        <w:t xml:space="preserve"> case with discrimination</w:t>
      </w:r>
      <w:r w:rsidR="001A67E6" w:rsidRPr="002D6014">
        <w:t xml:space="preserve"> complaints</w:t>
      </w:r>
      <w:r w:rsidR="00FE3900" w:rsidRPr="002D6014">
        <w:t xml:space="preserve">), be given the </w:t>
      </w:r>
      <w:r w:rsidR="006D4282" w:rsidRPr="002D6014">
        <w:t>function to</w:t>
      </w:r>
      <w:r w:rsidR="00C24C5D" w:rsidRPr="002D6014">
        <w:t xml:space="preserve"> receive</w:t>
      </w:r>
      <w:r w:rsidR="00FE3900" w:rsidRPr="002D6014">
        <w:t xml:space="preserve"> and </w:t>
      </w:r>
      <w:r w:rsidR="00ED3E53" w:rsidRPr="002D6014">
        <w:t>conciliate complaints</w:t>
      </w:r>
      <w:r w:rsidR="00C24C5D" w:rsidRPr="002D6014">
        <w:t xml:space="preserve"> about police personnel conduct</w:t>
      </w:r>
      <w:r w:rsidR="00FE3900" w:rsidRPr="002D6014">
        <w:t xml:space="preserve"> involving human rights.</w:t>
      </w:r>
      <w:r w:rsidR="00C24C5D" w:rsidRPr="002D6014">
        <w:t xml:space="preserve"> </w:t>
      </w:r>
      <w:r w:rsidR="00C24C5D" w:rsidRPr="002D6014">
        <w:rPr>
          <w:sz w:val="14"/>
          <w:szCs w:val="14"/>
        </w:rPr>
        <w:t xml:space="preserve"> </w:t>
      </w:r>
      <w:r w:rsidR="00FE3900" w:rsidRPr="002D6014">
        <w:rPr>
          <w:rFonts w:ascii="Arial" w:hAnsi="Arial" w:cs="Arial"/>
          <w:color w:val="000000"/>
        </w:rPr>
        <w:t xml:space="preserve">If the Commission is given an alternative dispute resolution function under a Human Rights Act, the Commission should be able to refer complaints </w:t>
      </w:r>
      <w:r w:rsidRPr="002D6014">
        <w:rPr>
          <w:rFonts w:ascii="Arial" w:hAnsi="Arial" w:cs="Arial"/>
          <w:color w:val="000000"/>
        </w:rPr>
        <w:t xml:space="preserve">back to the </w:t>
      </w:r>
      <w:r w:rsidR="00B224CB">
        <w:rPr>
          <w:rFonts w:ascii="Arial" w:hAnsi="Arial" w:cs="Arial"/>
          <w:color w:val="000000"/>
        </w:rPr>
        <w:t>Crime and Corruption Commission</w:t>
      </w:r>
      <w:r w:rsidR="00B224CB" w:rsidRPr="00B224CB">
        <w:rPr>
          <w:rFonts w:ascii="Arial" w:hAnsi="Arial" w:cs="Arial"/>
          <w:color w:val="000000"/>
        </w:rPr>
        <w:t xml:space="preserve"> </w:t>
      </w:r>
      <w:r w:rsidR="00FE3900" w:rsidRPr="00B224CB">
        <w:rPr>
          <w:rFonts w:ascii="Arial" w:hAnsi="Arial" w:cs="Arial"/>
          <w:color w:val="000000"/>
        </w:rPr>
        <w:t>where appropriate.</w:t>
      </w:r>
    </w:p>
    <w:p w:rsidR="00C35F7B" w:rsidRPr="002D6014" w:rsidRDefault="00C35F7B" w:rsidP="001B5E72">
      <w:pPr>
        <w:pStyle w:val="Heading2"/>
      </w:pPr>
      <w:bookmarkStart w:id="52" w:name="_Toc448747788"/>
      <w:r w:rsidRPr="002D6014">
        <w:lastRenderedPageBreak/>
        <w:t>Relationship with other complaints handling bodies</w:t>
      </w:r>
      <w:bookmarkEnd w:id="52"/>
      <w:r w:rsidRPr="002D6014">
        <w:t xml:space="preserve"> </w:t>
      </w:r>
    </w:p>
    <w:p w:rsidR="00C35F7B" w:rsidRPr="002D6014" w:rsidRDefault="00C35F7B" w:rsidP="006D41AA">
      <w:pPr>
        <w:pStyle w:val="ListParagraph"/>
        <w:numPr>
          <w:ilvl w:val="0"/>
          <w:numId w:val="5"/>
        </w:numPr>
        <w:rPr>
          <w:b/>
          <w:color w:val="1F497D" w:themeColor="text2"/>
          <w:sz w:val="24"/>
          <w:szCs w:val="24"/>
        </w:rPr>
      </w:pPr>
      <w:r w:rsidRPr="002D6014">
        <w:rPr>
          <w:rFonts w:ascii="Arial" w:hAnsi="Arial" w:cs="Arial"/>
          <w:color w:val="000000"/>
        </w:rPr>
        <w:t xml:space="preserve">There are other statutory agencies in </w:t>
      </w:r>
      <w:r w:rsidR="00C24C5D" w:rsidRPr="002D6014">
        <w:rPr>
          <w:rFonts w:ascii="Arial" w:hAnsi="Arial" w:cs="Arial"/>
          <w:color w:val="000000"/>
        </w:rPr>
        <w:t xml:space="preserve">Queensland </w:t>
      </w:r>
      <w:r w:rsidRPr="002D6014">
        <w:rPr>
          <w:rFonts w:ascii="Arial" w:hAnsi="Arial" w:cs="Arial"/>
          <w:color w:val="000000"/>
        </w:rPr>
        <w:t>that can receive and conciliate complaints which may involve a narrow range of human rights issues</w:t>
      </w:r>
      <w:r w:rsidR="00132333" w:rsidRPr="002D6014">
        <w:rPr>
          <w:rFonts w:ascii="Arial" w:hAnsi="Arial" w:cs="Arial"/>
          <w:color w:val="000000"/>
        </w:rPr>
        <w:t>, f</w:t>
      </w:r>
      <w:r w:rsidRPr="002D6014">
        <w:rPr>
          <w:rFonts w:ascii="Arial" w:hAnsi="Arial" w:cs="Arial"/>
          <w:color w:val="000000"/>
        </w:rPr>
        <w:t xml:space="preserve">or example, the </w:t>
      </w:r>
      <w:r w:rsidR="00132333" w:rsidRPr="002D6014">
        <w:rPr>
          <w:rFonts w:ascii="Arial" w:hAnsi="Arial" w:cs="Arial"/>
          <w:color w:val="000000"/>
        </w:rPr>
        <w:t xml:space="preserve">Privacy </w:t>
      </w:r>
      <w:r w:rsidRPr="002D6014">
        <w:rPr>
          <w:rFonts w:ascii="Arial" w:hAnsi="Arial" w:cs="Arial"/>
          <w:color w:val="000000"/>
        </w:rPr>
        <w:t>Commissioner, the Health</w:t>
      </w:r>
      <w:r w:rsidR="00C24C5D" w:rsidRPr="002D6014">
        <w:rPr>
          <w:rFonts w:ascii="Arial" w:hAnsi="Arial" w:cs="Arial"/>
          <w:color w:val="000000"/>
        </w:rPr>
        <w:t xml:space="preserve"> </w:t>
      </w:r>
      <w:r w:rsidR="00132333" w:rsidRPr="002D6014">
        <w:rPr>
          <w:rFonts w:ascii="Arial" w:hAnsi="Arial" w:cs="Arial"/>
          <w:color w:val="000000"/>
        </w:rPr>
        <w:t>Ombudsm</w:t>
      </w:r>
      <w:r w:rsidR="00B224CB">
        <w:rPr>
          <w:rFonts w:ascii="Arial" w:hAnsi="Arial" w:cs="Arial"/>
          <w:color w:val="000000"/>
        </w:rPr>
        <w:t>a</w:t>
      </w:r>
      <w:r w:rsidR="00132333" w:rsidRPr="00B224CB">
        <w:rPr>
          <w:rFonts w:ascii="Arial" w:hAnsi="Arial" w:cs="Arial"/>
          <w:color w:val="000000"/>
        </w:rPr>
        <w:t>n,</w:t>
      </w:r>
      <w:r w:rsidRPr="00B224CB">
        <w:rPr>
          <w:rFonts w:ascii="Arial" w:hAnsi="Arial" w:cs="Arial"/>
          <w:color w:val="000000"/>
        </w:rPr>
        <w:t xml:space="preserve"> and the</w:t>
      </w:r>
      <w:r w:rsidR="00C24C5D" w:rsidRPr="00B224CB">
        <w:rPr>
          <w:rFonts w:ascii="Arial" w:hAnsi="Arial" w:cs="Arial"/>
          <w:color w:val="000000"/>
        </w:rPr>
        <w:t xml:space="preserve"> Public Guardian</w:t>
      </w:r>
      <w:r w:rsidRPr="00B224CB">
        <w:rPr>
          <w:rFonts w:ascii="Arial" w:hAnsi="Arial" w:cs="Arial"/>
          <w:color w:val="000000"/>
        </w:rPr>
        <w:t xml:space="preserve">. </w:t>
      </w:r>
      <w:r w:rsidR="00B224CB">
        <w:rPr>
          <w:rFonts w:ascii="Arial" w:hAnsi="Arial" w:cs="Arial"/>
          <w:color w:val="000000"/>
        </w:rPr>
        <w:t xml:space="preserve"> </w:t>
      </w:r>
      <w:r w:rsidR="00132333" w:rsidRPr="00B224CB">
        <w:rPr>
          <w:rFonts w:ascii="Arial" w:hAnsi="Arial" w:cs="Arial"/>
          <w:color w:val="000000"/>
        </w:rPr>
        <w:t>If the Anti- Discrimination Commission is given an alternative dispute resolution function under a Human Rights Act, t</w:t>
      </w:r>
      <w:r w:rsidRPr="002D6014">
        <w:rPr>
          <w:rFonts w:ascii="Arial" w:hAnsi="Arial" w:cs="Arial"/>
          <w:color w:val="000000"/>
        </w:rPr>
        <w:t>he Commission should be able to refer complaints to these agencies where appropriate</w:t>
      </w:r>
      <w:r w:rsidR="009737E9" w:rsidRPr="002D6014">
        <w:rPr>
          <w:rFonts w:ascii="Arial" w:hAnsi="Arial" w:cs="Arial"/>
          <w:color w:val="000000"/>
        </w:rPr>
        <w:t>.</w:t>
      </w:r>
    </w:p>
    <w:p w:rsidR="00D7697D" w:rsidRPr="002D6014" w:rsidRDefault="00D7697D" w:rsidP="001B5E72">
      <w:pPr>
        <w:pStyle w:val="Heading1"/>
      </w:pPr>
      <w:bookmarkStart w:id="53" w:name="_Toc448747789"/>
      <w:r w:rsidRPr="002D6014">
        <w:t>The functions and responsibilities under a Human Rights Act</w:t>
      </w:r>
      <w:bookmarkEnd w:id="53"/>
      <w:r w:rsidR="00E858DF" w:rsidRPr="002D6014">
        <w:t xml:space="preserve"> </w:t>
      </w:r>
    </w:p>
    <w:p w:rsidR="005C032C" w:rsidRPr="002D6014" w:rsidRDefault="00E858DF" w:rsidP="006D41AA">
      <w:pPr>
        <w:pStyle w:val="ListParagraph"/>
        <w:numPr>
          <w:ilvl w:val="0"/>
          <w:numId w:val="5"/>
        </w:numPr>
        <w:tabs>
          <w:tab w:val="clear" w:pos="567"/>
        </w:tabs>
        <w:autoSpaceDE w:val="0"/>
        <w:autoSpaceDN w:val="0"/>
        <w:adjustRightInd w:val="0"/>
        <w:rPr>
          <w:rFonts w:asciiTheme="majorHAnsi" w:hAnsiTheme="majorHAnsi" w:cstheme="majorHAnsi"/>
        </w:rPr>
      </w:pPr>
      <w:r w:rsidRPr="002D6014">
        <w:rPr>
          <w:rFonts w:asciiTheme="majorHAnsi" w:hAnsiTheme="majorHAnsi" w:cstheme="majorHAnsi"/>
        </w:rPr>
        <w:t>Under a</w:t>
      </w:r>
      <w:r w:rsidR="005C032C" w:rsidRPr="002D6014">
        <w:rPr>
          <w:rFonts w:asciiTheme="majorHAnsi" w:hAnsiTheme="majorHAnsi" w:cstheme="majorHAnsi"/>
        </w:rPr>
        <w:t xml:space="preserve"> Human Rights Act, all levels of government would be required to integrate human rights in the development of legislation and policy</w:t>
      </w:r>
      <w:r w:rsidR="00D02F3B" w:rsidRPr="002D6014">
        <w:rPr>
          <w:rFonts w:asciiTheme="majorHAnsi" w:hAnsiTheme="majorHAnsi" w:cstheme="majorHAnsi"/>
        </w:rPr>
        <w:t>, and in the implementation of policy</w:t>
      </w:r>
      <w:r w:rsidR="005C032C" w:rsidRPr="002D6014">
        <w:rPr>
          <w:rFonts w:asciiTheme="majorHAnsi" w:hAnsiTheme="majorHAnsi" w:cstheme="majorHAnsi"/>
        </w:rPr>
        <w:t>.</w:t>
      </w:r>
    </w:p>
    <w:p w:rsidR="00092563" w:rsidRPr="002D6014" w:rsidRDefault="00ED3E53" w:rsidP="001B5E72">
      <w:pPr>
        <w:pStyle w:val="Heading2"/>
      </w:pPr>
      <w:bookmarkStart w:id="54" w:name="_Toc448747790"/>
      <w:r w:rsidRPr="002D6014">
        <w:t>The Legislative Assembly</w:t>
      </w:r>
      <w:bookmarkEnd w:id="54"/>
    </w:p>
    <w:p w:rsidR="00092563" w:rsidRPr="002D6014" w:rsidRDefault="00DD2300" w:rsidP="006D41AA">
      <w:pPr>
        <w:pStyle w:val="ListParagraph"/>
        <w:numPr>
          <w:ilvl w:val="0"/>
          <w:numId w:val="5"/>
        </w:numPr>
        <w:tabs>
          <w:tab w:val="clear" w:pos="567"/>
        </w:tabs>
        <w:contextualSpacing w:val="0"/>
        <w:rPr>
          <w:rFonts w:cstheme="minorHAnsi"/>
        </w:rPr>
      </w:pPr>
      <w:r w:rsidRPr="002D6014">
        <w:rPr>
          <w:rFonts w:cstheme="minorHAnsi"/>
        </w:rPr>
        <w:t>It is recommended that a Human Rights Committee be e</w:t>
      </w:r>
      <w:r w:rsidR="00092563" w:rsidRPr="002D6014">
        <w:rPr>
          <w:rFonts w:cstheme="minorHAnsi"/>
        </w:rPr>
        <w:t>stablish</w:t>
      </w:r>
      <w:r w:rsidRPr="002D6014">
        <w:rPr>
          <w:rFonts w:cstheme="minorHAnsi"/>
        </w:rPr>
        <w:t xml:space="preserve">ed </w:t>
      </w:r>
      <w:r w:rsidR="00843F45" w:rsidRPr="002D6014">
        <w:rPr>
          <w:rFonts w:cstheme="minorHAnsi"/>
        </w:rPr>
        <w:t xml:space="preserve">either </w:t>
      </w:r>
      <w:r w:rsidR="00092563" w:rsidRPr="002D6014">
        <w:rPr>
          <w:rFonts w:cstheme="minorHAnsi"/>
        </w:rPr>
        <w:t xml:space="preserve">under the </w:t>
      </w:r>
      <w:r w:rsidRPr="002D6014">
        <w:rPr>
          <w:rFonts w:cstheme="minorHAnsi"/>
        </w:rPr>
        <w:t xml:space="preserve">Human Rights Act or </w:t>
      </w:r>
      <w:r w:rsidR="00843F45" w:rsidRPr="002D6014">
        <w:rPr>
          <w:rFonts w:cstheme="minorHAnsi"/>
        </w:rPr>
        <w:t xml:space="preserve">under the </w:t>
      </w:r>
      <w:r w:rsidR="00092563" w:rsidRPr="002D6014">
        <w:rPr>
          <w:rFonts w:cstheme="minorHAnsi"/>
          <w:i/>
        </w:rPr>
        <w:t>Parliament of Queensland Act 2001</w:t>
      </w:r>
      <w:r w:rsidR="00092563" w:rsidRPr="002D6014">
        <w:rPr>
          <w:rFonts w:cstheme="minorHAnsi"/>
        </w:rPr>
        <w:t xml:space="preserve"> </w:t>
      </w:r>
      <w:r w:rsidRPr="002D6014">
        <w:rPr>
          <w:rFonts w:cstheme="minorHAnsi"/>
        </w:rPr>
        <w:t xml:space="preserve">as </w:t>
      </w:r>
      <w:r w:rsidR="00092563" w:rsidRPr="002D6014">
        <w:rPr>
          <w:rFonts w:cstheme="minorHAnsi"/>
        </w:rPr>
        <w:t>a separate specialist bipartisan committee with roles to include the examination of all Bills and subordinate legislation for compatibility with fundamental legislative principles</w:t>
      </w:r>
      <w:r w:rsidR="00547797" w:rsidRPr="002D6014">
        <w:rPr>
          <w:rFonts w:cstheme="minorHAnsi"/>
        </w:rPr>
        <w:t xml:space="preserve"> which include human rights protected under the Human Rights Act</w:t>
      </w:r>
      <w:r w:rsidR="00092563" w:rsidRPr="002D6014">
        <w:rPr>
          <w:rFonts w:cstheme="minorHAnsi"/>
        </w:rPr>
        <w:t>.</w:t>
      </w:r>
    </w:p>
    <w:p w:rsidR="00843F45" w:rsidRPr="002D6014" w:rsidRDefault="00843F45" w:rsidP="006D41AA">
      <w:pPr>
        <w:pStyle w:val="ListParagraph"/>
        <w:numPr>
          <w:ilvl w:val="0"/>
          <w:numId w:val="5"/>
        </w:numPr>
        <w:tabs>
          <w:tab w:val="clear" w:pos="567"/>
        </w:tabs>
        <w:contextualSpacing w:val="0"/>
        <w:rPr>
          <w:rFonts w:cstheme="minorHAnsi"/>
        </w:rPr>
      </w:pPr>
      <w:r w:rsidRPr="002D6014">
        <w:rPr>
          <w:rFonts w:cstheme="minorHAnsi"/>
        </w:rPr>
        <w:t xml:space="preserve">There ought to be a requirement under the Human Rights Act that </w:t>
      </w:r>
      <w:r w:rsidR="00B63749" w:rsidRPr="002D6014">
        <w:rPr>
          <w:rFonts w:cstheme="minorHAnsi"/>
        </w:rPr>
        <w:t>no bill</w:t>
      </w:r>
      <w:r w:rsidR="00F25A6F" w:rsidRPr="002D6014">
        <w:rPr>
          <w:rFonts w:cstheme="minorHAnsi"/>
        </w:rPr>
        <w:t xml:space="preserve"> is to </w:t>
      </w:r>
      <w:r w:rsidR="00B63749" w:rsidRPr="002D6014">
        <w:rPr>
          <w:rFonts w:cstheme="minorHAnsi"/>
        </w:rPr>
        <w:t>procee</w:t>
      </w:r>
      <w:r w:rsidRPr="002D6014">
        <w:rPr>
          <w:rFonts w:cstheme="minorHAnsi"/>
        </w:rPr>
        <w:t xml:space="preserve">d to debate until the Committee has reported. </w:t>
      </w:r>
    </w:p>
    <w:p w:rsidR="00547797" w:rsidRPr="002D6014" w:rsidRDefault="00092563" w:rsidP="006D41AA">
      <w:pPr>
        <w:pStyle w:val="ListParagraph"/>
        <w:numPr>
          <w:ilvl w:val="0"/>
          <w:numId w:val="5"/>
        </w:numPr>
        <w:tabs>
          <w:tab w:val="clear" w:pos="567"/>
        </w:tabs>
        <w:contextualSpacing w:val="0"/>
        <w:rPr>
          <w:rFonts w:cstheme="minorHAnsi"/>
        </w:rPr>
      </w:pPr>
      <w:r w:rsidRPr="002D6014">
        <w:rPr>
          <w:rFonts w:asciiTheme="majorHAnsi" w:hAnsiTheme="majorHAnsi" w:cstheme="majorHAnsi"/>
        </w:rPr>
        <w:t xml:space="preserve">Parliamentary Counsel </w:t>
      </w:r>
      <w:r w:rsidR="00DD2300" w:rsidRPr="002D6014">
        <w:rPr>
          <w:rFonts w:asciiTheme="majorHAnsi" w:hAnsiTheme="majorHAnsi" w:cstheme="majorHAnsi"/>
        </w:rPr>
        <w:t xml:space="preserve">ought to be given a </w:t>
      </w:r>
      <w:r w:rsidRPr="002D6014">
        <w:rPr>
          <w:rFonts w:asciiTheme="majorHAnsi" w:hAnsiTheme="majorHAnsi" w:cstheme="majorHAnsi"/>
        </w:rPr>
        <w:t xml:space="preserve">new function under </w:t>
      </w:r>
      <w:r w:rsidR="00DD2300" w:rsidRPr="002D6014">
        <w:rPr>
          <w:rFonts w:asciiTheme="majorHAnsi" w:hAnsiTheme="majorHAnsi" w:cstheme="majorHAnsi"/>
        </w:rPr>
        <w:t xml:space="preserve">the Human Rights Act or the </w:t>
      </w:r>
      <w:r w:rsidRPr="002D6014">
        <w:rPr>
          <w:rFonts w:asciiTheme="majorHAnsi" w:hAnsiTheme="majorHAnsi" w:cstheme="majorHAnsi"/>
          <w:i/>
        </w:rPr>
        <w:t>Legislative Standards Act</w:t>
      </w:r>
      <w:r w:rsidR="00547797" w:rsidRPr="002D6014">
        <w:rPr>
          <w:rFonts w:asciiTheme="majorHAnsi" w:hAnsiTheme="majorHAnsi" w:cstheme="majorHAnsi"/>
        </w:rPr>
        <w:t xml:space="preserve"> </w:t>
      </w:r>
      <w:r w:rsidR="006D41AA" w:rsidRPr="002D6014">
        <w:rPr>
          <w:rFonts w:asciiTheme="majorHAnsi" w:hAnsiTheme="majorHAnsi" w:cstheme="majorHAnsi"/>
          <w:i/>
        </w:rPr>
        <w:t>1992</w:t>
      </w:r>
      <w:r w:rsidR="006D41AA" w:rsidRPr="002D6014">
        <w:rPr>
          <w:rFonts w:asciiTheme="majorHAnsi" w:hAnsiTheme="majorHAnsi" w:cstheme="majorHAnsi"/>
        </w:rPr>
        <w:t xml:space="preserve"> </w:t>
      </w:r>
      <w:r w:rsidR="00547797" w:rsidRPr="002D6014">
        <w:rPr>
          <w:rFonts w:asciiTheme="majorHAnsi" w:hAnsiTheme="majorHAnsi" w:cstheme="majorHAnsi"/>
        </w:rPr>
        <w:t xml:space="preserve">to </w:t>
      </w:r>
      <w:r w:rsidR="00547797" w:rsidRPr="002D6014">
        <w:rPr>
          <w:rFonts w:cstheme="minorHAnsi"/>
        </w:rPr>
        <w:t>provide advice to Ministers, government entities, and members of the Legislative Assembly on the application of fundamental legislative principles which include human rights protected under the Human Rights Act.</w:t>
      </w:r>
    </w:p>
    <w:p w:rsidR="00092563" w:rsidRPr="002D6014" w:rsidRDefault="00C92EAA" w:rsidP="001B5E72">
      <w:pPr>
        <w:pStyle w:val="Heading2"/>
      </w:pPr>
      <w:bookmarkStart w:id="55" w:name="_Toc448747791"/>
      <w:r w:rsidRPr="002D6014">
        <w:t>The Judiciary</w:t>
      </w:r>
      <w:bookmarkEnd w:id="55"/>
    </w:p>
    <w:p w:rsidR="00B63749" w:rsidRPr="00B224CB" w:rsidRDefault="00B63749" w:rsidP="005341CB">
      <w:pPr>
        <w:pStyle w:val="ListParagraph"/>
        <w:numPr>
          <w:ilvl w:val="0"/>
          <w:numId w:val="5"/>
        </w:numPr>
        <w:tabs>
          <w:tab w:val="clear" w:pos="567"/>
        </w:tabs>
        <w:autoSpaceDE w:val="0"/>
        <w:autoSpaceDN w:val="0"/>
        <w:adjustRightInd w:val="0"/>
        <w:spacing w:after="120"/>
        <w:contextualSpacing w:val="0"/>
        <w:rPr>
          <w:rFonts w:asciiTheme="majorHAnsi" w:hAnsiTheme="majorHAnsi" w:cstheme="majorHAnsi"/>
        </w:rPr>
      </w:pPr>
      <w:r w:rsidRPr="002D6014">
        <w:rPr>
          <w:rFonts w:asciiTheme="majorHAnsi" w:hAnsiTheme="majorHAnsi" w:cstheme="majorHAnsi"/>
        </w:rPr>
        <w:t xml:space="preserve">Under a Human Rights Act the Courts ought to be required to interpret legislation in a way that is compatible with human rights. </w:t>
      </w:r>
      <w:r w:rsidR="00B224CB">
        <w:rPr>
          <w:rFonts w:asciiTheme="majorHAnsi" w:hAnsiTheme="majorHAnsi" w:cstheme="majorHAnsi"/>
        </w:rPr>
        <w:t xml:space="preserve"> </w:t>
      </w:r>
      <w:r w:rsidRPr="00B224CB">
        <w:rPr>
          <w:rFonts w:asciiTheme="majorHAnsi" w:hAnsiTheme="majorHAnsi" w:cstheme="majorHAnsi"/>
        </w:rPr>
        <w:t xml:space="preserve">Professor Williams in his submission to this inquiry has made suggestions on how this interpretive function should be drafted </w:t>
      </w:r>
      <w:r w:rsidR="00B224CB">
        <w:rPr>
          <w:rFonts w:asciiTheme="majorHAnsi" w:hAnsiTheme="majorHAnsi" w:cstheme="majorHAnsi"/>
        </w:rPr>
        <w:t>for</w:t>
      </w:r>
      <w:r w:rsidR="00B224CB" w:rsidRPr="00B224CB">
        <w:rPr>
          <w:rFonts w:asciiTheme="majorHAnsi" w:hAnsiTheme="majorHAnsi" w:cstheme="majorHAnsi"/>
        </w:rPr>
        <w:t xml:space="preserve"> </w:t>
      </w:r>
      <w:r w:rsidRPr="00B224CB">
        <w:rPr>
          <w:rFonts w:asciiTheme="majorHAnsi" w:hAnsiTheme="majorHAnsi" w:cstheme="majorHAnsi"/>
        </w:rPr>
        <w:t xml:space="preserve">a </w:t>
      </w:r>
      <w:r w:rsidR="00B224CB">
        <w:rPr>
          <w:rFonts w:asciiTheme="majorHAnsi" w:hAnsiTheme="majorHAnsi" w:cstheme="majorHAnsi"/>
        </w:rPr>
        <w:t xml:space="preserve">Queensland </w:t>
      </w:r>
      <w:r w:rsidRPr="00B224CB">
        <w:rPr>
          <w:rFonts w:asciiTheme="majorHAnsi" w:hAnsiTheme="majorHAnsi" w:cstheme="majorHAnsi"/>
        </w:rPr>
        <w:t xml:space="preserve">Human Rights Act, </w:t>
      </w:r>
      <w:r w:rsidR="00B224CB">
        <w:rPr>
          <w:rFonts w:asciiTheme="majorHAnsi" w:hAnsiTheme="majorHAnsi" w:cstheme="majorHAnsi"/>
        </w:rPr>
        <w:t xml:space="preserve">so as </w:t>
      </w:r>
      <w:r w:rsidRPr="00B224CB">
        <w:rPr>
          <w:rFonts w:asciiTheme="majorHAnsi" w:hAnsiTheme="majorHAnsi" w:cstheme="majorHAnsi"/>
        </w:rPr>
        <w:t>to avoid the confusion that has arisen in both ACT and Victoria on how this interpretative function ought to be carried out.</w:t>
      </w:r>
      <w:r w:rsidRPr="00D95D9E">
        <w:rPr>
          <w:rStyle w:val="FootnoteReference"/>
          <w:rFonts w:asciiTheme="majorHAnsi" w:hAnsiTheme="majorHAnsi" w:cstheme="majorHAnsi"/>
        </w:rPr>
        <w:footnoteReference w:id="58"/>
      </w:r>
      <w:r w:rsidRPr="00D95D9E">
        <w:rPr>
          <w:rFonts w:asciiTheme="majorHAnsi" w:hAnsiTheme="majorHAnsi" w:cstheme="majorHAnsi"/>
        </w:rPr>
        <w:t xml:space="preserve"> </w:t>
      </w:r>
      <w:r w:rsidR="00E43BBE" w:rsidRPr="006E3F71">
        <w:rPr>
          <w:rFonts w:asciiTheme="majorHAnsi" w:hAnsiTheme="majorHAnsi" w:cstheme="majorHAnsi"/>
        </w:rPr>
        <w:t xml:space="preserve"> He has suggested there are multiple ways this might be done, and has offered the following provision:</w:t>
      </w:r>
    </w:p>
    <w:p w:rsidR="00E43BBE" w:rsidRPr="002D6014" w:rsidRDefault="00E43BBE" w:rsidP="002D6014">
      <w:pPr>
        <w:tabs>
          <w:tab w:val="clear" w:pos="567"/>
        </w:tabs>
        <w:autoSpaceDE w:val="0"/>
        <w:autoSpaceDN w:val="0"/>
        <w:adjustRightInd w:val="0"/>
        <w:spacing w:after="120"/>
        <w:ind w:left="1134" w:right="1083"/>
        <w:rPr>
          <w:rFonts w:ascii="Arial" w:hAnsi="Arial" w:cs="Arial"/>
          <w:sz w:val="20"/>
          <w:szCs w:val="20"/>
        </w:rPr>
      </w:pPr>
      <w:r w:rsidRPr="002D6014">
        <w:rPr>
          <w:rFonts w:ascii="Arial" w:hAnsi="Arial" w:cs="Arial"/>
          <w:sz w:val="20"/>
          <w:szCs w:val="20"/>
        </w:rPr>
        <w:t>Interpretation</w:t>
      </w:r>
    </w:p>
    <w:p w:rsidR="00E43BBE" w:rsidRPr="002D6014" w:rsidRDefault="00E43BBE" w:rsidP="00B224CB">
      <w:pPr>
        <w:tabs>
          <w:tab w:val="clear" w:pos="567"/>
        </w:tabs>
        <w:autoSpaceDE w:val="0"/>
        <w:autoSpaceDN w:val="0"/>
        <w:adjustRightInd w:val="0"/>
        <w:ind w:left="1134" w:right="1083"/>
        <w:rPr>
          <w:rFonts w:ascii="Arial" w:hAnsi="Arial" w:cs="Arial"/>
          <w:sz w:val="20"/>
          <w:szCs w:val="20"/>
        </w:rPr>
      </w:pPr>
      <w:r w:rsidRPr="002D6014">
        <w:rPr>
          <w:rFonts w:ascii="Arial" w:hAnsi="Arial" w:cs="Arial"/>
          <w:sz w:val="20"/>
          <w:szCs w:val="20"/>
        </w:rPr>
        <w:t>(1)</w:t>
      </w:r>
      <w:r w:rsidR="006D41AA" w:rsidRPr="002D6014">
        <w:rPr>
          <w:rFonts w:ascii="Arial" w:hAnsi="Arial" w:cs="Arial"/>
          <w:sz w:val="20"/>
          <w:szCs w:val="20"/>
        </w:rPr>
        <w:tab/>
      </w:r>
      <w:r w:rsidRPr="002D6014">
        <w:rPr>
          <w:rFonts w:ascii="Arial" w:hAnsi="Arial" w:cs="Arial"/>
          <w:sz w:val="20"/>
          <w:szCs w:val="20"/>
        </w:rPr>
        <w:t>So far as is possible to do so consistently with their language, context and purpose, all statutory provisions must be interpreted in the way that is most compatible with human rights.</w:t>
      </w:r>
    </w:p>
    <w:p w:rsidR="00E43BBE" w:rsidRPr="002D6014" w:rsidRDefault="006D41AA" w:rsidP="00B224CB">
      <w:pPr>
        <w:tabs>
          <w:tab w:val="clear" w:pos="567"/>
        </w:tabs>
        <w:autoSpaceDE w:val="0"/>
        <w:autoSpaceDN w:val="0"/>
        <w:adjustRightInd w:val="0"/>
        <w:ind w:left="1134" w:right="1083"/>
        <w:rPr>
          <w:rFonts w:ascii="Arial" w:hAnsi="Arial" w:cs="Arial"/>
          <w:sz w:val="20"/>
          <w:szCs w:val="20"/>
        </w:rPr>
      </w:pPr>
      <w:r w:rsidRPr="002D6014">
        <w:rPr>
          <w:rFonts w:ascii="Arial" w:hAnsi="Arial" w:cs="Arial"/>
          <w:sz w:val="20"/>
          <w:szCs w:val="20"/>
        </w:rPr>
        <w:t>(2)</w:t>
      </w:r>
      <w:r w:rsidRPr="002D6014">
        <w:rPr>
          <w:rFonts w:ascii="Arial" w:hAnsi="Arial" w:cs="Arial"/>
          <w:sz w:val="20"/>
          <w:szCs w:val="20"/>
        </w:rPr>
        <w:tab/>
      </w:r>
      <w:r w:rsidR="00E43BBE" w:rsidRPr="002D6014">
        <w:rPr>
          <w:rFonts w:ascii="Arial" w:hAnsi="Arial" w:cs="Arial"/>
          <w:sz w:val="20"/>
          <w:szCs w:val="20"/>
        </w:rPr>
        <w:t>For the purpose of this section, international law and the judgements of domestic, foreign and international courts and tribunals relevant to a human right may be considered.</w:t>
      </w:r>
    </w:p>
    <w:p w:rsidR="00BD3C5D" w:rsidRPr="002D6014" w:rsidRDefault="00BD3C5D" w:rsidP="006D41AA">
      <w:pPr>
        <w:pStyle w:val="ListParagraph"/>
        <w:numPr>
          <w:ilvl w:val="0"/>
          <w:numId w:val="5"/>
        </w:numPr>
        <w:shd w:val="clear" w:color="auto" w:fill="FFFFFF"/>
        <w:rPr>
          <w:rFonts w:ascii="Arial" w:hAnsi="Arial" w:cs="Arial"/>
        </w:rPr>
      </w:pPr>
      <w:r w:rsidRPr="00B224CB">
        <w:rPr>
          <w:rFonts w:asciiTheme="majorHAnsi" w:hAnsiTheme="majorHAnsi" w:cstheme="majorHAnsi"/>
        </w:rPr>
        <w:lastRenderedPageBreak/>
        <w:t xml:space="preserve">As discussed earlier in this submission, </w:t>
      </w:r>
      <w:r w:rsidRPr="00B224CB">
        <w:rPr>
          <w:rFonts w:ascii="Arial" w:hAnsi="Arial" w:cs="Arial"/>
        </w:rPr>
        <w:t xml:space="preserve">the courts and tribunals also ought to be required </w:t>
      </w:r>
      <w:r w:rsidRPr="002D6014">
        <w:rPr>
          <w:rFonts w:ascii="Arial" w:hAnsi="Arial" w:cs="Arial"/>
        </w:rPr>
        <w:t xml:space="preserve">to take into account human rights when performing their </w:t>
      </w:r>
      <w:r w:rsidR="00C374CE" w:rsidRPr="002D6014">
        <w:rPr>
          <w:rFonts w:ascii="Arial" w:hAnsi="Arial" w:cs="Arial"/>
        </w:rPr>
        <w:t xml:space="preserve">other </w:t>
      </w:r>
      <w:r w:rsidRPr="002D6014">
        <w:rPr>
          <w:rFonts w:ascii="Arial" w:hAnsi="Arial" w:cs="Arial"/>
        </w:rPr>
        <w:t xml:space="preserve">judicial functions. </w:t>
      </w:r>
    </w:p>
    <w:p w:rsidR="00E858DF" w:rsidRPr="002D6014" w:rsidRDefault="00E858DF" w:rsidP="001B5E72">
      <w:pPr>
        <w:pStyle w:val="Heading2"/>
      </w:pPr>
      <w:bookmarkStart w:id="56" w:name="_Toc448747792"/>
      <w:r w:rsidRPr="002D6014">
        <w:t>The Public Sector</w:t>
      </w:r>
      <w:bookmarkEnd w:id="56"/>
    </w:p>
    <w:p w:rsidR="005C032C" w:rsidRPr="002D6014" w:rsidRDefault="005C032C" w:rsidP="00D91097">
      <w:pPr>
        <w:pStyle w:val="ListParagraph"/>
        <w:numPr>
          <w:ilvl w:val="0"/>
          <w:numId w:val="5"/>
        </w:numPr>
        <w:tabs>
          <w:tab w:val="clear" w:pos="567"/>
        </w:tabs>
        <w:autoSpaceDE w:val="0"/>
        <w:autoSpaceDN w:val="0"/>
        <w:adjustRightInd w:val="0"/>
        <w:spacing w:after="120"/>
        <w:contextualSpacing w:val="0"/>
        <w:rPr>
          <w:rFonts w:asciiTheme="majorHAnsi" w:hAnsiTheme="majorHAnsi" w:cstheme="majorHAnsi"/>
        </w:rPr>
      </w:pPr>
      <w:r w:rsidRPr="002D6014">
        <w:rPr>
          <w:rFonts w:asciiTheme="majorHAnsi" w:hAnsiTheme="majorHAnsi" w:cstheme="majorHAnsi"/>
        </w:rPr>
        <w:t>The introduction of a Human Rights Act would necessitate the introduction of measures to ensure that the public sector is in a position to comply with its new obligations. For example, there would need to be:</w:t>
      </w:r>
    </w:p>
    <w:p w:rsidR="005C032C" w:rsidRPr="002D6014" w:rsidRDefault="005C032C" w:rsidP="005341CB">
      <w:pPr>
        <w:numPr>
          <w:ilvl w:val="0"/>
          <w:numId w:val="1"/>
        </w:numPr>
        <w:tabs>
          <w:tab w:val="clear" w:pos="567"/>
          <w:tab w:val="clear" w:pos="1080"/>
        </w:tabs>
        <w:spacing w:before="120" w:after="120"/>
        <w:ind w:left="1276" w:hanging="425"/>
        <w:rPr>
          <w:rFonts w:asciiTheme="majorHAnsi" w:hAnsiTheme="majorHAnsi" w:cstheme="majorHAnsi"/>
        </w:rPr>
      </w:pPr>
      <w:r w:rsidRPr="002D6014">
        <w:rPr>
          <w:rFonts w:asciiTheme="majorHAnsi" w:hAnsiTheme="majorHAnsi" w:cstheme="majorHAnsi"/>
        </w:rPr>
        <w:t xml:space="preserve">better </w:t>
      </w:r>
      <w:r w:rsidRPr="002D6014">
        <w:rPr>
          <w:rFonts w:cstheme="minorHAnsi"/>
        </w:rPr>
        <w:t>education</w:t>
      </w:r>
      <w:r w:rsidRPr="002D6014">
        <w:rPr>
          <w:rFonts w:asciiTheme="majorHAnsi" w:hAnsiTheme="majorHAnsi" w:cstheme="majorHAnsi"/>
        </w:rPr>
        <w:t xml:space="preserve"> of the public sector on human rights and its legislative obligations;</w:t>
      </w:r>
    </w:p>
    <w:p w:rsidR="005C032C" w:rsidRPr="002D6014" w:rsidRDefault="005C032C" w:rsidP="005341CB">
      <w:pPr>
        <w:numPr>
          <w:ilvl w:val="0"/>
          <w:numId w:val="1"/>
        </w:numPr>
        <w:tabs>
          <w:tab w:val="clear" w:pos="567"/>
          <w:tab w:val="clear" w:pos="1080"/>
        </w:tabs>
        <w:spacing w:before="120" w:after="120"/>
        <w:ind w:left="1276" w:hanging="425"/>
        <w:rPr>
          <w:rFonts w:asciiTheme="majorHAnsi" w:hAnsiTheme="majorHAnsi" w:cstheme="majorHAnsi"/>
        </w:rPr>
      </w:pPr>
      <w:r w:rsidRPr="002D6014">
        <w:rPr>
          <w:rFonts w:asciiTheme="majorHAnsi" w:hAnsiTheme="majorHAnsi" w:cstheme="majorHAnsi"/>
        </w:rPr>
        <w:t xml:space="preserve">a </w:t>
      </w:r>
      <w:r w:rsidRPr="002D6014">
        <w:rPr>
          <w:rFonts w:cstheme="minorHAnsi"/>
        </w:rPr>
        <w:t>requirement</w:t>
      </w:r>
      <w:r w:rsidRPr="002D6014">
        <w:rPr>
          <w:rFonts w:asciiTheme="majorHAnsi" w:hAnsiTheme="majorHAnsi" w:cstheme="majorHAnsi"/>
        </w:rPr>
        <w:t xml:space="preserve"> that government departments and agencies develop human rights action plans,  conduct annual human rights audits, and to prepare annual reports on compliance with the Act; and </w:t>
      </w:r>
    </w:p>
    <w:p w:rsidR="005C032C" w:rsidRPr="002D6014" w:rsidRDefault="005C032C" w:rsidP="005341CB">
      <w:pPr>
        <w:numPr>
          <w:ilvl w:val="0"/>
          <w:numId w:val="1"/>
        </w:numPr>
        <w:tabs>
          <w:tab w:val="clear" w:pos="567"/>
          <w:tab w:val="clear" w:pos="1080"/>
        </w:tabs>
        <w:spacing w:before="120"/>
        <w:ind w:left="1276" w:hanging="425"/>
        <w:rPr>
          <w:rFonts w:asciiTheme="majorHAnsi" w:hAnsiTheme="majorHAnsi" w:cstheme="majorHAnsi"/>
        </w:rPr>
      </w:pPr>
      <w:r w:rsidRPr="002D6014">
        <w:rPr>
          <w:rFonts w:asciiTheme="majorHAnsi" w:hAnsiTheme="majorHAnsi" w:cstheme="majorHAnsi"/>
        </w:rPr>
        <w:t xml:space="preserve">the </w:t>
      </w:r>
      <w:r w:rsidRPr="002D6014">
        <w:rPr>
          <w:rFonts w:cstheme="minorHAnsi"/>
        </w:rPr>
        <w:t>integration</w:t>
      </w:r>
      <w:r w:rsidRPr="002D6014">
        <w:rPr>
          <w:rFonts w:asciiTheme="majorHAnsi" w:hAnsiTheme="majorHAnsi" w:cstheme="majorHAnsi"/>
        </w:rPr>
        <w:t xml:space="preserve"> of  respect for human rights into public sector values and codes of conduct. </w:t>
      </w:r>
    </w:p>
    <w:p w:rsidR="00241927" w:rsidRPr="002D6014" w:rsidRDefault="001B5E72" w:rsidP="001B5E72">
      <w:pPr>
        <w:pStyle w:val="Heading2"/>
      </w:pPr>
      <w:bookmarkStart w:id="57" w:name="_Toc448747793"/>
      <w:r w:rsidRPr="002D6014">
        <w:t>The Anti-</w:t>
      </w:r>
      <w:r w:rsidR="00E858DF" w:rsidRPr="002D6014">
        <w:t>Discrimination Commission</w:t>
      </w:r>
      <w:bookmarkEnd w:id="57"/>
    </w:p>
    <w:p w:rsidR="00BC51A2" w:rsidRPr="002D6014" w:rsidRDefault="00D02F3B" w:rsidP="00D91097">
      <w:pPr>
        <w:pStyle w:val="ListParagraph"/>
        <w:numPr>
          <w:ilvl w:val="0"/>
          <w:numId w:val="5"/>
        </w:numPr>
        <w:spacing w:after="120"/>
        <w:contextualSpacing w:val="0"/>
        <w:rPr>
          <w:rFonts w:ascii="TimesNewRomanPSMT" w:hAnsi="TimesNewRomanPSMT" w:cs="TimesNewRomanPSMT"/>
        </w:rPr>
      </w:pPr>
      <w:r w:rsidRPr="002D6014">
        <w:t>T</w:t>
      </w:r>
      <w:r w:rsidR="00BC51A2" w:rsidRPr="002D6014">
        <w:rPr>
          <w:rFonts w:ascii="TimesNewRomanPSMT" w:hAnsi="TimesNewRomanPSMT" w:cs="TimesNewRomanPSMT"/>
        </w:rPr>
        <w:t xml:space="preserve">he Queensland Anti- Discrimination Commission </w:t>
      </w:r>
      <w:r w:rsidR="001578B8" w:rsidRPr="002D6014">
        <w:rPr>
          <w:rFonts w:ascii="TimesNewRomanPSMT" w:hAnsi="TimesNewRomanPSMT" w:cs="TimesNewRomanPSMT"/>
        </w:rPr>
        <w:t xml:space="preserve">could </w:t>
      </w:r>
      <w:r w:rsidR="00C53EBF" w:rsidRPr="002D6014">
        <w:rPr>
          <w:rFonts w:ascii="TimesNewRomanPSMT" w:hAnsi="TimesNewRomanPSMT" w:cs="TimesNewRomanPSMT"/>
        </w:rPr>
        <w:t xml:space="preserve">have the following </w:t>
      </w:r>
      <w:r w:rsidR="00BC51A2" w:rsidRPr="002D6014">
        <w:rPr>
          <w:rFonts w:ascii="TimesNewRomanPSMT" w:hAnsi="TimesNewRomanPSMT" w:cs="TimesNewRomanPSMT"/>
        </w:rPr>
        <w:t xml:space="preserve">functions in </w:t>
      </w:r>
      <w:r w:rsidRPr="002D6014">
        <w:rPr>
          <w:rFonts w:ascii="TimesNewRomanPSMT" w:hAnsi="TimesNewRomanPSMT" w:cs="TimesNewRomanPSMT"/>
        </w:rPr>
        <w:t>relation</w:t>
      </w:r>
      <w:r w:rsidR="00BC51A2" w:rsidRPr="002D6014">
        <w:rPr>
          <w:rFonts w:ascii="TimesNewRomanPSMT" w:hAnsi="TimesNewRomanPSMT" w:cs="TimesNewRomanPSMT"/>
        </w:rPr>
        <w:t xml:space="preserve"> to a Human Rights Act:</w:t>
      </w:r>
    </w:p>
    <w:p w:rsidR="00547797" w:rsidRPr="002D6014" w:rsidRDefault="00BC51A2" w:rsidP="005341CB">
      <w:pPr>
        <w:numPr>
          <w:ilvl w:val="0"/>
          <w:numId w:val="1"/>
        </w:numPr>
        <w:tabs>
          <w:tab w:val="clear" w:pos="567"/>
          <w:tab w:val="clear" w:pos="1080"/>
        </w:tabs>
        <w:spacing w:before="120" w:after="120"/>
        <w:ind w:left="1276" w:hanging="425"/>
        <w:rPr>
          <w:rFonts w:asciiTheme="majorHAnsi" w:hAnsiTheme="majorHAnsi" w:cstheme="majorHAnsi"/>
        </w:rPr>
      </w:pPr>
      <w:r w:rsidRPr="002D6014">
        <w:rPr>
          <w:rFonts w:cstheme="minorHAnsi"/>
        </w:rPr>
        <w:t>providing</w:t>
      </w:r>
      <w:r w:rsidRPr="002D6014">
        <w:rPr>
          <w:rFonts w:asciiTheme="majorHAnsi" w:hAnsiTheme="majorHAnsi" w:cstheme="majorHAnsi"/>
        </w:rPr>
        <w:t xml:space="preserve"> annual reviews of its op</w:t>
      </w:r>
      <w:r w:rsidR="00C92EAA" w:rsidRPr="002D6014">
        <w:rPr>
          <w:rFonts w:asciiTheme="majorHAnsi" w:hAnsiTheme="majorHAnsi" w:cstheme="majorHAnsi"/>
        </w:rPr>
        <w:t>eration to the Attorney General</w:t>
      </w:r>
    </w:p>
    <w:p w:rsidR="00547797" w:rsidRPr="002D6014" w:rsidRDefault="00BC51A2" w:rsidP="005341CB">
      <w:pPr>
        <w:numPr>
          <w:ilvl w:val="0"/>
          <w:numId w:val="1"/>
        </w:numPr>
        <w:tabs>
          <w:tab w:val="clear" w:pos="567"/>
          <w:tab w:val="clear" w:pos="1080"/>
        </w:tabs>
        <w:spacing w:before="120" w:after="120"/>
        <w:ind w:left="1276" w:hanging="425"/>
        <w:rPr>
          <w:rFonts w:asciiTheme="majorHAnsi" w:hAnsiTheme="majorHAnsi" w:cstheme="majorHAnsi"/>
        </w:rPr>
      </w:pPr>
      <w:r w:rsidRPr="002D6014">
        <w:rPr>
          <w:rFonts w:cstheme="minorHAnsi"/>
        </w:rPr>
        <w:t>examining</w:t>
      </w:r>
      <w:r w:rsidRPr="002D6014">
        <w:rPr>
          <w:rFonts w:asciiTheme="majorHAnsi" w:hAnsiTheme="majorHAnsi" w:cstheme="majorHAnsi"/>
        </w:rPr>
        <w:t xml:space="preserve"> all declarations of inconsistent interpretation made by courts and all override declarations </w:t>
      </w:r>
      <w:r w:rsidR="00C92EAA" w:rsidRPr="002D6014">
        <w:rPr>
          <w:rFonts w:asciiTheme="majorHAnsi" w:hAnsiTheme="majorHAnsi" w:cstheme="majorHAnsi"/>
        </w:rPr>
        <w:t>for new legislation</w:t>
      </w:r>
    </w:p>
    <w:p w:rsidR="00547797" w:rsidRPr="002D6014" w:rsidRDefault="00BC51A2" w:rsidP="005341CB">
      <w:pPr>
        <w:numPr>
          <w:ilvl w:val="0"/>
          <w:numId w:val="1"/>
        </w:numPr>
        <w:tabs>
          <w:tab w:val="clear" w:pos="567"/>
          <w:tab w:val="clear" w:pos="1080"/>
        </w:tabs>
        <w:spacing w:before="120" w:after="120"/>
        <w:ind w:left="1276" w:hanging="425"/>
        <w:rPr>
          <w:rFonts w:asciiTheme="majorHAnsi" w:hAnsiTheme="majorHAnsi" w:cstheme="majorHAnsi"/>
        </w:rPr>
      </w:pPr>
      <w:r w:rsidRPr="002D6014">
        <w:rPr>
          <w:rFonts w:cstheme="minorHAnsi"/>
        </w:rPr>
        <w:t>reviewing</w:t>
      </w:r>
      <w:r w:rsidRPr="002D6014">
        <w:rPr>
          <w:rFonts w:asciiTheme="majorHAnsi" w:hAnsiTheme="majorHAnsi" w:cstheme="majorHAnsi"/>
        </w:rPr>
        <w:t xml:space="preserve"> the programs and practices of public authorities when requested to do so</w:t>
      </w:r>
      <w:r w:rsidR="00D02F3B" w:rsidRPr="002D6014">
        <w:rPr>
          <w:rFonts w:asciiTheme="majorHAnsi" w:hAnsiTheme="majorHAnsi" w:cstheme="majorHAnsi"/>
        </w:rPr>
        <w:t xml:space="preserve">, and on the Commission’s own initiative </w:t>
      </w:r>
      <w:r w:rsidRPr="002D6014">
        <w:rPr>
          <w:rFonts w:asciiTheme="majorHAnsi" w:hAnsiTheme="majorHAnsi" w:cstheme="majorHAnsi"/>
        </w:rPr>
        <w:t>to check their compatibility with human rights</w:t>
      </w:r>
    </w:p>
    <w:p w:rsidR="00C53EBF" w:rsidRPr="002D6014" w:rsidRDefault="00BC51A2" w:rsidP="005341CB">
      <w:pPr>
        <w:numPr>
          <w:ilvl w:val="0"/>
          <w:numId w:val="1"/>
        </w:numPr>
        <w:tabs>
          <w:tab w:val="clear" w:pos="567"/>
          <w:tab w:val="clear" w:pos="1080"/>
        </w:tabs>
        <w:spacing w:before="120" w:after="120"/>
        <w:ind w:left="1276" w:hanging="425"/>
        <w:rPr>
          <w:rFonts w:asciiTheme="majorHAnsi" w:hAnsiTheme="majorHAnsi" w:cstheme="majorHAnsi"/>
        </w:rPr>
      </w:pPr>
      <w:r w:rsidRPr="002D6014">
        <w:rPr>
          <w:rFonts w:cstheme="minorHAnsi"/>
        </w:rPr>
        <w:t>providing</w:t>
      </w:r>
      <w:r w:rsidRPr="002D6014">
        <w:rPr>
          <w:rFonts w:asciiTheme="majorHAnsi" w:hAnsiTheme="majorHAnsi" w:cstheme="majorHAnsi"/>
        </w:rPr>
        <w:t xml:space="preserve"> education about the </w:t>
      </w:r>
      <w:r w:rsidR="00D02F3B" w:rsidRPr="002D6014">
        <w:rPr>
          <w:rFonts w:asciiTheme="majorHAnsi" w:hAnsiTheme="majorHAnsi" w:cstheme="majorHAnsi"/>
        </w:rPr>
        <w:t xml:space="preserve">Act </w:t>
      </w:r>
      <w:r w:rsidRPr="002D6014">
        <w:rPr>
          <w:rFonts w:asciiTheme="majorHAnsi" w:hAnsiTheme="majorHAnsi" w:cstheme="majorHAnsi"/>
        </w:rPr>
        <w:t>and human</w:t>
      </w:r>
      <w:r w:rsidR="00D02F3B" w:rsidRPr="002D6014">
        <w:rPr>
          <w:rFonts w:asciiTheme="majorHAnsi" w:hAnsiTheme="majorHAnsi" w:cstheme="majorHAnsi"/>
        </w:rPr>
        <w:t xml:space="preserve"> </w:t>
      </w:r>
      <w:r w:rsidRPr="002D6014">
        <w:rPr>
          <w:rFonts w:asciiTheme="majorHAnsi" w:hAnsiTheme="majorHAnsi" w:cstheme="majorHAnsi"/>
        </w:rPr>
        <w:t>rights</w:t>
      </w:r>
    </w:p>
    <w:p w:rsidR="00E858DF" w:rsidRPr="002D6014" w:rsidRDefault="00C53EBF" w:rsidP="005341CB">
      <w:pPr>
        <w:numPr>
          <w:ilvl w:val="0"/>
          <w:numId w:val="1"/>
        </w:numPr>
        <w:tabs>
          <w:tab w:val="clear" w:pos="567"/>
          <w:tab w:val="clear" w:pos="1080"/>
        </w:tabs>
        <w:spacing w:before="120"/>
        <w:ind w:left="1276" w:hanging="425"/>
        <w:rPr>
          <w:rFonts w:asciiTheme="majorHAnsi" w:hAnsiTheme="majorHAnsi" w:cstheme="majorHAnsi"/>
        </w:rPr>
      </w:pPr>
      <w:r w:rsidRPr="002D6014">
        <w:rPr>
          <w:rFonts w:asciiTheme="majorHAnsi" w:hAnsiTheme="majorHAnsi" w:cstheme="majorHAnsi"/>
        </w:rPr>
        <w:t xml:space="preserve">a </w:t>
      </w:r>
      <w:r w:rsidRPr="002D6014">
        <w:rPr>
          <w:rFonts w:cstheme="minorHAnsi"/>
        </w:rPr>
        <w:t>complaint</w:t>
      </w:r>
      <w:r w:rsidRPr="002D6014">
        <w:rPr>
          <w:rFonts w:asciiTheme="majorHAnsi" w:hAnsiTheme="majorHAnsi" w:cstheme="majorHAnsi"/>
        </w:rPr>
        <w:t xml:space="preserve"> handling and conciliation function to deal with complaints about </w:t>
      </w:r>
      <w:r w:rsidR="00DD2300" w:rsidRPr="002D6014">
        <w:rPr>
          <w:rFonts w:asciiTheme="majorHAnsi" w:hAnsiTheme="majorHAnsi" w:cstheme="majorHAnsi"/>
        </w:rPr>
        <w:t xml:space="preserve">alleged </w:t>
      </w:r>
      <w:r w:rsidRPr="002D6014">
        <w:rPr>
          <w:rFonts w:asciiTheme="majorHAnsi" w:hAnsiTheme="majorHAnsi" w:cstheme="majorHAnsi"/>
        </w:rPr>
        <w:t>breaches of human rights.</w:t>
      </w:r>
    </w:p>
    <w:p w:rsidR="00E858DF" w:rsidRPr="002D6014" w:rsidRDefault="000C2B1C" w:rsidP="001B5E72">
      <w:pPr>
        <w:pStyle w:val="Heading2"/>
      </w:pPr>
      <w:bookmarkStart w:id="58" w:name="_Toc448747794"/>
      <w:r w:rsidRPr="002D6014">
        <w:t>Other Complaint handling entities</w:t>
      </w:r>
      <w:bookmarkEnd w:id="58"/>
    </w:p>
    <w:p w:rsidR="000C2B1C" w:rsidRPr="002D6014" w:rsidRDefault="000C2B1C" w:rsidP="006D41AA">
      <w:pPr>
        <w:pStyle w:val="ListParagraph"/>
        <w:numPr>
          <w:ilvl w:val="0"/>
          <w:numId w:val="5"/>
        </w:numPr>
        <w:contextualSpacing w:val="0"/>
        <w:rPr>
          <w:sz w:val="19"/>
          <w:szCs w:val="19"/>
        </w:rPr>
      </w:pPr>
      <w:r w:rsidRPr="002D6014">
        <w:t>Queensland complaint handling bodies – such as the Ombudsm</w:t>
      </w:r>
      <w:r w:rsidR="00B224CB">
        <w:t>a</w:t>
      </w:r>
      <w:r w:rsidRPr="002D6014">
        <w:t>n, the Health Ombudsm</w:t>
      </w:r>
      <w:r w:rsidR="00B224CB">
        <w:t>a</w:t>
      </w:r>
      <w:r w:rsidRPr="002D6014">
        <w:t xml:space="preserve">n, the Public Guardian, the Public Advocate and the Crime and Corruption Commission and the office of the </w:t>
      </w:r>
      <w:r w:rsidR="00132333" w:rsidRPr="002D6014">
        <w:t xml:space="preserve">Privacy </w:t>
      </w:r>
      <w:r w:rsidRPr="002D6014">
        <w:t>Commissioner–</w:t>
      </w:r>
      <w:r w:rsidR="003413D3" w:rsidRPr="002D6014">
        <w:t xml:space="preserve">should </w:t>
      </w:r>
      <w:r w:rsidRPr="002D6014">
        <w:t>also give consideration to human rights issues in the complaints they are responsible for resolving</w:t>
      </w:r>
      <w:r w:rsidRPr="002D6014">
        <w:rPr>
          <w:sz w:val="19"/>
          <w:szCs w:val="19"/>
        </w:rPr>
        <w:t>.</w:t>
      </w:r>
    </w:p>
    <w:p w:rsidR="00092563" w:rsidRPr="002D6014" w:rsidRDefault="003413D3" w:rsidP="006D41AA">
      <w:pPr>
        <w:pStyle w:val="ListParagraph"/>
        <w:numPr>
          <w:ilvl w:val="0"/>
          <w:numId w:val="5"/>
        </w:numPr>
        <w:contextualSpacing w:val="0"/>
        <w:rPr>
          <w:rFonts w:ascii="TimesNewRomanPSMT" w:hAnsi="TimesNewRomanPSMT" w:cs="TimesNewRomanPSMT"/>
        </w:rPr>
      </w:pPr>
      <w:r w:rsidRPr="00D95D9E">
        <w:t>If t</w:t>
      </w:r>
      <w:r w:rsidR="000C2B1C" w:rsidRPr="00D95D9E">
        <w:t xml:space="preserve">he </w:t>
      </w:r>
      <w:r w:rsidRPr="00B224CB">
        <w:t xml:space="preserve">Anti–Discrimination </w:t>
      </w:r>
      <w:r w:rsidR="000C2B1C" w:rsidRPr="00B224CB">
        <w:t xml:space="preserve">Commission </w:t>
      </w:r>
      <w:r w:rsidRPr="00B224CB">
        <w:t xml:space="preserve">is given a role of dealing with human rights </w:t>
      </w:r>
      <w:r w:rsidRPr="002D6014">
        <w:t xml:space="preserve">complaints it </w:t>
      </w:r>
      <w:r w:rsidR="000C2B1C" w:rsidRPr="002D6014">
        <w:t>should be able to refer complaints to these agencies where appropriate, for example</w:t>
      </w:r>
      <w:r w:rsidR="00B224CB">
        <w:t>,</w:t>
      </w:r>
      <w:r w:rsidR="000C2B1C" w:rsidRPr="00B224CB">
        <w:t xml:space="preserve"> if a complainant alleges breach of the right to privacy that involves information privacy or his or her health records, or where a complainant alleges they ha</w:t>
      </w:r>
      <w:r w:rsidR="000C2B1C" w:rsidRPr="002D6014">
        <w:t>ve been mistreated by a staff member in the provision of a disability service</w:t>
      </w:r>
      <w:r w:rsidRPr="002D6014">
        <w:t xml:space="preserve"> by a public entity.</w:t>
      </w:r>
      <w:r w:rsidR="000C2B1C" w:rsidRPr="002D6014">
        <w:t xml:space="preserve"> </w:t>
      </w:r>
    </w:p>
    <w:p w:rsidR="00F63866" w:rsidRPr="002D6014" w:rsidRDefault="00F25A6F" w:rsidP="0086284C">
      <w:pPr>
        <w:pStyle w:val="Heading1"/>
      </w:pPr>
      <w:bookmarkStart w:id="59" w:name="_Toc448747795"/>
      <w:r w:rsidRPr="002D6014">
        <w:lastRenderedPageBreak/>
        <w:t>Recommendations</w:t>
      </w:r>
      <w:bookmarkEnd w:id="59"/>
    </w:p>
    <w:p w:rsidR="009A765F" w:rsidRPr="002D6014" w:rsidRDefault="009A765F" w:rsidP="005341CB">
      <w:pPr>
        <w:pStyle w:val="ListParagraph"/>
        <w:keepNext/>
        <w:numPr>
          <w:ilvl w:val="0"/>
          <w:numId w:val="5"/>
        </w:numPr>
        <w:contextualSpacing w:val="0"/>
        <w:rPr>
          <w:rFonts w:ascii="Arial" w:hAnsi="Arial" w:cs="Arial"/>
        </w:rPr>
      </w:pPr>
      <w:r w:rsidRPr="002D6014">
        <w:rPr>
          <w:rFonts w:ascii="Arial" w:hAnsi="Arial" w:cs="Arial"/>
        </w:rPr>
        <w:t xml:space="preserve">The </w:t>
      </w:r>
      <w:r w:rsidR="001A67E6" w:rsidRPr="002D6014">
        <w:rPr>
          <w:rFonts w:ascii="Arial" w:hAnsi="Arial" w:cs="Arial"/>
        </w:rPr>
        <w:t xml:space="preserve">Commission </w:t>
      </w:r>
      <w:r w:rsidRPr="002D6014">
        <w:rPr>
          <w:rFonts w:ascii="Arial" w:hAnsi="Arial" w:cs="Arial"/>
        </w:rPr>
        <w:t xml:space="preserve">recommends </w:t>
      </w:r>
      <w:r w:rsidR="001B5E72" w:rsidRPr="002D6014">
        <w:rPr>
          <w:rFonts w:ascii="Arial" w:hAnsi="Arial" w:cs="Arial"/>
        </w:rPr>
        <w:t>that:</w:t>
      </w:r>
      <w:r w:rsidRPr="002D6014">
        <w:rPr>
          <w:rFonts w:ascii="Arial" w:hAnsi="Arial" w:cs="Arial"/>
        </w:rPr>
        <w:t xml:space="preserve"> </w:t>
      </w:r>
    </w:p>
    <w:p w:rsidR="009A765F" w:rsidRPr="002D6014" w:rsidRDefault="009A765F" w:rsidP="0086284C">
      <w:pPr>
        <w:pStyle w:val="ListParagraph"/>
        <w:numPr>
          <w:ilvl w:val="0"/>
          <w:numId w:val="4"/>
        </w:numPr>
        <w:tabs>
          <w:tab w:val="clear" w:pos="567"/>
        </w:tabs>
        <w:ind w:left="1134" w:hanging="567"/>
        <w:contextualSpacing w:val="0"/>
        <w:rPr>
          <w:rFonts w:ascii="Arial" w:hAnsi="Arial" w:cs="Arial"/>
        </w:rPr>
      </w:pPr>
      <w:r w:rsidRPr="002D6014">
        <w:rPr>
          <w:rFonts w:ascii="Arial" w:hAnsi="Arial" w:cs="Arial"/>
        </w:rPr>
        <w:t>The Queensland Parliament passes a Human Rights Act.</w:t>
      </w:r>
    </w:p>
    <w:p w:rsidR="009A765F" w:rsidRPr="002D6014" w:rsidRDefault="009A765F" w:rsidP="0086284C">
      <w:pPr>
        <w:pStyle w:val="ListParagraph"/>
        <w:numPr>
          <w:ilvl w:val="0"/>
          <w:numId w:val="4"/>
        </w:numPr>
        <w:tabs>
          <w:tab w:val="clear" w:pos="567"/>
        </w:tabs>
        <w:ind w:left="1134" w:hanging="567"/>
        <w:contextualSpacing w:val="0"/>
        <w:rPr>
          <w:rFonts w:ascii="Arial" w:hAnsi="Arial" w:cs="Arial"/>
        </w:rPr>
      </w:pPr>
      <w:r w:rsidRPr="002D6014">
        <w:rPr>
          <w:rFonts w:ascii="Arial" w:hAnsi="Arial" w:cs="Arial"/>
        </w:rPr>
        <w:t>The Act reflects our key Human Rights obligations, including civil, political, economic, social and cultural rights</w:t>
      </w:r>
      <w:r w:rsidR="00F16A47" w:rsidRPr="002D6014">
        <w:rPr>
          <w:rFonts w:ascii="Arial" w:hAnsi="Arial" w:cs="Arial"/>
        </w:rPr>
        <w:t>, property rights, and the right to self-determination for Aboriginal and Torres Strait Islander Queenslanders</w:t>
      </w:r>
      <w:r w:rsidRPr="002D6014">
        <w:rPr>
          <w:rFonts w:ascii="Arial" w:hAnsi="Arial" w:cs="Arial"/>
        </w:rPr>
        <w:t>.</w:t>
      </w:r>
    </w:p>
    <w:p w:rsidR="009A765F" w:rsidRPr="002D6014" w:rsidRDefault="009A765F" w:rsidP="0086284C">
      <w:pPr>
        <w:pStyle w:val="ListParagraph"/>
        <w:numPr>
          <w:ilvl w:val="0"/>
          <w:numId w:val="4"/>
        </w:numPr>
        <w:tabs>
          <w:tab w:val="clear" w:pos="567"/>
        </w:tabs>
        <w:ind w:left="1134" w:hanging="567"/>
        <w:contextualSpacing w:val="0"/>
        <w:rPr>
          <w:rFonts w:ascii="Arial" w:hAnsi="Arial" w:cs="Arial"/>
        </w:rPr>
      </w:pPr>
      <w:r w:rsidRPr="002D6014">
        <w:rPr>
          <w:rFonts w:ascii="Arial" w:hAnsi="Arial" w:cs="Arial"/>
        </w:rPr>
        <w:t>The Act requires compliance with human rights at all levels of government policy and decision making.</w:t>
      </w:r>
    </w:p>
    <w:p w:rsidR="009A765F" w:rsidRPr="002D6014" w:rsidRDefault="009A765F" w:rsidP="0086284C">
      <w:pPr>
        <w:pStyle w:val="ListParagraph"/>
        <w:numPr>
          <w:ilvl w:val="0"/>
          <w:numId w:val="4"/>
        </w:numPr>
        <w:tabs>
          <w:tab w:val="clear" w:pos="567"/>
        </w:tabs>
        <w:ind w:left="1134" w:hanging="567"/>
        <w:contextualSpacing w:val="0"/>
        <w:rPr>
          <w:rFonts w:ascii="Arial" w:hAnsi="Arial" w:cs="Arial"/>
        </w:rPr>
      </w:pPr>
      <w:r w:rsidRPr="002D6014">
        <w:rPr>
          <w:rFonts w:ascii="Arial" w:hAnsi="Arial" w:cs="Arial"/>
        </w:rPr>
        <w:t>The Act provides a process for Parliament to explain how new laws impact on human rights</w:t>
      </w:r>
      <w:r w:rsidR="006D41AA" w:rsidRPr="002D6014">
        <w:rPr>
          <w:rFonts w:ascii="Arial" w:hAnsi="Arial" w:cs="Arial"/>
        </w:rPr>
        <w:t>, while</w:t>
      </w:r>
      <w:r w:rsidRPr="002D6014">
        <w:rPr>
          <w:rFonts w:ascii="Arial" w:hAnsi="Arial" w:cs="Arial"/>
        </w:rPr>
        <w:t xml:space="preserve"> retaining parliamentary sovereignty.</w:t>
      </w:r>
    </w:p>
    <w:p w:rsidR="009A765F" w:rsidRPr="002D6014" w:rsidRDefault="009A765F" w:rsidP="0086284C">
      <w:pPr>
        <w:pStyle w:val="ListParagraph"/>
        <w:numPr>
          <w:ilvl w:val="0"/>
          <w:numId w:val="4"/>
        </w:numPr>
        <w:tabs>
          <w:tab w:val="clear" w:pos="567"/>
        </w:tabs>
        <w:ind w:left="1134" w:hanging="567"/>
        <w:contextualSpacing w:val="0"/>
        <w:rPr>
          <w:rFonts w:ascii="Arial" w:hAnsi="Arial" w:cs="Arial"/>
        </w:rPr>
      </w:pPr>
      <w:r w:rsidRPr="002D6014">
        <w:rPr>
          <w:rFonts w:ascii="Arial" w:hAnsi="Arial" w:cs="Arial"/>
        </w:rPr>
        <w:t>The Act provides a process for independent investigation and resolution of human rights complaints</w:t>
      </w:r>
    </w:p>
    <w:p w:rsidR="009A765F" w:rsidRPr="002D6014" w:rsidRDefault="009A765F" w:rsidP="0086284C">
      <w:pPr>
        <w:pStyle w:val="ListParagraph"/>
        <w:numPr>
          <w:ilvl w:val="0"/>
          <w:numId w:val="4"/>
        </w:numPr>
        <w:tabs>
          <w:tab w:val="clear" w:pos="567"/>
        </w:tabs>
        <w:ind w:left="1134" w:hanging="567"/>
        <w:contextualSpacing w:val="0"/>
        <w:rPr>
          <w:rFonts w:ascii="Arial" w:hAnsi="Arial" w:cs="Arial"/>
        </w:rPr>
      </w:pPr>
      <w:r w:rsidRPr="002D6014">
        <w:rPr>
          <w:rFonts w:ascii="Arial" w:hAnsi="Arial" w:cs="Arial"/>
        </w:rPr>
        <w:t>The Act allows people to bring freestanding human rights matters to the courts and receive enforceable remedies, including damages, for breaches of human rights.</w:t>
      </w:r>
    </w:p>
    <w:p w:rsidR="009A765F" w:rsidRPr="002D6014" w:rsidRDefault="009A765F" w:rsidP="0086284C">
      <w:pPr>
        <w:pStyle w:val="ListParagraph"/>
        <w:numPr>
          <w:ilvl w:val="0"/>
          <w:numId w:val="4"/>
        </w:numPr>
        <w:tabs>
          <w:tab w:val="clear" w:pos="567"/>
        </w:tabs>
        <w:ind w:left="1134" w:hanging="567"/>
        <w:contextualSpacing w:val="0"/>
        <w:rPr>
          <w:rFonts w:ascii="Arial" w:hAnsi="Arial" w:cs="Arial"/>
        </w:rPr>
      </w:pPr>
      <w:r w:rsidRPr="002D6014">
        <w:rPr>
          <w:rFonts w:ascii="Arial" w:hAnsi="Arial" w:cs="Arial"/>
        </w:rPr>
        <w:t>The Act requires courts to interpret laws consistently with human rights.</w:t>
      </w:r>
    </w:p>
    <w:p w:rsidR="009A765F" w:rsidRPr="002D6014" w:rsidRDefault="009A765F" w:rsidP="0086284C">
      <w:pPr>
        <w:pStyle w:val="ListParagraph"/>
        <w:numPr>
          <w:ilvl w:val="0"/>
          <w:numId w:val="4"/>
        </w:numPr>
        <w:tabs>
          <w:tab w:val="clear" w:pos="567"/>
        </w:tabs>
        <w:ind w:left="1134" w:hanging="567"/>
        <w:contextualSpacing w:val="0"/>
        <w:rPr>
          <w:rFonts w:ascii="Arial" w:hAnsi="Arial" w:cs="Arial"/>
        </w:rPr>
      </w:pPr>
      <w:r w:rsidRPr="002D6014">
        <w:rPr>
          <w:rFonts w:ascii="Arial" w:hAnsi="Arial" w:cs="Arial"/>
        </w:rPr>
        <w:t xml:space="preserve">The Act provides a regular and independent assessment of steps taken by government to meet human rights responsibilities. </w:t>
      </w:r>
    </w:p>
    <w:p w:rsidR="009A765F" w:rsidRPr="002D6014" w:rsidRDefault="009A765F" w:rsidP="0086284C">
      <w:pPr>
        <w:pStyle w:val="ListParagraph"/>
        <w:numPr>
          <w:ilvl w:val="0"/>
          <w:numId w:val="4"/>
        </w:numPr>
        <w:tabs>
          <w:tab w:val="clear" w:pos="567"/>
        </w:tabs>
        <w:ind w:left="1134" w:hanging="567"/>
        <w:contextualSpacing w:val="0"/>
        <w:rPr>
          <w:rFonts w:ascii="Arial" w:hAnsi="Arial" w:cs="Arial"/>
        </w:rPr>
      </w:pPr>
      <w:r w:rsidRPr="002D6014">
        <w:rPr>
          <w:rFonts w:ascii="Arial" w:hAnsi="Arial" w:cs="Arial"/>
        </w:rPr>
        <w:t>The Act provides a process for education, training and information dissemination.</w:t>
      </w:r>
    </w:p>
    <w:p w:rsidR="009A765F" w:rsidRPr="002D6014" w:rsidRDefault="009A765F" w:rsidP="0086284C">
      <w:pPr>
        <w:pStyle w:val="ListParagraph"/>
        <w:numPr>
          <w:ilvl w:val="0"/>
          <w:numId w:val="4"/>
        </w:numPr>
        <w:tabs>
          <w:tab w:val="clear" w:pos="567"/>
        </w:tabs>
        <w:ind w:left="1134" w:hanging="567"/>
        <w:contextualSpacing w:val="0"/>
        <w:rPr>
          <w:rFonts w:ascii="Arial" w:hAnsi="Arial" w:cs="Arial"/>
        </w:rPr>
      </w:pPr>
      <w:r w:rsidRPr="002D6014">
        <w:rPr>
          <w:rFonts w:ascii="Arial" w:hAnsi="Arial" w:cs="Arial"/>
        </w:rPr>
        <w:t>In implementing the Act, a holistic and unified approach is taken to maximise cultural change and educative function.</w:t>
      </w:r>
    </w:p>
    <w:p w:rsidR="009A765F" w:rsidRPr="002D6014" w:rsidRDefault="009A765F" w:rsidP="0086284C">
      <w:pPr>
        <w:pStyle w:val="ListParagraph"/>
        <w:numPr>
          <w:ilvl w:val="0"/>
          <w:numId w:val="4"/>
        </w:numPr>
        <w:tabs>
          <w:tab w:val="clear" w:pos="567"/>
        </w:tabs>
        <w:ind w:left="1134" w:hanging="567"/>
        <w:contextualSpacing w:val="0"/>
        <w:rPr>
          <w:rFonts w:ascii="Arial" w:hAnsi="Arial" w:cs="Arial"/>
        </w:rPr>
      </w:pPr>
      <w:r w:rsidRPr="002D6014">
        <w:rPr>
          <w:rFonts w:ascii="Arial" w:hAnsi="Arial" w:cs="Arial"/>
        </w:rPr>
        <w:t>The Act allows private entities the opportunity to comply with human rights obligations.</w:t>
      </w:r>
    </w:p>
    <w:p w:rsidR="009A765F" w:rsidRPr="002D6014" w:rsidRDefault="009A765F" w:rsidP="005D03A5">
      <w:pPr>
        <w:pStyle w:val="ListParagraph"/>
        <w:numPr>
          <w:ilvl w:val="0"/>
          <w:numId w:val="5"/>
        </w:numPr>
        <w:contextualSpacing w:val="0"/>
        <w:rPr>
          <w:rFonts w:cs="Arial"/>
        </w:rPr>
      </w:pPr>
      <w:r w:rsidRPr="002D6014">
        <w:rPr>
          <w:rFonts w:cs="Arial"/>
        </w:rPr>
        <w:t xml:space="preserve">Alternatively, if it is determined that </w:t>
      </w:r>
      <w:r w:rsidR="001A67E6" w:rsidRPr="002D6014">
        <w:rPr>
          <w:rFonts w:cs="Arial"/>
        </w:rPr>
        <w:t xml:space="preserve"> the protection of all e</w:t>
      </w:r>
      <w:r w:rsidRPr="002D6014">
        <w:rPr>
          <w:rFonts w:cs="Arial"/>
        </w:rPr>
        <w:t xml:space="preserve">conomic </w:t>
      </w:r>
      <w:r w:rsidR="001A67E6" w:rsidRPr="002D6014">
        <w:rPr>
          <w:rFonts w:cs="Arial"/>
        </w:rPr>
        <w:t>s</w:t>
      </w:r>
      <w:r w:rsidRPr="002D6014">
        <w:rPr>
          <w:rFonts w:cs="Arial"/>
        </w:rPr>
        <w:t xml:space="preserve">ocial and </w:t>
      </w:r>
      <w:r w:rsidR="001A67E6" w:rsidRPr="002D6014">
        <w:rPr>
          <w:rFonts w:cs="Arial"/>
        </w:rPr>
        <w:t>c</w:t>
      </w:r>
      <w:r w:rsidRPr="002D6014">
        <w:rPr>
          <w:rFonts w:cs="Arial"/>
        </w:rPr>
        <w:t xml:space="preserve">ultural </w:t>
      </w:r>
      <w:r w:rsidR="001A67E6" w:rsidRPr="002D6014">
        <w:rPr>
          <w:rFonts w:cs="Arial"/>
        </w:rPr>
        <w:t>r</w:t>
      </w:r>
      <w:r w:rsidRPr="002D6014">
        <w:rPr>
          <w:rFonts w:cs="Arial"/>
        </w:rPr>
        <w:t xml:space="preserve">ights is not considered immediately appropriate, the </w:t>
      </w:r>
      <w:r w:rsidR="001A67E6" w:rsidRPr="002D6014">
        <w:rPr>
          <w:rFonts w:cs="Arial"/>
        </w:rPr>
        <w:t xml:space="preserve">Commission </w:t>
      </w:r>
      <w:r w:rsidRPr="002D6014">
        <w:rPr>
          <w:rFonts w:cs="Arial"/>
        </w:rPr>
        <w:t xml:space="preserve">recommends  staged approach be considered where priority is given to some, immediately realisable ESC rights, for example the right to basic education and emergency medical treatment. </w:t>
      </w:r>
    </w:p>
    <w:p w:rsidR="009A765F" w:rsidRPr="002D6014" w:rsidRDefault="009A765F" w:rsidP="005D03A5">
      <w:pPr>
        <w:pStyle w:val="ListParagraph"/>
        <w:numPr>
          <w:ilvl w:val="0"/>
          <w:numId w:val="5"/>
        </w:numPr>
        <w:contextualSpacing w:val="0"/>
        <w:rPr>
          <w:rFonts w:cs="Arial"/>
        </w:rPr>
      </w:pPr>
      <w:r w:rsidRPr="002D6014">
        <w:rPr>
          <w:rFonts w:cs="Arial"/>
        </w:rPr>
        <w:t xml:space="preserve">If Parliament </w:t>
      </w:r>
      <w:r w:rsidR="00E47637" w:rsidRPr="002D6014">
        <w:rPr>
          <w:rFonts w:cs="Arial"/>
        </w:rPr>
        <w:t>chooses</w:t>
      </w:r>
      <w:r w:rsidRPr="002D6014">
        <w:rPr>
          <w:rFonts w:cs="Arial"/>
        </w:rPr>
        <w:t xml:space="preserve"> not to proceed with recommendations 1 to 12 above, </w:t>
      </w:r>
      <w:r w:rsidR="00ED3E53" w:rsidRPr="002D6014">
        <w:rPr>
          <w:rFonts w:cs="Arial"/>
        </w:rPr>
        <w:t>the Commission</w:t>
      </w:r>
      <w:r w:rsidR="001A67E6" w:rsidRPr="002D6014">
        <w:rPr>
          <w:rFonts w:cs="Arial"/>
        </w:rPr>
        <w:t xml:space="preserve"> </w:t>
      </w:r>
      <w:r w:rsidRPr="002D6014">
        <w:rPr>
          <w:rFonts w:cs="Arial"/>
        </w:rPr>
        <w:t>recommends t</w:t>
      </w:r>
      <w:r w:rsidRPr="002D6014">
        <w:rPr>
          <w:rFonts w:cstheme="minorHAnsi"/>
        </w:rPr>
        <w:t xml:space="preserve">hat measures be adopted to increase human rights accountability in the scrutiny of </w:t>
      </w:r>
      <w:r w:rsidR="00870A64" w:rsidRPr="002D6014">
        <w:rPr>
          <w:rFonts w:cstheme="minorHAnsi"/>
        </w:rPr>
        <w:t>legislation,</w:t>
      </w:r>
      <w:r w:rsidRPr="002D6014">
        <w:rPr>
          <w:rFonts w:cstheme="minorHAnsi"/>
        </w:rPr>
        <w:t xml:space="preserve"> the interpretation of legislation and in the making of administrative decisions by government agencies. The </w:t>
      </w:r>
      <w:r w:rsidR="001A67E6" w:rsidRPr="002D6014">
        <w:rPr>
          <w:rFonts w:cstheme="minorHAnsi"/>
        </w:rPr>
        <w:t xml:space="preserve">Commission </w:t>
      </w:r>
      <w:r w:rsidRPr="002D6014">
        <w:rPr>
          <w:rFonts w:cstheme="minorHAnsi"/>
        </w:rPr>
        <w:t>recommends that:</w:t>
      </w:r>
    </w:p>
    <w:p w:rsidR="009A765F" w:rsidRPr="002D6014" w:rsidRDefault="009A765F" w:rsidP="0086284C">
      <w:pPr>
        <w:pStyle w:val="ListParagraph"/>
        <w:numPr>
          <w:ilvl w:val="0"/>
          <w:numId w:val="25"/>
        </w:numPr>
        <w:tabs>
          <w:tab w:val="clear" w:pos="567"/>
        </w:tabs>
        <w:contextualSpacing w:val="0"/>
        <w:rPr>
          <w:rFonts w:ascii="Arial" w:hAnsi="Arial" w:cs="Arial"/>
        </w:rPr>
      </w:pPr>
      <w:r w:rsidRPr="002D6014">
        <w:rPr>
          <w:rFonts w:ascii="Arial" w:hAnsi="Arial" w:cs="Arial"/>
        </w:rPr>
        <w:t xml:space="preserve">In the </w:t>
      </w:r>
      <w:r w:rsidRPr="002D6014">
        <w:rPr>
          <w:rFonts w:ascii="Arial" w:hAnsi="Arial" w:cs="Arial"/>
          <w:i/>
        </w:rPr>
        <w:t>Legislative Standards Act 1992</w:t>
      </w:r>
      <w:r w:rsidRPr="002D6014">
        <w:rPr>
          <w:rFonts w:ascii="Arial" w:hAnsi="Arial" w:cs="Arial"/>
        </w:rPr>
        <w:t>, include as an express objective that Queensland legislation is consistent with the promotion</w:t>
      </w:r>
      <w:r w:rsidR="001A67E6" w:rsidRPr="002D6014">
        <w:rPr>
          <w:rFonts w:ascii="Arial" w:hAnsi="Arial" w:cs="Arial"/>
        </w:rPr>
        <w:t xml:space="preserve"> and protection of human rights.</w:t>
      </w:r>
    </w:p>
    <w:p w:rsidR="009A765F" w:rsidRPr="002D6014" w:rsidRDefault="00C374CE" w:rsidP="0086284C">
      <w:pPr>
        <w:pStyle w:val="ListParagraph"/>
        <w:numPr>
          <w:ilvl w:val="0"/>
          <w:numId w:val="25"/>
        </w:numPr>
        <w:tabs>
          <w:tab w:val="clear" w:pos="567"/>
        </w:tabs>
        <w:contextualSpacing w:val="0"/>
        <w:rPr>
          <w:rFonts w:ascii="Arial" w:hAnsi="Arial" w:cs="Arial"/>
        </w:rPr>
      </w:pPr>
      <w:r w:rsidRPr="002D6014">
        <w:rPr>
          <w:rFonts w:ascii="Arial" w:hAnsi="Arial" w:cs="Arial"/>
        </w:rPr>
        <w:lastRenderedPageBreak/>
        <w:t xml:space="preserve">In the </w:t>
      </w:r>
      <w:r w:rsidRPr="002D6014">
        <w:rPr>
          <w:rFonts w:ascii="Arial" w:hAnsi="Arial" w:cs="Arial"/>
          <w:i/>
        </w:rPr>
        <w:t>Legislative Standards Act 1992 r</w:t>
      </w:r>
      <w:r w:rsidR="009A765F" w:rsidRPr="002D6014">
        <w:rPr>
          <w:rFonts w:ascii="Arial" w:hAnsi="Arial" w:cs="Arial"/>
        </w:rPr>
        <w:t>eplace the expression ‘rights and liberties of i</w:t>
      </w:r>
      <w:r w:rsidR="001A67E6" w:rsidRPr="002D6014">
        <w:rPr>
          <w:rFonts w:ascii="Arial" w:hAnsi="Arial" w:cs="Arial"/>
        </w:rPr>
        <w:t>ndividuals’ with ‘human rights.’</w:t>
      </w:r>
    </w:p>
    <w:p w:rsidR="009A765F" w:rsidRPr="002D6014" w:rsidRDefault="00C374CE" w:rsidP="0086284C">
      <w:pPr>
        <w:pStyle w:val="ListParagraph"/>
        <w:numPr>
          <w:ilvl w:val="0"/>
          <w:numId w:val="25"/>
        </w:numPr>
        <w:tabs>
          <w:tab w:val="clear" w:pos="567"/>
        </w:tabs>
        <w:contextualSpacing w:val="0"/>
        <w:rPr>
          <w:rFonts w:ascii="Arial" w:hAnsi="Arial" w:cs="Arial"/>
        </w:rPr>
      </w:pPr>
      <w:r w:rsidRPr="002D6014">
        <w:rPr>
          <w:rFonts w:ascii="Arial" w:hAnsi="Arial" w:cs="Arial"/>
        </w:rPr>
        <w:t xml:space="preserve">In the </w:t>
      </w:r>
      <w:r w:rsidRPr="002D6014">
        <w:rPr>
          <w:rFonts w:ascii="Arial" w:hAnsi="Arial" w:cs="Arial"/>
          <w:i/>
        </w:rPr>
        <w:t>Legislative Standards Act 1992 a</w:t>
      </w:r>
      <w:r w:rsidR="009A765F" w:rsidRPr="002D6014">
        <w:rPr>
          <w:rFonts w:ascii="Arial" w:hAnsi="Arial" w:cs="Arial"/>
        </w:rPr>
        <w:t>dd to the definition of fundamental legislative princi</w:t>
      </w:r>
      <w:r w:rsidR="001A67E6" w:rsidRPr="002D6014">
        <w:rPr>
          <w:rFonts w:ascii="Arial" w:hAnsi="Arial" w:cs="Arial"/>
        </w:rPr>
        <w:t>ples ‘the separation of powers.’</w:t>
      </w:r>
    </w:p>
    <w:p w:rsidR="009A765F" w:rsidRPr="002D6014" w:rsidRDefault="00C374CE" w:rsidP="0086284C">
      <w:pPr>
        <w:pStyle w:val="ListParagraph"/>
        <w:numPr>
          <w:ilvl w:val="0"/>
          <w:numId w:val="25"/>
        </w:numPr>
        <w:tabs>
          <w:tab w:val="clear" w:pos="567"/>
        </w:tabs>
        <w:contextualSpacing w:val="0"/>
        <w:rPr>
          <w:rFonts w:ascii="Arial" w:hAnsi="Arial" w:cs="Arial"/>
        </w:rPr>
      </w:pPr>
      <w:r w:rsidRPr="002D6014">
        <w:rPr>
          <w:rFonts w:ascii="Arial" w:hAnsi="Arial" w:cs="Arial"/>
        </w:rPr>
        <w:t xml:space="preserve">In the </w:t>
      </w:r>
      <w:r w:rsidRPr="002D6014">
        <w:rPr>
          <w:rFonts w:ascii="Arial" w:hAnsi="Arial" w:cs="Arial"/>
          <w:i/>
        </w:rPr>
        <w:t>Legislative Standards Act 1992 d</w:t>
      </w:r>
      <w:r w:rsidR="009A765F" w:rsidRPr="002D6014">
        <w:rPr>
          <w:rFonts w:ascii="Arial" w:hAnsi="Arial" w:cs="Arial"/>
        </w:rPr>
        <w:t>efine ‘human rights’ in an inclusive way such as ‘the personal rights and liberties recognised or expressed under the Constitutions of Queensland and Australia, in statues of the parliaments of Queensland and Australia, or in treaties ratified by the government of Austral</w:t>
      </w:r>
      <w:r w:rsidR="001A67E6" w:rsidRPr="002D6014">
        <w:rPr>
          <w:rFonts w:ascii="Arial" w:hAnsi="Arial" w:cs="Arial"/>
        </w:rPr>
        <w:t>ia.’</w:t>
      </w:r>
    </w:p>
    <w:p w:rsidR="009A765F" w:rsidRPr="002D6014" w:rsidRDefault="001A67E6" w:rsidP="0086284C">
      <w:pPr>
        <w:pStyle w:val="ListParagraph"/>
        <w:numPr>
          <w:ilvl w:val="0"/>
          <w:numId w:val="25"/>
        </w:numPr>
        <w:tabs>
          <w:tab w:val="clear" w:pos="567"/>
        </w:tabs>
        <w:contextualSpacing w:val="0"/>
        <w:rPr>
          <w:rFonts w:ascii="Arial" w:hAnsi="Arial" w:cs="Arial"/>
        </w:rPr>
      </w:pPr>
      <w:r w:rsidRPr="002D6014">
        <w:rPr>
          <w:rFonts w:ascii="Arial" w:hAnsi="Arial" w:cs="Arial"/>
        </w:rPr>
        <w:t>A guidance note be d</w:t>
      </w:r>
      <w:r w:rsidR="009A765F" w:rsidRPr="002D6014">
        <w:rPr>
          <w:rFonts w:ascii="Arial" w:hAnsi="Arial" w:cs="Arial"/>
        </w:rPr>
        <w:t>evelop</w:t>
      </w:r>
      <w:r w:rsidRPr="002D6014">
        <w:rPr>
          <w:rFonts w:ascii="Arial" w:hAnsi="Arial" w:cs="Arial"/>
        </w:rPr>
        <w:t>ed</w:t>
      </w:r>
      <w:r w:rsidR="009A765F" w:rsidRPr="002D6014">
        <w:rPr>
          <w:rFonts w:ascii="Arial" w:hAnsi="Arial" w:cs="Arial"/>
        </w:rPr>
        <w:t xml:space="preserve"> and implement</w:t>
      </w:r>
      <w:r w:rsidRPr="002D6014">
        <w:rPr>
          <w:rFonts w:ascii="Arial" w:hAnsi="Arial" w:cs="Arial"/>
        </w:rPr>
        <w:t>ed</w:t>
      </w:r>
      <w:r w:rsidR="009A765F" w:rsidRPr="002D6014">
        <w:rPr>
          <w:rFonts w:ascii="Arial" w:hAnsi="Arial" w:cs="Arial"/>
        </w:rPr>
        <w:t xml:space="preserve"> to assist in </w:t>
      </w:r>
      <w:r w:rsidRPr="002D6014">
        <w:rPr>
          <w:rFonts w:ascii="Arial" w:hAnsi="Arial" w:cs="Arial"/>
        </w:rPr>
        <w:t>identifying human rights issues.</w:t>
      </w:r>
    </w:p>
    <w:p w:rsidR="009A765F" w:rsidRPr="002D6014" w:rsidRDefault="001A67E6" w:rsidP="0086284C">
      <w:pPr>
        <w:pStyle w:val="ListParagraph"/>
        <w:numPr>
          <w:ilvl w:val="0"/>
          <w:numId w:val="25"/>
        </w:numPr>
        <w:tabs>
          <w:tab w:val="clear" w:pos="567"/>
        </w:tabs>
        <w:contextualSpacing w:val="0"/>
        <w:rPr>
          <w:rFonts w:ascii="Arial" w:hAnsi="Arial" w:cs="Arial"/>
        </w:rPr>
      </w:pPr>
      <w:r w:rsidRPr="002D6014">
        <w:rPr>
          <w:rFonts w:ascii="Arial" w:hAnsi="Arial" w:cs="Arial"/>
        </w:rPr>
        <w:t xml:space="preserve">In the </w:t>
      </w:r>
      <w:r w:rsidRPr="002D6014">
        <w:rPr>
          <w:rFonts w:ascii="Arial" w:hAnsi="Arial" w:cs="Arial"/>
          <w:i/>
        </w:rPr>
        <w:t xml:space="preserve">Legislative Standards Act 1992 </w:t>
      </w:r>
      <w:r w:rsidRPr="002D6014">
        <w:rPr>
          <w:rFonts w:ascii="Arial" w:hAnsi="Arial" w:cs="Arial"/>
        </w:rPr>
        <w:t>th</w:t>
      </w:r>
      <w:r w:rsidR="009A765F" w:rsidRPr="002D6014">
        <w:rPr>
          <w:rFonts w:ascii="Arial" w:hAnsi="Arial" w:cs="Arial"/>
        </w:rPr>
        <w:t xml:space="preserve">e requirement for explanatory notes to include a ‘brief assessment of consistency’ </w:t>
      </w:r>
      <w:r w:rsidR="00C374CE" w:rsidRPr="002D6014">
        <w:rPr>
          <w:rFonts w:ascii="Arial" w:hAnsi="Arial" w:cs="Arial"/>
        </w:rPr>
        <w:t xml:space="preserve">be replaced </w:t>
      </w:r>
      <w:r w:rsidR="009A765F" w:rsidRPr="002D6014">
        <w:rPr>
          <w:rFonts w:ascii="Arial" w:hAnsi="Arial" w:cs="Arial"/>
        </w:rPr>
        <w:t xml:space="preserve">with a requirement of a ‘statement of compatibility </w:t>
      </w:r>
      <w:r w:rsidR="001B5E72" w:rsidRPr="002D6014">
        <w:rPr>
          <w:rFonts w:ascii="Arial" w:hAnsi="Arial" w:cs="Arial"/>
        </w:rPr>
        <w:t>‘with</w:t>
      </w:r>
      <w:r w:rsidR="009A765F" w:rsidRPr="002D6014">
        <w:rPr>
          <w:rFonts w:ascii="Arial" w:hAnsi="Arial" w:cs="Arial"/>
        </w:rPr>
        <w:t xml:space="preserve"> fundamental legislative principl</w:t>
      </w:r>
      <w:r w:rsidRPr="002D6014">
        <w:rPr>
          <w:rFonts w:ascii="Arial" w:hAnsi="Arial" w:cs="Arial"/>
        </w:rPr>
        <w:t>es for all Bills and amendments.</w:t>
      </w:r>
    </w:p>
    <w:p w:rsidR="009A765F" w:rsidRPr="002D6014" w:rsidRDefault="00C374CE" w:rsidP="0086284C">
      <w:pPr>
        <w:pStyle w:val="ListParagraph"/>
        <w:numPr>
          <w:ilvl w:val="0"/>
          <w:numId w:val="25"/>
        </w:numPr>
        <w:tabs>
          <w:tab w:val="clear" w:pos="567"/>
        </w:tabs>
        <w:contextualSpacing w:val="0"/>
        <w:rPr>
          <w:rFonts w:ascii="Arial" w:hAnsi="Arial" w:cs="Arial"/>
        </w:rPr>
      </w:pPr>
      <w:r w:rsidRPr="002D6014">
        <w:rPr>
          <w:rFonts w:ascii="Arial" w:hAnsi="Arial" w:cs="Arial"/>
        </w:rPr>
        <w:t>U</w:t>
      </w:r>
      <w:r w:rsidR="009A765F" w:rsidRPr="002D6014">
        <w:rPr>
          <w:rFonts w:ascii="Arial" w:hAnsi="Arial" w:cs="Arial"/>
        </w:rPr>
        <w:t xml:space="preserve">nder the </w:t>
      </w:r>
      <w:r w:rsidR="009A765F" w:rsidRPr="002D6014">
        <w:rPr>
          <w:rFonts w:ascii="Arial" w:hAnsi="Arial" w:cs="Arial"/>
          <w:i/>
        </w:rPr>
        <w:t>Parliament of Queensland Act 2001</w:t>
      </w:r>
      <w:r w:rsidR="009A765F" w:rsidRPr="002D6014">
        <w:rPr>
          <w:rFonts w:ascii="Arial" w:hAnsi="Arial" w:cs="Arial"/>
        </w:rPr>
        <w:t xml:space="preserve"> a separate specialist bipartisan committee (a Human Rights Committee) </w:t>
      </w:r>
      <w:r w:rsidRPr="002D6014">
        <w:rPr>
          <w:rFonts w:ascii="Arial" w:hAnsi="Arial" w:cs="Arial"/>
        </w:rPr>
        <w:t xml:space="preserve">be established </w:t>
      </w:r>
      <w:r w:rsidR="009A765F" w:rsidRPr="002D6014">
        <w:rPr>
          <w:rFonts w:ascii="Arial" w:hAnsi="Arial" w:cs="Arial"/>
        </w:rPr>
        <w:t>with roles to include the examination of all Bills and subordinate legislation for compatibility with fundamental legislative principles.</w:t>
      </w:r>
    </w:p>
    <w:p w:rsidR="009A765F" w:rsidRPr="002D6014" w:rsidRDefault="00C374CE" w:rsidP="0086284C">
      <w:pPr>
        <w:pStyle w:val="ListParagraph"/>
        <w:numPr>
          <w:ilvl w:val="0"/>
          <w:numId w:val="25"/>
        </w:numPr>
        <w:tabs>
          <w:tab w:val="clear" w:pos="567"/>
        </w:tabs>
        <w:contextualSpacing w:val="0"/>
        <w:rPr>
          <w:rFonts w:cstheme="minorHAnsi"/>
        </w:rPr>
      </w:pPr>
      <w:r w:rsidRPr="002D6014">
        <w:rPr>
          <w:rFonts w:ascii="Arial" w:hAnsi="Arial" w:cs="Arial"/>
        </w:rPr>
        <w:t>T</w:t>
      </w:r>
      <w:r w:rsidR="009A765F" w:rsidRPr="002D6014">
        <w:rPr>
          <w:rFonts w:ascii="Arial" w:hAnsi="Arial" w:cs="Arial"/>
        </w:rPr>
        <w:t xml:space="preserve">he </w:t>
      </w:r>
      <w:r w:rsidR="009A765F" w:rsidRPr="002D6014">
        <w:rPr>
          <w:rFonts w:ascii="Arial" w:hAnsi="Arial" w:cs="Arial"/>
          <w:i/>
        </w:rPr>
        <w:t>Parliament of Queensland Act 2001</w:t>
      </w:r>
      <w:r w:rsidR="009A765F" w:rsidRPr="002D6014">
        <w:rPr>
          <w:rFonts w:ascii="Arial" w:hAnsi="Arial" w:cs="Arial"/>
        </w:rPr>
        <w:t xml:space="preserve"> </w:t>
      </w:r>
      <w:r w:rsidRPr="002D6014">
        <w:rPr>
          <w:rFonts w:ascii="Arial" w:hAnsi="Arial" w:cs="Arial"/>
        </w:rPr>
        <w:t xml:space="preserve">be amended </w:t>
      </w:r>
      <w:r w:rsidR="009A765F" w:rsidRPr="002D6014">
        <w:rPr>
          <w:rFonts w:ascii="Arial" w:hAnsi="Arial" w:cs="Arial"/>
        </w:rPr>
        <w:t>to require the Member promoting a Bill to respond to any recommendations or concerns raised by the specialist human rights committee</w:t>
      </w:r>
      <w:r w:rsidR="009A765F" w:rsidRPr="002D6014">
        <w:rPr>
          <w:rFonts w:cstheme="minorHAnsi"/>
        </w:rPr>
        <w:t>.</w:t>
      </w:r>
    </w:p>
    <w:p w:rsidR="009A765F" w:rsidRPr="002D6014" w:rsidRDefault="009A765F" w:rsidP="0086284C">
      <w:pPr>
        <w:pStyle w:val="ListParagraph"/>
        <w:numPr>
          <w:ilvl w:val="0"/>
          <w:numId w:val="25"/>
        </w:numPr>
        <w:tabs>
          <w:tab w:val="clear" w:pos="567"/>
        </w:tabs>
        <w:contextualSpacing w:val="0"/>
        <w:rPr>
          <w:rFonts w:cstheme="minorHAnsi"/>
        </w:rPr>
      </w:pPr>
      <w:r w:rsidRPr="002D6014">
        <w:rPr>
          <w:rFonts w:ascii="Arial" w:eastAsia="Times New Roman" w:hAnsi="Arial" w:cs="Arial"/>
          <w:color w:val="000000"/>
        </w:rPr>
        <w:t xml:space="preserve">The </w:t>
      </w:r>
      <w:r w:rsidRPr="002D6014">
        <w:rPr>
          <w:rFonts w:ascii="Arial" w:eastAsia="Times New Roman" w:hAnsi="Arial" w:cs="Arial"/>
          <w:i/>
          <w:color w:val="000000"/>
        </w:rPr>
        <w:t>Judicial Review Act</w:t>
      </w:r>
      <w:r w:rsidRPr="002D6014">
        <w:rPr>
          <w:rFonts w:ascii="Arial" w:eastAsia="Times New Roman" w:hAnsi="Arial" w:cs="Arial"/>
          <w:color w:val="000000"/>
        </w:rPr>
        <w:t xml:space="preserve"> 1991 be amended to make </w:t>
      </w:r>
      <w:r w:rsidR="00F16A47" w:rsidRPr="002D6014">
        <w:rPr>
          <w:rFonts w:ascii="Arial" w:eastAsia="Times New Roman" w:hAnsi="Arial" w:cs="Arial"/>
          <w:color w:val="000000"/>
        </w:rPr>
        <w:t>listed</w:t>
      </w:r>
      <w:r w:rsidRPr="002D6014">
        <w:rPr>
          <w:rFonts w:ascii="Arial" w:eastAsia="Times New Roman" w:hAnsi="Arial" w:cs="Arial"/>
          <w:color w:val="000000"/>
        </w:rPr>
        <w:t xml:space="preserve"> human rights obligations a relevant consideration in government decision making</w:t>
      </w:r>
      <w:r w:rsidRPr="002D6014">
        <w:rPr>
          <w:rFonts w:cs="Arial"/>
        </w:rPr>
        <w:t>.</w:t>
      </w:r>
    </w:p>
    <w:p w:rsidR="009A765F" w:rsidRPr="002D6014" w:rsidRDefault="009A765F" w:rsidP="0086284C">
      <w:pPr>
        <w:pStyle w:val="ListParagraph"/>
        <w:numPr>
          <w:ilvl w:val="0"/>
          <w:numId w:val="25"/>
        </w:numPr>
        <w:tabs>
          <w:tab w:val="clear" w:pos="567"/>
        </w:tabs>
        <w:contextualSpacing w:val="0"/>
        <w:rPr>
          <w:rFonts w:cstheme="minorHAnsi"/>
        </w:rPr>
      </w:pPr>
      <w:r w:rsidRPr="002D6014">
        <w:rPr>
          <w:rFonts w:cstheme="minorHAnsi"/>
        </w:rPr>
        <w:t xml:space="preserve">The </w:t>
      </w:r>
      <w:r w:rsidRPr="002D6014">
        <w:rPr>
          <w:rFonts w:cstheme="minorHAnsi"/>
          <w:i/>
          <w:iCs/>
        </w:rPr>
        <w:t xml:space="preserve">Acts Interpretation Act </w:t>
      </w:r>
      <w:r w:rsidR="00870A64" w:rsidRPr="002D6014">
        <w:rPr>
          <w:rFonts w:cstheme="minorHAnsi"/>
          <w:i/>
          <w:iCs/>
        </w:rPr>
        <w:t>1954</w:t>
      </w:r>
      <w:r w:rsidRPr="002D6014">
        <w:rPr>
          <w:rFonts w:cstheme="minorHAnsi"/>
        </w:rPr>
        <w:t xml:space="preserve"> be amended to require that, as far as it is possible to do so consistently with the legislation’s purpose, all state legislation be interpreted in a way that is compatible with </w:t>
      </w:r>
      <w:r w:rsidR="00F16A47" w:rsidRPr="002D6014">
        <w:rPr>
          <w:rFonts w:cstheme="minorHAnsi"/>
        </w:rPr>
        <w:t>listed</w:t>
      </w:r>
      <w:r w:rsidRPr="002D6014">
        <w:rPr>
          <w:rFonts w:cstheme="minorHAnsi"/>
        </w:rPr>
        <w:t xml:space="preserve"> human rights obligations</w:t>
      </w:r>
      <w:r w:rsidR="001A67E6" w:rsidRPr="002D6014">
        <w:rPr>
          <w:rFonts w:cstheme="minorHAnsi"/>
        </w:rPr>
        <w:t>.</w:t>
      </w:r>
    </w:p>
    <w:p w:rsidR="007B5FC4" w:rsidRPr="002D6014" w:rsidRDefault="0086284C" w:rsidP="0086284C">
      <w:r w:rsidRPr="002D6014">
        <w:t>The Commission thanks the Legal Affairs and Community Safety Committee for the opportunity to make this submission</w:t>
      </w:r>
    </w:p>
    <w:p w:rsidR="0086284C" w:rsidRPr="002D6014" w:rsidRDefault="0086284C" w:rsidP="0086284C">
      <w:pPr>
        <w:ind w:left="1134" w:hanging="567"/>
        <w:rPr>
          <w:b/>
        </w:rPr>
      </w:pPr>
    </w:p>
    <w:p w:rsidR="0086284C" w:rsidRPr="002D6014" w:rsidRDefault="0086284C" w:rsidP="0086284C">
      <w:pPr>
        <w:ind w:left="567" w:hanging="567"/>
        <w:rPr>
          <w:b/>
        </w:rPr>
        <w:sectPr w:rsidR="0086284C" w:rsidRPr="002D6014" w:rsidSect="002F1ADC">
          <w:headerReference w:type="first" r:id="rId13"/>
          <w:footerReference w:type="first" r:id="rId14"/>
          <w:pgSz w:w="11907" w:h="16839" w:code="9"/>
          <w:pgMar w:top="1134" w:right="1327" w:bottom="1418" w:left="1559" w:header="709" w:footer="737" w:gutter="0"/>
          <w:pgNumType w:start="1"/>
          <w:cols w:space="708"/>
          <w:titlePg/>
          <w:docGrid w:linePitch="360"/>
        </w:sectPr>
      </w:pPr>
    </w:p>
    <w:p w:rsidR="008E40D2" w:rsidRPr="002D6014" w:rsidRDefault="00632BB9" w:rsidP="001B5E72">
      <w:pPr>
        <w:pStyle w:val="Heading1"/>
      </w:pPr>
      <w:bookmarkStart w:id="60" w:name="_Toc448747796"/>
      <w:r w:rsidRPr="002D6014">
        <w:lastRenderedPageBreak/>
        <w:t xml:space="preserve">Examples of </w:t>
      </w:r>
      <w:r w:rsidR="00BC627E" w:rsidRPr="002D6014">
        <w:t>C</w:t>
      </w:r>
      <w:r w:rsidR="007C2909" w:rsidRPr="002D6014">
        <w:t>ases</w:t>
      </w:r>
      <w:r w:rsidR="008E40D2" w:rsidRPr="002D6014">
        <w:t xml:space="preserve"> </w:t>
      </w:r>
      <w:r w:rsidR="00BC627E" w:rsidRPr="002D6014">
        <w:t>that have used</w:t>
      </w:r>
      <w:r w:rsidR="008E40D2" w:rsidRPr="002D6014">
        <w:t xml:space="preserve"> human rights legislation</w:t>
      </w:r>
      <w:bookmarkEnd w:id="60"/>
    </w:p>
    <w:p w:rsidR="008E40D2" w:rsidRPr="002D6014" w:rsidRDefault="008E40D2" w:rsidP="001B5E72">
      <w:pPr>
        <w:pStyle w:val="Heading2"/>
      </w:pPr>
      <w:bookmarkStart w:id="61" w:name="_Toc448747797"/>
      <w:r w:rsidRPr="002D6014">
        <w:t>Helping an older couple live in the same care home</w:t>
      </w:r>
      <w:bookmarkEnd w:id="61"/>
    </w:p>
    <w:p w:rsidR="008E40D2" w:rsidRPr="002D6014" w:rsidRDefault="008E40D2" w:rsidP="005D03A5">
      <w:pPr>
        <w:rPr>
          <w:rFonts w:cstheme="minorHAnsi"/>
          <w:i/>
        </w:rPr>
      </w:pPr>
      <w:r w:rsidRPr="002D6014">
        <w:rPr>
          <w:rFonts w:cstheme="minorHAnsi"/>
          <w:i/>
        </w:rPr>
        <w:t>Helping an older couple live in the same care home. An advocacy example, without court action</w:t>
      </w:r>
    </w:p>
    <w:p w:rsidR="008E40D2" w:rsidRPr="002D6014" w:rsidRDefault="008E40D2" w:rsidP="005D03A5">
      <w:pPr>
        <w:pStyle w:val="NormalWeb"/>
        <w:spacing w:before="0" w:beforeAutospacing="0" w:after="240"/>
        <w:rPr>
          <w:rFonts w:asciiTheme="minorHAnsi" w:hAnsiTheme="minorHAnsi" w:cstheme="minorHAnsi"/>
          <w:sz w:val="22"/>
          <w:szCs w:val="22"/>
        </w:rPr>
      </w:pPr>
      <w:r w:rsidRPr="002D6014">
        <w:rPr>
          <w:rFonts w:asciiTheme="minorHAnsi" w:hAnsiTheme="minorHAnsi" w:cstheme="minorHAnsi"/>
          <w:sz w:val="22"/>
          <w:szCs w:val="22"/>
        </w:rPr>
        <w:t>Dora and Simon had been married for 59 years. Dora was blind and had recently developed Alzheimer’s. She and Simon were injured in a fall at home, and Simon was no longer able to care for her while he recovered. During this time, Dora was moved into a local publically funded nursing home.</w:t>
      </w:r>
    </w:p>
    <w:p w:rsidR="008E40D2" w:rsidRPr="002D6014" w:rsidRDefault="008E40D2" w:rsidP="005D03A5">
      <w:pPr>
        <w:pStyle w:val="NormalWeb"/>
        <w:spacing w:before="0" w:beforeAutospacing="0" w:after="240"/>
        <w:rPr>
          <w:rFonts w:asciiTheme="minorHAnsi" w:hAnsiTheme="minorHAnsi" w:cstheme="minorHAnsi"/>
          <w:sz w:val="22"/>
          <w:szCs w:val="22"/>
        </w:rPr>
      </w:pPr>
      <w:r w:rsidRPr="002D6014">
        <w:rPr>
          <w:rFonts w:asciiTheme="minorHAnsi" w:hAnsiTheme="minorHAnsi" w:cstheme="minorHAnsi"/>
          <w:sz w:val="22"/>
          <w:szCs w:val="22"/>
        </w:rPr>
        <w:t>It became clear that Dora would have to stay in a nursing home, but Simon visited her every day. However, their relationship was threatened when the local authority decided to move Dora into a permanent nursing home that was too far away for Simon and their children to visit.</w:t>
      </w:r>
    </w:p>
    <w:p w:rsidR="008E40D2" w:rsidRPr="002D6014" w:rsidRDefault="008E40D2" w:rsidP="005D03A5">
      <w:pPr>
        <w:pStyle w:val="NormalWeb"/>
        <w:spacing w:before="0" w:beforeAutospacing="0" w:after="240"/>
        <w:rPr>
          <w:rFonts w:asciiTheme="minorHAnsi" w:hAnsiTheme="minorHAnsi" w:cstheme="minorHAnsi"/>
          <w:sz w:val="22"/>
          <w:szCs w:val="22"/>
        </w:rPr>
      </w:pPr>
      <w:r w:rsidRPr="002D6014">
        <w:rPr>
          <w:rFonts w:asciiTheme="minorHAnsi" w:hAnsiTheme="minorHAnsi" w:cstheme="minorHAnsi"/>
          <w:sz w:val="22"/>
          <w:szCs w:val="22"/>
        </w:rPr>
        <w:t>Simon contacted Counsel and Care. They helped Simon to challenge the decision to move Dora on the basis that his and Dora’s right to family life under Article 8 of the Human Rights Act was threatened by the move and the local authority needed to consider this right when making their decision. This helped Simon to persuade social services to allow Dora to remain in the nursing home close to her family and to Simon.</w:t>
      </w:r>
    </w:p>
    <w:p w:rsidR="008E40D2" w:rsidRPr="002D6014" w:rsidRDefault="008E40D2" w:rsidP="005D03A5">
      <w:pPr>
        <w:pStyle w:val="NormalWeb"/>
        <w:spacing w:before="0" w:beforeAutospacing="0" w:after="240"/>
        <w:rPr>
          <w:rFonts w:asciiTheme="minorHAnsi" w:hAnsiTheme="minorHAnsi" w:cstheme="minorHAnsi"/>
          <w:sz w:val="22"/>
          <w:szCs w:val="22"/>
        </w:rPr>
      </w:pPr>
      <w:r w:rsidRPr="002D6014">
        <w:rPr>
          <w:rFonts w:asciiTheme="minorHAnsi" w:hAnsiTheme="minorHAnsi" w:cstheme="minorHAnsi"/>
          <w:sz w:val="22"/>
          <w:szCs w:val="22"/>
        </w:rPr>
        <w:t>Source: BIHR &amp; EDF ‘Human Rights and Equality in the Voluntary Sector’ (2010)</w:t>
      </w:r>
    </w:p>
    <w:p w:rsidR="008E40D2" w:rsidRPr="002D6014" w:rsidRDefault="008E40D2" w:rsidP="001B5E72">
      <w:pPr>
        <w:pStyle w:val="Heading2"/>
      </w:pPr>
      <w:bookmarkStart w:id="62" w:name="_Toc448747798"/>
      <w:r w:rsidRPr="002D6014">
        <w:t>Reuniting separated older couple</w:t>
      </w:r>
      <w:bookmarkEnd w:id="62"/>
    </w:p>
    <w:p w:rsidR="008E40D2" w:rsidRPr="002D6014" w:rsidRDefault="008E40D2" w:rsidP="005D03A5">
      <w:pPr>
        <w:rPr>
          <w:rFonts w:cstheme="minorHAnsi"/>
          <w:i/>
        </w:rPr>
      </w:pPr>
      <w:r w:rsidRPr="002D6014">
        <w:rPr>
          <w:rFonts w:cstheme="minorHAnsi"/>
          <w:i/>
        </w:rPr>
        <w:t>Protecting the right to family life of an older couple who relied completely on each other. An advocacy example, without court action</w:t>
      </w:r>
    </w:p>
    <w:p w:rsidR="008E40D2" w:rsidRPr="002D6014" w:rsidRDefault="008E40D2" w:rsidP="005D03A5">
      <w:pPr>
        <w:pStyle w:val="NormalWeb"/>
        <w:spacing w:before="0" w:beforeAutospacing="0" w:after="240"/>
        <w:rPr>
          <w:rFonts w:asciiTheme="minorHAnsi" w:hAnsiTheme="minorHAnsi" w:cstheme="minorHAnsi"/>
          <w:sz w:val="22"/>
          <w:szCs w:val="22"/>
        </w:rPr>
      </w:pPr>
      <w:r w:rsidRPr="002D6014">
        <w:rPr>
          <w:rFonts w:asciiTheme="minorHAnsi" w:hAnsiTheme="minorHAnsi" w:cstheme="minorHAnsi"/>
          <w:sz w:val="22"/>
          <w:szCs w:val="22"/>
        </w:rPr>
        <w:t>Beryll and Richard Driscoll had been married for over 65 years. They had spent very little time apart and by 2006 she was blind and he could not walk unaided. He was her eyes and she helped him to walk. When Mr Driscoll fell ill, the local authority moved him to a residential care home. Mrs Driscoll was not allowed to go with him, as she did not fit the criteria, and they only saw each other twice a week for 7 months.</w:t>
      </w:r>
    </w:p>
    <w:p w:rsidR="008E40D2" w:rsidRPr="002D6014" w:rsidRDefault="008E40D2" w:rsidP="005D03A5">
      <w:pPr>
        <w:pStyle w:val="NormalWeb"/>
        <w:spacing w:before="0" w:beforeAutospacing="0" w:after="240"/>
        <w:rPr>
          <w:rFonts w:asciiTheme="minorHAnsi" w:hAnsiTheme="minorHAnsi" w:cstheme="minorHAnsi"/>
          <w:sz w:val="22"/>
          <w:szCs w:val="22"/>
        </w:rPr>
      </w:pPr>
      <w:r w:rsidRPr="002D6014">
        <w:rPr>
          <w:rFonts w:asciiTheme="minorHAnsi" w:hAnsiTheme="minorHAnsi" w:cstheme="minorHAnsi"/>
          <w:sz w:val="22"/>
          <w:szCs w:val="22"/>
        </w:rPr>
        <w:t>Speaking to the media, she said ‘We have never been separated in all our years and for it to happen now, when we need each other so much, is so upsetting. I am lost without him – we were a partnership’.</w:t>
      </w:r>
    </w:p>
    <w:p w:rsidR="008E40D2" w:rsidRPr="002D6014" w:rsidRDefault="008E40D2" w:rsidP="005D03A5">
      <w:pPr>
        <w:pStyle w:val="NormalWeb"/>
        <w:spacing w:before="0" w:beforeAutospacing="0" w:after="240"/>
        <w:rPr>
          <w:rFonts w:asciiTheme="minorHAnsi" w:hAnsiTheme="minorHAnsi" w:cstheme="minorHAnsi"/>
          <w:sz w:val="22"/>
          <w:szCs w:val="22"/>
        </w:rPr>
      </w:pPr>
      <w:r w:rsidRPr="002D6014">
        <w:rPr>
          <w:rFonts w:asciiTheme="minorHAnsi" w:hAnsiTheme="minorHAnsi" w:cstheme="minorHAnsi"/>
          <w:sz w:val="22"/>
          <w:szCs w:val="22"/>
        </w:rPr>
        <w:t>A public campaign launched by the family, supported by the media and various human rights experts, and older people’s organisations, argued that the local authority had breached the couple’s right to respect for family life (Article 8). The authority agreed to reverse its decision and offered the wife a subsidised place so that she could join her husband in the care home.</w:t>
      </w:r>
    </w:p>
    <w:p w:rsidR="008E40D2" w:rsidRPr="002D6014" w:rsidRDefault="008E40D2" w:rsidP="001B5E72">
      <w:pPr>
        <w:pStyle w:val="Heading2"/>
      </w:pPr>
      <w:bookmarkStart w:id="63" w:name="_Toc448747799"/>
      <w:r w:rsidRPr="002D6014">
        <w:t>Supporting an older woman strapped into her wheelchair against her wishes</w:t>
      </w:r>
      <w:bookmarkEnd w:id="63"/>
    </w:p>
    <w:p w:rsidR="008E40D2" w:rsidRPr="002D6014" w:rsidRDefault="008E40D2" w:rsidP="005D03A5">
      <w:pPr>
        <w:rPr>
          <w:rFonts w:cstheme="minorHAnsi"/>
          <w:i/>
        </w:rPr>
      </w:pPr>
      <w:r w:rsidRPr="002D6014">
        <w:rPr>
          <w:rFonts w:cstheme="minorHAnsi"/>
          <w:i/>
        </w:rPr>
        <w:t>Challenging the use of restraint on an older woman in hospital. An advocacy example, without court action.</w:t>
      </w:r>
    </w:p>
    <w:p w:rsidR="008E40D2" w:rsidRPr="002D6014" w:rsidRDefault="008E40D2" w:rsidP="005D03A5">
      <w:pPr>
        <w:pStyle w:val="NormalWeb"/>
        <w:spacing w:before="0" w:beforeAutospacing="0" w:after="240"/>
        <w:rPr>
          <w:rFonts w:asciiTheme="minorHAnsi" w:hAnsiTheme="minorHAnsi" w:cstheme="minorHAnsi"/>
          <w:sz w:val="22"/>
          <w:szCs w:val="22"/>
        </w:rPr>
      </w:pPr>
      <w:r w:rsidRPr="002D6014">
        <w:rPr>
          <w:rFonts w:asciiTheme="minorHAnsi" w:hAnsiTheme="minorHAnsi" w:cstheme="minorHAnsi"/>
          <w:sz w:val="22"/>
          <w:szCs w:val="22"/>
        </w:rPr>
        <w:t xml:space="preserve">During her afternoon ward round at a London hospital, a consultant came across an older woman, Mrs. Jones, who was crying out in distress. Mrs. Jones was in a wheelchair and </w:t>
      </w:r>
      <w:r w:rsidRPr="002D6014">
        <w:rPr>
          <w:rFonts w:asciiTheme="minorHAnsi" w:hAnsiTheme="minorHAnsi" w:cstheme="minorHAnsi"/>
          <w:sz w:val="22"/>
          <w:szCs w:val="22"/>
        </w:rPr>
        <w:lastRenderedPageBreak/>
        <w:t>when the consultant looked more closely, she discovered that she had been strapped in, and this was the reason for her distress. The consultant asked staff why the woman was being restrained in this way. They explained that they had strapped her into the wheelchair to stop her walking around, because they were worried she might fall over and hurt herself. The consultant told staff that while their concerns were understandable, strapping Mrs. Jones into a wheelchair for long periods was not an appropriate response, because her human rights, and in particular her right to be free from inhuman and degrading treatment (Article 3) had not been taken into account. Staff quickly agreed to unstrap Mrs. Jones and, after she was assessed by a physiotherapist, they were encouraged to actively support her to improve her mobility</w:t>
      </w:r>
    </w:p>
    <w:p w:rsidR="008E40D2" w:rsidRPr="002D6014" w:rsidRDefault="008E40D2" w:rsidP="001B5E72">
      <w:pPr>
        <w:pStyle w:val="Heading2"/>
      </w:pPr>
      <w:bookmarkStart w:id="64" w:name="_Toc448747800"/>
      <w:r w:rsidRPr="002D6014">
        <w:t>Investigating unexplained bruising on a boy living in a care home</w:t>
      </w:r>
      <w:bookmarkEnd w:id="64"/>
    </w:p>
    <w:p w:rsidR="008E40D2" w:rsidRPr="002D6014" w:rsidRDefault="008E40D2" w:rsidP="005D03A5">
      <w:pPr>
        <w:rPr>
          <w:rFonts w:cstheme="minorHAnsi"/>
          <w:i/>
        </w:rPr>
      </w:pPr>
      <w:r w:rsidRPr="002D6014">
        <w:rPr>
          <w:rFonts w:cstheme="minorHAnsi"/>
          <w:i/>
        </w:rPr>
        <w:t>Challenging the treatment of a young man in residential care. An advocacy example, without court action.</w:t>
      </w:r>
    </w:p>
    <w:p w:rsidR="008E40D2" w:rsidRPr="002D6014" w:rsidRDefault="008E40D2" w:rsidP="005D03A5">
      <w:pPr>
        <w:pStyle w:val="NormalWeb"/>
        <w:spacing w:before="0" w:beforeAutospacing="0" w:after="240"/>
        <w:rPr>
          <w:rFonts w:asciiTheme="minorHAnsi" w:hAnsiTheme="minorHAnsi" w:cstheme="minorHAnsi"/>
          <w:sz w:val="22"/>
          <w:szCs w:val="22"/>
        </w:rPr>
      </w:pPr>
      <w:r w:rsidRPr="002D6014">
        <w:rPr>
          <w:rFonts w:asciiTheme="minorHAnsi" w:hAnsiTheme="minorHAnsi" w:cstheme="minorHAnsi"/>
          <w:sz w:val="22"/>
          <w:szCs w:val="22"/>
        </w:rPr>
        <w:t>Amrit is a young man who was placed in residential care on a short-term basis, due to mental health problems. During a visit one day, his parents noticed bruising on his body, which no one seemed to be able to explain. They raised the issue with the managers at the home but their concerns were dismissed. They were also told that they were no longer permitted to visit Amrit. After participating in a BIHR training session the parents approached the care home once again and invoked Amrit’s right not to be treated in an inhuman and degrading way (Article 3) and their own right to respect for family life (Article 8). As a result, the ban on their visits was revoked and an investigation was conducted into the bruising on their son’s body.</w:t>
      </w:r>
    </w:p>
    <w:p w:rsidR="00481200" w:rsidRPr="002D6014" w:rsidRDefault="00481200" w:rsidP="001B5E72">
      <w:pPr>
        <w:pStyle w:val="Heading2"/>
      </w:pPr>
      <w:bookmarkStart w:id="65" w:name="_Toc448747801"/>
      <w:r w:rsidRPr="002D6014">
        <w:t xml:space="preserve">Securing </w:t>
      </w:r>
      <w:r w:rsidRPr="00D95D9E">
        <w:t>safe</w:t>
      </w:r>
      <w:r w:rsidRPr="002D6014">
        <w:t xml:space="preserve"> housing for a family fleeing domestic violence</w:t>
      </w:r>
      <w:bookmarkEnd w:id="65"/>
    </w:p>
    <w:p w:rsidR="00481200" w:rsidRPr="002D6014" w:rsidRDefault="00481200" w:rsidP="005D03A5">
      <w:pPr>
        <w:rPr>
          <w:rFonts w:cstheme="minorHAnsi"/>
          <w:i/>
        </w:rPr>
      </w:pPr>
      <w:r w:rsidRPr="002D6014">
        <w:rPr>
          <w:rFonts w:cstheme="minorHAnsi"/>
          <w:i/>
        </w:rPr>
        <w:t>Using the Human Rights Act to ensure that a mother and her children, who have fled domestic violence, are supported by social services to access safe housing. An advocacy example, without court action.</w:t>
      </w:r>
    </w:p>
    <w:p w:rsidR="00481200" w:rsidRPr="002D6014" w:rsidRDefault="00481200" w:rsidP="005D03A5">
      <w:pPr>
        <w:pStyle w:val="NormalWeb"/>
        <w:spacing w:before="0" w:beforeAutospacing="0" w:after="240"/>
        <w:rPr>
          <w:rFonts w:asciiTheme="minorHAnsi" w:hAnsiTheme="minorHAnsi" w:cstheme="minorHAnsi"/>
          <w:sz w:val="22"/>
          <w:szCs w:val="22"/>
        </w:rPr>
      </w:pPr>
      <w:r w:rsidRPr="002D6014">
        <w:rPr>
          <w:rFonts w:asciiTheme="minorHAnsi" w:hAnsiTheme="minorHAnsi" w:cstheme="minorHAnsi"/>
          <w:sz w:val="22"/>
          <w:szCs w:val="22"/>
        </w:rPr>
        <w:t>Yolande and her children were fleeing domestic violence, and her husband’s attempts to track them down as they moved from town to town across the UK. Time and again the family would be uprooted, having to move on every time he discovered their whereabouts.</w:t>
      </w:r>
    </w:p>
    <w:p w:rsidR="00481200" w:rsidRPr="002D6014" w:rsidRDefault="00481200" w:rsidP="005D03A5">
      <w:pPr>
        <w:pStyle w:val="NormalWeb"/>
        <w:spacing w:before="0" w:beforeAutospacing="0" w:after="240"/>
        <w:rPr>
          <w:rFonts w:asciiTheme="minorHAnsi" w:hAnsiTheme="minorHAnsi" w:cstheme="minorHAnsi"/>
          <w:sz w:val="22"/>
          <w:szCs w:val="22"/>
        </w:rPr>
      </w:pPr>
      <w:r w:rsidRPr="002D6014">
        <w:rPr>
          <w:rFonts w:asciiTheme="minorHAnsi" w:hAnsiTheme="minorHAnsi" w:cstheme="minorHAnsi"/>
          <w:sz w:val="22"/>
          <w:szCs w:val="22"/>
        </w:rPr>
        <w:t>Eventually, they arrived in London, and were referred to social services in their borough. However, what could have been the family’s first reprieve after months of uncertainty and fear turned into another ordeal in itself.</w:t>
      </w:r>
    </w:p>
    <w:p w:rsidR="00481200" w:rsidRPr="002D6014" w:rsidRDefault="00481200" w:rsidP="005D03A5">
      <w:pPr>
        <w:pStyle w:val="NormalWeb"/>
        <w:spacing w:before="0" w:beforeAutospacing="0" w:after="240"/>
        <w:rPr>
          <w:rFonts w:asciiTheme="minorHAnsi" w:hAnsiTheme="minorHAnsi" w:cstheme="minorHAnsi"/>
          <w:sz w:val="22"/>
          <w:szCs w:val="22"/>
        </w:rPr>
      </w:pPr>
      <w:r w:rsidRPr="002D6014">
        <w:rPr>
          <w:rFonts w:asciiTheme="minorHAnsi" w:hAnsiTheme="minorHAnsi" w:cstheme="minorHAnsi"/>
          <w:sz w:val="22"/>
          <w:szCs w:val="22"/>
        </w:rPr>
        <w:t>Social workers told Yolande that the constant moving of her children meant she was an unfit parent and that she had made the family intentionally homeless. They said that they had no choice but to place her children in foster care.</w:t>
      </w:r>
    </w:p>
    <w:p w:rsidR="00481200" w:rsidRPr="002D6014" w:rsidRDefault="00481200" w:rsidP="005D03A5">
      <w:pPr>
        <w:pStyle w:val="NormalWeb"/>
        <w:spacing w:before="0" w:beforeAutospacing="0" w:after="240"/>
        <w:rPr>
          <w:rFonts w:asciiTheme="minorHAnsi" w:hAnsiTheme="minorHAnsi" w:cstheme="minorHAnsi"/>
          <w:sz w:val="22"/>
          <w:szCs w:val="22"/>
        </w:rPr>
      </w:pPr>
      <w:r w:rsidRPr="002D6014">
        <w:rPr>
          <w:rFonts w:asciiTheme="minorHAnsi" w:hAnsiTheme="minorHAnsi" w:cstheme="minorHAnsi"/>
          <w:sz w:val="22"/>
          <w:szCs w:val="22"/>
        </w:rPr>
        <w:t>Yolande sought independent advice from a charity working with women who have experienced domestic violence, who had been supported through BIHR training on the Human Rights Act. A support worker helped Yolande to challenge social services’ decision. Yolande said she thought the decision had failed to respect her own right to respect for family life (Article 8), and the right to family life of her children.</w:t>
      </w:r>
    </w:p>
    <w:p w:rsidR="00481200" w:rsidRPr="002D6014" w:rsidRDefault="00481200" w:rsidP="005D03A5">
      <w:pPr>
        <w:pStyle w:val="NormalWeb"/>
        <w:spacing w:before="0" w:beforeAutospacing="0" w:after="240"/>
        <w:rPr>
          <w:rFonts w:asciiTheme="minorHAnsi" w:hAnsiTheme="minorHAnsi" w:cstheme="minorHAnsi"/>
          <w:sz w:val="22"/>
          <w:szCs w:val="22"/>
        </w:rPr>
      </w:pPr>
      <w:r w:rsidRPr="002D6014">
        <w:rPr>
          <w:rFonts w:asciiTheme="minorHAnsi" w:hAnsiTheme="minorHAnsi" w:cstheme="minorHAnsi"/>
          <w:sz w:val="22"/>
          <w:szCs w:val="22"/>
        </w:rPr>
        <w:t xml:space="preserve">Looking at the situation from a human rights perspective helped change the conversation. Social services reconsidered the issue, taking the family’s human rights into account, and worked with Yolande and her children to find a suitable solution. They all agreed that the </w:t>
      </w:r>
      <w:r w:rsidRPr="002D6014">
        <w:rPr>
          <w:rFonts w:asciiTheme="minorHAnsi" w:hAnsiTheme="minorHAnsi" w:cstheme="minorHAnsi"/>
          <w:sz w:val="22"/>
          <w:szCs w:val="22"/>
        </w:rPr>
        <w:lastRenderedPageBreak/>
        <w:t>family would remain together, and that social services would help cover some of the essential costs of securing private rented accommodation.</w:t>
      </w:r>
    </w:p>
    <w:p w:rsidR="00481200" w:rsidRPr="002D6014" w:rsidRDefault="00481200" w:rsidP="005D03A5">
      <w:pPr>
        <w:pStyle w:val="NormalWeb"/>
        <w:spacing w:before="0" w:beforeAutospacing="0" w:after="240"/>
        <w:rPr>
          <w:rFonts w:asciiTheme="minorHAnsi" w:hAnsiTheme="minorHAnsi" w:cstheme="minorHAnsi"/>
          <w:sz w:val="22"/>
          <w:szCs w:val="22"/>
        </w:rPr>
      </w:pPr>
      <w:r w:rsidRPr="002D6014">
        <w:rPr>
          <w:rFonts w:asciiTheme="minorHAnsi" w:hAnsiTheme="minorHAnsi" w:cstheme="minorHAnsi"/>
          <w:sz w:val="22"/>
          <w:szCs w:val="22"/>
        </w:rPr>
        <w:t>For Yolande and her children, being supported to find a new home was an essential step in rebuilding a new life in safety after a distressing and turbulent time.</w:t>
      </w:r>
    </w:p>
    <w:p w:rsidR="008E40D2" w:rsidRPr="002D6014" w:rsidRDefault="008E40D2" w:rsidP="001B5E72">
      <w:pPr>
        <w:pStyle w:val="Heading2"/>
      </w:pPr>
      <w:bookmarkStart w:id="66" w:name="_Toc448747802"/>
      <w:r w:rsidRPr="002D6014">
        <w:t>Preventing a woman and her newborn baby being made homeless</w:t>
      </w:r>
      <w:bookmarkEnd w:id="66"/>
    </w:p>
    <w:p w:rsidR="008E40D2" w:rsidRPr="002D6014" w:rsidRDefault="008E40D2" w:rsidP="005D03A5">
      <w:pPr>
        <w:rPr>
          <w:rFonts w:cstheme="minorHAnsi"/>
          <w:i/>
        </w:rPr>
      </w:pPr>
      <w:r w:rsidRPr="002D6014">
        <w:rPr>
          <w:rFonts w:cstheme="minorHAnsi"/>
          <w:i/>
        </w:rPr>
        <w:t>Challenging a housing provider's decision to make a family homeless while the mother, a failed asylum seeker, was giving birth in hospital. An advocacy example, without court action</w:t>
      </w:r>
    </w:p>
    <w:p w:rsidR="008E40D2" w:rsidRPr="002D6014" w:rsidRDefault="008E40D2" w:rsidP="005D03A5">
      <w:pPr>
        <w:pStyle w:val="NormalWeb"/>
        <w:spacing w:before="0" w:beforeAutospacing="0" w:after="240"/>
        <w:rPr>
          <w:rFonts w:asciiTheme="minorHAnsi" w:hAnsiTheme="minorHAnsi" w:cstheme="minorHAnsi"/>
          <w:sz w:val="22"/>
          <w:szCs w:val="22"/>
        </w:rPr>
      </w:pPr>
      <w:r w:rsidRPr="002D6014">
        <w:rPr>
          <w:rFonts w:asciiTheme="minorHAnsi" w:hAnsiTheme="minorHAnsi" w:cstheme="minorHAnsi"/>
          <w:sz w:val="22"/>
          <w:szCs w:val="22"/>
        </w:rPr>
        <w:t>Lola, a pregnant woman who had been refused asylum, was living in government-arranged accommodation. She was issued a ‘termination of support’ notice while she was giving birth in hospital. She was a lone parent and this was her second child. The notice period expired while she was still in hospital and on returning home, she and her children faced eviction. After receiving BIHR training, a manager at a voluntary sector organisation supporting Lola suggested to the housing provider that evicting the family in these circumstances might breach their right not to be treated in an inhuman and degrading way (Article 3). The manager suggested that the housing provider reconsider its decision before taking enforcement action. The provider decided to amend the status of the notice, giving Lola’s voluntary sector advocate time to apply for further support for the family under section 4 of the Immigration and Asylum Act 1999. The application was successful and alternative accommodation for the family was secured.</w:t>
      </w:r>
    </w:p>
    <w:p w:rsidR="00481200" w:rsidRPr="002D6014" w:rsidRDefault="00481200" w:rsidP="001B5E72">
      <w:pPr>
        <w:pStyle w:val="Heading2"/>
      </w:pPr>
      <w:bookmarkStart w:id="67" w:name="_Toc448747803"/>
      <w:r w:rsidRPr="002D6014">
        <w:t>Supporting children to visit their mum in a mental health care home</w:t>
      </w:r>
      <w:bookmarkEnd w:id="67"/>
    </w:p>
    <w:p w:rsidR="00481200" w:rsidRPr="002D6014" w:rsidRDefault="00481200" w:rsidP="005D03A5">
      <w:pPr>
        <w:rPr>
          <w:rFonts w:cstheme="minorHAnsi"/>
          <w:i/>
        </w:rPr>
      </w:pPr>
      <w:r w:rsidRPr="002D6014">
        <w:rPr>
          <w:rFonts w:cstheme="minorHAnsi"/>
          <w:i/>
        </w:rPr>
        <w:t>Challenging a reduction in supported visits between two children and their mum, who was living in a mental health care home. An advocacy example, without court action.</w:t>
      </w:r>
    </w:p>
    <w:p w:rsidR="00481200" w:rsidRPr="002D6014" w:rsidRDefault="00481200" w:rsidP="005D03A5">
      <w:pPr>
        <w:rPr>
          <w:rFonts w:cstheme="minorHAnsi"/>
        </w:rPr>
      </w:pPr>
      <w:r w:rsidRPr="002D6014">
        <w:rPr>
          <w:rFonts w:cstheme="minorHAnsi"/>
        </w:rPr>
        <w:t xml:space="preserve">Kay, who has mental health problems, was struggling more and more after the death of her husband. She was placed in 24-hour supported care and her children, Jimmy and Jess were fostered. It was agreed that the children could visit their mum three times a week, but this gradually dwindled to one visit per week because the local authority did not have enough staff to supervise the visits. Both Kay and her children were very distressed by this. Kay’s advocate noted that the local children’s services department had not been invited to regular meetings to discuss Kay’s care, and that Jess and Jimmy’s interests were not being properly represented as a result. After attending a BIHR training session, the advocate referred to the children’s right to respect for family life (Article 8) in her discussions with the mental health team and convinced them to invite children’s services to the next meeting. Following this the three visits each week were restored. From this point onwards, the manager of the children’s care team personally saw to it that each visit took place as promised. Kay and her children have remained very close and recently were able to enjoy a holiday together. </w:t>
      </w:r>
    </w:p>
    <w:p w:rsidR="00481200" w:rsidRPr="002D6014" w:rsidRDefault="00481200" w:rsidP="001B5E72">
      <w:pPr>
        <w:pStyle w:val="Heading2"/>
      </w:pPr>
      <w:bookmarkStart w:id="68" w:name="_Toc448747804"/>
      <w:r w:rsidRPr="002D6014">
        <w:t>Getting justice for a war veteran unlawfully detained by the Council</w:t>
      </w:r>
      <w:bookmarkEnd w:id="68"/>
    </w:p>
    <w:p w:rsidR="00481200" w:rsidRPr="002D6014" w:rsidRDefault="00481200" w:rsidP="005D03A5">
      <w:pPr>
        <w:rPr>
          <w:rFonts w:cstheme="minorHAnsi"/>
          <w:i/>
        </w:rPr>
      </w:pPr>
      <w:r w:rsidRPr="002D6014">
        <w:rPr>
          <w:rFonts w:cstheme="minorHAnsi"/>
          <w:i/>
        </w:rPr>
        <w:t>Using the Human Rights Act to challenge the unlawful detention of a 91-year-old veteran.</w:t>
      </w:r>
    </w:p>
    <w:p w:rsidR="00481200" w:rsidRPr="002D6014" w:rsidRDefault="00481200" w:rsidP="005D03A5">
      <w:pPr>
        <w:pStyle w:val="NormalWeb"/>
        <w:spacing w:before="0" w:beforeAutospacing="0" w:after="240"/>
        <w:rPr>
          <w:rFonts w:asciiTheme="minorHAnsi" w:hAnsiTheme="minorHAnsi" w:cstheme="minorHAnsi"/>
          <w:sz w:val="22"/>
          <w:szCs w:val="22"/>
        </w:rPr>
      </w:pPr>
      <w:r w:rsidRPr="002D6014">
        <w:rPr>
          <w:rFonts w:asciiTheme="minorHAnsi" w:hAnsiTheme="minorHAnsi" w:cstheme="minorHAnsi"/>
          <w:sz w:val="22"/>
          <w:szCs w:val="22"/>
        </w:rPr>
        <w:t>Peter is a 91-year-old veteran of the Second World War. Peter has health problems, including dementia, but he likes living in his own home. He sees friends and enjoys looking after his pet cat Fluffy. </w:t>
      </w:r>
    </w:p>
    <w:p w:rsidR="00481200" w:rsidRPr="002D6014" w:rsidRDefault="00481200" w:rsidP="005D03A5">
      <w:pPr>
        <w:pStyle w:val="NormalWeb"/>
        <w:spacing w:before="0" w:beforeAutospacing="0" w:after="240"/>
        <w:rPr>
          <w:rFonts w:asciiTheme="minorHAnsi" w:hAnsiTheme="minorHAnsi" w:cstheme="minorHAnsi"/>
          <w:sz w:val="22"/>
          <w:szCs w:val="22"/>
        </w:rPr>
      </w:pPr>
      <w:r w:rsidRPr="002D6014">
        <w:rPr>
          <w:rFonts w:asciiTheme="minorHAnsi" w:hAnsiTheme="minorHAnsi" w:cstheme="minorHAnsi"/>
          <w:sz w:val="22"/>
          <w:szCs w:val="22"/>
        </w:rPr>
        <w:t xml:space="preserve">Some of Peter’s friends became concerned that Peter was being financially abused and they were worried about his ability to look after himself. His local council then took action which </w:t>
      </w:r>
      <w:r w:rsidRPr="002D6014">
        <w:rPr>
          <w:rFonts w:asciiTheme="minorHAnsi" w:hAnsiTheme="minorHAnsi" w:cstheme="minorHAnsi"/>
          <w:sz w:val="22"/>
          <w:szCs w:val="22"/>
        </w:rPr>
        <w:lastRenderedPageBreak/>
        <w:t>meant he was held in a locked unit for 17 months. Although the records said Peter went with them voluntarily, he was clearly reluctant to do so, and distressed. Facts are disputed but he is said to have been wearing his dressing gown at the time, without trousers or pyjama bottoms. </w:t>
      </w:r>
    </w:p>
    <w:p w:rsidR="00481200" w:rsidRPr="002D6014" w:rsidRDefault="00481200" w:rsidP="005D03A5">
      <w:pPr>
        <w:pStyle w:val="NormalWeb"/>
        <w:spacing w:before="0" w:beforeAutospacing="0" w:after="240"/>
        <w:rPr>
          <w:rFonts w:asciiTheme="minorHAnsi" w:hAnsiTheme="minorHAnsi" w:cstheme="minorHAnsi"/>
          <w:sz w:val="22"/>
          <w:szCs w:val="22"/>
        </w:rPr>
      </w:pPr>
      <w:r w:rsidRPr="002D6014">
        <w:rPr>
          <w:rFonts w:asciiTheme="minorHAnsi" w:hAnsiTheme="minorHAnsi" w:cstheme="minorHAnsi"/>
          <w:sz w:val="22"/>
          <w:szCs w:val="22"/>
        </w:rPr>
        <w:t>This case went to Court, where it was decided that the council's treatment of Peter amounted to breaches of his human rights to liberty and to respect for private and family life (Articles 5 and 8 of the HRA). These breaches were said to be made worse because had they not happened, Peter would have continued to live at home, where he was happy, with support. The council ended up giving Peter £60,000 in damages for false imprisonment. But most importantly, Peter was able to return home, reunited with Fluffy and his friends. He now has the right care support package and is reportedly happy and contented. </w:t>
      </w:r>
    </w:p>
    <w:p w:rsidR="00481200" w:rsidRPr="002D6014" w:rsidRDefault="00481200" w:rsidP="001B5E72">
      <w:pPr>
        <w:pStyle w:val="Heading2"/>
      </w:pPr>
      <w:bookmarkStart w:id="69" w:name="_Toc448747805"/>
      <w:r w:rsidRPr="002D6014">
        <w:t xml:space="preserve">Challenging </w:t>
      </w:r>
      <w:r w:rsidR="00285E61" w:rsidRPr="002D6014">
        <w:t>unannounced</w:t>
      </w:r>
      <w:r w:rsidRPr="002D6014">
        <w:t xml:space="preserve"> daily visits from social workers</w:t>
      </w:r>
      <w:bookmarkEnd w:id="69"/>
    </w:p>
    <w:p w:rsidR="00481200" w:rsidRPr="002D6014" w:rsidRDefault="00481200" w:rsidP="005D03A5">
      <w:pPr>
        <w:pStyle w:val="NormalWeb"/>
        <w:spacing w:before="0" w:beforeAutospacing="0" w:after="240"/>
        <w:rPr>
          <w:rFonts w:asciiTheme="minorHAnsi" w:hAnsiTheme="minorHAnsi" w:cstheme="minorHAnsi"/>
          <w:i/>
          <w:sz w:val="22"/>
          <w:szCs w:val="22"/>
        </w:rPr>
      </w:pPr>
      <w:r w:rsidRPr="002D6014">
        <w:rPr>
          <w:rFonts w:asciiTheme="minorHAnsi" w:hAnsiTheme="minorHAnsi" w:cstheme="minorHAnsi"/>
          <w:i/>
          <w:sz w:val="22"/>
          <w:szCs w:val="22"/>
        </w:rPr>
        <w:t>Using the Human Rights Act to challenge unannounced daily visits by social services to a learning disabled couple and their children. An advocacy example, without court action.</w:t>
      </w:r>
    </w:p>
    <w:p w:rsidR="00481200" w:rsidRPr="002D6014" w:rsidRDefault="00481200" w:rsidP="005D03A5">
      <w:pPr>
        <w:pStyle w:val="NormalWeb"/>
        <w:spacing w:before="0" w:beforeAutospacing="0" w:after="240"/>
        <w:rPr>
          <w:rFonts w:asciiTheme="minorHAnsi" w:hAnsiTheme="minorHAnsi" w:cstheme="minorHAnsi"/>
          <w:sz w:val="22"/>
          <w:szCs w:val="22"/>
        </w:rPr>
      </w:pPr>
      <w:r w:rsidRPr="002D6014">
        <w:rPr>
          <w:rFonts w:asciiTheme="minorHAnsi" w:hAnsiTheme="minorHAnsi" w:cstheme="minorHAnsi"/>
          <w:sz w:val="22"/>
          <w:szCs w:val="22"/>
        </w:rPr>
        <w:t>Priya and Sunil have two young children who they adore. They also both have learning disabilities. Social services wanted to make sure the children were safe and being well-cared for by Priya and Sunil. The decision to monitor the situation turned into staff arriving at the family’s home every day without warning. Priya and Sunil found this very distressing. They ended up being in a near constant state of anxiety and were frightened to open the door. Understandably, this had a real impact on their family time and it was difficult for them to enjoy things with their children. </w:t>
      </w:r>
    </w:p>
    <w:p w:rsidR="00481200" w:rsidRPr="002D6014" w:rsidRDefault="00481200" w:rsidP="005D03A5">
      <w:pPr>
        <w:pStyle w:val="NormalWeb"/>
        <w:spacing w:before="0" w:beforeAutospacing="0" w:after="240"/>
        <w:rPr>
          <w:rFonts w:asciiTheme="minorHAnsi" w:hAnsiTheme="minorHAnsi" w:cstheme="minorHAnsi"/>
          <w:sz w:val="22"/>
          <w:szCs w:val="22"/>
        </w:rPr>
      </w:pPr>
      <w:r w:rsidRPr="002D6014">
        <w:rPr>
          <w:rFonts w:asciiTheme="minorHAnsi" w:hAnsiTheme="minorHAnsi" w:cstheme="minorHAnsi"/>
          <w:sz w:val="22"/>
          <w:szCs w:val="22"/>
        </w:rPr>
        <w:t>Priya was in touch with an advocacy service who had received training from BIHR. Priya’s advocate explained how the Human Rights Act protected the rights of the family members to respect for family and private life (Article 8). With the advocate’s support, Priya and Sunil explained to social services that they understood their right to respect for private and family life could be restricted to safeguard their children’s right not to be harmed, but that such restrictions need to be proportionate. They felt the daily unannounced visits weren’t proportionate, and explained how the visits were having a negative impact on them and the children.</w:t>
      </w:r>
    </w:p>
    <w:p w:rsidR="00481200" w:rsidRPr="002D6014" w:rsidRDefault="00481200" w:rsidP="005D03A5">
      <w:pPr>
        <w:pStyle w:val="NormalWeb"/>
        <w:spacing w:before="0" w:beforeAutospacing="0" w:after="240"/>
        <w:rPr>
          <w:rFonts w:asciiTheme="minorHAnsi" w:hAnsiTheme="minorHAnsi" w:cstheme="minorHAnsi"/>
          <w:sz w:val="22"/>
          <w:szCs w:val="22"/>
        </w:rPr>
      </w:pPr>
      <w:r w:rsidRPr="002D6014">
        <w:rPr>
          <w:rFonts w:asciiTheme="minorHAnsi" w:hAnsiTheme="minorHAnsi" w:cstheme="minorHAnsi"/>
          <w:sz w:val="22"/>
          <w:szCs w:val="22"/>
        </w:rPr>
        <w:t>Social services agreed that in the future, they would arrange their visits with Priya and Sunil in advance so that they could get some control back over their lives, unless there was an emergency. Priya and Sunil feel like they have been able to regain their privacy and family time.</w:t>
      </w:r>
    </w:p>
    <w:p w:rsidR="00863BC1" w:rsidRPr="002D6014" w:rsidRDefault="00863BC1" w:rsidP="001B5E72">
      <w:pPr>
        <w:pStyle w:val="Heading2"/>
      </w:pPr>
      <w:bookmarkStart w:id="70" w:name="_Toc448747806"/>
      <w:r w:rsidRPr="002D6014">
        <w:t>Protecting the dignity of a learning disabled man in residential care</w:t>
      </w:r>
      <w:bookmarkEnd w:id="70"/>
    </w:p>
    <w:p w:rsidR="00863BC1" w:rsidRPr="002D6014" w:rsidRDefault="00863BC1" w:rsidP="005D03A5">
      <w:pPr>
        <w:pStyle w:val="NormalWeb"/>
        <w:spacing w:before="0" w:beforeAutospacing="0" w:after="240"/>
        <w:rPr>
          <w:rFonts w:ascii="Arial" w:hAnsi="Arial" w:cs="Arial"/>
          <w:i/>
          <w:sz w:val="22"/>
          <w:szCs w:val="22"/>
        </w:rPr>
      </w:pPr>
      <w:r w:rsidRPr="002D6014">
        <w:rPr>
          <w:rFonts w:ascii="Arial" w:hAnsi="Arial" w:cs="Arial"/>
          <w:i/>
          <w:sz w:val="22"/>
          <w:szCs w:val="22"/>
        </w:rPr>
        <w:t xml:space="preserve">Using the Human Rights Act to protect the dignity of a learning disabled man living in a residential care home. An advocacy example, </w:t>
      </w:r>
      <w:r w:rsidR="001B5E72" w:rsidRPr="002D6014">
        <w:rPr>
          <w:rFonts w:ascii="Arial" w:hAnsi="Arial" w:cs="Arial"/>
          <w:i/>
          <w:sz w:val="22"/>
          <w:szCs w:val="22"/>
        </w:rPr>
        <w:t>without</w:t>
      </w:r>
      <w:r w:rsidRPr="002D6014">
        <w:rPr>
          <w:rFonts w:ascii="Arial" w:hAnsi="Arial" w:cs="Arial"/>
          <w:i/>
          <w:sz w:val="22"/>
          <w:szCs w:val="22"/>
        </w:rPr>
        <w:t xml:space="preserve"> court action.</w:t>
      </w:r>
    </w:p>
    <w:p w:rsidR="00863BC1" w:rsidRPr="002D6014" w:rsidRDefault="00863BC1" w:rsidP="005D03A5">
      <w:pPr>
        <w:pStyle w:val="NormalWeb"/>
        <w:spacing w:before="0" w:beforeAutospacing="0" w:after="240"/>
        <w:rPr>
          <w:rFonts w:ascii="Arial" w:hAnsi="Arial" w:cs="Arial"/>
          <w:sz w:val="22"/>
          <w:szCs w:val="22"/>
        </w:rPr>
      </w:pPr>
      <w:r w:rsidRPr="002D6014">
        <w:rPr>
          <w:rFonts w:ascii="Arial" w:hAnsi="Arial" w:cs="Arial"/>
          <w:sz w:val="22"/>
          <w:szCs w:val="22"/>
        </w:rPr>
        <w:t>Philip is a learning disabled man living in a residential care home. One evening he slipped and hurt himself while bathing, and subsequently became very anxious about getting in the bath. In order to reassure him and rebuild his confidence the care home managers arranged for a carer, usually female, to sit in the room with him as he bathed.</w:t>
      </w:r>
    </w:p>
    <w:p w:rsidR="00863BC1" w:rsidRPr="002D6014" w:rsidRDefault="00863BC1" w:rsidP="005D03A5">
      <w:pPr>
        <w:pStyle w:val="NormalWeb"/>
        <w:spacing w:before="0" w:beforeAutospacing="0" w:after="240"/>
        <w:rPr>
          <w:rFonts w:ascii="Arial" w:hAnsi="Arial" w:cs="Arial"/>
          <w:sz w:val="22"/>
          <w:szCs w:val="22"/>
        </w:rPr>
      </w:pPr>
      <w:r w:rsidRPr="002D6014">
        <w:rPr>
          <w:rFonts w:ascii="Arial" w:hAnsi="Arial" w:cs="Arial"/>
          <w:sz w:val="22"/>
          <w:szCs w:val="22"/>
        </w:rPr>
        <w:t>Philip’s female carers felt uncomfortable with the arrangement. One carer, Jane, reflected during a BIHR training session: ‘I knew in my heart he was being treated without dignity, and now I recognise that his human rights are perhaps being violated.’</w:t>
      </w:r>
    </w:p>
    <w:p w:rsidR="00863BC1" w:rsidRPr="002D6014" w:rsidRDefault="00863BC1" w:rsidP="005D03A5">
      <w:pPr>
        <w:pStyle w:val="NormalWeb"/>
        <w:spacing w:before="0" w:beforeAutospacing="0" w:after="240"/>
        <w:rPr>
          <w:rFonts w:ascii="Arial" w:hAnsi="Arial" w:cs="Arial"/>
          <w:sz w:val="22"/>
          <w:szCs w:val="22"/>
        </w:rPr>
      </w:pPr>
      <w:r w:rsidRPr="002D6014">
        <w:rPr>
          <w:rFonts w:ascii="Arial" w:hAnsi="Arial" w:cs="Arial"/>
          <w:sz w:val="22"/>
          <w:szCs w:val="22"/>
        </w:rPr>
        <w:lastRenderedPageBreak/>
        <w:t>A discussion of the human rights principle of dignity had served as a ‘trigger’ for Jane and together with co-workers she was able to develop solutions that would both protect Philip’s dignity, whilst also providing him with the support he needed.</w:t>
      </w:r>
    </w:p>
    <w:p w:rsidR="00863BC1" w:rsidRPr="002D6014" w:rsidRDefault="00863BC1" w:rsidP="005D03A5">
      <w:pPr>
        <w:pStyle w:val="NormalWeb"/>
        <w:spacing w:before="0" w:beforeAutospacing="0" w:after="240"/>
        <w:rPr>
          <w:rFonts w:ascii="Arial" w:hAnsi="Arial" w:cs="Arial"/>
          <w:sz w:val="22"/>
          <w:szCs w:val="22"/>
        </w:rPr>
      </w:pPr>
      <w:r w:rsidRPr="002D6014">
        <w:rPr>
          <w:rFonts w:ascii="Arial" w:hAnsi="Arial" w:cs="Arial"/>
          <w:sz w:val="22"/>
          <w:szCs w:val="22"/>
        </w:rPr>
        <w:t>She decided to use human rights language in her discussions with the care home managers about Philip’s care. Specifically, Jane explained that Philip had a right not to be treated in an inhuman and degrading way (Article 3), and a right to respect for his private life (Article 8). She suggested that in order for Philip’s rights to be respected, a new care assessment should be carried out, as in her view he needed proper manual assistance with getting in and out of the bath. In the meantime she resolved to erect a screen in the bathroom for herself and other carers to sit behind while Philip bathed, to preserve his dignity.</w:t>
      </w:r>
    </w:p>
    <w:p w:rsidR="00867BA3" w:rsidRPr="002D6014" w:rsidRDefault="00867BA3" w:rsidP="001B5E72">
      <w:pPr>
        <w:pStyle w:val="Heading2"/>
      </w:pPr>
      <w:bookmarkStart w:id="71" w:name="_Toc448747807"/>
      <w:r w:rsidRPr="002D6014">
        <w:t>Supporting a disabled man to visit a gay pub</w:t>
      </w:r>
      <w:bookmarkEnd w:id="71"/>
    </w:p>
    <w:p w:rsidR="00867BA3" w:rsidRPr="002D6014" w:rsidRDefault="00867BA3" w:rsidP="00867BA3">
      <w:pPr>
        <w:pStyle w:val="NormalWeb"/>
        <w:spacing w:before="0" w:beforeAutospacing="0" w:after="240"/>
        <w:rPr>
          <w:rFonts w:ascii="Arial" w:hAnsi="Arial" w:cs="Arial"/>
          <w:i/>
          <w:sz w:val="22"/>
          <w:szCs w:val="22"/>
        </w:rPr>
      </w:pPr>
      <w:r w:rsidRPr="002D6014">
        <w:rPr>
          <w:rFonts w:ascii="Arial" w:hAnsi="Arial" w:cs="Arial"/>
          <w:i/>
          <w:sz w:val="22"/>
          <w:szCs w:val="22"/>
        </w:rPr>
        <w:t>Supporting a disabled man to visit a gay pub. An advocacy example, without court action</w:t>
      </w:r>
    </w:p>
    <w:p w:rsidR="009A765F" w:rsidRPr="00D95D9E" w:rsidRDefault="00867BA3" w:rsidP="00BD3F09">
      <w:pPr>
        <w:spacing w:before="100" w:beforeAutospacing="1" w:after="100" w:afterAutospacing="1"/>
        <w:rPr>
          <w:rFonts w:cstheme="minorHAnsi"/>
          <w:b/>
          <w:color w:val="1F497D" w:themeColor="text2"/>
          <w:sz w:val="20"/>
        </w:rPr>
      </w:pPr>
      <w:r w:rsidRPr="002D6014">
        <w:rPr>
          <w:rFonts w:ascii="Arial" w:hAnsi="Arial" w:cs="Arial"/>
          <w:szCs w:val="24"/>
        </w:rPr>
        <w:t>A physical disabilities team at a local authority had a policy of assisting the people they worked with to participate in social activities, when they wanted to. A gay man, Robert, asked if a support worker could accompany him to a gay pub. His request was denied even though other heterosexual service users were regularly supported to attend pubs and clubs of their choice. During a BIHR training session, Robert’s advocate realised that Robert could challenge the decision by invoking his right to respect for private life (Article 8) and his right not to be discriminated against (Article 14) on grounds of his sexual orientation.</w:t>
      </w:r>
    </w:p>
    <w:sectPr w:rsidR="009A765F" w:rsidRPr="00D95D9E" w:rsidSect="00973CD7">
      <w:pgSz w:w="11907" w:h="16839" w:code="9"/>
      <w:pgMar w:top="1134" w:right="1327" w:bottom="1418" w:left="1559" w:header="709"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54B3" w:rsidRDefault="00BE54B3" w:rsidP="00B46D14">
      <w:pPr>
        <w:spacing w:after="0"/>
      </w:pPr>
      <w:r>
        <w:separator/>
      </w:r>
    </w:p>
  </w:endnote>
  <w:endnote w:type="continuationSeparator" w:id="0">
    <w:p w:rsidR="00BE54B3" w:rsidRDefault="00BE54B3" w:rsidP="00B46D1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TimesNewRomanPSMT">
    <w:panose1 w:val="00000000000000000000"/>
    <w:charset w:val="00"/>
    <w:family w:val="swiss"/>
    <w:notTrueType/>
    <w:pitch w:val="default"/>
    <w:sig w:usb0="00000003" w:usb1="00000000" w:usb2="00000000" w:usb3="00000000" w:csb0="00000001" w:csb1="00000000"/>
  </w:font>
  <w:font w:name="TimesNewRomanPS-ItalicMT">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HelveticaNeue-Ligh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54B3" w:rsidRDefault="00BE54B3">
    <w:pPr>
      <w:pStyle w:val="Footer"/>
      <w:pBdr>
        <w:top w:val="single" w:sz="4" w:space="1" w:color="A5A5A5" w:themeColor="background1" w:themeShade="A5"/>
      </w:pBdr>
      <w:rPr>
        <w:color w:val="808080" w:themeColor="background1" w:themeShade="80"/>
      </w:rPr>
    </w:pPr>
    <w:r w:rsidRPr="00C546EF">
      <w:rPr>
        <w:color w:val="808080" w:themeColor="background1" w:themeShade="80"/>
      </w:rPr>
      <w:t xml:space="preserve">Page | </w:t>
    </w:r>
    <w:r w:rsidRPr="00C546EF">
      <w:rPr>
        <w:color w:val="808080" w:themeColor="background1" w:themeShade="80"/>
      </w:rPr>
      <w:fldChar w:fldCharType="begin"/>
    </w:r>
    <w:r w:rsidRPr="00C546EF">
      <w:rPr>
        <w:color w:val="808080" w:themeColor="background1" w:themeShade="80"/>
      </w:rPr>
      <w:instrText xml:space="preserve"> PAGE   \* MERGEFORMAT </w:instrText>
    </w:r>
    <w:r w:rsidRPr="00C546EF">
      <w:rPr>
        <w:color w:val="808080" w:themeColor="background1" w:themeShade="80"/>
      </w:rPr>
      <w:fldChar w:fldCharType="separate"/>
    </w:r>
    <w:r w:rsidR="001D52B3">
      <w:rPr>
        <w:noProof/>
        <w:color w:val="808080" w:themeColor="background1" w:themeShade="80"/>
      </w:rPr>
      <w:t>26</w:t>
    </w:r>
    <w:r w:rsidRPr="00C546EF">
      <w:rPr>
        <w:noProof/>
        <w:color w:val="808080" w:themeColor="background1" w:themeShade="80"/>
      </w:rPr>
      <w:fldChar w:fldCharType="end"/>
    </w:r>
  </w:p>
  <w:p w:rsidR="00BE54B3" w:rsidRDefault="00BE54B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54B3" w:rsidRDefault="00BE54B3" w:rsidP="009B6AF9">
    <w:pPr>
      <w:pStyle w:val="Footer"/>
      <w:jc w:val="center"/>
    </w:pPr>
    <w:r>
      <w:rPr>
        <w:b/>
        <w:bCs/>
      </w:rPr>
      <w:t>April 2016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54B3" w:rsidRDefault="00BE54B3" w:rsidP="002F1ADC">
    <w:pPr>
      <w:pStyle w:val="Footer"/>
      <w:pBdr>
        <w:top w:val="single" w:sz="4" w:space="1" w:color="A5A5A5" w:themeColor="background1" w:themeShade="A5"/>
      </w:pBdr>
      <w:rPr>
        <w:color w:val="808080" w:themeColor="background1" w:themeShade="80"/>
      </w:rPr>
    </w:pPr>
    <w:r w:rsidRPr="00C546EF">
      <w:rPr>
        <w:color w:val="808080" w:themeColor="background1" w:themeShade="80"/>
      </w:rPr>
      <w:t xml:space="preserve">Page | </w:t>
    </w:r>
    <w:r w:rsidRPr="00C546EF">
      <w:rPr>
        <w:color w:val="808080" w:themeColor="background1" w:themeShade="80"/>
      </w:rPr>
      <w:fldChar w:fldCharType="begin"/>
    </w:r>
    <w:r w:rsidRPr="00C546EF">
      <w:rPr>
        <w:color w:val="808080" w:themeColor="background1" w:themeShade="80"/>
      </w:rPr>
      <w:instrText xml:space="preserve"> PAGE   \* MERGEFORMAT </w:instrText>
    </w:r>
    <w:r w:rsidRPr="00C546EF">
      <w:rPr>
        <w:color w:val="808080" w:themeColor="background1" w:themeShade="80"/>
      </w:rPr>
      <w:fldChar w:fldCharType="separate"/>
    </w:r>
    <w:r w:rsidR="001D52B3">
      <w:rPr>
        <w:noProof/>
        <w:color w:val="808080" w:themeColor="background1" w:themeShade="80"/>
      </w:rPr>
      <w:t>40</w:t>
    </w:r>
    <w:r w:rsidRPr="00C546EF">
      <w:rPr>
        <w:noProof/>
        <w:color w:val="808080" w:themeColor="background1" w:themeShade="80"/>
      </w:rPr>
      <w:fldChar w:fldCharType="end"/>
    </w:r>
  </w:p>
  <w:p w:rsidR="00BE54B3" w:rsidRPr="002F1ADC" w:rsidRDefault="00BE54B3" w:rsidP="002F1A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54B3" w:rsidRDefault="00BE54B3" w:rsidP="00B46D14">
      <w:pPr>
        <w:spacing w:after="0"/>
      </w:pPr>
      <w:r>
        <w:separator/>
      </w:r>
    </w:p>
  </w:footnote>
  <w:footnote w:type="continuationSeparator" w:id="0">
    <w:p w:rsidR="00BE54B3" w:rsidRDefault="00BE54B3" w:rsidP="00B46D14">
      <w:pPr>
        <w:spacing w:after="0"/>
      </w:pPr>
      <w:r>
        <w:continuationSeparator/>
      </w:r>
    </w:p>
  </w:footnote>
  <w:footnote w:id="1">
    <w:p w:rsidR="00BE54B3" w:rsidRDefault="00BE54B3" w:rsidP="008B69C7">
      <w:r w:rsidRPr="00632BB9">
        <w:rPr>
          <w:rStyle w:val="FootnoteReference"/>
          <w:sz w:val="16"/>
          <w:szCs w:val="16"/>
        </w:rPr>
        <w:footnoteRef/>
      </w:r>
      <w:r w:rsidRPr="00632BB9">
        <w:rPr>
          <w:sz w:val="16"/>
          <w:szCs w:val="16"/>
        </w:rPr>
        <w:t xml:space="preserve"> Jose Ayala Lasso, </w:t>
      </w:r>
      <w:hyperlink r:id="rId1" w:history="1">
        <w:r w:rsidRPr="00632BB9">
          <w:rPr>
            <w:rStyle w:val="Hyperlink"/>
            <w:sz w:val="16"/>
            <w:szCs w:val="16"/>
          </w:rPr>
          <w:t>‘A culture of human rights’</w:t>
        </w:r>
      </w:hyperlink>
      <w:r w:rsidRPr="00632BB9">
        <w:rPr>
          <w:sz w:val="16"/>
          <w:szCs w:val="16"/>
        </w:rPr>
        <w:t xml:space="preserve"> </w:t>
      </w:r>
      <w:r>
        <w:rPr>
          <w:sz w:val="16"/>
          <w:szCs w:val="16"/>
        </w:rPr>
        <w:t>,</w:t>
      </w:r>
      <w:r w:rsidRPr="00632BB9">
        <w:rPr>
          <w:i/>
          <w:sz w:val="16"/>
          <w:szCs w:val="16"/>
        </w:rPr>
        <w:t>UN Chronicle</w:t>
      </w:r>
      <w:r w:rsidRPr="00632BB9">
        <w:rPr>
          <w:sz w:val="16"/>
          <w:szCs w:val="16"/>
        </w:rPr>
        <w:t xml:space="preserve"> Winter 1997</w:t>
      </w:r>
      <w:r>
        <w:rPr>
          <w:sz w:val="16"/>
          <w:szCs w:val="16"/>
        </w:rPr>
        <w:t xml:space="preserve"> (</w:t>
      </w:r>
      <w:r w:rsidRPr="00632BB9">
        <w:rPr>
          <w:sz w:val="16"/>
          <w:szCs w:val="16"/>
        </w:rPr>
        <w:t>https://www.questia.com/read/1G1-20518046/a-culture-of-human-rights</w:t>
      </w:r>
      <w:r>
        <w:rPr>
          <w:sz w:val="16"/>
          <w:szCs w:val="16"/>
        </w:rPr>
        <w:t>).</w:t>
      </w:r>
    </w:p>
    <w:p w:rsidR="00BE54B3" w:rsidRDefault="00BE54B3">
      <w:pPr>
        <w:pStyle w:val="FootnoteText"/>
      </w:pPr>
    </w:p>
  </w:footnote>
  <w:footnote w:id="2">
    <w:p w:rsidR="00BE54B3" w:rsidRPr="00632BB9" w:rsidRDefault="00BE54B3" w:rsidP="0076367A">
      <w:pPr>
        <w:pStyle w:val="FootnoteText"/>
        <w:rPr>
          <w:rFonts w:asciiTheme="minorHAnsi" w:hAnsiTheme="minorHAnsi" w:cstheme="minorHAnsi"/>
          <w:sz w:val="16"/>
          <w:szCs w:val="16"/>
        </w:rPr>
      </w:pPr>
      <w:r w:rsidRPr="00632BB9">
        <w:rPr>
          <w:rStyle w:val="FootnoteReference"/>
          <w:rFonts w:asciiTheme="minorHAnsi" w:hAnsiTheme="minorHAnsi" w:cstheme="minorHAnsi"/>
          <w:sz w:val="16"/>
          <w:szCs w:val="16"/>
        </w:rPr>
        <w:footnoteRef/>
      </w:r>
      <w:r w:rsidRPr="00632BB9">
        <w:rPr>
          <w:rFonts w:asciiTheme="minorHAnsi" w:hAnsiTheme="minorHAnsi" w:cstheme="minorHAnsi"/>
          <w:sz w:val="16"/>
          <w:szCs w:val="16"/>
        </w:rPr>
        <w:t xml:space="preserve"> Philip Lynch and Phoebe Knowles, </w:t>
      </w:r>
      <w:r w:rsidRPr="00632BB9">
        <w:rPr>
          <w:rFonts w:asciiTheme="minorHAnsi" w:hAnsiTheme="minorHAnsi" w:cstheme="minorHAnsi"/>
          <w:i/>
          <w:iCs/>
          <w:sz w:val="16"/>
          <w:szCs w:val="16"/>
        </w:rPr>
        <w:t>The National Human Rights Consultation: Engaging in the Debate</w:t>
      </w:r>
      <w:r w:rsidRPr="00632BB9">
        <w:rPr>
          <w:rFonts w:asciiTheme="minorHAnsi" w:hAnsiTheme="minorHAnsi" w:cstheme="minorHAnsi"/>
          <w:sz w:val="16"/>
          <w:szCs w:val="16"/>
        </w:rPr>
        <w:t>, Human Rights Law Resource Centre Ltd</w:t>
      </w:r>
      <w:r>
        <w:rPr>
          <w:rFonts w:asciiTheme="minorHAnsi" w:hAnsiTheme="minorHAnsi" w:cstheme="minorHAnsi"/>
          <w:sz w:val="16"/>
          <w:szCs w:val="16"/>
        </w:rPr>
        <w:t>,</w:t>
      </w:r>
      <w:r w:rsidRPr="00632BB9">
        <w:rPr>
          <w:rFonts w:asciiTheme="minorHAnsi" w:hAnsiTheme="minorHAnsi" w:cstheme="minorHAnsi"/>
          <w:sz w:val="16"/>
          <w:szCs w:val="16"/>
        </w:rPr>
        <w:t xml:space="preserve"> [2008]</w:t>
      </w:r>
      <w:r>
        <w:rPr>
          <w:rFonts w:asciiTheme="minorHAnsi" w:hAnsiTheme="minorHAnsi" w:cstheme="minorHAnsi"/>
          <w:sz w:val="16"/>
          <w:szCs w:val="16"/>
        </w:rPr>
        <w:t>,</w:t>
      </w:r>
      <w:r w:rsidRPr="00632BB9">
        <w:rPr>
          <w:rFonts w:asciiTheme="minorHAnsi" w:hAnsiTheme="minorHAnsi" w:cstheme="minorHAnsi"/>
          <w:sz w:val="16"/>
          <w:szCs w:val="16"/>
        </w:rPr>
        <w:t xml:space="preserve"> 22–31.</w:t>
      </w:r>
    </w:p>
  </w:footnote>
  <w:footnote w:id="3">
    <w:p w:rsidR="00BE54B3" w:rsidRPr="00632BB9" w:rsidRDefault="00BE54B3">
      <w:pPr>
        <w:pStyle w:val="FootnoteText"/>
        <w:rPr>
          <w:rFonts w:asciiTheme="minorHAnsi" w:hAnsiTheme="minorHAnsi" w:cstheme="minorHAnsi"/>
          <w:sz w:val="16"/>
          <w:szCs w:val="16"/>
        </w:rPr>
      </w:pPr>
      <w:r w:rsidRPr="00632BB9">
        <w:rPr>
          <w:rStyle w:val="FootnoteReference"/>
          <w:rFonts w:asciiTheme="minorHAnsi" w:hAnsiTheme="minorHAnsi" w:cstheme="minorHAnsi"/>
          <w:sz w:val="16"/>
          <w:szCs w:val="16"/>
        </w:rPr>
        <w:footnoteRef/>
      </w:r>
      <w:r w:rsidRPr="00632BB9">
        <w:rPr>
          <w:rFonts w:asciiTheme="minorHAnsi" w:hAnsiTheme="minorHAnsi" w:cstheme="minorHAnsi"/>
          <w:sz w:val="16"/>
          <w:szCs w:val="16"/>
        </w:rPr>
        <w:t xml:space="preserve"> Robert French, ‘The Common Law and the Protection of Human Rights’ (Speech</w:t>
      </w:r>
      <w:r>
        <w:rPr>
          <w:rFonts w:asciiTheme="minorHAnsi" w:hAnsiTheme="minorHAnsi" w:cstheme="minorHAnsi"/>
          <w:sz w:val="16"/>
          <w:szCs w:val="16"/>
        </w:rPr>
        <w:t xml:space="preserve"> delivered to the </w:t>
      </w:r>
      <w:r w:rsidRPr="00632BB9">
        <w:rPr>
          <w:rFonts w:asciiTheme="minorHAnsi" w:hAnsiTheme="minorHAnsi" w:cstheme="minorHAnsi"/>
          <w:sz w:val="16"/>
          <w:szCs w:val="16"/>
        </w:rPr>
        <w:t xml:space="preserve"> Anglo Australasian Lawyers Society, Sydney, 4 September 2009)</w:t>
      </w:r>
      <w:r>
        <w:rPr>
          <w:rFonts w:asciiTheme="minorHAnsi" w:hAnsiTheme="minorHAnsi" w:cstheme="minorHAnsi"/>
          <w:sz w:val="16"/>
          <w:szCs w:val="16"/>
        </w:rPr>
        <w:t xml:space="preserve"> [3]</w:t>
      </w:r>
      <w:r w:rsidRPr="00632BB9">
        <w:rPr>
          <w:rFonts w:asciiTheme="minorHAnsi" w:hAnsiTheme="minorHAnsi" w:cstheme="minorHAnsi"/>
          <w:sz w:val="16"/>
          <w:szCs w:val="16"/>
        </w:rPr>
        <w:t>.</w:t>
      </w:r>
    </w:p>
  </w:footnote>
  <w:footnote w:id="4">
    <w:p w:rsidR="00BE54B3" w:rsidRPr="00632BB9" w:rsidRDefault="00BE54B3">
      <w:pPr>
        <w:pStyle w:val="FootnoteText"/>
        <w:rPr>
          <w:rFonts w:asciiTheme="minorHAnsi" w:hAnsiTheme="minorHAnsi" w:cstheme="minorHAnsi"/>
          <w:sz w:val="16"/>
          <w:szCs w:val="16"/>
        </w:rPr>
      </w:pPr>
      <w:r w:rsidRPr="00632BB9">
        <w:rPr>
          <w:rStyle w:val="FootnoteReference"/>
          <w:rFonts w:asciiTheme="minorHAnsi" w:hAnsiTheme="minorHAnsi" w:cstheme="minorHAnsi"/>
          <w:sz w:val="16"/>
          <w:szCs w:val="16"/>
        </w:rPr>
        <w:footnoteRef/>
      </w:r>
      <w:r w:rsidRPr="00632BB9">
        <w:rPr>
          <w:rFonts w:asciiTheme="minorHAnsi" w:hAnsiTheme="minorHAnsi" w:cstheme="minorHAnsi"/>
          <w:sz w:val="16"/>
          <w:szCs w:val="16"/>
        </w:rPr>
        <w:t xml:space="preserve"> </w:t>
      </w:r>
      <w:r w:rsidRPr="00632BB9">
        <w:rPr>
          <w:rFonts w:asciiTheme="minorHAnsi" w:hAnsiTheme="minorHAnsi" w:cstheme="minorHAnsi"/>
          <w:i/>
          <w:iCs/>
          <w:sz w:val="16"/>
          <w:szCs w:val="16"/>
        </w:rPr>
        <w:t>Lange v Australian Broadcasting Corporation</w:t>
      </w:r>
      <w:r>
        <w:rPr>
          <w:rFonts w:asciiTheme="minorHAnsi" w:hAnsiTheme="minorHAnsi" w:cstheme="minorHAnsi"/>
          <w:i/>
          <w:iCs/>
          <w:sz w:val="16"/>
          <w:szCs w:val="16"/>
        </w:rPr>
        <w:t xml:space="preserve"> </w:t>
      </w:r>
      <w:r>
        <w:rPr>
          <w:rFonts w:asciiTheme="minorHAnsi" w:hAnsiTheme="minorHAnsi" w:cstheme="minorHAnsi"/>
          <w:iCs/>
          <w:sz w:val="16"/>
          <w:szCs w:val="16"/>
        </w:rPr>
        <w:t>(Political Free Speech case)</w:t>
      </w:r>
      <w:r w:rsidRPr="00632BB9">
        <w:rPr>
          <w:rFonts w:asciiTheme="minorHAnsi" w:hAnsiTheme="minorHAnsi" w:cstheme="minorHAnsi"/>
          <w:sz w:val="16"/>
          <w:szCs w:val="16"/>
        </w:rPr>
        <w:t xml:space="preserve"> (1997) 189 CLR 520, 564 (Brennan CJ, Dawson, Toohey, Gaudron, McHugh, Gummow and Kirby JJ) quoting </w:t>
      </w:r>
      <w:r w:rsidRPr="00632BB9">
        <w:rPr>
          <w:rFonts w:asciiTheme="minorHAnsi" w:hAnsiTheme="minorHAnsi" w:cstheme="minorHAnsi"/>
          <w:i/>
          <w:iCs/>
          <w:sz w:val="16"/>
          <w:szCs w:val="16"/>
        </w:rPr>
        <w:t>Attorney General v Guardian Newspapers (No 2)</w:t>
      </w:r>
      <w:r w:rsidRPr="00632BB9">
        <w:rPr>
          <w:rFonts w:asciiTheme="minorHAnsi" w:hAnsiTheme="minorHAnsi" w:cstheme="minorHAnsi"/>
          <w:sz w:val="16"/>
          <w:szCs w:val="16"/>
        </w:rPr>
        <w:t xml:space="preserve"> [1990] 1 AC 109, 283.</w:t>
      </w:r>
    </w:p>
  </w:footnote>
  <w:footnote w:id="5">
    <w:p w:rsidR="00BE54B3" w:rsidRPr="00632BB9" w:rsidRDefault="00BE54B3" w:rsidP="00432B29">
      <w:pPr>
        <w:autoSpaceDE w:val="0"/>
        <w:autoSpaceDN w:val="0"/>
        <w:adjustRightInd w:val="0"/>
        <w:spacing w:after="0"/>
        <w:rPr>
          <w:rFonts w:cstheme="minorHAnsi"/>
          <w:sz w:val="16"/>
          <w:szCs w:val="16"/>
        </w:rPr>
      </w:pPr>
      <w:r w:rsidRPr="00632BB9">
        <w:rPr>
          <w:rStyle w:val="FootnoteReference"/>
          <w:rFonts w:cstheme="minorHAnsi"/>
          <w:sz w:val="16"/>
          <w:szCs w:val="16"/>
        </w:rPr>
        <w:footnoteRef/>
      </w:r>
      <w:r w:rsidRPr="00632BB9">
        <w:rPr>
          <w:rFonts w:cstheme="minorHAnsi"/>
          <w:sz w:val="16"/>
          <w:szCs w:val="16"/>
        </w:rPr>
        <w:t xml:space="preserve"> Tom Campbell, Jeffrey Goldsworthy and Adrienne Stone, </w:t>
      </w:r>
      <w:r w:rsidRPr="00632BB9">
        <w:rPr>
          <w:rFonts w:cstheme="minorHAnsi"/>
          <w:i/>
          <w:iCs/>
          <w:sz w:val="16"/>
          <w:szCs w:val="16"/>
        </w:rPr>
        <w:t xml:space="preserve">Protecting Human Rights: Instruments and Institutions </w:t>
      </w:r>
      <w:r w:rsidRPr="00632BB9">
        <w:rPr>
          <w:rFonts w:cstheme="minorHAnsi"/>
          <w:sz w:val="16"/>
          <w:szCs w:val="16"/>
        </w:rPr>
        <w:t>(Oxford University Press, 2003) 17.</w:t>
      </w:r>
    </w:p>
  </w:footnote>
  <w:footnote w:id="6">
    <w:p w:rsidR="00BE54B3" w:rsidRPr="00285E61" w:rsidRDefault="00BE54B3">
      <w:pPr>
        <w:pStyle w:val="FootnoteText"/>
        <w:rPr>
          <w:sz w:val="16"/>
          <w:szCs w:val="16"/>
        </w:rPr>
      </w:pPr>
      <w:r w:rsidRPr="00285E61">
        <w:rPr>
          <w:rStyle w:val="FootnoteReference"/>
          <w:sz w:val="16"/>
          <w:szCs w:val="16"/>
        </w:rPr>
        <w:footnoteRef/>
      </w:r>
      <w:r w:rsidRPr="00285E61">
        <w:rPr>
          <w:sz w:val="16"/>
          <w:szCs w:val="16"/>
        </w:rPr>
        <w:t xml:space="preserve"> </w:t>
      </w:r>
      <w:r w:rsidRPr="00632BB9">
        <w:rPr>
          <w:rFonts w:asciiTheme="minorHAnsi" w:hAnsiTheme="minorHAnsi" w:cstheme="minorHAnsi"/>
          <w:sz w:val="16"/>
          <w:szCs w:val="16"/>
        </w:rPr>
        <w:t xml:space="preserve">Article 3, </w:t>
      </w:r>
      <w:r w:rsidRPr="00632BB9">
        <w:rPr>
          <w:rFonts w:asciiTheme="minorHAnsi" w:hAnsiTheme="minorHAnsi" w:cstheme="minorHAnsi"/>
          <w:i/>
          <w:sz w:val="16"/>
          <w:szCs w:val="16"/>
        </w:rPr>
        <w:t>European Convention Human Rights</w:t>
      </w:r>
      <w:r w:rsidRPr="00632BB9">
        <w:rPr>
          <w:rFonts w:asciiTheme="minorHAnsi" w:hAnsiTheme="minorHAnsi" w:cstheme="minorHAnsi"/>
          <w:sz w:val="16"/>
          <w:szCs w:val="16"/>
        </w:rPr>
        <w:t>.</w:t>
      </w:r>
      <w:r w:rsidRPr="00285E61">
        <w:rPr>
          <w:sz w:val="16"/>
          <w:szCs w:val="16"/>
        </w:rPr>
        <w:t xml:space="preserve"> </w:t>
      </w:r>
    </w:p>
  </w:footnote>
  <w:footnote w:id="7">
    <w:p w:rsidR="00BE54B3" w:rsidRPr="00632BB9" w:rsidRDefault="00BE54B3" w:rsidP="0076367A">
      <w:pPr>
        <w:pStyle w:val="FootnoteText"/>
        <w:rPr>
          <w:rFonts w:asciiTheme="minorHAnsi" w:hAnsiTheme="minorHAnsi" w:cstheme="minorHAnsi"/>
          <w:sz w:val="16"/>
          <w:szCs w:val="16"/>
        </w:rPr>
      </w:pPr>
      <w:r w:rsidRPr="00632BB9">
        <w:rPr>
          <w:rStyle w:val="FootnoteReference"/>
          <w:rFonts w:asciiTheme="minorHAnsi" w:hAnsiTheme="minorHAnsi" w:cstheme="minorHAnsi"/>
          <w:sz w:val="16"/>
          <w:szCs w:val="16"/>
        </w:rPr>
        <w:footnoteRef/>
      </w:r>
      <w:r w:rsidRPr="00632BB9">
        <w:rPr>
          <w:rFonts w:asciiTheme="minorHAnsi" w:hAnsiTheme="minorHAnsi" w:cstheme="minorHAnsi"/>
          <w:sz w:val="16"/>
          <w:szCs w:val="16"/>
        </w:rPr>
        <w:t xml:space="preserve"> </w:t>
      </w:r>
      <w:r w:rsidRPr="004111B8">
        <w:rPr>
          <w:rFonts w:asciiTheme="minorHAnsi" w:hAnsiTheme="minorHAnsi" w:cstheme="minorHAnsi"/>
          <w:sz w:val="16"/>
          <w:szCs w:val="16"/>
        </w:rPr>
        <w:t xml:space="preserve">Australian Law Reform Commission, </w:t>
      </w:r>
      <w:r w:rsidRPr="00632BB9">
        <w:rPr>
          <w:rFonts w:asciiTheme="minorHAnsi" w:hAnsiTheme="minorHAnsi" w:cstheme="minorHAnsi"/>
          <w:i/>
          <w:sz w:val="16"/>
          <w:szCs w:val="16"/>
        </w:rPr>
        <w:t>Traditional Rights and Freedoms - Encroachments by Commonwealth Laws</w:t>
      </w:r>
      <w:r w:rsidRPr="004111B8">
        <w:rPr>
          <w:rFonts w:asciiTheme="minorHAnsi" w:hAnsiTheme="minorHAnsi" w:cstheme="minorHAnsi"/>
          <w:sz w:val="16"/>
          <w:szCs w:val="16"/>
        </w:rPr>
        <w:t>, Report No 129</w:t>
      </w:r>
      <w:r w:rsidRPr="00632BB9">
        <w:rPr>
          <w:rFonts w:asciiTheme="minorHAnsi" w:hAnsiTheme="minorHAnsi" w:cstheme="minorHAnsi"/>
          <w:sz w:val="16"/>
          <w:szCs w:val="16"/>
        </w:rPr>
        <w:t xml:space="preserve"> </w:t>
      </w:r>
      <w:r w:rsidRPr="004111B8">
        <w:rPr>
          <w:rFonts w:asciiTheme="minorHAnsi" w:hAnsiTheme="minorHAnsi" w:cstheme="minorHAnsi"/>
          <w:sz w:val="16"/>
          <w:szCs w:val="16"/>
        </w:rPr>
        <w:t>(</w:t>
      </w:r>
      <w:r w:rsidRPr="00632BB9">
        <w:rPr>
          <w:rFonts w:asciiTheme="minorHAnsi" w:hAnsiTheme="minorHAnsi" w:cstheme="minorHAnsi"/>
          <w:sz w:val="16"/>
          <w:szCs w:val="16"/>
        </w:rPr>
        <w:t>2015</w:t>
      </w:r>
      <w:r w:rsidRPr="004111B8">
        <w:rPr>
          <w:rFonts w:asciiTheme="minorHAnsi" w:hAnsiTheme="minorHAnsi" w:cstheme="minorHAnsi"/>
          <w:sz w:val="16"/>
          <w:szCs w:val="16"/>
        </w:rPr>
        <w:t>), 2</w:t>
      </w:r>
      <w:r w:rsidRPr="00E8047A">
        <w:rPr>
          <w:rFonts w:asciiTheme="minorHAnsi" w:hAnsiTheme="minorHAnsi" w:cstheme="minorHAnsi"/>
          <w:sz w:val="16"/>
          <w:szCs w:val="16"/>
        </w:rPr>
        <w:t>.45.</w:t>
      </w:r>
    </w:p>
  </w:footnote>
  <w:footnote w:id="8">
    <w:p w:rsidR="00BE54B3" w:rsidRPr="00632BB9" w:rsidRDefault="00BE54B3">
      <w:pPr>
        <w:pStyle w:val="FootnoteText"/>
        <w:rPr>
          <w:rFonts w:asciiTheme="minorHAnsi" w:hAnsiTheme="minorHAnsi" w:cstheme="minorHAnsi"/>
          <w:sz w:val="16"/>
          <w:szCs w:val="16"/>
        </w:rPr>
      </w:pPr>
      <w:r w:rsidRPr="00632BB9">
        <w:rPr>
          <w:rStyle w:val="FootnoteReference"/>
          <w:rFonts w:asciiTheme="minorHAnsi" w:hAnsiTheme="minorHAnsi" w:cstheme="minorHAnsi"/>
          <w:sz w:val="16"/>
          <w:szCs w:val="16"/>
        </w:rPr>
        <w:footnoteRef/>
      </w:r>
      <w:r w:rsidRPr="00632BB9">
        <w:rPr>
          <w:rFonts w:asciiTheme="minorHAnsi" w:hAnsiTheme="minorHAnsi" w:cstheme="minorHAnsi"/>
          <w:sz w:val="16"/>
          <w:szCs w:val="16"/>
        </w:rPr>
        <w:t xml:space="preserve"> </w:t>
      </w:r>
      <w:r w:rsidRPr="004111B8">
        <w:rPr>
          <w:rFonts w:asciiTheme="minorHAnsi" w:hAnsiTheme="minorHAnsi" w:cstheme="minorHAnsi"/>
          <w:sz w:val="16"/>
          <w:szCs w:val="16"/>
        </w:rPr>
        <w:t xml:space="preserve">Mark </w:t>
      </w:r>
      <w:r w:rsidRPr="00632BB9">
        <w:rPr>
          <w:rFonts w:asciiTheme="minorHAnsi" w:hAnsiTheme="minorHAnsi" w:cstheme="minorHAnsi"/>
          <w:sz w:val="16"/>
          <w:szCs w:val="16"/>
        </w:rPr>
        <w:t xml:space="preserve">Aronson, </w:t>
      </w:r>
      <w:r w:rsidRPr="004111B8">
        <w:rPr>
          <w:rFonts w:asciiTheme="minorHAnsi" w:hAnsiTheme="minorHAnsi" w:cstheme="minorHAnsi"/>
          <w:sz w:val="16"/>
          <w:szCs w:val="16"/>
        </w:rPr>
        <w:t>Br</w:t>
      </w:r>
      <w:r w:rsidRPr="00E8047A">
        <w:rPr>
          <w:rFonts w:asciiTheme="minorHAnsi" w:hAnsiTheme="minorHAnsi" w:cstheme="minorHAnsi"/>
          <w:sz w:val="16"/>
          <w:szCs w:val="16"/>
        </w:rPr>
        <w:t xml:space="preserve">uce </w:t>
      </w:r>
      <w:r w:rsidRPr="00632BB9">
        <w:rPr>
          <w:rFonts w:asciiTheme="minorHAnsi" w:hAnsiTheme="minorHAnsi" w:cstheme="minorHAnsi"/>
          <w:sz w:val="16"/>
          <w:szCs w:val="16"/>
        </w:rPr>
        <w:t>Dyer</w:t>
      </w:r>
      <w:r w:rsidRPr="004111B8">
        <w:rPr>
          <w:rFonts w:asciiTheme="minorHAnsi" w:hAnsiTheme="minorHAnsi" w:cstheme="minorHAnsi"/>
          <w:sz w:val="16"/>
          <w:szCs w:val="16"/>
        </w:rPr>
        <w:t xml:space="preserve"> and Matthew</w:t>
      </w:r>
      <w:r w:rsidRPr="00632BB9">
        <w:rPr>
          <w:rFonts w:asciiTheme="minorHAnsi" w:hAnsiTheme="minorHAnsi" w:cstheme="minorHAnsi"/>
          <w:sz w:val="16"/>
          <w:szCs w:val="16"/>
        </w:rPr>
        <w:t xml:space="preserve"> Groves, </w:t>
      </w:r>
      <w:r w:rsidRPr="00632BB9">
        <w:rPr>
          <w:rFonts w:asciiTheme="minorHAnsi" w:hAnsiTheme="minorHAnsi" w:cstheme="minorHAnsi"/>
          <w:i/>
          <w:sz w:val="16"/>
          <w:szCs w:val="16"/>
        </w:rPr>
        <w:t>Judicial Review of Administrative Action</w:t>
      </w:r>
      <w:r w:rsidRPr="00632BB9">
        <w:rPr>
          <w:rFonts w:asciiTheme="minorHAnsi" w:hAnsiTheme="minorHAnsi" w:cstheme="minorHAnsi"/>
          <w:sz w:val="16"/>
          <w:szCs w:val="16"/>
        </w:rPr>
        <w:t xml:space="preserve">, </w:t>
      </w:r>
      <w:r w:rsidRPr="004111B8">
        <w:rPr>
          <w:rFonts w:asciiTheme="minorHAnsi" w:hAnsiTheme="minorHAnsi" w:cstheme="minorHAnsi"/>
          <w:sz w:val="16"/>
          <w:szCs w:val="16"/>
        </w:rPr>
        <w:t>(</w:t>
      </w:r>
      <w:r w:rsidRPr="00E8047A">
        <w:rPr>
          <w:rFonts w:asciiTheme="minorHAnsi" w:hAnsiTheme="minorHAnsi" w:cstheme="minorHAnsi"/>
          <w:sz w:val="16"/>
          <w:szCs w:val="16"/>
        </w:rPr>
        <w:t>Lawbook Co., 2004) 1</w:t>
      </w:r>
      <w:r w:rsidRPr="00632BB9">
        <w:rPr>
          <w:rFonts w:asciiTheme="minorHAnsi" w:hAnsiTheme="minorHAnsi" w:cstheme="minorHAnsi"/>
          <w:sz w:val="16"/>
          <w:szCs w:val="16"/>
        </w:rPr>
        <w:t xml:space="preserve">.  </w:t>
      </w:r>
    </w:p>
  </w:footnote>
  <w:footnote w:id="9">
    <w:p w:rsidR="00BE54B3" w:rsidRPr="00632BB9" w:rsidRDefault="00BE54B3">
      <w:pPr>
        <w:pStyle w:val="FootnoteText"/>
        <w:rPr>
          <w:rFonts w:asciiTheme="minorHAnsi" w:hAnsiTheme="minorHAnsi" w:cstheme="minorHAnsi"/>
          <w:sz w:val="16"/>
          <w:szCs w:val="16"/>
        </w:rPr>
      </w:pPr>
      <w:r w:rsidRPr="00632BB9">
        <w:rPr>
          <w:rStyle w:val="FootnoteReference"/>
          <w:rFonts w:asciiTheme="minorHAnsi" w:hAnsiTheme="minorHAnsi" w:cstheme="minorHAnsi"/>
          <w:sz w:val="16"/>
          <w:szCs w:val="16"/>
        </w:rPr>
        <w:footnoteRef/>
      </w:r>
      <w:r w:rsidRPr="00632BB9">
        <w:rPr>
          <w:rFonts w:asciiTheme="minorHAnsi" w:hAnsiTheme="minorHAnsi" w:cstheme="minorHAnsi"/>
          <w:sz w:val="16"/>
          <w:szCs w:val="16"/>
        </w:rPr>
        <w:t xml:space="preserve"> </w:t>
      </w:r>
      <w:r w:rsidRPr="00632BB9">
        <w:rPr>
          <w:rFonts w:asciiTheme="minorHAnsi" w:hAnsiTheme="minorHAnsi" w:cstheme="minorHAnsi"/>
          <w:i/>
          <w:sz w:val="16"/>
          <w:szCs w:val="16"/>
        </w:rPr>
        <w:t>Judicial Review Act 1991</w:t>
      </w:r>
      <w:r w:rsidRPr="004111B8">
        <w:rPr>
          <w:rFonts w:asciiTheme="minorHAnsi" w:hAnsiTheme="minorHAnsi" w:cstheme="minorHAnsi"/>
          <w:sz w:val="16"/>
          <w:szCs w:val="16"/>
        </w:rPr>
        <w:t>, section 4.</w:t>
      </w:r>
    </w:p>
  </w:footnote>
  <w:footnote w:id="10">
    <w:p w:rsidR="00BE54B3" w:rsidRPr="00632BB9" w:rsidRDefault="00BE54B3">
      <w:pPr>
        <w:pStyle w:val="FootnoteText"/>
        <w:rPr>
          <w:rFonts w:asciiTheme="minorHAnsi" w:hAnsiTheme="minorHAnsi" w:cstheme="minorHAnsi"/>
          <w:sz w:val="16"/>
          <w:szCs w:val="16"/>
        </w:rPr>
      </w:pPr>
      <w:r w:rsidRPr="00632BB9">
        <w:rPr>
          <w:rStyle w:val="FootnoteReference"/>
          <w:rFonts w:asciiTheme="minorHAnsi" w:hAnsiTheme="minorHAnsi" w:cstheme="minorHAnsi"/>
          <w:sz w:val="16"/>
          <w:szCs w:val="16"/>
        </w:rPr>
        <w:footnoteRef/>
      </w:r>
      <w:r w:rsidRPr="00632BB9">
        <w:rPr>
          <w:rFonts w:asciiTheme="minorHAnsi" w:hAnsiTheme="minorHAnsi" w:cstheme="minorHAnsi"/>
          <w:sz w:val="16"/>
          <w:szCs w:val="16"/>
        </w:rPr>
        <w:t xml:space="preserve"> </w:t>
      </w:r>
      <w:r w:rsidRPr="00632BB9">
        <w:rPr>
          <w:rFonts w:asciiTheme="minorHAnsi" w:hAnsiTheme="minorHAnsi" w:cstheme="minorHAnsi"/>
          <w:i/>
          <w:sz w:val="16"/>
          <w:szCs w:val="16"/>
        </w:rPr>
        <w:t>Griffith University vs Tang</w:t>
      </w:r>
      <w:r w:rsidRPr="00632BB9">
        <w:rPr>
          <w:rFonts w:asciiTheme="minorHAnsi" w:hAnsiTheme="minorHAnsi" w:cstheme="minorHAnsi"/>
          <w:sz w:val="16"/>
          <w:szCs w:val="16"/>
        </w:rPr>
        <w:t xml:space="preserve"> [2005] HCA 7</w:t>
      </w:r>
      <w:r w:rsidRPr="004111B8">
        <w:rPr>
          <w:rFonts w:asciiTheme="minorHAnsi" w:hAnsiTheme="minorHAnsi" w:cstheme="minorHAnsi"/>
          <w:sz w:val="16"/>
          <w:szCs w:val="16"/>
        </w:rPr>
        <w:t>.</w:t>
      </w:r>
    </w:p>
  </w:footnote>
  <w:footnote w:id="11">
    <w:p w:rsidR="00BE54B3" w:rsidRPr="00632BB9" w:rsidRDefault="00BE54B3">
      <w:pPr>
        <w:pStyle w:val="FootnoteText"/>
        <w:rPr>
          <w:rFonts w:asciiTheme="majorHAnsi" w:hAnsiTheme="majorHAnsi" w:cstheme="majorHAnsi"/>
          <w:sz w:val="16"/>
          <w:szCs w:val="16"/>
        </w:rPr>
      </w:pPr>
      <w:r w:rsidRPr="00632BB9">
        <w:rPr>
          <w:rStyle w:val="FootnoteReference"/>
          <w:rFonts w:asciiTheme="majorHAnsi" w:hAnsiTheme="majorHAnsi" w:cstheme="majorHAnsi"/>
          <w:sz w:val="16"/>
          <w:szCs w:val="16"/>
        </w:rPr>
        <w:footnoteRef/>
      </w:r>
      <w:r w:rsidRPr="00632BB9">
        <w:rPr>
          <w:rFonts w:asciiTheme="majorHAnsi" w:hAnsiTheme="majorHAnsi" w:cstheme="majorHAnsi"/>
          <w:sz w:val="16"/>
          <w:szCs w:val="16"/>
        </w:rPr>
        <w:t xml:space="preserve"> </w:t>
      </w:r>
      <w:r w:rsidRPr="00632BB9">
        <w:rPr>
          <w:rFonts w:asciiTheme="majorHAnsi" w:hAnsiTheme="majorHAnsi" w:cstheme="majorHAnsi"/>
          <w:i/>
          <w:sz w:val="16"/>
          <w:szCs w:val="16"/>
        </w:rPr>
        <w:t>Canberra Fathers and Children Services Inc v Michael Watson</w:t>
      </w:r>
      <w:r w:rsidRPr="00632BB9">
        <w:rPr>
          <w:rFonts w:asciiTheme="majorHAnsi" w:hAnsiTheme="majorHAnsi" w:cstheme="majorHAnsi"/>
          <w:sz w:val="16"/>
          <w:szCs w:val="16"/>
        </w:rPr>
        <w:t xml:space="preserve"> [2010] ACAT 74, [37].</w:t>
      </w:r>
    </w:p>
  </w:footnote>
  <w:footnote w:id="12">
    <w:p w:rsidR="00BE54B3" w:rsidRPr="000953B4" w:rsidRDefault="00BE54B3">
      <w:pPr>
        <w:pStyle w:val="FootnoteText"/>
      </w:pPr>
      <w:r>
        <w:rPr>
          <w:rStyle w:val="FootnoteReference"/>
        </w:rPr>
        <w:footnoteRef/>
      </w:r>
      <w:r>
        <w:t xml:space="preserve"> </w:t>
      </w:r>
      <w:r w:rsidRPr="00632BB9">
        <w:rPr>
          <w:rFonts w:asciiTheme="minorHAnsi" w:hAnsiTheme="minorHAnsi" w:cstheme="minorHAnsi"/>
          <w:i/>
          <w:sz w:val="16"/>
          <w:szCs w:val="16"/>
          <w:lang w:val="en-US"/>
        </w:rPr>
        <w:t>Legislative Standards Act 1992</w:t>
      </w:r>
      <w:r w:rsidRPr="00632BB9">
        <w:rPr>
          <w:rFonts w:asciiTheme="minorHAnsi" w:hAnsiTheme="minorHAnsi" w:cstheme="minorHAnsi"/>
          <w:sz w:val="16"/>
          <w:szCs w:val="16"/>
          <w:lang w:val="en-US"/>
        </w:rPr>
        <w:t>, section 7</w:t>
      </w:r>
      <w:r>
        <w:rPr>
          <w:rFonts w:asciiTheme="minorHAnsi" w:hAnsiTheme="minorHAnsi" w:cstheme="minorHAnsi"/>
          <w:sz w:val="16"/>
          <w:szCs w:val="16"/>
          <w:lang w:val="en-US"/>
        </w:rPr>
        <w:t>(g) &amp; (h).</w:t>
      </w:r>
    </w:p>
  </w:footnote>
  <w:footnote w:id="13">
    <w:p w:rsidR="00BE54B3" w:rsidRPr="00632BB9" w:rsidRDefault="00BE54B3" w:rsidP="00005E40">
      <w:pPr>
        <w:pStyle w:val="FootnoteText"/>
        <w:rPr>
          <w:rFonts w:asciiTheme="minorHAnsi" w:hAnsiTheme="minorHAnsi" w:cstheme="minorHAnsi"/>
          <w:sz w:val="16"/>
          <w:szCs w:val="16"/>
          <w:lang w:val="en-US"/>
        </w:rPr>
      </w:pPr>
      <w:r w:rsidRPr="00632BB9">
        <w:rPr>
          <w:rStyle w:val="FootnoteReference"/>
          <w:rFonts w:asciiTheme="minorHAnsi" w:eastAsiaTheme="majorEastAsia" w:hAnsiTheme="minorHAnsi" w:cstheme="minorHAnsi"/>
          <w:sz w:val="16"/>
          <w:szCs w:val="16"/>
        </w:rPr>
        <w:footnoteRef/>
      </w:r>
      <w:r w:rsidRPr="00632BB9">
        <w:rPr>
          <w:rFonts w:asciiTheme="minorHAnsi" w:hAnsiTheme="minorHAnsi" w:cstheme="minorHAnsi"/>
          <w:sz w:val="16"/>
          <w:szCs w:val="16"/>
        </w:rPr>
        <w:t xml:space="preserve"> </w:t>
      </w:r>
      <w:r w:rsidRPr="00632BB9">
        <w:rPr>
          <w:rFonts w:asciiTheme="minorHAnsi" w:hAnsiTheme="minorHAnsi" w:cstheme="minorHAnsi"/>
          <w:i/>
          <w:sz w:val="16"/>
          <w:szCs w:val="16"/>
          <w:lang w:val="en-US"/>
        </w:rPr>
        <w:t>Parliament of Queensland Act 2001</w:t>
      </w:r>
      <w:r w:rsidRPr="00632BB9">
        <w:rPr>
          <w:rFonts w:asciiTheme="minorHAnsi" w:hAnsiTheme="minorHAnsi" w:cstheme="minorHAnsi"/>
          <w:sz w:val="16"/>
          <w:szCs w:val="16"/>
          <w:lang w:val="en-US"/>
        </w:rPr>
        <w:t>, section 88.</w:t>
      </w:r>
    </w:p>
  </w:footnote>
  <w:footnote w:id="14">
    <w:p w:rsidR="00BE54B3" w:rsidRPr="00632BB9" w:rsidRDefault="00BE54B3" w:rsidP="00005E40">
      <w:pPr>
        <w:pStyle w:val="FootnoteText"/>
        <w:rPr>
          <w:rFonts w:asciiTheme="minorHAnsi" w:hAnsiTheme="minorHAnsi" w:cstheme="minorHAnsi"/>
          <w:sz w:val="16"/>
          <w:szCs w:val="16"/>
          <w:lang w:val="en-US"/>
        </w:rPr>
      </w:pPr>
      <w:r w:rsidRPr="00632BB9">
        <w:rPr>
          <w:rStyle w:val="FootnoteReference"/>
          <w:rFonts w:asciiTheme="minorHAnsi" w:eastAsiaTheme="majorEastAsia" w:hAnsiTheme="minorHAnsi" w:cstheme="minorHAnsi"/>
          <w:sz w:val="16"/>
          <w:szCs w:val="16"/>
        </w:rPr>
        <w:footnoteRef/>
      </w:r>
      <w:r w:rsidRPr="00632BB9">
        <w:rPr>
          <w:rFonts w:asciiTheme="minorHAnsi" w:hAnsiTheme="minorHAnsi" w:cstheme="minorHAnsi"/>
          <w:sz w:val="16"/>
          <w:szCs w:val="16"/>
        </w:rPr>
        <w:t xml:space="preserve"> </w:t>
      </w:r>
      <w:r w:rsidRPr="00632BB9">
        <w:rPr>
          <w:rFonts w:asciiTheme="minorHAnsi" w:hAnsiTheme="minorHAnsi" w:cstheme="minorHAnsi"/>
          <w:i/>
          <w:sz w:val="16"/>
          <w:szCs w:val="16"/>
          <w:lang w:val="en-US"/>
        </w:rPr>
        <w:t>Legislative Standards Act 1992</w:t>
      </w:r>
      <w:r w:rsidRPr="00632BB9">
        <w:rPr>
          <w:rFonts w:asciiTheme="minorHAnsi" w:hAnsiTheme="minorHAnsi" w:cstheme="minorHAnsi"/>
          <w:sz w:val="16"/>
          <w:szCs w:val="16"/>
          <w:lang w:val="en-US"/>
        </w:rPr>
        <w:t>, section 7.</w:t>
      </w:r>
    </w:p>
  </w:footnote>
  <w:footnote w:id="15">
    <w:p w:rsidR="00BE54B3" w:rsidRPr="00632BB9" w:rsidRDefault="00BE54B3" w:rsidP="00005E40">
      <w:pPr>
        <w:pStyle w:val="FootnoteText"/>
        <w:rPr>
          <w:rFonts w:asciiTheme="minorHAnsi" w:hAnsiTheme="minorHAnsi" w:cstheme="minorHAnsi"/>
          <w:sz w:val="16"/>
          <w:szCs w:val="16"/>
          <w:lang w:val="en-US"/>
        </w:rPr>
      </w:pPr>
      <w:r w:rsidRPr="00632BB9">
        <w:rPr>
          <w:rStyle w:val="FootnoteReference"/>
          <w:rFonts w:asciiTheme="minorHAnsi" w:eastAsiaTheme="majorEastAsia" w:hAnsiTheme="minorHAnsi" w:cstheme="minorHAnsi"/>
          <w:sz w:val="16"/>
          <w:szCs w:val="16"/>
        </w:rPr>
        <w:footnoteRef/>
      </w:r>
      <w:r w:rsidRPr="00632BB9">
        <w:rPr>
          <w:rFonts w:asciiTheme="minorHAnsi" w:hAnsiTheme="minorHAnsi" w:cstheme="minorHAnsi"/>
          <w:sz w:val="16"/>
          <w:szCs w:val="16"/>
        </w:rPr>
        <w:t xml:space="preserve"> </w:t>
      </w:r>
      <w:r w:rsidRPr="00632BB9">
        <w:rPr>
          <w:rFonts w:asciiTheme="minorHAnsi" w:hAnsiTheme="minorHAnsi" w:cstheme="minorHAnsi"/>
          <w:i/>
          <w:sz w:val="16"/>
          <w:szCs w:val="16"/>
          <w:lang w:val="en-US"/>
        </w:rPr>
        <w:t>Legislative Standards Act 1992</w:t>
      </w:r>
      <w:r w:rsidRPr="00632BB9">
        <w:rPr>
          <w:rFonts w:asciiTheme="minorHAnsi" w:hAnsiTheme="minorHAnsi" w:cstheme="minorHAnsi"/>
          <w:sz w:val="16"/>
          <w:szCs w:val="16"/>
          <w:lang w:val="en-US"/>
        </w:rPr>
        <w:t>, section 7.</w:t>
      </w:r>
    </w:p>
  </w:footnote>
  <w:footnote w:id="16">
    <w:p w:rsidR="00BE54B3" w:rsidRPr="00285E61" w:rsidRDefault="00BE54B3" w:rsidP="00005E40">
      <w:pPr>
        <w:pStyle w:val="FootnoteText"/>
        <w:rPr>
          <w:sz w:val="16"/>
          <w:szCs w:val="16"/>
          <w:lang w:val="en-US"/>
        </w:rPr>
      </w:pPr>
      <w:r w:rsidRPr="00632BB9">
        <w:rPr>
          <w:rStyle w:val="FootnoteReference"/>
          <w:rFonts w:asciiTheme="minorHAnsi" w:eastAsiaTheme="majorEastAsia" w:hAnsiTheme="minorHAnsi" w:cstheme="minorHAnsi"/>
          <w:sz w:val="16"/>
          <w:szCs w:val="16"/>
        </w:rPr>
        <w:footnoteRef/>
      </w:r>
      <w:r w:rsidRPr="00632BB9">
        <w:rPr>
          <w:rFonts w:asciiTheme="minorHAnsi" w:hAnsiTheme="minorHAnsi" w:cstheme="minorHAnsi"/>
          <w:sz w:val="16"/>
          <w:szCs w:val="16"/>
        </w:rPr>
        <w:t xml:space="preserve"> </w:t>
      </w:r>
      <w:r w:rsidRPr="00632BB9">
        <w:rPr>
          <w:rFonts w:asciiTheme="minorHAnsi" w:hAnsiTheme="minorHAnsi" w:cstheme="minorHAnsi"/>
          <w:i/>
          <w:sz w:val="16"/>
          <w:szCs w:val="16"/>
          <w:lang w:val="en-US"/>
        </w:rPr>
        <w:t>Legislative Standards Act 1992</w:t>
      </w:r>
      <w:r w:rsidRPr="00632BB9">
        <w:rPr>
          <w:rFonts w:asciiTheme="minorHAnsi" w:hAnsiTheme="minorHAnsi" w:cstheme="minorHAnsi"/>
          <w:sz w:val="16"/>
          <w:szCs w:val="16"/>
          <w:lang w:val="en-US"/>
        </w:rPr>
        <w:t>, section 22.</w:t>
      </w:r>
    </w:p>
  </w:footnote>
  <w:footnote w:id="17">
    <w:p w:rsidR="00BE54B3" w:rsidRPr="00632BB9" w:rsidRDefault="00BE54B3" w:rsidP="00005E40">
      <w:pPr>
        <w:pStyle w:val="FootnoteText"/>
        <w:rPr>
          <w:rFonts w:asciiTheme="minorHAnsi" w:hAnsiTheme="minorHAnsi" w:cstheme="minorHAnsi"/>
          <w:sz w:val="16"/>
          <w:szCs w:val="16"/>
          <w:lang w:val="en-US"/>
        </w:rPr>
      </w:pPr>
      <w:r w:rsidRPr="00632BB9">
        <w:rPr>
          <w:rStyle w:val="FootnoteReference"/>
          <w:rFonts w:asciiTheme="minorHAnsi" w:eastAsiaTheme="majorEastAsia" w:hAnsiTheme="minorHAnsi" w:cstheme="minorHAnsi"/>
          <w:sz w:val="16"/>
          <w:szCs w:val="16"/>
        </w:rPr>
        <w:footnoteRef/>
      </w:r>
      <w:r w:rsidRPr="00632BB9">
        <w:rPr>
          <w:rFonts w:asciiTheme="minorHAnsi" w:hAnsiTheme="minorHAnsi" w:cstheme="minorHAnsi"/>
          <w:sz w:val="16"/>
          <w:szCs w:val="16"/>
        </w:rPr>
        <w:t xml:space="preserve"> </w:t>
      </w:r>
      <w:r w:rsidRPr="00632BB9">
        <w:rPr>
          <w:rFonts w:asciiTheme="minorHAnsi" w:hAnsiTheme="minorHAnsi" w:cstheme="minorHAnsi"/>
          <w:i/>
          <w:sz w:val="16"/>
          <w:szCs w:val="16"/>
          <w:lang w:val="en-US"/>
        </w:rPr>
        <w:t>Legislative Standards Act 1992</w:t>
      </w:r>
      <w:r w:rsidRPr="00632BB9">
        <w:rPr>
          <w:rFonts w:asciiTheme="minorHAnsi" w:hAnsiTheme="minorHAnsi" w:cstheme="minorHAnsi"/>
          <w:sz w:val="16"/>
          <w:szCs w:val="16"/>
          <w:lang w:val="en-US"/>
        </w:rPr>
        <w:t>, section 23(f).</w:t>
      </w:r>
    </w:p>
  </w:footnote>
  <w:footnote w:id="18">
    <w:p w:rsidR="00BE54B3" w:rsidRPr="00632BB9" w:rsidRDefault="00BE54B3" w:rsidP="00005E40">
      <w:pPr>
        <w:pStyle w:val="FootnoteText"/>
        <w:rPr>
          <w:rFonts w:asciiTheme="minorHAnsi" w:hAnsiTheme="minorHAnsi" w:cstheme="minorHAnsi"/>
          <w:sz w:val="16"/>
          <w:szCs w:val="16"/>
          <w:lang w:val="en-US"/>
        </w:rPr>
      </w:pPr>
      <w:r w:rsidRPr="00632BB9">
        <w:rPr>
          <w:rStyle w:val="FootnoteReference"/>
          <w:rFonts w:asciiTheme="minorHAnsi" w:eastAsiaTheme="majorEastAsia" w:hAnsiTheme="minorHAnsi" w:cstheme="minorHAnsi"/>
          <w:sz w:val="16"/>
          <w:szCs w:val="16"/>
        </w:rPr>
        <w:footnoteRef/>
      </w:r>
      <w:r w:rsidRPr="00632BB9">
        <w:rPr>
          <w:rFonts w:asciiTheme="minorHAnsi" w:hAnsiTheme="minorHAnsi" w:cstheme="minorHAnsi"/>
          <w:sz w:val="16"/>
          <w:szCs w:val="16"/>
        </w:rPr>
        <w:t xml:space="preserve"> </w:t>
      </w:r>
      <w:r w:rsidRPr="00632BB9">
        <w:rPr>
          <w:rFonts w:asciiTheme="minorHAnsi" w:hAnsiTheme="minorHAnsi" w:cstheme="minorHAnsi"/>
          <w:sz w:val="16"/>
          <w:szCs w:val="16"/>
          <w:lang w:val="en-US"/>
        </w:rPr>
        <w:t xml:space="preserve">Standing Rules and Orders of the Legislative Assembly, Chapter 23, section 131 (Standing rules and orders for the conduct of proceedings in the Assembly are made under section 11 of the </w:t>
      </w:r>
      <w:r w:rsidRPr="00632BB9">
        <w:rPr>
          <w:rFonts w:asciiTheme="minorHAnsi" w:hAnsiTheme="minorHAnsi" w:cstheme="minorHAnsi"/>
          <w:i/>
          <w:sz w:val="16"/>
          <w:szCs w:val="16"/>
          <w:lang w:val="en-US"/>
        </w:rPr>
        <w:t>Parliament of Queensland Act 2001</w:t>
      </w:r>
      <w:r w:rsidRPr="00632BB9">
        <w:rPr>
          <w:rFonts w:asciiTheme="minorHAnsi" w:hAnsiTheme="minorHAnsi" w:cstheme="minorHAnsi"/>
          <w:sz w:val="16"/>
          <w:szCs w:val="16"/>
          <w:lang w:val="en-US"/>
        </w:rPr>
        <w:t>).</w:t>
      </w:r>
    </w:p>
  </w:footnote>
  <w:footnote w:id="19">
    <w:p w:rsidR="00BE54B3" w:rsidRPr="00632BB9" w:rsidRDefault="00BE54B3" w:rsidP="00005E40">
      <w:pPr>
        <w:pStyle w:val="FootnoteText"/>
        <w:rPr>
          <w:rFonts w:asciiTheme="minorHAnsi" w:hAnsiTheme="minorHAnsi" w:cstheme="minorHAnsi"/>
          <w:sz w:val="16"/>
          <w:szCs w:val="16"/>
          <w:lang w:val="en-US"/>
        </w:rPr>
      </w:pPr>
      <w:r w:rsidRPr="00632BB9">
        <w:rPr>
          <w:rStyle w:val="FootnoteReference"/>
          <w:rFonts w:asciiTheme="minorHAnsi" w:eastAsiaTheme="majorEastAsia" w:hAnsiTheme="minorHAnsi" w:cstheme="minorHAnsi"/>
          <w:sz w:val="16"/>
          <w:szCs w:val="16"/>
        </w:rPr>
        <w:footnoteRef/>
      </w:r>
      <w:r w:rsidRPr="00632BB9">
        <w:rPr>
          <w:rFonts w:asciiTheme="minorHAnsi" w:hAnsiTheme="minorHAnsi" w:cstheme="minorHAnsi"/>
          <w:sz w:val="16"/>
          <w:szCs w:val="16"/>
        </w:rPr>
        <w:t xml:space="preserve"> </w:t>
      </w:r>
      <w:r w:rsidRPr="00632BB9">
        <w:rPr>
          <w:rFonts w:asciiTheme="minorHAnsi" w:hAnsiTheme="minorHAnsi" w:cstheme="minorHAnsi"/>
          <w:i/>
          <w:sz w:val="16"/>
          <w:szCs w:val="16"/>
          <w:lang w:val="en-US"/>
        </w:rPr>
        <w:t>Parliament of Queensland Act 2001</w:t>
      </w:r>
      <w:r w:rsidRPr="00632BB9">
        <w:rPr>
          <w:rFonts w:asciiTheme="minorHAnsi" w:hAnsiTheme="minorHAnsi" w:cstheme="minorHAnsi"/>
          <w:sz w:val="16"/>
          <w:szCs w:val="16"/>
          <w:lang w:val="en-US"/>
        </w:rPr>
        <w:t>, section 93.</w:t>
      </w:r>
    </w:p>
  </w:footnote>
  <w:footnote w:id="20">
    <w:p w:rsidR="00BE54B3" w:rsidRPr="00632BB9" w:rsidRDefault="00BE54B3" w:rsidP="00005E40">
      <w:pPr>
        <w:pStyle w:val="FootnoteText"/>
        <w:rPr>
          <w:rFonts w:asciiTheme="minorHAnsi" w:hAnsiTheme="minorHAnsi" w:cstheme="minorHAnsi"/>
          <w:sz w:val="16"/>
          <w:szCs w:val="16"/>
          <w:lang w:val="en-US"/>
        </w:rPr>
      </w:pPr>
      <w:r w:rsidRPr="00632BB9">
        <w:rPr>
          <w:rStyle w:val="FootnoteReference"/>
          <w:rFonts w:asciiTheme="minorHAnsi" w:eastAsiaTheme="majorEastAsia" w:hAnsiTheme="minorHAnsi" w:cstheme="minorHAnsi"/>
          <w:sz w:val="16"/>
          <w:szCs w:val="16"/>
        </w:rPr>
        <w:footnoteRef/>
      </w:r>
      <w:r w:rsidRPr="00632BB9">
        <w:rPr>
          <w:rFonts w:asciiTheme="minorHAnsi" w:hAnsiTheme="minorHAnsi" w:cstheme="minorHAnsi"/>
          <w:sz w:val="16"/>
          <w:szCs w:val="16"/>
        </w:rPr>
        <w:t xml:space="preserve"> </w:t>
      </w:r>
      <w:r w:rsidRPr="00632BB9">
        <w:rPr>
          <w:rFonts w:asciiTheme="minorHAnsi" w:hAnsiTheme="minorHAnsi" w:cstheme="minorHAnsi"/>
          <w:sz w:val="16"/>
          <w:szCs w:val="16"/>
          <w:lang w:val="en-US"/>
        </w:rPr>
        <w:t>Standing Rules and Orders of the Legislative Assembly, Chapter 23, section 132.</w:t>
      </w:r>
    </w:p>
  </w:footnote>
  <w:footnote w:id="21">
    <w:p w:rsidR="00BE54B3" w:rsidRPr="00285E61" w:rsidRDefault="00BE54B3" w:rsidP="00005E40">
      <w:pPr>
        <w:pStyle w:val="FootnoteText"/>
        <w:rPr>
          <w:sz w:val="16"/>
          <w:szCs w:val="16"/>
          <w:lang w:val="en-US"/>
        </w:rPr>
      </w:pPr>
      <w:r w:rsidRPr="00632BB9">
        <w:rPr>
          <w:rStyle w:val="FootnoteReference"/>
          <w:rFonts w:asciiTheme="minorHAnsi" w:eastAsiaTheme="majorEastAsia" w:hAnsiTheme="minorHAnsi" w:cstheme="minorHAnsi"/>
          <w:sz w:val="16"/>
          <w:szCs w:val="16"/>
        </w:rPr>
        <w:footnoteRef/>
      </w:r>
      <w:r w:rsidRPr="00632BB9">
        <w:rPr>
          <w:rFonts w:asciiTheme="minorHAnsi" w:hAnsiTheme="minorHAnsi" w:cstheme="minorHAnsi"/>
          <w:sz w:val="16"/>
          <w:szCs w:val="16"/>
        </w:rPr>
        <w:t xml:space="preserve"> </w:t>
      </w:r>
      <w:r w:rsidRPr="00632BB9">
        <w:rPr>
          <w:rFonts w:asciiTheme="minorHAnsi" w:hAnsiTheme="minorHAnsi" w:cstheme="minorHAnsi"/>
          <w:sz w:val="16"/>
          <w:szCs w:val="16"/>
          <w:lang w:val="en-US"/>
        </w:rPr>
        <w:t>Standing Rules and Orders of the Legislative Assembly, Chapter 23, section 136.</w:t>
      </w:r>
    </w:p>
  </w:footnote>
  <w:footnote w:id="22">
    <w:p w:rsidR="00BE54B3" w:rsidRPr="002D6014" w:rsidRDefault="00BE54B3">
      <w:pPr>
        <w:pStyle w:val="FootnoteText"/>
        <w:rPr>
          <w:rFonts w:ascii="Arial" w:hAnsi="Arial" w:cs="Arial"/>
          <w:sz w:val="16"/>
          <w:szCs w:val="16"/>
        </w:rPr>
      </w:pPr>
      <w:r w:rsidRPr="002D6014">
        <w:rPr>
          <w:rStyle w:val="FootnoteReference"/>
          <w:rFonts w:ascii="Arial" w:hAnsi="Arial" w:cs="Arial"/>
          <w:sz w:val="16"/>
          <w:szCs w:val="16"/>
        </w:rPr>
        <w:footnoteRef/>
      </w:r>
      <w:r w:rsidRPr="002D6014">
        <w:rPr>
          <w:rFonts w:ascii="Arial" w:hAnsi="Arial" w:cs="Arial"/>
          <w:sz w:val="16"/>
          <w:szCs w:val="16"/>
        </w:rPr>
        <w:t xml:space="preserve"> Report No. 17, February 2016.</w:t>
      </w:r>
    </w:p>
  </w:footnote>
  <w:footnote w:id="23">
    <w:p w:rsidR="00BE54B3" w:rsidRPr="00632BB9" w:rsidRDefault="00BE54B3">
      <w:pPr>
        <w:pStyle w:val="FootnoteText"/>
        <w:rPr>
          <w:rFonts w:asciiTheme="majorHAnsi" w:hAnsiTheme="majorHAnsi" w:cstheme="majorHAnsi"/>
          <w:sz w:val="16"/>
          <w:szCs w:val="16"/>
        </w:rPr>
      </w:pPr>
      <w:r w:rsidRPr="00632BB9">
        <w:rPr>
          <w:rStyle w:val="FootnoteReference"/>
          <w:rFonts w:asciiTheme="majorHAnsi" w:hAnsiTheme="majorHAnsi" w:cstheme="majorHAnsi"/>
          <w:sz w:val="16"/>
          <w:szCs w:val="16"/>
        </w:rPr>
        <w:footnoteRef/>
      </w:r>
      <w:r w:rsidRPr="00632BB9">
        <w:rPr>
          <w:rFonts w:asciiTheme="majorHAnsi" w:hAnsiTheme="majorHAnsi" w:cstheme="majorHAnsi"/>
          <w:sz w:val="16"/>
          <w:szCs w:val="16"/>
        </w:rPr>
        <w:t xml:space="preserve"> G</w:t>
      </w:r>
      <w:r>
        <w:rPr>
          <w:rFonts w:asciiTheme="majorHAnsi" w:hAnsiTheme="majorHAnsi" w:cstheme="majorHAnsi"/>
          <w:sz w:val="16"/>
          <w:szCs w:val="16"/>
        </w:rPr>
        <w:t>eorge</w:t>
      </w:r>
      <w:r w:rsidRPr="00632BB9">
        <w:rPr>
          <w:rFonts w:asciiTheme="majorHAnsi" w:hAnsiTheme="majorHAnsi" w:cstheme="majorHAnsi"/>
          <w:sz w:val="16"/>
          <w:szCs w:val="16"/>
        </w:rPr>
        <w:t xml:space="preserve"> Williams</w:t>
      </w:r>
      <w:r>
        <w:rPr>
          <w:rFonts w:asciiTheme="majorHAnsi" w:hAnsiTheme="majorHAnsi" w:cstheme="majorHAnsi"/>
          <w:sz w:val="16"/>
          <w:szCs w:val="16"/>
        </w:rPr>
        <w:t xml:space="preserve"> and Daniel Reynolds</w:t>
      </w:r>
      <w:r w:rsidRPr="00632BB9">
        <w:rPr>
          <w:rFonts w:asciiTheme="majorHAnsi" w:hAnsiTheme="majorHAnsi" w:cstheme="majorHAnsi"/>
          <w:sz w:val="16"/>
          <w:szCs w:val="16"/>
        </w:rPr>
        <w:t xml:space="preserve">, Submission </w:t>
      </w:r>
      <w:r>
        <w:rPr>
          <w:rFonts w:asciiTheme="majorHAnsi" w:hAnsiTheme="majorHAnsi" w:cstheme="majorHAnsi"/>
          <w:sz w:val="16"/>
          <w:szCs w:val="16"/>
        </w:rPr>
        <w:t xml:space="preserve">No. 006 </w:t>
      </w:r>
      <w:r w:rsidRPr="00632BB9">
        <w:rPr>
          <w:rFonts w:asciiTheme="majorHAnsi" w:hAnsiTheme="majorHAnsi" w:cstheme="majorHAnsi"/>
          <w:sz w:val="16"/>
          <w:szCs w:val="16"/>
        </w:rPr>
        <w:t xml:space="preserve">to </w:t>
      </w:r>
      <w:r>
        <w:rPr>
          <w:rFonts w:asciiTheme="majorHAnsi" w:hAnsiTheme="majorHAnsi" w:cstheme="majorHAnsi"/>
          <w:sz w:val="16"/>
          <w:szCs w:val="16"/>
        </w:rPr>
        <w:t xml:space="preserve">Queensland Legal Affairs and Community Safety Committee, </w:t>
      </w:r>
      <w:r w:rsidRPr="00632BB9">
        <w:rPr>
          <w:rFonts w:asciiTheme="majorHAnsi" w:hAnsiTheme="majorHAnsi" w:cstheme="majorHAnsi"/>
          <w:i/>
          <w:sz w:val="16"/>
          <w:szCs w:val="16"/>
        </w:rPr>
        <w:t>Human Rights Inquiry</w:t>
      </w:r>
      <w:r w:rsidRPr="00632BB9">
        <w:rPr>
          <w:rFonts w:asciiTheme="majorHAnsi" w:hAnsiTheme="majorHAnsi" w:cstheme="majorHAnsi"/>
          <w:sz w:val="16"/>
          <w:szCs w:val="16"/>
        </w:rPr>
        <w:t xml:space="preserve">, 11 March 2016. </w:t>
      </w:r>
    </w:p>
  </w:footnote>
  <w:footnote w:id="24">
    <w:p w:rsidR="00BE54B3" w:rsidRPr="00632BB9" w:rsidRDefault="00BE54B3" w:rsidP="00632BB9">
      <w:pPr>
        <w:spacing w:after="0"/>
        <w:rPr>
          <w:rFonts w:asciiTheme="majorHAnsi" w:hAnsiTheme="majorHAnsi" w:cstheme="majorHAnsi"/>
        </w:rPr>
      </w:pPr>
      <w:r w:rsidRPr="00632BB9">
        <w:rPr>
          <w:rStyle w:val="FootnoteReference"/>
          <w:rFonts w:asciiTheme="majorHAnsi" w:hAnsiTheme="majorHAnsi" w:cstheme="majorHAnsi"/>
          <w:sz w:val="16"/>
          <w:szCs w:val="16"/>
        </w:rPr>
        <w:footnoteRef/>
      </w:r>
      <w:r>
        <w:rPr>
          <w:rFonts w:asciiTheme="majorHAnsi" w:hAnsiTheme="majorHAnsi" w:cstheme="majorHAnsi"/>
          <w:sz w:val="16"/>
          <w:szCs w:val="16"/>
        </w:rPr>
        <w:t xml:space="preserve"> The Tasmanian Law Reform Institute considered the operation of the ACT legislation. See</w:t>
      </w:r>
      <w:r w:rsidRPr="00632BB9">
        <w:rPr>
          <w:rFonts w:asciiTheme="majorHAnsi" w:hAnsiTheme="majorHAnsi" w:cstheme="majorHAnsi"/>
          <w:sz w:val="16"/>
          <w:szCs w:val="16"/>
        </w:rPr>
        <w:t xml:space="preserve"> </w:t>
      </w:r>
      <w:r>
        <w:rPr>
          <w:rFonts w:asciiTheme="majorHAnsi" w:hAnsiTheme="majorHAnsi" w:cstheme="majorHAnsi"/>
          <w:sz w:val="16"/>
          <w:szCs w:val="16"/>
        </w:rPr>
        <w:t xml:space="preserve">Tasmanian Law Reform Institute, </w:t>
      </w:r>
      <w:r w:rsidRPr="00632BB9">
        <w:rPr>
          <w:rFonts w:asciiTheme="majorHAnsi" w:hAnsiTheme="majorHAnsi" w:cstheme="majorHAnsi"/>
          <w:i/>
          <w:sz w:val="16"/>
          <w:szCs w:val="16"/>
        </w:rPr>
        <w:t>A Charter of Rights for Tasmania</w:t>
      </w:r>
      <w:r>
        <w:rPr>
          <w:rFonts w:asciiTheme="majorHAnsi" w:hAnsiTheme="majorHAnsi" w:cstheme="majorHAnsi"/>
          <w:sz w:val="16"/>
          <w:szCs w:val="16"/>
        </w:rPr>
        <w:t xml:space="preserve">, Report No 10 (October 2007) 37. </w:t>
      </w:r>
    </w:p>
  </w:footnote>
  <w:footnote w:id="25">
    <w:p w:rsidR="00BE54B3" w:rsidRPr="00285E61" w:rsidRDefault="00BE54B3">
      <w:pPr>
        <w:pStyle w:val="FootnoteText"/>
        <w:rPr>
          <w:sz w:val="16"/>
          <w:szCs w:val="16"/>
        </w:rPr>
      </w:pPr>
      <w:r w:rsidRPr="00632BB9">
        <w:rPr>
          <w:rStyle w:val="FootnoteReference"/>
          <w:rFonts w:asciiTheme="majorHAnsi" w:hAnsiTheme="majorHAnsi" w:cstheme="majorHAnsi"/>
          <w:sz w:val="16"/>
          <w:szCs w:val="16"/>
        </w:rPr>
        <w:footnoteRef/>
      </w:r>
      <w:r w:rsidRPr="00632BB9">
        <w:rPr>
          <w:rFonts w:asciiTheme="majorHAnsi" w:hAnsiTheme="majorHAnsi" w:cstheme="majorHAnsi"/>
          <w:sz w:val="16"/>
          <w:szCs w:val="16"/>
        </w:rPr>
        <w:t xml:space="preserve"> G</w:t>
      </w:r>
      <w:r>
        <w:rPr>
          <w:rFonts w:asciiTheme="majorHAnsi" w:hAnsiTheme="majorHAnsi" w:cstheme="majorHAnsi"/>
          <w:sz w:val="16"/>
          <w:szCs w:val="16"/>
        </w:rPr>
        <w:t>eorge</w:t>
      </w:r>
      <w:r w:rsidRPr="00632BB9">
        <w:rPr>
          <w:rFonts w:asciiTheme="majorHAnsi" w:hAnsiTheme="majorHAnsi" w:cstheme="majorHAnsi"/>
          <w:sz w:val="16"/>
          <w:szCs w:val="16"/>
        </w:rPr>
        <w:t xml:space="preserve"> Williams</w:t>
      </w:r>
      <w:r>
        <w:rPr>
          <w:rFonts w:asciiTheme="majorHAnsi" w:hAnsiTheme="majorHAnsi" w:cstheme="majorHAnsi"/>
          <w:sz w:val="16"/>
          <w:szCs w:val="16"/>
        </w:rPr>
        <w:t xml:space="preserve"> and Daniel Reynolds</w:t>
      </w:r>
      <w:r w:rsidRPr="00632BB9">
        <w:rPr>
          <w:rFonts w:asciiTheme="majorHAnsi" w:hAnsiTheme="majorHAnsi" w:cstheme="majorHAnsi"/>
          <w:sz w:val="16"/>
          <w:szCs w:val="16"/>
        </w:rPr>
        <w:t xml:space="preserve">, </w:t>
      </w:r>
      <w:r>
        <w:rPr>
          <w:rFonts w:asciiTheme="majorHAnsi" w:hAnsiTheme="majorHAnsi" w:cstheme="majorHAnsi"/>
          <w:sz w:val="16"/>
          <w:szCs w:val="16"/>
        </w:rPr>
        <w:t>above n 20.</w:t>
      </w:r>
    </w:p>
  </w:footnote>
  <w:footnote w:id="26">
    <w:p w:rsidR="00BE54B3" w:rsidRPr="00632BB9" w:rsidRDefault="00BE54B3" w:rsidP="00285E61">
      <w:pPr>
        <w:autoSpaceDE w:val="0"/>
        <w:autoSpaceDN w:val="0"/>
        <w:adjustRightInd w:val="0"/>
        <w:spacing w:after="0"/>
        <w:rPr>
          <w:rFonts w:cstheme="minorHAnsi"/>
          <w:sz w:val="16"/>
          <w:szCs w:val="16"/>
        </w:rPr>
      </w:pPr>
      <w:r w:rsidRPr="00632BB9">
        <w:rPr>
          <w:rStyle w:val="FootnoteReference"/>
          <w:rFonts w:cstheme="minorHAnsi"/>
          <w:sz w:val="16"/>
          <w:szCs w:val="16"/>
        </w:rPr>
        <w:footnoteRef/>
      </w:r>
      <w:r w:rsidRPr="00632BB9">
        <w:rPr>
          <w:rFonts w:cstheme="minorHAnsi"/>
          <w:sz w:val="16"/>
          <w:szCs w:val="16"/>
        </w:rPr>
        <w:t xml:space="preserve"> Lord Irving of Lairg, ‘The Human Rights Act Two Years On: An Analysis’ (Speech delivered at the Durham University Irvine Lecture, Durham, 1 November 2002).</w:t>
      </w:r>
    </w:p>
  </w:footnote>
  <w:footnote w:id="27">
    <w:p w:rsidR="00BE54B3" w:rsidRPr="00632BB9" w:rsidRDefault="00BE54B3">
      <w:pPr>
        <w:pStyle w:val="FootnoteText"/>
        <w:rPr>
          <w:rFonts w:asciiTheme="minorHAnsi" w:hAnsiTheme="minorHAnsi" w:cstheme="minorHAnsi"/>
          <w:sz w:val="16"/>
          <w:szCs w:val="16"/>
        </w:rPr>
      </w:pPr>
      <w:r w:rsidRPr="00632BB9">
        <w:rPr>
          <w:rStyle w:val="FootnoteReference"/>
          <w:rFonts w:asciiTheme="minorHAnsi" w:hAnsiTheme="minorHAnsi" w:cstheme="minorHAnsi"/>
          <w:sz w:val="16"/>
          <w:szCs w:val="16"/>
        </w:rPr>
        <w:footnoteRef/>
      </w:r>
      <w:r w:rsidRPr="00632BB9">
        <w:rPr>
          <w:rFonts w:asciiTheme="minorHAnsi" w:hAnsiTheme="minorHAnsi" w:cstheme="minorHAnsi"/>
          <w:sz w:val="16"/>
          <w:szCs w:val="16"/>
        </w:rPr>
        <w:t xml:space="preserve"> </w:t>
      </w:r>
      <w:r w:rsidRPr="00632BB9">
        <w:rPr>
          <w:rFonts w:asciiTheme="minorHAnsi" w:hAnsiTheme="minorHAnsi" w:cstheme="minorHAnsi"/>
          <w:i/>
          <w:iCs/>
          <w:sz w:val="16"/>
          <w:szCs w:val="16"/>
        </w:rPr>
        <w:t xml:space="preserve">Simpson v Attorney General </w:t>
      </w:r>
      <w:r w:rsidRPr="00632BB9">
        <w:rPr>
          <w:rFonts w:asciiTheme="minorHAnsi" w:hAnsiTheme="minorHAnsi" w:cstheme="minorHAnsi"/>
          <w:sz w:val="16"/>
          <w:szCs w:val="16"/>
        </w:rPr>
        <w:t>[1994] 3 NZLR 667.</w:t>
      </w:r>
    </w:p>
  </w:footnote>
  <w:footnote w:id="28">
    <w:p w:rsidR="00BE54B3" w:rsidRPr="00285E61" w:rsidRDefault="00BE54B3">
      <w:pPr>
        <w:pStyle w:val="FootnoteText"/>
        <w:rPr>
          <w:sz w:val="16"/>
          <w:szCs w:val="16"/>
        </w:rPr>
      </w:pPr>
      <w:r w:rsidRPr="00632BB9">
        <w:rPr>
          <w:rStyle w:val="FootnoteReference"/>
          <w:rFonts w:asciiTheme="minorHAnsi" w:hAnsiTheme="minorHAnsi" w:cstheme="minorHAnsi"/>
          <w:sz w:val="16"/>
          <w:szCs w:val="16"/>
        </w:rPr>
        <w:footnoteRef/>
      </w:r>
      <w:r w:rsidRPr="00632BB9">
        <w:rPr>
          <w:rFonts w:asciiTheme="minorHAnsi" w:hAnsiTheme="minorHAnsi" w:cstheme="minorHAnsi"/>
          <w:sz w:val="16"/>
          <w:szCs w:val="16"/>
        </w:rPr>
        <w:t xml:space="preserve"> </w:t>
      </w:r>
      <w:r w:rsidRPr="00632BB9">
        <w:rPr>
          <w:rFonts w:asciiTheme="minorHAnsi" w:hAnsiTheme="minorHAnsi" w:cstheme="minorHAnsi"/>
          <w:i/>
          <w:sz w:val="16"/>
          <w:szCs w:val="16"/>
        </w:rPr>
        <w:t>New Zealand Bill of Rights Act 1990</w:t>
      </w:r>
      <w:r>
        <w:rPr>
          <w:rFonts w:asciiTheme="minorHAnsi" w:hAnsiTheme="minorHAnsi" w:cstheme="minorHAnsi"/>
          <w:sz w:val="16"/>
          <w:szCs w:val="16"/>
        </w:rPr>
        <w:t>, s</w:t>
      </w:r>
      <w:r w:rsidRPr="00632BB9">
        <w:rPr>
          <w:rFonts w:asciiTheme="minorHAnsi" w:hAnsiTheme="minorHAnsi" w:cstheme="minorHAnsi"/>
          <w:sz w:val="16"/>
          <w:szCs w:val="16"/>
        </w:rPr>
        <w:t>ection 5.</w:t>
      </w:r>
    </w:p>
  </w:footnote>
  <w:footnote w:id="29">
    <w:p w:rsidR="00BE54B3" w:rsidRPr="00B06BE6" w:rsidRDefault="00BE54B3" w:rsidP="00D50C10">
      <w:pPr>
        <w:pStyle w:val="FootnoteText"/>
        <w:rPr>
          <w:rFonts w:ascii="Arial" w:hAnsi="Arial" w:cs="Arial"/>
          <w:sz w:val="16"/>
          <w:szCs w:val="16"/>
        </w:rPr>
      </w:pPr>
      <w:r w:rsidRPr="00B06BE6">
        <w:rPr>
          <w:rStyle w:val="FootnoteReference"/>
          <w:rFonts w:ascii="Arial" w:hAnsi="Arial" w:cs="Arial"/>
          <w:sz w:val="16"/>
          <w:szCs w:val="16"/>
        </w:rPr>
        <w:footnoteRef/>
      </w:r>
      <w:r w:rsidRPr="00B06BE6">
        <w:rPr>
          <w:rFonts w:ascii="Arial" w:hAnsi="Arial" w:cs="Arial"/>
          <w:sz w:val="16"/>
          <w:szCs w:val="16"/>
        </w:rPr>
        <w:t xml:space="preserve"> Department of the Prime Minister and Cabinet, </w:t>
      </w:r>
      <w:r w:rsidRPr="00B06BE6">
        <w:rPr>
          <w:rFonts w:ascii="Arial" w:hAnsi="Arial" w:cs="Arial"/>
          <w:i/>
          <w:iCs/>
          <w:sz w:val="16"/>
          <w:szCs w:val="16"/>
        </w:rPr>
        <w:t xml:space="preserve">Cabinet Office Manual </w:t>
      </w:r>
      <w:r w:rsidRPr="00B06BE6">
        <w:rPr>
          <w:rFonts w:ascii="Arial" w:hAnsi="Arial" w:cs="Arial"/>
          <w:sz w:val="16"/>
          <w:szCs w:val="16"/>
        </w:rPr>
        <w:t>(1996).</w:t>
      </w:r>
    </w:p>
  </w:footnote>
  <w:footnote w:id="30">
    <w:p w:rsidR="00BE54B3" w:rsidRPr="00B06BE6" w:rsidRDefault="00BE54B3" w:rsidP="00CC4463">
      <w:pPr>
        <w:spacing w:after="0"/>
        <w:rPr>
          <w:rFonts w:ascii="Arial" w:hAnsi="Arial" w:cs="Arial"/>
          <w:sz w:val="16"/>
          <w:szCs w:val="16"/>
        </w:rPr>
      </w:pPr>
      <w:r w:rsidRPr="00B06BE6">
        <w:rPr>
          <w:rStyle w:val="FootnoteReference"/>
          <w:rFonts w:ascii="Arial" w:hAnsi="Arial" w:cs="Arial"/>
          <w:sz w:val="16"/>
          <w:szCs w:val="16"/>
        </w:rPr>
        <w:footnoteRef/>
      </w:r>
      <w:r w:rsidRPr="00B06BE6">
        <w:rPr>
          <w:rFonts w:ascii="Arial" w:hAnsi="Arial" w:cs="Arial"/>
          <w:sz w:val="16"/>
          <w:szCs w:val="16"/>
        </w:rPr>
        <w:t xml:space="preserve"> For UK cases, see </w:t>
      </w:r>
      <w:hyperlink r:id="rId2" w:history="1">
        <w:r w:rsidRPr="00B06BE6">
          <w:rPr>
            <w:rStyle w:val="Hyperlink"/>
            <w:rFonts w:ascii="Arial" w:hAnsi="Arial" w:cs="Arial"/>
            <w:sz w:val="16"/>
            <w:szCs w:val="16"/>
          </w:rPr>
          <w:t>the British Institute of Human Rights website</w:t>
        </w:r>
      </w:hyperlink>
      <w:r w:rsidRPr="00B06BE6">
        <w:rPr>
          <w:rFonts w:ascii="Arial" w:hAnsi="Arial" w:cs="Arial"/>
          <w:sz w:val="16"/>
          <w:szCs w:val="16"/>
        </w:rPr>
        <w:t xml:space="preserve"> (https</w:t>
      </w:r>
      <w:r>
        <w:rPr>
          <w:rFonts w:ascii="Arial" w:hAnsi="Arial" w:cs="Arial"/>
          <w:sz w:val="16"/>
          <w:szCs w:val="16"/>
        </w:rPr>
        <w:t>://www.bihr.org.uk/Pages/FAQs/)</w:t>
      </w:r>
      <w:r w:rsidRPr="00B06BE6">
        <w:rPr>
          <w:rFonts w:ascii="Arial" w:hAnsi="Arial" w:cs="Arial"/>
          <w:sz w:val="16"/>
          <w:szCs w:val="16"/>
        </w:rPr>
        <w:t xml:space="preserve">; See also </w:t>
      </w:r>
      <w:hyperlink r:id="rId3" w:history="1">
        <w:r w:rsidRPr="00B06BE6">
          <w:rPr>
            <w:rStyle w:val="Hyperlink"/>
            <w:rFonts w:ascii="Arial" w:hAnsi="Arial" w:cs="Arial"/>
            <w:sz w:val="16"/>
            <w:szCs w:val="16"/>
          </w:rPr>
          <w:t>the Human Rights Law Centre case law data base</w:t>
        </w:r>
      </w:hyperlink>
      <w:r w:rsidRPr="00B06BE6">
        <w:rPr>
          <w:rFonts w:ascii="Arial" w:hAnsi="Arial" w:cs="Arial"/>
          <w:sz w:val="16"/>
          <w:szCs w:val="16"/>
        </w:rPr>
        <w:t>. (http://hrlc.org.au/caselaw/).</w:t>
      </w:r>
    </w:p>
  </w:footnote>
  <w:footnote w:id="31">
    <w:p w:rsidR="00BE54B3" w:rsidRPr="00B06BE6" w:rsidRDefault="00BE54B3" w:rsidP="003244FB">
      <w:pPr>
        <w:pStyle w:val="FootnoteText"/>
        <w:rPr>
          <w:rFonts w:ascii="Arial" w:hAnsi="Arial" w:cs="Arial"/>
          <w:sz w:val="16"/>
          <w:szCs w:val="16"/>
        </w:rPr>
      </w:pPr>
      <w:r w:rsidRPr="00B06BE6">
        <w:rPr>
          <w:rStyle w:val="FootnoteReference"/>
          <w:rFonts w:ascii="Arial" w:hAnsi="Arial" w:cs="Arial"/>
          <w:sz w:val="16"/>
          <w:szCs w:val="16"/>
        </w:rPr>
        <w:footnoteRef/>
      </w:r>
      <w:r w:rsidRPr="00B06BE6">
        <w:rPr>
          <w:rFonts w:ascii="Arial" w:hAnsi="Arial" w:cs="Arial"/>
          <w:sz w:val="16"/>
          <w:szCs w:val="16"/>
        </w:rPr>
        <w:t xml:space="preserve"> Gillian Trigg, ‘Creating a human rights culture’ (2014-15) Southern Cross University Law Review 17, 64.  </w:t>
      </w:r>
    </w:p>
  </w:footnote>
  <w:footnote w:id="32">
    <w:p w:rsidR="00BE54B3" w:rsidRPr="00632BB9" w:rsidRDefault="00BE54B3" w:rsidP="00285E61">
      <w:pPr>
        <w:spacing w:after="0"/>
        <w:rPr>
          <w:rFonts w:asciiTheme="majorHAnsi" w:hAnsiTheme="majorHAnsi" w:cstheme="majorHAnsi"/>
        </w:rPr>
      </w:pPr>
      <w:r w:rsidRPr="00632BB9">
        <w:rPr>
          <w:rStyle w:val="FootnoteReference"/>
          <w:rFonts w:asciiTheme="majorHAnsi" w:hAnsiTheme="majorHAnsi" w:cstheme="majorHAnsi"/>
          <w:sz w:val="16"/>
          <w:szCs w:val="16"/>
        </w:rPr>
        <w:footnoteRef/>
      </w:r>
      <w:r>
        <w:rPr>
          <w:rFonts w:asciiTheme="majorHAnsi" w:hAnsiTheme="majorHAnsi" w:cstheme="majorHAnsi"/>
          <w:sz w:val="16"/>
          <w:szCs w:val="16"/>
        </w:rPr>
        <w:t xml:space="preserve"> ‘Counting the billion dollar cost of racism in Australia’, Deakin University media release, 6 April 2016.</w:t>
      </w:r>
      <w:r w:rsidRPr="00632BB9">
        <w:rPr>
          <w:rFonts w:asciiTheme="majorHAnsi" w:hAnsiTheme="majorHAnsi" w:cstheme="majorHAnsi"/>
          <w:sz w:val="16"/>
          <w:szCs w:val="16"/>
        </w:rPr>
        <w:t xml:space="preserve"> </w:t>
      </w:r>
    </w:p>
  </w:footnote>
  <w:footnote w:id="33">
    <w:p w:rsidR="00BE54B3" w:rsidRPr="00632BB9" w:rsidRDefault="00BE54B3" w:rsidP="00632BB9">
      <w:pPr>
        <w:tabs>
          <w:tab w:val="clear" w:pos="567"/>
        </w:tabs>
        <w:autoSpaceDE w:val="0"/>
        <w:autoSpaceDN w:val="0"/>
        <w:adjustRightInd w:val="0"/>
        <w:spacing w:after="0"/>
        <w:rPr>
          <w:rFonts w:asciiTheme="majorHAnsi" w:hAnsiTheme="majorHAnsi" w:cstheme="majorHAnsi"/>
          <w:sz w:val="16"/>
          <w:szCs w:val="16"/>
        </w:rPr>
      </w:pPr>
      <w:r w:rsidRPr="00632BB9">
        <w:rPr>
          <w:rStyle w:val="FootnoteReference"/>
          <w:rFonts w:asciiTheme="majorHAnsi" w:hAnsiTheme="majorHAnsi" w:cstheme="majorHAnsi"/>
          <w:sz w:val="16"/>
          <w:szCs w:val="16"/>
        </w:rPr>
        <w:footnoteRef/>
      </w:r>
      <w:r w:rsidRPr="00632BB9">
        <w:rPr>
          <w:rFonts w:asciiTheme="majorHAnsi" w:hAnsiTheme="majorHAnsi" w:cstheme="majorHAnsi"/>
          <w:sz w:val="16"/>
          <w:szCs w:val="16"/>
        </w:rPr>
        <w:t xml:space="preserve"> </w:t>
      </w:r>
      <w:r>
        <w:rPr>
          <w:rFonts w:asciiTheme="majorHAnsi" w:hAnsiTheme="majorHAnsi" w:cstheme="majorHAnsi"/>
          <w:sz w:val="16"/>
          <w:szCs w:val="16"/>
        </w:rPr>
        <w:t>Ben Schokman, ’50 cents is a wise investment to protect fundamental rights’, Human Rights Law Centre Opinion archive, 2 September 2011.</w:t>
      </w:r>
      <w:r w:rsidRPr="006C524A" w:rsidDel="00F31F76">
        <w:rPr>
          <w:rFonts w:asciiTheme="majorHAnsi" w:hAnsiTheme="majorHAnsi" w:cstheme="majorHAnsi"/>
          <w:sz w:val="16"/>
          <w:szCs w:val="16"/>
        </w:rPr>
        <w:t xml:space="preserve"> </w:t>
      </w:r>
    </w:p>
  </w:footnote>
  <w:footnote w:id="34">
    <w:p w:rsidR="00BE54B3" w:rsidRPr="00285E61" w:rsidRDefault="00BE54B3">
      <w:pPr>
        <w:pStyle w:val="FootnoteText"/>
        <w:rPr>
          <w:sz w:val="16"/>
          <w:szCs w:val="16"/>
        </w:rPr>
      </w:pPr>
      <w:r w:rsidRPr="00632BB9">
        <w:rPr>
          <w:rStyle w:val="FootnoteReference"/>
          <w:rFonts w:asciiTheme="majorHAnsi" w:hAnsiTheme="majorHAnsi" w:cstheme="majorHAnsi"/>
          <w:sz w:val="16"/>
          <w:szCs w:val="16"/>
        </w:rPr>
        <w:footnoteRef/>
      </w:r>
      <w:r w:rsidRPr="00632BB9">
        <w:rPr>
          <w:rFonts w:asciiTheme="majorHAnsi" w:hAnsiTheme="majorHAnsi" w:cstheme="majorHAnsi"/>
          <w:sz w:val="16"/>
          <w:szCs w:val="16"/>
        </w:rPr>
        <w:t xml:space="preserve"> For UK cases</w:t>
      </w:r>
      <w:r>
        <w:rPr>
          <w:rFonts w:asciiTheme="majorHAnsi" w:hAnsiTheme="majorHAnsi" w:cstheme="majorHAnsi"/>
          <w:sz w:val="16"/>
          <w:szCs w:val="16"/>
        </w:rPr>
        <w:t>,</w:t>
      </w:r>
      <w:r w:rsidRPr="00632BB9">
        <w:rPr>
          <w:rFonts w:asciiTheme="majorHAnsi" w:hAnsiTheme="majorHAnsi" w:cstheme="majorHAnsi"/>
          <w:sz w:val="16"/>
          <w:szCs w:val="16"/>
        </w:rPr>
        <w:t xml:space="preserve"> see</w:t>
      </w:r>
      <w:r>
        <w:rPr>
          <w:rFonts w:asciiTheme="majorHAnsi" w:hAnsiTheme="majorHAnsi" w:cstheme="majorHAnsi"/>
          <w:sz w:val="16"/>
          <w:szCs w:val="16"/>
        </w:rPr>
        <w:t xml:space="preserve"> the British Institute of Human Rights website, above n 29.</w:t>
      </w:r>
    </w:p>
  </w:footnote>
  <w:footnote w:id="35">
    <w:p w:rsidR="00BE54B3" w:rsidRPr="00632BB9" w:rsidRDefault="00BE54B3">
      <w:pPr>
        <w:pStyle w:val="FootnoteText"/>
        <w:rPr>
          <w:rFonts w:asciiTheme="minorHAnsi" w:hAnsiTheme="minorHAnsi" w:cstheme="minorHAnsi"/>
          <w:sz w:val="16"/>
          <w:szCs w:val="16"/>
        </w:rPr>
      </w:pPr>
      <w:r w:rsidRPr="00632BB9">
        <w:rPr>
          <w:rStyle w:val="FootnoteReference"/>
          <w:rFonts w:asciiTheme="minorHAnsi" w:hAnsiTheme="minorHAnsi" w:cstheme="minorHAnsi"/>
          <w:sz w:val="16"/>
          <w:szCs w:val="16"/>
        </w:rPr>
        <w:footnoteRef/>
      </w:r>
      <w:r w:rsidRPr="00632BB9">
        <w:rPr>
          <w:rFonts w:asciiTheme="minorHAnsi" w:hAnsiTheme="minorHAnsi" w:cstheme="minorHAnsi"/>
          <w:sz w:val="16"/>
          <w:szCs w:val="16"/>
        </w:rPr>
        <w:t xml:space="preserve"> Consultation Committee for a </w:t>
      </w:r>
      <w:r>
        <w:rPr>
          <w:rFonts w:asciiTheme="minorHAnsi" w:hAnsiTheme="minorHAnsi" w:cstheme="minorHAnsi"/>
          <w:sz w:val="16"/>
          <w:szCs w:val="16"/>
        </w:rPr>
        <w:t>P</w:t>
      </w:r>
      <w:r w:rsidRPr="00632BB9">
        <w:rPr>
          <w:rFonts w:asciiTheme="minorHAnsi" w:hAnsiTheme="minorHAnsi" w:cstheme="minorHAnsi"/>
          <w:sz w:val="16"/>
          <w:szCs w:val="16"/>
        </w:rPr>
        <w:t xml:space="preserve">roposed </w:t>
      </w:r>
      <w:r>
        <w:rPr>
          <w:rFonts w:asciiTheme="minorHAnsi" w:hAnsiTheme="minorHAnsi" w:cstheme="minorHAnsi"/>
          <w:sz w:val="16"/>
          <w:szCs w:val="16"/>
        </w:rPr>
        <w:t xml:space="preserve">WA </w:t>
      </w:r>
      <w:r w:rsidRPr="00632BB9">
        <w:rPr>
          <w:rFonts w:asciiTheme="minorHAnsi" w:hAnsiTheme="minorHAnsi" w:cstheme="minorHAnsi"/>
          <w:sz w:val="16"/>
          <w:szCs w:val="16"/>
        </w:rPr>
        <w:t xml:space="preserve">Human Rights Act, </w:t>
      </w:r>
      <w:r w:rsidRPr="00632BB9">
        <w:rPr>
          <w:rFonts w:asciiTheme="minorHAnsi" w:hAnsiTheme="minorHAnsi" w:cstheme="minorHAnsi"/>
          <w:i/>
          <w:sz w:val="16"/>
          <w:szCs w:val="16"/>
        </w:rPr>
        <w:t>Report</w:t>
      </w:r>
      <w:r>
        <w:rPr>
          <w:rFonts w:asciiTheme="minorHAnsi" w:hAnsiTheme="minorHAnsi" w:cstheme="minorHAnsi"/>
          <w:sz w:val="16"/>
          <w:szCs w:val="16"/>
        </w:rPr>
        <w:t xml:space="preserve">, </w:t>
      </w:r>
      <w:r w:rsidRPr="00632BB9">
        <w:rPr>
          <w:rFonts w:asciiTheme="minorHAnsi" w:hAnsiTheme="minorHAnsi" w:cstheme="minorHAnsi"/>
          <w:sz w:val="16"/>
          <w:szCs w:val="16"/>
        </w:rPr>
        <w:t>November 2007</w:t>
      </w:r>
      <w:r>
        <w:rPr>
          <w:rFonts w:asciiTheme="minorHAnsi" w:hAnsiTheme="minorHAnsi" w:cstheme="minorHAnsi"/>
          <w:sz w:val="16"/>
          <w:szCs w:val="16"/>
        </w:rPr>
        <w:t>.</w:t>
      </w:r>
    </w:p>
  </w:footnote>
  <w:footnote w:id="36">
    <w:p w:rsidR="00BE54B3" w:rsidRPr="00632BB9" w:rsidRDefault="00BE54B3">
      <w:pPr>
        <w:pStyle w:val="FootnoteText"/>
        <w:rPr>
          <w:rFonts w:asciiTheme="minorHAnsi" w:hAnsiTheme="minorHAnsi" w:cstheme="minorHAnsi"/>
          <w:sz w:val="16"/>
          <w:szCs w:val="16"/>
        </w:rPr>
      </w:pPr>
      <w:r w:rsidRPr="00632BB9">
        <w:rPr>
          <w:rStyle w:val="FootnoteReference"/>
          <w:rFonts w:asciiTheme="minorHAnsi" w:hAnsiTheme="minorHAnsi" w:cstheme="minorHAnsi"/>
          <w:sz w:val="16"/>
          <w:szCs w:val="16"/>
        </w:rPr>
        <w:footnoteRef/>
      </w:r>
      <w:r>
        <w:rPr>
          <w:rFonts w:asciiTheme="minorHAnsi" w:hAnsiTheme="minorHAnsi" w:cstheme="minorHAnsi"/>
          <w:sz w:val="16"/>
          <w:szCs w:val="16"/>
        </w:rPr>
        <w:t xml:space="preserve"> Ibid </w:t>
      </w:r>
      <w:r w:rsidRPr="00632BB9">
        <w:rPr>
          <w:rFonts w:asciiTheme="minorHAnsi" w:hAnsiTheme="minorHAnsi" w:cstheme="minorHAnsi"/>
          <w:sz w:val="16"/>
          <w:szCs w:val="16"/>
        </w:rPr>
        <w:t>87 and 88</w:t>
      </w:r>
      <w:r>
        <w:rPr>
          <w:rFonts w:asciiTheme="minorHAnsi" w:hAnsiTheme="minorHAnsi" w:cstheme="minorHAnsi"/>
          <w:sz w:val="16"/>
          <w:szCs w:val="16"/>
        </w:rPr>
        <w:t>.</w:t>
      </w:r>
      <w:r w:rsidRPr="00632BB9">
        <w:rPr>
          <w:rFonts w:asciiTheme="minorHAnsi" w:hAnsiTheme="minorHAnsi" w:cstheme="minorHAnsi"/>
          <w:sz w:val="16"/>
          <w:szCs w:val="16"/>
        </w:rPr>
        <w:t xml:space="preserve"> </w:t>
      </w:r>
    </w:p>
  </w:footnote>
  <w:footnote w:id="37">
    <w:p w:rsidR="00BE54B3" w:rsidRPr="00285E61" w:rsidRDefault="00BE54B3" w:rsidP="00632BB9">
      <w:pPr>
        <w:spacing w:after="0"/>
        <w:rPr>
          <w:sz w:val="16"/>
          <w:szCs w:val="16"/>
        </w:rPr>
      </w:pPr>
      <w:r w:rsidRPr="00A20A3B">
        <w:rPr>
          <w:rStyle w:val="FootnoteReference"/>
          <w:rFonts w:cstheme="minorHAnsi"/>
          <w:sz w:val="16"/>
          <w:szCs w:val="16"/>
        </w:rPr>
        <w:footnoteRef/>
      </w:r>
      <w:r w:rsidRPr="00A20A3B">
        <w:rPr>
          <w:rFonts w:cstheme="minorHAnsi"/>
          <w:sz w:val="16"/>
          <w:szCs w:val="16"/>
        </w:rPr>
        <w:t xml:space="preserve"> </w:t>
      </w:r>
      <w:r>
        <w:rPr>
          <w:rFonts w:asciiTheme="majorHAnsi" w:hAnsiTheme="majorHAnsi" w:cstheme="majorHAnsi"/>
          <w:sz w:val="16"/>
          <w:szCs w:val="16"/>
        </w:rPr>
        <w:t xml:space="preserve">Tasmanian Law Reform Institute, </w:t>
      </w:r>
      <w:r w:rsidRPr="003711F6">
        <w:rPr>
          <w:rFonts w:asciiTheme="majorHAnsi" w:hAnsiTheme="majorHAnsi" w:cstheme="majorHAnsi"/>
          <w:i/>
          <w:sz w:val="16"/>
          <w:szCs w:val="16"/>
        </w:rPr>
        <w:t>A Charter of Rights for Tasmania</w:t>
      </w:r>
      <w:r>
        <w:rPr>
          <w:rFonts w:asciiTheme="majorHAnsi" w:hAnsiTheme="majorHAnsi" w:cstheme="majorHAnsi"/>
          <w:sz w:val="16"/>
          <w:szCs w:val="16"/>
        </w:rPr>
        <w:t xml:space="preserve">, Report No 10 (October 2007). </w:t>
      </w:r>
      <w:r w:rsidRPr="00A20A3B" w:rsidDel="002E1057">
        <w:rPr>
          <w:rFonts w:cstheme="minorHAnsi"/>
          <w:sz w:val="16"/>
          <w:szCs w:val="16"/>
        </w:rPr>
        <w:t xml:space="preserve"> </w:t>
      </w:r>
    </w:p>
  </w:footnote>
  <w:footnote w:id="38">
    <w:p w:rsidR="00BE54B3" w:rsidRPr="00B06BE6" w:rsidRDefault="00BE54B3">
      <w:pPr>
        <w:pStyle w:val="FootnoteText"/>
        <w:rPr>
          <w:rFonts w:ascii="Arial" w:hAnsi="Arial" w:cs="Arial"/>
          <w:sz w:val="16"/>
          <w:szCs w:val="16"/>
        </w:rPr>
      </w:pPr>
      <w:r w:rsidRPr="00B06BE6">
        <w:rPr>
          <w:rStyle w:val="FootnoteReference"/>
          <w:rFonts w:ascii="Arial" w:hAnsi="Arial" w:cs="Arial"/>
          <w:sz w:val="16"/>
          <w:szCs w:val="16"/>
        </w:rPr>
        <w:footnoteRef/>
      </w:r>
      <w:r w:rsidRPr="00B06BE6">
        <w:rPr>
          <w:rFonts w:ascii="Arial" w:hAnsi="Arial" w:cs="Arial"/>
          <w:sz w:val="16"/>
          <w:szCs w:val="16"/>
        </w:rPr>
        <w:t xml:space="preserve"> Northern Territory Standing Committee on Legal and Constitutional Affairs, </w:t>
      </w:r>
      <w:hyperlink r:id="rId4" w:history="1">
        <w:r w:rsidRPr="00B06BE6">
          <w:rPr>
            <w:rStyle w:val="Hyperlink"/>
            <w:rFonts w:ascii="Arial" w:hAnsi="Arial" w:cs="Arial"/>
            <w:i/>
            <w:sz w:val="16"/>
            <w:szCs w:val="16"/>
          </w:rPr>
          <w:t>Towards Northern Territory Statehood: Issues for Consideration. Committee Report</w:t>
        </w:r>
      </w:hyperlink>
      <w:r w:rsidRPr="00B06BE6">
        <w:rPr>
          <w:rFonts w:ascii="Arial" w:hAnsi="Arial" w:cs="Arial"/>
          <w:sz w:val="16"/>
          <w:szCs w:val="16"/>
        </w:rPr>
        <w:t xml:space="preserve">, February 2010, 37. ( </w:t>
      </w:r>
      <w:hyperlink r:id="rId5" w:history="1">
        <w:r w:rsidRPr="00B06BE6">
          <w:rPr>
            <w:rStyle w:val="Hyperlink"/>
            <w:rFonts w:ascii="Arial" w:hAnsi="Arial" w:cs="Arial"/>
            <w:sz w:val="16"/>
            <w:szCs w:val="16"/>
          </w:rPr>
          <w:t>http://ntstate7.com.au/sites/default/files/Billofrights_customarylaw.pdf</w:t>
        </w:r>
      </w:hyperlink>
      <w:r w:rsidRPr="00B06BE6">
        <w:rPr>
          <w:rStyle w:val="Hyperlink"/>
          <w:rFonts w:ascii="Arial" w:hAnsi="Arial" w:cs="Arial"/>
          <w:sz w:val="16"/>
          <w:szCs w:val="16"/>
        </w:rPr>
        <w:t>)</w:t>
      </w:r>
      <w:r w:rsidRPr="00B06BE6">
        <w:rPr>
          <w:rFonts w:ascii="Arial" w:hAnsi="Arial" w:cs="Arial"/>
          <w:sz w:val="16"/>
          <w:szCs w:val="16"/>
        </w:rPr>
        <w:t xml:space="preserve"> </w:t>
      </w:r>
    </w:p>
  </w:footnote>
  <w:footnote w:id="39">
    <w:p w:rsidR="00BE54B3" w:rsidRPr="006D4282" w:rsidRDefault="00BE54B3" w:rsidP="00632BB9">
      <w:pPr>
        <w:rPr>
          <w:sz w:val="16"/>
          <w:szCs w:val="16"/>
        </w:rPr>
      </w:pPr>
      <w:r w:rsidRPr="00632BB9">
        <w:rPr>
          <w:rStyle w:val="FootnoteReference"/>
          <w:rFonts w:asciiTheme="majorHAnsi" w:hAnsiTheme="majorHAnsi" w:cstheme="majorHAnsi"/>
          <w:sz w:val="16"/>
          <w:szCs w:val="16"/>
        </w:rPr>
        <w:footnoteRef/>
      </w:r>
      <w:r>
        <w:rPr>
          <w:rFonts w:asciiTheme="majorHAnsi" w:hAnsiTheme="majorHAnsi" w:cstheme="majorHAnsi"/>
          <w:sz w:val="16"/>
          <w:szCs w:val="16"/>
        </w:rPr>
        <w:t xml:space="preserve"> Australian Government Solicitor, </w:t>
      </w:r>
      <w:hyperlink r:id="rId6" w:history="1">
        <w:r w:rsidRPr="00DC1CCB">
          <w:rPr>
            <w:rStyle w:val="Hyperlink"/>
            <w:rFonts w:asciiTheme="majorHAnsi" w:hAnsiTheme="majorHAnsi" w:cstheme="majorHAnsi"/>
            <w:sz w:val="16"/>
            <w:szCs w:val="16"/>
          </w:rPr>
          <w:t>Express law: Report on the National Human Rights Consultation released</w:t>
        </w:r>
      </w:hyperlink>
      <w:r>
        <w:rPr>
          <w:rFonts w:asciiTheme="majorHAnsi" w:hAnsiTheme="majorHAnsi" w:cstheme="majorHAnsi"/>
          <w:sz w:val="16"/>
          <w:szCs w:val="16"/>
        </w:rPr>
        <w:t xml:space="preserve">, 23 October </w:t>
      </w:r>
      <w:r w:rsidRPr="006D4282">
        <w:rPr>
          <w:rFonts w:asciiTheme="majorHAnsi" w:hAnsiTheme="majorHAnsi" w:cstheme="majorHAnsi"/>
          <w:sz w:val="16"/>
          <w:szCs w:val="16"/>
        </w:rPr>
        <w:t>2009. ( http://www.ags.gov.au/publications/express-law/el110.pdf)</w:t>
      </w:r>
    </w:p>
  </w:footnote>
  <w:footnote w:id="40">
    <w:p w:rsidR="00BE54B3" w:rsidRPr="00632BB9" w:rsidRDefault="00BE54B3" w:rsidP="00F70679">
      <w:pPr>
        <w:pStyle w:val="FootnoteText"/>
        <w:rPr>
          <w:rFonts w:asciiTheme="minorHAnsi" w:hAnsiTheme="minorHAnsi" w:cstheme="minorHAnsi"/>
          <w:sz w:val="16"/>
          <w:szCs w:val="16"/>
        </w:rPr>
      </w:pPr>
      <w:r w:rsidRPr="00632BB9">
        <w:rPr>
          <w:rStyle w:val="FootnoteReference"/>
          <w:rFonts w:asciiTheme="minorHAnsi" w:hAnsiTheme="minorHAnsi" w:cstheme="minorHAnsi"/>
          <w:sz w:val="16"/>
          <w:szCs w:val="16"/>
        </w:rPr>
        <w:footnoteRef/>
      </w:r>
      <w:r w:rsidRPr="00632BB9">
        <w:rPr>
          <w:rFonts w:asciiTheme="minorHAnsi" w:hAnsiTheme="minorHAnsi" w:cstheme="minorHAnsi"/>
          <w:sz w:val="16"/>
          <w:szCs w:val="16"/>
        </w:rPr>
        <w:t xml:space="preserve"> CERD (</w:t>
      </w:r>
      <w:r w:rsidRPr="00632BB9">
        <w:rPr>
          <w:rFonts w:asciiTheme="minorHAnsi" w:hAnsiTheme="minorHAnsi" w:cstheme="minorHAnsi"/>
          <w:i/>
          <w:sz w:val="16"/>
          <w:szCs w:val="16"/>
        </w:rPr>
        <w:t>Convention on the Elimination of all forms of Racial Discrimination</w:t>
      </w:r>
      <w:r w:rsidRPr="00632BB9">
        <w:rPr>
          <w:rFonts w:asciiTheme="minorHAnsi" w:hAnsiTheme="minorHAnsi" w:cstheme="minorHAnsi"/>
          <w:sz w:val="16"/>
          <w:szCs w:val="16"/>
        </w:rPr>
        <w:t>), ICESCR (</w:t>
      </w:r>
      <w:r w:rsidRPr="00632BB9">
        <w:rPr>
          <w:rFonts w:asciiTheme="minorHAnsi" w:hAnsiTheme="minorHAnsi" w:cstheme="minorHAnsi"/>
          <w:i/>
          <w:sz w:val="16"/>
          <w:szCs w:val="16"/>
        </w:rPr>
        <w:t>International Covenant on Economic, Social &amp; Cultural Rights</w:t>
      </w:r>
      <w:r w:rsidRPr="00632BB9">
        <w:rPr>
          <w:rFonts w:asciiTheme="minorHAnsi" w:hAnsiTheme="minorHAnsi" w:cstheme="minorHAnsi"/>
          <w:sz w:val="16"/>
          <w:szCs w:val="16"/>
        </w:rPr>
        <w:t>), ICCPR (</w:t>
      </w:r>
      <w:r w:rsidRPr="00632BB9">
        <w:rPr>
          <w:rFonts w:asciiTheme="minorHAnsi" w:hAnsiTheme="minorHAnsi" w:cstheme="minorHAnsi"/>
          <w:i/>
          <w:sz w:val="16"/>
          <w:szCs w:val="16"/>
        </w:rPr>
        <w:t>International Covenant on Civil &amp; Political Rights</w:t>
      </w:r>
      <w:r w:rsidRPr="00632BB9">
        <w:rPr>
          <w:rFonts w:asciiTheme="minorHAnsi" w:hAnsiTheme="minorHAnsi" w:cstheme="minorHAnsi"/>
          <w:sz w:val="16"/>
          <w:szCs w:val="16"/>
        </w:rPr>
        <w:t>), CEDAW (</w:t>
      </w:r>
      <w:r w:rsidRPr="00632BB9">
        <w:rPr>
          <w:rFonts w:asciiTheme="minorHAnsi" w:hAnsiTheme="minorHAnsi" w:cstheme="minorHAnsi"/>
          <w:i/>
          <w:sz w:val="16"/>
          <w:szCs w:val="16"/>
        </w:rPr>
        <w:t>Convention on the Elimination of all forms of Discrimination Against Women</w:t>
      </w:r>
      <w:r w:rsidRPr="00632BB9">
        <w:rPr>
          <w:rFonts w:asciiTheme="minorHAnsi" w:hAnsiTheme="minorHAnsi" w:cstheme="minorHAnsi"/>
          <w:sz w:val="16"/>
          <w:szCs w:val="16"/>
        </w:rPr>
        <w:t>), CAT (</w:t>
      </w:r>
      <w:r w:rsidRPr="00632BB9">
        <w:rPr>
          <w:rFonts w:asciiTheme="minorHAnsi" w:hAnsiTheme="minorHAnsi" w:cstheme="minorHAnsi"/>
          <w:i/>
          <w:sz w:val="16"/>
          <w:szCs w:val="16"/>
        </w:rPr>
        <w:t>Convention against Torture &amp; Other Cruel, Inhuman or Degrading Treatment or Punishmen</w:t>
      </w:r>
      <w:r w:rsidRPr="00632BB9">
        <w:rPr>
          <w:rFonts w:asciiTheme="minorHAnsi" w:hAnsiTheme="minorHAnsi" w:cstheme="minorHAnsi"/>
          <w:sz w:val="16"/>
          <w:szCs w:val="16"/>
        </w:rPr>
        <w:t>t), CROC (</w:t>
      </w:r>
      <w:r w:rsidRPr="00632BB9">
        <w:rPr>
          <w:rFonts w:asciiTheme="minorHAnsi" w:hAnsiTheme="minorHAnsi" w:cstheme="minorHAnsi"/>
          <w:i/>
          <w:sz w:val="16"/>
          <w:szCs w:val="16"/>
        </w:rPr>
        <w:t>Convention on the Rights of the Child</w:t>
      </w:r>
      <w:r w:rsidRPr="00632BB9">
        <w:rPr>
          <w:rFonts w:asciiTheme="minorHAnsi" w:hAnsiTheme="minorHAnsi" w:cstheme="minorHAnsi"/>
          <w:sz w:val="16"/>
          <w:szCs w:val="16"/>
        </w:rPr>
        <w:t>) and CRPD (</w:t>
      </w:r>
      <w:r w:rsidRPr="00632BB9">
        <w:rPr>
          <w:rFonts w:asciiTheme="minorHAnsi" w:hAnsiTheme="minorHAnsi" w:cstheme="minorHAnsi"/>
          <w:i/>
          <w:sz w:val="16"/>
          <w:szCs w:val="16"/>
        </w:rPr>
        <w:t>Convention on the Rights of Persons with Disabilities</w:t>
      </w:r>
      <w:r w:rsidRPr="00632BB9">
        <w:rPr>
          <w:rFonts w:asciiTheme="minorHAnsi" w:hAnsiTheme="minorHAnsi" w:cstheme="minorHAnsi"/>
          <w:sz w:val="16"/>
          <w:szCs w:val="16"/>
        </w:rPr>
        <w:t>).</w:t>
      </w:r>
    </w:p>
  </w:footnote>
  <w:footnote w:id="41">
    <w:p w:rsidR="00BE54B3" w:rsidRPr="00285E61" w:rsidRDefault="00BE54B3" w:rsidP="00F70679">
      <w:pPr>
        <w:pStyle w:val="FootnoteText"/>
        <w:rPr>
          <w:sz w:val="16"/>
          <w:szCs w:val="16"/>
        </w:rPr>
      </w:pPr>
      <w:r w:rsidRPr="00632BB9">
        <w:rPr>
          <w:rStyle w:val="FootnoteReference"/>
          <w:rFonts w:asciiTheme="minorHAnsi" w:hAnsiTheme="minorHAnsi" w:cstheme="minorHAnsi"/>
          <w:sz w:val="16"/>
          <w:szCs w:val="16"/>
        </w:rPr>
        <w:footnoteRef/>
      </w:r>
      <w:r w:rsidRPr="00632BB9">
        <w:rPr>
          <w:rFonts w:asciiTheme="minorHAnsi" w:hAnsiTheme="minorHAnsi" w:cstheme="minorHAnsi"/>
          <w:sz w:val="16"/>
          <w:szCs w:val="16"/>
        </w:rPr>
        <w:t xml:space="preserve"> ILO Convention (No. 100) concerning Equal Remuneration for Men &amp; Women Workers for Work of Equal Value, ILO (No. 111) concerning Discrimination in respect of Employment &amp; Occupation, ILO Convention (No. 156) concerning Equal Opportunities &amp; Equal Treatment for Men &amp; Women Workers: Workers with family responsibilities, and ILO Convention (No. 158) concerning Termination of Employment at the Initiative of the Employer.</w:t>
      </w:r>
    </w:p>
  </w:footnote>
  <w:footnote w:id="42">
    <w:p w:rsidR="00BE54B3" w:rsidRPr="00693840" w:rsidRDefault="00BE54B3">
      <w:pPr>
        <w:pStyle w:val="FootnoteText"/>
        <w:rPr>
          <w:rFonts w:ascii="Arial" w:hAnsi="Arial" w:cs="Arial"/>
          <w:sz w:val="16"/>
          <w:szCs w:val="16"/>
        </w:rPr>
      </w:pPr>
      <w:r w:rsidRPr="00693840">
        <w:rPr>
          <w:rStyle w:val="FootnoteReference"/>
          <w:rFonts w:ascii="Arial" w:hAnsi="Arial" w:cs="Arial"/>
          <w:sz w:val="16"/>
          <w:szCs w:val="16"/>
        </w:rPr>
        <w:footnoteRef/>
      </w:r>
      <w:r w:rsidRPr="00693840">
        <w:rPr>
          <w:rFonts w:ascii="Arial" w:hAnsi="Arial" w:cs="Arial"/>
          <w:sz w:val="16"/>
          <w:szCs w:val="16"/>
        </w:rPr>
        <w:t xml:space="preserve"> Dr John Tobin, </w:t>
      </w:r>
      <w:hyperlink r:id="rId7" w:history="1">
        <w:r w:rsidRPr="00693840">
          <w:rPr>
            <w:rStyle w:val="Hyperlink"/>
            <w:rFonts w:ascii="Arial" w:hAnsi="Arial" w:cs="Arial"/>
            <w:i/>
            <w:sz w:val="16"/>
            <w:szCs w:val="16"/>
          </w:rPr>
          <w:t>Economic, social and cultural rights and the Charter of Human Rights and Responsibilities – A framework for discussion</w:t>
        </w:r>
      </w:hyperlink>
      <w:r w:rsidRPr="00693840">
        <w:rPr>
          <w:rFonts w:ascii="Arial" w:hAnsi="Arial" w:cs="Arial"/>
          <w:sz w:val="16"/>
          <w:szCs w:val="16"/>
        </w:rPr>
        <w:t xml:space="preserve">. Victorian Equal Opportunity &amp; Human Rights Commission Occasional Paper, 2010 (http://www.humanrightscommission.vic.gov.au/index.php/our-resources-and-publications/charter-reports/item/169-economic-social-cultural-rights-and-the-charter-of-human-rights-and-responsibilities-–-a-framework-for-discussion-mar-2010) . </w:t>
      </w:r>
    </w:p>
  </w:footnote>
  <w:footnote w:id="43">
    <w:p w:rsidR="00BE54B3" w:rsidRPr="00693840" w:rsidRDefault="00BE54B3">
      <w:pPr>
        <w:pStyle w:val="FootnoteText"/>
        <w:rPr>
          <w:rFonts w:ascii="Arial" w:hAnsi="Arial" w:cs="Arial"/>
          <w:sz w:val="16"/>
          <w:szCs w:val="16"/>
        </w:rPr>
      </w:pPr>
      <w:r w:rsidRPr="00693840">
        <w:rPr>
          <w:rStyle w:val="FootnoteReference"/>
          <w:rFonts w:ascii="Arial" w:hAnsi="Arial" w:cs="Arial"/>
          <w:sz w:val="16"/>
          <w:szCs w:val="16"/>
        </w:rPr>
        <w:footnoteRef/>
      </w:r>
      <w:r w:rsidRPr="00693840">
        <w:rPr>
          <w:rFonts w:ascii="Arial" w:hAnsi="Arial" w:cs="Arial"/>
          <w:sz w:val="16"/>
          <w:szCs w:val="16"/>
        </w:rPr>
        <w:t xml:space="preserve"> Consultation Committee for a Proposed WA Human Rights Act, </w:t>
      </w:r>
      <w:r w:rsidRPr="00693840">
        <w:rPr>
          <w:rFonts w:ascii="Arial" w:hAnsi="Arial" w:cs="Arial"/>
          <w:i/>
          <w:sz w:val="16"/>
          <w:szCs w:val="16"/>
        </w:rPr>
        <w:t>Report</w:t>
      </w:r>
      <w:r w:rsidRPr="00693840">
        <w:rPr>
          <w:rFonts w:ascii="Arial" w:hAnsi="Arial" w:cs="Arial"/>
          <w:sz w:val="16"/>
          <w:szCs w:val="16"/>
        </w:rPr>
        <w:t xml:space="preserve">, November 2007. </w:t>
      </w:r>
    </w:p>
  </w:footnote>
  <w:footnote w:id="44">
    <w:p w:rsidR="00BE54B3" w:rsidRPr="00693840" w:rsidRDefault="00BE54B3">
      <w:pPr>
        <w:pStyle w:val="FootnoteText"/>
        <w:rPr>
          <w:rFonts w:ascii="Arial" w:hAnsi="Arial" w:cs="Arial"/>
          <w:sz w:val="16"/>
          <w:szCs w:val="16"/>
        </w:rPr>
      </w:pPr>
      <w:r w:rsidRPr="00693840">
        <w:rPr>
          <w:rStyle w:val="FootnoteReference"/>
          <w:rFonts w:ascii="Arial" w:hAnsi="Arial" w:cs="Arial"/>
          <w:sz w:val="16"/>
          <w:szCs w:val="16"/>
        </w:rPr>
        <w:footnoteRef/>
      </w:r>
      <w:r w:rsidRPr="00693840">
        <w:rPr>
          <w:rFonts w:ascii="Arial" w:hAnsi="Arial" w:cs="Arial"/>
          <w:sz w:val="16"/>
          <w:szCs w:val="16"/>
        </w:rPr>
        <w:t xml:space="preserve"> Tasmanian Law Reform Institute, </w:t>
      </w:r>
      <w:r w:rsidRPr="00693840">
        <w:rPr>
          <w:rFonts w:ascii="Arial" w:hAnsi="Arial" w:cs="Arial"/>
          <w:i/>
          <w:sz w:val="16"/>
          <w:szCs w:val="16"/>
        </w:rPr>
        <w:t>A Charter of Rights for Tasmania</w:t>
      </w:r>
      <w:r w:rsidRPr="00693840">
        <w:rPr>
          <w:rFonts w:ascii="Arial" w:hAnsi="Arial" w:cs="Arial"/>
          <w:sz w:val="16"/>
          <w:szCs w:val="16"/>
        </w:rPr>
        <w:t xml:space="preserve">, Report No 10 (October 2007). </w:t>
      </w:r>
    </w:p>
  </w:footnote>
  <w:footnote w:id="45">
    <w:p w:rsidR="00BE54B3" w:rsidRPr="00693840" w:rsidRDefault="00BE54B3" w:rsidP="00632BB9">
      <w:pPr>
        <w:rPr>
          <w:rFonts w:ascii="Arial" w:hAnsi="Arial" w:cs="Arial"/>
          <w:sz w:val="16"/>
          <w:szCs w:val="16"/>
        </w:rPr>
      </w:pPr>
      <w:r w:rsidRPr="00693840">
        <w:rPr>
          <w:rStyle w:val="FootnoteReference"/>
          <w:rFonts w:ascii="Arial" w:hAnsi="Arial" w:cs="Arial"/>
          <w:sz w:val="16"/>
          <w:szCs w:val="16"/>
        </w:rPr>
        <w:footnoteRef/>
      </w:r>
      <w:r w:rsidRPr="00693840">
        <w:rPr>
          <w:rFonts w:ascii="Arial" w:hAnsi="Arial" w:cs="Arial"/>
          <w:sz w:val="16"/>
          <w:szCs w:val="16"/>
        </w:rPr>
        <w:t xml:space="preserve"> Australian Government Solicitor, </w:t>
      </w:r>
      <w:hyperlink r:id="rId8" w:history="1">
        <w:r w:rsidRPr="00693840">
          <w:rPr>
            <w:rStyle w:val="Hyperlink"/>
            <w:rFonts w:ascii="Arial" w:hAnsi="Arial" w:cs="Arial"/>
            <w:sz w:val="16"/>
            <w:szCs w:val="16"/>
          </w:rPr>
          <w:t>Express law: Report on the National Human Rights Consultation released</w:t>
        </w:r>
      </w:hyperlink>
      <w:r w:rsidRPr="00693840">
        <w:rPr>
          <w:rFonts w:ascii="Arial" w:hAnsi="Arial" w:cs="Arial"/>
          <w:sz w:val="16"/>
          <w:szCs w:val="16"/>
        </w:rPr>
        <w:t>, 23 October 2009. (http://www.ags.gov.au/publications/express-law/el110.pdf).</w:t>
      </w:r>
    </w:p>
  </w:footnote>
  <w:footnote w:id="46">
    <w:p w:rsidR="00BE54B3" w:rsidRPr="00632BB9" w:rsidRDefault="00BE54B3">
      <w:pPr>
        <w:pStyle w:val="FootnoteText"/>
        <w:rPr>
          <w:rFonts w:asciiTheme="minorHAnsi" w:hAnsiTheme="minorHAnsi" w:cstheme="minorHAnsi"/>
          <w:sz w:val="16"/>
          <w:szCs w:val="16"/>
        </w:rPr>
      </w:pPr>
      <w:r w:rsidRPr="00632BB9">
        <w:rPr>
          <w:rStyle w:val="FootnoteReference"/>
          <w:rFonts w:asciiTheme="minorHAnsi" w:hAnsiTheme="minorHAnsi" w:cstheme="minorHAnsi"/>
          <w:sz w:val="16"/>
          <w:szCs w:val="16"/>
        </w:rPr>
        <w:footnoteRef/>
      </w:r>
      <w:r w:rsidRPr="00632BB9">
        <w:rPr>
          <w:rFonts w:asciiTheme="minorHAnsi" w:hAnsiTheme="minorHAnsi" w:cstheme="minorHAnsi"/>
          <w:sz w:val="16"/>
          <w:szCs w:val="16"/>
        </w:rPr>
        <w:t xml:space="preserve"> </w:t>
      </w:r>
      <w:r w:rsidRPr="00632BB9">
        <w:rPr>
          <w:rFonts w:asciiTheme="minorHAnsi" w:hAnsiTheme="minorHAnsi" w:cstheme="minorHAnsi"/>
          <w:i/>
          <w:sz w:val="16"/>
          <w:szCs w:val="16"/>
        </w:rPr>
        <w:t>Universal Declaration of Human Rights</w:t>
      </w:r>
      <w:r>
        <w:rPr>
          <w:rFonts w:asciiTheme="minorHAnsi" w:hAnsiTheme="minorHAnsi" w:cstheme="minorHAnsi"/>
          <w:sz w:val="16"/>
          <w:szCs w:val="16"/>
        </w:rPr>
        <w:t xml:space="preserve">, </w:t>
      </w:r>
      <w:r w:rsidRPr="00632BB9">
        <w:rPr>
          <w:rFonts w:asciiTheme="minorHAnsi" w:hAnsiTheme="minorHAnsi" w:cstheme="minorHAnsi"/>
          <w:sz w:val="16"/>
          <w:szCs w:val="16"/>
        </w:rPr>
        <w:t>Article 17</w:t>
      </w:r>
    </w:p>
  </w:footnote>
  <w:footnote w:id="47">
    <w:p w:rsidR="00BE54B3" w:rsidRPr="00632BB9" w:rsidRDefault="00BE54B3">
      <w:pPr>
        <w:pStyle w:val="FootnoteText"/>
        <w:rPr>
          <w:rFonts w:asciiTheme="minorHAnsi" w:hAnsiTheme="minorHAnsi" w:cstheme="minorHAnsi"/>
          <w:sz w:val="16"/>
          <w:szCs w:val="16"/>
        </w:rPr>
      </w:pPr>
      <w:r w:rsidRPr="00632BB9">
        <w:rPr>
          <w:rStyle w:val="FootnoteReference"/>
          <w:rFonts w:asciiTheme="minorHAnsi" w:hAnsiTheme="minorHAnsi" w:cstheme="minorHAnsi"/>
          <w:sz w:val="16"/>
          <w:szCs w:val="16"/>
        </w:rPr>
        <w:footnoteRef/>
      </w:r>
      <w:r w:rsidRPr="00632BB9">
        <w:rPr>
          <w:rFonts w:asciiTheme="minorHAnsi" w:hAnsiTheme="minorHAnsi" w:cstheme="minorHAnsi"/>
          <w:sz w:val="16"/>
          <w:szCs w:val="16"/>
        </w:rPr>
        <w:t xml:space="preserve"> </w:t>
      </w:r>
      <w:r>
        <w:rPr>
          <w:rFonts w:asciiTheme="minorHAnsi" w:hAnsiTheme="minorHAnsi" w:cstheme="minorHAnsi"/>
          <w:sz w:val="16"/>
          <w:szCs w:val="16"/>
        </w:rPr>
        <w:t xml:space="preserve">Larissa </w:t>
      </w:r>
      <w:r w:rsidRPr="00632BB9">
        <w:rPr>
          <w:rFonts w:asciiTheme="minorHAnsi" w:hAnsiTheme="minorHAnsi" w:cstheme="minorHAnsi"/>
          <w:sz w:val="16"/>
          <w:szCs w:val="16"/>
        </w:rPr>
        <w:t xml:space="preserve">Behrendt, </w:t>
      </w:r>
      <w:r>
        <w:rPr>
          <w:rFonts w:asciiTheme="minorHAnsi" w:hAnsiTheme="minorHAnsi" w:cstheme="minorHAnsi"/>
          <w:sz w:val="16"/>
          <w:szCs w:val="16"/>
        </w:rPr>
        <w:t>‘</w:t>
      </w:r>
      <w:hyperlink r:id="rId9" w:history="1">
        <w:r w:rsidRPr="000F6216">
          <w:rPr>
            <w:rStyle w:val="Hyperlink"/>
            <w:rFonts w:asciiTheme="minorHAnsi" w:hAnsiTheme="minorHAnsi" w:cstheme="minorHAnsi"/>
            <w:sz w:val="16"/>
            <w:szCs w:val="16"/>
          </w:rPr>
          <w:t>Self Determination and Indigenous Policy: The Rights Framework and Practical Outcomes’</w:t>
        </w:r>
      </w:hyperlink>
      <w:r>
        <w:rPr>
          <w:rFonts w:asciiTheme="minorHAnsi" w:hAnsiTheme="minorHAnsi" w:cstheme="minorHAnsi"/>
          <w:sz w:val="16"/>
          <w:szCs w:val="16"/>
        </w:rPr>
        <w:t xml:space="preserve"> (</w:t>
      </w:r>
      <w:r w:rsidRPr="00632BB9">
        <w:rPr>
          <w:rFonts w:asciiTheme="minorHAnsi" w:hAnsiTheme="minorHAnsi" w:cstheme="minorHAnsi"/>
          <w:sz w:val="16"/>
          <w:szCs w:val="16"/>
        </w:rPr>
        <w:t>2002</w:t>
      </w:r>
      <w:r>
        <w:rPr>
          <w:rFonts w:asciiTheme="minorHAnsi" w:hAnsiTheme="minorHAnsi" w:cstheme="minorHAnsi"/>
          <w:sz w:val="16"/>
          <w:szCs w:val="16"/>
        </w:rPr>
        <w:t>)</w:t>
      </w:r>
      <w:r w:rsidRPr="00632BB9">
        <w:rPr>
          <w:rFonts w:asciiTheme="minorHAnsi" w:hAnsiTheme="minorHAnsi" w:cstheme="minorHAnsi"/>
          <w:sz w:val="16"/>
          <w:szCs w:val="16"/>
        </w:rPr>
        <w:t xml:space="preserve"> </w:t>
      </w:r>
      <w:r w:rsidRPr="00632BB9">
        <w:rPr>
          <w:rFonts w:asciiTheme="minorHAnsi" w:hAnsiTheme="minorHAnsi" w:cstheme="minorHAnsi"/>
          <w:i/>
          <w:sz w:val="16"/>
          <w:szCs w:val="16"/>
        </w:rPr>
        <w:t>Journal of Indigenous Policy</w:t>
      </w:r>
      <w:r w:rsidRPr="00632BB9">
        <w:rPr>
          <w:rFonts w:asciiTheme="minorHAnsi" w:hAnsiTheme="minorHAnsi" w:cstheme="minorHAnsi"/>
          <w:sz w:val="16"/>
          <w:szCs w:val="16"/>
        </w:rPr>
        <w:t>, Issue 1</w:t>
      </w:r>
      <w:r>
        <w:rPr>
          <w:rFonts w:asciiTheme="minorHAnsi" w:hAnsiTheme="minorHAnsi" w:cstheme="minorHAnsi"/>
          <w:sz w:val="16"/>
          <w:szCs w:val="16"/>
        </w:rPr>
        <w:t>. (</w:t>
      </w:r>
      <w:r w:rsidRPr="00632BB9">
        <w:t>http://www.austlii.edu.au/au/journals/JlIndigP/2002/7.pdf</w:t>
      </w:r>
      <w:r>
        <w:rPr>
          <w:rFonts w:asciiTheme="minorHAnsi" w:hAnsiTheme="minorHAnsi" w:cstheme="minorHAnsi"/>
          <w:sz w:val="16"/>
          <w:szCs w:val="16"/>
        </w:rPr>
        <w:t>)</w:t>
      </w:r>
    </w:p>
  </w:footnote>
  <w:footnote w:id="48">
    <w:p w:rsidR="00BE54B3" w:rsidRPr="00693840" w:rsidRDefault="00BE54B3">
      <w:pPr>
        <w:pStyle w:val="FootnoteText"/>
        <w:rPr>
          <w:rFonts w:ascii="Arial" w:hAnsi="Arial" w:cs="Arial"/>
          <w:sz w:val="16"/>
          <w:szCs w:val="16"/>
        </w:rPr>
      </w:pPr>
      <w:r w:rsidRPr="00693840">
        <w:rPr>
          <w:rStyle w:val="FootnoteReference"/>
          <w:rFonts w:ascii="Arial" w:hAnsi="Arial" w:cs="Arial"/>
          <w:sz w:val="16"/>
          <w:szCs w:val="16"/>
        </w:rPr>
        <w:footnoteRef/>
      </w:r>
      <w:r w:rsidRPr="00693840">
        <w:rPr>
          <w:rFonts w:ascii="Arial" w:hAnsi="Arial" w:cs="Arial"/>
          <w:sz w:val="16"/>
          <w:szCs w:val="16"/>
        </w:rPr>
        <w:t xml:space="preserve"> Larissa Behrendt and Alison Vivian, </w:t>
      </w:r>
      <w:hyperlink r:id="rId10" w:history="1">
        <w:r w:rsidRPr="00693840">
          <w:rPr>
            <w:rStyle w:val="Hyperlink"/>
            <w:rFonts w:ascii="Arial" w:hAnsi="Arial" w:cs="Arial"/>
            <w:i/>
            <w:sz w:val="16"/>
            <w:szCs w:val="16"/>
          </w:rPr>
          <w:t>Indigenous self-determination and the Charter of Human Rights and Responsibilities – A framework for discussion,</w:t>
        </w:r>
      </w:hyperlink>
      <w:r w:rsidRPr="00693840">
        <w:rPr>
          <w:rFonts w:ascii="Arial" w:hAnsi="Arial" w:cs="Arial"/>
          <w:sz w:val="16"/>
          <w:szCs w:val="16"/>
        </w:rPr>
        <w:t xml:space="preserve"> Victorian Equal Opportunity &amp; Human Rights Commission Occasional Paper, 2010. (http://www.humanrightscommission.vic.gov.au/index.php/our-resources-and-publications/charter-reports/item/170-indigenous-self-determination-and-the-charter-of-human-rights-and-responsibilities-a-framework-for-discussion-mar-2010)</w:t>
      </w:r>
      <w:r>
        <w:rPr>
          <w:rFonts w:ascii="Arial" w:hAnsi="Arial" w:cs="Arial"/>
          <w:sz w:val="16"/>
          <w:szCs w:val="16"/>
        </w:rPr>
        <w:t>.</w:t>
      </w:r>
    </w:p>
  </w:footnote>
  <w:footnote w:id="49">
    <w:p w:rsidR="00BE54B3" w:rsidRPr="00632BB9" w:rsidRDefault="00BE54B3" w:rsidP="0074245F">
      <w:pPr>
        <w:pStyle w:val="FootnoteText"/>
        <w:rPr>
          <w:rFonts w:asciiTheme="minorHAnsi" w:hAnsiTheme="minorHAnsi" w:cstheme="minorHAnsi"/>
          <w:sz w:val="16"/>
          <w:szCs w:val="16"/>
        </w:rPr>
      </w:pPr>
      <w:r w:rsidRPr="00632BB9">
        <w:rPr>
          <w:rStyle w:val="FootnoteReference"/>
          <w:rFonts w:asciiTheme="minorHAnsi" w:hAnsiTheme="minorHAnsi" w:cstheme="minorHAnsi"/>
          <w:sz w:val="16"/>
          <w:szCs w:val="16"/>
        </w:rPr>
        <w:footnoteRef/>
      </w:r>
      <w:r w:rsidRPr="00632BB9">
        <w:rPr>
          <w:rFonts w:asciiTheme="minorHAnsi" w:hAnsiTheme="minorHAnsi" w:cstheme="minorHAnsi"/>
          <w:sz w:val="16"/>
          <w:szCs w:val="16"/>
        </w:rPr>
        <w:t xml:space="preserve"> </w:t>
      </w:r>
      <w:r w:rsidRPr="00632BB9">
        <w:rPr>
          <w:rFonts w:asciiTheme="minorHAnsi" w:hAnsiTheme="minorHAnsi" w:cstheme="minorHAnsi"/>
          <w:i/>
          <w:sz w:val="16"/>
          <w:szCs w:val="16"/>
        </w:rPr>
        <w:t>Human Rights Act 2004</w:t>
      </w:r>
      <w:r>
        <w:rPr>
          <w:rFonts w:asciiTheme="minorHAnsi" w:hAnsiTheme="minorHAnsi" w:cstheme="minorHAnsi"/>
          <w:sz w:val="16"/>
          <w:szCs w:val="16"/>
        </w:rPr>
        <w:t xml:space="preserve"> (</w:t>
      </w:r>
      <w:r w:rsidRPr="00632BB9">
        <w:rPr>
          <w:rFonts w:asciiTheme="minorHAnsi" w:hAnsiTheme="minorHAnsi" w:cstheme="minorHAnsi"/>
          <w:sz w:val="16"/>
          <w:szCs w:val="16"/>
        </w:rPr>
        <w:t>ACT</w:t>
      </w:r>
      <w:r>
        <w:rPr>
          <w:rFonts w:asciiTheme="minorHAnsi" w:hAnsiTheme="minorHAnsi" w:cstheme="minorHAnsi"/>
          <w:sz w:val="16"/>
          <w:szCs w:val="16"/>
        </w:rPr>
        <w:t>)</w:t>
      </w:r>
      <w:r w:rsidRPr="00632BB9">
        <w:rPr>
          <w:rFonts w:asciiTheme="minorHAnsi" w:hAnsiTheme="minorHAnsi" w:cstheme="minorHAnsi"/>
          <w:sz w:val="16"/>
          <w:szCs w:val="16"/>
        </w:rPr>
        <w:t>, s</w:t>
      </w:r>
      <w:r>
        <w:rPr>
          <w:rFonts w:asciiTheme="minorHAnsi" w:hAnsiTheme="minorHAnsi" w:cstheme="minorHAnsi"/>
          <w:sz w:val="16"/>
          <w:szCs w:val="16"/>
        </w:rPr>
        <w:t>ection</w:t>
      </w:r>
      <w:r w:rsidRPr="00632BB9">
        <w:rPr>
          <w:rFonts w:asciiTheme="minorHAnsi" w:hAnsiTheme="minorHAnsi" w:cstheme="minorHAnsi"/>
          <w:sz w:val="16"/>
          <w:szCs w:val="16"/>
        </w:rPr>
        <w:t xml:space="preserve"> 28; </w:t>
      </w:r>
      <w:r w:rsidRPr="00632BB9">
        <w:rPr>
          <w:rFonts w:asciiTheme="minorHAnsi" w:hAnsiTheme="minorHAnsi" w:cstheme="minorHAnsi"/>
          <w:i/>
          <w:sz w:val="16"/>
          <w:szCs w:val="16"/>
        </w:rPr>
        <w:t>Charter of Human Rights and Responsibilities Act 2006</w:t>
      </w:r>
      <w:r>
        <w:rPr>
          <w:rFonts w:asciiTheme="minorHAnsi" w:hAnsiTheme="minorHAnsi" w:cstheme="minorHAnsi"/>
          <w:sz w:val="16"/>
          <w:szCs w:val="16"/>
        </w:rPr>
        <w:t xml:space="preserve"> (Vic)</w:t>
      </w:r>
      <w:r w:rsidRPr="00632BB9">
        <w:rPr>
          <w:rFonts w:asciiTheme="minorHAnsi" w:hAnsiTheme="minorHAnsi" w:cstheme="minorHAnsi"/>
          <w:sz w:val="16"/>
          <w:szCs w:val="16"/>
        </w:rPr>
        <w:t>, s</w:t>
      </w:r>
      <w:r>
        <w:rPr>
          <w:rFonts w:asciiTheme="minorHAnsi" w:hAnsiTheme="minorHAnsi" w:cstheme="minorHAnsi"/>
          <w:sz w:val="16"/>
          <w:szCs w:val="16"/>
        </w:rPr>
        <w:t>ection</w:t>
      </w:r>
      <w:r w:rsidRPr="00632BB9">
        <w:rPr>
          <w:rFonts w:asciiTheme="minorHAnsi" w:hAnsiTheme="minorHAnsi" w:cstheme="minorHAnsi"/>
          <w:sz w:val="16"/>
          <w:szCs w:val="16"/>
        </w:rPr>
        <w:t xml:space="preserve"> 7</w:t>
      </w:r>
      <w:r>
        <w:rPr>
          <w:rFonts w:asciiTheme="minorHAnsi" w:hAnsiTheme="minorHAnsi" w:cstheme="minorHAnsi"/>
          <w:sz w:val="16"/>
          <w:szCs w:val="16"/>
        </w:rPr>
        <w:t>;</w:t>
      </w:r>
      <w:r w:rsidRPr="00632BB9">
        <w:rPr>
          <w:rFonts w:asciiTheme="minorHAnsi" w:hAnsiTheme="minorHAnsi" w:cstheme="minorHAnsi"/>
          <w:sz w:val="16"/>
          <w:szCs w:val="16"/>
        </w:rPr>
        <w:t xml:space="preserve"> </w:t>
      </w:r>
      <w:r w:rsidRPr="00632BB9">
        <w:rPr>
          <w:rFonts w:asciiTheme="minorHAnsi" w:hAnsiTheme="minorHAnsi" w:cstheme="minorHAnsi"/>
          <w:i/>
          <w:sz w:val="16"/>
          <w:szCs w:val="16"/>
        </w:rPr>
        <w:t>New Zealand Bill of Rights Act 1990</w:t>
      </w:r>
      <w:r>
        <w:rPr>
          <w:rFonts w:asciiTheme="minorHAnsi" w:hAnsiTheme="minorHAnsi" w:cstheme="minorHAnsi"/>
          <w:sz w:val="16"/>
          <w:szCs w:val="16"/>
        </w:rPr>
        <w:t xml:space="preserve"> (NZ)</w:t>
      </w:r>
      <w:r w:rsidRPr="00632BB9">
        <w:rPr>
          <w:rFonts w:asciiTheme="minorHAnsi" w:hAnsiTheme="minorHAnsi" w:cstheme="minorHAnsi"/>
          <w:sz w:val="16"/>
          <w:szCs w:val="16"/>
        </w:rPr>
        <w:t>, s</w:t>
      </w:r>
      <w:r>
        <w:rPr>
          <w:rFonts w:asciiTheme="minorHAnsi" w:hAnsiTheme="minorHAnsi" w:cstheme="minorHAnsi"/>
          <w:sz w:val="16"/>
          <w:szCs w:val="16"/>
        </w:rPr>
        <w:t>ection</w:t>
      </w:r>
      <w:r w:rsidRPr="00632BB9">
        <w:rPr>
          <w:rFonts w:asciiTheme="minorHAnsi" w:hAnsiTheme="minorHAnsi" w:cstheme="minorHAnsi"/>
          <w:sz w:val="16"/>
          <w:szCs w:val="16"/>
        </w:rPr>
        <w:t xml:space="preserve"> 5.  </w:t>
      </w:r>
    </w:p>
  </w:footnote>
  <w:footnote w:id="50">
    <w:p w:rsidR="00BE54B3" w:rsidRPr="00632BB9" w:rsidRDefault="00BE54B3">
      <w:pPr>
        <w:pStyle w:val="FootnoteText"/>
        <w:rPr>
          <w:rFonts w:asciiTheme="majorHAnsi" w:hAnsiTheme="majorHAnsi" w:cstheme="majorHAnsi"/>
          <w:sz w:val="16"/>
          <w:szCs w:val="16"/>
        </w:rPr>
      </w:pPr>
      <w:r w:rsidRPr="00632BB9">
        <w:rPr>
          <w:rStyle w:val="FootnoteReference"/>
          <w:rFonts w:asciiTheme="majorHAnsi" w:hAnsiTheme="majorHAnsi" w:cstheme="majorHAnsi"/>
          <w:sz w:val="16"/>
          <w:szCs w:val="16"/>
        </w:rPr>
        <w:footnoteRef/>
      </w:r>
      <w:r w:rsidRPr="00632BB9">
        <w:rPr>
          <w:rFonts w:asciiTheme="majorHAnsi" w:hAnsiTheme="majorHAnsi" w:cstheme="majorHAnsi"/>
          <w:sz w:val="16"/>
          <w:szCs w:val="16"/>
        </w:rPr>
        <w:t xml:space="preserve"> See George Williams and Daniel Reynolds, above n 22, where it is stated</w:t>
      </w:r>
      <w:r>
        <w:rPr>
          <w:rFonts w:asciiTheme="majorHAnsi" w:hAnsiTheme="majorHAnsi" w:cstheme="majorHAnsi"/>
          <w:sz w:val="16"/>
          <w:szCs w:val="16"/>
        </w:rPr>
        <w:t xml:space="preserve"> that,</w:t>
      </w:r>
      <w:r w:rsidRPr="00632BB9">
        <w:rPr>
          <w:rFonts w:asciiTheme="majorHAnsi" w:hAnsiTheme="majorHAnsi" w:cstheme="majorHAnsi"/>
          <w:sz w:val="16"/>
          <w:szCs w:val="16"/>
        </w:rPr>
        <w:t xml:space="preserve"> in the ACT</w:t>
      </w:r>
      <w:r>
        <w:rPr>
          <w:rFonts w:asciiTheme="majorHAnsi" w:hAnsiTheme="majorHAnsi" w:cstheme="majorHAnsi"/>
          <w:sz w:val="16"/>
          <w:szCs w:val="16"/>
        </w:rPr>
        <w:t>,</w:t>
      </w:r>
      <w:r w:rsidRPr="00632BB9">
        <w:rPr>
          <w:rFonts w:asciiTheme="majorHAnsi" w:hAnsiTheme="majorHAnsi" w:cstheme="majorHAnsi"/>
          <w:sz w:val="16"/>
          <w:szCs w:val="16"/>
        </w:rPr>
        <w:t xml:space="preserve"> government members have moved almost 100 amendments to </w:t>
      </w:r>
      <w:r>
        <w:rPr>
          <w:rFonts w:asciiTheme="majorHAnsi" w:hAnsiTheme="majorHAnsi" w:cstheme="majorHAnsi"/>
          <w:sz w:val="16"/>
          <w:szCs w:val="16"/>
        </w:rPr>
        <w:t>B</w:t>
      </w:r>
      <w:r w:rsidRPr="00632BB9">
        <w:rPr>
          <w:rFonts w:asciiTheme="majorHAnsi" w:hAnsiTheme="majorHAnsi" w:cstheme="majorHAnsi"/>
          <w:sz w:val="16"/>
          <w:szCs w:val="16"/>
        </w:rPr>
        <w:t>ills in response to Committee comments in 2014 alone.</w:t>
      </w:r>
    </w:p>
  </w:footnote>
  <w:footnote w:id="51">
    <w:p w:rsidR="00BE54B3" w:rsidRPr="002D6014" w:rsidRDefault="00BE54B3">
      <w:pPr>
        <w:pStyle w:val="FootnoteText"/>
        <w:rPr>
          <w:rFonts w:ascii="Arial" w:hAnsi="Arial" w:cs="Arial"/>
          <w:sz w:val="16"/>
          <w:szCs w:val="16"/>
        </w:rPr>
      </w:pPr>
      <w:r w:rsidRPr="002D6014">
        <w:rPr>
          <w:rStyle w:val="FootnoteReference"/>
          <w:rFonts w:ascii="Arial" w:hAnsi="Arial" w:cs="Arial"/>
          <w:sz w:val="16"/>
          <w:szCs w:val="16"/>
        </w:rPr>
        <w:footnoteRef/>
      </w:r>
      <w:r w:rsidRPr="002D6014">
        <w:rPr>
          <w:rFonts w:ascii="Arial" w:hAnsi="Arial" w:cs="Arial"/>
          <w:sz w:val="16"/>
          <w:szCs w:val="16"/>
        </w:rPr>
        <w:t xml:space="preserve"> Victorian Government, Submission, Submission No. 324 to the </w:t>
      </w:r>
      <w:r w:rsidRPr="002D6014">
        <w:rPr>
          <w:rFonts w:ascii="Arial" w:hAnsi="Arial" w:cs="Arial"/>
          <w:i/>
          <w:sz w:val="16"/>
          <w:szCs w:val="16"/>
        </w:rPr>
        <w:t>Review of the Charter of Human Rights and Responsibilities Act 2006</w:t>
      </w:r>
      <w:r w:rsidRPr="002D6014">
        <w:rPr>
          <w:rFonts w:ascii="Arial" w:hAnsi="Arial" w:cs="Arial"/>
          <w:sz w:val="16"/>
          <w:szCs w:val="16"/>
        </w:rPr>
        <w:t>, 2015, 18-29.</w:t>
      </w:r>
    </w:p>
  </w:footnote>
  <w:footnote w:id="52">
    <w:p w:rsidR="00BE54B3" w:rsidRPr="002D6014" w:rsidRDefault="00BE54B3" w:rsidP="00F932FF">
      <w:pPr>
        <w:pStyle w:val="FootnoteText"/>
        <w:rPr>
          <w:rFonts w:ascii="Arial" w:hAnsi="Arial" w:cs="Arial"/>
          <w:sz w:val="16"/>
          <w:szCs w:val="16"/>
        </w:rPr>
      </w:pPr>
      <w:r w:rsidRPr="002D6014">
        <w:rPr>
          <w:rStyle w:val="FootnoteReference"/>
          <w:rFonts w:ascii="Arial" w:hAnsi="Arial" w:cs="Arial"/>
          <w:sz w:val="16"/>
          <w:szCs w:val="16"/>
        </w:rPr>
        <w:footnoteRef/>
      </w:r>
      <w:r w:rsidRPr="002D6014">
        <w:rPr>
          <w:rFonts w:ascii="Arial" w:hAnsi="Arial" w:cs="Arial"/>
          <w:sz w:val="16"/>
          <w:szCs w:val="16"/>
        </w:rPr>
        <w:t xml:space="preserve"> Human Rights &amp; Discrimination Commissioner, </w:t>
      </w:r>
      <w:hyperlink r:id="rId11" w:history="1">
        <w:r w:rsidRPr="002D6014">
          <w:rPr>
            <w:rStyle w:val="Hyperlink"/>
            <w:rFonts w:ascii="Arial" w:hAnsi="Arial" w:cs="Arial"/>
            <w:i/>
            <w:sz w:val="16"/>
            <w:szCs w:val="16"/>
          </w:rPr>
          <w:t>Look who’s talking: a snapshot of ten years of dialogue under the Human Rights Act 2004</w:t>
        </w:r>
      </w:hyperlink>
      <w:r w:rsidRPr="002D6014">
        <w:rPr>
          <w:rFonts w:ascii="Arial" w:hAnsi="Arial" w:cs="Arial"/>
          <w:sz w:val="16"/>
          <w:szCs w:val="16"/>
        </w:rPr>
        <w:t>, ACT Human Rights Commission, 2014. (http://www.hrc.act.gov.au/res/HRA%2010%20yr%20snapshot%20HRDC%20webversion.pdf)</w:t>
      </w:r>
    </w:p>
  </w:footnote>
  <w:footnote w:id="53">
    <w:p w:rsidR="00BE54B3" w:rsidRPr="002D6014" w:rsidRDefault="00BE54B3">
      <w:pPr>
        <w:pStyle w:val="FootnoteText"/>
        <w:rPr>
          <w:rFonts w:ascii="Arial" w:hAnsi="Arial" w:cs="Arial"/>
          <w:sz w:val="16"/>
          <w:szCs w:val="16"/>
        </w:rPr>
      </w:pPr>
      <w:r w:rsidRPr="002D6014">
        <w:rPr>
          <w:rStyle w:val="FootnoteReference"/>
          <w:rFonts w:ascii="Arial" w:hAnsi="Arial" w:cs="Arial"/>
          <w:sz w:val="16"/>
          <w:szCs w:val="16"/>
        </w:rPr>
        <w:footnoteRef/>
      </w:r>
      <w:r w:rsidRPr="002D6014">
        <w:rPr>
          <w:rFonts w:ascii="Arial" w:hAnsi="Arial" w:cs="Arial"/>
          <w:sz w:val="16"/>
          <w:szCs w:val="16"/>
        </w:rPr>
        <w:t xml:space="preserve"> See George Williams and Daniel Reynolds, above n 22.</w:t>
      </w:r>
    </w:p>
  </w:footnote>
  <w:footnote w:id="54">
    <w:p w:rsidR="00BE54B3" w:rsidRPr="00632BB9" w:rsidRDefault="00BE54B3" w:rsidP="00066114">
      <w:pPr>
        <w:tabs>
          <w:tab w:val="clear" w:pos="567"/>
        </w:tabs>
        <w:autoSpaceDE w:val="0"/>
        <w:autoSpaceDN w:val="0"/>
        <w:adjustRightInd w:val="0"/>
        <w:spacing w:after="0"/>
        <w:rPr>
          <w:rFonts w:asciiTheme="majorHAnsi" w:hAnsiTheme="majorHAnsi" w:cstheme="majorHAnsi"/>
          <w:i/>
          <w:iCs/>
          <w:sz w:val="16"/>
          <w:szCs w:val="16"/>
        </w:rPr>
      </w:pPr>
      <w:r w:rsidRPr="00632BB9">
        <w:rPr>
          <w:rStyle w:val="FootnoteReference"/>
          <w:rFonts w:asciiTheme="majorHAnsi" w:hAnsiTheme="majorHAnsi" w:cstheme="majorHAnsi"/>
          <w:sz w:val="16"/>
          <w:szCs w:val="16"/>
        </w:rPr>
        <w:footnoteRef/>
      </w:r>
      <w:r w:rsidRPr="00632BB9">
        <w:rPr>
          <w:rFonts w:asciiTheme="majorHAnsi" w:hAnsiTheme="majorHAnsi" w:cstheme="majorHAnsi"/>
          <w:sz w:val="16"/>
          <w:szCs w:val="16"/>
        </w:rPr>
        <w:t xml:space="preserve"> Lord Steyn, ‘Laying the Foundations of Human Rights Law in the United Kingdom’ (2005) 4 </w:t>
      </w:r>
      <w:r w:rsidRPr="00632BB9">
        <w:rPr>
          <w:rFonts w:asciiTheme="majorHAnsi" w:hAnsiTheme="majorHAnsi" w:cstheme="majorHAnsi"/>
          <w:i/>
          <w:iCs/>
          <w:sz w:val="16"/>
          <w:szCs w:val="16"/>
        </w:rPr>
        <w:t>European Human Rights</w:t>
      </w:r>
    </w:p>
    <w:p w:rsidR="00BE54B3" w:rsidRPr="00632BB9" w:rsidRDefault="00BE54B3" w:rsidP="00066114">
      <w:pPr>
        <w:pStyle w:val="FootnoteText"/>
        <w:rPr>
          <w:rFonts w:asciiTheme="majorHAnsi" w:hAnsiTheme="majorHAnsi" w:cstheme="majorHAnsi"/>
          <w:sz w:val="16"/>
          <w:szCs w:val="16"/>
        </w:rPr>
      </w:pPr>
      <w:r w:rsidRPr="00632BB9">
        <w:rPr>
          <w:rFonts w:asciiTheme="majorHAnsi" w:hAnsiTheme="majorHAnsi" w:cstheme="majorHAnsi"/>
          <w:i/>
          <w:iCs/>
          <w:sz w:val="16"/>
          <w:szCs w:val="16"/>
        </w:rPr>
        <w:t xml:space="preserve">Law Review </w:t>
      </w:r>
      <w:r w:rsidRPr="00632BB9">
        <w:rPr>
          <w:rFonts w:asciiTheme="majorHAnsi" w:hAnsiTheme="majorHAnsi" w:cstheme="majorHAnsi"/>
          <w:sz w:val="16"/>
          <w:szCs w:val="16"/>
        </w:rPr>
        <w:t>349, 354.</w:t>
      </w:r>
    </w:p>
  </w:footnote>
  <w:footnote w:id="55">
    <w:p w:rsidR="00BE54B3" w:rsidRPr="00632BB9" w:rsidRDefault="00BE54B3">
      <w:pPr>
        <w:pStyle w:val="FootnoteText"/>
        <w:rPr>
          <w:rFonts w:asciiTheme="majorHAnsi" w:hAnsiTheme="majorHAnsi" w:cstheme="majorHAnsi"/>
          <w:sz w:val="16"/>
          <w:szCs w:val="16"/>
        </w:rPr>
      </w:pPr>
      <w:r w:rsidRPr="00632BB9">
        <w:rPr>
          <w:rStyle w:val="FootnoteReference"/>
          <w:rFonts w:asciiTheme="majorHAnsi" w:hAnsiTheme="majorHAnsi" w:cstheme="majorHAnsi"/>
          <w:sz w:val="16"/>
          <w:szCs w:val="16"/>
        </w:rPr>
        <w:footnoteRef/>
      </w:r>
      <w:r w:rsidRPr="00632BB9">
        <w:rPr>
          <w:rFonts w:asciiTheme="majorHAnsi" w:hAnsiTheme="majorHAnsi" w:cstheme="majorHAnsi"/>
          <w:sz w:val="16"/>
          <w:szCs w:val="16"/>
        </w:rPr>
        <w:t xml:space="preserve"> </w:t>
      </w:r>
      <w:r w:rsidRPr="00632BB9">
        <w:rPr>
          <w:rFonts w:asciiTheme="majorHAnsi" w:hAnsiTheme="majorHAnsi" w:cstheme="majorHAnsi"/>
          <w:i/>
          <w:sz w:val="16"/>
          <w:szCs w:val="16"/>
        </w:rPr>
        <w:t xml:space="preserve">Bulsey &amp; Anor v State of Queensland </w:t>
      </w:r>
      <w:r>
        <w:rPr>
          <w:rFonts w:asciiTheme="majorHAnsi" w:hAnsiTheme="majorHAnsi" w:cstheme="majorHAnsi"/>
          <w:sz w:val="16"/>
          <w:szCs w:val="16"/>
        </w:rPr>
        <w:t>[</w:t>
      </w:r>
      <w:r w:rsidRPr="00632BB9">
        <w:rPr>
          <w:rFonts w:asciiTheme="majorHAnsi" w:hAnsiTheme="majorHAnsi" w:cstheme="majorHAnsi"/>
          <w:sz w:val="16"/>
          <w:szCs w:val="16"/>
        </w:rPr>
        <w:t>2015</w:t>
      </w:r>
      <w:r>
        <w:rPr>
          <w:rFonts w:asciiTheme="majorHAnsi" w:hAnsiTheme="majorHAnsi" w:cstheme="majorHAnsi"/>
          <w:sz w:val="16"/>
          <w:szCs w:val="16"/>
        </w:rPr>
        <w:t>]</w:t>
      </w:r>
      <w:r w:rsidRPr="00632BB9">
        <w:rPr>
          <w:rFonts w:asciiTheme="majorHAnsi" w:hAnsiTheme="majorHAnsi" w:cstheme="majorHAnsi"/>
          <w:sz w:val="16"/>
          <w:szCs w:val="16"/>
        </w:rPr>
        <w:t xml:space="preserve"> QCA 187</w:t>
      </w:r>
      <w:r>
        <w:rPr>
          <w:rFonts w:asciiTheme="majorHAnsi" w:hAnsiTheme="majorHAnsi" w:cstheme="majorHAnsi"/>
          <w:sz w:val="16"/>
          <w:szCs w:val="16"/>
        </w:rPr>
        <w:t>.</w:t>
      </w:r>
      <w:r w:rsidRPr="00632BB9">
        <w:rPr>
          <w:rFonts w:asciiTheme="majorHAnsi" w:hAnsiTheme="majorHAnsi" w:cstheme="majorHAnsi"/>
          <w:sz w:val="16"/>
          <w:szCs w:val="16"/>
        </w:rPr>
        <w:t xml:space="preserve"> </w:t>
      </w:r>
    </w:p>
  </w:footnote>
  <w:footnote w:id="56">
    <w:p w:rsidR="00BE54B3" w:rsidRPr="00D91097" w:rsidRDefault="00BE54B3" w:rsidP="00285E61">
      <w:pPr>
        <w:spacing w:after="0"/>
        <w:rPr>
          <w:rFonts w:cstheme="minorHAnsi"/>
          <w:sz w:val="16"/>
          <w:szCs w:val="16"/>
        </w:rPr>
      </w:pPr>
      <w:r w:rsidRPr="00D91097">
        <w:rPr>
          <w:rStyle w:val="FootnoteReference"/>
          <w:rFonts w:cstheme="minorHAnsi"/>
          <w:sz w:val="16"/>
          <w:szCs w:val="16"/>
        </w:rPr>
        <w:footnoteRef/>
      </w:r>
      <w:r w:rsidRPr="00D91097">
        <w:rPr>
          <w:rFonts w:cstheme="minorHAnsi"/>
          <w:sz w:val="16"/>
          <w:szCs w:val="16"/>
        </w:rPr>
        <w:t xml:space="preserve"> Abrahams (by his litigation guardian The Public Trustee of Queensland) v Abrahams [2015] QCA 286.</w:t>
      </w:r>
    </w:p>
  </w:footnote>
  <w:footnote w:id="57">
    <w:p w:rsidR="00BE54B3" w:rsidRPr="00285E61" w:rsidRDefault="00BE54B3" w:rsidP="00632BB9">
      <w:pPr>
        <w:tabs>
          <w:tab w:val="clear" w:pos="567"/>
        </w:tabs>
        <w:autoSpaceDE w:val="0"/>
        <w:autoSpaceDN w:val="0"/>
        <w:adjustRightInd w:val="0"/>
        <w:spacing w:after="0"/>
        <w:rPr>
          <w:sz w:val="16"/>
          <w:szCs w:val="16"/>
        </w:rPr>
      </w:pPr>
      <w:r w:rsidRPr="00620667">
        <w:rPr>
          <w:rStyle w:val="FootnoteReference"/>
          <w:rFonts w:cstheme="minorHAnsi"/>
          <w:sz w:val="16"/>
          <w:szCs w:val="16"/>
        </w:rPr>
        <w:footnoteRef/>
      </w:r>
      <w:r w:rsidRPr="00620667">
        <w:rPr>
          <w:rFonts w:cstheme="minorHAnsi"/>
          <w:sz w:val="16"/>
          <w:szCs w:val="16"/>
        </w:rPr>
        <w:t xml:space="preserve"> </w:t>
      </w:r>
      <w:r w:rsidRPr="00620667">
        <w:rPr>
          <w:rFonts w:cstheme="minorHAnsi"/>
          <w:i/>
          <w:iCs/>
          <w:sz w:val="16"/>
          <w:szCs w:val="16"/>
        </w:rPr>
        <w:t xml:space="preserve">Yeo v Attorney-General for the State of Queensland </w:t>
      </w:r>
      <w:r w:rsidRPr="00620667">
        <w:rPr>
          <w:rFonts w:cstheme="minorHAnsi"/>
          <w:sz w:val="16"/>
          <w:szCs w:val="16"/>
        </w:rPr>
        <w:t>[2011</w:t>
      </w:r>
      <w:r w:rsidRPr="00285E61">
        <w:rPr>
          <w:rFonts w:ascii="Times New Roman" w:hAnsi="Times New Roman" w:cs="Times New Roman"/>
          <w:sz w:val="16"/>
          <w:szCs w:val="16"/>
        </w:rPr>
        <w:t>]</w:t>
      </w:r>
      <w:r>
        <w:rPr>
          <w:rFonts w:ascii="Times New Roman" w:hAnsi="Times New Roman" w:cs="Times New Roman"/>
          <w:sz w:val="16"/>
          <w:szCs w:val="16"/>
        </w:rPr>
        <w:t xml:space="preserve"> </w:t>
      </w:r>
      <w:r w:rsidRPr="00285E61">
        <w:rPr>
          <w:sz w:val="16"/>
          <w:szCs w:val="16"/>
        </w:rPr>
        <w:t>QCA 170</w:t>
      </w:r>
      <w:r>
        <w:rPr>
          <w:sz w:val="16"/>
          <w:szCs w:val="16"/>
        </w:rPr>
        <w:t>.</w:t>
      </w:r>
    </w:p>
  </w:footnote>
  <w:footnote w:id="58">
    <w:p w:rsidR="00BE54B3" w:rsidRPr="00632BB9" w:rsidRDefault="00BE54B3">
      <w:pPr>
        <w:pStyle w:val="FootnoteText"/>
        <w:rPr>
          <w:rFonts w:asciiTheme="minorHAnsi" w:hAnsiTheme="minorHAnsi" w:cstheme="minorHAnsi"/>
          <w:sz w:val="16"/>
          <w:szCs w:val="16"/>
        </w:rPr>
      </w:pPr>
      <w:r w:rsidRPr="00632BB9">
        <w:rPr>
          <w:rStyle w:val="FootnoteReference"/>
          <w:rFonts w:asciiTheme="minorHAnsi" w:hAnsiTheme="minorHAnsi" w:cstheme="minorHAnsi"/>
          <w:sz w:val="16"/>
          <w:szCs w:val="16"/>
        </w:rPr>
        <w:footnoteRef/>
      </w:r>
      <w:r w:rsidRPr="00632BB9">
        <w:rPr>
          <w:rFonts w:asciiTheme="minorHAnsi" w:hAnsiTheme="minorHAnsi" w:cstheme="minorHAnsi"/>
          <w:sz w:val="16"/>
          <w:szCs w:val="16"/>
        </w:rPr>
        <w:t xml:space="preserve"> G</w:t>
      </w:r>
      <w:r>
        <w:rPr>
          <w:rFonts w:asciiTheme="minorHAnsi" w:hAnsiTheme="minorHAnsi" w:cstheme="minorHAnsi"/>
          <w:sz w:val="16"/>
          <w:szCs w:val="16"/>
        </w:rPr>
        <w:t>eorge</w:t>
      </w:r>
      <w:r w:rsidRPr="00632BB9">
        <w:rPr>
          <w:rFonts w:asciiTheme="minorHAnsi" w:hAnsiTheme="minorHAnsi" w:cstheme="minorHAnsi"/>
          <w:sz w:val="16"/>
          <w:szCs w:val="16"/>
        </w:rPr>
        <w:t xml:space="preserve"> Williams</w:t>
      </w:r>
      <w:r>
        <w:rPr>
          <w:rFonts w:asciiTheme="minorHAnsi" w:hAnsiTheme="minorHAnsi" w:cstheme="minorHAnsi"/>
          <w:sz w:val="16"/>
          <w:szCs w:val="16"/>
        </w:rPr>
        <w:t xml:space="preserve"> and Daniel Reynolds</w:t>
      </w:r>
      <w:r w:rsidRPr="00632BB9">
        <w:rPr>
          <w:rFonts w:asciiTheme="minorHAnsi" w:hAnsiTheme="minorHAnsi" w:cstheme="minorHAnsi"/>
          <w:sz w:val="16"/>
          <w:szCs w:val="16"/>
        </w:rPr>
        <w:t>,</w:t>
      </w:r>
      <w:r>
        <w:rPr>
          <w:rFonts w:asciiTheme="minorHAnsi" w:hAnsiTheme="minorHAnsi" w:cstheme="minorHAnsi"/>
          <w:sz w:val="16"/>
          <w:szCs w:val="16"/>
        </w:rPr>
        <w:t xml:space="preserve"> above n 22.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b/>
        <w:bCs/>
        <w:color w:val="1F497D" w:themeColor="text2"/>
        <w:sz w:val="32"/>
        <w:szCs w:val="28"/>
      </w:rPr>
      <w:alias w:val="Title"/>
      <w:id w:val="-1029717947"/>
      <w:dataBinding w:prefixMappings="xmlns:ns0='http://schemas.openxmlformats.org/package/2006/metadata/core-properties' xmlns:ns1='http://purl.org/dc/elements/1.1/'" w:xpath="/ns0:coreProperties[1]/ns1:title[1]" w:storeItemID="{6C3C8BC8-F283-45AE-878A-BAB7291924A1}"/>
      <w:text/>
    </w:sdtPr>
    <w:sdtEndPr/>
    <w:sdtContent>
      <w:p w:rsidR="00BE54B3" w:rsidRDefault="00BE54B3">
        <w:pPr>
          <w:pStyle w:val="Header"/>
          <w:tabs>
            <w:tab w:val="left" w:pos="2580"/>
            <w:tab w:val="left" w:pos="2985"/>
          </w:tabs>
          <w:spacing w:after="120" w:line="276" w:lineRule="auto"/>
          <w:rPr>
            <w:b/>
            <w:bCs/>
            <w:color w:val="1F497D" w:themeColor="text2"/>
            <w:sz w:val="28"/>
            <w:szCs w:val="28"/>
          </w:rPr>
        </w:pPr>
        <w:r w:rsidRPr="003F2D0A">
          <w:rPr>
            <w:b/>
            <w:bCs/>
            <w:color w:val="1F497D" w:themeColor="text2"/>
            <w:sz w:val="32"/>
            <w:szCs w:val="28"/>
          </w:rPr>
          <w:t>Human Rights Inquiry</w:t>
        </w:r>
      </w:p>
    </w:sdtContent>
  </w:sdt>
  <w:sdt>
    <w:sdtPr>
      <w:rPr>
        <w:color w:val="7F7F7F" w:themeColor="text1" w:themeTint="80"/>
        <w:sz w:val="20"/>
      </w:rPr>
      <w:alias w:val="Author"/>
      <w:id w:val="2111003221"/>
      <w:dataBinding w:prefixMappings="xmlns:ns0='http://schemas.openxmlformats.org/package/2006/metadata/core-properties' xmlns:ns1='http://purl.org/dc/elements/1.1/'" w:xpath="/ns0:coreProperties[1]/ns1:creator[1]" w:storeItemID="{6C3C8BC8-F283-45AE-878A-BAB7291924A1}"/>
      <w:text/>
    </w:sdtPr>
    <w:sdtEndPr/>
    <w:sdtContent>
      <w:p w:rsidR="00BE54B3" w:rsidRPr="003F4C92" w:rsidRDefault="00BE54B3">
        <w:pPr>
          <w:pStyle w:val="Header"/>
          <w:pBdr>
            <w:bottom w:val="single" w:sz="4" w:space="1" w:color="A5A5A5" w:themeColor="background1" w:themeShade="A5"/>
          </w:pBdr>
          <w:tabs>
            <w:tab w:val="left" w:pos="2580"/>
            <w:tab w:val="left" w:pos="2985"/>
          </w:tabs>
          <w:spacing w:after="120" w:line="276" w:lineRule="auto"/>
          <w:rPr>
            <w:color w:val="7F7F7F" w:themeColor="text1" w:themeTint="80"/>
            <w:sz w:val="20"/>
          </w:rPr>
        </w:pPr>
        <w:r w:rsidRPr="003F4C92">
          <w:rPr>
            <w:color w:val="7F7F7F" w:themeColor="text1" w:themeTint="80"/>
            <w:sz w:val="20"/>
          </w:rPr>
          <w:t>Anti-Discrimination Commission Queensland</w:t>
        </w:r>
      </w:p>
    </w:sdtContent>
  </w:sdt>
  <w:p w:rsidR="00BE54B3" w:rsidRPr="00B46D14" w:rsidRDefault="00BE54B3" w:rsidP="00973CD7">
    <w:pPr>
      <w:pStyle w:val="Header"/>
      <w:tabs>
        <w:tab w:val="clear" w:pos="4513"/>
        <w:tab w:val="clear" w:pos="9026"/>
        <w:tab w:val="left" w:pos="6023"/>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54B3" w:rsidRDefault="00BE54B3" w:rsidP="002F1ADC">
    <w:pPr>
      <w:pStyle w:val="Header"/>
      <w:tabs>
        <w:tab w:val="clear" w:pos="4513"/>
        <w:tab w:val="clear" w:pos="9026"/>
      </w:tabs>
      <w:jc w:val="center"/>
    </w:pPr>
    <w:r>
      <w:rPr>
        <w:noProof/>
      </w:rPr>
      <w:drawing>
        <wp:inline distT="0" distB="0" distL="0" distR="0" wp14:anchorId="001785D6" wp14:editId="217615C5">
          <wp:extent cx="3286125" cy="469265"/>
          <wp:effectExtent l="0" t="0" r="9525" b="6985"/>
          <wp:docPr id="1" name="Picture 1" title="Anti-Discrimination Commission Queens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86125" cy="469265"/>
                  </a:xfrm>
                  <a:prstGeom prst="rect">
                    <a:avLst/>
                  </a:prstGeom>
                  <a:noFill/>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b/>
        <w:bCs/>
        <w:color w:val="1F497D" w:themeColor="text2"/>
        <w:sz w:val="32"/>
        <w:szCs w:val="28"/>
      </w:rPr>
      <w:alias w:val="Title"/>
      <w:id w:val="-959100696"/>
      <w:dataBinding w:prefixMappings="xmlns:ns0='http://schemas.openxmlformats.org/package/2006/metadata/core-properties' xmlns:ns1='http://purl.org/dc/elements/1.1/'" w:xpath="/ns0:coreProperties[1]/ns1:title[1]" w:storeItemID="{6C3C8BC8-F283-45AE-878A-BAB7291924A1}"/>
      <w:text/>
    </w:sdtPr>
    <w:sdtEndPr/>
    <w:sdtContent>
      <w:p w:rsidR="00BE54B3" w:rsidRDefault="00BE54B3" w:rsidP="002F1ADC">
        <w:pPr>
          <w:pStyle w:val="Header"/>
          <w:tabs>
            <w:tab w:val="left" w:pos="2580"/>
            <w:tab w:val="left" w:pos="2985"/>
          </w:tabs>
          <w:spacing w:after="120" w:line="276" w:lineRule="auto"/>
          <w:rPr>
            <w:b/>
            <w:bCs/>
            <w:color w:val="1F497D" w:themeColor="text2"/>
            <w:sz w:val="28"/>
            <w:szCs w:val="28"/>
          </w:rPr>
        </w:pPr>
        <w:r w:rsidRPr="003F2D0A">
          <w:rPr>
            <w:b/>
            <w:bCs/>
            <w:color w:val="1F497D" w:themeColor="text2"/>
            <w:sz w:val="32"/>
            <w:szCs w:val="28"/>
          </w:rPr>
          <w:t>Human Rights Inquiry</w:t>
        </w:r>
      </w:p>
    </w:sdtContent>
  </w:sdt>
  <w:sdt>
    <w:sdtPr>
      <w:rPr>
        <w:color w:val="7F7F7F" w:themeColor="text1" w:themeTint="80"/>
        <w:sz w:val="20"/>
      </w:rPr>
      <w:alias w:val="Author"/>
      <w:id w:val="1262039283"/>
      <w:dataBinding w:prefixMappings="xmlns:ns0='http://schemas.openxmlformats.org/package/2006/metadata/core-properties' xmlns:ns1='http://purl.org/dc/elements/1.1/'" w:xpath="/ns0:coreProperties[1]/ns1:creator[1]" w:storeItemID="{6C3C8BC8-F283-45AE-878A-BAB7291924A1}"/>
      <w:text/>
    </w:sdtPr>
    <w:sdtEndPr/>
    <w:sdtContent>
      <w:p w:rsidR="00BE54B3" w:rsidRPr="003F4C92" w:rsidRDefault="00BE54B3" w:rsidP="002F1ADC">
        <w:pPr>
          <w:pStyle w:val="Header"/>
          <w:pBdr>
            <w:bottom w:val="single" w:sz="4" w:space="1" w:color="A5A5A5" w:themeColor="background1" w:themeShade="A5"/>
          </w:pBdr>
          <w:tabs>
            <w:tab w:val="left" w:pos="2580"/>
            <w:tab w:val="left" w:pos="2985"/>
          </w:tabs>
          <w:spacing w:after="120" w:line="276" w:lineRule="auto"/>
          <w:rPr>
            <w:color w:val="7F7F7F" w:themeColor="text1" w:themeTint="80"/>
            <w:sz w:val="20"/>
          </w:rPr>
        </w:pPr>
        <w:r w:rsidRPr="003F4C92">
          <w:rPr>
            <w:color w:val="7F7F7F" w:themeColor="text1" w:themeTint="80"/>
            <w:sz w:val="20"/>
          </w:rPr>
          <w:t>Anti-Discrimination Commission Queensland</w:t>
        </w:r>
      </w:p>
    </w:sdtContent>
  </w:sdt>
  <w:p w:rsidR="00BE54B3" w:rsidRDefault="00BE54B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63BAA"/>
    <w:multiLevelType w:val="hybridMultilevel"/>
    <w:tmpl w:val="EBA0DB00"/>
    <w:lvl w:ilvl="0" w:tplc="0C090017">
      <w:start w:val="1"/>
      <w:numFmt w:val="lowerLetter"/>
      <w:lvlText w:val="%1)"/>
      <w:lvlJc w:val="left"/>
      <w:pPr>
        <w:ind w:left="1134" w:hanging="567"/>
      </w:pPr>
      <w:rPr>
        <w:rFonts w:hint="default"/>
        <w:b w:val="0"/>
        <w:i w:val="0"/>
        <w:caps w:val="0"/>
        <w:strike w:val="0"/>
        <w:dstrike w:val="0"/>
        <w:vanish w:val="0"/>
        <w:sz w:val="24"/>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05B409F9"/>
    <w:multiLevelType w:val="multilevel"/>
    <w:tmpl w:val="5D2A8F1E"/>
    <w:lvl w:ilvl="0">
      <w:start w:val="34"/>
      <w:numFmt w:val="bullet"/>
      <w:lvlText w:val="•"/>
      <w:lvlJc w:val="left"/>
      <w:pPr>
        <w:tabs>
          <w:tab w:val="num" w:pos="360"/>
        </w:tabs>
        <w:ind w:left="360" w:hanging="360"/>
      </w:pPr>
      <w:rPr>
        <w:rFonts w:ascii="Arial" w:hAnsi="Arial" w:hint="default"/>
        <w:color w:val="17365D" w:themeColor="text2" w:themeShade="BF"/>
        <w:sz w:val="24"/>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nsid w:val="06730F1D"/>
    <w:multiLevelType w:val="multilevel"/>
    <w:tmpl w:val="5D2A8F1E"/>
    <w:lvl w:ilvl="0">
      <w:start w:val="34"/>
      <w:numFmt w:val="bullet"/>
      <w:lvlText w:val="•"/>
      <w:lvlJc w:val="left"/>
      <w:pPr>
        <w:tabs>
          <w:tab w:val="num" w:pos="360"/>
        </w:tabs>
        <w:ind w:left="360" w:hanging="360"/>
      </w:pPr>
      <w:rPr>
        <w:rFonts w:ascii="Arial" w:hAnsi="Arial" w:hint="default"/>
        <w:color w:val="17365D" w:themeColor="text2" w:themeShade="BF"/>
        <w:sz w:val="24"/>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nsid w:val="06FB69F5"/>
    <w:multiLevelType w:val="hybridMultilevel"/>
    <w:tmpl w:val="6B34009E"/>
    <w:lvl w:ilvl="0" w:tplc="5EDA242C">
      <w:start w:val="1"/>
      <w:numFmt w:val="bullet"/>
      <w:lvlText w:val=""/>
      <w:lvlJc w:val="left"/>
      <w:pPr>
        <w:ind w:left="720" w:hanging="360"/>
      </w:pPr>
      <w:rPr>
        <w:rFonts w:ascii="Symbol" w:hAnsi="Symbol" w:hint="default"/>
        <w:b w:val="0"/>
        <w:i w:val="0"/>
        <w:caps w:val="0"/>
        <w:strike w:val="0"/>
        <w:dstrike w:val="0"/>
        <w:vanish w:val="0"/>
        <w:sz w:val="22"/>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099F39BD"/>
    <w:multiLevelType w:val="hybridMultilevel"/>
    <w:tmpl w:val="AEFEEEC2"/>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nsid w:val="16532BC9"/>
    <w:multiLevelType w:val="hybridMultilevel"/>
    <w:tmpl w:val="D45A0BB2"/>
    <w:lvl w:ilvl="0" w:tplc="72FA3EDA">
      <w:start w:val="34"/>
      <w:numFmt w:val="bullet"/>
      <w:lvlText w:val="•"/>
      <w:lvlJc w:val="left"/>
      <w:pPr>
        <w:ind w:left="360" w:hanging="360"/>
      </w:pPr>
      <w:rPr>
        <w:rFonts w:ascii="Arial" w:hAnsi="Arial" w:hint="default"/>
        <w:color w:val="17365D" w:themeColor="text2" w:themeShade="BF"/>
        <w:sz w:val="2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nsid w:val="16BB2B59"/>
    <w:multiLevelType w:val="hybridMultilevel"/>
    <w:tmpl w:val="C7BAAE72"/>
    <w:lvl w:ilvl="0" w:tplc="0B8C48FE">
      <w:start w:val="1"/>
      <w:numFmt w:val="decimal"/>
      <w:lvlText w:val="%1."/>
      <w:lvlJc w:val="left"/>
      <w:pPr>
        <w:ind w:left="1134" w:hanging="567"/>
      </w:pPr>
      <w:rPr>
        <w:rFonts w:hint="default"/>
        <w:b w:val="0"/>
        <w:i w:val="0"/>
        <w:caps w:val="0"/>
        <w:strike w:val="0"/>
        <w:dstrike w:val="0"/>
        <w:vanish w:val="0"/>
        <w:sz w:val="22"/>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183302F4"/>
    <w:multiLevelType w:val="hybridMultilevel"/>
    <w:tmpl w:val="ECFADCA8"/>
    <w:lvl w:ilvl="0" w:tplc="0C090001">
      <w:start w:val="1"/>
      <w:numFmt w:val="bullet"/>
      <w:lvlText w:val=""/>
      <w:lvlJc w:val="left"/>
      <w:pPr>
        <w:ind w:left="1134" w:hanging="567"/>
      </w:pPr>
      <w:rPr>
        <w:rFonts w:ascii="Symbol" w:hAnsi="Symbol" w:hint="default"/>
        <w:b w:val="0"/>
        <w:i w:val="0"/>
        <w:caps w:val="0"/>
        <w:strike w:val="0"/>
        <w:dstrike w:val="0"/>
        <w:vanish w:val="0"/>
        <w:sz w:val="24"/>
        <w:vertAlign w:val="baseline"/>
      </w:rPr>
    </w:lvl>
    <w:lvl w:ilvl="1" w:tplc="B29CAFBA">
      <w:start w:val="1"/>
      <w:numFmt w:val="lowerLetter"/>
      <w:lvlText w:val="(%2)"/>
      <w:lvlJc w:val="left"/>
      <w:pPr>
        <w:ind w:left="1650" w:hanging="570"/>
      </w:pPr>
      <w:rPr>
        <w:rFonts w:hint="default"/>
      </w:rPr>
    </w:lvl>
    <w:lvl w:ilvl="2" w:tplc="088E9A3A">
      <w:start w:val="1"/>
      <w:numFmt w:val="decimal"/>
      <w:lvlText w:val="%3."/>
      <w:lvlJc w:val="left"/>
      <w:pPr>
        <w:ind w:left="2340" w:hanging="36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2E605453"/>
    <w:multiLevelType w:val="hybridMultilevel"/>
    <w:tmpl w:val="779044DC"/>
    <w:lvl w:ilvl="0" w:tplc="A626723A">
      <w:start w:val="1"/>
      <w:numFmt w:val="bullet"/>
      <w:pStyle w:val="VEOHRCListBullet"/>
      <w:lvlText w:val=""/>
      <w:lvlJc w:val="left"/>
      <w:pPr>
        <w:tabs>
          <w:tab w:val="num" w:pos="227"/>
        </w:tabs>
        <w:ind w:left="227" w:hanging="227"/>
      </w:pPr>
      <w:rPr>
        <w:rFonts w:ascii="Symbol" w:hAnsi="Symbol" w:hint="default"/>
        <w:color w:val="000000"/>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nsid w:val="2ECB4DF1"/>
    <w:multiLevelType w:val="hybridMultilevel"/>
    <w:tmpl w:val="F61C5928"/>
    <w:lvl w:ilvl="0" w:tplc="0C090017">
      <w:start w:val="1"/>
      <w:numFmt w:val="lowerLetter"/>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nsid w:val="2F2735DD"/>
    <w:multiLevelType w:val="hybridMultilevel"/>
    <w:tmpl w:val="3E8E3C24"/>
    <w:lvl w:ilvl="0" w:tplc="0C090001">
      <w:start w:val="1"/>
      <w:numFmt w:val="bullet"/>
      <w:lvlText w:val=""/>
      <w:lvlJc w:val="left"/>
      <w:pPr>
        <w:ind w:left="720" w:hanging="360"/>
      </w:pPr>
      <w:rPr>
        <w:rFonts w:ascii="Symbol" w:hAnsi="Symbol" w:hint="default"/>
        <w:b w:val="0"/>
        <w:i w:val="0"/>
        <w:caps w:val="0"/>
        <w:strike w:val="0"/>
        <w:dstrike w:val="0"/>
        <w:vanish w:val="0"/>
        <w:sz w:val="24"/>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3CA24A85"/>
    <w:multiLevelType w:val="hybridMultilevel"/>
    <w:tmpl w:val="1B365A8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3E10222B"/>
    <w:multiLevelType w:val="hybridMultilevel"/>
    <w:tmpl w:val="5418708C"/>
    <w:lvl w:ilvl="0" w:tplc="CF5EE0F2">
      <w:start w:val="1"/>
      <w:numFmt w:val="lowerRoman"/>
      <w:lvlText w:val="%1."/>
      <w:lvlJc w:val="left"/>
      <w:pPr>
        <w:ind w:left="1134" w:hanging="567"/>
      </w:pPr>
      <w:rPr>
        <w:rFonts w:hint="default"/>
        <w:b w:val="0"/>
        <w:i w:val="0"/>
        <w:caps w:val="0"/>
        <w:strike w:val="0"/>
        <w:dstrike w:val="0"/>
        <w:vanish w:val="0"/>
        <w:sz w:val="24"/>
        <w:vertAlign w:val="baseline"/>
      </w:rPr>
    </w:lvl>
    <w:lvl w:ilvl="1" w:tplc="B29CAFBA">
      <w:start w:val="1"/>
      <w:numFmt w:val="lowerLetter"/>
      <w:lvlText w:val="(%2)"/>
      <w:lvlJc w:val="left"/>
      <w:pPr>
        <w:ind w:left="1650" w:hanging="570"/>
      </w:pPr>
      <w:rPr>
        <w:rFonts w:hint="default"/>
      </w:rPr>
    </w:lvl>
    <w:lvl w:ilvl="2" w:tplc="088E9A3A">
      <w:start w:val="1"/>
      <w:numFmt w:val="decimal"/>
      <w:lvlText w:val="%3."/>
      <w:lvlJc w:val="left"/>
      <w:pPr>
        <w:ind w:left="2340" w:hanging="36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40C6286B"/>
    <w:multiLevelType w:val="multilevel"/>
    <w:tmpl w:val="5D2A8F1E"/>
    <w:lvl w:ilvl="0">
      <w:start w:val="34"/>
      <w:numFmt w:val="bullet"/>
      <w:lvlText w:val="•"/>
      <w:lvlJc w:val="left"/>
      <w:pPr>
        <w:tabs>
          <w:tab w:val="num" w:pos="360"/>
        </w:tabs>
        <w:ind w:left="360" w:hanging="360"/>
      </w:pPr>
      <w:rPr>
        <w:rFonts w:ascii="Arial" w:hAnsi="Arial" w:hint="default"/>
        <w:color w:val="17365D" w:themeColor="text2" w:themeShade="BF"/>
        <w:sz w:val="24"/>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nsid w:val="44D564DF"/>
    <w:multiLevelType w:val="hybridMultilevel"/>
    <w:tmpl w:val="6E005846"/>
    <w:lvl w:ilvl="0" w:tplc="8A6CE334">
      <w:start w:val="1"/>
      <w:numFmt w:val="lowerLetter"/>
      <w:lvlText w:val="%1."/>
      <w:lvlJc w:val="left"/>
      <w:pPr>
        <w:ind w:left="1287" w:hanging="360"/>
      </w:pPr>
      <w:rPr>
        <w:rFonts w:ascii="Arial" w:hAnsi="Arial" w:hint="default"/>
        <w:b w:val="0"/>
        <w:i w:val="0"/>
        <w:caps w:val="0"/>
        <w:strike w:val="0"/>
        <w:dstrike w:val="0"/>
        <w:vanish w:val="0"/>
        <w:sz w:val="24"/>
        <w:vertAlign w:val="baseline"/>
      </w:rPr>
    </w:lvl>
    <w:lvl w:ilvl="1" w:tplc="262E0DBE">
      <w:start w:val="1"/>
      <w:numFmt w:val="lowerLetter"/>
      <w:lvlText w:val="%2)"/>
      <w:lvlJc w:val="left"/>
      <w:pPr>
        <w:ind w:left="2007" w:hanging="360"/>
      </w:pPr>
      <w:rPr>
        <w:rFonts w:ascii="Arial" w:hAnsi="Arial" w:hint="default"/>
        <w:b w:val="0"/>
        <w:i w:val="0"/>
        <w:caps w:val="0"/>
        <w:strike w:val="0"/>
        <w:dstrike w:val="0"/>
        <w:vanish w:val="0"/>
        <w:sz w:val="20"/>
        <w:vertAlign w:val="baseline"/>
      </w:rPr>
    </w:lvl>
    <w:lvl w:ilvl="2" w:tplc="0C09001B">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5">
    <w:nsid w:val="45993D76"/>
    <w:multiLevelType w:val="hybridMultilevel"/>
    <w:tmpl w:val="1556D470"/>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6">
    <w:nsid w:val="4CDC50FF"/>
    <w:multiLevelType w:val="multilevel"/>
    <w:tmpl w:val="5D2A8F1E"/>
    <w:lvl w:ilvl="0">
      <w:start w:val="34"/>
      <w:numFmt w:val="bullet"/>
      <w:lvlText w:val="•"/>
      <w:lvlJc w:val="left"/>
      <w:pPr>
        <w:tabs>
          <w:tab w:val="num" w:pos="1494"/>
        </w:tabs>
        <w:ind w:left="1494" w:hanging="360"/>
      </w:pPr>
      <w:rPr>
        <w:rFonts w:ascii="Arial" w:hAnsi="Arial" w:hint="default"/>
        <w:color w:val="17365D" w:themeColor="text2" w:themeShade="BF"/>
        <w:sz w:val="24"/>
      </w:rPr>
    </w:lvl>
    <w:lvl w:ilvl="1" w:tentative="1">
      <w:start w:val="1"/>
      <w:numFmt w:val="bullet"/>
      <w:lvlText w:val="o"/>
      <w:lvlJc w:val="left"/>
      <w:pPr>
        <w:tabs>
          <w:tab w:val="num" w:pos="2214"/>
        </w:tabs>
        <w:ind w:left="2214" w:hanging="360"/>
      </w:pPr>
      <w:rPr>
        <w:rFonts w:ascii="Courier New" w:hAnsi="Courier New" w:hint="default"/>
        <w:sz w:val="20"/>
      </w:rPr>
    </w:lvl>
    <w:lvl w:ilvl="2" w:tentative="1">
      <w:start w:val="1"/>
      <w:numFmt w:val="bullet"/>
      <w:lvlText w:val=""/>
      <w:lvlJc w:val="left"/>
      <w:pPr>
        <w:tabs>
          <w:tab w:val="num" w:pos="2934"/>
        </w:tabs>
        <w:ind w:left="2934" w:hanging="360"/>
      </w:pPr>
      <w:rPr>
        <w:rFonts w:ascii="Wingdings" w:hAnsi="Wingdings" w:hint="default"/>
        <w:sz w:val="20"/>
      </w:rPr>
    </w:lvl>
    <w:lvl w:ilvl="3" w:tentative="1">
      <w:start w:val="1"/>
      <w:numFmt w:val="bullet"/>
      <w:lvlText w:val=""/>
      <w:lvlJc w:val="left"/>
      <w:pPr>
        <w:tabs>
          <w:tab w:val="num" w:pos="3654"/>
        </w:tabs>
        <w:ind w:left="3654" w:hanging="360"/>
      </w:pPr>
      <w:rPr>
        <w:rFonts w:ascii="Wingdings" w:hAnsi="Wingdings" w:hint="default"/>
        <w:sz w:val="20"/>
      </w:rPr>
    </w:lvl>
    <w:lvl w:ilvl="4" w:tentative="1">
      <w:start w:val="1"/>
      <w:numFmt w:val="bullet"/>
      <w:lvlText w:val=""/>
      <w:lvlJc w:val="left"/>
      <w:pPr>
        <w:tabs>
          <w:tab w:val="num" w:pos="4374"/>
        </w:tabs>
        <w:ind w:left="4374" w:hanging="360"/>
      </w:pPr>
      <w:rPr>
        <w:rFonts w:ascii="Wingdings" w:hAnsi="Wingdings" w:hint="default"/>
        <w:sz w:val="20"/>
      </w:rPr>
    </w:lvl>
    <w:lvl w:ilvl="5" w:tentative="1">
      <w:start w:val="1"/>
      <w:numFmt w:val="bullet"/>
      <w:lvlText w:val=""/>
      <w:lvlJc w:val="left"/>
      <w:pPr>
        <w:tabs>
          <w:tab w:val="num" w:pos="5094"/>
        </w:tabs>
        <w:ind w:left="5094" w:hanging="360"/>
      </w:pPr>
      <w:rPr>
        <w:rFonts w:ascii="Wingdings" w:hAnsi="Wingdings" w:hint="default"/>
        <w:sz w:val="20"/>
      </w:rPr>
    </w:lvl>
    <w:lvl w:ilvl="6" w:tentative="1">
      <w:start w:val="1"/>
      <w:numFmt w:val="bullet"/>
      <w:lvlText w:val=""/>
      <w:lvlJc w:val="left"/>
      <w:pPr>
        <w:tabs>
          <w:tab w:val="num" w:pos="5814"/>
        </w:tabs>
        <w:ind w:left="5814" w:hanging="360"/>
      </w:pPr>
      <w:rPr>
        <w:rFonts w:ascii="Wingdings" w:hAnsi="Wingdings" w:hint="default"/>
        <w:sz w:val="20"/>
      </w:rPr>
    </w:lvl>
    <w:lvl w:ilvl="7" w:tentative="1">
      <w:start w:val="1"/>
      <w:numFmt w:val="bullet"/>
      <w:lvlText w:val=""/>
      <w:lvlJc w:val="left"/>
      <w:pPr>
        <w:tabs>
          <w:tab w:val="num" w:pos="6534"/>
        </w:tabs>
        <w:ind w:left="6534" w:hanging="360"/>
      </w:pPr>
      <w:rPr>
        <w:rFonts w:ascii="Wingdings" w:hAnsi="Wingdings" w:hint="default"/>
        <w:sz w:val="20"/>
      </w:rPr>
    </w:lvl>
    <w:lvl w:ilvl="8" w:tentative="1">
      <w:start w:val="1"/>
      <w:numFmt w:val="bullet"/>
      <w:lvlText w:val=""/>
      <w:lvlJc w:val="left"/>
      <w:pPr>
        <w:tabs>
          <w:tab w:val="num" w:pos="7254"/>
        </w:tabs>
        <w:ind w:left="7254" w:hanging="360"/>
      </w:pPr>
      <w:rPr>
        <w:rFonts w:ascii="Wingdings" w:hAnsi="Wingdings" w:hint="default"/>
        <w:sz w:val="20"/>
      </w:rPr>
    </w:lvl>
  </w:abstractNum>
  <w:abstractNum w:abstractNumId="17">
    <w:nsid w:val="4DAB6B1D"/>
    <w:multiLevelType w:val="hybridMultilevel"/>
    <w:tmpl w:val="1060787A"/>
    <w:lvl w:ilvl="0" w:tplc="0C090017">
      <w:start w:val="1"/>
      <w:numFmt w:val="lowerLetter"/>
      <w:lvlText w:val="%1)"/>
      <w:lvlJc w:val="left"/>
      <w:pPr>
        <w:ind w:left="720" w:hanging="360"/>
      </w:pPr>
    </w:lvl>
    <w:lvl w:ilvl="1" w:tplc="E6222876">
      <w:start w:val="1"/>
      <w:numFmt w:val="lowerRoman"/>
      <w:lvlText w:val="%2."/>
      <w:lvlJc w:val="left"/>
      <w:pPr>
        <w:ind w:left="1440" w:hanging="360"/>
      </w:pPr>
      <w:rPr>
        <w:rFonts w:hint="default"/>
        <w:b w:val="0"/>
        <w:i w:val="0"/>
        <w:caps w:val="0"/>
        <w:strike w:val="0"/>
        <w:dstrike w:val="0"/>
        <w:vanish w:val="0"/>
        <w:sz w:val="24"/>
        <w:vertAlign w:val="baseline"/>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4ED2240B"/>
    <w:multiLevelType w:val="hybridMultilevel"/>
    <w:tmpl w:val="F3BC0EF0"/>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56067918"/>
    <w:multiLevelType w:val="hybridMultilevel"/>
    <w:tmpl w:val="C2FA7E8E"/>
    <w:lvl w:ilvl="0" w:tplc="E6222876">
      <w:start w:val="1"/>
      <w:numFmt w:val="lowerRoman"/>
      <w:lvlText w:val="%1."/>
      <w:lvlJc w:val="left"/>
      <w:pPr>
        <w:ind w:left="720" w:hanging="360"/>
      </w:pPr>
      <w:rPr>
        <w:rFonts w:hint="default"/>
        <w:b w:val="0"/>
        <w:i w:val="0"/>
        <w:caps w:val="0"/>
        <w:strike w:val="0"/>
        <w:dstrike w:val="0"/>
        <w:vanish w:val="0"/>
        <w:sz w:val="24"/>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568041C1"/>
    <w:multiLevelType w:val="hybridMultilevel"/>
    <w:tmpl w:val="A490A7E2"/>
    <w:lvl w:ilvl="0" w:tplc="8A6CE334">
      <w:start w:val="1"/>
      <w:numFmt w:val="lowerLetter"/>
      <w:lvlText w:val="%1."/>
      <w:lvlJc w:val="left"/>
      <w:pPr>
        <w:ind w:left="1287" w:hanging="360"/>
      </w:pPr>
      <w:rPr>
        <w:rFonts w:ascii="Arial" w:hAnsi="Arial" w:hint="default"/>
        <w:b w:val="0"/>
        <w:i w:val="0"/>
        <w:caps w:val="0"/>
        <w:strike w:val="0"/>
        <w:dstrike w:val="0"/>
        <w:vanish w:val="0"/>
        <w:sz w:val="24"/>
        <w:vertAlign w:val="baseline"/>
      </w:rPr>
    </w:lvl>
    <w:lvl w:ilvl="1" w:tplc="E6222876">
      <w:start w:val="1"/>
      <w:numFmt w:val="lowerRoman"/>
      <w:lvlText w:val="%2."/>
      <w:lvlJc w:val="left"/>
      <w:pPr>
        <w:ind w:left="2007" w:hanging="360"/>
      </w:pPr>
      <w:rPr>
        <w:rFonts w:hint="default"/>
        <w:b w:val="0"/>
        <w:i w:val="0"/>
        <w:caps w:val="0"/>
        <w:strike w:val="0"/>
        <w:dstrike w:val="0"/>
        <w:vanish w:val="0"/>
        <w:sz w:val="24"/>
        <w:vertAlign w:val="baseline"/>
      </w:rPr>
    </w:lvl>
    <w:lvl w:ilvl="2" w:tplc="0C09001B">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1">
    <w:nsid w:val="5A74569A"/>
    <w:multiLevelType w:val="hybridMultilevel"/>
    <w:tmpl w:val="732821AC"/>
    <w:lvl w:ilvl="0" w:tplc="B01CD74E">
      <w:start w:val="1"/>
      <w:numFmt w:val="decimal"/>
      <w:lvlText w:val="%1."/>
      <w:lvlJc w:val="left"/>
      <w:pPr>
        <w:ind w:left="567" w:hanging="567"/>
      </w:pPr>
      <w:rPr>
        <w:rFonts w:ascii="Arial" w:hAnsi="Arial" w:hint="default"/>
        <w:b w:val="0"/>
        <w:i w:val="0"/>
        <w:sz w:val="22"/>
      </w:rPr>
    </w:lvl>
    <w:lvl w:ilvl="1" w:tplc="CE16CAAA">
      <w:start w:val="1"/>
      <w:numFmt w:val="lowerLetter"/>
      <w:lvlText w:val="(%2)"/>
      <w:lvlJc w:val="left"/>
      <w:pPr>
        <w:ind w:left="1080" w:hanging="360"/>
      </w:pPr>
      <w:rPr>
        <w:rFonts w:hint="default"/>
      </w:rPr>
    </w:lvl>
    <w:lvl w:ilvl="2" w:tplc="04AA5A84">
      <w:start w:val="34"/>
      <w:numFmt w:val="bullet"/>
      <w:lvlText w:val="•"/>
      <w:lvlJc w:val="left"/>
      <w:pPr>
        <w:ind w:left="1980" w:hanging="360"/>
      </w:pPr>
      <w:rPr>
        <w:rFonts w:ascii="Arial" w:eastAsiaTheme="minorHAnsi" w:hAnsi="Arial" w:cs="Arial" w:hint="default"/>
      </w:r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nsid w:val="5C945495"/>
    <w:multiLevelType w:val="multilevel"/>
    <w:tmpl w:val="5D2A8F1E"/>
    <w:lvl w:ilvl="0">
      <w:start w:val="34"/>
      <w:numFmt w:val="bullet"/>
      <w:lvlText w:val="•"/>
      <w:lvlJc w:val="left"/>
      <w:pPr>
        <w:tabs>
          <w:tab w:val="num" w:pos="927"/>
        </w:tabs>
        <w:ind w:left="927" w:hanging="360"/>
      </w:pPr>
      <w:rPr>
        <w:rFonts w:ascii="Arial" w:hAnsi="Arial" w:hint="default"/>
        <w:color w:val="17365D" w:themeColor="text2" w:themeShade="BF"/>
        <w:sz w:val="24"/>
      </w:rPr>
    </w:lvl>
    <w:lvl w:ilvl="1" w:tentative="1">
      <w:start w:val="1"/>
      <w:numFmt w:val="bullet"/>
      <w:lvlText w:val="o"/>
      <w:lvlJc w:val="left"/>
      <w:pPr>
        <w:tabs>
          <w:tab w:val="num" w:pos="1647"/>
        </w:tabs>
        <w:ind w:left="1647" w:hanging="360"/>
      </w:pPr>
      <w:rPr>
        <w:rFonts w:ascii="Courier New" w:hAnsi="Courier New" w:hint="default"/>
        <w:sz w:val="20"/>
      </w:rPr>
    </w:lvl>
    <w:lvl w:ilvl="2" w:tentative="1">
      <w:start w:val="1"/>
      <w:numFmt w:val="bullet"/>
      <w:lvlText w:val=""/>
      <w:lvlJc w:val="left"/>
      <w:pPr>
        <w:tabs>
          <w:tab w:val="num" w:pos="2367"/>
        </w:tabs>
        <w:ind w:left="2367" w:hanging="360"/>
      </w:pPr>
      <w:rPr>
        <w:rFonts w:ascii="Wingdings" w:hAnsi="Wingdings" w:hint="default"/>
        <w:sz w:val="20"/>
      </w:rPr>
    </w:lvl>
    <w:lvl w:ilvl="3" w:tentative="1">
      <w:start w:val="1"/>
      <w:numFmt w:val="bullet"/>
      <w:lvlText w:val=""/>
      <w:lvlJc w:val="left"/>
      <w:pPr>
        <w:tabs>
          <w:tab w:val="num" w:pos="3087"/>
        </w:tabs>
        <w:ind w:left="3087" w:hanging="360"/>
      </w:pPr>
      <w:rPr>
        <w:rFonts w:ascii="Wingdings" w:hAnsi="Wingdings" w:hint="default"/>
        <w:sz w:val="20"/>
      </w:rPr>
    </w:lvl>
    <w:lvl w:ilvl="4" w:tentative="1">
      <w:start w:val="1"/>
      <w:numFmt w:val="bullet"/>
      <w:lvlText w:val=""/>
      <w:lvlJc w:val="left"/>
      <w:pPr>
        <w:tabs>
          <w:tab w:val="num" w:pos="3807"/>
        </w:tabs>
        <w:ind w:left="3807" w:hanging="360"/>
      </w:pPr>
      <w:rPr>
        <w:rFonts w:ascii="Wingdings" w:hAnsi="Wingdings" w:hint="default"/>
        <w:sz w:val="20"/>
      </w:rPr>
    </w:lvl>
    <w:lvl w:ilvl="5" w:tentative="1">
      <w:start w:val="1"/>
      <w:numFmt w:val="bullet"/>
      <w:lvlText w:val=""/>
      <w:lvlJc w:val="left"/>
      <w:pPr>
        <w:tabs>
          <w:tab w:val="num" w:pos="4527"/>
        </w:tabs>
        <w:ind w:left="4527" w:hanging="360"/>
      </w:pPr>
      <w:rPr>
        <w:rFonts w:ascii="Wingdings" w:hAnsi="Wingdings" w:hint="default"/>
        <w:sz w:val="20"/>
      </w:rPr>
    </w:lvl>
    <w:lvl w:ilvl="6" w:tentative="1">
      <w:start w:val="1"/>
      <w:numFmt w:val="bullet"/>
      <w:lvlText w:val=""/>
      <w:lvlJc w:val="left"/>
      <w:pPr>
        <w:tabs>
          <w:tab w:val="num" w:pos="5247"/>
        </w:tabs>
        <w:ind w:left="5247" w:hanging="360"/>
      </w:pPr>
      <w:rPr>
        <w:rFonts w:ascii="Wingdings" w:hAnsi="Wingdings" w:hint="default"/>
        <w:sz w:val="20"/>
      </w:rPr>
    </w:lvl>
    <w:lvl w:ilvl="7" w:tentative="1">
      <w:start w:val="1"/>
      <w:numFmt w:val="bullet"/>
      <w:lvlText w:val=""/>
      <w:lvlJc w:val="left"/>
      <w:pPr>
        <w:tabs>
          <w:tab w:val="num" w:pos="5967"/>
        </w:tabs>
        <w:ind w:left="5967" w:hanging="360"/>
      </w:pPr>
      <w:rPr>
        <w:rFonts w:ascii="Wingdings" w:hAnsi="Wingdings" w:hint="default"/>
        <w:sz w:val="20"/>
      </w:rPr>
    </w:lvl>
    <w:lvl w:ilvl="8" w:tentative="1">
      <w:start w:val="1"/>
      <w:numFmt w:val="bullet"/>
      <w:lvlText w:val=""/>
      <w:lvlJc w:val="left"/>
      <w:pPr>
        <w:tabs>
          <w:tab w:val="num" w:pos="6687"/>
        </w:tabs>
        <w:ind w:left="6687" w:hanging="360"/>
      </w:pPr>
      <w:rPr>
        <w:rFonts w:ascii="Wingdings" w:hAnsi="Wingdings" w:hint="default"/>
        <w:sz w:val="20"/>
      </w:rPr>
    </w:lvl>
  </w:abstractNum>
  <w:abstractNum w:abstractNumId="23">
    <w:nsid w:val="5D595F29"/>
    <w:multiLevelType w:val="hybridMultilevel"/>
    <w:tmpl w:val="DD5CAA46"/>
    <w:lvl w:ilvl="0" w:tplc="72FA3EDA">
      <w:start w:val="34"/>
      <w:numFmt w:val="bullet"/>
      <w:lvlText w:val="•"/>
      <w:lvlJc w:val="left"/>
      <w:pPr>
        <w:ind w:left="360" w:hanging="360"/>
      </w:pPr>
      <w:rPr>
        <w:rFonts w:ascii="Arial" w:hAnsi="Arial" w:hint="default"/>
        <w:color w:val="17365D" w:themeColor="text2" w:themeShade="BF"/>
        <w:sz w:val="2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nsid w:val="5E3725CC"/>
    <w:multiLevelType w:val="hybridMultilevel"/>
    <w:tmpl w:val="71D801F2"/>
    <w:lvl w:ilvl="0" w:tplc="72FA3EDA">
      <w:start w:val="34"/>
      <w:numFmt w:val="bullet"/>
      <w:lvlText w:val="•"/>
      <w:lvlJc w:val="left"/>
      <w:pPr>
        <w:ind w:left="2421" w:hanging="360"/>
      </w:pPr>
      <w:rPr>
        <w:rFonts w:ascii="Arial" w:hAnsi="Arial" w:hint="default"/>
        <w:color w:val="17365D" w:themeColor="text2" w:themeShade="BF"/>
        <w:sz w:val="24"/>
      </w:rPr>
    </w:lvl>
    <w:lvl w:ilvl="1" w:tplc="0C090003">
      <w:start w:val="1"/>
      <w:numFmt w:val="bullet"/>
      <w:lvlText w:val="o"/>
      <w:lvlJc w:val="left"/>
      <w:pPr>
        <w:ind w:left="3141" w:hanging="360"/>
      </w:pPr>
      <w:rPr>
        <w:rFonts w:ascii="Courier New" w:hAnsi="Courier New" w:cs="Courier New" w:hint="default"/>
      </w:rPr>
    </w:lvl>
    <w:lvl w:ilvl="2" w:tplc="0C090005">
      <w:start w:val="1"/>
      <w:numFmt w:val="bullet"/>
      <w:lvlText w:val=""/>
      <w:lvlJc w:val="left"/>
      <w:pPr>
        <w:ind w:left="3861" w:hanging="360"/>
      </w:pPr>
      <w:rPr>
        <w:rFonts w:ascii="Wingdings" w:hAnsi="Wingdings" w:hint="default"/>
      </w:rPr>
    </w:lvl>
    <w:lvl w:ilvl="3" w:tplc="0C090001">
      <w:start w:val="1"/>
      <w:numFmt w:val="bullet"/>
      <w:lvlText w:val=""/>
      <w:lvlJc w:val="left"/>
      <w:pPr>
        <w:ind w:left="4581" w:hanging="360"/>
      </w:pPr>
      <w:rPr>
        <w:rFonts w:ascii="Symbol" w:hAnsi="Symbol" w:hint="default"/>
      </w:rPr>
    </w:lvl>
    <w:lvl w:ilvl="4" w:tplc="0C090003">
      <w:start w:val="1"/>
      <w:numFmt w:val="bullet"/>
      <w:lvlText w:val="o"/>
      <w:lvlJc w:val="left"/>
      <w:pPr>
        <w:ind w:left="5301" w:hanging="360"/>
      </w:pPr>
      <w:rPr>
        <w:rFonts w:ascii="Courier New" w:hAnsi="Courier New" w:cs="Courier New" w:hint="default"/>
      </w:rPr>
    </w:lvl>
    <w:lvl w:ilvl="5" w:tplc="0C090005">
      <w:start w:val="1"/>
      <w:numFmt w:val="bullet"/>
      <w:lvlText w:val=""/>
      <w:lvlJc w:val="left"/>
      <w:pPr>
        <w:ind w:left="6021" w:hanging="360"/>
      </w:pPr>
      <w:rPr>
        <w:rFonts w:ascii="Wingdings" w:hAnsi="Wingdings" w:hint="default"/>
      </w:rPr>
    </w:lvl>
    <w:lvl w:ilvl="6" w:tplc="0C090001">
      <w:start w:val="1"/>
      <w:numFmt w:val="bullet"/>
      <w:lvlText w:val=""/>
      <w:lvlJc w:val="left"/>
      <w:pPr>
        <w:ind w:left="6741" w:hanging="360"/>
      </w:pPr>
      <w:rPr>
        <w:rFonts w:ascii="Symbol" w:hAnsi="Symbol" w:hint="default"/>
      </w:rPr>
    </w:lvl>
    <w:lvl w:ilvl="7" w:tplc="0C090003">
      <w:start w:val="1"/>
      <w:numFmt w:val="bullet"/>
      <w:lvlText w:val="o"/>
      <w:lvlJc w:val="left"/>
      <w:pPr>
        <w:ind w:left="7461" w:hanging="360"/>
      </w:pPr>
      <w:rPr>
        <w:rFonts w:ascii="Courier New" w:hAnsi="Courier New" w:cs="Courier New" w:hint="default"/>
      </w:rPr>
    </w:lvl>
    <w:lvl w:ilvl="8" w:tplc="0C090005">
      <w:start w:val="1"/>
      <w:numFmt w:val="bullet"/>
      <w:lvlText w:val=""/>
      <w:lvlJc w:val="left"/>
      <w:pPr>
        <w:ind w:left="8181" w:hanging="360"/>
      </w:pPr>
      <w:rPr>
        <w:rFonts w:ascii="Wingdings" w:hAnsi="Wingdings" w:hint="default"/>
      </w:rPr>
    </w:lvl>
  </w:abstractNum>
  <w:abstractNum w:abstractNumId="25">
    <w:nsid w:val="61831D68"/>
    <w:multiLevelType w:val="hybridMultilevel"/>
    <w:tmpl w:val="B0AA1EA0"/>
    <w:lvl w:ilvl="0" w:tplc="72FA3EDA">
      <w:start w:val="34"/>
      <w:numFmt w:val="bullet"/>
      <w:lvlText w:val="•"/>
      <w:lvlJc w:val="left"/>
      <w:pPr>
        <w:ind w:left="1570" w:hanging="360"/>
      </w:pPr>
      <w:rPr>
        <w:rFonts w:ascii="Arial" w:hAnsi="Arial" w:hint="default"/>
        <w:color w:val="17365D" w:themeColor="text2" w:themeShade="BF"/>
        <w:sz w:val="24"/>
      </w:rPr>
    </w:lvl>
    <w:lvl w:ilvl="1" w:tplc="0C090003" w:tentative="1">
      <w:start w:val="1"/>
      <w:numFmt w:val="bullet"/>
      <w:lvlText w:val="o"/>
      <w:lvlJc w:val="left"/>
      <w:pPr>
        <w:ind w:left="2290" w:hanging="360"/>
      </w:pPr>
      <w:rPr>
        <w:rFonts w:ascii="Courier New" w:hAnsi="Courier New" w:cs="Courier New" w:hint="default"/>
      </w:rPr>
    </w:lvl>
    <w:lvl w:ilvl="2" w:tplc="0C090005" w:tentative="1">
      <w:start w:val="1"/>
      <w:numFmt w:val="bullet"/>
      <w:lvlText w:val=""/>
      <w:lvlJc w:val="left"/>
      <w:pPr>
        <w:ind w:left="3010" w:hanging="360"/>
      </w:pPr>
      <w:rPr>
        <w:rFonts w:ascii="Wingdings" w:hAnsi="Wingdings" w:hint="default"/>
      </w:rPr>
    </w:lvl>
    <w:lvl w:ilvl="3" w:tplc="0C090001" w:tentative="1">
      <w:start w:val="1"/>
      <w:numFmt w:val="bullet"/>
      <w:lvlText w:val=""/>
      <w:lvlJc w:val="left"/>
      <w:pPr>
        <w:ind w:left="3730" w:hanging="360"/>
      </w:pPr>
      <w:rPr>
        <w:rFonts w:ascii="Symbol" w:hAnsi="Symbol" w:hint="default"/>
      </w:rPr>
    </w:lvl>
    <w:lvl w:ilvl="4" w:tplc="0C090003" w:tentative="1">
      <w:start w:val="1"/>
      <w:numFmt w:val="bullet"/>
      <w:lvlText w:val="o"/>
      <w:lvlJc w:val="left"/>
      <w:pPr>
        <w:ind w:left="4450" w:hanging="360"/>
      </w:pPr>
      <w:rPr>
        <w:rFonts w:ascii="Courier New" w:hAnsi="Courier New" w:cs="Courier New" w:hint="default"/>
      </w:rPr>
    </w:lvl>
    <w:lvl w:ilvl="5" w:tplc="0C090005" w:tentative="1">
      <w:start w:val="1"/>
      <w:numFmt w:val="bullet"/>
      <w:lvlText w:val=""/>
      <w:lvlJc w:val="left"/>
      <w:pPr>
        <w:ind w:left="5170" w:hanging="360"/>
      </w:pPr>
      <w:rPr>
        <w:rFonts w:ascii="Wingdings" w:hAnsi="Wingdings" w:hint="default"/>
      </w:rPr>
    </w:lvl>
    <w:lvl w:ilvl="6" w:tplc="0C090001" w:tentative="1">
      <w:start w:val="1"/>
      <w:numFmt w:val="bullet"/>
      <w:lvlText w:val=""/>
      <w:lvlJc w:val="left"/>
      <w:pPr>
        <w:ind w:left="5890" w:hanging="360"/>
      </w:pPr>
      <w:rPr>
        <w:rFonts w:ascii="Symbol" w:hAnsi="Symbol" w:hint="default"/>
      </w:rPr>
    </w:lvl>
    <w:lvl w:ilvl="7" w:tplc="0C090003" w:tentative="1">
      <w:start w:val="1"/>
      <w:numFmt w:val="bullet"/>
      <w:lvlText w:val="o"/>
      <w:lvlJc w:val="left"/>
      <w:pPr>
        <w:ind w:left="6610" w:hanging="360"/>
      </w:pPr>
      <w:rPr>
        <w:rFonts w:ascii="Courier New" w:hAnsi="Courier New" w:cs="Courier New" w:hint="default"/>
      </w:rPr>
    </w:lvl>
    <w:lvl w:ilvl="8" w:tplc="0C090005" w:tentative="1">
      <w:start w:val="1"/>
      <w:numFmt w:val="bullet"/>
      <w:lvlText w:val=""/>
      <w:lvlJc w:val="left"/>
      <w:pPr>
        <w:ind w:left="7330" w:hanging="360"/>
      </w:pPr>
      <w:rPr>
        <w:rFonts w:ascii="Wingdings" w:hAnsi="Wingdings" w:hint="default"/>
      </w:rPr>
    </w:lvl>
  </w:abstractNum>
  <w:abstractNum w:abstractNumId="26">
    <w:nsid w:val="67ED4EBD"/>
    <w:multiLevelType w:val="hybridMultilevel"/>
    <w:tmpl w:val="F1423A1C"/>
    <w:lvl w:ilvl="0" w:tplc="3156113E">
      <w:start w:val="1"/>
      <w:numFmt w:val="bullet"/>
      <w:lvlText w:val=""/>
      <w:lvlJc w:val="left"/>
      <w:pPr>
        <w:tabs>
          <w:tab w:val="num" w:pos="1080"/>
        </w:tabs>
        <w:ind w:left="1080" w:hanging="360"/>
      </w:pPr>
      <w:rPr>
        <w:rFonts w:ascii="Symbol" w:hAnsi="Symbol" w:hint="default"/>
        <w:sz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6870687A"/>
    <w:multiLevelType w:val="hybridMultilevel"/>
    <w:tmpl w:val="9C70FADC"/>
    <w:lvl w:ilvl="0" w:tplc="72FA3EDA">
      <w:start w:val="34"/>
      <w:numFmt w:val="bullet"/>
      <w:lvlText w:val="•"/>
      <w:lvlJc w:val="left"/>
      <w:pPr>
        <w:ind w:left="360" w:hanging="360"/>
      </w:pPr>
      <w:rPr>
        <w:rFonts w:ascii="Arial" w:hAnsi="Arial" w:hint="default"/>
        <w:color w:val="17365D" w:themeColor="text2" w:themeShade="BF"/>
        <w:sz w:val="2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nsid w:val="71702516"/>
    <w:multiLevelType w:val="hybridMultilevel"/>
    <w:tmpl w:val="0BC289BC"/>
    <w:lvl w:ilvl="0" w:tplc="72FA3EDA">
      <w:start w:val="34"/>
      <w:numFmt w:val="bullet"/>
      <w:lvlText w:val="•"/>
      <w:lvlJc w:val="left"/>
      <w:pPr>
        <w:ind w:left="360" w:hanging="360"/>
      </w:pPr>
      <w:rPr>
        <w:rFonts w:ascii="Arial" w:hAnsi="Arial" w:hint="default"/>
        <w:color w:val="17365D" w:themeColor="text2" w:themeShade="BF"/>
        <w:sz w:val="2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nsid w:val="7432007D"/>
    <w:multiLevelType w:val="hybridMultilevel"/>
    <w:tmpl w:val="BFD049BE"/>
    <w:lvl w:ilvl="0" w:tplc="03F2B4EE">
      <w:start w:val="1"/>
      <w:numFmt w:val="bullet"/>
      <w:lvlText w:val=""/>
      <w:lvlJc w:val="left"/>
      <w:pPr>
        <w:ind w:left="720" w:hanging="360"/>
      </w:pPr>
      <w:rPr>
        <w:rFonts w:ascii="Symbol" w:hAnsi="Symbol" w:hint="default"/>
        <w:b w:val="0"/>
        <w:i w:val="0"/>
        <w:caps w:val="0"/>
        <w:strike w:val="0"/>
        <w:dstrike w:val="0"/>
        <w:vanish w:val="0"/>
        <w:sz w:val="2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nsid w:val="75BA227D"/>
    <w:multiLevelType w:val="hybridMultilevel"/>
    <w:tmpl w:val="82068386"/>
    <w:lvl w:ilvl="0" w:tplc="72FA3EDA">
      <w:start w:val="34"/>
      <w:numFmt w:val="bullet"/>
      <w:lvlText w:val="•"/>
      <w:lvlJc w:val="left"/>
      <w:pPr>
        <w:ind w:left="720" w:hanging="360"/>
      </w:pPr>
      <w:rPr>
        <w:rFonts w:ascii="Arial" w:hAnsi="Arial" w:hint="default"/>
        <w:color w:val="17365D" w:themeColor="text2" w:themeShade="BF"/>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784840CA"/>
    <w:multiLevelType w:val="hybridMultilevel"/>
    <w:tmpl w:val="8CD0741C"/>
    <w:lvl w:ilvl="0" w:tplc="3156113E">
      <w:start w:val="1"/>
      <w:numFmt w:val="bullet"/>
      <w:lvlText w:val=""/>
      <w:lvlJc w:val="left"/>
      <w:pPr>
        <w:tabs>
          <w:tab w:val="num" w:pos="-1080"/>
        </w:tabs>
        <w:ind w:left="-1080" w:hanging="360"/>
      </w:pPr>
      <w:rPr>
        <w:rFonts w:ascii="Symbol" w:hAnsi="Symbol" w:hint="default"/>
        <w:sz w:val="16"/>
      </w:rPr>
    </w:lvl>
    <w:lvl w:ilvl="1" w:tplc="0C090003" w:tentative="1">
      <w:start w:val="1"/>
      <w:numFmt w:val="bullet"/>
      <w:lvlText w:val="o"/>
      <w:lvlJc w:val="left"/>
      <w:pPr>
        <w:ind w:left="-720" w:hanging="360"/>
      </w:pPr>
      <w:rPr>
        <w:rFonts w:ascii="Courier New" w:hAnsi="Courier New" w:cs="Courier New" w:hint="default"/>
      </w:rPr>
    </w:lvl>
    <w:lvl w:ilvl="2" w:tplc="0C090005" w:tentative="1">
      <w:start w:val="1"/>
      <w:numFmt w:val="bullet"/>
      <w:lvlText w:val=""/>
      <w:lvlJc w:val="left"/>
      <w:pPr>
        <w:ind w:left="0" w:hanging="360"/>
      </w:pPr>
      <w:rPr>
        <w:rFonts w:ascii="Wingdings" w:hAnsi="Wingdings" w:hint="default"/>
      </w:rPr>
    </w:lvl>
    <w:lvl w:ilvl="3" w:tplc="0C090001" w:tentative="1">
      <w:start w:val="1"/>
      <w:numFmt w:val="bullet"/>
      <w:lvlText w:val=""/>
      <w:lvlJc w:val="left"/>
      <w:pPr>
        <w:ind w:left="720" w:hanging="360"/>
      </w:pPr>
      <w:rPr>
        <w:rFonts w:ascii="Symbol" w:hAnsi="Symbol" w:hint="default"/>
      </w:rPr>
    </w:lvl>
    <w:lvl w:ilvl="4" w:tplc="0C090003" w:tentative="1">
      <w:start w:val="1"/>
      <w:numFmt w:val="bullet"/>
      <w:lvlText w:val="o"/>
      <w:lvlJc w:val="left"/>
      <w:pPr>
        <w:ind w:left="1440" w:hanging="360"/>
      </w:pPr>
      <w:rPr>
        <w:rFonts w:ascii="Courier New" w:hAnsi="Courier New" w:cs="Courier New" w:hint="default"/>
      </w:rPr>
    </w:lvl>
    <w:lvl w:ilvl="5" w:tplc="0C090005" w:tentative="1">
      <w:start w:val="1"/>
      <w:numFmt w:val="bullet"/>
      <w:lvlText w:val=""/>
      <w:lvlJc w:val="left"/>
      <w:pPr>
        <w:ind w:left="2160" w:hanging="360"/>
      </w:pPr>
      <w:rPr>
        <w:rFonts w:ascii="Wingdings" w:hAnsi="Wingdings" w:hint="default"/>
      </w:rPr>
    </w:lvl>
    <w:lvl w:ilvl="6" w:tplc="0C090001" w:tentative="1">
      <w:start w:val="1"/>
      <w:numFmt w:val="bullet"/>
      <w:lvlText w:val=""/>
      <w:lvlJc w:val="left"/>
      <w:pPr>
        <w:ind w:left="2880" w:hanging="360"/>
      </w:pPr>
      <w:rPr>
        <w:rFonts w:ascii="Symbol" w:hAnsi="Symbol" w:hint="default"/>
      </w:rPr>
    </w:lvl>
    <w:lvl w:ilvl="7" w:tplc="0C090003" w:tentative="1">
      <w:start w:val="1"/>
      <w:numFmt w:val="bullet"/>
      <w:lvlText w:val="o"/>
      <w:lvlJc w:val="left"/>
      <w:pPr>
        <w:ind w:left="3600" w:hanging="360"/>
      </w:pPr>
      <w:rPr>
        <w:rFonts w:ascii="Courier New" w:hAnsi="Courier New" w:cs="Courier New" w:hint="default"/>
      </w:rPr>
    </w:lvl>
    <w:lvl w:ilvl="8" w:tplc="0C090005" w:tentative="1">
      <w:start w:val="1"/>
      <w:numFmt w:val="bullet"/>
      <w:lvlText w:val=""/>
      <w:lvlJc w:val="left"/>
      <w:pPr>
        <w:ind w:left="4320" w:hanging="360"/>
      </w:pPr>
      <w:rPr>
        <w:rFonts w:ascii="Wingdings" w:hAnsi="Wingdings" w:hint="default"/>
      </w:rPr>
    </w:lvl>
  </w:abstractNum>
  <w:abstractNum w:abstractNumId="32">
    <w:nsid w:val="78552A57"/>
    <w:multiLevelType w:val="hybridMultilevel"/>
    <w:tmpl w:val="C3541162"/>
    <w:lvl w:ilvl="0" w:tplc="0C09000F">
      <w:start w:val="1"/>
      <w:numFmt w:val="decimal"/>
      <w:lvlText w:val="%1."/>
      <w:lvlJc w:val="left"/>
      <w:pPr>
        <w:ind w:left="2061" w:hanging="360"/>
      </w:pPr>
    </w:lvl>
    <w:lvl w:ilvl="1" w:tplc="0C090019">
      <w:start w:val="1"/>
      <w:numFmt w:val="lowerLetter"/>
      <w:lvlText w:val="%2."/>
      <w:lvlJc w:val="left"/>
      <w:pPr>
        <w:ind w:left="2781" w:hanging="360"/>
      </w:pPr>
    </w:lvl>
    <w:lvl w:ilvl="2" w:tplc="0C09001B">
      <w:start w:val="1"/>
      <w:numFmt w:val="lowerRoman"/>
      <w:lvlText w:val="%3."/>
      <w:lvlJc w:val="right"/>
      <w:pPr>
        <w:ind w:left="3501" w:hanging="180"/>
      </w:pPr>
    </w:lvl>
    <w:lvl w:ilvl="3" w:tplc="0C09000F">
      <w:start w:val="1"/>
      <w:numFmt w:val="decimal"/>
      <w:lvlText w:val="%4."/>
      <w:lvlJc w:val="left"/>
      <w:pPr>
        <w:ind w:left="4221" w:hanging="360"/>
      </w:pPr>
    </w:lvl>
    <w:lvl w:ilvl="4" w:tplc="0C090019">
      <w:start w:val="1"/>
      <w:numFmt w:val="lowerLetter"/>
      <w:lvlText w:val="%5."/>
      <w:lvlJc w:val="left"/>
      <w:pPr>
        <w:ind w:left="4941" w:hanging="360"/>
      </w:pPr>
    </w:lvl>
    <w:lvl w:ilvl="5" w:tplc="0C09001B">
      <w:start w:val="1"/>
      <w:numFmt w:val="lowerRoman"/>
      <w:lvlText w:val="%6."/>
      <w:lvlJc w:val="right"/>
      <w:pPr>
        <w:ind w:left="5661" w:hanging="180"/>
      </w:pPr>
    </w:lvl>
    <w:lvl w:ilvl="6" w:tplc="0C09000F">
      <w:start w:val="1"/>
      <w:numFmt w:val="decimal"/>
      <w:lvlText w:val="%7."/>
      <w:lvlJc w:val="left"/>
      <w:pPr>
        <w:ind w:left="6381" w:hanging="360"/>
      </w:pPr>
    </w:lvl>
    <w:lvl w:ilvl="7" w:tplc="0C090019">
      <w:start w:val="1"/>
      <w:numFmt w:val="lowerLetter"/>
      <w:lvlText w:val="%8."/>
      <w:lvlJc w:val="left"/>
      <w:pPr>
        <w:ind w:left="7101" w:hanging="360"/>
      </w:pPr>
    </w:lvl>
    <w:lvl w:ilvl="8" w:tplc="0C09001B">
      <w:start w:val="1"/>
      <w:numFmt w:val="lowerRoman"/>
      <w:lvlText w:val="%9."/>
      <w:lvlJc w:val="right"/>
      <w:pPr>
        <w:ind w:left="7821" w:hanging="180"/>
      </w:pPr>
    </w:lvl>
  </w:abstractNum>
  <w:abstractNum w:abstractNumId="33">
    <w:nsid w:val="7EF24F0F"/>
    <w:multiLevelType w:val="hybridMultilevel"/>
    <w:tmpl w:val="95985A24"/>
    <w:lvl w:ilvl="0" w:tplc="72FA3EDA">
      <w:start w:val="34"/>
      <w:numFmt w:val="bullet"/>
      <w:lvlText w:val="•"/>
      <w:lvlJc w:val="left"/>
      <w:pPr>
        <w:ind w:left="2628" w:hanging="360"/>
      </w:pPr>
      <w:rPr>
        <w:rFonts w:ascii="Arial" w:hAnsi="Arial" w:hint="default"/>
        <w:color w:val="17365D" w:themeColor="text2" w:themeShade="BF"/>
        <w:sz w:val="24"/>
      </w:rPr>
    </w:lvl>
    <w:lvl w:ilvl="1" w:tplc="0C090003">
      <w:start w:val="1"/>
      <w:numFmt w:val="bullet"/>
      <w:lvlText w:val="o"/>
      <w:lvlJc w:val="left"/>
      <w:pPr>
        <w:ind w:left="3348" w:hanging="360"/>
      </w:pPr>
      <w:rPr>
        <w:rFonts w:ascii="Courier New" w:hAnsi="Courier New" w:cs="Courier New" w:hint="default"/>
      </w:rPr>
    </w:lvl>
    <w:lvl w:ilvl="2" w:tplc="0C090005">
      <w:start w:val="1"/>
      <w:numFmt w:val="bullet"/>
      <w:lvlText w:val=""/>
      <w:lvlJc w:val="left"/>
      <w:pPr>
        <w:ind w:left="4068" w:hanging="360"/>
      </w:pPr>
      <w:rPr>
        <w:rFonts w:ascii="Wingdings" w:hAnsi="Wingdings" w:hint="default"/>
      </w:rPr>
    </w:lvl>
    <w:lvl w:ilvl="3" w:tplc="0C090001">
      <w:start w:val="1"/>
      <w:numFmt w:val="bullet"/>
      <w:lvlText w:val=""/>
      <w:lvlJc w:val="left"/>
      <w:pPr>
        <w:ind w:left="4788" w:hanging="360"/>
      </w:pPr>
      <w:rPr>
        <w:rFonts w:ascii="Symbol" w:hAnsi="Symbol" w:hint="default"/>
      </w:rPr>
    </w:lvl>
    <w:lvl w:ilvl="4" w:tplc="0C090003">
      <w:start w:val="1"/>
      <w:numFmt w:val="bullet"/>
      <w:lvlText w:val="o"/>
      <w:lvlJc w:val="left"/>
      <w:pPr>
        <w:ind w:left="5508" w:hanging="360"/>
      </w:pPr>
      <w:rPr>
        <w:rFonts w:ascii="Courier New" w:hAnsi="Courier New" w:cs="Courier New" w:hint="default"/>
      </w:rPr>
    </w:lvl>
    <w:lvl w:ilvl="5" w:tplc="0C090005">
      <w:start w:val="1"/>
      <w:numFmt w:val="bullet"/>
      <w:lvlText w:val=""/>
      <w:lvlJc w:val="left"/>
      <w:pPr>
        <w:ind w:left="6228" w:hanging="360"/>
      </w:pPr>
      <w:rPr>
        <w:rFonts w:ascii="Wingdings" w:hAnsi="Wingdings" w:hint="default"/>
      </w:rPr>
    </w:lvl>
    <w:lvl w:ilvl="6" w:tplc="0C090001">
      <w:start w:val="1"/>
      <w:numFmt w:val="bullet"/>
      <w:lvlText w:val=""/>
      <w:lvlJc w:val="left"/>
      <w:pPr>
        <w:ind w:left="6948" w:hanging="360"/>
      </w:pPr>
      <w:rPr>
        <w:rFonts w:ascii="Symbol" w:hAnsi="Symbol" w:hint="default"/>
      </w:rPr>
    </w:lvl>
    <w:lvl w:ilvl="7" w:tplc="0C090003">
      <w:start w:val="1"/>
      <w:numFmt w:val="bullet"/>
      <w:lvlText w:val="o"/>
      <w:lvlJc w:val="left"/>
      <w:pPr>
        <w:ind w:left="7668" w:hanging="360"/>
      </w:pPr>
      <w:rPr>
        <w:rFonts w:ascii="Courier New" w:hAnsi="Courier New" w:cs="Courier New" w:hint="default"/>
      </w:rPr>
    </w:lvl>
    <w:lvl w:ilvl="8" w:tplc="0C090005">
      <w:start w:val="1"/>
      <w:numFmt w:val="bullet"/>
      <w:lvlText w:val=""/>
      <w:lvlJc w:val="left"/>
      <w:pPr>
        <w:ind w:left="8388" w:hanging="360"/>
      </w:pPr>
      <w:rPr>
        <w:rFonts w:ascii="Wingdings" w:hAnsi="Wingdings" w:hint="default"/>
      </w:rPr>
    </w:lvl>
  </w:abstractNum>
  <w:num w:numId="1">
    <w:abstractNumId w:val="26"/>
  </w:num>
  <w:num w:numId="2">
    <w:abstractNumId w:val="8"/>
  </w:num>
  <w:num w:numId="3">
    <w:abstractNumId w:val="18"/>
  </w:num>
  <w:num w:numId="4">
    <w:abstractNumId w:val="32"/>
  </w:num>
  <w:num w:numId="5">
    <w:abstractNumId w:val="21"/>
  </w:num>
  <w:num w:numId="6">
    <w:abstractNumId w:val="12"/>
  </w:num>
  <w:num w:numId="7">
    <w:abstractNumId w:val="19"/>
  </w:num>
  <w:num w:numId="8">
    <w:abstractNumId w:val="20"/>
  </w:num>
  <w:num w:numId="9">
    <w:abstractNumId w:val="24"/>
  </w:num>
  <w:num w:numId="10">
    <w:abstractNumId w:val="25"/>
  </w:num>
  <w:num w:numId="11">
    <w:abstractNumId w:val="22"/>
  </w:num>
  <w:num w:numId="12">
    <w:abstractNumId w:val="13"/>
  </w:num>
  <w:num w:numId="13">
    <w:abstractNumId w:val="1"/>
  </w:num>
  <w:num w:numId="14">
    <w:abstractNumId w:val="2"/>
  </w:num>
  <w:num w:numId="15">
    <w:abstractNumId w:val="0"/>
  </w:num>
  <w:num w:numId="16">
    <w:abstractNumId w:val="4"/>
  </w:num>
  <w:num w:numId="17">
    <w:abstractNumId w:val="16"/>
  </w:num>
  <w:num w:numId="18">
    <w:abstractNumId w:val="27"/>
  </w:num>
  <w:num w:numId="19">
    <w:abstractNumId w:val="30"/>
  </w:num>
  <w:num w:numId="20">
    <w:abstractNumId w:val="5"/>
  </w:num>
  <w:num w:numId="21">
    <w:abstractNumId w:val="9"/>
  </w:num>
  <w:num w:numId="22">
    <w:abstractNumId w:val="31"/>
  </w:num>
  <w:num w:numId="23">
    <w:abstractNumId w:val="23"/>
  </w:num>
  <w:num w:numId="24">
    <w:abstractNumId w:val="28"/>
  </w:num>
  <w:num w:numId="25">
    <w:abstractNumId w:val="6"/>
  </w:num>
  <w:num w:numId="26">
    <w:abstractNumId w:val="33"/>
  </w:num>
  <w:num w:numId="27">
    <w:abstractNumId w:val="17"/>
  </w:num>
  <w:num w:numId="28">
    <w:abstractNumId w:val="11"/>
  </w:num>
  <w:num w:numId="29">
    <w:abstractNumId w:val="14"/>
  </w:num>
  <w:num w:numId="30">
    <w:abstractNumId w:val="10"/>
  </w:num>
  <w:num w:numId="31">
    <w:abstractNumId w:val="7"/>
  </w:num>
  <w:num w:numId="32">
    <w:abstractNumId w:val="15"/>
  </w:num>
  <w:num w:numId="33">
    <w:abstractNumId w:val="3"/>
  </w:num>
  <w:num w:numId="34">
    <w:abstractNumId w:val="2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45EA"/>
    <w:rsid w:val="00001A85"/>
    <w:rsid w:val="00001A90"/>
    <w:rsid w:val="00005C68"/>
    <w:rsid w:val="00005E40"/>
    <w:rsid w:val="000073F0"/>
    <w:rsid w:val="00016518"/>
    <w:rsid w:val="00031C2C"/>
    <w:rsid w:val="0003394C"/>
    <w:rsid w:val="00035B0C"/>
    <w:rsid w:val="0003739A"/>
    <w:rsid w:val="0005007E"/>
    <w:rsid w:val="00054438"/>
    <w:rsid w:val="00055B64"/>
    <w:rsid w:val="00066114"/>
    <w:rsid w:val="00066EEA"/>
    <w:rsid w:val="00070D48"/>
    <w:rsid w:val="00071F52"/>
    <w:rsid w:val="00080E4E"/>
    <w:rsid w:val="000825E7"/>
    <w:rsid w:val="000923B4"/>
    <w:rsid w:val="00092563"/>
    <w:rsid w:val="000953B4"/>
    <w:rsid w:val="000A5221"/>
    <w:rsid w:val="000A6F85"/>
    <w:rsid w:val="000C2B1C"/>
    <w:rsid w:val="000D3E76"/>
    <w:rsid w:val="000D4617"/>
    <w:rsid w:val="000F119B"/>
    <w:rsid w:val="000F43F6"/>
    <w:rsid w:val="000F4746"/>
    <w:rsid w:val="000F6216"/>
    <w:rsid w:val="000F73E6"/>
    <w:rsid w:val="00104DEB"/>
    <w:rsid w:val="00107B70"/>
    <w:rsid w:val="00113386"/>
    <w:rsid w:val="00113571"/>
    <w:rsid w:val="0013156F"/>
    <w:rsid w:val="00132333"/>
    <w:rsid w:val="00132A0D"/>
    <w:rsid w:val="00135F1D"/>
    <w:rsid w:val="001370F3"/>
    <w:rsid w:val="0014270C"/>
    <w:rsid w:val="001427FF"/>
    <w:rsid w:val="00144007"/>
    <w:rsid w:val="001462EE"/>
    <w:rsid w:val="0015288B"/>
    <w:rsid w:val="001568A9"/>
    <w:rsid w:val="001578B8"/>
    <w:rsid w:val="00166CFD"/>
    <w:rsid w:val="00171C95"/>
    <w:rsid w:val="00183679"/>
    <w:rsid w:val="001977BD"/>
    <w:rsid w:val="001A413A"/>
    <w:rsid w:val="001A67E6"/>
    <w:rsid w:val="001B0C9C"/>
    <w:rsid w:val="001B5E72"/>
    <w:rsid w:val="001C1C12"/>
    <w:rsid w:val="001C5038"/>
    <w:rsid w:val="001C74ED"/>
    <w:rsid w:val="001D52B3"/>
    <w:rsid w:val="001D5DD1"/>
    <w:rsid w:val="001D784F"/>
    <w:rsid w:val="001E1A16"/>
    <w:rsid w:val="001E33A2"/>
    <w:rsid w:val="001F002E"/>
    <w:rsid w:val="001F11FB"/>
    <w:rsid w:val="001F6ED8"/>
    <w:rsid w:val="00205B81"/>
    <w:rsid w:val="0020758E"/>
    <w:rsid w:val="002129D6"/>
    <w:rsid w:val="00212F04"/>
    <w:rsid w:val="002136D8"/>
    <w:rsid w:val="00217A7D"/>
    <w:rsid w:val="002272F2"/>
    <w:rsid w:val="002330F0"/>
    <w:rsid w:val="00241927"/>
    <w:rsid w:val="00243424"/>
    <w:rsid w:val="002473D1"/>
    <w:rsid w:val="002505C8"/>
    <w:rsid w:val="002546D5"/>
    <w:rsid w:val="00255066"/>
    <w:rsid w:val="0026286A"/>
    <w:rsid w:val="0026456C"/>
    <w:rsid w:val="0026575A"/>
    <w:rsid w:val="002827E3"/>
    <w:rsid w:val="00283571"/>
    <w:rsid w:val="00285E61"/>
    <w:rsid w:val="002930D1"/>
    <w:rsid w:val="0029570E"/>
    <w:rsid w:val="002A39FA"/>
    <w:rsid w:val="002C75A0"/>
    <w:rsid w:val="002D07DA"/>
    <w:rsid w:val="002D0C9D"/>
    <w:rsid w:val="002D5819"/>
    <w:rsid w:val="002D6014"/>
    <w:rsid w:val="002D69B6"/>
    <w:rsid w:val="002E1057"/>
    <w:rsid w:val="002E3CB5"/>
    <w:rsid w:val="002F1ADC"/>
    <w:rsid w:val="002F5378"/>
    <w:rsid w:val="00303CFE"/>
    <w:rsid w:val="00310229"/>
    <w:rsid w:val="0031645C"/>
    <w:rsid w:val="00320B3D"/>
    <w:rsid w:val="00320BE7"/>
    <w:rsid w:val="003218AB"/>
    <w:rsid w:val="003244FB"/>
    <w:rsid w:val="00334152"/>
    <w:rsid w:val="003363F6"/>
    <w:rsid w:val="003413D3"/>
    <w:rsid w:val="00341F75"/>
    <w:rsid w:val="00342321"/>
    <w:rsid w:val="00343B7C"/>
    <w:rsid w:val="00345EA6"/>
    <w:rsid w:val="0034681C"/>
    <w:rsid w:val="00347682"/>
    <w:rsid w:val="00354A43"/>
    <w:rsid w:val="003620BB"/>
    <w:rsid w:val="00381183"/>
    <w:rsid w:val="00382518"/>
    <w:rsid w:val="00383083"/>
    <w:rsid w:val="00384082"/>
    <w:rsid w:val="00397803"/>
    <w:rsid w:val="003B264B"/>
    <w:rsid w:val="003B59FE"/>
    <w:rsid w:val="003D1E34"/>
    <w:rsid w:val="003E4A9C"/>
    <w:rsid w:val="003E71D4"/>
    <w:rsid w:val="003E7498"/>
    <w:rsid w:val="003F2D0A"/>
    <w:rsid w:val="003F4C92"/>
    <w:rsid w:val="003F5732"/>
    <w:rsid w:val="004111B8"/>
    <w:rsid w:val="004112A9"/>
    <w:rsid w:val="00432B29"/>
    <w:rsid w:val="00433B9A"/>
    <w:rsid w:val="00434B87"/>
    <w:rsid w:val="004450EC"/>
    <w:rsid w:val="004502FE"/>
    <w:rsid w:val="004503D9"/>
    <w:rsid w:val="00452BC1"/>
    <w:rsid w:val="00463107"/>
    <w:rsid w:val="00464067"/>
    <w:rsid w:val="00464CC2"/>
    <w:rsid w:val="00472011"/>
    <w:rsid w:val="00480B43"/>
    <w:rsid w:val="00481200"/>
    <w:rsid w:val="004902F3"/>
    <w:rsid w:val="004B0C87"/>
    <w:rsid w:val="004B2B0C"/>
    <w:rsid w:val="004B3015"/>
    <w:rsid w:val="004C5035"/>
    <w:rsid w:val="004C7391"/>
    <w:rsid w:val="004D57E1"/>
    <w:rsid w:val="004D7694"/>
    <w:rsid w:val="004E6D5B"/>
    <w:rsid w:val="004E7509"/>
    <w:rsid w:val="004F6FFB"/>
    <w:rsid w:val="00504255"/>
    <w:rsid w:val="00504370"/>
    <w:rsid w:val="00505D81"/>
    <w:rsid w:val="00520821"/>
    <w:rsid w:val="00522AC8"/>
    <w:rsid w:val="00523139"/>
    <w:rsid w:val="00523C9D"/>
    <w:rsid w:val="00530DE8"/>
    <w:rsid w:val="005341CB"/>
    <w:rsid w:val="0054369A"/>
    <w:rsid w:val="00547797"/>
    <w:rsid w:val="00555E64"/>
    <w:rsid w:val="00575A57"/>
    <w:rsid w:val="00575F58"/>
    <w:rsid w:val="0057774A"/>
    <w:rsid w:val="005809D9"/>
    <w:rsid w:val="005914CF"/>
    <w:rsid w:val="00591B90"/>
    <w:rsid w:val="00596DFB"/>
    <w:rsid w:val="005A702E"/>
    <w:rsid w:val="005B2260"/>
    <w:rsid w:val="005B45B1"/>
    <w:rsid w:val="005C032C"/>
    <w:rsid w:val="005C1F74"/>
    <w:rsid w:val="005D0346"/>
    <w:rsid w:val="005D03A5"/>
    <w:rsid w:val="005D32F1"/>
    <w:rsid w:val="005D366E"/>
    <w:rsid w:val="005E061B"/>
    <w:rsid w:val="005E304F"/>
    <w:rsid w:val="005E7D2D"/>
    <w:rsid w:val="005F2F72"/>
    <w:rsid w:val="00605027"/>
    <w:rsid w:val="00620667"/>
    <w:rsid w:val="00631951"/>
    <w:rsid w:val="00631A0E"/>
    <w:rsid w:val="00632BB9"/>
    <w:rsid w:val="00635071"/>
    <w:rsid w:val="00640C27"/>
    <w:rsid w:val="006438EB"/>
    <w:rsid w:val="00645E7C"/>
    <w:rsid w:val="00647CDB"/>
    <w:rsid w:val="00653C5E"/>
    <w:rsid w:val="00656D4D"/>
    <w:rsid w:val="0067357D"/>
    <w:rsid w:val="00675973"/>
    <w:rsid w:val="00682C08"/>
    <w:rsid w:val="0068307A"/>
    <w:rsid w:val="00693840"/>
    <w:rsid w:val="006946AE"/>
    <w:rsid w:val="00697D62"/>
    <w:rsid w:val="006A0906"/>
    <w:rsid w:val="006A25BF"/>
    <w:rsid w:val="006A67C6"/>
    <w:rsid w:val="006B559B"/>
    <w:rsid w:val="006C524A"/>
    <w:rsid w:val="006D0755"/>
    <w:rsid w:val="006D41AA"/>
    <w:rsid w:val="006D4282"/>
    <w:rsid w:val="006D5451"/>
    <w:rsid w:val="006E0110"/>
    <w:rsid w:val="006E3741"/>
    <w:rsid w:val="006E3F71"/>
    <w:rsid w:val="006E59B1"/>
    <w:rsid w:val="006E6392"/>
    <w:rsid w:val="006F17F7"/>
    <w:rsid w:val="006F3C48"/>
    <w:rsid w:val="007004AD"/>
    <w:rsid w:val="00700555"/>
    <w:rsid w:val="007007A8"/>
    <w:rsid w:val="00721F12"/>
    <w:rsid w:val="0073207B"/>
    <w:rsid w:val="00737354"/>
    <w:rsid w:val="00740C14"/>
    <w:rsid w:val="00741995"/>
    <w:rsid w:val="0074245F"/>
    <w:rsid w:val="007445BE"/>
    <w:rsid w:val="00753683"/>
    <w:rsid w:val="0076367A"/>
    <w:rsid w:val="00770393"/>
    <w:rsid w:val="00771D4B"/>
    <w:rsid w:val="00772793"/>
    <w:rsid w:val="007845EA"/>
    <w:rsid w:val="00787A28"/>
    <w:rsid w:val="00793A1B"/>
    <w:rsid w:val="00793B9D"/>
    <w:rsid w:val="007978A1"/>
    <w:rsid w:val="007B21A7"/>
    <w:rsid w:val="007B45AA"/>
    <w:rsid w:val="007B5FC4"/>
    <w:rsid w:val="007C187D"/>
    <w:rsid w:val="007C2909"/>
    <w:rsid w:val="007E0638"/>
    <w:rsid w:val="007E23D5"/>
    <w:rsid w:val="007F2AF7"/>
    <w:rsid w:val="007F6281"/>
    <w:rsid w:val="007F7115"/>
    <w:rsid w:val="008038B5"/>
    <w:rsid w:val="008044B3"/>
    <w:rsid w:val="00810359"/>
    <w:rsid w:val="00820898"/>
    <w:rsid w:val="00820E20"/>
    <w:rsid w:val="008310D9"/>
    <w:rsid w:val="00831773"/>
    <w:rsid w:val="00833FE8"/>
    <w:rsid w:val="00843F45"/>
    <w:rsid w:val="008547FA"/>
    <w:rsid w:val="00855964"/>
    <w:rsid w:val="00860C04"/>
    <w:rsid w:val="00861121"/>
    <w:rsid w:val="0086284C"/>
    <w:rsid w:val="00863BC1"/>
    <w:rsid w:val="008658A3"/>
    <w:rsid w:val="00867453"/>
    <w:rsid w:val="00867BA3"/>
    <w:rsid w:val="00870A64"/>
    <w:rsid w:val="0087137B"/>
    <w:rsid w:val="00886FCF"/>
    <w:rsid w:val="00890370"/>
    <w:rsid w:val="008B08F7"/>
    <w:rsid w:val="008B5DE2"/>
    <w:rsid w:val="008B69C7"/>
    <w:rsid w:val="008B731A"/>
    <w:rsid w:val="008C0191"/>
    <w:rsid w:val="008D25A4"/>
    <w:rsid w:val="008D45E2"/>
    <w:rsid w:val="008D520C"/>
    <w:rsid w:val="008D75B2"/>
    <w:rsid w:val="008E40D2"/>
    <w:rsid w:val="009031CF"/>
    <w:rsid w:val="009042B1"/>
    <w:rsid w:val="00904410"/>
    <w:rsid w:val="0090738F"/>
    <w:rsid w:val="00917657"/>
    <w:rsid w:val="0092560D"/>
    <w:rsid w:val="00930CA2"/>
    <w:rsid w:val="00931D0B"/>
    <w:rsid w:val="00935E53"/>
    <w:rsid w:val="00937F84"/>
    <w:rsid w:val="009409FF"/>
    <w:rsid w:val="00945147"/>
    <w:rsid w:val="00960708"/>
    <w:rsid w:val="00963B70"/>
    <w:rsid w:val="009737E9"/>
    <w:rsid w:val="00973CD7"/>
    <w:rsid w:val="00980B4C"/>
    <w:rsid w:val="00996035"/>
    <w:rsid w:val="009A765F"/>
    <w:rsid w:val="009A7A45"/>
    <w:rsid w:val="009B1535"/>
    <w:rsid w:val="009B4F1A"/>
    <w:rsid w:val="009B6AF9"/>
    <w:rsid w:val="009C1013"/>
    <w:rsid w:val="009C544C"/>
    <w:rsid w:val="009C70A6"/>
    <w:rsid w:val="009D00B0"/>
    <w:rsid w:val="009E1CAA"/>
    <w:rsid w:val="009F396A"/>
    <w:rsid w:val="00A17ABE"/>
    <w:rsid w:val="00A17D75"/>
    <w:rsid w:val="00A20A3B"/>
    <w:rsid w:val="00A34C07"/>
    <w:rsid w:val="00A42DF6"/>
    <w:rsid w:val="00A556D9"/>
    <w:rsid w:val="00A617CE"/>
    <w:rsid w:val="00A70F13"/>
    <w:rsid w:val="00A754C5"/>
    <w:rsid w:val="00A81687"/>
    <w:rsid w:val="00A82575"/>
    <w:rsid w:val="00A84441"/>
    <w:rsid w:val="00A927D8"/>
    <w:rsid w:val="00A932A3"/>
    <w:rsid w:val="00AA178C"/>
    <w:rsid w:val="00AA1CDF"/>
    <w:rsid w:val="00AA207A"/>
    <w:rsid w:val="00AB13BA"/>
    <w:rsid w:val="00AB47B7"/>
    <w:rsid w:val="00AB4A3B"/>
    <w:rsid w:val="00AB79FB"/>
    <w:rsid w:val="00AC5611"/>
    <w:rsid w:val="00AD45C3"/>
    <w:rsid w:val="00AD6DE8"/>
    <w:rsid w:val="00AE3B39"/>
    <w:rsid w:val="00AE5882"/>
    <w:rsid w:val="00AE63C5"/>
    <w:rsid w:val="00AF32C1"/>
    <w:rsid w:val="00AF63F6"/>
    <w:rsid w:val="00B015A0"/>
    <w:rsid w:val="00B01A74"/>
    <w:rsid w:val="00B053DD"/>
    <w:rsid w:val="00B05BB7"/>
    <w:rsid w:val="00B05C1E"/>
    <w:rsid w:val="00B06BE6"/>
    <w:rsid w:val="00B113AD"/>
    <w:rsid w:val="00B140B6"/>
    <w:rsid w:val="00B224CB"/>
    <w:rsid w:val="00B24A9D"/>
    <w:rsid w:val="00B4153F"/>
    <w:rsid w:val="00B46D14"/>
    <w:rsid w:val="00B5516C"/>
    <w:rsid w:val="00B60B55"/>
    <w:rsid w:val="00B6191D"/>
    <w:rsid w:val="00B626CD"/>
    <w:rsid w:val="00B63749"/>
    <w:rsid w:val="00B664E5"/>
    <w:rsid w:val="00B66D3F"/>
    <w:rsid w:val="00B72791"/>
    <w:rsid w:val="00B72E47"/>
    <w:rsid w:val="00B86231"/>
    <w:rsid w:val="00BA3F8D"/>
    <w:rsid w:val="00BB079A"/>
    <w:rsid w:val="00BB22CF"/>
    <w:rsid w:val="00BC51A2"/>
    <w:rsid w:val="00BC627E"/>
    <w:rsid w:val="00BD3C5D"/>
    <w:rsid w:val="00BD3F09"/>
    <w:rsid w:val="00BE29AB"/>
    <w:rsid w:val="00BE54B3"/>
    <w:rsid w:val="00BF522D"/>
    <w:rsid w:val="00C24B84"/>
    <w:rsid w:val="00C24C5D"/>
    <w:rsid w:val="00C305E5"/>
    <w:rsid w:val="00C310B8"/>
    <w:rsid w:val="00C35F7B"/>
    <w:rsid w:val="00C36509"/>
    <w:rsid w:val="00C374CE"/>
    <w:rsid w:val="00C41B79"/>
    <w:rsid w:val="00C46DC9"/>
    <w:rsid w:val="00C50831"/>
    <w:rsid w:val="00C53EBF"/>
    <w:rsid w:val="00C546EF"/>
    <w:rsid w:val="00C60E06"/>
    <w:rsid w:val="00C62F3F"/>
    <w:rsid w:val="00C74AE0"/>
    <w:rsid w:val="00C849DD"/>
    <w:rsid w:val="00C92EAA"/>
    <w:rsid w:val="00CA3189"/>
    <w:rsid w:val="00CB0CE7"/>
    <w:rsid w:val="00CB4455"/>
    <w:rsid w:val="00CB656A"/>
    <w:rsid w:val="00CC31F0"/>
    <w:rsid w:val="00CC4463"/>
    <w:rsid w:val="00CC6086"/>
    <w:rsid w:val="00CD7D9D"/>
    <w:rsid w:val="00CE1A36"/>
    <w:rsid w:val="00CE2B22"/>
    <w:rsid w:val="00CE31F7"/>
    <w:rsid w:val="00CE54E3"/>
    <w:rsid w:val="00CE669B"/>
    <w:rsid w:val="00CE6F2F"/>
    <w:rsid w:val="00CF15A1"/>
    <w:rsid w:val="00D020DE"/>
    <w:rsid w:val="00D026FB"/>
    <w:rsid w:val="00D02F3B"/>
    <w:rsid w:val="00D375A5"/>
    <w:rsid w:val="00D47774"/>
    <w:rsid w:val="00D50C10"/>
    <w:rsid w:val="00D5316F"/>
    <w:rsid w:val="00D56F3A"/>
    <w:rsid w:val="00D6683D"/>
    <w:rsid w:val="00D72F16"/>
    <w:rsid w:val="00D7697D"/>
    <w:rsid w:val="00D80EB7"/>
    <w:rsid w:val="00D81834"/>
    <w:rsid w:val="00D905DC"/>
    <w:rsid w:val="00D90CA7"/>
    <w:rsid w:val="00D91097"/>
    <w:rsid w:val="00D95D9E"/>
    <w:rsid w:val="00DB3B5B"/>
    <w:rsid w:val="00DB5D99"/>
    <w:rsid w:val="00DC19AE"/>
    <w:rsid w:val="00DC1CCB"/>
    <w:rsid w:val="00DD2300"/>
    <w:rsid w:val="00DE296E"/>
    <w:rsid w:val="00DF3F20"/>
    <w:rsid w:val="00DF4F73"/>
    <w:rsid w:val="00E0058C"/>
    <w:rsid w:val="00E01772"/>
    <w:rsid w:val="00E0232D"/>
    <w:rsid w:val="00E11069"/>
    <w:rsid w:val="00E11A85"/>
    <w:rsid w:val="00E25067"/>
    <w:rsid w:val="00E34E99"/>
    <w:rsid w:val="00E43BBE"/>
    <w:rsid w:val="00E47637"/>
    <w:rsid w:val="00E56708"/>
    <w:rsid w:val="00E665A1"/>
    <w:rsid w:val="00E8047A"/>
    <w:rsid w:val="00E82426"/>
    <w:rsid w:val="00E858DF"/>
    <w:rsid w:val="00E85AE8"/>
    <w:rsid w:val="00E91257"/>
    <w:rsid w:val="00E943DF"/>
    <w:rsid w:val="00E95C7A"/>
    <w:rsid w:val="00E96A28"/>
    <w:rsid w:val="00EB60FB"/>
    <w:rsid w:val="00EC14FE"/>
    <w:rsid w:val="00EC2DD0"/>
    <w:rsid w:val="00ED244E"/>
    <w:rsid w:val="00ED3E53"/>
    <w:rsid w:val="00EE40AE"/>
    <w:rsid w:val="00EE72C5"/>
    <w:rsid w:val="00EF3F15"/>
    <w:rsid w:val="00F013EE"/>
    <w:rsid w:val="00F01A06"/>
    <w:rsid w:val="00F036C0"/>
    <w:rsid w:val="00F06BDA"/>
    <w:rsid w:val="00F15DD3"/>
    <w:rsid w:val="00F16A47"/>
    <w:rsid w:val="00F16C35"/>
    <w:rsid w:val="00F224AE"/>
    <w:rsid w:val="00F25A6F"/>
    <w:rsid w:val="00F31F76"/>
    <w:rsid w:val="00F341A3"/>
    <w:rsid w:val="00F504FE"/>
    <w:rsid w:val="00F51DB0"/>
    <w:rsid w:val="00F55294"/>
    <w:rsid w:val="00F63866"/>
    <w:rsid w:val="00F70679"/>
    <w:rsid w:val="00F71FAE"/>
    <w:rsid w:val="00F73C0E"/>
    <w:rsid w:val="00F90F63"/>
    <w:rsid w:val="00F93173"/>
    <w:rsid w:val="00F932FF"/>
    <w:rsid w:val="00FA23EA"/>
    <w:rsid w:val="00FA65F4"/>
    <w:rsid w:val="00FC0704"/>
    <w:rsid w:val="00FC5CF6"/>
    <w:rsid w:val="00FD29EC"/>
    <w:rsid w:val="00FD30EB"/>
    <w:rsid w:val="00FD4C45"/>
    <w:rsid w:val="00FE3900"/>
    <w:rsid w:val="00FE3990"/>
    <w:rsid w:val="00FF2878"/>
    <w:rsid w:val="00FF358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4F1A"/>
    <w:pPr>
      <w:tabs>
        <w:tab w:val="left" w:pos="567"/>
      </w:tabs>
      <w:spacing w:after="240" w:line="240" w:lineRule="auto"/>
    </w:pPr>
  </w:style>
  <w:style w:type="paragraph" w:styleId="Heading1">
    <w:name w:val="heading 1"/>
    <w:basedOn w:val="Normal"/>
    <w:next w:val="Normal"/>
    <w:link w:val="Heading1Char"/>
    <w:uiPriority w:val="9"/>
    <w:qFormat/>
    <w:rsid w:val="003F2D0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F2D0A"/>
    <w:pPr>
      <w:keepNext/>
      <w:keepLines/>
      <w:outlineLvl w:val="1"/>
    </w:pPr>
    <w:rPr>
      <w:rFonts w:asciiTheme="majorHAnsi" w:eastAsiaTheme="majorEastAsia" w:hAnsiTheme="majorHAnsi" w:cstheme="majorBidi"/>
      <w:b/>
      <w:bCs/>
      <w:color w:val="000000" w:themeColor="text1"/>
      <w:sz w:val="24"/>
      <w:szCs w:val="26"/>
    </w:rPr>
  </w:style>
  <w:style w:type="paragraph" w:styleId="Heading3">
    <w:name w:val="heading 3"/>
    <w:basedOn w:val="Normal"/>
    <w:next w:val="Normal"/>
    <w:link w:val="Heading3Char"/>
    <w:uiPriority w:val="9"/>
    <w:unhideWhenUsed/>
    <w:qFormat/>
    <w:rsid w:val="003218AB"/>
    <w:pPr>
      <w:keepNext/>
      <w:keepLines/>
      <w:outlineLvl w:val="2"/>
    </w:pPr>
    <w:rPr>
      <w:rFonts w:asciiTheme="majorHAnsi" w:eastAsiaTheme="majorEastAsia" w:hAnsiTheme="majorHAnsi" w:cstheme="majorBidi"/>
      <w:b/>
      <w:bCs/>
      <w:color w:val="595959" w:themeColor="text1" w:themeTint="A6"/>
    </w:rPr>
  </w:style>
  <w:style w:type="paragraph" w:styleId="Heading4">
    <w:name w:val="heading 4"/>
    <w:basedOn w:val="Normal"/>
    <w:next w:val="Normal"/>
    <w:link w:val="Heading4Char"/>
    <w:uiPriority w:val="9"/>
    <w:semiHidden/>
    <w:unhideWhenUsed/>
    <w:qFormat/>
    <w:rsid w:val="007845EA"/>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845EA"/>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845EA"/>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845EA"/>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845EA"/>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845E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2D0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F2D0A"/>
    <w:rPr>
      <w:rFonts w:asciiTheme="majorHAnsi" w:eastAsiaTheme="majorEastAsia" w:hAnsiTheme="majorHAnsi" w:cstheme="majorBidi"/>
      <w:b/>
      <w:bCs/>
      <w:color w:val="000000" w:themeColor="text1"/>
      <w:sz w:val="24"/>
      <w:szCs w:val="26"/>
    </w:rPr>
  </w:style>
  <w:style w:type="character" w:customStyle="1" w:styleId="Heading3Char">
    <w:name w:val="Heading 3 Char"/>
    <w:basedOn w:val="DefaultParagraphFont"/>
    <w:link w:val="Heading3"/>
    <w:uiPriority w:val="9"/>
    <w:rsid w:val="003218AB"/>
    <w:rPr>
      <w:rFonts w:asciiTheme="majorHAnsi" w:eastAsiaTheme="majorEastAsia" w:hAnsiTheme="majorHAnsi" w:cstheme="majorBidi"/>
      <w:b/>
      <w:bCs/>
      <w:color w:val="595959" w:themeColor="text1" w:themeTint="A6"/>
    </w:rPr>
  </w:style>
  <w:style w:type="character" w:customStyle="1" w:styleId="Heading4Char">
    <w:name w:val="Heading 4 Char"/>
    <w:basedOn w:val="DefaultParagraphFont"/>
    <w:link w:val="Heading4"/>
    <w:uiPriority w:val="9"/>
    <w:semiHidden/>
    <w:rsid w:val="007845EA"/>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7845EA"/>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7845EA"/>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7845E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7845E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7845EA"/>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7845EA"/>
    <w:rPr>
      <w:b/>
      <w:bCs/>
      <w:color w:val="4F81BD" w:themeColor="accent1"/>
      <w:sz w:val="18"/>
      <w:szCs w:val="18"/>
    </w:rPr>
  </w:style>
  <w:style w:type="paragraph" w:styleId="Title">
    <w:name w:val="Title"/>
    <w:basedOn w:val="Normal"/>
    <w:next w:val="Normal"/>
    <w:link w:val="TitleChar"/>
    <w:uiPriority w:val="10"/>
    <w:qFormat/>
    <w:rsid w:val="007845E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845EA"/>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7845E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7845EA"/>
    <w:rPr>
      <w:rFonts w:asciiTheme="majorHAnsi" w:eastAsiaTheme="majorEastAsia" w:hAnsiTheme="majorHAnsi" w:cstheme="majorBidi"/>
      <w:i/>
      <w:iCs/>
      <w:color w:val="4F81BD" w:themeColor="accent1"/>
      <w:spacing w:val="15"/>
      <w:sz w:val="24"/>
      <w:szCs w:val="24"/>
    </w:rPr>
  </w:style>
  <w:style w:type="character" w:styleId="Strong">
    <w:name w:val="Strong"/>
    <w:qFormat/>
    <w:rsid w:val="007845EA"/>
    <w:rPr>
      <w:b/>
      <w:bCs/>
    </w:rPr>
  </w:style>
  <w:style w:type="character" w:styleId="Emphasis">
    <w:name w:val="Emphasis"/>
    <w:uiPriority w:val="20"/>
    <w:qFormat/>
    <w:rsid w:val="007845EA"/>
    <w:rPr>
      <w:i/>
      <w:iCs/>
    </w:rPr>
  </w:style>
  <w:style w:type="paragraph" w:styleId="NoSpacing">
    <w:name w:val="No Spacing"/>
    <w:basedOn w:val="Normal"/>
    <w:link w:val="NoSpacingChar"/>
    <w:uiPriority w:val="1"/>
    <w:qFormat/>
    <w:rsid w:val="007845EA"/>
    <w:pPr>
      <w:spacing w:after="0"/>
    </w:pPr>
  </w:style>
  <w:style w:type="character" w:customStyle="1" w:styleId="NoSpacingChar">
    <w:name w:val="No Spacing Char"/>
    <w:basedOn w:val="DefaultParagraphFont"/>
    <w:link w:val="NoSpacing"/>
    <w:uiPriority w:val="1"/>
    <w:rsid w:val="007845EA"/>
  </w:style>
  <w:style w:type="paragraph" w:styleId="ListParagraph">
    <w:name w:val="List Paragraph"/>
    <w:basedOn w:val="Normal"/>
    <w:uiPriority w:val="34"/>
    <w:qFormat/>
    <w:rsid w:val="007845EA"/>
    <w:pPr>
      <w:ind w:left="720"/>
      <w:contextualSpacing/>
    </w:pPr>
  </w:style>
  <w:style w:type="paragraph" w:styleId="Quote">
    <w:name w:val="Quote"/>
    <w:basedOn w:val="Normal"/>
    <w:next w:val="Normal"/>
    <w:link w:val="QuoteChar"/>
    <w:uiPriority w:val="29"/>
    <w:qFormat/>
    <w:rsid w:val="007845EA"/>
    <w:rPr>
      <w:i/>
      <w:iCs/>
      <w:color w:val="000000" w:themeColor="text1"/>
    </w:rPr>
  </w:style>
  <w:style w:type="character" w:customStyle="1" w:styleId="QuoteChar">
    <w:name w:val="Quote Char"/>
    <w:basedOn w:val="DefaultParagraphFont"/>
    <w:link w:val="Quote"/>
    <w:uiPriority w:val="29"/>
    <w:rsid w:val="007845EA"/>
    <w:rPr>
      <w:i/>
      <w:iCs/>
      <w:color w:val="000000" w:themeColor="text1"/>
    </w:rPr>
  </w:style>
  <w:style w:type="paragraph" w:styleId="IntenseQuote">
    <w:name w:val="Intense Quote"/>
    <w:basedOn w:val="Normal"/>
    <w:next w:val="Normal"/>
    <w:link w:val="IntenseQuoteChar"/>
    <w:uiPriority w:val="30"/>
    <w:qFormat/>
    <w:rsid w:val="007845EA"/>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7845EA"/>
    <w:rPr>
      <w:b/>
      <w:bCs/>
      <w:i/>
      <w:iCs/>
      <w:color w:val="4F81BD" w:themeColor="accent1"/>
    </w:rPr>
  </w:style>
  <w:style w:type="character" w:styleId="SubtleEmphasis">
    <w:name w:val="Subtle Emphasis"/>
    <w:uiPriority w:val="19"/>
    <w:qFormat/>
    <w:rsid w:val="007845EA"/>
    <w:rPr>
      <w:i/>
      <w:iCs/>
      <w:color w:val="808080" w:themeColor="text1" w:themeTint="7F"/>
    </w:rPr>
  </w:style>
  <w:style w:type="character" w:styleId="IntenseEmphasis">
    <w:name w:val="Intense Emphasis"/>
    <w:uiPriority w:val="21"/>
    <w:qFormat/>
    <w:rsid w:val="007845EA"/>
    <w:rPr>
      <w:b/>
      <w:bCs/>
      <w:i/>
      <w:iCs/>
      <w:color w:val="4F81BD" w:themeColor="accent1"/>
    </w:rPr>
  </w:style>
  <w:style w:type="character" w:styleId="SubtleReference">
    <w:name w:val="Subtle Reference"/>
    <w:basedOn w:val="DefaultParagraphFont"/>
    <w:uiPriority w:val="31"/>
    <w:qFormat/>
    <w:rsid w:val="007845EA"/>
    <w:rPr>
      <w:smallCaps/>
      <w:color w:val="C0504D" w:themeColor="accent2"/>
      <w:u w:val="single"/>
    </w:rPr>
  </w:style>
  <w:style w:type="character" w:styleId="IntenseReference">
    <w:name w:val="Intense Reference"/>
    <w:uiPriority w:val="32"/>
    <w:qFormat/>
    <w:rsid w:val="007845EA"/>
    <w:rPr>
      <w:b/>
      <w:bCs/>
      <w:smallCaps/>
      <w:color w:val="C0504D" w:themeColor="accent2"/>
      <w:spacing w:val="5"/>
      <w:u w:val="single"/>
    </w:rPr>
  </w:style>
  <w:style w:type="character" w:styleId="BookTitle">
    <w:name w:val="Book Title"/>
    <w:uiPriority w:val="33"/>
    <w:qFormat/>
    <w:rsid w:val="007845EA"/>
    <w:rPr>
      <w:b/>
      <w:bCs/>
      <w:smallCaps/>
      <w:spacing w:val="5"/>
    </w:rPr>
  </w:style>
  <w:style w:type="paragraph" w:styleId="TOCHeading">
    <w:name w:val="TOC Heading"/>
    <w:basedOn w:val="Heading1"/>
    <w:next w:val="Normal"/>
    <w:uiPriority w:val="39"/>
    <w:semiHidden/>
    <w:unhideWhenUsed/>
    <w:qFormat/>
    <w:rsid w:val="007845EA"/>
    <w:pPr>
      <w:outlineLvl w:val="9"/>
    </w:pPr>
  </w:style>
  <w:style w:type="paragraph" w:styleId="BalloonText">
    <w:name w:val="Balloon Text"/>
    <w:basedOn w:val="Normal"/>
    <w:link w:val="BalloonTextChar"/>
    <w:uiPriority w:val="99"/>
    <w:semiHidden/>
    <w:unhideWhenUsed/>
    <w:rsid w:val="004B0C8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0C87"/>
    <w:rPr>
      <w:rFonts w:ascii="Tahoma" w:hAnsi="Tahoma" w:cs="Tahoma"/>
      <w:sz w:val="16"/>
      <w:szCs w:val="16"/>
    </w:rPr>
  </w:style>
  <w:style w:type="paragraph" w:styleId="Header">
    <w:name w:val="header"/>
    <w:basedOn w:val="Normal"/>
    <w:link w:val="HeaderChar"/>
    <w:uiPriority w:val="99"/>
    <w:unhideWhenUsed/>
    <w:rsid w:val="00B46D14"/>
    <w:pPr>
      <w:tabs>
        <w:tab w:val="clear" w:pos="567"/>
        <w:tab w:val="center" w:pos="4513"/>
        <w:tab w:val="right" w:pos="9026"/>
      </w:tabs>
      <w:spacing w:after="0"/>
    </w:pPr>
  </w:style>
  <w:style w:type="character" w:customStyle="1" w:styleId="HeaderChar">
    <w:name w:val="Header Char"/>
    <w:basedOn w:val="DefaultParagraphFont"/>
    <w:link w:val="Header"/>
    <w:uiPriority w:val="99"/>
    <w:rsid w:val="00B46D14"/>
  </w:style>
  <w:style w:type="paragraph" w:styleId="Footer">
    <w:name w:val="footer"/>
    <w:basedOn w:val="Normal"/>
    <w:link w:val="FooterChar"/>
    <w:uiPriority w:val="99"/>
    <w:unhideWhenUsed/>
    <w:rsid w:val="00B46D14"/>
    <w:pPr>
      <w:tabs>
        <w:tab w:val="clear" w:pos="567"/>
        <w:tab w:val="center" w:pos="4513"/>
        <w:tab w:val="right" w:pos="9026"/>
      </w:tabs>
      <w:spacing w:after="0"/>
    </w:pPr>
  </w:style>
  <w:style w:type="character" w:customStyle="1" w:styleId="FooterChar">
    <w:name w:val="Footer Char"/>
    <w:basedOn w:val="DefaultParagraphFont"/>
    <w:link w:val="Footer"/>
    <w:uiPriority w:val="99"/>
    <w:rsid w:val="00B46D14"/>
  </w:style>
  <w:style w:type="paragraph" w:customStyle="1" w:styleId="DAAFBC045A234F388343B1A25E857B74">
    <w:name w:val="DAAFBC045A234F388343B1A25E857B74"/>
    <w:rsid w:val="00B46D14"/>
    <w:rPr>
      <w:rFonts w:eastAsiaTheme="minorEastAsia"/>
      <w:lang w:val="en-US" w:eastAsia="ja-JP"/>
    </w:rPr>
  </w:style>
  <w:style w:type="paragraph" w:styleId="FootnoteText">
    <w:name w:val="footnote text"/>
    <w:basedOn w:val="Normal"/>
    <w:link w:val="FootnoteTextChar"/>
    <w:rsid w:val="0076367A"/>
    <w:pPr>
      <w:tabs>
        <w:tab w:val="clear" w:pos="567"/>
      </w:tabs>
      <w:spacing w:after="0"/>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76367A"/>
    <w:rPr>
      <w:rFonts w:ascii="Times New Roman" w:eastAsia="Times New Roman" w:hAnsi="Times New Roman" w:cs="Times New Roman"/>
      <w:sz w:val="20"/>
      <w:szCs w:val="20"/>
    </w:rPr>
  </w:style>
  <w:style w:type="character" w:styleId="FootnoteReference">
    <w:name w:val="footnote reference"/>
    <w:rsid w:val="0076367A"/>
    <w:rPr>
      <w:vertAlign w:val="superscript"/>
    </w:rPr>
  </w:style>
  <w:style w:type="character" w:customStyle="1" w:styleId="blue">
    <w:name w:val="blue"/>
    <w:basedOn w:val="DefaultParagraphFont"/>
    <w:rsid w:val="0076367A"/>
  </w:style>
  <w:style w:type="character" w:customStyle="1" w:styleId="italic">
    <w:name w:val="italic"/>
    <w:basedOn w:val="DefaultParagraphFont"/>
    <w:rsid w:val="0076367A"/>
  </w:style>
  <w:style w:type="paragraph" w:styleId="NormalWeb">
    <w:name w:val="Normal (Web)"/>
    <w:basedOn w:val="Normal"/>
    <w:uiPriority w:val="99"/>
    <w:unhideWhenUsed/>
    <w:rsid w:val="0076367A"/>
    <w:pPr>
      <w:tabs>
        <w:tab w:val="clear" w:pos="567"/>
      </w:tabs>
      <w:spacing w:before="100" w:beforeAutospacing="1" w:after="150"/>
    </w:pPr>
    <w:rPr>
      <w:rFonts w:ascii="Times New Roman" w:eastAsia="Times New Roman" w:hAnsi="Times New Roman" w:cs="Times New Roman"/>
      <w:sz w:val="24"/>
      <w:szCs w:val="24"/>
    </w:rPr>
  </w:style>
  <w:style w:type="paragraph" w:customStyle="1" w:styleId="loose">
    <w:name w:val="loose"/>
    <w:basedOn w:val="Normal"/>
    <w:rsid w:val="0076367A"/>
    <w:pPr>
      <w:tabs>
        <w:tab w:val="clear" w:pos="567"/>
      </w:tabs>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B559B"/>
    <w:rPr>
      <w:color w:val="0000FF" w:themeColor="hyperlink"/>
      <w:u w:val="single"/>
    </w:rPr>
  </w:style>
  <w:style w:type="paragraph" w:customStyle="1" w:styleId="Default">
    <w:name w:val="Default"/>
    <w:rsid w:val="00FC5CF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VEOHRCquote">
    <w:name w:val="VEOHRC quote"/>
    <w:basedOn w:val="Normal"/>
    <w:rsid w:val="002330F0"/>
    <w:pPr>
      <w:tabs>
        <w:tab w:val="clear" w:pos="567"/>
      </w:tabs>
      <w:spacing w:after="0"/>
      <w:ind w:left="720"/>
    </w:pPr>
    <w:rPr>
      <w:rFonts w:ascii="Arial" w:eastAsia="Times New Roman" w:hAnsi="Arial" w:cs="Times New Roman"/>
      <w:i/>
      <w:iCs/>
      <w:sz w:val="23"/>
      <w:szCs w:val="20"/>
      <w:lang w:eastAsia="en-US"/>
    </w:rPr>
  </w:style>
  <w:style w:type="character" w:customStyle="1" w:styleId="VEOHRCListBulletChar">
    <w:name w:val="VEOHRC List Bullet Char"/>
    <w:basedOn w:val="DefaultParagraphFont"/>
    <w:link w:val="VEOHRCListBullet"/>
    <w:locked/>
    <w:rsid w:val="002330F0"/>
    <w:rPr>
      <w:rFonts w:ascii="Arial" w:hAnsi="Arial" w:cs="Arial"/>
      <w:sz w:val="23"/>
      <w:szCs w:val="24"/>
    </w:rPr>
  </w:style>
  <w:style w:type="paragraph" w:customStyle="1" w:styleId="VEOHRCListBullet">
    <w:name w:val="VEOHRC List Bullet"/>
    <w:basedOn w:val="Normal"/>
    <w:link w:val="VEOHRCListBulletChar"/>
    <w:rsid w:val="002330F0"/>
    <w:pPr>
      <w:numPr>
        <w:numId w:val="2"/>
      </w:numPr>
      <w:tabs>
        <w:tab w:val="clear" w:pos="567"/>
      </w:tabs>
      <w:spacing w:after="120" w:line="240" w:lineRule="atLeast"/>
    </w:pPr>
    <w:rPr>
      <w:rFonts w:ascii="Arial" w:hAnsi="Arial" w:cs="Arial"/>
      <w:sz w:val="23"/>
      <w:szCs w:val="24"/>
    </w:rPr>
  </w:style>
  <w:style w:type="paragraph" w:customStyle="1" w:styleId="VEOHRCBodytext">
    <w:name w:val="VEOHRC Body text"/>
    <w:basedOn w:val="Normal"/>
    <w:rsid w:val="002330F0"/>
    <w:pPr>
      <w:tabs>
        <w:tab w:val="clear" w:pos="567"/>
      </w:tabs>
      <w:spacing w:before="80" w:after="120"/>
    </w:pPr>
    <w:rPr>
      <w:rFonts w:ascii="Arial" w:eastAsia="Times New Roman" w:hAnsi="Arial" w:cs="Times New Roman"/>
      <w:sz w:val="23"/>
      <w:szCs w:val="24"/>
    </w:rPr>
  </w:style>
  <w:style w:type="paragraph" w:customStyle="1" w:styleId="VEOHRCHeading2">
    <w:name w:val="VEOHRC Heading 2"/>
    <w:basedOn w:val="Heading2"/>
    <w:rsid w:val="00855964"/>
    <w:pPr>
      <w:keepLines w:val="0"/>
      <w:tabs>
        <w:tab w:val="clear" w:pos="567"/>
      </w:tabs>
      <w:spacing w:before="240" w:after="60" w:line="280" w:lineRule="atLeast"/>
    </w:pPr>
    <w:rPr>
      <w:rFonts w:ascii="Arial Bold" w:eastAsia="Times New Roman" w:hAnsi="Arial Bold" w:cs="Arial"/>
      <w:iCs/>
      <w:color w:val="auto"/>
      <w:sz w:val="28"/>
      <w:szCs w:val="28"/>
    </w:rPr>
  </w:style>
  <w:style w:type="character" w:styleId="FollowedHyperlink">
    <w:name w:val="FollowedHyperlink"/>
    <w:basedOn w:val="DefaultParagraphFont"/>
    <w:uiPriority w:val="99"/>
    <w:semiHidden/>
    <w:unhideWhenUsed/>
    <w:rsid w:val="004450EC"/>
    <w:rPr>
      <w:color w:val="800080" w:themeColor="followedHyperlink"/>
      <w:u w:val="single"/>
    </w:rPr>
  </w:style>
  <w:style w:type="character" w:styleId="CommentReference">
    <w:name w:val="annotation reference"/>
    <w:basedOn w:val="DefaultParagraphFont"/>
    <w:uiPriority w:val="99"/>
    <w:semiHidden/>
    <w:unhideWhenUsed/>
    <w:rsid w:val="00217A7D"/>
    <w:rPr>
      <w:sz w:val="16"/>
      <w:szCs w:val="16"/>
    </w:rPr>
  </w:style>
  <w:style w:type="paragraph" w:styleId="CommentText">
    <w:name w:val="annotation text"/>
    <w:basedOn w:val="Normal"/>
    <w:link w:val="CommentTextChar"/>
    <w:uiPriority w:val="99"/>
    <w:semiHidden/>
    <w:unhideWhenUsed/>
    <w:rsid w:val="00217A7D"/>
    <w:rPr>
      <w:sz w:val="20"/>
      <w:szCs w:val="20"/>
    </w:rPr>
  </w:style>
  <w:style w:type="character" w:customStyle="1" w:styleId="CommentTextChar">
    <w:name w:val="Comment Text Char"/>
    <w:basedOn w:val="DefaultParagraphFont"/>
    <w:link w:val="CommentText"/>
    <w:uiPriority w:val="99"/>
    <w:semiHidden/>
    <w:rsid w:val="00217A7D"/>
    <w:rPr>
      <w:sz w:val="20"/>
      <w:szCs w:val="20"/>
    </w:rPr>
  </w:style>
  <w:style w:type="paragraph" w:styleId="CommentSubject">
    <w:name w:val="annotation subject"/>
    <w:basedOn w:val="CommentText"/>
    <w:next w:val="CommentText"/>
    <w:link w:val="CommentSubjectChar"/>
    <w:uiPriority w:val="99"/>
    <w:semiHidden/>
    <w:unhideWhenUsed/>
    <w:rsid w:val="00217A7D"/>
    <w:rPr>
      <w:b/>
      <w:bCs/>
    </w:rPr>
  </w:style>
  <w:style w:type="character" w:customStyle="1" w:styleId="CommentSubjectChar">
    <w:name w:val="Comment Subject Char"/>
    <w:basedOn w:val="CommentTextChar"/>
    <w:link w:val="CommentSubject"/>
    <w:uiPriority w:val="99"/>
    <w:semiHidden/>
    <w:rsid w:val="00217A7D"/>
    <w:rPr>
      <w:b/>
      <w:bCs/>
      <w:sz w:val="20"/>
      <w:szCs w:val="20"/>
    </w:rPr>
  </w:style>
  <w:style w:type="paragraph" w:customStyle="1" w:styleId="VEOHRCQuotation">
    <w:name w:val="VEOHRC Quotation"/>
    <w:basedOn w:val="Normal"/>
    <w:rsid w:val="00E0232D"/>
    <w:pPr>
      <w:tabs>
        <w:tab w:val="clear" w:pos="567"/>
      </w:tabs>
      <w:spacing w:after="120"/>
      <w:ind w:left="720"/>
    </w:pPr>
    <w:rPr>
      <w:rFonts w:ascii="Arial" w:eastAsia="Times New Roman" w:hAnsi="Arial" w:cs="Times New Roman"/>
      <w:i/>
      <w:sz w:val="23"/>
      <w:szCs w:val="24"/>
    </w:rPr>
  </w:style>
  <w:style w:type="character" w:styleId="HTMLCite">
    <w:name w:val="HTML Cite"/>
    <w:uiPriority w:val="99"/>
    <w:unhideWhenUsed/>
    <w:rsid w:val="00C310B8"/>
    <w:rPr>
      <w:i/>
      <w:iCs/>
    </w:rPr>
  </w:style>
  <w:style w:type="character" w:customStyle="1" w:styleId="apple-converted-space">
    <w:name w:val="apple-converted-space"/>
    <w:basedOn w:val="DefaultParagraphFont"/>
    <w:rsid w:val="009E1CAA"/>
  </w:style>
  <w:style w:type="paragraph" w:styleId="TOC1">
    <w:name w:val="toc 1"/>
    <w:basedOn w:val="Normal"/>
    <w:next w:val="Normal"/>
    <w:autoRedefine/>
    <w:uiPriority w:val="39"/>
    <w:unhideWhenUsed/>
    <w:rsid w:val="00A927D8"/>
    <w:pPr>
      <w:tabs>
        <w:tab w:val="clear" w:pos="567"/>
      </w:tabs>
      <w:spacing w:after="100"/>
    </w:pPr>
  </w:style>
  <w:style w:type="paragraph" w:styleId="TOC2">
    <w:name w:val="toc 2"/>
    <w:basedOn w:val="Normal"/>
    <w:next w:val="Normal"/>
    <w:autoRedefine/>
    <w:uiPriority w:val="39"/>
    <w:unhideWhenUsed/>
    <w:rsid w:val="00A927D8"/>
    <w:pPr>
      <w:tabs>
        <w:tab w:val="clear" w:pos="567"/>
      </w:tabs>
      <w:spacing w:after="100"/>
      <w:ind w:left="220"/>
    </w:pPr>
  </w:style>
  <w:style w:type="paragraph" w:styleId="TOC3">
    <w:name w:val="toc 3"/>
    <w:basedOn w:val="Normal"/>
    <w:next w:val="Normal"/>
    <w:autoRedefine/>
    <w:uiPriority w:val="39"/>
    <w:unhideWhenUsed/>
    <w:rsid w:val="008044B3"/>
    <w:pPr>
      <w:tabs>
        <w:tab w:val="clear" w:pos="567"/>
      </w:tabs>
      <w:spacing w:after="100"/>
      <w:ind w:left="440"/>
    </w:pPr>
  </w:style>
  <w:style w:type="paragraph" w:styleId="Revision">
    <w:name w:val="Revision"/>
    <w:hidden/>
    <w:uiPriority w:val="99"/>
    <w:semiHidden/>
    <w:rsid w:val="00A20A3B"/>
    <w:pPr>
      <w:spacing w:after="0" w:line="240" w:lineRule="auto"/>
    </w:pPr>
  </w:style>
  <w:style w:type="paragraph" w:styleId="PlainText">
    <w:name w:val="Plain Text"/>
    <w:basedOn w:val="Normal"/>
    <w:link w:val="PlainTextChar"/>
    <w:uiPriority w:val="99"/>
    <w:semiHidden/>
    <w:unhideWhenUsed/>
    <w:rsid w:val="00867453"/>
    <w:pPr>
      <w:tabs>
        <w:tab w:val="clear" w:pos="567"/>
      </w:tabs>
      <w:spacing w:after="0"/>
    </w:pPr>
    <w:rPr>
      <w:rFonts w:ascii="Arial" w:hAnsi="Arial" w:cs="Arial"/>
      <w:sz w:val="24"/>
      <w:szCs w:val="24"/>
      <w:lang w:eastAsia="en-US"/>
    </w:rPr>
  </w:style>
  <w:style w:type="character" w:customStyle="1" w:styleId="PlainTextChar">
    <w:name w:val="Plain Text Char"/>
    <w:basedOn w:val="DefaultParagraphFont"/>
    <w:link w:val="PlainText"/>
    <w:uiPriority w:val="99"/>
    <w:semiHidden/>
    <w:rsid w:val="00867453"/>
    <w:rPr>
      <w:rFonts w:ascii="Arial" w:hAnsi="Arial" w:cs="Arial"/>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4F1A"/>
    <w:pPr>
      <w:tabs>
        <w:tab w:val="left" w:pos="567"/>
      </w:tabs>
      <w:spacing w:after="240" w:line="240" w:lineRule="auto"/>
    </w:pPr>
  </w:style>
  <w:style w:type="paragraph" w:styleId="Heading1">
    <w:name w:val="heading 1"/>
    <w:basedOn w:val="Normal"/>
    <w:next w:val="Normal"/>
    <w:link w:val="Heading1Char"/>
    <w:uiPriority w:val="9"/>
    <w:qFormat/>
    <w:rsid w:val="003F2D0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F2D0A"/>
    <w:pPr>
      <w:keepNext/>
      <w:keepLines/>
      <w:outlineLvl w:val="1"/>
    </w:pPr>
    <w:rPr>
      <w:rFonts w:asciiTheme="majorHAnsi" w:eastAsiaTheme="majorEastAsia" w:hAnsiTheme="majorHAnsi" w:cstheme="majorBidi"/>
      <w:b/>
      <w:bCs/>
      <w:color w:val="000000" w:themeColor="text1"/>
      <w:sz w:val="24"/>
      <w:szCs w:val="26"/>
    </w:rPr>
  </w:style>
  <w:style w:type="paragraph" w:styleId="Heading3">
    <w:name w:val="heading 3"/>
    <w:basedOn w:val="Normal"/>
    <w:next w:val="Normal"/>
    <w:link w:val="Heading3Char"/>
    <w:uiPriority w:val="9"/>
    <w:unhideWhenUsed/>
    <w:qFormat/>
    <w:rsid w:val="003218AB"/>
    <w:pPr>
      <w:keepNext/>
      <w:keepLines/>
      <w:outlineLvl w:val="2"/>
    </w:pPr>
    <w:rPr>
      <w:rFonts w:asciiTheme="majorHAnsi" w:eastAsiaTheme="majorEastAsia" w:hAnsiTheme="majorHAnsi" w:cstheme="majorBidi"/>
      <w:b/>
      <w:bCs/>
      <w:color w:val="595959" w:themeColor="text1" w:themeTint="A6"/>
    </w:rPr>
  </w:style>
  <w:style w:type="paragraph" w:styleId="Heading4">
    <w:name w:val="heading 4"/>
    <w:basedOn w:val="Normal"/>
    <w:next w:val="Normal"/>
    <w:link w:val="Heading4Char"/>
    <w:uiPriority w:val="9"/>
    <w:semiHidden/>
    <w:unhideWhenUsed/>
    <w:qFormat/>
    <w:rsid w:val="007845EA"/>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845EA"/>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845EA"/>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845EA"/>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845EA"/>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845E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2D0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F2D0A"/>
    <w:rPr>
      <w:rFonts w:asciiTheme="majorHAnsi" w:eastAsiaTheme="majorEastAsia" w:hAnsiTheme="majorHAnsi" w:cstheme="majorBidi"/>
      <w:b/>
      <w:bCs/>
      <w:color w:val="000000" w:themeColor="text1"/>
      <w:sz w:val="24"/>
      <w:szCs w:val="26"/>
    </w:rPr>
  </w:style>
  <w:style w:type="character" w:customStyle="1" w:styleId="Heading3Char">
    <w:name w:val="Heading 3 Char"/>
    <w:basedOn w:val="DefaultParagraphFont"/>
    <w:link w:val="Heading3"/>
    <w:uiPriority w:val="9"/>
    <w:rsid w:val="003218AB"/>
    <w:rPr>
      <w:rFonts w:asciiTheme="majorHAnsi" w:eastAsiaTheme="majorEastAsia" w:hAnsiTheme="majorHAnsi" w:cstheme="majorBidi"/>
      <w:b/>
      <w:bCs/>
      <w:color w:val="595959" w:themeColor="text1" w:themeTint="A6"/>
    </w:rPr>
  </w:style>
  <w:style w:type="character" w:customStyle="1" w:styleId="Heading4Char">
    <w:name w:val="Heading 4 Char"/>
    <w:basedOn w:val="DefaultParagraphFont"/>
    <w:link w:val="Heading4"/>
    <w:uiPriority w:val="9"/>
    <w:semiHidden/>
    <w:rsid w:val="007845EA"/>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7845EA"/>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7845EA"/>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7845E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7845E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7845EA"/>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7845EA"/>
    <w:rPr>
      <w:b/>
      <w:bCs/>
      <w:color w:val="4F81BD" w:themeColor="accent1"/>
      <w:sz w:val="18"/>
      <w:szCs w:val="18"/>
    </w:rPr>
  </w:style>
  <w:style w:type="paragraph" w:styleId="Title">
    <w:name w:val="Title"/>
    <w:basedOn w:val="Normal"/>
    <w:next w:val="Normal"/>
    <w:link w:val="TitleChar"/>
    <w:uiPriority w:val="10"/>
    <w:qFormat/>
    <w:rsid w:val="007845E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845EA"/>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7845E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7845EA"/>
    <w:rPr>
      <w:rFonts w:asciiTheme="majorHAnsi" w:eastAsiaTheme="majorEastAsia" w:hAnsiTheme="majorHAnsi" w:cstheme="majorBidi"/>
      <w:i/>
      <w:iCs/>
      <w:color w:val="4F81BD" w:themeColor="accent1"/>
      <w:spacing w:val="15"/>
      <w:sz w:val="24"/>
      <w:szCs w:val="24"/>
    </w:rPr>
  </w:style>
  <w:style w:type="character" w:styleId="Strong">
    <w:name w:val="Strong"/>
    <w:qFormat/>
    <w:rsid w:val="007845EA"/>
    <w:rPr>
      <w:b/>
      <w:bCs/>
    </w:rPr>
  </w:style>
  <w:style w:type="character" w:styleId="Emphasis">
    <w:name w:val="Emphasis"/>
    <w:uiPriority w:val="20"/>
    <w:qFormat/>
    <w:rsid w:val="007845EA"/>
    <w:rPr>
      <w:i/>
      <w:iCs/>
    </w:rPr>
  </w:style>
  <w:style w:type="paragraph" w:styleId="NoSpacing">
    <w:name w:val="No Spacing"/>
    <w:basedOn w:val="Normal"/>
    <w:link w:val="NoSpacingChar"/>
    <w:uiPriority w:val="1"/>
    <w:qFormat/>
    <w:rsid w:val="007845EA"/>
    <w:pPr>
      <w:spacing w:after="0"/>
    </w:pPr>
  </w:style>
  <w:style w:type="character" w:customStyle="1" w:styleId="NoSpacingChar">
    <w:name w:val="No Spacing Char"/>
    <w:basedOn w:val="DefaultParagraphFont"/>
    <w:link w:val="NoSpacing"/>
    <w:uiPriority w:val="1"/>
    <w:rsid w:val="007845EA"/>
  </w:style>
  <w:style w:type="paragraph" w:styleId="ListParagraph">
    <w:name w:val="List Paragraph"/>
    <w:basedOn w:val="Normal"/>
    <w:uiPriority w:val="34"/>
    <w:qFormat/>
    <w:rsid w:val="007845EA"/>
    <w:pPr>
      <w:ind w:left="720"/>
      <w:contextualSpacing/>
    </w:pPr>
  </w:style>
  <w:style w:type="paragraph" w:styleId="Quote">
    <w:name w:val="Quote"/>
    <w:basedOn w:val="Normal"/>
    <w:next w:val="Normal"/>
    <w:link w:val="QuoteChar"/>
    <w:uiPriority w:val="29"/>
    <w:qFormat/>
    <w:rsid w:val="007845EA"/>
    <w:rPr>
      <w:i/>
      <w:iCs/>
      <w:color w:val="000000" w:themeColor="text1"/>
    </w:rPr>
  </w:style>
  <w:style w:type="character" w:customStyle="1" w:styleId="QuoteChar">
    <w:name w:val="Quote Char"/>
    <w:basedOn w:val="DefaultParagraphFont"/>
    <w:link w:val="Quote"/>
    <w:uiPriority w:val="29"/>
    <w:rsid w:val="007845EA"/>
    <w:rPr>
      <w:i/>
      <w:iCs/>
      <w:color w:val="000000" w:themeColor="text1"/>
    </w:rPr>
  </w:style>
  <w:style w:type="paragraph" w:styleId="IntenseQuote">
    <w:name w:val="Intense Quote"/>
    <w:basedOn w:val="Normal"/>
    <w:next w:val="Normal"/>
    <w:link w:val="IntenseQuoteChar"/>
    <w:uiPriority w:val="30"/>
    <w:qFormat/>
    <w:rsid w:val="007845EA"/>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7845EA"/>
    <w:rPr>
      <w:b/>
      <w:bCs/>
      <w:i/>
      <w:iCs/>
      <w:color w:val="4F81BD" w:themeColor="accent1"/>
    </w:rPr>
  </w:style>
  <w:style w:type="character" w:styleId="SubtleEmphasis">
    <w:name w:val="Subtle Emphasis"/>
    <w:uiPriority w:val="19"/>
    <w:qFormat/>
    <w:rsid w:val="007845EA"/>
    <w:rPr>
      <w:i/>
      <w:iCs/>
      <w:color w:val="808080" w:themeColor="text1" w:themeTint="7F"/>
    </w:rPr>
  </w:style>
  <w:style w:type="character" w:styleId="IntenseEmphasis">
    <w:name w:val="Intense Emphasis"/>
    <w:uiPriority w:val="21"/>
    <w:qFormat/>
    <w:rsid w:val="007845EA"/>
    <w:rPr>
      <w:b/>
      <w:bCs/>
      <w:i/>
      <w:iCs/>
      <w:color w:val="4F81BD" w:themeColor="accent1"/>
    </w:rPr>
  </w:style>
  <w:style w:type="character" w:styleId="SubtleReference">
    <w:name w:val="Subtle Reference"/>
    <w:basedOn w:val="DefaultParagraphFont"/>
    <w:uiPriority w:val="31"/>
    <w:qFormat/>
    <w:rsid w:val="007845EA"/>
    <w:rPr>
      <w:smallCaps/>
      <w:color w:val="C0504D" w:themeColor="accent2"/>
      <w:u w:val="single"/>
    </w:rPr>
  </w:style>
  <w:style w:type="character" w:styleId="IntenseReference">
    <w:name w:val="Intense Reference"/>
    <w:uiPriority w:val="32"/>
    <w:qFormat/>
    <w:rsid w:val="007845EA"/>
    <w:rPr>
      <w:b/>
      <w:bCs/>
      <w:smallCaps/>
      <w:color w:val="C0504D" w:themeColor="accent2"/>
      <w:spacing w:val="5"/>
      <w:u w:val="single"/>
    </w:rPr>
  </w:style>
  <w:style w:type="character" w:styleId="BookTitle">
    <w:name w:val="Book Title"/>
    <w:uiPriority w:val="33"/>
    <w:qFormat/>
    <w:rsid w:val="007845EA"/>
    <w:rPr>
      <w:b/>
      <w:bCs/>
      <w:smallCaps/>
      <w:spacing w:val="5"/>
    </w:rPr>
  </w:style>
  <w:style w:type="paragraph" w:styleId="TOCHeading">
    <w:name w:val="TOC Heading"/>
    <w:basedOn w:val="Heading1"/>
    <w:next w:val="Normal"/>
    <w:uiPriority w:val="39"/>
    <w:semiHidden/>
    <w:unhideWhenUsed/>
    <w:qFormat/>
    <w:rsid w:val="007845EA"/>
    <w:pPr>
      <w:outlineLvl w:val="9"/>
    </w:pPr>
  </w:style>
  <w:style w:type="paragraph" w:styleId="BalloonText">
    <w:name w:val="Balloon Text"/>
    <w:basedOn w:val="Normal"/>
    <w:link w:val="BalloonTextChar"/>
    <w:uiPriority w:val="99"/>
    <w:semiHidden/>
    <w:unhideWhenUsed/>
    <w:rsid w:val="004B0C8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0C87"/>
    <w:rPr>
      <w:rFonts w:ascii="Tahoma" w:hAnsi="Tahoma" w:cs="Tahoma"/>
      <w:sz w:val="16"/>
      <w:szCs w:val="16"/>
    </w:rPr>
  </w:style>
  <w:style w:type="paragraph" w:styleId="Header">
    <w:name w:val="header"/>
    <w:basedOn w:val="Normal"/>
    <w:link w:val="HeaderChar"/>
    <w:uiPriority w:val="99"/>
    <w:unhideWhenUsed/>
    <w:rsid w:val="00B46D14"/>
    <w:pPr>
      <w:tabs>
        <w:tab w:val="clear" w:pos="567"/>
        <w:tab w:val="center" w:pos="4513"/>
        <w:tab w:val="right" w:pos="9026"/>
      </w:tabs>
      <w:spacing w:after="0"/>
    </w:pPr>
  </w:style>
  <w:style w:type="character" w:customStyle="1" w:styleId="HeaderChar">
    <w:name w:val="Header Char"/>
    <w:basedOn w:val="DefaultParagraphFont"/>
    <w:link w:val="Header"/>
    <w:uiPriority w:val="99"/>
    <w:rsid w:val="00B46D14"/>
  </w:style>
  <w:style w:type="paragraph" w:styleId="Footer">
    <w:name w:val="footer"/>
    <w:basedOn w:val="Normal"/>
    <w:link w:val="FooterChar"/>
    <w:uiPriority w:val="99"/>
    <w:unhideWhenUsed/>
    <w:rsid w:val="00B46D14"/>
    <w:pPr>
      <w:tabs>
        <w:tab w:val="clear" w:pos="567"/>
        <w:tab w:val="center" w:pos="4513"/>
        <w:tab w:val="right" w:pos="9026"/>
      </w:tabs>
      <w:spacing w:after="0"/>
    </w:pPr>
  </w:style>
  <w:style w:type="character" w:customStyle="1" w:styleId="FooterChar">
    <w:name w:val="Footer Char"/>
    <w:basedOn w:val="DefaultParagraphFont"/>
    <w:link w:val="Footer"/>
    <w:uiPriority w:val="99"/>
    <w:rsid w:val="00B46D14"/>
  </w:style>
  <w:style w:type="paragraph" w:customStyle="1" w:styleId="DAAFBC045A234F388343B1A25E857B74">
    <w:name w:val="DAAFBC045A234F388343B1A25E857B74"/>
    <w:rsid w:val="00B46D14"/>
    <w:rPr>
      <w:rFonts w:eastAsiaTheme="minorEastAsia"/>
      <w:lang w:val="en-US" w:eastAsia="ja-JP"/>
    </w:rPr>
  </w:style>
  <w:style w:type="paragraph" w:styleId="FootnoteText">
    <w:name w:val="footnote text"/>
    <w:basedOn w:val="Normal"/>
    <w:link w:val="FootnoteTextChar"/>
    <w:rsid w:val="0076367A"/>
    <w:pPr>
      <w:tabs>
        <w:tab w:val="clear" w:pos="567"/>
      </w:tabs>
      <w:spacing w:after="0"/>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76367A"/>
    <w:rPr>
      <w:rFonts w:ascii="Times New Roman" w:eastAsia="Times New Roman" w:hAnsi="Times New Roman" w:cs="Times New Roman"/>
      <w:sz w:val="20"/>
      <w:szCs w:val="20"/>
    </w:rPr>
  </w:style>
  <w:style w:type="character" w:styleId="FootnoteReference">
    <w:name w:val="footnote reference"/>
    <w:rsid w:val="0076367A"/>
    <w:rPr>
      <w:vertAlign w:val="superscript"/>
    </w:rPr>
  </w:style>
  <w:style w:type="character" w:customStyle="1" w:styleId="blue">
    <w:name w:val="blue"/>
    <w:basedOn w:val="DefaultParagraphFont"/>
    <w:rsid w:val="0076367A"/>
  </w:style>
  <w:style w:type="character" w:customStyle="1" w:styleId="italic">
    <w:name w:val="italic"/>
    <w:basedOn w:val="DefaultParagraphFont"/>
    <w:rsid w:val="0076367A"/>
  </w:style>
  <w:style w:type="paragraph" w:styleId="NormalWeb">
    <w:name w:val="Normal (Web)"/>
    <w:basedOn w:val="Normal"/>
    <w:uiPriority w:val="99"/>
    <w:unhideWhenUsed/>
    <w:rsid w:val="0076367A"/>
    <w:pPr>
      <w:tabs>
        <w:tab w:val="clear" w:pos="567"/>
      </w:tabs>
      <w:spacing w:before="100" w:beforeAutospacing="1" w:after="150"/>
    </w:pPr>
    <w:rPr>
      <w:rFonts w:ascii="Times New Roman" w:eastAsia="Times New Roman" w:hAnsi="Times New Roman" w:cs="Times New Roman"/>
      <w:sz w:val="24"/>
      <w:szCs w:val="24"/>
    </w:rPr>
  </w:style>
  <w:style w:type="paragraph" w:customStyle="1" w:styleId="loose">
    <w:name w:val="loose"/>
    <w:basedOn w:val="Normal"/>
    <w:rsid w:val="0076367A"/>
    <w:pPr>
      <w:tabs>
        <w:tab w:val="clear" w:pos="567"/>
      </w:tabs>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B559B"/>
    <w:rPr>
      <w:color w:val="0000FF" w:themeColor="hyperlink"/>
      <w:u w:val="single"/>
    </w:rPr>
  </w:style>
  <w:style w:type="paragraph" w:customStyle="1" w:styleId="Default">
    <w:name w:val="Default"/>
    <w:rsid w:val="00FC5CF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VEOHRCquote">
    <w:name w:val="VEOHRC quote"/>
    <w:basedOn w:val="Normal"/>
    <w:rsid w:val="002330F0"/>
    <w:pPr>
      <w:tabs>
        <w:tab w:val="clear" w:pos="567"/>
      </w:tabs>
      <w:spacing w:after="0"/>
      <w:ind w:left="720"/>
    </w:pPr>
    <w:rPr>
      <w:rFonts w:ascii="Arial" w:eastAsia="Times New Roman" w:hAnsi="Arial" w:cs="Times New Roman"/>
      <w:i/>
      <w:iCs/>
      <w:sz w:val="23"/>
      <w:szCs w:val="20"/>
      <w:lang w:eastAsia="en-US"/>
    </w:rPr>
  </w:style>
  <w:style w:type="character" w:customStyle="1" w:styleId="VEOHRCListBulletChar">
    <w:name w:val="VEOHRC List Bullet Char"/>
    <w:basedOn w:val="DefaultParagraphFont"/>
    <w:link w:val="VEOHRCListBullet"/>
    <w:locked/>
    <w:rsid w:val="002330F0"/>
    <w:rPr>
      <w:rFonts w:ascii="Arial" w:hAnsi="Arial" w:cs="Arial"/>
      <w:sz w:val="23"/>
      <w:szCs w:val="24"/>
    </w:rPr>
  </w:style>
  <w:style w:type="paragraph" w:customStyle="1" w:styleId="VEOHRCListBullet">
    <w:name w:val="VEOHRC List Bullet"/>
    <w:basedOn w:val="Normal"/>
    <w:link w:val="VEOHRCListBulletChar"/>
    <w:rsid w:val="002330F0"/>
    <w:pPr>
      <w:numPr>
        <w:numId w:val="2"/>
      </w:numPr>
      <w:tabs>
        <w:tab w:val="clear" w:pos="567"/>
      </w:tabs>
      <w:spacing w:after="120" w:line="240" w:lineRule="atLeast"/>
    </w:pPr>
    <w:rPr>
      <w:rFonts w:ascii="Arial" w:hAnsi="Arial" w:cs="Arial"/>
      <w:sz w:val="23"/>
      <w:szCs w:val="24"/>
    </w:rPr>
  </w:style>
  <w:style w:type="paragraph" w:customStyle="1" w:styleId="VEOHRCBodytext">
    <w:name w:val="VEOHRC Body text"/>
    <w:basedOn w:val="Normal"/>
    <w:rsid w:val="002330F0"/>
    <w:pPr>
      <w:tabs>
        <w:tab w:val="clear" w:pos="567"/>
      </w:tabs>
      <w:spacing w:before="80" w:after="120"/>
    </w:pPr>
    <w:rPr>
      <w:rFonts w:ascii="Arial" w:eastAsia="Times New Roman" w:hAnsi="Arial" w:cs="Times New Roman"/>
      <w:sz w:val="23"/>
      <w:szCs w:val="24"/>
    </w:rPr>
  </w:style>
  <w:style w:type="paragraph" w:customStyle="1" w:styleId="VEOHRCHeading2">
    <w:name w:val="VEOHRC Heading 2"/>
    <w:basedOn w:val="Heading2"/>
    <w:rsid w:val="00855964"/>
    <w:pPr>
      <w:keepLines w:val="0"/>
      <w:tabs>
        <w:tab w:val="clear" w:pos="567"/>
      </w:tabs>
      <w:spacing w:before="240" w:after="60" w:line="280" w:lineRule="atLeast"/>
    </w:pPr>
    <w:rPr>
      <w:rFonts w:ascii="Arial Bold" w:eastAsia="Times New Roman" w:hAnsi="Arial Bold" w:cs="Arial"/>
      <w:iCs/>
      <w:color w:val="auto"/>
      <w:sz w:val="28"/>
      <w:szCs w:val="28"/>
    </w:rPr>
  </w:style>
  <w:style w:type="character" w:styleId="FollowedHyperlink">
    <w:name w:val="FollowedHyperlink"/>
    <w:basedOn w:val="DefaultParagraphFont"/>
    <w:uiPriority w:val="99"/>
    <w:semiHidden/>
    <w:unhideWhenUsed/>
    <w:rsid w:val="004450EC"/>
    <w:rPr>
      <w:color w:val="800080" w:themeColor="followedHyperlink"/>
      <w:u w:val="single"/>
    </w:rPr>
  </w:style>
  <w:style w:type="character" w:styleId="CommentReference">
    <w:name w:val="annotation reference"/>
    <w:basedOn w:val="DefaultParagraphFont"/>
    <w:uiPriority w:val="99"/>
    <w:semiHidden/>
    <w:unhideWhenUsed/>
    <w:rsid w:val="00217A7D"/>
    <w:rPr>
      <w:sz w:val="16"/>
      <w:szCs w:val="16"/>
    </w:rPr>
  </w:style>
  <w:style w:type="paragraph" w:styleId="CommentText">
    <w:name w:val="annotation text"/>
    <w:basedOn w:val="Normal"/>
    <w:link w:val="CommentTextChar"/>
    <w:uiPriority w:val="99"/>
    <w:semiHidden/>
    <w:unhideWhenUsed/>
    <w:rsid w:val="00217A7D"/>
    <w:rPr>
      <w:sz w:val="20"/>
      <w:szCs w:val="20"/>
    </w:rPr>
  </w:style>
  <w:style w:type="character" w:customStyle="1" w:styleId="CommentTextChar">
    <w:name w:val="Comment Text Char"/>
    <w:basedOn w:val="DefaultParagraphFont"/>
    <w:link w:val="CommentText"/>
    <w:uiPriority w:val="99"/>
    <w:semiHidden/>
    <w:rsid w:val="00217A7D"/>
    <w:rPr>
      <w:sz w:val="20"/>
      <w:szCs w:val="20"/>
    </w:rPr>
  </w:style>
  <w:style w:type="paragraph" w:styleId="CommentSubject">
    <w:name w:val="annotation subject"/>
    <w:basedOn w:val="CommentText"/>
    <w:next w:val="CommentText"/>
    <w:link w:val="CommentSubjectChar"/>
    <w:uiPriority w:val="99"/>
    <w:semiHidden/>
    <w:unhideWhenUsed/>
    <w:rsid w:val="00217A7D"/>
    <w:rPr>
      <w:b/>
      <w:bCs/>
    </w:rPr>
  </w:style>
  <w:style w:type="character" w:customStyle="1" w:styleId="CommentSubjectChar">
    <w:name w:val="Comment Subject Char"/>
    <w:basedOn w:val="CommentTextChar"/>
    <w:link w:val="CommentSubject"/>
    <w:uiPriority w:val="99"/>
    <w:semiHidden/>
    <w:rsid w:val="00217A7D"/>
    <w:rPr>
      <w:b/>
      <w:bCs/>
      <w:sz w:val="20"/>
      <w:szCs w:val="20"/>
    </w:rPr>
  </w:style>
  <w:style w:type="paragraph" w:customStyle="1" w:styleId="VEOHRCQuotation">
    <w:name w:val="VEOHRC Quotation"/>
    <w:basedOn w:val="Normal"/>
    <w:rsid w:val="00E0232D"/>
    <w:pPr>
      <w:tabs>
        <w:tab w:val="clear" w:pos="567"/>
      </w:tabs>
      <w:spacing w:after="120"/>
      <w:ind w:left="720"/>
    </w:pPr>
    <w:rPr>
      <w:rFonts w:ascii="Arial" w:eastAsia="Times New Roman" w:hAnsi="Arial" w:cs="Times New Roman"/>
      <w:i/>
      <w:sz w:val="23"/>
      <w:szCs w:val="24"/>
    </w:rPr>
  </w:style>
  <w:style w:type="character" w:styleId="HTMLCite">
    <w:name w:val="HTML Cite"/>
    <w:uiPriority w:val="99"/>
    <w:unhideWhenUsed/>
    <w:rsid w:val="00C310B8"/>
    <w:rPr>
      <w:i/>
      <w:iCs/>
    </w:rPr>
  </w:style>
  <w:style w:type="character" w:customStyle="1" w:styleId="apple-converted-space">
    <w:name w:val="apple-converted-space"/>
    <w:basedOn w:val="DefaultParagraphFont"/>
    <w:rsid w:val="009E1CAA"/>
  </w:style>
  <w:style w:type="paragraph" w:styleId="TOC1">
    <w:name w:val="toc 1"/>
    <w:basedOn w:val="Normal"/>
    <w:next w:val="Normal"/>
    <w:autoRedefine/>
    <w:uiPriority w:val="39"/>
    <w:unhideWhenUsed/>
    <w:rsid w:val="00A927D8"/>
    <w:pPr>
      <w:tabs>
        <w:tab w:val="clear" w:pos="567"/>
      </w:tabs>
      <w:spacing w:after="100"/>
    </w:pPr>
  </w:style>
  <w:style w:type="paragraph" w:styleId="TOC2">
    <w:name w:val="toc 2"/>
    <w:basedOn w:val="Normal"/>
    <w:next w:val="Normal"/>
    <w:autoRedefine/>
    <w:uiPriority w:val="39"/>
    <w:unhideWhenUsed/>
    <w:rsid w:val="00A927D8"/>
    <w:pPr>
      <w:tabs>
        <w:tab w:val="clear" w:pos="567"/>
      </w:tabs>
      <w:spacing w:after="100"/>
      <w:ind w:left="220"/>
    </w:pPr>
  </w:style>
  <w:style w:type="paragraph" w:styleId="TOC3">
    <w:name w:val="toc 3"/>
    <w:basedOn w:val="Normal"/>
    <w:next w:val="Normal"/>
    <w:autoRedefine/>
    <w:uiPriority w:val="39"/>
    <w:unhideWhenUsed/>
    <w:rsid w:val="008044B3"/>
    <w:pPr>
      <w:tabs>
        <w:tab w:val="clear" w:pos="567"/>
      </w:tabs>
      <w:spacing w:after="100"/>
      <w:ind w:left="440"/>
    </w:pPr>
  </w:style>
  <w:style w:type="paragraph" w:styleId="Revision">
    <w:name w:val="Revision"/>
    <w:hidden/>
    <w:uiPriority w:val="99"/>
    <w:semiHidden/>
    <w:rsid w:val="00A20A3B"/>
    <w:pPr>
      <w:spacing w:after="0" w:line="240" w:lineRule="auto"/>
    </w:pPr>
  </w:style>
  <w:style w:type="paragraph" w:styleId="PlainText">
    <w:name w:val="Plain Text"/>
    <w:basedOn w:val="Normal"/>
    <w:link w:val="PlainTextChar"/>
    <w:uiPriority w:val="99"/>
    <w:semiHidden/>
    <w:unhideWhenUsed/>
    <w:rsid w:val="00867453"/>
    <w:pPr>
      <w:tabs>
        <w:tab w:val="clear" w:pos="567"/>
      </w:tabs>
      <w:spacing w:after="0"/>
    </w:pPr>
    <w:rPr>
      <w:rFonts w:ascii="Arial" w:hAnsi="Arial" w:cs="Arial"/>
      <w:sz w:val="24"/>
      <w:szCs w:val="24"/>
      <w:lang w:eastAsia="en-US"/>
    </w:rPr>
  </w:style>
  <w:style w:type="character" w:customStyle="1" w:styleId="PlainTextChar">
    <w:name w:val="Plain Text Char"/>
    <w:basedOn w:val="DefaultParagraphFont"/>
    <w:link w:val="PlainText"/>
    <w:uiPriority w:val="99"/>
    <w:semiHidden/>
    <w:rsid w:val="00867453"/>
    <w:rPr>
      <w:rFonts w:ascii="Arial" w:hAnsi="Arial" w:cs="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226635">
      <w:bodyDiv w:val="1"/>
      <w:marLeft w:val="0"/>
      <w:marRight w:val="0"/>
      <w:marTop w:val="0"/>
      <w:marBottom w:val="0"/>
      <w:divBdr>
        <w:top w:val="none" w:sz="0" w:space="0" w:color="auto"/>
        <w:left w:val="none" w:sz="0" w:space="0" w:color="auto"/>
        <w:bottom w:val="none" w:sz="0" w:space="0" w:color="auto"/>
        <w:right w:val="none" w:sz="0" w:space="0" w:color="auto"/>
      </w:divBdr>
    </w:div>
    <w:div w:id="167332810">
      <w:bodyDiv w:val="1"/>
      <w:marLeft w:val="0"/>
      <w:marRight w:val="0"/>
      <w:marTop w:val="0"/>
      <w:marBottom w:val="0"/>
      <w:divBdr>
        <w:top w:val="none" w:sz="0" w:space="0" w:color="auto"/>
        <w:left w:val="none" w:sz="0" w:space="0" w:color="auto"/>
        <w:bottom w:val="none" w:sz="0" w:space="0" w:color="auto"/>
        <w:right w:val="none" w:sz="0" w:space="0" w:color="auto"/>
      </w:divBdr>
    </w:div>
    <w:div w:id="194395265">
      <w:bodyDiv w:val="1"/>
      <w:marLeft w:val="0"/>
      <w:marRight w:val="0"/>
      <w:marTop w:val="0"/>
      <w:marBottom w:val="0"/>
      <w:divBdr>
        <w:top w:val="none" w:sz="0" w:space="0" w:color="auto"/>
        <w:left w:val="none" w:sz="0" w:space="0" w:color="auto"/>
        <w:bottom w:val="none" w:sz="0" w:space="0" w:color="auto"/>
        <w:right w:val="none" w:sz="0" w:space="0" w:color="auto"/>
      </w:divBdr>
      <w:divsChild>
        <w:div w:id="495846474">
          <w:marLeft w:val="0"/>
          <w:marRight w:val="0"/>
          <w:marTop w:val="0"/>
          <w:marBottom w:val="0"/>
          <w:divBdr>
            <w:top w:val="none" w:sz="0" w:space="0" w:color="auto"/>
            <w:left w:val="none" w:sz="0" w:space="0" w:color="auto"/>
            <w:bottom w:val="none" w:sz="0" w:space="0" w:color="auto"/>
            <w:right w:val="none" w:sz="0" w:space="0" w:color="auto"/>
          </w:divBdr>
          <w:divsChild>
            <w:div w:id="875120155">
              <w:marLeft w:val="-225"/>
              <w:marRight w:val="-225"/>
              <w:marTop w:val="0"/>
              <w:marBottom w:val="0"/>
              <w:divBdr>
                <w:top w:val="none" w:sz="0" w:space="0" w:color="auto"/>
                <w:left w:val="none" w:sz="0" w:space="0" w:color="auto"/>
                <w:bottom w:val="none" w:sz="0" w:space="0" w:color="auto"/>
                <w:right w:val="none" w:sz="0" w:space="0" w:color="auto"/>
              </w:divBdr>
              <w:divsChild>
                <w:div w:id="110246277">
                  <w:marLeft w:val="0"/>
                  <w:marRight w:val="0"/>
                  <w:marTop w:val="0"/>
                  <w:marBottom w:val="0"/>
                  <w:divBdr>
                    <w:top w:val="none" w:sz="0" w:space="0" w:color="auto"/>
                    <w:left w:val="none" w:sz="0" w:space="0" w:color="auto"/>
                    <w:bottom w:val="none" w:sz="0" w:space="0" w:color="auto"/>
                    <w:right w:val="none" w:sz="0" w:space="0" w:color="auto"/>
                  </w:divBdr>
                  <w:divsChild>
                    <w:div w:id="306934041">
                      <w:marLeft w:val="0"/>
                      <w:marRight w:val="0"/>
                      <w:marTop w:val="0"/>
                      <w:marBottom w:val="0"/>
                      <w:divBdr>
                        <w:top w:val="none" w:sz="0" w:space="0" w:color="auto"/>
                        <w:left w:val="none" w:sz="0" w:space="0" w:color="auto"/>
                        <w:bottom w:val="none" w:sz="0" w:space="0" w:color="auto"/>
                        <w:right w:val="none" w:sz="0" w:space="0" w:color="auto"/>
                      </w:divBdr>
                      <w:divsChild>
                        <w:div w:id="430590014">
                          <w:marLeft w:val="0"/>
                          <w:marRight w:val="0"/>
                          <w:marTop w:val="0"/>
                          <w:marBottom w:val="0"/>
                          <w:divBdr>
                            <w:top w:val="none" w:sz="0" w:space="0" w:color="auto"/>
                            <w:left w:val="none" w:sz="0" w:space="0" w:color="auto"/>
                            <w:bottom w:val="none" w:sz="0" w:space="0" w:color="auto"/>
                            <w:right w:val="none" w:sz="0" w:space="0" w:color="auto"/>
                          </w:divBdr>
                          <w:divsChild>
                            <w:div w:id="1938293230">
                              <w:marLeft w:val="0"/>
                              <w:marRight w:val="0"/>
                              <w:marTop w:val="0"/>
                              <w:marBottom w:val="0"/>
                              <w:divBdr>
                                <w:top w:val="none" w:sz="0" w:space="0" w:color="auto"/>
                                <w:left w:val="none" w:sz="0" w:space="0" w:color="auto"/>
                                <w:bottom w:val="none" w:sz="0" w:space="0" w:color="auto"/>
                                <w:right w:val="none" w:sz="0" w:space="0" w:color="auto"/>
                              </w:divBdr>
                              <w:divsChild>
                                <w:div w:id="958341459">
                                  <w:marLeft w:val="0"/>
                                  <w:marRight w:val="0"/>
                                  <w:marTop w:val="0"/>
                                  <w:marBottom w:val="0"/>
                                  <w:divBdr>
                                    <w:top w:val="none" w:sz="0" w:space="0" w:color="auto"/>
                                    <w:left w:val="none" w:sz="0" w:space="0" w:color="auto"/>
                                    <w:bottom w:val="none" w:sz="0" w:space="0" w:color="auto"/>
                                    <w:right w:val="none" w:sz="0" w:space="0" w:color="auto"/>
                                  </w:divBdr>
                                  <w:divsChild>
                                    <w:div w:id="2088066650">
                                      <w:marLeft w:val="0"/>
                                      <w:marRight w:val="0"/>
                                      <w:marTop w:val="0"/>
                                      <w:marBottom w:val="0"/>
                                      <w:divBdr>
                                        <w:top w:val="none" w:sz="0" w:space="0" w:color="auto"/>
                                        <w:left w:val="none" w:sz="0" w:space="0" w:color="auto"/>
                                        <w:bottom w:val="none" w:sz="0" w:space="0" w:color="auto"/>
                                        <w:right w:val="none" w:sz="0" w:space="0" w:color="auto"/>
                                      </w:divBdr>
                                      <w:divsChild>
                                        <w:div w:id="906764517">
                                          <w:marLeft w:val="0"/>
                                          <w:marRight w:val="0"/>
                                          <w:marTop w:val="0"/>
                                          <w:marBottom w:val="0"/>
                                          <w:divBdr>
                                            <w:top w:val="none" w:sz="0" w:space="0" w:color="auto"/>
                                            <w:left w:val="none" w:sz="0" w:space="0" w:color="auto"/>
                                            <w:bottom w:val="none" w:sz="0" w:space="0" w:color="auto"/>
                                            <w:right w:val="none" w:sz="0" w:space="0" w:color="auto"/>
                                          </w:divBdr>
                                          <w:divsChild>
                                            <w:div w:id="1548491252">
                                              <w:marLeft w:val="0"/>
                                              <w:marRight w:val="0"/>
                                              <w:marTop w:val="0"/>
                                              <w:marBottom w:val="0"/>
                                              <w:divBdr>
                                                <w:top w:val="none" w:sz="0" w:space="0" w:color="auto"/>
                                                <w:left w:val="none" w:sz="0" w:space="0" w:color="auto"/>
                                                <w:bottom w:val="none" w:sz="0" w:space="0" w:color="auto"/>
                                                <w:right w:val="none" w:sz="0" w:space="0" w:color="auto"/>
                                              </w:divBdr>
                                              <w:divsChild>
                                                <w:div w:id="657613086">
                                                  <w:marLeft w:val="0"/>
                                                  <w:marRight w:val="0"/>
                                                  <w:marTop w:val="0"/>
                                                  <w:marBottom w:val="0"/>
                                                  <w:divBdr>
                                                    <w:top w:val="none" w:sz="0" w:space="0" w:color="auto"/>
                                                    <w:left w:val="none" w:sz="0" w:space="0" w:color="auto"/>
                                                    <w:bottom w:val="none" w:sz="0" w:space="0" w:color="auto"/>
                                                    <w:right w:val="none" w:sz="0" w:space="0" w:color="auto"/>
                                                  </w:divBdr>
                                                  <w:divsChild>
                                                    <w:div w:id="1389956892">
                                                      <w:marLeft w:val="0"/>
                                                      <w:marRight w:val="0"/>
                                                      <w:marTop w:val="0"/>
                                                      <w:marBottom w:val="0"/>
                                                      <w:divBdr>
                                                        <w:top w:val="none" w:sz="0" w:space="0" w:color="auto"/>
                                                        <w:left w:val="none" w:sz="0" w:space="0" w:color="auto"/>
                                                        <w:bottom w:val="none" w:sz="0" w:space="0" w:color="auto"/>
                                                        <w:right w:val="none" w:sz="0" w:space="0" w:color="auto"/>
                                                      </w:divBdr>
                                                      <w:divsChild>
                                                        <w:div w:id="10216663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73708916">
      <w:bodyDiv w:val="1"/>
      <w:marLeft w:val="0"/>
      <w:marRight w:val="0"/>
      <w:marTop w:val="0"/>
      <w:marBottom w:val="0"/>
      <w:divBdr>
        <w:top w:val="none" w:sz="0" w:space="0" w:color="auto"/>
        <w:left w:val="none" w:sz="0" w:space="0" w:color="auto"/>
        <w:bottom w:val="none" w:sz="0" w:space="0" w:color="auto"/>
        <w:right w:val="none" w:sz="0" w:space="0" w:color="auto"/>
      </w:divBdr>
    </w:div>
    <w:div w:id="291444157">
      <w:bodyDiv w:val="1"/>
      <w:marLeft w:val="0"/>
      <w:marRight w:val="0"/>
      <w:marTop w:val="0"/>
      <w:marBottom w:val="0"/>
      <w:divBdr>
        <w:top w:val="none" w:sz="0" w:space="0" w:color="auto"/>
        <w:left w:val="none" w:sz="0" w:space="0" w:color="auto"/>
        <w:bottom w:val="none" w:sz="0" w:space="0" w:color="auto"/>
        <w:right w:val="none" w:sz="0" w:space="0" w:color="auto"/>
      </w:divBdr>
    </w:div>
    <w:div w:id="313992346">
      <w:bodyDiv w:val="1"/>
      <w:marLeft w:val="0"/>
      <w:marRight w:val="0"/>
      <w:marTop w:val="0"/>
      <w:marBottom w:val="0"/>
      <w:divBdr>
        <w:top w:val="none" w:sz="0" w:space="0" w:color="auto"/>
        <w:left w:val="none" w:sz="0" w:space="0" w:color="auto"/>
        <w:bottom w:val="none" w:sz="0" w:space="0" w:color="auto"/>
        <w:right w:val="none" w:sz="0" w:space="0" w:color="auto"/>
      </w:divBdr>
    </w:div>
    <w:div w:id="323552468">
      <w:bodyDiv w:val="1"/>
      <w:marLeft w:val="0"/>
      <w:marRight w:val="0"/>
      <w:marTop w:val="0"/>
      <w:marBottom w:val="0"/>
      <w:divBdr>
        <w:top w:val="none" w:sz="0" w:space="0" w:color="auto"/>
        <w:left w:val="none" w:sz="0" w:space="0" w:color="auto"/>
        <w:bottom w:val="none" w:sz="0" w:space="0" w:color="auto"/>
        <w:right w:val="none" w:sz="0" w:space="0" w:color="auto"/>
      </w:divBdr>
    </w:div>
    <w:div w:id="351809814">
      <w:bodyDiv w:val="1"/>
      <w:marLeft w:val="0"/>
      <w:marRight w:val="0"/>
      <w:marTop w:val="0"/>
      <w:marBottom w:val="0"/>
      <w:divBdr>
        <w:top w:val="none" w:sz="0" w:space="0" w:color="auto"/>
        <w:left w:val="none" w:sz="0" w:space="0" w:color="auto"/>
        <w:bottom w:val="none" w:sz="0" w:space="0" w:color="auto"/>
        <w:right w:val="none" w:sz="0" w:space="0" w:color="auto"/>
      </w:divBdr>
    </w:div>
    <w:div w:id="488056326">
      <w:bodyDiv w:val="1"/>
      <w:marLeft w:val="0"/>
      <w:marRight w:val="0"/>
      <w:marTop w:val="0"/>
      <w:marBottom w:val="0"/>
      <w:divBdr>
        <w:top w:val="none" w:sz="0" w:space="0" w:color="auto"/>
        <w:left w:val="none" w:sz="0" w:space="0" w:color="auto"/>
        <w:bottom w:val="none" w:sz="0" w:space="0" w:color="auto"/>
        <w:right w:val="none" w:sz="0" w:space="0" w:color="auto"/>
      </w:divBdr>
    </w:div>
    <w:div w:id="583102893">
      <w:bodyDiv w:val="1"/>
      <w:marLeft w:val="0"/>
      <w:marRight w:val="0"/>
      <w:marTop w:val="0"/>
      <w:marBottom w:val="0"/>
      <w:divBdr>
        <w:top w:val="none" w:sz="0" w:space="0" w:color="auto"/>
        <w:left w:val="none" w:sz="0" w:space="0" w:color="auto"/>
        <w:bottom w:val="none" w:sz="0" w:space="0" w:color="auto"/>
        <w:right w:val="none" w:sz="0" w:space="0" w:color="auto"/>
      </w:divBdr>
      <w:divsChild>
        <w:div w:id="490290555">
          <w:marLeft w:val="0"/>
          <w:marRight w:val="0"/>
          <w:marTop w:val="0"/>
          <w:marBottom w:val="0"/>
          <w:divBdr>
            <w:top w:val="none" w:sz="0" w:space="0" w:color="auto"/>
            <w:left w:val="none" w:sz="0" w:space="0" w:color="auto"/>
            <w:bottom w:val="none" w:sz="0" w:space="0" w:color="auto"/>
            <w:right w:val="none" w:sz="0" w:space="0" w:color="auto"/>
          </w:divBdr>
          <w:divsChild>
            <w:div w:id="663170742">
              <w:marLeft w:val="0"/>
              <w:marRight w:val="0"/>
              <w:marTop w:val="0"/>
              <w:marBottom w:val="0"/>
              <w:divBdr>
                <w:top w:val="none" w:sz="0" w:space="0" w:color="auto"/>
                <w:left w:val="none" w:sz="0" w:space="0" w:color="auto"/>
                <w:bottom w:val="none" w:sz="0" w:space="0" w:color="auto"/>
                <w:right w:val="none" w:sz="0" w:space="0" w:color="auto"/>
              </w:divBdr>
            </w:div>
            <w:div w:id="410395684">
              <w:marLeft w:val="0"/>
              <w:marRight w:val="0"/>
              <w:marTop w:val="0"/>
              <w:marBottom w:val="0"/>
              <w:divBdr>
                <w:top w:val="none" w:sz="0" w:space="0" w:color="auto"/>
                <w:left w:val="none" w:sz="0" w:space="0" w:color="auto"/>
                <w:bottom w:val="none" w:sz="0" w:space="0" w:color="auto"/>
                <w:right w:val="none" w:sz="0" w:space="0" w:color="auto"/>
              </w:divBdr>
              <w:divsChild>
                <w:div w:id="1956403460">
                  <w:marLeft w:val="0"/>
                  <w:marRight w:val="0"/>
                  <w:marTop w:val="0"/>
                  <w:marBottom w:val="0"/>
                  <w:divBdr>
                    <w:top w:val="none" w:sz="0" w:space="0" w:color="auto"/>
                    <w:left w:val="none" w:sz="0" w:space="0" w:color="auto"/>
                    <w:bottom w:val="none" w:sz="0" w:space="0" w:color="auto"/>
                    <w:right w:val="none" w:sz="0" w:space="0" w:color="auto"/>
                  </w:divBdr>
                  <w:divsChild>
                    <w:div w:id="36353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5261399">
      <w:bodyDiv w:val="1"/>
      <w:marLeft w:val="0"/>
      <w:marRight w:val="0"/>
      <w:marTop w:val="0"/>
      <w:marBottom w:val="0"/>
      <w:divBdr>
        <w:top w:val="none" w:sz="0" w:space="0" w:color="auto"/>
        <w:left w:val="none" w:sz="0" w:space="0" w:color="auto"/>
        <w:bottom w:val="none" w:sz="0" w:space="0" w:color="auto"/>
        <w:right w:val="none" w:sz="0" w:space="0" w:color="auto"/>
      </w:divBdr>
    </w:div>
    <w:div w:id="673461003">
      <w:bodyDiv w:val="1"/>
      <w:marLeft w:val="0"/>
      <w:marRight w:val="0"/>
      <w:marTop w:val="0"/>
      <w:marBottom w:val="0"/>
      <w:divBdr>
        <w:top w:val="none" w:sz="0" w:space="0" w:color="auto"/>
        <w:left w:val="none" w:sz="0" w:space="0" w:color="auto"/>
        <w:bottom w:val="none" w:sz="0" w:space="0" w:color="auto"/>
        <w:right w:val="none" w:sz="0" w:space="0" w:color="auto"/>
      </w:divBdr>
    </w:div>
    <w:div w:id="763459726">
      <w:bodyDiv w:val="1"/>
      <w:marLeft w:val="0"/>
      <w:marRight w:val="0"/>
      <w:marTop w:val="0"/>
      <w:marBottom w:val="0"/>
      <w:divBdr>
        <w:top w:val="none" w:sz="0" w:space="0" w:color="auto"/>
        <w:left w:val="none" w:sz="0" w:space="0" w:color="auto"/>
        <w:bottom w:val="none" w:sz="0" w:space="0" w:color="auto"/>
        <w:right w:val="none" w:sz="0" w:space="0" w:color="auto"/>
      </w:divBdr>
    </w:div>
    <w:div w:id="792361490">
      <w:bodyDiv w:val="1"/>
      <w:marLeft w:val="0"/>
      <w:marRight w:val="0"/>
      <w:marTop w:val="0"/>
      <w:marBottom w:val="0"/>
      <w:divBdr>
        <w:top w:val="none" w:sz="0" w:space="0" w:color="auto"/>
        <w:left w:val="none" w:sz="0" w:space="0" w:color="auto"/>
        <w:bottom w:val="none" w:sz="0" w:space="0" w:color="auto"/>
        <w:right w:val="none" w:sz="0" w:space="0" w:color="auto"/>
      </w:divBdr>
    </w:div>
    <w:div w:id="810484089">
      <w:bodyDiv w:val="1"/>
      <w:marLeft w:val="0"/>
      <w:marRight w:val="0"/>
      <w:marTop w:val="0"/>
      <w:marBottom w:val="0"/>
      <w:divBdr>
        <w:top w:val="none" w:sz="0" w:space="0" w:color="auto"/>
        <w:left w:val="none" w:sz="0" w:space="0" w:color="auto"/>
        <w:bottom w:val="none" w:sz="0" w:space="0" w:color="auto"/>
        <w:right w:val="none" w:sz="0" w:space="0" w:color="auto"/>
      </w:divBdr>
    </w:div>
    <w:div w:id="810749185">
      <w:bodyDiv w:val="1"/>
      <w:marLeft w:val="0"/>
      <w:marRight w:val="0"/>
      <w:marTop w:val="0"/>
      <w:marBottom w:val="0"/>
      <w:divBdr>
        <w:top w:val="none" w:sz="0" w:space="0" w:color="auto"/>
        <w:left w:val="none" w:sz="0" w:space="0" w:color="auto"/>
        <w:bottom w:val="none" w:sz="0" w:space="0" w:color="auto"/>
        <w:right w:val="none" w:sz="0" w:space="0" w:color="auto"/>
      </w:divBdr>
    </w:div>
    <w:div w:id="812912898">
      <w:bodyDiv w:val="1"/>
      <w:marLeft w:val="0"/>
      <w:marRight w:val="0"/>
      <w:marTop w:val="0"/>
      <w:marBottom w:val="0"/>
      <w:divBdr>
        <w:top w:val="none" w:sz="0" w:space="0" w:color="auto"/>
        <w:left w:val="none" w:sz="0" w:space="0" w:color="auto"/>
        <w:bottom w:val="none" w:sz="0" w:space="0" w:color="auto"/>
        <w:right w:val="none" w:sz="0" w:space="0" w:color="auto"/>
      </w:divBdr>
    </w:div>
    <w:div w:id="848300649">
      <w:bodyDiv w:val="1"/>
      <w:marLeft w:val="0"/>
      <w:marRight w:val="0"/>
      <w:marTop w:val="0"/>
      <w:marBottom w:val="0"/>
      <w:divBdr>
        <w:top w:val="none" w:sz="0" w:space="0" w:color="auto"/>
        <w:left w:val="none" w:sz="0" w:space="0" w:color="auto"/>
        <w:bottom w:val="none" w:sz="0" w:space="0" w:color="auto"/>
        <w:right w:val="none" w:sz="0" w:space="0" w:color="auto"/>
      </w:divBdr>
    </w:div>
    <w:div w:id="853036058">
      <w:bodyDiv w:val="1"/>
      <w:marLeft w:val="0"/>
      <w:marRight w:val="0"/>
      <w:marTop w:val="0"/>
      <w:marBottom w:val="0"/>
      <w:divBdr>
        <w:top w:val="none" w:sz="0" w:space="0" w:color="auto"/>
        <w:left w:val="none" w:sz="0" w:space="0" w:color="auto"/>
        <w:bottom w:val="none" w:sz="0" w:space="0" w:color="auto"/>
        <w:right w:val="none" w:sz="0" w:space="0" w:color="auto"/>
      </w:divBdr>
    </w:div>
    <w:div w:id="1035619254">
      <w:bodyDiv w:val="1"/>
      <w:marLeft w:val="0"/>
      <w:marRight w:val="0"/>
      <w:marTop w:val="0"/>
      <w:marBottom w:val="0"/>
      <w:divBdr>
        <w:top w:val="none" w:sz="0" w:space="0" w:color="auto"/>
        <w:left w:val="none" w:sz="0" w:space="0" w:color="auto"/>
        <w:bottom w:val="none" w:sz="0" w:space="0" w:color="auto"/>
        <w:right w:val="none" w:sz="0" w:space="0" w:color="auto"/>
      </w:divBdr>
      <w:divsChild>
        <w:div w:id="1866601465">
          <w:marLeft w:val="0"/>
          <w:marRight w:val="0"/>
          <w:marTop w:val="0"/>
          <w:marBottom w:val="0"/>
          <w:divBdr>
            <w:top w:val="none" w:sz="0" w:space="0" w:color="auto"/>
            <w:left w:val="none" w:sz="0" w:space="0" w:color="auto"/>
            <w:bottom w:val="none" w:sz="0" w:space="0" w:color="auto"/>
            <w:right w:val="none" w:sz="0" w:space="0" w:color="auto"/>
          </w:divBdr>
          <w:divsChild>
            <w:div w:id="799568770">
              <w:marLeft w:val="0"/>
              <w:marRight w:val="0"/>
              <w:marTop w:val="0"/>
              <w:marBottom w:val="0"/>
              <w:divBdr>
                <w:top w:val="none" w:sz="0" w:space="0" w:color="auto"/>
                <w:left w:val="none" w:sz="0" w:space="0" w:color="auto"/>
                <w:bottom w:val="none" w:sz="0" w:space="0" w:color="auto"/>
                <w:right w:val="none" w:sz="0" w:space="0" w:color="auto"/>
              </w:divBdr>
            </w:div>
            <w:div w:id="506672498">
              <w:marLeft w:val="0"/>
              <w:marRight w:val="0"/>
              <w:marTop w:val="0"/>
              <w:marBottom w:val="0"/>
              <w:divBdr>
                <w:top w:val="none" w:sz="0" w:space="0" w:color="auto"/>
                <w:left w:val="none" w:sz="0" w:space="0" w:color="auto"/>
                <w:bottom w:val="none" w:sz="0" w:space="0" w:color="auto"/>
                <w:right w:val="none" w:sz="0" w:space="0" w:color="auto"/>
              </w:divBdr>
              <w:divsChild>
                <w:div w:id="1456754264">
                  <w:marLeft w:val="0"/>
                  <w:marRight w:val="0"/>
                  <w:marTop w:val="0"/>
                  <w:marBottom w:val="0"/>
                  <w:divBdr>
                    <w:top w:val="none" w:sz="0" w:space="0" w:color="auto"/>
                    <w:left w:val="none" w:sz="0" w:space="0" w:color="auto"/>
                    <w:bottom w:val="none" w:sz="0" w:space="0" w:color="auto"/>
                    <w:right w:val="none" w:sz="0" w:space="0" w:color="auto"/>
                  </w:divBdr>
                  <w:divsChild>
                    <w:div w:id="163167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7142822">
      <w:bodyDiv w:val="1"/>
      <w:marLeft w:val="0"/>
      <w:marRight w:val="0"/>
      <w:marTop w:val="0"/>
      <w:marBottom w:val="0"/>
      <w:divBdr>
        <w:top w:val="none" w:sz="0" w:space="0" w:color="auto"/>
        <w:left w:val="none" w:sz="0" w:space="0" w:color="auto"/>
        <w:bottom w:val="none" w:sz="0" w:space="0" w:color="auto"/>
        <w:right w:val="none" w:sz="0" w:space="0" w:color="auto"/>
      </w:divBdr>
      <w:divsChild>
        <w:div w:id="186992827">
          <w:marLeft w:val="0"/>
          <w:marRight w:val="0"/>
          <w:marTop w:val="0"/>
          <w:marBottom w:val="0"/>
          <w:divBdr>
            <w:top w:val="none" w:sz="0" w:space="0" w:color="auto"/>
            <w:left w:val="none" w:sz="0" w:space="0" w:color="auto"/>
            <w:bottom w:val="none" w:sz="0" w:space="0" w:color="auto"/>
            <w:right w:val="none" w:sz="0" w:space="0" w:color="auto"/>
          </w:divBdr>
          <w:divsChild>
            <w:div w:id="1517884930">
              <w:marLeft w:val="0"/>
              <w:marRight w:val="0"/>
              <w:marTop w:val="0"/>
              <w:marBottom w:val="0"/>
              <w:divBdr>
                <w:top w:val="none" w:sz="0" w:space="0" w:color="auto"/>
                <w:left w:val="none" w:sz="0" w:space="0" w:color="auto"/>
                <w:bottom w:val="none" w:sz="0" w:space="0" w:color="auto"/>
                <w:right w:val="none" w:sz="0" w:space="0" w:color="auto"/>
              </w:divBdr>
            </w:div>
            <w:div w:id="299772958">
              <w:marLeft w:val="0"/>
              <w:marRight w:val="0"/>
              <w:marTop w:val="0"/>
              <w:marBottom w:val="0"/>
              <w:divBdr>
                <w:top w:val="none" w:sz="0" w:space="0" w:color="auto"/>
                <w:left w:val="none" w:sz="0" w:space="0" w:color="auto"/>
                <w:bottom w:val="none" w:sz="0" w:space="0" w:color="auto"/>
                <w:right w:val="none" w:sz="0" w:space="0" w:color="auto"/>
              </w:divBdr>
              <w:divsChild>
                <w:div w:id="1505632606">
                  <w:marLeft w:val="0"/>
                  <w:marRight w:val="0"/>
                  <w:marTop w:val="0"/>
                  <w:marBottom w:val="0"/>
                  <w:divBdr>
                    <w:top w:val="none" w:sz="0" w:space="0" w:color="auto"/>
                    <w:left w:val="none" w:sz="0" w:space="0" w:color="auto"/>
                    <w:bottom w:val="none" w:sz="0" w:space="0" w:color="auto"/>
                    <w:right w:val="none" w:sz="0" w:space="0" w:color="auto"/>
                  </w:divBdr>
                  <w:divsChild>
                    <w:div w:id="167938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0757372">
      <w:bodyDiv w:val="1"/>
      <w:marLeft w:val="0"/>
      <w:marRight w:val="0"/>
      <w:marTop w:val="0"/>
      <w:marBottom w:val="0"/>
      <w:divBdr>
        <w:top w:val="none" w:sz="0" w:space="0" w:color="auto"/>
        <w:left w:val="none" w:sz="0" w:space="0" w:color="auto"/>
        <w:bottom w:val="none" w:sz="0" w:space="0" w:color="auto"/>
        <w:right w:val="none" w:sz="0" w:space="0" w:color="auto"/>
      </w:divBdr>
    </w:div>
    <w:div w:id="1206790501">
      <w:bodyDiv w:val="1"/>
      <w:marLeft w:val="0"/>
      <w:marRight w:val="0"/>
      <w:marTop w:val="0"/>
      <w:marBottom w:val="0"/>
      <w:divBdr>
        <w:top w:val="none" w:sz="0" w:space="0" w:color="auto"/>
        <w:left w:val="none" w:sz="0" w:space="0" w:color="auto"/>
        <w:bottom w:val="none" w:sz="0" w:space="0" w:color="auto"/>
        <w:right w:val="none" w:sz="0" w:space="0" w:color="auto"/>
      </w:divBdr>
    </w:div>
    <w:div w:id="1285621431">
      <w:bodyDiv w:val="1"/>
      <w:marLeft w:val="0"/>
      <w:marRight w:val="0"/>
      <w:marTop w:val="0"/>
      <w:marBottom w:val="0"/>
      <w:divBdr>
        <w:top w:val="none" w:sz="0" w:space="0" w:color="auto"/>
        <w:left w:val="none" w:sz="0" w:space="0" w:color="auto"/>
        <w:bottom w:val="none" w:sz="0" w:space="0" w:color="auto"/>
        <w:right w:val="none" w:sz="0" w:space="0" w:color="auto"/>
      </w:divBdr>
      <w:divsChild>
        <w:div w:id="865140895">
          <w:marLeft w:val="0"/>
          <w:marRight w:val="0"/>
          <w:marTop w:val="0"/>
          <w:marBottom w:val="0"/>
          <w:divBdr>
            <w:top w:val="none" w:sz="0" w:space="0" w:color="auto"/>
            <w:left w:val="none" w:sz="0" w:space="0" w:color="auto"/>
            <w:bottom w:val="none" w:sz="0" w:space="0" w:color="auto"/>
            <w:right w:val="none" w:sz="0" w:space="0" w:color="auto"/>
          </w:divBdr>
          <w:divsChild>
            <w:div w:id="348679300">
              <w:marLeft w:val="-225"/>
              <w:marRight w:val="-225"/>
              <w:marTop w:val="0"/>
              <w:marBottom w:val="0"/>
              <w:divBdr>
                <w:top w:val="none" w:sz="0" w:space="0" w:color="auto"/>
                <w:left w:val="none" w:sz="0" w:space="0" w:color="auto"/>
                <w:bottom w:val="none" w:sz="0" w:space="0" w:color="auto"/>
                <w:right w:val="none" w:sz="0" w:space="0" w:color="auto"/>
              </w:divBdr>
              <w:divsChild>
                <w:div w:id="1825586571">
                  <w:marLeft w:val="0"/>
                  <w:marRight w:val="0"/>
                  <w:marTop w:val="0"/>
                  <w:marBottom w:val="0"/>
                  <w:divBdr>
                    <w:top w:val="none" w:sz="0" w:space="0" w:color="auto"/>
                    <w:left w:val="none" w:sz="0" w:space="0" w:color="auto"/>
                    <w:bottom w:val="none" w:sz="0" w:space="0" w:color="auto"/>
                    <w:right w:val="none" w:sz="0" w:space="0" w:color="auto"/>
                  </w:divBdr>
                  <w:divsChild>
                    <w:div w:id="1765149603">
                      <w:marLeft w:val="0"/>
                      <w:marRight w:val="0"/>
                      <w:marTop w:val="0"/>
                      <w:marBottom w:val="0"/>
                      <w:divBdr>
                        <w:top w:val="none" w:sz="0" w:space="0" w:color="auto"/>
                        <w:left w:val="none" w:sz="0" w:space="0" w:color="auto"/>
                        <w:bottom w:val="none" w:sz="0" w:space="0" w:color="auto"/>
                        <w:right w:val="none" w:sz="0" w:space="0" w:color="auto"/>
                      </w:divBdr>
                      <w:divsChild>
                        <w:div w:id="1785418453">
                          <w:marLeft w:val="0"/>
                          <w:marRight w:val="0"/>
                          <w:marTop w:val="0"/>
                          <w:marBottom w:val="0"/>
                          <w:divBdr>
                            <w:top w:val="none" w:sz="0" w:space="0" w:color="auto"/>
                            <w:left w:val="none" w:sz="0" w:space="0" w:color="auto"/>
                            <w:bottom w:val="none" w:sz="0" w:space="0" w:color="auto"/>
                            <w:right w:val="none" w:sz="0" w:space="0" w:color="auto"/>
                          </w:divBdr>
                          <w:divsChild>
                            <w:div w:id="1165894628">
                              <w:marLeft w:val="0"/>
                              <w:marRight w:val="0"/>
                              <w:marTop w:val="0"/>
                              <w:marBottom w:val="0"/>
                              <w:divBdr>
                                <w:top w:val="none" w:sz="0" w:space="0" w:color="auto"/>
                                <w:left w:val="none" w:sz="0" w:space="0" w:color="auto"/>
                                <w:bottom w:val="none" w:sz="0" w:space="0" w:color="auto"/>
                                <w:right w:val="none" w:sz="0" w:space="0" w:color="auto"/>
                              </w:divBdr>
                              <w:divsChild>
                                <w:div w:id="926427654">
                                  <w:marLeft w:val="0"/>
                                  <w:marRight w:val="0"/>
                                  <w:marTop w:val="0"/>
                                  <w:marBottom w:val="0"/>
                                  <w:divBdr>
                                    <w:top w:val="none" w:sz="0" w:space="0" w:color="auto"/>
                                    <w:left w:val="none" w:sz="0" w:space="0" w:color="auto"/>
                                    <w:bottom w:val="none" w:sz="0" w:space="0" w:color="auto"/>
                                    <w:right w:val="none" w:sz="0" w:space="0" w:color="auto"/>
                                  </w:divBdr>
                                  <w:divsChild>
                                    <w:div w:id="1587038932">
                                      <w:marLeft w:val="0"/>
                                      <w:marRight w:val="0"/>
                                      <w:marTop w:val="0"/>
                                      <w:marBottom w:val="0"/>
                                      <w:divBdr>
                                        <w:top w:val="none" w:sz="0" w:space="0" w:color="auto"/>
                                        <w:left w:val="none" w:sz="0" w:space="0" w:color="auto"/>
                                        <w:bottom w:val="none" w:sz="0" w:space="0" w:color="auto"/>
                                        <w:right w:val="none" w:sz="0" w:space="0" w:color="auto"/>
                                      </w:divBdr>
                                      <w:divsChild>
                                        <w:div w:id="974986121">
                                          <w:marLeft w:val="0"/>
                                          <w:marRight w:val="0"/>
                                          <w:marTop w:val="0"/>
                                          <w:marBottom w:val="0"/>
                                          <w:divBdr>
                                            <w:top w:val="none" w:sz="0" w:space="0" w:color="auto"/>
                                            <w:left w:val="none" w:sz="0" w:space="0" w:color="auto"/>
                                            <w:bottom w:val="none" w:sz="0" w:space="0" w:color="auto"/>
                                            <w:right w:val="none" w:sz="0" w:space="0" w:color="auto"/>
                                          </w:divBdr>
                                          <w:divsChild>
                                            <w:div w:id="214512522">
                                              <w:marLeft w:val="0"/>
                                              <w:marRight w:val="0"/>
                                              <w:marTop w:val="0"/>
                                              <w:marBottom w:val="0"/>
                                              <w:divBdr>
                                                <w:top w:val="none" w:sz="0" w:space="0" w:color="auto"/>
                                                <w:left w:val="none" w:sz="0" w:space="0" w:color="auto"/>
                                                <w:bottom w:val="none" w:sz="0" w:space="0" w:color="auto"/>
                                                <w:right w:val="none" w:sz="0" w:space="0" w:color="auto"/>
                                              </w:divBdr>
                                              <w:divsChild>
                                                <w:div w:id="1511796316">
                                                  <w:marLeft w:val="0"/>
                                                  <w:marRight w:val="0"/>
                                                  <w:marTop w:val="0"/>
                                                  <w:marBottom w:val="0"/>
                                                  <w:divBdr>
                                                    <w:top w:val="none" w:sz="0" w:space="0" w:color="auto"/>
                                                    <w:left w:val="none" w:sz="0" w:space="0" w:color="auto"/>
                                                    <w:bottom w:val="none" w:sz="0" w:space="0" w:color="auto"/>
                                                    <w:right w:val="none" w:sz="0" w:space="0" w:color="auto"/>
                                                  </w:divBdr>
                                                  <w:divsChild>
                                                    <w:div w:id="865673667">
                                                      <w:marLeft w:val="0"/>
                                                      <w:marRight w:val="0"/>
                                                      <w:marTop w:val="0"/>
                                                      <w:marBottom w:val="0"/>
                                                      <w:divBdr>
                                                        <w:top w:val="none" w:sz="0" w:space="0" w:color="auto"/>
                                                        <w:left w:val="none" w:sz="0" w:space="0" w:color="auto"/>
                                                        <w:bottom w:val="none" w:sz="0" w:space="0" w:color="auto"/>
                                                        <w:right w:val="none" w:sz="0" w:space="0" w:color="auto"/>
                                                      </w:divBdr>
                                                      <w:divsChild>
                                                        <w:div w:id="10945956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13019379">
      <w:bodyDiv w:val="1"/>
      <w:marLeft w:val="0"/>
      <w:marRight w:val="0"/>
      <w:marTop w:val="0"/>
      <w:marBottom w:val="0"/>
      <w:divBdr>
        <w:top w:val="none" w:sz="0" w:space="0" w:color="auto"/>
        <w:left w:val="none" w:sz="0" w:space="0" w:color="auto"/>
        <w:bottom w:val="none" w:sz="0" w:space="0" w:color="auto"/>
        <w:right w:val="none" w:sz="0" w:space="0" w:color="auto"/>
      </w:divBdr>
    </w:div>
    <w:div w:id="1364747032">
      <w:bodyDiv w:val="1"/>
      <w:marLeft w:val="0"/>
      <w:marRight w:val="0"/>
      <w:marTop w:val="0"/>
      <w:marBottom w:val="0"/>
      <w:divBdr>
        <w:top w:val="none" w:sz="0" w:space="0" w:color="auto"/>
        <w:left w:val="none" w:sz="0" w:space="0" w:color="auto"/>
        <w:bottom w:val="none" w:sz="0" w:space="0" w:color="auto"/>
        <w:right w:val="none" w:sz="0" w:space="0" w:color="auto"/>
      </w:divBdr>
    </w:div>
    <w:div w:id="1402092682">
      <w:bodyDiv w:val="1"/>
      <w:marLeft w:val="0"/>
      <w:marRight w:val="0"/>
      <w:marTop w:val="0"/>
      <w:marBottom w:val="0"/>
      <w:divBdr>
        <w:top w:val="none" w:sz="0" w:space="0" w:color="auto"/>
        <w:left w:val="none" w:sz="0" w:space="0" w:color="auto"/>
        <w:bottom w:val="none" w:sz="0" w:space="0" w:color="auto"/>
        <w:right w:val="none" w:sz="0" w:space="0" w:color="auto"/>
      </w:divBdr>
    </w:div>
    <w:div w:id="1411612192">
      <w:bodyDiv w:val="1"/>
      <w:marLeft w:val="0"/>
      <w:marRight w:val="0"/>
      <w:marTop w:val="0"/>
      <w:marBottom w:val="0"/>
      <w:divBdr>
        <w:top w:val="none" w:sz="0" w:space="0" w:color="auto"/>
        <w:left w:val="none" w:sz="0" w:space="0" w:color="auto"/>
        <w:bottom w:val="none" w:sz="0" w:space="0" w:color="auto"/>
        <w:right w:val="none" w:sz="0" w:space="0" w:color="auto"/>
      </w:divBdr>
      <w:divsChild>
        <w:div w:id="1727801289">
          <w:marLeft w:val="0"/>
          <w:marRight w:val="0"/>
          <w:marTop w:val="0"/>
          <w:marBottom w:val="0"/>
          <w:divBdr>
            <w:top w:val="none" w:sz="0" w:space="0" w:color="auto"/>
            <w:left w:val="none" w:sz="0" w:space="0" w:color="auto"/>
            <w:bottom w:val="none" w:sz="0" w:space="0" w:color="auto"/>
            <w:right w:val="none" w:sz="0" w:space="0" w:color="auto"/>
          </w:divBdr>
          <w:divsChild>
            <w:div w:id="1947733615">
              <w:marLeft w:val="0"/>
              <w:marRight w:val="0"/>
              <w:marTop w:val="0"/>
              <w:marBottom w:val="0"/>
              <w:divBdr>
                <w:top w:val="none" w:sz="0" w:space="0" w:color="auto"/>
                <w:left w:val="none" w:sz="0" w:space="0" w:color="auto"/>
                <w:bottom w:val="none" w:sz="0" w:space="0" w:color="auto"/>
                <w:right w:val="none" w:sz="0" w:space="0" w:color="auto"/>
              </w:divBdr>
            </w:div>
            <w:div w:id="1109470250">
              <w:marLeft w:val="0"/>
              <w:marRight w:val="0"/>
              <w:marTop w:val="0"/>
              <w:marBottom w:val="0"/>
              <w:divBdr>
                <w:top w:val="none" w:sz="0" w:space="0" w:color="auto"/>
                <w:left w:val="none" w:sz="0" w:space="0" w:color="auto"/>
                <w:bottom w:val="none" w:sz="0" w:space="0" w:color="auto"/>
                <w:right w:val="none" w:sz="0" w:space="0" w:color="auto"/>
              </w:divBdr>
              <w:divsChild>
                <w:div w:id="1512449515">
                  <w:marLeft w:val="0"/>
                  <w:marRight w:val="0"/>
                  <w:marTop w:val="0"/>
                  <w:marBottom w:val="0"/>
                  <w:divBdr>
                    <w:top w:val="none" w:sz="0" w:space="0" w:color="auto"/>
                    <w:left w:val="none" w:sz="0" w:space="0" w:color="auto"/>
                    <w:bottom w:val="none" w:sz="0" w:space="0" w:color="auto"/>
                    <w:right w:val="none" w:sz="0" w:space="0" w:color="auto"/>
                  </w:divBdr>
                  <w:divsChild>
                    <w:div w:id="90456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7732860">
      <w:bodyDiv w:val="1"/>
      <w:marLeft w:val="0"/>
      <w:marRight w:val="0"/>
      <w:marTop w:val="0"/>
      <w:marBottom w:val="0"/>
      <w:divBdr>
        <w:top w:val="none" w:sz="0" w:space="0" w:color="auto"/>
        <w:left w:val="none" w:sz="0" w:space="0" w:color="auto"/>
        <w:bottom w:val="none" w:sz="0" w:space="0" w:color="auto"/>
        <w:right w:val="none" w:sz="0" w:space="0" w:color="auto"/>
      </w:divBdr>
      <w:divsChild>
        <w:div w:id="1350914219">
          <w:marLeft w:val="0"/>
          <w:marRight w:val="0"/>
          <w:marTop w:val="0"/>
          <w:marBottom w:val="0"/>
          <w:divBdr>
            <w:top w:val="none" w:sz="0" w:space="0" w:color="auto"/>
            <w:left w:val="none" w:sz="0" w:space="0" w:color="auto"/>
            <w:bottom w:val="none" w:sz="0" w:space="0" w:color="auto"/>
            <w:right w:val="none" w:sz="0" w:space="0" w:color="auto"/>
          </w:divBdr>
          <w:divsChild>
            <w:div w:id="1301034497">
              <w:marLeft w:val="0"/>
              <w:marRight w:val="0"/>
              <w:marTop w:val="0"/>
              <w:marBottom w:val="0"/>
              <w:divBdr>
                <w:top w:val="none" w:sz="0" w:space="0" w:color="auto"/>
                <w:left w:val="none" w:sz="0" w:space="0" w:color="auto"/>
                <w:bottom w:val="none" w:sz="0" w:space="0" w:color="auto"/>
                <w:right w:val="none" w:sz="0" w:space="0" w:color="auto"/>
              </w:divBdr>
            </w:div>
            <w:div w:id="1811362418">
              <w:marLeft w:val="0"/>
              <w:marRight w:val="0"/>
              <w:marTop w:val="0"/>
              <w:marBottom w:val="0"/>
              <w:divBdr>
                <w:top w:val="none" w:sz="0" w:space="0" w:color="auto"/>
                <w:left w:val="none" w:sz="0" w:space="0" w:color="auto"/>
                <w:bottom w:val="none" w:sz="0" w:space="0" w:color="auto"/>
                <w:right w:val="none" w:sz="0" w:space="0" w:color="auto"/>
              </w:divBdr>
              <w:divsChild>
                <w:div w:id="150299134">
                  <w:marLeft w:val="0"/>
                  <w:marRight w:val="0"/>
                  <w:marTop w:val="0"/>
                  <w:marBottom w:val="0"/>
                  <w:divBdr>
                    <w:top w:val="none" w:sz="0" w:space="0" w:color="auto"/>
                    <w:left w:val="none" w:sz="0" w:space="0" w:color="auto"/>
                    <w:bottom w:val="none" w:sz="0" w:space="0" w:color="auto"/>
                    <w:right w:val="none" w:sz="0" w:space="0" w:color="auto"/>
                  </w:divBdr>
                  <w:divsChild>
                    <w:div w:id="127566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1921236">
      <w:bodyDiv w:val="1"/>
      <w:marLeft w:val="0"/>
      <w:marRight w:val="0"/>
      <w:marTop w:val="0"/>
      <w:marBottom w:val="0"/>
      <w:divBdr>
        <w:top w:val="none" w:sz="0" w:space="0" w:color="auto"/>
        <w:left w:val="none" w:sz="0" w:space="0" w:color="auto"/>
        <w:bottom w:val="none" w:sz="0" w:space="0" w:color="auto"/>
        <w:right w:val="none" w:sz="0" w:space="0" w:color="auto"/>
      </w:divBdr>
    </w:div>
    <w:div w:id="1472139623">
      <w:bodyDiv w:val="1"/>
      <w:marLeft w:val="0"/>
      <w:marRight w:val="0"/>
      <w:marTop w:val="0"/>
      <w:marBottom w:val="0"/>
      <w:divBdr>
        <w:top w:val="none" w:sz="0" w:space="0" w:color="auto"/>
        <w:left w:val="none" w:sz="0" w:space="0" w:color="auto"/>
        <w:bottom w:val="none" w:sz="0" w:space="0" w:color="auto"/>
        <w:right w:val="none" w:sz="0" w:space="0" w:color="auto"/>
      </w:divBdr>
    </w:div>
    <w:div w:id="1518150876">
      <w:bodyDiv w:val="1"/>
      <w:marLeft w:val="0"/>
      <w:marRight w:val="0"/>
      <w:marTop w:val="0"/>
      <w:marBottom w:val="0"/>
      <w:divBdr>
        <w:top w:val="none" w:sz="0" w:space="0" w:color="auto"/>
        <w:left w:val="none" w:sz="0" w:space="0" w:color="auto"/>
        <w:bottom w:val="none" w:sz="0" w:space="0" w:color="auto"/>
        <w:right w:val="none" w:sz="0" w:space="0" w:color="auto"/>
      </w:divBdr>
    </w:div>
    <w:div w:id="1602758413">
      <w:bodyDiv w:val="1"/>
      <w:marLeft w:val="0"/>
      <w:marRight w:val="0"/>
      <w:marTop w:val="0"/>
      <w:marBottom w:val="0"/>
      <w:divBdr>
        <w:top w:val="none" w:sz="0" w:space="0" w:color="auto"/>
        <w:left w:val="none" w:sz="0" w:space="0" w:color="auto"/>
        <w:bottom w:val="none" w:sz="0" w:space="0" w:color="auto"/>
        <w:right w:val="none" w:sz="0" w:space="0" w:color="auto"/>
      </w:divBdr>
      <w:divsChild>
        <w:div w:id="295839732">
          <w:marLeft w:val="0"/>
          <w:marRight w:val="0"/>
          <w:marTop w:val="0"/>
          <w:marBottom w:val="0"/>
          <w:divBdr>
            <w:top w:val="none" w:sz="0" w:space="0" w:color="auto"/>
            <w:left w:val="none" w:sz="0" w:space="0" w:color="auto"/>
            <w:bottom w:val="none" w:sz="0" w:space="0" w:color="auto"/>
            <w:right w:val="none" w:sz="0" w:space="0" w:color="auto"/>
          </w:divBdr>
          <w:divsChild>
            <w:div w:id="761145911">
              <w:marLeft w:val="0"/>
              <w:marRight w:val="0"/>
              <w:marTop w:val="0"/>
              <w:marBottom w:val="0"/>
              <w:divBdr>
                <w:top w:val="none" w:sz="0" w:space="0" w:color="auto"/>
                <w:left w:val="none" w:sz="0" w:space="0" w:color="auto"/>
                <w:bottom w:val="none" w:sz="0" w:space="0" w:color="auto"/>
                <w:right w:val="none" w:sz="0" w:space="0" w:color="auto"/>
              </w:divBdr>
              <w:divsChild>
                <w:div w:id="865141811">
                  <w:marLeft w:val="0"/>
                  <w:marRight w:val="0"/>
                  <w:marTop w:val="0"/>
                  <w:marBottom w:val="0"/>
                  <w:divBdr>
                    <w:top w:val="none" w:sz="0" w:space="0" w:color="auto"/>
                    <w:left w:val="none" w:sz="0" w:space="0" w:color="auto"/>
                    <w:bottom w:val="none" w:sz="0" w:space="0" w:color="auto"/>
                    <w:right w:val="none" w:sz="0" w:space="0" w:color="auto"/>
                  </w:divBdr>
                  <w:divsChild>
                    <w:div w:id="378365513">
                      <w:marLeft w:val="0"/>
                      <w:marRight w:val="0"/>
                      <w:marTop w:val="0"/>
                      <w:marBottom w:val="0"/>
                      <w:divBdr>
                        <w:top w:val="none" w:sz="0" w:space="0" w:color="auto"/>
                        <w:left w:val="none" w:sz="0" w:space="0" w:color="auto"/>
                        <w:bottom w:val="none" w:sz="0" w:space="0" w:color="auto"/>
                        <w:right w:val="none" w:sz="0" w:space="0" w:color="auto"/>
                      </w:divBdr>
                      <w:divsChild>
                        <w:div w:id="2107579268">
                          <w:marLeft w:val="0"/>
                          <w:marRight w:val="0"/>
                          <w:marTop w:val="0"/>
                          <w:marBottom w:val="0"/>
                          <w:divBdr>
                            <w:top w:val="none" w:sz="0" w:space="0" w:color="auto"/>
                            <w:left w:val="none" w:sz="0" w:space="0" w:color="auto"/>
                            <w:bottom w:val="none" w:sz="0" w:space="0" w:color="auto"/>
                            <w:right w:val="none" w:sz="0" w:space="0" w:color="auto"/>
                          </w:divBdr>
                          <w:divsChild>
                            <w:div w:id="1548881881">
                              <w:marLeft w:val="0"/>
                              <w:marRight w:val="0"/>
                              <w:marTop w:val="0"/>
                              <w:marBottom w:val="0"/>
                              <w:divBdr>
                                <w:top w:val="none" w:sz="0" w:space="0" w:color="auto"/>
                                <w:left w:val="none" w:sz="0" w:space="0" w:color="auto"/>
                                <w:bottom w:val="none" w:sz="0" w:space="0" w:color="auto"/>
                                <w:right w:val="none" w:sz="0" w:space="0" w:color="auto"/>
                              </w:divBdr>
                              <w:divsChild>
                                <w:div w:id="1856990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2904683">
      <w:bodyDiv w:val="1"/>
      <w:marLeft w:val="0"/>
      <w:marRight w:val="0"/>
      <w:marTop w:val="0"/>
      <w:marBottom w:val="0"/>
      <w:divBdr>
        <w:top w:val="none" w:sz="0" w:space="0" w:color="auto"/>
        <w:left w:val="none" w:sz="0" w:space="0" w:color="auto"/>
        <w:bottom w:val="none" w:sz="0" w:space="0" w:color="auto"/>
        <w:right w:val="none" w:sz="0" w:space="0" w:color="auto"/>
      </w:divBdr>
      <w:divsChild>
        <w:div w:id="1502352761">
          <w:marLeft w:val="0"/>
          <w:marRight w:val="0"/>
          <w:marTop w:val="0"/>
          <w:marBottom w:val="0"/>
          <w:divBdr>
            <w:top w:val="none" w:sz="0" w:space="0" w:color="auto"/>
            <w:left w:val="none" w:sz="0" w:space="0" w:color="auto"/>
            <w:bottom w:val="none" w:sz="0" w:space="0" w:color="auto"/>
            <w:right w:val="none" w:sz="0" w:space="0" w:color="auto"/>
          </w:divBdr>
          <w:divsChild>
            <w:div w:id="1047491981">
              <w:marLeft w:val="0"/>
              <w:marRight w:val="0"/>
              <w:marTop w:val="0"/>
              <w:marBottom w:val="0"/>
              <w:divBdr>
                <w:top w:val="none" w:sz="0" w:space="0" w:color="auto"/>
                <w:left w:val="none" w:sz="0" w:space="0" w:color="auto"/>
                <w:bottom w:val="none" w:sz="0" w:space="0" w:color="auto"/>
                <w:right w:val="none" w:sz="0" w:space="0" w:color="auto"/>
              </w:divBdr>
            </w:div>
            <w:div w:id="1888182021">
              <w:marLeft w:val="0"/>
              <w:marRight w:val="0"/>
              <w:marTop w:val="0"/>
              <w:marBottom w:val="0"/>
              <w:divBdr>
                <w:top w:val="none" w:sz="0" w:space="0" w:color="auto"/>
                <w:left w:val="none" w:sz="0" w:space="0" w:color="auto"/>
                <w:bottom w:val="none" w:sz="0" w:space="0" w:color="auto"/>
                <w:right w:val="none" w:sz="0" w:space="0" w:color="auto"/>
              </w:divBdr>
              <w:divsChild>
                <w:div w:id="197592424">
                  <w:marLeft w:val="0"/>
                  <w:marRight w:val="0"/>
                  <w:marTop w:val="0"/>
                  <w:marBottom w:val="0"/>
                  <w:divBdr>
                    <w:top w:val="none" w:sz="0" w:space="0" w:color="auto"/>
                    <w:left w:val="none" w:sz="0" w:space="0" w:color="auto"/>
                    <w:bottom w:val="none" w:sz="0" w:space="0" w:color="auto"/>
                    <w:right w:val="none" w:sz="0" w:space="0" w:color="auto"/>
                  </w:divBdr>
                  <w:divsChild>
                    <w:div w:id="1441680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2956091">
      <w:bodyDiv w:val="1"/>
      <w:marLeft w:val="0"/>
      <w:marRight w:val="0"/>
      <w:marTop w:val="0"/>
      <w:marBottom w:val="0"/>
      <w:divBdr>
        <w:top w:val="none" w:sz="0" w:space="0" w:color="auto"/>
        <w:left w:val="none" w:sz="0" w:space="0" w:color="auto"/>
        <w:bottom w:val="none" w:sz="0" w:space="0" w:color="auto"/>
        <w:right w:val="none" w:sz="0" w:space="0" w:color="auto"/>
      </w:divBdr>
    </w:div>
    <w:div w:id="1746879336">
      <w:bodyDiv w:val="1"/>
      <w:marLeft w:val="0"/>
      <w:marRight w:val="0"/>
      <w:marTop w:val="0"/>
      <w:marBottom w:val="0"/>
      <w:divBdr>
        <w:top w:val="none" w:sz="0" w:space="0" w:color="auto"/>
        <w:left w:val="none" w:sz="0" w:space="0" w:color="auto"/>
        <w:bottom w:val="none" w:sz="0" w:space="0" w:color="auto"/>
        <w:right w:val="none" w:sz="0" w:space="0" w:color="auto"/>
      </w:divBdr>
      <w:divsChild>
        <w:div w:id="2009359747">
          <w:marLeft w:val="0"/>
          <w:marRight w:val="0"/>
          <w:marTop w:val="0"/>
          <w:marBottom w:val="0"/>
          <w:divBdr>
            <w:top w:val="none" w:sz="0" w:space="0" w:color="auto"/>
            <w:left w:val="none" w:sz="0" w:space="0" w:color="auto"/>
            <w:bottom w:val="none" w:sz="0" w:space="0" w:color="auto"/>
            <w:right w:val="none" w:sz="0" w:space="0" w:color="auto"/>
          </w:divBdr>
          <w:divsChild>
            <w:div w:id="1512836907">
              <w:marLeft w:val="0"/>
              <w:marRight w:val="0"/>
              <w:marTop w:val="0"/>
              <w:marBottom w:val="0"/>
              <w:divBdr>
                <w:top w:val="none" w:sz="0" w:space="0" w:color="auto"/>
                <w:left w:val="none" w:sz="0" w:space="0" w:color="auto"/>
                <w:bottom w:val="none" w:sz="0" w:space="0" w:color="auto"/>
                <w:right w:val="none" w:sz="0" w:space="0" w:color="auto"/>
              </w:divBdr>
              <w:divsChild>
                <w:div w:id="1372726023">
                  <w:marLeft w:val="0"/>
                  <w:marRight w:val="0"/>
                  <w:marTop w:val="0"/>
                  <w:marBottom w:val="0"/>
                  <w:divBdr>
                    <w:top w:val="none" w:sz="0" w:space="0" w:color="auto"/>
                    <w:left w:val="none" w:sz="0" w:space="0" w:color="auto"/>
                    <w:bottom w:val="none" w:sz="0" w:space="0" w:color="auto"/>
                    <w:right w:val="none" w:sz="0" w:space="0" w:color="auto"/>
                  </w:divBdr>
                  <w:divsChild>
                    <w:div w:id="1815677751">
                      <w:marLeft w:val="0"/>
                      <w:marRight w:val="0"/>
                      <w:marTop w:val="0"/>
                      <w:marBottom w:val="0"/>
                      <w:divBdr>
                        <w:top w:val="none" w:sz="0" w:space="0" w:color="auto"/>
                        <w:left w:val="none" w:sz="0" w:space="0" w:color="auto"/>
                        <w:bottom w:val="none" w:sz="0" w:space="0" w:color="auto"/>
                        <w:right w:val="none" w:sz="0" w:space="0" w:color="auto"/>
                      </w:divBdr>
                      <w:divsChild>
                        <w:div w:id="1513454423">
                          <w:marLeft w:val="0"/>
                          <w:marRight w:val="0"/>
                          <w:marTop w:val="0"/>
                          <w:marBottom w:val="0"/>
                          <w:divBdr>
                            <w:top w:val="none" w:sz="0" w:space="0" w:color="auto"/>
                            <w:left w:val="none" w:sz="0" w:space="0" w:color="auto"/>
                            <w:bottom w:val="none" w:sz="0" w:space="0" w:color="auto"/>
                            <w:right w:val="none" w:sz="0" w:space="0" w:color="auto"/>
                          </w:divBdr>
                          <w:divsChild>
                            <w:div w:id="524757567">
                              <w:marLeft w:val="0"/>
                              <w:marRight w:val="0"/>
                              <w:marTop w:val="0"/>
                              <w:marBottom w:val="0"/>
                              <w:divBdr>
                                <w:top w:val="none" w:sz="0" w:space="0" w:color="auto"/>
                                <w:left w:val="none" w:sz="0" w:space="0" w:color="auto"/>
                                <w:bottom w:val="none" w:sz="0" w:space="0" w:color="auto"/>
                                <w:right w:val="none" w:sz="0" w:space="0" w:color="auto"/>
                              </w:divBdr>
                              <w:divsChild>
                                <w:div w:id="524054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2507608">
      <w:bodyDiv w:val="1"/>
      <w:marLeft w:val="0"/>
      <w:marRight w:val="0"/>
      <w:marTop w:val="0"/>
      <w:marBottom w:val="0"/>
      <w:divBdr>
        <w:top w:val="none" w:sz="0" w:space="0" w:color="auto"/>
        <w:left w:val="none" w:sz="0" w:space="0" w:color="auto"/>
        <w:bottom w:val="none" w:sz="0" w:space="0" w:color="auto"/>
        <w:right w:val="none" w:sz="0" w:space="0" w:color="auto"/>
      </w:divBdr>
      <w:divsChild>
        <w:div w:id="995912160">
          <w:marLeft w:val="0"/>
          <w:marRight w:val="0"/>
          <w:marTop w:val="0"/>
          <w:marBottom w:val="0"/>
          <w:divBdr>
            <w:top w:val="none" w:sz="0" w:space="0" w:color="auto"/>
            <w:left w:val="none" w:sz="0" w:space="0" w:color="auto"/>
            <w:bottom w:val="none" w:sz="0" w:space="0" w:color="auto"/>
            <w:right w:val="none" w:sz="0" w:space="0" w:color="auto"/>
          </w:divBdr>
          <w:divsChild>
            <w:div w:id="1360428659">
              <w:marLeft w:val="0"/>
              <w:marRight w:val="0"/>
              <w:marTop w:val="0"/>
              <w:marBottom w:val="0"/>
              <w:divBdr>
                <w:top w:val="none" w:sz="0" w:space="0" w:color="auto"/>
                <w:left w:val="none" w:sz="0" w:space="0" w:color="auto"/>
                <w:bottom w:val="none" w:sz="0" w:space="0" w:color="auto"/>
                <w:right w:val="none" w:sz="0" w:space="0" w:color="auto"/>
              </w:divBdr>
              <w:divsChild>
                <w:div w:id="372776270">
                  <w:marLeft w:val="300"/>
                  <w:marRight w:val="0"/>
                  <w:marTop w:val="0"/>
                  <w:marBottom w:val="0"/>
                  <w:divBdr>
                    <w:top w:val="none" w:sz="0" w:space="0" w:color="auto"/>
                    <w:left w:val="none" w:sz="0" w:space="0" w:color="auto"/>
                    <w:bottom w:val="none" w:sz="0" w:space="0" w:color="auto"/>
                    <w:right w:val="none" w:sz="0" w:space="0" w:color="auto"/>
                  </w:divBdr>
                  <w:divsChild>
                    <w:div w:id="345904016">
                      <w:marLeft w:val="0"/>
                      <w:marRight w:val="0"/>
                      <w:marTop w:val="0"/>
                      <w:marBottom w:val="0"/>
                      <w:divBdr>
                        <w:top w:val="none" w:sz="0" w:space="0" w:color="auto"/>
                        <w:left w:val="none" w:sz="0" w:space="0" w:color="auto"/>
                        <w:bottom w:val="none" w:sz="0" w:space="0" w:color="auto"/>
                        <w:right w:val="none" w:sz="0" w:space="0" w:color="auto"/>
                      </w:divBdr>
                      <w:divsChild>
                        <w:div w:id="114663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5852888">
      <w:bodyDiv w:val="1"/>
      <w:marLeft w:val="0"/>
      <w:marRight w:val="0"/>
      <w:marTop w:val="0"/>
      <w:marBottom w:val="0"/>
      <w:divBdr>
        <w:top w:val="none" w:sz="0" w:space="0" w:color="auto"/>
        <w:left w:val="none" w:sz="0" w:space="0" w:color="auto"/>
        <w:bottom w:val="none" w:sz="0" w:space="0" w:color="auto"/>
        <w:right w:val="none" w:sz="0" w:space="0" w:color="auto"/>
      </w:divBdr>
    </w:div>
    <w:div w:id="1764834040">
      <w:bodyDiv w:val="1"/>
      <w:marLeft w:val="0"/>
      <w:marRight w:val="0"/>
      <w:marTop w:val="0"/>
      <w:marBottom w:val="0"/>
      <w:divBdr>
        <w:top w:val="none" w:sz="0" w:space="0" w:color="auto"/>
        <w:left w:val="none" w:sz="0" w:space="0" w:color="auto"/>
        <w:bottom w:val="none" w:sz="0" w:space="0" w:color="auto"/>
        <w:right w:val="none" w:sz="0" w:space="0" w:color="auto"/>
      </w:divBdr>
      <w:divsChild>
        <w:div w:id="1574898138">
          <w:marLeft w:val="0"/>
          <w:marRight w:val="0"/>
          <w:marTop w:val="0"/>
          <w:marBottom w:val="0"/>
          <w:divBdr>
            <w:top w:val="none" w:sz="0" w:space="0" w:color="auto"/>
            <w:left w:val="none" w:sz="0" w:space="0" w:color="auto"/>
            <w:bottom w:val="none" w:sz="0" w:space="0" w:color="auto"/>
            <w:right w:val="none" w:sz="0" w:space="0" w:color="auto"/>
          </w:divBdr>
          <w:divsChild>
            <w:div w:id="1916159780">
              <w:marLeft w:val="0"/>
              <w:marRight w:val="0"/>
              <w:marTop w:val="0"/>
              <w:marBottom w:val="0"/>
              <w:divBdr>
                <w:top w:val="none" w:sz="0" w:space="0" w:color="auto"/>
                <w:left w:val="none" w:sz="0" w:space="0" w:color="auto"/>
                <w:bottom w:val="none" w:sz="0" w:space="0" w:color="auto"/>
                <w:right w:val="none" w:sz="0" w:space="0" w:color="auto"/>
              </w:divBdr>
            </w:div>
            <w:div w:id="1432314893">
              <w:marLeft w:val="0"/>
              <w:marRight w:val="0"/>
              <w:marTop w:val="0"/>
              <w:marBottom w:val="0"/>
              <w:divBdr>
                <w:top w:val="none" w:sz="0" w:space="0" w:color="auto"/>
                <w:left w:val="none" w:sz="0" w:space="0" w:color="auto"/>
                <w:bottom w:val="none" w:sz="0" w:space="0" w:color="auto"/>
                <w:right w:val="none" w:sz="0" w:space="0" w:color="auto"/>
              </w:divBdr>
              <w:divsChild>
                <w:div w:id="28995944">
                  <w:marLeft w:val="0"/>
                  <w:marRight w:val="0"/>
                  <w:marTop w:val="0"/>
                  <w:marBottom w:val="0"/>
                  <w:divBdr>
                    <w:top w:val="none" w:sz="0" w:space="0" w:color="auto"/>
                    <w:left w:val="none" w:sz="0" w:space="0" w:color="auto"/>
                    <w:bottom w:val="none" w:sz="0" w:space="0" w:color="auto"/>
                    <w:right w:val="none" w:sz="0" w:space="0" w:color="auto"/>
                  </w:divBdr>
                  <w:divsChild>
                    <w:div w:id="130523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287281">
      <w:bodyDiv w:val="1"/>
      <w:marLeft w:val="0"/>
      <w:marRight w:val="0"/>
      <w:marTop w:val="0"/>
      <w:marBottom w:val="0"/>
      <w:divBdr>
        <w:top w:val="none" w:sz="0" w:space="0" w:color="auto"/>
        <w:left w:val="none" w:sz="0" w:space="0" w:color="auto"/>
        <w:bottom w:val="none" w:sz="0" w:space="0" w:color="auto"/>
        <w:right w:val="none" w:sz="0" w:space="0" w:color="auto"/>
      </w:divBdr>
      <w:divsChild>
        <w:div w:id="2036072691">
          <w:marLeft w:val="0"/>
          <w:marRight w:val="0"/>
          <w:marTop w:val="0"/>
          <w:marBottom w:val="0"/>
          <w:divBdr>
            <w:top w:val="none" w:sz="0" w:space="0" w:color="auto"/>
            <w:left w:val="none" w:sz="0" w:space="0" w:color="auto"/>
            <w:bottom w:val="none" w:sz="0" w:space="0" w:color="auto"/>
            <w:right w:val="none" w:sz="0" w:space="0" w:color="auto"/>
          </w:divBdr>
          <w:divsChild>
            <w:div w:id="852501940">
              <w:marLeft w:val="0"/>
              <w:marRight w:val="0"/>
              <w:marTop w:val="0"/>
              <w:marBottom w:val="0"/>
              <w:divBdr>
                <w:top w:val="none" w:sz="0" w:space="0" w:color="auto"/>
                <w:left w:val="none" w:sz="0" w:space="0" w:color="auto"/>
                <w:bottom w:val="none" w:sz="0" w:space="0" w:color="auto"/>
                <w:right w:val="none" w:sz="0" w:space="0" w:color="auto"/>
              </w:divBdr>
              <w:divsChild>
                <w:div w:id="84544327">
                  <w:marLeft w:val="0"/>
                  <w:marRight w:val="0"/>
                  <w:marTop w:val="0"/>
                  <w:marBottom w:val="0"/>
                  <w:divBdr>
                    <w:top w:val="none" w:sz="0" w:space="0" w:color="auto"/>
                    <w:left w:val="none" w:sz="0" w:space="0" w:color="auto"/>
                    <w:bottom w:val="none" w:sz="0" w:space="0" w:color="auto"/>
                    <w:right w:val="none" w:sz="0" w:space="0" w:color="auto"/>
                  </w:divBdr>
                  <w:divsChild>
                    <w:div w:id="1182471416">
                      <w:marLeft w:val="0"/>
                      <w:marRight w:val="0"/>
                      <w:marTop w:val="0"/>
                      <w:marBottom w:val="0"/>
                      <w:divBdr>
                        <w:top w:val="none" w:sz="0" w:space="0" w:color="auto"/>
                        <w:left w:val="none" w:sz="0" w:space="0" w:color="auto"/>
                        <w:bottom w:val="none" w:sz="0" w:space="0" w:color="auto"/>
                        <w:right w:val="none" w:sz="0" w:space="0" w:color="auto"/>
                      </w:divBdr>
                      <w:divsChild>
                        <w:div w:id="1596479696">
                          <w:marLeft w:val="0"/>
                          <w:marRight w:val="0"/>
                          <w:marTop w:val="0"/>
                          <w:marBottom w:val="0"/>
                          <w:divBdr>
                            <w:top w:val="none" w:sz="0" w:space="0" w:color="auto"/>
                            <w:left w:val="none" w:sz="0" w:space="0" w:color="auto"/>
                            <w:bottom w:val="none" w:sz="0" w:space="0" w:color="auto"/>
                            <w:right w:val="none" w:sz="0" w:space="0" w:color="auto"/>
                          </w:divBdr>
                          <w:divsChild>
                            <w:div w:id="205724806">
                              <w:marLeft w:val="0"/>
                              <w:marRight w:val="0"/>
                              <w:marTop w:val="0"/>
                              <w:marBottom w:val="0"/>
                              <w:divBdr>
                                <w:top w:val="none" w:sz="0" w:space="0" w:color="auto"/>
                                <w:left w:val="none" w:sz="0" w:space="0" w:color="auto"/>
                                <w:bottom w:val="none" w:sz="0" w:space="0" w:color="auto"/>
                                <w:right w:val="none" w:sz="0" w:space="0" w:color="auto"/>
                              </w:divBdr>
                              <w:divsChild>
                                <w:div w:id="674963805">
                                  <w:marLeft w:val="0"/>
                                  <w:marRight w:val="0"/>
                                  <w:marTop w:val="0"/>
                                  <w:marBottom w:val="0"/>
                                  <w:divBdr>
                                    <w:top w:val="none" w:sz="0" w:space="0" w:color="auto"/>
                                    <w:left w:val="none" w:sz="0" w:space="0" w:color="auto"/>
                                    <w:bottom w:val="none" w:sz="0" w:space="0" w:color="auto"/>
                                    <w:right w:val="none" w:sz="0" w:space="0" w:color="auto"/>
                                  </w:divBdr>
                                  <w:divsChild>
                                    <w:div w:id="48114892">
                                      <w:marLeft w:val="0"/>
                                      <w:marRight w:val="0"/>
                                      <w:marTop w:val="0"/>
                                      <w:marBottom w:val="0"/>
                                      <w:divBdr>
                                        <w:top w:val="none" w:sz="0" w:space="0" w:color="auto"/>
                                        <w:left w:val="none" w:sz="0" w:space="0" w:color="auto"/>
                                        <w:bottom w:val="none" w:sz="0" w:space="0" w:color="auto"/>
                                        <w:right w:val="none" w:sz="0" w:space="0" w:color="auto"/>
                                      </w:divBdr>
                                      <w:divsChild>
                                        <w:div w:id="1269192520">
                                          <w:marLeft w:val="0"/>
                                          <w:marRight w:val="0"/>
                                          <w:marTop w:val="0"/>
                                          <w:marBottom w:val="0"/>
                                          <w:divBdr>
                                            <w:top w:val="none" w:sz="0" w:space="0" w:color="auto"/>
                                            <w:left w:val="none" w:sz="0" w:space="0" w:color="auto"/>
                                            <w:bottom w:val="none" w:sz="0" w:space="0" w:color="auto"/>
                                            <w:right w:val="none" w:sz="0" w:space="0" w:color="auto"/>
                                          </w:divBdr>
                                          <w:divsChild>
                                            <w:div w:id="609581407">
                                              <w:marLeft w:val="0"/>
                                              <w:marRight w:val="0"/>
                                              <w:marTop w:val="0"/>
                                              <w:marBottom w:val="0"/>
                                              <w:divBdr>
                                                <w:top w:val="none" w:sz="0" w:space="0" w:color="auto"/>
                                                <w:left w:val="none" w:sz="0" w:space="0" w:color="auto"/>
                                                <w:bottom w:val="none" w:sz="0" w:space="0" w:color="auto"/>
                                                <w:right w:val="none" w:sz="0" w:space="0" w:color="auto"/>
                                              </w:divBdr>
                                              <w:divsChild>
                                                <w:div w:id="1919316851">
                                                  <w:marLeft w:val="0"/>
                                                  <w:marRight w:val="0"/>
                                                  <w:marTop w:val="0"/>
                                                  <w:marBottom w:val="0"/>
                                                  <w:divBdr>
                                                    <w:top w:val="none" w:sz="0" w:space="0" w:color="auto"/>
                                                    <w:left w:val="none" w:sz="0" w:space="0" w:color="auto"/>
                                                    <w:bottom w:val="none" w:sz="0" w:space="0" w:color="auto"/>
                                                    <w:right w:val="none" w:sz="0" w:space="0" w:color="auto"/>
                                                  </w:divBdr>
                                                  <w:divsChild>
                                                    <w:div w:id="161939862">
                                                      <w:marLeft w:val="0"/>
                                                      <w:marRight w:val="0"/>
                                                      <w:marTop w:val="0"/>
                                                      <w:marBottom w:val="0"/>
                                                      <w:divBdr>
                                                        <w:top w:val="none" w:sz="0" w:space="0" w:color="auto"/>
                                                        <w:left w:val="none" w:sz="0" w:space="0" w:color="auto"/>
                                                        <w:bottom w:val="none" w:sz="0" w:space="0" w:color="auto"/>
                                                        <w:right w:val="none" w:sz="0" w:space="0" w:color="auto"/>
                                                      </w:divBdr>
                                                      <w:divsChild>
                                                        <w:div w:id="224222695">
                                                          <w:marLeft w:val="0"/>
                                                          <w:marRight w:val="0"/>
                                                          <w:marTop w:val="0"/>
                                                          <w:marBottom w:val="0"/>
                                                          <w:divBdr>
                                                            <w:top w:val="none" w:sz="0" w:space="0" w:color="auto"/>
                                                            <w:left w:val="none" w:sz="0" w:space="0" w:color="auto"/>
                                                            <w:bottom w:val="none" w:sz="0" w:space="0" w:color="auto"/>
                                                            <w:right w:val="none" w:sz="0" w:space="0" w:color="auto"/>
                                                          </w:divBdr>
                                                          <w:divsChild>
                                                            <w:div w:id="1117605997">
                                                              <w:marLeft w:val="0"/>
                                                              <w:marRight w:val="0"/>
                                                              <w:marTop w:val="0"/>
                                                              <w:marBottom w:val="0"/>
                                                              <w:divBdr>
                                                                <w:top w:val="none" w:sz="0" w:space="0" w:color="auto"/>
                                                                <w:left w:val="none" w:sz="0" w:space="0" w:color="auto"/>
                                                                <w:bottom w:val="none" w:sz="0" w:space="0" w:color="auto"/>
                                                                <w:right w:val="none" w:sz="0" w:space="0" w:color="auto"/>
                                                              </w:divBdr>
                                                              <w:divsChild>
                                                                <w:div w:id="287400999">
                                                                  <w:marLeft w:val="0"/>
                                                                  <w:marRight w:val="0"/>
                                                                  <w:marTop w:val="0"/>
                                                                  <w:marBottom w:val="0"/>
                                                                  <w:divBdr>
                                                                    <w:top w:val="none" w:sz="0" w:space="0" w:color="auto"/>
                                                                    <w:left w:val="none" w:sz="0" w:space="0" w:color="auto"/>
                                                                    <w:bottom w:val="none" w:sz="0" w:space="0" w:color="auto"/>
                                                                    <w:right w:val="none" w:sz="0" w:space="0" w:color="auto"/>
                                                                  </w:divBdr>
                                                                  <w:divsChild>
                                                                    <w:div w:id="375356352">
                                                                      <w:marLeft w:val="0"/>
                                                                      <w:marRight w:val="0"/>
                                                                      <w:marTop w:val="0"/>
                                                                      <w:marBottom w:val="0"/>
                                                                      <w:divBdr>
                                                                        <w:top w:val="none" w:sz="0" w:space="0" w:color="auto"/>
                                                                        <w:left w:val="none" w:sz="0" w:space="0" w:color="auto"/>
                                                                        <w:bottom w:val="none" w:sz="0" w:space="0" w:color="auto"/>
                                                                        <w:right w:val="none" w:sz="0" w:space="0" w:color="auto"/>
                                                                      </w:divBdr>
                                                                      <w:divsChild>
                                                                        <w:div w:id="1695572359">
                                                                          <w:marLeft w:val="0"/>
                                                                          <w:marRight w:val="0"/>
                                                                          <w:marTop w:val="0"/>
                                                                          <w:marBottom w:val="0"/>
                                                                          <w:divBdr>
                                                                            <w:top w:val="none" w:sz="0" w:space="0" w:color="auto"/>
                                                                            <w:left w:val="none" w:sz="0" w:space="0" w:color="auto"/>
                                                                            <w:bottom w:val="none" w:sz="0" w:space="0" w:color="auto"/>
                                                                            <w:right w:val="none" w:sz="0" w:space="0" w:color="auto"/>
                                                                          </w:divBdr>
                                                                          <w:divsChild>
                                                                            <w:div w:id="208602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53971163">
      <w:bodyDiv w:val="1"/>
      <w:marLeft w:val="0"/>
      <w:marRight w:val="0"/>
      <w:marTop w:val="0"/>
      <w:marBottom w:val="0"/>
      <w:divBdr>
        <w:top w:val="none" w:sz="0" w:space="0" w:color="auto"/>
        <w:left w:val="none" w:sz="0" w:space="0" w:color="auto"/>
        <w:bottom w:val="none" w:sz="0" w:space="0" w:color="auto"/>
        <w:right w:val="none" w:sz="0" w:space="0" w:color="auto"/>
      </w:divBdr>
      <w:divsChild>
        <w:div w:id="560873616">
          <w:marLeft w:val="0"/>
          <w:marRight w:val="0"/>
          <w:marTop w:val="0"/>
          <w:marBottom w:val="0"/>
          <w:divBdr>
            <w:top w:val="none" w:sz="0" w:space="0" w:color="auto"/>
            <w:left w:val="none" w:sz="0" w:space="0" w:color="auto"/>
            <w:bottom w:val="none" w:sz="0" w:space="0" w:color="auto"/>
            <w:right w:val="none" w:sz="0" w:space="0" w:color="auto"/>
          </w:divBdr>
          <w:divsChild>
            <w:div w:id="249629923">
              <w:marLeft w:val="0"/>
              <w:marRight w:val="0"/>
              <w:marTop w:val="0"/>
              <w:marBottom w:val="0"/>
              <w:divBdr>
                <w:top w:val="none" w:sz="0" w:space="0" w:color="auto"/>
                <w:left w:val="none" w:sz="0" w:space="0" w:color="auto"/>
                <w:bottom w:val="none" w:sz="0" w:space="0" w:color="auto"/>
                <w:right w:val="none" w:sz="0" w:space="0" w:color="auto"/>
              </w:divBdr>
            </w:div>
            <w:div w:id="1704134797">
              <w:marLeft w:val="0"/>
              <w:marRight w:val="0"/>
              <w:marTop w:val="0"/>
              <w:marBottom w:val="0"/>
              <w:divBdr>
                <w:top w:val="none" w:sz="0" w:space="0" w:color="auto"/>
                <w:left w:val="none" w:sz="0" w:space="0" w:color="auto"/>
                <w:bottom w:val="none" w:sz="0" w:space="0" w:color="auto"/>
                <w:right w:val="none" w:sz="0" w:space="0" w:color="auto"/>
              </w:divBdr>
              <w:divsChild>
                <w:div w:id="678696243">
                  <w:marLeft w:val="0"/>
                  <w:marRight w:val="0"/>
                  <w:marTop w:val="0"/>
                  <w:marBottom w:val="0"/>
                  <w:divBdr>
                    <w:top w:val="none" w:sz="0" w:space="0" w:color="auto"/>
                    <w:left w:val="none" w:sz="0" w:space="0" w:color="auto"/>
                    <w:bottom w:val="none" w:sz="0" w:space="0" w:color="auto"/>
                    <w:right w:val="none" w:sz="0" w:space="0" w:color="auto"/>
                  </w:divBdr>
                  <w:divsChild>
                    <w:div w:id="1892229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3725663">
      <w:bodyDiv w:val="1"/>
      <w:marLeft w:val="0"/>
      <w:marRight w:val="0"/>
      <w:marTop w:val="0"/>
      <w:marBottom w:val="0"/>
      <w:divBdr>
        <w:top w:val="none" w:sz="0" w:space="0" w:color="auto"/>
        <w:left w:val="none" w:sz="0" w:space="0" w:color="auto"/>
        <w:bottom w:val="none" w:sz="0" w:space="0" w:color="auto"/>
        <w:right w:val="none" w:sz="0" w:space="0" w:color="auto"/>
      </w:divBdr>
      <w:divsChild>
        <w:div w:id="1326393640">
          <w:marLeft w:val="0"/>
          <w:marRight w:val="0"/>
          <w:marTop w:val="0"/>
          <w:marBottom w:val="0"/>
          <w:divBdr>
            <w:top w:val="none" w:sz="0" w:space="0" w:color="auto"/>
            <w:left w:val="none" w:sz="0" w:space="0" w:color="auto"/>
            <w:bottom w:val="none" w:sz="0" w:space="0" w:color="auto"/>
            <w:right w:val="none" w:sz="0" w:space="0" w:color="auto"/>
          </w:divBdr>
          <w:divsChild>
            <w:div w:id="504514359">
              <w:marLeft w:val="0"/>
              <w:marRight w:val="0"/>
              <w:marTop w:val="0"/>
              <w:marBottom w:val="0"/>
              <w:divBdr>
                <w:top w:val="none" w:sz="0" w:space="0" w:color="auto"/>
                <w:left w:val="none" w:sz="0" w:space="0" w:color="auto"/>
                <w:bottom w:val="none" w:sz="0" w:space="0" w:color="auto"/>
                <w:right w:val="none" w:sz="0" w:space="0" w:color="auto"/>
              </w:divBdr>
            </w:div>
            <w:div w:id="1329481224">
              <w:marLeft w:val="0"/>
              <w:marRight w:val="0"/>
              <w:marTop w:val="0"/>
              <w:marBottom w:val="0"/>
              <w:divBdr>
                <w:top w:val="none" w:sz="0" w:space="0" w:color="auto"/>
                <w:left w:val="none" w:sz="0" w:space="0" w:color="auto"/>
                <w:bottom w:val="none" w:sz="0" w:space="0" w:color="auto"/>
                <w:right w:val="none" w:sz="0" w:space="0" w:color="auto"/>
              </w:divBdr>
              <w:divsChild>
                <w:div w:id="902447357">
                  <w:marLeft w:val="0"/>
                  <w:marRight w:val="0"/>
                  <w:marTop w:val="0"/>
                  <w:marBottom w:val="0"/>
                  <w:divBdr>
                    <w:top w:val="none" w:sz="0" w:space="0" w:color="auto"/>
                    <w:left w:val="none" w:sz="0" w:space="0" w:color="auto"/>
                    <w:bottom w:val="none" w:sz="0" w:space="0" w:color="auto"/>
                    <w:right w:val="none" w:sz="0" w:space="0" w:color="auto"/>
                  </w:divBdr>
                  <w:divsChild>
                    <w:div w:id="75393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1764987">
      <w:bodyDiv w:val="1"/>
      <w:marLeft w:val="0"/>
      <w:marRight w:val="0"/>
      <w:marTop w:val="0"/>
      <w:marBottom w:val="0"/>
      <w:divBdr>
        <w:top w:val="none" w:sz="0" w:space="0" w:color="auto"/>
        <w:left w:val="none" w:sz="0" w:space="0" w:color="auto"/>
        <w:bottom w:val="none" w:sz="0" w:space="0" w:color="auto"/>
        <w:right w:val="none" w:sz="0" w:space="0" w:color="auto"/>
      </w:divBdr>
    </w:div>
    <w:div w:id="2113553726">
      <w:bodyDiv w:val="1"/>
      <w:marLeft w:val="0"/>
      <w:marRight w:val="0"/>
      <w:marTop w:val="0"/>
      <w:marBottom w:val="0"/>
      <w:divBdr>
        <w:top w:val="none" w:sz="0" w:space="0" w:color="auto"/>
        <w:left w:val="none" w:sz="0" w:space="0" w:color="auto"/>
        <w:bottom w:val="none" w:sz="0" w:space="0" w:color="auto"/>
        <w:right w:val="none" w:sz="0" w:space="0" w:color="auto"/>
      </w:divBdr>
      <w:divsChild>
        <w:div w:id="648022940">
          <w:marLeft w:val="0"/>
          <w:marRight w:val="0"/>
          <w:marTop w:val="0"/>
          <w:marBottom w:val="0"/>
          <w:divBdr>
            <w:top w:val="none" w:sz="0" w:space="0" w:color="auto"/>
            <w:left w:val="none" w:sz="0" w:space="0" w:color="auto"/>
            <w:bottom w:val="none" w:sz="0" w:space="0" w:color="auto"/>
            <w:right w:val="none" w:sz="0" w:space="0" w:color="auto"/>
          </w:divBdr>
          <w:divsChild>
            <w:div w:id="1050038443">
              <w:marLeft w:val="0"/>
              <w:marRight w:val="0"/>
              <w:marTop w:val="0"/>
              <w:marBottom w:val="0"/>
              <w:divBdr>
                <w:top w:val="none" w:sz="0" w:space="0" w:color="auto"/>
                <w:left w:val="none" w:sz="0" w:space="0" w:color="auto"/>
                <w:bottom w:val="none" w:sz="0" w:space="0" w:color="auto"/>
                <w:right w:val="none" w:sz="0" w:space="0" w:color="auto"/>
              </w:divBdr>
            </w:div>
            <w:div w:id="2114743621">
              <w:marLeft w:val="0"/>
              <w:marRight w:val="0"/>
              <w:marTop w:val="0"/>
              <w:marBottom w:val="0"/>
              <w:divBdr>
                <w:top w:val="none" w:sz="0" w:space="0" w:color="auto"/>
                <w:left w:val="none" w:sz="0" w:space="0" w:color="auto"/>
                <w:bottom w:val="none" w:sz="0" w:space="0" w:color="auto"/>
                <w:right w:val="none" w:sz="0" w:space="0" w:color="auto"/>
              </w:divBdr>
              <w:divsChild>
                <w:div w:id="121460879">
                  <w:marLeft w:val="0"/>
                  <w:marRight w:val="0"/>
                  <w:marTop w:val="0"/>
                  <w:marBottom w:val="0"/>
                  <w:divBdr>
                    <w:top w:val="none" w:sz="0" w:space="0" w:color="auto"/>
                    <w:left w:val="none" w:sz="0" w:space="0" w:color="auto"/>
                    <w:bottom w:val="none" w:sz="0" w:space="0" w:color="auto"/>
                    <w:right w:val="none" w:sz="0" w:space="0" w:color="auto"/>
                  </w:divBdr>
                  <w:divsChild>
                    <w:div w:id="138282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8" Type="http://schemas.openxmlformats.org/officeDocument/2006/relationships/hyperlink" Target="http://www.ags.gov.au/publications/express-law/el110.pdf" TargetMode="External"/><Relationship Id="rId3" Type="http://schemas.openxmlformats.org/officeDocument/2006/relationships/hyperlink" Target="http://hrlc.org.au/caselaw/" TargetMode="External"/><Relationship Id="rId7" Type="http://schemas.openxmlformats.org/officeDocument/2006/relationships/hyperlink" Target="http://www.humanrightscommission.vic.gov.au/index.php/our-resources-and-publications/charter-reports/item/169-economic-social-cultural-rights-and-the-charter-of-human-rights-and-responsibilities-&#8211;-a-framework-for-discussion-mar-2010" TargetMode="External"/><Relationship Id="rId2" Type="http://schemas.openxmlformats.org/officeDocument/2006/relationships/hyperlink" Target="https://www.bihr.org.uk/Pages/FAQs/" TargetMode="External"/><Relationship Id="rId1" Type="http://schemas.openxmlformats.org/officeDocument/2006/relationships/hyperlink" Target="https://www.questia.com/read/1G1-20518046/a-culture-of-human-rights" TargetMode="External"/><Relationship Id="rId6" Type="http://schemas.openxmlformats.org/officeDocument/2006/relationships/hyperlink" Target="http://www.ags.gov.au/publications/express-law/el110.pdf" TargetMode="External"/><Relationship Id="rId11" Type="http://schemas.openxmlformats.org/officeDocument/2006/relationships/hyperlink" Target="http://www.hrc.act.gov.au/res/HRA%2010%20yr%20snapshot%20HRDC%20webversion.pdf" TargetMode="External"/><Relationship Id="rId5" Type="http://schemas.openxmlformats.org/officeDocument/2006/relationships/hyperlink" Target="http://ntstate7.com.au/sites/default/files/Billofrights_customarylaw.pdf" TargetMode="External"/><Relationship Id="rId10" Type="http://schemas.openxmlformats.org/officeDocument/2006/relationships/hyperlink" Target="http://www.humanrightscommission.vic.gov.au/index.php/our-resources-and-publications/charter-reports/item/170-indigenous-self-determination-and-the-charter-of-human-rights-and-responsibilities-a-framework-for-discussion-mar-2010" TargetMode="External"/><Relationship Id="rId4" Type="http://schemas.openxmlformats.org/officeDocument/2006/relationships/hyperlink" Target="http://ntstate7.com.au/sites/default/files/Billofrights_customarylaw.pdf" TargetMode="External"/><Relationship Id="rId9" Type="http://schemas.openxmlformats.org/officeDocument/2006/relationships/hyperlink" Target="http://www.austlii.edu.au/au/journals/JlIndigP/2002/7.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A35BF7-24E3-4B37-8063-B039FA372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45</Pages>
  <Words>17700</Words>
  <Characters>100894</Characters>
  <Application>Microsoft Office Word</Application>
  <DocSecurity>0</DocSecurity>
  <Lines>840</Lines>
  <Paragraphs>236</Paragraphs>
  <ScaleCrop>false</ScaleCrop>
  <HeadingPairs>
    <vt:vector size="2" baseType="variant">
      <vt:variant>
        <vt:lpstr>Title</vt:lpstr>
      </vt:variant>
      <vt:variant>
        <vt:i4>1</vt:i4>
      </vt:variant>
    </vt:vector>
  </HeadingPairs>
  <TitlesOfParts>
    <vt:vector size="1" baseType="lpstr">
      <vt:lpstr>Human Rights Inquiry</vt:lpstr>
    </vt:vector>
  </TitlesOfParts>
  <Company/>
  <LinksUpToDate>false</LinksUpToDate>
  <CharactersWithSpaces>118358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 Rights Inquiry</dc:title>
  <dc:creator>Anti-Discrimination Commission Queensland</dc:creator>
  <cp:lastModifiedBy>Coral Logan</cp:lastModifiedBy>
  <cp:revision>7</cp:revision>
  <cp:lastPrinted>2016-04-18T03:46:00Z</cp:lastPrinted>
  <dcterms:created xsi:type="dcterms:W3CDTF">2016-04-18T02:48:00Z</dcterms:created>
  <dcterms:modified xsi:type="dcterms:W3CDTF">2016-05-17T05:40:00Z</dcterms:modified>
</cp:coreProperties>
</file>