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C9" w:rsidRDefault="00123DC9" w:rsidP="00123DC9">
      <w:pPr>
        <w:pStyle w:val="NormalWeb"/>
        <w:shd w:val="clear" w:color="auto" w:fill="FFFFFF"/>
        <w:spacing w:before="360" w:beforeAutospacing="0" w:after="720"/>
        <w:rPr>
          <w:rFonts w:ascii="Arial" w:hAnsi="Arial" w:cs="Arial"/>
          <w:color w:val="000000"/>
          <w:sz w:val="16"/>
          <w:szCs w:val="22"/>
        </w:rPr>
      </w:pPr>
      <w:r w:rsidRPr="00123DC9">
        <w:rPr>
          <w:rFonts w:ascii="Arial" w:hAnsi="Arial" w:cs="Arial"/>
          <w:color w:val="000000"/>
          <w:sz w:val="16"/>
          <w:szCs w:val="22"/>
        </w:rPr>
        <w:t xml:space="preserve">Our Ref:  </w:t>
      </w:r>
      <w:r>
        <w:rPr>
          <w:rFonts w:ascii="Arial" w:hAnsi="Arial" w:cs="Arial"/>
          <w:color w:val="000000"/>
          <w:sz w:val="16"/>
          <w:szCs w:val="22"/>
        </w:rPr>
        <w:t>BNE3412902</w:t>
      </w:r>
      <w:bookmarkStart w:id="0" w:name="_GoBack"/>
      <w:bookmarkEnd w:id="0"/>
    </w:p>
    <w:p w:rsidR="00123DC9" w:rsidRPr="00123DC9" w:rsidRDefault="00123DC9" w:rsidP="00123DC9">
      <w:pPr>
        <w:pStyle w:val="NormalWeb"/>
        <w:shd w:val="clear" w:color="auto" w:fill="FFFFFF"/>
        <w:spacing w:before="360" w:beforeAutospacing="0" w:after="600"/>
        <w:rPr>
          <w:rFonts w:ascii="Arial" w:hAnsi="Arial" w:cs="Arial"/>
          <w:color w:val="000000"/>
          <w:sz w:val="22"/>
          <w:szCs w:val="22"/>
        </w:rPr>
      </w:pPr>
      <w:r w:rsidRPr="00123DC9">
        <w:rPr>
          <w:rFonts w:ascii="Arial" w:hAnsi="Arial" w:cs="Arial"/>
          <w:color w:val="000000"/>
          <w:sz w:val="22"/>
          <w:szCs w:val="22"/>
        </w:rPr>
        <w:t>4 October 2016</w:t>
      </w:r>
    </w:p>
    <w:p w:rsidR="00123DC9" w:rsidRPr="00123DC9" w:rsidRDefault="00123DC9" w:rsidP="00123DC9">
      <w:pPr>
        <w:pStyle w:val="NormalWeb"/>
        <w:shd w:val="clear" w:color="auto" w:fill="FFFFFF"/>
        <w:spacing w:before="0" w:beforeAutospacing="0" w:after="0"/>
        <w:rPr>
          <w:rFonts w:ascii="Arial" w:hAnsi="Arial" w:cs="Arial"/>
          <w:color w:val="000000"/>
          <w:sz w:val="22"/>
          <w:szCs w:val="22"/>
        </w:rPr>
      </w:pPr>
      <w:r w:rsidRPr="00123DC9">
        <w:rPr>
          <w:rFonts w:ascii="Arial" w:hAnsi="Arial" w:cs="Arial"/>
          <w:color w:val="000000"/>
          <w:sz w:val="22"/>
          <w:szCs w:val="22"/>
        </w:rPr>
        <w:t>Research Director</w:t>
      </w:r>
    </w:p>
    <w:p w:rsidR="00123DC9" w:rsidRPr="00123DC9" w:rsidRDefault="00123DC9" w:rsidP="00123DC9">
      <w:pPr>
        <w:pStyle w:val="NormalWeb"/>
        <w:shd w:val="clear" w:color="auto" w:fill="FFFFFF"/>
        <w:spacing w:before="0" w:beforeAutospacing="0" w:after="0"/>
        <w:rPr>
          <w:rFonts w:ascii="Arial" w:hAnsi="Arial" w:cs="Arial"/>
          <w:color w:val="000000"/>
          <w:sz w:val="22"/>
          <w:szCs w:val="22"/>
        </w:rPr>
      </w:pPr>
      <w:r w:rsidRPr="00123DC9">
        <w:rPr>
          <w:rFonts w:ascii="Arial" w:hAnsi="Arial" w:cs="Arial"/>
          <w:color w:val="000000"/>
          <w:sz w:val="22"/>
          <w:szCs w:val="22"/>
        </w:rPr>
        <w:t>Education, Tourism, Innovation and Small Business Committee</w:t>
      </w:r>
    </w:p>
    <w:p w:rsidR="00123DC9" w:rsidRPr="00123DC9" w:rsidRDefault="00123DC9" w:rsidP="00123DC9">
      <w:pPr>
        <w:pStyle w:val="NormalWeb"/>
        <w:shd w:val="clear" w:color="auto" w:fill="FFFFFF"/>
        <w:spacing w:before="0" w:beforeAutospacing="0" w:after="0"/>
        <w:rPr>
          <w:rFonts w:ascii="Arial" w:hAnsi="Arial" w:cs="Arial"/>
          <w:color w:val="000000"/>
          <w:sz w:val="22"/>
          <w:szCs w:val="22"/>
        </w:rPr>
      </w:pPr>
      <w:r w:rsidRPr="00123DC9">
        <w:rPr>
          <w:rFonts w:ascii="Arial" w:hAnsi="Arial" w:cs="Arial"/>
          <w:color w:val="000000"/>
          <w:sz w:val="22"/>
          <w:szCs w:val="22"/>
        </w:rPr>
        <w:t>Parliament House</w:t>
      </w:r>
    </w:p>
    <w:p w:rsidR="00123DC9" w:rsidRPr="00123DC9" w:rsidRDefault="00123DC9" w:rsidP="00123DC9">
      <w:pPr>
        <w:pStyle w:val="NormalWeb"/>
        <w:shd w:val="clear" w:color="auto" w:fill="FFFFFF"/>
        <w:spacing w:before="0" w:beforeAutospacing="0" w:after="0"/>
        <w:rPr>
          <w:rFonts w:ascii="Arial" w:hAnsi="Arial" w:cs="Arial"/>
          <w:color w:val="000000"/>
          <w:sz w:val="22"/>
          <w:szCs w:val="22"/>
        </w:rPr>
      </w:pPr>
      <w:r w:rsidRPr="00123DC9">
        <w:rPr>
          <w:rFonts w:ascii="Arial" w:hAnsi="Arial" w:cs="Arial"/>
          <w:color w:val="000000"/>
          <w:sz w:val="22"/>
          <w:szCs w:val="22"/>
        </w:rPr>
        <w:t>George Street</w:t>
      </w:r>
    </w:p>
    <w:p w:rsidR="00123DC9" w:rsidRPr="00123DC9" w:rsidRDefault="00123DC9" w:rsidP="00123DC9">
      <w:pPr>
        <w:pStyle w:val="NormalWeb"/>
        <w:shd w:val="clear" w:color="auto" w:fill="FFFFFF"/>
        <w:spacing w:before="0" w:beforeAutospacing="0" w:after="0"/>
        <w:rPr>
          <w:rFonts w:ascii="Arial" w:hAnsi="Arial" w:cs="Arial"/>
          <w:color w:val="000000"/>
          <w:sz w:val="22"/>
          <w:szCs w:val="22"/>
        </w:rPr>
      </w:pPr>
      <w:r w:rsidRPr="00123DC9">
        <w:rPr>
          <w:rFonts w:ascii="Arial" w:hAnsi="Arial" w:cs="Arial"/>
          <w:color w:val="000000"/>
          <w:sz w:val="22"/>
          <w:szCs w:val="22"/>
        </w:rPr>
        <w:t>Brisbane Qld 4000</w:t>
      </w:r>
    </w:p>
    <w:p w:rsidR="00123DC9" w:rsidRPr="00123DC9" w:rsidRDefault="00123DC9" w:rsidP="00123DC9">
      <w:pPr>
        <w:pStyle w:val="NormalWeb"/>
        <w:shd w:val="clear" w:color="auto" w:fill="FFFFFF"/>
        <w:spacing w:before="360" w:beforeAutospacing="0" w:after="360"/>
        <w:rPr>
          <w:rFonts w:ascii="Arial" w:hAnsi="Arial" w:cs="Arial"/>
          <w:color w:val="000000"/>
          <w:sz w:val="22"/>
          <w:szCs w:val="22"/>
        </w:rPr>
      </w:pPr>
      <w:r>
        <w:rPr>
          <w:rFonts w:ascii="Arial" w:hAnsi="Arial" w:cs="Arial"/>
          <w:color w:val="000000"/>
          <w:sz w:val="22"/>
          <w:szCs w:val="22"/>
        </w:rPr>
        <w:t>D</w:t>
      </w:r>
      <w:r w:rsidRPr="00123DC9">
        <w:rPr>
          <w:rFonts w:ascii="Arial" w:hAnsi="Arial" w:cs="Arial"/>
          <w:color w:val="000000"/>
          <w:sz w:val="22"/>
          <w:szCs w:val="22"/>
        </w:rPr>
        <w:t>ear Madam/Sir</w:t>
      </w:r>
    </w:p>
    <w:p w:rsidR="00123DC9" w:rsidRPr="00123DC9" w:rsidRDefault="00123DC9" w:rsidP="00123DC9">
      <w:pPr>
        <w:pStyle w:val="NormalWeb"/>
        <w:shd w:val="clear" w:color="auto" w:fill="FFFFFF"/>
        <w:spacing w:before="0" w:beforeAutospacing="0" w:after="120"/>
        <w:rPr>
          <w:rFonts w:ascii="Arial" w:hAnsi="Arial" w:cs="Arial"/>
          <w:b/>
          <w:bCs/>
          <w:color w:val="000000"/>
          <w:sz w:val="22"/>
          <w:szCs w:val="22"/>
        </w:rPr>
      </w:pPr>
      <w:r w:rsidRPr="00123DC9">
        <w:rPr>
          <w:rFonts w:ascii="Arial" w:hAnsi="Arial" w:cs="Arial"/>
          <w:b/>
          <w:bCs/>
          <w:color w:val="000000"/>
          <w:sz w:val="22"/>
          <w:szCs w:val="22"/>
        </w:rPr>
        <w:t>Youth Justice and Other Legislation (Inclusion of 17-year-old Persons) Amendment Bill 2016</w:t>
      </w:r>
    </w:p>
    <w:p w:rsidR="00123DC9" w:rsidRPr="00123DC9" w:rsidRDefault="00123DC9" w:rsidP="00123DC9">
      <w:pPr>
        <w:pStyle w:val="NormalWeb"/>
        <w:shd w:val="clear" w:color="auto" w:fill="FFFFFF"/>
        <w:spacing w:before="0" w:beforeAutospacing="0" w:after="240"/>
        <w:rPr>
          <w:rFonts w:ascii="Arial" w:hAnsi="Arial" w:cs="Arial"/>
          <w:color w:val="000000"/>
          <w:sz w:val="22"/>
          <w:szCs w:val="22"/>
        </w:rPr>
      </w:pPr>
      <w:r w:rsidRPr="00123DC9">
        <w:rPr>
          <w:rFonts w:ascii="Arial" w:hAnsi="Arial" w:cs="Arial"/>
          <w:color w:val="000000"/>
          <w:sz w:val="22"/>
          <w:szCs w:val="22"/>
        </w:rPr>
        <w:t xml:space="preserve">On 15 September 2016 the Attorney-General (Hon D’Ath) introduced the </w:t>
      </w:r>
      <w:r w:rsidRPr="00123DC9">
        <w:rPr>
          <w:rFonts w:ascii="Arial" w:hAnsi="Arial" w:cs="Arial"/>
          <w:i/>
          <w:iCs/>
          <w:color w:val="000000"/>
          <w:sz w:val="22"/>
          <w:szCs w:val="22"/>
        </w:rPr>
        <w:t>Youth Justice and Other Legislation (Inclusion of 17-year-old Persons) Amendment Bill</w:t>
      </w:r>
      <w:r w:rsidRPr="00123DC9">
        <w:rPr>
          <w:rFonts w:ascii="Arial" w:hAnsi="Arial" w:cs="Arial"/>
          <w:color w:val="000000"/>
          <w:sz w:val="22"/>
          <w:szCs w:val="22"/>
        </w:rPr>
        <w:t xml:space="preserve"> 2016 into the Queensland Parliament.  </w:t>
      </w:r>
    </w:p>
    <w:p w:rsidR="00123DC9" w:rsidRPr="00123DC9" w:rsidRDefault="00123DC9" w:rsidP="00123DC9">
      <w:pPr>
        <w:pStyle w:val="NormalWeb"/>
        <w:shd w:val="clear" w:color="auto" w:fill="FFFFFF"/>
        <w:spacing w:before="0" w:beforeAutospacing="0" w:after="240"/>
        <w:rPr>
          <w:rFonts w:ascii="Arial" w:hAnsi="Arial" w:cs="Arial"/>
          <w:color w:val="000000"/>
          <w:sz w:val="22"/>
          <w:szCs w:val="22"/>
        </w:rPr>
      </w:pPr>
      <w:r w:rsidRPr="00123DC9">
        <w:rPr>
          <w:rFonts w:ascii="Arial" w:hAnsi="Arial" w:cs="Arial"/>
          <w:color w:val="000000"/>
          <w:sz w:val="22"/>
          <w:szCs w:val="22"/>
        </w:rPr>
        <w:t>The objectives of the Bill are to:</w:t>
      </w:r>
    </w:p>
    <w:p w:rsidR="00123DC9" w:rsidRPr="00123DC9" w:rsidRDefault="00123DC9" w:rsidP="00123DC9">
      <w:pPr>
        <w:pStyle w:val="NormalWeb"/>
        <w:numPr>
          <w:ilvl w:val="0"/>
          <w:numId w:val="2"/>
        </w:numPr>
        <w:shd w:val="clear" w:color="auto" w:fill="FFFFFF"/>
        <w:tabs>
          <w:tab w:val="clear" w:pos="360"/>
        </w:tabs>
        <w:spacing w:before="0" w:beforeAutospacing="0" w:after="240"/>
        <w:ind w:left="426" w:hanging="426"/>
        <w:rPr>
          <w:rFonts w:ascii="Arial" w:hAnsi="Arial" w:cs="Arial"/>
          <w:color w:val="000000"/>
          <w:sz w:val="22"/>
          <w:szCs w:val="22"/>
        </w:rPr>
      </w:pPr>
      <w:r w:rsidRPr="00123DC9">
        <w:rPr>
          <w:rFonts w:ascii="Arial" w:hAnsi="Arial" w:cs="Arial"/>
          <w:color w:val="000000"/>
          <w:sz w:val="22"/>
          <w:szCs w:val="22"/>
        </w:rPr>
        <w:t xml:space="preserve">Increase the upper age of who is a child for the purposes of the </w:t>
      </w:r>
      <w:r w:rsidRPr="00123DC9">
        <w:rPr>
          <w:rStyle w:val="Emphasis"/>
          <w:rFonts w:ascii="Arial" w:hAnsi="Arial" w:cs="Arial"/>
          <w:color w:val="000000"/>
          <w:sz w:val="22"/>
          <w:szCs w:val="22"/>
        </w:rPr>
        <w:t>Youth Justice Act 1992</w:t>
      </w:r>
      <w:r w:rsidRPr="00123DC9">
        <w:rPr>
          <w:rFonts w:ascii="Arial" w:hAnsi="Arial" w:cs="Arial"/>
          <w:color w:val="000000"/>
          <w:sz w:val="22"/>
          <w:szCs w:val="22"/>
        </w:rPr>
        <w:t>, from 16 years to 17 years; and</w:t>
      </w:r>
    </w:p>
    <w:p w:rsidR="00123DC9" w:rsidRPr="00123DC9" w:rsidRDefault="00123DC9" w:rsidP="00123DC9">
      <w:pPr>
        <w:pStyle w:val="NormalWeb"/>
        <w:numPr>
          <w:ilvl w:val="0"/>
          <w:numId w:val="2"/>
        </w:numPr>
        <w:shd w:val="clear" w:color="auto" w:fill="FFFFFF"/>
        <w:tabs>
          <w:tab w:val="clear" w:pos="360"/>
        </w:tabs>
        <w:spacing w:before="0" w:beforeAutospacing="0" w:after="240"/>
        <w:ind w:left="426" w:hanging="426"/>
        <w:rPr>
          <w:rFonts w:ascii="Arial" w:hAnsi="Arial" w:cs="Arial"/>
          <w:color w:val="000000"/>
          <w:sz w:val="22"/>
          <w:szCs w:val="22"/>
        </w:rPr>
      </w:pPr>
      <w:r w:rsidRPr="00123DC9">
        <w:rPr>
          <w:rFonts w:ascii="Arial" w:hAnsi="Arial" w:cs="Arial"/>
          <w:color w:val="000000"/>
          <w:sz w:val="22"/>
          <w:szCs w:val="22"/>
        </w:rPr>
        <w:t>Establish a regulation-making power to provide transitional arrangements for the transfer of 17-year-olds from the adult criminal justice system to the youth justice system.</w:t>
      </w:r>
    </w:p>
    <w:p w:rsidR="00123DC9" w:rsidRPr="00123DC9" w:rsidRDefault="00123DC9" w:rsidP="00123DC9">
      <w:pPr>
        <w:spacing w:after="240"/>
        <w:rPr>
          <w:rFonts w:ascii="Arial" w:hAnsi="Arial" w:cs="Arial"/>
          <w:color w:val="000000"/>
          <w:sz w:val="22"/>
          <w:szCs w:val="22"/>
          <w:lang w:eastAsia="en-AU"/>
        </w:rPr>
      </w:pPr>
      <w:r w:rsidRPr="00123DC9">
        <w:rPr>
          <w:rFonts w:ascii="Arial" w:hAnsi="Arial" w:cs="Arial"/>
          <w:color w:val="000000"/>
          <w:sz w:val="22"/>
          <w:szCs w:val="22"/>
          <w:lang w:eastAsia="en-AU"/>
        </w:rPr>
        <w:t>The Anti –Discrimination Commission has long advocated for the removal of 17 year olds from the adult criminal justice system to the youth justice system and supports the objectives of this Bill.</w:t>
      </w:r>
      <w:r w:rsidRPr="00123DC9">
        <w:rPr>
          <w:rStyle w:val="FootnoteReference"/>
          <w:rFonts w:ascii="Arial" w:hAnsi="Arial" w:cs="Arial"/>
          <w:color w:val="000000"/>
          <w:sz w:val="22"/>
          <w:szCs w:val="22"/>
          <w:lang w:eastAsia="en-AU"/>
        </w:rPr>
        <w:footnoteReference w:id="1"/>
      </w:r>
      <w:r w:rsidRPr="00123DC9">
        <w:rPr>
          <w:rFonts w:ascii="Arial" w:hAnsi="Arial" w:cs="Arial"/>
          <w:color w:val="000000"/>
          <w:sz w:val="22"/>
          <w:szCs w:val="22"/>
          <w:lang w:eastAsia="en-AU"/>
        </w:rPr>
        <w:t xml:space="preserve">  The </w:t>
      </w:r>
      <w:proofErr w:type="gramStart"/>
      <w:r w:rsidRPr="00123DC9">
        <w:rPr>
          <w:rFonts w:ascii="Arial" w:hAnsi="Arial" w:cs="Arial"/>
          <w:color w:val="000000"/>
          <w:sz w:val="22"/>
          <w:szCs w:val="22"/>
          <w:lang w:eastAsia="en-AU"/>
        </w:rPr>
        <w:t>reasons</w:t>
      </w:r>
      <w:proofErr w:type="gramEnd"/>
      <w:r w:rsidRPr="00123DC9">
        <w:rPr>
          <w:rFonts w:ascii="Arial" w:hAnsi="Arial" w:cs="Arial"/>
          <w:color w:val="000000"/>
          <w:sz w:val="22"/>
          <w:szCs w:val="22"/>
          <w:lang w:eastAsia="en-AU"/>
        </w:rPr>
        <w:t xml:space="preserve"> why the Commission supports the objectives of this Bill is set out below.</w:t>
      </w:r>
    </w:p>
    <w:p w:rsidR="00123DC9" w:rsidRPr="00123DC9" w:rsidRDefault="00123DC9" w:rsidP="00123DC9">
      <w:pPr>
        <w:keepNext/>
        <w:spacing w:after="120"/>
        <w:rPr>
          <w:rFonts w:ascii="Arial" w:hAnsi="Arial" w:cs="Arial"/>
          <w:b/>
          <w:bCs/>
          <w:color w:val="000000"/>
          <w:sz w:val="22"/>
          <w:szCs w:val="22"/>
        </w:rPr>
      </w:pPr>
      <w:r w:rsidRPr="00123DC9">
        <w:rPr>
          <w:rFonts w:ascii="Arial" w:hAnsi="Arial" w:cs="Arial"/>
          <w:b/>
          <w:bCs/>
          <w:color w:val="000000"/>
          <w:sz w:val="22"/>
          <w:szCs w:val="22"/>
        </w:rPr>
        <w:t>Human rights and children</w:t>
      </w:r>
    </w:p>
    <w:p w:rsidR="00123DC9" w:rsidRPr="00123DC9" w:rsidRDefault="00123DC9" w:rsidP="00123DC9">
      <w:pPr>
        <w:spacing w:after="240"/>
        <w:rPr>
          <w:rFonts w:ascii="Arial" w:hAnsi="Arial" w:cs="Arial"/>
          <w:color w:val="000000"/>
          <w:sz w:val="22"/>
          <w:szCs w:val="22"/>
        </w:rPr>
      </w:pPr>
      <w:r w:rsidRPr="00123DC9">
        <w:rPr>
          <w:rFonts w:ascii="Arial" w:hAnsi="Arial" w:cs="Arial"/>
          <w:color w:val="000000"/>
          <w:sz w:val="22"/>
          <w:szCs w:val="22"/>
        </w:rPr>
        <w:t xml:space="preserve">Children are specifically provided for in a number of the international human rights instruments to which Australia is a party.  The </w:t>
      </w:r>
      <w:r w:rsidRPr="00123DC9">
        <w:rPr>
          <w:rFonts w:ascii="Arial" w:hAnsi="Arial" w:cs="Arial"/>
          <w:i/>
          <w:iCs/>
          <w:color w:val="000000"/>
          <w:sz w:val="22"/>
          <w:szCs w:val="22"/>
        </w:rPr>
        <w:t>Convention on the Rights of the Child</w:t>
      </w:r>
      <w:r w:rsidRPr="00123DC9">
        <w:rPr>
          <w:rFonts w:ascii="Arial" w:hAnsi="Arial" w:cs="Arial"/>
          <w:color w:val="000000"/>
          <w:sz w:val="22"/>
          <w:szCs w:val="22"/>
        </w:rPr>
        <w:t xml:space="preserve"> sets out rights and protections of children.  Importantly, ‘child’ is defined to mean every human being below the age of 18 years. The </w:t>
      </w:r>
      <w:r w:rsidRPr="00123DC9">
        <w:rPr>
          <w:rFonts w:ascii="Arial" w:hAnsi="Arial" w:cs="Arial"/>
          <w:i/>
          <w:iCs/>
          <w:color w:val="000000"/>
          <w:sz w:val="22"/>
          <w:szCs w:val="22"/>
        </w:rPr>
        <w:t>International Covenant on Civil and Political Rights</w:t>
      </w:r>
      <w:r w:rsidRPr="00123DC9">
        <w:rPr>
          <w:rFonts w:ascii="Arial" w:hAnsi="Arial" w:cs="Arial"/>
          <w:color w:val="000000"/>
          <w:sz w:val="22"/>
          <w:szCs w:val="22"/>
        </w:rPr>
        <w:t xml:space="preserve"> provides that every child shall have the right to such measures of protection as are required by their status as a minor, and the </w:t>
      </w:r>
      <w:r w:rsidRPr="00123DC9">
        <w:rPr>
          <w:rFonts w:ascii="Arial" w:hAnsi="Arial" w:cs="Arial"/>
          <w:i/>
          <w:iCs/>
          <w:color w:val="000000"/>
          <w:sz w:val="22"/>
          <w:szCs w:val="22"/>
        </w:rPr>
        <w:t>International Covenant on Economic, Social and Cultural Rights</w:t>
      </w:r>
      <w:r w:rsidRPr="00123DC9">
        <w:rPr>
          <w:rFonts w:ascii="Arial" w:hAnsi="Arial" w:cs="Arial"/>
          <w:color w:val="000000"/>
          <w:sz w:val="22"/>
          <w:szCs w:val="22"/>
        </w:rPr>
        <w:t xml:space="preserve"> recognises that special measures of protection and assistance should be taken on behalf of children and young persons.</w:t>
      </w:r>
    </w:p>
    <w:p w:rsidR="00123DC9" w:rsidRPr="00123DC9" w:rsidRDefault="00123DC9" w:rsidP="00123DC9">
      <w:pPr>
        <w:keepNext/>
        <w:keepLines/>
        <w:widowControl/>
        <w:spacing w:after="120"/>
        <w:rPr>
          <w:rFonts w:ascii="Arial" w:hAnsi="Arial" w:cs="Arial"/>
          <w:b/>
          <w:bCs/>
          <w:color w:val="000000"/>
          <w:sz w:val="22"/>
          <w:szCs w:val="22"/>
        </w:rPr>
      </w:pPr>
      <w:r w:rsidRPr="00123DC9">
        <w:rPr>
          <w:rFonts w:ascii="Arial" w:hAnsi="Arial" w:cs="Arial"/>
          <w:b/>
          <w:bCs/>
          <w:color w:val="000000"/>
          <w:sz w:val="22"/>
          <w:szCs w:val="22"/>
        </w:rPr>
        <w:lastRenderedPageBreak/>
        <w:t>Queensland’s current Youth Justice System</w:t>
      </w:r>
    </w:p>
    <w:p w:rsidR="00123DC9" w:rsidRPr="00123DC9" w:rsidRDefault="00123DC9" w:rsidP="00123DC9">
      <w:pPr>
        <w:keepNext/>
        <w:keepLines/>
        <w:widowControl/>
        <w:autoSpaceDE w:val="0"/>
        <w:autoSpaceDN w:val="0"/>
        <w:spacing w:after="240"/>
        <w:rPr>
          <w:rFonts w:ascii="Arial" w:hAnsi="Arial" w:cs="Arial"/>
          <w:sz w:val="22"/>
          <w:szCs w:val="22"/>
        </w:rPr>
      </w:pPr>
      <w:r w:rsidRPr="00123DC9">
        <w:rPr>
          <w:rFonts w:ascii="Arial" w:hAnsi="Arial" w:cs="Arial"/>
          <w:color w:val="000000"/>
          <w:sz w:val="22"/>
          <w:szCs w:val="22"/>
          <w:lang w:eastAsia="en-AU"/>
        </w:rPr>
        <w:t>The youth justice system in Queensland currently applies to young people aged between 10 and 16 years of age, with young people alleged to have committed</w:t>
      </w:r>
      <w:r>
        <w:rPr>
          <w:rFonts w:ascii="Arial" w:hAnsi="Arial" w:cs="Arial"/>
          <w:color w:val="000000"/>
          <w:sz w:val="22"/>
          <w:szCs w:val="22"/>
          <w:lang w:eastAsia="en-AU"/>
        </w:rPr>
        <w:t xml:space="preserve"> </w:t>
      </w:r>
      <w:r w:rsidRPr="00123DC9">
        <w:rPr>
          <w:rFonts w:ascii="Arial" w:hAnsi="Arial" w:cs="Arial"/>
          <w:color w:val="000000"/>
          <w:sz w:val="22"/>
          <w:szCs w:val="22"/>
          <w:lang w:eastAsia="en-AU"/>
        </w:rPr>
        <w:t>offences as 17-year-olds treated as adults in the criminal justice system.</w:t>
      </w:r>
      <w:r w:rsidRPr="00123DC9">
        <w:rPr>
          <w:rFonts w:ascii="Arial" w:hAnsi="Arial" w:cs="Arial"/>
          <w:sz w:val="22"/>
          <w:szCs w:val="22"/>
        </w:rPr>
        <w:t xml:space="preserve"> Queensland is the only jurisdiction in Australia where 17-year-olds are treated as adults in the criminal justice system.  This is contrary to the </w:t>
      </w:r>
      <w:r w:rsidRPr="00123DC9">
        <w:rPr>
          <w:rFonts w:ascii="Arial" w:hAnsi="Arial" w:cs="Arial"/>
          <w:i/>
          <w:iCs/>
          <w:sz w:val="22"/>
          <w:szCs w:val="22"/>
        </w:rPr>
        <w:t>Convention on the Rights of the Child</w:t>
      </w:r>
      <w:r w:rsidRPr="00123DC9">
        <w:rPr>
          <w:rFonts w:ascii="Arial" w:hAnsi="Arial" w:cs="Arial"/>
          <w:sz w:val="22"/>
          <w:szCs w:val="22"/>
        </w:rPr>
        <w:t>, which requires that children in detention are separated from adults, unless it is considered in the child’s best interest not to do so.</w:t>
      </w:r>
      <w:r w:rsidRPr="00123DC9">
        <w:rPr>
          <w:rStyle w:val="FootnoteReference"/>
          <w:rFonts w:ascii="Arial" w:hAnsi="Arial" w:cs="Arial"/>
          <w:sz w:val="22"/>
          <w:szCs w:val="22"/>
        </w:rPr>
        <w:footnoteReference w:id="2"/>
      </w:r>
      <w:r w:rsidRPr="00123DC9">
        <w:rPr>
          <w:rFonts w:ascii="Arial" w:hAnsi="Arial" w:cs="Arial"/>
          <w:sz w:val="22"/>
          <w:szCs w:val="22"/>
        </w:rPr>
        <w:t xml:space="preserve">  Australia’s reservation to the article is limited to maintaining contact with families, having regard to the geography and demography of Australia.</w:t>
      </w:r>
    </w:p>
    <w:p w:rsidR="00123DC9" w:rsidRPr="00123DC9" w:rsidRDefault="00123DC9" w:rsidP="00123DC9">
      <w:pPr>
        <w:spacing w:after="240"/>
        <w:rPr>
          <w:rFonts w:ascii="Arial" w:hAnsi="Arial" w:cs="Arial"/>
          <w:color w:val="000000"/>
          <w:sz w:val="22"/>
          <w:szCs w:val="22"/>
        </w:rPr>
      </w:pPr>
      <w:r w:rsidRPr="00123DC9">
        <w:rPr>
          <w:rFonts w:ascii="Arial" w:hAnsi="Arial" w:cs="Arial"/>
          <w:color w:val="000000"/>
          <w:sz w:val="22"/>
          <w:szCs w:val="22"/>
        </w:rPr>
        <w:t xml:space="preserve">Queensland has been criticised by the United Nations Committee on the Rights of the Child in this regard.  In the 2012 Concluding Observations, the United Nations Committee noted with regret that previous recommendations had not been accepted, and again expressed concern that in Queensland 17-year-old child offenders continue to be tried under the criminal justice system.  It again recommended that the juvenile justice system be brought fully in line with the </w:t>
      </w:r>
      <w:r w:rsidRPr="00123DC9">
        <w:rPr>
          <w:rFonts w:ascii="Arial" w:hAnsi="Arial" w:cs="Arial"/>
          <w:i/>
          <w:iCs/>
          <w:color w:val="000000"/>
          <w:sz w:val="22"/>
          <w:szCs w:val="22"/>
        </w:rPr>
        <w:t>Convention on the Rights of the Child</w:t>
      </w:r>
      <w:r w:rsidRPr="00123DC9">
        <w:rPr>
          <w:rFonts w:ascii="Arial" w:hAnsi="Arial" w:cs="Arial"/>
          <w:color w:val="000000"/>
          <w:sz w:val="22"/>
          <w:szCs w:val="22"/>
        </w:rPr>
        <w:t xml:space="preserve"> and other relevant standards, and reiterated its previous recommendation to remove children who are 17 years old from the Queensland adult justice system.</w:t>
      </w:r>
      <w:r w:rsidRPr="00123DC9">
        <w:rPr>
          <w:rStyle w:val="FootnoteReference"/>
          <w:rFonts w:ascii="Arial" w:hAnsi="Arial" w:cs="Arial"/>
          <w:color w:val="000000"/>
          <w:sz w:val="22"/>
          <w:szCs w:val="22"/>
        </w:rPr>
        <w:footnoteReference w:id="3"/>
      </w:r>
      <w:r w:rsidRPr="00123DC9">
        <w:rPr>
          <w:rFonts w:ascii="Arial" w:hAnsi="Arial" w:cs="Arial"/>
          <w:color w:val="1F497D"/>
          <w:sz w:val="22"/>
          <w:szCs w:val="22"/>
        </w:rPr>
        <w:t xml:space="preserve"> </w:t>
      </w:r>
    </w:p>
    <w:p w:rsidR="00123DC9" w:rsidRPr="00123DC9" w:rsidRDefault="00123DC9" w:rsidP="00123DC9">
      <w:pPr>
        <w:spacing w:after="240"/>
        <w:rPr>
          <w:rFonts w:ascii="Arial" w:hAnsi="Arial" w:cs="Arial"/>
          <w:color w:val="000000"/>
          <w:sz w:val="22"/>
          <w:szCs w:val="22"/>
          <w:lang w:eastAsia="en-AU"/>
        </w:rPr>
      </w:pPr>
      <w:r w:rsidRPr="00123DC9">
        <w:rPr>
          <w:rFonts w:ascii="Arial" w:hAnsi="Arial" w:cs="Arial"/>
          <w:color w:val="000000"/>
          <w:sz w:val="22"/>
          <w:szCs w:val="22"/>
        </w:rPr>
        <w:t xml:space="preserve">The </w:t>
      </w:r>
      <w:r w:rsidRPr="00123DC9">
        <w:rPr>
          <w:rFonts w:ascii="Arial" w:hAnsi="Arial" w:cs="Arial"/>
          <w:i/>
          <w:iCs/>
          <w:color w:val="000000"/>
          <w:sz w:val="22"/>
          <w:szCs w:val="22"/>
        </w:rPr>
        <w:t>Convention on the Rights of the Child</w:t>
      </w:r>
      <w:r w:rsidRPr="00123DC9">
        <w:rPr>
          <w:rFonts w:ascii="Arial" w:hAnsi="Arial" w:cs="Arial"/>
          <w:color w:val="000000"/>
          <w:sz w:val="22"/>
          <w:szCs w:val="22"/>
        </w:rPr>
        <w:t xml:space="preserve"> requires there to be a range of options available to ensure children are dealt with appropriately and proportionately to their circumstances and the offence, such as care, guidance and supervision orders, counselling, probation, education and vocational programs and other alternatives to institutional care.  There should also be measures for dealing with children without resort to judicial proceedings. </w:t>
      </w:r>
      <w:r w:rsidRPr="00123DC9">
        <w:rPr>
          <w:rFonts w:ascii="Arial" w:hAnsi="Arial" w:cs="Arial"/>
          <w:color w:val="000000"/>
          <w:sz w:val="22"/>
          <w:szCs w:val="22"/>
          <w:lang w:eastAsia="en-AU"/>
        </w:rPr>
        <w:t>Children and young people’s neurological and cognitive development is immature and incomplete to a degree, warranting a criminal justice</w:t>
      </w:r>
      <w:r w:rsidRPr="00123DC9">
        <w:rPr>
          <w:rFonts w:ascii="Arial" w:hAnsi="Arial" w:cs="Arial"/>
          <w:color w:val="000000"/>
          <w:sz w:val="22"/>
          <w:szCs w:val="22"/>
        </w:rPr>
        <w:t xml:space="preserve"> </w:t>
      </w:r>
      <w:r w:rsidRPr="00123DC9">
        <w:rPr>
          <w:rFonts w:ascii="Arial" w:hAnsi="Arial" w:cs="Arial"/>
          <w:color w:val="000000"/>
          <w:sz w:val="22"/>
          <w:szCs w:val="22"/>
          <w:lang w:eastAsia="en-AU"/>
        </w:rPr>
        <w:t>system that responds to this group in a developmentally appropriate manner.</w:t>
      </w:r>
    </w:p>
    <w:p w:rsidR="00123DC9" w:rsidRPr="00123DC9" w:rsidRDefault="00123DC9" w:rsidP="00123DC9">
      <w:pPr>
        <w:spacing w:after="240"/>
        <w:rPr>
          <w:rFonts w:ascii="Arial" w:hAnsi="Arial" w:cs="Arial"/>
          <w:color w:val="000000"/>
          <w:sz w:val="22"/>
          <w:szCs w:val="22"/>
        </w:rPr>
      </w:pPr>
      <w:r>
        <w:rPr>
          <w:rFonts w:ascii="Arial" w:hAnsi="Arial" w:cs="Arial"/>
          <w:color w:val="000000"/>
          <w:sz w:val="22"/>
          <w:szCs w:val="22"/>
        </w:rPr>
        <w:t>The Anti-</w:t>
      </w:r>
      <w:r w:rsidRPr="00123DC9">
        <w:rPr>
          <w:rFonts w:ascii="Arial" w:hAnsi="Arial" w:cs="Arial"/>
          <w:color w:val="000000"/>
          <w:sz w:val="22"/>
          <w:szCs w:val="22"/>
        </w:rPr>
        <w:t>Discrimination Commission recommends the Committee endorses the passing of this Bill to the Parliament.</w:t>
      </w:r>
    </w:p>
    <w:p w:rsidR="00123DC9" w:rsidRPr="00123DC9" w:rsidRDefault="00123DC9" w:rsidP="00123DC9">
      <w:pPr>
        <w:autoSpaceDE w:val="0"/>
        <w:autoSpaceDN w:val="0"/>
        <w:spacing w:after="240"/>
        <w:rPr>
          <w:rFonts w:ascii="Arial" w:hAnsi="Arial" w:cs="Arial"/>
          <w:color w:val="000000"/>
          <w:sz w:val="22"/>
          <w:szCs w:val="22"/>
          <w:lang w:eastAsia="en-AU"/>
        </w:rPr>
      </w:pPr>
      <w:r w:rsidRPr="00123DC9">
        <w:rPr>
          <w:rFonts w:ascii="Arial" w:hAnsi="Arial" w:cs="Arial"/>
          <w:color w:val="000000"/>
          <w:sz w:val="22"/>
          <w:szCs w:val="22"/>
          <w:lang w:eastAsia="en-AU"/>
        </w:rPr>
        <w:t>Thank you for the opportunity to comment on the Bill.</w:t>
      </w:r>
    </w:p>
    <w:p w:rsidR="00123DC9" w:rsidRPr="00123DC9" w:rsidRDefault="00123DC9" w:rsidP="003A3707">
      <w:pPr>
        <w:spacing w:after="240"/>
        <w:rPr>
          <w:rFonts w:ascii="Arial" w:hAnsi="Arial" w:cs="Arial"/>
          <w:color w:val="000000"/>
          <w:sz w:val="22"/>
          <w:szCs w:val="22"/>
        </w:rPr>
      </w:pPr>
      <w:r w:rsidRPr="00123DC9">
        <w:rPr>
          <w:rFonts w:ascii="Arial" w:hAnsi="Arial" w:cs="Arial"/>
          <w:color w:val="000000"/>
          <w:sz w:val="22"/>
          <w:szCs w:val="22"/>
        </w:rPr>
        <w:t>Yours sincerely</w:t>
      </w:r>
    </w:p>
    <w:p w:rsidR="00123DC9" w:rsidRPr="00123DC9" w:rsidRDefault="00F74D3D" w:rsidP="003A3707">
      <w:pPr>
        <w:spacing w:after="240"/>
        <w:rPr>
          <w:rFonts w:ascii="Arial" w:hAnsi="Arial" w:cs="Arial"/>
          <w:color w:val="000000"/>
          <w:sz w:val="22"/>
          <w:szCs w:val="22"/>
        </w:rPr>
      </w:pPr>
      <w:r>
        <w:rPr>
          <w:rFonts w:ascii="Arial" w:hAnsi="Arial" w:cs="Arial"/>
          <w:noProof/>
          <w:snapToGrid/>
          <w:color w:val="000000"/>
          <w:sz w:val="22"/>
          <w:szCs w:val="22"/>
          <w:lang w:val="en-AU" w:eastAsia="en-AU"/>
        </w:rPr>
        <w:drawing>
          <wp:inline distT="0" distB="0" distL="0" distR="0">
            <wp:extent cx="1163972" cy="744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 Cocks signature.jpg.png"/>
                    <pic:cNvPicPr/>
                  </pic:nvPicPr>
                  <pic:blipFill>
                    <a:blip r:embed="rId9">
                      <a:extLst>
                        <a:ext uri="{28A0092B-C50C-407E-A947-70E740481C1C}">
                          <a14:useLocalDpi xmlns:a14="http://schemas.microsoft.com/office/drawing/2010/main" val="0"/>
                        </a:ext>
                      </a:extLst>
                    </a:blip>
                    <a:stretch>
                      <a:fillRect/>
                    </a:stretch>
                  </pic:blipFill>
                  <pic:spPr>
                    <a:xfrm>
                      <a:off x="0" y="0"/>
                      <a:ext cx="1163972" cy="744111"/>
                    </a:xfrm>
                    <a:prstGeom prst="rect">
                      <a:avLst/>
                    </a:prstGeom>
                  </pic:spPr>
                </pic:pic>
              </a:graphicData>
            </a:graphic>
          </wp:inline>
        </w:drawing>
      </w:r>
    </w:p>
    <w:p w:rsidR="00123DC9" w:rsidRPr="00123DC9" w:rsidRDefault="00123DC9" w:rsidP="00141678">
      <w:pPr>
        <w:rPr>
          <w:rFonts w:ascii="Arial" w:hAnsi="Arial" w:cs="Arial"/>
          <w:b/>
          <w:color w:val="000000"/>
          <w:sz w:val="22"/>
          <w:szCs w:val="22"/>
        </w:rPr>
      </w:pPr>
      <w:r w:rsidRPr="00123DC9">
        <w:rPr>
          <w:rFonts w:ascii="Arial" w:hAnsi="Arial" w:cs="Arial"/>
          <w:b/>
          <w:color w:val="000000"/>
          <w:sz w:val="22"/>
          <w:szCs w:val="22"/>
        </w:rPr>
        <w:t>KEVIN COCKS AM</w:t>
      </w:r>
    </w:p>
    <w:p w:rsidR="00123DC9" w:rsidRPr="00123DC9" w:rsidRDefault="00123DC9" w:rsidP="00141678">
      <w:pPr>
        <w:rPr>
          <w:rFonts w:ascii="Arial" w:hAnsi="Arial" w:cs="Arial"/>
          <w:b/>
          <w:color w:val="000000"/>
          <w:sz w:val="22"/>
          <w:szCs w:val="22"/>
        </w:rPr>
      </w:pPr>
      <w:r w:rsidRPr="00123DC9">
        <w:rPr>
          <w:rFonts w:ascii="Arial" w:hAnsi="Arial" w:cs="Arial"/>
          <w:b/>
          <w:color w:val="000000"/>
          <w:sz w:val="22"/>
          <w:szCs w:val="22"/>
        </w:rPr>
        <w:t>Anti-Discrimination Commissioner</w:t>
      </w:r>
    </w:p>
    <w:p w:rsidR="00123DC9" w:rsidRPr="00123DC9" w:rsidRDefault="00123DC9" w:rsidP="00141678">
      <w:pPr>
        <w:rPr>
          <w:rFonts w:ascii="Arial" w:hAnsi="Arial" w:cs="Arial"/>
          <w:b/>
          <w:color w:val="000000"/>
          <w:sz w:val="22"/>
          <w:szCs w:val="22"/>
        </w:rPr>
      </w:pPr>
      <w:r w:rsidRPr="00123DC9">
        <w:rPr>
          <w:rFonts w:ascii="Arial" w:hAnsi="Arial" w:cs="Arial"/>
          <w:b/>
          <w:color w:val="000000"/>
          <w:sz w:val="22"/>
          <w:szCs w:val="22"/>
        </w:rPr>
        <w:t>Queensland</w:t>
      </w:r>
    </w:p>
    <w:p w:rsidR="005B65A7" w:rsidRPr="00123DC9" w:rsidRDefault="005B65A7" w:rsidP="00123DC9">
      <w:pPr>
        <w:rPr>
          <w:rFonts w:ascii="Arial" w:hAnsi="Arial" w:cs="Arial"/>
          <w:color w:val="000000"/>
          <w:sz w:val="22"/>
          <w:szCs w:val="22"/>
        </w:rPr>
      </w:pPr>
    </w:p>
    <w:sectPr w:rsidR="005B65A7" w:rsidRPr="00123DC9" w:rsidSect="005B65A7">
      <w:headerReference w:type="default" r:id="rId10"/>
      <w:footerReference w:type="default" r:id="rId11"/>
      <w:headerReference w:type="first" r:id="rId12"/>
      <w:footerReference w:type="first" r:id="rId13"/>
      <w:pgSz w:w="11906" w:h="16838"/>
      <w:pgMar w:top="1560" w:right="1440" w:bottom="1440" w:left="1440" w:header="426" w:footer="4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774" w:rsidRDefault="00E90774" w:rsidP="00364DE7">
      <w:r>
        <w:separator/>
      </w:r>
    </w:p>
  </w:endnote>
  <w:endnote w:type="continuationSeparator" w:id="0">
    <w:p w:rsidR="00E90774" w:rsidRDefault="00E90774" w:rsidP="0036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E7" w:rsidRDefault="00364DE7" w:rsidP="00364DE7">
    <w:pPr>
      <w:pStyle w:val="Footer"/>
      <w:ind w:hanging="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CD" w:rsidRDefault="00CA34CD">
    <w:pPr>
      <w:pStyle w:val="Footer"/>
    </w:pPr>
    <w:r>
      <w:rPr>
        <w:noProof/>
        <w:lang w:eastAsia="en-AU"/>
      </w:rPr>
      <w:drawing>
        <wp:inline distT="0" distB="0" distL="0" distR="0" wp14:anchorId="028E5448">
          <wp:extent cx="5730875" cy="88392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774" w:rsidRDefault="00E90774" w:rsidP="00364DE7">
      <w:r>
        <w:separator/>
      </w:r>
    </w:p>
  </w:footnote>
  <w:footnote w:type="continuationSeparator" w:id="0">
    <w:p w:rsidR="00E90774" w:rsidRDefault="00E90774" w:rsidP="00364DE7">
      <w:r>
        <w:continuationSeparator/>
      </w:r>
    </w:p>
  </w:footnote>
  <w:footnote w:id="1">
    <w:p w:rsidR="00123DC9" w:rsidRDefault="00123DC9" w:rsidP="00123DC9">
      <w:pPr>
        <w:pStyle w:val="FootnoteText"/>
        <w:rPr>
          <w:color w:val="212120"/>
          <w:lang w:val="en-US"/>
        </w:rPr>
      </w:pPr>
      <w:r>
        <w:rPr>
          <w:rStyle w:val="FootnoteReference"/>
        </w:rPr>
        <w:footnoteRef/>
      </w:r>
      <w:r>
        <w:t xml:space="preserve"> </w:t>
      </w:r>
      <w:r>
        <w:rPr>
          <w:lang w:val="en-US"/>
        </w:rPr>
        <w:t xml:space="preserve">These submissions are available on the Commission’s website at </w:t>
      </w:r>
      <w:hyperlink r:id="rId1" w:history="1">
        <w:r>
          <w:rPr>
            <w:rStyle w:val="Hyperlink"/>
            <w:lang w:val="en-US"/>
          </w:rPr>
          <w:t>www.adcq/qld.gov.au</w:t>
        </w:r>
      </w:hyperlink>
      <w:r>
        <w:rPr>
          <w:lang w:val="en-US"/>
        </w:rPr>
        <w:t xml:space="preserve"> - Review of the </w:t>
      </w:r>
      <w:r>
        <w:rPr>
          <w:i/>
          <w:iCs/>
          <w:lang w:val="en-US"/>
        </w:rPr>
        <w:t>Youth Justice Act 2003</w:t>
      </w:r>
      <w:r>
        <w:rPr>
          <w:lang w:val="en-US"/>
        </w:rPr>
        <w:t>, dated June 2013; and Inquiry into the Youth Justice and Other Legislation Amendment Bill 2014, dated February 2014.</w:t>
      </w:r>
    </w:p>
    <w:p w:rsidR="00123DC9" w:rsidRDefault="00123DC9">
      <w:pPr>
        <w:pStyle w:val="FootnoteText"/>
      </w:pPr>
    </w:p>
  </w:footnote>
  <w:footnote w:id="2">
    <w:p w:rsidR="00123DC9" w:rsidRDefault="00123DC9">
      <w:pPr>
        <w:pStyle w:val="FootnoteText"/>
      </w:pPr>
      <w:r>
        <w:rPr>
          <w:rStyle w:val="FootnoteReference"/>
        </w:rPr>
        <w:footnoteRef/>
      </w:r>
      <w:r>
        <w:t xml:space="preserve"> </w:t>
      </w:r>
      <w:r>
        <w:rPr>
          <w:lang w:val="en-US"/>
        </w:rPr>
        <w:t>Article 37(c).</w:t>
      </w:r>
    </w:p>
  </w:footnote>
  <w:footnote w:id="3">
    <w:p w:rsidR="00123DC9" w:rsidRDefault="00123DC9">
      <w:pPr>
        <w:pStyle w:val="FootnoteText"/>
      </w:pPr>
      <w:r>
        <w:rPr>
          <w:rStyle w:val="FootnoteReference"/>
        </w:rPr>
        <w:footnoteRef/>
      </w:r>
      <w:r>
        <w:t xml:space="preserve"> </w:t>
      </w:r>
      <w:r>
        <w:rPr>
          <w:rStyle w:val="Emphasis"/>
          <w:lang w:val="en"/>
        </w:rPr>
        <w:t xml:space="preserve">UN Committee on the Rights of the Child: Concluding Observations, Australia, </w:t>
      </w:r>
      <w:r>
        <w:rPr>
          <w:lang w:val="en"/>
        </w:rPr>
        <w:t>28 August 2012, CRC/C/AUS/CO/4.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C9" w:rsidRPr="00123DC9" w:rsidRDefault="00123DC9" w:rsidP="00123DC9">
    <w:pPr>
      <w:pStyle w:val="NormalWeb"/>
      <w:shd w:val="clear" w:color="auto" w:fill="FFFFFF"/>
      <w:spacing w:before="0" w:beforeAutospacing="0" w:after="0" w:line="270" w:lineRule="atLeast"/>
      <w:rPr>
        <w:rFonts w:ascii="Arial" w:hAnsi="Arial" w:cs="Arial"/>
        <w:color w:val="000000"/>
        <w:sz w:val="18"/>
        <w:szCs w:val="20"/>
      </w:rPr>
    </w:pPr>
    <w:r w:rsidRPr="00123DC9">
      <w:rPr>
        <w:rFonts w:ascii="Arial" w:hAnsi="Arial" w:cs="Arial"/>
        <w:color w:val="000000"/>
        <w:sz w:val="18"/>
        <w:szCs w:val="20"/>
      </w:rPr>
      <w:t>Research Director</w:t>
    </w:r>
  </w:p>
  <w:p w:rsidR="005B65A7" w:rsidRPr="00123DC9" w:rsidRDefault="00123DC9" w:rsidP="00123DC9">
    <w:pPr>
      <w:pStyle w:val="NormalWeb"/>
      <w:shd w:val="clear" w:color="auto" w:fill="FFFFFF"/>
      <w:tabs>
        <w:tab w:val="right" w:pos="9026"/>
      </w:tabs>
      <w:spacing w:before="0" w:beforeAutospacing="0" w:after="0" w:line="270" w:lineRule="atLeast"/>
      <w:rPr>
        <w:rFonts w:ascii="Arial" w:hAnsi="Arial" w:cs="Arial"/>
        <w:sz w:val="18"/>
        <w:szCs w:val="20"/>
      </w:rPr>
    </w:pPr>
    <w:r w:rsidRPr="00123DC9">
      <w:rPr>
        <w:rFonts w:ascii="Arial" w:hAnsi="Arial" w:cs="Arial"/>
        <w:color w:val="000000"/>
        <w:sz w:val="18"/>
        <w:szCs w:val="20"/>
      </w:rPr>
      <w:t xml:space="preserve">Education, Tourism, Innovation and Small Business Committee </w:t>
    </w:r>
    <w:r w:rsidR="005B65A7" w:rsidRPr="00123DC9">
      <w:rPr>
        <w:rFonts w:ascii="Arial" w:hAnsi="Arial" w:cs="Arial"/>
        <w:sz w:val="18"/>
        <w:szCs w:val="20"/>
      </w:rPr>
      <w:tab/>
      <w:t>Page 2</w:t>
    </w:r>
  </w:p>
  <w:p w:rsidR="005B65A7" w:rsidRPr="00123DC9" w:rsidRDefault="005B65A7" w:rsidP="005B65A7">
    <w:pPr>
      <w:widowControl/>
      <w:pBdr>
        <w:bottom w:val="single" w:sz="6" w:space="1" w:color="auto"/>
      </w:pBdr>
      <w:tabs>
        <w:tab w:val="right" w:pos="9026"/>
      </w:tabs>
      <w:jc w:val="both"/>
      <w:rPr>
        <w:rFonts w:ascii="Arial" w:hAnsi="Arial" w:cs="Arial"/>
        <w:snapToGrid/>
        <w:sz w:val="16"/>
        <w:szCs w:val="24"/>
        <w:lang w:val="en-AU" w:eastAsia="en-AU"/>
      </w:rPr>
    </w:pPr>
  </w:p>
  <w:p w:rsidR="005B65A7" w:rsidRPr="005B65A7" w:rsidRDefault="005B65A7" w:rsidP="005B65A7">
    <w:pPr>
      <w:widowControl/>
      <w:tabs>
        <w:tab w:val="right" w:pos="9026"/>
      </w:tabs>
      <w:jc w:val="both"/>
      <w:rPr>
        <w:rFonts w:ascii="Arial" w:hAnsi="Arial" w:cs="Arial"/>
        <w:snapToGrid/>
        <w:szCs w:val="24"/>
        <w:lang w:val="en-AU" w:eastAsia="en-A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A7" w:rsidRDefault="005B65A7" w:rsidP="005B65A7">
    <w:pPr>
      <w:pStyle w:val="Header"/>
      <w:ind w:hanging="426"/>
    </w:pPr>
    <w:r>
      <w:rPr>
        <w:noProof/>
        <w:lang w:eastAsia="en-AU"/>
      </w:rPr>
      <w:drawing>
        <wp:inline distT="0" distB="0" distL="0" distR="0" wp14:anchorId="252F79D2" wp14:editId="296132AD">
          <wp:extent cx="429196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2F6F"/>
    <w:multiLevelType w:val="multilevel"/>
    <w:tmpl w:val="DC6232F6"/>
    <w:lvl w:ilvl="0">
      <w:start w:val="1"/>
      <w:numFmt w:val="bullet"/>
      <w:lvlText w:val=""/>
      <w:lvlJc w:val="left"/>
      <w:pPr>
        <w:tabs>
          <w:tab w:val="num" w:pos="360"/>
        </w:tabs>
        <w:ind w:left="360" w:hanging="360"/>
      </w:pPr>
      <w:rPr>
        <w:rFonts w:ascii="Wingdings 2" w:hAnsi="Wingdings 2" w:hint="default"/>
        <w:color w:val="17365D" w:themeColor="text2" w:themeShade="BF"/>
        <w:sz w:val="22"/>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nsid w:val="4A667B94"/>
    <w:multiLevelType w:val="multilevel"/>
    <w:tmpl w:val="6840FECC"/>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E7"/>
    <w:rsid w:val="000A4296"/>
    <w:rsid w:val="000E160F"/>
    <w:rsid w:val="001073C2"/>
    <w:rsid w:val="00123DC9"/>
    <w:rsid w:val="001B4442"/>
    <w:rsid w:val="002111A6"/>
    <w:rsid w:val="00271868"/>
    <w:rsid w:val="00364DE7"/>
    <w:rsid w:val="003D7E46"/>
    <w:rsid w:val="00452BC1"/>
    <w:rsid w:val="004F4C3D"/>
    <w:rsid w:val="005B65A7"/>
    <w:rsid w:val="00767C6E"/>
    <w:rsid w:val="00771B64"/>
    <w:rsid w:val="008360BA"/>
    <w:rsid w:val="008547FA"/>
    <w:rsid w:val="008561D7"/>
    <w:rsid w:val="009826AD"/>
    <w:rsid w:val="00CA34CD"/>
    <w:rsid w:val="00D525AB"/>
    <w:rsid w:val="00E90774"/>
    <w:rsid w:val="00F74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A7"/>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DE7"/>
    <w:pPr>
      <w:widowControl/>
    </w:pPr>
    <w:rPr>
      <w:rFonts w:ascii="Tahoma" w:eastAsiaTheme="minorHAnsi" w:hAnsi="Tahoma" w:cs="Tahoma"/>
      <w:snapToGrid/>
      <w:sz w:val="16"/>
      <w:szCs w:val="16"/>
      <w:lang w:val="en-AU"/>
    </w:rPr>
  </w:style>
  <w:style w:type="character" w:customStyle="1" w:styleId="BalloonTextChar">
    <w:name w:val="Balloon Text Char"/>
    <w:basedOn w:val="DefaultParagraphFont"/>
    <w:link w:val="BalloonText"/>
    <w:uiPriority w:val="99"/>
    <w:semiHidden/>
    <w:rsid w:val="00364DE7"/>
    <w:rPr>
      <w:rFonts w:ascii="Tahoma" w:hAnsi="Tahoma" w:cs="Tahoma"/>
      <w:sz w:val="16"/>
      <w:szCs w:val="16"/>
    </w:rPr>
  </w:style>
  <w:style w:type="paragraph" w:styleId="Header">
    <w:name w:val="header"/>
    <w:basedOn w:val="Normal"/>
    <w:link w:val="Head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HeaderChar">
    <w:name w:val="Header Char"/>
    <w:basedOn w:val="DefaultParagraphFont"/>
    <w:link w:val="Header"/>
    <w:uiPriority w:val="99"/>
    <w:rsid w:val="00364DE7"/>
  </w:style>
  <w:style w:type="paragraph" w:styleId="Footer">
    <w:name w:val="footer"/>
    <w:basedOn w:val="Normal"/>
    <w:link w:val="Foot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FooterChar">
    <w:name w:val="Footer Char"/>
    <w:basedOn w:val="DefaultParagraphFont"/>
    <w:link w:val="Footer"/>
    <w:uiPriority w:val="99"/>
    <w:rsid w:val="00364DE7"/>
  </w:style>
  <w:style w:type="paragraph" w:styleId="FootnoteText">
    <w:name w:val="footnote text"/>
    <w:basedOn w:val="Normal"/>
    <w:link w:val="FootnoteTextChar"/>
    <w:uiPriority w:val="99"/>
    <w:semiHidden/>
    <w:unhideWhenUsed/>
    <w:rsid w:val="003D7E46"/>
    <w:pPr>
      <w:widowControl/>
    </w:pPr>
    <w:rPr>
      <w:rFonts w:eastAsiaTheme="minorHAnsi"/>
      <w:snapToGrid/>
      <w:sz w:val="20"/>
      <w:lang w:val="en-AU" w:eastAsia="en-AU"/>
    </w:rPr>
  </w:style>
  <w:style w:type="character" w:customStyle="1" w:styleId="FootnoteTextChar">
    <w:name w:val="Footnote Text Char"/>
    <w:basedOn w:val="DefaultParagraphFont"/>
    <w:link w:val="FootnoteText"/>
    <w:uiPriority w:val="99"/>
    <w:semiHidden/>
    <w:rsid w:val="003D7E46"/>
    <w:rPr>
      <w:rFonts w:ascii="Times New Roman" w:hAnsi="Times New Roman" w:cs="Times New Roman"/>
      <w:sz w:val="20"/>
      <w:szCs w:val="20"/>
      <w:lang w:eastAsia="en-AU"/>
    </w:rPr>
  </w:style>
  <w:style w:type="paragraph" w:customStyle="1" w:styleId="Default">
    <w:name w:val="Default"/>
    <w:basedOn w:val="Normal"/>
    <w:rsid w:val="003D7E46"/>
    <w:pPr>
      <w:widowControl/>
      <w:autoSpaceDE w:val="0"/>
      <w:autoSpaceDN w:val="0"/>
    </w:pPr>
    <w:rPr>
      <w:rFonts w:eastAsiaTheme="minorHAnsi"/>
      <w:snapToGrid/>
      <w:color w:val="000000"/>
      <w:szCs w:val="24"/>
      <w:lang w:val="en-AU" w:eastAsia="en-AU"/>
    </w:rPr>
  </w:style>
  <w:style w:type="character" w:styleId="FootnoteReference">
    <w:name w:val="footnote reference"/>
    <w:basedOn w:val="DefaultParagraphFont"/>
    <w:uiPriority w:val="99"/>
    <w:semiHidden/>
    <w:unhideWhenUsed/>
    <w:rsid w:val="003D7E46"/>
    <w:rPr>
      <w:vertAlign w:val="superscript"/>
    </w:rPr>
  </w:style>
  <w:style w:type="character" w:styleId="Hyperlink">
    <w:name w:val="Hyperlink"/>
    <w:basedOn w:val="DefaultParagraphFont"/>
    <w:uiPriority w:val="99"/>
    <w:semiHidden/>
    <w:unhideWhenUsed/>
    <w:rsid w:val="00123DC9"/>
    <w:rPr>
      <w:color w:val="0000FF"/>
      <w:u w:val="single"/>
    </w:rPr>
  </w:style>
  <w:style w:type="paragraph" w:styleId="NormalWeb">
    <w:name w:val="Normal (Web)"/>
    <w:basedOn w:val="Normal"/>
    <w:uiPriority w:val="99"/>
    <w:unhideWhenUsed/>
    <w:rsid w:val="00123DC9"/>
    <w:pPr>
      <w:widowControl/>
      <w:spacing w:before="100" w:beforeAutospacing="1" w:after="150"/>
    </w:pPr>
    <w:rPr>
      <w:rFonts w:eastAsiaTheme="minorHAnsi"/>
      <w:snapToGrid/>
      <w:szCs w:val="24"/>
      <w:lang w:val="en-AU" w:eastAsia="en-AU"/>
    </w:rPr>
  </w:style>
  <w:style w:type="character" w:styleId="Emphasis">
    <w:name w:val="Emphasis"/>
    <w:basedOn w:val="DefaultParagraphFont"/>
    <w:uiPriority w:val="20"/>
    <w:qFormat/>
    <w:rsid w:val="00123D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A7"/>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DE7"/>
    <w:pPr>
      <w:widowControl/>
    </w:pPr>
    <w:rPr>
      <w:rFonts w:ascii="Tahoma" w:eastAsiaTheme="minorHAnsi" w:hAnsi="Tahoma" w:cs="Tahoma"/>
      <w:snapToGrid/>
      <w:sz w:val="16"/>
      <w:szCs w:val="16"/>
      <w:lang w:val="en-AU"/>
    </w:rPr>
  </w:style>
  <w:style w:type="character" w:customStyle="1" w:styleId="BalloonTextChar">
    <w:name w:val="Balloon Text Char"/>
    <w:basedOn w:val="DefaultParagraphFont"/>
    <w:link w:val="BalloonText"/>
    <w:uiPriority w:val="99"/>
    <w:semiHidden/>
    <w:rsid w:val="00364DE7"/>
    <w:rPr>
      <w:rFonts w:ascii="Tahoma" w:hAnsi="Tahoma" w:cs="Tahoma"/>
      <w:sz w:val="16"/>
      <w:szCs w:val="16"/>
    </w:rPr>
  </w:style>
  <w:style w:type="paragraph" w:styleId="Header">
    <w:name w:val="header"/>
    <w:basedOn w:val="Normal"/>
    <w:link w:val="Head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HeaderChar">
    <w:name w:val="Header Char"/>
    <w:basedOn w:val="DefaultParagraphFont"/>
    <w:link w:val="Header"/>
    <w:uiPriority w:val="99"/>
    <w:rsid w:val="00364DE7"/>
  </w:style>
  <w:style w:type="paragraph" w:styleId="Footer">
    <w:name w:val="footer"/>
    <w:basedOn w:val="Normal"/>
    <w:link w:val="Foot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FooterChar">
    <w:name w:val="Footer Char"/>
    <w:basedOn w:val="DefaultParagraphFont"/>
    <w:link w:val="Footer"/>
    <w:uiPriority w:val="99"/>
    <w:rsid w:val="00364DE7"/>
  </w:style>
  <w:style w:type="paragraph" w:styleId="FootnoteText">
    <w:name w:val="footnote text"/>
    <w:basedOn w:val="Normal"/>
    <w:link w:val="FootnoteTextChar"/>
    <w:uiPriority w:val="99"/>
    <w:semiHidden/>
    <w:unhideWhenUsed/>
    <w:rsid w:val="003D7E46"/>
    <w:pPr>
      <w:widowControl/>
    </w:pPr>
    <w:rPr>
      <w:rFonts w:eastAsiaTheme="minorHAnsi"/>
      <w:snapToGrid/>
      <w:sz w:val="20"/>
      <w:lang w:val="en-AU" w:eastAsia="en-AU"/>
    </w:rPr>
  </w:style>
  <w:style w:type="character" w:customStyle="1" w:styleId="FootnoteTextChar">
    <w:name w:val="Footnote Text Char"/>
    <w:basedOn w:val="DefaultParagraphFont"/>
    <w:link w:val="FootnoteText"/>
    <w:uiPriority w:val="99"/>
    <w:semiHidden/>
    <w:rsid w:val="003D7E46"/>
    <w:rPr>
      <w:rFonts w:ascii="Times New Roman" w:hAnsi="Times New Roman" w:cs="Times New Roman"/>
      <w:sz w:val="20"/>
      <w:szCs w:val="20"/>
      <w:lang w:eastAsia="en-AU"/>
    </w:rPr>
  </w:style>
  <w:style w:type="paragraph" w:customStyle="1" w:styleId="Default">
    <w:name w:val="Default"/>
    <w:basedOn w:val="Normal"/>
    <w:rsid w:val="003D7E46"/>
    <w:pPr>
      <w:widowControl/>
      <w:autoSpaceDE w:val="0"/>
      <w:autoSpaceDN w:val="0"/>
    </w:pPr>
    <w:rPr>
      <w:rFonts w:eastAsiaTheme="minorHAnsi"/>
      <w:snapToGrid/>
      <w:color w:val="000000"/>
      <w:szCs w:val="24"/>
      <w:lang w:val="en-AU" w:eastAsia="en-AU"/>
    </w:rPr>
  </w:style>
  <w:style w:type="character" w:styleId="FootnoteReference">
    <w:name w:val="footnote reference"/>
    <w:basedOn w:val="DefaultParagraphFont"/>
    <w:uiPriority w:val="99"/>
    <w:semiHidden/>
    <w:unhideWhenUsed/>
    <w:rsid w:val="003D7E46"/>
    <w:rPr>
      <w:vertAlign w:val="superscript"/>
    </w:rPr>
  </w:style>
  <w:style w:type="character" w:styleId="Hyperlink">
    <w:name w:val="Hyperlink"/>
    <w:basedOn w:val="DefaultParagraphFont"/>
    <w:uiPriority w:val="99"/>
    <w:semiHidden/>
    <w:unhideWhenUsed/>
    <w:rsid w:val="00123DC9"/>
    <w:rPr>
      <w:color w:val="0000FF"/>
      <w:u w:val="single"/>
    </w:rPr>
  </w:style>
  <w:style w:type="paragraph" w:styleId="NormalWeb">
    <w:name w:val="Normal (Web)"/>
    <w:basedOn w:val="Normal"/>
    <w:uiPriority w:val="99"/>
    <w:unhideWhenUsed/>
    <w:rsid w:val="00123DC9"/>
    <w:pPr>
      <w:widowControl/>
      <w:spacing w:before="100" w:beforeAutospacing="1" w:after="150"/>
    </w:pPr>
    <w:rPr>
      <w:rFonts w:eastAsiaTheme="minorHAnsi"/>
      <w:snapToGrid/>
      <w:szCs w:val="24"/>
      <w:lang w:val="en-AU" w:eastAsia="en-AU"/>
    </w:rPr>
  </w:style>
  <w:style w:type="character" w:styleId="Emphasis">
    <w:name w:val="Emphasis"/>
    <w:basedOn w:val="DefaultParagraphFont"/>
    <w:uiPriority w:val="20"/>
    <w:qFormat/>
    <w:rsid w:val="00123D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662870">
      <w:bodyDiv w:val="1"/>
      <w:marLeft w:val="0"/>
      <w:marRight w:val="0"/>
      <w:marTop w:val="0"/>
      <w:marBottom w:val="0"/>
      <w:divBdr>
        <w:top w:val="none" w:sz="0" w:space="0" w:color="auto"/>
        <w:left w:val="none" w:sz="0" w:space="0" w:color="auto"/>
        <w:bottom w:val="none" w:sz="0" w:space="0" w:color="auto"/>
        <w:right w:val="none" w:sz="0" w:space="0" w:color="auto"/>
      </w:divBdr>
    </w:div>
    <w:div w:id="19219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adcq/qld.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5B1A6-893C-482A-B578-397A2DEF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 Logan</dc:creator>
  <cp:lastModifiedBy>Coral Logan</cp:lastModifiedBy>
  <cp:revision>2</cp:revision>
  <cp:lastPrinted>2016-10-04T02:42:00Z</cp:lastPrinted>
  <dcterms:created xsi:type="dcterms:W3CDTF">2016-10-04T02:43:00Z</dcterms:created>
  <dcterms:modified xsi:type="dcterms:W3CDTF">2016-10-04T02:43:00Z</dcterms:modified>
</cp:coreProperties>
</file>