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8528"/>
      </w:tblGrid>
      <w:tr w:rsidR="00C8485E" w:rsidRPr="00A97DE1" w:rsidTr="00A97DE1">
        <w:trPr>
          <w:trHeight w:val="360"/>
          <w:jc w:val="center"/>
        </w:trPr>
        <w:tc>
          <w:tcPr>
            <w:tcW w:w="5000" w:type="pct"/>
            <w:tcBorders>
              <w:top w:val="thinThickSmallGap" w:sz="24" w:space="0" w:color="1F497D" w:themeColor="text2"/>
            </w:tcBorders>
            <w:vAlign w:val="center"/>
          </w:tcPr>
          <w:p w:rsidR="00C8485E" w:rsidRPr="00A97DE1" w:rsidRDefault="00C8485E" w:rsidP="00A97DE1">
            <w:pPr>
              <w:pStyle w:val="NoSpacing"/>
              <w:spacing w:before="720" w:after="240"/>
              <w:jc w:val="center"/>
              <w:rPr>
                <w:b/>
                <w:bCs/>
                <w:sz w:val="28"/>
              </w:rPr>
            </w:pPr>
          </w:p>
        </w:tc>
      </w:tr>
      <w:tr w:rsidR="00C8485E" w:rsidRPr="00A97DE1" w:rsidTr="00A97DE1">
        <w:trPr>
          <w:trHeight w:val="360"/>
          <w:jc w:val="center"/>
        </w:trPr>
        <w:tc>
          <w:tcPr>
            <w:tcW w:w="5000" w:type="pct"/>
            <w:vAlign w:val="center"/>
          </w:tcPr>
          <w:p w:rsidR="00C8485E" w:rsidRPr="00A97DE1" w:rsidRDefault="00C8485E" w:rsidP="00A97DE1">
            <w:pPr>
              <w:pStyle w:val="NoSpacing"/>
              <w:spacing w:after="240"/>
              <w:jc w:val="center"/>
              <w:rPr>
                <w:b/>
                <w:bCs/>
                <w:sz w:val="28"/>
              </w:rPr>
            </w:pPr>
          </w:p>
        </w:tc>
      </w:tr>
      <w:tr w:rsidR="00C8485E" w:rsidRPr="00A97DE1" w:rsidTr="00A97DE1">
        <w:trPr>
          <w:trHeight w:val="2506"/>
          <w:jc w:val="center"/>
        </w:trPr>
        <w:sdt>
          <w:sdtPr>
            <w:rPr>
              <w:rFonts w:asciiTheme="majorHAnsi" w:eastAsiaTheme="majorEastAsia" w:hAnsiTheme="majorHAnsi" w:cstheme="majorBidi"/>
              <w:color w:val="1F497D" w:themeColor="text2"/>
              <w:sz w:val="56"/>
              <w:szCs w:val="5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rsidR="00C8485E" w:rsidRPr="00A97DE1" w:rsidRDefault="00283083" w:rsidP="00283083">
                <w:pPr>
                  <w:pStyle w:val="NoSpacing"/>
                  <w:spacing w:after="240"/>
                  <w:jc w:val="center"/>
                  <w:rPr>
                    <w:rFonts w:asciiTheme="majorHAnsi" w:eastAsiaTheme="majorEastAsia" w:hAnsiTheme="majorHAnsi" w:cstheme="majorBidi"/>
                    <w:sz w:val="80"/>
                    <w:szCs w:val="80"/>
                  </w:rPr>
                </w:pPr>
                <w:r w:rsidRPr="002D1735">
                  <w:rPr>
                    <w:rFonts w:asciiTheme="majorHAnsi" w:eastAsiaTheme="majorEastAsia" w:hAnsiTheme="majorHAnsi" w:cstheme="majorBidi"/>
                    <w:color w:val="1F497D" w:themeColor="text2"/>
                    <w:sz w:val="56"/>
                    <w:szCs w:val="56"/>
                  </w:rPr>
                  <w:t>Strong and Sustainable Resource Communities Bill 2016</w:t>
                </w:r>
              </w:p>
            </w:tc>
          </w:sdtContent>
        </w:sdt>
      </w:tr>
      <w:tr w:rsidR="00C8485E" w:rsidRPr="00A97DE1" w:rsidTr="00A97DE1">
        <w:trPr>
          <w:trHeight w:val="360"/>
          <w:jc w:val="center"/>
        </w:trPr>
        <w:tc>
          <w:tcPr>
            <w:tcW w:w="5000" w:type="pct"/>
            <w:vAlign w:val="center"/>
          </w:tcPr>
          <w:p w:rsidR="00C8485E" w:rsidRPr="00A97DE1" w:rsidRDefault="00C8485E" w:rsidP="00A97DE1">
            <w:pPr>
              <w:pStyle w:val="NoSpacing"/>
              <w:spacing w:after="240"/>
              <w:jc w:val="center"/>
              <w:rPr>
                <w:b/>
                <w:bCs/>
                <w:sz w:val="28"/>
              </w:rPr>
            </w:pPr>
          </w:p>
        </w:tc>
      </w:tr>
      <w:tr w:rsidR="00C8485E" w:rsidRPr="00A97DE1" w:rsidTr="00A97DE1">
        <w:trPr>
          <w:trHeight w:val="360"/>
          <w:jc w:val="center"/>
        </w:trPr>
        <w:tc>
          <w:tcPr>
            <w:tcW w:w="5000" w:type="pct"/>
            <w:tcBorders>
              <w:bottom w:val="thickThinSmallGap" w:sz="24" w:space="0" w:color="1F497D" w:themeColor="text2"/>
            </w:tcBorders>
            <w:vAlign w:val="center"/>
          </w:tcPr>
          <w:p w:rsidR="00C8485E" w:rsidRPr="00A97DE1" w:rsidRDefault="00C8485E" w:rsidP="00A97DE1">
            <w:pPr>
              <w:pStyle w:val="NoSpacing"/>
              <w:spacing w:after="480"/>
              <w:jc w:val="right"/>
              <w:rPr>
                <w:b/>
                <w:bCs/>
                <w:sz w:val="40"/>
                <w:szCs w:val="40"/>
              </w:rPr>
            </w:pPr>
            <w:r w:rsidRPr="00A97DE1">
              <w:rPr>
                <w:b/>
                <w:bCs/>
                <w:sz w:val="40"/>
                <w:szCs w:val="40"/>
              </w:rPr>
              <w:t xml:space="preserve">Anti-Discrimination Commission Queensland </w:t>
            </w:r>
          </w:p>
          <w:p w:rsidR="00C8485E" w:rsidRPr="00A97DE1" w:rsidRDefault="00C8485E" w:rsidP="00A97DE1">
            <w:pPr>
              <w:pStyle w:val="NoSpacing"/>
              <w:spacing w:after="1080"/>
              <w:jc w:val="right"/>
              <w:rPr>
                <w:b/>
                <w:bCs/>
                <w:sz w:val="32"/>
                <w:szCs w:val="32"/>
              </w:rPr>
            </w:pPr>
            <w:r w:rsidRPr="00A97DE1">
              <w:rPr>
                <w:b/>
                <w:bCs/>
                <w:sz w:val="32"/>
                <w:szCs w:val="32"/>
              </w:rPr>
              <w:t>Submission to the Queensland Parliament</w:t>
            </w:r>
            <w:r w:rsidRPr="00A97DE1">
              <w:rPr>
                <w:b/>
                <w:bCs/>
                <w:sz w:val="32"/>
                <w:szCs w:val="32"/>
              </w:rPr>
              <w:br/>
              <w:t>Infrastructure, Planning and Natural Resources Committee</w:t>
            </w:r>
          </w:p>
          <w:p w:rsidR="00C8485E" w:rsidRPr="00A97DE1" w:rsidRDefault="00C8485E" w:rsidP="00A97DE1">
            <w:pPr>
              <w:pStyle w:val="NoSpacing"/>
              <w:spacing w:after="1080"/>
              <w:jc w:val="right"/>
              <w:rPr>
                <w:b/>
                <w:bCs/>
                <w:sz w:val="28"/>
              </w:rPr>
            </w:pPr>
          </w:p>
        </w:tc>
      </w:tr>
    </w:tbl>
    <w:p w:rsidR="00C8485E" w:rsidRPr="00A97DE1" w:rsidRDefault="00C8485E" w:rsidP="00C8485E">
      <w:pPr>
        <w:pStyle w:val="Heading1"/>
        <w:rPr>
          <w:lang w:val="en-AU"/>
        </w:rPr>
      </w:pPr>
    </w:p>
    <w:p w:rsidR="00C8485E" w:rsidRPr="00A97DE1" w:rsidRDefault="00C8485E" w:rsidP="00C8485E"/>
    <w:p w:rsidR="00C8485E" w:rsidRPr="00A97DE1" w:rsidRDefault="00C8485E" w:rsidP="00C8485E">
      <w:pPr>
        <w:sectPr w:rsidR="00C8485E" w:rsidRPr="00A97DE1" w:rsidSect="004147CC">
          <w:headerReference w:type="default" r:id="rId9"/>
          <w:footerReference w:type="default" r:id="rId10"/>
          <w:headerReference w:type="first" r:id="rId11"/>
          <w:footerReference w:type="first" r:id="rId12"/>
          <w:pgSz w:w="11906" w:h="16838" w:code="9"/>
          <w:pgMar w:top="1440" w:right="1797" w:bottom="1440" w:left="1797" w:header="709" w:footer="709" w:gutter="0"/>
          <w:cols w:space="708"/>
          <w:titlePg/>
          <w:docGrid w:linePitch="360"/>
        </w:sectPr>
      </w:pPr>
    </w:p>
    <w:sdt>
      <w:sdtPr>
        <w:rPr>
          <w:rFonts w:ascii="Arial" w:eastAsiaTheme="minorHAnsi" w:hAnsi="Arial" w:cs="Arial"/>
          <w:b w:val="0"/>
          <w:bCs w:val="0"/>
          <w:color w:val="auto"/>
          <w:sz w:val="24"/>
          <w:szCs w:val="22"/>
          <w:lang w:val="en-AU" w:eastAsia="en-US"/>
        </w:rPr>
        <w:id w:val="-433137050"/>
        <w:docPartObj>
          <w:docPartGallery w:val="Table of Contents"/>
          <w:docPartUnique/>
        </w:docPartObj>
      </w:sdtPr>
      <w:sdtEndPr>
        <w:rPr>
          <w:rFonts w:cstheme="minorBidi"/>
          <w:noProof/>
        </w:rPr>
      </w:sdtEndPr>
      <w:sdtContent>
        <w:p w:rsidR="00C8485E" w:rsidRPr="002D1735" w:rsidRDefault="00C8485E">
          <w:pPr>
            <w:pStyle w:val="TOCHeading"/>
            <w:rPr>
              <w:rFonts w:ascii="Arial" w:hAnsi="Arial" w:cs="Arial"/>
              <w:lang w:val="en-AU"/>
            </w:rPr>
          </w:pPr>
          <w:r w:rsidRPr="002D1735">
            <w:rPr>
              <w:rFonts w:ascii="Arial" w:hAnsi="Arial" w:cs="Arial"/>
              <w:lang w:val="en-AU"/>
            </w:rPr>
            <w:t>Table of Contents</w:t>
          </w:r>
        </w:p>
        <w:p w:rsidR="00CB7A2C" w:rsidRDefault="00C8485E">
          <w:pPr>
            <w:pStyle w:val="TOC1"/>
            <w:rPr>
              <w:rFonts w:asciiTheme="minorHAnsi" w:eastAsiaTheme="minorEastAsia" w:hAnsiTheme="minorHAnsi"/>
              <w:noProof/>
              <w:szCs w:val="24"/>
              <w:lang w:eastAsia="ja-JP"/>
            </w:rPr>
          </w:pPr>
          <w:r w:rsidRPr="00A97DE1">
            <w:fldChar w:fldCharType="begin"/>
          </w:r>
          <w:r w:rsidRPr="00A97DE1">
            <w:instrText xml:space="preserve"> TOC \o "1-3" \h \z \u </w:instrText>
          </w:r>
          <w:r w:rsidRPr="00A97DE1">
            <w:fldChar w:fldCharType="separate"/>
          </w:r>
          <w:r w:rsidR="00CB7A2C" w:rsidRPr="001F4270">
            <w:rPr>
              <w:rFonts w:eastAsiaTheme="majorEastAsia" w:cstheme="majorBidi"/>
              <w:bCs/>
              <w:noProof/>
              <w:color w:val="365F91" w:themeColor="accent1" w:themeShade="BF"/>
            </w:rPr>
            <w:t>Introduction</w:t>
          </w:r>
          <w:r w:rsidR="00CB7A2C">
            <w:rPr>
              <w:noProof/>
            </w:rPr>
            <w:tab/>
          </w:r>
          <w:r w:rsidR="00CB7A2C">
            <w:rPr>
              <w:noProof/>
            </w:rPr>
            <w:fldChar w:fldCharType="begin"/>
          </w:r>
          <w:r w:rsidR="00CB7A2C">
            <w:rPr>
              <w:noProof/>
            </w:rPr>
            <w:instrText xml:space="preserve"> PAGEREF _Toc342744122 \h </w:instrText>
          </w:r>
          <w:r w:rsidR="00CB7A2C">
            <w:rPr>
              <w:noProof/>
            </w:rPr>
          </w:r>
          <w:r w:rsidR="00CB7A2C">
            <w:rPr>
              <w:noProof/>
            </w:rPr>
            <w:fldChar w:fldCharType="separate"/>
          </w:r>
          <w:r w:rsidR="00CB7A2C">
            <w:rPr>
              <w:noProof/>
            </w:rPr>
            <w:t>3</w:t>
          </w:r>
          <w:r w:rsidR="00CB7A2C">
            <w:rPr>
              <w:noProof/>
            </w:rPr>
            <w:fldChar w:fldCharType="end"/>
          </w:r>
        </w:p>
        <w:p w:rsidR="00CB7A2C" w:rsidRDefault="00CB7A2C">
          <w:pPr>
            <w:pStyle w:val="TOC1"/>
            <w:rPr>
              <w:rFonts w:asciiTheme="minorHAnsi" w:eastAsiaTheme="minorEastAsia" w:hAnsiTheme="minorHAnsi"/>
              <w:noProof/>
              <w:szCs w:val="24"/>
              <w:lang w:eastAsia="ja-JP"/>
            </w:rPr>
          </w:pPr>
          <w:r w:rsidRPr="001F4270">
            <w:rPr>
              <w:rFonts w:eastAsiaTheme="majorEastAsia" w:cstheme="majorBidi"/>
              <w:bCs/>
              <w:noProof/>
              <w:color w:val="365F91" w:themeColor="accent1" w:themeShade="BF"/>
            </w:rPr>
            <w:t>Background</w:t>
          </w:r>
          <w:r>
            <w:rPr>
              <w:noProof/>
            </w:rPr>
            <w:tab/>
          </w:r>
          <w:r>
            <w:rPr>
              <w:noProof/>
            </w:rPr>
            <w:fldChar w:fldCharType="begin"/>
          </w:r>
          <w:r>
            <w:rPr>
              <w:noProof/>
            </w:rPr>
            <w:instrText xml:space="preserve"> PAGEREF _Toc342744123 \h </w:instrText>
          </w:r>
          <w:r>
            <w:rPr>
              <w:noProof/>
            </w:rPr>
          </w:r>
          <w:r>
            <w:rPr>
              <w:noProof/>
            </w:rPr>
            <w:fldChar w:fldCharType="separate"/>
          </w:r>
          <w:r>
            <w:rPr>
              <w:noProof/>
            </w:rPr>
            <w:t>3</w:t>
          </w:r>
          <w:r>
            <w:rPr>
              <w:noProof/>
            </w:rPr>
            <w:fldChar w:fldCharType="end"/>
          </w:r>
        </w:p>
        <w:p w:rsidR="00CB7A2C" w:rsidRDefault="00CB7A2C">
          <w:pPr>
            <w:pStyle w:val="TOC1"/>
            <w:rPr>
              <w:rFonts w:asciiTheme="minorHAnsi" w:eastAsiaTheme="minorEastAsia" w:hAnsiTheme="minorHAnsi"/>
              <w:noProof/>
              <w:szCs w:val="24"/>
              <w:lang w:eastAsia="ja-JP"/>
            </w:rPr>
          </w:pPr>
          <w:r w:rsidRPr="001F4270">
            <w:rPr>
              <w:rFonts w:eastAsiaTheme="majorEastAsia" w:cstheme="majorBidi"/>
              <w:bCs/>
              <w:noProof/>
              <w:color w:val="365F91" w:themeColor="accent1" w:themeShade="BF"/>
            </w:rPr>
            <w:t>About the Commission’s complaint process</w:t>
          </w:r>
          <w:r>
            <w:rPr>
              <w:noProof/>
            </w:rPr>
            <w:tab/>
          </w:r>
          <w:r>
            <w:rPr>
              <w:noProof/>
            </w:rPr>
            <w:fldChar w:fldCharType="begin"/>
          </w:r>
          <w:r>
            <w:rPr>
              <w:noProof/>
            </w:rPr>
            <w:instrText xml:space="preserve"> PAGEREF _Toc342744124 \h </w:instrText>
          </w:r>
          <w:r>
            <w:rPr>
              <w:noProof/>
            </w:rPr>
          </w:r>
          <w:r>
            <w:rPr>
              <w:noProof/>
            </w:rPr>
            <w:fldChar w:fldCharType="separate"/>
          </w:r>
          <w:r>
            <w:rPr>
              <w:noProof/>
            </w:rPr>
            <w:t>4</w:t>
          </w:r>
          <w:r>
            <w:rPr>
              <w:noProof/>
            </w:rPr>
            <w:fldChar w:fldCharType="end"/>
          </w:r>
        </w:p>
        <w:p w:rsidR="00CB7A2C" w:rsidRDefault="00CB7A2C">
          <w:pPr>
            <w:pStyle w:val="TOC1"/>
            <w:rPr>
              <w:rFonts w:asciiTheme="minorHAnsi" w:eastAsiaTheme="minorEastAsia" w:hAnsiTheme="minorHAnsi"/>
              <w:noProof/>
              <w:szCs w:val="24"/>
              <w:lang w:eastAsia="ja-JP"/>
            </w:rPr>
          </w:pPr>
          <w:r w:rsidRPr="001F4270">
            <w:rPr>
              <w:rFonts w:eastAsiaTheme="majorEastAsia" w:cstheme="majorBidi"/>
              <w:bCs/>
              <w:noProof/>
              <w:color w:val="365F91" w:themeColor="accent1" w:themeShade="BF"/>
            </w:rPr>
            <w:t>Discrimination of local residents</w:t>
          </w:r>
          <w:r>
            <w:rPr>
              <w:noProof/>
            </w:rPr>
            <w:tab/>
          </w:r>
          <w:r>
            <w:rPr>
              <w:noProof/>
            </w:rPr>
            <w:fldChar w:fldCharType="begin"/>
          </w:r>
          <w:r>
            <w:rPr>
              <w:noProof/>
            </w:rPr>
            <w:instrText xml:space="preserve"> PAGEREF _Toc342744125 \h </w:instrText>
          </w:r>
          <w:r>
            <w:rPr>
              <w:noProof/>
            </w:rPr>
          </w:r>
          <w:r>
            <w:rPr>
              <w:noProof/>
            </w:rPr>
            <w:fldChar w:fldCharType="separate"/>
          </w:r>
          <w:r>
            <w:rPr>
              <w:noProof/>
            </w:rPr>
            <w:t>5</w:t>
          </w:r>
          <w:r>
            <w:rPr>
              <w:noProof/>
            </w:rPr>
            <w:fldChar w:fldCharType="end"/>
          </w:r>
        </w:p>
        <w:p w:rsidR="00CB7A2C" w:rsidRDefault="00CB7A2C">
          <w:pPr>
            <w:pStyle w:val="TOC1"/>
            <w:rPr>
              <w:rFonts w:asciiTheme="minorHAnsi" w:eastAsiaTheme="minorEastAsia" w:hAnsiTheme="minorHAnsi"/>
              <w:noProof/>
              <w:szCs w:val="24"/>
              <w:lang w:eastAsia="ja-JP"/>
            </w:rPr>
          </w:pPr>
          <w:r w:rsidRPr="001F4270">
            <w:rPr>
              <w:rFonts w:eastAsiaTheme="majorEastAsia" w:cstheme="majorBidi"/>
              <w:bCs/>
              <w:noProof/>
              <w:color w:val="365F91" w:themeColor="accent1" w:themeShade="BF"/>
            </w:rPr>
            <w:t>Liability</w:t>
          </w:r>
          <w:r>
            <w:rPr>
              <w:noProof/>
            </w:rPr>
            <w:tab/>
          </w:r>
          <w:r>
            <w:rPr>
              <w:noProof/>
            </w:rPr>
            <w:fldChar w:fldCharType="begin"/>
          </w:r>
          <w:r>
            <w:rPr>
              <w:noProof/>
            </w:rPr>
            <w:instrText xml:space="preserve"> PAGEREF _Toc342744126 \h </w:instrText>
          </w:r>
          <w:r>
            <w:rPr>
              <w:noProof/>
            </w:rPr>
          </w:r>
          <w:r>
            <w:rPr>
              <w:noProof/>
            </w:rPr>
            <w:fldChar w:fldCharType="separate"/>
          </w:r>
          <w:r>
            <w:rPr>
              <w:noProof/>
            </w:rPr>
            <w:t>7</w:t>
          </w:r>
          <w:r>
            <w:rPr>
              <w:noProof/>
            </w:rPr>
            <w:fldChar w:fldCharType="end"/>
          </w:r>
        </w:p>
        <w:p w:rsidR="00CB7A2C" w:rsidRDefault="00CB7A2C">
          <w:pPr>
            <w:pStyle w:val="TOC1"/>
            <w:rPr>
              <w:rFonts w:asciiTheme="minorHAnsi" w:eastAsiaTheme="minorEastAsia" w:hAnsiTheme="minorHAnsi"/>
              <w:noProof/>
              <w:szCs w:val="24"/>
              <w:lang w:eastAsia="ja-JP"/>
            </w:rPr>
          </w:pPr>
          <w:r w:rsidRPr="001F4270">
            <w:rPr>
              <w:rFonts w:eastAsiaTheme="majorEastAsia" w:cstheme="majorBidi"/>
              <w:bCs/>
              <w:noProof/>
              <w:color w:val="365F91" w:themeColor="accent1" w:themeShade="BF"/>
            </w:rPr>
            <w:t>Presumed reason</w:t>
          </w:r>
          <w:r>
            <w:rPr>
              <w:noProof/>
            </w:rPr>
            <w:tab/>
          </w:r>
          <w:r>
            <w:rPr>
              <w:noProof/>
            </w:rPr>
            <w:fldChar w:fldCharType="begin"/>
          </w:r>
          <w:r>
            <w:rPr>
              <w:noProof/>
            </w:rPr>
            <w:instrText xml:space="preserve"> PAGEREF _Toc342744127 \h </w:instrText>
          </w:r>
          <w:r>
            <w:rPr>
              <w:noProof/>
            </w:rPr>
          </w:r>
          <w:r>
            <w:rPr>
              <w:noProof/>
            </w:rPr>
            <w:fldChar w:fldCharType="separate"/>
          </w:r>
          <w:r>
            <w:rPr>
              <w:noProof/>
            </w:rPr>
            <w:t>7</w:t>
          </w:r>
          <w:r>
            <w:rPr>
              <w:noProof/>
            </w:rPr>
            <w:fldChar w:fldCharType="end"/>
          </w:r>
        </w:p>
        <w:p w:rsidR="00CB7A2C" w:rsidRDefault="00CB7A2C">
          <w:pPr>
            <w:pStyle w:val="TOC1"/>
            <w:rPr>
              <w:rFonts w:asciiTheme="minorHAnsi" w:eastAsiaTheme="minorEastAsia" w:hAnsiTheme="minorHAnsi"/>
              <w:noProof/>
              <w:szCs w:val="24"/>
              <w:lang w:eastAsia="ja-JP"/>
            </w:rPr>
          </w:pPr>
          <w:r w:rsidRPr="001F4270">
            <w:rPr>
              <w:rFonts w:eastAsiaTheme="majorEastAsia" w:cstheme="majorBidi"/>
              <w:bCs/>
              <w:noProof/>
              <w:color w:val="365F91" w:themeColor="accent1" w:themeShade="BF"/>
            </w:rPr>
            <w:t>Evidentiary aids</w:t>
          </w:r>
          <w:r>
            <w:rPr>
              <w:noProof/>
            </w:rPr>
            <w:tab/>
          </w:r>
          <w:r>
            <w:rPr>
              <w:noProof/>
            </w:rPr>
            <w:fldChar w:fldCharType="begin"/>
          </w:r>
          <w:r>
            <w:rPr>
              <w:noProof/>
            </w:rPr>
            <w:instrText xml:space="preserve"> PAGEREF _Toc342744128 \h </w:instrText>
          </w:r>
          <w:r>
            <w:rPr>
              <w:noProof/>
            </w:rPr>
          </w:r>
          <w:r>
            <w:rPr>
              <w:noProof/>
            </w:rPr>
            <w:fldChar w:fldCharType="separate"/>
          </w:r>
          <w:r>
            <w:rPr>
              <w:noProof/>
            </w:rPr>
            <w:t>10</w:t>
          </w:r>
          <w:r>
            <w:rPr>
              <w:noProof/>
            </w:rPr>
            <w:fldChar w:fldCharType="end"/>
          </w:r>
        </w:p>
        <w:p w:rsidR="00CB7A2C" w:rsidRDefault="00CB7A2C">
          <w:pPr>
            <w:pStyle w:val="TOC1"/>
            <w:rPr>
              <w:rFonts w:asciiTheme="minorHAnsi" w:eastAsiaTheme="minorEastAsia" w:hAnsiTheme="minorHAnsi"/>
              <w:noProof/>
              <w:szCs w:val="24"/>
              <w:lang w:eastAsia="ja-JP"/>
            </w:rPr>
          </w:pPr>
          <w:r w:rsidRPr="001F4270">
            <w:rPr>
              <w:rFonts w:eastAsiaTheme="majorEastAsia" w:cstheme="majorBidi"/>
              <w:bCs/>
              <w:noProof/>
              <w:color w:val="365F91" w:themeColor="accent1" w:themeShade="BF"/>
            </w:rPr>
            <w:t>Conclusion</w:t>
          </w:r>
          <w:r>
            <w:rPr>
              <w:noProof/>
            </w:rPr>
            <w:tab/>
          </w:r>
          <w:r>
            <w:rPr>
              <w:noProof/>
            </w:rPr>
            <w:fldChar w:fldCharType="begin"/>
          </w:r>
          <w:r>
            <w:rPr>
              <w:noProof/>
            </w:rPr>
            <w:instrText xml:space="preserve"> PAGEREF _Toc342744129 \h </w:instrText>
          </w:r>
          <w:r>
            <w:rPr>
              <w:noProof/>
            </w:rPr>
          </w:r>
          <w:r>
            <w:rPr>
              <w:noProof/>
            </w:rPr>
            <w:fldChar w:fldCharType="separate"/>
          </w:r>
          <w:r>
            <w:rPr>
              <w:noProof/>
            </w:rPr>
            <w:t>10</w:t>
          </w:r>
          <w:r>
            <w:rPr>
              <w:noProof/>
            </w:rPr>
            <w:fldChar w:fldCharType="end"/>
          </w:r>
        </w:p>
        <w:p w:rsidR="00C8485E" w:rsidRPr="00A97DE1" w:rsidRDefault="00C8485E">
          <w:r w:rsidRPr="00A97DE1">
            <w:rPr>
              <w:b/>
              <w:bCs/>
              <w:noProof/>
            </w:rPr>
            <w:fldChar w:fldCharType="end"/>
          </w:r>
        </w:p>
      </w:sdtContent>
    </w:sdt>
    <w:p w:rsidR="00C8485E" w:rsidRPr="00A97DE1" w:rsidRDefault="00C8485E" w:rsidP="00C8485E">
      <w:pPr>
        <w:pStyle w:val="Heading1"/>
        <w:rPr>
          <w:lang w:val="en-AU"/>
        </w:rPr>
        <w:sectPr w:rsidR="00C8485E" w:rsidRPr="00A97DE1" w:rsidSect="004147CC">
          <w:headerReference w:type="first" r:id="rId13"/>
          <w:footerReference w:type="first" r:id="rId14"/>
          <w:pgSz w:w="11906" w:h="16838" w:code="9"/>
          <w:pgMar w:top="1701" w:right="1418" w:bottom="1134" w:left="1797" w:header="284" w:footer="284" w:gutter="0"/>
          <w:cols w:space="708"/>
          <w:titlePg/>
          <w:docGrid w:linePitch="360"/>
        </w:sectPr>
      </w:pPr>
    </w:p>
    <w:p w:rsidR="00C8485E" w:rsidRPr="00A97DE1" w:rsidRDefault="00C8485E" w:rsidP="00A97DE1">
      <w:pPr>
        <w:pStyle w:val="Heading1"/>
        <w:keepLines/>
        <w:spacing w:before="0" w:after="0"/>
        <w:rPr>
          <w:rFonts w:eastAsiaTheme="majorEastAsia" w:cstheme="majorBidi"/>
          <w:bCs/>
          <w:color w:val="365F91" w:themeColor="accent1" w:themeShade="BF"/>
          <w:sz w:val="28"/>
          <w:szCs w:val="28"/>
          <w:lang w:val="en-AU"/>
        </w:rPr>
      </w:pPr>
      <w:bookmarkStart w:id="0" w:name="_Toc342744122"/>
      <w:r w:rsidRPr="00A97DE1">
        <w:rPr>
          <w:rFonts w:eastAsiaTheme="majorEastAsia" w:cstheme="majorBidi"/>
          <w:bCs/>
          <w:color w:val="365F91" w:themeColor="accent1" w:themeShade="BF"/>
          <w:sz w:val="28"/>
          <w:szCs w:val="28"/>
          <w:lang w:val="en-AU"/>
        </w:rPr>
        <w:lastRenderedPageBreak/>
        <w:t>Introduction</w:t>
      </w:r>
      <w:bookmarkEnd w:id="0"/>
    </w:p>
    <w:p w:rsidR="00C8485E" w:rsidRPr="00A97DE1" w:rsidRDefault="00C8485E" w:rsidP="00C1095B">
      <w:pPr>
        <w:pStyle w:val="NormalWeb"/>
        <w:numPr>
          <w:ilvl w:val="0"/>
          <w:numId w:val="1"/>
        </w:numPr>
        <w:spacing w:before="120" w:beforeAutospacing="0" w:after="240" w:line="360" w:lineRule="auto"/>
        <w:ind w:left="567" w:hanging="567"/>
        <w:rPr>
          <w:rFonts w:ascii="Arial" w:hAnsi="Arial" w:cs="Arial"/>
          <w:color w:val="000000"/>
        </w:rPr>
      </w:pPr>
      <w:r w:rsidRPr="00A97DE1">
        <w:rPr>
          <w:rFonts w:ascii="Arial" w:hAnsi="Arial" w:cs="Arial"/>
          <w:color w:val="000000"/>
        </w:rPr>
        <w:t>The Anti-</w:t>
      </w:r>
      <w:r w:rsidRPr="00A97DE1">
        <w:rPr>
          <w:rFonts w:ascii="Arial" w:hAnsi="Arial" w:cs="Arial"/>
        </w:rPr>
        <w:t>Discrimination</w:t>
      </w:r>
      <w:r w:rsidR="00283083">
        <w:rPr>
          <w:rFonts w:ascii="Arial" w:hAnsi="Arial" w:cs="Arial"/>
          <w:color w:val="000000"/>
        </w:rPr>
        <w:t xml:space="preserve"> Commission Queensland</w:t>
      </w:r>
      <w:r w:rsidRPr="00A97DE1">
        <w:rPr>
          <w:rFonts w:ascii="Arial" w:hAnsi="Arial" w:cs="Arial"/>
          <w:color w:val="000000"/>
        </w:rPr>
        <w:t xml:space="preserve"> is an independent statutory authority established under the Queensland </w:t>
      </w:r>
      <w:r w:rsidRPr="00A97DE1">
        <w:rPr>
          <w:rStyle w:val="HTMLCite"/>
          <w:rFonts w:ascii="Arial" w:eastAsiaTheme="majorEastAsia" w:hAnsi="Arial" w:cs="Arial"/>
          <w:color w:val="000000"/>
        </w:rPr>
        <w:t>Anti-Discrimination Act 1991</w:t>
      </w:r>
      <w:r w:rsidRPr="00A97DE1">
        <w:rPr>
          <w:rFonts w:ascii="Arial" w:hAnsi="Arial" w:cs="Arial"/>
          <w:color w:val="000000"/>
        </w:rPr>
        <w:t>.</w:t>
      </w:r>
    </w:p>
    <w:p w:rsidR="00C8485E" w:rsidRPr="00A97DE1" w:rsidRDefault="00C8485E" w:rsidP="00C1095B">
      <w:pPr>
        <w:pStyle w:val="NormalWeb"/>
        <w:numPr>
          <w:ilvl w:val="0"/>
          <w:numId w:val="1"/>
        </w:numPr>
        <w:spacing w:before="120" w:beforeAutospacing="0" w:after="240" w:line="360" w:lineRule="auto"/>
        <w:ind w:left="567" w:hanging="567"/>
        <w:rPr>
          <w:rFonts w:ascii="Arial" w:hAnsi="Arial" w:cs="Arial"/>
          <w:color w:val="000000"/>
        </w:rPr>
      </w:pPr>
      <w:r w:rsidRPr="00A97DE1">
        <w:rPr>
          <w:rFonts w:ascii="Arial" w:hAnsi="Arial" w:cs="Arial"/>
          <w:color w:val="000000"/>
        </w:rPr>
        <w:t xml:space="preserve">The functions of </w:t>
      </w:r>
      <w:r w:rsidRPr="00A97DE1">
        <w:rPr>
          <w:rFonts w:ascii="Arial" w:hAnsi="Arial" w:cs="Arial"/>
        </w:rPr>
        <w:t>the</w:t>
      </w:r>
      <w:r w:rsidRPr="00A97DE1">
        <w:rPr>
          <w:rFonts w:ascii="Arial" w:hAnsi="Arial" w:cs="Arial"/>
          <w:color w:val="000000"/>
        </w:rPr>
        <w:t xml:space="preserve"> Commission include promoting an understanding, acceptance, and public discussion of human rights in Queensland, and dealing with complaints alleging contraventions of the </w:t>
      </w:r>
      <w:r w:rsidRPr="00A97DE1">
        <w:rPr>
          <w:rStyle w:val="HTMLCite"/>
          <w:rFonts w:ascii="Arial" w:eastAsiaTheme="majorEastAsia" w:hAnsi="Arial" w:cs="Arial"/>
          <w:color w:val="000000"/>
        </w:rPr>
        <w:t xml:space="preserve">Anti-Discrimination Act 1991 </w:t>
      </w:r>
      <w:r w:rsidRPr="00A97DE1">
        <w:rPr>
          <w:rStyle w:val="HTMLCite"/>
          <w:rFonts w:ascii="Arial" w:eastAsiaTheme="majorEastAsia" w:hAnsi="Arial" w:cs="Arial"/>
          <w:i w:val="0"/>
          <w:color w:val="000000"/>
        </w:rPr>
        <w:t xml:space="preserve">and of reprisal under the </w:t>
      </w:r>
      <w:r w:rsidRPr="00A97DE1">
        <w:rPr>
          <w:rStyle w:val="HTMLCite"/>
          <w:rFonts w:ascii="Arial" w:eastAsiaTheme="majorEastAsia" w:hAnsi="Arial" w:cs="Arial"/>
          <w:color w:val="000000"/>
        </w:rPr>
        <w:t>Public Interest Disclosure Act 2010</w:t>
      </w:r>
      <w:r w:rsidRPr="00A97DE1">
        <w:rPr>
          <w:rFonts w:ascii="Arial" w:hAnsi="Arial" w:cs="Arial"/>
          <w:color w:val="000000"/>
        </w:rPr>
        <w:t>.  Complaints that are not resolved through conciliation can be referred to the Queensland Civil and Administrative Tribunal for hearing and determination.</w:t>
      </w:r>
    </w:p>
    <w:p w:rsidR="00C8485E" w:rsidRPr="00A97DE1" w:rsidRDefault="00C8485E" w:rsidP="00C1095B">
      <w:pPr>
        <w:pStyle w:val="NormalWeb"/>
        <w:numPr>
          <w:ilvl w:val="0"/>
          <w:numId w:val="1"/>
        </w:numPr>
        <w:spacing w:before="120" w:beforeAutospacing="0" w:after="240" w:line="360" w:lineRule="auto"/>
        <w:ind w:left="567" w:hanging="567"/>
        <w:rPr>
          <w:rFonts w:ascii="Arial" w:hAnsi="Arial" w:cs="Arial"/>
          <w:color w:val="000000"/>
        </w:rPr>
      </w:pPr>
      <w:r w:rsidRPr="00A97DE1">
        <w:rPr>
          <w:rFonts w:ascii="Arial" w:hAnsi="Arial" w:cs="Arial"/>
          <w:color w:val="000000"/>
        </w:rPr>
        <w:t xml:space="preserve">This submission on the Strong and Sustainable Resource Bill 2016 focuses on the </w:t>
      </w:r>
      <w:r w:rsidR="00FF17E1">
        <w:rPr>
          <w:rFonts w:ascii="Arial" w:hAnsi="Arial" w:cs="Arial"/>
          <w:color w:val="000000"/>
        </w:rPr>
        <w:t xml:space="preserve">proposed </w:t>
      </w:r>
      <w:r w:rsidRPr="00A97DE1">
        <w:rPr>
          <w:rFonts w:ascii="Arial" w:hAnsi="Arial" w:cs="Arial"/>
          <w:color w:val="000000"/>
        </w:rPr>
        <w:t xml:space="preserve">amendments to the </w:t>
      </w:r>
      <w:r w:rsidRPr="00A97DE1">
        <w:rPr>
          <w:rFonts w:ascii="Arial" w:hAnsi="Arial" w:cs="Arial"/>
          <w:i/>
          <w:color w:val="000000"/>
        </w:rPr>
        <w:t>Anti-Discrimination Act 1991</w:t>
      </w:r>
      <w:r w:rsidRPr="00A97DE1">
        <w:rPr>
          <w:rFonts w:ascii="Arial" w:hAnsi="Arial" w:cs="Arial"/>
          <w:color w:val="000000"/>
        </w:rPr>
        <w:t>.</w:t>
      </w:r>
    </w:p>
    <w:p w:rsidR="00C8485E" w:rsidRPr="00A97DE1" w:rsidRDefault="00C8485E" w:rsidP="00A97DE1">
      <w:pPr>
        <w:pStyle w:val="Heading1"/>
        <w:keepLines/>
        <w:spacing w:before="360" w:after="0"/>
        <w:rPr>
          <w:rFonts w:eastAsiaTheme="majorEastAsia" w:cstheme="majorBidi"/>
          <w:bCs/>
          <w:color w:val="365F91" w:themeColor="accent1" w:themeShade="BF"/>
          <w:sz w:val="28"/>
          <w:szCs w:val="28"/>
          <w:lang w:val="en-AU"/>
        </w:rPr>
      </w:pPr>
      <w:bookmarkStart w:id="1" w:name="_Toc342744123"/>
      <w:r w:rsidRPr="00A97DE1">
        <w:rPr>
          <w:rFonts w:eastAsiaTheme="majorEastAsia" w:cstheme="majorBidi"/>
          <w:bCs/>
          <w:color w:val="365F91" w:themeColor="accent1" w:themeShade="BF"/>
          <w:sz w:val="28"/>
          <w:szCs w:val="28"/>
          <w:lang w:val="en-AU"/>
        </w:rPr>
        <w:t>Background</w:t>
      </w:r>
      <w:bookmarkEnd w:id="1"/>
    </w:p>
    <w:p w:rsidR="00C8485E" w:rsidRDefault="00C8485E" w:rsidP="00C1095B">
      <w:pPr>
        <w:pStyle w:val="NormalWeb"/>
        <w:numPr>
          <w:ilvl w:val="0"/>
          <w:numId w:val="1"/>
        </w:numPr>
        <w:spacing w:before="120" w:beforeAutospacing="0" w:after="240" w:line="360" w:lineRule="auto"/>
        <w:ind w:left="567" w:hanging="567"/>
        <w:rPr>
          <w:rFonts w:ascii="Arial" w:hAnsi="Arial" w:cs="Arial"/>
        </w:rPr>
      </w:pPr>
      <w:r w:rsidRPr="00A97DE1">
        <w:rPr>
          <w:rFonts w:ascii="Arial" w:hAnsi="Arial" w:cs="Arial"/>
        </w:rPr>
        <w:t xml:space="preserve">The Strong and Sustainable Resource Communities Bill 2016 </w:t>
      </w:r>
      <w:r w:rsidR="00C53FFD">
        <w:rPr>
          <w:rFonts w:ascii="Arial" w:hAnsi="Arial" w:cs="Arial"/>
        </w:rPr>
        <w:t>is part of a broader policy framework for the management of social impacts of resource projects.  The Bill follows</w:t>
      </w:r>
      <w:r w:rsidR="009D1939">
        <w:rPr>
          <w:rFonts w:ascii="Arial" w:hAnsi="Arial" w:cs="Arial"/>
        </w:rPr>
        <w:t xml:space="preserve"> the inquiry by </w:t>
      </w:r>
      <w:r w:rsidR="00A2127D">
        <w:rPr>
          <w:rFonts w:ascii="Arial" w:hAnsi="Arial" w:cs="Arial"/>
        </w:rPr>
        <w:t xml:space="preserve">the </w:t>
      </w:r>
      <w:r w:rsidR="009D1939">
        <w:rPr>
          <w:rFonts w:ascii="Arial" w:hAnsi="Arial" w:cs="Arial"/>
        </w:rPr>
        <w:t>Infrastructure, Planning and Natural Resources Committee (Committee) into</w:t>
      </w:r>
      <w:r w:rsidR="00DE6BEA">
        <w:rPr>
          <w:rFonts w:ascii="Arial" w:hAnsi="Arial" w:cs="Arial"/>
        </w:rPr>
        <w:t xml:space="preserve"> </w:t>
      </w:r>
      <w:r w:rsidR="009D1939">
        <w:rPr>
          <w:rFonts w:ascii="Arial" w:hAnsi="Arial" w:cs="Arial"/>
        </w:rPr>
        <w:t>fly-in, fly-out and other long distance commuting work practices in regional Queensland.  The Committee’s report was tabled on 9 October 2016, and contains 19 recommendations</w:t>
      </w:r>
      <w:r w:rsidRPr="00A97DE1">
        <w:rPr>
          <w:rFonts w:ascii="Arial" w:hAnsi="Arial" w:cs="Arial"/>
        </w:rPr>
        <w:t>.</w:t>
      </w:r>
    </w:p>
    <w:p w:rsidR="00C8485E" w:rsidRPr="00203F6A" w:rsidRDefault="00203F6A" w:rsidP="00C1095B">
      <w:pPr>
        <w:pStyle w:val="NormalWeb"/>
        <w:numPr>
          <w:ilvl w:val="0"/>
          <w:numId w:val="1"/>
        </w:numPr>
        <w:spacing w:before="120" w:beforeAutospacing="0" w:after="120" w:line="360" w:lineRule="auto"/>
        <w:ind w:left="567" w:hanging="567"/>
        <w:rPr>
          <w:rFonts w:ascii="Arial" w:hAnsi="Arial" w:cs="Arial"/>
        </w:rPr>
      </w:pPr>
      <w:r w:rsidRPr="00203F6A">
        <w:rPr>
          <w:rFonts w:ascii="Arial" w:hAnsi="Arial" w:cs="Arial"/>
        </w:rPr>
        <w:t xml:space="preserve">A fundamental recommendation of the Committee’s inquiry was for the government to consider amending the </w:t>
      </w:r>
      <w:r w:rsidRPr="00203F6A">
        <w:rPr>
          <w:rFonts w:ascii="Arial" w:hAnsi="Arial" w:cs="Arial"/>
          <w:i/>
        </w:rPr>
        <w:t>Anti-Discrimination Act 1991</w:t>
      </w:r>
      <w:r w:rsidRPr="00203F6A">
        <w:rPr>
          <w:rFonts w:ascii="Arial" w:hAnsi="Arial" w:cs="Arial"/>
        </w:rPr>
        <w:t xml:space="preserve"> to include location as a prohibited ground of discrimination.  The Committee considered that this was one of the ways to facilitate choice for local people without making retrospective amendments and creating sovereign risk.</w:t>
      </w:r>
      <w:r>
        <w:rPr>
          <w:rStyle w:val="FootnoteReference"/>
          <w:rFonts w:ascii="Arial" w:hAnsi="Arial" w:cs="Arial"/>
        </w:rPr>
        <w:footnoteReference w:id="1"/>
      </w:r>
      <w:r w:rsidRPr="00203F6A">
        <w:rPr>
          <w:rFonts w:ascii="Arial" w:hAnsi="Arial" w:cs="Arial"/>
        </w:rPr>
        <w:t xml:space="preserve">  </w:t>
      </w:r>
      <w:r w:rsidR="00C8485E" w:rsidRPr="00203F6A">
        <w:rPr>
          <w:rFonts w:ascii="Arial" w:hAnsi="Arial" w:cs="Arial"/>
          <w:color w:val="000000"/>
        </w:rPr>
        <w:t>Recommendation</w:t>
      </w:r>
      <w:r>
        <w:rPr>
          <w:rFonts w:ascii="Arial" w:hAnsi="Arial" w:cs="Arial"/>
          <w:color w:val="000000"/>
        </w:rPr>
        <w:t xml:space="preserve"> 16 provides</w:t>
      </w:r>
      <w:r w:rsidR="00C8485E" w:rsidRPr="00203F6A">
        <w:rPr>
          <w:rFonts w:ascii="Arial" w:hAnsi="Arial" w:cs="Arial"/>
        </w:rPr>
        <w:t>:</w:t>
      </w:r>
    </w:p>
    <w:p w:rsidR="00C8485E" w:rsidRPr="00A97DE1" w:rsidRDefault="00203F6A" w:rsidP="00593F2E">
      <w:pPr>
        <w:autoSpaceDE w:val="0"/>
        <w:autoSpaceDN w:val="0"/>
        <w:adjustRightInd w:val="0"/>
        <w:spacing w:after="240" w:line="240" w:lineRule="auto"/>
        <w:ind w:left="1440"/>
        <w:rPr>
          <w:rFonts w:ascii="ArialMT" w:hAnsi="ArialMT" w:cs="ArialMT"/>
          <w:sz w:val="22"/>
        </w:rPr>
      </w:pPr>
      <w:r>
        <w:rPr>
          <w:rFonts w:ascii="ArialMT" w:hAnsi="ArialMT" w:cs="ArialMT"/>
          <w:sz w:val="22"/>
        </w:rPr>
        <w:t xml:space="preserve">The committee recommends the government amend the </w:t>
      </w:r>
      <w:r w:rsidRPr="00C53FFD">
        <w:rPr>
          <w:rFonts w:ascii="ArialMT" w:hAnsi="ArialMT" w:cs="ArialMT"/>
          <w:i/>
          <w:sz w:val="22"/>
        </w:rPr>
        <w:t>Anti-Discrimination Act 1991</w:t>
      </w:r>
      <w:r>
        <w:rPr>
          <w:rFonts w:ascii="ArialMT" w:hAnsi="ArialMT" w:cs="ArialMT"/>
          <w:sz w:val="22"/>
        </w:rPr>
        <w:t xml:space="preserve"> to include location as a prohibited ground for discrimination with the intent of ensuring all workers are provided a choice of where they live for work</w:t>
      </w:r>
      <w:r w:rsidR="00C8485E" w:rsidRPr="00A97DE1">
        <w:rPr>
          <w:rFonts w:ascii="ArialMT" w:hAnsi="ArialMT" w:cs="ArialMT"/>
          <w:sz w:val="22"/>
        </w:rPr>
        <w:t>.</w:t>
      </w:r>
    </w:p>
    <w:p w:rsidR="00C8485E" w:rsidRPr="00A97DE1" w:rsidRDefault="00593F2E" w:rsidP="00C1095B">
      <w:pPr>
        <w:pStyle w:val="NormalWeb"/>
        <w:numPr>
          <w:ilvl w:val="0"/>
          <w:numId w:val="1"/>
        </w:numPr>
        <w:spacing w:before="120" w:beforeAutospacing="0" w:after="240" w:line="360" w:lineRule="auto"/>
        <w:ind w:left="567" w:hanging="567"/>
        <w:rPr>
          <w:rFonts w:ascii="Arial" w:hAnsi="Arial" w:cs="Arial"/>
        </w:rPr>
      </w:pPr>
      <w:r>
        <w:rPr>
          <w:rFonts w:ascii="Arial" w:hAnsi="Arial" w:cs="Arial"/>
        </w:rPr>
        <w:t xml:space="preserve">The recommendation was </w:t>
      </w:r>
      <w:r w:rsidR="00C53FFD">
        <w:rPr>
          <w:rFonts w:ascii="Arial" w:hAnsi="Arial" w:cs="Arial"/>
        </w:rPr>
        <w:t xml:space="preserve">the focus of </w:t>
      </w:r>
      <w:r w:rsidR="0009065C">
        <w:rPr>
          <w:rFonts w:ascii="Arial" w:hAnsi="Arial" w:cs="Arial"/>
        </w:rPr>
        <w:t xml:space="preserve">the </w:t>
      </w:r>
      <w:r>
        <w:rPr>
          <w:rFonts w:ascii="Arial" w:hAnsi="Arial" w:cs="Arial"/>
        </w:rPr>
        <w:t>Committee’s media rele</w:t>
      </w:r>
      <w:r w:rsidR="00C53FFD">
        <w:rPr>
          <w:rFonts w:ascii="Arial" w:hAnsi="Arial" w:cs="Arial"/>
        </w:rPr>
        <w:t xml:space="preserve">ase </w:t>
      </w:r>
      <w:r w:rsidR="00C1095B">
        <w:rPr>
          <w:rFonts w:ascii="Arial" w:hAnsi="Arial" w:cs="Arial"/>
        </w:rPr>
        <w:t>about</w:t>
      </w:r>
      <w:r w:rsidR="00C53FFD">
        <w:rPr>
          <w:rFonts w:ascii="Arial" w:hAnsi="Arial" w:cs="Arial"/>
        </w:rPr>
        <w:t xml:space="preserve"> its report, </w:t>
      </w:r>
      <w:r w:rsidR="00C1095B">
        <w:rPr>
          <w:rFonts w:ascii="Arial" w:hAnsi="Arial" w:cs="Arial"/>
        </w:rPr>
        <w:t>stating that</w:t>
      </w:r>
      <w:r w:rsidR="00C53FFD">
        <w:rPr>
          <w:rFonts w:ascii="Arial" w:hAnsi="Arial" w:cs="Arial"/>
        </w:rPr>
        <w:t xml:space="preserve"> it recommended changes to the anti-discrimination legislation to stop local workers being discriminated against on the basis of where they live for work, and noting it was concerned about some resource companies only sourcing workers from Bris</w:t>
      </w:r>
      <w:r w:rsidR="0009065C">
        <w:rPr>
          <w:rFonts w:ascii="Arial" w:hAnsi="Arial" w:cs="Arial"/>
        </w:rPr>
        <w:t>bane or Cairns</w:t>
      </w:r>
      <w:r w:rsidR="00C53FFD">
        <w:rPr>
          <w:rFonts w:ascii="Arial" w:hAnsi="Arial" w:cs="Arial"/>
        </w:rPr>
        <w:t xml:space="preserve"> and was determined to find a solution to manage the impacts of non-resident workforces</w:t>
      </w:r>
      <w:r w:rsidR="00C8485E" w:rsidRPr="00A97DE1">
        <w:rPr>
          <w:rFonts w:ascii="Arial" w:hAnsi="Arial" w:cs="Arial"/>
        </w:rPr>
        <w:t>.</w:t>
      </w:r>
    </w:p>
    <w:p w:rsidR="00C8485E" w:rsidRDefault="0099050C" w:rsidP="00C1095B">
      <w:pPr>
        <w:pStyle w:val="NormalWeb"/>
        <w:numPr>
          <w:ilvl w:val="0"/>
          <w:numId w:val="1"/>
        </w:numPr>
        <w:spacing w:before="120" w:beforeAutospacing="0" w:after="240" w:line="360" w:lineRule="auto"/>
        <w:ind w:left="567" w:hanging="567"/>
        <w:rPr>
          <w:rFonts w:ascii="Arial" w:hAnsi="Arial" w:cs="Arial"/>
        </w:rPr>
      </w:pPr>
      <w:r>
        <w:rPr>
          <w:rFonts w:ascii="Arial" w:hAnsi="Arial" w:cs="Arial"/>
        </w:rPr>
        <w:t>Following release of</w:t>
      </w:r>
      <w:r w:rsidR="00142480">
        <w:rPr>
          <w:rFonts w:ascii="Arial" w:hAnsi="Arial" w:cs="Arial"/>
        </w:rPr>
        <w:t xml:space="preserve"> the report</w:t>
      </w:r>
      <w:r>
        <w:rPr>
          <w:rFonts w:ascii="Arial" w:hAnsi="Arial" w:cs="Arial"/>
        </w:rPr>
        <w:t>,</w:t>
      </w:r>
      <w:r w:rsidR="00142480">
        <w:rPr>
          <w:rFonts w:ascii="Arial" w:hAnsi="Arial" w:cs="Arial"/>
        </w:rPr>
        <w:t xml:space="preserve"> the Commission was consulted about the impact of the recommendation, and how the policy objective might best be achieved.  The Commission </w:t>
      </w:r>
      <w:r w:rsidR="00A11CF1">
        <w:rPr>
          <w:rFonts w:ascii="Arial" w:hAnsi="Arial" w:cs="Arial"/>
        </w:rPr>
        <w:t>was also</w:t>
      </w:r>
      <w:r w:rsidR="00142480">
        <w:rPr>
          <w:rFonts w:ascii="Arial" w:hAnsi="Arial" w:cs="Arial"/>
        </w:rPr>
        <w:t xml:space="preserve"> consulted throughout the process of developing and drafting the Bill.  </w:t>
      </w:r>
      <w:r w:rsidR="00A11CF1">
        <w:rPr>
          <w:rFonts w:ascii="Arial" w:hAnsi="Arial" w:cs="Arial"/>
        </w:rPr>
        <w:t xml:space="preserve">Feedback provided by the Commission was considered respectfully, and </w:t>
      </w:r>
      <w:r>
        <w:rPr>
          <w:rFonts w:ascii="Arial" w:hAnsi="Arial" w:cs="Arial"/>
        </w:rPr>
        <w:t>suggestions</w:t>
      </w:r>
      <w:r w:rsidR="00A11CF1">
        <w:rPr>
          <w:rFonts w:ascii="Arial" w:hAnsi="Arial" w:cs="Arial"/>
        </w:rPr>
        <w:t xml:space="preserve"> were discussed in a productive and collegiate manner.  </w:t>
      </w:r>
      <w:r w:rsidR="00142480">
        <w:rPr>
          <w:rFonts w:ascii="Arial" w:hAnsi="Arial" w:cs="Arial"/>
        </w:rPr>
        <w:t xml:space="preserve">The comprehensive and collaborative consultation </w:t>
      </w:r>
      <w:r w:rsidR="00A2127D">
        <w:rPr>
          <w:rFonts w:ascii="Arial" w:hAnsi="Arial" w:cs="Arial"/>
        </w:rPr>
        <w:t xml:space="preserve">process </w:t>
      </w:r>
      <w:r w:rsidR="00142480">
        <w:rPr>
          <w:rFonts w:ascii="Arial" w:hAnsi="Arial" w:cs="Arial"/>
        </w:rPr>
        <w:t>has produced a Bill that the Commission considers reflects the policy obje</w:t>
      </w:r>
      <w:r>
        <w:rPr>
          <w:rFonts w:ascii="Arial" w:hAnsi="Arial" w:cs="Arial"/>
        </w:rPr>
        <w:t>ctives of the government, while</w:t>
      </w:r>
      <w:r w:rsidR="00142480">
        <w:rPr>
          <w:rFonts w:ascii="Arial" w:hAnsi="Arial" w:cs="Arial"/>
        </w:rPr>
        <w:t xml:space="preserve"> being workable for the Commission to administer.  The Commission commends the Office of the Coordinator-General and the Department of Justice and Attorney-General on this achievement</w:t>
      </w:r>
      <w:r w:rsidR="00A11CF1">
        <w:rPr>
          <w:rFonts w:ascii="Arial" w:hAnsi="Arial" w:cs="Arial"/>
        </w:rPr>
        <w:t xml:space="preserve"> and on the way the consultation </w:t>
      </w:r>
      <w:r>
        <w:rPr>
          <w:rFonts w:ascii="Arial" w:hAnsi="Arial" w:cs="Arial"/>
        </w:rPr>
        <w:t>was conducted</w:t>
      </w:r>
      <w:r w:rsidR="00142480">
        <w:rPr>
          <w:rFonts w:ascii="Arial" w:hAnsi="Arial" w:cs="Arial"/>
        </w:rPr>
        <w:t>.</w:t>
      </w:r>
    </w:p>
    <w:p w:rsidR="00C8485E" w:rsidRPr="002D1735" w:rsidRDefault="002D1735" w:rsidP="002D1735">
      <w:pPr>
        <w:pStyle w:val="Heading1"/>
        <w:keepLines/>
        <w:spacing w:before="360" w:after="0"/>
        <w:rPr>
          <w:rFonts w:eastAsiaTheme="majorEastAsia" w:cstheme="majorBidi"/>
          <w:bCs/>
          <w:color w:val="365F91" w:themeColor="accent1" w:themeShade="BF"/>
          <w:sz w:val="28"/>
          <w:szCs w:val="28"/>
          <w:lang w:val="en-AU"/>
        </w:rPr>
      </w:pPr>
      <w:bookmarkStart w:id="2" w:name="_Toc342744124"/>
      <w:r>
        <w:rPr>
          <w:rFonts w:eastAsiaTheme="majorEastAsia" w:cstheme="majorBidi"/>
          <w:bCs/>
          <w:color w:val="365F91" w:themeColor="accent1" w:themeShade="BF"/>
          <w:sz w:val="28"/>
          <w:szCs w:val="28"/>
          <w:lang w:val="en-AU"/>
        </w:rPr>
        <w:t>About the Commission’s complaint process</w:t>
      </w:r>
      <w:bookmarkEnd w:id="2"/>
    </w:p>
    <w:p w:rsidR="00C8485E" w:rsidRPr="00A97DE1" w:rsidRDefault="00B3075A" w:rsidP="00C1095B">
      <w:pPr>
        <w:pStyle w:val="NormalWeb"/>
        <w:numPr>
          <w:ilvl w:val="0"/>
          <w:numId w:val="1"/>
        </w:numPr>
        <w:spacing w:before="120" w:beforeAutospacing="0" w:after="240" w:line="360" w:lineRule="auto"/>
        <w:ind w:left="567" w:hanging="567"/>
        <w:rPr>
          <w:rFonts w:ascii="Arial" w:hAnsi="Arial" w:cs="Arial"/>
        </w:rPr>
      </w:pPr>
      <w:r>
        <w:rPr>
          <w:rFonts w:ascii="Arial" w:hAnsi="Arial" w:cs="Arial"/>
        </w:rPr>
        <w:t xml:space="preserve">The Queensland </w:t>
      </w:r>
      <w:r w:rsidRPr="003419F4">
        <w:rPr>
          <w:rFonts w:ascii="Arial" w:hAnsi="Arial" w:cs="Arial"/>
          <w:i/>
        </w:rPr>
        <w:t>Anti-Discrimination Act 1991</w:t>
      </w:r>
      <w:r w:rsidR="006E5B37">
        <w:rPr>
          <w:rFonts w:ascii="Arial" w:hAnsi="Arial" w:cs="Arial"/>
        </w:rPr>
        <w:t xml:space="preserve"> was enacted in recognition of international human rights instruments, and to extend Commonwealth human rights legislation.  One of the purposes of the Act is to promote equality of opportunity for everyone and protect them from unlawful discrimination and other objectionable conduct.  The Act provides a mechanism for seeking redress and adjudication of alleged breaches of the human rights that are protected by the legislation.</w:t>
      </w:r>
    </w:p>
    <w:p w:rsidR="00C8485E" w:rsidRPr="00A97DE1" w:rsidRDefault="00A11CF1" w:rsidP="00C1095B">
      <w:pPr>
        <w:pStyle w:val="NormalWeb"/>
        <w:numPr>
          <w:ilvl w:val="0"/>
          <w:numId w:val="1"/>
        </w:numPr>
        <w:spacing w:before="120" w:beforeAutospacing="0" w:after="240" w:line="360" w:lineRule="auto"/>
        <w:ind w:left="567" w:hanging="567"/>
        <w:rPr>
          <w:rFonts w:ascii="Arial" w:hAnsi="Arial" w:cs="Arial"/>
        </w:rPr>
      </w:pPr>
      <w:r>
        <w:rPr>
          <w:rFonts w:ascii="Arial" w:hAnsi="Arial" w:cs="Arial"/>
        </w:rPr>
        <w:t>The first step in remedying a breach of the Act</w:t>
      </w:r>
      <w:r>
        <w:rPr>
          <w:rStyle w:val="FootnoteReference"/>
          <w:rFonts w:ascii="Arial" w:hAnsi="Arial" w:cs="Arial"/>
        </w:rPr>
        <w:footnoteReference w:id="2"/>
      </w:r>
      <w:r>
        <w:rPr>
          <w:rFonts w:ascii="Arial" w:hAnsi="Arial" w:cs="Arial"/>
        </w:rPr>
        <w:t xml:space="preserve"> is for a complaint to be made to the Commission.  The complaint must be in writing, but </w:t>
      </w:r>
      <w:r w:rsidR="0099050C">
        <w:rPr>
          <w:rFonts w:ascii="Arial" w:hAnsi="Arial" w:cs="Arial"/>
        </w:rPr>
        <w:t>need</w:t>
      </w:r>
      <w:r>
        <w:rPr>
          <w:rFonts w:ascii="Arial" w:hAnsi="Arial" w:cs="Arial"/>
        </w:rPr>
        <w:t xml:space="preserve"> not </w:t>
      </w:r>
      <w:r w:rsidR="0099050C">
        <w:rPr>
          <w:rFonts w:ascii="Arial" w:hAnsi="Arial" w:cs="Arial"/>
        </w:rPr>
        <w:t xml:space="preserve">be </w:t>
      </w:r>
      <w:r>
        <w:rPr>
          <w:rFonts w:ascii="Arial" w:hAnsi="Arial" w:cs="Arial"/>
        </w:rPr>
        <w:t xml:space="preserve">a formal document like a court document.  </w:t>
      </w:r>
      <w:r w:rsidR="00B505CC">
        <w:rPr>
          <w:rFonts w:ascii="Arial" w:hAnsi="Arial" w:cs="Arial"/>
        </w:rPr>
        <w:t>If a complaint is accepted,</w:t>
      </w:r>
      <w:r w:rsidR="000F5760">
        <w:rPr>
          <w:rFonts w:ascii="Arial" w:hAnsi="Arial" w:cs="Arial"/>
        </w:rPr>
        <w:t xml:space="preserve"> the Commission’s function is to try to resolve the complaint through conciliation.  The parties </w:t>
      </w:r>
      <w:r w:rsidR="00B505CC">
        <w:rPr>
          <w:rFonts w:ascii="Arial" w:hAnsi="Arial" w:cs="Arial"/>
        </w:rPr>
        <w:t>will, in most cases, be</w:t>
      </w:r>
      <w:r w:rsidR="000F5760">
        <w:rPr>
          <w:rFonts w:ascii="Arial" w:hAnsi="Arial" w:cs="Arial"/>
        </w:rPr>
        <w:t xml:space="preserve"> directed to participate in a conciliation conference, where a conciliator will facilitate a discussion of the dispute and provide information about the law and possible outcomes.  If a complaint is not resolved through conciliation, it may be referred to </w:t>
      </w:r>
      <w:r w:rsidR="003419F4">
        <w:rPr>
          <w:rFonts w:ascii="Arial" w:hAnsi="Arial" w:cs="Arial"/>
        </w:rPr>
        <w:t>a</w:t>
      </w:r>
      <w:r w:rsidR="000F5760">
        <w:rPr>
          <w:rFonts w:ascii="Arial" w:hAnsi="Arial" w:cs="Arial"/>
        </w:rPr>
        <w:t xml:space="preserve"> tribunal to be heard and decided.</w:t>
      </w:r>
    </w:p>
    <w:p w:rsidR="00C8485E" w:rsidRPr="002D1735" w:rsidRDefault="008B035F" w:rsidP="002D1735">
      <w:pPr>
        <w:pStyle w:val="Heading1"/>
        <w:keepLines/>
        <w:spacing w:before="360" w:after="0"/>
        <w:rPr>
          <w:rFonts w:eastAsiaTheme="majorEastAsia" w:cstheme="majorBidi"/>
          <w:bCs/>
          <w:color w:val="365F91" w:themeColor="accent1" w:themeShade="BF"/>
          <w:sz w:val="28"/>
          <w:szCs w:val="28"/>
          <w:lang w:val="en-AU"/>
        </w:rPr>
      </w:pPr>
      <w:bookmarkStart w:id="3" w:name="_Toc342744125"/>
      <w:r>
        <w:rPr>
          <w:rFonts w:eastAsiaTheme="majorEastAsia" w:cstheme="majorBidi"/>
          <w:bCs/>
          <w:color w:val="365F91" w:themeColor="accent1" w:themeShade="BF"/>
          <w:sz w:val="28"/>
          <w:szCs w:val="28"/>
          <w:lang w:val="en-AU"/>
        </w:rPr>
        <w:t>Discrimination of local residents</w:t>
      </w:r>
      <w:bookmarkEnd w:id="3"/>
    </w:p>
    <w:p w:rsidR="004945ED" w:rsidRDefault="004945ED" w:rsidP="00C1095B">
      <w:pPr>
        <w:pStyle w:val="NormalWeb"/>
        <w:numPr>
          <w:ilvl w:val="0"/>
          <w:numId w:val="1"/>
        </w:numPr>
        <w:spacing w:before="120" w:beforeAutospacing="0" w:after="240" w:line="360" w:lineRule="auto"/>
        <w:ind w:left="567" w:hanging="567"/>
        <w:rPr>
          <w:rFonts w:ascii="Arial" w:hAnsi="Arial" w:cs="Arial"/>
        </w:rPr>
      </w:pPr>
      <w:r>
        <w:rPr>
          <w:rFonts w:ascii="Arial" w:hAnsi="Arial" w:cs="Arial"/>
        </w:rPr>
        <w:t xml:space="preserve">The provisions of the Bill amending the </w:t>
      </w:r>
      <w:r w:rsidRPr="004945ED">
        <w:rPr>
          <w:rFonts w:ascii="Arial" w:hAnsi="Arial" w:cs="Arial"/>
          <w:i/>
        </w:rPr>
        <w:t>Anti-Discrimination Act 1991</w:t>
      </w:r>
      <w:r>
        <w:rPr>
          <w:rFonts w:ascii="Arial" w:hAnsi="Arial" w:cs="Arial"/>
        </w:rPr>
        <w:t xml:space="preserve"> apply to large resource projects that have received, since 30 June 2009, an environmental impact statement evaluation report under either the </w:t>
      </w:r>
      <w:r w:rsidRPr="004945ED">
        <w:rPr>
          <w:rFonts w:ascii="Arial" w:hAnsi="Arial" w:cs="Arial"/>
          <w:i/>
        </w:rPr>
        <w:t>State Development and Public Works Organisation Act 1971</w:t>
      </w:r>
      <w:r>
        <w:rPr>
          <w:rFonts w:ascii="Arial" w:hAnsi="Arial" w:cs="Arial"/>
        </w:rPr>
        <w:t xml:space="preserve"> or the </w:t>
      </w:r>
      <w:r w:rsidRPr="004945ED">
        <w:rPr>
          <w:rFonts w:ascii="Arial" w:hAnsi="Arial" w:cs="Arial"/>
          <w:i/>
        </w:rPr>
        <w:t>Environmental Protection Act 1994</w:t>
      </w:r>
      <w:r>
        <w:rPr>
          <w:rFonts w:ascii="Arial" w:hAnsi="Arial" w:cs="Arial"/>
        </w:rPr>
        <w:t>.</w:t>
      </w:r>
      <w:r w:rsidR="00A730B9">
        <w:rPr>
          <w:rFonts w:ascii="Arial" w:hAnsi="Arial" w:cs="Arial"/>
        </w:rPr>
        <w:t xml:space="preserve">  The object </w:t>
      </w:r>
      <w:r w:rsidR="00D35D65">
        <w:rPr>
          <w:rFonts w:ascii="Arial" w:hAnsi="Arial" w:cs="Arial"/>
        </w:rPr>
        <w:t xml:space="preserve">of the provisions </w:t>
      </w:r>
      <w:r w:rsidR="00A730B9">
        <w:rPr>
          <w:rFonts w:ascii="Arial" w:hAnsi="Arial" w:cs="Arial"/>
        </w:rPr>
        <w:t xml:space="preserve">is to </w:t>
      </w:r>
      <w:r w:rsidR="00D35D65">
        <w:rPr>
          <w:rFonts w:ascii="Arial" w:hAnsi="Arial" w:cs="Arial"/>
        </w:rPr>
        <w:t>protect</w:t>
      </w:r>
      <w:r w:rsidR="00A730B9">
        <w:rPr>
          <w:rFonts w:ascii="Arial" w:hAnsi="Arial" w:cs="Arial"/>
        </w:rPr>
        <w:t xml:space="preserve"> residents of nearby regional communities </w:t>
      </w:r>
      <w:r w:rsidR="00D35D65">
        <w:rPr>
          <w:rFonts w:ascii="Arial" w:hAnsi="Arial" w:cs="Arial"/>
        </w:rPr>
        <w:t>from being excluded from</w:t>
      </w:r>
      <w:r w:rsidR="00A730B9">
        <w:rPr>
          <w:rFonts w:ascii="Arial" w:hAnsi="Arial" w:cs="Arial"/>
        </w:rPr>
        <w:t xml:space="preserve"> work</w:t>
      </w:r>
      <w:r w:rsidR="00D35D65">
        <w:rPr>
          <w:rFonts w:ascii="Arial" w:hAnsi="Arial" w:cs="Arial"/>
        </w:rPr>
        <w:t>ing</w:t>
      </w:r>
      <w:r w:rsidR="00A730B9">
        <w:rPr>
          <w:rFonts w:ascii="Arial" w:hAnsi="Arial" w:cs="Arial"/>
        </w:rPr>
        <w:t xml:space="preserve"> on the project, and </w:t>
      </w:r>
      <w:r w:rsidR="0099050C">
        <w:rPr>
          <w:rFonts w:ascii="Arial" w:hAnsi="Arial" w:cs="Arial"/>
        </w:rPr>
        <w:t xml:space="preserve">to </w:t>
      </w:r>
      <w:r w:rsidR="00A730B9">
        <w:rPr>
          <w:rFonts w:ascii="Arial" w:hAnsi="Arial" w:cs="Arial"/>
        </w:rPr>
        <w:t>enable fly-in fly-out workers to move into the</w:t>
      </w:r>
      <w:r w:rsidR="00D35D65">
        <w:rPr>
          <w:rFonts w:ascii="Arial" w:hAnsi="Arial" w:cs="Arial"/>
        </w:rPr>
        <w:t xml:space="preserve"> local community if they choose, </w:t>
      </w:r>
      <w:r w:rsidR="00A730B9">
        <w:rPr>
          <w:rFonts w:ascii="Arial" w:hAnsi="Arial" w:cs="Arial"/>
        </w:rPr>
        <w:t>without losing their jo</w:t>
      </w:r>
      <w:r w:rsidR="00086635">
        <w:rPr>
          <w:rFonts w:ascii="Arial" w:hAnsi="Arial" w:cs="Arial"/>
        </w:rPr>
        <w:t>b on the project</w:t>
      </w:r>
      <w:r w:rsidR="00A730B9">
        <w:rPr>
          <w:rFonts w:ascii="Arial" w:hAnsi="Arial" w:cs="Arial"/>
        </w:rPr>
        <w:t xml:space="preserve">. </w:t>
      </w:r>
    </w:p>
    <w:p w:rsidR="00C8485E" w:rsidRDefault="00F14BA8" w:rsidP="00C1095B">
      <w:pPr>
        <w:pStyle w:val="NormalWeb"/>
        <w:numPr>
          <w:ilvl w:val="0"/>
          <w:numId w:val="1"/>
        </w:numPr>
        <w:spacing w:before="120" w:beforeAutospacing="0" w:after="120" w:line="360" w:lineRule="auto"/>
        <w:ind w:left="567" w:hanging="567"/>
        <w:rPr>
          <w:rFonts w:ascii="Arial" w:hAnsi="Arial" w:cs="Arial"/>
        </w:rPr>
      </w:pPr>
      <w:r>
        <w:rPr>
          <w:rFonts w:ascii="Arial" w:hAnsi="Arial" w:cs="Arial"/>
        </w:rPr>
        <w:t>The Bill would introduce three new types of unlawful discri</w:t>
      </w:r>
      <w:bookmarkStart w:id="4" w:name="_GoBack"/>
      <w:bookmarkEnd w:id="4"/>
      <w:r>
        <w:rPr>
          <w:rFonts w:ascii="Arial" w:hAnsi="Arial" w:cs="Arial"/>
        </w:rPr>
        <w:t>mination:</w:t>
      </w:r>
    </w:p>
    <w:p w:rsidR="00F14BA8" w:rsidRDefault="0099050C" w:rsidP="00C1095B">
      <w:pPr>
        <w:pStyle w:val="NormalWeb"/>
        <w:numPr>
          <w:ilvl w:val="1"/>
          <w:numId w:val="1"/>
        </w:numPr>
        <w:spacing w:before="120" w:beforeAutospacing="0" w:after="120" w:line="360" w:lineRule="auto"/>
        <w:ind w:left="1418" w:hanging="567"/>
        <w:rPr>
          <w:rFonts w:ascii="Arial" w:hAnsi="Arial" w:cs="Arial"/>
        </w:rPr>
      </w:pPr>
      <w:r>
        <w:rPr>
          <w:rFonts w:ascii="Arial" w:hAnsi="Arial" w:cs="Arial"/>
        </w:rPr>
        <w:t>d</w:t>
      </w:r>
      <w:r w:rsidR="00F14BA8">
        <w:rPr>
          <w:rFonts w:ascii="Arial" w:hAnsi="Arial" w:cs="Arial"/>
        </w:rPr>
        <w:t>isadvantaging a local resident in a recruitment process;</w:t>
      </w:r>
    </w:p>
    <w:p w:rsidR="00F14BA8" w:rsidRDefault="0099050C" w:rsidP="00C1095B">
      <w:pPr>
        <w:pStyle w:val="NormalWeb"/>
        <w:numPr>
          <w:ilvl w:val="1"/>
          <w:numId w:val="1"/>
        </w:numPr>
        <w:spacing w:before="120" w:beforeAutospacing="0" w:after="120" w:line="360" w:lineRule="auto"/>
        <w:ind w:left="1418" w:hanging="567"/>
        <w:rPr>
          <w:rFonts w:ascii="Arial" w:hAnsi="Arial" w:cs="Arial"/>
        </w:rPr>
      </w:pPr>
      <w:r>
        <w:rPr>
          <w:rFonts w:ascii="Arial" w:hAnsi="Arial" w:cs="Arial"/>
        </w:rPr>
        <w:t>n</w:t>
      </w:r>
      <w:r w:rsidR="00F14BA8">
        <w:rPr>
          <w:rFonts w:ascii="Arial" w:hAnsi="Arial" w:cs="Arial"/>
        </w:rPr>
        <w:t xml:space="preserve">ot offering work </w:t>
      </w:r>
      <w:r w:rsidR="004945ED">
        <w:rPr>
          <w:rFonts w:ascii="Arial" w:hAnsi="Arial" w:cs="Arial"/>
        </w:rPr>
        <w:t xml:space="preserve">to </w:t>
      </w:r>
      <w:r w:rsidR="00F14BA8">
        <w:rPr>
          <w:rFonts w:ascii="Arial" w:hAnsi="Arial" w:cs="Arial"/>
        </w:rPr>
        <w:t>a person because the person is a local resident; and</w:t>
      </w:r>
    </w:p>
    <w:p w:rsidR="00F14BA8" w:rsidRDefault="0099050C" w:rsidP="00C1095B">
      <w:pPr>
        <w:pStyle w:val="NormalWeb"/>
        <w:numPr>
          <w:ilvl w:val="1"/>
          <w:numId w:val="1"/>
        </w:numPr>
        <w:spacing w:before="120" w:beforeAutospacing="0" w:after="240" w:line="360" w:lineRule="auto"/>
        <w:ind w:left="1418" w:hanging="567"/>
        <w:rPr>
          <w:rFonts w:ascii="Arial" w:hAnsi="Arial" w:cs="Arial"/>
        </w:rPr>
      </w:pPr>
      <w:r>
        <w:rPr>
          <w:rFonts w:ascii="Arial" w:hAnsi="Arial" w:cs="Arial"/>
        </w:rPr>
        <w:t>d</w:t>
      </w:r>
      <w:r w:rsidR="00F14BA8">
        <w:rPr>
          <w:rFonts w:ascii="Arial" w:hAnsi="Arial" w:cs="Arial"/>
        </w:rPr>
        <w:t xml:space="preserve">ismissing a worker because </w:t>
      </w:r>
      <w:r w:rsidR="004945ED">
        <w:rPr>
          <w:rFonts w:ascii="Arial" w:hAnsi="Arial" w:cs="Arial"/>
        </w:rPr>
        <w:t>the worker is or becomes a local resident and chooses to travel to the project other than as a fly-in fly-out worker.</w:t>
      </w:r>
    </w:p>
    <w:p w:rsidR="000D27CB" w:rsidRDefault="00191E4A" w:rsidP="00C1095B">
      <w:pPr>
        <w:pStyle w:val="NormalWeb"/>
        <w:numPr>
          <w:ilvl w:val="0"/>
          <w:numId w:val="1"/>
        </w:numPr>
        <w:spacing w:before="120" w:beforeAutospacing="0" w:after="240" w:line="360" w:lineRule="auto"/>
        <w:ind w:left="567" w:hanging="567"/>
        <w:rPr>
          <w:rFonts w:ascii="Arial" w:hAnsi="Arial" w:cs="Arial"/>
        </w:rPr>
      </w:pPr>
      <w:r>
        <w:rPr>
          <w:rFonts w:ascii="Arial" w:hAnsi="Arial" w:cs="Arial"/>
        </w:rPr>
        <w:t>It is expected that ‘disadvantage</w:t>
      </w:r>
      <w:r w:rsidR="00266D9E">
        <w:rPr>
          <w:rFonts w:ascii="Arial" w:hAnsi="Arial" w:cs="Arial"/>
        </w:rPr>
        <w:t>d</w:t>
      </w:r>
      <w:r>
        <w:rPr>
          <w:rFonts w:ascii="Arial" w:hAnsi="Arial" w:cs="Arial"/>
        </w:rPr>
        <w:t>’ in relation to a recruitment process, will take its ordinary meaning.</w:t>
      </w:r>
      <w:r w:rsidR="007612BB">
        <w:rPr>
          <w:rFonts w:ascii="Arial" w:hAnsi="Arial" w:cs="Arial"/>
        </w:rPr>
        <w:t xml:space="preserve">  </w:t>
      </w:r>
      <w:r w:rsidR="000D27CB">
        <w:rPr>
          <w:rFonts w:ascii="Arial" w:hAnsi="Arial" w:cs="Arial"/>
        </w:rPr>
        <w:t>The expression ‘disadvantage’ or ‘disadvantaging’ is used in some Australian jurisdictions in the definition of indirect discrimination, as an alternative to the proportionality test.</w:t>
      </w:r>
      <w:r w:rsidR="000D27CB">
        <w:rPr>
          <w:rStyle w:val="FootnoteReference"/>
          <w:rFonts w:ascii="Arial" w:hAnsi="Arial" w:cs="Arial"/>
        </w:rPr>
        <w:footnoteReference w:id="3"/>
      </w:r>
      <w:r w:rsidR="000D27CB">
        <w:rPr>
          <w:rFonts w:ascii="Arial" w:hAnsi="Arial" w:cs="Arial"/>
        </w:rPr>
        <w:t xml:space="preserve">  </w:t>
      </w:r>
    </w:p>
    <w:p w:rsidR="00191E4A" w:rsidRDefault="007612BB" w:rsidP="00C1095B">
      <w:pPr>
        <w:pStyle w:val="NormalWeb"/>
        <w:numPr>
          <w:ilvl w:val="0"/>
          <w:numId w:val="1"/>
        </w:numPr>
        <w:spacing w:before="120" w:beforeAutospacing="0" w:after="120" w:line="360" w:lineRule="auto"/>
        <w:ind w:left="567" w:hanging="567"/>
        <w:rPr>
          <w:rFonts w:ascii="Arial" w:hAnsi="Arial" w:cs="Arial"/>
        </w:rPr>
      </w:pPr>
      <w:r w:rsidRPr="00C1095B">
        <w:rPr>
          <w:rFonts w:ascii="Arial" w:hAnsi="Arial" w:cs="Arial"/>
          <w:color w:val="000000"/>
        </w:rPr>
        <w:t>The</w:t>
      </w:r>
      <w:r>
        <w:rPr>
          <w:rFonts w:ascii="Arial" w:hAnsi="Arial" w:cs="Arial"/>
        </w:rPr>
        <w:t xml:space="preserve"> Macquarie dictionary meaning of ‘disadvantage’ is:</w:t>
      </w:r>
    </w:p>
    <w:p w:rsidR="00BE56FD" w:rsidRPr="00BE56FD" w:rsidRDefault="00BE56FD" w:rsidP="00C1095B">
      <w:pPr>
        <w:shd w:val="clear" w:color="auto" w:fill="FFFFFF"/>
        <w:spacing w:line="240" w:lineRule="auto"/>
        <w:ind w:left="1134"/>
        <w:rPr>
          <w:rFonts w:eastAsia="Times New Roman" w:cs="Arial"/>
          <w:sz w:val="22"/>
          <w:lang w:eastAsia="en-AU"/>
        </w:rPr>
      </w:pPr>
      <w:r w:rsidRPr="00BE56FD">
        <w:rPr>
          <w:rFonts w:eastAsia="Times New Roman" w:cs="Arial"/>
          <w:i/>
          <w:iCs/>
          <w:sz w:val="22"/>
          <w:lang w:eastAsia="en-AU"/>
        </w:rPr>
        <w:t>noun</w:t>
      </w:r>
      <w:r w:rsidRPr="00BE56FD">
        <w:rPr>
          <w:rFonts w:eastAsia="Times New Roman" w:cs="Arial"/>
          <w:sz w:val="22"/>
          <w:lang w:eastAsia="en-AU"/>
        </w:rPr>
        <w:t xml:space="preserve"> </w:t>
      </w:r>
      <w:r w:rsidRPr="00BE56FD">
        <w:rPr>
          <w:rFonts w:eastAsia="Times New Roman" w:cs="Arial"/>
          <w:b/>
          <w:bCs/>
          <w:sz w:val="22"/>
          <w:lang w:eastAsia="en-AU"/>
        </w:rPr>
        <w:t>1. </w:t>
      </w:r>
      <w:r w:rsidRPr="00BE56FD">
        <w:rPr>
          <w:rFonts w:eastAsia="Times New Roman" w:cs="Arial"/>
          <w:sz w:val="22"/>
          <w:lang w:eastAsia="en-AU"/>
        </w:rPr>
        <w:t xml:space="preserve"> absence or deprivation of advantage; any unfavourable circumstance or condition.</w:t>
      </w:r>
    </w:p>
    <w:p w:rsidR="00BE56FD" w:rsidRPr="00BE56FD" w:rsidRDefault="00BE56FD" w:rsidP="00C1095B">
      <w:pPr>
        <w:shd w:val="clear" w:color="auto" w:fill="FFFFFF"/>
        <w:spacing w:line="240" w:lineRule="auto"/>
        <w:ind w:left="1134"/>
        <w:rPr>
          <w:rFonts w:eastAsia="Times New Roman" w:cs="Arial"/>
          <w:sz w:val="22"/>
          <w:lang w:eastAsia="en-AU"/>
        </w:rPr>
      </w:pPr>
      <w:r w:rsidRPr="00BE56FD">
        <w:rPr>
          <w:rFonts w:eastAsia="Times New Roman" w:cs="Arial"/>
          <w:b/>
          <w:bCs/>
          <w:sz w:val="22"/>
          <w:lang w:eastAsia="en-AU"/>
        </w:rPr>
        <w:t>2. </w:t>
      </w:r>
      <w:r w:rsidRPr="00BE56FD">
        <w:rPr>
          <w:rFonts w:eastAsia="Times New Roman" w:cs="Arial"/>
          <w:sz w:val="22"/>
          <w:lang w:eastAsia="en-AU"/>
        </w:rPr>
        <w:t xml:space="preserve"> injury to interest, reputation, credit, profit, etc.; loss. –</w:t>
      </w:r>
      <w:r w:rsidRPr="00BE56FD">
        <w:rPr>
          <w:rFonts w:eastAsia="Times New Roman" w:cs="Arial"/>
          <w:i/>
          <w:iCs/>
          <w:sz w:val="22"/>
          <w:lang w:eastAsia="en-AU"/>
        </w:rPr>
        <w:t>verb</w:t>
      </w:r>
      <w:r w:rsidRPr="00BE56FD">
        <w:rPr>
          <w:rFonts w:eastAsia="Times New Roman" w:cs="Arial"/>
          <w:sz w:val="22"/>
          <w:lang w:eastAsia="en-AU"/>
        </w:rPr>
        <w:t xml:space="preserve"> (</w:t>
      </w:r>
      <w:r w:rsidRPr="00BE56FD">
        <w:rPr>
          <w:rFonts w:eastAsia="Times New Roman" w:cs="Arial"/>
          <w:i/>
          <w:iCs/>
          <w:sz w:val="22"/>
          <w:lang w:eastAsia="en-AU"/>
        </w:rPr>
        <w:t>t</w:t>
      </w:r>
      <w:r w:rsidRPr="00BE56FD">
        <w:rPr>
          <w:rFonts w:eastAsia="Times New Roman" w:cs="Arial"/>
          <w:sz w:val="22"/>
          <w:lang w:eastAsia="en-AU"/>
        </w:rPr>
        <w:t>) (</w:t>
      </w:r>
      <w:r w:rsidRPr="00BE56FD">
        <w:rPr>
          <w:rFonts w:eastAsia="Times New Roman" w:cs="Arial"/>
          <w:b/>
          <w:bCs/>
          <w:sz w:val="22"/>
          <w:lang w:eastAsia="en-AU"/>
        </w:rPr>
        <w:t>disadvantaged</w:t>
      </w:r>
      <w:r w:rsidRPr="00BE56FD">
        <w:rPr>
          <w:rFonts w:eastAsia="Times New Roman" w:cs="Arial"/>
          <w:sz w:val="22"/>
          <w:lang w:eastAsia="en-AU"/>
        </w:rPr>
        <w:t xml:space="preserve">, </w:t>
      </w:r>
      <w:r w:rsidRPr="00BE56FD">
        <w:rPr>
          <w:rFonts w:eastAsia="Times New Roman" w:cs="Arial"/>
          <w:b/>
          <w:bCs/>
          <w:sz w:val="22"/>
          <w:lang w:eastAsia="en-AU"/>
        </w:rPr>
        <w:t>disadvantaging</w:t>
      </w:r>
      <w:r w:rsidRPr="00BE56FD">
        <w:rPr>
          <w:rFonts w:eastAsia="Times New Roman" w:cs="Arial"/>
          <w:sz w:val="22"/>
          <w:lang w:eastAsia="en-AU"/>
        </w:rPr>
        <w:t>)</w:t>
      </w:r>
    </w:p>
    <w:p w:rsidR="007612BB" w:rsidRPr="00BE56FD" w:rsidRDefault="00BE56FD" w:rsidP="00C1095B">
      <w:pPr>
        <w:pStyle w:val="NormalWeb"/>
        <w:spacing w:before="120" w:beforeAutospacing="0" w:after="240"/>
        <w:ind w:left="1134" w:right="799"/>
        <w:rPr>
          <w:rFonts w:ascii="Arial" w:hAnsi="Arial" w:cs="Arial"/>
          <w:sz w:val="22"/>
          <w:szCs w:val="22"/>
        </w:rPr>
      </w:pPr>
      <w:r w:rsidRPr="00BE56FD">
        <w:rPr>
          <w:rFonts w:ascii="Arial" w:hAnsi="Arial" w:cs="Arial"/>
          <w:b/>
          <w:bCs/>
          <w:sz w:val="22"/>
          <w:szCs w:val="22"/>
        </w:rPr>
        <w:t>3. </w:t>
      </w:r>
      <w:r w:rsidRPr="00BE56FD">
        <w:rPr>
          <w:rFonts w:ascii="Arial" w:hAnsi="Arial" w:cs="Arial"/>
          <w:sz w:val="22"/>
          <w:szCs w:val="22"/>
        </w:rPr>
        <w:t xml:space="preserve"> to subject to disadvantage</w:t>
      </w:r>
    </w:p>
    <w:p w:rsidR="00F14BA8" w:rsidRDefault="00E84132" w:rsidP="00C1095B">
      <w:pPr>
        <w:pStyle w:val="NormalWeb"/>
        <w:numPr>
          <w:ilvl w:val="0"/>
          <w:numId w:val="1"/>
        </w:numPr>
        <w:spacing w:before="120" w:beforeAutospacing="0" w:after="240" w:line="360" w:lineRule="auto"/>
        <w:ind w:left="567" w:hanging="567"/>
        <w:rPr>
          <w:rFonts w:ascii="Arial" w:hAnsi="Arial" w:cs="Arial"/>
        </w:rPr>
      </w:pPr>
      <w:r>
        <w:rPr>
          <w:rFonts w:ascii="Arial" w:hAnsi="Arial" w:cs="Arial"/>
        </w:rPr>
        <w:t xml:space="preserve">The three new types of unlawful discrimination are different to the types of discrimination currently prohibited under the </w:t>
      </w:r>
      <w:r w:rsidRPr="004502CD">
        <w:rPr>
          <w:rFonts w:ascii="Arial" w:hAnsi="Arial" w:cs="Arial"/>
          <w:i/>
        </w:rPr>
        <w:t>Anti-Discrimination Act</w:t>
      </w:r>
      <w:r>
        <w:rPr>
          <w:rFonts w:ascii="Arial" w:hAnsi="Arial" w:cs="Arial"/>
        </w:rPr>
        <w:t xml:space="preserve">, and to the scheme and framework of discrimination under the </w:t>
      </w:r>
      <w:r w:rsidRPr="004502CD">
        <w:rPr>
          <w:rFonts w:ascii="Arial" w:hAnsi="Arial" w:cs="Arial"/>
          <w:i/>
        </w:rPr>
        <w:t>Anti-Discrimination Act</w:t>
      </w:r>
      <w:r>
        <w:rPr>
          <w:rFonts w:ascii="Arial" w:hAnsi="Arial" w:cs="Arial"/>
        </w:rPr>
        <w:t xml:space="preserve">.  The scheme and framework of discrimination under the </w:t>
      </w:r>
      <w:r w:rsidRPr="004502CD">
        <w:rPr>
          <w:rFonts w:ascii="Arial" w:hAnsi="Arial" w:cs="Arial"/>
          <w:i/>
        </w:rPr>
        <w:t>Anti-Discrimination Act</w:t>
      </w:r>
      <w:r>
        <w:rPr>
          <w:rFonts w:ascii="Arial" w:hAnsi="Arial" w:cs="Arial"/>
        </w:rPr>
        <w:t xml:space="preserve"> is to prescribe specific grounds </w:t>
      </w:r>
      <w:r w:rsidR="004502CD">
        <w:rPr>
          <w:rFonts w:ascii="Arial" w:hAnsi="Arial" w:cs="Arial"/>
        </w:rPr>
        <w:t xml:space="preserve">(attributes) </w:t>
      </w:r>
      <w:r>
        <w:rPr>
          <w:rFonts w:ascii="Arial" w:hAnsi="Arial" w:cs="Arial"/>
        </w:rPr>
        <w:t>upon which discrimination is prohibited in specified areas of activity, with some exemptions for most of those areas, and general exemptions that apply to all areas.</w:t>
      </w:r>
      <w:r w:rsidR="004502CD">
        <w:rPr>
          <w:rStyle w:val="FootnoteReference"/>
          <w:rFonts w:ascii="Arial" w:hAnsi="Arial" w:cs="Arial"/>
        </w:rPr>
        <w:footnoteReference w:id="4"/>
      </w:r>
      <w:r w:rsidR="004502CD">
        <w:rPr>
          <w:rFonts w:ascii="Arial" w:hAnsi="Arial" w:cs="Arial"/>
        </w:rPr>
        <w:t xml:space="preserve">  The </w:t>
      </w:r>
      <w:r w:rsidR="004502CD" w:rsidRPr="004502CD">
        <w:rPr>
          <w:rFonts w:ascii="Arial" w:hAnsi="Arial" w:cs="Arial"/>
          <w:i/>
        </w:rPr>
        <w:t>Anti-Discrimination Act</w:t>
      </w:r>
      <w:r w:rsidR="004502CD">
        <w:rPr>
          <w:rFonts w:ascii="Arial" w:hAnsi="Arial" w:cs="Arial"/>
        </w:rPr>
        <w:t xml:space="preserve"> prohibits both direct discrimination and indirect discrimination, which are defined in sections 10 and 11 respectively.</w:t>
      </w:r>
    </w:p>
    <w:p w:rsidR="000A50DA" w:rsidRDefault="00480D07" w:rsidP="00C1095B">
      <w:pPr>
        <w:pStyle w:val="NormalWeb"/>
        <w:numPr>
          <w:ilvl w:val="0"/>
          <w:numId w:val="1"/>
        </w:numPr>
        <w:spacing w:before="120" w:beforeAutospacing="0" w:after="240" w:line="360" w:lineRule="auto"/>
        <w:ind w:left="567" w:hanging="567"/>
        <w:rPr>
          <w:rFonts w:ascii="Arial" w:hAnsi="Arial" w:cs="Arial"/>
        </w:rPr>
      </w:pPr>
      <w:r>
        <w:rPr>
          <w:rFonts w:ascii="Arial" w:hAnsi="Arial" w:cs="Arial"/>
        </w:rPr>
        <w:t xml:space="preserve">As the discrimination against </w:t>
      </w:r>
      <w:r w:rsidR="00AE6989">
        <w:rPr>
          <w:rFonts w:ascii="Arial" w:hAnsi="Arial" w:cs="Arial"/>
        </w:rPr>
        <w:t xml:space="preserve">local </w:t>
      </w:r>
      <w:r>
        <w:rPr>
          <w:rFonts w:ascii="Arial" w:hAnsi="Arial" w:cs="Arial"/>
        </w:rPr>
        <w:t xml:space="preserve">residents provided for in the Bill is unique, it will be provided for in a separate chapter of the </w:t>
      </w:r>
      <w:r w:rsidRPr="00480D07">
        <w:rPr>
          <w:rFonts w:ascii="Arial" w:hAnsi="Arial" w:cs="Arial"/>
          <w:i/>
        </w:rPr>
        <w:t>Anti-Discrimination Act</w:t>
      </w:r>
      <w:r>
        <w:rPr>
          <w:rFonts w:ascii="Arial" w:hAnsi="Arial" w:cs="Arial"/>
        </w:rPr>
        <w:t xml:space="preserve"> – chapter 5B.   To avoid confusion, sections 10 and 11 are expressly excluded</w:t>
      </w:r>
      <w:r w:rsidR="000A50DA">
        <w:rPr>
          <w:rFonts w:ascii="Arial" w:hAnsi="Arial" w:cs="Arial"/>
        </w:rPr>
        <w:t>.</w:t>
      </w:r>
    </w:p>
    <w:p w:rsidR="001F6698" w:rsidRDefault="001F6698" w:rsidP="00C1095B">
      <w:pPr>
        <w:pStyle w:val="NormalWeb"/>
        <w:numPr>
          <w:ilvl w:val="0"/>
          <w:numId w:val="1"/>
        </w:numPr>
        <w:spacing w:before="120" w:beforeAutospacing="0" w:after="240" w:line="360" w:lineRule="auto"/>
        <w:ind w:left="567" w:hanging="567"/>
        <w:rPr>
          <w:rFonts w:ascii="Arial" w:hAnsi="Arial" w:cs="Arial"/>
        </w:rPr>
      </w:pPr>
      <w:r>
        <w:rPr>
          <w:rFonts w:ascii="Arial" w:hAnsi="Arial" w:cs="Arial"/>
        </w:rPr>
        <w:t>The prohibition on asking for information upon which discrimination might be based</w:t>
      </w:r>
      <w:r>
        <w:rPr>
          <w:rStyle w:val="FootnoteReference"/>
          <w:rFonts w:ascii="Arial" w:hAnsi="Arial" w:cs="Arial"/>
        </w:rPr>
        <w:footnoteReference w:id="5"/>
      </w:r>
      <w:r>
        <w:rPr>
          <w:rFonts w:ascii="Arial" w:hAnsi="Arial" w:cs="Arial"/>
        </w:rPr>
        <w:t xml:space="preserve"> will also be expressly excluded from chapter 5B.  </w:t>
      </w:r>
      <w:r w:rsidR="0085798F">
        <w:rPr>
          <w:rFonts w:ascii="Arial" w:hAnsi="Arial" w:cs="Arial"/>
        </w:rPr>
        <w:t>This is because a</w:t>
      </w:r>
      <w:r w:rsidR="005907B5">
        <w:rPr>
          <w:rFonts w:ascii="Arial" w:hAnsi="Arial" w:cs="Arial"/>
        </w:rPr>
        <w:t>n owner, or its agents, may need to enquire where a worker or job applicant resides, in order to comply with the requirement in clause 6 of the Bill not to employ a workforce for the operational phase of the project that comprises 100% fly-in fly-out workers, and the offence provision in clause 8 of the Bill.</w:t>
      </w:r>
    </w:p>
    <w:p w:rsidR="00AE6989" w:rsidRPr="00AE6989" w:rsidRDefault="00AE6989" w:rsidP="00AE6989">
      <w:pPr>
        <w:pStyle w:val="Heading1"/>
        <w:keepLines/>
        <w:spacing w:before="360" w:after="0"/>
        <w:rPr>
          <w:rFonts w:eastAsiaTheme="majorEastAsia" w:cstheme="majorBidi"/>
          <w:bCs/>
          <w:color w:val="365F91" w:themeColor="accent1" w:themeShade="BF"/>
          <w:sz w:val="28"/>
          <w:szCs w:val="28"/>
          <w:lang w:val="en-AU"/>
        </w:rPr>
      </w:pPr>
      <w:bookmarkStart w:id="5" w:name="_Toc342744126"/>
      <w:r w:rsidRPr="00AE6989">
        <w:rPr>
          <w:rFonts w:eastAsiaTheme="majorEastAsia" w:cstheme="majorBidi"/>
          <w:bCs/>
          <w:color w:val="365F91" w:themeColor="accent1" w:themeShade="BF"/>
          <w:sz w:val="28"/>
          <w:szCs w:val="28"/>
          <w:lang w:val="en-AU"/>
        </w:rPr>
        <w:t>Liability</w:t>
      </w:r>
      <w:bookmarkEnd w:id="5"/>
    </w:p>
    <w:p w:rsidR="004502CD" w:rsidRDefault="000A50DA" w:rsidP="00C1095B">
      <w:pPr>
        <w:pStyle w:val="NormalWeb"/>
        <w:numPr>
          <w:ilvl w:val="0"/>
          <w:numId w:val="1"/>
        </w:numPr>
        <w:spacing w:before="120" w:beforeAutospacing="0" w:after="240" w:line="360" w:lineRule="auto"/>
        <w:ind w:left="567" w:hanging="567"/>
        <w:rPr>
          <w:rFonts w:ascii="Arial" w:hAnsi="Arial" w:cs="Arial"/>
        </w:rPr>
      </w:pPr>
      <w:r>
        <w:rPr>
          <w:rFonts w:ascii="Arial" w:hAnsi="Arial" w:cs="Arial"/>
        </w:rPr>
        <w:t>The prohibitions in chapter 5B will apply to owner</w:t>
      </w:r>
      <w:r w:rsidR="0099050C">
        <w:rPr>
          <w:rFonts w:ascii="Arial" w:hAnsi="Arial" w:cs="Arial"/>
        </w:rPr>
        <w:t>s</w:t>
      </w:r>
      <w:r>
        <w:rPr>
          <w:rFonts w:ascii="Arial" w:hAnsi="Arial" w:cs="Arial"/>
        </w:rPr>
        <w:t xml:space="preserve"> of large resource project</w:t>
      </w:r>
      <w:r w:rsidR="0099050C">
        <w:rPr>
          <w:rFonts w:ascii="Arial" w:hAnsi="Arial" w:cs="Arial"/>
        </w:rPr>
        <w:t>s</w:t>
      </w:r>
      <w:r>
        <w:rPr>
          <w:rFonts w:ascii="Arial" w:hAnsi="Arial" w:cs="Arial"/>
        </w:rPr>
        <w:t>, and if there is a principal contractor</w:t>
      </w:r>
      <w:r w:rsidR="0099050C">
        <w:rPr>
          <w:rFonts w:ascii="Arial" w:hAnsi="Arial" w:cs="Arial"/>
        </w:rPr>
        <w:t xml:space="preserve"> for the project</w:t>
      </w:r>
      <w:r>
        <w:rPr>
          <w:rFonts w:ascii="Arial" w:hAnsi="Arial" w:cs="Arial"/>
        </w:rPr>
        <w:t xml:space="preserve">, to the principal contractor.  The owner is </w:t>
      </w:r>
      <w:r w:rsidR="003604A2">
        <w:rPr>
          <w:rFonts w:ascii="Arial" w:hAnsi="Arial" w:cs="Arial"/>
        </w:rPr>
        <w:t>responsible for discrimination by a related body corporate or an agent of either of them, and a principal contractor is responsible for discrimination by a related body corporate or an agent of either of them.  Where a principal</w:t>
      </w:r>
      <w:r w:rsidR="00480D07">
        <w:rPr>
          <w:rFonts w:ascii="Arial" w:hAnsi="Arial" w:cs="Arial"/>
        </w:rPr>
        <w:t xml:space="preserve"> </w:t>
      </w:r>
      <w:r w:rsidR="003604A2">
        <w:rPr>
          <w:rFonts w:ascii="Arial" w:hAnsi="Arial" w:cs="Arial"/>
        </w:rPr>
        <w:t>contractor is taken to have discriminated, the owner and principal contractor are jointly and severally liable.  This means that a complaint can be made against an owner, and/or a principal contractor, including where a related body corporate or agent does the discrimination.</w:t>
      </w:r>
    </w:p>
    <w:p w:rsidR="003604A2" w:rsidRDefault="003604A2" w:rsidP="0099050C">
      <w:pPr>
        <w:pStyle w:val="NormalWeb"/>
        <w:numPr>
          <w:ilvl w:val="0"/>
          <w:numId w:val="1"/>
        </w:numPr>
        <w:spacing w:before="120" w:beforeAutospacing="0" w:after="120" w:line="360" w:lineRule="auto"/>
        <w:ind w:left="567" w:hanging="567"/>
        <w:rPr>
          <w:rFonts w:ascii="Arial" w:hAnsi="Arial" w:cs="Arial"/>
        </w:rPr>
      </w:pPr>
      <w:r>
        <w:rPr>
          <w:rFonts w:ascii="Arial" w:hAnsi="Arial" w:cs="Arial"/>
        </w:rPr>
        <w:t xml:space="preserve">The definition of ‘agent’ in the </w:t>
      </w:r>
      <w:r w:rsidRPr="003604A2">
        <w:rPr>
          <w:rFonts w:ascii="Arial" w:hAnsi="Arial" w:cs="Arial"/>
          <w:i/>
        </w:rPr>
        <w:t>Anti-Discrimination Act</w:t>
      </w:r>
      <w:r>
        <w:rPr>
          <w:rFonts w:ascii="Arial" w:hAnsi="Arial" w:cs="Arial"/>
        </w:rPr>
        <w:t xml:space="preserve"> will apply to the provisions for liability in the proposed new section 131C.</w:t>
      </w:r>
      <w:r w:rsidR="00AE6989">
        <w:rPr>
          <w:rFonts w:ascii="Arial" w:hAnsi="Arial" w:cs="Arial"/>
        </w:rPr>
        <w:t xml:space="preserve">  ‘Agent’ is defined as follows:</w:t>
      </w:r>
    </w:p>
    <w:p w:rsidR="00AE6989" w:rsidRPr="00AE6989" w:rsidRDefault="00AE6989" w:rsidP="0099050C">
      <w:pPr>
        <w:widowControl w:val="0"/>
        <w:autoSpaceDE w:val="0"/>
        <w:autoSpaceDN w:val="0"/>
        <w:adjustRightInd w:val="0"/>
        <w:spacing w:after="240" w:line="240" w:lineRule="auto"/>
        <w:ind w:left="1134" w:right="799"/>
        <w:rPr>
          <w:rFonts w:eastAsia="Times New Roman" w:cs="Arial"/>
          <w:sz w:val="22"/>
          <w:lang w:val="en-US" w:eastAsia="en-AU"/>
        </w:rPr>
      </w:pPr>
      <w:r w:rsidRPr="00AE6989">
        <w:rPr>
          <w:rFonts w:eastAsia="Times New Roman" w:cs="Arial"/>
          <w:b/>
          <w:bCs/>
          <w:i/>
          <w:iCs/>
          <w:sz w:val="22"/>
          <w:lang w:val="en-US" w:eastAsia="en-AU"/>
        </w:rPr>
        <w:t xml:space="preserve">agent </w:t>
      </w:r>
      <w:r w:rsidRPr="00AE6989">
        <w:rPr>
          <w:rFonts w:eastAsia="Times New Roman" w:cs="Arial"/>
          <w:sz w:val="22"/>
          <w:lang w:val="en-US" w:eastAsia="en-AU"/>
        </w:rPr>
        <w:t>means a person who has actual, implied or ostensible authority to act on behalf of another.</w:t>
      </w:r>
    </w:p>
    <w:p w:rsidR="00AE6989" w:rsidRDefault="00AE6989" w:rsidP="00C1095B">
      <w:pPr>
        <w:pStyle w:val="NormalWeb"/>
        <w:numPr>
          <w:ilvl w:val="0"/>
          <w:numId w:val="1"/>
        </w:numPr>
        <w:spacing w:before="120" w:beforeAutospacing="0" w:after="240" w:line="360" w:lineRule="auto"/>
        <w:ind w:left="567" w:hanging="567"/>
        <w:rPr>
          <w:rFonts w:ascii="Arial" w:hAnsi="Arial" w:cs="Arial"/>
        </w:rPr>
      </w:pPr>
      <w:r>
        <w:rPr>
          <w:rFonts w:ascii="Arial" w:hAnsi="Arial" w:cs="Arial"/>
        </w:rPr>
        <w:t xml:space="preserve">As the liability provisions are different to the vicarious liability provided for in section 133 of the </w:t>
      </w:r>
      <w:r w:rsidRPr="00AE6989">
        <w:rPr>
          <w:rFonts w:ascii="Arial" w:hAnsi="Arial" w:cs="Arial"/>
          <w:i/>
        </w:rPr>
        <w:t>Anti-Discrimination Act</w:t>
      </w:r>
      <w:r>
        <w:rPr>
          <w:rFonts w:ascii="Arial" w:hAnsi="Arial" w:cs="Arial"/>
        </w:rPr>
        <w:t>, section 133 is expressly excluded from applying to chapter 5B.</w:t>
      </w:r>
    </w:p>
    <w:p w:rsidR="002D1735" w:rsidRPr="002D1735" w:rsidRDefault="003419F4" w:rsidP="002D1735">
      <w:pPr>
        <w:pStyle w:val="Heading1"/>
        <w:keepLines/>
        <w:spacing w:before="360" w:after="0"/>
        <w:rPr>
          <w:rFonts w:eastAsiaTheme="majorEastAsia" w:cstheme="majorBidi"/>
          <w:bCs/>
          <w:color w:val="365F91" w:themeColor="accent1" w:themeShade="BF"/>
          <w:sz w:val="28"/>
          <w:szCs w:val="28"/>
          <w:lang w:val="en-AU"/>
        </w:rPr>
      </w:pPr>
      <w:bookmarkStart w:id="6" w:name="_Toc342744127"/>
      <w:r>
        <w:rPr>
          <w:rFonts w:eastAsiaTheme="majorEastAsia" w:cstheme="majorBidi"/>
          <w:bCs/>
          <w:color w:val="365F91" w:themeColor="accent1" w:themeShade="BF"/>
          <w:sz w:val="28"/>
          <w:szCs w:val="28"/>
          <w:lang w:val="en-AU"/>
        </w:rPr>
        <w:t>Presumed</w:t>
      </w:r>
      <w:r w:rsidR="002D1735" w:rsidRPr="002D1735">
        <w:rPr>
          <w:rFonts w:eastAsiaTheme="majorEastAsia" w:cstheme="majorBidi"/>
          <w:bCs/>
          <w:color w:val="365F91" w:themeColor="accent1" w:themeShade="BF"/>
          <w:sz w:val="28"/>
          <w:szCs w:val="28"/>
          <w:lang w:val="en-AU"/>
        </w:rPr>
        <w:t xml:space="preserve"> reason</w:t>
      </w:r>
      <w:bookmarkEnd w:id="6"/>
    </w:p>
    <w:p w:rsidR="002D1735" w:rsidRDefault="0085798F" w:rsidP="00C1095B">
      <w:pPr>
        <w:pStyle w:val="NormalWeb"/>
        <w:numPr>
          <w:ilvl w:val="0"/>
          <w:numId w:val="1"/>
        </w:numPr>
        <w:spacing w:before="120" w:beforeAutospacing="0" w:after="240" w:line="360" w:lineRule="auto"/>
        <w:ind w:left="567" w:hanging="567"/>
        <w:rPr>
          <w:rFonts w:ascii="Arial" w:hAnsi="Arial" w:cs="Arial"/>
        </w:rPr>
      </w:pPr>
      <w:r>
        <w:rPr>
          <w:rFonts w:ascii="Arial" w:hAnsi="Arial" w:cs="Arial"/>
        </w:rPr>
        <w:t xml:space="preserve">The three types of </w:t>
      </w:r>
      <w:r w:rsidR="00C04659">
        <w:rPr>
          <w:rFonts w:ascii="Arial" w:hAnsi="Arial" w:cs="Arial"/>
        </w:rPr>
        <w:t xml:space="preserve">discrimination provided for in the Bill </w:t>
      </w:r>
      <w:r>
        <w:rPr>
          <w:rFonts w:ascii="Arial" w:hAnsi="Arial" w:cs="Arial"/>
        </w:rPr>
        <w:t xml:space="preserve">all arise </w:t>
      </w:r>
      <w:r w:rsidRPr="0085798F">
        <w:rPr>
          <w:rFonts w:ascii="Arial" w:hAnsi="Arial" w:cs="Arial"/>
          <w:b/>
        </w:rPr>
        <w:t>because</w:t>
      </w:r>
      <w:r>
        <w:rPr>
          <w:rFonts w:ascii="Arial" w:hAnsi="Arial" w:cs="Arial"/>
        </w:rPr>
        <w:t xml:space="preserve"> the</w:t>
      </w:r>
      <w:r w:rsidR="00C04659">
        <w:rPr>
          <w:rFonts w:ascii="Arial" w:hAnsi="Arial" w:cs="Arial"/>
        </w:rPr>
        <w:t xml:space="preserve"> person </w:t>
      </w:r>
      <w:r>
        <w:rPr>
          <w:rFonts w:ascii="Arial" w:hAnsi="Arial" w:cs="Arial"/>
        </w:rPr>
        <w:t>is</w:t>
      </w:r>
      <w:r w:rsidR="00C04659">
        <w:rPr>
          <w:rFonts w:ascii="Arial" w:hAnsi="Arial" w:cs="Arial"/>
        </w:rPr>
        <w:t xml:space="preserve"> a local resident, or in the case of a worker, becoming a local resident.</w:t>
      </w:r>
      <w:r w:rsidR="00542057">
        <w:rPr>
          <w:rFonts w:ascii="Arial" w:hAnsi="Arial" w:cs="Arial"/>
        </w:rPr>
        <w:t xml:space="preserve">  This goes to the reason for the disadvantage or conduct.</w:t>
      </w:r>
    </w:p>
    <w:p w:rsidR="002A433C" w:rsidRPr="000811AC" w:rsidRDefault="002A433C" w:rsidP="00C1095B">
      <w:pPr>
        <w:pStyle w:val="NormalWeb"/>
        <w:numPr>
          <w:ilvl w:val="0"/>
          <w:numId w:val="1"/>
        </w:numPr>
        <w:spacing w:before="120" w:beforeAutospacing="0" w:after="240" w:line="360" w:lineRule="auto"/>
        <w:ind w:left="567" w:hanging="567"/>
        <w:rPr>
          <w:rFonts w:ascii="Arial" w:hAnsi="Arial" w:cs="Arial"/>
        </w:rPr>
      </w:pPr>
      <w:r>
        <w:rPr>
          <w:rFonts w:ascii="Arial" w:hAnsi="Arial" w:cs="Arial"/>
        </w:rPr>
        <w:t>For a claim of disadvantage in a recruitment process because of being a local resident, the nexus between the disadvantage and being a local resident should be apparent on the facts.  For example</w:t>
      </w:r>
      <w:r w:rsidR="0099050C">
        <w:rPr>
          <w:rFonts w:ascii="Arial" w:hAnsi="Arial" w:cs="Arial"/>
        </w:rPr>
        <w:t>:</w:t>
      </w:r>
      <w:r>
        <w:rPr>
          <w:rFonts w:ascii="Arial" w:hAnsi="Arial" w:cs="Arial"/>
        </w:rPr>
        <w:t xml:space="preserve"> an advertisement that limits applications to residents of a nominated city, </w:t>
      </w:r>
      <w:r w:rsidR="0099050C">
        <w:rPr>
          <w:rFonts w:ascii="Arial" w:hAnsi="Arial" w:cs="Arial"/>
        </w:rPr>
        <w:t xml:space="preserve">or </w:t>
      </w:r>
      <w:r>
        <w:rPr>
          <w:rFonts w:ascii="Arial" w:hAnsi="Arial" w:cs="Arial"/>
        </w:rPr>
        <w:t xml:space="preserve">a requirement to travel at the applicant’s expense </w:t>
      </w:r>
      <w:r w:rsidR="000811AC">
        <w:rPr>
          <w:rFonts w:ascii="Arial" w:hAnsi="Arial" w:cs="Arial"/>
        </w:rPr>
        <w:t xml:space="preserve">for interview to nominated city.  </w:t>
      </w:r>
      <w:r w:rsidR="000811AC" w:rsidRPr="000811AC">
        <w:rPr>
          <w:rFonts w:ascii="Arial" w:hAnsi="Arial" w:cs="Arial"/>
        </w:rPr>
        <w:t xml:space="preserve">If applications have to be uploaded to a website, and the area doesn’t have adequate </w:t>
      </w:r>
      <w:r w:rsidR="0099050C">
        <w:rPr>
          <w:rFonts w:ascii="Arial" w:hAnsi="Arial" w:cs="Arial"/>
        </w:rPr>
        <w:t xml:space="preserve">internet </w:t>
      </w:r>
      <w:r w:rsidR="000811AC" w:rsidRPr="000811AC">
        <w:rPr>
          <w:rFonts w:ascii="Arial" w:hAnsi="Arial" w:cs="Arial"/>
        </w:rPr>
        <w:t xml:space="preserve">coverage, that might be a disadvantage.  If interviews are conducted by </w:t>
      </w:r>
      <w:r w:rsidR="00B505CC" w:rsidRPr="000811AC">
        <w:rPr>
          <w:rFonts w:ascii="Arial" w:hAnsi="Arial" w:cs="Arial"/>
        </w:rPr>
        <w:t>videoconference</w:t>
      </w:r>
      <w:r w:rsidR="000811AC" w:rsidRPr="000811AC">
        <w:rPr>
          <w:rFonts w:ascii="Arial" w:hAnsi="Arial" w:cs="Arial"/>
        </w:rPr>
        <w:t xml:space="preserve"> and there are no </w:t>
      </w:r>
      <w:r w:rsidR="00B505CC" w:rsidRPr="000811AC">
        <w:rPr>
          <w:rFonts w:ascii="Arial" w:hAnsi="Arial" w:cs="Arial"/>
        </w:rPr>
        <w:t>videoconference</w:t>
      </w:r>
      <w:r w:rsidR="000811AC" w:rsidRPr="000811AC">
        <w:rPr>
          <w:rFonts w:ascii="Arial" w:hAnsi="Arial" w:cs="Arial"/>
        </w:rPr>
        <w:t xml:space="preserve"> facilities in the area, that might be a disadvantage.</w:t>
      </w:r>
    </w:p>
    <w:p w:rsidR="00542057" w:rsidRDefault="00542057" w:rsidP="00C1095B">
      <w:pPr>
        <w:pStyle w:val="NormalWeb"/>
        <w:numPr>
          <w:ilvl w:val="0"/>
          <w:numId w:val="1"/>
        </w:numPr>
        <w:spacing w:before="120" w:beforeAutospacing="0" w:after="240" w:line="360" w:lineRule="auto"/>
        <w:ind w:left="567" w:hanging="567"/>
        <w:rPr>
          <w:rFonts w:ascii="Arial" w:hAnsi="Arial" w:cs="Arial"/>
        </w:rPr>
      </w:pPr>
      <w:r>
        <w:rPr>
          <w:rFonts w:ascii="Arial" w:hAnsi="Arial" w:cs="Arial"/>
        </w:rPr>
        <w:t>However, it is more difficult to demonstrate a nexus between not being offered work and being a local resident, and between being dismissed because of being or becoming a local resident and not wanting to fly-in and fly-out.</w:t>
      </w:r>
      <w:r w:rsidR="000811AC">
        <w:rPr>
          <w:rFonts w:ascii="Arial" w:hAnsi="Arial" w:cs="Arial"/>
        </w:rPr>
        <w:t xml:space="preserve">  The reason for not offering work or dismissing a worker is in the mind of the person making the decision.  Unless there is some evidence to link </w:t>
      </w:r>
      <w:r w:rsidR="00B505CC">
        <w:rPr>
          <w:rFonts w:ascii="Arial" w:hAnsi="Arial" w:cs="Arial"/>
        </w:rPr>
        <w:t>the conduct to the person’s residency, the claim will fail.</w:t>
      </w:r>
    </w:p>
    <w:p w:rsidR="00B505CC" w:rsidRDefault="00B505CC" w:rsidP="00C1095B">
      <w:pPr>
        <w:pStyle w:val="NormalWeb"/>
        <w:numPr>
          <w:ilvl w:val="0"/>
          <w:numId w:val="1"/>
        </w:numPr>
        <w:spacing w:before="120" w:beforeAutospacing="0" w:after="240" w:line="360" w:lineRule="auto"/>
        <w:ind w:left="567" w:hanging="567"/>
        <w:rPr>
          <w:rFonts w:ascii="Arial" w:hAnsi="Arial" w:cs="Arial"/>
        </w:rPr>
      </w:pPr>
      <w:r>
        <w:rPr>
          <w:rFonts w:ascii="Arial" w:hAnsi="Arial" w:cs="Arial"/>
        </w:rPr>
        <w:t>For the Commission to accept a complaint of discrimination, it must set out sufficient details to indicate an alleged contravention.</w:t>
      </w:r>
      <w:r>
        <w:rPr>
          <w:rStyle w:val="FootnoteReference"/>
          <w:rFonts w:ascii="Arial" w:hAnsi="Arial" w:cs="Arial"/>
        </w:rPr>
        <w:footnoteReference w:id="6"/>
      </w:r>
      <w:r>
        <w:rPr>
          <w:rFonts w:ascii="Arial" w:hAnsi="Arial" w:cs="Arial"/>
        </w:rPr>
        <w:t xml:space="preserve">  This means the facts, on their face, must contain the elements of the alleged contravention.  In the case of direct discrimination, this involves being able to point to some link between the conduct and the relevant attribute.  A mere suspicion or belief is insufficient for the Commission to accept the complaint.</w:t>
      </w:r>
    </w:p>
    <w:p w:rsidR="006007FC" w:rsidRDefault="006007FC" w:rsidP="00C1095B">
      <w:pPr>
        <w:pStyle w:val="NormalWeb"/>
        <w:numPr>
          <w:ilvl w:val="0"/>
          <w:numId w:val="1"/>
        </w:numPr>
        <w:spacing w:before="120" w:beforeAutospacing="0" w:after="240" w:line="360" w:lineRule="auto"/>
        <w:ind w:left="567" w:hanging="567"/>
        <w:rPr>
          <w:rFonts w:ascii="Arial" w:hAnsi="Arial" w:cs="Arial"/>
        </w:rPr>
      </w:pPr>
      <w:r>
        <w:rPr>
          <w:rFonts w:ascii="Arial" w:hAnsi="Arial" w:cs="Arial"/>
        </w:rPr>
        <w:t xml:space="preserve">In a complaint of direct discrimination in the pre-work area (for example, not being offered a job because of an attribute) the link can sometimes be evidenced by a question asked during recruitment about the attribute, when asking for the information is prohibited under section </w:t>
      </w:r>
      <w:r w:rsidR="00C80B74">
        <w:rPr>
          <w:rFonts w:ascii="Arial" w:hAnsi="Arial" w:cs="Arial"/>
        </w:rPr>
        <w:t xml:space="preserve">124 of the </w:t>
      </w:r>
      <w:r w:rsidR="00C80B74" w:rsidRPr="00C80B74">
        <w:rPr>
          <w:rFonts w:ascii="Arial" w:hAnsi="Arial" w:cs="Arial"/>
          <w:i/>
        </w:rPr>
        <w:t>Anti-Discrimination Act</w:t>
      </w:r>
      <w:r w:rsidR="00C80B74">
        <w:rPr>
          <w:rFonts w:ascii="Arial" w:hAnsi="Arial" w:cs="Arial"/>
        </w:rPr>
        <w:t>.</w:t>
      </w:r>
      <w:r>
        <w:rPr>
          <w:rFonts w:ascii="Arial" w:hAnsi="Arial" w:cs="Arial"/>
        </w:rPr>
        <w:t xml:space="preserve"> </w:t>
      </w:r>
      <w:r w:rsidR="00933BEB">
        <w:rPr>
          <w:rFonts w:ascii="Arial" w:hAnsi="Arial" w:cs="Arial"/>
        </w:rPr>
        <w:t xml:space="preserve"> This will not assist </w:t>
      </w:r>
      <w:r w:rsidR="0099050C">
        <w:rPr>
          <w:rFonts w:ascii="Arial" w:hAnsi="Arial" w:cs="Arial"/>
        </w:rPr>
        <w:t xml:space="preserve">a </w:t>
      </w:r>
      <w:r w:rsidR="00933BEB">
        <w:rPr>
          <w:rFonts w:ascii="Arial" w:hAnsi="Arial" w:cs="Arial"/>
        </w:rPr>
        <w:t>job applicant or dismissed worker</w:t>
      </w:r>
      <w:r w:rsidR="0099050C">
        <w:rPr>
          <w:rFonts w:ascii="Arial" w:hAnsi="Arial" w:cs="Arial"/>
        </w:rPr>
        <w:t>,</w:t>
      </w:r>
      <w:r w:rsidR="00933BEB">
        <w:rPr>
          <w:rFonts w:ascii="Arial" w:hAnsi="Arial" w:cs="Arial"/>
        </w:rPr>
        <w:t xml:space="preserve"> because it will not be unlawful to ask where they live.</w:t>
      </w:r>
    </w:p>
    <w:p w:rsidR="00933BEB" w:rsidRDefault="00933BEB" w:rsidP="00C1095B">
      <w:pPr>
        <w:pStyle w:val="NormalWeb"/>
        <w:numPr>
          <w:ilvl w:val="0"/>
          <w:numId w:val="1"/>
        </w:numPr>
        <w:spacing w:before="120" w:beforeAutospacing="0" w:after="240" w:line="360" w:lineRule="auto"/>
        <w:ind w:left="567" w:hanging="567"/>
        <w:rPr>
          <w:rFonts w:ascii="Arial" w:hAnsi="Arial" w:cs="Arial"/>
        </w:rPr>
      </w:pPr>
      <w:r>
        <w:rPr>
          <w:rFonts w:ascii="Arial" w:hAnsi="Arial" w:cs="Arial"/>
        </w:rPr>
        <w:t xml:space="preserve">The presumed reason provision in proposed section 131F should have a twofold effect.  It will enable the Commission to accept a complaint by a dismissed worker and by an applicant who was not offered work.  </w:t>
      </w:r>
      <w:r w:rsidR="00385D2A">
        <w:rPr>
          <w:rFonts w:ascii="Arial" w:hAnsi="Arial" w:cs="Arial"/>
        </w:rPr>
        <w:t xml:space="preserve">The </w:t>
      </w:r>
      <w:r w:rsidR="00787E42">
        <w:rPr>
          <w:rFonts w:ascii="Arial" w:hAnsi="Arial" w:cs="Arial"/>
        </w:rPr>
        <w:t>parties</w:t>
      </w:r>
      <w:r w:rsidR="00385D2A">
        <w:rPr>
          <w:rFonts w:ascii="Arial" w:hAnsi="Arial" w:cs="Arial"/>
        </w:rPr>
        <w:t xml:space="preserve"> then </w:t>
      </w:r>
      <w:r w:rsidR="00787E42">
        <w:rPr>
          <w:rFonts w:ascii="Arial" w:hAnsi="Arial" w:cs="Arial"/>
        </w:rPr>
        <w:t>have</w:t>
      </w:r>
      <w:r w:rsidR="00385D2A">
        <w:rPr>
          <w:rFonts w:ascii="Arial" w:hAnsi="Arial" w:cs="Arial"/>
        </w:rPr>
        <w:t xml:space="preserve"> the opportunity </w:t>
      </w:r>
      <w:r w:rsidR="00787E42">
        <w:rPr>
          <w:rFonts w:ascii="Arial" w:hAnsi="Arial" w:cs="Arial"/>
        </w:rPr>
        <w:t>to resolve the dispute</w:t>
      </w:r>
      <w:r w:rsidR="00385D2A">
        <w:rPr>
          <w:rFonts w:ascii="Arial" w:hAnsi="Arial" w:cs="Arial"/>
        </w:rPr>
        <w:t xml:space="preserve"> through the Commission’s specialised conciliation process.</w:t>
      </w:r>
      <w:r w:rsidR="00385D2A">
        <w:rPr>
          <w:rStyle w:val="FootnoteReference"/>
          <w:rFonts w:ascii="Arial" w:hAnsi="Arial" w:cs="Arial"/>
        </w:rPr>
        <w:footnoteReference w:id="7"/>
      </w:r>
      <w:r w:rsidR="00385D2A">
        <w:rPr>
          <w:rFonts w:ascii="Arial" w:hAnsi="Arial" w:cs="Arial"/>
        </w:rPr>
        <w:t xml:space="preserve">  </w:t>
      </w:r>
      <w:r w:rsidR="00787E42">
        <w:rPr>
          <w:rFonts w:ascii="Arial" w:hAnsi="Arial" w:cs="Arial"/>
        </w:rPr>
        <w:t>The provision</w:t>
      </w:r>
      <w:r>
        <w:rPr>
          <w:rFonts w:ascii="Arial" w:hAnsi="Arial" w:cs="Arial"/>
        </w:rPr>
        <w:t xml:space="preserve"> should also encourage owners and principal contractors to ensure that their recruitment processes are transparent, and that communication with applicants and dismissed workers is clear in terms of the reasons for the relevant decisions.</w:t>
      </w:r>
    </w:p>
    <w:p w:rsidR="00203A24" w:rsidRDefault="00787E42" w:rsidP="00C1095B">
      <w:pPr>
        <w:pStyle w:val="NormalWeb"/>
        <w:numPr>
          <w:ilvl w:val="0"/>
          <w:numId w:val="1"/>
        </w:numPr>
        <w:spacing w:before="120" w:beforeAutospacing="0" w:after="240" w:line="360" w:lineRule="auto"/>
        <w:ind w:left="567" w:hanging="567"/>
        <w:rPr>
          <w:rFonts w:ascii="Arial" w:hAnsi="Arial" w:cs="Arial"/>
        </w:rPr>
      </w:pPr>
      <w:r>
        <w:rPr>
          <w:rFonts w:ascii="Arial" w:hAnsi="Arial" w:cs="Arial"/>
        </w:rPr>
        <w:t xml:space="preserve">The Explanatory Notes for the Bill state that the </w:t>
      </w:r>
      <w:r w:rsidR="00727127">
        <w:rPr>
          <w:rFonts w:ascii="Arial" w:hAnsi="Arial" w:cs="Arial"/>
        </w:rPr>
        <w:t xml:space="preserve">presumed reason </w:t>
      </w:r>
      <w:r>
        <w:rPr>
          <w:rFonts w:ascii="Arial" w:hAnsi="Arial" w:cs="Arial"/>
        </w:rPr>
        <w:t>provision is justified because employees cannot be in a position to discover the intent of their employer or decision-maker, and the reason why the action is taken is within the knowledge of the person who took the action.</w:t>
      </w:r>
    </w:p>
    <w:p w:rsidR="00203A24" w:rsidRDefault="00203A24" w:rsidP="00C1095B">
      <w:pPr>
        <w:pStyle w:val="NormalWeb"/>
        <w:numPr>
          <w:ilvl w:val="0"/>
          <w:numId w:val="1"/>
        </w:numPr>
        <w:spacing w:before="120" w:beforeAutospacing="0" w:after="240" w:line="360" w:lineRule="auto"/>
        <w:ind w:left="567" w:hanging="567"/>
        <w:rPr>
          <w:rFonts w:ascii="Arial" w:hAnsi="Arial" w:cs="Arial"/>
        </w:rPr>
      </w:pPr>
      <w:r>
        <w:rPr>
          <w:rFonts w:ascii="Arial" w:hAnsi="Arial" w:cs="Arial"/>
        </w:rPr>
        <w:t>The Commission considers the presumed reason provision is appropriate also because of the hybrid nature of the discrimination.</w:t>
      </w:r>
      <w:r w:rsidR="00787E42">
        <w:rPr>
          <w:rFonts w:ascii="Arial" w:hAnsi="Arial" w:cs="Arial"/>
        </w:rPr>
        <w:t xml:space="preserve">  It is akin to the general protections discrimination in the </w:t>
      </w:r>
      <w:r w:rsidR="00787E42" w:rsidRPr="00787E42">
        <w:rPr>
          <w:rFonts w:ascii="Arial" w:hAnsi="Arial" w:cs="Arial"/>
          <w:i/>
        </w:rPr>
        <w:t>Fair Work Act 2009</w:t>
      </w:r>
      <w:r w:rsidR="00787E42">
        <w:rPr>
          <w:rFonts w:ascii="Arial" w:hAnsi="Arial" w:cs="Arial"/>
        </w:rPr>
        <w:t xml:space="preserve"> (Cth) and in the </w:t>
      </w:r>
      <w:r w:rsidR="00787E42" w:rsidRPr="00787E42">
        <w:rPr>
          <w:rFonts w:ascii="Arial" w:hAnsi="Arial" w:cs="Arial"/>
          <w:i/>
        </w:rPr>
        <w:t>Industrial Relations Act 2016</w:t>
      </w:r>
      <w:r w:rsidR="00787E42">
        <w:rPr>
          <w:rFonts w:ascii="Arial" w:hAnsi="Arial" w:cs="Arial"/>
        </w:rPr>
        <w:t xml:space="preserve">, passed by the Queensland Parliament on 30 November 2016.  The presumed reason provision in the Bill is modelled on presumed reason provisions in the </w:t>
      </w:r>
      <w:r w:rsidR="00787E42" w:rsidRPr="00787E42">
        <w:rPr>
          <w:rFonts w:ascii="Arial" w:hAnsi="Arial" w:cs="Arial"/>
          <w:i/>
        </w:rPr>
        <w:t>Fair Work Act</w:t>
      </w:r>
      <w:r w:rsidR="00787E42">
        <w:rPr>
          <w:rFonts w:ascii="Arial" w:hAnsi="Arial" w:cs="Arial"/>
        </w:rPr>
        <w:t xml:space="preserve"> and </w:t>
      </w:r>
      <w:r w:rsidR="00787E42" w:rsidRPr="00787E42">
        <w:rPr>
          <w:rFonts w:ascii="Arial" w:hAnsi="Arial" w:cs="Arial"/>
          <w:i/>
        </w:rPr>
        <w:t>Industrial Relations Act</w:t>
      </w:r>
      <w:r w:rsidR="00787E42">
        <w:rPr>
          <w:rFonts w:ascii="Arial" w:hAnsi="Arial" w:cs="Arial"/>
        </w:rPr>
        <w:t xml:space="preserve"> for general protections and adverse action.</w:t>
      </w:r>
    </w:p>
    <w:p w:rsidR="00787E42" w:rsidRDefault="00787E42" w:rsidP="00C1095B">
      <w:pPr>
        <w:pStyle w:val="NormalWeb"/>
        <w:numPr>
          <w:ilvl w:val="0"/>
          <w:numId w:val="1"/>
        </w:numPr>
        <w:spacing w:before="120" w:beforeAutospacing="0" w:after="240" w:line="360" w:lineRule="auto"/>
        <w:ind w:left="567" w:hanging="567"/>
        <w:rPr>
          <w:rFonts w:ascii="Arial" w:hAnsi="Arial" w:cs="Arial"/>
        </w:rPr>
      </w:pPr>
      <w:r>
        <w:rPr>
          <w:rFonts w:ascii="Arial" w:hAnsi="Arial" w:cs="Arial"/>
        </w:rPr>
        <w:t xml:space="preserve">As corporations, owners and principal contractors will be subject to the </w:t>
      </w:r>
      <w:r w:rsidRPr="00787E42">
        <w:rPr>
          <w:rFonts w:ascii="Arial" w:hAnsi="Arial" w:cs="Arial"/>
          <w:i/>
        </w:rPr>
        <w:t>Fair Work Act</w:t>
      </w:r>
      <w:r>
        <w:rPr>
          <w:rFonts w:ascii="Arial" w:hAnsi="Arial" w:cs="Arial"/>
        </w:rPr>
        <w:t>, and they will be familiar with the general protections and presumed reason provisions.</w:t>
      </w:r>
    </w:p>
    <w:p w:rsidR="00787E42" w:rsidRDefault="004A75B9" w:rsidP="00C1095B">
      <w:pPr>
        <w:pStyle w:val="NormalWeb"/>
        <w:numPr>
          <w:ilvl w:val="0"/>
          <w:numId w:val="1"/>
        </w:numPr>
        <w:spacing w:before="120" w:beforeAutospacing="0" w:after="240" w:line="360" w:lineRule="auto"/>
        <w:ind w:left="567" w:hanging="567"/>
        <w:rPr>
          <w:rFonts w:ascii="Arial" w:hAnsi="Arial" w:cs="Arial"/>
        </w:rPr>
      </w:pPr>
      <w:r>
        <w:rPr>
          <w:rFonts w:ascii="Arial" w:hAnsi="Arial" w:cs="Arial"/>
        </w:rPr>
        <w:t xml:space="preserve">In terms of an owner or principal contractor proving that action was not taken because the applicant or worker is or becomes a local resident, the High Court has clarified that </w:t>
      </w:r>
      <w:r w:rsidR="005A34ED">
        <w:rPr>
          <w:rFonts w:ascii="Arial" w:hAnsi="Arial" w:cs="Arial"/>
        </w:rPr>
        <w:t>direct testimony of a decision-maker that is</w:t>
      </w:r>
      <w:r w:rsidR="002E756A">
        <w:rPr>
          <w:rFonts w:ascii="Arial" w:hAnsi="Arial" w:cs="Arial"/>
        </w:rPr>
        <w:t xml:space="preserve"> accepted as reliable, is capable of discharging the onus.</w:t>
      </w:r>
      <w:r w:rsidR="002E756A">
        <w:rPr>
          <w:rStyle w:val="FootnoteReference"/>
          <w:rFonts w:ascii="Arial" w:hAnsi="Arial" w:cs="Arial"/>
        </w:rPr>
        <w:footnoteReference w:id="8"/>
      </w:r>
    </w:p>
    <w:p w:rsidR="002D1735" w:rsidRPr="002D1735" w:rsidRDefault="002D1735" w:rsidP="002D1735">
      <w:pPr>
        <w:pStyle w:val="Heading1"/>
        <w:keepLines/>
        <w:spacing w:before="360" w:after="0"/>
        <w:rPr>
          <w:rFonts w:eastAsiaTheme="majorEastAsia" w:cstheme="majorBidi"/>
          <w:bCs/>
          <w:color w:val="365F91" w:themeColor="accent1" w:themeShade="BF"/>
          <w:sz w:val="28"/>
          <w:szCs w:val="28"/>
          <w:lang w:val="en-AU"/>
        </w:rPr>
      </w:pPr>
      <w:bookmarkStart w:id="7" w:name="_Toc342744128"/>
      <w:r w:rsidRPr="002D1735">
        <w:rPr>
          <w:rFonts w:eastAsiaTheme="majorEastAsia" w:cstheme="majorBidi"/>
          <w:bCs/>
          <w:color w:val="365F91" w:themeColor="accent1" w:themeShade="BF"/>
          <w:sz w:val="28"/>
          <w:szCs w:val="28"/>
          <w:lang w:val="en-AU"/>
        </w:rPr>
        <w:t>Evidentiary aids</w:t>
      </w:r>
      <w:bookmarkEnd w:id="7"/>
    </w:p>
    <w:p w:rsidR="002D1735" w:rsidRDefault="002E756A" w:rsidP="00C1095B">
      <w:pPr>
        <w:pStyle w:val="NormalWeb"/>
        <w:numPr>
          <w:ilvl w:val="0"/>
          <w:numId w:val="1"/>
        </w:numPr>
        <w:spacing w:before="120" w:beforeAutospacing="0" w:after="120" w:line="360" w:lineRule="auto"/>
        <w:ind w:left="567" w:hanging="567"/>
        <w:rPr>
          <w:rFonts w:ascii="Arial" w:hAnsi="Arial" w:cs="Arial"/>
        </w:rPr>
      </w:pPr>
      <w:r>
        <w:rPr>
          <w:rFonts w:ascii="Arial" w:hAnsi="Arial" w:cs="Arial"/>
        </w:rPr>
        <w:t xml:space="preserve">Proposed section 131G provides that certain matters required to be published by the Coordinator-General are evidence of those matters. The matters </w:t>
      </w:r>
      <w:r w:rsidR="00D6353A">
        <w:rPr>
          <w:rFonts w:ascii="Arial" w:hAnsi="Arial" w:cs="Arial"/>
        </w:rPr>
        <w:t>relate</w:t>
      </w:r>
      <w:r>
        <w:rPr>
          <w:rFonts w:ascii="Arial" w:hAnsi="Arial" w:cs="Arial"/>
        </w:rPr>
        <w:t xml:space="preserve"> to the large resource projects that </w:t>
      </w:r>
      <w:r w:rsidR="00D6353A">
        <w:rPr>
          <w:rFonts w:ascii="Arial" w:hAnsi="Arial" w:cs="Arial"/>
        </w:rPr>
        <w:t>are</w:t>
      </w:r>
      <w:r>
        <w:rPr>
          <w:rFonts w:ascii="Arial" w:hAnsi="Arial" w:cs="Arial"/>
        </w:rPr>
        <w:t xml:space="preserve"> subject to the prohibitions aga</w:t>
      </w:r>
      <w:r w:rsidR="00D6353A">
        <w:rPr>
          <w:rFonts w:ascii="Arial" w:hAnsi="Arial" w:cs="Arial"/>
        </w:rPr>
        <w:t>inst discrimination</w:t>
      </w:r>
      <w:r w:rsidR="00AF5AB4">
        <w:rPr>
          <w:rFonts w:ascii="Arial" w:hAnsi="Arial" w:cs="Arial"/>
        </w:rPr>
        <w:t>.  Those matters</w:t>
      </w:r>
      <w:r w:rsidR="00D6353A">
        <w:rPr>
          <w:rFonts w:ascii="Arial" w:hAnsi="Arial" w:cs="Arial"/>
        </w:rPr>
        <w:t xml:space="preserve"> are</w:t>
      </w:r>
      <w:r>
        <w:rPr>
          <w:rFonts w:ascii="Arial" w:hAnsi="Arial" w:cs="Arial"/>
        </w:rPr>
        <w:t>:</w:t>
      </w:r>
    </w:p>
    <w:p w:rsidR="002E756A" w:rsidRDefault="002E756A" w:rsidP="00C1095B">
      <w:pPr>
        <w:pStyle w:val="NormalWeb"/>
        <w:numPr>
          <w:ilvl w:val="1"/>
          <w:numId w:val="1"/>
        </w:numPr>
        <w:spacing w:before="120" w:beforeAutospacing="0" w:after="120" w:line="360" w:lineRule="auto"/>
        <w:ind w:left="1418" w:hanging="567"/>
        <w:rPr>
          <w:rFonts w:ascii="Arial" w:hAnsi="Arial" w:cs="Arial"/>
        </w:rPr>
      </w:pPr>
      <w:r>
        <w:rPr>
          <w:rFonts w:ascii="Arial" w:hAnsi="Arial" w:cs="Arial"/>
        </w:rPr>
        <w:t>the name of each regional community for the project;</w:t>
      </w:r>
    </w:p>
    <w:p w:rsidR="002E756A" w:rsidRDefault="002E756A" w:rsidP="00C1095B">
      <w:pPr>
        <w:pStyle w:val="NormalWeb"/>
        <w:numPr>
          <w:ilvl w:val="1"/>
          <w:numId w:val="1"/>
        </w:numPr>
        <w:spacing w:before="120" w:beforeAutospacing="0" w:after="120" w:line="360" w:lineRule="auto"/>
        <w:ind w:left="1418" w:hanging="567"/>
        <w:rPr>
          <w:rFonts w:ascii="Arial" w:hAnsi="Arial" w:cs="Arial"/>
        </w:rPr>
      </w:pPr>
      <w:r>
        <w:rPr>
          <w:rFonts w:ascii="Arial" w:hAnsi="Arial" w:cs="Arial"/>
        </w:rPr>
        <w:t>the name of the project and</w:t>
      </w:r>
      <w:r w:rsidR="00AF5AB4">
        <w:rPr>
          <w:rFonts w:ascii="Arial" w:hAnsi="Arial" w:cs="Arial"/>
        </w:rPr>
        <w:t xml:space="preserve"> the date the operational phase</w:t>
      </w:r>
      <w:r>
        <w:rPr>
          <w:rFonts w:ascii="Arial" w:hAnsi="Arial" w:cs="Arial"/>
        </w:rPr>
        <w:t xml:space="preserve"> of the project started;</w:t>
      </w:r>
    </w:p>
    <w:p w:rsidR="002E756A" w:rsidRDefault="002E756A" w:rsidP="00C1095B">
      <w:pPr>
        <w:pStyle w:val="NormalWeb"/>
        <w:numPr>
          <w:ilvl w:val="1"/>
          <w:numId w:val="1"/>
        </w:numPr>
        <w:spacing w:before="120" w:beforeAutospacing="0" w:after="120" w:line="360" w:lineRule="auto"/>
        <w:ind w:left="1418" w:hanging="567"/>
        <w:rPr>
          <w:rFonts w:ascii="Arial" w:hAnsi="Arial" w:cs="Arial"/>
        </w:rPr>
      </w:pPr>
      <w:r>
        <w:rPr>
          <w:rFonts w:ascii="Arial" w:hAnsi="Arial" w:cs="Arial"/>
        </w:rPr>
        <w:t>the name of the owner of the project;</w:t>
      </w:r>
    </w:p>
    <w:p w:rsidR="00D6353A" w:rsidRDefault="002E756A" w:rsidP="00C1095B">
      <w:pPr>
        <w:pStyle w:val="NormalWeb"/>
        <w:numPr>
          <w:ilvl w:val="1"/>
          <w:numId w:val="1"/>
        </w:numPr>
        <w:spacing w:before="120" w:beforeAutospacing="0" w:after="120" w:line="360" w:lineRule="auto"/>
        <w:ind w:left="1418" w:hanging="567"/>
        <w:rPr>
          <w:rFonts w:ascii="Arial" w:hAnsi="Arial" w:cs="Arial"/>
        </w:rPr>
      </w:pPr>
      <w:r>
        <w:rPr>
          <w:rFonts w:ascii="Arial" w:hAnsi="Arial" w:cs="Arial"/>
        </w:rPr>
        <w:t>if ownership of the project changes, the name of the new owner, the previous ow</w:t>
      </w:r>
      <w:r w:rsidR="00AF5AB4">
        <w:rPr>
          <w:rFonts w:ascii="Arial" w:hAnsi="Arial" w:cs="Arial"/>
        </w:rPr>
        <w:t>ner and the date of change; and</w:t>
      </w:r>
    </w:p>
    <w:p w:rsidR="00AF5AB4" w:rsidRPr="00D6353A" w:rsidRDefault="00AF5AB4" w:rsidP="00C1095B">
      <w:pPr>
        <w:pStyle w:val="NormalWeb"/>
        <w:numPr>
          <w:ilvl w:val="1"/>
          <w:numId w:val="1"/>
        </w:numPr>
        <w:spacing w:before="120" w:beforeAutospacing="0" w:after="240" w:line="360" w:lineRule="auto"/>
        <w:ind w:left="1418" w:hanging="567"/>
        <w:rPr>
          <w:rFonts w:ascii="Arial" w:hAnsi="Arial" w:cs="Arial"/>
        </w:rPr>
      </w:pPr>
      <w:r>
        <w:rPr>
          <w:rFonts w:ascii="Arial" w:hAnsi="Arial" w:cs="Arial"/>
        </w:rPr>
        <w:t>projects nominated by the Coordinator-General to which the prohibitions will apply in the construction phase.</w:t>
      </w:r>
    </w:p>
    <w:p w:rsidR="00C90496" w:rsidRDefault="00D6353A" w:rsidP="00C1095B">
      <w:pPr>
        <w:pStyle w:val="NormalWeb"/>
        <w:numPr>
          <w:ilvl w:val="0"/>
          <w:numId w:val="1"/>
        </w:numPr>
        <w:spacing w:before="120" w:beforeAutospacing="0" w:after="240" w:line="360" w:lineRule="auto"/>
        <w:ind w:left="567" w:hanging="567"/>
        <w:rPr>
          <w:rFonts w:ascii="Arial" w:hAnsi="Arial" w:cs="Arial"/>
        </w:rPr>
      </w:pPr>
      <w:r>
        <w:rPr>
          <w:rFonts w:ascii="Arial" w:hAnsi="Arial" w:cs="Arial"/>
        </w:rPr>
        <w:t xml:space="preserve">The publication of these matters </w:t>
      </w:r>
      <w:r w:rsidR="00C90496">
        <w:rPr>
          <w:rFonts w:ascii="Arial" w:hAnsi="Arial" w:cs="Arial"/>
        </w:rPr>
        <w:t>would</w:t>
      </w:r>
      <w:r>
        <w:rPr>
          <w:rFonts w:ascii="Arial" w:hAnsi="Arial" w:cs="Arial"/>
        </w:rPr>
        <w:t xml:space="preserve"> </w:t>
      </w:r>
      <w:r w:rsidR="00C90496">
        <w:rPr>
          <w:rFonts w:ascii="Arial" w:hAnsi="Arial" w:cs="Arial"/>
        </w:rPr>
        <w:t>provide clarity for the public by identifying</w:t>
      </w:r>
      <w:r w:rsidR="00AF5AB4">
        <w:rPr>
          <w:rFonts w:ascii="Arial" w:hAnsi="Arial" w:cs="Arial"/>
        </w:rPr>
        <w:t xml:space="preserve"> the projects and communities affected by the requirements and prohibitions in the Bill.  This </w:t>
      </w:r>
      <w:r w:rsidR="00C90496">
        <w:rPr>
          <w:rFonts w:ascii="Arial" w:hAnsi="Arial" w:cs="Arial"/>
        </w:rPr>
        <w:t xml:space="preserve">includes people and entities undertaking recruitment for projects, workers, and local residents.  </w:t>
      </w:r>
    </w:p>
    <w:p w:rsidR="002D1735" w:rsidRDefault="00C90496" w:rsidP="00C1095B">
      <w:pPr>
        <w:pStyle w:val="NormalWeb"/>
        <w:numPr>
          <w:ilvl w:val="0"/>
          <w:numId w:val="1"/>
        </w:numPr>
        <w:spacing w:before="120" w:beforeAutospacing="0" w:after="240" w:line="360" w:lineRule="auto"/>
        <w:ind w:left="567" w:hanging="567"/>
        <w:rPr>
          <w:rFonts w:ascii="Arial" w:hAnsi="Arial" w:cs="Arial"/>
        </w:rPr>
      </w:pPr>
      <w:r>
        <w:rPr>
          <w:rFonts w:ascii="Arial" w:hAnsi="Arial" w:cs="Arial"/>
        </w:rPr>
        <w:t>It would also assist the Commission in assessing whether a complaint is within th</w:t>
      </w:r>
      <w:r w:rsidR="00727127">
        <w:rPr>
          <w:rFonts w:ascii="Arial" w:hAnsi="Arial" w:cs="Arial"/>
        </w:rPr>
        <w:t xml:space="preserve">e jurisdiction under chapter 5B, and </w:t>
      </w:r>
      <w:r>
        <w:rPr>
          <w:rFonts w:ascii="Arial" w:hAnsi="Arial" w:cs="Arial"/>
        </w:rPr>
        <w:t xml:space="preserve">would also streamline processes </w:t>
      </w:r>
      <w:r w:rsidR="00CB7A2C">
        <w:rPr>
          <w:rFonts w:ascii="Arial" w:hAnsi="Arial" w:cs="Arial"/>
        </w:rPr>
        <w:t>at the hearing stage in the event</w:t>
      </w:r>
      <w:r>
        <w:rPr>
          <w:rFonts w:ascii="Arial" w:hAnsi="Arial" w:cs="Arial"/>
        </w:rPr>
        <w:t xml:space="preserve"> a complaint is referred to the tribunal.</w:t>
      </w:r>
    </w:p>
    <w:p w:rsidR="00190379" w:rsidRPr="005D48EE" w:rsidRDefault="00190379" w:rsidP="005D48EE">
      <w:pPr>
        <w:pStyle w:val="Heading1"/>
        <w:keepLines/>
        <w:spacing w:before="360" w:after="0"/>
        <w:rPr>
          <w:rFonts w:eastAsiaTheme="majorEastAsia" w:cstheme="majorBidi"/>
          <w:bCs/>
          <w:color w:val="365F91" w:themeColor="accent1" w:themeShade="BF"/>
          <w:sz w:val="28"/>
          <w:szCs w:val="28"/>
          <w:lang w:val="en-AU"/>
        </w:rPr>
      </w:pPr>
      <w:bookmarkStart w:id="8" w:name="_Toc342744129"/>
      <w:r w:rsidRPr="005D48EE">
        <w:rPr>
          <w:rFonts w:eastAsiaTheme="majorEastAsia" w:cstheme="majorBidi"/>
          <w:bCs/>
          <w:color w:val="365F91" w:themeColor="accent1" w:themeShade="BF"/>
          <w:sz w:val="28"/>
          <w:szCs w:val="28"/>
          <w:lang w:val="en-AU"/>
        </w:rPr>
        <w:t>Conclusion</w:t>
      </w:r>
      <w:bookmarkEnd w:id="8"/>
    </w:p>
    <w:p w:rsidR="002E7F41" w:rsidRPr="00C1095B" w:rsidRDefault="00190379" w:rsidP="00C1095B">
      <w:pPr>
        <w:pStyle w:val="NormalWeb"/>
        <w:numPr>
          <w:ilvl w:val="0"/>
          <w:numId w:val="1"/>
        </w:numPr>
        <w:spacing w:before="120" w:beforeAutospacing="0" w:after="240" w:line="360" w:lineRule="auto"/>
        <w:ind w:left="567" w:hanging="567"/>
        <w:rPr>
          <w:rFonts w:ascii="Arial" w:hAnsi="Arial" w:cs="Arial"/>
        </w:rPr>
      </w:pPr>
      <w:r>
        <w:rPr>
          <w:rFonts w:ascii="Arial" w:hAnsi="Arial" w:cs="Arial"/>
        </w:rPr>
        <w:t>The</w:t>
      </w:r>
      <w:r w:rsidR="005D48EE">
        <w:rPr>
          <w:rFonts w:ascii="Arial" w:hAnsi="Arial" w:cs="Arial"/>
        </w:rPr>
        <w:t xml:space="preserve"> Commission’s objective has</w:t>
      </w:r>
      <w:r>
        <w:rPr>
          <w:rFonts w:ascii="Arial" w:hAnsi="Arial" w:cs="Arial"/>
        </w:rPr>
        <w:t xml:space="preserve"> been to ensure the discrimination provisions of the Bill will operate effectively within the statutory scheme of the </w:t>
      </w:r>
      <w:r w:rsidRPr="00B505CC">
        <w:rPr>
          <w:rFonts w:ascii="Arial" w:hAnsi="Arial" w:cs="Arial"/>
          <w:i/>
        </w:rPr>
        <w:t>Anti-Discrimination Act</w:t>
      </w:r>
      <w:r>
        <w:rPr>
          <w:rFonts w:ascii="Arial" w:hAnsi="Arial" w:cs="Arial"/>
        </w:rPr>
        <w:t xml:space="preserve">, </w:t>
      </w:r>
      <w:r w:rsidR="005D48EE">
        <w:rPr>
          <w:rFonts w:ascii="Arial" w:hAnsi="Arial" w:cs="Arial"/>
        </w:rPr>
        <w:t>and give effect to the policy objectives of the Bill.</w:t>
      </w:r>
      <w:r w:rsidR="00B505CC">
        <w:rPr>
          <w:rFonts w:ascii="Arial" w:hAnsi="Arial" w:cs="Arial"/>
        </w:rPr>
        <w:t xml:space="preserve">  The Commission considers the Bill achieves this outcome.</w:t>
      </w:r>
    </w:p>
    <w:sectPr w:rsidR="002E7F41" w:rsidRPr="00C1095B" w:rsidSect="00C8485E">
      <w:headerReference w:type="even" r:id="rId15"/>
      <w:headerReference w:type="default" r:id="rId16"/>
      <w:footerReference w:type="even" r:id="rId17"/>
      <w:footerReference w:type="default" r:id="rId18"/>
      <w:headerReference w:type="first" r:id="rId19"/>
      <w:footerReference w:type="first" r:id="rId20"/>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50C" w:rsidRDefault="0099050C">
      <w:r>
        <w:separator/>
      </w:r>
    </w:p>
  </w:endnote>
  <w:endnote w:type="continuationSeparator" w:id="0">
    <w:p w:rsidR="0099050C" w:rsidRDefault="0099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50C" w:rsidRPr="00952C36" w:rsidRDefault="0099050C" w:rsidP="004147CC">
    <w:pPr>
      <w:pStyle w:val="Footer"/>
      <w:pBdr>
        <w:top w:val="single" w:sz="12" w:space="1" w:color="8DB3E2" w:themeColor="text2" w:themeTint="66"/>
      </w:pBdr>
      <w:jc w:val="right"/>
      <w:rPr>
        <w:rFonts w:cs="Arial"/>
        <w:sz w:val="20"/>
        <w:szCs w:val="20"/>
        <w:lang w:val="en-US"/>
      </w:rPr>
    </w:pPr>
    <w:r w:rsidRPr="00952C36">
      <w:rPr>
        <w:rFonts w:cs="Arial"/>
        <w:sz w:val="20"/>
        <w:szCs w:val="20"/>
        <w:lang w:val="en-US"/>
      </w:rPr>
      <w:t>Submission of the Anti-Discrimination Commission Queensland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50C" w:rsidRDefault="0099050C" w:rsidP="004147CC">
    <w:pPr>
      <w:pStyle w:val="Footer"/>
      <w:jc w:val="center"/>
    </w:pPr>
    <w:r>
      <w:t>12 December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50C" w:rsidRDefault="0099050C" w:rsidP="004147CC">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50C" w:rsidRDefault="0099050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50C" w:rsidRPr="00C8485E" w:rsidRDefault="0099050C" w:rsidP="00C8485E">
    <w:pPr>
      <w:pStyle w:val="Footer"/>
      <w:pBdr>
        <w:top w:val="single" w:sz="12" w:space="1" w:color="8DB3E2" w:themeColor="text2" w:themeTint="66"/>
      </w:pBdr>
      <w:jc w:val="right"/>
      <w:rPr>
        <w:rFonts w:cs="Arial"/>
        <w:sz w:val="20"/>
        <w:szCs w:val="20"/>
        <w:lang w:val="en-US"/>
      </w:rPr>
    </w:pPr>
    <w:r w:rsidRPr="00952C36">
      <w:rPr>
        <w:rFonts w:cs="Arial"/>
        <w:sz w:val="20"/>
        <w:szCs w:val="20"/>
        <w:lang w:val="en-US"/>
      </w:rPr>
      <w:t>Submission of the Anti-Discrimination Commission Queensland</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50C" w:rsidRPr="00C8485E" w:rsidRDefault="0099050C" w:rsidP="00C8485E">
    <w:pPr>
      <w:pStyle w:val="Footer"/>
      <w:pBdr>
        <w:top w:val="single" w:sz="12" w:space="1" w:color="8DB3E2" w:themeColor="text2" w:themeTint="66"/>
      </w:pBdr>
      <w:jc w:val="right"/>
      <w:rPr>
        <w:rFonts w:cs="Arial"/>
        <w:sz w:val="20"/>
        <w:szCs w:val="20"/>
        <w:lang w:val="en-US"/>
      </w:rPr>
    </w:pPr>
    <w:r w:rsidRPr="00952C36">
      <w:rPr>
        <w:rFonts w:cs="Arial"/>
        <w:sz w:val="20"/>
        <w:szCs w:val="20"/>
        <w:lang w:val="en-US"/>
      </w:rPr>
      <w:t>Submission of the Anti-Discrimination Commission Queensland</w:t>
    </w:r>
  </w:p>
  <w:p w:rsidR="0099050C" w:rsidRPr="00C8485E" w:rsidRDefault="0099050C">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50C" w:rsidRDefault="0099050C">
      <w:r>
        <w:separator/>
      </w:r>
    </w:p>
  </w:footnote>
  <w:footnote w:type="continuationSeparator" w:id="0">
    <w:p w:rsidR="0099050C" w:rsidRDefault="0099050C">
      <w:r>
        <w:continuationSeparator/>
      </w:r>
    </w:p>
  </w:footnote>
  <w:footnote w:id="1">
    <w:p w:rsidR="0099050C" w:rsidRPr="00203F6A" w:rsidRDefault="0099050C">
      <w:pPr>
        <w:pStyle w:val="FootnoteText"/>
        <w:rPr>
          <w:lang w:val="en-US"/>
        </w:rPr>
      </w:pPr>
      <w:r>
        <w:rPr>
          <w:rStyle w:val="FootnoteReference"/>
        </w:rPr>
        <w:footnoteRef/>
      </w:r>
      <w:r>
        <w:t xml:space="preserve"> </w:t>
      </w:r>
      <w:r>
        <w:rPr>
          <w:lang w:val="en-US"/>
        </w:rPr>
        <w:t xml:space="preserve">Infrastructure, Planning and Natural Resources Committee, Queensland Parliament, </w:t>
      </w:r>
      <w:r>
        <w:rPr>
          <w:i/>
          <w:lang w:val="en-US"/>
        </w:rPr>
        <w:t>Inquiry into fly-in, fly-out and other long distance work practices in regional Queensland</w:t>
      </w:r>
      <w:r>
        <w:rPr>
          <w:lang w:val="en-US"/>
        </w:rPr>
        <w:t xml:space="preserve"> (2015) iii.</w:t>
      </w:r>
    </w:p>
  </w:footnote>
  <w:footnote w:id="2">
    <w:p w:rsidR="0099050C" w:rsidRPr="00A11CF1" w:rsidRDefault="0099050C">
      <w:pPr>
        <w:pStyle w:val="FootnoteText"/>
        <w:rPr>
          <w:lang w:val="en-US"/>
        </w:rPr>
      </w:pPr>
      <w:r>
        <w:rPr>
          <w:rStyle w:val="FootnoteReference"/>
        </w:rPr>
        <w:footnoteRef/>
      </w:r>
      <w:r>
        <w:t xml:space="preserve"> </w:t>
      </w:r>
      <w:r>
        <w:rPr>
          <w:lang w:val="en-US"/>
        </w:rPr>
        <w:t xml:space="preserve">Including reprisals under the </w:t>
      </w:r>
      <w:r w:rsidRPr="00A11CF1">
        <w:rPr>
          <w:i/>
          <w:lang w:val="en-US"/>
        </w:rPr>
        <w:t>Public Interest Disclosure Act 2010</w:t>
      </w:r>
      <w:r>
        <w:rPr>
          <w:lang w:val="en-US"/>
        </w:rPr>
        <w:t>.</w:t>
      </w:r>
    </w:p>
  </w:footnote>
  <w:footnote w:id="3">
    <w:p w:rsidR="0099050C" w:rsidRPr="000D27CB" w:rsidRDefault="0099050C">
      <w:pPr>
        <w:pStyle w:val="FootnoteText"/>
        <w:rPr>
          <w:lang w:val="en-US"/>
        </w:rPr>
      </w:pPr>
      <w:r>
        <w:rPr>
          <w:rStyle w:val="FootnoteReference"/>
        </w:rPr>
        <w:footnoteRef/>
      </w:r>
      <w:r>
        <w:t xml:space="preserve"> </w:t>
      </w:r>
      <w:r w:rsidRPr="000D27CB">
        <w:rPr>
          <w:i/>
          <w:lang w:val="en-US"/>
        </w:rPr>
        <w:t>Equal Opportunity Act 2010</w:t>
      </w:r>
      <w:r>
        <w:rPr>
          <w:lang w:val="en-US"/>
        </w:rPr>
        <w:t xml:space="preserve"> (Vic); </w:t>
      </w:r>
      <w:r w:rsidRPr="000D27CB">
        <w:rPr>
          <w:i/>
          <w:lang w:val="en-US"/>
        </w:rPr>
        <w:t>Anti-Discrimination Act 1988</w:t>
      </w:r>
      <w:r>
        <w:rPr>
          <w:lang w:val="en-US"/>
        </w:rPr>
        <w:t xml:space="preserve"> (Tas); </w:t>
      </w:r>
      <w:r w:rsidRPr="000D27CB">
        <w:rPr>
          <w:i/>
          <w:lang w:val="en-US"/>
        </w:rPr>
        <w:t>Discrimination Act 1991</w:t>
      </w:r>
      <w:r>
        <w:rPr>
          <w:lang w:val="en-US"/>
        </w:rPr>
        <w:t xml:space="preserve"> (ACT); </w:t>
      </w:r>
      <w:r w:rsidRPr="000D27CB">
        <w:rPr>
          <w:i/>
          <w:lang w:val="en-US"/>
        </w:rPr>
        <w:t>Sex Discrimination Act 1984</w:t>
      </w:r>
      <w:r>
        <w:rPr>
          <w:lang w:val="en-US"/>
        </w:rPr>
        <w:t xml:space="preserve"> (Cth); </w:t>
      </w:r>
      <w:r w:rsidRPr="000D27CB">
        <w:rPr>
          <w:i/>
          <w:lang w:val="en-US"/>
        </w:rPr>
        <w:t>Disability Discrimination Act 1992</w:t>
      </w:r>
      <w:r>
        <w:rPr>
          <w:lang w:val="en-US"/>
        </w:rPr>
        <w:t xml:space="preserve"> (Cth); </w:t>
      </w:r>
      <w:r w:rsidRPr="000D27CB">
        <w:rPr>
          <w:i/>
          <w:lang w:val="en-US"/>
        </w:rPr>
        <w:t>Age Discrimination Act 2004</w:t>
      </w:r>
      <w:r>
        <w:rPr>
          <w:lang w:val="en-US"/>
        </w:rPr>
        <w:t xml:space="preserve"> (Cth).</w:t>
      </w:r>
    </w:p>
  </w:footnote>
  <w:footnote w:id="4">
    <w:p w:rsidR="0099050C" w:rsidRPr="004502CD" w:rsidRDefault="0099050C">
      <w:pPr>
        <w:pStyle w:val="FootnoteText"/>
        <w:rPr>
          <w:lang w:val="en-US"/>
        </w:rPr>
      </w:pPr>
      <w:r>
        <w:rPr>
          <w:rStyle w:val="FootnoteReference"/>
        </w:rPr>
        <w:footnoteRef/>
      </w:r>
      <w:r>
        <w:t xml:space="preserve"> </w:t>
      </w:r>
      <w:r>
        <w:rPr>
          <w:lang w:val="en-US"/>
        </w:rPr>
        <w:t xml:space="preserve">There are 16 grounds and 10 areas of activity.  See the Commission’s fact sheet </w:t>
      </w:r>
      <w:r>
        <w:rPr>
          <w:i/>
          <w:lang w:val="en-US"/>
        </w:rPr>
        <w:t>Discrimination: attributes and areas</w:t>
      </w:r>
      <w:r>
        <w:rPr>
          <w:lang w:val="en-US"/>
        </w:rPr>
        <w:t xml:space="preserve"> available at </w:t>
      </w:r>
      <w:hyperlink r:id="rId1" w:history="1">
        <w:r w:rsidRPr="002833C9">
          <w:rPr>
            <w:rStyle w:val="Hyperlink"/>
            <w:lang w:val="en-US"/>
          </w:rPr>
          <w:t>www.adcq.qld.gov.au/resources/brochures-and-guides/fact-sheets/discrimination-attributes-and-areas</w:t>
        </w:r>
      </w:hyperlink>
      <w:r>
        <w:rPr>
          <w:lang w:val="en-US"/>
        </w:rPr>
        <w:t xml:space="preserve">. </w:t>
      </w:r>
    </w:p>
  </w:footnote>
  <w:footnote w:id="5">
    <w:p w:rsidR="0099050C" w:rsidRPr="001F6698" w:rsidRDefault="0099050C">
      <w:pPr>
        <w:pStyle w:val="FootnoteText"/>
        <w:rPr>
          <w:lang w:val="en-US"/>
        </w:rPr>
      </w:pPr>
      <w:r>
        <w:rPr>
          <w:rStyle w:val="FootnoteReference"/>
        </w:rPr>
        <w:footnoteRef/>
      </w:r>
      <w:r>
        <w:t xml:space="preserve"> </w:t>
      </w:r>
      <w:r>
        <w:rPr>
          <w:i/>
          <w:lang w:val="en-US"/>
        </w:rPr>
        <w:t>Anti-Discrimination Act 1991</w:t>
      </w:r>
      <w:r>
        <w:rPr>
          <w:lang w:val="en-US"/>
        </w:rPr>
        <w:t>, section 124.</w:t>
      </w:r>
    </w:p>
  </w:footnote>
  <w:footnote w:id="6">
    <w:p w:rsidR="0099050C" w:rsidRPr="00B505CC" w:rsidRDefault="0099050C">
      <w:pPr>
        <w:pStyle w:val="FootnoteText"/>
        <w:rPr>
          <w:lang w:val="en-US"/>
        </w:rPr>
      </w:pPr>
      <w:r>
        <w:rPr>
          <w:rStyle w:val="FootnoteReference"/>
        </w:rPr>
        <w:footnoteRef/>
      </w:r>
      <w:r>
        <w:t xml:space="preserve"> </w:t>
      </w:r>
      <w:r>
        <w:rPr>
          <w:i/>
          <w:lang w:val="en-US"/>
        </w:rPr>
        <w:t>Anti-Discrimination Act 1991</w:t>
      </w:r>
      <w:r>
        <w:rPr>
          <w:lang w:val="en-US"/>
        </w:rPr>
        <w:t>, section 136.</w:t>
      </w:r>
    </w:p>
  </w:footnote>
  <w:footnote w:id="7">
    <w:p w:rsidR="0099050C" w:rsidRPr="00385D2A" w:rsidRDefault="0099050C">
      <w:pPr>
        <w:pStyle w:val="FootnoteText"/>
        <w:rPr>
          <w:lang w:val="en-US"/>
        </w:rPr>
      </w:pPr>
      <w:r>
        <w:rPr>
          <w:rStyle w:val="FootnoteReference"/>
        </w:rPr>
        <w:footnoteRef/>
      </w:r>
      <w:r>
        <w:t xml:space="preserve"> </w:t>
      </w:r>
      <w:r>
        <w:rPr>
          <w:lang w:val="en-US"/>
        </w:rPr>
        <w:t>Approximately 60% of accepted complaints are resolved through conciliation, with only approximately 25% being referred to the tribunal.</w:t>
      </w:r>
    </w:p>
  </w:footnote>
  <w:footnote w:id="8">
    <w:p w:rsidR="0099050C" w:rsidRPr="002E756A" w:rsidRDefault="0099050C">
      <w:pPr>
        <w:pStyle w:val="FootnoteText"/>
        <w:rPr>
          <w:lang w:val="en-US"/>
        </w:rPr>
      </w:pPr>
      <w:r>
        <w:rPr>
          <w:rStyle w:val="FootnoteReference"/>
        </w:rPr>
        <w:footnoteRef/>
      </w:r>
      <w:r>
        <w:t xml:space="preserve"> </w:t>
      </w:r>
      <w:r>
        <w:rPr>
          <w:i/>
          <w:lang w:val="en-US"/>
        </w:rPr>
        <w:t xml:space="preserve">Board of Bendigo Regional Institute of Technical and Further Education v Barclay </w:t>
      </w:r>
      <w:r>
        <w:rPr>
          <w:lang w:val="en-US"/>
        </w:rPr>
        <w:t>[2012] HCA 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50C" w:rsidRPr="00D41731" w:rsidRDefault="0099050C" w:rsidP="004147CC">
    <w:pPr>
      <w:pStyle w:val="Header"/>
      <w:pBdr>
        <w:bottom w:val="single" w:sz="12" w:space="1" w:color="8DB3E2" w:themeColor="text2" w:themeTint="66"/>
      </w:pBdr>
      <w:tabs>
        <w:tab w:val="right" w:pos="8364"/>
      </w:tabs>
      <w:rPr>
        <w:rFonts w:cs="Arial"/>
        <w:noProof/>
        <w:sz w:val="22"/>
        <w:lang w:val="en-US"/>
      </w:rPr>
    </w:pPr>
    <w:r>
      <w:rPr>
        <w:rFonts w:cs="Arial"/>
        <w:sz w:val="22"/>
        <w:lang w:val="en-US"/>
      </w:rPr>
      <w:t>Strong and Sustainable Resource Communities</w:t>
    </w:r>
    <w:r w:rsidRPr="00D41731">
      <w:rPr>
        <w:rFonts w:cs="Arial"/>
        <w:sz w:val="22"/>
        <w:lang w:val="en-US"/>
      </w:rPr>
      <w:t xml:space="preserve"> </w:t>
    </w:r>
    <w:r>
      <w:rPr>
        <w:rFonts w:cs="Arial"/>
        <w:sz w:val="22"/>
        <w:lang w:val="en-US"/>
      </w:rPr>
      <w:t>Bill 2016</w:t>
    </w:r>
    <w:r w:rsidRPr="00D41731">
      <w:rPr>
        <w:rFonts w:cs="Arial"/>
        <w:sz w:val="22"/>
        <w:lang w:val="en-US"/>
      </w:rPr>
      <w:tab/>
      <w:t xml:space="preserve">Page </w:t>
    </w:r>
    <w:r w:rsidRPr="00D41731">
      <w:rPr>
        <w:rFonts w:cs="Arial"/>
        <w:sz w:val="22"/>
        <w:lang w:val="en-US"/>
      </w:rPr>
      <w:fldChar w:fldCharType="begin"/>
    </w:r>
    <w:r w:rsidRPr="00D41731">
      <w:rPr>
        <w:rFonts w:cs="Arial"/>
        <w:sz w:val="22"/>
        <w:lang w:val="en-US"/>
      </w:rPr>
      <w:instrText xml:space="preserve"> PAGE   \* MERGEFORMAT </w:instrText>
    </w:r>
    <w:r w:rsidRPr="00D41731">
      <w:rPr>
        <w:rFonts w:cs="Arial"/>
        <w:sz w:val="22"/>
        <w:lang w:val="en-US"/>
      </w:rPr>
      <w:fldChar w:fldCharType="separate"/>
    </w:r>
    <w:r>
      <w:rPr>
        <w:rFonts w:cs="Arial"/>
        <w:noProof/>
        <w:sz w:val="22"/>
        <w:lang w:val="en-US"/>
      </w:rPr>
      <w:t>4</w:t>
    </w:r>
    <w:r w:rsidRPr="00D41731">
      <w:rPr>
        <w:rFonts w:cs="Arial"/>
        <w:noProof/>
        <w:sz w:val="22"/>
        <w:lang w:val="en-U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50C" w:rsidRDefault="0099050C" w:rsidP="004147CC">
    <w:pPr>
      <w:pStyle w:val="Header"/>
      <w:jc w:val="center"/>
    </w:pPr>
    <w:r>
      <w:rPr>
        <w:noProof/>
        <w:lang w:eastAsia="en-AU"/>
      </w:rPr>
      <w:drawing>
        <wp:inline distT="0" distB="0" distL="0" distR="0" wp14:anchorId="008D9652" wp14:editId="52CC8A40">
          <wp:extent cx="3286125" cy="469265"/>
          <wp:effectExtent l="0" t="0" r="9525" b="6985"/>
          <wp:docPr id="2" name="Picture 2" title="Anti-Discrimination Commission Queen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6125" cy="469265"/>
                  </a:xfrm>
                  <a:prstGeom prst="rect">
                    <a:avLst/>
                  </a:prstGeom>
                  <a:noFill/>
                </pic:spPr>
              </pic:pic>
            </a:graphicData>
          </a:graphic>
        </wp:inline>
      </w:drawing>
    </w:r>
  </w:p>
  <w:p w:rsidR="0099050C" w:rsidRDefault="0099050C">
    <w:pPr>
      <w:pStyle w:val="Header"/>
    </w:pPr>
  </w:p>
  <w:p w:rsidR="0099050C" w:rsidRDefault="0099050C">
    <w:pPr>
      <w:pStyle w:val="Header"/>
    </w:pPr>
  </w:p>
  <w:p w:rsidR="0099050C" w:rsidRDefault="0099050C">
    <w:pPr>
      <w:pStyle w:val="Header"/>
    </w:pPr>
  </w:p>
  <w:p w:rsidR="0099050C" w:rsidRDefault="009905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50C" w:rsidRDefault="0099050C" w:rsidP="004147CC">
    <w:pPr>
      <w:pStyle w:val="Header"/>
      <w:jc w:val="center"/>
    </w:pPr>
  </w:p>
  <w:p w:rsidR="0099050C" w:rsidRDefault="0099050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50C" w:rsidRDefault="0099050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50C" w:rsidRPr="00C8485E" w:rsidRDefault="0099050C" w:rsidP="00C8485E">
    <w:pPr>
      <w:pStyle w:val="Header"/>
      <w:pBdr>
        <w:bottom w:val="single" w:sz="12" w:space="1" w:color="8DB3E2" w:themeColor="text2" w:themeTint="66"/>
      </w:pBdr>
      <w:tabs>
        <w:tab w:val="right" w:pos="8364"/>
      </w:tabs>
      <w:rPr>
        <w:rFonts w:cs="Arial"/>
        <w:noProof/>
        <w:sz w:val="22"/>
        <w:lang w:val="en-US"/>
      </w:rPr>
    </w:pPr>
    <w:r>
      <w:rPr>
        <w:rFonts w:cs="Arial"/>
        <w:sz w:val="22"/>
        <w:lang w:val="en-US"/>
      </w:rPr>
      <w:t>Strong and Sustainable Resource Communities</w:t>
    </w:r>
    <w:r w:rsidRPr="00D41731">
      <w:rPr>
        <w:rFonts w:cs="Arial"/>
        <w:sz w:val="22"/>
        <w:lang w:val="en-US"/>
      </w:rPr>
      <w:t xml:space="preserve"> </w:t>
    </w:r>
    <w:r>
      <w:rPr>
        <w:rFonts w:cs="Arial"/>
        <w:sz w:val="22"/>
        <w:lang w:val="en-US"/>
      </w:rPr>
      <w:t>Bill 2016</w:t>
    </w:r>
    <w:r w:rsidRPr="00D41731">
      <w:rPr>
        <w:rFonts w:cs="Arial"/>
        <w:sz w:val="22"/>
        <w:lang w:val="en-US"/>
      </w:rPr>
      <w:tab/>
      <w:t xml:space="preserve">Page </w:t>
    </w:r>
    <w:r w:rsidRPr="00D41731">
      <w:rPr>
        <w:rFonts w:cs="Arial"/>
        <w:sz w:val="22"/>
        <w:lang w:val="en-US"/>
      </w:rPr>
      <w:fldChar w:fldCharType="begin"/>
    </w:r>
    <w:r w:rsidRPr="00D41731">
      <w:rPr>
        <w:rFonts w:cs="Arial"/>
        <w:sz w:val="22"/>
        <w:lang w:val="en-US"/>
      </w:rPr>
      <w:instrText xml:space="preserve"> PAGE   \* MERGEFORMAT </w:instrText>
    </w:r>
    <w:r w:rsidRPr="00D41731">
      <w:rPr>
        <w:rFonts w:cs="Arial"/>
        <w:sz w:val="22"/>
        <w:lang w:val="en-US"/>
      </w:rPr>
      <w:fldChar w:fldCharType="separate"/>
    </w:r>
    <w:r w:rsidR="005B61AE">
      <w:rPr>
        <w:rFonts w:cs="Arial"/>
        <w:noProof/>
        <w:sz w:val="22"/>
        <w:lang w:val="en-US"/>
      </w:rPr>
      <w:t>8</w:t>
    </w:r>
    <w:r w:rsidRPr="00D41731">
      <w:rPr>
        <w:rFonts w:cs="Arial"/>
        <w:noProof/>
        <w:sz w:val="22"/>
        <w:lang w:val="en-US"/>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50C" w:rsidRDefault="009905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E4577"/>
    <w:multiLevelType w:val="hybridMultilevel"/>
    <w:tmpl w:val="73FE3A0A"/>
    <w:lvl w:ilvl="0" w:tplc="561017C8">
      <w:start w:val="1"/>
      <w:numFmt w:val="decimal"/>
      <w:lvlText w:val="%1."/>
      <w:lvlJc w:val="left"/>
      <w:pPr>
        <w:ind w:left="502" w:hanging="360"/>
      </w:pPr>
      <w:rPr>
        <w:b w:val="0"/>
        <w:sz w:val="22"/>
        <w:szCs w:val="24"/>
      </w:rPr>
    </w:lvl>
    <w:lvl w:ilvl="1" w:tplc="EF984938">
      <w:start w:val="1"/>
      <w:numFmt w:val="lowerLetter"/>
      <w:lvlText w:val="(%2)"/>
      <w:lvlJc w:val="left"/>
      <w:pPr>
        <w:ind w:left="1440" w:hanging="360"/>
      </w:pPr>
      <w:rPr>
        <w:rFonts w:ascii="Arial" w:hAnsi="Arial" w:cs="Arial" w:hint="default"/>
        <w:b w:val="0"/>
        <w:i w:val="0"/>
        <w:sz w:val="22"/>
      </w:rPr>
    </w:lvl>
    <w:lvl w:ilvl="2" w:tplc="29D67B2A">
      <w:start w:val="1"/>
      <w:numFmt w:val="upperLetter"/>
      <w:lvlText w:val="(%3)"/>
      <w:lvlJc w:val="left"/>
      <w:pPr>
        <w:ind w:left="2370" w:hanging="39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85E"/>
    <w:rsid w:val="0000019B"/>
    <w:rsid w:val="00000A42"/>
    <w:rsid w:val="00001726"/>
    <w:rsid w:val="00001E36"/>
    <w:rsid w:val="00011289"/>
    <w:rsid w:val="0001660A"/>
    <w:rsid w:val="00017B8B"/>
    <w:rsid w:val="00021B77"/>
    <w:rsid w:val="00021CB3"/>
    <w:rsid w:val="00022CFE"/>
    <w:rsid w:val="0002407A"/>
    <w:rsid w:val="000255AA"/>
    <w:rsid w:val="00026C2A"/>
    <w:rsid w:val="00034426"/>
    <w:rsid w:val="00035813"/>
    <w:rsid w:val="0003738B"/>
    <w:rsid w:val="000436B1"/>
    <w:rsid w:val="00043ACE"/>
    <w:rsid w:val="000444CA"/>
    <w:rsid w:val="00044AB9"/>
    <w:rsid w:val="00044DC8"/>
    <w:rsid w:val="00046BA5"/>
    <w:rsid w:val="0005257E"/>
    <w:rsid w:val="00055999"/>
    <w:rsid w:val="00056179"/>
    <w:rsid w:val="0006292C"/>
    <w:rsid w:val="000758B1"/>
    <w:rsid w:val="00075E15"/>
    <w:rsid w:val="000811AC"/>
    <w:rsid w:val="0008355C"/>
    <w:rsid w:val="00084A79"/>
    <w:rsid w:val="00084C56"/>
    <w:rsid w:val="00085838"/>
    <w:rsid w:val="00086635"/>
    <w:rsid w:val="0009065C"/>
    <w:rsid w:val="00091F40"/>
    <w:rsid w:val="000923B4"/>
    <w:rsid w:val="0009438A"/>
    <w:rsid w:val="00094907"/>
    <w:rsid w:val="000955CA"/>
    <w:rsid w:val="000A0941"/>
    <w:rsid w:val="000A1844"/>
    <w:rsid w:val="000A50DA"/>
    <w:rsid w:val="000A60AF"/>
    <w:rsid w:val="000A68BE"/>
    <w:rsid w:val="000A6A45"/>
    <w:rsid w:val="000B5115"/>
    <w:rsid w:val="000B5B10"/>
    <w:rsid w:val="000B7DE2"/>
    <w:rsid w:val="000C0356"/>
    <w:rsid w:val="000C365D"/>
    <w:rsid w:val="000C3B16"/>
    <w:rsid w:val="000C3C85"/>
    <w:rsid w:val="000C443A"/>
    <w:rsid w:val="000C68B7"/>
    <w:rsid w:val="000C6BA9"/>
    <w:rsid w:val="000D1452"/>
    <w:rsid w:val="000D2137"/>
    <w:rsid w:val="000D27CB"/>
    <w:rsid w:val="000D2957"/>
    <w:rsid w:val="000D624C"/>
    <w:rsid w:val="000D6F19"/>
    <w:rsid w:val="000E0027"/>
    <w:rsid w:val="000E2E5F"/>
    <w:rsid w:val="000E4806"/>
    <w:rsid w:val="000E6B4E"/>
    <w:rsid w:val="000E7485"/>
    <w:rsid w:val="000F1F01"/>
    <w:rsid w:val="000F5760"/>
    <w:rsid w:val="000F6F0B"/>
    <w:rsid w:val="00100BA2"/>
    <w:rsid w:val="001015B8"/>
    <w:rsid w:val="00101886"/>
    <w:rsid w:val="0010204E"/>
    <w:rsid w:val="00104C79"/>
    <w:rsid w:val="00111043"/>
    <w:rsid w:val="001117C3"/>
    <w:rsid w:val="0011397B"/>
    <w:rsid w:val="00116845"/>
    <w:rsid w:val="001217F7"/>
    <w:rsid w:val="0012585A"/>
    <w:rsid w:val="00125C2C"/>
    <w:rsid w:val="001304AB"/>
    <w:rsid w:val="001315F3"/>
    <w:rsid w:val="00132D68"/>
    <w:rsid w:val="0013570E"/>
    <w:rsid w:val="00135AAF"/>
    <w:rsid w:val="00141B78"/>
    <w:rsid w:val="00142480"/>
    <w:rsid w:val="0016012F"/>
    <w:rsid w:val="0016451E"/>
    <w:rsid w:val="001669A4"/>
    <w:rsid w:val="00170BB7"/>
    <w:rsid w:val="00175DA5"/>
    <w:rsid w:val="0017757F"/>
    <w:rsid w:val="00177F8B"/>
    <w:rsid w:val="001823D5"/>
    <w:rsid w:val="00182A29"/>
    <w:rsid w:val="001900BF"/>
    <w:rsid w:val="00190317"/>
    <w:rsid w:val="00190379"/>
    <w:rsid w:val="0019074F"/>
    <w:rsid w:val="00191C62"/>
    <w:rsid w:val="00191E4A"/>
    <w:rsid w:val="0019445D"/>
    <w:rsid w:val="00194D21"/>
    <w:rsid w:val="0019563D"/>
    <w:rsid w:val="001A3F82"/>
    <w:rsid w:val="001A63C1"/>
    <w:rsid w:val="001B1EEE"/>
    <w:rsid w:val="001B31AD"/>
    <w:rsid w:val="001B324D"/>
    <w:rsid w:val="001B4B3B"/>
    <w:rsid w:val="001B56A5"/>
    <w:rsid w:val="001B6D46"/>
    <w:rsid w:val="001C332D"/>
    <w:rsid w:val="001C353E"/>
    <w:rsid w:val="001C6B68"/>
    <w:rsid w:val="001C706E"/>
    <w:rsid w:val="001D7746"/>
    <w:rsid w:val="001E003E"/>
    <w:rsid w:val="001E17DF"/>
    <w:rsid w:val="001E1E03"/>
    <w:rsid w:val="001E5E0A"/>
    <w:rsid w:val="001F06A8"/>
    <w:rsid w:val="001F1C58"/>
    <w:rsid w:val="001F1C62"/>
    <w:rsid w:val="001F42F9"/>
    <w:rsid w:val="001F5E47"/>
    <w:rsid w:val="001F6698"/>
    <w:rsid w:val="00200D0A"/>
    <w:rsid w:val="00203A24"/>
    <w:rsid w:val="00203F6A"/>
    <w:rsid w:val="00205EEE"/>
    <w:rsid w:val="0020694B"/>
    <w:rsid w:val="002109A5"/>
    <w:rsid w:val="002127BA"/>
    <w:rsid w:val="0021319B"/>
    <w:rsid w:val="00214FDD"/>
    <w:rsid w:val="00222A34"/>
    <w:rsid w:val="002247EE"/>
    <w:rsid w:val="00230261"/>
    <w:rsid w:val="00230B5E"/>
    <w:rsid w:val="002347FF"/>
    <w:rsid w:val="00241501"/>
    <w:rsid w:val="00241D9D"/>
    <w:rsid w:val="00245A82"/>
    <w:rsid w:val="00245EC7"/>
    <w:rsid w:val="0024640A"/>
    <w:rsid w:val="002479CC"/>
    <w:rsid w:val="00251F96"/>
    <w:rsid w:val="00255599"/>
    <w:rsid w:val="0025622A"/>
    <w:rsid w:val="002577DF"/>
    <w:rsid w:val="00266D9E"/>
    <w:rsid w:val="002731DA"/>
    <w:rsid w:val="00274D6A"/>
    <w:rsid w:val="002802D0"/>
    <w:rsid w:val="00281A52"/>
    <w:rsid w:val="00281A81"/>
    <w:rsid w:val="002825BA"/>
    <w:rsid w:val="00283083"/>
    <w:rsid w:val="00283B19"/>
    <w:rsid w:val="00284090"/>
    <w:rsid w:val="00285495"/>
    <w:rsid w:val="002920A1"/>
    <w:rsid w:val="002921A2"/>
    <w:rsid w:val="00296A16"/>
    <w:rsid w:val="002A0320"/>
    <w:rsid w:val="002A0529"/>
    <w:rsid w:val="002A155C"/>
    <w:rsid w:val="002A163F"/>
    <w:rsid w:val="002A2C36"/>
    <w:rsid w:val="002A2D51"/>
    <w:rsid w:val="002A433C"/>
    <w:rsid w:val="002A4505"/>
    <w:rsid w:val="002A54A2"/>
    <w:rsid w:val="002B1E03"/>
    <w:rsid w:val="002B2DF7"/>
    <w:rsid w:val="002C5BCB"/>
    <w:rsid w:val="002D0858"/>
    <w:rsid w:val="002D1735"/>
    <w:rsid w:val="002D2336"/>
    <w:rsid w:val="002D3074"/>
    <w:rsid w:val="002D53D7"/>
    <w:rsid w:val="002D5412"/>
    <w:rsid w:val="002D597B"/>
    <w:rsid w:val="002D5AF6"/>
    <w:rsid w:val="002D5CF8"/>
    <w:rsid w:val="002E0D75"/>
    <w:rsid w:val="002E22B0"/>
    <w:rsid w:val="002E2EED"/>
    <w:rsid w:val="002E6627"/>
    <w:rsid w:val="002E6F02"/>
    <w:rsid w:val="002E756A"/>
    <w:rsid w:val="002E7F41"/>
    <w:rsid w:val="002F0800"/>
    <w:rsid w:val="002F71A9"/>
    <w:rsid w:val="00302CA9"/>
    <w:rsid w:val="00303766"/>
    <w:rsid w:val="00304382"/>
    <w:rsid w:val="003063BE"/>
    <w:rsid w:val="0030666B"/>
    <w:rsid w:val="00306C25"/>
    <w:rsid w:val="00311D92"/>
    <w:rsid w:val="00312C08"/>
    <w:rsid w:val="00314979"/>
    <w:rsid w:val="00314A9B"/>
    <w:rsid w:val="003156AF"/>
    <w:rsid w:val="00322B33"/>
    <w:rsid w:val="00323FEF"/>
    <w:rsid w:val="0032443C"/>
    <w:rsid w:val="00326AE0"/>
    <w:rsid w:val="00326E92"/>
    <w:rsid w:val="00327D5B"/>
    <w:rsid w:val="003300A9"/>
    <w:rsid w:val="00334A83"/>
    <w:rsid w:val="003357B6"/>
    <w:rsid w:val="0033686A"/>
    <w:rsid w:val="003419F4"/>
    <w:rsid w:val="003436E6"/>
    <w:rsid w:val="00344975"/>
    <w:rsid w:val="00345260"/>
    <w:rsid w:val="003517D4"/>
    <w:rsid w:val="0035231A"/>
    <w:rsid w:val="00355D33"/>
    <w:rsid w:val="00356DE8"/>
    <w:rsid w:val="003604A2"/>
    <w:rsid w:val="00362104"/>
    <w:rsid w:val="00363FD9"/>
    <w:rsid w:val="00370D69"/>
    <w:rsid w:val="00374EDB"/>
    <w:rsid w:val="00375DD6"/>
    <w:rsid w:val="00377558"/>
    <w:rsid w:val="003778C0"/>
    <w:rsid w:val="00380D78"/>
    <w:rsid w:val="003832FE"/>
    <w:rsid w:val="0038337A"/>
    <w:rsid w:val="00384877"/>
    <w:rsid w:val="003849AD"/>
    <w:rsid w:val="00384A8A"/>
    <w:rsid w:val="00385D2A"/>
    <w:rsid w:val="00391566"/>
    <w:rsid w:val="00395CBD"/>
    <w:rsid w:val="0039686A"/>
    <w:rsid w:val="003A274F"/>
    <w:rsid w:val="003A6A47"/>
    <w:rsid w:val="003A6B67"/>
    <w:rsid w:val="003B588A"/>
    <w:rsid w:val="003B5ACE"/>
    <w:rsid w:val="003B7781"/>
    <w:rsid w:val="003B7D31"/>
    <w:rsid w:val="003C127C"/>
    <w:rsid w:val="003C2555"/>
    <w:rsid w:val="003C3534"/>
    <w:rsid w:val="003C4FB0"/>
    <w:rsid w:val="003C55C5"/>
    <w:rsid w:val="003D18B4"/>
    <w:rsid w:val="003D2464"/>
    <w:rsid w:val="003D3458"/>
    <w:rsid w:val="003D375A"/>
    <w:rsid w:val="003E1D97"/>
    <w:rsid w:val="003E6496"/>
    <w:rsid w:val="003E7D4E"/>
    <w:rsid w:val="003F2612"/>
    <w:rsid w:val="003F3CB6"/>
    <w:rsid w:val="003F438D"/>
    <w:rsid w:val="003F6520"/>
    <w:rsid w:val="003F7D62"/>
    <w:rsid w:val="003F7FFD"/>
    <w:rsid w:val="00401BEC"/>
    <w:rsid w:val="004050F6"/>
    <w:rsid w:val="00405741"/>
    <w:rsid w:val="00405B77"/>
    <w:rsid w:val="00411C6A"/>
    <w:rsid w:val="00413AF7"/>
    <w:rsid w:val="004147CC"/>
    <w:rsid w:val="00414833"/>
    <w:rsid w:val="00415F6C"/>
    <w:rsid w:val="0041623D"/>
    <w:rsid w:val="004218E8"/>
    <w:rsid w:val="00424B4C"/>
    <w:rsid w:val="00426410"/>
    <w:rsid w:val="00427DB6"/>
    <w:rsid w:val="00427EDC"/>
    <w:rsid w:val="00430E59"/>
    <w:rsid w:val="00433286"/>
    <w:rsid w:val="0043381D"/>
    <w:rsid w:val="00447465"/>
    <w:rsid w:val="004478DA"/>
    <w:rsid w:val="004502CD"/>
    <w:rsid w:val="00450F22"/>
    <w:rsid w:val="004517BD"/>
    <w:rsid w:val="004538FA"/>
    <w:rsid w:val="00454155"/>
    <w:rsid w:val="0045558E"/>
    <w:rsid w:val="00457C1B"/>
    <w:rsid w:val="00457EA3"/>
    <w:rsid w:val="00460C14"/>
    <w:rsid w:val="00461A05"/>
    <w:rsid w:val="00461DA0"/>
    <w:rsid w:val="00462144"/>
    <w:rsid w:val="00462C5D"/>
    <w:rsid w:val="00466C9F"/>
    <w:rsid w:val="004670F9"/>
    <w:rsid w:val="00475D96"/>
    <w:rsid w:val="00480D07"/>
    <w:rsid w:val="004813C4"/>
    <w:rsid w:val="004833E0"/>
    <w:rsid w:val="0048451E"/>
    <w:rsid w:val="004945ED"/>
    <w:rsid w:val="004962BA"/>
    <w:rsid w:val="00496A11"/>
    <w:rsid w:val="0049735F"/>
    <w:rsid w:val="00497B74"/>
    <w:rsid w:val="004A7318"/>
    <w:rsid w:val="004A75B9"/>
    <w:rsid w:val="004B3081"/>
    <w:rsid w:val="004B375E"/>
    <w:rsid w:val="004B60DD"/>
    <w:rsid w:val="004C08E5"/>
    <w:rsid w:val="004C0AF8"/>
    <w:rsid w:val="004C1E7C"/>
    <w:rsid w:val="004C224D"/>
    <w:rsid w:val="004C2E9B"/>
    <w:rsid w:val="004C378D"/>
    <w:rsid w:val="004C63C4"/>
    <w:rsid w:val="004D1010"/>
    <w:rsid w:val="004D3F5D"/>
    <w:rsid w:val="004D4015"/>
    <w:rsid w:val="004D4F51"/>
    <w:rsid w:val="004D582F"/>
    <w:rsid w:val="004D62F3"/>
    <w:rsid w:val="004D6A3B"/>
    <w:rsid w:val="004D6C60"/>
    <w:rsid w:val="004E2745"/>
    <w:rsid w:val="004E5BBD"/>
    <w:rsid w:val="005005F7"/>
    <w:rsid w:val="005037DD"/>
    <w:rsid w:val="005045AC"/>
    <w:rsid w:val="00507039"/>
    <w:rsid w:val="00507E1A"/>
    <w:rsid w:val="00514CB3"/>
    <w:rsid w:val="00523B23"/>
    <w:rsid w:val="0052672A"/>
    <w:rsid w:val="00530FD0"/>
    <w:rsid w:val="00531819"/>
    <w:rsid w:val="00533C0C"/>
    <w:rsid w:val="0053520F"/>
    <w:rsid w:val="005363C1"/>
    <w:rsid w:val="00537DE7"/>
    <w:rsid w:val="005419E2"/>
    <w:rsid w:val="00542057"/>
    <w:rsid w:val="00550201"/>
    <w:rsid w:val="00554432"/>
    <w:rsid w:val="0055468A"/>
    <w:rsid w:val="00563015"/>
    <w:rsid w:val="00565E60"/>
    <w:rsid w:val="00566C61"/>
    <w:rsid w:val="0056726F"/>
    <w:rsid w:val="00571939"/>
    <w:rsid w:val="0058388F"/>
    <w:rsid w:val="00583A8D"/>
    <w:rsid w:val="00587C5B"/>
    <w:rsid w:val="005907B5"/>
    <w:rsid w:val="00593F2E"/>
    <w:rsid w:val="00594391"/>
    <w:rsid w:val="005952D3"/>
    <w:rsid w:val="005A2191"/>
    <w:rsid w:val="005A2ECB"/>
    <w:rsid w:val="005A34ED"/>
    <w:rsid w:val="005A55E1"/>
    <w:rsid w:val="005B1923"/>
    <w:rsid w:val="005B2EA3"/>
    <w:rsid w:val="005B51EA"/>
    <w:rsid w:val="005B61AE"/>
    <w:rsid w:val="005B7867"/>
    <w:rsid w:val="005C2881"/>
    <w:rsid w:val="005C2F0B"/>
    <w:rsid w:val="005C33A0"/>
    <w:rsid w:val="005C756A"/>
    <w:rsid w:val="005D48EE"/>
    <w:rsid w:val="005D55C8"/>
    <w:rsid w:val="005D5820"/>
    <w:rsid w:val="005D59EC"/>
    <w:rsid w:val="005D5ED0"/>
    <w:rsid w:val="005D61CF"/>
    <w:rsid w:val="005E35D0"/>
    <w:rsid w:val="005E7080"/>
    <w:rsid w:val="005F07D5"/>
    <w:rsid w:val="005F0976"/>
    <w:rsid w:val="005F0AB1"/>
    <w:rsid w:val="005F58B5"/>
    <w:rsid w:val="005F625D"/>
    <w:rsid w:val="006003DB"/>
    <w:rsid w:val="006007FC"/>
    <w:rsid w:val="00602470"/>
    <w:rsid w:val="00602F7F"/>
    <w:rsid w:val="00610FEE"/>
    <w:rsid w:val="0061208F"/>
    <w:rsid w:val="00613A57"/>
    <w:rsid w:val="0062111E"/>
    <w:rsid w:val="00621C0B"/>
    <w:rsid w:val="00622084"/>
    <w:rsid w:val="006276D6"/>
    <w:rsid w:val="00632ADC"/>
    <w:rsid w:val="00640A1B"/>
    <w:rsid w:val="00641D05"/>
    <w:rsid w:val="00646CA7"/>
    <w:rsid w:val="006504CD"/>
    <w:rsid w:val="0065244D"/>
    <w:rsid w:val="00655100"/>
    <w:rsid w:val="00655E0A"/>
    <w:rsid w:val="006607F2"/>
    <w:rsid w:val="006624F8"/>
    <w:rsid w:val="00665ADC"/>
    <w:rsid w:val="00672160"/>
    <w:rsid w:val="00672CE4"/>
    <w:rsid w:val="006730FA"/>
    <w:rsid w:val="00681647"/>
    <w:rsid w:val="00682B00"/>
    <w:rsid w:val="00683308"/>
    <w:rsid w:val="00686128"/>
    <w:rsid w:val="00686568"/>
    <w:rsid w:val="006866F1"/>
    <w:rsid w:val="00697DA7"/>
    <w:rsid w:val="006A0ADA"/>
    <w:rsid w:val="006A0FC8"/>
    <w:rsid w:val="006A4B34"/>
    <w:rsid w:val="006A7F1F"/>
    <w:rsid w:val="006B0908"/>
    <w:rsid w:val="006B1069"/>
    <w:rsid w:val="006B545C"/>
    <w:rsid w:val="006C2826"/>
    <w:rsid w:val="006C2A3E"/>
    <w:rsid w:val="006D04FF"/>
    <w:rsid w:val="006D1EA6"/>
    <w:rsid w:val="006D2D7B"/>
    <w:rsid w:val="006D3058"/>
    <w:rsid w:val="006E10E5"/>
    <w:rsid w:val="006E1EF2"/>
    <w:rsid w:val="006E2A1B"/>
    <w:rsid w:val="006E5819"/>
    <w:rsid w:val="006E5A1B"/>
    <w:rsid w:val="006E5B37"/>
    <w:rsid w:val="006F0A19"/>
    <w:rsid w:val="006F0E69"/>
    <w:rsid w:val="006F1529"/>
    <w:rsid w:val="006F3DC3"/>
    <w:rsid w:val="006F43EA"/>
    <w:rsid w:val="006F56AE"/>
    <w:rsid w:val="006F6DE8"/>
    <w:rsid w:val="007014ED"/>
    <w:rsid w:val="007031FE"/>
    <w:rsid w:val="00704E9B"/>
    <w:rsid w:val="00705E8B"/>
    <w:rsid w:val="007103FE"/>
    <w:rsid w:val="00715619"/>
    <w:rsid w:val="007166CF"/>
    <w:rsid w:val="0071756B"/>
    <w:rsid w:val="00722571"/>
    <w:rsid w:val="0072334C"/>
    <w:rsid w:val="00723E2D"/>
    <w:rsid w:val="00723ED0"/>
    <w:rsid w:val="00727127"/>
    <w:rsid w:val="00734171"/>
    <w:rsid w:val="0073589C"/>
    <w:rsid w:val="00736D19"/>
    <w:rsid w:val="00741659"/>
    <w:rsid w:val="00744657"/>
    <w:rsid w:val="0074491E"/>
    <w:rsid w:val="00754860"/>
    <w:rsid w:val="007560C9"/>
    <w:rsid w:val="0075701F"/>
    <w:rsid w:val="007612BB"/>
    <w:rsid w:val="00763098"/>
    <w:rsid w:val="00763EDD"/>
    <w:rsid w:val="00764390"/>
    <w:rsid w:val="0076454E"/>
    <w:rsid w:val="007759C2"/>
    <w:rsid w:val="00776A95"/>
    <w:rsid w:val="00776BA2"/>
    <w:rsid w:val="0078325D"/>
    <w:rsid w:val="0078592F"/>
    <w:rsid w:val="00787E42"/>
    <w:rsid w:val="0079213A"/>
    <w:rsid w:val="0079353E"/>
    <w:rsid w:val="007A1745"/>
    <w:rsid w:val="007A6B71"/>
    <w:rsid w:val="007B0163"/>
    <w:rsid w:val="007B0CED"/>
    <w:rsid w:val="007B1018"/>
    <w:rsid w:val="007B6224"/>
    <w:rsid w:val="007B72FE"/>
    <w:rsid w:val="007C00FC"/>
    <w:rsid w:val="007C08D5"/>
    <w:rsid w:val="007C1F87"/>
    <w:rsid w:val="007C68D0"/>
    <w:rsid w:val="007C6DD9"/>
    <w:rsid w:val="007D3EB1"/>
    <w:rsid w:val="007D4FB4"/>
    <w:rsid w:val="007D598F"/>
    <w:rsid w:val="007D5EEF"/>
    <w:rsid w:val="007D6F3E"/>
    <w:rsid w:val="007D763B"/>
    <w:rsid w:val="007E1309"/>
    <w:rsid w:val="007E52D8"/>
    <w:rsid w:val="007F1CBA"/>
    <w:rsid w:val="007F6445"/>
    <w:rsid w:val="007F6A76"/>
    <w:rsid w:val="008029A8"/>
    <w:rsid w:val="008035AA"/>
    <w:rsid w:val="008041B3"/>
    <w:rsid w:val="00810F2F"/>
    <w:rsid w:val="008115F0"/>
    <w:rsid w:val="0081170C"/>
    <w:rsid w:val="008126F9"/>
    <w:rsid w:val="0081650A"/>
    <w:rsid w:val="008166F7"/>
    <w:rsid w:val="008253D2"/>
    <w:rsid w:val="00832FF6"/>
    <w:rsid w:val="00833741"/>
    <w:rsid w:val="00833E2E"/>
    <w:rsid w:val="008352FF"/>
    <w:rsid w:val="008361E5"/>
    <w:rsid w:val="00841170"/>
    <w:rsid w:val="008413ED"/>
    <w:rsid w:val="008414DB"/>
    <w:rsid w:val="00841EC2"/>
    <w:rsid w:val="00842F8D"/>
    <w:rsid w:val="00843177"/>
    <w:rsid w:val="0084599F"/>
    <w:rsid w:val="00847AA5"/>
    <w:rsid w:val="008544A3"/>
    <w:rsid w:val="00855B35"/>
    <w:rsid w:val="00855EC9"/>
    <w:rsid w:val="0085798F"/>
    <w:rsid w:val="00864F60"/>
    <w:rsid w:val="008665DA"/>
    <w:rsid w:val="008701DC"/>
    <w:rsid w:val="00870F05"/>
    <w:rsid w:val="008727AA"/>
    <w:rsid w:val="008729E4"/>
    <w:rsid w:val="00872BFA"/>
    <w:rsid w:val="008753DF"/>
    <w:rsid w:val="00877A99"/>
    <w:rsid w:val="00881343"/>
    <w:rsid w:val="0088428A"/>
    <w:rsid w:val="00890121"/>
    <w:rsid w:val="0089097C"/>
    <w:rsid w:val="00890D99"/>
    <w:rsid w:val="00890ED4"/>
    <w:rsid w:val="00893B29"/>
    <w:rsid w:val="0089499C"/>
    <w:rsid w:val="00895515"/>
    <w:rsid w:val="00895B11"/>
    <w:rsid w:val="008977BC"/>
    <w:rsid w:val="008A375B"/>
    <w:rsid w:val="008A61C5"/>
    <w:rsid w:val="008A6C6F"/>
    <w:rsid w:val="008B035F"/>
    <w:rsid w:val="008B05DF"/>
    <w:rsid w:val="008B7B86"/>
    <w:rsid w:val="008C1814"/>
    <w:rsid w:val="008C2B9F"/>
    <w:rsid w:val="008C496D"/>
    <w:rsid w:val="008C5938"/>
    <w:rsid w:val="008C5A48"/>
    <w:rsid w:val="008C5A64"/>
    <w:rsid w:val="008D09AB"/>
    <w:rsid w:val="008D09DB"/>
    <w:rsid w:val="008D27D9"/>
    <w:rsid w:val="008D4625"/>
    <w:rsid w:val="008D6537"/>
    <w:rsid w:val="008D708A"/>
    <w:rsid w:val="008D771E"/>
    <w:rsid w:val="008E094A"/>
    <w:rsid w:val="008E7364"/>
    <w:rsid w:val="008E73B0"/>
    <w:rsid w:val="008F3788"/>
    <w:rsid w:val="008F500B"/>
    <w:rsid w:val="008F53FF"/>
    <w:rsid w:val="008F6F9C"/>
    <w:rsid w:val="00904059"/>
    <w:rsid w:val="00904564"/>
    <w:rsid w:val="00906E3F"/>
    <w:rsid w:val="00906EAF"/>
    <w:rsid w:val="009106E1"/>
    <w:rsid w:val="009110B0"/>
    <w:rsid w:val="0092101B"/>
    <w:rsid w:val="0092249C"/>
    <w:rsid w:val="00922ED9"/>
    <w:rsid w:val="009234DB"/>
    <w:rsid w:val="00924C30"/>
    <w:rsid w:val="00926901"/>
    <w:rsid w:val="00927174"/>
    <w:rsid w:val="009278E4"/>
    <w:rsid w:val="0093191F"/>
    <w:rsid w:val="00932239"/>
    <w:rsid w:val="009325F5"/>
    <w:rsid w:val="00933BEB"/>
    <w:rsid w:val="00935399"/>
    <w:rsid w:val="00941695"/>
    <w:rsid w:val="009502FD"/>
    <w:rsid w:val="00952726"/>
    <w:rsid w:val="0095789B"/>
    <w:rsid w:val="0096032D"/>
    <w:rsid w:val="00960C95"/>
    <w:rsid w:val="009648DC"/>
    <w:rsid w:val="00967D84"/>
    <w:rsid w:val="009728DB"/>
    <w:rsid w:val="00973B44"/>
    <w:rsid w:val="00974089"/>
    <w:rsid w:val="009748D8"/>
    <w:rsid w:val="009754B7"/>
    <w:rsid w:val="009832F8"/>
    <w:rsid w:val="00983947"/>
    <w:rsid w:val="0099050C"/>
    <w:rsid w:val="009917EF"/>
    <w:rsid w:val="00992FF2"/>
    <w:rsid w:val="00993DC9"/>
    <w:rsid w:val="00995114"/>
    <w:rsid w:val="00997D3E"/>
    <w:rsid w:val="009A27DC"/>
    <w:rsid w:val="009A3E44"/>
    <w:rsid w:val="009A6689"/>
    <w:rsid w:val="009B47EF"/>
    <w:rsid w:val="009B6BE5"/>
    <w:rsid w:val="009B774E"/>
    <w:rsid w:val="009C2258"/>
    <w:rsid w:val="009C3FDA"/>
    <w:rsid w:val="009D092B"/>
    <w:rsid w:val="009D1939"/>
    <w:rsid w:val="009D6358"/>
    <w:rsid w:val="009D71EC"/>
    <w:rsid w:val="009E0EC8"/>
    <w:rsid w:val="009E2A26"/>
    <w:rsid w:val="009E75CE"/>
    <w:rsid w:val="009E76CD"/>
    <w:rsid w:val="009E79AB"/>
    <w:rsid w:val="009E7B28"/>
    <w:rsid w:val="009E7FAA"/>
    <w:rsid w:val="009F015A"/>
    <w:rsid w:val="009F0D1C"/>
    <w:rsid w:val="009F1555"/>
    <w:rsid w:val="009F739C"/>
    <w:rsid w:val="009F76B9"/>
    <w:rsid w:val="009F7AFC"/>
    <w:rsid w:val="009F7E03"/>
    <w:rsid w:val="00A00363"/>
    <w:rsid w:val="00A01051"/>
    <w:rsid w:val="00A01DBB"/>
    <w:rsid w:val="00A036B6"/>
    <w:rsid w:val="00A04914"/>
    <w:rsid w:val="00A05C68"/>
    <w:rsid w:val="00A11B96"/>
    <w:rsid w:val="00A11CF1"/>
    <w:rsid w:val="00A12583"/>
    <w:rsid w:val="00A14C3C"/>
    <w:rsid w:val="00A2103F"/>
    <w:rsid w:val="00A210D4"/>
    <w:rsid w:val="00A2127D"/>
    <w:rsid w:val="00A21612"/>
    <w:rsid w:val="00A22259"/>
    <w:rsid w:val="00A24B7D"/>
    <w:rsid w:val="00A35AFA"/>
    <w:rsid w:val="00A3708A"/>
    <w:rsid w:val="00A37C57"/>
    <w:rsid w:val="00A4017E"/>
    <w:rsid w:val="00A44D89"/>
    <w:rsid w:val="00A47EFF"/>
    <w:rsid w:val="00A506A0"/>
    <w:rsid w:val="00A65577"/>
    <w:rsid w:val="00A65D6C"/>
    <w:rsid w:val="00A66478"/>
    <w:rsid w:val="00A666F1"/>
    <w:rsid w:val="00A667DC"/>
    <w:rsid w:val="00A6775D"/>
    <w:rsid w:val="00A711DB"/>
    <w:rsid w:val="00A730B9"/>
    <w:rsid w:val="00A774B7"/>
    <w:rsid w:val="00A80CDB"/>
    <w:rsid w:val="00A823B9"/>
    <w:rsid w:val="00A835BB"/>
    <w:rsid w:val="00A9358F"/>
    <w:rsid w:val="00A96961"/>
    <w:rsid w:val="00A97DE1"/>
    <w:rsid w:val="00AA06CB"/>
    <w:rsid w:val="00AA227C"/>
    <w:rsid w:val="00AA6C04"/>
    <w:rsid w:val="00AA75EC"/>
    <w:rsid w:val="00AB07E1"/>
    <w:rsid w:val="00AB238C"/>
    <w:rsid w:val="00AC2F33"/>
    <w:rsid w:val="00AC3547"/>
    <w:rsid w:val="00AC48C3"/>
    <w:rsid w:val="00AC5F29"/>
    <w:rsid w:val="00AD6122"/>
    <w:rsid w:val="00AE07E3"/>
    <w:rsid w:val="00AE27EE"/>
    <w:rsid w:val="00AE3DE1"/>
    <w:rsid w:val="00AE43AE"/>
    <w:rsid w:val="00AE4E44"/>
    <w:rsid w:val="00AE625A"/>
    <w:rsid w:val="00AE6989"/>
    <w:rsid w:val="00AF09DF"/>
    <w:rsid w:val="00AF1A6F"/>
    <w:rsid w:val="00AF5AB4"/>
    <w:rsid w:val="00AF7C87"/>
    <w:rsid w:val="00B0319E"/>
    <w:rsid w:val="00B03901"/>
    <w:rsid w:val="00B05094"/>
    <w:rsid w:val="00B06375"/>
    <w:rsid w:val="00B07B0C"/>
    <w:rsid w:val="00B07FF5"/>
    <w:rsid w:val="00B1252B"/>
    <w:rsid w:val="00B12DFA"/>
    <w:rsid w:val="00B15DB0"/>
    <w:rsid w:val="00B2024F"/>
    <w:rsid w:val="00B21F4B"/>
    <w:rsid w:val="00B227BA"/>
    <w:rsid w:val="00B256D9"/>
    <w:rsid w:val="00B25CE0"/>
    <w:rsid w:val="00B26356"/>
    <w:rsid w:val="00B26B66"/>
    <w:rsid w:val="00B3075A"/>
    <w:rsid w:val="00B30F6B"/>
    <w:rsid w:val="00B32C02"/>
    <w:rsid w:val="00B36373"/>
    <w:rsid w:val="00B3757E"/>
    <w:rsid w:val="00B40BB2"/>
    <w:rsid w:val="00B42770"/>
    <w:rsid w:val="00B44BB4"/>
    <w:rsid w:val="00B4513B"/>
    <w:rsid w:val="00B505CC"/>
    <w:rsid w:val="00B63C48"/>
    <w:rsid w:val="00B660A4"/>
    <w:rsid w:val="00B665E8"/>
    <w:rsid w:val="00B71556"/>
    <w:rsid w:val="00B745B4"/>
    <w:rsid w:val="00B74AD5"/>
    <w:rsid w:val="00B8762C"/>
    <w:rsid w:val="00B91FBD"/>
    <w:rsid w:val="00B94487"/>
    <w:rsid w:val="00B9459F"/>
    <w:rsid w:val="00B95781"/>
    <w:rsid w:val="00B96F44"/>
    <w:rsid w:val="00B97828"/>
    <w:rsid w:val="00BA1D88"/>
    <w:rsid w:val="00BA2181"/>
    <w:rsid w:val="00BA30ED"/>
    <w:rsid w:val="00BB052A"/>
    <w:rsid w:val="00BB318D"/>
    <w:rsid w:val="00BB3E31"/>
    <w:rsid w:val="00BB46F3"/>
    <w:rsid w:val="00BB520F"/>
    <w:rsid w:val="00BB72EC"/>
    <w:rsid w:val="00BC1499"/>
    <w:rsid w:val="00BC239A"/>
    <w:rsid w:val="00BC533A"/>
    <w:rsid w:val="00BD352A"/>
    <w:rsid w:val="00BD3E21"/>
    <w:rsid w:val="00BD6D6E"/>
    <w:rsid w:val="00BD6DB2"/>
    <w:rsid w:val="00BE26F6"/>
    <w:rsid w:val="00BE4670"/>
    <w:rsid w:val="00BE56FD"/>
    <w:rsid w:val="00BE7A4D"/>
    <w:rsid w:val="00BF0C6C"/>
    <w:rsid w:val="00BF4ED2"/>
    <w:rsid w:val="00BF75FE"/>
    <w:rsid w:val="00C011ED"/>
    <w:rsid w:val="00C04659"/>
    <w:rsid w:val="00C0756E"/>
    <w:rsid w:val="00C1095B"/>
    <w:rsid w:val="00C10E5D"/>
    <w:rsid w:val="00C14330"/>
    <w:rsid w:val="00C148B7"/>
    <w:rsid w:val="00C1589F"/>
    <w:rsid w:val="00C160A5"/>
    <w:rsid w:val="00C17580"/>
    <w:rsid w:val="00C23109"/>
    <w:rsid w:val="00C254F3"/>
    <w:rsid w:val="00C25FD1"/>
    <w:rsid w:val="00C25FEA"/>
    <w:rsid w:val="00C27443"/>
    <w:rsid w:val="00C27855"/>
    <w:rsid w:val="00C30719"/>
    <w:rsid w:val="00C37413"/>
    <w:rsid w:val="00C37B6F"/>
    <w:rsid w:val="00C428CC"/>
    <w:rsid w:val="00C433D6"/>
    <w:rsid w:val="00C43D25"/>
    <w:rsid w:val="00C4405C"/>
    <w:rsid w:val="00C47F32"/>
    <w:rsid w:val="00C523EE"/>
    <w:rsid w:val="00C53FFD"/>
    <w:rsid w:val="00C54D69"/>
    <w:rsid w:val="00C5508F"/>
    <w:rsid w:val="00C657EC"/>
    <w:rsid w:val="00C71120"/>
    <w:rsid w:val="00C77193"/>
    <w:rsid w:val="00C80B74"/>
    <w:rsid w:val="00C8165E"/>
    <w:rsid w:val="00C81698"/>
    <w:rsid w:val="00C8485E"/>
    <w:rsid w:val="00C863AE"/>
    <w:rsid w:val="00C90496"/>
    <w:rsid w:val="00C94E27"/>
    <w:rsid w:val="00CA1AFB"/>
    <w:rsid w:val="00CA3182"/>
    <w:rsid w:val="00CA51D3"/>
    <w:rsid w:val="00CB065C"/>
    <w:rsid w:val="00CB4B60"/>
    <w:rsid w:val="00CB7386"/>
    <w:rsid w:val="00CB7A2C"/>
    <w:rsid w:val="00CC049D"/>
    <w:rsid w:val="00CC212F"/>
    <w:rsid w:val="00CC4E57"/>
    <w:rsid w:val="00CC6BCC"/>
    <w:rsid w:val="00CD26BD"/>
    <w:rsid w:val="00CE2CD4"/>
    <w:rsid w:val="00CE44DE"/>
    <w:rsid w:val="00CF3675"/>
    <w:rsid w:val="00CF4732"/>
    <w:rsid w:val="00CF53FF"/>
    <w:rsid w:val="00CF742E"/>
    <w:rsid w:val="00CF78AF"/>
    <w:rsid w:val="00D00672"/>
    <w:rsid w:val="00D00C16"/>
    <w:rsid w:val="00D03083"/>
    <w:rsid w:val="00D04D0F"/>
    <w:rsid w:val="00D05FFF"/>
    <w:rsid w:val="00D138EE"/>
    <w:rsid w:val="00D15180"/>
    <w:rsid w:val="00D15B00"/>
    <w:rsid w:val="00D222AB"/>
    <w:rsid w:val="00D232A0"/>
    <w:rsid w:val="00D2637B"/>
    <w:rsid w:val="00D27BA4"/>
    <w:rsid w:val="00D27F8A"/>
    <w:rsid w:val="00D313D1"/>
    <w:rsid w:val="00D35574"/>
    <w:rsid w:val="00D35D65"/>
    <w:rsid w:val="00D36516"/>
    <w:rsid w:val="00D52766"/>
    <w:rsid w:val="00D528E2"/>
    <w:rsid w:val="00D61638"/>
    <w:rsid w:val="00D6353A"/>
    <w:rsid w:val="00D639F6"/>
    <w:rsid w:val="00D65E66"/>
    <w:rsid w:val="00D70C85"/>
    <w:rsid w:val="00D72D7B"/>
    <w:rsid w:val="00D750A8"/>
    <w:rsid w:val="00D75A50"/>
    <w:rsid w:val="00D75CA9"/>
    <w:rsid w:val="00D76E4C"/>
    <w:rsid w:val="00D77D34"/>
    <w:rsid w:val="00D806AE"/>
    <w:rsid w:val="00D806CE"/>
    <w:rsid w:val="00D81B3A"/>
    <w:rsid w:val="00D83BCE"/>
    <w:rsid w:val="00D85243"/>
    <w:rsid w:val="00D852F0"/>
    <w:rsid w:val="00D8582C"/>
    <w:rsid w:val="00D85A10"/>
    <w:rsid w:val="00D903AE"/>
    <w:rsid w:val="00D91720"/>
    <w:rsid w:val="00D936C1"/>
    <w:rsid w:val="00D9539C"/>
    <w:rsid w:val="00D95B5F"/>
    <w:rsid w:val="00D96BB4"/>
    <w:rsid w:val="00DA2593"/>
    <w:rsid w:val="00DA2AB1"/>
    <w:rsid w:val="00DA35D9"/>
    <w:rsid w:val="00DA3E82"/>
    <w:rsid w:val="00DA697A"/>
    <w:rsid w:val="00DB2CA4"/>
    <w:rsid w:val="00DB5988"/>
    <w:rsid w:val="00DB656C"/>
    <w:rsid w:val="00DB6DEB"/>
    <w:rsid w:val="00DB727E"/>
    <w:rsid w:val="00DB7444"/>
    <w:rsid w:val="00DC18ED"/>
    <w:rsid w:val="00DC1C31"/>
    <w:rsid w:val="00DC2B33"/>
    <w:rsid w:val="00DC4E88"/>
    <w:rsid w:val="00DC6C6D"/>
    <w:rsid w:val="00DD191E"/>
    <w:rsid w:val="00DD2FCC"/>
    <w:rsid w:val="00DD3F77"/>
    <w:rsid w:val="00DE1D92"/>
    <w:rsid w:val="00DE6BEA"/>
    <w:rsid w:val="00DF105C"/>
    <w:rsid w:val="00DF2E41"/>
    <w:rsid w:val="00DF3255"/>
    <w:rsid w:val="00DF4625"/>
    <w:rsid w:val="00DF7C05"/>
    <w:rsid w:val="00E02BA3"/>
    <w:rsid w:val="00E0411A"/>
    <w:rsid w:val="00E04A1F"/>
    <w:rsid w:val="00E05879"/>
    <w:rsid w:val="00E075E2"/>
    <w:rsid w:val="00E110F3"/>
    <w:rsid w:val="00E153C1"/>
    <w:rsid w:val="00E21BC1"/>
    <w:rsid w:val="00E239EE"/>
    <w:rsid w:val="00E2415B"/>
    <w:rsid w:val="00E26268"/>
    <w:rsid w:val="00E27396"/>
    <w:rsid w:val="00E27A9B"/>
    <w:rsid w:val="00E32451"/>
    <w:rsid w:val="00E35F97"/>
    <w:rsid w:val="00E36592"/>
    <w:rsid w:val="00E378D7"/>
    <w:rsid w:val="00E412BA"/>
    <w:rsid w:val="00E433D5"/>
    <w:rsid w:val="00E47599"/>
    <w:rsid w:val="00E5089F"/>
    <w:rsid w:val="00E50A99"/>
    <w:rsid w:val="00E54072"/>
    <w:rsid w:val="00E55AC0"/>
    <w:rsid w:val="00E55F38"/>
    <w:rsid w:val="00E56CC1"/>
    <w:rsid w:val="00E60CC7"/>
    <w:rsid w:val="00E61F9D"/>
    <w:rsid w:val="00E63D6F"/>
    <w:rsid w:val="00E65357"/>
    <w:rsid w:val="00E66DCF"/>
    <w:rsid w:val="00E67160"/>
    <w:rsid w:val="00E71BB2"/>
    <w:rsid w:val="00E743BE"/>
    <w:rsid w:val="00E770D2"/>
    <w:rsid w:val="00E80FD6"/>
    <w:rsid w:val="00E83ACC"/>
    <w:rsid w:val="00E84132"/>
    <w:rsid w:val="00E84430"/>
    <w:rsid w:val="00E87BF1"/>
    <w:rsid w:val="00E934F4"/>
    <w:rsid w:val="00E938D3"/>
    <w:rsid w:val="00E975CF"/>
    <w:rsid w:val="00EA1F73"/>
    <w:rsid w:val="00EB02D5"/>
    <w:rsid w:val="00EB0939"/>
    <w:rsid w:val="00EB3AE4"/>
    <w:rsid w:val="00EB5052"/>
    <w:rsid w:val="00EB76F2"/>
    <w:rsid w:val="00EB7BEE"/>
    <w:rsid w:val="00EC0CE5"/>
    <w:rsid w:val="00EC27C5"/>
    <w:rsid w:val="00EC6ED6"/>
    <w:rsid w:val="00ED32AD"/>
    <w:rsid w:val="00EE63A6"/>
    <w:rsid w:val="00EF20EE"/>
    <w:rsid w:val="00EF739F"/>
    <w:rsid w:val="00F01B11"/>
    <w:rsid w:val="00F035A5"/>
    <w:rsid w:val="00F0604F"/>
    <w:rsid w:val="00F13A57"/>
    <w:rsid w:val="00F14BA8"/>
    <w:rsid w:val="00F21C78"/>
    <w:rsid w:val="00F2268C"/>
    <w:rsid w:val="00F24F01"/>
    <w:rsid w:val="00F27340"/>
    <w:rsid w:val="00F27E62"/>
    <w:rsid w:val="00F31156"/>
    <w:rsid w:val="00F322C0"/>
    <w:rsid w:val="00F34B20"/>
    <w:rsid w:val="00F40682"/>
    <w:rsid w:val="00F41612"/>
    <w:rsid w:val="00F43AE5"/>
    <w:rsid w:val="00F46CEB"/>
    <w:rsid w:val="00F47732"/>
    <w:rsid w:val="00F54858"/>
    <w:rsid w:val="00F5614A"/>
    <w:rsid w:val="00F56B83"/>
    <w:rsid w:val="00F63AF9"/>
    <w:rsid w:val="00F657BF"/>
    <w:rsid w:val="00F70510"/>
    <w:rsid w:val="00F70C0F"/>
    <w:rsid w:val="00F71218"/>
    <w:rsid w:val="00F747A9"/>
    <w:rsid w:val="00F75163"/>
    <w:rsid w:val="00F76878"/>
    <w:rsid w:val="00F777A9"/>
    <w:rsid w:val="00F80C67"/>
    <w:rsid w:val="00F86DDE"/>
    <w:rsid w:val="00F906CE"/>
    <w:rsid w:val="00F9109B"/>
    <w:rsid w:val="00F91E70"/>
    <w:rsid w:val="00F94522"/>
    <w:rsid w:val="00FA1FC7"/>
    <w:rsid w:val="00FA5C06"/>
    <w:rsid w:val="00FB388D"/>
    <w:rsid w:val="00FB4B2D"/>
    <w:rsid w:val="00FB4E25"/>
    <w:rsid w:val="00FB53B2"/>
    <w:rsid w:val="00FC3611"/>
    <w:rsid w:val="00FC3720"/>
    <w:rsid w:val="00FC4A0B"/>
    <w:rsid w:val="00FC4D43"/>
    <w:rsid w:val="00FC58E3"/>
    <w:rsid w:val="00FC5C39"/>
    <w:rsid w:val="00FC6F0C"/>
    <w:rsid w:val="00FD014A"/>
    <w:rsid w:val="00FD0380"/>
    <w:rsid w:val="00FD2A2C"/>
    <w:rsid w:val="00FD3210"/>
    <w:rsid w:val="00FD388A"/>
    <w:rsid w:val="00FD4F36"/>
    <w:rsid w:val="00FD6250"/>
    <w:rsid w:val="00FD6D38"/>
    <w:rsid w:val="00FE41F3"/>
    <w:rsid w:val="00FE6170"/>
    <w:rsid w:val="00FF17E1"/>
    <w:rsid w:val="00FF201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485E"/>
    <w:pPr>
      <w:spacing w:before="120" w:after="120" w:line="276" w:lineRule="auto"/>
    </w:pPr>
    <w:rPr>
      <w:rFonts w:ascii="Arial" w:eastAsiaTheme="minorHAnsi" w:hAnsi="Arial" w:cstheme="minorBidi"/>
      <w:sz w:val="24"/>
      <w:szCs w:val="22"/>
      <w:lang w:eastAsia="en-US"/>
    </w:rPr>
  </w:style>
  <w:style w:type="paragraph" w:styleId="Heading1">
    <w:name w:val="heading 1"/>
    <w:basedOn w:val="Normal"/>
    <w:next w:val="Normal"/>
    <w:link w:val="Heading1Char"/>
    <w:autoRedefine/>
    <w:uiPriority w:val="9"/>
    <w:qFormat/>
    <w:rsid w:val="001F1C62"/>
    <w:pPr>
      <w:keepNext/>
      <w:outlineLvl w:val="0"/>
    </w:pPr>
    <w:rPr>
      <w:b/>
      <w:lang w:val="en-US"/>
    </w:rPr>
  </w:style>
  <w:style w:type="paragraph" w:styleId="Heading2">
    <w:name w:val="heading 2"/>
    <w:basedOn w:val="Normal"/>
    <w:next w:val="Normal"/>
    <w:link w:val="Heading2Char"/>
    <w:uiPriority w:val="9"/>
    <w:unhideWhenUsed/>
    <w:qFormat/>
    <w:rsid w:val="00C8485E"/>
    <w:pPr>
      <w:keepNext/>
      <w:keepLines/>
      <w:spacing w:before="200" w:after="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3AF7"/>
    <w:pPr>
      <w:tabs>
        <w:tab w:val="center" w:pos="4153"/>
        <w:tab w:val="right" w:pos="8306"/>
      </w:tabs>
    </w:pPr>
  </w:style>
  <w:style w:type="paragraph" w:styleId="Footer">
    <w:name w:val="footer"/>
    <w:basedOn w:val="Normal"/>
    <w:link w:val="FooterChar"/>
    <w:uiPriority w:val="99"/>
    <w:rsid w:val="00413AF7"/>
    <w:pPr>
      <w:tabs>
        <w:tab w:val="center" w:pos="4153"/>
        <w:tab w:val="right" w:pos="8306"/>
      </w:tabs>
    </w:pPr>
  </w:style>
  <w:style w:type="paragraph" w:styleId="BalloonText">
    <w:name w:val="Balloon Text"/>
    <w:basedOn w:val="Normal"/>
    <w:semiHidden/>
    <w:rsid w:val="001A63C1"/>
    <w:rPr>
      <w:rFonts w:ascii="Tahoma" w:hAnsi="Tahoma" w:cs="Tahoma"/>
      <w:sz w:val="16"/>
      <w:szCs w:val="16"/>
    </w:rPr>
  </w:style>
  <w:style w:type="character" w:customStyle="1" w:styleId="Heading1Char">
    <w:name w:val="Heading 1 Char"/>
    <w:basedOn w:val="DefaultParagraphFont"/>
    <w:link w:val="Heading1"/>
    <w:uiPriority w:val="9"/>
    <w:rsid w:val="001F1C62"/>
    <w:rPr>
      <w:rFonts w:ascii="Arial" w:hAnsi="Arial"/>
      <w:b/>
      <w:sz w:val="24"/>
      <w:lang w:val="en-US"/>
    </w:rPr>
  </w:style>
  <w:style w:type="character" w:customStyle="1" w:styleId="Heading2Char">
    <w:name w:val="Heading 2 Char"/>
    <w:basedOn w:val="DefaultParagraphFont"/>
    <w:link w:val="Heading2"/>
    <w:uiPriority w:val="9"/>
    <w:rsid w:val="00C8485E"/>
    <w:rPr>
      <w:rFonts w:ascii="Arial" w:eastAsiaTheme="majorEastAsia" w:hAnsi="Arial" w:cstheme="majorBidi"/>
      <w:b/>
      <w:bCs/>
      <w:color w:val="4F81BD" w:themeColor="accent1"/>
      <w:sz w:val="26"/>
      <w:szCs w:val="26"/>
      <w:lang w:eastAsia="en-US"/>
    </w:rPr>
  </w:style>
  <w:style w:type="paragraph" w:styleId="NormalWeb">
    <w:name w:val="Normal (Web)"/>
    <w:basedOn w:val="Normal"/>
    <w:uiPriority w:val="99"/>
    <w:unhideWhenUsed/>
    <w:rsid w:val="00C8485E"/>
    <w:pPr>
      <w:spacing w:before="100" w:beforeAutospacing="1" w:after="150" w:line="240" w:lineRule="auto"/>
    </w:pPr>
    <w:rPr>
      <w:rFonts w:ascii="Times New Roman" w:eastAsia="Times New Roman" w:hAnsi="Times New Roman" w:cs="Times New Roman"/>
      <w:szCs w:val="24"/>
      <w:lang w:eastAsia="en-AU"/>
    </w:rPr>
  </w:style>
  <w:style w:type="character" w:styleId="HTMLCite">
    <w:name w:val="HTML Cite"/>
    <w:uiPriority w:val="99"/>
    <w:unhideWhenUsed/>
    <w:rsid w:val="00C8485E"/>
    <w:rPr>
      <w:i/>
      <w:iCs/>
    </w:rPr>
  </w:style>
  <w:style w:type="character" w:customStyle="1" w:styleId="HeaderChar">
    <w:name w:val="Header Char"/>
    <w:basedOn w:val="DefaultParagraphFont"/>
    <w:link w:val="Header"/>
    <w:uiPriority w:val="99"/>
    <w:rsid w:val="00C8485E"/>
    <w:rPr>
      <w:rFonts w:ascii="Arial" w:hAnsi="Arial"/>
      <w:color w:val="212120"/>
      <w:kern w:val="28"/>
      <w:sz w:val="22"/>
      <w14:ligatures w14:val="standard"/>
      <w14:cntxtAlts/>
    </w:rPr>
  </w:style>
  <w:style w:type="character" w:customStyle="1" w:styleId="FooterChar">
    <w:name w:val="Footer Char"/>
    <w:basedOn w:val="DefaultParagraphFont"/>
    <w:link w:val="Footer"/>
    <w:uiPriority w:val="99"/>
    <w:rsid w:val="00C8485E"/>
    <w:rPr>
      <w:rFonts w:ascii="Arial" w:hAnsi="Arial"/>
      <w:color w:val="212120"/>
      <w:kern w:val="28"/>
      <w:sz w:val="22"/>
      <w14:ligatures w14:val="standard"/>
      <w14:cntxtAlts/>
    </w:rPr>
  </w:style>
  <w:style w:type="paragraph" w:styleId="TOCHeading">
    <w:name w:val="TOC Heading"/>
    <w:basedOn w:val="Heading1"/>
    <w:next w:val="Normal"/>
    <w:uiPriority w:val="39"/>
    <w:semiHidden/>
    <w:unhideWhenUsed/>
    <w:qFormat/>
    <w:rsid w:val="00C8485E"/>
    <w:pPr>
      <w:keepLines/>
      <w:spacing w:before="480" w:after="0"/>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qFormat/>
    <w:rsid w:val="00C8485E"/>
    <w:pPr>
      <w:tabs>
        <w:tab w:val="right" w:leader="dot" w:pos="8302"/>
      </w:tabs>
      <w:spacing w:after="100"/>
    </w:pPr>
  </w:style>
  <w:style w:type="paragraph" w:styleId="TOC2">
    <w:name w:val="toc 2"/>
    <w:basedOn w:val="Normal"/>
    <w:next w:val="Normal"/>
    <w:autoRedefine/>
    <w:uiPriority w:val="39"/>
    <w:unhideWhenUsed/>
    <w:qFormat/>
    <w:rsid w:val="00C8485E"/>
    <w:pPr>
      <w:spacing w:after="100"/>
      <w:ind w:left="220"/>
    </w:pPr>
  </w:style>
  <w:style w:type="character" w:styleId="Hyperlink">
    <w:name w:val="Hyperlink"/>
    <w:basedOn w:val="DefaultParagraphFont"/>
    <w:uiPriority w:val="99"/>
    <w:unhideWhenUsed/>
    <w:rsid w:val="00C8485E"/>
    <w:rPr>
      <w:color w:val="0000FF" w:themeColor="hyperlink"/>
      <w:u w:val="single"/>
    </w:rPr>
  </w:style>
  <w:style w:type="paragraph" w:styleId="NoSpacing">
    <w:name w:val="No Spacing"/>
    <w:basedOn w:val="Normal"/>
    <w:link w:val="NoSpacingChar"/>
    <w:uiPriority w:val="1"/>
    <w:qFormat/>
    <w:rsid w:val="00C8485E"/>
    <w:pPr>
      <w:tabs>
        <w:tab w:val="left" w:pos="567"/>
      </w:tabs>
      <w:spacing w:before="0" w:after="0" w:line="240" w:lineRule="auto"/>
    </w:pPr>
    <w:rPr>
      <w:rFonts w:asciiTheme="minorHAnsi" w:hAnsiTheme="minorHAnsi"/>
      <w:sz w:val="22"/>
      <w:lang w:eastAsia="en-AU"/>
    </w:rPr>
  </w:style>
  <w:style w:type="character" w:customStyle="1" w:styleId="NoSpacingChar">
    <w:name w:val="No Spacing Char"/>
    <w:basedOn w:val="DefaultParagraphFont"/>
    <w:link w:val="NoSpacing"/>
    <w:uiPriority w:val="1"/>
    <w:rsid w:val="00C8485E"/>
    <w:rPr>
      <w:rFonts w:asciiTheme="minorHAnsi" w:eastAsiaTheme="minorHAnsi" w:hAnsiTheme="minorHAnsi" w:cstheme="minorBidi"/>
      <w:sz w:val="22"/>
      <w:szCs w:val="22"/>
    </w:rPr>
  </w:style>
  <w:style w:type="paragraph" w:styleId="TOC3">
    <w:name w:val="toc 3"/>
    <w:basedOn w:val="Normal"/>
    <w:next w:val="Normal"/>
    <w:autoRedefine/>
    <w:uiPriority w:val="39"/>
    <w:unhideWhenUsed/>
    <w:qFormat/>
    <w:rsid w:val="00C8485E"/>
    <w:pPr>
      <w:spacing w:before="0" w:after="100"/>
      <w:ind w:left="440"/>
    </w:pPr>
    <w:rPr>
      <w:rFonts w:asciiTheme="minorHAnsi" w:eastAsiaTheme="minorEastAsia" w:hAnsiTheme="minorHAnsi"/>
      <w:sz w:val="22"/>
      <w:lang w:val="en-US" w:eastAsia="ja-JP"/>
    </w:rPr>
  </w:style>
  <w:style w:type="paragraph" w:styleId="FootnoteText">
    <w:name w:val="footnote text"/>
    <w:basedOn w:val="Normal"/>
    <w:link w:val="FootnoteTextChar"/>
    <w:rsid w:val="00203F6A"/>
    <w:pPr>
      <w:spacing w:before="0" w:after="0" w:line="240" w:lineRule="auto"/>
    </w:pPr>
    <w:rPr>
      <w:sz w:val="20"/>
      <w:szCs w:val="20"/>
    </w:rPr>
  </w:style>
  <w:style w:type="character" w:customStyle="1" w:styleId="FootnoteTextChar">
    <w:name w:val="Footnote Text Char"/>
    <w:basedOn w:val="DefaultParagraphFont"/>
    <w:link w:val="FootnoteText"/>
    <w:rsid w:val="00203F6A"/>
    <w:rPr>
      <w:rFonts w:ascii="Arial" w:eastAsiaTheme="minorHAnsi" w:hAnsi="Arial" w:cstheme="minorBidi"/>
      <w:lang w:eastAsia="en-US"/>
    </w:rPr>
  </w:style>
  <w:style w:type="character" w:styleId="FootnoteReference">
    <w:name w:val="footnote reference"/>
    <w:basedOn w:val="DefaultParagraphFont"/>
    <w:rsid w:val="00203F6A"/>
    <w:rPr>
      <w:vertAlign w:val="superscript"/>
    </w:rPr>
  </w:style>
  <w:style w:type="paragraph" w:styleId="ListParagraph">
    <w:name w:val="List Paragraph"/>
    <w:basedOn w:val="Normal"/>
    <w:uiPriority w:val="34"/>
    <w:qFormat/>
    <w:rsid w:val="00AE69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485E"/>
    <w:pPr>
      <w:spacing w:before="120" w:after="120" w:line="276" w:lineRule="auto"/>
    </w:pPr>
    <w:rPr>
      <w:rFonts w:ascii="Arial" w:eastAsiaTheme="minorHAnsi" w:hAnsi="Arial" w:cstheme="minorBidi"/>
      <w:sz w:val="24"/>
      <w:szCs w:val="22"/>
      <w:lang w:eastAsia="en-US"/>
    </w:rPr>
  </w:style>
  <w:style w:type="paragraph" w:styleId="Heading1">
    <w:name w:val="heading 1"/>
    <w:basedOn w:val="Normal"/>
    <w:next w:val="Normal"/>
    <w:link w:val="Heading1Char"/>
    <w:autoRedefine/>
    <w:uiPriority w:val="9"/>
    <w:qFormat/>
    <w:rsid w:val="001F1C62"/>
    <w:pPr>
      <w:keepNext/>
      <w:outlineLvl w:val="0"/>
    </w:pPr>
    <w:rPr>
      <w:b/>
      <w:lang w:val="en-US"/>
    </w:rPr>
  </w:style>
  <w:style w:type="paragraph" w:styleId="Heading2">
    <w:name w:val="heading 2"/>
    <w:basedOn w:val="Normal"/>
    <w:next w:val="Normal"/>
    <w:link w:val="Heading2Char"/>
    <w:uiPriority w:val="9"/>
    <w:unhideWhenUsed/>
    <w:qFormat/>
    <w:rsid w:val="00C8485E"/>
    <w:pPr>
      <w:keepNext/>
      <w:keepLines/>
      <w:spacing w:before="200" w:after="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3AF7"/>
    <w:pPr>
      <w:tabs>
        <w:tab w:val="center" w:pos="4153"/>
        <w:tab w:val="right" w:pos="8306"/>
      </w:tabs>
    </w:pPr>
  </w:style>
  <w:style w:type="paragraph" w:styleId="Footer">
    <w:name w:val="footer"/>
    <w:basedOn w:val="Normal"/>
    <w:link w:val="FooterChar"/>
    <w:uiPriority w:val="99"/>
    <w:rsid w:val="00413AF7"/>
    <w:pPr>
      <w:tabs>
        <w:tab w:val="center" w:pos="4153"/>
        <w:tab w:val="right" w:pos="8306"/>
      </w:tabs>
    </w:pPr>
  </w:style>
  <w:style w:type="paragraph" w:styleId="BalloonText">
    <w:name w:val="Balloon Text"/>
    <w:basedOn w:val="Normal"/>
    <w:semiHidden/>
    <w:rsid w:val="001A63C1"/>
    <w:rPr>
      <w:rFonts w:ascii="Tahoma" w:hAnsi="Tahoma" w:cs="Tahoma"/>
      <w:sz w:val="16"/>
      <w:szCs w:val="16"/>
    </w:rPr>
  </w:style>
  <w:style w:type="character" w:customStyle="1" w:styleId="Heading1Char">
    <w:name w:val="Heading 1 Char"/>
    <w:basedOn w:val="DefaultParagraphFont"/>
    <w:link w:val="Heading1"/>
    <w:uiPriority w:val="9"/>
    <w:rsid w:val="001F1C62"/>
    <w:rPr>
      <w:rFonts w:ascii="Arial" w:hAnsi="Arial"/>
      <w:b/>
      <w:sz w:val="24"/>
      <w:lang w:val="en-US"/>
    </w:rPr>
  </w:style>
  <w:style w:type="character" w:customStyle="1" w:styleId="Heading2Char">
    <w:name w:val="Heading 2 Char"/>
    <w:basedOn w:val="DefaultParagraphFont"/>
    <w:link w:val="Heading2"/>
    <w:uiPriority w:val="9"/>
    <w:rsid w:val="00C8485E"/>
    <w:rPr>
      <w:rFonts w:ascii="Arial" w:eastAsiaTheme="majorEastAsia" w:hAnsi="Arial" w:cstheme="majorBidi"/>
      <w:b/>
      <w:bCs/>
      <w:color w:val="4F81BD" w:themeColor="accent1"/>
      <w:sz w:val="26"/>
      <w:szCs w:val="26"/>
      <w:lang w:eastAsia="en-US"/>
    </w:rPr>
  </w:style>
  <w:style w:type="paragraph" w:styleId="NormalWeb">
    <w:name w:val="Normal (Web)"/>
    <w:basedOn w:val="Normal"/>
    <w:uiPriority w:val="99"/>
    <w:unhideWhenUsed/>
    <w:rsid w:val="00C8485E"/>
    <w:pPr>
      <w:spacing w:before="100" w:beforeAutospacing="1" w:after="150" w:line="240" w:lineRule="auto"/>
    </w:pPr>
    <w:rPr>
      <w:rFonts w:ascii="Times New Roman" w:eastAsia="Times New Roman" w:hAnsi="Times New Roman" w:cs="Times New Roman"/>
      <w:szCs w:val="24"/>
      <w:lang w:eastAsia="en-AU"/>
    </w:rPr>
  </w:style>
  <w:style w:type="character" w:styleId="HTMLCite">
    <w:name w:val="HTML Cite"/>
    <w:uiPriority w:val="99"/>
    <w:unhideWhenUsed/>
    <w:rsid w:val="00C8485E"/>
    <w:rPr>
      <w:i/>
      <w:iCs/>
    </w:rPr>
  </w:style>
  <w:style w:type="character" w:customStyle="1" w:styleId="HeaderChar">
    <w:name w:val="Header Char"/>
    <w:basedOn w:val="DefaultParagraphFont"/>
    <w:link w:val="Header"/>
    <w:uiPriority w:val="99"/>
    <w:rsid w:val="00C8485E"/>
    <w:rPr>
      <w:rFonts w:ascii="Arial" w:hAnsi="Arial"/>
      <w:color w:val="212120"/>
      <w:kern w:val="28"/>
      <w:sz w:val="22"/>
      <w14:ligatures w14:val="standard"/>
      <w14:cntxtAlts/>
    </w:rPr>
  </w:style>
  <w:style w:type="character" w:customStyle="1" w:styleId="FooterChar">
    <w:name w:val="Footer Char"/>
    <w:basedOn w:val="DefaultParagraphFont"/>
    <w:link w:val="Footer"/>
    <w:uiPriority w:val="99"/>
    <w:rsid w:val="00C8485E"/>
    <w:rPr>
      <w:rFonts w:ascii="Arial" w:hAnsi="Arial"/>
      <w:color w:val="212120"/>
      <w:kern w:val="28"/>
      <w:sz w:val="22"/>
      <w14:ligatures w14:val="standard"/>
      <w14:cntxtAlts/>
    </w:rPr>
  </w:style>
  <w:style w:type="paragraph" w:styleId="TOCHeading">
    <w:name w:val="TOC Heading"/>
    <w:basedOn w:val="Heading1"/>
    <w:next w:val="Normal"/>
    <w:uiPriority w:val="39"/>
    <w:semiHidden/>
    <w:unhideWhenUsed/>
    <w:qFormat/>
    <w:rsid w:val="00C8485E"/>
    <w:pPr>
      <w:keepLines/>
      <w:spacing w:before="480" w:after="0"/>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qFormat/>
    <w:rsid w:val="00C8485E"/>
    <w:pPr>
      <w:tabs>
        <w:tab w:val="right" w:leader="dot" w:pos="8302"/>
      </w:tabs>
      <w:spacing w:after="100"/>
    </w:pPr>
  </w:style>
  <w:style w:type="paragraph" w:styleId="TOC2">
    <w:name w:val="toc 2"/>
    <w:basedOn w:val="Normal"/>
    <w:next w:val="Normal"/>
    <w:autoRedefine/>
    <w:uiPriority w:val="39"/>
    <w:unhideWhenUsed/>
    <w:qFormat/>
    <w:rsid w:val="00C8485E"/>
    <w:pPr>
      <w:spacing w:after="100"/>
      <w:ind w:left="220"/>
    </w:pPr>
  </w:style>
  <w:style w:type="character" w:styleId="Hyperlink">
    <w:name w:val="Hyperlink"/>
    <w:basedOn w:val="DefaultParagraphFont"/>
    <w:uiPriority w:val="99"/>
    <w:unhideWhenUsed/>
    <w:rsid w:val="00C8485E"/>
    <w:rPr>
      <w:color w:val="0000FF" w:themeColor="hyperlink"/>
      <w:u w:val="single"/>
    </w:rPr>
  </w:style>
  <w:style w:type="paragraph" w:styleId="NoSpacing">
    <w:name w:val="No Spacing"/>
    <w:basedOn w:val="Normal"/>
    <w:link w:val="NoSpacingChar"/>
    <w:uiPriority w:val="1"/>
    <w:qFormat/>
    <w:rsid w:val="00C8485E"/>
    <w:pPr>
      <w:tabs>
        <w:tab w:val="left" w:pos="567"/>
      </w:tabs>
      <w:spacing w:before="0" w:after="0" w:line="240" w:lineRule="auto"/>
    </w:pPr>
    <w:rPr>
      <w:rFonts w:asciiTheme="minorHAnsi" w:hAnsiTheme="minorHAnsi"/>
      <w:sz w:val="22"/>
      <w:lang w:eastAsia="en-AU"/>
    </w:rPr>
  </w:style>
  <w:style w:type="character" w:customStyle="1" w:styleId="NoSpacingChar">
    <w:name w:val="No Spacing Char"/>
    <w:basedOn w:val="DefaultParagraphFont"/>
    <w:link w:val="NoSpacing"/>
    <w:uiPriority w:val="1"/>
    <w:rsid w:val="00C8485E"/>
    <w:rPr>
      <w:rFonts w:asciiTheme="minorHAnsi" w:eastAsiaTheme="minorHAnsi" w:hAnsiTheme="minorHAnsi" w:cstheme="minorBidi"/>
      <w:sz w:val="22"/>
      <w:szCs w:val="22"/>
    </w:rPr>
  </w:style>
  <w:style w:type="paragraph" w:styleId="TOC3">
    <w:name w:val="toc 3"/>
    <w:basedOn w:val="Normal"/>
    <w:next w:val="Normal"/>
    <w:autoRedefine/>
    <w:uiPriority w:val="39"/>
    <w:unhideWhenUsed/>
    <w:qFormat/>
    <w:rsid w:val="00C8485E"/>
    <w:pPr>
      <w:spacing w:before="0" w:after="100"/>
      <w:ind w:left="440"/>
    </w:pPr>
    <w:rPr>
      <w:rFonts w:asciiTheme="minorHAnsi" w:eastAsiaTheme="minorEastAsia" w:hAnsiTheme="minorHAnsi"/>
      <w:sz w:val="22"/>
      <w:lang w:val="en-US" w:eastAsia="ja-JP"/>
    </w:rPr>
  </w:style>
  <w:style w:type="paragraph" w:styleId="FootnoteText">
    <w:name w:val="footnote text"/>
    <w:basedOn w:val="Normal"/>
    <w:link w:val="FootnoteTextChar"/>
    <w:rsid w:val="00203F6A"/>
    <w:pPr>
      <w:spacing w:before="0" w:after="0" w:line="240" w:lineRule="auto"/>
    </w:pPr>
    <w:rPr>
      <w:sz w:val="20"/>
      <w:szCs w:val="20"/>
    </w:rPr>
  </w:style>
  <w:style w:type="character" w:customStyle="1" w:styleId="FootnoteTextChar">
    <w:name w:val="Footnote Text Char"/>
    <w:basedOn w:val="DefaultParagraphFont"/>
    <w:link w:val="FootnoteText"/>
    <w:rsid w:val="00203F6A"/>
    <w:rPr>
      <w:rFonts w:ascii="Arial" w:eastAsiaTheme="minorHAnsi" w:hAnsi="Arial" w:cstheme="minorBidi"/>
      <w:lang w:eastAsia="en-US"/>
    </w:rPr>
  </w:style>
  <w:style w:type="character" w:styleId="FootnoteReference">
    <w:name w:val="footnote reference"/>
    <w:basedOn w:val="DefaultParagraphFont"/>
    <w:rsid w:val="00203F6A"/>
    <w:rPr>
      <w:vertAlign w:val="superscript"/>
    </w:rPr>
  </w:style>
  <w:style w:type="paragraph" w:styleId="ListParagraph">
    <w:name w:val="List Paragraph"/>
    <w:basedOn w:val="Normal"/>
    <w:uiPriority w:val="34"/>
    <w:qFormat/>
    <w:rsid w:val="00AE6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dcq.qld.gov.au/resources/brochures-and-guides/fact-sheets/discrimination-attributes-and-area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B6E4B-3AED-483A-9029-1EC7005F9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ADB7A416</Template>
  <TotalTime>6</TotalTime>
  <Pages>10</Pages>
  <Words>2144</Words>
  <Characters>12226</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Strong and Sustainable Resource Communities Bill 2016</vt:lpstr>
    </vt:vector>
  </TitlesOfParts>
  <Company>ADCQ</Company>
  <LinksUpToDate>false</LinksUpToDate>
  <CharactersWithSpaces>14342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Strong and Sustainable Resource Communities Bill 2016</dc:title>
  <dc:creator>Julie Ball</dc:creator>
  <cp:lastModifiedBy>Julie Ball</cp:lastModifiedBy>
  <cp:revision>2</cp:revision>
  <cp:lastPrinted>2010-07-13T01:10:00Z</cp:lastPrinted>
  <dcterms:created xsi:type="dcterms:W3CDTF">2017-01-30T23:16:00Z</dcterms:created>
  <dcterms:modified xsi:type="dcterms:W3CDTF">2017-01-30T23:16:00Z</dcterms:modified>
</cp:coreProperties>
</file>