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FB" w:rsidRDefault="000611FB" w:rsidP="000611FB">
      <w:pPr>
        <w:rPr>
          <w:rFonts w:ascii="Arial" w:hAnsi="Arial" w:cs="Arial"/>
        </w:rPr>
      </w:pPr>
      <w:bookmarkStart w:id="0" w:name="_GoBack"/>
      <w:bookmarkEnd w:id="0"/>
    </w:p>
    <w:p w:rsidR="000611FB" w:rsidRDefault="002532C8" w:rsidP="000611FB">
      <w:pPr>
        <w:rPr>
          <w:rFonts w:ascii="Arial" w:hAnsi="Arial" w:cs="Arial"/>
        </w:rPr>
      </w:pPr>
      <w:r>
        <w:rPr>
          <w:rFonts w:ascii="Arial" w:hAnsi="Arial" w:cs="Arial"/>
        </w:rPr>
        <w:t>16</w:t>
      </w:r>
      <w:r w:rsidR="000611FB">
        <w:rPr>
          <w:rFonts w:ascii="Arial" w:hAnsi="Arial" w:cs="Arial"/>
        </w:rPr>
        <w:t xml:space="preserve"> January 2017</w:t>
      </w:r>
    </w:p>
    <w:p w:rsidR="000611FB" w:rsidRDefault="000611FB" w:rsidP="000611FB">
      <w:pPr>
        <w:rPr>
          <w:rFonts w:ascii="Arial" w:hAnsi="Arial" w:cs="Arial"/>
        </w:rPr>
      </w:pPr>
    </w:p>
    <w:p w:rsidR="000611FB" w:rsidRDefault="000611FB" w:rsidP="000611FB">
      <w:pPr>
        <w:rPr>
          <w:rFonts w:ascii="Arial" w:hAnsi="Arial" w:cs="Arial"/>
        </w:rPr>
      </w:pPr>
    </w:p>
    <w:p w:rsidR="000611FB" w:rsidRPr="00EB5B24" w:rsidRDefault="002532C8" w:rsidP="000611FB">
      <w:pPr>
        <w:rPr>
          <w:rFonts w:ascii="Arial" w:hAnsi="Arial" w:cs="Arial"/>
        </w:rPr>
      </w:pPr>
      <w:r>
        <w:rPr>
          <w:rFonts w:ascii="Arial" w:hAnsi="Arial" w:cs="Arial"/>
        </w:rPr>
        <w:t>Acting Research Director</w:t>
      </w:r>
    </w:p>
    <w:p w:rsidR="000611FB" w:rsidRDefault="002532C8" w:rsidP="002532C8">
      <w:pPr>
        <w:rPr>
          <w:rFonts w:ascii="Arial" w:hAnsi="Arial" w:cs="Arial"/>
        </w:rPr>
      </w:pPr>
      <w:r>
        <w:rPr>
          <w:rFonts w:ascii="Arial" w:hAnsi="Arial" w:cs="Arial"/>
        </w:rPr>
        <w:t>Legal Affairs and Community Safety</w:t>
      </w:r>
      <w:r w:rsidR="000611FB" w:rsidRPr="00EB5B24">
        <w:rPr>
          <w:rFonts w:ascii="Arial" w:hAnsi="Arial" w:cs="Arial"/>
        </w:rPr>
        <w:t xml:space="preserve"> Committee </w:t>
      </w:r>
    </w:p>
    <w:p w:rsidR="002532C8" w:rsidRDefault="002532C8" w:rsidP="002532C8">
      <w:pPr>
        <w:rPr>
          <w:rFonts w:ascii="Arial" w:hAnsi="Arial" w:cs="Arial"/>
        </w:rPr>
      </w:pPr>
    </w:p>
    <w:p w:rsidR="002532C8" w:rsidRPr="002532C8" w:rsidRDefault="00DA205C" w:rsidP="002532C8">
      <w:pPr>
        <w:rPr>
          <w:rFonts w:ascii="Arial" w:hAnsi="Arial" w:cs="Arial"/>
          <w:b/>
          <w:i/>
        </w:rPr>
      </w:pPr>
      <w:hyperlink r:id="rId9" w:history="1">
        <w:r w:rsidRPr="00EE0DB3">
          <w:rPr>
            <w:rStyle w:val="Hyperlink"/>
            <w:rFonts w:ascii="Arial" w:hAnsi="Arial" w:cs="Arial"/>
            <w:b/>
            <w:i/>
          </w:rPr>
          <w:t>lacsc@parliament.qld.gov.au</w:t>
        </w:r>
      </w:hyperlink>
      <w:r w:rsidR="002532C8" w:rsidRPr="002532C8">
        <w:rPr>
          <w:rFonts w:ascii="Arial" w:hAnsi="Arial" w:cs="Arial"/>
          <w:b/>
          <w:i/>
        </w:rPr>
        <w:t xml:space="preserve"> </w:t>
      </w:r>
    </w:p>
    <w:p w:rsidR="000611FB" w:rsidRPr="00EB5B24" w:rsidRDefault="000611FB" w:rsidP="000611FB">
      <w:pPr>
        <w:rPr>
          <w:rFonts w:ascii="Arial" w:hAnsi="Arial" w:cs="Arial"/>
        </w:rPr>
      </w:pPr>
    </w:p>
    <w:p w:rsidR="000611FB" w:rsidRPr="00EB5B24" w:rsidRDefault="000611FB" w:rsidP="000611FB">
      <w:pPr>
        <w:spacing w:before="240" w:after="120"/>
        <w:rPr>
          <w:rFonts w:ascii="Arial" w:hAnsi="Arial" w:cs="Arial"/>
        </w:rPr>
      </w:pPr>
      <w:r w:rsidRPr="00EB5B24">
        <w:rPr>
          <w:rFonts w:ascii="Arial" w:hAnsi="Arial" w:cs="Arial"/>
        </w:rPr>
        <w:t xml:space="preserve">Dear </w:t>
      </w:r>
      <w:r w:rsidR="002532C8">
        <w:rPr>
          <w:rFonts w:ascii="Arial" w:hAnsi="Arial" w:cs="Arial"/>
        </w:rPr>
        <w:t>Research Director</w:t>
      </w:r>
    </w:p>
    <w:p w:rsidR="000611FB" w:rsidRPr="00EB5B24" w:rsidRDefault="002532C8" w:rsidP="000611FB">
      <w:pPr>
        <w:spacing w:before="240" w:after="120"/>
        <w:rPr>
          <w:rFonts w:ascii="Arial" w:hAnsi="Arial" w:cs="Arial"/>
          <w:b/>
        </w:rPr>
      </w:pPr>
      <w:r>
        <w:rPr>
          <w:rFonts w:ascii="Arial" w:hAnsi="Arial" w:cs="Arial"/>
          <w:b/>
        </w:rPr>
        <w:t>Criminal Law Amendment Bill 2016</w:t>
      </w:r>
    </w:p>
    <w:p w:rsidR="000611FB" w:rsidRPr="00EB5B24" w:rsidRDefault="002532C8" w:rsidP="001575FC">
      <w:pPr>
        <w:autoSpaceDE w:val="0"/>
        <w:autoSpaceDN w:val="0"/>
        <w:spacing w:before="120" w:after="240"/>
        <w:rPr>
          <w:rFonts w:ascii="Arial" w:hAnsi="Arial" w:cs="Arial"/>
          <w:color w:val="000000"/>
          <w:lang w:val="en"/>
        </w:rPr>
      </w:pPr>
      <w:r>
        <w:rPr>
          <w:rFonts w:ascii="Arial" w:hAnsi="Arial" w:cs="Arial"/>
          <w:color w:val="000000"/>
          <w:lang w:val="en"/>
        </w:rPr>
        <w:t>Thank you for the opportunity to provide a submission on the Criminal Law Amendment Bill, which was introduced in the Queensland Parliament on 30 November 2016 and referred to the Legal Affairs and Community Safety Committee for examination and report</w:t>
      </w:r>
      <w:r w:rsidR="000611FB" w:rsidRPr="00EB5B24">
        <w:rPr>
          <w:rFonts w:ascii="Arial" w:hAnsi="Arial" w:cs="Arial"/>
          <w:color w:val="000000"/>
          <w:lang w:val="en"/>
        </w:rPr>
        <w:t>.</w:t>
      </w:r>
    </w:p>
    <w:p w:rsidR="000611FB" w:rsidRDefault="002532C8" w:rsidP="001575FC">
      <w:pPr>
        <w:autoSpaceDE w:val="0"/>
        <w:autoSpaceDN w:val="0"/>
        <w:adjustRightInd w:val="0"/>
        <w:spacing w:before="120" w:after="240"/>
        <w:rPr>
          <w:rFonts w:ascii="Arial" w:hAnsi="Arial" w:cs="Arial"/>
          <w:color w:val="000000"/>
        </w:rPr>
      </w:pPr>
      <w:r w:rsidRPr="002532C8">
        <w:rPr>
          <w:rFonts w:ascii="Arial" w:hAnsi="Arial" w:cs="Arial"/>
          <w:color w:val="000000"/>
        </w:rPr>
        <w:t>While the</w:t>
      </w:r>
      <w:r>
        <w:rPr>
          <w:rFonts w:ascii="Arial" w:hAnsi="Arial" w:cs="Arial"/>
          <w:color w:val="000000"/>
        </w:rPr>
        <w:t xml:space="preserve"> Bill includes a number of criminal law</w:t>
      </w:r>
      <w:r w:rsidR="009D01A1">
        <w:rPr>
          <w:rFonts w:ascii="Arial" w:hAnsi="Arial" w:cs="Arial"/>
          <w:color w:val="000000"/>
        </w:rPr>
        <w:t>-related</w:t>
      </w:r>
      <w:r>
        <w:rPr>
          <w:rFonts w:ascii="Arial" w:hAnsi="Arial" w:cs="Arial"/>
          <w:color w:val="000000"/>
        </w:rPr>
        <w:t xml:space="preserve"> amendments, this submission of the Anti-Discrimination Commission (Commission) is confined to the amendment of the Criminal Code section 304, killing on provocation</w:t>
      </w:r>
      <w:r w:rsidR="000611FB" w:rsidRPr="002532C8">
        <w:rPr>
          <w:rFonts w:ascii="Arial" w:hAnsi="Arial" w:cs="Arial"/>
          <w:color w:val="000000"/>
        </w:rPr>
        <w:t>.</w:t>
      </w:r>
    </w:p>
    <w:p w:rsidR="002532C8" w:rsidRDefault="00BB6202" w:rsidP="001575FC">
      <w:pPr>
        <w:autoSpaceDE w:val="0"/>
        <w:autoSpaceDN w:val="0"/>
        <w:adjustRightInd w:val="0"/>
        <w:spacing w:before="120" w:after="240"/>
        <w:rPr>
          <w:rFonts w:ascii="Arial" w:hAnsi="Arial" w:cs="Arial"/>
          <w:color w:val="000000"/>
        </w:rPr>
      </w:pPr>
      <w:r>
        <w:rPr>
          <w:rFonts w:ascii="Arial" w:hAnsi="Arial" w:cs="Arial"/>
          <w:color w:val="000000"/>
        </w:rPr>
        <w:t>The killing on provocation provision</w:t>
      </w:r>
      <w:r w:rsidR="002532C8">
        <w:rPr>
          <w:rFonts w:ascii="Arial" w:hAnsi="Arial" w:cs="Arial"/>
          <w:color w:val="000000"/>
        </w:rPr>
        <w:t xml:space="preserve"> operates as a partial defence to a charge of murder</w:t>
      </w:r>
      <w:r>
        <w:rPr>
          <w:rFonts w:ascii="Arial" w:hAnsi="Arial" w:cs="Arial"/>
          <w:color w:val="000000"/>
        </w:rPr>
        <w:t>, by reducing the criminal responsibility of the defendant to manslaughter.  A conviction for murder carries a mandatory sentence of life imprisonment, whereas a conviction for manslaughter carries a maximum penalty of life imprisonment</w:t>
      </w:r>
      <w:r w:rsidR="00CE5A8C">
        <w:rPr>
          <w:rFonts w:ascii="Arial" w:hAnsi="Arial" w:cs="Arial"/>
          <w:color w:val="000000"/>
        </w:rPr>
        <w:t>.</w:t>
      </w:r>
    </w:p>
    <w:p w:rsidR="00DC19D2" w:rsidRDefault="00DC19D2" w:rsidP="001575FC">
      <w:pPr>
        <w:autoSpaceDE w:val="0"/>
        <w:autoSpaceDN w:val="0"/>
        <w:adjustRightInd w:val="0"/>
        <w:spacing w:before="120" w:after="240"/>
        <w:rPr>
          <w:rFonts w:ascii="Arial" w:hAnsi="Arial" w:cs="Arial"/>
          <w:color w:val="000000"/>
        </w:rPr>
      </w:pPr>
      <w:r>
        <w:rPr>
          <w:rFonts w:ascii="Arial" w:hAnsi="Arial" w:cs="Arial"/>
          <w:color w:val="000000"/>
        </w:rPr>
        <w:t>Historically, the partial defence of provocation has been successfully relied on where a man has killed another in a response to an unwelcome homosexual advance.  It has been referred to as the ‘gay panic defence’, and criticised by many</w:t>
      </w:r>
      <w:r w:rsidR="00F56149">
        <w:rPr>
          <w:rFonts w:ascii="Arial" w:hAnsi="Arial" w:cs="Arial"/>
          <w:color w:val="000000"/>
        </w:rPr>
        <w:t>,</w:t>
      </w:r>
      <w:r>
        <w:rPr>
          <w:rFonts w:ascii="Arial" w:hAnsi="Arial" w:cs="Arial"/>
          <w:color w:val="000000"/>
        </w:rPr>
        <w:t xml:space="preserve"> with calls for its abolition.</w:t>
      </w:r>
    </w:p>
    <w:p w:rsidR="001575FC" w:rsidRDefault="00B56FB1" w:rsidP="001575FC">
      <w:pPr>
        <w:autoSpaceDE w:val="0"/>
        <w:autoSpaceDN w:val="0"/>
        <w:adjustRightInd w:val="0"/>
        <w:spacing w:before="120" w:after="240"/>
        <w:rPr>
          <w:rFonts w:ascii="Arial" w:hAnsi="Arial" w:cs="Arial"/>
          <w:color w:val="000000"/>
        </w:rPr>
      </w:pPr>
      <w:r>
        <w:rPr>
          <w:rFonts w:ascii="Arial" w:hAnsi="Arial" w:cs="Arial"/>
          <w:color w:val="000000"/>
        </w:rPr>
        <w:t>Human rights principles require that all people are equal before the law and entitled to equal protection of the law without discrimination.</w:t>
      </w:r>
      <w:r w:rsidR="001575FC">
        <w:rPr>
          <w:rFonts w:ascii="Arial" w:hAnsi="Arial" w:cs="Arial"/>
          <w:color w:val="000000"/>
        </w:rPr>
        <w:t xml:space="preserve">  Equality before the law and freedom from discrimination are fundamental rights, and are expressed in Articles 2 and 26 of the </w:t>
      </w:r>
      <w:r w:rsidR="001575FC" w:rsidRPr="001575FC">
        <w:rPr>
          <w:rFonts w:ascii="Arial" w:hAnsi="Arial" w:cs="Arial"/>
          <w:i/>
          <w:color w:val="000000"/>
        </w:rPr>
        <w:t>International Covenant on Civil and Political Rights</w:t>
      </w:r>
      <w:r w:rsidR="001575FC">
        <w:rPr>
          <w:rFonts w:ascii="Arial" w:hAnsi="Arial" w:cs="Arial"/>
          <w:color w:val="000000"/>
        </w:rPr>
        <w:t xml:space="preserve"> (ICCPR).  The rights and principles under international human rights agreements, including the ICCPR, are the foundation of Australian </w:t>
      </w:r>
      <w:proofErr w:type="spellStart"/>
      <w:r w:rsidR="001575FC">
        <w:rPr>
          <w:rFonts w:ascii="Arial" w:hAnsi="Arial" w:cs="Arial"/>
          <w:color w:val="000000"/>
        </w:rPr>
        <w:t>anti-discrimination</w:t>
      </w:r>
      <w:proofErr w:type="spellEnd"/>
      <w:r w:rsidR="001575FC">
        <w:rPr>
          <w:rFonts w:ascii="Arial" w:hAnsi="Arial" w:cs="Arial"/>
          <w:color w:val="000000"/>
        </w:rPr>
        <w:t xml:space="preserve"> legislation, including the Queensland </w:t>
      </w:r>
      <w:r w:rsidR="001575FC" w:rsidRPr="001575FC">
        <w:rPr>
          <w:rFonts w:ascii="Arial" w:hAnsi="Arial" w:cs="Arial"/>
          <w:i/>
          <w:color w:val="000000"/>
        </w:rPr>
        <w:t>Anti-Discrimination Act 1991</w:t>
      </w:r>
      <w:r w:rsidR="001575FC">
        <w:rPr>
          <w:rFonts w:ascii="Arial" w:hAnsi="Arial" w:cs="Arial"/>
          <w:color w:val="000000"/>
        </w:rPr>
        <w:t xml:space="preserve">.  </w:t>
      </w:r>
    </w:p>
    <w:p w:rsidR="00EE1E96" w:rsidRDefault="00EE1E96" w:rsidP="00EE1E96">
      <w:pPr>
        <w:autoSpaceDE w:val="0"/>
        <w:autoSpaceDN w:val="0"/>
        <w:adjustRightInd w:val="0"/>
        <w:spacing w:before="120" w:after="240"/>
        <w:rPr>
          <w:rFonts w:ascii="Arial" w:hAnsi="Arial" w:cs="Arial"/>
          <w:color w:val="000000"/>
        </w:rPr>
      </w:pPr>
      <w:r>
        <w:rPr>
          <w:rFonts w:ascii="Arial" w:hAnsi="Arial" w:cs="Arial"/>
          <w:color w:val="000000"/>
        </w:rPr>
        <w:t xml:space="preserve">People of </w:t>
      </w:r>
      <w:r w:rsidR="00A40EF4">
        <w:rPr>
          <w:rFonts w:ascii="Arial" w:hAnsi="Arial" w:cs="Arial"/>
          <w:color w:val="000000"/>
        </w:rPr>
        <w:t>all sexualities</w:t>
      </w:r>
      <w:r>
        <w:rPr>
          <w:rFonts w:ascii="Arial" w:hAnsi="Arial" w:cs="Arial"/>
          <w:color w:val="000000"/>
        </w:rPr>
        <w:t xml:space="preserve"> and gender identity have the right to enjoy equality before the law on the same basis as other people.  The Queensland </w:t>
      </w:r>
      <w:r w:rsidRPr="00A40EF4">
        <w:rPr>
          <w:rFonts w:ascii="Arial" w:hAnsi="Arial" w:cs="Arial"/>
          <w:i/>
          <w:color w:val="000000"/>
        </w:rPr>
        <w:t>Anti-Discrimination Act 1991</w:t>
      </w:r>
      <w:r>
        <w:rPr>
          <w:rFonts w:ascii="Arial" w:hAnsi="Arial" w:cs="Arial"/>
          <w:color w:val="000000"/>
        </w:rPr>
        <w:t xml:space="preserve"> provides some protections for </w:t>
      </w:r>
      <w:r w:rsidRPr="00EB5B24">
        <w:rPr>
          <w:rFonts w:ascii="Arial" w:hAnsi="Arial" w:cs="Arial"/>
          <w:noProof/>
        </w:rPr>
        <w:t xml:space="preserve">lesbian, gay, bisexual, </w:t>
      </w:r>
      <w:r w:rsidRPr="00EB5B24">
        <w:rPr>
          <w:rFonts w:ascii="Arial" w:hAnsi="Arial" w:cs="Arial"/>
          <w:noProof/>
        </w:rPr>
        <w:lastRenderedPageBreak/>
        <w:t>transgender, and intersex</w:t>
      </w:r>
      <w:r>
        <w:rPr>
          <w:rFonts w:ascii="Arial" w:hAnsi="Arial" w:cs="Arial"/>
          <w:noProof/>
        </w:rPr>
        <w:t xml:space="preserve"> people, by prohibiting discrimination and vilification on the basis of sexuality and gender identity.</w:t>
      </w:r>
    </w:p>
    <w:p w:rsidR="001575FC" w:rsidRDefault="00EE1E96" w:rsidP="00EE1E96">
      <w:pPr>
        <w:autoSpaceDE w:val="0"/>
        <w:autoSpaceDN w:val="0"/>
        <w:adjustRightInd w:val="0"/>
        <w:spacing w:before="120" w:after="240"/>
        <w:rPr>
          <w:rFonts w:ascii="Arial" w:hAnsi="Arial" w:cs="Arial"/>
          <w:color w:val="000000"/>
        </w:rPr>
      </w:pPr>
      <w:r>
        <w:rPr>
          <w:rFonts w:ascii="Arial" w:hAnsi="Arial" w:cs="Arial"/>
          <w:color w:val="000000"/>
        </w:rPr>
        <w:t>Queensland’s criminal laws should reflect the human rights principles of equality before the law and freedom from discrimination</w:t>
      </w:r>
      <w:r w:rsidR="00A40EF4">
        <w:rPr>
          <w:rFonts w:ascii="Arial" w:hAnsi="Arial" w:cs="Arial"/>
          <w:color w:val="000000"/>
        </w:rPr>
        <w:t xml:space="preserve">, as well as the purposes and intent of the </w:t>
      </w:r>
      <w:r w:rsidR="00A40EF4" w:rsidRPr="00A40EF4">
        <w:rPr>
          <w:rFonts w:ascii="Arial" w:hAnsi="Arial" w:cs="Arial"/>
          <w:i/>
          <w:color w:val="000000"/>
        </w:rPr>
        <w:t>Anti-Discrimination Act 1991</w:t>
      </w:r>
      <w:r>
        <w:rPr>
          <w:rFonts w:ascii="Arial" w:hAnsi="Arial" w:cs="Arial"/>
          <w:color w:val="000000"/>
        </w:rPr>
        <w:t>.</w:t>
      </w:r>
    </w:p>
    <w:p w:rsidR="00EE1E96" w:rsidRDefault="00EE1E96" w:rsidP="00EE1E96">
      <w:pPr>
        <w:autoSpaceDE w:val="0"/>
        <w:autoSpaceDN w:val="0"/>
        <w:adjustRightInd w:val="0"/>
        <w:spacing w:before="120" w:after="240"/>
        <w:rPr>
          <w:rFonts w:ascii="Arial" w:hAnsi="Arial" w:cs="Arial"/>
          <w:color w:val="000000"/>
        </w:rPr>
      </w:pPr>
      <w:r>
        <w:rPr>
          <w:rFonts w:ascii="Arial" w:hAnsi="Arial" w:cs="Arial"/>
          <w:color w:val="000000"/>
        </w:rPr>
        <w:t>The</w:t>
      </w:r>
      <w:r w:rsidR="00A40EF4">
        <w:rPr>
          <w:rFonts w:ascii="Arial" w:hAnsi="Arial" w:cs="Arial"/>
          <w:color w:val="000000"/>
        </w:rPr>
        <w:t xml:space="preserve"> Bill would amend the killing on provocation defence so that it would not be available on the basis of an unwanted sexual advance, other than in circumstances</w:t>
      </w:r>
      <w:r w:rsidR="008247DA">
        <w:rPr>
          <w:rFonts w:ascii="Arial" w:hAnsi="Arial" w:cs="Arial"/>
          <w:color w:val="000000"/>
        </w:rPr>
        <w:t xml:space="preserve"> of an exceptional character</w:t>
      </w:r>
      <w:r w:rsidR="00A40EF4">
        <w:rPr>
          <w:rFonts w:ascii="Arial" w:hAnsi="Arial" w:cs="Arial"/>
          <w:color w:val="000000"/>
        </w:rPr>
        <w:t>.  An ‘unwanted sexual advance’ is defined as a sexual advance that is unwanted, and where the advance involves touching, the touching is minor only.  The amendment includes examples of what may be minor touching, depending on all the relevant circumstance</w:t>
      </w:r>
      <w:r w:rsidR="008247DA">
        <w:rPr>
          <w:rFonts w:ascii="Arial" w:hAnsi="Arial" w:cs="Arial"/>
          <w:color w:val="000000"/>
        </w:rPr>
        <w:t>s</w:t>
      </w:r>
      <w:r w:rsidR="00A40EF4">
        <w:rPr>
          <w:rFonts w:ascii="Arial" w:hAnsi="Arial" w:cs="Arial"/>
          <w:color w:val="000000"/>
        </w:rPr>
        <w:t>, namely, patting, pinching, grabbing, or brushing against the person.</w:t>
      </w:r>
    </w:p>
    <w:p w:rsidR="00910F19" w:rsidRDefault="00910F19" w:rsidP="00EE1E96">
      <w:pPr>
        <w:autoSpaceDE w:val="0"/>
        <w:autoSpaceDN w:val="0"/>
        <w:adjustRightInd w:val="0"/>
        <w:spacing w:before="120" w:after="240"/>
        <w:rPr>
          <w:rFonts w:ascii="Arial" w:hAnsi="Arial" w:cs="Arial"/>
          <w:color w:val="000000"/>
        </w:rPr>
      </w:pPr>
      <w:r>
        <w:rPr>
          <w:rFonts w:ascii="Arial" w:hAnsi="Arial" w:cs="Arial"/>
          <w:color w:val="000000"/>
        </w:rPr>
        <w:t xml:space="preserve">The amendment would exclude unwanted sexual advance irrespective of sexuality.  The partial defence would not be available on the basis of unwanted sexual advance, whether a homosexual or heterosexual advance.  </w:t>
      </w:r>
    </w:p>
    <w:p w:rsidR="008247DA" w:rsidRDefault="00910F19" w:rsidP="00EE1E96">
      <w:pPr>
        <w:autoSpaceDE w:val="0"/>
        <w:autoSpaceDN w:val="0"/>
        <w:adjustRightInd w:val="0"/>
        <w:spacing w:before="120" w:after="240"/>
        <w:rPr>
          <w:rFonts w:ascii="Arial" w:hAnsi="Arial" w:cs="Arial"/>
          <w:color w:val="000000"/>
        </w:rPr>
      </w:pPr>
      <w:r>
        <w:rPr>
          <w:rFonts w:ascii="Arial" w:hAnsi="Arial" w:cs="Arial"/>
          <w:color w:val="000000"/>
        </w:rPr>
        <w:t>This approach to the legislation is consistent with the human rights principles of equality before the law and freedom from discrimination.</w:t>
      </w:r>
    </w:p>
    <w:p w:rsidR="00EE1E96" w:rsidRPr="002532C8" w:rsidRDefault="00EE1E96" w:rsidP="00EE1E96">
      <w:pPr>
        <w:autoSpaceDE w:val="0"/>
        <w:autoSpaceDN w:val="0"/>
        <w:adjustRightInd w:val="0"/>
        <w:spacing w:before="120" w:after="240"/>
        <w:rPr>
          <w:rFonts w:ascii="Arial" w:hAnsi="Arial" w:cs="Arial"/>
          <w:color w:val="000000"/>
        </w:rPr>
      </w:pPr>
      <w:r>
        <w:rPr>
          <w:rFonts w:ascii="Arial" w:hAnsi="Arial" w:cs="Arial"/>
          <w:color w:val="000000"/>
        </w:rPr>
        <w:t>The Commission thanks the Committee for the opportunity to provide this submission.</w:t>
      </w:r>
    </w:p>
    <w:p w:rsidR="00EE1E96" w:rsidRDefault="000611FB" w:rsidP="00A40EF4">
      <w:pPr>
        <w:autoSpaceDE w:val="0"/>
        <w:autoSpaceDN w:val="0"/>
        <w:adjustRightInd w:val="0"/>
        <w:spacing w:before="360"/>
        <w:rPr>
          <w:rFonts w:ascii="Arial" w:hAnsi="Arial" w:cs="Arial"/>
        </w:rPr>
      </w:pPr>
      <w:r w:rsidRPr="00EB5B24">
        <w:rPr>
          <w:rFonts w:ascii="Arial" w:hAnsi="Arial" w:cs="Arial"/>
        </w:rPr>
        <w:t>Yours sincerely</w:t>
      </w:r>
    </w:p>
    <w:p w:rsidR="00EE1E96" w:rsidRPr="00EB5B24" w:rsidRDefault="00EE1E96" w:rsidP="00EE1E96">
      <w:pPr>
        <w:autoSpaceDE w:val="0"/>
        <w:autoSpaceDN w:val="0"/>
        <w:adjustRightInd w:val="0"/>
        <w:rPr>
          <w:rFonts w:ascii="Arial" w:hAnsi="Arial" w:cs="Arial"/>
        </w:rPr>
      </w:pPr>
    </w:p>
    <w:p w:rsidR="00EE1E96" w:rsidRDefault="00B54C5A" w:rsidP="00A40EF4">
      <w:pPr>
        <w:autoSpaceDE w:val="0"/>
        <w:autoSpaceDN w:val="0"/>
        <w:adjustRightInd w:val="0"/>
        <w:rPr>
          <w:rFonts w:ascii="Arial" w:hAnsi="Arial" w:cs="Arial"/>
        </w:rPr>
      </w:pPr>
      <w:r>
        <w:rPr>
          <w:rFonts w:ascii="Arial" w:hAnsi="Arial" w:cs="Arial"/>
          <w:noProof/>
        </w:rPr>
        <w:drawing>
          <wp:inline distT="0" distB="0" distL="0" distR="0" wp14:anchorId="5D68653A" wp14:editId="090051B8">
            <wp:extent cx="1727022" cy="3619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oli Holmes signature.tif"/>
                    <pic:cNvPicPr/>
                  </pic:nvPicPr>
                  <pic:blipFill>
                    <a:blip r:embed="rId10">
                      <a:extLst>
                        <a:ext uri="{28A0092B-C50C-407E-A947-70E740481C1C}">
                          <a14:useLocalDpi xmlns:a14="http://schemas.microsoft.com/office/drawing/2010/main" val="0"/>
                        </a:ext>
                      </a:extLst>
                    </a:blip>
                    <a:stretch>
                      <a:fillRect/>
                    </a:stretch>
                  </pic:blipFill>
                  <pic:spPr>
                    <a:xfrm>
                      <a:off x="0" y="0"/>
                      <a:ext cx="1758571" cy="368562"/>
                    </a:xfrm>
                    <a:prstGeom prst="rect">
                      <a:avLst/>
                    </a:prstGeom>
                  </pic:spPr>
                </pic:pic>
              </a:graphicData>
            </a:graphic>
          </wp:inline>
        </w:drawing>
      </w:r>
    </w:p>
    <w:p w:rsidR="00A40EF4" w:rsidRPr="00EE1E96" w:rsidRDefault="00A40EF4" w:rsidP="00A40EF4">
      <w:pPr>
        <w:autoSpaceDE w:val="0"/>
        <w:autoSpaceDN w:val="0"/>
        <w:adjustRightInd w:val="0"/>
        <w:rPr>
          <w:rFonts w:ascii="Arial" w:hAnsi="Arial" w:cs="Arial"/>
        </w:rPr>
      </w:pPr>
    </w:p>
    <w:p w:rsidR="000611FB" w:rsidRPr="00EB5B24" w:rsidRDefault="000611FB" w:rsidP="000611FB">
      <w:pPr>
        <w:autoSpaceDE w:val="0"/>
        <w:autoSpaceDN w:val="0"/>
        <w:adjustRightInd w:val="0"/>
        <w:spacing w:before="120"/>
        <w:rPr>
          <w:rFonts w:ascii="Arial" w:hAnsi="Arial" w:cs="Arial"/>
          <w:b/>
        </w:rPr>
      </w:pPr>
      <w:r w:rsidRPr="00EB5B24">
        <w:rPr>
          <w:rFonts w:ascii="Arial" w:hAnsi="Arial" w:cs="Arial"/>
          <w:b/>
        </w:rPr>
        <w:t>NEROLI HOLMES</w:t>
      </w:r>
    </w:p>
    <w:p w:rsidR="002E7F41" w:rsidRPr="000611FB" w:rsidRDefault="000611FB" w:rsidP="000611FB">
      <w:pPr>
        <w:autoSpaceDE w:val="0"/>
        <w:autoSpaceDN w:val="0"/>
        <w:adjustRightInd w:val="0"/>
        <w:rPr>
          <w:rFonts w:ascii="Arial" w:hAnsi="Arial" w:cs="Arial"/>
          <w:b/>
        </w:rPr>
      </w:pPr>
      <w:r w:rsidRPr="00EB5B24">
        <w:rPr>
          <w:rFonts w:ascii="Arial" w:hAnsi="Arial" w:cs="Arial"/>
          <w:b/>
        </w:rPr>
        <w:t>Acting Anti-Discrimination Commissioner</w:t>
      </w:r>
    </w:p>
    <w:sectPr w:rsidR="002E7F41" w:rsidRPr="000611FB" w:rsidSect="000611FB">
      <w:headerReference w:type="default" r:id="rId11"/>
      <w:headerReference w:type="first" r:id="rId12"/>
      <w:footerReference w:type="first" r:id="rId13"/>
      <w:pgSz w:w="11906" w:h="16838" w:code="9"/>
      <w:pgMar w:top="1440" w:right="1797" w:bottom="1440" w:left="1797"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DA" w:rsidRDefault="008247DA">
      <w:r>
        <w:separator/>
      </w:r>
    </w:p>
  </w:endnote>
  <w:endnote w:type="continuationSeparator" w:id="0">
    <w:p w:rsidR="008247DA" w:rsidRDefault="0082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A" w:rsidRDefault="008247DA">
    <w:pPr>
      <w:pStyle w:val="Footer"/>
    </w:pPr>
    <w:r>
      <w:rPr>
        <w:noProof/>
      </w:rPr>
      <w:drawing>
        <wp:inline distT="0" distB="0" distL="0" distR="0" wp14:anchorId="689B3228" wp14:editId="24E00CA3">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DA" w:rsidRDefault="008247DA">
      <w:r>
        <w:separator/>
      </w:r>
    </w:p>
  </w:footnote>
  <w:footnote w:type="continuationSeparator" w:id="0">
    <w:p w:rsidR="008247DA" w:rsidRDefault="0082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A" w:rsidRDefault="008247DA">
    <w:pPr>
      <w:pStyle w:val="Header"/>
      <w:rPr>
        <w:rFonts w:ascii="Arial" w:hAnsi="Arial" w:cs="Arial"/>
        <w:sz w:val="20"/>
        <w:szCs w:val="20"/>
      </w:rPr>
    </w:pPr>
    <w:r>
      <w:rPr>
        <w:rFonts w:ascii="Arial" w:hAnsi="Arial" w:cs="Arial"/>
        <w:sz w:val="20"/>
        <w:szCs w:val="20"/>
      </w:rPr>
      <w:t>Criminal Law Amendment Bill 2016</w:t>
    </w:r>
    <w:r>
      <w:rPr>
        <w:rFonts w:ascii="Arial" w:hAnsi="Arial" w:cs="Arial"/>
        <w:sz w:val="20"/>
        <w:szCs w:val="20"/>
      </w:rPr>
      <w:tab/>
    </w:r>
    <w:r>
      <w:rPr>
        <w:rFonts w:ascii="Arial" w:hAnsi="Arial" w:cs="Arial"/>
        <w:sz w:val="20"/>
        <w:szCs w:val="20"/>
      </w:rPr>
      <w:tab/>
    </w:r>
    <w:r w:rsidRPr="000611FB">
      <w:rPr>
        <w:rFonts w:ascii="Arial" w:hAnsi="Arial" w:cs="Arial"/>
        <w:sz w:val="20"/>
        <w:szCs w:val="20"/>
      </w:rPr>
      <w:t xml:space="preserve">Page </w:t>
    </w:r>
    <w:r w:rsidRPr="000611FB">
      <w:rPr>
        <w:rFonts w:ascii="Arial" w:hAnsi="Arial" w:cs="Arial"/>
        <w:sz w:val="20"/>
        <w:szCs w:val="20"/>
      </w:rPr>
      <w:fldChar w:fldCharType="begin"/>
    </w:r>
    <w:r w:rsidRPr="000611FB">
      <w:rPr>
        <w:rFonts w:ascii="Arial" w:hAnsi="Arial" w:cs="Arial"/>
        <w:sz w:val="20"/>
        <w:szCs w:val="20"/>
      </w:rPr>
      <w:instrText xml:space="preserve"> PAGE  \* Arabic  \* MERGEFORMAT </w:instrText>
    </w:r>
    <w:r w:rsidRPr="000611FB">
      <w:rPr>
        <w:rFonts w:ascii="Arial" w:hAnsi="Arial" w:cs="Arial"/>
        <w:sz w:val="20"/>
        <w:szCs w:val="20"/>
      </w:rPr>
      <w:fldChar w:fldCharType="separate"/>
    </w:r>
    <w:r w:rsidR="00235127">
      <w:rPr>
        <w:rFonts w:ascii="Arial" w:hAnsi="Arial" w:cs="Arial"/>
        <w:noProof/>
        <w:sz w:val="20"/>
        <w:szCs w:val="20"/>
      </w:rPr>
      <w:t>2</w:t>
    </w:r>
    <w:r w:rsidRPr="000611FB">
      <w:rPr>
        <w:rFonts w:ascii="Arial" w:hAnsi="Arial" w:cs="Arial"/>
        <w:sz w:val="20"/>
        <w:szCs w:val="20"/>
      </w:rPr>
      <w:fldChar w:fldCharType="end"/>
    </w:r>
    <w:r w:rsidRPr="000611FB">
      <w:rPr>
        <w:rFonts w:ascii="Arial" w:hAnsi="Arial" w:cs="Arial"/>
        <w:sz w:val="20"/>
        <w:szCs w:val="20"/>
      </w:rPr>
      <w:t xml:space="preserve"> of </w:t>
    </w:r>
    <w:r w:rsidRPr="000611FB">
      <w:rPr>
        <w:rFonts w:ascii="Arial" w:hAnsi="Arial" w:cs="Arial"/>
        <w:sz w:val="20"/>
        <w:szCs w:val="20"/>
      </w:rPr>
      <w:fldChar w:fldCharType="begin"/>
    </w:r>
    <w:r w:rsidRPr="000611FB">
      <w:rPr>
        <w:rFonts w:ascii="Arial" w:hAnsi="Arial" w:cs="Arial"/>
        <w:sz w:val="20"/>
        <w:szCs w:val="20"/>
      </w:rPr>
      <w:instrText xml:space="preserve"> NUMPAGES  \* Arabic  \* MERGEFORMAT </w:instrText>
    </w:r>
    <w:r w:rsidRPr="000611FB">
      <w:rPr>
        <w:rFonts w:ascii="Arial" w:hAnsi="Arial" w:cs="Arial"/>
        <w:sz w:val="20"/>
        <w:szCs w:val="20"/>
      </w:rPr>
      <w:fldChar w:fldCharType="separate"/>
    </w:r>
    <w:r w:rsidR="00235127">
      <w:rPr>
        <w:rFonts w:ascii="Arial" w:hAnsi="Arial" w:cs="Arial"/>
        <w:noProof/>
        <w:sz w:val="20"/>
        <w:szCs w:val="20"/>
      </w:rPr>
      <w:t>2</w:t>
    </w:r>
    <w:r w:rsidRPr="000611FB">
      <w:rPr>
        <w:rFonts w:ascii="Arial" w:hAnsi="Arial" w:cs="Arial"/>
        <w:sz w:val="20"/>
        <w:szCs w:val="20"/>
      </w:rPr>
      <w:fldChar w:fldCharType="end"/>
    </w:r>
  </w:p>
  <w:p w:rsidR="008247DA" w:rsidRPr="000611FB" w:rsidRDefault="008247DA" w:rsidP="000611FB">
    <w:pPr>
      <w:pStyle w:val="Header"/>
      <w:pBdr>
        <w:top w:val="single" w:sz="4" w:space="1"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A" w:rsidRDefault="008247DA" w:rsidP="005034F1">
    <w:pPr>
      <w:pStyle w:val="Header"/>
      <w:ind w:hanging="426"/>
    </w:pPr>
    <w:r>
      <w:rPr>
        <w:noProof/>
      </w:rPr>
      <w:drawing>
        <wp:inline distT="0" distB="0" distL="0" distR="0" wp14:anchorId="6FF5E8F5" wp14:editId="47F6F82A">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p w:rsidR="008247DA" w:rsidRDefault="00824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0E7B"/>
    <w:multiLevelType w:val="hybridMultilevel"/>
    <w:tmpl w:val="62E453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780933C0"/>
    <w:multiLevelType w:val="hybridMultilevel"/>
    <w:tmpl w:val="23222510"/>
    <w:lvl w:ilvl="0" w:tplc="538A33B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11FB"/>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575FC"/>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2A34"/>
    <w:rsid w:val="002247EE"/>
    <w:rsid w:val="00230261"/>
    <w:rsid w:val="00230B5E"/>
    <w:rsid w:val="002347FF"/>
    <w:rsid w:val="00235127"/>
    <w:rsid w:val="00241501"/>
    <w:rsid w:val="00241D9D"/>
    <w:rsid w:val="00245EC7"/>
    <w:rsid w:val="0024640A"/>
    <w:rsid w:val="002479CC"/>
    <w:rsid w:val="00251F96"/>
    <w:rsid w:val="002532C8"/>
    <w:rsid w:val="00255599"/>
    <w:rsid w:val="0025622A"/>
    <w:rsid w:val="002577DF"/>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D6A20"/>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B3081"/>
    <w:rsid w:val="004B353B"/>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47DA"/>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0F19"/>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D01A1"/>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0EF4"/>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54C5A"/>
    <w:rsid w:val="00B56FB1"/>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6202"/>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E5A8C"/>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05C"/>
    <w:rsid w:val="00DA2593"/>
    <w:rsid w:val="00DA35D9"/>
    <w:rsid w:val="00DA3E82"/>
    <w:rsid w:val="00DA697A"/>
    <w:rsid w:val="00DB2CA4"/>
    <w:rsid w:val="00DB5988"/>
    <w:rsid w:val="00DB656C"/>
    <w:rsid w:val="00DB6DEB"/>
    <w:rsid w:val="00DB727E"/>
    <w:rsid w:val="00DB7444"/>
    <w:rsid w:val="00DC18ED"/>
    <w:rsid w:val="00DC19D2"/>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D32AD"/>
    <w:rsid w:val="00EE1E96"/>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9"/>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1FB"/>
    <w:rPr>
      <w:sz w:val="24"/>
      <w:szCs w:val="24"/>
    </w:rPr>
  </w:style>
  <w:style w:type="paragraph" w:styleId="Heading1">
    <w:name w:val="heading 1"/>
    <w:basedOn w:val="Normal"/>
    <w:next w:val="Normal"/>
    <w:link w:val="Heading1Char"/>
    <w:autoRedefine/>
    <w:qFormat/>
    <w:rsid w:val="001F1C62"/>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paragraph" w:styleId="ListParagraph">
    <w:name w:val="List Paragraph"/>
    <w:basedOn w:val="Normal"/>
    <w:uiPriority w:val="34"/>
    <w:qFormat/>
    <w:rsid w:val="000611FB"/>
    <w:pPr>
      <w:ind w:left="720"/>
      <w:contextualSpacing/>
    </w:pPr>
  </w:style>
  <w:style w:type="paragraph" w:styleId="FootnoteText">
    <w:name w:val="footnote text"/>
    <w:basedOn w:val="Normal"/>
    <w:link w:val="FootnoteTextChar"/>
    <w:rsid w:val="000611FB"/>
    <w:rPr>
      <w:sz w:val="20"/>
      <w:szCs w:val="20"/>
    </w:rPr>
  </w:style>
  <w:style w:type="character" w:customStyle="1" w:styleId="FootnoteTextChar">
    <w:name w:val="Footnote Text Char"/>
    <w:basedOn w:val="DefaultParagraphFont"/>
    <w:link w:val="FootnoteText"/>
    <w:rsid w:val="000611FB"/>
  </w:style>
  <w:style w:type="character" w:styleId="FootnoteReference">
    <w:name w:val="footnote reference"/>
    <w:basedOn w:val="DefaultParagraphFont"/>
    <w:rsid w:val="000611FB"/>
    <w:rPr>
      <w:vertAlign w:val="superscript"/>
    </w:rPr>
  </w:style>
  <w:style w:type="character" w:styleId="Hyperlink">
    <w:name w:val="Hyperlink"/>
    <w:basedOn w:val="DefaultParagraphFont"/>
    <w:rsid w:val="002532C8"/>
    <w:rPr>
      <w:color w:val="0000FF" w:themeColor="hyperlink"/>
      <w:u w:val="single"/>
    </w:rPr>
  </w:style>
  <w:style w:type="character" w:styleId="FollowedHyperlink">
    <w:name w:val="FollowedHyperlink"/>
    <w:basedOn w:val="DefaultParagraphFont"/>
    <w:rsid w:val="004B35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1FB"/>
    <w:rPr>
      <w:sz w:val="24"/>
      <w:szCs w:val="24"/>
    </w:rPr>
  </w:style>
  <w:style w:type="paragraph" w:styleId="Heading1">
    <w:name w:val="heading 1"/>
    <w:basedOn w:val="Normal"/>
    <w:next w:val="Normal"/>
    <w:link w:val="Heading1Char"/>
    <w:autoRedefine/>
    <w:qFormat/>
    <w:rsid w:val="001F1C62"/>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paragraph" w:styleId="ListParagraph">
    <w:name w:val="List Paragraph"/>
    <w:basedOn w:val="Normal"/>
    <w:uiPriority w:val="34"/>
    <w:qFormat/>
    <w:rsid w:val="000611FB"/>
    <w:pPr>
      <w:ind w:left="720"/>
      <w:contextualSpacing/>
    </w:pPr>
  </w:style>
  <w:style w:type="paragraph" w:styleId="FootnoteText">
    <w:name w:val="footnote text"/>
    <w:basedOn w:val="Normal"/>
    <w:link w:val="FootnoteTextChar"/>
    <w:rsid w:val="000611FB"/>
    <w:rPr>
      <w:sz w:val="20"/>
      <w:szCs w:val="20"/>
    </w:rPr>
  </w:style>
  <w:style w:type="character" w:customStyle="1" w:styleId="FootnoteTextChar">
    <w:name w:val="Footnote Text Char"/>
    <w:basedOn w:val="DefaultParagraphFont"/>
    <w:link w:val="FootnoteText"/>
    <w:rsid w:val="000611FB"/>
  </w:style>
  <w:style w:type="character" w:styleId="FootnoteReference">
    <w:name w:val="footnote reference"/>
    <w:basedOn w:val="DefaultParagraphFont"/>
    <w:rsid w:val="000611FB"/>
    <w:rPr>
      <w:vertAlign w:val="superscript"/>
    </w:rPr>
  </w:style>
  <w:style w:type="character" w:styleId="Hyperlink">
    <w:name w:val="Hyperlink"/>
    <w:basedOn w:val="DefaultParagraphFont"/>
    <w:rsid w:val="002532C8"/>
    <w:rPr>
      <w:color w:val="0000FF" w:themeColor="hyperlink"/>
      <w:u w:val="single"/>
    </w:rPr>
  </w:style>
  <w:style w:type="character" w:styleId="FollowedHyperlink">
    <w:name w:val="FollowedHyperlink"/>
    <w:basedOn w:val="DefaultParagraphFont"/>
    <w:rsid w:val="004B35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tif"/><Relationship Id="rId4" Type="http://schemas.microsoft.com/office/2007/relationships/stylesWithEffects" Target="stylesWithEffects.xml"/><Relationship Id="rId9" Type="http://schemas.openxmlformats.org/officeDocument/2006/relationships/hyperlink" Target="mailto:lacsc@parliament.qld.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2EA8-ABC5-41B9-9A2A-CC15024E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33E6C7E0</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Julie Ball</cp:lastModifiedBy>
  <cp:revision>2</cp:revision>
  <cp:lastPrinted>2017-01-16T03:36:00Z</cp:lastPrinted>
  <dcterms:created xsi:type="dcterms:W3CDTF">2017-01-23T05:49:00Z</dcterms:created>
  <dcterms:modified xsi:type="dcterms:W3CDTF">2017-01-23T05:49:00Z</dcterms:modified>
</cp:coreProperties>
</file>