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E3" w:rsidRDefault="00A75AD1" w:rsidP="00A74AFD">
      <w:pPr>
        <w:spacing w:after="0"/>
        <w:rPr>
          <w:rFonts w:cs="Arial"/>
          <w:sz w:val="24"/>
          <w:szCs w:val="24"/>
        </w:rPr>
      </w:pPr>
      <w:r>
        <w:rPr>
          <w:rFonts w:cs="Arial"/>
          <w:sz w:val="24"/>
          <w:szCs w:val="24"/>
        </w:rPr>
        <w:t>12</w:t>
      </w:r>
      <w:r w:rsidR="00D01CE3">
        <w:rPr>
          <w:rFonts w:cs="Arial"/>
          <w:sz w:val="24"/>
          <w:szCs w:val="24"/>
        </w:rPr>
        <w:t xml:space="preserve"> January 2018</w:t>
      </w:r>
    </w:p>
    <w:p w:rsidR="00D01CE3" w:rsidRDefault="00D01CE3" w:rsidP="005034F1">
      <w:pPr>
        <w:spacing w:before="0" w:after="0"/>
        <w:rPr>
          <w:rFonts w:cs="Arial"/>
          <w:sz w:val="24"/>
          <w:szCs w:val="24"/>
        </w:rPr>
      </w:pPr>
    </w:p>
    <w:p w:rsidR="00D01CE3" w:rsidRDefault="00D01CE3" w:rsidP="00A74AFD">
      <w:pPr>
        <w:spacing w:after="0"/>
        <w:rPr>
          <w:rFonts w:cs="Arial"/>
          <w:sz w:val="24"/>
          <w:szCs w:val="24"/>
        </w:rPr>
      </w:pPr>
      <w:r>
        <w:rPr>
          <w:rFonts w:cs="Arial"/>
          <w:sz w:val="24"/>
          <w:szCs w:val="24"/>
        </w:rPr>
        <w:t>Ms Ella Kucharova</w:t>
      </w:r>
    </w:p>
    <w:p w:rsidR="00D01CE3" w:rsidRDefault="00D01CE3" w:rsidP="005034F1">
      <w:pPr>
        <w:spacing w:before="0" w:after="0"/>
        <w:rPr>
          <w:rFonts w:cs="Arial"/>
          <w:sz w:val="24"/>
          <w:szCs w:val="24"/>
        </w:rPr>
      </w:pPr>
      <w:r>
        <w:rPr>
          <w:rFonts w:cs="Arial"/>
          <w:sz w:val="24"/>
          <w:szCs w:val="24"/>
        </w:rPr>
        <w:t>Lawyer</w:t>
      </w:r>
    </w:p>
    <w:p w:rsidR="00D01CE3" w:rsidRDefault="00D01CE3" w:rsidP="005034F1">
      <w:pPr>
        <w:spacing w:before="0" w:after="0"/>
        <w:rPr>
          <w:rFonts w:cs="Arial"/>
          <w:sz w:val="24"/>
          <w:szCs w:val="24"/>
        </w:rPr>
      </w:pPr>
      <w:r>
        <w:rPr>
          <w:rFonts w:cs="Arial"/>
          <w:sz w:val="24"/>
          <w:szCs w:val="24"/>
        </w:rPr>
        <w:t>Legal Section</w:t>
      </w:r>
    </w:p>
    <w:p w:rsidR="00D01CE3" w:rsidRDefault="00D01CE3" w:rsidP="005034F1">
      <w:pPr>
        <w:spacing w:before="0" w:after="0"/>
        <w:rPr>
          <w:rFonts w:cs="Arial"/>
          <w:sz w:val="24"/>
          <w:szCs w:val="24"/>
        </w:rPr>
      </w:pPr>
      <w:r>
        <w:rPr>
          <w:rFonts w:cs="Arial"/>
          <w:sz w:val="24"/>
          <w:szCs w:val="24"/>
        </w:rPr>
        <w:t>Australian Human Rights Commission</w:t>
      </w:r>
    </w:p>
    <w:p w:rsidR="00D01CE3" w:rsidRDefault="00D01CE3" w:rsidP="005034F1">
      <w:pPr>
        <w:spacing w:before="0" w:after="0"/>
        <w:rPr>
          <w:rFonts w:cs="Arial"/>
          <w:sz w:val="24"/>
          <w:szCs w:val="24"/>
        </w:rPr>
      </w:pPr>
      <w:r>
        <w:rPr>
          <w:rFonts w:cs="Arial"/>
          <w:sz w:val="24"/>
          <w:szCs w:val="24"/>
        </w:rPr>
        <w:t>GPO Box 5218</w:t>
      </w:r>
    </w:p>
    <w:p w:rsidR="00D01CE3" w:rsidRDefault="00D01CE3" w:rsidP="005034F1">
      <w:pPr>
        <w:spacing w:before="0" w:after="0"/>
        <w:rPr>
          <w:rFonts w:cs="Arial"/>
          <w:sz w:val="24"/>
          <w:szCs w:val="24"/>
        </w:rPr>
      </w:pPr>
      <w:r>
        <w:rPr>
          <w:rFonts w:cs="Arial"/>
          <w:sz w:val="24"/>
          <w:szCs w:val="24"/>
        </w:rPr>
        <w:t>SYDNEY NSW 2001</w:t>
      </w:r>
    </w:p>
    <w:p w:rsidR="00D01CE3" w:rsidRDefault="00D01CE3" w:rsidP="005034F1">
      <w:pPr>
        <w:spacing w:before="0" w:after="0"/>
        <w:rPr>
          <w:rFonts w:cs="Arial"/>
          <w:sz w:val="24"/>
          <w:szCs w:val="24"/>
        </w:rPr>
      </w:pPr>
    </w:p>
    <w:p w:rsidR="00D01CE3" w:rsidRPr="005E6AE0" w:rsidRDefault="00D01CE3" w:rsidP="005034F1">
      <w:pPr>
        <w:spacing w:before="0" w:after="0"/>
        <w:rPr>
          <w:rFonts w:cs="Arial"/>
          <w:b/>
          <w:i/>
          <w:sz w:val="24"/>
          <w:szCs w:val="24"/>
        </w:rPr>
      </w:pPr>
      <w:r w:rsidRPr="005E6AE0">
        <w:rPr>
          <w:rFonts w:cs="Arial"/>
          <w:b/>
          <w:i/>
          <w:sz w:val="24"/>
          <w:szCs w:val="24"/>
        </w:rPr>
        <w:t xml:space="preserve">By email: </w:t>
      </w:r>
      <w:hyperlink r:id="rId8" w:history="1">
        <w:r w:rsidR="00751A97" w:rsidRPr="007B38FD">
          <w:rPr>
            <w:rStyle w:val="Hyperlink"/>
            <w:rFonts w:cs="Arial"/>
            <w:b/>
            <w:i/>
            <w:sz w:val="24"/>
            <w:szCs w:val="24"/>
          </w:rPr>
          <w:t>legal@humanrights.gov.au</w:t>
        </w:r>
      </w:hyperlink>
      <w:r w:rsidRPr="005E6AE0">
        <w:rPr>
          <w:rFonts w:cs="Arial"/>
          <w:b/>
          <w:i/>
          <w:sz w:val="24"/>
          <w:szCs w:val="24"/>
        </w:rPr>
        <w:t xml:space="preserve"> </w:t>
      </w:r>
      <w:r w:rsidR="00D37D23">
        <w:rPr>
          <w:rFonts w:cs="Arial"/>
          <w:b/>
          <w:i/>
          <w:sz w:val="24"/>
          <w:szCs w:val="24"/>
        </w:rPr>
        <w:t>and</w:t>
      </w:r>
      <w:r w:rsidRPr="005E6AE0">
        <w:rPr>
          <w:rFonts w:cs="Arial"/>
          <w:b/>
          <w:i/>
          <w:sz w:val="24"/>
          <w:szCs w:val="24"/>
        </w:rPr>
        <w:t xml:space="preserve"> </w:t>
      </w:r>
      <w:hyperlink r:id="rId9" w:history="1">
        <w:r w:rsidRPr="005E6AE0">
          <w:rPr>
            <w:rStyle w:val="Hyperlink"/>
            <w:rFonts w:cs="Arial"/>
            <w:b/>
            <w:i/>
            <w:sz w:val="24"/>
            <w:szCs w:val="24"/>
          </w:rPr>
          <w:t>ella.kucharova@humanrights.gov.au</w:t>
        </w:r>
      </w:hyperlink>
    </w:p>
    <w:p w:rsidR="00D01CE3" w:rsidRDefault="00D01CE3" w:rsidP="005034F1">
      <w:pPr>
        <w:spacing w:before="0" w:after="0"/>
        <w:rPr>
          <w:rFonts w:cs="Arial"/>
          <w:sz w:val="24"/>
          <w:szCs w:val="24"/>
        </w:rPr>
      </w:pPr>
    </w:p>
    <w:p w:rsidR="00D01CE3" w:rsidRDefault="00D01CE3" w:rsidP="00A74AFD">
      <w:pPr>
        <w:spacing w:before="240" w:after="240"/>
        <w:rPr>
          <w:rFonts w:cs="Arial"/>
          <w:sz w:val="24"/>
          <w:szCs w:val="24"/>
        </w:rPr>
      </w:pPr>
      <w:r>
        <w:rPr>
          <w:rFonts w:cs="Arial"/>
          <w:sz w:val="24"/>
          <w:szCs w:val="24"/>
        </w:rPr>
        <w:t>Dear Ms Kucharova</w:t>
      </w:r>
    </w:p>
    <w:p w:rsidR="00D01CE3" w:rsidRPr="00D01CE3" w:rsidRDefault="00D01CE3" w:rsidP="00D01CE3">
      <w:pPr>
        <w:spacing w:after="240"/>
        <w:rPr>
          <w:rFonts w:cs="Arial"/>
          <w:b/>
          <w:sz w:val="24"/>
          <w:szCs w:val="24"/>
        </w:rPr>
      </w:pPr>
      <w:r w:rsidRPr="00D01CE3">
        <w:rPr>
          <w:rFonts w:cs="Arial"/>
          <w:b/>
          <w:sz w:val="24"/>
          <w:szCs w:val="24"/>
        </w:rPr>
        <w:t>Exemption application by State of Queensland &amp; Queensland Rail – NGR Trains</w:t>
      </w:r>
    </w:p>
    <w:p w:rsidR="00E10AF1" w:rsidRDefault="00D01CE3" w:rsidP="00D01CE3">
      <w:pPr>
        <w:spacing w:after="240"/>
        <w:rPr>
          <w:rFonts w:cs="Arial"/>
          <w:sz w:val="24"/>
          <w:szCs w:val="24"/>
        </w:rPr>
      </w:pPr>
      <w:r>
        <w:rPr>
          <w:rFonts w:cs="Arial"/>
          <w:sz w:val="24"/>
          <w:szCs w:val="24"/>
        </w:rPr>
        <w:t xml:space="preserve">Thank you for the invitation to make a submission about the application for temporary exemption in relation to the Queensland Government’s New Generation Rollingstock (NGR) trains.  </w:t>
      </w:r>
    </w:p>
    <w:p w:rsidR="00E243F5" w:rsidRDefault="00D01CE3" w:rsidP="00D01CE3">
      <w:pPr>
        <w:spacing w:after="240"/>
        <w:rPr>
          <w:rFonts w:cs="Arial"/>
          <w:sz w:val="24"/>
          <w:szCs w:val="24"/>
        </w:rPr>
      </w:pPr>
      <w:r>
        <w:rPr>
          <w:rFonts w:cs="Arial"/>
          <w:sz w:val="24"/>
          <w:szCs w:val="24"/>
        </w:rPr>
        <w:t xml:space="preserve">The State of Queensland and Queensland Rail seek an exemption from the application of the </w:t>
      </w:r>
      <w:r w:rsidRPr="00D01CE3">
        <w:rPr>
          <w:rFonts w:cs="Arial"/>
          <w:i/>
          <w:sz w:val="24"/>
          <w:szCs w:val="24"/>
        </w:rPr>
        <w:t>Disability Discrimination Act 1992</w:t>
      </w:r>
      <w:r>
        <w:rPr>
          <w:rFonts w:cs="Arial"/>
          <w:sz w:val="24"/>
          <w:szCs w:val="24"/>
        </w:rPr>
        <w:t xml:space="preserve"> </w:t>
      </w:r>
      <w:r w:rsidR="002849FD">
        <w:rPr>
          <w:rFonts w:cs="Arial"/>
          <w:sz w:val="24"/>
          <w:szCs w:val="24"/>
        </w:rPr>
        <w:t xml:space="preserve">(Cth) </w:t>
      </w:r>
      <w:r>
        <w:rPr>
          <w:rFonts w:cs="Arial"/>
          <w:sz w:val="24"/>
          <w:szCs w:val="24"/>
        </w:rPr>
        <w:t xml:space="preserve">and the </w:t>
      </w:r>
      <w:r w:rsidRPr="00BF4F8F">
        <w:rPr>
          <w:rFonts w:cs="Arial"/>
          <w:i/>
          <w:sz w:val="24"/>
          <w:szCs w:val="24"/>
        </w:rPr>
        <w:t>Disability Standards for Accessible Public Transport 2002</w:t>
      </w:r>
      <w:r>
        <w:rPr>
          <w:rFonts w:cs="Arial"/>
          <w:sz w:val="24"/>
          <w:szCs w:val="24"/>
        </w:rPr>
        <w:t xml:space="preserve"> for a period of three years.  The exemption sought would enable NGR trains to be used on the South East Queensland tr</w:t>
      </w:r>
      <w:r w:rsidR="00251F92">
        <w:rPr>
          <w:rFonts w:cs="Arial"/>
          <w:sz w:val="24"/>
          <w:szCs w:val="24"/>
        </w:rPr>
        <w:t>ain network</w:t>
      </w:r>
      <w:r>
        <w:rPr>
          <w:rFonts w:cs="Arial"/>
          <w:sz w:val="24"/>
          <w:szCs w:val="24"/>
        </w:rPr>
        <w:t xml:space="preserve"> while </w:t>
      </w:r>
      <w:r w:rsidR="00ED642B">
        <w:rPr>
          <w:rFonts w:cs="Arial"/>
          <w:sz w:val="24"/>
          <w:szCs w:val="24"/>
        </w:rPr>
        <w:t>rectification work is undertaken to address</w:t>
      </w:r>
      <w:r w:rsidR="00251F92">
        <w:rPr>
          <w:rFonts w:cs="Arial"/>
          <w:sz w:val="24"/>
          <w:szCs w:val="24"/>
        </w:rPr>
        <w:t>, as far as possible,</w:t>
      </w:r>
      <w:r w:rsidR="00ED642B">
        <w:rPr>
          <w:rFonts w:cs="Arial"/>
          <w:sz w:val="24"/>
          <w:szCs w:val="24"/>
        </w:rPr>
        <w:t xml:space="preserve"> ac</w:t>
      </w:r>
      <w:r w:rsidR="00CB5DB5">
        <w:rPr>
          <w:rFonts w:cs="Arial"/>
          <w:sz w:val="24"/>
          <w:szCs w:val="24"/>
        </w:rPr>
        <w:t>cessibility</w:t>
      </w:r>
      <w:r w:rsidR="00ED642B">
        <w:rPr>
          <w:rFonts w:cs="Arial"/>
          <w:sz w:val="24"/>
          <w:szCs w:val="24"/>
        </w:rPr>
        <w:t>.</w:t>
      </w:r>
      <w:r>
        <w:rPr>
          <w:rFonts w:cs="Arial"/>
          <w:sz w:val="24"/>
          <w:szCs w:val="24"/>
        </w:rPr>
        <w:t xml:space="preserve"> </w:t>
      </w:r>
      <w:r w:rsidR="00CB5DB5">
        <w:rPr>
          <w:rFonts w:cs="Arial"/>
          <w:sz w:val="24"/>
          <w:szCs w:val="24"/>
        </w:rPr>
        <w:t xml:space="preserve"> </w:t>
      </w:r>
    </w:p>
    <w:p w:rsidR="00D01CE3" w:rsidRDefault="00E243F5" w:rsidP="00E243F5">
      <w:pPr>
        <w:rPr>
          <w:rFonts w:cs="Arial"/>
          <w:sz w:val="24"/>
          <w:szCs w:val="24"/>
        </w:rPr>
      </w:pPr>
      <w:r>
        <w:rPr>
          <w:rFonts w:cs="Arial"/>
          <w:sz w:val="24"/>
          <w:szCs w:val="24"/>
        </w:rPr>
        <w:t>The identified accessibility issues are</w:t>
      </w:r>
      <w:r w:rsidR="00CB5DB5">
        <w:rPr>
          <w:rFonts w:cs="Arial"/>
          <w:sz w:val="24"/>
          <w:szCs w:val="24"/>
        </w:rPr>
        <w:t>:</w:t>
      </w:r>
    </w:p>
    <w:p w:rsidR="00CB5DB5" w:rsidRDefault="00E243F5" w:rsidP="00E243F5">
      <w:pPr>
        <w:pStyle w:val="ListParagraph"/>
        <w:numPr>
          <w:ilvl w:val="0"/>
          <w:numId w:val="1"/>
        </w:numPr>
        <w:contextualSpacing w:val="0"/>
        <w:rPr>
          <w:rFonts w:cs="Arial"/>
          <w:sz w:val="24"/>
          <w:szCs w:val="24"/>
        </w:rPr>
      </w:pPr>
      <w:r>
        <w:rPr>
          <w:rFonts w:cs="Arial"/>
          <w:sz w:val="24"/>
          <w:szCs w:val="24"/>
        </w:rPr>
        <w:t>Access paths;</w:t>
      </w:r>
    </w:p>
    <w:p w:rsidR="00E243F5" w:rsidRDefault="00E243F5" w:rsidP="00E243F5">
      <w:pPr>
        <w:pStyle w:val="ListParagraph"/>
        <w:numPr>
          <w:ilvl w:val="0"/>
          <w:numId w:val="1"/>
        </w:numPr>
        <w:contextualSpacing w:val="0"/>
        <w:rPr>
          <w:rFonts w:cs="Arial"/>
          <w:sz w:val="24"/>
          <w:szCs w:val="24"/>
        </w:rPr>
      </w:pPr>
      <w:r>
        <w:rPr>
          <w:rFonts w:cs="Arial"/>
          <w:sz w:val="24"/>
          <w:szCs w:val="24"/>
        </w:rPr>
        <w:t>Unisex accessible toilets; and</w:t>
      </w:r>
    </w:p>
    <w:p w:rsidR="00E243F5" w:rsidRPr="00E243F5" w:rsidRDefault="00E243F5" w:rsidP="00E243F5">
      <w:pPr>
        <w:pStyle w:val="ListParagraph"/>
        <w:numPr>
          <w:ilvl w:val="0"/>
          <w:numId w:val="1"/>
        </w:numPr>
        <w:spacing w:after="240"/>
        <w:contextualSpacing w:val="0"/>
        <w:rPr>
          <w:rFonts w:cs="Arial"/>
          <w:sz w:val="24"/>
          <w:szCs w:val="24"/>
        </w:rPr>
      </w:pPr>
      <w:r>
        <w:rPr>
          <w:rFonts w:cs="Arial"/>
          <w:sz w:val="24"/>
          <w:szCs w:val="24"/>
        </w:rPr>
        <w:t>Assisted boarding.</w:t>
      </w:r>
    </w:p>
    <w:p w:rsidR="00251F92" w:rsidRDefault="00251F92" w:rsidP="00D01CE3">
      <w:pPr>
        <w:spacing w:after="240"/>
        <w:rPr>
          <w:rFonts w:cs="Arial"/>
          <w:sz w:val="24"/>
          <w:szCs w:val="24"/>
        </w:rPr>
      </w:pPr>
      <w:r>
        <w:rPr>
          <w:rFonts w:cs="Arial"/>
          <w:sz w:val="24"/>
          <w:szCs w:val="24"/>
        </w:rPr>
        <w:t>The NGR fleet comprises 75 new six-car trains, commissioned by the Queensland Government in 2013.  It is a grave indictment on the State that a major public works project was procured with apparent disregard for the laws that prohibit discrimination and set out minimum standards for public transport accessibility.</w:t>
      </w:r>
      <w:r w:rsidR="004D60B4">
        <w:rPr>
          <w:rFonts w:cs="Arial"/>
          <w:sz w:val="24"/>
          <w:szCs w:val="24"/>
        </w:rPr>
        <w:t xml:space="preserve">  The Queensland </w:t>
      </w:r>
      <w:r w:rsidR="004D60B4" w:rsidRPr="004D60B4">
        <w:rPr>
          <w:rFonts w:cs="Arial"/>
          <w:i/>
          <w:sz w:val="24"/>
          <w:szCs w:val="24"/>
        </w:rPr>
        <w:t>Anti-Discrimination Act 1991</w:t>
      </w:r>
      <w:r w:rsidR="004D60B4">
        <w:rPr>
          <w:rFonts w:cs="Arial"/>
          <w:sz w:val="24"/>
          <w:szCs w:val="24"/>
        </w:rPr>
        <w:t xml:space="preserve"> has operated since 30 June 1992 and the federal </w:t>
      </w:r>
      <w:r w:rsidR="004D60B4" w:rsidRPr="004D60B4">
        <w:rPr>
          <w:rFonts w:cs="Arial"/>
          <w:i/>
          <w:sz w:val="24"/>
          <w:szCs w:val="24"/>
        </w:rPr>
        <w:t>Disability Discrimination Act 1992</w:t>
      </w:r>
      <w:r w:rsidR="004D60B4">
        <w:rPr>
          <w:rFonts w:cs="Arial"/>
          <w:sz w:val="24"/>
          <w:szCs w:val="24"/>
        </w:rPr>
        <w:t xml:space="preserve"> has operated since 1 March 1993.  Both Acts prohibit discrimination of people with disabilities in accessing public transport.</w:t>
      </w:r>
    </w:p>
    <w:p w:rsidR="00515E8C" w:rsidRDefault="00515E8C" w:rsidP="00D01CE3">
      <w:pPr>
        <w:spacing w:after="240"/>
        <w:rPr>
          <w:rFonts w:cs="Arial"/>
          <w:sz w:val="24"/>
          <w:szCs w:val="24"/>
        </w:rPr>
      </w:pPr>
      <w:r>
        <w:rPr>
          <w:rFonts w:cs="Arial"/>
          <w:sz w:val="24"/>
          <w:szCs w:val="24"/>
        </w:rPr>
        <w:lastRenderedPageBreak/>
        <w:t xml:space="preserve">Additionally, the </w:t>
      </w:r>
      <w:r w:rsidRPr="00BF4F8F">
        <w:rPr>
          <w:rFonts w:cs="Arial"/>
          <w:i/>
          <w:sz w:val="24"/>
          <w:szCs w:val="24"/>
        </w:rPr>
        <w:t>Disability Standards for Accessible Public Transport 2002</w:t>
      </w:r>
      <w:r>
        <w:rPr>
          <w:rFonts w:cs="Arial"/>
          <w:sz w:val="24"/>
          <w:szCs w:val="24"/>
        </w:rPr>
        <w:t xml:space="preserve"> (Transport Standards) commenced in</w:t>
      </w:r>
      <w:r w:rsidR="00BF4F8F">
        <w:rPr>
          <w:rFonts w:cs="Arial"/>
          <w:sz w:val="24"/>
          <w:szCs w:val="24"/>
        </w:rPr>
        <w:t xml:space="preserve"> October 2002</w:t>
      </w:r>
      <w:r w:rsidR="00304767">
        <w:rPr>
          <w:rFonts w:cs="Arial"/>
          <w:sz w:val="24"/>
          <w:szCs w:val="24"/>
        </w:rPr>
        <w:t>.</w:t>
      </w:r>
      <w:r>
        <w:rPr>
          <w:rFonts w:cs="Arial"/>
          <w:sz w:val="24"/>
          <w:szCs w:val="24"/>
        </w:rPr>
        <w:t xml:space="preserve">  The purpose of the Transport Standards is to enable public transport operators and providers to remove discrimination from public transport services.</w:t>
      </w:r>
      <w:r>
        <w:rPr>
          <w:rStyle w:val="FootnoteReference"/>
          <w:rFonts w:cs="Arial"/>
          <w:sz w:val="24"/>
          <w:szCs w:val="24"/>
        </w:rPr>
        <w:footnoteReference w:id="1"/>
      </w:r>
      <w:r w:rsidR="00304767">
        <w:rPr>
          <w:rFonts w:cs="Arial"/>
          <w:sz w:val="24"/>
          <w:szCs w:val="24"/>
        </w:rPr>
        <w:t xml:space="preserve">  All new conveyances brought into use for public transport service after October 2002 must comply with the Transport Standards.</w:t>
      </w:r>
      <w:r w:rsidR="00304767">
        <w:rPr>
          <w:rStyle w:val="FootnoteReference"/>
          <w:rFonts w:cs="Arial"/>
          <w:sz w:val="24"/>
          <w:szCs w:val="24"/>
        </w:rPr>
        <w:footnoteReference w:id="2"/>
      </w:r>
    </w:p>
    <w:p w:rsidR="00502F7C" w:rsidRDefault="00502F7C" w:rsidP="00D01CE3">
      <w:pPr>
        <w:spacing w:after="240"/>
        <w:rPr>
          <w:rFonts w:cs="Arial"/>
          <w:sz w:val="24"/>
          <w:szCs w:val="24"/>
        </w:rPr>
      </w:pPr>
      <w:r>
        <w:rPr>
          <w:rFonts w:cs="Arial"/>
          <w:sz w:val="24"/>
          <w:szCs w:val="24"/>
        </w:rPr>
        <w:t>That the Queensland Government would in 2013 commission a fleet of trains that do not fully comply with the Transport Standards, and in other respects are likely to discriminate against people with disabilities, is reprehensible.  And in further defiance and disregard for the law, the NGR trains have been put in use without any rectification work and without the benefit of an exemption granted by the Australian Human Rights Commission.</w:t>
      </w:r>
    </w:p>
    <w:p w:rsidR="00D01CE3" w:rsidRDefault="00A75AD1" w:rsidP="00D01CE3">
      <w:pPr>
        <w:spacing w:after="240"/>
        <w:rPr>
          <w:rFonts w:cs="Arial"/>
          <w:sz w:val="24"/>
          <w:szCs w:val="24"/>
        </w:rPr>
      </w:pPr>
      <w:r>
        <w:rPr>
          <w:rFonts w:cs="Arial"/>
          <w:sz w:val="24"/>
          <w:szCs w:val="24"/>
        </w:rPr>
        <w:t xml:space="preserve">The applicants say the reason for deploying the non-compliant NGR trains is to replace aging trains and provide services for the Commonwealth Games, which are to take place on the Gold Coast in </w:t>
      </w:r>
      <w:r w:rsidR="006540FE">
        <w:rPr>
          <w:rFonts w:cs="Arial"/>
          <w:sz w:val="24"/>
          <w:szCs w:val="24"/>
        </w:rPr>
        <w:t>early April 2018</w:t>
      </w:r>
      <w:r w:rsidR="00DA68C6">
        <w:rPr>
          <w:rFonts w:cs="Arial"/>
          <w:sz w:val="24"/>
          <w:szCs w:val="24"/>
        </w:rPr>
        <w:t>.</w:t>
      </w:r>
    </w:p>
    <w:p w:rsidR="00D42D25" w:rsidRDefault="00DA68C6" w:rsidP="00D01CE3">
      <w:pPr>
        <w:spacing w:after="240"/>
        <w:rPr>
          <w:rFonts w:cs="Arial"/>
          <w:sz w:val="24"/>
          <w:szCs w:val="24"/>
        </w:rPr>
      </w:pPr>
      <w:r>
        <w:rPr>
          <w:rFonts w:cs="Arial"/>
          <w:sz w:val="24"/>
          <w:szCs w:val="24"/>
        </w:rPr>
        <w:t xml:space="preserve">Ideally, </w:t>
      </w:r>
      <w:r w:rsidR="006A42A2">
        <w:rPr>
          <w:rFonts w:cs="Arial"/>
          <w:sz w:val="24"/>
          <w:szCs w:val="24"/>
        </w:rPr>
        <w:t xml:space="preserve">accessibility should have been addressed at </w:t>
      </w:r>
      <w:r w:rsidR="00735485">
        <w:rPr>
          <w:rFonts w:cs="Arial"/>
          <w:sz w:val="24"/>
          <w:szCs w:val="24"/>
        </w:rPr>
        <w:t>the design and cons</w:t>
      </w:r>
      <w:r w:rsidR="006A42A2">
        <w:rPr>
          <w:rFonts w:cs="Arial"/>
          <w:sz w:val="24"/>
          <w:szCs w:val="24"/>
        </w:rPr>
        <w:t>truct stages of the project,</w:t>
      </w:r>
      <w:r w:rsidR="00735485">
        <w:rPr>
          <w:rFonts w:cs="Arial"/>
          <w:sz w:val="24"/>
          <w:szCs w:val="24"/>
        </w:rPr>
        <w:t xml:space="preserve"> and the trains </w:t>
      </w:r>
      <w:r w:rsidR="006A42A2">
        <w:rPr>
          <w:rFonts w:cs="Arial"/>
          <w:sz w:val="24"/>
          <w:szCs w:val="24"/>
        </w:rPr>
        <w:t xml:space="preserve">should </w:t>
      </w:r>
      <w:r w:rsidR="00735485">
        <w:rPr>
          <w:rFonts w:cs="Arial"/>
          <w:sz w:val="24"/>
          <w:szCs w:val="24"/>
        </w:rPr>
        <w:t xml:space="preserve">not </w:t>
      </w:r>
      <w:r w:rsidR="006A42A2">
        <w:rPr>
          <w:rFonts w:cs="Arial"/>
          <w:sz w:val="24"/>
          <w:szCs w:val="24"/>
        </w:rPr>
        <w:t xml:space="preserve">have been </w:t>
      </w:r>
      <w:r w:rsidR="00735485">
        <w:rPr>
          <w:rFonts w:cs="Arial"/>
          <w:sz w:val="24"/>
          <w:szCs w:val="24"/>
        </w:rPr>
        <w:t xml:space="preserve">put in use before </w:t>
      </w:r>
      <w:r w:rsidR="00FB715C">
        <w:rPr>
          <w:rFonts w:cs="Arial"/>
          <w:sz w:val="24"/>
          <w:szCs w:val="24"/>
        </w:rPr>
        <w:t>being</w:t>
      </w:r>
      <w:r w:rsidR="00735485">
        <w:rPr>
          <w:rFonts w:cs="Arial"/>
          <w:sz w:val="24"/>
          <w:szCs w:val="24"/>
        </w:rPr>
        <w:t xml:space="preserve"> made fully accessible.  </w:t>
      </w:r>
      <w:r w:rsidR="006A42A2">
        <w:rPr>
          <w:rFonts w:cs="Arial"/>
          <w:sz w:val="24"/>
          <w:szCs w:val="24"/>
        </w:rPr>
        <w:t xml:space="preserve">Unfortunately that has not occurred.  </w:t>
      </w:r>
    </w:p>
    <w:p w:rsidR="00DA68C6" w:rsidRDefault="006A42A2" w:rsidP="00D01CE3">
      <w:pPr>
        <w:spacing w:after="240"/>
        <w:rPr>
          <w:rFonts w:cs="Arial"/>
          <w:sz w:val="24"/>
          <w:szCs w:val="24"/>
        </w:rPr>
      </w:pPr>
      <w:r>
        <w:rPr>
          <w:rFonts w:cs="Arial"/>
          <w:sz w:val="24"/>
          <w:szCs w:val="24"/>
        </w:rPr>
        <w:t xml:space="preserve">The applicants claim that withholding the trains from service pending compliance with the Transport Standards would impose significant financial burdens on the State.  </w:t>
      </w:r>
      <w:r w:rsidR="00CE5D8D">
        <w:rPr>
          <w:rFonts w:cs="Arial"/>
          <w:sz w:val="24"/>
          <w:szCs w:val="24"/>
        </w:rPr>
        <w:t>There is no detail of t</w:t>
      </w:r>
      <w:r>
        <w:rPr>
          <w:rFonts w:cs="Arial"/>
          <w:sz w:val="24"/>
          <w:szCs w:val="24"/>
        </w:rPr>
        <w:t>hose financia</w:t>
      </w:r>
      <w:r w:rsidR="00CE5D8D">
        <w:rPr>
          <w:rFonts w:cs="Arial"/>
          <w:sz w:val="24"/>
          <w:szCs w:val="24"/>
        </w:rPr>
        <w:t>l burdens</w:t>
      </w:r>
      <w:r>
        <w:rPr>
          <w:rFonts w:cs="Arial"/>
          <w:sz w:val="24"/>
          <w:szCs w:val="24"/>
        </w:rPr>
        <w:t>.</w:t>
      </w:r>
    </w:p>
    <w:p w:rsidR="00D42D25" w:rsidRDefault="002E090E" w:rsidP="00D01CE3">
      <w:pPr>
        <w:spacing w:after="240"/>
        <w:rPr>
          <w:rFonts w:cs="Arial"/>
          <w:sz w:val="24"/>
          <w:szCs w:val="24"/>
        </w:rPr>
      </w:pPr>
      <w:r>
        <w:rPr>
          <w:rFonts w:cs="Arial"/>
          <w:sz w:val="24"/>
          <w:szCs w:val="24"/>
        </w:rPr>
        <w:t>Everyone has the right to use public transport.</w:t>
      </w:r>
      <w:r>
        <w:rPr>
          <w:rStyle w:val="FootnoteReference"/>
          <w:rFonts w:cs="Arial"/>
          <w:sz w:val="24"/>
          <w:szCs w:val="24"/>
        </w:rPr>
        <w:footnoteReference w:id="3"/>
      </w:r>
      <w:r>
        <w:rPr>
          <w:rFonts w:cs="Arial"/>
          <w:sz w:val="24"/>
          <w:szCs w:val="24"/>
        </w:rPr>
        <w:t xml:space="preserve">  Given that non-compliant trains are in use, people with disabilities </w:t>
      </w:r>
      <w:r w:rsidR="00D37D23">
        <w:rPr>
          <w:rFonts w:cs="Arial"/>
          <w:sz w:val="24"/>
          <w:szCs w:val="24"/>
        </w:rPr>
        <w:t>are already very likely to</w:t>
      </w:r>
      <w:r>
        <w:rPr>
          <w:rFonts w:cs="Arial"/>
          <w:sz w:val="24"/>
          <w:szCs w:val="24"/>
        </w:rPr>
        <w:t xml:space="preserve"> be experiencing discrimination</w:t>
      </w:r>
      <w:r w:rsidR="00E931D5">
        <w:rPr>
          <w:rFonts w:cs="Arial"/>
          <w:sz w:val="24"/>
          <w:szCs w:val="24"/>
        </w:rPr>
        <w:t xml:space="preserve">.  The impact on those people must be the primary consideration </w:t>
      </w:r>
      <w:r w:rsidR="00B514A7">
        <w:rPr>
          <w:rFonts w:cs="Arial"/>
          <w:sz w:val="24"/>
          <w:szCs w:val="24"/>
        </w:rPr>
        <w:t>in</w:t>
      </w:r>
      <w:r w:rsidR="00E931D5">
        <w:rPr>
          <w:rFonts w:cs="Arial"/>
          <w:sz w:val="24"/>
          <w:szCs w:val="24"/>
        </w:rPr>
        <w:t xml:space="preserve"> resolving the current situation.  The application makes no provision for people who are disadvantaged by the non-compliant trains while the rectification work </w:t>
      </w:r>
      <w:r w:rsidR="00B514A7">
        <w:rPr>
          <w:rFonts w:cs="Arial"/>
          <w:sz w:val="24"/>
          <w:szCs w:val="24"/>
        </w:rPr>
        <w:t>takes place</w:t>
      </w:r>
      <w:r w:rsidR="00E931D5">
        <w:rPr>
          <w:rFonts w:cs="Arial"/>
          <w:sz w:val="24"/>
          <w:szCs w:val="24"/>
        </w:rPr>
        <w:t>, other than a communication plan, the details of which are not finalised.</w:t>
      </w:r>
      <w:r w:rsidR="00D37D23">
        <w:rPr>
          <w:rFonts w:cs="Arial"/>
          <w:sz w:val="24"/>
          <w:szCs w:val="24"/>
        </w:rPr>
        <w:t xml:space="preserve">  A draft of that plan has not been provided to the Australian Human Rights Commission (AHRC) or made publicly available with the exemption application</w:t>
      </w:r>
    </w:p>
    <w:p w:rsidR="00B514A7" w:rsidRDefault="00B514A7" w:rsidP="00D01CE3">
      <w:pPr>
        <w:spacing w:after="240"/>
        <w:rPr>
          <w:rFonts w:cs="Arial"/>
          <w:sz w:val="24"/>
          <w:szCs w:val="24"/>
        </w:rPr>
      </w:pPr>
      <w:r>
        <w:rPr>
          <w:rFonts w:cs="Arial"/>
          <w:sz w:val="24"/>
          <w:szCs w:val="24"/>
        </w:rPr>
        <w:t>The status of the design, build and delivery of the 75 NGR trains, and a high level timetable for the rectification works, have been provided to the</w:t>
      </w:r>
      <w:r w:rsidR="00D37D23">
        <w:rPr>
          <w:rFonts w:cs="Arial"/>
          <w:sz w:val="24"/>
          <w:szCs w:val="24"/>
        </w:rPr>
        <w:t xml:space="preserve"> AHRC</w:t>
      </w:r>
      <w:r>
        <w:rPr>
          <w:rFonts w:cs="Arial"/>
          <w:sz w:val="24"/>
          <w:szCs w:val="24"/>
        </w:rPr>
        <w:t>, but have not been made publicly available on the basis that they are ‘commercial-in-confidence’.  A detailed timetable for each step of the rectification process is still to be developed, and the designs for the rectification works are still at the concept stage.</w:t>
      </w:r>
    </w:p>
    <w:p w:rsidR="00E243F5" w:rsidRDefault="00E243F5" w:rsidP="00D01CE3">
      <w:pPr>
        <w:spacing w:after="240"/>
        <w:rPr>
          <w:rFonts w:cs="Arial"/>
          <w:sz w:val="24"/>
          <w:szCs w:val="24"/>
        </w:rPr>
      </w:pPr>
      <w:r>
        <w:rPr>
          <w:rFonts w:cs="Arial"/>
          <w:sz w:val="24"/>
          <w:szCs w:val="24"/>
        </w:rPr>
        <w:t xml:space="preserve">In view of the lack of certainty of the proposed works and </w:t>
      </w:r>
      <w:r w:rsidR="00064B48">
        <w:rPr>
          <w:rFonts w:cs="Arial"/>
          <w:sz w:val="24"/>
          <w:szCs w:val="24"/>
        </w:rPr>
        <w:t>want of provision for the people who are disadvantaged by the trains</w:t>
      </w:r>
      <w:r>
        <w:rPr>
          <w:rFonts w:cs="Arial"/>
          <w:sz w:val="24"/>
          <w:szCs w:val="24"/>
        </w:rPr>
        <w:t xml:space="preserve">, the Commission is unable to support </w:t>
      </w:r>
      <w:r>
        <w:rPr>
          <w:rFonts w:cs="Arial"/>
          <w:sz w:val="24"/>
          <w:szCs w:val="24"/>
        </w:rPr>
        <w:lastRenderedPageBreak/>
        <w:t>the granting of an exemption</w:t>
      </w:r>
      <w:r w:rsidR="00D37D23">
        <w:rPr>
          <w:rFonts w:cs="Arial"/>
          <w:sz w:val="24"/>
          <w:szCs w:val="24"/>
        </w:rPr>
        <w:t xml:space="preserve"> as currently requested</w:t>
      </w:r>
      <w:r>
        <w:rPr>
          <w:rFonts w:cs="Arial"/>
          <w:sz w:val="24"/>
          <w:szCs w:val="24"/>
        </w:rPr>
        <w:t>.</w:t>
      </w:r>
      <w:r w:rsidR="00064B48">
        <w:rPr>
          <w:rFonts w:cs="Arial"/>
          <w:sz w:val="24"/>
          <w:szCs w:val="24"/>
        </w:rPr>
        <w:t xml:space="preserve">  </w:t>
      </w:r>
      <w:r w:rsidR="00D17F10">
        <w:rPr>
          <w:rFonts w:cs="Arial"/>
          <w:sz w:val="24"/>
          <w:szCs w:val="24"/>
        </w:rPr>
        <w:t>Any</w:t>
      </w:r>
      <w:r w:rsidR="00064B48">
        <w:rPr>
          <w:rFonts w:cs="Arial"/>
          <w:sz w:val="24"/>
          <w:szCs w:val="24"/>
        </w:rPr>
        <w:t xml:space="preserve"> exemption </w:t>
      </w:r>
      <w:r w:rsidR="00D17F10">
        <w:rPr>
          <w:rFonts w:cs="Arial"/>
          <w:sz w:val="24"/>
          <w:szCs w:val="24"/>
        </w:rPr>
        <w:t xml:space="preserve">granted, </w:t>
      </w:r>
      <w:r w:rsidR="00064B48">
        <w:rPr>
          <w:rFonts w:cs="Arial"/>
          <w:sz w:val="24"/>
          <w:szCs w:val="24"/>
        </w:rPr>
        <w:t>should have strict conditions that address the following issues.</w:t>
      </w:r>
    </w:p>
    <w:p w:rsidR="00B514A7" w:rsidRDefault="00322148" w:rsidP="00D01CE3">
      <w:pPr>
        <w:spacing w:after="240"/>
        <w:rPr>
          <w:rFonts w:cs="Arial"/>
          <w:sz w:val="24"/>
          <w:szCs w:val="24"/>
        </w:rPr>
      </w:pPr>
      <w:r>
        <w:rPr>
          <w:rFonts w:cs="Arial"/>
          <w:sz w:val="24"/>
          <w:szCs w:val="24"/>
        </w:rPr>
        <w:t xml:space="preserve">The applicants must undertake not to put </w:t>
      </w:r>
      <w:r w:rsidR="00064B48">
        <w:rPr>
          <w:rFonts w:cs="Arial"/>
          <w:sz w:val="24"/>
          <w:szCs w:val="24"/>
        </w:rPr>
        <w:t>more non</w:t>
      </w:r>
      <w:r>
        <w:rPr>
          <w:rFonts w:cs="Arial"/>
          <w:sz w:val="24"/>
          <w:szCs w:val="24"/>
        </w:rPr>
        <w:t xml:space="preserve">-compliant trains </w:t>
      </w:r>
      <w:r w:rsidR="00064B48">
        <w:rPr>
          <w:rFonts w:cs="Arial"/>
          <w:sz w:val="24"/>
          <w:szCs w:val="24"/>
        </w:rPr>
        <w:t xml:space="preserve">in use. </w:t>
      </w:r>
    </w:p>
    <w:p w:rsidR="00064B48" w:rsidRDefault="00064B48" w:rsidP="00D01CE3">
      <w:pPr>
        <w:spacing w:after="240"/>
        <w:rPr>
          <w:rFonts w:cs="Arial"/>
          <w:sz w:val="24"/>
          <w:szCs w:val="24"/>
        </w:rPr>
      </w:pPr>
      <w:r>
        <w:rPr>
          <w:rFonts w:cs="Arial"/>
          <w:sz w:val="24"/>
          <w:szCs w:val="24"/>
        </w:rPr>
        <w:t xml:space="preserve">There needs to be alternative arrangements and a compensation scheme for people </w:t>
      </w:r>
      <w:r w:rsidR="00D37D23">
        <w:rPr>
          <w:rFonts w:cs="Arial"/>
          <w:sz w:val="24"/>
          <w:szCs w:val="24"/>
        </w:rPr>
        <w:t xml:space="preserve">with disability </w:t>
      </w:r>
      <w:r>
        <w:rPr>
          <w:rFonts w:cs="Arial"/>
          <w:sz w:val="24"/>
          <w:szCs w:val="24"/>
        </w:rPr>
        <w:t xml:space="preserve">who are unable to access the new trains </w:t>
      </w:r>
      <w:r w:rsidR="00D37D23">
        <w:rPr>
          <w:rFonts w:cs="Arial"/>
          <w:sz w:val="24"/>
          <w:szCs w:val="24"/>
        </w:rPr>
        <w:t>or</w:t>
      </w:r>
      <w:r>
        <w:rPr>
          <w:rFonts w:cs="Arial"/>
          <w:sz w:val="24"/>
          <w:szCs w:val="24"/>
        </w:rPr>
        <w:t xml:space="preserve"> who experience disadvantage because of the trains.</w:t>
      </w:r>
    </w:p>
    <w:p w:rsidR="00D01CE3" w:rsidRDefault="003E05BE" w:rsidP="00D17F10">
      <w:pPr>
        <w:spacing w:after="240"/>
        <w:rPr>
          <w:rFonts w:cs="Arial"/>
          <w:sz w:val="24"/>
          <w:szCs w:val="24"/>
        </w:rPr>
      </w:pPr>
      <w:r>
        <w:rPr>
          <w:rFonts w:cs="Arial"/>
          <w:sz w:val="24"/>
          <w:szCs w:val="24"/>
        </w:rPr>
        <w:t xml:space="preserve">The assisted boarding issue is broader than compliance with the Transport Standards.  </w:t>
      </w:r>
      <w:r w:rsidR="00F31F3A">
        <w:rPr>
          <w:rFonts w:cs="Arial"/>
          <w:sz w:val="24"/>
          <w:szCs w:val="24"/>
        </w:rPr>
        <w:t>Some people require assistance to board and alight from trains.  Currently, a guard stationed in a guard cab mid-train</w:t>
      </w:r>
      <w:r w:rsidR="00D17F10">
        <w:rPr>
          <w:rFonts w:cs="Arial"/>
          <w:sz w:val="24"/>
          <w:szCs w:val="24"/>
        </w:rPr>
        <w:t xml:space="preserve"> usually provides assistance</w:t>
      </w:r>
      <w:r w:rsidR="00F31F3A">
        <w:rPr>
          <w:rFonts w:cs="Arial"/>
          <w:sz w:val="24"/>
          <w:szCs w:val="24"/>
        </w:rPr>
        <w:t xml:space="preserve">.  </w:t>
      </w:r>
      <w:r>
        <w:rPr>
          <w:rFonts w:cs="Arial"/>
          <w:sz w:val="24"/>
          <w:szCs w:val="24"/>
        </w:rPr>
        <w:t xml:space="preserve">The applicants have discounted installing a guard cab in the centre of the train, </w:t>
      </w:r>
      <w:r w:rsidR="00F31F3A">
        <w:rPr>
          <w:rFonts w:cs="Arial"/>
          <w:sz w:val="24"/>
          <w:szCs w:val="24"/>
        </w:rPr>
        <w:t>and claim there will be</w:t>
      </w:r>
      <w:r>
        <w:rPr>
          <w:rFonts w:cs="Arial"/>
          <w:sz w:val="24"/>
          <w:szCs w:val="24"/>
        </w:rPr>
        <w:t xml:space="preserve"> assistance by platform staff.</w:t>
      </w:r>
      <w:r w:rsidR="00F31F3A">
        <w:rPr>
          <w:rFonts w:cs="Arial"/>
          <w:sz w:val="24"/>
          <w:szCs w:val="24"/>
        </w:rPr>
        <w:t xml:space="preserve">  Many stations are not staffed</w:t>
      </w:r>
      <w:r w:rsidR="00D37D23">
        <w:rPr>
          <w:rFonts w:cs="Arial"/>
          <w:sz w:val="24"/>
          <w:szCs w:val="24"/>
        </w:rPr>
        <w:t>, particularly those in outer urban areas or on weekends and public holidays</w:t>
      </w:r>
      <w:r w:rsidR="001C66AA">
        <w:rPr>
          <w:rFonts w:cs="Arial"/>
          <w:sz w:val="24"/>
          <w:szCs w:val="24"/>
        </w:rPr>
        <w:t xml:space="preserve">.  </w:t>
      </w:r>
      <w:r w:rsidR="00D37D23">
        <w:rPr>
          <w:rFonts w:cs="Arial"/>
          <w:sz w:val="24"/>
          <w:szCs w:val="24"/>
        </w:rPr>
        <w:t xml:space="preserve">Many platforms even at peak hour times, do not have platform staff waiting for each and </w:t>
      </w:r>
      <w:r w:rsidR="00751A97">
        <w:rPr>
          <w:rFonts w:cs="Arial"/>
          <w:sz w:val="24"/>
          <w:szCs w:val="24"/>
        </w:rPr>
        <w:t xml:space="preserve">every </w:t>
      </w:r>
      <w:r w:rsidR="00D37D23">
        <w:rPr>
          <w:rFonts w:cs="Arial"/>
          <w:sz w:val="24"/>
          <w:szCs w:val="24"/>
        </w:rPr>
        <w:t xml:space="preserve">train stopping at a station.  </w:t>
      </w:r>
      <w:r w:rsidR="001C66AA">
        <w:rPr>
          <w:rFonts w:cs="Arial"/>
          <w:sz w:val="24"/>
          <w:szCs w:val="24"/>
        </w:rPr>
        <w:t xml:space="preserve">If assistance to board and alight is not available to people </w:t>
      </w:r>
      <w:r w:rsidR="00D37D23">
        <w:rPr>
          <w:rFonts w:cs="Arial"/>
          <w:sz w:val="24"/>
          <w:szCs w:val="24"/>
        </w:rPr>
        <w:t xml:space="preserve">with disability </w:t>
      </w:r>
      <w:r w:rsidR="001C66AA">
        <w:rPr>
          <w:rFonts w:cs="Arial"/>
          <w:sz w:val="24"/>
          <w:szCs w:val="24"/>
        </w:rPr>
        <w:t>who need that hel</w:t>
      </w:r>
      <w:r w:rsidR="00D17F10">
        <w:rPr>
          <w:rFonts w:cs="Arial"/>
          <w:sz w:val="24"/>
          <w:szCs w:val="24"/>
        </w:rPr>
        <w:t>p, discrimination will result, and the discrimination will become systemic.  It is not appropriate to rely on platform staff for assistance, and a design solution involving a guard cab is necessary.</w:t>
      </w:r>
    </w:p>
    <w:p w:rsidR="00D17F10" w:rsidRDefault="00D17F10" w:rsidP="00D17F10">
      <w:pPr>
        <w:spacing w:after="240"/>
        <w:rPr>
          <w:rFonts w:cs="Arial"/>
          <w:sz w:val="24"/>
          <w:szCs w:val="24"/>
        </w:rPr>
      </w:pPr>
      <w:r>
        <w:rPr>
          <w:rFonts w:cs="Arial"/>
          <w:sz w:val="24"/>
          <w:szCs w:val="24"/>
        </w:rPr>
        <w:t>The trains will remain non-compliant with the Transport Standards</w:t>
      </w:r>
      <w:r w:rsidR="00322148">
        <w:rPr>
          <w:rFonts w:cs="Arial"/>
          <w:sz w:val="24"/>
          <w:szCs w:val="24"/>
        </w:rPr>
        <w:t xml:space="preserve"> after rectification</w:t>
      </w:r>
      <w:r>
        <w:rPr>
          <w:rFonts w:cs="Arial"/>
          <w:sz w:val="24"/>
          <w:szCs w:val="24"/>
        </w:rPr>
        <w:t xml:space="preserve"> in respect of the boarding device.  A boarding device w</w:t>
      </w:r>
      <w:r w:rsidR="00322148">
        <w:rPr>
          <w:rFonts w:cs="Arial"/>
          <w:sz w:val="24"/>
          <w:szCs w:val="24"/>
        </w:rPr>
        <w:t xml:space="preserve">ill be available only at a single door, rather than at all doors.  The applicants say that this is the case for existing trains, as per the existing exemption.  However, it is not the same case because without a </w:t>
      </w:r>
      <w:r w:rsidR="00D37D23">
        <w:rPr>
          <w:rFonts w:cs="Arial"/>
          <w:sz w:val="24"/>
          <w:szCs w:val="24"/>
        </w:rPr>
        <w:t xml:space="preserve">central </w:t>
      </w:r>
      <w:r w:rsidR="00322148">
        <w:rPr>
          <w:rFonts w:cs="Arial"/>
          <w:sz w:val="24"/>
          <w:szCs w:val="24"/>
        </w:rPr>
        <w:t xml:space="preserve">guard cab assistance is less likely. </w:t>
      </w:r>
    </w:p>
    <w:p w:rsidR="00322148" w:rsidRDefault="00322148" w:rsidP="00D17F10">
      <w:pPr>
        <w:spacing w:after="240"/>
        <w:rPr>
          <w:rFonts w:cs="Arial"/>
          <w:sz w:val="24"/>
          <w:szCs w:val="24"/>
        </w:rPr>
      </w:pPr>
      <w:r>
        <w:rPr>
          <w:rFonts w:cs="Arial"/>
          <w:sz w:val="24"/>
          <w:szCs w:val="24"/>
        </w:rPr>
        <w:t>In conclusion, an exemption granted to the applicants, should be conditional on:</w:t>
      </w:r>
    </w:p>
    <w:p w:rsidR="00322148" w:rsidRDefault="00322148" w:rsidP="00322148">
      <w:pPr>
        <w:pStyle w:val="ListParagraph"/>
        <w:numPr>
          <w:ilvl w:val="0"/>
          <w:numId w:val="2"/>
        </w:numPr>
        <w:contextualSpacing w:val="0"/>
        <w:rPr>
          <w:rFonts w:cs="Arial"/>
          <w:sz w:val="24"/>
          <w:szCs w:val="24"/>
        </w:rPr>
      </w:pPr>
      <w:r>
        <w:rPr>
          <w:rFonts w:cs="Arial"/>
          <w:sz w:val="24"/>
          <w:szCs w:val="24"/>
        </w:rPr>
        <w:t>Specific works and designs</w:t>
      </w:r>
    </w:p>
    <w:p w:rsidR="00221DD1" w:rsidRDefault="00221DD1" w:rsidP="00322148">
      <w:pPr>
        <w:pStyle w:val="ListParagraph"/>
        <w:numPr>
          <w:ilvl w:val="0"/>
          <w:numId w:val="2"/>
        </w:numPr>
        <w:contextualSpacing w:val="0"/>
        <w:rPr>
          <w:rFonts w:cs="Arial"/>
          <w:sz w:val="24"/>
          <w:szCs w:val="24"/>
        </w:rPr>
      </w:pPr>
      <w:r>
        <w:rPr>
          <w:rFonts w:cs="Arial"/>
          <w:sz w:val="24"/>
          <w:szCs w:val="24"/>
        </w:rPr>
        <w:t>A design solution incorporating a guard cab</w:t>
      </w:r>
    </w:p>
    <w:p w:rsidR="00322148" w:rsidRDefault="00322148" w:rsidP="00322148">
      <w:pPr>
        <w:pStyle w:val="ListParagraph"/>
        <w:numPr>
          <w:ilvl w:val="0"/>
          <w:numId w:val="2"/>
        </w:numPr>
        <w:contextualSpacing w:val="0"/>
        <w:rPr>
          <w:rFonts w:cs="Arial"/>
          <w:sz w:val="24"/>
          <w:szCs w:val="24"/>
        </w:rPr>
      </w:pPr>
      <w:r>
        <w:rPr>
          <w:rFonts w:cs="Arial"/>
          <w:sz w:val="24"/>
          <w:szCs w:val="24"/>
        </w:rPr>
        <w:t>A clear timetable for the works</w:t>
      </w:r>
    </w:p>
    <w:p w:rsidR="00322148" w:rsidRDefault="00322148" w:rsidP="00322148">
      <w:pPr>
        <w:pStyle w:val="ListParagraph"/>
        <w:numPr>
          <w:ilvl w:val="0"/>
          <w:numId w:val="2"/>
        </w:numPr>
        <w:contextualSpacing w:val="0"/>
        <w:rPr>
          <w:rFonts w:cs="Arial"/>
          <w:sz w:val="24"/>
          <w:szCs w:val="24"/>
        </w:rPr>
      </w:pPr>
      <w:r>
        <w:rPr>
          <w:rFonts w:cs="Arial"/>
          <w:sz w:val="24"/>
          <w:szCs w:val="24"/>
        </w:rPr>
        <w:t>Regular reporting to the AHRC</w:t>
      </w:r>
    </w:p>
    <w:p w:rsidR="00221DD1" w:rsidRDefault="00221DD1" w:rsidP="00322148">
      <w:pPr>
        <w:pStyle w:val="ListParagraph"/>
        <w:numPr>
          <w:ilvl w:val="0"/>
          <w:numId w:val="2"/>
        </w:numPr>
        <w:contextualSpacing w:val="0"/>
        <w:rPr>
          <w:rFonts w:cs="Arial"/>
          <w:sz w:val="24"/>
          <w:szCs w:val="24"/>
        </w:rPr>
      </w:pPr>
      <w:r>
        <w:rPr>
          <w:rFonts w:cs="Arial"/>
          <w:sz w:val="24"/>
          <w:szCs w:val="24"/>
        </w:rPr>
        <w:t xml:space="preserve">Alternative travel options for people </w:t>
      </w:r>
      <w:r w:rsidR="00D37D23">
        <w:rPr>
          <w:rFonts w:cs="Arial"/>
          <w:sz w:val="24"/>
          <w:szCs w:val="24"/>
        </w:rPr>
        <w:t xml:space="preserve">with disability </w:t>
      </w:r>
      <w:r>
        <w:rPr>
          <w:rFonts w:cs="Arial"/>
          <w:sz w:val="24"/>
          <w:szCs w:val="24"/>
        </w:rPr>
        <w:t>who are unable to access the trains</w:t>
      </w:r>
    </w:p>
    <w:p w:rsidR="00221DD1" w:rsidRDefault="00221DD1" w:rsidP="00322148">
      <w:pPr>
        <w:pStyle w:val="ListParagraph"/>
        <w:numPr>
          <w:ilvl w:val="0"/>
          <w:numId w:val="2"/>
        </w:numPr>
        <w:contextualSpacing w:val="0"/>
        <w:rPr>
          <w:rFonts w:cs="Arial"/>
          <w:sz w:val="24"/>
          <w:szCs w:val="24"/>
        </w:rPr>
      </w:pPr>
      <w:r>
        <w:rPr>
          <w:rFonts w:cs="Arial"/>
          <w:sz w:val="24"/>
          <w:szCs w:val="24"/>
        </w:rPr>
        <w:t xml:space="preserve">A compensation scheme for people </w:t>
      </w:r>
      <w:r w:rsidR="00D37D23">
        <w:rPr>
          <w:rFonts w:cs="Arial"/>
          <w:sz w:val="24"/>
          <w:szCs w:val="24"/>
        </w:rPr>
        <w:t xml:space="preserve">with disability </w:t>
      </w:r>
      <w:r>
        <w:rPr>
          <w:rFonts w:cs="Arial"/>
          <w:sz w:val="24"/>
          <w:szCs w:val="24"/>
        </w:rPr>
        <w:t>disadvantaged by the non-compliance</w:t>
      </w:r>
    </w:p>
    <w:p w:rsidR="00221DD1" w:rsidRDefault="00221DD1" w:rsidP="00322148">
      <w:pPr>
        <w:pStyle w:val="ListParagraph"/>
        <w:numPr>
          <w:ilvl w:val="0"/>
          <w:numId w:val="2"/>
        </w:numPr>
        <w:contextualSpacing w:val="0"/>
        <w:rPr>
          <w:rFonts w:cs="Arial"/>
          <w:sz w:val="24"/>
          <w:szCs w:val="24"/>
        </w:rPr>
      </w:pPr>
      <w:r>
        <w:rPr>
          <w:rFonts w:cs="Arial"/>
          <w:sz w:val="24"/>
          <w:szCs w:val="24"/>
        </w:rPr>
        <w:t>An undertaking not to put any more trains in use until they are fully compliant, including a guard cab.</w:t>
      </w:r>
    </w:p>
    <w:p w:rsidR="00221DD1" w:rsidRDefault="00221DD1" w:rsidP="00A74AFD">
      <w:pPr>
        <w:spacing w:before="240" w:after="0"/>
        <w:rPr>
          <w:rFonts w:cs="Arial"/>
          <w:sz w:val="24"/>
          <w:szCs w:val="24"/>
        </w:rPr>
      </w:pPr>
      <w:r>
        <w:rPr>
          <w:rFonts w:cs="Arial"/>
          <w:sz w:val="24"/>
          <w:szCs w:val="24"/>
        </w:rPr>
        <w:t>Yours sincerely</w:t>
      </w:r>
    </w:p>
    <w:p w:rsidR="00221DD1" w:rsidRDefault="00221DD1" w:rsidP="00A74AFD">
      <w:pPr>
        <w:spacing w:before="0" w:after="0"/>
        <w:rPr>
          <w:rFonts w:cs="Arial"/>
          <w:sz w:val="24"/>
          <w:szCs w:val="24"/>
        </w:rPr>
      </w:pPr>
      <w:bookmarkStart w:id="0" w:name="_GoBack"/>
      <w:bookmarkEnd w:id="0"/>
    </w:p>
    <w:p w:rsidR="00221DD1" w:rsidRPr="00221DD1" w:rsidRDefault="00221DD1" w:rsidP="00221DD1">
      <w:pPr>
        <w:spacing w:before="0" w:after="0"/>
        <w:rPr>
          <w:rFonts w:cs="Arial"/>
          <w:b/>
          <w:sz w:val="24"/>
          <w:szCs w:val="24"/>
        </w:rPr>
      </w:pPr>
      <w:r w:rsidRPr="00221DD1">
        <w:rPr>
          <w:rFonts w:cs="Arial"/>
          <w:b/>
          <w:sz w:val="24"/>
          <w:szCs w:val="24"/>
        </w:rPr>
        <w:t>KEVIN COCKS AM</w:t>
      </w:r>
    </w:p>
    <w:p w:rsidR="00221DD1" w:rsidRPr="00221DD1" w:rsidRDefault="00221DD1" w:rsidP="00221DD1">
      <w:pPr>
        <w:spacing w:before="0" w:after="0"/>
        <w:rPr>
          <w:rFonts w:cs="Arial"/>
          <w:b/>
          <w:sz w:val="24"/>
          <w:szCs w:val="24"/>
        </w:rPr>
      </w:pPr>
      <w:r w:rsidRPr="00221DD1">
        <w:rPr>
          <w:rFonts w:cs="Arial"/>
          <w:b/>
          <w:sz w:val="24"/>
          <w:szCs w:val="24"/>
        </w:rPr>
        <w:t>Anti-Discrimination Commissioner</w:t>
      </w:r>
    </w:p>
    <w:sectPr w:rsidR="00221DD1" w:rsidRPr="00221DD1" w:rsidSect="00A74AFD">
      <w:headerReference w:type="default" r:id="rId10"/>
      <w:headerReference w:type="first" r:id="rId11"/>
      <w:footerReference w:type="first" r:id="rId12"/>
      <w:pgSz w:w="11906" w:h="16838" w:code="9"/>
      <w:pgMar w:top="1440" w:right="1584" w:bottom="1152"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3A" w:rsidRDefault="00F31F3A">
      <w:r>
        <w:separator/>
      </w:r>
    </w:p>
  </w:endnote>
  <w:endnote w:type="continuationSeparator" w:id="0">
    <w:p w:rsidR="00F31F3A" w:rsidRDefault="00F3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3A" w:rsidRDefault="00F31F3A">
    <w:pPr>
      <w:pStyle w:val="Footer"/>
    </w:pPr>
    <w:r>
      <w:rPr>
        <w:noProof/>
      </w:rPr>
      <w:drawing>
        <wp:inline distT="0" distB="0" distL="0" distR="0" wp14:anchorId="5DE728F8" wp14:editId="081BA962">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3A" w:rsidRDefault="00F31F3A">
      <w:r>
        <w:separator/>
      </w:r>
    </w:p>
  </w:footnote>
  <w:footnote w:type="continuationSeparator" w:id="0">
    <w:p w:rsidR="00F31F3A" w:rsidRDefault="00F31F3A">
      <w:r>
        <w:continuationSeparator/>
      </w:r>
    </w:p>
  </w:footnote>
  <w:footnote w:id="1">
    <w:p w:rsidR="00F31F3A" w:rsidRPr="00515E8C" w:rsidRDefault="00F31F3A">
      <w:pPr>
        <w:pStyle w:val="FootnoteText"/>
        <w:rPr>
          <w:lang w:val="en-US"/>
        </w:rPr>
      </w:pPr>
      <w:r>
        <w:rPr>
          <w:rStyle w:val="FootnoteReference"/>
        </w:rPr>
        <w:footnoteRef/>
      </w:r>
      <w:r>
        <w:t xml:space="preserve"> </w:t>
      </w:r>
      <w:r w:rsidRPr="008A222B">
        <w:rPr>
          <w:i/>
          <w:lang w:val="en-US"/>
        </w:rPr>
        <w:t>Disability Standards for Accessible Public Transport 2002</w:t>
      </w:r>
      <w:r>
        <w:rPr>
          <w:lang w:val="en-US"/>
        </w:rPr>
        <w:t>, section 1.2(2).</w:t>
      </w:r>
    </w:p>
  </w:footnote>
  <w:footnote w:id="2">
    <w:p w:rsidR="00F31F3A" w:rsidRPr="00304767" w:rsidRDefault="00F31F3A">
      <w:pPr>
        <w:pStyle w:val="FootnoteText"/>
        <w:rPr>
          <w:lang w:val="en-US"/>
        </w:rPr>
      </w:pPr>
      <w:r>
        <w:rPr>
          <w:rStyle w:val="FootnoteReference"/>
        </w:rPr>
        <w:footnoteRef/>
      </w:r>
      <w:r>
        <w:t xml:space="preserve"> </w:t>
      </w:r>
      <w:r w:rsidRPr="008A222B">
        <w:rPr>
          <w:i/>
          <w:lang w:val="en-US"/>
        </w:rPr>
        <w:t>Disability Standards for Accessible Public Transport 2002</w:t>
      </w:r>
      <w:r>
        <w:rPr>
          <w:lang w:val="en-US"/>
        </w:rPr>
        <w:t>, section 33.1.</w:t>
      </w:r>
    </w:p>
  </w:footnote>
  <w:footnote w:id="3">
    <w:p w:rsidR="00F31F3A" w:rsidRPr="002E090E" w:rsidRDefault="00F31F3A">
      <w:pPr>
        <w:pStyle w:val="FootnoteText"/>
        <w:rPr>
          <w:lang w:val="en-US"/>
        </w:rPr>
      </w:pPr>
      <w:r w:rsidRPr="002E090E">
        <w:rPr>
          <w:rStyle w:val="FootnoteReference"/>
        </w:rPr>
        <w:footnoteRef/>
      </w:r>
      <w:r w:rsidRPr="002E090E">
        <w:t xml:space="preserve"> </w:t>
      </w:r>
      <w:r w:rsidRPr="002E090E">
        <w:rPr>
          <w:rFonts w:cs="Arial"/>
        </w:rPr>
        <w:t xml:space="preserve">The Department of Transport and Main Roads acknowledges this right on its website, which includes information about the </w:t>
      </w:r>
      <w:r w:rsidRPr="002E090E">
        <w:rPr>
          <w:rFonts w:cs="Arial"/>
          <w:i/>
        </w:rPr>
        <w:t>Disability Discrimination Act 1992</w:t>
      </w:r>
      <w:r w:rsidRPr="002E090E">
        <w:rPr>
          <w:rFonts w:cs="Arial"/>
        </w:rPr>
        <w:t xml:space="preserve"> and the Transport Standards</w:t>
      </w:r>
      <w:r>
        <w:rPr>
          <w:rFonts w:cs="Arial"/>
        </w:rPr>
        <w:t xml:space="preserve"> -s</w:t>
      </w:r>
      <w:r w:rsidRPr="002E090E">
        <w:rPr>
          <w:lang w:val="en-US"/>
        </w:rPr>
        <w:t xml:space="preserve">ee </w:t>
      </w:r>
      <w:hyperlink r:id="rId1" w:history="1">
        <w:r w:rsidRPr="002E090E">
          <w:rPr>
            <w:rStyle w:val="Hyperlink"/>
            <w:lang w:val="en-US"/>
          </w:rPr>
          <w:t>https://www.tmr.qld.gov.au/Travel-and-transport/Disability-access-and-mobility/Accessible-public-transport-standards</w:t>
        </w:r>
      </w:hyperlink>
      <w:r w:rsidRPr="002E090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3A" w:rsidRDefault="00F31F3A">
    <w:pPr>
      <w:pStyle w:val="Header"/>
      <w:rPr>
        <w:bCs/>
        <w:sz w:val="20"/>
      </w:rPr>
    </w:pPr>
    <w:r>
      <w:rPr>
        <w:sz w:val="20"/>
      </w:rPr>
      <w:t>Exemption application – NGR Trains</w:t>
    </w:r>
    <w:r>
      <w:rPr>
        <w:sz w:val="20"/>
      </w:rPr>
      <w:tab/>
    </w:r>
    <w:r>
      <w:rPr>
        <w:sz w:val="20"/>
      </w:rPr>
      <w:tab/>
    </w:r>
    <w:r w:rsidRPr="00CE5D8D">
      <w:rPr>
        <w:sz w:val="20"/>
      </w:rPr>
      <w:t xml:space="preserve">Page </w:t>
    </w:r>
    <w:r w:rsidRPr="00CE5D8D">
      <w:rPr>
        <w:bCs/>
        <w:sz w:val="20"/>
      </w:rPr>
      <w:fldChar w:fldCharType="begin"/>
    </w:r>
    <w:r w:rsidRPr="00CE5D8D">
      <w:rPr>
        <w:bCs/>
        <w:sz w:val="20"/>
      </w:rPr>
      <w:instrText xml:space="preserve"> PAGE  \* Arabic  \* MERGEFORMAT </w:instrText>
    </w:r>
    <w:r w:rsidRPr="00CE5D8D">
      <w:rPr>
        <w:bCs/>
        <w:sz w:val="20"/>
      </w:rPr>
      <w:fldChar w:fldCharType="separate"/>
    </w:r>
    <w:r w:rsidR="00AF245C">
      <w:rPr>
        <w:bCs/>
        <w:noProof/>
        <w:sz w:val="20"/>
      </w:rPr>
      <w:t>3</w:t>
    </w:r>
    <w:r w:rsidRPr="00CE5D8D">
      <w:rPr>
        <w:bCs/>
        <w:sz w:val="20"/>
      </w:rPr>
      <w:fldChar w:fldCharType="end"/>
    </w:r>
    <w:r w:rsidRPr="00CE5D8D">
      <w:rPr>
        <w:sz w:val="20"/>
      </w:rPr>
      <w:t xml:space="preserve"> of </w:t>
    </w:r>
    <w:r w:rsidRPr="00CE5D8D">
      <w:rPr>
        <w:bCs/>
        <w:sz w:val="20"/>
      </w:rPr>
      <w:fldChar w:fldCharType="begin"/>
    </w:r>
    <w:r w:rsidRPr="00CE5D8D">
      <w:rPr>
        <w:bCs/>
        <w:sz w:val="20"/>
      </w:rPr>
      <w:instrText xml:space="preserve"> NUMPAGES  \* Arabic  \* MERGEFORMAT </w:instrText>
    </w:r>
    <w:r w:rsidRPr="00CE5D8D">
      <w:rPr>
        <w:bCs/>
        <w:sz w:val="20"/>
      </w:rPr>
      <w:fldChar w:fldCharType="separate"/>
    </w:r>
    <w:r w:rsidR="00AF245C">
      <w:rPr>
        <w:bCs/>
        <w:noProof/>
        <w:sz w:val="20"/>
      </w:rPr>
      <w:t>3</w:t>
    </w:r>
    <w:r w:rsidRPr="00CE5D8D">
      <w:rPr>
        <w:bCs/>
        <w:sz w:val="20"/>
      </w:rPr>
      <w:fldChar w:fldCharType="end"/>
    </w:r>
  </w:p>
  <w:p w:rsidR="00F31F3A" w:rsidRPr="00CE5D8D" w:rsidRDefault="00F31F3A" w:rsidP="00CE5D8D">
    <w:pPr>
      <w:pStyle w:val="Header"/>
      <w:pBdr>
        <w:top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3A" w:rsidRDefault="00F31F3A" w:rsidP="005034F1">
    <w:pPr>
      <w:pStyle w:val="Header"/>
      <w:ind w:hanging="426"/>
    </w:pPr>
    <w:r>
      <w:rPr>
        <w:noProof/>
      </w:rPr>
      <w:drawing>
        <wp:inline distT="0" distB="0" distL="0" distR="0" wp14:anchorId="303CB872" wp14:editId="247CAC35">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p w:rsidR="00F31F3A" w:rsidRDefault="00F31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724C"/>
    <w:multiLevelType w:val="hybridMultilevel"/>
    <w:tmpl w:val="1DFEF2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633A5D"/>
    <w:multiLevelType w:val="hybridMultilevel"/>
    <w:tmpl w:val="A6F20C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292C"/>
    <w:rsid w:val="00064B48"/>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6AA"/>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1DD1"/>
    <w:rsid w:val="00222A34"/>
    <w:rsid w:val="002247EE"/>
    <w:rsid w:val="00230261"/>
    <w:rsid w:val="00230B5E"/>
    <w:rsid w:val="002347FF"/>
    <w:rsid w:val="00241501"/>
    <w:rsid w:val="00241D9D"/>
    <w:rsid w:val="00245EC7"/>
    <w:rsid w:val="0024640A"/>
    <w:rsid w:val="002479CC"/>
    <w:rsid w:val="00251F92"/>
    <w:rsid w:val="00251F96"/>
    <w:rsid w:val="00255599"/>
    <w:rsid w:val="0025622A"/>
    <w:rsid w:val="002577DF"/>
    <w:rsid w:val="002731DA"/>
    <w:rsid w:val="00274D6A"/>
    <w:rsid w:val="002802D0"/>
    <w:rsid w:val="00281A52"/>
    <w:rsid w:val="00281A81"/>
    <w:rsid w:val="002825BA"/>
    <w:rsid w:val="00283B19"/>
    <w:rsid w:val="00284090"/>
    <w:rsid w:val="002849FD"/>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90E"/>
    <w:rsid w:val="002E0D75"/>
    <w:rsid w:val="002E22B0"/>
    <w:rsid w:val="002E2EED"/>
    <w:rsid w:val="002E6627"/>
    <w:rsid w:val="002E6F02"/>
    <w:rsid w:val="002E7F41"/>
    <w:rsid w:val="002F0800"/>
    <w:rsid w:val="002F71A9"/>
    <w:rsid w:val="00302CA9"/>
    <w:rsid w:val="00303766"/>
    <w:rsid w:val="00304382"/>
    <w:rsid w:val="00304767"/>
    <w:rsid w:val="003063BE"/>
    <w:rsid w:val="0030666B"/>
    <w:rsid w:val="00306C25"/>
    <w:rsid w:val="00311D92"/>
    <w:rsid w:val="00312C08"/>
    <w:rsid w:val="00314979"/>
    <w:rsid w:val="00314A9B"/>
    <w:rsid w:val="003156AF"/>
    <w:rsid w:val="00322148"/>
    <w:rsid w:val="00322B33"/>
    <w:rsid w:val="00323FEF"/>
    <w:rsid w:val="0032443C"/>
    <w:rsid w:val="00326AE0"/>
    <w:rsid w:val="00326E92"/>
    <w:rsid w:val="00327D5B"/>
    <w:rsid w:val="003300A9"/>
    <w:rsid w:val="00330424"/>
    <w:rsid w:val="00334A83"/>
    <w:rsid w:val="003357B6"/>
    <w:rsid w:val="0033686A"/>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05BE"/>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0B4"/>
    <w:rsid w:val="004D62F3"/>
    <w:rsid w:val="004D6A3B"/>
    <w:rsid w:val="004D6C60"/>
    <w:rsid w:val="004E2745"/>
    <w:rsid w:val="004E5BBD"/>
    <w:rsid w:val="005005F7"/>
    <w:rsid w:val="00502F7C"/>
    <w:rsid w:val="005034F1"/>
    <w:rsid w:val="005037DD"/>
    <w:rsid w:val="005045AC"/>
    <w:rsid w:val="00507039"/>
    <w:rsid w:val="00507E1A"/>
    <w:rsid w:val="00514CB3"/>
    <w:rsid w:val="00515E8C"/>
    <w:rsid w:val="00523B23"/>
    <w:rsid w:val="0052672A"/>
    <w:rsid w:val="00530FD0"/>
    <w:rsid w:val="00531819"/>
    <w:rsid w:val="00533C0C"/>
    <w:rsid w:val="0053520F"/>
    <w:rsid w:val="005363C1"/>
    <w:rsid w:val="00537DE7"/>
    <w:rsid w:val="005419E2"/>
    <w:rsid w:val="00550201"/>
    <w:rsid w:val="00551519"/>
    <w:rsid w:val="005535B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6AE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40FE"/>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2A2"/>
    <w:rsid w:val="006A4B34"/>
    <w:rsid w:val="006A7F1F"/>
    <w:rsid w:val="006B0908"/>
    <w:rsid w:val="006B1069"/>
    <w:rsid w:val="006B545C"/>
    <w:rsid w:val="006C2826"/>
    <w:rsid w:val="006C2A3E"/>
    <w:rsid w:val="006C5070"/>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485"/>
    <w:rsid w:val="0073589C"/>
    <w:rsid w:val="00736D19"/>
    <w:rsid w:val="00741659"/>
    <w:rsid w:val="00744657"/>
    <w:rsid w:val="0074491E"/>
    <w:rsid w:val="00751A97"/>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4AB2"/>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222B"/>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4AFD"/>
    <w:rsid w:val="00A75AD1"/>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245C"/>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514A7"/>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4F8F"/>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B065C"/>
    <w:rsid w:val="00CB4B60"/>
    <w:rsid w:val="00CB5DB5"/>
    <w:rsid w:val="00CB7386"/>
    <w:rsid w:val="00CC049D"/>
    <w:rsid w:val="00CC212F"/>
    <w:rsid w:val="00CC4E57"/>
    <w:rsid w:val="00CC6BCC"/>
    <w:rsid w:val="00CD26BD"/>
    <w:rsid w:val="00CE2CD4"/>
    <w:rsid w:val="00CE44DE"/>
    <w:rsid w:val="00CE5D8D"/>
    <w:rsid w:val="00CF3675"/>
    <w:rsid w:val="00CF4732"/>
    <w:rsid w:val="00CF53FF"/>
    <w:rsid w:val="00CF742E"/>
    <w:rsid w:val="00CF78AF"/>
    <w:rsid w:val="00D00672"/>
    <w:rsid w:val="00D00C16"/>
    <w:rsid w:val="00D01CE3"/>
    <w:rsid w:val="00D03083"/>
    <w:rsid w:val="00D04D0F"/>
    <w:rsid w:val="00D05FFF"/>
    <w:rsid w:val="00D138EE"/>
    <w:rsid w:val="00D15180"/>
    <w:rsid w:val="00D15B00"/>
    <w:rsid w:val="00D17F10"/>
    <w:rsid w:val="00D222AB"/>
    <w:rsid w:val="00D232A0"/>
    <w:rsid w:val="00D2637B"/>
    <w:rsid w:val="00D27BA4"/>
    <w:rsid w:val="00D27F8A"/>
    <w:rsid w:val="00D313D1"/>
    <w:rsid w:val="00D35574"/>
    <w:rsid w:val="00D36516"/>
    <w:rsid w:val="00D37D23"/>
    <w:rsid w:val="00D42D25"/>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8C6"/>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0AF1"/>
    <w:rsid w:val="00E110F3"/>
    <w:rsid w:val="00E153C1"/>
    <w:rsid w:val="00E21BC1"/>
    <w:rsid w:val="00E239EE"/>
    <w:rsid w:val="00E2415B"/>
    <w:rsid w:val="00E243F5"/>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1D5"/>
    <w:rsid w:val="00E934F4"/>
    <w:rsid w:val="00E938D3"/>
    <w:rsid w:val="00E975CF"/>
    <w:rsid w:val="00EA1F73"/>
    <w:rsid w:val="00EB0939"/>
    <w:rsid w:val="00EB3AE4"/>
    <w:rsid w:val="00EB5052"/>
    <w:rsid w:val="00EB76F2"/>
    <w:rsid w:val="00EB7BEE"/>
    <w:rsid w:val="00EC0CE5"/>
    <w:rsid w:val="00EC27C5"/>
    <w:rsid w:val="00EC6ED6"/>
    <w:rsid w:val="00ED32AD"/>
    <w:rsid w:val="00ED642B"/>
    <w:rsid w:val="00EE63A6"/>
    <w:rsid w:val="00EF20EE"/>
    <w:rsid w:val="00EF739F"/>
    <w:rsid w:val="00F01B11"/>
    <w:rsid w:val="00F035A5"/>
    <w:rsid w:val="00F0604F"/>
    <w:rsid w:val="00F13A57"/>
    <w:rsid w:val="00F21C78"/>
    <w:rsid w:val="00F2268C"/>
    <w:rsid w:val="00F24F01"/>
    <w:rsid w:val="00F27340"/>
    <w:rsid w:val="00F27E62"/>
    <w:rsid w:val="00F31156"/>
    <w:rsid w:val="00F31F3A"/>
    <w:rsid w:val="00F322C0"/>
    <w:rsid w:val="00F34B20"/>
    <w:rsid w:val="00F40682"/>
    <w:rsid w:val="00F41612"/>
    <w:rsid w:val="00F43AE5"/>
    <w:rsid w:val="00F46CEB"/>
    <w:rsid w:val="00F47732"/>
    <w:rsid w:val="00F52B4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B715C"/>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EAADD-10E9-449F-886E-BF3BADAD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unhideWhenUsed/>
    <w:rsid w:val="00D01CE3"/>
    <w:rPr>
      <w:color w:val="0000FF" w:themeColor="hyperlink"/>
      <w:u w:val="single"/>
    </w:rPr>
  </w:style>
  <w:style w:type="paragraph" w:styleId="FootnoteText">
    <w:name w:val="footnote text"/>
    <w:basedOn w:val="Normal"/>
    <w:link w:val="FootnoteTextChar"/>
    <w:semiHidden/>
    <w:unhideWhenUsed/>
    <w:rsid w:val="00515E8C"/>
    <w:pPr>
      <w:spacing w:before="0" w:after="0"/>
    </w:pPr>
    <w:rPr>
      <w:sz w:val="20"/>
    </w:rPr>
  </w:style>
  <w:style w:type="character" w:customStyle="1" w:styleId="FootnoteTextChar">
    <w:name w:val="Footnote Text Char"/>
    <w:basedOn w:val="DefaultParagraphFont"/>
    <w:link w:val="FootnoteText"/>
    <w:semiHidden/>
    <w:rsid w:val="00515E8C"/>
    <w:rPr>
      <w:rFonts w:ascii="Arial" w:hAnsi="Arial"/>
      <w:color w:val="212120"/>
      <w:kern w:val="28"/>
      <w14:ligatures w14:val="standard"/>
      <w14:cntxtAlts/>
    </w:rPr>
  </w:style>
  <w:style w:type="character" w:styleId="FootnoteReference">
    <w:name w:val="footnote reference"/>
    <w:basedOn w:val="DefaultParagraphFont"/>
    <w:semiHidden/>
    <w:unhideWhenUsed/>
    <w:rsid w:val="00515E8C"/>
    <w:rPr>
      <w:vertAlign w:val="superscript"/>
    </w:rPr>
  </w:style>
  <w:style w:type="paragraph" w:styleId="ListParagraph">
    <w:name w:val="List Paragraph"/>
    <w:basedOn w:val="Normal"/>
    <w:uiPriority w:val="34"/>
    <w:qFormat/>
    <w:rsid w:val="00E24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humanright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a.kucharova@humanrights.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mr.qld.gov.au/Travel-and-transport/Disability-access-and-mobility/Accessible-public-transport-standa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B53A-E4D3-4E65-BFED-CA41BEE6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Julie Ball</cp:lastModifiedBy>
  <cp:revision>2</cp:revision>
  <cp:lastPrinted>2018-01-12T06:22:00Z</cp:lastPrinted>
  <dcterms:created xsi:type="dcterms:W3CDTF">2018-01-14T22:59:00Z</dcterms:created>
  <dcterms:modified xsi:type="dcterms:W3CDTF">2018-01-14T22:59:00Z</dcterms:modified>
</cp:coreProperties>
</file>