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067608509"/>
        <w:docPartObj>
          <w:docPartGallery w:val="Cover Pages"/>
          <w:docPartUnique/>
        </w:docPartObj>
      </w:sdtPr>
      <w:sdtEndPr>
        <w:rPr>
          <w:sz w:val="16"/>
          <w:szCs w:val="16"/>
          <w:lang w:val="en-AU"/>
        </w:rPr>
      </w:sdtEndPr>
      <w:sdtContent>
        <w:p w14:paraId="78F8A5B8" w14:textId="18D6EA40" w:rsidR="00A16356" w:rsidRDefault="00A16356" w:rsidP="004A2375">
          <w:pPr>
            <w:spacing w:before="1440"/>
          </w:pPr>
        </w:p>
        <w:tbl>
          <w:tblPr>
            <w:tblW w:w="5000" w:type="pct"/>
            <w:jc w:val="center"/>
            <w:tblLook w:val="04A0" w:firstRow="1" w:lastRow="0" w:firstColumn="1" w:lastColumn="0" w:noHBand="0" w:noVBand="1"/>
          </w:tblPr>
          <w:tblGrid>
            <w:gridCol w:w="8306"/>
          </w:tblGrid>
          <w:tr w:rsidR="004A2375" w:rsidRPr="00D95D9E" w14:paraId="4394E11F" w14:textId="77777777" w:rsidTr="004A2375">
            <w:trPr>
              <w:trHeight w:val="360"/>
              <w:jc w:val="center"/>
            </w:trPr>
            <w:tc>
              <w:tcPr>
                <w:tcW w:w="5000" w:type="pct"/>
                <w:tcBorders>
                  <w:top w:val="thinThickSmallGap" w:sz="24" w:space="0" w:color="1F497D" w:themeColor="text2"/>
                </w:tcBorders>
                <w:vAlign w:val="center"/>
              </w:tcPr>
              <w:p w14:paraId="05EF2CC3" w14:textId="77777777" w:rsidR="004A2375" w:rsidRPr="00D95D9E" w:rsidRDefault="004A2375" w:rsidP="004A2375">
                <w:pPr>
                  <w:pStyle w:val="NoSpacing"/>
                  <w:spacing w:before="720" w:after="240"/>
                  <w:jc w:val="center"/>
                  <w:rPr>
                    <w:b/>
                    <w:bCs/>
                    <w:sz w:val="28"/>
                  </w:rPr>
                </w:pPr>
              </w:p>
            </w:tc>
          </w:tr>
          <w:tr w:rsidR="004A2375" w:rsidRPr="00D95D9E" w14:paraId="644A0BF7" w14:textId="77777777" w:rsidTr="004A2375">
            <w:trPr>
              <w:trHeight w:val="360"/>
              <w:jc w:val="center"/>
            </w:trPr>
            <w:tc>
              <w:tcPr>
                <w:tcW w:w="5000" w:type="pct"/>
                <w:vAlign w:val="center"/>
              </w:tcPr>
              <w:p w14:paraId="418D4983" w14:textId="77777777" w:rsidR="004A2375" w:rsidRPr="00D95D9E" w:rsidRDefault="004A2375" w:rsidP="004A2375">
                <w:pPr>
                  <w:pStyle w:val="NoSpacing"/>
                  <w:spacing w:after="240"/>
                  <w:jc w:val="center"/>
                  <w:rPr>
                    <w:b/>
                    <w:bCs/>
                    <w:sz w:val="28"/>
                  </w:rPr>
                </w:pPr>
              </w:p>
            </w:tc>
          </w:tr>
          <w:tr w:rsidR="004A2375" w:rsidRPr="00D95D9E" w14:paraId="04ADCC68" w14:textId="77777777" w:rsidTr="004A2375">
            <w:trPr>
              <w:trHeight w:val="2506"/>
              <w:jc w:val="center"/>
            </w:trPr>
            <w:sdt>
              <w:sdtPr>
                <w:rPr>
                  <w:rFonts w:asciiTheme="majorHAnsi" w:eastAsiaTheme="majorEastAsia" w:hAnsiTheme="majorHAnsi" w:cstheme="majorBidi"/>
                  <w:color w:val="1F497D" w:themeColor="text2"/>
                  <w:sz w:val="60"/>
                  <w:szCs w:val="6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07B9F9B8" w14:textId="089201C8" w:rsidR="004A2375" w:rsidRPr="00D95D9E" w:rsidRDefault="004A2375" w:rsidP="004A2375">
                    <w:pPr>
                      <w:pStyle w:val="NoSpacing"/>
                      <w:spacing w:after="240"/>
                      <w:jc w:val="center"/>
                      <w:rPr>
                        <w:rFonts w:asciiTheme="majorHAnsi" w:eastAsiaTheme="majorEastAsia" w:hAnsiTheme="majorHAnsi" w:cstheme="majorBidi"/>
                        <w:sz w:val="80"/>
                        <w:szCs w:val="80"/>
                      </w:rPr>
                    </w:pPr>
                    <w:r>
                      <w:rPr>
                        <w:rFonts w:asciiTheme="majorHAnsi" w:eastAsiaTheme="majorEastAsia" w:hAnsiTheme="majorHAnsi" w:cstheme="majorBidi"/>
                        <w:color w:val="1F497D" w:themeColor="text2"/>
                        <w:sz w:val="60"/>
                        <w:szCs w:val="60"/>
                      </w:rPr>
                      <w:t>Anti-Discrimination (Right to Use Gender-Specific Language) Amendment Bill 2018</w:t>
                    </w:r>
                  </w:p>
                </w:tc>
              </w:sdtContent>
            </w:sdt>
          </w:tr>
          <w:tr w:rsidR="004A2375" w:rsidRPr="00D95D9E" w14:paraId="586C7954" w14:textId="77777777" w:rsidTr="004A2375">
            <w:trPr>
              <w:trHeight w:val="360"/>
              <w:jc w:val="center"/>
            </w:trPr>
            <w:tc>
              <w:tcPr>
                <w:tcW w:w="5000" w:type="pct"/>
                <w:vAlign w:val="center"/>
              </w:tcPr>
              <w:p w14:paraId="1A876CFA" w14:textId="77777777" w:rsidR="004A2375" w:rsidRPr="00D95D9E" w:rsidRDefault="004A2375" w:rsidP="004A2375">
                <w:pPr>
                  <w:pStyle w:val="NoSpacing"/>
                  <w:spacing w:after="240"/>
                  <w:jc w:val="center"/>
                  <w:rPr>
                    <w:b/>
                    <w:bCs/>
                    <w:sz w:val="28"/>
                  </w:rPr>
                </w:pPr>
              </w:p>
            </w:tc>
          </w:tr>
          <w:tr w:rsidR="004A2375" w:rsidRPr="00D95D9E" w14:paraId="66922E96" w14:textId="77777777" w:rsidTr="004A2375">
            <w:trPr>
              <w:trHeight w:val="360"/>
              <w:jc w:val="center"/>
            </w:trPr>
            <w:tc>
              <w:tcPr>
                <w:tcW w:w="5000" w:type="pct"/>
                <w:tcBorders>
                  <w:bottom w:val="thickThinSmallGap" w:sz="24" w:space="0" w:color="1F497D" w:themeColor="text2"/>
                </w:tcBorders>
                <w:vAlign w:val="center"/>
              </w:tcPr>
              <w:p w14:paraId="493A5B95" w14:textId="56D09F1F" w:rsidR="00182865" w:rsidRDefault="00182865" w:rsidP="00182865">
                <w:pPr>
                  <w:pStyle w:val="NoSpacing"/>
                  <w:spacing w:before="120" w:after="120"/>
                  <w:jc w:val="right"/>
                  <w:rPr>
                    <w:rFonts w:ascii="Arial" w:hAnsi="Arial" w:cs="Arial"/>
                    <w:b/>
                    <w:bCs/>
                    <w:sz w:val="28"/>
                  </w:rPr>
                </w:pPr>
                <w:r>
                  <w:rPr>
                    <w:rFonts w:ascii="Arial" w:hAnsi="Arial" w:cs="Arial"/>
                    <w:b/>
                    <w:bCs/>
                    <w:sz w:val="28"/>
                  </w:rPr>
                  <w:t>Submission</w:t>
                </w:r>
              </w:p>
              <w:p w14:paraId="1C75416E" w14:textId="329EEC46" w:rsidR="00182865" w:rsidRDefault="00182865" w:rsidP="00182865">
                <w:pPr>
                  <w:pStyle w:val="NoSpacing"/>
                  <w:spacing w:before="120" w:after="120"/>
                  <w:jc w:val="right"/>
                  <w:rPr>
                    <w:rFonts w:ascii="Arial" w:hAnsi="Arial" w:cs="Arial"/>
                    <w:b/>
                    <w:bCs/>
                    <w:sz w:val="28"/>
                  </w:rPr>
                </w:pPr>
                <w:r>
                  <w:rPr>
                    <w:rFonts w:ascii="Arial" w:hAnsi="Arial" w:cs="Arial"/>
                    <w:b/>
                    <w:bCs/>
                    <w:sz w:val="28"/>
                  </w:rPr>
                  <w:t>to</w:t>
                </w:r>
              </w:p>
              <w:p w14:paraId="5477626E" w14:textId="33A3589F" w:rsidR="004A2375" w:rsidRPr="004A2375" w:rsidRDefault="004A2375" w:rsidP="00182865">
                <w:pPr>
                  <w:pStyle w:val="NoSpacing"/>
                  <w:spacing w:before="120" w:after="120"/>
                  <w:jc w:val="right"/>
                  <w:rPr>
                    <w:rFonts w:ascii="Arial" w:hAnsi="Arial" w:cs="Arial"/>
                    <w:b/>
                    <w:bCs/>
                    <w:sz w:val="28"/>
                  </w:rPr>
                </w:pPr>
                <w:r w:rsidRPr="004A2375">
                  <w:rPr>
                    <w:rFonts w:ascii="Arial" w:hAnsi="Arial" w:cs="Arial"/>
                    <w:b/>
                    <w:bCs/>
                    <w:sz w:val="28"/>
                  </w:rPr>
                  <w:t>Legal Affairs and Community Safety Committee</w:t>
                </w:r>
              </w:p>
              <w:p w14:paraId="03080AC7" w14:textId="3FEFD7E5" w:rsidR="004A2375" w:rsidRPr="00D95D9E" w:rsidRDefault="004A2375" w:rsidP="004A2375">
                <w:pPr>
                  <w:pStyle w:val="NoSpacing"/>
                  <w:spacing w:after="1080"/>
                  <w:jc w:val="right"/>
                  <w:rPr>
                    <w:b/>
                    <w:bCs/>
                    <w:sz w:val="28"/>
                  </w:rPr>
                </w:pPr>
              </w:p>
            </w:tc>
          </w:tr>
        </w:tbl>
        <w:p w14:paraId="07E55C8A" w14:textId="77777777" w:rsidR="004A2375" w:rsidRDefault="004A2375"/>
        <w:tbl>
          <w:tblPr>
            <w:tblpPr w:leftFromText="187" w:rightFromText="187" w:horzAnchor="margin" w:tblpXSpec="center" w:tblpYSpec="bottom"/>
            <w:tblW w:w="3857" w:type="pct"/>
            <w:tblLook w:val="04A0" w:firstRow="1" w:lastRow="0" w:firstColumn="1" w:lastColumn="0" w:noHBand="0" w:noVBand="1"/>
          </w:tblPr>
          <w:tblGrid>
            <w:gridCol w:w="6407"/>
          </w:tblGrid>
          <w:tr w:rsidR="00A16356" w14:paraId="3D91DB7F" w14:textId="77777777" w:rsidTr="00392522">
            <w:tc>
              <w:tcPr>
                <w:tcW w:w="6585" w:type="dxa"/>
                <w:tcMar>
                  <w:top w:w="216" w:type="dxa"/>
                  <w:left w:w="115" w:type="dxa"/>
                  <w:bottom w:w="216" w:type="dxa"/>
                  <w:right w:w="115" w:type="dxa"/>
                </w:tcMar>
              </w:tcPr>
              <w:p w14:paraId="177DB411" w14:textId="3FFED020" w:rsidR="00A16356" w:rsidRPr="00A16356" w:rsidRDefault="004E58C1" w:rsidP="004A2375">
                <w:pPr>
                  <w:pStyle w:val="NoSpacing"/>
                  <w:jc w:val="center"/>
                  <w:rPr>
                    <w:rFonts w:ascii="Arial" w:hAnsi="Arial" w:cs="Arial"/>
                    <w:color w:val="4F81BD" w:themeColor="accent1"/>
                    <w:sz w:val="28"/>
                    <w:szCs w:val="28"/>
                  </w:rPr>
                </w:pPr>
                <w:r>
                  <w:rPr>
                    <w:rFonts w:ascii="Arial" w:hAnsi="Arial" w:cs="Arial"/>
                    <w:color w:val="4F81BD" w:themeColor="accent1"/>
                    <w:sz w:val="28"/>
                    <w:szCs w:val="28"/>
                  </w:rPr>
                  <w:t xml:space="preserve">19 </w:t>
                </w:r>
                <w:r w:rsidR="00A16356" w:rsidRPr="00A16356">
                  <w:rPr>
                    <w:rFonts w:ascii="Arial" w:hAnsi="Arial" w:cs="Arial"/>
                    <w:color w:val="4F81BD" w:themeColor="accent1"/>
                    <w:sz w:val="28"/>
                    <w:szCs w:val="28"/>
                  </w:rPr>
                  <w:t>November 2018</w:t>
                </w:r>
              </w:p>
              <w:p w14:paraId="4C719C9C" w14:textId="77777777" w:rsidR="00A16356" w:rsidRDefault="00A16356">
                <w:pPr>
                  <w:pStyle w:val="NoSpacing"/>
                  <w:rPr>
                    <w:color w:val="4F81BD" w:themeColor="accent1"/>
                  </w:rPr>
                </w:pPr>
              </w:p>
            </w:tc>
          </w:tr>
        </w:tbl>
        <w:p w14:paraId="6A60A641" w14:textId="77777777" w:rsidR="004A2375" w:rsidRDefault="00A16356">
          <w:pPr>
            <w:rPr>
              <w:lang w:val="en-AU"/>
            </w:rPr>
          </w:pPr>
          <w:r>
            <w:rPr>
              <w:lang w:val="en-AU"/>
            </w:rPr>
            <w:br w:type="page"/>
          </w:r>
        </w:p>
        <w:p w14:paraId="463BA368" w14:textId="0D2BF4F2" w:rsidR="00A16356" w:rsidRPr="004A2375" w:rsidRDefault="00B360EA">
          <w:pPr>
            <w:rPr>
              <w:rFonts w:ascii="Arial" w:eastAsiaTheme="majorEastAsia" w:hAnsi="Arial" w:cstheme="majorBidi"/>
              <w:b/>
              <w:color w:val="365F91" w:themeColor="accent1" w:themeShade="BF"/>
              <w:sz w:val="16"/>
              <w:szCs w:val="16"/>
              <w:lang w:val="en-AU"/>
            </w:rPr>
          </w:pPr>
        </w:p>
      </w:sdtContent>
    </w:sdt>
    <w:sdt>
      <w:sdtPr>
        <w:rPr>
          <w:rFonts w:ascii="Arial" w:eastAsiaTheme="minorEastAsia" w:hAnsi="Arial" w:cs="Arial"/>
          <w:color w:val="auto"/>
          <w:sz w:val="24"/>
          <w:szCs w:val="24"/>
        </w:rPr>
        <w:id w:val="-331140652"/>
        <w:docPartObj>
          <w:docPartGallery w:val="Table of Contents"/>
          <w:docPartUnique/>
        </w:docPartObj>
      </w:sdtPr>
      <w:sdtEndPr>
        <w:rPr>
          <w:rFonts w:asciiTheme="minorHAnsi" w:hAnsiTheme="minorHAnsi" w:cstheme="minorBidi"/>
          <w:b/>
          <w:bCs/>
          <w:noProof/>
        </w:rPr>
      </w:sdtEndPr>
      <w:sdtContent>
        <w:p w14:paraId="091216B6" w14:textId="034B2DA1" w:rsidR="00A16356" w:rsidRPr="00A16356" w:rsidRDefault="00A16356">
          <w:pPr>
            <w:pStyle w:val="TOCHeading"/>
            <w:rPr>
              <w:rFonts w:ascii="Arial" w:hAnsi="Arial" w:cs="Arial"/>
              <w:b/>
            </w:rPr>
          </w:pPr>
          <w:r w:rsidRPr="00A16356">
            <w:rPr>
              <w:rFonts w:ascii="Arial" w:hAnsi="Arial" w:cs="Arial"/>
              <w:b/>
            </w:rPr>
            <w:t>Table of Contents</w:t>
          </w:r>
        </w:p>
        <w:p w14:paraId="5790CC85" w14:textId="40871530" w:rsidR="00A90373" w:rsidRPr="00A90373" w:rsidRDefault="00A16356" w:rsidP="00466216">
          <w:pPr>
            <w:pStyle w:val="TOC1"/>
            <w:tabs>
              <w:tab w:val="right" w:leader="dot" w:pos="8296"/>
            </w:tabs>
            <w:spacing w:before="120" w:after="120"/>
            <w:rPr>
              <w:rFonts w:ascii="Arial" w:hAnsi="Arial" w:cs="Arial"/>
              <w:noProof/>
              <w:sz w:val="22"/>
              <w:szCs w:val="22"/>
              <w:lang w:val="en-AU" w:eastAsia="en-AU"/>
            </w:rPr>
          </w:pPr>
          <w:r w:rsidRPr="00A90373">
            <w:rPr>
              <w:rFonts w:ascii="Arial" w:hAnsi="Arial" w:cs="Arial"/>
              <w:b/>
              <w:bCs/>
              <w:noProof/>
            </w:rPr>
            <w:fldChar w:fldCharType="begin"/>
          </w:r>
          <w:r w:rsidRPr="00A90373">
            <w:rPr>
              <w:rFonts w:ascii="Arial" w:hAnsi="Arial" w:cs="Arial"/>
              <w:b/>
              <w:bCs/>
              <w:noProof/>
            </w:rPr>
            <w:instrText xml:space="preserve"> TOC \o "1-3" \h \z \u </w:instrText>
          </w:r>
          <w:r w:rsidRPr="00A90373">
            <w:rPr>
              <w:rFonts w:ascii="Arial" w:hAnsi="Arial" w:cs="Arial"/>
              <w:b/>
              <w:bCs/>
              <w:noProof/>
            </w:rPr>
            <w:fldChar w:fldCharType="separate"/>
          </w:r>
          <w:hyperlink w:anchor="_Toc529345093" w:history="1">
            <w:r w:rsidR="00A90373" w:rsidRPr="00A90373">
              <w:rPr>
                <w:rStyle w:val="Hyperlink"/>
                <w:rFonts w:ascii="Arial" w:hAnsi="Arial" w:cs="Arial"/>
                <w:noProof/>
                <w:lang w:val="en-AU"/>
              </w:rPr>
              <w:t>Introduction</w:t>
            </w:r>
            <w:r w:rsidR="00A90373" w:rsidRPr="00A90373">
              <w:rPr>
                <w:rFonts w:ascii="Arial" w:hAnsi="Arial" w:cs="Arial"/>
                <w:noProof/>
                <w:webHidden/>
              </w:rPr>
              <w:tab/>
            </w:r>
            <w:r w:rsidR="00A90373" w:rsidRPr="00A90373">
              <w:rPr>
                <w:rFonts w:ascii="Arial" w:hAnsi="Arial" w:cs="Arial"/>
                <w:noProof/>
                <w:webHidden/>
              </w:rPr>
              <w:fldChar w:fldCharType="begin"/>
            </w:r>
            <w:r w:rsidR="00A90373" w:rsidRPr="00A90373">
              <w:rPr>
                <w:rFonts w:ascii="Arial" w:hAnsi="Arial" w:cs="Arial"/>
                <w:noProof/>
                <w:webHidden/>
              </w:rPr>
              <w:instrText xml:space="preserve"> PAGEREF _Toc529345093 \h </w:instrText>
            </w:r>
            <w:r w:rsidR="00A90373" w:rsidRPr="00A90373">
              <w:rPr>
                <w:rFonts w:ascii="Arial" w:hAnsi="Arial" w:cs="Arial"/>
                <w:noProof/>
                <w:webHidden/>
              </w:rPr>
            </w:r>
            <w:r w:rsidR="00A90373" w:rsidRPr="00A90373">
              <w:rPr>
                <w:rFonts w:ascii="Arial" w:hAnsi="Arial" w:cs="Arial"/>
                <w:noProof/>
                <w:webHidden/>
              </w:rPr>
              <w:fldChar w:fldCharType="separate"/>
            </w:r>
            <w:r w:rsidR="00AE3A61">
              <w:rPr>
                <w:rFonts w:ascii="Arial" w:hAnsi="Arial" w:cs="Arial"/>
                <w:noProof/>
                <w:webHidden/>
              </w:rPr>
              <w:t>1</w:t>
            </w:r>
            <w:r w:rsidR="00A90373" w:rsidRPr="00A90373">
              <w:rPr>
                <w:rFonts w:ascii="Arial" w:hAnsi="Arial" w:cs="Arial"/>
                <w:noProof/>
                <w:webHidden/>
              </w:rPr>
              <w:fldChar w:fldCharType="end"/>
            </w:r>
          </w:hyperlink>
        </w:p>
        <w:p w14:paraId="6902EFD8" w14:textId="6CA05BCF" w:rsidR="00A90373" w:rsidRPr="00A90373" w:rsidRDefault="00B360EA" w:rsidP="00466216">
          <w:pPr>
            <w:pStyle w:val="TOC1"/>
            <w:tabs>
              <w:tab w:val="right" w:leader="dot" w:pos="8296"/>
            </w:tabs>
            <w:spacing w:before="120" w:after="120"/>
            <w:rPr>
              <w:rFonts w:ascii="Arial" w:hAnsi="Arial" w:cs="Arial"/>
              <w:noProof/>
              <w:sz w:val="22"/>
              <w:szCs w:val="22"/>
              <w:lang w:val="en-AU" w:eastAsia="en-AU"/>
            </w:rPr>
          </w:pPr>
          <w:hyperlink w:anchor="_Toc529345094" w:history="1">
            <w:r w:rsidR="00A90373" w:rsidRPr="00A90373">
              <w:rPr>
                <w:rStyle w:val="Hyperlink"/>
                <w:rFonts w:ascii="Arial" w:hAnsi="Arial" w:cs="Arial"/>
                <w:noProof/>
                <w:lang w:val="en-AU"/>
              </w:rPr>
              <w:t>Objectives of the Bill and of the Act</w:t>
            </w:r>
            <w:r w:rsidR="00A90373" w:rsidRPr="00A90373">
              <w:rPr>
                <w:rFonts w:ascii="Arial" w:hAnsi="Arial" w:cs="Arial"/>
                <w:noProof/>
                <w:webHidden/>
              </w:rPr>
              <w:tab/>
            </w:r>
            <w:r w:rsidR="00A90373" w:rsidRPr="00A90373">
              <w:rPr>
                <w:rFonts w:ascii="Arial" w:hAnsi="Arial" w:cs="Arial"/>
                <w:noProof/>
                <w:webHidden/>
              </w:rPr>
              <w:fldChar w:fldCharType="begin"/>
            </w:r>
            <w:r w:rsidR="00A90373" w:rsidRPr="00A90373">
              <w:rPr>
                <w:rFonts w:ascii="Arial" w:hAnsi="Arial" w:cs="Arial"/>
                <w:noProof/>
                <w:webHidden/>
              </w:rPr>
              <w:instrText xml:space="preserve"> PAGEREF _Toc529345094 \h </w:instrText>
            </w:r>
            <w:r w:rsidR="00A90373" w:rsidRPr="00A90373">
              <w:rPr>
                <w:rFonts w:ascii="Arial" w:hAnsi="Arial" w:cs="Arial"/>
                <w:noProof/>
                <w:webHidden/>
              </w:rPr>
            </w:r>
            <w:r w:rsidR="00A90373" w:rsidRPr="00A90373">
              <w:rPr>
                <w:rFonts w:ascii="Arial" w:hAnsi="Arial" w:cs="Arial"/>
                <w:noProof/>
                <w:webHidden/>
              </w:rPr>
              <w:fldChar w:fldCharType="separate"/>
            </w:r>
            <w:r w:rsidR="00AE3A61">
              <w:rPr>
                <w:rFonts w:ascii="Arial" w:hAnsi="Arial" w:cs="Arial"/>
                <w:noProof/>
                <w:webHidden/>
              </w:rPr>
              <w:t>1</w:t>
            </w:r>
            <w:r w:rsidR="00A90373" w:rsidRPr="00A90373">
              <w:rPr>
                <w:rFonts w:ascii="Arial" w:hAnsi="Arial" w:cs="Arial"/>
                <w:noProof/>
                <w:webHidden/>
              </w:rPr>
              <w:fldChar w:fldCharType="end"/>
            </w:r>
          </w:hyperlink>
        </w:p>
        <w:p w14:paraId="30B81008" w14:textId="103A1B48" w:rsidR="00A90373" w:rsidRPr="00A90373" w:rsidRDefault="00B360EA" w:rsidP="00466216">
          <w:pPr>
            <w:pStyle w:val="TOC1"/>
            <w:tabs>
              <w:tab w:val="right" w:leader="dot" w:pos="8296"/>
            </w:tabs>
            <w:spacing w:before="120" w:after="120"/>
            <w:rPr>
              <w:rFonts w:ascii="Arial" w:hAnsi="Arial" w:cs="Arial"/>
              <w:noProof/>
              <w:sz w:val="22"/>
              <w:szCs w:val="22"/>
              <w:lang w:val="en-AU" w:eastAsia="en-AU"/>
            </w:rPr>
          </w:pPr>
          <w:hyperlink w:anchor="_Toc529345095" w:history="1">
            <w:r w:rsidR="00A90373" w:rsidRPr="00A90373">
              <w:rPr>
                <w:rStyle w:val="Hyperlink"/>
                <w:rFonts w:ascii="Arial" w:hAnsi="Arial" w:cs="Arial"/>
                <w:noProof/>
                <w:lang w:val="en-AU"/>
              </w:rPr>
              <w:t>Necessity for the Bill</w:t>
            </w:r>
            <w:r w:rsidR="00A90373" w:rsidRPr="00A90373">
              <w:rPr>
                <w:rFonts w:ascii="Arial" w:hAnsi="Arial" w:cs="Arial"/>
                <w:noProof/>
                <w:webHidden/>
              </w:rPr>
              <w:tab/>
            </w:r>
            <w:r w:rsidR="00A90373" w:rsidRPr="00A90373">
              <w:rPr>
                <w:rFonts w:ascii="Arial" w:hAnsi="Arial" w:cs="Arial"/>
                <w:noProof/>
                <w:webHidden/>
              </w:rPr>
              <w:fldChar w:fldCharType="begin"/>
            </w:r>
            <w:r w:rsidR="00A90373" w:rsidRPr="00A90373">
              <w:rPr>
                <w:rFonts w:ascii="Arial" w:hAnsi="Arial" w:cs="Arial"/>
                <w:noProof/>
                <w:webHidden/>
              </w:rPr>
              <w:instrText xml:space="preserve"> PAGEREF _Toc529345095 \h </w:instrText>
            </w:r>
            <w:r w:rsidR="00A90373" w:rsidRPr="00A90373">
              <w:rPr>
                <w:rFonts w:ascii="Arial" w:hAnsi="Arial" w:cs="Arial"/>
                <w:noProof/>
                <w:webHidden/>
              </w:rPr>
            </w:r>
            <w:r w:rsidR="00A90373" w:rsidRPr="00A90373">
              <w:rPr>
                <w:rFonts w:ascii="Arial" w:hAnsi="Arial" w:cs="Arial"/>
                <w:noProof/>
                <w:webHidden/>
              </w:rPr>
              <w:fldChar w:fldCharType="separate"/>
            </w:r>
            <w:r w:rsidR="00AE3A61">
              <w:rPr>
                <w:rFonts w:ascii="Arial" w:hAnsi="Arial" w:cs="Arial"/>
                <w:noProof/>
                <w:webHidden/>
              </w:rPr>
              <w:t>2</w:t>
            </w:r>
            <w:r w:rsidR="00A90373" w:rsidRPr="00A90373">
              <w:rPr>
                <w:rFonts w:ascii="Arial" w:hAnsi="Arial" w:cs="Arial"/>
                <w:noProof/>
                <w:webHidden/>
              </w:rPr>
              <w:fldChar w:fldCharType="end"/>
            </w:r>
          </w:hyperlink>
        </w:p>
        <w:p w14:paraId="204BBF3A" w14:textId="37C6D4A7" w:rsidR="00A90373" w:rsidRPr="00A90373" w:rsidRDefault="00B360EA" w:rsidP="00466216">
          <w:pPr>
            <w:pStyle w:val="TOC1"/>
            <w:tabs>
              <w:tab w:val="right" w:leader="dot" w:pos="8296"/>
            </w:tabs>
            <w:spacing w:before="120" w:after="120"/>
            <w:rPr>
              <w:rFonts w:ascii="Arial" w:hAnsi="Arial" w:cs="Arial"/>
              <w:noProof/>
              <w:sz w:val="22"/>
              <w:szCs w:val="22"/>
              <w:lang w:val="en-AU" w:eastAsia="en-AU"/>
            </w:rPr>
          </w:pPr>
          <w:hyperlink w:anchor="_Toc529345096" w:history="1">
            <w:r w:rsidR="00A90373" w:rsidRPr="00A90373">
              <w:rPr>
                <w:rStyle w:val="Hyperlink"/>
                <w:rFonts w:ascii="Arial" w:hAnsi="Arial" w:cs="Arial"/>
                <w:noProof/>
                <w:lang w:val="en-AU"/>
              </w:rPr>
              <w:t>Existing protections relating to sex and gender</w:t>
            </w:r>
            <w:r w:rsidR="00A90373" w:rsidRPr="00A90373">
              <w:rPr>
                <w:rFonts w:ascii="Arial" w:hAnsi="Arial" w:cs="Arial"/>
                <w:noProof/>
                <w:webHidden/>
              </w:rPr>
              <w:tab/>
            </w:r>
            <w:r w:rsidR="00A90373" w:rsidRPr="00A90373">
              <w:rPr>
                <w:rFonts w:ascii="Arial" w:hAnsi="Arial" w:cs="Arial"/>
                <w:noProof/>
                <w:webHidden/>
              </w:rPr>
              <w:fldChar w:fldCharType="begin"/>
            </w:r>
            <w:r w:rsidR="00A90373" w:rsidRPr="00A90373">
              <w:rPr>
                <w:rFonts w:ascii="Arial" w:hAnsi="Arial" w:cs="Arial"/>
                <w:noProof/>
                <w:webHidden/>
              </w:rPr>
              <w:instrText xml:space="preserve"> PAGEREF _Toc529345096 \h </w:instrText>
            </w:r>
            <w:r w:rsidR="00A90373" w:rsidRPr="00A90373">
              <w:rPr>
                <w:rFonts w:ascii="Arial" w:hAnsi="Arial" w:cs="Arial"/>
                <w:noProof/>
                <w:webHidden/>
              </w:rPr>
            </w:r>
            <w:r w:rsidR="00A90373" w:rsidRPr="00A90373">
              <w:rPr>
                <w:rFonts w:ascii="Arial" w:hAnsi="Arial" w:cs="Arial"/>
                <w:noProof/>
                <w:webHidden/>
              </w:rPr>
              <w:fldChar w:fldCharType="separate"/>
            </w:r>
            <w:r w:rsidR="00AE3A61">
              <w:rPr>
                <w:rFonts w:ascii="Arial" w:hAnsi="Arial" w:cs="Arial"/>
                <w:noProof/>
                <w:webHidden/>
              </w:rPr>
              <w:t>3</w:t>
            </w:r>
            <w:r w:rsidR="00A90373" w:rsidRPr="00A90373">
              <w:rPr>
                <w:rFonts w:ascii="Arial" w:hAnsi="Arial" w:cs="Arial"/>
                <w:noProof/>
                <w:webHidden/>
              </w:rPr>
              <w:fldChar w:fldCharType="end"/>
            </w:r>
          </w:hyperlink>
        </w:p>
        <w:p w14:paraId="14F3D004" w14:textId="594FFA8F" w:rsidR="00A90373" w:rsidRPr="00A90373" w:rsidRDefault="00B360EA" w:rsidP="00466216">
          <w:pPr>
            <w:pStyle w:val="TOC1"/>
            <w:tabs>
              <w:tab w:val="right" w:leader="dot" w:pos="8296"/>
            </w:tabs>
            <w:spacing w:before="120" w:after="120"/>
            <w:rPr>
              <w:rFonts w:ascii="Arial" w:hAnsi="Arial" w:cs="Arial"/>
              <w:noProof/>
              <w:sz w:val="22"/>
              <w:szCs w:val="22"/>
              <w:lang w:val="en-AU" w:eastAsia="en-AU"/>
            </w:rPr>
          </w:pPr>
          <w:hyperlink w:anchor="_Toc529345097" w:history="1">
            <w:r w:rsidR="00A90373" w:rsidRPr="00A90373">
              <w:rPr>
                <w:rStyle w:val="Hyperlink"/>
                <w:rFonts w:ascii="Arial" w:hAnsi="Arial" w:cs="Arial"/>
                <w:noProof/>
                <w:lang w:val="en-AU"/>
              </w:rPr>
              <w:t>Provisions of the Bill</w:t>
            </w:r>
            <w:r w:rsidR="00A90373" w:rsidRPr="00A90373">
              <w:rPr>
                <w:rFonts w:ascii="Arial" w:hAnsi="Arial" w:cs="Arial"/>
                <w:noProof/>
                <w:webHidden/>
              </w:rPr>
              <w:tab/>
            </w:r>
            <w:r w:rsidR="00A90373" w:rsidRPr="00A90373">
              <w:rPr>
                <w:rFonts w:ascii="Arial" w:hAnsi="Arial" w:cs="Arial"/>
                <w:noProof/>
                <w:webHidden/>
              </w:rPr>
              <w:fldChar w:fldCharType="begin"/>
            </w:r>
            <w:r w:rsidR="00A90373" w:rsidRPr="00A90373">
              <w:rPr>
                <w:rFonts w:ascii="Arial" w:hAnsi="Arial" w:cs="Arial"/>
                <w:noProof/>
                <w:webHidden/>
              </w:rPr>
              <w:instrText xml:space="preserve"> PAGEREF _Toc529345097 \h </w:instrText>
            </w:r>
            <w:r w:rsidR="00A90373" w:rsidRPr="00A90373">
              <w:rPr>
                <w:rFonts w:ascii="Arial" w:hAnsi="Arial" w:cs="Arial"/>
                <w:noProof/>
                <w:webHidden/>
              </w:rPr>
            </w:r>
            <w:r w:rsidR="00A90373" w:rsidRPr="00A90373">
              <w:rPr>
                <w:rFonts w:ascii="Arial" w:hAnsi="Arial" w:cs="Arial"/>
                <w:noProof/>
                <w:webHidden/>
              </w:rPr>
              <w:fldChar w:fldCharType="separate"/>
            </w:r>
            <w:r w:rsidR="00AE3A61">
              <w:rPr>
                <w:rFonts w:ascii="Arial" w:hAnsi="Arial" w:cs="Arial"/>
                <w:noProof/>
                <w:webHidden/>
              </w:rPr>
              <w:t>4</w:t>
            </w:r>
            <w:r w:rsidR="00A90373" w:rsidRPr="00A90373">
              <w:rPr>
                <w:rFonts w:ascii="Arial" w:hAnsi="Arial" w:cs="Arial"/>
                <w:noProof/>
                <w:webHidden/>
              </w:rPr>
              <w:fldChar w:fldCharType="end"/>
            </w:r>
          </w:hyperlink>
        </w:p>
        <w:p w14:paraId="687FE8EA" w14:textId="42B09C13" w:rsidR="00A90373" w:rsidRPr="00A90373" w:rsidRDefault="00B360EA" w:rsidP="00466216">
          <w:pPr>
            <w:pStyle w:val="TOC2"/>
            <w:tabs>
              <w:tab w:val="right" w:leader="dot" w:pos="8296"/>
            </w:tabs>
            <w:spacing w:before="120" w:after="120"/>
            <w:rPr>
              <w:rFonts w:ascii="Arial" w:hAnsi="Arial" w:cs="Arial"/>
              <w:noProof/>
            </w:rPr>
          </w:pPr>
          <w:hyperlink w:anchor="_Toc529345098" w:history="1">
            <w:r w:rsidR="00A90373" w:rsidRPr="00A90373">
              <w:rPr>
                <w:rStyle w:val="Hyperlink"/>
                <w:rFonts w:ascii="Arial" w:hAnsi="Arial" w:cs="Arial"/>
                <w:noProof/>
              </w:rPr>
              <w:t>Discrimination prohibited</w:t>
            </w:r>
            <w:r w:rsidR="00A90373" w:rsidRPr="00A90373">
              <w:rPr>
                <w:rFonts w:ascii="Arial" w:hAnsi="Arial" w:cs="Arial"/>
                <w:noProof/>
                <w:webHidden/>
              </w:rPr>
              <w:tab/>
            </w:r>
            <w:r w:rsidR="00A90373" w:rsidRPr="00A90373">
              <w:rPr>
                <w:rFonts w:ascii="Arial" w:hAnsi="Arial" w:cs="Arial"/>
                <w:noProof/>
                <w:webHidden/>
              </w:rPr>
              <w:fldChar w:fldCharType="begin"/>
            </w:r>
            <w:r w:rsidR="00A90373" w:rsidRPr="00A90373">
              <w:rPr>
                <w:rFonts w:ascii="Arial" w:hAnsi="Arial" w:cs="Arial"/>
                <w:noProof/>
                <w:webHidden/>
              </w:rPr>
              <w:instrText xml:space="preserve"> PAGEREF _Toc529345098 \h </w:instrText>
            </w:r>
            <w:r w:rsidR="00A90373" w:rsidRPr="00A90373">
              <w:rPr>
                <w:rFonts w:ascii="Arial" w:hAnsi="Arial" w:cs="Arial"/>
                <w:noProof/>
                <w:webHidden/>
              </w:rPr>
            </w:r>
            <w:r w:rsidR="00A90373" w:rsidRPr="00A90373">
              <w:rPr>
                <w:rFonts w:ascii="Arial" w:hAnsi="Arial" w:cs="Arial"/>
                <w:noProof/>
                <w:webHidden/>
              </w:rPr>
              <w:fldChar w:fldCharType="separate"/>
            </w:r>
            <w:r w:rsidR="00AE3A61">
              <w:rPr>
                <w:rFonts w:ascii="Arial" w:hAnsi="Arial" w:cs="Arial"/>
                <w:noProof/>
                <w:webHidden/>
              </w:rPr>
              <w:t>4</w:t>
            </w:r>
            <w:r w:rsidR="00A90373" w:rsidRPr="00A90373">
              <w:rPr>
                <w:rFonts w:ascii="Arial" w:hAnsi="Arial" w:cs="Arial"/>
                <w:noProof/>
                <w:webHidden/>
              </w:rPr>
              <w:fldChar w:fldCharType="end"/>
            </w:r>
          </w:hyperlink>
        </w:p>
        <w:p w14:paraId="0E175372" w14:textId="68E8A7A4" w:rsidR="00A90373" w:rsidRPr="00A90373" w:rsidRDefault="00B360EA" w:rsidP="00466216">
          <w:pPr>
            <w:pStyle w:val="TOC2"/>
            <w:tabs>
              <w:tab w:val="right" w:leader="dot" w:pos="8296"/>
            </w:tabs>
            <w:spacing w:before="120" w:after="120"/>
            <w:rPr>
              <w:rFonts w:ascii="Arial" w:hAnsi="Arial" w:cs="Arial"/>
              <w:noProof/>
            </w:rPr>
          </w:pPr>
          <w:hyperlink w:anchor="_Toc529345099" w:history="1">
            <w:r w:rsidR="00A90373" w:rsidRPr="00A90373">
              <w:rPr>
                <w:rStyle w:val="Hyperlink"/>
                <w:rFonts w:ascii="Arial" w:hAnsi="Arial" w:cs="Arial"/>
                <w:noProof/>
                <w:lang w:val="en-AU"/>
              </w:rPr>
              <w:t>Meaning of direct discrimination</w:t>
            </w:r>
            <w:r w:rsidR="00A90373" w:rsidRPr="00A90373">
              <w:rPr>
                <w:rFonts w:ascii="Arial" w:hAnsi="Arial" w:cs="Arial"/>
                <w:noProof/>
                <w:webHidden/>
              </w:rPr>
              <w:tab/>
            </w:r>
            <w:r w:rsidR="00A90373" w:rsidRPr="00A90373">
              <w:rPr>
                <w:rFonts w:ascii="Arial" w:hAnsi="Arial" w:cs="Arial"/>
                <w:noProof/>
                <w:webHidden/>
              </w:rPr>
              <w:fldChar w:fldCharType="begin"/>
            </w:r>
            <w:r w:rsidR="00A90373" w:rsidRPr="00A90373">
              <w:rPr>
                <w:rFonts w:ascii="Arial" w:hAnsi="Arial" w:cs="Arial"/>
                <w:noProof/>
                <w:webHidden/>
              </w:rPr>
              <w:instrText xml:space="preserve"> PAGEREF _Toc529345099 \h </w:instrText>
            </w:r>
            <w:r w:rsidR="00A90373" w:rsidRPr="00A90373">
              <w:rPr>
                <w:rFonts w:ascii="Arial" w:hAnsi="Arial" w:cs="Arial"/>
                <w:noProof/>
                <w:webHidden/>
              </w:rPr>
            </w:r>
            <w:r w:rsidR="00A90373" w:rsidRPr="00A90373">
              <w:rPr>
                <w:rFonts w:ascii="Arial" w:hAnsi="Arial" w:cs="Arial"/>
                <w:noProof/>
                <w:webHidden/>
              </w:rPr>
              <w:fldChar w:fldCharType="separate"/>
            </w:r>
            <w:r w:rsidR="00AE3A61">
              <w:rPr>
                <w:rFonts w:ascii="Arial" w:hAnsi="Arial" w:cs="Arial"/>
                <w:noProof/>
                <w:webHidden/>
              </w:rPr>
              <w:t>4</w:t>
            </w:r>
            <w:r w:rsidR="00A90373" w:rsidRPr="00A90373">
              <w:rPr>
                <w:rFonts w:ascii="Arial" w:hAnsi="Arial" w:cs="Arial"/>
                <w:noProof/>
                <w:webHidden/>
              </w:rPr>
              <w:fldChar w:fldCharType="end"/>
            </w:r>
          </w:hyperlink>
        </w:p>
        <w:p w14:paraId="2FE8E840" w14:textId="438B7381" w:rsidR="00A90373" w:rsidRPr="00A90373" w:rsidRDefault="00B360EA" w:rsidP="00466216">
          <w:pPr>
            <w:pStyle w:val="TOC2"/>
            <w:tabs>
              <w:tab w:val="right" w:leader="dot" w:pos="8296"/>
            </w:tabs>
            <w:spacing w:before="120" w:after="120"/>
            <w:rPr>
              <w:rFonts w:ascii="Arial" w:hAnsi="Arial" w:cs="Arial"/>
              <w:noProof/>
            </w:rPr>
          </w:pPr>
          <w:hyperlink w:anchor="_Toc529345100" w:history="1">
            <w:r w:rsidR="00A90373" w:rsidRPr="00A90373">
              <w:rPr>
                <w:rStyle w:val="Hyperlink"/>
                <w:rFonts w:ascii="Arial" w:hAnsi="Arial" w:cs="Arial"/>
                <w:noProof/>
                <w:lang w:val="en-AU"/>
              </w:rPr>
              <w:t>Meaning of indirect discrimination</w:t>
            </w:r>
            <w:r w:rsidR="00A90373" w:rsidRPr="00A90373">
              <w:rPr>
                <w:rFonts w:ascii="Arial" w:hAnsi="Arial" w:cs="Arial"/>
                <w:noProof/>
                <w:webHidden/>
              </w:rPr>
              <w:tab/>
            </w:r>
            <w:r w:rsidR="00A90373" w:rsidRPr="00A90373">
              <w:rPr>
                <w:rFonts w:ascii="Arial" w:hAnsi="Arial" w:cs="Arial"/>
                <w:noProof/>
                <w:webHidden/>
              </w:rPr>
              <w:fldChar w:fldCharType="begin"/>
            </w:r>
            <w:r w:rsidR="00A90373" w:rsidRPr="00A90373">
              <w:rPr>
                <w:rFonts w:ascii="Arial" w:hAnsi="Arial" w:cs="Arial"/>
                <w:noProof/>
                <w:webHidden/>
              </w:rPr>
              <w:instrText xml:space="preserve"> PAGEREF _Toc529345100 \h </w:instrText>
            </w:r>
            <w:r w:rsidR="00A90373" w:rsidRPr="00A90373">
              <w:rPr>
                <w:rFonts w:ascii="Arial" w:hAnsi="Arial" w:cs="Arial"/>
                <w:noProof/>
                <w:webHidden/>
              </w:rPr>
            </w:r>
            <w:r w:rsidR="00A90373" w:rsidRPr="00A90373">
              <w:rPr>
                <w:rFonts w:ascii="Arial" w:hAnsi="Arial" w:cs="Arial"/>
                <w:noProof/>
                <w:webHidden/>
              </w:rPr>
              <w:fldChar w:fldCharType="separate"/>
            </w:r>
            <w:r w:rsidR="00AE3A61">
              <w:rPr>
                <w:rFonts w:ascii="Arial" w:hAnsi="Arial" w:cs="Arial"/>
                <w:noProof/>
                <w:webHidden/>
              </w:rPr>
              <w:t>5</w:t>
            </w:r>
            <w:r w:rsidR="00A90373" w:rsidRPr="00A90373">
              <w:rPr>
                <w:rFonts w:ascii="Arial" w:hAnsi="Arial" w:cs="Arial"/>
                <w:noProof/>
                <w:webHidden/>
              </w:rPr>
              <w:fldChar w:fldCharType="end"/>
            </w:r>
          </w:hyperlink>
        </w:p>
        <w:p w14:paraId="15229CB2" w14:textId="07417E5C" w:rsidR="00A90373" w:rsidRPr="00A90373" w:rsidRDefault="00B360EA" w:rsidP="00466216">
          <w:pPr>
            <w:pStyle w:val="TOC2"/>
            <w:tabs>
              <w:tab w:val="right" w:leader="dot" w:pos="8296"/>
            </w:tabs>
            <w:spacing w:before="120" w:after="120"/>
            <w:rPr>
              <w:rFonts w:ascii="Arial" w:hAnsi="Arial" w:cs="Arial"/>
              <w:noProof/>
            </w:rPr>
          </w:pPr>
          <w:hyperlink w:anchor="_Toc529345101" w:history="1">
            <w:r w:rsidR="00A90373" w:rsidRPr="00A90373">
              <w:rPr>
                <w:rStyle w:val="Hyperlink"/>
                <w:rFonts w:ascii="Arial" w:hAnsi="Arial" w:cs="Arial"/>
                <w:noProof/>
                <w:lang w:val="en-AU"/>
              </w:rPr>
              <w:t>Protection of businesses and organisations</w:t>
            </w:r>
            <w:r w:rsidR="00A90373" w:rsidRPr="00A90373">
              <w:rPr>
                <w:rFonts w:ascii="Arial" w:hAnsi="Arial" w:cs="Arial"/>
                <w:noProof/>
                <w:webHidden/>
              </w:rPr>
              <w:tab/>
            </w:r>
            <w:r w:rsidR="00A90373" w:rsidRPr="00A90373">
              <w:rPr>
                <w:rFonts w:ascii="Arial" w:hAnsi="Arial" w:cs="Arial"/>
                <w:noProof/>
                <w:webHidden/>
              </w:rPr>
              <w:fldChar w:fldCharType="begin"/>
            </w:r>
            <w:r w:rsidR="00A90373" w:rsidRPr="00A90373">
              <w:rPr>
                <w:rFonts w:ascii="Arial" w:hAnsi="Arial" w:cs="Arial"/>
                <w:noProof/>
                <w:webHidden/>
              </w:rPr>
              <w:instrText xml:space="preserve"> PAGEREF _Toc529345101 \h </w:instrText>
            </w:r>
            <w:r w:rsidR="00A90373" w:rsidRPr="00A90373">
              <w:rPr>
                <w:rFonts w:ascii="Arial" w:hAnsi="Arial" w:cs="Arial"/>
                <w:noProof/>
                <w:webHidden/>
              </w:rPr>
            </w:r>
            <w:r w:rsidR="00A90373" w:rsidRPr="00A90373">
              <w:rPr>
                <w:rFonts w:ascii="Arial" w:hAnsi="Arial" w:cs="Arial"/>
                <w:noProof/>
                <w:webHidden/>
              </w:rPr>
              <w:fldChar w:fldCharType="separate"/>
            </w:r>
            <w:r w:rsidR="00AE3A61">
              <w:rPr>
                <w:rFonts w:ascii="Arial" w:hAnsi="Arial" w:cs="Arial"/>
                <w:noProof/>
                <w:webHidden/>
              </w:rPr>
              <w:t>6</w:t>
            </w:r>
            <w:r w:rsidR="00A90373" w:rsidRPr="00A90373">
              <w:rPr>
                <w:rFonts w:ascii="Arial" w:hAnsi="Arial" w:cs="Arial"/>
                <w:noProof/>
                <w:webHidden/>
              </w:rPr>
              <w:fldChar w:fldCharType="end"/>
            </w:r>
          </w:hyperlink>
        </w:p>
        <w:p w14:paraId="6BE20A0A" w14:textId="6E5DDD9B" w:rsidR="00A90373" w:rsidRPr="00A90373" w:rsidRDefault="00B360EA" w:rsidP="00466216">
          <w:pPr>
            <w:pStyle w:val="TOC1"/>
            <w:tabs>
              <w:tab w:val="right" w:leader="dot" w:pos="8296"/>
            </w:tabs>
            <w:spacing w:before="120" w:after="120"/>
            <w:rPr>
              <w:rFonts w:ascii="Arial" w:hAnsi="Arial" w:cs="Arial"/>
              <w:noProof/>
              <w:sz w:val="22"/>
              <w:szCs w:val="22"/>
              <w:lang w:val="en-AU" w:eastAsia="en-AU"/>
            </w:rPr>
          </w:pPr>
          <w:hyperlink w:anchor="_Toc529345102" w:history="1">
            <w:r w:rsidR="00A90373" w:rsidRPr="00A90373">
              <w:rPr>
                <w:rStyle w:val="Hyperlink"/>
                <w:rFonts w:ascii="Arial" w:hAnsi="Arial" w:cs="Arial"/>
                <w:noProof/>
                <w:lang w:val="en-AU"/>
              </w:rPr>
              <w:t>Conclusion</w:t>
            </w:r>
            <w:r w:rsidR="00A90373" w:rsidRPr="00A90373">
              <w:rPr>
                <w:rFonts w:ascii="Arial" w:hAnsi="Arial" w:cs="Arial"/>
                <w:noProof/>
                <w:webHidden/>
              </w:rPr>
              <w:tab/>
            </w:r>
            <w:r w:rsidR="00A90373" w:rsidRPr="00A90373">
              <w:rPr>
                <w:rFonts w:ascii="Arial" w:hAnsi="Arial" w:cs="Arial"/>
                <w:noProof/>
                <w:webHidden/>
              </w:rPr>
              <w:fldChar w:fldCharType="begin"/>
            </w:r>
            <w:r w:rsidR="00A90373" w:rsidRPr="00A90373">
              <w:rPr>
                <w:rFonts w:ascii="Arial" w:hAnsi="Arial" w:cs="Arial"/>
                <w:noProof/>
                <w:webHidden/>
              </w:rPr>
              <w:instrText xml:space="preserve"> PAGEREF _Toc529345102 \h </w:instrText>
            </w:r>
            <w:r w:rsidR="00A90373" w:rsidRPr="00A90373">
              <w:rPr>
                <w:rFonts w:ascii="Arial" w:hAnsi="Arial" w:cs="Arial"/>
                <w:noProof/>
                <w:webHidden/>
              </w:rPr>
            </w:r>
            <w:r w:rsidR="00A90373" w:rsidRPr="00A90373">
              <w:rPr>
                <w:rFonts w:ascii="Arial" w:hAnsi="Arial" w:cs="Arial"/>
                <w:noProof/>
                <w:webHidden/>
              </w:rPr>
              <w:fldChar w:fldCharType="separate"/>
            </w:r>
            <w:r w:rsidR="00AE3A61">
              <w:rPr>
                <w:rFonts w:ascii="Arial" w:hAnsi="Arial" w:cs="Arial"/>
                <w:noProof/>
                <w:webHidden/>
              </w:rPr>
              <w:t>7</w:t>
            </w:r>
            <w:r w:rsidR="00A90373" w:rsidRPr="00A90373">
              <w:rPr>
                <w:rFonts w:ascii="Arial" w:hAnsi="Arial" w:cs="Arial"/>
                <w:noProof/>
                <w:webHidden/>
              </w:rPr>
              <w:fldChar w:fldCharType="end"/>
            </w:r>
          </w:hyperlink>
        </w:p>
        <w:p w14:paraId="59A8165F" w14:textId="2E37108C" w:rsidR="00A90373" w:rsidRPr="00A90373" w:rsidRDefault="00B360EA" w:rsidP="00466216">
          <w:pPr>
            <w:pStyle w:val="TOC1"/>
            <w:tabs>
              <w:tab w:val="right" w:leader="dot" w:pos="8296"/>
            </w:tabs>
            <w:spacing w:before="120" w:after="120"/>
            <w:rPr>
              <w:rFonts w:ascii="Arial" w:hAnsi="Arial" w:cs="Arial"/>
              <w:noProof/>
              <w:sz w:val="22"/>
              <w:szCs w:val="22"/>
              <w:lang w:val="en-AU" w:eastAsia="en-AU"/>
            </w:rPr>
          </w:pPr>
          <w:hyperlink w:anchor="_Toc529345103" w:history="1">
            <w:r w:rsidR="00A90373" w:rsidRPr="00A90373">
              <w:rPr>
                <w:rStyle w:val="Hyperlink"/>
                <w:rFonts w:ascii="Arial" w:hAnsi="Arial" w:cs="Arial"/>
                <w:noProof/>
                <w:lang w:val="en-AU"/>
              </w:rPr>
              <w:t>Recommendations</w:t>
            </w:r>
            <w:r w:rsidR="00A90373" w:rsidRPr="00A90373">
              <w:rPr>
                <w:rFonts w:ascii="Arial" w:hAnsi="Arial" w:cs="Arial"/>
                <w:noProof/>
                <w:webHidden/>
              </w:rPr>
              <w:tab/>
            </w:r>
            <w:r w:rsidR="00A90373" w:rsidRPr="00A90373">
              <w:rPr>
                <w:rFonts w:ascii="Arial" w:hAnsi="Arial" w:cs="Arial"/>
                <w:noProof/>
                <w:webHidden/>
              </w:rPr>
              <w:fldChar w:fldCharType="begin"/>
            </w:r>
            <w:r w:rsidR="00A90373" w:rsidRPr="00A90373">
              <w:rPr>
                <w:rFonts w:ascii="Arial" w:hAnsi="Arial" w:cs="Arial"/>
                <w:noProof/>
                <w:webHidden/>
              </w:rPr>
              <w:instrText xml:space="preserve"> PAGEREF _Toc529345103 \h </w:instrText>
            </w:r>
            <w:r w:rsidR="00A90373" w:rsidRPr="00A90373">
              <w:rPr>
                <w:rFonts w:ascii="Arial" w:hAnsi="Arial" w:cs="Arial"/>
                <w:noProof/>
                <w:webHidden/>
              </w:rPr>
            </w:r>
            <w:r w:rsidR="00A90373" w:rsidRPr="00A90373">
              <w:rPr>
                <w:rFonts w:ascii="Arial" w:hAnsi="Arial" w:cs="Arial"/>
                <w:noProof/>
                <w:webHidden/>
              </w:rPr>
              <w:fldChar w:fldCharType="separate"/>
            </w:r>
            <w:r w:rsidR="00AE3A61">
              <w:rPr>
                <w:rFonts w:ascii="Arial" w:hAnsi="Arial" w:cs="Arial"/>
                <w:noProof/>
                <w:webHidden/>
              </w:rPr>
              <w:t>7</w:t>
            </w:r>
            <w:r w:rsidR="00A90373" w:rsidRPr="00A90373">
              <w:rPr>
                <w:rFonts w:ascii="Arial" w:hAnsi="Arial" w:cs="Arial"/>
                <w:noProof/>
                <w:webHidden/>
              </w:rPr>
              <w:fldChar w:fldCharType="end"/>
            </w:r>
          </w:hyperlink>
        </w:p>
        <w:p w14:paraId="15FDE769" w14:textId="6E1FDDE7" w:rsidR="00A16356" w:rsidRDefault="00A16356" w:rsidP="00466216">
          <w:pPr>
            <w:spacing w:before="120" w:after="120"/>
          </w:pPr>
          <w:r w:rsidRPr="00A90373">
            <w:rPr>
              <w:rFonts w:ascii="Arial" w:hAnsi="Arial" w:cs="Arial"/>
              <w:b/>
              <w:bCs/>
              <w:noProof/>
            </w:rPr>
            <w:fldChar w:fldCharType="end"/>
          </w:r>
        </w:p>
      </w:sdtContent>
    </w:sdt>
    <w:p w14:paraId="61DAD679" w14:textId="77777777" w:rsidR="004A2375" w:rsidRDefault="004A2375">
      <w:pPr>
        <w:rPr>
          <w:rFonts w:ascii="Arial" w:eastAsiaTheme="majorEastAsia" w:hAnsi="Arial" w:cstheme="majorBidi"/>
          <w:b/>
          <w:color w:val="365F91" w:themeColor="accent1" w:themeShade="BF"/>
          <w:sz w:val="28"/>
          <w:szCs w:val="32"/>
          <w:lang w:val="en-AU"/>
        </w:rPr>
        <w:sectPr w:rsidR="004A2375" w:rsidSect="00A16356">
          <w:headerReference w:type="first" r:id="rId9"/>
          <w:pgSz w:w="11900" w:h="16840" w:code="9"/>
          <w:pgMar w:top="1440" w:right="1797" w:bottom="1440" w:left="1797" w:header="709" w:footer="709" w:gutter="0"/>
          <w:pgNumType w:start="0"/>
          <w:cols w:space="708"/>
          <w:titlePg/>
          <w:docGrid w:linePitch="360"/>
        </w:sectPr>
      </w:pPr>
    </w:p>
    <w:p w14:paraId="3C667E6D" w14:textId="6A1FD744" w:rsidR="00B82CE9" w:rsidRPr="00C35743" w:rsidRDefault="00B82CE9" w:rsidP="00284FF0">
      <w:pPr>
        <w:pStyle w:val="Heading1"/>
        <w:rPr>
          <w:b w:val="0"/>
          <w:lang w:val="en-AU"/>
        </w:rPr>
      </w:pPr>
      <w:bookmarkStart w:id="0" w:name="_Toc529345093"/>
      <w:r w:rsidRPr="00C35743">
        <w:rPr>
          <w:lang w:val="en-AU"/>
        </w:rPr>
        <w:lastRenderedPageBreak/>
        <w:t>Introduction</w:t>
      </w:r>
      <w:bookmarkEnd w:id="0"/>
    </w:p>
    <w:p w14:paraId="430CE9E6" w14:textId="71FB4029" w:rsidR="00370336" w:rsidRPr="00C35743" w:rsidRDefault="008E304C" w:rsidP="001E3A26">
      <w:pPr>
        <w:pStyle w:val="ListParagraph"/>
        <w:numPr>
          <w:ilvl w:val="0"/>
          <w:numId w:val="4"/>
        </w:numPr>
        <w:spacing w:before="120" w:after="240" w:line="276" w:lineRule="auto"/>
        <w:ind w:left="425" w:hanging="425"/>
        <w:contextualSpacing w:val="0"/>
        <w:rPr>
          <w:rFonts w:ascii="Arial" w:hAnsi="Arial" w:cs="Arial"/>
          <w:lang w:val="en-AU"/>
        </w:rPr>
      </w:pPr>
      <w:r w:rsidRPr="00C35743">
        <w:rPr>
          <w:rFonts w:ascii="Arial" w:hAnsi="Arial" w:cs="Arial"/>
          <w:lang w:val="en-AU"/>
        </w:rPr>
        <w:t xml:space="preserve">The Anti-Discrimination Commission is a statutory authority established under the </w:t>
      </w:r>
      <w:r w:rsidRPr="00C35743">
        <w:rPr>
          <w:rFonts w:ascii="Arial" w:hAnsi="Arial" w:cs="Arial"/>
          <w:i/>
          <w:lang w:val="en-AU"/>
        </w:rPr>
        <w:t>Anti-Discrimination Act 1991</w:t>
      </w:r>
      <w:r w:rsidRPr="00C35743">
        <w:rPr>
          <w:rFonts w:ascii="Arial" w:hAnsi="Arial" w:cs="Arial"/>
          <w:lang w:val="en-AU"/>
        </w:rPr>
        <w:t xml:space="preserve"> (the Act).  The func</w:t>
      </w:r>
      <w:r w:rsidR="00B82CE9" w:rsidRPr="00C35743">
        <w:rPr>
          <w:rFonts w:ascii="Arial" w:hAnsi="Arial" w:cs="Arial"/>
          <w:lang w:val="en-AU"/>
        </w:rPr>
        <w:t>tions of the Commission include</w:t>
      </w:r>
      <w:r w:rsidRPr="00C35743">
        <w:rPr>
          <w:rFonts w:ascii="Arial" w:hAnsi="Arial" w:cs="Arial"/>
          <w:lang w:val="en-AU"/>
        </w:rPr>
        <w:t xml:space="preserve"> dealing with complaints of discrimination and </w:t>
      </w:r>
      <w:r w:rsidR="00ED0709" w:rsidRPr="00C35743">
        <w:rPr>
          <w:rFonts w:ascii="Arial" w:hAnsi="Arial" w:cs="Arial"/>
          <w:lang w:val="en-AU"/>
        </w:rPr>
        <w:t xml:space="preserve">certain </w:t>
      </w:r>
      <w:r w:rsidRPr="00C35743">
        <w:rPr>
          <w:rFonts w:ascii="Arial" w:hAnsi="Arial" w:cs="Arial"/>
          <w:lang w:val="en-AU"/>
        </w:rPr>
        <w:t xml:space="preserve">other </w:t>
      </w:r>
      <w:r w:rsidR="00B82CE9" w:rsidRPr="00C35743">
        <w:rPr>
          <w:rFonts w:ascii="Arial" w:hAnsi="Arial" w:cs="Arial"/>
          <w:lang w:val="en-AU"/>
        </w:rPr>
        <w:t xml:space="preserve">unlawful </w:t>
      </w:r>
      <w:r w:rsidR="00ED0709" w:rsidRPr="00C35743">
        <w:rPr>
          <w:rFonts w:ascii="Arial" w:hAnsi="Arial" w:cs="Arial"/>
          <w:lang w:val="en-AU"/>
        </w:rPr>
        <w:t>conduct</w:t>
      </w:r>
      <w:r w:rsidR="00B82CE9" w:rsidRPr="00C35743">
        <w:rPr>
          <w:rFonts w:ascii="Arial" w:hAnsi="Arial" w:cs="Arial"/>
          <w:lang w:val="en-AU"/>
        </w:rPr>
        <w:t xml:space="preserve">, providing information and education services, and raising awareness and public discussion of human rights in Queensland.  </w:t>
      </w:r>
    </w:p>
    <w:p w14:paraId="6175EF46" w14:textId="73CDA6C1" w:rsidR="00B82CE9" w:rsidRPr="00C35743" w:rsidRDefault="00B82CE9" w:rsidP="001E3A26">
      <w:pPr>
        <w:pStyle w:val="ListParagraph"/>
        <w:numPr>
          <w:ilvl w:val="0"/>
          <w:numId w:val="4"/>
        </w:numPr>
        <w:spacing w:before="120" w:after="240" w:line="276" w:lineRule="auto"/>
        <w:ind w:left="426" w:hanging="426"/>
        <w:rPr>
          <w:rFonts w:ascii="Arial" w:hAnsi="Arial" w:cs="Arial"/>
          <w:lang w:val="en-AU"/>
        </w:rPr>
      </w:pPr>
      <w:r w:rsidRPr="00C35743">
        <w:rPr>
          <w:rFonts w:ascii="Arial" w:hAnsi="Arial" w:cs="Arial"/>
          <w:lang w:val="en-AU"/>
        </w:rPr>
        <w:t>The Anti-Discrimination (</w:t>
      </w:r>
      <w:r w:rsidR="00321445">
        <w:rPr>
          <w:rFonts w:ascii="Arial" w:hAnsi="Arial" w:cs="Arial"/>
          <w:lang w:val="en-AU"/>
        </w:rPr>
        <w:t xml:space="preserve">Right to Use </w:t>
      </w:r>
      <w:r w:rsidRPr="00C35743">
        <w:rPr>
          <w:rFonts w:ascii="Arial" w:hAnsi="Arial" w:cs="Arial"/>
          <w:lang w:val="en-AU"/>
        </w:rPr>
        <w:t>Gender-Specific Language) Amendment Bill 2018 (the Bill) would amend the Act to add new grounds and types of unlawful discrimination.  The Bill would therefore impact the work of the Commission.</w:t>
      </w:r>
    </w:p>
    <w:p w14:paraId="04693EA7" w14:textId="5B5F629D" w:rsidR="00B82CE9" w:rsidRPr="00C35743" w:rsidRDefault="00B82CE9" w:rsidP="00284FF0">
      <w:pPr>
        <w:pStyle w:val="Heading1"/>
        <w:rPr>
          <w:lang w:val="en-AU"/>
        </w:rPr>
      </w:pPr>
      <w:bookmarkStart w:id="1" w:name="_Toc529345094"/>
      <w:r w:rsidRPr="00C35743">
        <w:rPr>
          <w:lang w:val="en-AU"/>
        </w:rPr>
        <w:t>Objectives</w:t>
      </w:r>
      <w:r w:rsidR="00284FF0" w:rsidRPr="00C35743">
        <w:rPr>
          <w:lang w:val="en-AU"/>
        </w:rPr>
        <w:t xml:space="preserve"> of the Bill and of the Act</w:t>
      </w:r>
      <w:bookmarkEnd w:id="1"/>
    </w:p>
    <w:p w14:paraId="54954790" w14:textId="66FC32F4" w:rsidR="00B82CE9" w:rsidRPr="00C35743" w:rsidRDefault="00B82CE9" w:rsidP="001E3A26">
      <w:pPr>
        <w:pStyle w:val="ListParagraph"/>
        <w:numPr>
          <w:ilvl w:val="0"/>
          <w:numId w:val="4"/>
        </w:numPr>
        <w:spacing w:before="120" w:after="120" w:line="276" w:lineRule="auto"/>
        <w:ind w:left="425" w:hanging="425"/>
        <w:contextualSpacing w:val="0"/>
        <w:rPr>
          <w:rFonts w:ascii="Arial" w:hAnsi="Arial" w:cs="Arial"/>
          <w:lang w:val="en-AU"/>
        </w:rPr>
      </w:pPr>
      <w:r w:rsidRPr="00C35743">
        <w:rPr>
          <w:rFonts w:ascii="Arial" w:hAnsi="Arial" w:cs="Arial"/>
          <w:lang w:val="en-AU"/>
        </w:rPr>
        <w:t>The</w:t>
      </w:r>
      <w:r w:rsidR="00F552D1" w:rsidRPr="00C35743">
        <w:rPr>
          <w:rFonts w:ascii="Arial" w:hAnsi="Arial" w:cs="Arial"/>
          <w:lang w:val="en-AU"/>
        </w:rPr>
        <w:t xml:space="preserve"> </w:t>
      </w:r>
      <w:r w:rsidR="00ED0709" w:rsidRPr="00C35743">
        <w:rPr>
          <w:rFonts w:ascii="Arial" w:hAnsi="Arial" w:cs="Arial"/>
          <w:lang w:val="en-AU"/>
        </w:rPr>
        <w:t xml:space="preserve">Explanatory Notes state that the </w:t>
      </w:r>
      <w:r w:rsidR="00F552D1" w:rsidRPr="00C35743">
        <w:rPr>
          <w:rFonts w:ascii="Arial" w:hAnsi="Arial" w:cs="Arial"/>
          <w:lang w:val="en-AU"/>
        </w:rPr>
        <w:t>pol</w:t>
      </w:r>
      <w:r w:rsidR="00ED0709" w:rsidRPr="00C35743">
        <w:rPr>
          <w:rFonts w:ascii="Arial" w:hAnsi="Arial" w:cs="Arial"/>
          <w:lang w:val="en-AU"/>
        </w:rPr>
        <w:t>icy objectives of the Bill are</w:t>
      </w:r>
      <w:r w:rsidRPr="00C35743">
        <w:rPr>
          <w:rFonts w:ascii="Arial" w:hAnsi="Arial" w:cs="Arial"/>
          <w:lang w:val="en-AU"/>
        </w:rPr>
        <w:t>:</w:t>
      </w:r>
    </w:p>
    <w:p w14:paraId="7DE7304E" w14:textId="77777777" w:rsidR="00B82CE9" w:rsidRPr="00C35743" w:rsidRDefault="00F552D1" w:rsidP="004A6F71">
      <w:pPr>
        <w:pStyle w:val="ListParagraph"/>
        <w:numPr>
          <w:ilvl w:val="0"/>
          <w:numId w:val="3"/>
        </w:numPr>
        <w:spacing w:before="120" w:after="120" w:line="276" w:lineRule="auto"/>
        <w:ind w:left="850" w:hanging="425"/>
        <w:contextualSpacing w:val="0"/>
        <w:rPr>
          <w:rFonts w:ascii="Arial" w:hAnsi="Arial" w:cs="Arial"/>
          <w:lang w:val="en-AU"/>
        </w:rPr>
      </w:pPr>
      <w:r w:rsidRPr="00C35743">
        <w:rPr>
          <w:rFonts w:ascii="Arial" w:hAnsi="Arial" w:cs="Arial"/>
          <w:lang w:val="en-AU"/>
        </w:rPr>
        <w:t xml:space="preserve">to protect an </w:t>
      </w:r>
      <w:r w:rsidRPr="00EF2CD3">
        <w:rPr>
          <w:rFonts w:ascii="Arial" w:hAnsi="Arial" w:cs="Arial"/>
          <w:i/>
          <w:lang w:val="en-AU"/>
        </w:rPr>
        <w:t>individual’s</w:t>
      </w:r>
      <w:r w:rsidRPr="00C35743">
        <w:rPr>
          <w:rFonts w:ascii="Arial" w:hAnsi="Arial" w:cs="Arial"/>
          <w:lang w:val="en-AU"/>
        </w:rPr>
        <w:t xml:space="preserve"> right to use traditional gender-based language; and</w:t>
      </w:r>
    </w:p>
    <w:p w14:paraId="29352E1A" w14:textId="77777777" w:rsidR="00F552D1" w:rsidRPr="00C35743" w:rsidRDefault="00F552D1" w:rsidP="001E3A26">
      <w:pPr>
        <w:pStyle w:val="ListParagraph"/>
        <w:numPr>
          <w:ilvl w:val="0"/>
          <w:numId w:val="3"/>
        </w:numPr>
        <w:spacing w:before="120" w:after="240" w:line="276" w:lineRule="auto"/>
        <w:ind w:left="850" w:hanging="425"/>
        <w:contextualSpacing w:val="0"/>
        <w:rPr>
          <w:rFonts w:ascii="Arial" w:hAnsi="Arial" w:cs="Arial"/>
          <w:lang w:val="en-AU"/>
        </w:rPr>
      </w:pPr>
      <w:r w:rsidRPr="00C35743">
        <w:rPr>
          <w:rFonts w:ascii="Arial" w:hAnsi="Arial" w:cs="Arial"/>
          <w:lang w:val="en-AU"/>
        </w:rPr>
        <w:t>to protect</w:t>
      </w:r>
      <w:r w:rsidR="00DD7883" w:rsidRPr="00C35743">
        <w:rPr>
          <w:rFonts w:ascii="Arial" w:hAnsi="Arial" w:cs="Arial"/>
          <w:lang w:val="en-AU"/>
        </w:rPr>
        <w:t xml:space="preserve"> </w:t>
      </w:r>
      <w:r w:rsidR="00DD7883" w:rsidRPr="00EF2CD3">
        <w:rPr>
          <w:rFonts w:ascii="Arial" w:hAnsi="Arial" w:cs="Arial"/>
          <w:i/>
          <w:lang w:val="en-AU"/>
        </w:rPr>
        <w:t>businesses and other organisations</w:t>
      </w:r>
      <w:r w:rsidR="00DD7883" w:rsidRPr="00C35743">
        <w:rPr>
          <w:rFonts w:ascii="Arial" w:hAnsi="Arial" w:cs="Arial"/>
          <w:lang w:val="en-AU"/>
        </w:rPr>
        <w:t xml:space="preserve"> from disadvantage in the provision of facilities and services that exclusively recognise gender as either male or female.</w:t>
      </w:r>
    </w:p>
    <w:p w14:paraId="78366865" w14:textId="4EC0FE21" w:rsidR="00DD7883" w:rsidRPr="00C35743" w:rsidRDefault="00DD7883" w:rsidP="001E3A26">
      <w:pPr>
        <w:pStyle w:val="ListParagraph"/>
        <w:numPr>
          <w:ilvl w:val="0"/>
          <w:numId w:val="4"/>
        </w:numPr>
        <w:spacing w:before="120" w:after="240" w:line="276" w:lineRule="auto"/>
        <w:ind w:left="425" w:hanging="425"/>
        <w:contextualSpacing w:val="0"/>
        <w:rPr>
          <w:rFonts w:ascii="Arial" w:hAnsi="Arial" w:cs="Arial"/>
          <w:lang w:val="en-AU"/>
        </w:rPr>
      </w:pPr>
      <w:r w:rsidRPr="00C35743">
        <w:rPr>
          <w:rFonts w:ascii="Arial" w:hAnsi="Arial" w:cs="Arial"/>
          <w:lang w:val="en-AU"/>
        </w:rPr>
        <w:t xml:space="preserve">The objectives of the </w:t>
      </w:r>
      <w:r w:rsidR="00ED0709" w:rsidRPr="00C35743">
        <w:rPr>
          <w:rFonts w:ascii="Arial" w:hAnsi="Arial" w:cs="Arial"/>
          <w:i/>
          <w:lang w:val="en-AU"/>
        </w:rPr>
        <w:t>Anti-Discrimination Act 1991</w:t>
      </w:r>
      <w:r w:rsidR="00ED0709" w:rsidRPr="00C35743">
        <w:rPr>
          <w:rFonts w:ascii="Arial" w:hAnsi="Arial" w:cs="Arial"/>
          <w:lang w:val="en-AU"/>
        </w:rPr>
        <w:t xml:space="preserve"> </w:t>
      </w:r>
      <w:r w:rsidRPr="00C35743">
        <w:rPr>
          <w:rFonts w:ascii="Arial" w:hAnsi="Arial" w:cs="Arial"/>
          <w:lang w:val="en-AU"/>
        </w:rPr>
        <w:t xml:space="preserve">are </w:t>
      </w:r>
      <w:r w:rsidR="00CE4544">
        <w:rPr>
          <w:rFonts w:ascii="Arial" w:hAnsi="Arial" w:cs="Arial"/>
          <w:lang w:val="en-AU"/>
        </w:rPr>
        <w:t>expressed</w:t>
      </w:r>
      <w:r w:rsidRPr="00C35743">
        <w:rPr>
          <w:rFonts w:ascii="Arial" w:hAnsi="Arial" w:cs="Arial"/>
          <w:lang w:val="en-AU"/>
        </w:rPr>
        <w:t xml:space="preserve"> in the Preamble and </w:t>
      </w:r>
      <w:r w:rsidR="00ED0709" w:rsidRPr="00C35743">
        <w:rPr>
          <w:rFonts w:ascii="Arial" w:hAnsi="Arial" w:cs="Arial"/>
          <w:lang w:val="en-AU"/>
        </w:rPr>
        <w:t xml:space="preserve">in </w:t>
      </w:r>
      <w:r w:rsidRPr="00C35743">
        <w:rPr>
          <w:rFonts w:ascii="Arial" w:hAnsi="Arial" w:cs="Arial"/>
          <w:lang w:val="en-AU"/>
        </w:rPr>
        <w:t>the</w:t>
      </w:r>
      <w:r w:rsidR="006A7B3A">
        <w:rPr>
          <w:rFonts w:ascii="Arial" w:hAnsi="Arial" w:cs="Arial"/>
          <w:lang w:val="en-AU"/>
        </w:rPr>
        <w:t xml:space="preserve"> main</w:t>
      </w:r>
      <w:r w:rsidRPr="00C35743">
        <w:rPr>
          <w:rFonts w:ascii="Arial" w:hAnsi="Arial" w:cs="Arial"/>
          <w:lang w:val="en-AU"/>
        </w:rPr>
        <w:t xml:space="preserve"> purpose set out in section 6.  The Preamble refers to various International Human Rights </w:t>
      </w:r>
      <w:r w:rsidR="006A7B3A">
        <w:rPr>
          <w:rFonts w:ascii="Arial" w:hAnsi="Arial" w:cs="Arial"/>
          <w:lang w:val="en-AU"/>
        </w:rPr>
        <w:t>Instruments</w:t>
      </w:r>
      <w:r w:rsidRPr="00C35743">
        <w:rPr>
          <w:rFonts w:ascii="Arial" w:hAnsi="Arial" w:cs="Arial"/>
          <w:lang w:val="en-AU"/>
        </w:rPr>
        <w:t xml:space="preserve"> to which Australia is a party, to C</w:t>
      </w:r>
      <w:r w:rsidR="00CE14AA" w:rsidRPr="00C35743">
        <w:rPr>
          <w:rFonts w:ascii="Arial" w:hAnsi="Arial" w:cs="Arial"/>
          <w:lang w:val="en-AU"/>
        </w:rPr>
        <w:t>ommonwealth legislation enacted in respect of obligations under the instruments</w:t>
      </w:r>
      <w:r w:rsidRPr="00C35743">
        <w:rPr>
          <w:rFonts w:ascii="Arial" w:hAnsi="Arial" w:cs="Arial"/>
          <w:lang w:val="en-AU"/>
        </w:rPr>
        <w:t xml:space="preserve">, </w:t>
      </w:r>
      <w:r w:rsidR="00CE14AA" w:rsidRPr="00C35743">
        <w:rPr>
          <w:rFonts w:ascii="Arial" w:hAnsi="Arial" w:cs="Arial"/>
          <w:lang w:val="en-AU"/>
        </w:rPr>
        <w:t xml:space="preserve">to the need to extend the Commonwealth legislation, </w:t>
      </w:r>
      <w:r w:rsidRPr="00C35743">
        <w:rPr>
          <w:rFonts w:ascii="Arial" w:hAnsi="Arial" w:cs="Arial"/>
          <w:lang w:val="en-AU"/>
        </w:rPr>
        <w:t xml:space="preserve">and to the intention of Parliament to promote equality of opportunity for everyone by protecting them from unfair discrimination in certain areas of activity and from sexual harassment and other objectionable conduct. </w:t>
      </w:r>
    </w:p>
    <w:p w14:paraId="5A4FD96F" w14:textId="77777777" w:rsidR="00CE14AA" w:rsidRPr="00C35743" w:rsidRDefault="00CE14AA" w:rsidP="001E3A26">
      <w:pPr>
        <w:pStyle w:val="ListParagraph"/>
        <w:numPr>
          <w:ilvl w:val="0"/>
          <w:numId w:val="4"/>
        </w:numPr>
        <w:spacing w:before="120" w:after="240" w:line="276" w:lineRule="auto"/>
        <w:ind w:left="425" w:hanging="425"/>
        <w:contextualSpacing w:val="0"/>
        <w:rPr>
          <w:rFonts w:ascii="Arial" w:hAnsi="Arial" w:cs="Arial"/>
          <w:lang w:val="en-AU"/>
        </w:rPr>
      </w:pPr>
      <w:r w:rsidRPr="00C35743">
        <w:rPr>
          <w:rFonts w:ascii="Arial" w:hAnsi="Arial" w:cs="Arial"/>
          <w:lang w:val="en-AU"/>
        </w:rPr>
        <w:t>Only individuals have human rights, and although the expression ‘person’ is used in the Act, it is individuals who are protected under the Act.</w:t>
      </w:r>
    </w:p>
    <w:p w14:paraId="44556325" w14:textId="26C5F013" w:rsidR="00CE14AA" w:rsidRPr="00C35743" w:rsidRDefault="00CE14AA" w:rsidP="001E3A26">
      <w:pPr>
        <w:pStyle w:val="ListParagraph"/>
        <w:numPr>
          <w:ilvl w:val="0"/>
          <w:numId w:val="4"/>
        </w:numPr>
        <w:spacing w:before="120" w:after="240" w:line="276" w:lineRule="auto"/>
        <w:ind w:left="425" w:hanging="425"/>
        <w:contextualSpacing w:val="0"/>
        <w:rPr>
          <w:rFonts w:ascii="Arial" w:hAnsi="Arial" w:cs="Arial"/>
          <w:lang w:val="en-AU"/>
        </w:rPr>
      </w:pPr>
      <w:r w:rsidRPr="00C35743">
        <w:rPr>
          <w:rFonts w:ascii="Arial" w:hAnsi="Arial" w:cs="Arial"/>
          <w:lang w:val="en-AU"/>
        </w:rPr>
        <w:t xml:space="preserve">The policy objective of providing protection for businesses and other organisations is inconsistent with the scheme, framework, and intention of the </w:t>
      </w:r>
      <w:r w:rsidR="00ED0709" w:rsidRPr="00C35743">
        <w:rPr>
          <w:rFonts w:ascii="Arial" w:hAnsi="Arial" w:cs="Arial"/>
          <w:i/>
          <w:lang w:val="en-AU"/>
        </w:rPr>
        <w:t>Anti-Discrimination Act 1991</w:t>
      </w:r>
      <w:r w:rsidRPr="00C35743">
        <w:rPr>
          <w:rFonts w:ascii="Arial" w:hAnsi="Arial" w:cs="Arial"/>
          <w:lang w:val="en-AU"/>
        </w:rPr>
        <w:t xml:space="preserve">.  The only ‘protections’ for businesses and organisations under the Act are </w:t>
      </w:r>
      <w:r w:rsidR="00ED0709" w:rsidRPr="00C35743">
        <w:rPr>
          <w:rFonts w:ascii="Arial" w:hAnsi="Arial" w:cs="Arial"/>
          <w:lang w:val="en-AU"/>
        </w:rPr>
        <w:t xml:space="preserve">by way of </w:t>
      </w:r>
      <w:r w:rsidRPr="00C35743">
        <w:rPr>
          <w:rFonts w:ascii="Arial" w:hAnsi="Arial" w:cs="Arial"/>
          <w:lang w:val="en-AU"/>
        </w:rPr>
        <w:t xml:space="preserve">exemptions that allow certain types of discrimination, for example, schools for students of a particular sex or religion, </w:t>
      </w:r>
      <w:r w:rsidR="001E3A26" w:rsidRPr="00C35743">
        <w:rPr>
          <w:rFonts w:ascii="Arial" w:hAnsi="Arial" w:cs="Arial"/>
          <w:lang w:val="en-AU"/>
        </w:rPr>
        <w:t xml:space="preserve">and </w:t>
      </w:r>
      <w:r w:rsidRPr="00C35743">
        <w:rPr>
          <w:rFonts w:ascii="Arial" w:hAnsi="Arial" w:cs="Arial"/>
          <w:lang w:val="en-AU"/>
        </w:rPr>
        <w:t>acts</w:t>
      </w:r>
      <w:r w:rsidR="001E3A26" w:rsidRPr="00C35743">
        <w:rPr>
          <w:rFonts w:ascii="Arial" w:hAnsi="Arial" w:cs="Arial"/>
          <w:lang w:val="en-AU"/>
        </w:rPr>
        <w:t xml:space="preserve"> or programs for the welfare of groups or to promote equality of opportunity.</w:t>
      </w:r>
    </w:p>
    <w:p w14:paraId="1AC96AE5" w14:textId="77777777" w:rsidR="001E3A26" w:rsidRPr="00C35743" w:rsidRDefault="001E3A26" w:rsidP="00284FF0">
      <w:pPr>
        <w:pStyle w:val="Heading1"/>
        <w:rPr>
          <w:lang w:val="en-AU"/>
        </w:rPr>
      </w:pPr>
      <w:bookmarkStart w:id="2" w:name="_Toc529345095"/>
      <w:r w:rsidRPr="00C35743">
        <w:rPr>
          <w:lang w:val="en-AU"/>
        </w:rPr>
        <w:lastRenderedPageBreak/>
        <w:t>Necessity for the Bill</w:t>
      </w:r>
      <w:bookmarkEnd w:id="2"/>
    </w:p>
    <w:p w14:paraId="3C168E9C" w14:textId="77777777" w:rsidR="00751AE0" w:rsidRPr="00C35743" w:rsidRDefault="00751AE0" w:rsidP="001E3A26">
      <w:pPr>
        <w:pStyle w:val="ListParagraph"/>
        <w:numPr>
          <w:ilvl w:val="0"/>
          <w:numId w:val="4"/>
        </w:numPr>
        <w:spacing w:before="120" w:after="240" w:line="276" w:lineRule="auto"/>
        <w:ind w:left="425" w:hanging="425"/>
        <w:contextualSpacing w:val="0"/>
        <w:rPr>
          <w:rFonts w:ascii="Arial" w:hAnsi="Arial" w:cs="Arial"/>
          <w:lang w:val="en-AU"/>
        </w:rPr>
      </w:pPr>
      <w:r w:rsidRPr="00C35743">
        <w:rPr>
          <w:rFonts w:ascii="Arial" w:hAnsi="Arial" w:cs="Arial"/>
          <w:lang w:val="en-AU"/>
        </w:rPr>
        <w:t>The Explanatory Notes state there is a need to respond to an increasingly intolerant and hostile social environment resulting in limitations on the use of language that reflects Queensland’s traditional shared values.</w:t>
      </w:r>
    </w:p>
    <w:p w14:paraId="4869D216" w14:textId="77777777" w:rsidR="00751AE0" w:rsidRPr="00C35743" w:rsidRDefault="00751AE0" w:rsidP="001E3A26">
      <w:pPr>
        <w:pStyle w:val="ListParagraph"/>
        <w:numPr>
          <w:ilvl w:val="0"/>
          <w:numId w:val="4"/>
        </w:numPr>
        <w:spacing w:before="120" w:after="240" w:line="276" w:lineRule="auto"/>
        <w:ind w:left="425" w:hanging="425"/>
        <w:contextualSpacing w:val="0"/>
        <w:rPr>
          <w:rFonts w:ascii="Arial" w:hAnsi="Arial" w:cs="Arial"/>
          <w:lang w:val="en-AU"/>
        </w:rPr>
      </w:pPr>
      <w:r w:rsidRPr="00C35743">
        <w:rPr>
          <w:rFonts w:ascii="Arial" w:hAnsi="Arial" w:cs="Arial"/>
          <w:lang w:val="en-AU"/>
        </w:rPr>
        <w:t>These issues have not been brought to the attention of the Commission in any of its information, complaint handling and community engagement services.</w:t>
      </w:r>
    </w:p>
    <w:p w14:paraId="1EAD608C" w14:textId="77777777" w:rsidR="001E3A26" w:rsidRPr="00C35743" w:rsidRDefault="00751AE0" w:rsidP="001E3A26">
      <w:pPr>
        <w:pStyle w:val="ListParagraph"/>
        <w:numPr>
          <w:ilvl w:val="0"/>
          <w:numId w:val="4"/>
        </w:numPr>
        <w:spacing w:before="120" w:after="240" w:line="276" w:lineRule="auto"/>
        <w:ind w:left="425" w:hanging="425"/>
        <w:contextualSpacing w:val="0"/>
        <w:rPr>
          <w:rFonts w:ascii="Arial" w:hAnsi="Arial" w:cs="Arial"/>
          <w:lang w:val="en-AU"/>
        </w:rPr>
      </w:pPr>
      <w:r w:rsidRPr="00C35743">
        <w:rPr>
          <w:rFonts w:ascii="Arial" w:hAnsi="Arial" w:cs="Arial"/>
          <w:lang w:val="en-AU"/>
        </w:rPr>
        <w:t>The Introductory Speech sets out eight examples of the necessity for the Bill, namely:</w:t>
      </w:r>
    </w:p>
    <w:p w14:paraId="7C5DAA6E" w14:textId="77777777" w:rsidR="00751AE0" w:rsidRPr="00C35743" w:rsidRDefault="00751AE0" w:rsidP="00751AE0">
      <w:pPr>
        <w:pStyle w:val="ListParagraph"/>
        <w:numPr>
          <w:ilvl w:val="1"/>
          <w:numId w:val="4"/>
        </w:numPr>
        <w:spacing w:before="120" w:after="120" w:line="276" w:lineRule="auto"/>
        <w:ind w:left="993" w:hanging="567"/>
        <w:contextualSpacing w:val="0"/>
        <w:rPr>
          <w:rFonts w:ascii="Arial" w:hAnsi="Arial" w:cs="Arial"/>
          <w:lang w:val="en-AU"/>
        </w:rPr>
      </w:pPr>
      <w:r w:rsidRPr="00C35743">
        <w:rPr>
          <w:rFonts w:ascii="Arial" w:hAnsi="Arial" w:cs="Arial"/>
          <w:lang w:val="en-AU"/>
        </w:rPr>
        <w:t>A call for compulsory dedicated gender-neutral bathrooms to be part of the Building Code;</w:t>
      </w:r>
    </w:p>
    <w:p w14:paraId="30603A6B" w14:textId="77777777" w:rsidR="00751AE0" w:rsidRPr="00C35743" w:rsidRDefault="00751AE0" w:rsidP="00751AE0">
      <w:pPr>
        <w:pStyle w:val="ListParagraph"/>
        <w:numPr>
          <w:ilvl w:val="1"/>
          <w:numId w:val="4"/>
        </w:numPr>
        <w:spacing w:before="120" w:after="120" w:line="276" w:lineRule="auto"/>
        <w:ind w:left="993" w:hanging="567"/>
        <w:contextualSpacing w:val="0"/>
        <w:rPr>
          <w:rFonts w:ascii="Arial" w:hAnsi="Arial" w:cs="Arial"/>
          <w:lang w:val="en-AU"/>
        </w:rPr>
      </w:pPr>
      <w:r w:rsidRPr="00C35743">
        <w:rPr>
          <w:rFonts w:ascii="Arial" w:hAnsi="Arial" w:cs="Arial"/>
          <w:lang w:val="en-AU"/>
        </w:rPr>
        <w:t xml:space="preserve">Commonwealth Games volunteers were told to </w:t>
      </w:r>
      <w:r w:rsidR="00912E7D" w:rsidRPr="00C35743">
        <w:rPr>
          <w:rFonts w:ascii="Arial" w:hAnsi="Arial" w:cs="Arial"/>
          <w:lang w:val="en-AU"/>
        </w:rPr>
        <w:t>use gender-neutral language to avoid causing offence;</w:t>
      </w:r>
    </w:p>
    <w:p w14:paraId="76ADE978" w14:textId="77777777" w:rsidR="00912E7D" w:rsidRPr="00C35743" w:rsidRDefault="00912E7D" w:rsidP="00751AE0">
      <w:pPr>
        <w:pStyle w:val="ListParagraph"/>
        <w:numPr>
          <w:ilvl w:val="1"/>
          <w:numId w:val="4"/>
        </w:numPr>
        <w:spacing w:before="120" w:after="120" w:line="276" w:lineRule="auto"/>
        <w:ind w:left="993" w:hanging="567"/>
        <w:contextualSpacing w:val="0"/>
        <w:rPr>
          <w:rFonts w:ascii="Arial" w:hAnsi="Arial" w:cs="Arial"/>
          <w:lang w:val="en-AU"/>
        </w:rPr>
      </w:pPr>
      <w:r w:rsidRPr="00C35743">
        <w:rPr>
          <w:rFonts w:ascii="Arial" w:hAnsi="Arial" w:cs="Arial"/>
          <w:lang w:val="en-AU"/>
        </w:rPr>
        <w:t>Awareness and education in schools around gender-neutral and transgender identities;</w:t>
      </w:r>
    </w:p>
    <w:p w14:paraId="08E28F31" w14:textId="77777777" w:rsidR="00912E7D" w:rsidRPr="00C35743" w:rsidRDefault="00912E7D" w:rsidP="00751AE0">
      <w:pPr>
        <w:pStyle w:val="ListParagraph"/>
        <w:numPr>
          <w:ilvl w:val="1"/>
          <w:numId w:val="4"/>
        </w:numPr>
        <w:spacing w:before="120" w:after="120" w:line="276" w:lineRule="auto"/>
        <w:ind w:left="993" w:hanging="567"/>
        <w:contextualSpacing w:val="0"/>
        <w:rPr>
          <w:rFonts w:ascii="Arial" w:hAnsi="Arial" w:cs="Arial"/>
          <w:lang w:val="en-AU"/>
        </w:rPr>
      </w:pPr>
      <w:r w:rsidRPr="00C35743">
        <w:rPr>
          <w:rFonts w:ascii="Arial" w:hAnsi="Arial" w:cs="Arial"/>
          <w:lang w:val="en-AU"/>
        </w:rPr>
        <w:t>Queensland driver licences no longer include the person’s sex or gender;</w:t>
      </w:r>
    </w:p>
    <w:p w14:paraId="769C022B" w14:textId="77777777" w:rsidR="00912E7D" w:rsidRPr="00C35743" w:rsidRDefault="00912E7D" w:rsidP="00751AE0">
      <w:pPr>
        <w:pStyle w:val="ListParagraph"/>
        <w:numPr>
          <w:ilvl w:val="1"/>
          <w:numId w:val="4"/>
        </w:numPr>
        <w:spacing w:before="120" w:after="120" w:line="276" w:lineRule="auto"/>
        <w:ind w:left="993" w:hanging="567"/>
        <w:contextualSpacing w:val="0"/>
        <w:rPr>
          <w:rFonts w:ascii="Arial" w:hAnsi="Arial" w:cs="Arial"/>
          <w:lang w:val="en-AU"/>
        </w:rPr>
      </w:pPr>
      <w:r w:rsidRPr="00C35743">
        <w:rPr>
          <w:rFonts w:ascii="Arial" w:hAnsi="Arial" w:cs="Arial"/>
          <w:lang w:val="en-AU"/>
        </w:rPr>
        <w:t>Universities marking down students for using gendered language;</w:t>
      </w:r>
    </w:p>
    <w:p w14:paraId="5A0C34BD" w14:textId="77777777" w:rsidR="00912E7D" w:rsidRPr="00C35743" w:rsidRDefault="00912E7D" w:rsidP="00751AE0">
      <w:pPr>
        <w:pStyle w:val="ListParagraph"/>
        <w:numPr>
          <w:ilvl w:val="1"/>
          <w:numId w:val="4"/>
        </w:numPr>
        <w:spacing w:before="120" w:after="120" w:line="276" w:lineRule="auto"/>
        <w:ind w:left="993" w:hanging="567"/>
        <w:contextualSpacing w:val="0"/>
        <w:rPr>
          <w:rFonts w:ascii="Arial" w:hAnsi="Arial" w:cs="Arial"/>
          <w:lang w:val="en-AU"/>
        </w:rPr>
      </w:pPr>
      <w:r w:rsidRPr="00C35743">
        <w:rPr>
          <w:rFonts w:ascii="Arial" w:hAnsi="Arial" w:cs="Arial"/>
          <w:lang w:val="en-AU"/>
        </w:rPr>
        <w:t>The Qantas ‘Words at Work’ policy suggesting a range of language that excludes gender-specific language;</w:t>
      </w:r>
    </w:p>
    <w:p w14:paraId="21502016" w14:textId="3285DC08" w:rsidR="00912E7D" w:rsidRPr="00C35743" w:rsidRDefault="00002F05" w:rsidP="00751AE0">
      <w:pPr>
        <w:pStyle w:val="ListParagraph"/>
        <w:numPr>
          <w:ilvl w:val="1"/>
          <w:numId w:val="4"/>
        </w:numPr>
        <w:spacing w:before="120" w:after="120" w:line="276" w:lineRule="auto"/>
        <w:ind w:left="993" w:hanging="567"/>
        <w:contextualSpacing w:val="0"/>
        <w:rPr>
          <w:rFonts w:ascii="Arial" w:hAnsi="Arial" w:cs="Arial"/>
          <w:lang w:val="en-AU"/>
        </w:rPr>
      </w:pPr>
      <w:r w:rsidRPr="00C35743">
        <w:rPr>
          <w:rFonts w:ascii="Arial" w:hAnsi="Arial" w:cs="Arial"/>
          <w:lang w:val="en-AU"/>
        </w:rPr>
        <w:t>An Australian Defence F</w:t>
      </w:r>
      <w:r w:rsidR="00912E7D" w:rsidRPr="00C35743">
        <w:rPr>
          <w:rFonts w:ascii="Arial" w:hAnsi="Arial" w:cs="Arial"/>
          <w:lang w:val="en-AU"/>
        </w:rPr>
        <w:t xml:space="preserve">orce guide that encourages use of certain language and the potential for bullying in not using sensitive language; and </w:t>
      </w:r>
    </w:p>
    <w:p w14:paraId="19EBB546" w14:textId="77777777" w:rsidR="00912E7D" w:rsidRPr="00C35743" w:rsidRDefault="00912E7D" w:rsidP="00912E7D">
      <w:pPr>
        <w:pStyle w:val="ListParagraph"/>
        <w:numPr>
          <w:ilvl w:val="1"/>
          <w:numId w:val="4"/>
        </w:numPr>
        <w:spacing w:before="120" w:after="240" w:line="276" w:lineRule="auto"/>
        <w:ind w:left="992" w:hanging="567"/>
        <w:contextualSpacing w:val="0"/>
        <w:rPr>
          <w:rFonts w:ascii="Arial" w:hAnsi="Arial" w:cs="Arial"/>
          <w:lang w:val="en-AU"/>
        </w:rPr>
      </w:pPr>
      <w:r w:rsidRPr="00C35743">
        <w:rPr>
          <w:rFonts w:ascii="Arial" w:hAnsi="Arial" w:cs="Arial"/>
          <w:lang w:val="en-AU"/>
        </w:rPr>
        <w:t>‘They Day’ celebrated in the Victorian Public Service.</w:t>
      </w:r>
    </w:p>
    <w:p w14:paraId="02960AA3" w14:textId="4374164F" w:rsidR="00751AE0" w:rsidRPr="00C35743" w:rsidRDefault="003A666E" w:rsidP="001E3A26">
      <w:pPr>
        <w:pStyle w:val="ListParagraph"/>
        <w:numPr>
          <w:ilvl w:val="0"/>
          <w:numId w:val="4"/>
        </w:numPr>
        <w:spacing w:before="120" w:after="240" w:line="276" w:lineRule="auto"/>
        <w:ind w:left="425" w:hanging="425"/>
        <w:contextualSpacing w:val="0"/>
        <w:rPr>
          <w:rFonts w:ascii="Arial" w:hAnsi="Arial" w:cs="Arial"/>
          <w:lang w:val="en-AU"/>
        </w:rPr>
      </w:pPr>
      <w:r w:rsidRPr="00C35743">
        <w:rPr>
          <w:rFonts w:ascii="Arial" w:hAnsi="Arial" w:cs="Arial"/>
          <w:lang w:val="en-AU"/>
        </w:rPr>
        <w:t xml:space="preserve">The Building Code currently incorporates the Access to Premises Disability Standards under the </w:t>
      </w:r>
      <w:r w:rsidRPr="00C35743">
        <w:rPr>
          <w:rFonts w:ascii="Arial" w:hAnsi="Arial" w:cs="Arial"/>
          <w:i/>
          <w:lang w:val="en-AU"/>
        </w:rPr>
        <w:t>Di</w:t>
      </w:r>
      <w:r w:rsidR="00044A7F" w:rsidRPr="00C35743">
        <w:rPr>
          <w:rFonts w:ascii="Arial" w:hAnsi="Arial" w:cs="Arial"/>
          <w:i/>
          <w:lang w:val="en-AU"/>
        </w:rPr>
        <w:t>sability Discrimination Act 1992</w:t>
      </w:r>
      <w:r w:rsidRPr="00C35743">
        <w:rPr>
          <w:rFonts w:ascii="Arial" w:hAnsi="Arial" w:cs="Arial"/>
          <w:lang w:val="en-AU"/>
        </w:rPr>
        <w:t xml:space="preserve"> (Cth).  The Standards and the Building Code currently require certain premises to provide toilet facilities that are accessible for people with disabilities.  This is often achieved by providing unisex accessible toilets.</w:t>
      </w:r>
      <w:r w:rsidR="00002F05" w:rsidRPr="00C35743">
        <w:rPr>
          <w:rFonts w:ascii="Arial" w:hAnsi="Arial" w:cs="Arial"/>
          <w:lang w:val="en-AU"/>
        </w:rPr>
        <w:t xml:space="preserve">  </w:t>
      </w:r>
    </w:p>
    <w:p w14:paraId="5122B846" w14:textId="5456EE1B" w:rsidR="00751AE0" w:rsidRPr="00C35743" w:rsidRDefault="00002F05" w:rsidP="001E3A26">
      <w:pPr>
        <w:pStyle w:val="ListParagraph"/>
        <w:numPr>
          <w:ilvl w:val="0"/>
          <w:numId w:val="4"/>
        </w:numPr>
        <w:spacing w:before="120" w:after="240" w:line="276" w:lineRule="auto"/>
        <w:ind w:left="425" w:hanging="425"/>
        <w:contextualSpacing w:val="0"/>
        <w:rPr>
          <w:rFonts w:ascii="Arial" w:hAnsi="Arial" w:cs="Arial"/>
          <w:lang w:val="en-AU"/>
        </w:rPr>
      </w:pPr>
      <w:r w:rsidRPr="00C35743">
        <w:rPr>
          <w:rFonts w:ascii="Arial" w:hAnsi="Arial" w:cs="Arial"/>
          <w:lang w:val="en-AU"/>
        </w:rPr>
        <w:t>The provisions of the Bill would not apply to the Australian Defence Force and would not apply to the Victorian Public Service.</w:t>
      </w:r>
    </w:p>
    <w:p w14:paraId="3C0443F4" w14:textId="4253C356" w:rsidR="00751AE0" w:rsidRPr="00C35743" w:rsidRDefault="00002F05" w:rsidP="001E3A26">
      <w:pPr>
        <w:pStyle w:val="ListParagraph"/>
        <w:numPr>
          <w:ilvl w:val="0"/>
          <w:numId w:val="4"/>
        </w:numPr>
        <w:spacing w:before="120" w:after="240" w:line="276" w:lineRule="auto"/>
        <w:ind w:left="425" w:hanging="425"/>
        <w:contextualSpacing w:val="0"/>
        <w:rPr>
          <w:rFonts w:ascii="Arial" w:hAnsi="Arial" w:cs="Arial"/>
          <w:lang w:val="en-AU"/>
        </w:rPr>
      </w:pPr>
      <w:r w:rsidRPr="00C35743">
        <w:rPr>
          <w:rFonts w:ascii="Arial" w:hAnsi="Arial" w:cs="Arial"/>
          <w:lang w:val="en-AU"/>
        </w:rPr>
        <w:t>Respect and dignity are fundamental components of a modern multicultural and inclusive society.</w:t>
      </w:r>
      <w:r w:rsidR="0034134D" w:rsidRPr="00C35743">
        <w:rPr>
          <w:rFonts w:ascii="Arial" w:hAnsi="Arial" w:cs="Arial"/>
          <w:lang w:val="en-AU"/>
        </w:rPr>
        <w:t xml:space="preserve">  That some people may not be either male or female </w:t>
      </w:r>
      <w:r w:rsidR="0034134D" w:rsidRPr="00C35743">
        <w:rPr>
          <w:rFonts w:ascii="Arial" w:hAnsi="Arial" w:cs="Arial"/>
          <w:lang w:val="en-AU"/>
        </w:rPr>
        <w:lastRenderedPageBreak/>
        <w:t>has been recognised in courts, including the High Court of Australia.</w:t>
      </w:r>
      <w:r w:rsidR="0034134D" w:rsidRPr="00C35743">
        <w:rPr>
          <w:rStyle w:val="FootnoteReference"/>
          <w:rFonts w:ascii="Arial" w:hAnsi="Arial" w:cs="Arial"/>
          <w:lang w:val="en-AU"/>
        </w:rPr>
        <w:footnoteReference w:id="1"/>
      </w:r>
      <w:r w:rsidR="0034134D" w:rsidRPr="00C35743">
        <w:rPr>
          <w:rFonts w:ascii="Arial" w:hAnsi="Arial" w:cs="Arial"/>
          <w:lang w:val="en-AU"/>
        </w:rPr>
        <w:t xml:space="preserve">  There is discussion in society about the continued use of titles that distinguish between married and unmarried for women and not men, and addresses such as sir and madam.  Traditionally law firms were addressed as Messrs, </w:t>
      </w:r>
      <w:r w:rsidR="002B65D4" w:rsidRPr="00C35743">
        <w:rPr>
          <w:rFonts w:ascii="Arial" w:hAnsi="Arial" w:cs="Arial"/>
          <w:lang w:val="en-AU"/>
        </w:rPr>
        <w:t xml:space="preserve">a nod to the presumption that </w:t>
      </w:r>
      <w:r w:rsidR="001825CB" w:rsidRPr="00C35743">
        <w:rPr>
          <w:rFonts w:ascii="Arial" w:hAnsi="Arial" w:cs="Arial"/>
          <w:lang w:val="en-AU"/>
        </w:rPr>
        <w:t>all the partners were men.  A person’s name does not necessarily indicate whether they identify as male, female, or other, and likewise a person’s appearance does not necessarily indicate how they identify in terms of gender.</w:t>
      </w:r>
      <w:r w:rsidR="005009D5" w:rsidRPr="00C35743">
        <w:rPr>
          <w:rFonts w:ascii="Arial" w:hAnsi="Arial" w:cs="Arial"/>
          <w:lang w:val="en-AU"/>
        </w:rPr>
        <w:t xml:space="preserve">  Transgender people are often insul</w:t>
      </w:r>
      <w:r w:rsidR="006A7B3A">
        <w:rPr>
          <w:rFonts w:ascii="Arial" w:hAnsi="Arial" w:cs="Arial"/>
          <w:lang w:val="en-AU"/>
        </w:rPr>
        <w:t>ted and humiliated by being mis</w:t>
      </w:r>
      <w:r w:rsidR="005009D5" w:rsidRPr="00C35743">
        <w:rPr>
          <w:rFonts w:ascii="Arial" w:hAnsi="Arial" w:cs="Arial"/>
          <w:lang w:val="en-AU"/>
        </w:rPr>
        <w:t>gendered, for example, a trans-woman being called ‘he’ and ‘him’.</w:t>
      </w:r>
    </w:p>
    <w:p w14:paraId="71FFC26C" w14:textId="10732DFA" w:rsidR="001825CB" w:rsidRPr="00C35743" w:rsidRDefault="001825CB" w:rsidP="001E3A26">
      <w:pPr>
        <w:pStyle w:val="ListParagraph"/>
        <w:numPr>
          <w:ilvl w:val="0"/>
          <w:numId w:val="4"/>
        </w:numPr>
        <w:spacing w:before="120" w:after="240" w:line="276" w:lineRule="auto"/>
        <w:ind w:left="425" w:hanging="425"/>
        <w:contextualSpacing w:val="0"/>
        <w:rPr>
          <w:rFonts w:ascii="Arial" w:hAnsi="Arial" w:cs="Arial"/>
          <w:lang w:val="en-AU"/>
        </w:rPr>
      </w:pPr>
      <w:r w:rsidRPr="00C35743">
        <w:rPr>
          <w:rFonts w:ascii="Arial" w:hAnsi="Arial" w:cs="Arial"/>
          <w:lang w:val="en-AU"/>
        </w:rPr>
        <w:t>It is from respect for these types of considerations that some organisations, particularly those involving customer service, encourage the use of non-gendered language where appropriate.</w:t>
      </w:r>
    </w:p>
    <w:p w14:paraId="0AAFAF0D" w14:textId="3E5357FF" w:rsidR="001E3A26" w:rsidRPr="00C35743" w:rsidRDefault="001825CB" w:rsidP="00284FF0">
      <w:pPr>
        <w:pStyle w:val="Heading1"/>
        <w:rPr>
          <w:lang w:val="en-AU"/>
        </w:rPr>
      </w:pPr>
      <w:bookmarkStart w:id="3" w:name="_Toc529345096"/>
      <w:r w:rsidRPr="00C35743">
        <w:rPr>
          <w:lang w:val="en-AU"/>
        </w:rPr>
        <w:t>Existing</w:t>
      </w:r>
      <w:r w:rsidR="001E3A26" w:rsidRPr="00C35743">
        <w:rPr>
          <w:lang w:val="en-AU"/>
        </w:rPr>
        <w:t xml:space="preserve"> protections</w:t>
      </w:r>
      <w:r w:rsidRPr="00C35743">
        <w:rPr>
          <w:lang w:val="en-AU"/>
        </w:rPr>
        <w:t xml:space="preserve"> relating to sex and gender</w:t>
      </w:r>
      <w:bookmarkEnd w:id="3"/>
    </w:p>
    <w:p w14:paraId="10DB3D2C" w14:textId="102EC27C" w:rsidR="001E3A26" w:rsidRPr="00C35743" w:rsidRDefault="004F2CB8" w:rsidP="001E3A26">
      <w:pPr>
        <w:pStyle w:val="ListParagraph"/>
        <w:numPr>
          <w:ilvl w:val="0"/>
          <w:numId w:val="4"/>
        </w:numPr>
        <w:spacing w:before="120" w:after="240" w:line="276" w:lineRule="auto"/>
        <w:ind w:left="425" w:hanging="425"/>
        <w:contextualSpacing w:val="0"/>
        <w:rPr>
          <w:rFonts w:ascii="Arial" w:hAnsi="Arial" w:cs="Arial"/>
          <w:lang w:val="en-AU"/>
        </w:rPr>
      </w:pPr>
      <w:r w:rsidRPr="00C35743">
        <w:rPr>
          <w:rFonts w:ascii="Arial" w:hAnsi="Arial" w:cs="Arial"/>
          <w:lang w:val="en-AU"/>
        </w:rPr>
        <w:t xml:space="preserve">The </w:t>
      </w:r>
      <w:r w:rsidRPr="00C35743">
        <w:rPr>
          <w:rFonts w:ascii="Arial" w:hAnsi="Arial" w:cs="Arial"/>
          <w:i/>
          <w:lang w:val="en-AU"/>
        </w:rPr>
        <w:t>Anti-Discrimination Act 1991</w:t>
      </w:r>
      <w:r w:rsidRPr="00C35743">
        <w:rPr>
          <w:rFonts w:ascii="Arial" w:hAnsi="Arial" w:cs="Arial"/>
          <w:lang w:val="en-AU"/>
        </w:rPr>
        <w:t xml:space="preserve"> prohibits discrimination on the bas</w:t>
      </w:r>
      <w:r w:rsidR="004A6F71">
        <w:rPr>
          <w:rFonts w:ascii="Arial" w:hAnsi="Arial" w:cs="Arial"/>
          <w:lang w:val="en-AU"/>
        </w:rPr>
        <w:t>i</w:t>
      </w:r>
      <w:r w:rsidRPr="00C35743">
        <w:rPr>
          <w:rFonts w:ascii="Arial" w:hAnsi="Arial" w:cs="Arial"/>
          <w:lang w:val="en-AU"/>
        </w:rPr>
        <w:t>s of sex and gender identity in certain areas of activity, for example, work, education, and the provision of goods or services.</w:t>
      </w:r>
    </w:p>
    <w:p w14:paraId="485F5DD4" w14:textId="3692291E" w:rsidR="004F2CB8" w:rsidRPr="00C35743" w:rsidRDefault="004F2CB8" w:rsidP="001E3A26">
      <w:pPr>
        <w:pStyle w:val="ListParagraph"/>
        <w:numPr>
          <w:ilvl w:val="0"/>
          <w:numId w:val="4"/>
        </w:numPr>
        <w:spacing w:before="120" w:after="240" w:line="276" w:lineRule="auto"/>
        <w:ind w:left="425" w:hanging="425"/>
        <w:contextualSpacing w:val="0"/>
        <w:rPr>
          <w:rFonts w:ascii="Arial" w:hAnsi="Arial" w:cs="Arial"/>
          <w:lang w:val="en-AU"/>
        </w:rPr>
      </w:pPr>
      <w:r w:rsidRPr="00C35743">
        <w:rPr>
          <w:rFonts w:ascii="Arial" w:hAnsi="Arial" w:cs="Arial"/>
          <w:lang w:val="en-AU"/>
        </w:rPr>
        <w:t>‘Gender identity’ is defined, for the purposes of the Act, as a person who identifies as a member of the opposite sex, or for a person who is of indeterminate sex, the person identifies as male or female.  The definition is binary in nature.</w:t>
      </w:r>
    </w:p>
    <w:p w14:paraId="5481A099" w14:textId="4AD19288" w:rsidR="004F2CB8" w:rsidRPr="00C35743" w:rsidRDefault="004F2CB8" w:rsidP="001E3A26">
      <w:pPr>
        <w:pStyle w:val="ListParagraph"/>
        <w:numPr>
          <w:ilvl w:val="0"/>
          <w:numId w:val="4"/>
        </w:numPr>
        <w:spacing w:before="120" w:after="240" w:line="276" w:lineRule="auto"/>
        <w:ind w:left="425" w:hanging="425"/>
        <w:contextualSpacing w:val="0"/>
        <w:rPr>
          <w:rFonts w:ascii="Arial" w:hAnsi="Arial" w:cs="Arial"/>
          <w:lang w:val="en-AU"/>
        </w:rPr>
      </w:pPr>
      <w:r w:rsidRPr="00C35743">
        <w:rPr>
          <w:rFonts w:ascii="Arial" w:hAnsi="Arial" w:cs="Arial"/>
          <w:lang w:val="en-AU"/>
        </w:rPr>
        <w:t xml:space="preserve">‘Sex’ is not defined in the Act, so it takes its ordinary meaning.  Dictionary meanings of sex are generally male, female, and indeterminate.  The </w:t>
      </w:r>
      <w:r w:rsidR="00CE4544">
        <w:rPr>
          <w:rFonts w:ascii="Arial" w:hAnsi="Arial" w:cs="Arial"/>
          <w:lang w:val="en-AU"/>
        </w:rPr>
        <w:t xml:space="preserve">dictionary </w:t>
      </w:r>
      <w:r w:rsidRPr="00C35743">
        <w:rPr>
          <w:rFonts w:ascii="Arial" w:hAnsi="Arial" w:cs="Arial"/>
          <w:lang w:val="en-AU"/>
        </w:rPr>
        <w:t>meanings are physiological in nature.</w:t>
      </w:r>
      <w:r w:rsidR="00044A7F" w:rsidRPr="00C35743">
        <w:rPr>
          <w:rFonts w:ascii="Arial" w:hAnsi="Arial" w:cs="Arial"/>
          <w:lang w:val="en-AU"/>
        </w:rPr>
        <w:t xml:space="preserve">  Whether</w:t>
      </w:r>
      <w:r w:rsidRPr="00C35743">
        <w:rPr>
          <w:rFonts w:ascii="Arial" w:hAnsi="Arial" w:cs="Arial"/>
          <w:lang w:val="en-AU"/>
        </w:rPr>
        <w:t xml:space="preserve"> the attribute of sex </w:t>
      </w:r>
      <w:r w:rsidR="00044A7F" w:rsidRPr="00C35743">
        <w:rPr>
          <w:rFonts w:ascii="Arial" w:hAnsi="Arial" w:cs="Arial"/>
          <w:lang w:val="en-AU"/>
        </w:rPr>
        <w:t>for the purposes of the Act include</w:t>
      </w:r>
      <w:r w:rsidR="000F0BC1" w:rsidRPr="00C35743">
        <w:rPr>
          <w:rFonts w:ascii="Arial" w:hAnsi="Arial" w:cs="Arial"/>
          <w:lang w:val="en-AU"/>
        </w:rPr>
        <w:t>s</w:t>
      </w:r>
      <w:r w:rsidR="00044A7F" w:rsidRPr="00C35743">
        <w:rPr>
          <w:rFonts w:ascii="Arial" w:hAnsi="Arial" w:cs="Arial"/>
          <w:lang w:val="en-AU"/>
        </w:rPr>
        <w:t xml:space="preserve"> a non-binary person has not been tested or decided in a tribunal or court.</w:t>
      </w:r>
      <w:r w:rsidR="00044A7F" w:rsidRPr="00C35743">
        <w:rPr>
          <w:rStyle w:val="FootnoteReference"/>
          <w:rFonts w:ascii="Arial" w:hAnsi="Arial" w:cs="Arial"/>
          <w:lang w:val="en-AU"/>
        </w:rPr>
        <w:footnoteReference w:id="2"/>
      </w:r>
    </w:p>
    <w:p w14:paraId="21152715" w14:textId="77777777" w:rsidR="00284FF0" w:rsidRPr="00C35743" w:rsidRDefault="006769BF" w:rsidP="001E3A26">
      <w:pPr>
        <w:pStyle w:val="ListParagraph"/>
        <w:numPr>
          <w:ilvl w:val="0"/>
          <w:numId w:val="4"/>
        </w:numPr>
        <w:spacing w:before="120" w:after="240" w:line="276" w:lineRule="auto"/>
        <w:ind w:left="425" w:hanging="425"/>
        <w:contextualSpacing w:val="0"/>
        <w:rPr>
          <w:rFonts w:ascii="Arial" w:hAnsi="Arial" w:cs="Arial"/>
          <w:lang w:val="en-AU"/>
        </w:rPr>
      </w:pPr>
      <w:r w:rsidRPr="00C35743">
        <w:rPr>
          <w:rFonts w:ascii="Arial" w:hAnsi="Arial" w:cs="Arial"/>
          <w:lang w:val="en-AU"/>
        </w:rPr>
        <w:t>The protections from discrimination on the basis of sex or gender identity do not extend to requiring the use of gender-neutral language.  On the other hand, the Act does not prevent an employer or educational institution from encouraging or requiring the use of gender-neutral language b</w:t>
      </w:r>
      <w:r w:rsidR="00284FF0" w:rsidRPr="00C35743">
        <w:rPr>
          <w:rFonts w:ascii="Arial" w:hAnsi="Arial" w:cs="Arial"/>
          <w:lang w:val="en-AU"/>
        </w:rPr>
        <w:t xml:space="preserve">y workers or students.  </w:t>
      </w:r>
    </w:p>
    <w:p w14:paraId="23D111A8" w14:textId="164D26CF" w:rsidR="006769BF" w:rsidRPr="00C35743" w:rsidRDefault="00284FF0" w:rsidP="001E3A26">
      <w:pPr>
        <w:pStyle w:val="ListParagraph"/>
        <w:numPr>
          <w:ilvl w:val="0"/>
          <w:numId w:val="4"/>
        </w:numPr>
        <w:spacing w:before="120" w:after="240" w:line="276" w:lineRule="auto"/>
        <w:ind w:left="425" w:hanging="425"/>
        <w:contextualSpacing w:val="0"/>
        <w:rPr>
          <w:rFonts w:ascii="Arial" w:hAnsi="Arial" w:cs="Arial"/>
          <w:lang w:val="en-AU"/>
        </w:rPr>
      </w:pPr>
      <w:r w:rsidRPr="00C35743">
        <w:rPr>
          <w:rFonts w:ascii="Arial" w:hAnsi="Arial" w:cs="Arial"/>
          <w:lang w:val="en-AU"/>
        </w:rPr>
        <w:lastRenderedPageBreak/>
        <w:t xml:space="preserve">A </w:t>
      </w:r>
      <w:r w:rsidR="006769BF" w:rsidRPr="00C35743">
        <w:rPr>
          <w:rFonts w:ascii="Arial" w:hAnsi="Arial" w:cs="Arial"/>
          <w:lang w:val="en-AU"/>
        </w:rPr>
        <w:t>transgender person may co</w:t>
      </w:r>
      <w:r w:rsidR="00095FBB">
        <w:rPr>
          <w:rFonts w:ascii="Arial" w:hAnsi="Arial" w:cs="Arial"/>
          <w:lang w:val="en-AU"/>
        </w:rPr>
        <w:t>mplain of discrimination if mis</w:t>
      </w:r>
      <w:r w:rsidR="006769BF" w:rsidRPr="00C35743">
        <w:rPr>
          <w:rFonts w:ascii="Arial" w:hAnsi="Arial" w:cs="Arial"/>
          <w:lang w:val="en-AU"/>
        </w:rPr>
        <w:t>gender</w:t>
      </w:r>
      <w:r w:rsidR="00A45369" w:rsidRPr="00C35743">
        <w:rPr>
          <w:rFonts w:ascii="Arial" w:hAnsi="Arial" w:cs="Arial"/>
          <w:lang w:val="en-AU"/>
        </w:rPr>
        <w:t>ed language is used towards or about them in the areas of activity under the Act (for example, at work, as a student, or receiving goods or services).</w:t>
      </w:r>
    </w:p>
    <w:p w14:paraId="6BEDE7A6" w14:textId="69CE43B6" w:rsidR="00044A7F" w:rsidRPr="00C35743" w:rsidRDefault="00044A7F" w:rsidP="001E3A26">
      <w:pPr>
        <w:pStyle w:val="ListParagraph"/>
        <w:numPr>
          <w:ilvl w:val="0"/>
          <w:numId w:val="4"/>
        </w:numPr>
        <w:spacing w:before="120" w:after="240" w:line="276" w:lineRule="auto"/>
        <w:ind w:left="425" w:hanging="425"/>
        <w:contextualSpacing w:val="0"/>
        <w:rPr>
          <w:rFonts w:ascii="Arial" w:hAnsi="Arial" w:cs="Arial"/>
          <w:lang w:val="en-AU"/>
        </w:rPr>
      </w:pPr>
      <w:r w:rsidRPr="00C35743">
        <w:rPr>
          <w:rFonts w:ascii="Arial" w:hAnsi="Arial" w:cs="Arial"/>
          <w:lang w:val="en-AU"/>
        </w:rPr>
        <w:t xml:space="preserve">The </w:t>
      </w:r>
      <w:r w:rsidRPr="00C35743">
        <w:rPr>
          <w:rFonts w:ascii="Arial" w:hAnsi="Arial" w:cs="Arial"/>
          <w:i/>
          <w:lang w:val="en-AU"/>
        </w:rPr>
        <w:t>Sex Discrimination Act 1994</w:t>
      </w:r>
      <w:r w:rsidRPr="00C35743">
        <w:rPr>
          <w:rFonts w:ascii="Arial" w:hAnsi="Arial" w:cs="Arial"/>
          <w:lang w:val="en-AU"/>
        </w:rPr>
        <w:t xml:space="preserve"> (Cth) also prohibits discrimination on the basis of sex and gender identity in certain areas of activity, for example, work, education, and the provision of goods or services.</w:t>
      </w:r>
    </w:p>
    <w:p w14:paraId="69913E44" w14:textId="1072969A" w:rsidR="005009D5" w:rsidRPr="00C35743" w:rsidRDefault="005009D5" w:rsidP="001E3A26">
      <w:pPr>
        <w:pStyle w:val="ListParagraph"/>
        <w:numPr>
          <w:ilvl w:val="0"/>
          <w:numId w:val="4"/>
        </w:numPr>
        <w:spacing w:before="120" w:after="240" w:line="276" w:lineRule="auto"/>
        <w:ind w:left="425" w:hanging="425"/>
        <w:contextualSpacing w:val="0"/>
        <w:rPr>
          <w:rFonts w:ascii="Arial" w:hAnsi="Arial" w:cs="Arial"/>
          <w:lang w:val="en-AU"/>
        </w:rPr>
      </w:pPr>
      <w:r w:rsidRPr="00C35743">
        <w:rPr>
          <w:rFonts w:ascii="Arial" w:hAnsi="Arial" w:cs="Arial"/>
          <w:lang w:val="en-AU"/>
        </w:rPr>
        <w:t xml:space="preserve">In the Commonwealth </w:t>
      </w:r>
      <w:r w:rsidRPr="00C35743">
        <w:rPr>
          <w:rFonts w:ascii="Arial" w:hAnsi="Arial" w:cs="Arial"/>
          <w:i/>
          <w:lang w:val="en-AU"/>
        </w:rPr>
        <w:t>Sex Discrimination Act 1994</w:t>
      </w:r>
      <w:r w:rsidRPr="00C35743">
        <w:rPr>
          <w:rFonts w:ascii="Arial" w:hAnsi="Arial" w:cs="Arial"/>
          <w:lang w:val="en-AU"/>
        </w:rPr>
        <w:t>, ‘gender identity’ is defined more broadly and includes people who identify as neither male nor female.</w:t>
      </w:r>
      <w:r w:rsidRPr="00C35743">
        <w:rPr>
          <w:rStyle w:val="FootnoteReference"/>
          <w:rFonts w:ascii="Arial" w:hAnsi="Arial" w:cs="Arial"/>
          <w:lang w:val="en-AU"/>
        </w:rPr>
        <w:footnoteReference w:id="3"/>
      </w:r>
      <w:r w:rsidR="001304EE" w:rsidRPr="00C35743">
        <w:rPr>
          <w:rFonts w:ascii="Arial" w:hAnsi="Arial" w:cs="Arial"/>
          <w:lang w:val="en-AU"/>
        </w:rPr>
        <w:t xml:space="preserve">  This means there is greater scope for people to complain about the use of gender-specific language.</w:t>
      </w:r>
      <w:r w:rsidR="006A7B3A">
        <w:rPr>
          <w:rFonts w:ascii="Arial" w:hAnsi="Arial" w:cs="Arial"/>
          <w:lang w:val="en-AU"/>
        </w:rPr>
        <w:t xml:space="preserve">  For example, </w:t>
      </w:r>
      <w:r w:rsidR="009D3B40">
        <w:rPr>
          <w:rFonts w:ascii="Arial" w:hAnsi="Arial" w:cs="Arial"/>
          <w:lang w:val="en-AU"/>
        </w:rPr>
        <w:t>people who identify</w:t>
      </w:r>
      <w:r w:rsidR="006A7B3A">
        <w:rPr>
          <w:rFonts w:ascii="Arial" w:hAnsi="Arial" w:cs="Arial"/>
          <w:lang w:val="en-AU"/>
        </w:rPr>
        <w:t xml:space="preserve"> as neither ma</w:t>
      </w:r>
      <w:r w:rsidR="009D3B40">
        <w:rPr>
          <w:rFonts w:ascii="Arial" w:hAnsi="Arial" w:cs="Arial"/>
          <w:lang w:val="en-AU"/>
        </w:rPr>
        <w:t>le nor female might be disadvantaged by being referred to in gender-specific terms.  Such a person may make a complaint of indirect discrimination to the Australian Human Rights Commission.</w:t>
      </w:r>
    </w:p>
    <w:p w14:paraId="45C68458" w14:textId="2158E271" w:rsidR="001E3A26" w:rsidRPr="00C35743" w:rsidRDefault="009D3B40" w:rsidP="00DD7883">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If conduct is unlawful under the </w:t>
      </w:r>
      <w:r w:rsidRPr="009D3B40">
        <w:rPr>
          <w:rFonts w:ascii="Arial" w:hAnsi="Arial" w:cs="Arial"/>
          <w:i/>
          <w:lang w:val="en-AU"/>
        </w:rPr>
        <w:t>Sex Discrimination Act 1994</w:t>
      </w:r>
      <w:r>
        <w:rPr>
          <w:rFonts w:ascii="Arial" w:hAnsi="Arial" w:cs="Arial"/>
          <w:lang w:val="en-AU"/>
        </w:rPr>
        <w:t>, t</w:t>
      </w:r>
      <w:r w:rsidR="001304EE" w:rsidRPr="00C35743">
        <w:rPr>
          <w:rFonts w:ascii="Arial" w:hAnsi="Arial" w:cs="Arial"/>
          <w:lang w:val="en-AU"/>
        </w:rPr>
        <w:t xml:space="preserve">he provisions of the Bill cannot make </w:t>
      </w:r>
      <w:r w:rsidR="00045B46">
        <w:rPr>
          <w:rFonts w:ascii="Arial" w:hAnsi="Arial" w:cs="Arial"/>
          <w:lang w:val="en-AU"/>
        </w:rPr>
        <w:t>that conduct lawful</w:t>
      </w:r>
      <w:r w:rsidR="001304EE" w:rsidRPr="00C35743">
        <w:rPr>
          <w:rFonts w:ascii="Arial" w:hAnsi="Arial" w:cs="Arial"/>
          <w:lang w:val="en-AU"/>
        </w:rPr>
        <w:t>.</w:t>
      </w:r>
    </w:p>
    <w:p w14:paraId="6BD0091F" w14:textId="2698FDF9" w:rsidR="001E3A26" w:rsidRDefault="001E3A26" w:rsidP="00284FF0">
      <w:pPr>
        <w:pStyle w:val="Heading1"/>
        <w:rPr>
          <w:lang w:val="en-AU"/>
        </w:rPr>
      </w:pPr>
      <w:bookmarkStart w:id="4" w:name="_Toc529345097"/>
      <w:r w:rsidRPr="00C35743">
        <w:rPr>
          <w:lang w:val="en-AU"/>
        </w:rPr>
        <w:t>Provisions of the Bill</w:t>
      </w:r>
      <w:bookmarkEnd w:id="4"/>
    </w:p>
    <w:p w14:paraId="5653FC97" w14:textId="1EB47FF2" w:rsidR="008E2FB8" w:rsidRPr="008E2FB8" w:rsidRDefault="008E2FB8" w:rsidP="008E2FB8">
      <w:pPr>
        <w:pStyle w:val="Heading2"/>
      </w:pPr>
      <w:bookmarkStart w:id="5" w:name="_Toc529345098"/>
      <w:r w:rsidRPr="008E2FB8">
        <w:t>Discrimination prohibited</w:t>
      </w:r>
      <w:bookmarkEnd w:id="5"/>
    </w:p>
    <w:p w14:paraId="26FACC58" w14:textId="4B1399CD" w:rsidR="001E3A26" w:rsidRDefault="00045B46"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Clause 3 would insert a new section 8A that </w:t>
      </w:r>
      <w:r w:rsidR="00E91A9E">
        <w:rPr>
          <w:rFonts w:ascii="Arial" w:hAnsi="Arial" w:cs="Arial"/>
          <w:lang w:val="en-AU"/>
        </w:rPr>
        <w:t>prohibits</w:t>
      </w:r>
      <w:r>
        <w:rPr>
          <w:rFonts w:ascii="Arial" w:hAnsi="Arial" w:cs="Arial"/>
          <w:lang w:val="en-AU"/>
        </w:rPr>
        <w:t xml:space="preserve"> </w:t>
      </w:r>
      <w:r w:rsidR="00310CB2">
        <w:rPr>
          <w:rFonts w:ascii="Arial" w:hAnsi="Arial" w:cs="Arial"/>
          <w:lang w:val="en-AU"/>
        </w:rPr>
        <w:t xml:space="preserve">direct and indirect </w:t>
      </w:r>
      <w:r>
        <w:rPr>
          <w:rFonts w:ascii="Arial" w:hAnsi="Arial" w:cs="Arial"/>
          <w:lang w:val="en-AU"/>
        </w:rPr>
        <w:t xml:space="preserve">discrimination on the basis of the </w:t>
      </w:r>
      <w:r w:rsidR="00E91A9E">
        <w:rPr>
          <w:rFonts w:ascii="Arial" w:hAnsi="Arial" w:cs="Arial"/>
          <w:lang w:val="en-AU"/>
        </w:rPr>
        <w:t>use of gender-specific language.  Direct discrimination and indirect discrimination do not take their dictionary meanings, and instead have different meanings for discrimination on the basis of the use of gender-specific language.</w:t>
      </w:r>
      <w:r w:rsidR="00253B42">
        <w:rPr>
          <w:rFonts w:ascii="Arial" w:hAnsi="Arial" w:cs="Arial"/>
          <w:lang w:val="en-AU"/>
        </w:rPr>
        <w:t xml:space="preserve">  The use of gender-specific language that amounts to sexual harassment or unlawful discrimination, and that is used to offend, humiliate, or intimidate another person, are excluded from the prohibition.</w:t>
      </w:r>
    </w:p>
    <w:p w14:paraId="7E4FA2BC" w14:textId="0E0A56ED" w:rsidR="008E2FB8" w:rsidRDefault="008E2FB8" w:rsidP="008E2FB8">
      <w:pPr>
        <w:pStyle w:val="Heading2"/>
        <w:rPr>
          <w:lang w:val="en-AU"/>
        </w:rPr>
      </w:pPr>
      <w:bookmarkStart w:id="6" w:name="_Toc529345099"/>
      <w:r>
        <w:rPr>
          <w:lang w:val="en-AU"/>
        </w:rPr>
        <w:t>Meaning of direct discrimination</w:t>
      </w:r>
      <w:bookmarkEnd w:id="6"/>
    </w:p>
    <w:p w14:paraId="3E054DE6" w14:textId="2F257ECD" w:rsidR="007A45D7" w:rsidRDefault="00253B42"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Clause 4 would amend the meaning of direct discrimination in section 10 of the Act.  It adopts the existing meaning of direct discrimination as if the use of gender-specific language was an attribute in section 7 of the Act.  The definition includes two examples.  An example of the operation of a provision is part of the Act.</w:t>
      </w:r>
      <w:r>
        <w:rPr>
          <w:rStyle w:val="FootnoteReference"/>
          <w:rFonts w:ascii="Arial" w:hAnsi="Arial" w:cs="Arial"/>
          <w:lang w:val="en-AU"/>
        </w:rPr>
        <w:footnoteReference w:id="4"/>
      </w:r>
      <w:r w:rsidR="00D21103">
        <w:rPr>
          <w:rFonts w:ascii="Arial" w:hAnsi="Arial" w:cs="Arial"/>
          <w:lang w:val="en-AU"/>
        </w:rPr>
        <w:t xml:space="preserve">  The second example shows that </w:t>
      </w:r>
      <w:r w:rsidR="00B360EA">
        <w:rPr>
          <w:rFonts w:ascii="Arial" w:hAnsi="Arial" w:cs="Arial"/>
          <w:lang w:val="en-AU"/>
        </w:rPr>
        <w:t xml:space="preserve">it </w:t>
      </w:r>
      <w:bookmarkStart w:id="7" w:name="_GoBack"/>
      <w:bookmarkEnd w:id="7"/>
      <w:r w:rsidR="00D21103">
        <w:rPr>
          <w:rFonts w:ascii="Arial" w:hAnsi="Arial" w:cs="Arial"/>
          <w:lang w:val="en-AU"/>
        </w:rPr>
        <w:t xml:space="preserve">is unlawful for a manager to discipline a worker who refers to a group of customers as ‘guys’.  The Commission considers that this is an inappropriate example of direct discrimination.  Many people might prefer not to be referred to as </w:t>
      </w:r>
      <w:r w:rsidR="00D21103">
        <w:rPr>
          <w:rFonts w:ascii="Arial" w:hAnsi="Arial" w:cs="Arial"/>
          <w:lang w:val="en-AU"/>
        </w:rPr>
        <w:lastRenderedPageBreak/>
        <w:t xml:space="preserve">guys, particularly having regard to the type of business and </w:t>
      </w:r>
      <w:r w:rsidR="00CE4544">
        <w:rPr>
          <w:rFonts w:ascii="Arial" w:hAnsi="Arial" w:cs="Arial"/>
          <w:lang w:val="en-AU"/>
        </w:rPr>
        <w:t xml:space="preserve">to </w:t>
      </w:r>
      <w:r w:rsidR="00D21103">
        <w:rPr>
          <w:rFonts w:ascii="Arial" w:hAnsi="Arial" w:cs="Arial"/>
          <w:lang w:val="en-AU"/>
        </w:rPr>
        <w:t>the clientele</w:t>
      </w:r>
      <w:r w:rsidR="00CE4544">
        <w:rPr>
          <w:rFonts w:ascii="Arial" w:hAnsi="Arial" w:cs="Arial"/>
          <w:lang w:val="en-AU"/>
        </w:rPr>
        <w:t xml:space="preserve"> of the business</w:t>
      </w:r>
      <w:r w:rsidR="00D21103">
        <w:rPr>
          <w:rFonts w:ascii="Arial" w:hAnsi="Arial" w:cs="Arial"/>
          <w:lang w:val="en-AU"/>
        </w:rPr>
        <w:t xml:space="preserve">.  For example, the customers might consider the term is too casual or unprofessional.  The business should be free to set standards of communication </w:t>
      </w:r>
      <w:r w:rsidR="007A45D7">
        <w:rPr>
          <w:rFonts w:ascii="Arial" w:hAnsi="Arial" w:cs="Arial"/>
          <w:lang w:val="en-AU"/>
        </w:rPr>
        <w:t xml:space="preserve">by staff to customers.  </w:t>
      </w:r>
    </w:p>
    <w:p w14:paraId="3525000A" w14:textId="4AB5FA68" w:rsidR="00253B42" w:rsidRDefault="007A45D7"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Direct discrimination involves comparing how a person without the attribute – or for present purposes, who does not use gender-specific language – would be treated in the same or similar circumstances.  For a business that expected customers to be addressed less casually, a worker who used casual language unrelated to gender is likely to also be disciplined.</w:t>
      </w:r>
    </w:p>
    <w:p w14:paraId="4254491D" w14:textId="357CBA1C" w:rsidR="007A45D7" w:rsidRDefault="007A45D7"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Example 2 to the proposed amended definition of direct discrimination</w:t>
      </w:r>
      <w:r w:rsidR="008E2FB8">
        <w:rPr>
          <w:rFonts w:ascii="Arial" w:hAnsi="Arial" w:cs="Arial"/>
          <w:lang w:val="en-AU"/>
        </w:rPr>
        <w:t xml:space="preserve"> extends unlawful conduct too far.</w:t>
      </w:r>
    </w:p>
    <w:p w14:paraId="0CFC8F2E" w14:textId="095410D3" w:rsidR="008E2FB8" w:rsidRDefault="008E2FB8" w:rsidP="008E2FB8">
      <w:pPr>
        <w:pStyle w:val="Heading2"/>
        <w:rPr>
          <w:lang w:val="en-AU"/>
        </w:rPr>
      </w:pPr>
      <w:bookmarkStart w:id="8" w:name="_Toc529345100"/>
      <w:r>
        <w:rPr>
          <w:lang w:val="en-AU"/>
        </w:rPr>
        <w:t>Meaning of indirect discrimination</w:t>
      </w:r>
      <w:bookmarkEnd w:id="8"/>
    </w:p>
    <w:p w14:paraId="0BB3A385" w14:textId="4651EE7F" w:rsidR="008E2FB8" w:rsidRDefault="00E940D7"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Clause 5 would amend the meaning of indirect discrimination in section 11 of the Act.  The definition of indirect discrimination for the use of gender-specific language departs from the current definition of indirect discrimination on the basis of the attributes in section 7 of the Act.</w:t>
      </w:r>
      <w:r w:rsidR="00121E6F">
        <w:rPr>
          <w:rFonts w:ascii="Arial" w:hAnsi="Arial" w:cs="Arial"/>
          <w:lang w:val="en-AU"/>
        </w:rPr>
        <w:t xml:space="preserve">  </w:t>
      </w:r>
      <w:r w:rsidR="00D102EC">
        <w:rPr>
          <w:rFonts w:ascii="Arial" w:hAnsi="Arial" w:cs="Arial"/>
          <w:lang w:val="en-AU"/>
        </w:rPr>
        <w:t>It is a much broader definition</w:t>
      </w:r>
      <w:r w:rsidR="00CE4544">
        <w:rPr>
          <w:rFonts w:ascii="Arial" w:hAnsi="Arial" w:cs="Arial"/>
          <w:lang w:val="en-AU"/>
        </w:rPr>
        <w:t xml:space="preserve"> than</w:t>
      </w:r>
      <w:r w:rsidR="00EF2CD3">
        <w:rPr>
          <w:rFonts w:ascii="Arial" w:hAnsi="Arial" w:cs="Arial"/>
          <w:lang w:val="en-AU"/>
        </w:rPr>
        <w:t xml:space="preserve"> the Commission considers </w:t>
      </w:r>
      <w:r w:rsidR="00121E6F">
        <w:rPr>
          <w:rFonts w:ascii="Arial" w:hAnsi="Arial" w:cs="Arial"/>
          <w:lang w:val="en-AU"/>
        </w:rPr>
        <w:t>appropriate.</w:t>
      </w:r>
    </w:p>
    <w:p w14:paraId="7E4FE6E3" w14:textId="744B63B1" w:rsidR="00A023C1" w:rsidRDefault="00A023C1" w:rsidP="00A023C1">
      <w:pPr>
        <w:pStyle w:val="ListParagraph"/>
        <w:numPr>
          <w:ilvl w:val="0"/>
          <w:numId w:val="4"/>
        </w:numPr>
        <w:spacing w:before="120" w:after="120" w:line="276" w:lineRule="auto"/>
        <w:ind w:left="425" w:hanging="425"/>
        <w:contextualSpacing w:val="0"/>
        <w:rPr>
          <w:rFonts w:ascii="Arial" w:hAnsi="Arial" w:cs="Arial"/>
          <w:lang w:val="en-AU"/>
        </w:rPr>
      </w:pPr>
      <w:r>
        <w:rPr>
          <w:rFonts w:ascii="Arial" w:hAnsi="Arial" w:cs="Arial"/>
          <w:lang w:val="en-AU"/>
        </w:rPr>
        <w:t>The current definition of indirect discrimination involves the following elements:</w:t>
      </w:r>
    </w:p>
    <w:p w14:paraId="0B3C72F1" w14:textId="649B540D" w:rsidR="00A023C1" w:rsidRDefault="00A35BBA" w:rsidP="00A023C1">
      <w:pPr>
        <w:pStyle w:val="ListParagraph"/>
        <w:numPr>
          <w:ilvl w:val="0"/>
          <w:numId w:val="8"/>
        </w:numPr>
        <w:spacing w:before="120" w:after="120" w:line="276" w:lineRule="auto"/>
        <w:ind w:left="1434" w:hanging="357"/>
        <w:contextualSpacing w:val="0"/>
        <w:rPr>
          <w:rFonts w:ascii="Arial" w:hAnsi="Arial" w:cs="Arial"/>
          <w:lang w:val="en-AU"/>
        </w:rPr>
      </w:pPr>
      <w:r>
        <w:rPr>
          <w:rFonts w:ascii="Arial" w:hAnsi="Arial" w:cs="Arial"/>
          <w:lang w:val="en-AU"/>
        </w:rPr>
        <w:t>imposing, or proposing to impose a condition, requirement, or practice (whether written or unwritten)</w:t>
      </w:r>
      <w:r w:rsidR="00D102EC">
        <w:rPr>
          <w:rFonts w:ascii="Arial" w:hAnsi="Arial" w:cs="Arial"/>
          <w:lang w:val="en-AU"/>
        </w:rPr>
        <w:t>;</w:t>
      </w:r>
    </w:p>
    <w:p w14:paraId="34E3E8C2" w14:textId="31BAD818" w:rsidR="00A35BBA" w:rsidRDefault="00A35BBA" w:rsidP="00A023C1">
      <w:pPr>
        <w:pStyle w:val="ListParagraph"/>
        <w:numPr>
          <w:ilvl w:val="0"/>
          <w:numId w:val="8"/>
        </w:numPr>
        <w:spacing w:before="120" w:after="120" w:line="276" w:lineRule="auto"/>
        <w:ind w:left="1434" w:hanging="357"/>
        <w:contextualSpacing w:val="0"/>
        <w:rPr>
          <w:rFonts w:ascii="Arial" w:hAnsi="Arial" w:cs="Arial"/>
          <w:lang w:val="en-AU"/>
        </w:rPr>
      </w:pPr>
      <w:r>
        <w:rPr>
          <w:rFonts w:ascii="Arial" w:hAnsi="Arial" w:cs="Arial"/>
          <w:lang w:val="en-AU"/>
        </w:rPr>
        <w:t>a person with the attribute is unable to comply</w:t>
      </w:r>
      <w:r w:rsidR="00D102EC">
        <w:rPr>
          <w:rFonts w:ascii="Arial" w:hAnsi="Arial" w:cs="Arial"/>
          <w:lang w:val="en-AU"/>
        </w:rPr>
        <w:t>;</w:t>
      </w:r>
    </w:p>
    <w:p w14:paraId="64B23733" w14:textId="2031D60E" w:rsidR="00A35BBA" w:rsidRDefault="00A35BBA" w:rsidP="00A023C1">
      <w:pPr>
        <w:pStyle w:val="ListParagraph"/>
        <w:numPr>
          <w:ilvl w:val="0"/>
          <w:numId w:val="8"/>
        </w:numPr>
        <w:spacing w:before="120" w:after="120" w:line="276" w:lineRule="auto"/>
        <w:ind w:left="1434" w:hanging="357"/>
        <w:contextualSpacing w:val="0"/>
        <w:rPr>
          <w:rFonts w:ascii="Arial" w:hAnsi="Arial" w:cs="Arial"/>
          <w:lang w:val="en-AU"/>
        </w:rPr>
      </w:pPr>
      <w:r>
        <w:rPr>
          <w:rFonts w:ascii="Arial" w:hAnsi="Arial" w:cs="Arial"/>
          <w:lang w:val="en-AU"/>
        </w:rPr>
        <w:t>a higher proportion of people without the attribute can comply</w:t>
      </w:r>
      <w:r w:rsidR="00D102EC">
        <w:rPr>
          <w:rFonts w:ascii="Arial" w:hAnsi="Arial" w:cs="Arial"/>
          <w:lang w:val="en-AU"/>
        </w:rPr>
        <w:t>; and</w:t>
      </w:r>
    </w:p>
    <w:p w14:paraId="49E07BD9" w14:textId="585AF708" w:rsidR="00A35BBA" w:rsidRPr="00A023C1" w:rsidRDefault="00A35BBA" w:rsidP="00A35BBA">
      <w:pPr>
        <w:pStyle w:val="ListParagraph"/>
        <w:numPr>
          <w:ilvl w:val="0"/>
          <w:numId w:val="8"/>
        </w:numPr>
        <w:spacing w:before="120" w:after="240" w:line="276" w:lineRule="auto"/>
        <w:ind w:left="1434" w:hanging="357"/>
        <w:contextualSpacing w:val="0"/>
        <w:rPr>
          <w:rFonts w:ascii="Arial" w:hAnsi="Arial" w:cs="Arial"/>
          <w:lang w:val="en-AU"/>
        </w:rPr>
      </w:pPr>
      <w:r>
        <w:rPr>
          <w:rFonts w:ascii="Arial" w:hAnsi="Arial" w:cs="Arial"/>
          <w:lang w:val="en-AU"/>
        </w:rPr>
        <w:t>the condition, requirement, or practice is unreasonable.</w:t>
      </w:r>
    </w:p>
    <w:p w14:paraId="33B8AE68" w14:textId="2BA863E6" w:rsidR="00A023C1" w:rsidRDefault="00A35BBA"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The third and fourth elements above are referred to as the proportionality test and the reasonableness test, respectively.</w:t>
      </w:r>
      <w:r w:rsidR="00D102EC">
        <w:rPr>
          <w:rFonts w:ascii="Arial" w:hAnsi="Arial" w:cs="Arial"/>
          <w:lang w:val="en-AU"/>
        </w:rPr>
        <w:t xml:space="preserve">  These two elements are not included in the proposed meaning of indirect discrimination on the basis of the use of gender-specific language.</w:t>
      </w:r>
    </w:p>
    <w:p w14:paraId="760D39A1" w14:textId="008484F1" w:rsidR="00D102EC" w:rsidRDefault="00D102EC"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The proportionality test has been removed in some jurisdictions</w:t>
      </w:r>
      <w:r w:rsidR="00EA0FB4">
        <w:rPr>
          <w:rFonts w:ascii="Arial" w:hAnsi="Arial" w:cs="Arial"/>
          <w:lang w:val="en-AU"/>
        </w:rPr>
        <w:t>.</w:t>
      </w:r>
      <w:r w:rsidR="00EA0FB4">
        <w:rPr>
          <w:rStyle w:val="FootnoteReference"/>
          <w:rFonts w:ascii="Arial" w:hAnsi="Arial" w:cs="Arial"/>
          <w:lang w:val="en-AU"/>
        </w:rPr>
        <w:footnoteReference w:id="5"/>
      </w:r>
      <w:r w:rsidR="00867AFD">
        <w:rPr>
          <w:rFonts w:ascii="Arial" w:hAnsi="Arial" w:cs="Arial"/>
          <w:lang w:val="en-AU"/>
        </w:rPr>
        <w:t xml:space="preserve">  The reasonableness test however is an important component </w:t>
      </w:r>
      <w:r w:rsidR="008970A8">
        <w:rPr>
          <w:rFonts w:ascii="Arial" w:hAnsi="Arial" w:cs="Arial"/>
          <w:lang w:val="en-AU"/>
        </w:rPr>
        <w:t>for balancing</w:t>
      </w:r>
      <w:r w:rsidR="00867AFD">
        <w:rPr>
          <w:rFonts w:ascii="Arial" w:hAnsi="Arial" w:cs="Arial"/>
          <w:lang w:val="en-AU"/>
        </w:rPr>
        <w:t xml:space="preserve"> rights and responsibilities.  The test </w:t>
      </w:r>
      <w:r w:rsidR="00CE4544">
        <w:rPr>
          <w:rFonts w:ascii="Arial" w:hAnsi="Arial" w:cs="Arial"/>
          <w:lang w:val="en-AU"/>
        </w:rPr>
        <w:t>is crucial and</w:t>
      </w:r>
      <w:r w:rsidR="00867AFD">
        <w:rPr>
          <w:rFonts w:ascii="Arial" w:hAnsi="Arial" w:cs="Arial"/>
          <w:lang w:val="en-AU"/>
        </w:rPr>
        <w:t xml:space="preserve"> lies at the heart of the concept of indirect discrimination.</w:t>
      </w:r>
      <w:r w:rsidR="00CA162B">
        <w:rPr>
          <w:rStyle w:val="FootnoteReference"/>
          <w:rFonts w:ascii="Arial" w:hAnsi="Arial" w:cs="Arial"/>
          <w:lang w:val="en-AU"/>
        </w:rPr>
        <w:footnoteReference w:id="6"/>
      </w:r>
      <w:r w:rsidR="00867AFD">
        <w:rPr>
          <w:rFonts w:ascii="Arial" w:hAnsi="Arial" w:cs="Arial"/>
          <w:lang w:val="en-AU"/>
        </w:rPr>
        <w:t xml:space="preserve">  </w:t>
      </w:r>
      <w:r w:rsidR="00CA162B">
        <w:rPr>
          <w:rFonts w:ascii="Arial" w:hAnsi="Arial" w:cs="Arial"/>
          <w:lang w:val="en-AU"/>
        </w:rPr>
        <w:t xml:space="preserve">It gives effect to the </w:t>
      </w:r>
      <w:r w:rsidR="00CE4544">
        <w:rPr>
          <w:rFonts w:ascii="Arial" w:hAnsi="Arial" w:cs="Arial"/>
          <w:lang w:val="en-AU"/>
        </w:rPr>
        <w:t>accepted limitation</w:t>
      </w:r>
      <w:r w:rsidR="00CA162B">
        <w:rPr>
          <w:rFonts w:ascii="Arial" w:hAnsi="Arial" w:cs="Arial"/>
          <w:lang w:val="en-AU"/>
        </w:rPr>
        <w:t xml:space="preserve"> of objec</w:t>
      </w:r>
      <w:r w:rsidR="00CE4544">
        <w:rPr>
          <w:rFonts w:ascii="Arial" w:hAnsi="Arial" w:cs="Arial"/>
          <w:lang w:val="en-AU"/>
        </w:rPr>
        <w:t>tive justification</w:t>
      </w:r>
      <w:r w:rsidR="00CA162B">
        <w:rPr>
          <w:rFonts w:ascii="Arial" w:hAnsi="Arial" w:cs="Arial"/>
          <w:lang w:val="en-AU"/>
        </w:rPr>
        <w:t xml:space="preserve">.  </w:t>
      </w:r>
      <w:r w:rsidR="008970A8">
        <w:rPr>
          <w:rFonts w:ascii="Arial" w:hAnsi="Arial" w:cs="Arial"/>
          <w:lang w:val="en-AU"/>
        </w:rPr>
        <w:t>I</w:t>
      </w:r>
      <w:r w:rsidR="00867AFD">
        <w:rPr>
          <w:rFonts w:ascii="Arial" w:hAnsi="Arial" w:cs="Arial"/>
          <w:lang w:val="en-AU"/>
        </w:rPr>
        <w:t>n the Act</w:t>
      </w:r>
      <w:r w:rsidR="008970A8">
        <w:rPr>
          <w:rFonts w:ascii="Arial" w:hAnsi="Arial" w:cs="Arial"/>
          <w:lang w:val="en-AU"/>
        </w:rPr>
        <w:t>,</w:t>
      </w:r>
      <w:r w:rsidR="00867AFD">
        <w:rPr>
          <w:rFonts w:ascii="Arial" w:hAnsi="Arial" w:cs="Arial"/>
          <w:lang w:val="en-AU"/>
        </w:rPr>
        <w:t xml:space="preserve"> the onus of proving that a condition, </w:t>
      </w:r>
      <w:r w:rsidR="00867AFD">
        <w:rPr>
          <w:rFonts w:ascii="Arial" w:hAnsi="Arial" w:cs="Arial"/>
          <w:lang w:val="en-AU"/>
        </w:rPr>
        <w:lastRenderedPageBreak/>
        <w:t>requirement, or practice is reasonable</w:t>
      </w:r>
      <w:r w:rsidR="008970A8">
        <w:rPr>
          <w:rFonts w:ascii="Arial" w:hAnsi="Arial" w:cs="Arial"/>
          <w:lang w:val="en-AU"/>
        </w:rPr>
        <w:t>,</w:t>
      </w:r>
      <w:r w:rsidR="00867AFD">
        <w:rPr>
          <w:rFonts w:ascii="Arial" w:hAnsi="Arial" w:cs="Arial"/>
          <w:lang w:val="en-AU"/>
        </w:rPr>
        <w:t xml:space="preserve"> rests with the person imposing the term.</w:t>
      </w:r>
    </w:p>
    <w:p w14:paraId="3FD1439C" w14:textId="4445A94B" w:rsidR="008970A8" w:rsidRDefault="008970A8"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Without the reasonableness component in the proposed definition of indirect discrimination on the basis of the use of gender-specific language, the prohibition is too broad.  The example in the proposed definition is an employer requiring its employees to stop using the words ‘husband’ and ‘wife’.  There is no consideration given as to whether the requirement is reasonable.  For example, traditionally the words husband and wife suggest marriage.  The requirement not to use the words might be appropriate where the context is not confined to marriage.  </w:t>
      </w:r>
      <w:r w:rsidR="005F0F47">
        <w:rPr>
          <w:rFonts w:ascii="Arial" w:hAnsi="Arial" w:cs="Arial"/>
          <w:lang w:val="en-AU"/>
        </w:rPr>
        <w:t>The absence of the reasonableness test does not allow for consideration of the context and surrounding circumstances.</w:t>
      </w:r>
    </w:p>
    <w:p w14:paraId="0256B84E" w14:textId="6835995C" w:rsidR="008E2FB8" w:rsidRDefault="008E2FB8" w:rsidP="008E2FB8">
      <w:pPr>
        <w:pStyle w:val="Heading2"/>
        <w:rPr>
          <w:lang w:val="en-AU"/>
        </w:rPr>
      </w:pPr>
      <w:bookmarkStart w:id="9" w:name="_Toc529345101"/>
      <w:r>
        <w:rPr>
          <w:lang w:val="en-AU"/>
        </w:rPr>
        <w:t>Protection of businesses and organisations</w:t>
      </w:r>
      <w:bookmarkEnd w:id="9"/>
    </w:p>
    <w:p w14:paraId="4553C2F2" w14:textId="77777777" w:rsidR="00763604" w:rsidRDefault="005F0F47"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Clause 6 would insert a new part 5, section 124B, headed ‘Provision of facilities or services that do not accommodate particular persons’.  It </w:t>
      </w:r>
      <w:r w:rsidR="00763604">
        <w:rPr>
          <w:rFonts w:ascii="Arial" w:hAnsi="Arial" w:cs="Arial"/>
          <w:lang w:val="en-AU"/>
        </w:rPr>
        <w:t>would</w:t>
      </w:r>
      <w:r>
        <w:rPr>
          <w:rFonts w:ascii="Arial" w:hAnsi="Arial" w:cs="Arial"/>
          <w:lang w:val="en-AU"/>
        </w:rPr>
        <w:t xml:space="preserve"> make it unlawful to discriminate against a provider of facilities or services that does not specifically accommodate person</w:t>
      </w:r>
      <w:r w:rsidR="00763604">
        <w:rPr>
          <w:rFonts w:ascii="Arial" w:hAnsi="Arial" w:cs="Arial"/>
          <w:lang w:val="en-AU"/>
        </w:rPr>
        <w:t>s who</w:t>
      </w:r>
      <w:r>
        <w:rPr>
          <w:rFonts w:ascii="Arial" w:hAnsi="Arial" w:cs="Arial"/>
          <w:lang w:val="en-AU"/>
        </w:rPr>
        <w:t xml:space="preserve"> are not male or female or do not identify as male or female.  </w:t>
      </w:r>
    </w:p>
    <w:p w14:paraId="528BCA45" w14:textId="372D1CFD" w:rsidR="008E2FB8" w:rsidRDefault="005F0F47"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The provision is framed in the nature of d</w:t>
      </w:r>
      <w:r w:rsidR="00763604">
        <w:rPr>
          <w:rFonts w:ascii="Arial" w:hAnsi="Arial" w:cs="Arial"/>
          <w:lang w:val="en-AU"/>
        </w:rPr>
        <w:t>irect discrimination</w:t>
      </w:r>
      <w:r w:rsidR="00344F59">
        <w:rPr>
          <w:rFonts w:ascii="Arial" w:hAnsi="Arial" w:cs="Arial"/>
          <w:lang w:val="en-AU"/>
        </w:rPr>
        <w:t xml:space="preserve"> </w:t>
      </w:r>
      <w:r w:rsidR="00C9716F">
        <w:rPr>
          <w:rFonts w:ascii="Arial" w:hAnsi="Arial" w:cs="Arial"/>
          <w:lang w:val="en-AU"/>
        </w:rPr>
        <w:t xml:space="preserve">as if the attribute is </w:t>
      </w:r>
      <w:r w:rsidR="00344F59">
        <w:rPr>
          <w:rFonts w:ascii="Arial" w:hAnsi="Arial" w:cs="Arial"/>
          <w:lang w:val="en-AU"/>
        </w:rPr>
        <w:t>‘</w:t>
      </w:r>
      <w:r w:rsidR="00C9716F">
        <w:rPr>
          <w:rFonts w:ascii="Arial" w:hAnsi="Arial" w:cs="Arial"/>
          <w:lang w:val="en-AU"/>
        </w:rPr>
        <w:t>not specifically accommodating people who are, or do not identify as, male or female</w:t>
      </w:r>
      <w:r w:rsidR="00344F59">
        <w:rPr>
          <w:rFonts w:ascii="Arial" w:hAnsi="Arial" w:cs="Arial"/>
          <w:lang w:val="en-AU"/>
        </w:rPr>
        <w:t>’</w:t>
      </w:r>
      <w:r w:rsidR="00C9716F">
        <w:rPr>
          <w:rFonts w:ascii="Arial" w:hAnsi="Arial" w:cs="Arial"/>
          <w:lang w:val="en-AU"/>
        </w:rPr>
        <w:t>.</w:t>
      </w:r>
      <w:r w:rsidR="00344F59">
        <w:rPr>
          <w:rFonts w:ascii="Arial" w:hAnsi="Arial" w:cs="Arial"/>
          <w:lang w:val="en-AU"/>
        </w:rPr>
        <w:t xml:space="preserve">  There are two examples of the prohibition.  The first</w:t>
      </w:r>
      <w:r w:rsidR="00763604">
        <w:rPr>
          <w:rFonts w:ascii="Arial" w:hAnsi="Arial" w:cs="Arial"/>
          <w:lang w:val="en-AU"/>
        </w:rPr>
        <w:t xml:space="preserve"> is</w:t>
      </w:r>
      <w:r w:rsidR="00344F59">
        <w:rPr>
          <w:rFonts w:ascii="Arial" w:hAnsi="Arial" w:cs="Arial"/>
          <w:lang w:val="en-AU"/>
        </w:rPr>
        <w:t xml:space="preserve"> an advocacy group running a targeted advertising campaign against particular businesses that do not provide gender-neutral bathrooms, and the second is a tender for a contract being unsuccessful because the business does not provide gender-neutral bathrooms.</w:t>
      </w:r>
    </w:p>
    <w:p w14:paraId="58BDEBA0" w14:textId="3DAEF0C5" w:rsidR="00763604" w:rsidRDefault="00763604"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The </w:t>
      </w:r>
      <w:r w:rsidRPr="00763604">
        <w:rPr>
          <w:rFonts w:ascii="Arial" w:hAnsi="Arial" w:cs="Arial"/>
          <w:i/>
          <w:lang w:val="en-AU"/>
        </w:rPr>
        <w:t>Anti-Discrimination Act 1991</w:t>
      </w:r>
      <w:r>
        <w:rPr>
          <w:rFonts w:ascii="Arial" w:hAnsi="Arial" w:cs="Arial"/>
          <w:lang w:val="en-AU"/>
        </w:rPr>
        <w:t xml:space="preserve"> protects certain human rights that are recognised in various international human rights instruments.  The proposed provision purports to give a human rights protection to businesses and organisations.  This is inconsistent with the objects and purposes of the Act.</w:t>
      </w:r>
    </w:p>
    <w:p w14:paraId="7B57988B" w14:textId="65089AB0" w:rsidR="00763604" w:rsidRPr="00C35743" w:rsidRDefault="00763604"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The prohibition would also impinge on the right to freedom of expression</w:t>
      </w:r>
      <w:r w:rsidR="0033216F">
        <w:rPr>
          <w:rFonts w:ascii="Arial" w:hAnsi="Arial" w:cs="Arial"/>
          <w:lang w:val="en-AU"/>
        </w:rPr>
        <w:t xml:space="preserve"> (in the first example)</w:t>
      </w:r>
      <w:r>
        <w:rPr>
          <w:rFonts w:ascii="Arial" w:hAnsi="Arial" w:cs="Arial"/>
          <w:lang w:val="en-AU"/>
        </w:rPr>
        <w:t xml:space="preserve">, and </w:t>
      </w:r>
      <w:r w:rsidR="0033216F">
        <w:rPr>
          <w:rFonts w:ascii="Arial" w:hAnsi="Arial" w:cs="Arial"/>
          <w:lang w:val="en-AU"/>
        </w:rPr>
        <w:t>on commercial freedom in the engagement of contractors</w:t>
      </w:r>
      <w:r w:rsidR="00FE7FE2">
        <w:rPr>
          <w:rFonts w:ascii="Arial" w:hAnsi="Arial" w:cs="Arial"/>
          <w:lang w:val="en-AU"/>
        </w:rPr>
        <w:t xml:space="preserve"> (in the second example)</w:t>
      </w:r>
      <w:r w:rsidR="0033216F">
        <w:rPr>
          <w:rFonts w:ascii="Arial" w:hAnsi="Arial" w:cs="Arial"/>
          <w:lang w:val="en-AU"/>
        </w:rPr>
        <w:t xml:space="preserve">.  These freedoms are not absolute and are subject to various restrictions, including the prohibition on vilification and discrimination on grounds such as race and religion.  The attributes in section 7 of the Act, which include race and religion, are recognised in the international human rights instruments as the grounds on which discrimination is to be prohibited.  The non-provision of gender-neutral </w:t>
      </w:r>
      <w:r w:rsidR="0033216F">
        <w:rPr>
          <w:rFonts w:ascii="Arial" w:hAnsi="Arial" w:cs="Arial"/>
          <w:lang w:val="en-AU"/>
        </w:rPr>
        <w:lastRenderedPageBreak/>
        <w:t xml:space="preserve">facilities or services is </w:t>
      </w:r>
      <w:r w:rsidR="007F4F44">
        <w:rPr>
          <w:rFonts w:ascii="Arial" w:hAnsi="Arial" w:cs="Arial"/>
          <w:lang w:val="en-AU"/>
        </w:rPr>
        <w:t xml:space="preserve">not </w:t>
      </w:r>
      <w:r w:rsidR="0033216F">
        <w:rPr>
          <w:rFonts w:ascii="Arial" w:hAnsi="Arial" w:cs="Arial"/>
          <w:lang w:val="en-AU"/>
        </w:rPr>
        <w:t>recognised as a ground on which discrimination should be prohibited.</w:t>
      </w:r>
    </w:p>
    <w:p w14:paraId="7E7E1CF6" w14:textId="77777777" w:rsidR="001E3A26" w:rsidRPr="00C35743" w:rsidRDefault="001E3A26" w:rsidP="00284FF0">
      <w:pPr>
        <w:pStyle w:val="Heading1"/>
        <w:rPr>
          <w:lang w:val="en-AU"/>
        </w:rPr>
      </w:pPr>
      <w:bookmarkStart w:id="10" w:name="_Toc529345102"/>
      <w:r w:rsidRPr="00C35743">
        <w:rPr>
          <w:lang w:val="en-AU"/>
        </w:rPr>
        <w:t>Conclusion</w:t>
      </w:r>
      <w:bookmarkEnd w:id="10"/>
    </w:p>
    <w:p w14:paraId="472A1722" w14:textId="14253072" w:rsidR="001E3A26" w:rsidRPr="00C35743" w:rsidRDefault="00827429"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The Commission considers the proposed amendments to the Act are either not necessary or are </w:t>
      </w:r>
      <w:r w:rsidR="00EF2CD3">
        <w:rPr>
          <w:rFonts w:ascii="Arial" w:hAnsi="Arial" w:cs="Arial"/>
          <w:lang w:val="en-AU"/>
        </w:rPr>
        <w:t xml:space="preserve">misconceived and </w:t>
      </w:r>
      <w:r>
        <w:rPr>
          <w:rFonts w:ascii="Arial" w:hAnsi="Arial" w:cs="Arial"/>
          <w:lang w:val="en-AU"/>
        </w:rPr>
        <w:t>inconsistent with the purposes of the Act.  Generally there should be an evidence-based need for legislation, and legislation should not be made pre-emptively.</w:t>
      </w:r>
    </w:p>
    <w:p w14:paraId="34C6404E" w14:textId="77777777" w:rsidR="001E3A26" w:rsidRPr="00C35743" w:rsidRDefault="001E3A26" w:rsidP="00284FF0">
      <w:pPr>
        <w:pStyle w:val="Heading1"/>
        <w:rPr>
          <w:lang w:val="en-AU"/>
        </w:rPr>
      </w:pPr>
      <w:bookmarkStart w:id="11" w:name="_Toc529345103"/>
      <w:r w:rsidRPr="00C35743">
        <w:rPr>
          <w:lang w:val="en-AU"/>
        </w:rPr>
        <w:t>Recommendations</w:t>
      </w:r>
      <w:bookmarkEnd w:id="11"/>
      <w:r w:rsidRPr="00C35743">
        <w:rPr>
          <w:lang w:val="en-AU"/>
        </w:rPr>
        <w:t xml:space="preserve"> </w:t>
      </w:r>
    </w:p>
    <w:p w14:paraId="347D4FF6" w14:textId="052CB1AF" w:rsidR="00ED0709" w:rsidRDefault="00827429" w:rsidP="00ED0709">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The Commission recommends that:</w:t>
      </w:r>
    </w:p>
    <w:p w14:paraId="1EA93302" w14:textId="56A0A307" w:rsidR="00827429" w:rsidRDefault="00827429" w:rsidP="00827429">
      <w:pPr>
        <w:pStyle w:val="ListParagraph"/>
        <w:numPr>
          <w:ilvl w:val="1"/>
          <w:numId w:val="4"/>
        </w:numPr>
        <w:spacing w:before="120" w:after="240" w:line="276" w:lineRule="auto"/>
        <w:ind w:hanging="589"/>
        <w:contextualSpacing w:val="0"/>
        <w:rPr>
          <w:rFonts w:ascii="Arial" w:hAnsi="Arial" w:cs="Arial"/>
          <w:lang w:val="en-AU"/>
        </w:rPr>
      </w:pPr>
      <w:r>
        <w:rPr>
          <w:rFonts w:ascii="Arial" w:hAnsi="Arial" w:cs="Arial"/>
          <w:lang w:val="en-AU"/>
        </w:rPr>
        <w:t>The Bill should not be passed.</w:t>
      </w:r>
    </w:p>
    <w:p w14:paraId="6B9B2060" w14:textId="602667F8" w:rsidR="00827429" w:rsidRDefault="00827429" w:rsidP="00827429">
      <w:pPr>
        <w:pStyle w:val="ListParagraph"/>
        <w:numPr>
          <w:ilvl w:val="1"/>
          <w:numId w:val="4"/>
        </w:numPr>
        <w:spacing w:before="120" w:after="240" w:line="276" w:lineRule="auto"/>
        <w:ind w:hanging="589"/>
        <w:contextualSpacing w:val="0"/>
        <w:rPr>
          <w:rFonts w:ascii="Arial" w:hAnsi="Arial" w:cs="Arial"/>
          <w:lang w:val="en-AU"/>
        </w:rPr>
      </w:pPr>
      <w:r>
        <w:rPr>
          <w:rFonts w:ascii="Arial" w:hAnsi="Arial" w:cs="Arial"/>
          <w:lang w:val="en-AU"/>
        </w:rPr>
        <w:t>In the alternative, the following amendments should be made to the Bill:</w:t>
      </w:r>
    </w:p>
    <w:p w14:paraId="3C6F89E8" w14:textId="5C919197" w:rsidR="00827429" w:rsidRDefault="00827429" w:rsidP="00827429">
      <w:pPr>
        <w:pStyle w:val="ListParagraph"/>
        <w:numPr>
          <w:ilvl w:val="2"/>
          <w:numId w:val="4"/>
        </w:numPr>
        <w:spacing w:before="120" w:after="240" w:line="276" w:lineRule="auto"/>
        <w:ind w:hanging="459"/>
        <w:contextualSpacing w:val="0"/>
        <w:rPr>
          <w:rFonts w:ascii="Arial" w:hAnsi="Arial" w:cs="Arial"/>
          <w:lang w:val="en-AU"/>
        </w:rPr>
      </w:pPr>
      <w:r>
        <w:rPr>
          <w:rFonts w:ascii="Arial" w:hAnsi="Arial" w:cs="Arial"/>
          <w:lang w:val="en-AU"/>
        </w:rPr>
        <w:t>In clause 4, delete the second example to the proposed section 10(1A);</w:t>
      </w:r>
    </w:p>
    <w:p w14:paraId="578B4571" w14:textId="2EB24D8E" w:rsidR="00827429" w:rsidRDefault="00827429" w:rsidP="00827429">
      <w:pPr>
        <w:pStyle w:val="ListParagraph"/>
        <w:numPr>
          <w:ilvl w:val="2"/>
          <w:numId w:val="4"/>
        </w:numPr>
        <w:spacing w:before="120" w:after="240" w:line="276" w:lineRule="auto"/>
        <w:ind w:hanging="459"/>
        <w:contextualSpacing w:val="0"/>
        <w:rPr>
          <w:rFonts w:ascii="Arial" w:hAnsi="Arial" w:cs="Arial"/>
          <w:lang w:val="en-AU"/>
        </w:rPr>
      </w:pPr>
      <w:r>
        <w:rPr>
          <w:rFonts w:ascii="Arial" w:hAnsi="Arial" w:cs="Arial"/>
          <w:lang w:val="en-AU"/>
        </w:rPr>
        <w:t xml:space="preserve">In clause 5, incorporate the proportionality test and the reasonableness test in conformity with existing section 11 of the </w:t>
      </w:r>
      <w:r w:rsidRPr="00CE4544">
        <w:rPr>
          <w:rFonts w:ascii="Arial" w:hAnsi="Arial" w:cs="Arial"/>
          <w:i/>
          <w:lang w:val="en-AU"/>
        </w:rPr>
        <w:t>Anti-Discrimination Act 1991</w:t>
      </w:r>
      <w:r w:rsidR="00CE4544">
        <w:rPr>
          <w:rFonts w:ascii="Arial" w:hAnsi="Arial" w:cs="Arial"/>
          <w:lang w:val="en-AU"/>
        </w:rPr>
        <w:t xml:space="preserve"> and delete the example</w:t>
      </w:r>
      <w:r>
        <w:rPr>
          <w:rFonts w:ascii="Arial" w:hAnsi="Arial" w:cs="Arial"/>
          <w:lang w:val="en-AU"/>
        </w:rPr>
        <w:t>; and</w:t>
      </w:r>
    </w:p>
    <w:p w14:paraId="12D5566C" w14:textId="0CF10C4A" w:rsidR="00827429" w:rsidRPr="00C35743" w:rsidRDefault="00827429" w:rsidP="00827429">
      <w:pPr>
        <w:pStyle w:val="ListParagraph"/>
        <w:numPr>
          <w:ilvl w:val="2"/>
          <w:numId w:val="4"/>
        </w:numPr>
        <w:spacing w:before="120" w:after="240" w:line="276" w:lineRule="auto"/>
        <w:ind w:hanging="459"/>
        <w:contextualSpacing w:val="0"/>
        <w:rPr>
          <w:rFonts w:ascii="Arial" w:hAnsi="Arial" w:cs="Arial"/>
          <w:lang w:val="en-AU"/>
        </w:rPr>
      </w:pPr>
      <w:r>
        <w:rPr>
          <w:rFonts w:ascii="Arial" w:hAnsi="Arial" w:cs="Arial"/>
          <w:lang w:val="en-AU"/>
        </w:rPr>
        <w:t>D</w:t>
      </w:r>
      <w:r w:rsidR="00CE4544">
        <w:rPr>
          <w:rFonts w:ascii="Arial" w:hAnsi="Arial" w:cs="Arial"/>
          <w:lang w:val="en-AU"/>
        </w:rPr>
        <w:t>elete</w:t>
      </w:r>
      <w:r>
        <w:rPr>
          <w:rFonts w:ascii="Arial" w:hAnsi="Arial" w:cs="Arial"/>
          <w:lang w:val="en-AU"/>
        </w:rPr>
        <w:t xml:space="preserve"> clause 6.</w:t>
      </w:r>
    </w:p>
    <w:sectPr w:rsidR="00827429" w:rsidRPr="00C35743" w:rsidSect="000731D3">
      <w:headerReference w:type="default" r:id="rId10"/>
      <w:footerReference w:type="default" r:id="rId11"/>
      <w:headerReference w:type="first" r:id="rId12"/>
      <w:footerReference w:type="first" r:id="rId13"/>
      <w:pgSz w:w="11900" w:h="16840" w:code="9"/>
      <w:pgMar w:top="1440" w:right="1701" w:bottom="1361" w:left="1701"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44654" w14:textId="77777777" w:rsidR="002E433B" w:rsidRDefault="002E433B" w:rsidP="0034134D">
      <w:r>
        <w:separator/>
      </w:r>
    </w:p>
  </w:endnote>
  <w:endnote w:type="continuationSeparator" w:id="0">
    <w:p w14:paraId="5FD35D1D" w14:textId="77777777" w:rsidR="002E433B" w:rsidRDefault="002E433B"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712B8" w14:textId="77777777" w:rsidR="00763604" w:rsidRDefault="00763604" w:rsidP="000731D3">
    <w:pPr>
      <w:pStyle w:val="Footer"/>
      <w:pBdr>
        <w:top w:val="single" w:sz="4" w:space="1" w:color="auto"/>
      </w:pBdr>
      <w:jc w:val="right"/>
      <w:rPr>
        <w:rFonts w:ascii="Arial" w:hAnsi="Arial" w:cs="Arial"/>
        <w:sz w:val="20"/>
        <w:szCs w:val="20"/>
      </w:rPr>
    </w:pPr>
  </w:p>
  <w:p w14:paraId="69DA0D19" w14:textId="53DC7EE5" w:rsidR="00763604" w:rsidRPr="000731D3" w:rsidRDefault="00763604" w:rsidP="000731D3">
    <w:pPr>
      <w:pStyle w:val="Footer"/>
      <w:jc w:val="right"/>
      <w:rPr>
        <w:rFonts w:ascii="Arial" w:hAnsi="Arial" w:cs="Arial"/>
        <w:sz w:val="20"/>
        <w:szCs w:val="20"/>
      </w:rPr>
    </w:pPr>
    <w:r w:rsidRPr="004A2375">
      <w:rPr>
        <w:rFonts w:ascii="Arial" w:hAnsi="Arial" w:cs="Arial"/>
        <w:sz w:val="20"/>
        <w:szCs w:val="20"/>
      </w:rPr>
      <w:t xml:space="preserve">Page | </w:t>
    </w:r>
    <w:r w:rsidRPr="004A2375">
      <w:rPr>
        <w:rFonts w:ascii="Arial" w:hAnsi="Arial" w:cs="Arial"/>
        <w:sz w:val="20"/>
        <w:szCs w:val="20"/>
      </w:rPr>
      <w:fldChar w:fldCharType="begin"/>
    </w:r>
    <w:r w:rsidRPr="004A2375">
      <w:rPr>
        <w:rFonts w:ascii="Arial" w:hAnsi="Arial" w:cs="Arial"/>
        <w:sz w:val="20"/>
        <w:szCs w:val="20"/>
      </w:rPr>
      <w:instrText xml:space="preserve"> PAGE   \* MERGEFORMAT </w:instrText>
    </w:r>
    <w:r w:rsidRPr="004A2375">
      <w:rPr>
        <w:rFonts w:ascii="Arial" w:hAnsi="Arial" w:cs="Arial"/>
        <w:sz w:val="20"/>
        <w:szCs w:val="20"/>
      </w:rPr>
      <w:fldChar w:fldCharType="separate"/>
    </w:r>
    <w:r w:rsidR="00B360EA">
      <w:rPr>
        <w:rFonts w:ascii="Arial" w:hAnsi="Arial" w:cs="Arial"/>
        <w:noProof/>
        <w:sz w:val="20"/>
        <w:szCs w:val="20"/>
      </w:rPr>
      <w:t>5</w:t>
    </w:r>
    <w:r w:rsidRPr="004A2375">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E676B" w14:textId="77777777" w:rsidR="00763604" w:rsidRDefault="00763604" w:rsidP="000731D3">
    <w:pPr>
      <w:pStyle w:val="Footer"/>
      <w:pBdr>
        <w:top w:val="single" w:sz="4" w:space="1" w:color="auto"/>
      </w:pBdr>
      <w:jc w:val="right"/>
      <w:rPr>
        <w:rFonts w:ascii="Arial" w:hAnsi="Arial" w:cs="Arial"/>
        <w:sz w:val="20"/>
        <w:szCs w:val="20"/>
      </w:rPr>
    </w:pPr>
  </w:p>
  <w:p w14:paraId="599B2A3F" w14:textId="3C0523F3" w:rsidR="00763604" w:rsidRPr="004A2375" w:rsidRDefault="00763604" w:rsidP="000731D3">
    <w:pPr>
      <w:pStyle w:val="Footer"/>
      <w:jc w:val="right"/>
      <w:rPr>
        <w:rFonts w:ascii="Arial" w:hAnsi="Arial" w:cs="Arial"/>
        <w:sz w:val="20"/>
        <w:szCs w:val="20"/>
      </w:rPr>
    </w:pPr>
    <w:r w:rsidRPr="004A2375">
      <w:rPr>
        <w:rFonts w:ascii="Arial" w:hAnsi="Arial" w:cs="Arial"/>
        <w:sz w:val="20"/>
        <w:szCs w:val="20"/>
      </w:rPr>
      <w:t xml:space="preserve">Page | </w:t>
    </w:r>
    <w:r w:rsidRPr="004A2375">
      <w:rPr>
        <w:rFonts w:ascii="Arial" w:hAnsi="Arial" w:cs="Arial"/>
        <w:sz w:val="20"/>
        <w:szCs w:val="20"/>
      </w:rPr>
      <w:fldChar w:fldCharType="begin"/>
    </w:r>
    <w:r w:rsidRPr="004A2375">
      <w:rPr>
        <w:rFonts w:ascii="Arial" w:hAnsi="Arial" w:cs="Arial"/>
        <w:sz w:val="20"/>
        <w:szCs w:val="20"/>
      </w:rPr>
      <w:instrText xml:space="preserve"> PAGE   \* MERGEFORMAT </w:instrText>
    </w:r>
    <w:r w:rsidRPr="004A2375">
      <w:rPr>
        <w:rFonts w:ascii="Arial" w:hAnsi="Arial" w:cs="Arial"/>
        <w:sz w:val="20"/>
        <w:szCs w:val="20"/>
      </w:rPr>
      <w:fldChar w:fldCharType="separate"/>
    </w:r>
    <w:r w:rsidR="00310CB2">
      <w:rPr>
        <w:rFonts w:ascii="Arial" w:hAnsi="Arial" w:cs="Arial"/>
        <w:noProof/>
        <w:sz w:val="20"/>
        <w:szCs w:val="20"/>
      </w:rPr>
      <w:t>1</w:t>
    </w:r>
    <w:r w:rsidRPr="004A2375">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D0577" w14:textId="77777777" w:rsidR="002E433B" w:rsidRDefault="002E433B" w:rsidP="0034134D">
      <w:r>
        <w:separator/>
      </w:r>
    </w:p>
  </w:footnote>
  <w:footnote w:type="continuationSeparator" w:id="0">
    <w:p w14:paraId="30E1C92F" w14:textId="77777777" w:rsidR="002E433B" w:rsidRDefault="002E433B" w:rsidP="0034134D">
      <w:r>
        <w:continuationSeparator/>
      </w:r>
    </w:p>
  </w:footnote>
  <w:footnote w:id="1">
    <w:p w14:paraId="53AC476A" w14:textId="15D3F0E7" w:rsidR="00763604" w:rsidRPr="00BB0B80" w:rsidRDefault="00763604">
      <w:pPr>
        <w:pStyle w:val="FootnoteText"/>
        <w:rPr>
          <w:rFonts w:ascii="Arial" w:hAnsi="Arial" w:cs="Arial"/>
          <w:sz w:val="20"/>
          <w:szCs w:val="20"/>
        </w:rPr>
      </w:pPr>
      <w:r w:rsidRPr="0034134D">
        <w:rPr>
          <w:rStyle w:val="FootnoteReference"/>
          <w:rFonts w:ascii="Arial" w:hAnsi="Arial" w:cs="Arial"/>
        </w:rPr>
        <w:footnoteRef/>
      </w:r>
      <w:r w:rsidRPr="0034134D">
        <w:rPr>
          <w:rFonts w:ascii="Arial" w:hAnsi="Arial" w:cs="Arial"/>
        </w:rPr>
        <w:t xml:space="preserve"> </w:t>
      </w:r>
      <w:r w:rsidRPr="00BB0B80">
        <w:rPr>
          <w:rFonts w:ascii="Arial" w:hAnsi="Arial" w:cs="Arial"/>
          <w:i/>
          <w:sz w:val="20"/>
          <w:szCs w:val="20"/>
        </w:rPr>
        <w:t>AB v Western Aus</w:t>
      </w:r>
      <w:r>
        <w:rPr>
          <w:rFonts w:ascii="Arial" w:hAnsi="Arial" w:cs="Arial"/>
          <w:i/>
          <w:sz w:val="20"/>
          <w:szCs w:val="20"/>
        </w:rPr>
        <w:t xml:space="preserve">tralia </w:t>
      </w:r>
      <w:r>
        <w:rPr>
          <w:rFonts w:ascii="Arial" w:hAnsi="Arial" w:cs="Arial"/>
          <w:sz w:val="20"/>
          <w:szCs w:val="20"/>
        </w:rPr>
        <w:t>(2011) 244 CLR 390, [2011] HCA 42</w:t>
      </w:r>
      <w:r w:rsidRPr="00BB0B80">
        <w:rPr>
          <w:rFonts w:ascii="Arial" w:hAnsi="Arial" w:cs="Arial"/>
          <w:i/>
          <w:sz w:val="20"/>
          <w:szCs w:val="20"/>
        </w:rPr>
        <w:t xml:space="preserve">; </w:t>
      </w:r>
      <w:r>
        <w:rPr>
          <w:rFonts w:ascii="Arial" w:hAnsi="Arial" w:cs="Arial"/>
          <w:i/>
          <w:sz w:val="20"/>
          <w:szCs w:val="20"/>
        </w:rPr>
        <w:t xml:space="preserve">NSW Registrar of Births, Deaths and Marriages v </w:t>
      </w:r>
      <w:r w:rsidRPr="00BB0B80">
        <w:rPr>
          <w:rFonts w:ascii="Arial" w:hAnsi="Arial" w:cs="Arial"/>
          <w:i/>
          <w:sz w:val="20"/>
          <w:szCs w:val="20"/>
        </w:rPr>
        <w:t>Norrie</w:t>
      </w:r>
      <w:r>
        <w:rPr>
          <w:rFonts w:ascii="Arial" w:hAnsi="Arial" w:cs="Arial"/>
          <w:sz w:val="20"/>
          <w:szCs w:val="20"/>
        </w:rPr>
        <w:t xml:space="preserve"> [2014] HCA 11.</w:t>
      </w:r>
    </w:p>
  </w:footnote>
  <w:footnote w:id="2">
    <w:p w14:paraId="7BE6F211" w14:textId="4F3C0407" w:rsidR="00763604" w:rsidRPr="00044A7F" w:rsidRDefault="00763604">
      <w:pPr>
        <w:pStyle w:val="FootnoteText"/>
        <w:rPr>
          <w:rFonts w:ascii="Arial" w:hAnsi="Arial" w:cs="Arial"/>
          <w:sz w:val="20"/>
          <w:szCs w:val="20"/>
        </w:rPr>
      </w:pPr>
      <w:r w:rsidRPr="00044A7F">
        <w:rPr>
          <w:rStyle w:val="FootnoteReference"/>
          <w:rFonts w:ascii="Arial" w:hAnsi="Arial" w:cs="Arial"/>
          <w:sz w:val="20"/>
          <w:szCs w:val="20"/>
        </w:rPr>
        <w:footnoteRef/>
      </w:r>
      <w:r w:rsidRPr="00044A7F">
        <w:rPr>
          <w:rFonts w:ascii="Arial" w:hAnsi="Arial" w:cs="Arial"/>
          <w:sz w:val="20"/>
          <w:szCs w:val="20"/>
        </w:rPr>
        <w:t xml:space="preserve"> In </w:t>
      </w:r>
      <w:r w:rsidRPr="00CC2E5C">
        <w:rPr>
          <w:rFonts w:ascii="Arial" w:hAnsi="Arial" w:cs="Arial"/>
          <w:i/>
          <w:sz w:val="20"/>
          <w:szCs w:val="20"/>
        </w:rPr>
        <w:t>Wright v Bishop</w:t>
      </w:r>
      <w:r w:rsidRPr="00CC2E5C">
        <w:rPr>
          <w:rFonts w:ascii="Arial" w:hAnsi="Arial" w:cs="Arial"/>
          <w:sz w:val="20"/>
          <w:szCs w:val="20"/>
        </w:rPr>
        <w:t xml:space="preserve"> [2018] QIRC 7, the Queensland Industrial Relations Commission considered that the ordinary meaning of ‘sex’ is ‘The character of being either male or female … the sum of the anatomical and physiological differences with reference to which the male and the female are distinguished, or the phenomena depending on these differences … men c</w:t>
      </w:r>
      <w:r>
        <w:rPr>
          <w:rFonts w:ascii="Arial" w:hAnsi="Arial" w:cs="Arial"/>
          <w:sz w:val="20"/>
          <w:szCs w:val="20"/>
        </w:rPr>
        <w:t>ollectively or women collectivel</w:t>
      </w:r>
      <w:r w:rsidRPr="00CC2E5C">
        <w:rPr>
          <w:rFonts w:ascii="Arial" w:hAnsi="Arial" w:cs="Arial"/>
          <w:sz w:val="20"/>
          <w:szCs w:val="20"/>
        </w:rPr>
        <w:t>y’ .</w:t>
      </w:r>
    </w:p>
  </w:footnote>
  <w:footnote w:id="3">
    <w:p w14:paraId="59C8643C" w14:textId="7DB2A7DD" w:rsidR="00763604" w:rsidRPr="005009D5" w:rsidRDefault="00763604">
      <w:pPr>
        <w:pStyle w:val="FootnoteText"/>
        <w:rPr>
          <w:rFonts w:ascii="Arial" w:hAnsi="Arial" w:cs="Arial"/>
          <w:sz w:val="20"/>
          <w:szCs w:val="20"/>
        </w:rPr>
      </w:pPr>
      <w:r w:rsidRPr="005009D5">
        <w:rPr>
          <w:rStyle w:val="FootnoteReference"/>
          <w:rFonts w:ascii="Arial" w:hAnsi="Arial" w:cs="Arial"/>
          <w:sz w:val="20"/>
          <w:szCs w:val="20"/>
        </w:rPr>
        <w:footnoteRef/>
      </w:r>
      <w:r w:rsidRPr="005009D5">
        <w:rPr>
          <w:rFonts w:ascii="Arial" w:hAnsi="Arial" w:cs="Arial"/>
          <w:sz w:val="20"/>
          <w:szCs w:val="20"/>
        </w:rPr>
        <w:t xml:space="preserve"> </w:t>
      </w:r>
      <w:r>
        <w:rPr>
          <w:rFonts w:ascii="Arial" w:hAnsi="Arial" w:cs="Arial"/>
          <w:sz w:val="20"/>
          <w:szCs w:val="20"/>
        </w:rPr>
        <w:t xml:space="preserve">In the </w:t>
      </w:r>
      <w:r w:rsidRPr="00735BA1">
        <w:rPr>
          <w:rFonts w:ascii="Arial" w:hAnsi="Arial" w:cs="Arial"/>
          <w:i/>
          <w:sz w:val="20"/>
          <w:szCs w:val="20"/>
        </w:rPr>
        <w:t>Sex Discrimination Act 1984</w:t>
      </w:r>
      <w:r>
        <w:rPr>
          <w:rFonts w:ascii="Arial" w:hAnsi="Arial" w:cs="Arial"/>
          <w:sz w:val="20"/>
          <w:szCs w:val="20"/>
        </w:rPr>
        <w:t xml:space="preserve">, </w:t>
      </w:r>
      <w:r w:rsidRPr="00735BA1">
        <w:rPr>
          <w:rFonts w:ascii="Arial" w:hAnsi="Arial" w:cs="Arial"/>
          <w:b/>
          <w:i/>
          <w:sz w:val="20"/>
          <w:szCs w:val="20"/>
        </w:rPr>
        <w:t>gender identity</w:t>
      </w:r>
      <w:r w:rsidRPr="00735BA1">
        <w:rPr>
          <w:rFonts w:ascii="Arial" w:hAnsi="Arial" w:cs="Arial"/>
          <w:sz w:val="20"/>
          <w:szCs w:val="20"/>
        </w:rPr>
        <w:t xml:space="preserve"> means</w:t>
      </w:r>
      <w:r>
        <w:rPr>
          <w:rFonts w:ascii="Arial" w:hAnsi="Arial" w:cs="Arial"/>
          <w:sz w:val="20"/>
          <w:szCs w:val="20"/>
        </w:rPr>
        <w:t xml:space="preserve"> the gender-related identity, appearance or mannerisms or other gender-related characteristics of a person (whether by way of medical intervention or not), with or without regard to the person’s designated sex at birth.</w:t>
      </w:r>
    </w:p>
  </w:footnote>
  <w:footnote w:id="4">
    <w:p w14:paraId="7401B8F5" w14:textId="114CE516" w:rsidR="00763604" w:rsidRPr="00253B42" w:rsidRDefault="00763604">
      <w:pPr>
        <w:pStyle w:val="FootnoteText"/>
        <w:rPr>
          <w:rFonts w:ascii="Arial" w:hAnsi="Arial" w:cs="Arial"/>
          <w:sz w:val="20"/>
          <w:szCs w:val="20"/>
        </w:rPr>
      </w:pPr>
      <w:r w:rsidRPr="00253B42">
        <w:rPr>
          <w:rStyle w:val="FootnoteReference"/>
          <w:rFonts w:ascii="Arial" w:hAnsi="Arial" w:cs="Arial"/>
          <w:sz w:val="20"/>
          <w:szCs w:val="20"/>
        </w:rPr>
        <w:footnoteRef/>
      </w:r>
      <w:r w:rsidRPr="00253B42">
        <w:rPr>
          <w:rFonts w:ascii="Arial" w:hAnsi="Arial" w:cs="Arial"/>
          <w:sz w:val="20"/>
          <w:szCs w:val="20"/>
        </w:rPr>
        <w:t xml:space="preserve"> </w:t>
      </w:r>
      <w:r w:rsidRPr="00253B42">
        <w:rPr>
          <w:rFonts w:ascii="Arial" w:hAnsi="Arial" w:cs="Arial"/>
          <w:i/>
          <w:sz w:val="20"/>
          <w:szCs w:val="20"/>
        </w:rPr>
        <w:t>Acts Interpretation Act 1954</w:t>
      </w:r>
      <w:r w:rsidRPr="00253B42">
        <w:rPr>
          <w:rFonts w:ascii="Arial" w:hAnsi="Arial" w:cs="Arial"/>
          <w:sz w:val="20"/>
          <w:szCs w:val="20"/>
        </w:rPr>
        <w:t>, section</w:t>
      </w:r>
      <w:r>
        <w:rPr>
          <w:rFonts w:ascii="Arial" w:hAnsi="Arial" w:cs="Arial"/>
          <w:sz w:val="20"/>
          <w:szCs w:val="20"/>
        </w:rPr>
        <w:t xml:space="preserve"> 14(3).</w:t>
      </w:r>
    </w:p>
  </w:footnote>
  <w:footnote w:id="5">
    <w:p w14:paraId="26341380" w14:textId="7AE5D305" w:rsidR="00763604" w:rsidRPr="00EA0FB4" w:rsidRDefault="00763604">
      <w:pPr>
        <w:pStyle w:val="FootnoteText"/>
        <w:rPr>
          <w:rFonts w:ascii="Arial" w:hAnsi="Arial" w:cs="Arial"/>
          <w:sz w:val="20"/>
          <w:szCs w:val="20"/>
        </w:rPr>
      </w:pPr>
      <w:r w:rsidRPr="00EA0FB4">
        <w:rPr>
          <w:rStyle w:val="FootnoteReference"/>
          <w:rFonts w:ascii="Arial" w:hAnsi="Arial" w:cs="Arial"/>
          <w:sz w:val="20"/>
          <w:szCs w:val="20"/>
        </w:rPr>
        <w:footnoteRef/>
      </w:r>
      <w:r w:rsidRPr="00EA0FB4">
        <w:rPr>
          <w:rFonts w:ascii="Arial" w:hAnsi="Arial" w:cs="Arial"/>
          <w:sz w:val="20"/>
          <w:szCs w:val="20"/>
        </w:rPr>
        <w:t xml:space="preserve"> For example, indirect discrimination in the </w:t>
      </w:r>
      <w:r w:rsidRPr="00EA0FB4">
        <w:rPr>
          <w:rFonts w:ascii="Arial" w:hAnsi="Arial" w:cs="Arial"/>
          <w:i/>
          <w:sz w:val="20"/>
          <w:szCs w:val="20"/>
        </w:rPr>
        <w:t>Sex Discrimination Act 1984</w:t>
      </w:r>
      <w:r w:rsidRPr="00EA0FB4">
        <w:rPr>
          <w:rFonts w:ascii="Arial" w:hAnsi="Arial" w:cs="Arial"/>
          <w:sz w:val="20"/>
          <w:szCs w:val="20"/>
        </w:rPr>
        <w:t xml:space="preserve"> (Cth).</w:t>
      </w:r>
    </w:p>
  </w:footnote>
  <w:footnote w:id="6">
    <w:p w14:paraId="442972F0" w14:textId="27D3811B" w:rsidR="00763604" w:rsidRPr="001F3F19" w:rsidRDefault="00763604">
      <w:pPr>
        <w:pStyle w:val="FootnoteText"/>
        <w:rPr>
          <w:rFonts w:ascii="Arial" w:hAnsi="Arial" w:cs="Arial"/>
          <w:sz w:val="20"/>
          <w:szCs w:val="20"/>
        </w:rPr>
      </w:pPr>
      <w:r w:rsidRPr="001F3F19">
        <w:rPr>
          <w:rStyle w:val="FootnoteReference"/>
          <w:rFonts w:ascii="Arial" w:hAnsi="Arial" w:cs="Arial"/>
          <w:sz w:val="20"/>
          <w:szCs w:val="20"/>
        </w:rPr>
        <w:footnoteRef/>
      </w:r>
      <w:r w:rsidRPr="001F3F19">
        <w:rPr>
          <w:rFonts w:ascii="Arial" w:hAnsi="Arial" w:cs="Arial"/>
          <w:sz w:val="20"/>
          <w:szCs w:val="20"/>
        </w:rPr>
        <w:t xml:space="preserve"> Titia Loenen, ‘</w:t>
      </w:r>
      <w:r>
        <w:rPr>
          <w:rFonts w:ascii="Arial" w:hAnsi="Arial" w:cs="Arial"/>
          <w:sz w:val="20"/>
          <w:szCs w:val="20"/>
        </w:rPr>
        <w:t>I</w:t>
      </w:r>
      <w:r w:rsidRPr="001F3F19">
        <w:rPr>
          <w:rFonts w:ascii="Arial" w:hAnsi="Arial" w:cs="Arial"/>
          <w:sz w:val="20"/>
          <w:szCs w:val="20"/>
        </w:rPr>
        <w:t xml:space="preserve">ndirect discrimination as a vehicle for change’ (2000) 6 (2) </w:t>
      </w:r>
      <w:r w:rsidRPr="001F3F19">
        <w:rPr>
          <w:rFonts w:ascii="Arial" w:hAnsi="Arial" w:cs="Arial"/>
          <w:i/>
          <w:sz w:val="20"/>
          <w:szCs w:val="20"/>
        </w:rPr>
        <w:t xml:space="preserve">Australian Journal of Human Rights </w:t>
      </w:r>
      <w:r w:rsidRPr="001F3F19">
        <w:rPr>
          <w:rFonts w:ascii="Arial" w:hAnsi="Arial" w:cs="Arial"/>
          <w:sz w:val="20"/>
          <w:szCs w:val="20"/>
        </w:rPr>
        <w:t>77.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53FB5" w14:textId="77777777" w:rsidR="00763604" w:rsidRDefault="00763604" w:rsidP="000731D3">
    <w:pPr>
      <w:pStyle w:val="Header"/>
      <w:tabs>
        <w:tab w:val="clear" w:pos="4513"/>
        <w:tab w:val="clear" w:pos="9026"/>
      </w:tabs>
      <w:spacing w:before="240"/>
      <w:jc w:val="center"/>
    </w:pPr>
    <w:r>
      <w:rPr>
        <w:noProof/>
        <w:lang w:val="en-AU" w:eastAsia="en-AU"/>
      </w:rPr>
      <w:drawing>
        <wp:inline distT="0" distB="0" distL="0" distR="0" wp14:anchorId="7679B1A8" wp14:editId="35A16EFF">
          <wp:extent cx="4935858" cy="704850"/>
          <wp:effectExtent l="0" t="0" r="0" b="0"/>
          <wp:docPr id="1" name="Picture 1" title="Anti-Discrimination Commission Queen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8023" cy="705159"/>
                  </a:xfrm>
                  <a:prstGeom prst="rect">
                    <a:avLst/>
                  </a:prstGeom>
                  <a:noFill/>
                </pic:spPr>
              </pic:pic>
            </a:graphicData>
          </a:graphic>
        </wp:inline>
      </w:drawing>
    </w:r>
  </w:p>
  <w:p w14:paraId="45EB8123" w14:textId="77777777" w:rsidR="00763604" w:rsidRDefault="00763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B0400" w14:textId="77777777" w:rsidR="00763604" w:rsidRPr="000731D3" w:rsidRDefault="00763604" w:rsidP="000731D3">
    <w:pPr>
      <w:pStyle w:val="Header"/>
      <w:rPr>
        <w:rFonts w:ascii="Arial" w:hAnsi="Arial" w:cs="Arial"/>
        <w:color w:val="365F91" w:themeColor="accent1" w:themeShade="BF"/>
      </w:rPr>
    </w:pPr>
    <w:r w:rsidRPr="000731D3">
      <w:rPr>
        <w:rFonts w:ascii="Arial" w:hAnsi="Arial" w:cs="Arial"/>
        <w:color w:val="365F91" w:themeColor="accent1" w:themeShade="BF"/>
      </w:rPr>
      <w:t xml:space="preserve">Anti-Discrimination (Right to Use Gender-Specific Language) </w:t>
    </w:r>
    <w:r>
      <w:rPr>
        <w:rFonts w:ascii="Arial" w:hAnsi="Arial" w:cs="Arial"/>
        <w:color w:val="365F91" w:themeColor="accent1" w:themeShade="BF"/>
      </w:rPr>
      <w:br/>
    </w:r>
    <w:r w:rsidRPr="000731D3">
      <w:rPr>
        <w:rFonts w:ascii="Arial" w:hAnsi="Arial" w:cs="Arial"/>
        <w:color w:val="365F91" w:themeColor="accent1" w:themeShade="BF"/>
      </w:rPr>
      <w:t>Amendment Bill 2018</w:t>
    </w:r>
  </w:p>
  <w:p w14:paraId="17451CEA" w14:textId="77777777" w:rsidR="00763604" w:rsidRPr="000731D3" w:rsidRDefault="00763604" w:rsidP="000731D3">
    <w:pPr>
      <w:pStyle w:val="Header"/>
      <w:pBdr>
        <w:bottom w:val="single" w:sz="4" w:space="1" w:color="auto"/>
      </w:pBdr>
      <w:rPr>
        <w:rFonts w:ascii="Arial" w:hAnsi="Arial" w:cs="Arial"/>
        <w:sz w:val="20"/>
        <w:szCs w:val="20"/>
      </w:rPr>
    </w:pPr>
  </w:p>
  <w:p w14:paraId="755FC62C" w14:textId="1807F7DE" w:rsidR="00763604" w:rsidRPr="000731D3" w:rsidRDefault="00763604" w:rsidP="00073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2E8CC" w14:textId="77777777" w:rsidR="00763604" w:rsidRPr="000731D3" w:rsidRDefault="00763604" w:rsidP="000731D3">
    <w:pPr>
      <w:pStyle w:val="Header"/>
      <w:rPr>
        <w:rFonts w:ascii="Arial" w:hAnsi="Arial" w:cs="Arial"/>
        <w:color w:val="365F91" w:themeColor="accent1" w:themeShade="BF"/>
      </w:rPr>
    </w:pPr>
    <w:r w:rsidRPr="000731D3">
      <w:rPr>
        <w:rFonts w:ascii="Arial" w:hAnsi="Arial" w:cs="Arial"/>
        <w:color w:val="365F91" w:themeColor="accent1" w:themeShade="BF"/>
      </w:rPr>
      <w:t xml:space="preserve">Anti-Discrimination (Right to Use Gender-Specific Language) </w:t>
    </w:r>
    <w:r>
      <w:rPr>
        <w:rFonts w:ascii="Arial" w:hAnsi="Arial" w:cs="Arial"/>
        <w:color w:val="365F91" w:themeColor="accent1" w:themeShade="BF"/>
      </w:rPr>
      <w:br/>
    </w:r>
    <w:r w:rsidRPr="000731D3">
      <w:rPr>
        <w:rFonts w:ascii="Arial" w:hAnsi="Arial" w:cs="Arial"/>
        <w:color w:val="365F91" w:themeColor="accent1" w:themeShade="BF"/>
      </w:rPr>
      <w:t>Amendment Bill 2018</w:t>
    </w:r>
  </w:p>
  <w:p w14:paraId="1579BEF7" w14:textId="77777777" w:rsidR="00763604" w:rsidRPr="000731D3" w:rsidRDefault="00763604" w:rsidP="000731D3">
    <w:pPr>
      <w:pStyle w:val="Header"/>
      <w:pBdr>
        <w:bottom w:val="single" w:sz="4" w:space="1" w:color="auto"/>
      </w:pBdr>
      <w:rPr>
        <w:rFonts w:ascii="Arial" w:hAnsi="Arial" w:cs="Arial"/>
        <w:sz w:val="20"/>
        <w:szCs w:val="20"/>
      </w:rPr>
    </w:pPr>
  </w:p>
  <w:p w14:paraId="7A9FCFEF" w14:textId="77777777" w:rsidR="00763604" w:rsidRPr="000731D3" w:rsidRDefault="00763604" w:rsidP="000731D3">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DB14587"/>
    <w:multiLevelType w:val="hybridMultilevel"/>
    <w:tmpl w:val="0E5AF610"/>
    <w:lvl w:ilvl="0" w:tplc="0409000F">
      <w:start w:val="1"/>
      <w:numFmt w:val="decimal"/>
      <w:lvlText w:val="%1."/>
      <w:lvlJc w:val="left"/>
      <w:pPr>
        <w:ind w:left="720" w:hanging="360"/>
      </w:pPr>
    </w:lvl>
    <w:lvl w:ilvl="1" w:tplc="4BA20756">
      <w:start w:val="1"/>
      <w:numFmt w:val="decimal"/>
      <w:lvlText w:val="(%2)"/>
      <w:lvlJc w:val="left"/>
      <w:pPr>
        <w:ind w:left="1440" w:hanging="360"/>
      </w:pPr>
      <w:rPr>
        <w:rFonts w:hint="default"/>
        <w:sz w:val="24"/>
      </w:rPr>
    </w:lvl>
    <w:lvl w:ilvl="2" w:tplc="86607A1E">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21C5E17"/>
    <w:multiLevelType w:val="hybridMultilevel"/>
    <w:tmpl w:val="D7A8C4CC"/>
    <w:lvl w:ilvl="0" w:tplc="13620E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7"/>
  </w:num>
  <w:num w:numId="4">
    <w:abstractNumId w:val="2"/>
  </w:num>
  <w:num w:numId="5">
    <w:abstractNumId w:val="4"/>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04C"/>
    <w:rsid w:val="00002F05"/>
    <w:rsid w:val="00044A7F"/>
    <w:rsid w:val="00045B46"/>
    <w:rsid w:val="00057D21"/>
    <w:rsid w:val="000731D3"/>
    <w:rsid w:val="00095FBB"/>
    <w:rsid w:val="000D49A5"/>
    <w:rsid w:val="000F0BC1"/>
    <w:rsid w:val="00121E6F"/>
    <w:rsid w:val="001304EE"/>
    <w:rsid w:val="001825CB"/>
    <w:rsid w:val="00182865"/>
    <w:rsid w:val="001E3A26"/>
    <w:rsid w:val="001F3F19"/>
    <w:rsid w:val="00253B42"/>
    <w:rsid w:val="00284FF0"/>
    <w:rsid w:val="002B65D4"/>
    <w:rsid w:val="002E433B"/>
    <w:rsid w:val="00310CB2"/>
    <w:rsid w:val="00321445"/>
    <w:rsid w:val="0033216F"/>
    <w:rsid w:val="0034134D"/>
    <w:rsid w:val="00344F59"/>
    <w:rsid w:val="00370336"/>
    <w:rsid w:val="00392522"/>
    <w:rsid w:val="003A666E"/>
    <w:rsid w:val="00466216"/>
    <w:rsid w:val="004A2375"/>
    <w:rsid w:val="004A6F71"/>
    <w:rsid w:val="004E58C1"/>
    <w:rsid w:val="004F2CB8"/>
    <w:rsid w:val="005009D5"/>
    <w:rsid w:val="005F0F47"/>
    <w:rsid w:val="006769BF"/>
    <w:rsid w:val="006A7B3A"/>
    <w:rsid w:val="00706A05"/>
    <w:rsid w:val="00735BA1"/>
    <w:rsid w:val="00751AE0"/>
    <w:rsid w:val="00763604"/>
    <w:rsid w:val="007A45D7"/>
    <w:rsid w:val="007F4F44"/>
    <w:rsid w:val="00827429"/>
    <w:rsid w:val="00867AFD"/>
    <w:rsid w:val="008930A1"/>
    <w:rsid w:val="008970A8"/>
    <w:rsid w:val="008E2FB8"/>
    <w:rsid w:val="008E304C"/>
    <w:rsid w:val="00912E7D"/>
    <w:rsid w:val="009D3B40"/>
    <w:rsid w:val="00A023C1"/>
    <w:rsid w:val="00A16356"/>
    <w:rsid w:val="00A35BBA"/>
    <w:rsid w:val="00A45369"/>
    <w:rsid w:val="00A90373"/>
    <w:rsid w:val="00AE3A61"/>
    <w:rsid w:val="00B360EA"/>
    <w:rsid w:val="00B50F67"/>
    <w:rsid w:val="00B82CE9"/>
    <w:rsid w:val="00BB0B80"/>
    <w:rsid w:val="00C35743"/>
    <w:rsid w:val="00C9716F"/>
    <w:rsid w:val="00CA162B"/>
    <w:rsid w:val="00CC2E5C"/>
    <w:rsid w:val="00CE14AA"/>
    <w:rsid w:val="00CE4544"/>
    <w:rsid w:val="00D102EC"/>
    <w:rsid w:val="00D21103"/>
    <w:rsid w:val="00DD7883"/>
    <w:rsid w:val="00E91A9E"/>
    <w:rsid w:val="00E940D7"/>
    <w:rsid w:val="00EA0FB4"/>
    <w:rsid w:val="00ED0709"/>
    <w:rsid w:val="00EF2CD3"/>
    <w:rsid w:val="00F552D1"/>
    <w:rsid w:val="00FB4D15"/>
    <w:rsid w:val="00FE7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1C43028"/>
  <w14:defaultImageDpi w14:val="300"/>
  <w15:docId w15:val="{84B7B20B-96E1-4DE0-B592-91364B68B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84FF0"/>
    <w:pPr>
      <w:keepNext/>
      <w:keepLines/>
      <w:spacing w:before="240"/>
      <w:outlineLvl w:val="0"/>
    </w:pPr>
    <w:rPr>
      <w:rFonts w:ascii="Arial" w:eastAsiaTheme="majorEastAsia" w:hAnsi="Arial" w:cstheme="majorBidi"/>
      <w:b/>
      <w:color w:val="365F91" w:themeColor="accent1" w:themeShade="BF"/>
      <w:sz w:val="28"/>
      <w:szCs w:val="32"/>
    </w:rPr>
  </w:style>
  <w:style w:type="paragraph" w:styleId="Heading2">
    <w:name w:val="heading 2"/>
    <w:basedOn w:val="Normal"/>
    <w:next w:val="Normal"/>
    <w:link w:val="Heading2Char"/>
    <w:uiPriority w:val="9"/>
    <w:unhideWhenUsed/>
    <w:qFormat/>
    <w:rsid w:val="008E2FB8"/>
    <w:pPr>
      <w:keepNext/>
      <w:keepLines/>
      <w:spacing w:before="160" w:after="120"/>
      <w:outlineLvl w:val="1"/>
    </w:pPr>
    <w:rPr>
      <w:rFonts w:ascii="Arial" w:eastAsiaTheme="majorEastAsia" w:hAnsi="Arial"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CE9"/>
    <w:pPr>
      <w:ind w:left="720"/>
      <w:contextualSpacing/>
    </w:pPr>
  </w:style>
  <w:style w:type="paragraph" w:styleId="FootnoteText">
    <w:name w:val="footnote text"/>
    <w:basedOn w:val="Normal"/>
    <w:link w:val="FootnoteTextChar"/>
    <w:uiPriority w:val="99"/>
    <w:unhideWhenUsed/>
    <w:rsid w:val="0034134D"/>
  </w:style>
  <w:style w:type="character" w:customStyle="1" w:styleId="FootnoteTextChar">
    <w:name w:val="Footnote Text Char"/>
    <w:basedOn w:val="DefaultParagraphFont"/>
    <w:link w:val="FootnoteText"/>
    <w:uiPriority w:val="99"/>
    <w:rsid w:val="0034134D"/>
  </w:style>
  <w:style w:type="character" w:styleId="FootnoteReference">
    <w:name w:val="footnote reference"/>
    <w:basedOn w:val="DefaultParagraphFont"/>
    <w:uiPriority w:val="99"/>
    <w:unhideWhenUsed/>
    <w:rsid w:val="0034134D"/>
    <w:rPr>
      <w:vertAlign w:val="superscript"/>
    </w:rPr>
  </w:style>
  <w:style w:type="character" w:customStyle="1" w:styleId="Heading1Char">
    <w:name w:val="Heading 1 Char"/>
    <w:basedOn w:val="DefaultParagraphFont"/>
    <w:link w:val="Heading1"/>
    <w:uiPriority w:val="9"/>
    <w:rsid w:val="00284FF0"/>
    <w:rPr>
      <w:rFonts w:ascii="Arial" w:eastAsiaTheme="majorEastAsia" w:hAnsi="Arial" w:cstheme="majorBidi"/>
      <w:b/>
      <w:color w:val="365F91" w:themeColor="accent1" w:themeShade="BF"/>
      <w:sz w:val="28"/>
      <w:szCs w:val="32"/>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val="0"/>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8E2FB8"/>
    <w:rPr>
      <w:rFonts w:ascii="Arial" w:eastAsiaTheme="majorEastAsia" w:hAnsi="Arial" w:cstheme="majorBidi"/>
      <w:color w:val="365F91" w:themeColor="accent1" w:themeShade="BF"/>
      <w:sz w:val="26"/>
      <w:szCs w:val="26"/>
    </w:rPr>
  </w:style>
  <w:style w:type="paragraph" w:styleId="TOC2">
    <w:name w:val="toc 2"/>
    <w:basedOn w:val="Normal"/>
    <w:next w:val="Normal"/>
    <w:autoRedefine/>
    <w:uiPriority w:val="39"/>
    <w:unhideWhenUsed/>
    <w:rsid w:val="00A9037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FC570D-A413-49F0-AA08-C5BFFEB0B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FD9E34DC</Template>
  <TotalTime>2</TotalTime>
  <Pages>9</Pages>
  <Words>2232</Words>
  <Characters>12724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Anti-Discrimination (Right to Use Gender-Specific Language) Amendment Bill 2018</vt:lpstr>
    </vt:vector>
  </TitlesOfParts>
  <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Anti-Discrimination (Right to Use Gender-Specific Language) Amendment Bill 2018</dc:title>
  <dc:subject/>
  <dc:creator>Julie Ball</dc:creator>
  <cp:keywords/>
  <dc:description/>
  <cp:lastModifiedBy>Helen Bannerman</cp:lastModifiedBy>
  <cp:revision>4</cp:revision>
  <cp:lastPrinted>2018-11-19T01:10:00Z</cp:lastPrinted>
  <dcterms:created xsi:type="dcterms:W3CDTF">2018-12-04T05:16:00Z</dcterms:created>
  <dcterms:modified xsi:type="dcterms:W3CDTF">2018-12-04T05:18:00Z</dcterms:modified>
</cp:coreProperties>
</file>