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67608509"/>
        <w:docPartObj>
          <w:docPartGallery w:val="Cover Pages"/>
          <w:docPartUnique/>
        </w:docPartObj>
      </w:sdtPr>
      <w:sdtEndPr>
        <w:rPr>
          <w:sz w:val="16"/>
          <w:szCs w:val="16"/>
          <w:lang w:val="en-AU"/>
        </w:rPr>
      </w:sdtEndPr>
      <w:sdtContent>
        <w:p w14:paraId="78F8A5B8" w14:textId="18D6EA40" w:rsidR="00A16356" w:rsidRDefault="00A16356" w:rsidP="004A2375">
          <w:pPr>
            <w:spacing w:before="1440"/>
          </w:pPr>
        </w:p>
        <w:tbl>
          <w:tblPr>
            <w:tblW w:w="5000" w:type="pct"/>
            <w:jc w:val="center"/>
            <w:tblLook w:val="04A0" w:firstRow="1" w:lastRow="0" w:firstColumn="1" w:lastColumn="0" w:noHBand="0" w:noVBand="1"/>
          </w:tblPr>
          <w:tblGrid>
            <w:gridCol w:w="8306"/>
          </w:tblGrid>
          <w:tr w:rsidR="004A2375" w:rsidRPr="00D95D9E" w14:paraId="4394E11F" w14:textId="77777777" w:rsidTr="004A2375">
            <w:trPr>
              <w:trHeight w:val="360"/>
              <w:jc w:val="center"/>
            </w:trPr>
            <w:tc>
              <w:tcPr>
                <w:tcW w:w="5000" w:type="pct"/>
                <w:tcBorders>
                  <w:top w:val="thinThickSmallGap" w:sz="24" w:space="0" w:color="1F497D" w:themeColor="text2"/>
                </w:tcBorders>
                <w:vAlign w:val="center"/>
              </w:tcPr>
              <w:p w14:paraId="05EF2CC3" w14:textId="77777777" w:rsidR="004A2375" w:rsidRPr="00D95D9E" w:rsidRDefault="004A2375" w:rsidP="004A2375">
                <w:pPr>
                  <w:pStyle w:val="NoSpacing"/>
                  <w:spacing w:before="720" w:after="240"/>
                  <w:jc w:val="center"/>
                  <w:rPr>
                    <w:b/>
                    <w:bCs/>
                    <w:sz w:val="28"/>
                  </w:rPr>
                </w:pPr>
              </w:p>
            </w:tc>
          </w:tr>
          <w:tr w:rsidR="004A2375" w:rsidRPr="00D95D9E" w14:paraId="644A0BF7" w14:textId="77777777" w:rsidTr="004A2375">
            <w:trPr>
              <w:trHeight w:val="360"/>
              <w:jc w:val="center"/>
            </w:trPr>
            <w:tc>
              <w:tcPr>
                <w:tcW w:w="5000" w:type="pct"/>
                <w:vAlign w:val="center"/>
              </w:tcPr>
              <w:p w14:paraId="418D4983" w14:textId="77777777" w:rsidR="004A2375" w:rsidRPr="00D95D9E" w:rsidRDefault="004A2375" w:rsidP="004A2375">
                <w:pPr>
                  <w:pStyle w:val="NoSpacing"/>
                  <w:spacing w:after="240"/>
                  <w:jc w:val="center"/>
                  <w:rPr>
                    <w:b/>
                    <w:bCs/>
                    <w:sz w:val="28"/>
                  </w:rPr>
                </w:pPr>
              </w:p>
            </w:tc>
          </w:tr>
          <w:tr w:rsidR="004A2375" w:rsidRPr="00D95D9E" w14:paraId="04ADCC68" w14:textId="77777777" w:rsidTr="004A2375">
            <w:trPr>
              <w:trHeight w:val="2506"/>
              <w:jc w:val="center"/>
            </w:trPr>
            <w:sdt>
              <w:sdtPr>
                <w:rPr>
                  <w:rFonts w:asciiTheme="majorHAnsi" w:eastAsiaTheme="majorEastAsia" w:hAnsiTheme="majorHAnsi" w:cstheme="majorBidi"/>
                  <w:color w:val="1F497D" w:themeColor="text2"/>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07B9F9B8" w14:textId="790E2537" w:rsidR="004A2375" w:rsidRPr="00D95D9E" w:rsidRDefault="00DB7C9D" w:rsidP="00DB7C9D">
                    <w:pPr>
                      <w:pStyle w:val="NoSpacing"/>
                      <w:spacing w:after="240"/>
                      <w:jc w:val="center"/>
                      <w:rPr>
                        <w:rFonts w:asciiTheme="majorHAnsi" w:eastAsiaTheme="majorEastAsia" w:hAnsiTheme="majorHAnsi" w:cstheme="majorBidi"/>
                        <w:sz w:val="80"/>
                        <w:szCs w:val="80"/>
                      </w:rPr>
                    </w:pPr>
                    <w:r>
                      <w:rPr>
                        <w:rFonts w:asciiTheme="majorHAnsi" w:eastAsiaTheme="majorEastAsia" w:hAnsiTheme="majorHAnsi" w:cstheme="majorBidi"/>
                        <w:color w:val="1F497D" w:themeColor="text2"/>
                        <w:sz w:val="60"/>
                        <w:szCs w:val="60"/>
                      </w:rPr>
                      <w:t>Human Rights</w:t>
                    </w:r>
                    <w:r w:rsidR="004A2375">
                      <w:rPr>
                        <w:rFonts w:asciiTheme="majorHAnsi" w:eastAsiaTheme="majorEastAsia" w:hAnsiTheme="majorHAnsi" w:cstheme="majorBidi"/>
                        <w:color w:val="1F497D" w:themeColor="text2"/>
                        <w:sz w:val="60"/>
                        <w:szCs w:val="60"/>
                      </w:rPr>
                      <w:t xml:space="preserve"> Bill 2018</w:t>
                    </w:r>
                  </w:p>
                </w:tc>
              </w:sdtContent>
            </w:sdt>
          </w:tr>
          <w:tr w:rsidR="004A2375" w:rsidRPr="00D95D9E" w14:paraId="586C7954" w14:textId="77777777" w:rsidTr="004A2375">
            <w:trPr>
              <w:trHeight w:val="360"/>
              <w:jc w:val="center"/>
            </w:trPr>
            <w:tc>
              <w:tcPr>
                <w:tcW w:w="5000" w:type="pct"/>
                <w:vAlign w:val="center"/>
              </w:tcPr>
              <w:p w14:paraId="1A876CFA" w14:textId="77777777" w:rsidR="004A2375" w:rsidRPr="00D95D9E" w:rsidRDefault="004A2375" w:rsidP="004A2375">
                <w:pPr>
                  <w:pStyle w:val="NoSpacing"/>
                  <w:spacing w:after="240"/>
                  <w:jc w:val="center"/>
                  <w:rPr>
                    <w:b/>
                    <w:bCs/>
                    <w:sz w:val="28"/>
                  </w:rPr>
                </w:pPr>
              </w:p>
            </w:tc>
          </w:tr>
          <w:tr w:rsidR="004A2375" w:rsidRPr="00D95D9E" w14:paraId="66922E96" w14:textId="77777777" w:rsidTr="004A2375">
            <w:trPr>
              <w:trHeight w:val="360"/>
              <w:jc w:val="center"/>
            </w:trPr>
            <w:tc>
              <w:tcPr>
                <w:tcW w:w="5000" w:type="pct"/>
                <w:tcBorders>
                  <w:bottom w:val="thickThinSmallGap" w:sz="24" w:space="0" w:color="1F497D" w:themeColor="text2"/>
                </w:tcBorders>
                <w:vAlign w:val="center"/>
              </w:tcPr>
              <w:p w14:paraId="493A5B95" w14:textId="56D09F1F" w:rsidR="00182865" w:rsidRDefault="00182865" w:rsidP="00182865">
                <w:pPr>
                  <w:pStyle w:val="NoSpacing"/>
                  <w:spacing w:before="120" w:after="120"/>
                  <w:jc w:val="right"/>
                  <w:rPr>
                    <w:rFonts w:ascii="Arial" w:hAnsi="Arial" w:cs="Arial"/>
                    <w:b/>
                    <w:bCs/>
                    <w:sz w:val="28"/>
                  </w:rPr>
                </w:pPr>
                <w:r>
                  <w:rPr>
                    <w:rFonts w:ascii="Arial" w:hAnsi="Arial" w:cs="Arial"/>
                    <w:b/>
                    <w:bCs/>
                    <w:sz w:val="28"/>
                  </w:rPr>
                  <w:t>Submission</w:t>
                </w:r>
              </w:p>
              <w:p w14:paraId="1C75416E" w14:textId="329EEC46" w:rsidR="00182865" w:rsidRDefault="00182865" w:rsidP="00182865">
                <w:pPr>
                  <w:pStyle w:val="NoSpacing"/>
                  <w:spacing w:before="120" w:after="120"/>
                  <w:jc w:val="right"/>
                  <w:rPr>
                    <w:rFonts w:ascii="Arial" w:hAnsi="Arial" w:cs="Arial"/>
                    <w:b/>
                    <w:bCs/>
                    <w:sz w:val="28"/>
                  </w:rPr>
                </w:pPr>
                <w:r>
                  <w:rPr>
                    <w:rFonts w:ascii="Arial" w:hAnsi="Arial" w:cs="Arial"/>
                    <w:b/>
                    <w:bCs/>
                    <w:sz w:val="28"/>
                  </w:rPr>
                  <w:t>to</w:t>
                </w:r>
              </w:p>
              <w:p w14:paraId="5477626E" w14:textId="33A3589F" w:rsidR="004A2375" w:rsidRPr="004A2375" w:rsidRDefault="004A2375" w:rsidP="00182865">
                <w:pPr>
                  <w:pStyle w:val="NoSpacing"/>
                  <w:spacing w:before="120" w:after="120"/>
                  <w:jc w:val="right"/>
                  <w:rPr>
                    <w:rFonts w:ascii="Arial" w:hAnsi="Arial" w:cs="Arial"/>
                    <w:b/>
                    <w:bCs/>
                    <w:sz w:val="28"/>
                  </w:rPr>
                </w:pPr>
                <w:r w:rsidRPr="004A2375">
                  <w:rPr>
                    <w:rFonts w:ascii="Arial" w:hAnsi="Arial" w:cs="Arial"/>
                    <w:b/>
                    <w:bCs/>
                    <w:sz w:val="28"/>
                  </w:rPr>
                  <w:t>Legal Affairs and Community Safety Committee</w:t>
                </w:r>
              </w:p>
              <w:p w14:paraId="03080AC7" w14:textId="3FEFD7E5" w:rsidR="004A2375" w:rsidRPr="00D95D9E" w:rsidRDefault="004A2375" w:rsidP="004A2375">
                <w:pPr>
                  <w:pStyle w:val="NoSpacing"/>
                  <w:spacing w:after="1080"/>
                  <w:jc w:val="right"/>
                  <w:rPr>
                    <w:b/>
                    <w:bCs/>
                    <w:sz w:val="28"/>
                  </w:rPr>
                </w:pPr>
              </w:p>
            </w:tc>
          </w:tr>
        </w:tbl>
        <w:p w14:paraId="07E55C8A" w14:textId="77777777" w:rsidR="004A2375" w:rsidRDefault="004A2375"/>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3D91DB7F" w14:textId="77777777" w:rsidTr="00392522">
            <w:tc>
              <w:tcPr>
                <w:tcW w:w="6585" w:type="dxa"/>
                <w:tcMar>
                  <w:top w:w="216" w:type="dxa"/>
                  <w:left w:w="115" w:type="dxa"/>
                  <w:bottom w:w="216" w:type="dxa"/>
                  <w:right w:w="115" w:type="dxa"/>
                </w:tcMar>
              </w:tcPr>
              <w:p w14:paraId="177DB411" w14:textId="3712DD31" w:rsidR="00A16356" w:rsidRPr="00A16356" w:rsidRDefault="00A16356" w:rsidP="004A2375">
                <w:pPr>
                  <w:pStyle w:val="NoSpacing"/>
                  <w:jc w:val="center"/>
                  <w:rPr>
                    <w:rFonts w:ascii="Arial" w:hAnsi="Arial" w:cs="Arial"/>
                    <w:color w:val="4F81BD" w:themeColor="accent1"/>
                    <w:sz w:val="28"/>
                    <w:szCs w:val="28"/>
                  </w:rPr>
                </w:pPr>
                <w:r w:rsidRPr="00A16356">
                  <w:rPr>
                    <w:rFonts w:ascii="Arial" w:hAnsi="Arial" w:cs="Arial"/>
                    <w:color w:val="4F81BD" w:themeColor="accent1"/>
                    <w:sz w:val="28"/>
                    <w:szCs w:val="28"/>
                  </w:rPr>
                  <w:t>November 2018</w:t>
                </w:r>
              </w:p>
              <w:p w14:paraId="4C719C9C" w14:textId="77777777" w:rsidR="00A16356" w:rsidRDefault="00A16356">
                <w:pPr>
                  <w:pStyle w:val="NoSpacing"/>
                  <w:rPr>
                    <w:color w:val="4F81BD" w:themeColor="accent1"/>
                  </w:rPr>
                </w:pPr>
              </w:p>
            </w:tc>
          </w:tr>
        </w:tbl>
        <w:p w14:paraId="6A60A641" w14:textId="77777777" w:rsidR="004A2375" w:rsidRDefault="00A16356">
          <w:pPr>
            <w:rPr>
              <w:lang w:val="en-AU"/>
            </w:rPr>
          </w:pPr>
          <w:r>
            <w:rPr>
              <w:lang w:val="en-AU"/>
            </w:rPr>
            <w:br w:type="page"/>
          </w:r>
        </w:p>
        <w:p w14:paraId="463BA368" w14:textId="0D2BF4F2" w:rsidR="00A16356" w:rsidRPr="004A2375" w:rsidRDefault="009F2EF9">
          <w:pPr>
            <w:rPr>
              <w:rFonts w:ascii="Arial" w:eastAsiaTheme="majorEastAsia" w:hAnsi="Arial" w:cstheme="majorBidi"/>
              <w:b/>
              <w:color w:val="365F91" w:themeColor="accent1" w:themeShade="BF"/>
              <w:sz w:val="16"/>
              <w:szCs w:val="16"/>
              <w:lang w:val="en-AU"/>
            </w:rPr>
          </w:pPr>
        </w:p>
      </w:sdtContent>
    </w:sdt>
    <w:sdt>
      <w:sdtPr>
        <w:rPr>
          <w:rFonts w:ascii="Arial" w:eastAsiaTheme="minorEastAsia" w:hAnsi="Arial" w:cs="Arial"/>
          <w:color w:val="auto"/>
          <w:sz w:val="24"/>
          <w:szCs w:val="24"/>
        </w:rPr>
        <w:id w:val="-331140652"/>
        <w:docPartObj>
          <w:docPartGallery w:val="Table of Contents"/>
          <w:docPartUnique/>
        </w:docPartObj>
      </w:sdtPr>
      <w:sdtEndPr>
        <w:rPr>
          <w:b/>
          <w:bCs/>
          <w:noProof/>
        </w:rPr>
      </w:sdtEndPr>
      <w:sdtContent>
        <w:p w14:paraId="091216B6" w14:textId="034B2DA1" w:rsidR="00A16356" w:rsidRPr="00A16356" w:rsidRDefault="00A16356">
          <w:pPr>
            <w:pStyle w:val="TOCHeading"/>
            <w:rPr>
              <w:rFonts w:ascii="Arial" w:hAnsi="Arial" w:cs="Arial"/>
              <w:b/>
            </w:rPr>
          </w:pPr>
          <w:r w:rsidRPr="00A16356">
            <w:rPr>
              <w:rFonts w:ascii="Arial" w:hAnsi="Arial" w:cs="Arial"/>
              <w:b/>
            </w:rPr>
            <w:t>Table of Contents</w:t>
          </w:r>
        </w:p>
        <w:p w14:paraId="6E92FBAE" w14:textId="4E393683" w:rsidR="00BF6A9B" w:rsidRPr="00BF6A9B" w:rsidRDefault="00A16356" w:rsidP="00BF6A9B">
          <w:pPr>
            <w:pStyle w:val="TOC1"/>
            <w:tabs>
              <w:tab w:val="right" w:leader="dot" w:pos="8296"/>
            </w:tabs>
            <w:spacing w:before="120" w:after="120"/>
            <w:rPr>
              <w:rFonts w:ascii="Arial" w:hAnsi="Arial" w:cs="Arial"/>
              <w:noProof/>
              <w:sz w:val="22"/>
              <w:szCs w:val="22"/>
              <w:lang w:val="en-AU" w:eastAsia="en-AU"/>
            </w:rPr>
          </w:pPr>
          <w:r w:rsidRPr="00BF6A9B">
            <w:rPr>
              <w:rFonts w:ascii="Arial" w:hAnsi="Arial" w:cs="Arial"/>
              <w:b/>
              <w:bCs/>
              <w:noProof/>
            </w:rPr>
            <w:fldChar w:fldCharType="begin"/>
          </w:r>
          <w:r w:rsidRPr="00BF6A9B">
            <w:rPr>
              <w:rFonts w:ascii="Arial" w:hAnsi="Arial" w:cs="Arial"/>
              <w:b/>
              <w:bCs/>
              <w:noProof/>
            </w:rPr>
            <w:instrText xml:space="preserve"> TOC \o "1-3" \h \z \u </w:instrText>
          </w:r>
          <w:r w:rsidRPr="00BF6A9B">
            <w:rPr>
              <w:rFonts w:ascii="Arial" w:hAnsi="Arial" w:cs="Arial"/>
              <w:b/>
              <w:bCs/>
              <w:noProof/>
            </w:rPr>
            <w:fldChar w:fldCharType="separate"/>
          </w:r>
          <w:hyperlink w:anchor="_Toc530987078" w:history="1">
            <w:r w:rsidR="00BF6A9B" w:rsidRPr="00BF6A9B">
              <w:rPr>
                <w:rStyle w:val="Hyperlink"/>
                <w:rFonts w:ascii="Arial" w:hAnsi="Arial" w:cs="Arial"/>
                <w:noProof/>
                <w:lang w:val="en-AU"/>
              </w:rPr>
              <w:t>Introduction</w:t>
            </w:r>
            <w:r w:rsidR="00BF6A9B" w:rsidRPr="00BF6A9B">
              <w:rPr>
                <w:rFonts w:ascii="Arial" w:hAnsi="Arial" w:cs="Arial"/>
                <w:noProof/>
                <w:webHidden/>
              </w:rPr>
              <w:tab/>
            </w:r>
            <w:r w:rsidR="00BF6A9B" w:rsidRPr="00BF6A9B">
              <w:rPr>
                <w:rFonts w:ascii="Arial" w:hAnsi="Arial" w:cs="Arial"/>
                <w:noProof/>
                <w:webHidden/>
              </w:rPr>
              <w:fldChar w:fldCharType="begin"/>
            </w:r>
            <w:r w:rsidR="00BF6A9B" w:rsidRPr="00BF6A9B">
              <w:rPr>
                <w:rFonts w:ascii="Arial" w:hAnsi="Arial" w:cs="Arial"/>
                <w:noProof/>
                <w:webHidden/>
              </w:rPr>
              <w:instrText xml:space="preserve"> PAGEREF _Toc530987078 \h </w:instrText>
            </w:r>
            <w:r w:rsidR="00BF6A9B" w:rsidRPr="00BF6A9B">
              <w:rPr>
                <w:rFonts w:ascii="Arial" w:hAnsi="Arial" w:cs="Arial"/>
                <w:noProof/>
                <w:webHidden/>
              </w:rPr>
            </w:r>
            <w:r w:rsidR="00BF6A9B" w:rsidRPr="00BF6A9B">
              <w:rPr>
                <w:rFonts w:ascii="Arial" w:hAnsi="Arial" w:cs="Arial"/>
                <w:noProof/>
                <w:webHidden/>
              </w:rPr>
              <w:fldChar w:fldCharType="separate"/>
            </w:r>
            <w:r w:rsidR="003F6F5A">
              <w:rPr>
                <w:rFonts w:ascii="Arial" w:hAnsi="Arial" w:cs="Arial"/>
                <w:noProof/>
                <w:webHidden/>
              </w:rPr>
              <w:t>1</w:t>
            </w:r>
            <w:r w:rsidR="00BF6A9B" w:rsidRPr="00BF6A9B">
              <w:rPr>
                <w:rFonts w:ascii="Arial" w:hAnsi="Arial" w:cs="Arial"/>
                <w:noProof/>
                <w:webHidden/>
              </w:rPr>
              <w:fldChar w:fldCharType="end"/>
            </w:r>
          </w:hyperlink>
        </w:p>
        <w:p w14:paraId="17CE23D8" w14:textId="0E5ECA1C" w:rsidR="00BF6A9B" w:rsidRPr="00BF6A9B" w:rsidRDefault="009F2EF9" w:rsidP="00BF6A9B">
          <w:pPr>
            <w:pStyle w:val="TOC1"/>
            <w:tabs>
              <w:tab w:val="right" w:leader="dot" w:pos="8296"/>
            </w:tabs>
            <w:spacing w:before="120" w:after="120"/>
            <w:rPr>
              <w:rFonts w:ascii="Arial" w:hAnsi="Arial" w:cs="Arial"/>
              <w:noProof/>
              <w:sz w:val="22"/>
              <w:szCs w:val="22"/>
              <w:lang w:val="en-AU" w:eastAsia="en-AU"/>
            </w:rPr>
          </w:pPr>
          <w:hyperlink w:anchor="_Toc530987079" w:history="1">
            <w:r w:rsidR="00BF6A9B" w:rsidRPr="00BF6A9B">
              <w:rPr>
                <w:rStyle w:val="Hyperlink"/>
                <w:rFonts w:ascii="Arial" w:hAnsi="Arial" w:cs="Arial"/>
                <w:noProof/>
                <w:lang w:val="en-AU"/>
              </w:rPr>
              <w:t>Objectives</w:t>
            </w:r>
            <w:r w:rsidR="00BF6A9B" w:rsidRPr="00BF6A9B">
              <w:rPr>
                <w:rFonts w:ascii="Arial" w:hAnsi="Arial" w:cs="Arial"/>
                <w:noProof/>
                <w:webHidden/>
              </w:rPr>
              <w:tab/>
            </w:r>
            <w:r w:rsidR="00BF6A9B" w:rsidRPr="00BF6A9B">
              <w:rPr>
                <w:rFonts w:ascii="Arial" w:hAnsi="Arial" w:cs="Arial"/>
                <w:noProof/>
                <w:webHidden/>
              </w:rPr>
              <w:fldChar w:fldCharType="begin"/>
            </w:r>
            <w:r w:rsidR="00BF6A9B" w:rsidRPr="00BF6A9B">
              <w:rPr>
                <w:rFonts w:ascii="Arial" w:hAnsi="Arial" w:cs="Arial"/>
                <w:noProof/>
                <w:webHidden/>
              </w:rPr>
              <w:instrText xml:space="preserve"> PAGEREF _Toc530987079 \h </w:instrText>
            </w:r>
            <w:r w:rsidR="00BF6A9B" w:rsidRPr="00BF6A9B">
              <w:rPr>
                <w:rFonts w:ascii="Arial" w:hAnsi="Arial" w:cs="Arial"/>
                <w:noProof/>
                <w:webHidden/>
              </w:rPr>
            </w:r>
            <w:r w:rsidR="00BF6A9B" w:rsidRPr="00BF6A9B">
              <w:rPr>
                <w:rFonts w:ascii="Arial" w:hAnsi="Arial" w:cs="Arial"/>
                <w:noProof/>
                <w:webHidden/>
              </w:rPr>
              <w:fldChar w:fldCharType="separate"/>
            </w:r>
            <w:r w:rsidR="003F6F5A">
              <w:rPr>
                <w:rFonts w:ascii="Arial" w:hAnsi="Arial" w:cs="Arial"/>
                <w:noProof/>
                <w:webHidden/>
              </w:rPr>
              <w:t>1</w:t>
            </w:r>
            <w:r w:rsidR="00BF6A9B" w:rsidRPr="00BF6A9B">
              <w:rPr>
                <w:rFonts w:ascii="Arial" w:hAnsi="Arial" w:cs="Arial"/>
                <w:noProof/>
                <w:webHidden/>
              </w:rPr>
              <w:fldChar w:fldCharType="end"/>
            </w:r>
          </w:hyperlink>
        </w:p>
        <w:p w14:paraId="5A41E305" w14:textId="6C1D59BE" w:rsidR="00BF6A9B" w:rsidRPr="00BF6A9B" w:rsidRDefault="009F2EF9" w:rsidP="00BF6A9B">
          <w:pPr>
            <w:pStyle w:val="TOC1"/>
            <w:tabs>
              <w:tab w:val="right" w:leader="dot" w:pos="8296"/>
            </w:tabs>
            <w:spacing w:before="120" w:after="120"/>
            <w:rPr>
              <w:rFonts w:ascii="Arial" w:hAnsi="Arial" w:cs="Arial"/>
              <w:noProof/>
              <w:sz w:val="22"/>
              <w:szCs w:val="22"/>
              <w:lang w:val="en-AU" w:eastAsia="en-AU"/>
            </w:rPr>
          </w:pPr>
          <w:hyperlink w:anchor="_Toc530987080" w:history="1">
            <w:r w:rsidR="00BF6A9B" w:rsidRPr="00BF6A9B">
              <w:rPr>
                <w:rStyle w:val="Hyperlink"/>
                <w:rFonts w:ascii="Arial" w:hAnsi="Arial" w:cs="Arial"/>
                <w:noProof/>
                <w:lang w:val="en-AU"/>
              </w:rPr>
              <w:t>Overview of the dialogue model</w:t>
            </w:r>
            <w:r w:rsidR="00BF6A9B" w:rsidRPr="00BF6A9B">
              <w:rPr>
                <w:rFonts w:ascii="Arial" w:hAnsi="Arial" w:cs="Arial"/>
                <w:noProof/>
                <w:webHidden/>
              </w:rPr>
              <w:tab/>
            </w:r>
            <w:r w:rsidR="00BF6A9B" w:rsidRPr="00BF6A9B">
              <w:rPr>
                <w:rFonts w:ascii="Arial" w:hAnsi="Arial" w:cs="Arial"/>
                <w:noProof/>
                <w:webHidden/>
              </w:rPr>
              <w:fldChar w:fldCharType="begin"/>
            </w:r>
            <w:r w:rsidR="00BF6A9B" w:rsidRPr="00BF6A9B">
              <w:rPr>
                <w:rFonts w:ascii="Arial" w:hAnsi="Arial" w:cs="Arial"/>
                <w:noProof/>
                <w:webHidden/>
              </w:rPr>
              <w:instrText xml:space="preserve"> PAGEREF _Toc530987080 \h </w:instrText>
            </w:r>
            <w:r w:rsidR="00BF6A9B" w:rsidRPr="00BF6A9B">
              <w:rPr>
                <w:rFonts w:ascii="Arial" w:hAnsi="Arial" w:cs="Arial"/>
                <w:noProof/>
                <w:webHidden/>
              </w:rPr>
            </w:r>
            <w:r w:rsidR="00BF6A9B" w:rsidRPr="00BF6A9B">
              <w:rPr>
                <w:rFonts w:ascii="Arial" w:hAnsi="Arial" w:cs="Arial"/>
                <w:noProof/>
                <w:webHidden/>
              </w:rPr>
              <w:fldChar w:fldCharType="separate"/>
            </w:r>
            <w:r w:rsidR="003F6F5A">
              <w:rPr>
                <w:rFonts w:ascii="Arial" w:hAnsi="Arial" w:cs="Arial"/>
                <w:noProof/>
                <w:webHidden/>
              </w:rPr>
              <w:t>3</w:t>
            </w:r>
            <w:r w:rsidR="00BF6A9B" w:rsidRPr="00BF6A9B">
              <w:rPr>
                <w:rFonts w:ascii="Arial" w:hAnsi="Arial" w:cs="Arial"/>
                <w:noProof/>
                <w:webHidden/>
              </w:rPr>
              <w:fldChar w:fldCharType="end"/>
            </w:r>
          </w:hyperlink>
        </w:p>
        <w:p w14:paraId="2CAF1095" w14:textId="11DA2711" w:rsidR="00BF6A9B" w:rsidRPr="00BF6A9B" w:rsidRDefault="009F2EF9" w:rsidP="00BF6A9B">
          <w:pPr>
            <w:pStyle w:val="TOC1"/>
            <w:tabs>
              <w:tab w:val="right" w:leader="dot" w:pos="8296"/>
            </w:tabs>
            <w:spacing w:before="120" w:after="120"/>
            <w:rPr>
              <w:rFonts w:ascii="Arial" w:hAnsi="Arial" w:cs="Arial"/>
              <w:noProof/>
              <w:sz w:val="22"/>
              <w:szCs w:val="22"/>
              <w:lang w:val="en-AU" w:eastAsia="en-AU"/>
            </w:rPr>
          </w:pPr>
          <w:hyperlink w:anchor="_Toc530987081" w:history="1">
            <w:r w:rsidR="00BF6A9B" w:rsidRPr="00BF6A9B">
              <w:rPr>
                <w:rStyle w:val="Hyperlink"/>
                <w:rFonts w:ascii="Arial" w:hAnsi="Arial" w:cs="Arial"/>
                <w:noProof/>
                <w:lang w:val="en-AU"/>
              </w:rPr>
              <w:t>The rights</w:t>
            </w:r>
            <w:r w:rsidR="00BF6A9B" w:rsidRPr="00BF6A9B">
              <w:rPr>
                <w:rFonts w:ascii="Arial" w:hAnsi="Arial" w:cs="Arial"/>
                <w:noProof/>
                <w:webHidden/>
              </w:rPr>
              <w:tab/>
            </w:r>
            <w:r w:rsidR="00BF6A9B" w:rsidRPr="00BF6A9B">
              <w:rPr>
                <w:rFonts w:ascii="Arial" w:hAnsi="Arial" w:cs="Arial"/>
                <w:noProof/>
                <w:webHidden/>
              </w:rPr>
              <w:fldChar w:fldCharType="begin"/>
            </w:r>
            <w:r w:rsidR="00BF6A9B" w:rsidRPr="00BF6A9B">
              <w:rPr>
                <w:rFonts w:ascii="Arial" w:hAnsi="Arial" w:cs="Arial"/>
                <w:noProof/>
                <w:webHidden/>
              </w:rPr>
              <w:instrText xml:space="preserve"> PAGEREF _Toc530987081 \h </w:instrText>
            </w:r>
            <w:r w:rsidR="00BF6A9B" w:rsidRPr="00BF6A9B">
              <w:rPr>
                <w:rFonts w:ascii="Arial" w:hAnsi="Arial" w:cs="Arial"/>
                <w:noProof/>
                <w:webHidden/>
              </w:rPr>
            </w:r>
            <w:r w:rsidR="00BF6A9B" w:rsidRPr="00BF6A9B">
              <w:rPr>
                <w:rFonts w:ascii="Arial" w:hAnsi="Arial" w:cs="Arial"/>
                <w:noProof/>
                <w:webHidden/>
              </w:rPr>
              <w:fldChar w:fldCharType="separate"/>
            </w:r>
            <w:r w:rsidR="003F6F5A">
              <w:rPr>
                <w:rFonts w:ascii="Arial" w:hAnsi="Arial" w:cs="Arial"/>
                <w:noProof/>
                <w:webHidden/>
              </w:rPr>
              <w:t>3</w:t>
            </w:r>
            <w:r w:rsidR="00BF6A9B" w:rsidRPr="00BF6A9B">
              <w:rPr>
                <w:rFonts w:ascii="Arial" w:hAnsi="Arial" w:cs="Arial"/>
                <w:noProof/>
                <w:webHidden/>
              </w:rPr>
              <w:fldChar w:fldCharType="end"/>
            </w:r>
          </w:hyperlink>
        </w:p>
        <w:p w14:paraId="531BEED5" w14:textId="5D658E20" w:rsidR="00BF6A9B" w:rsidRPr="00BF6A9B" w:rsidRDefault="009F2EF9" w:rsidP="00BF6A9B">
          <w:pPr>
            <w:pStyle w:val="TOC1"/>
            <w:tabs>
              <w:tab w:val="right" w:leader="dot" w:pos="8296"/>
            </w:tabs>
            <w:spacing w:before="120" w:after="120"/>
            <w:rPr>
              <w:rFonts w:ascii="Arial" w:hAnsi="Arial" w:cs="Arial"/>
              <w:noProof/>
              <w:sz w:val="22"/>
              <w:szCs w:val="22"/>
              <w:lang w:val="en-AU" w:eastAsia="en-AU"/>
            </w:rPr>
          </w:pPr>
          <w:hyperlink w:anchor="_Toc530987082" w:history="1">
            <w:r w:rsidR="00BF6A9B" w:rsidRPr="00BF6A9B">
              <w:rPr>
                <w:rStyle w:val="Hyperlink"/>
                <w:rFonts w:ascii="Arial" w:hAnsi="Arial" w:cs="Arial"/>
                <w:noProof/>
                <w:lang w:val="en-AU"/>
              </w:rPr>
              <w:t>Making laws</w:t>
            </w:r>
            <w:r w:rsidR="00BF6A9B" w:rsidRPr="00BF6A9B">
              <w:rPr>
                <w:rFonts w:ascii="Arial" w:hAnsi="Arial" w:cs="Arial"/>
                <w:noProof/>
                <w:webHidden/>
              </w:rPr>
              <w:tab/>
            </w:r>
            <w:r w:rsidR="00BF6A9B" w:rsidRPr="00BF6A9B">
              <w:rPr>
                <w:rFonts w:ascii="Arial" w:hAnsi="Arial" w:cs="Arial"/>
                <w:noProof/>
                <w:webHidden/>
              </w:rPr>
              <w:fldChar w:fldCharType="begin"/>
            </w:r>
            <w:r w:rsidR="00BF6A9B" w:rsidRPr="00BF6A9B">
              <w:rPr>
                <w:rFonts w:ascii="Arial" w:hAnsi="Arial" w:cs="Arial"/>
                <w:noProof/>
                <w:webHidden/>
              </w:rPr>
              <w:instrText xml:space="preserve"> PAGEREF _Toc530987082 \h </w:instrText>
            </w:r>
            <w:r w:rsidR="00BF6A9B" w:rsidRPr="00BF6A9B">
              <w:rPr>
                <w:rFonts w:ascii="Arial" w:hAnsi="Arial" w:cs="Arial"/>
                <w:noProof/>
                <w:webHidden/>
              </w:rPr>
            </w:r>
            <w:r w:rsidR="00BF6A9B" w:rsidRPr="00BF6A9B">
              <w:rPr>
                <w:rFonts w:ascii="Arial" w:hAnsi="Arial" w:cs="Arial"/>
                <w:noProof/>
                <w:webHidden/>
              </w:rPr>
              <w:fldChar w:fldCharType="separate"/>
            </w:r>
            <w:r w:rsidR="003F6F5A">
              <w:rPr>
                <w:rFonts w:ascii="Arial" w:hAnsi="Arial" w:cs="Arial"/>
                <w:noProof/>
                <w:webHidden/>
              </w:rPr>
              <w:t>4</w:t>
            </w:r>
            <w:r w:rsidR="00BF6A9B" w:rsidRPr="00BF6A9B">
              <w:rPr>
                <w:rFonts w:ascii="Arial" w:hAnsi="Arial" w:cs="Arial"/>
                <w:noProof/>
                <w:webHidden/>
              </w:rPr>
              <w:fldChar w:fldCharType="end"/>
            </w:r>
          </w:hyperlink>
        </w:p>
        <w:p w14:paraId="71A63EE3" w14:textId="520AB9B5" w:rsidR="00BF6A9B" w:rsidRPr="00BF6A9B" w:rsidRDefault="009F2EF9" w:rsidP="00BF6A9B">
          <w:pPr>
            <w:pStyle w:val="TOC1"/>
            <w:tabs>
              <w:tab w:val="right" w:leader="dot" w:pos="8296"/>
            </w:tabs>
            <w:spacing w:before="120" w:after="120"/>
            <w:rPr>
              <w:rFonts w:ascii="Arial" w:hAnsi="Arial" w:cs="Arial"/>
              <w:noProof/>
              <w:sz w:val="22"/>
              <w:szCs w:val="22"/>
              <w:lang w:val="en-AU" w:eastAsia="en-AU"/>
            </w:rPr>
          </w:pPr>
          <w:hyperlink w:anchor="_Toc530987083" w:history="1">
            <w:r w:rsidR="00BF6A9B" w:rsidRPr="00BF6A9B">
              <w:rPr>
                <w:rStyle w:val="Hyperlink"/>
                <w:rFonts w:ascii="Arial" w:hAnsi="Arial" w:cs="Arial"/>
                <w:noProof/>
                <w:lang w:val="en-AU"/>
              </w:rPr>
              <w:t>Courts and tribunals</w:t>
            </w:r>
            <w:r w:rsidR="00BF6A9B" w:rsidRPr="00BF6A9B">
              <w:rPr>
                <w:rFonts w:ascii="Arial" w:hAnsi="Arial" w:cs="Arial"/>
                <w:noProof/>
                <w:webHidden/>
              </w:rPr>
              <w:tab/>
            </w:r>
            <w:r w:rsidR="00BF6A9B" w:rsidRPr="00BF6A9B">
              <w:rPr>
                <w:rFonts w:ascii="Arial" w:hAnsi="Arial" w:cs="Arial"/>
                <w:noProof/>
                <w:webHidden/>
              </w:rPr>
              <w:fldChar w:fldCharType="begin"/>
            </w:r>
            <w:r w:rsidR="00BF6A9B" w:rsidRPr="00BF6A9B">
              <w:rPr>
                <w:rFonts w:ascii="Arial" w:hAnsi="Arial" w:cs="Arial"/>
                <w:noProof/>
                <w:webHidden/>
              </w:rPr>
              <w:instrText xml:space="preserve"> PAGEREF _Toc530987083 \h </w:instrText>
            </w:r>
            <w:r w:rsidR="00BF6A9B" w:rsidRPr="00BF6A9B">
              <w:rPr>
                <w:rFonts w:ascii="Arial" w:hAnsi="Arial" w:cs="Arial"/>
                <w:noProof/>
                <w:webHidden/>
              </w:rPr>
            </w:r>
            <w:r w:rsidR="00BF6A9B" w:rsidRPr="00BF6A9B">
              <w:rPr>
                <w:rFonts w:ascii="Arial" w:hAnsi="Arial" w:cs="Arial"/>
                <w:noProof/>
                <w:webHidden/>
              </w:rPr>
              <w:fldChar w:fldCharType="separate"/>
            </w:r>
            <w:r w:rsidR="003F6F5A">
              <w:rPr>
                <w:rFonts w:ascii="Arial" w:hAnsi="Arial" w:cs="Arial"/>
                <w:noProof/>
                <w:webHidden/>
              </w:rPr>
              <w:t>6</w:t>
            </w:r>
            <w:r w:rsidR="00BF6A9B" w:rsidRPr="00BF6A9B">
              <w:rPr>
                <w:rFonts w:ascii="Arial" w:hAnsi="Arial" w:cs="Arial"/>
                <w:noProof/>
                <w:webHidden/>
              </w:rPr>
              <w:fldChar w:fldCharType="end"/>
            </w:r>
          </w:hyperlink>
        </w:p>
        <w:p w14:paraId="11C77EAF" w14:textId="46E6A921" w:rsidR="00BF6A9B" w:rsidRPr="00BF6A9B" w:rsidRDefault="009F2EF9" w:rsidP="00BF6A9B">
          <w:pPr>
            <w:pStyle w:val="TOC1"/>
            <w:tabs>
              <w:tab w:val="right" w:leader="dot" w:pos="8296"/>
            </w:tabs>
            <w:spacing w:before="120" w:after="120"/>
            <w:rPr>
              <w:rFonts w:ascii="Arial" w:hAnsi="Arial" w:cs="Arial"/>
              <w:noProof/>
              <w:sz w:val="22"/>
              <w:szCs w:val="22"/>
              <w:lang w:val="en-AU" w:eastAsia="en-AU"/>
            </w:rPr>
          </w:pPr>
          <w:hyperlink w:anchor="_Toc530987084" w:history="1">
            <w:r w:rsidR="00BF6A9B" w:rsidRPr="00BF6A9B">
              <w:rPr>
                <w:rStyle w:val="Hyperlink"/>
                <w:rFonts w:ascii="Arial" w:hAnsi="Arial" w:cs="Arial"/>
                <w:noProof/>
                <w:lang w:val="en-AU"/>
              </w:rPr>
              <w:t>Obligations on public entities</w:t>
            </w:r>
            <w:r w:rsidR="00BF6A9B" w:rsidRPr="00BF6A9B">
              <w:rPr>
                <w:rFonts w:ascii="Arial" w:hAnsi="Arial" w:cs="Arial"/>
                <w:noProof/>
                <w:webHidden/>
              </w:rPr>
              <w:tab/>
            </w:r>
            <w:r w:rsidR="00BF6A9B" w:rsidRPr="00BF6A9B">
              <w:rPr>
                <w:rFonts w:ascii="Arial" w:hAnsi="Arial" w:cs="Arial"/>
                <w:noProof/>
                <w:webHidden/>
              </w:rPr>
              <w:fldChar w:fldCharType="begin"/>
            </w:r>
            <w:r w:rsidR="00BF6A9B" w:rsidRPr="00BF6A9B">
              <w:rPr>
                <w:rFonts w:ascii="Arial" w:hAnsi="Arial" w:cs="Arial"/>
                <w:noProof/>
                <w:webHidden/>
              </w:rPr>
              <w:instrText xml:space="preserve"> PAGEREF _Toc530987084 \h </w:instrText>
            </w:r>
            <w:r w:rsidR="00BF6A9B" w:rsidRPr="00BF6A9B">
              <w:rPr>
                <w:rFonts w:ascii="Arial" w:hAnsi="Arial" w:cs="Arial"/>
                <w:noProof/>
                <w:webHidden/>
              </w:rPr>
            </w:r>
            <w:r w:rsidR="00BF6A9B" w:rsidRPr="00BF6A9B">
              <w:rPr>
                <w:rFonts w:ascii="Arial" w:hAnsi="Arial" w:cs="Arial"/>
                <w:noProof/>
                <w:webHidden/>
              </w:rPr>
              <w:fldChar w:fldCharType="separate"/>
            </w:r>
            <w:r w:rsidR="003F6F5A">
              <w:rPr>
                <w:rFonts w:ascii="Arial" w:hAnsi="Arial" w:cs="Arial"/>
                <w:noProof/>
                <w:webHidden/>
              </w:rPr>
              <w:t>6</w:t>
            </w:r>
            <w:r w:rsidR="00BF6A9B" w:rsidRPr="00BF6A9B">
              <w:rPr>
                <w:rFonts w:ascii="Arial" w:hAnsi="Arial" w:cs="Arial"/>
                <w:noProof/>
                <w:webHidden/>
              </w:rPr>
              <w:fldChar w:fldCharType="end"/>
            </w:r>
          </w:hyperlink>
        </w:p>
        <w:p w14:paraId="2D53A890" w14:textId="1F776B3E" w:rsidR="00BF6A9B" w:rsidRPr="00BF6A9B" w:rsidRDefault="009F2EF9" w:rsidP="00BF6A9B">
          <w:pPr>
            <w:pStyle w:val="TOC2"/>
            <w:tabs>
              <w:tab w:val="right" w:leader="dot" w:pos="8296"/>
            </w:tabs>
            <w:spacing w:before="120" w:after="120"/>
            <w:rPr>
              <w:rFonts w:ascii="Arial" w:hAnsi="Arial" w:cs="Arial"/>
              <w:noProof/>
              <w:sz w:val="22"/>
              <w:szCs w:val="22"/>
              <w:lang w:val="en-AU" w:eastAsia="en-AU"/>
            </w:rPr>
          </w:pPr>
          <w:hyperlink w:anchor="_Toc530987085" w:history="1">
            <w:r w:rsidR="00BF6A9B" w:rsidRPr="00BF6A9B">
              <w:rPr>
                <w:rStyle w:val="Hyperlink"/>
                <w:rFonts w:ascii="Arial" w:hAnsi="Arial" w:cs="Arial"/>
                <w:noProof/>
                <w:lang w:val="en-AU"/>
              </w:rPr>
              <w:t>Schools and other educational authorities</w:t>
            </w:r>
            <w:r w:rsidR="00BF6A9B" w:rsidRPr="00BF6A9B">
              <w:rPr>
                <w:rFonts w:ascii="Arial" w:hAnsi="Arial" w:cs="Arial"/>
                <w:noProof/>
                <w:webHidden/>
              </w:rPr>
              <w:tab/>
            </w:r>
            <w:r w:rsidR="00BF6A9B" w:rsidRPr="00BF6A9B">
              <w:rPr>
                <w:rFonts w:ascii="Arial" w:hAnsi="Arial" w:cs="Arial"/>
                <w:noProof/>
                <w:webHidden/>
              </w:rPr>
              <w:fldChar w:fldCharType="begin"/>
            </w:r>
            <w:r w:rsidR="00BF6A9B" w:rsidRPr="00BF6A9B">
              <w:rPr>
                <w:rFonts w:ascii="Arial" w:hAnsi="Arial" w:cs="Arial"/>
                <w:noProof/>
                <w:webHidden/>
              </w:rPr>
              <w:instrText xml:space="preserve"> PAGEREF _Toc530987085 \h </w:instrText>
            </w:r>
            <w:r w:rsidR="00BF6A9B" w:rsidRPr="00BF6A9B">
              <w:rPr>
                <w:rFonts w:ascii="Arial" w:hAnsi="Arial" w:cs="Arial"/>
                <w:noProof/>
                <w:webHidden/>
              </w:rPr>
            </w:r>
            <w:r w:rsidR="00BF6A9B" w:rsidRPr="00BF6A9B">
              <w:rPr>
                <w:rFonts w:ascii="Arial" w:hAnsi="Arial" w:cs="Arial"/>
                <w:noProof/>
                <w:webHidden/>
              </w:rPr>
              <w:fldChar w:fldCharType="separate"/>
            </w:r>
            <w:r w:rsidR="003F6F5A">
              <w:rPr>
                <w:rFonts w:ascii="Arial" w:hAnsi="Arial" w:cs="Arial"/>
                <w:noProof/>
                <w:webHidden/>
              </w:rPr>
              <w:t>7</w:t>
            </w:r>
            <w:r w:rsidR="00BF6A9B" w:rsidRPr="00BF6A9B">
              <w:rPr>
                <w:rFonts w:ascii="Arial" w:hAnsi="Arial" w:cs="Arial"/>
                <w:noProof/>
                <w:webHidden/>
              </w:rPr>
              <w:fldChar w:fldCharType="end"/>
            </w:r>
          </w:hyperlink>
        </w:p>
        <w:p w14:paraId="7D765D7F" w14:textId="6D0F51AC" w:rsidR="00BF6A9B" w:rsidRPr="00BF6A9B" w:rsidRDefault="009F2EF9" w:rsidP="00BF6A9B">
          <w:pPr>
            <w:pStyle w:val="TOC1"/>
            <w:tabs>
              <w:tab w:val="right" w:leader="dot" w:pos="8296"/>
            </w:tabs>
            <w:spacing w:before="120" w:after="120"/>
            <w:rPr>
              <w:rFonts w:ascii="Arial" w:hAnsi="Arial" w:cs="Arial"/>
              <w:noProof/>
              <w:sz w:val="22"/>
              <w:szCs w:val="22"/>
              <w:lang w:val="en-AU" w:eastAsia="en-AU"/>
            </w:rPr>
          </w:pPr>
          <w:hyperlink w:anchor="_Toc530987086" w:history="1">
            <w:r w:rsidR="00BF6A9B" w:rsidRPr="00BF6A9B">
              <w:rPr>
                <w:rStyle w:val="Hyperlink"/>
                <w:rFonts w:ascii="Arial" w:hAnsi="Arial" w:cs="Arial"/>
                <w:noProof/>
                <w:lang w:val="en-AU"/>
              </w:rPr>
              <w:t>Remedies</w:t>
            </w:r>
            <w:r w:rsidR="00BF6A9B" w:rsidRPr="00BF6A9B">
              <w:rPr>
                <w:rFonts w:ascii="Arial" w:hAnsi="Arial" w:cs="Arial"/>
                <w:noProof/>
                <w:webHidden/>
              </w:rPr>
              <w:tab/>
            </w:r>
            <w:r w:rsidR="00BF6A9B" w:rsidRPr="00BF6A9B">
              <w:rPr>
                <w:rFonts w:ascii="Arial" w:hAnsi="Arial" w:cs="Arial"/>
                <w:noProof/>
                <w:webHidden/>
              </w:rPr>
              <w:fldChar w:fldCharType="begin"/>
            </w:r>
            <w:r w:rsidR="00BF6A9B" w:rsidRPr="00BF6A9B">
              <w:rPr>
                <w:rFonts w:ascii="Arial" w:hAnsi="Arial" w:cs="Arial"/>
                <w:noProof/>
                <w:webHidden/>
              </w:rPr>
              <w:instrText xml:space="preserve"> PAGEREF _Toc530987086 \h </w:instrText>
            </w:r>
            <w:r w:rsidR="00BF6A9B" w:rsidRPr="00BF6A9B">
              <w:rPr>
                <w:rFonts w:ascii="Arial" w:hAnsi="Arial" w:cs="Arial"/>
                <w:noProof/>
                <w:webHidden/>
              </w:rPr>
            </w:r>
            <w:r w:rsidR="00BF6A9B" w:rsidRPr="00BF6A9B">
              <w:rPr>
                <w:rFonts w:ascii="Arial" w:hAnsi="Arial" w:cs="Arial"/>
                <w:noProof/>
                <w:webHidden/>
              </w:rPr>
              <w:fldChar w:fldCharType="separate"/>
            </w:r>
            <w:r w:rsidR="003F6F5A">
              <w:rPr>
                <w:rFonts w:ascii="Arial" w:hAnsi="Arial" w:cs="Arial"/>
                <w:noProof/>
                <w:webHidden/>
              </w:rPr>
              <w:t>8</w:t>
            </w:r>
            <w:r w:rsidR="00BF6A9B" w:rsidRPr="00BF6A9B">
              <w:rPr>
                <w:rFonts w:ascii="Arial" w:hAnsi="Arial" w:cs="Arial"/>
                <w:noProof/>
                <w:webHidden/>
              </w:rPr>
              <w:fldChar w:fldCharType="end"/>
            </w:r>
          </w:hyperlink>
        </w:p>
        <w:p w14:paraId="40EDD263" w14:textId="1815DD08" w:rsidR="00BF6A9B" w:rsidRPr="00BF6A9B" w:rsidRDefault="009F2EF9" w:rsidP="00BF6A9B">
          <w:pPr>
            <w:pStyle w:val="TOC2"/>
            <w:tabs>
              <w:tab w:val="right" w:leader="dot" w:pos="8296"/>
            </w:tabs>
            <w:spacing w:before="120" w:after="120"/>
            <w:rPr>
              <w:rFonts w:ascii="Arial" w:hAnsi="Arial" w:cs="Arial"/>
              <w:noProof/>
              <w:sz w:val="22"/>
              <w:szCs w:val="22"/>
              <w:lang w:val="en-AU" w:eastAsia="en-AU"/>
            </w:rPr>
          </w:pPr>
          <w:hyperlink w:anchor="_Toc530987087" w:history="1">
            <w:r w:rsidR="00BF6A9B" w:rsidRPr="00BF6A9B">
              <w:rPr>
                <w:rStyle w:val="Hyperlink"/>
                <w:rFonts w:ascii="Arial" w:hAnsi="Arial" w:cs="Arial"/>
                <w:noProof/>
                <w:lang w:val="en-AU"/>
              </w:rPr>
              <w:t>Dispute resolution process</w:t>
            </w:r>
            <w:r w:rsidR="00BF6A9B" w:rsidRPr="00BF6A9B">
              <w:rPr>
                <w:rFonts w:ascii="Arial" w:hAnsi="Arial" w:cs="Arial"/>
                <w:noProof/>
                <w:webHidden/>
              </w:rPr>
              <w:tab/>
            </w:r>
            <w:r w:rsidR="00BF6A9B" w:rsidRPr="00BF6A9B">
              <w:rPr>
                <w:rFonts w:ascii="Arial" w:hAnsi="Arial" w:cs="Arial"/>
                <w:noProof/>
                <w:webHidden/>
              </w:rPr>
              <w:fldChar w:fldCharType="begin"/>
            </w:r>
            <w:r w:rsidR="00BF6A9B" w:rsidRPr="00BF6A9B">
              <w:rPr>
                <w:rFonts w:ascii="Arial" w:hAnsi="Arial" w:cs="Arial"/>
                <w:noProof/>
                <w:webHidden/>
              </w:rPr>
              <w:instrText xml:space="preserve"> PAGEREF _Toc530987087 \h </w:instrText>
            </w:r>
            <w:r w:rsidR="00BF6A9B" w:rsidRPr="00BF6A9B">
              <w:rPr>
                <w:rFonts w:ascii="Arial" w:hAnsi="Arial" w:cs="Arial"/>
                <w:noProof/>
                <w:webHidden/>
              </w:rPr>
            </w:r>
            <w:r w:rsidR="00BF6A9B" w:rsidRPr="00BF6A9B">
              <w:rPr>
                <w:rFonts w:ascii="Arial" w:hAnsi="Arial" w:cs="Arial"/>
                <w:noProof/>
                <w:webHidden/>
              </w:rPr>
              <w:fldChar w:fldCharType="separate"/>
            </w:r>
            <w:r w:rsidR="003F6F5A">
              <w:rPr>
                <w:rFonts w:ascii="Arial" w:hAnsi="Arial" w:cs="Arial"/>
                <w:noProof/>
                <w:webHidden/>
              </w:rPr>
              <w:t>9</w:t>
            </w:r>
            <w:r w:rsidR="00BF6A9B" w:rsidRPr="00BF6A9B">
              <w:rPr>
                <w:rFonts w:ascii="Arial" w:hAnsi="Arial" w:cs="Arial"/>
                <w:noProof/>
                <w:webHidden/>
              </w:rPr>
              <w:fldChar w:fldCharType="end"/>
            </w:r>
          </w:hyperlink>
        </w:p>
        <w:p w14:paraId="7EAD068A" w14:textId="6F0A1AFF" w:rsidR="00BF6A9B" w:rsidRPr="00BF6A9B" w:rsidRDefault="009F2EF9" w:rsidP="00BF6A9B">
          <w:pPr>
            <w:pStyle w:val="TOC1"/>
            <w:tabs>
              <w:tab w:val="right" w:leader="dot" w:pos="8296"/>
            </w:tabs>
            <w:spacing w:before="120" w:after="120"/>
            <w:rPr>
              <w:rFonts w:ascii="Arial" w:hAnsi="Arial" w:cs="Arial"/>
              <w:noProof/>
              <w:sz w:val="22"/>
              <w:szCs w:val="22"/>
              <w:lang w:val="en-AU" w:eastAsia="en-AU"/>
            </w:rPr>
          </w:pPr>
          <w:hyperlink w:anchor="_Toc530987088" w:history="1">
            <w:r w:rsidR="00BF6A9B" w:rsidRPr="00BF6A9B">
              <w:rPr>
                <w:rStyle w:val="Hyperlink"/>
                <w:rFonts w:ascii="Arial" w:hAnsi="Arial" w:cs="Arial"/>
                <w:noProof/>
                <w:lang w:val="en-AU"/>
              </w:rPr>
              <w:t>Reviews</w:t>
            </w:r>
            <w:r w:rsidR="00BF6A9B" w:rsidRPr="00BF6A9B">
              <w:rPr>
                <w:rFonts w:ascii="Arial" w:hAnsi="Arial" w:cs="Arial"/>
                <w:noProof/>
                <w:webHidden/>
              </w:rPr>
              <w:tab/>
            </w:r>
            <w:r w:rsidR="00BF6A9B" w:rsidRPr="00BF6A9B">
              <w:rPr>
                <w:rFonts w:ascii="Arial" w:hAnsi="Arial" w:cs="Arial"/>
                <w:noProof/>
                <w:webHidden/>
              </w:rPr>
              <w:fldChar w:fldCharType="begin"/>
            </w:r>
            <w:r w:rsidR="00BF6A9B" w:rsidRPr="00BF6A9B">
              <w:rPr>
                <w:rFonts w:ascii="Arial" w:hAnsi="Arial" w:cs="Arial"/>
                <w:noProof/>
                <w:webHidden/>
              </w:rPr>
              <w:instrText xml:space="preserve"> PAGEREF _Toc530987088 \h </w:instrText>
            </w:r>
            <w:r w:rsidR="00BF6A9B" w:rsidRPr="00BF6A9B">
              <w:rPr>
                <w:rFonts w:ascii="Arial" w:hAnsi="Arial" w:cs="Arial"/>
                <w:noProof/>
                <w:webHidden/>
              </w:rPr>
            </w:r>
            <w:r w:rsidR="00BF6A9B" w:rsidRPr="00BF6A9B">
              <w:rPr>
                <w:rFonts w:ascii="Arial" w:hAnsi="Arial" w:cs="Arial"/>
                <w:noProof/>
                <w:webHidden/>
              </w:rPr>
              <w:fldChar w:fldCharType="separate"/>
            </w:r>
            <w:r w:rsidR="003F6F5A">
              <w:rPr>
                <w:rFonts w:ascii="Arial" w:hAnsi="Arial" w:cs="Arial"/>
                <w:noProof/>
                <w:webHidden/>
              </w:rPr>
              <w:t>10</w:t>
            </w:r>
            <w:r w:rsidR="00BF6A9B" w:rsidRPr="00BF6A9B">
              <w:rPr>
                <w:rFonts w:ascii="Arial" w:hAnsi="Arial" w:cs="Arial"/>
                <w:noProof/>
                <w:webHidden/>
              </w:rPr>
              <w:fldChar w:fldCharType="end"/>
            </w:r>
          </w:hyperlink>
        </w:p>
        <w:p w14:paraId="4EE0CF86" w14:textId="1E796E0C" w:rsidR="00BF6A9B" w:rsidRPr="00BF6A9B" w:rsidRDefault="009F2EF9" w:rsidP="00BF6A9B">
          <w:pPr>
            <w:pStyle w:val="TOC1"/>
            <w:tabs>
              <w:tab w:val="right" w:leader="dot" w:pos="8296"/>
            </w:tabs>
            <w:spacing w:before="120" w:after="120"/>
            <w:rPr>
              <w:rFonts w:ascii="Arial" w:hAnsi="Arial" w:cs="Arial"/>
              <w:noProof/>
              <w:sz w:val="22"/>
              <w:szCs w:val="22"/>
              <w:lang w:val="en-AU" w:eastAsia="en-AU"/>
            </w:rPr>
          </w:pPr>
          <w:hyperlink w:anchor="_Toc530987089" w:history="1">
            <w:r w:rsidR="00BF6A9B" w:rsidRPr="00BF6A9B">
              <w:rPr>
                <w:rStyle w:val="Hyperlink"/>
                <w:rFonts w:ascii="Arial" w:hAnsi="Arial" w:cs="Arial"/>
                <w:noProof/>
                <w:lang w:val="en-AU"/>
              </w:rPr>
              <w:t>Conclusion</w:t>
            </w:r>
            <w:r w:rsidR="00BF6A9B" w:rsidRPr="00BF6A9B">
              <w:rPr>
                <w:rFonts w:ascii="Arial" w:hAnsi="Arial" w:cs="Arial"/>
                <w:noProof/>
                <w:webHidden/>
              </w:rPr>
              <w:tab/>
            </w:r>
            <w:r w:rsidR="00BF6A9B" w:rsidRPr="00BF6A9B">
              <w:rPr>
                <w:rFonts w:ascii="Arial" w:hAnsi="Arial" w:cs="Arial"/>
                <w:noProof/>
                <w:webHidden/>
              </w:rPr>
              <w:fldChar w:fldCharType="begin"/>
            </w:r>
            <w:r w:rsidR="00BF6A9B" w:rsidRPr="00BF6A9B">
              <w:rPr>
                <w:rFonts w:ascii="Arial" w:hAnsi="Arial" w:cs="Arial"/>
                <w:noProof/>
                <w:webHidden/>
              </w:rPr>
              <w:instrText xml:space="preserve"> PAGEREF _Toc530987089 \h </w:instrText>
            </w:r>
            <w:r w:rsidR="00BF6A9B" w:rsidRPr="00BF6A9B">
              <w:rPr>
                <w:rFonts w:ascii="Arial" w:hAnsi="Arial" w:cs="Arial"/>
                <w:noProof/>
                <w:webHidden/>
              </w:rPr>
            </w:r>
            <w:r w:rsidR="00BF6A9B" w:rsidRPr="00BF6A9B">
              <w:rPr>
                <w:rFonts w:ascii="Arial" w:hAnsi="Arial" w:cs="Arial"/>
                <w:noProof/>
                <w:webHidden/>
              </w:rPr>
              <w:fldChar w:fldCharType="separate"/>
            </w:r>
            <w:r w:rsidR="003F6F5A">
              <w:rPr>
                <w:rFonts w:ascii="Arial" w:hAnsi="Arial" w:cs="Arial"/>
                <w:noProof/>
                <w:webHidden/>
              </w:rPr>
              <w:t>10</w:t>
            </w:r>
            <w:r w:rsidR="00BF6A9B" w:rsidRPr="00BF6A9B">
              <w:rPr>
                <w:rFonts w:ascii="Arial" w:hAnsi="Arial" w:cs="Arial"/>
                <w:noProof/>
                <w:webHidden/>
              </w:rPr>
              <w:fldChar w:fldCharType="end"/>
            </w:r>
          </w:hyperlink>
        </w:p>
        <w:p w14:paraId="21861708" w14:textId="3F3C7D5C" w:rsidR="00BF6A9B" w:rsidRPr="00BF6A9B" w:rsidRDefault="009F2EF9" w:rsidP="00BF6A9B">
          <w:pPr>
            <w:pStyle w:val="TOC1"/>
            <w:tabs>
              <w:tab w:val="right" w:leader="dot" w:pos="8296"/>
            </w:tabs>
            <w:spacing w:before="120" w:after="120"/>
            <w:rPr>
              <w:rFonts w:ascii="Arial" w:hAnsi="Arial" w:cs="Arial"/>
              <w:noProof/>
              <w:sz w:val="22"/>
              <w:szCs w:val="22"/>
              <w:lang w:val="en-AU" w:eastAsia="en-AU"/>
            </w:rPr>
          </w:pPr>
          <w:hyperlink w:anchor="_Toc530987090" w:history="1">
            <w:r w:rsidR="00BF6A9B" w:rsidRPr="00BF6A9B">
              <w:rPr>
                <w:rStyle w:val="Hyperlink"/>
                <w:rFonts w:ascii="Arial" w:hAnsi="Arial" w:cs="Arial"/>
                <w:noProof/>
                <w:lang w:val="en-AU"/>
              </w:rPr>
              <w:t>Recommendations</w:t>
            </w:r>
            <w:r w:rsidR="00BF6A9B" w:rsidRPr="00BF6A9B">
              <w:rPr>
                <w:rFonts w:ascii="Arial" w:hAnsi="Arial" w:cs="Arial"/>
                <w:noProof/>
                <w:webHidden/>
              </w:rPr>
              <w:tab/>
            </w:r>
            <w:r w:rsidR="00BF6A9B" w:rsidRPr="00BF6A9B">
              <w:rPr>
                <w:rFonts w:ascii="Arial" w:hAnsi="Arial" w:cs="Arial"/>
                <w:noProof/>
                <w:webHidden/>
              </w:rPr>
              <w:fldChar w:fldCharType="begin"/>
            </w:r>
            <w:r w:rsidR="00BF6A9B" w:rsidRPr="00BF6A9B">
              <w:rPr>
                <w:rFonts w:ascii="Arial" w:hAnsi="Arial" w:cs="Arial"/>
                <w:noProof/>
                <w:webHidden/>
              </w:rPr>
              <w:instrText xml:space="preserve"> PAGEREF _Toc530987090 \h </w:instrText>
            </w:r>
            <w:r w:rsidR="00BF6A9B" w:rsidRPr="00BF6A9B">
              <w:rPr>
                <w:rFonts w:ascii="Arial" w:hAnsi="Arial" w:cs="Arial"/>
                <w:noProof/>
                <w:webHidden/>
              </w:rPr>
            </w:r>
            <w:r w:rsidR="00BF6A9B" w:rsidRPr="00BF6A9B">
              <w:rPr>
                <w:rFonts w:ascii="Arial" w:hAnsi="Arial" w:cs="Arial"/>
                <w:noProof/>
                <w:webHidden/>
              </w:rPr>
              <w:fldChar w:fldCharType="separate"/>
            </w:r>
            <w:r w:rsidR="003F6F5A">
              <w:rPr>
                <w:rFonts w:ascii="Arial" w:hAnsi="Arial" w:cs="Arial"/>
                <w:noProof/>
                <w:webHidden/>
              </w:rPr>
              <w:t>11</w:t>
            </w:r>
            <w:r w:rsidR="00BF6A9B" w:rsidRPr="00BF6A9B">
              <w:rPr>
                <w:rFonts w:ascii="Arial" w:hAnsi="Arial" w:cs="Arial"/>
                <w:noProof/>
                <w:webHidden/>
              </w:rPr>
              <w:fldChar w:fldCharType="end"/>
            </w:r>
          </w:hyperlink>
        </w:p>
        <w:p w14:paraId="15FDE769" w14:textId="6F717499" w:rsidR="00A16356" w:rsidRPr="00BF6A9B" w:rsidRDefault="00A16356" w:rsidP="00BF6A9B">
          <w:pPr>
            <w:spacing w:before="120" w:after="120"/>
            <w:rPr>
              <w:rFonts w:ascii="Arial" w:hAnsi="Arial" w:cs="Arial"/>
            </w:rPr>
          </w:pPr>
          <w:r w:rsidRPr="00BF6A9B">
            <w:rPr>
              <w:rFonts w:ascii="Arial" w:hAnsi="Arial" w:cs="Arial"/>
              <w:b/>
              <w:bCs/>
              <w:noProof/>
            </w:rPr>
            <w:fldChar w:fldCharType="end"/>
          </w:r>
        </w:p>
      </w:sdtContent>
    </w:sdt>
    <w:p w14:paraId="61DAD679" w14:textId="77777777" w:rsidR="004A2375" w:rsidRPr="00BF6A9B" w:rsidRDefault="004A2375" w:rsidP="00BF6A9B">
      <w:pPr>
        <w:spacing w:before="120" w:after="120"/>
        <w:rPr>
          <w:rFonts w:ascii="Arial" w:eastAsiaTheme="majorEastAsia" w:hAnsi="Arial" w:cs="Arial"/>
          <w:b/>
          <w:color w:val="365F91" w:themeColor="accent1" w:themeShade="BF"/>
          <w:sz w:val="28"/>
          <w:szCs w:val="32"/>
          <w:lang w:val="en-AU"/>
        </w:rPr>
        <w:sectPr w:rsidR="004A2375" w:rsidRPr="00BF6A9B" w:rsidSect="00A16356">
          <w:headerReference w:type="first" r:id="rId9"/>
          <w:pgSz w:w="11900" w:h="16840" w:code="9"/>
          <w:pgMar w:top="1440" w:right="1797" w:bottom="1440" w:left="1797" w:header="709" w:footer="709" w:gutter="0"/>
          <w:pgNumType w:start="0"/>
          <w:cols w:space="708"/>
          <w:titlePg/>
          <w:docGrid w:linePitch="360"/>
        </w:sectPr>
      </w:pPr>
    </w:p>
    <w:p w14:paraId="3C667E6D" w14:textId="6A1FD744" w:rsidR="00B82CE9" w:rsidRPr="00C35743" w:rsidRDefault="00B82CE9" w:rsidP="00BF6A9B">
      <w:pPr>
        <w:pStyle w:val="Heading1"/>
        <w:spacing w:before="120"/>
        <w:rPr>
          <w:b w:val="0"/>
          <w:lang w:val="en-AU"/>
        </w:rPr>
      </w:pPr>
      <w:bookmarkStart w:id="0" w:name="_Toc530987078"/>
      <w:r w:rsidRPr="00C35743">
        <w:rPr>
          <w:lang w:val="en-AU"/>
        </w:rPr>
        <w:lastRenderedPageBreak/>
        <w:t>Introduction</w:t>
      </w:r>
      <w:bookmarkEnd w:id="0"/>
    </w:p>
    <w:p w14:paraId="54271C34" w14:textId="2EC6FAF1" w:rsidR="00FB2275" w:rsidRPr="00A97DE1" w:rsidRDefault="00FB2275" w:rsidP="00FB2275">
      <w:pPr>
        <w:pStyle w:val="ListParagraph"/>
        <w:numPr>
          <w:ilvl w:val="0"/>
          <w:numId w:val="4"/>
        </w:numPr>
        <w:spacing w:before="120" w:after="240" w:line="276" w:lineRule="auto"/>
        <w:ind w:left="425" w:hanging="425"/>
        <w:contextualSpacing w:val="0"/>
        <w:rPr>
          <w:rFonts w:ascii="Arial" w:hAnsi="Arial" w:cs="Arial"/>
          <w:color w:val="000000"/>
        </w:rPr>
      </w:pPr>
      <w:r w:rsidRPr="00A97DE1">
        <w:rPr>
          <w:rFonts w:ascii="Arial" w:hAnsi="Arial" w:cs="Arial"/>
          <w:color w:val="000000"/>
        </w:rPr>
        <w:t>The Anti-</w:t>
      </w:r>
      <w:r w:rsidRPr="00A97DE1">
        <w:rPr>
          <w:rFonts w:ascii="Arial" w:hAnsi="Arial" w:cs="Arial"/>
        </w:rPr>
        <w:t>Discrimination</w:t>
      </w:r>
      <w:r>
        <w:rPr>
          <w:rFonts w:ascii="Arial" w:hAnsi="Arial" w:cs="Arial"/>
          <w:color w:val="000000"/>
        </w:rPr>
        <w:t xml:space="preserve"> Commission is a </w:t>
      </w:r>
      <w:r w:rsidRPr="00A97DE1">
        <w:rPr>
          <w:rFonts w:ascii="Arial" w:hAnsi="Arial" w:cs="Arial"/>
          <w:color w:val="000000"/>
        </w:rPr>
        <w:t xml:space="preserve">statutory authority established under the Queensland </w:t>
      </w:r>
      <w:r w:rsidRPr="00A97DE1">
        <w:rPr>
          <w:rStyle w:val="HTMLCite"/>
          <w:rFonts w:ascii="Arial" w:eastAsiaTheme="majorEastAsia" w:hAnsi="Arial" w:cs="Arial"/>
          <w:color w:val="000000"/>
        </w:rPr>
        <w:t>Anti-Discrimination Act 1991</w:t>
      </w:r>
      <w:r w:rsidRPr="00A97DE1">
        <w:rPr>
          <w:rFonts w:ascii="Arial" w:hAnsi="Arial" w:cs="Arial"/>
          <w:color w:val="000000"/>
        </w:rPr>
        <w:t>.</w:t>
      </w:r>
    </w:p>
    <w:p w14:paraId="7B71C69C" w14:textId="23A5409F" w:rsidR="00FB2275" w:rsidRDefault="00FB2275" w:rsidP="00FB2275">
      <w:pPr>
        <w:pStyle w:val="ListParagraph"/>
        <w:numPr>
          <w:ilvl w:val="0"/>
          <w:numId w:val="4"/>
        </w:numPr>
        <w:spacing w:before="120" w:after="240" w:line="276" w:lineRule="auto"/>
        <w:ind w:left="425" w:hanging="425"/>
        <w:contextualSpacing w:val="0"/>
        <w:rPr>
          <w:rFonts w:ascii="Arial" w:hAnsi="Arial" w:cs="Arial"/>
          <w:color w:val="000000"/>
        </w:rPr>
      </w:pPr>
      <w:r w:rsidRPr="00A97DE1">
        <w:rPr>
          <w:rFonts w:ascii="Arial" w:hAnsi="Arial" w:cs="Arial"/>
          <w:color w:val="000000"/>
        </w:rPr>
        <w:t xml:space="preserve">The </w:t>
      </w:r>
      <w:r w:rsidRPr="00FB2275">
        <w:rPr>
          <w:rFonts w:ascii="Arial" w:hAnsi="Arial" w:cs="Arial"/>
          <w:lang w:val="en-AU"/>
        </w:rPr>
        <w:t>functions</w:t>
      </w:r>
      <w:r w:rsidRPr="00A97DE1">
        <w:rPr>
          <w:rFonts w:ascii="Arial" w:hAnsi="Arial" w:cs="Arial"/>
          <w:color w:val="000000"/>
        </w:rPr>
        <w:t xml:space="preserve"> of </w:t>
      </w:r>
      <w:r w:rsidRPr="00A97DE1">
        <w:rPr>
          <w:rFonts w:ascii="Arial" w:hAnsi="Arial" w:cs="Arial"/>
        </w:rPr>
        <w:t>the</w:t>
      </w:r>
      <w:r w:rsidRPr="00A97DE1">
        <w:rPr>
          <w:rFonts w:ascii="Arial" w:hAnsi="Arial" w:cs="Arial"/>
          <w:color w:val="000000"/>
        </w:rPr>
        <w:t xml:space="preserve"> Commission include promoting an understanding, acceptance, and public discussion of human rights in Queensland, and dealing with complaints alleging contraventions of the </w:t>
      </w:r>
      <w:r w:rsidRPr="00A97DE1">
        <w:rPr>
          <w:rStyle w:val="HTMLCite"/>
          <w:rFonts w:ascii="Arial" w:eastAsiaTheme="majorEastAsia" w:hAnsi="Arial" w:cs="Arial"/>
          <w:color w:val="000000"/>
        </w:rPr>
        <w:t>Anti-Discrimination Act 1991 and of reprisal under the Public Interest Disclosure Act 2010</w:t>
      </w:r>
      <w:r w:rsidRPr="00A97DE1">
        <w:rPr>
          <w:rFonts w:ascii="Arial" w:hAnsi="Arial" w:cs="Arial"/>
          <w:color w:val="000000"/>
        </w:rPr>
        <w:t>.  Complaints that are not resolved through conciliation can</w:t>
      </w:r>
      <w:r>
        <w:rPr>
          <w:rFonts w:ascii="Arial" w:hAnsi="Arial" w:cs="Arial"/>
          <w:color w:val="000000"/>
        </w:rPr>
        <w:t xml:space="preserve"> be referred to a tribunal</w:t>
      </w:r>
      <w:r w:rsidRPr="00A97DE1">
        <w:rPr>
          <w:rFonts w:ascii="Arial" w:hAnsi="Arial" w:cs="Arial"/>
          <w:color w:val="000000"/>
        </w:rPr>
        <w:t xml:space="preserve"> for hearing and determination.</w:t>
      </w:r>
      <w:r>
        <w:rPr>
          <w:rFonts w:ascii="Arial" w:hAnsi="Arial" w:cs="Arial"/>
          <w:color w:val="000000"/>
        </w:rPr>
        <w:t xml:space="preserve">  For work-related complaints the tribunal is the Queensland Industrial Relations Commission, and for all other complaints the tribunal is the Queensland Civil and Administrative Tribunal.</w:t>
      </w:r>
    </w:p>
    <w:p w14:paraId="15ACEB48" w14:textId="7FB9A28C" w:rsidR="001B5640" w:rsidRDefault="001B5640" w:rsidP="00FB2275">
      <w:pPr>
        <w:pStyle w:val="ListParagraph"/>
        <w:numPr>
          <w:ilvl w:val="0"/>
          <w:numId w:val="4"/>
        </w:numPr>
        <w:spacing w:before="120" w:after="240" w:line="276" w:lineRule="auto"/>
        <w:ind w:left="425" w:hanging="425"/>
        <w:contextualSpacing w:val="0"/>
        <w:rPr>
          <w:rFonts w:ascii="Arial" w:hAnsi="Arial" w:cs="Arial"/>
          <w:color w:val="000000"/>
        </w:rPr>
      </w:pPr>
      <w:r>
        <w:rPr>
          <w:rFonts w:ascii="Arial" w:hAnsi="Arial" w:cs="Arial"/>
          <w:color w:val="000000"/>
        </w:rPr>
        <w:t>The Commission provided a comprehensive submission to the inquiry by the Legal Affairs and Community Safety Committee into the appropriateness and desirability of a Human Rights Act for Queensland.  The Commission supported a Human Rights Act for Queensland and made a number of recommendations, most of which have been incorporated in the Bill.</w:t>
      </w:r>
    </w:p>
    <w:p w14:paraId="3C53F6C9" w14:textId="79F1D1CD" w:rsidR="00FB2275" w:rsidRDefault="00FB2275" w:rsidP="00FB2275">
      <w:pPr>
        <w:pStyle w:val="ListParagraph"/>
        <w:numPr>
          <w:ilvl w:val="0"/>
          <w:numId w:val="4"/>
        </w:numPr>
        <w:spacing w:before="120" w:after="240" w:line="276" w:lineRule="auto"/>
        <w:ind w:left="425" w:hanging="425"/>
        <w:contextualSpacing w:val="0"/>
        <w:rPr>
          <w:rFonts w:ascii="Arial" w:hAnsi="Arial" w:cs="Arial"/>
          <w:color w:val="000000"/>
        </w:rPr>
      </w:pPr>
      <w:r>
        <w:rPr>
          <w:rFonts w:ascii="Arial" w:hAnsi="Arial" w:cs="Arial"/>
          <w:color w:val="000000"/>
        </w:rPr>
        <w:t xml:space="preserve">The Bill would broaden the functions of the Commission to include dealing with human rights complaints, monitoring and reporting, and intervening in </w:t>
      </w:r>
      <w:r w:rsidRPr="00E62072">
        <w:rPr>
          <w:rFonts w:ascii="Arial" w:hAnsi="Arial" w:cs="Arial"/>
          <w:color w:val="000000"/>
        </w:rPr>
        <w:t>proceedings</w:t>
      </w:r>
      <w:r w:rsidR="00E62072">
        <w:rPr>
          <w:rFonts w:ascii="Arial" w:hAnsi="Arial" w:cs="Arial"/>
          <w:color w:val="000000"/>
        </w:rPr>
        <w:t xml:space="preserve"> involving questions of law on the application of the Act or interpretation in accordance with the Act</w:t>
      </w:r>
      <w:r>
        <w:rPr>
          <w:rFonts w:ascii="Arial" w:hAnsi="Arial" w:cs="Arial"/>
          <w:color w:val="000000"/>
        </w:rPr>
        <w:t>.</w:t>
      </w:r>
    </w:p>
    <w:p w14:paraId="1BC0950D" w14:textId="551B4FCD" w:rsidR="00FB2275" w:rsidRPr="0032225D" w:rsidRDefault="00FB2275" w:rsidP="00FB2275">
      <w:pPr>
        <w:pStyle w:val="ListParagraph"/>
        <w:numPr>
          <w:ilvl w:val="0"/>
          <w:numId w:val="4"/>
        </w:numPr>
        <w:spacing w:before="120" w:after="240" w:line="276" w:lineRule="auto"/>
        <w:ind w:left="425" w:hanging="425"/>
        <w:contextualSpacing w:val="0"/>
        <w:rPr>
          <w:rFonts w:ascii="Arial" w:hAnsi="Arial" w:cs="Arial"/>
          <w:color w:val="000000"/>
        </w:rPr>
      </w:pPr>
      <w:r>
        <w:rPr>
          <w:rFonts w:ascii="Arial" w:hAnsi="Arial" w:cs="Arial"/>
        </w:rPr>
        <w:t xml:space="preserve">The Commission was consulted during the drafting of the Bill, and provided significant feedback.  The consultation process has produced a Bill that the Commission considers reflects the policy objectives of the government, </w:t>
      </w:r>
      <w:r w:rsidR="00026490">
        <w:rPr>
          <w:rFonts w:ascii="Arial" w:hAnsi="Arial" w:cs="Arial"/>
        </w:rPr>
        <w:t xml:space="preserve">and </w:t>
      </w:r>
      <w:r w:rsidR="00E62072" w:rsidRPr="00E62072">
        <w:rPr>
          <w:rFonts w:ascii="Arial" w:hAnsi="Arial" w:cs="Arial"/>
        </w:rPr>
        <w:t>that includes</w:t>
      </w:r>
      <w:r w:rsidRPr="00E62072">
        <w:rPr>
          <w:rFonts w:ascii="Arial" w:hAnsi="Arial" w:cs="Arial"/>
        </w:rPr>
        <w:t xml:space="preserve"> </w:t>
      </w:r>
      <w:r w:rsidR="00D40A99" w:rsidRPr="00E62072">
        <w:rPr>
          <w:rFonts w:ascii="Arial" w:hAnsi="Arial" w:cs="Arial"/>
        </w:rPr>
        <w:t xml:space="preserve">appropriate and </w:t>
      </w:r>
      <w:r w:rsidRPr="00E62072">
        <w:rPr>
          <w:rFonts w:ascii="Arial" w:hAnsi="Arial" w:cs="Arial"/>
        </w:rPr>
        <w:t xml:space="preserve">workable </w:t>
      </w:r>
      <w:r w:rsidR="00D40A99" w:rsidRPr="00E62072">
        <w:rPr>
          <w:rFonts w:ascii="Arial" w:hAnsi="Arial" w:cs="Arial"/>
        </w:rPr>
        <w:t>functions for the Commission</w:t>
      </w:r>
      <w:r w:rsidRPr="00E62072">
        <w:rPr>
          <w:rFonts w:ascii="Arial" w:hAnsi="Arial" w:cs="Arial"/>
        </w:rPr>
        <w:t>.  The</w:t>
      </w:r>
      <w:r>
        <w:rPr>
          <w:rFonts w:ascii="Arial" w:hAnsi="Arial" w:cs="Arial"/>
        </w:rPr>
        <w:t xml:space="preserve"> Commission commends the Department of Justice and Attorney-General on this achievement and on the way the consultation was conducted.</w:t>
      </w:r>
    </w:p>
    <w:p w14:paraId="13D149BC" w14:textId="065BE0C9" w:rsidR="0032225D" w:rsidRPr="00A97DE1" w:rsidRDefault="0032225D" w:rsidP="00FB2275">
      <w:pPr>
        <w:pStyle w:val="ListParagraph"/>
        <w:numPr>
          <w:ilvl w:val="0"/>
          <w:numId w:val="4"/>
        </w:numPr>
        <w:spacing w:before="120" w:after="240" w:line="276" w:lineRule="auto"/>
        <w:ind w:left="425" w:hanging="425"/>
        <w:contextualSpacing w:val="0"/>
        <w:rPr>
          <w:rFonts w:ascii="Arial" w:hAnsi="Arial" w:cs="Arial"/>
          <w:color w:val="000000"/>
        </w:rPr>
      </w:pPr>
      <w:r>
        <w:rPr>
          <w:rFonts w:ascii="Arial" w:hAnsi="Arial" w:cs="Arial"/>
        </w:rPr>
        <w:t>The Commission broadly supports the Bill, and this submission includes a number of recommendations to enhance the Bill.</w:t>
      </w:r>
    </w:p>
    <w:p w14:paraId="04693EA7" w14:textId="642530E5" w:rsidR="00B82CE9" w:rsidRPr="00C35743" w:rsidRDefault="00B82CE9" w:rsidP="00284FF0">
      <w:pPr>
        <w:pStyle w:val="Heading1"/>
        <w:rPr>
          <w:lang w:val="en-AU"/>
        </w:rPr>
      </w:pPr>
      <w:bookmarkStart w:id="1" w:name="_Toc530987079"/>
      <w:r w:rsidRPr="00C35743">
        <w:rPr>
          <w:lang w:val="en-AU"/>
        </w:rPr>
        <w:t>Objectives</w:t>
      </w:r>
      <w:bookmarkEnd w:id="1"/>
    </w:p>
    <w:p w14:paraId="1D8F7B9E" w14:textId="77777777" w:rsidR="001B5640" w:rsidRPr="003A5691" w:rsidRDefault="001B5640" w:rsidP="001B5640">
      <w:pPr>
        <w:pStyle w:val="ListParagraph"/>
        <w:numPr>
          <w:ilvl w:val="0"/>
          <w:numId w:val="4"/>
        </w:numPr>
        <w:spacing w:before="120" w:after="120" w:line="276" w:lineRule="auto"/>
        <w:ind w:left="425" w:hanging="425"/>
        <w:contextualSpacing w:val="0"/>
        <w:rPr>
          <w:rFonts w:ascii="Arial" w:hAnsi="Arial" w:cs="Arial"/>
        </w:rPr>
      </w:pPr>
      <w:r w:rsidRPr="003A5691">
        <w:rPr>
          <w:rFonts w:ascii="Arial" w:hAnsi="Arial" w:cs="Arial"/>
        </w:rPr>
        <w:t xml:space="preserve">The objectives of the </w:t>
      </w:r>
      <w:r>
        <w:rPr>
          <w:rFonts w:ascii="Arial" w:hAnsi="Arial" w:cs="Arial"/>
        </w:rPr>
        <w:t xml:space="preserve">Bill 2018 </w:t>
      </w:r>
      <w:r w:rsidRPr="003A5691">
        <w:rPr>
          <w:rFonts w:ascii="Arial" w:hAnsi="Arial" w:cs="Arial"/>
        </w:rPr>
        <w:t xml:space="preserve">are to: </w:t>
      </w:r>
    </w:p>
    <w:p w14:paraId="2486162C" w14:textId="77777777" w:rsidR="001B5640" w:rsidRPr="003A5691" w:rsidRDefault="001B5640" w:rsidP="00F569B8">
      <w:pPr>
        <w:pStyle w:val="Default"/>
        <w:numPr>
          <w:ilvl w:val="0"/>
          <w:numId w:val="10"/>
        </w:numPr>
        <w:spacing w:before="120" w:after="120" w:line="276" w:lineRule="auto"/>
        <w:ind w:left="993" w:hanging="284"/>
        <w:rPr>
          <w:rFonts w:ascii="Arial" w:hAnsi="Arial" w:cs="Arial"/>
        </w:rPr>
      </w:pPr>
      <w:r w:rsidRPr="003A5691">
        <w:rPr>
          <w:rFonts w:ascii="Arial" w:hAnsi="Arial" w:cs="Arial"/>
        </w:rPr>
        <w:t xml:space="preserve">establish and consolidate statutory protections for certain human rights; </w:t>
      </w:r>
    </w:p>
    <w:p w14:paraId="470D4B2F" w14:textId="77777777" w:rsidR="001B5640" w:rsidRPr="003A5691" w:rsidRDefault="001B5640" w:rsidP="00F569B8">
      <w:pPr>
        <w:pStyle w:val="Default"/>
        <w:numPr>
          <w:ilvl w:val="0"/>
          <w:numId w:val="10"/>
        </w:numPr>
        <w:spacing w:before="120" w:after="120" w:line="276" w:lineRule="auto"/>
        <w:ind w:left="993" w:hanging="284"/>
        <w:rPr>
          <w:rFonts w:ascii="Arial" w:hAnsi="Arial" w:cs="Arial"/>
        </w:rPr>
      </w:pPr>
      <w:r w:rsidRPr="003A5691">
        <w:rPr>
          <w:rFonts w:ascii="Arial" w:hAnsi="Arial" w:cs="Arial"/>
        </w:rPr>
        <w:t xml:space="preserve">ensure that public functions are exercised in a way that is compatible with human rights; </w:t>
      </w:r>
    </w:p>
    <w:p w14:paraId="640A2290" w14:textId="77777777" w:rsidR="001B5640" w:rsidRPr="003A5691" w:rsidRDefault="001B5640" w:rsidP="00F569B8">
      <w:pPr>
        <w:pStyle w:val="Default"/>
        <w:numPr>
          <w:ilvl w:val="0"/>
          <w:numId w:val="10"/>
        </w:numPr>
        <w:spacing w:before="120" w:after="120" w:line="276" w:lineRule="auto"/>
        <w:ind w:left="993" w:hanging="284"/>
        <w:rPr>
          <w:rFonts w:ascii="Arial" w:hAnsi="Arial" w:cs="Arial"/>
        </w:rPr>
      </w:pPr>
      <w:r w:rsidRPr="003A5691">
        <w:rPr>
          <w:rFonts w:ascii="Arial" w:hAnsi="Arial" w:cs="Arial"/>
        </w:rPr>
        <w:lastRenderedPageBreak/>
        <w:t xml:space="preserve">promote a dialogue about the nature, meaning and scope of human rights; and </w:t>
      </w:r>
    </w:p>
    <w:p w14:paraId="73DCDC01" w14:textId="77777777" w:rsidR="001B5640" w:rsidRPr="003A5691" w:rsidRDefault="001B5640" w:rsidP="00F569B8">
      <w:pPr>
        <w:pStyle w:val="Default"/>
        <w:numPr>
          <w:ilvl w:val="0"/>
          <w:numId w:val="10"/>
        </w:numPr>
        <w:spacing w:before="120" w:after="120" w:line="276" w:lineRule="auto"/>
        <w:ind w:left="993" w:hanging="284"/>
        <w:rPr>
          <w:rFonts w:ascii="Arial" w:hAnsi="Arial" w:cs="Arial"/>
        </w:rPr>
      </w:pPr>
      <w:r w:rsidRPr="003A5691">
        <w:rPr>
          <w:rFonts w:ascii="Arial" w:hAnsi="Arial" w:cs="Arial"/>
        </w:rPr>
        <w:t xml:space="preserve">rename and empower the Anti-Discrimination Commission Queensland as the Queensland Human Rights Commission to: </w:t>
      </w:r>
    </w:p>
    <w:p w14:paraId="7AF10F91" w14:textId="77777777" w:rsidR="001B5640" w:rsidRPr="003A5691" w:rsidRDefault="001B5640" w:rsidP="00F569B8">
      <w:pPr>
        <w:pStyle w:val="Default"/>
        <w:numPr>
          <w:ilvl w:val="0"/>
          <w:numId w:val="11"/>
        </w:numPr>
        <w:spacing w:before="120" w:after="120" w:line="276" w:lineRule="auto"/>
        <w:ind w:left="1418" w:hanging="284"/>
        <w:rPr>
          <w:rFonts w:ascii="Arial" w:hAnsi="Arial" w:cs="Arial"/>
        </w:rPr>
      </w:pPr>
      <w:r w:rsidRPr="003A5691">
        <w:rPr>
          <w:rFonts w:ascii="Arial" w:hAnsi="Arial" w:cs="Arial"/>
        </w:rPr>
        <w:t xml:space="preserve">provide a dispute resolution process for dealing with human rights complaints; and </w:t>
      </w:r>
    </w:p>
    <w:p w14:paraId="0CEF1B99" w14:textId="77777777" w:rsidR="001B5640" w:rsidRPr="00797057" w:rsidRDefault="001B5640" w:rsidP="00F569B8">
      <w:pPr>
        <w:pStyle w:val="Default"/>
        <w:numPr>
          <w:ilvl w:val="0"/>
          <w:numId w:val="11"/>
        </w:numPr>
        <w:spacing w:before="120" w:after="240" w:line="276" w:lineRule="auto"/>
        <w:ind w:left="1418" w:hanging="284"/>
        <w:rPr>
          <w:rFonts w:ascii="Arial" w:hAnsi="Arial" w:cs="Arial"/>
        </w:rPr>
      </w:pPr>
      <w:r w:rsidRPr="003A5691">
        <w:rPr>
          <w:rFonts w:ascii="Arial" w:hAnsi="Arial" w:cs="Arial"/>
        </w:rPr>
        <w:t xml:space="preserve">promote an understanding, acceptance and public discussion of human rights. </w:t>
      </w:r>
    </w:p>
    <w:p w14:paraId="016ABBB4" w14:textId="56763460" w:rsidR="001B5640" w:rsidRDefault="001B5640" w:rsidP="001B5640">
      <w:pPr>
        <w:pStyle w:val="ListParagraph"/>
        <w:numPr>
          <w:ilvl w:val="0"/>
          <w:numId w:val="4"/>
        </w:numPr>
        <w:spacing w:before="120" w:after="240" w:line="276" w:lineRule="auto"/>
        <w:ind w:left="425" w:hanging="425"/>
        <w:contextualSpacing w:val="0"/>
        <w:rPr>
          <w:rFonts w:ascii="Arial" w:hAnsi="Arial" w:cs="Arial"/>
        </w:rPr>
      </w:pPr>
      <w:r>
        <w:rPr>
          <w:rFonts w:ascii="Arial" w:hAnsi="Arial" w:cs="Arial"/>
        </w:rPr>
        <w:t xml:space="preserve">The objectives of the Bill are consistent with the objectives of the </w:t>
      </w:r>
      <w:r>
        <w:rPr>
          <w:rFonts w:ascii="Arial" w:hAnsi="Arial" w:cs="Arial"/>
          <w:i/>
        </w:rPr>
        <w:t xml:space="preserve">Anti-Discrimination Act 1991, </w:t>
      </w:r>
      <w:r>
        <w:rPr>
          <w:rFonts w:ascii="Arial" w:hAnsi="Arial" w:cs="Arial"/>
        </w:rPr>
        <w:t xml:space="preserve">described in the Preamble and in section 6.  </w:t>
      </w:r>
      <w:r w:rsidR="00F569B8">
        <w:rPr>
          <w:rFonts w:ascii="Arial" w:hAnsi="Arial" w:cs="Arial"/>
          <w:lang w:val="en-AU"/>
        </w:rPr>
        <w:t>The Preamble refers to various international human r</w:t>
      </w:r>
      <w:r w:rsidRPr="00C35743">
        <w:rPr>
          <w:rFonts w:ascii="Arial" w:hAnsi="Arial" w:cs="Arial"/>
          <w:lang w:val="en-AU"/>
        </w:rPr>
        <w:t xml:space="preserve">ights </w:t>
      </w:r>
      <w:r w:rsidR="00F569B8">
        <w:rPr>
          <w:rFonts w:ascii="Arial" w:hAnsi="Arial" w:cs="Arial"/>
          <w:lang w:val="en-AU"/>
        </w:rPr>
        <w:t>i</w:t>
      </w:r>
      <w:r>
        <w:rPr>
          <w:rFonts w:ascii="Arial" w:hAnsi="Arial" w:cs="Arial"/>
          <w:lang w:val="en-AU"/>
        </w:rPr>
        <w:t>nstruments</w:t>
      </w:r>
      <w:r w:rsidRPr="00C35743">
        <w:rPr>
          <w:rFonts w:ascii="Arial" w:hAnsi="Arial" w:cs="Arial"/>
          <w:lang w:val="en-AU"/>
        </w:rPr>
        <w:t xml:space="preserve"> to which Australia is a party, to Commonwealth legislation enacted in respect of obligations under the instruments, to the need to extend the Commonwealth legislation, and to the intention of Parliament to promote equality of opportunity for everyone by protecting them from unfair discrimination in certain areas of activity and from sexual harassment and other objectionable conduct.</w:t>
      </w:r>
    </w:p>
    <w:p w14:paraId="4C02820A" w14:textId="5B206F36" w:rsidR="001B5640" w:rsidRPr="00797057" w:rsidRDefault="001B5640" w:rsidP="001B5640">
      <w:pPr>
        <w:pStyle w:val="ListParagraph"/>
        <w:numPr>
          <w:ilvl w:val="0"/>
          <w:numId w:val="4"/>
        </w:numPr>
        <w:spacing w:before="120" w:after="240" w:line="276" w:lineRule="auto"/>
        <w:ind w:left="425" w:hanging="425"/>
        <w:contextualSpacing w:val="0"/>
        <w:rPr>
          <w:rFonts w:ascii="Arial" w:hAnsi="Arial" w:cs="Arial"/>
        </w:rPr>
      </w:pPr>
      <w:r w:rsidRPr="00797057">
        <w:rPr>
          <w:rFonts w:ascii="Arial" w:hAnsi="Arial" w:cs="Arial"/>
        </w:rPr>
        <w:t>The Bill will rename the Anti-Discriminati</w:t>
      </w:r>
      <w:r>
        <w:rPr>
          <w:rFonts w:ascii="Arial" w:hAnsi="Arial" w:cs="Arial"/>
        </w:rPr>
        <w:t xml:space="preserve">on Commission Queensland </w:t>
      </w:r>
      <w:r w:rsidRPr="00797057">
        <w:rPr>
          <w:rFonts w:ascii="Arial" w:hAnsi="Arial" w:cs="Arial"/>
        </w:rPr>
        <w:t>as the Queensland</w:t>
      </w:r>
      <w:r>
        <w:rPr>
          <w:rFonts w:ascii="Arial" w:hAnsi="Arial" w:cs="Arial"/>
        </w:rPr>
        <w:t xml:space="preserve"> Human Rights Commission</w:t>
      </w:r>
      <w:r w:rsidR="00300FF0">
        <w:rPr>
          <w:rFonts w:ascii="Arial" w:hAnsi="Arial" w:cs="Arial"/>
        </w:rPr>
        <w:t>,</w:t>
      </w:r>
      <w:r>
        <w:rPr>
          <w:rFonts w:ascii="Arial" w:hAnsi="Arial" w:cs="Arial"/>
        </w:rPr>
        <w:t xml:space="preserve"> </w:t>
      </w:r>
      <w:r w:rsidRPr="00797057">
        <w:rPr>
          <w:rFonts w:ascii="Arial" w:hAnsi="Arial" w:cs="Arial"/>
        </w:rPr>
        <w:t xml:space="preserve">and </w:t>
      </w:r>
      <w:r w:rsidR="00300FF0">
        <w:rPr>
          <w:rFonts w:ascii="Arial" w:hAnsi="Arial" w:cs="Arial"/>
        </w:rPr>
        <w:t>give</w:t>
      </w:r>
      <w:r w:rsidRPr="00797057">
        <w:rPr>
          <w:rFonts w:ascii="Arial" w:hAnsi="Arial" w:cs="Arial"/>
        </w:rPr>
        <w:t xml:space="preserve"> the </w:t>
      </w:r>
      <w:r>
        <w:rPr>
          <w:rFonts w:ascii="Arial" w:hAnsi="Arial" w:cs="Arial"/>
        </w:rPr>
        <w:t>Commission</w:t>
      </w:r>
      <w:r w:rsidRPr="00797057">
        <w:rPr>
          <w:rFonts w:ascii="Arial" w:hAnsi="Arial" w:cs="Arial"/>
        </w:rPr>
        <w:t xml:space="preserve"> important functions to support the regulatory model underpinning the Bill. </w:t>
      </w:r>
    </w:p>
    <w:p w14:paraId="1743A216" w14:textId="2438A27F" w:rsidR="001B5640" w:rsidRPr="00797057" w:rsidRDefault="001B5640" w:rsidP="001B5640">
      <w:pPr>
        <w:pStyle w:val="ListParagraph"/>
        <w:numPr>
          <w:ilvl w:val="0"/>
          <w:numId w:val="4"/>
        </w:numPr>
        <w:spacing w:before="120" w:after="120" w:line="276" w:lineRule="auto"/>
        <w:ind w:left="425" w:hanging="425"/>
        <w:contextualSpacing w:val="0"/>
        <w:rPr>
          <w:rFonts w:ascii="Arial" w:hAnsi="Arial" w:cs="Arial"/>
        </w:rPr>
      </w:pPr>
      <w:r>
        <w:rPr>
          <w:rFonts w:ascii="Arial" w:hAnsi="Arial" w:cs="Arial"/>
        </w:rPr>
        <w:t>The</w:t>
      </w:r>
      <w:r w:rsidRPr="00797057">
        <w:rPr>
          <w:rFonts w:ascii="Arial" w:hAnsi="Arial" w:cs="Arial"/>
        </w:rPr>
        <w:t xml:space="preserve"> </w:t>
      </w:r>
      <w:r>
        <w:rPr>
          <w:rFonts w:ascii="Arial" w:hAnsi="Arial" w:cs="Arial"/>
        </w:rPr>
        <w:t xml:space="preserve">new </w:t>
      </w:r>
      <w:r w:rsidRPr="00797057">
        <w:rPr>
          <w:rFonts w:ascii="Arial" w:hAnsi="Arial" w:cs="Arial"/>
        </w:rPr>
        <w:t xml:space="preserve">functions </w:t>
      </w:r>
      <w:r>
        <w:rPr>
          <w:rFonts w:ascii="Arial" w:hAnsi="Arial" w:cs="Arial"/>
        </w:rPr>
        <w:t xml:space="preserve">of the Commission </w:t>
      </w:r>
      <w:r w:rsidRPr="00797057">
        <w:rPr>
          <w:rFonts w:ascii="Arial" w:hAnsi="Arial" w:cs="Arial"/>
        </w:rPr>
        <w:t xml:space="preserve">will include: </w:t>
      </w:r>
    </w:p>
    <w:p w14:paraId="18ADE16A" w14:textId="0648287A" w:rsidR="001B5640" w:rsidRPr="00797057" w:rsidRDefault="001B5640" w:rsidP="00F569B8">
      <w:pPr>
        <w:pStyle w:val="Default"/>
        <w:numPr>
          <w:ilvl w:val="0"/>
          <w:numId w:val="10"/>
        </w:numPr>
        <w:spacing w:before="120" w:after="120" w:line="276" w:lineRule="auto"/>
        <w:ind w:left="993" w:hanging="284"/>
        <w:rPr>
          <w:rFonts w:ascii="Arial" w:hAnsi="Arial" w:cs="Arial"/>
        </w:rPr>
      </w:pPr>
      <w:r w:rsidRPr="00797057">
        <w:rPr>
          <w:rFonts w:ascii="Arial" w:hAnsi="Arial" w:cs="Arial"/>
        </w:rPr>
        <w:t xml:space="preserve">dealing with human rights complaints; </w:t>
      </w:r>
    </w:p>
    <w:p w14:paraId="61AD548E" w14:textId="588D447C" w:rsidR="001B5640" w:rsidRPr="00797057" w:rsidRDefault="001B5640" w:rsidP="00F569B8">
      <w:pPr>
        <w:pStyle w:val="Default"/>
        <w:numPr>
          <w:ilvl w:val="0"/>
          <w:numId w:val="10"/>
        </w:numPr>
        <w:spacing w:before="120" w:after="120" w:line="276" w:lineRule="auto"/>
        <w:ind w:left="993" w:hanging="284"/>
        <w:rPr>
          <w:rFonts w:ascii="Arial" w:hAnsi="Arial" w:cs="Arial"/>
        </w:rPr>
      </w:pPr>
      <w:r w:rsidRPr="00797057">
        <w:rPr>
          <w:rFonts w:ascii="Arial" w:hAnsi="Arial" w:cs="Arial"/>
        </w:rPr>
        <w:t xml:space="preserve">if asked by the Attorney-General, reviewing the effect of Acts, statutory instruments and the common law on human rights and giving the Attorney-General a written report about the outcome of the review; </w:t>
      </w:r>
    </w:p>
    <w:p w14:paraId="5191BC81" w14:textId="2497E13A" w:rsidR="001B5640" w:rsidRPr="00797057" w:rsidRDefault="001B5640" w:rsidP="00F569B8">
      <w:pPr>
        <w:pStyle w:val="Default"/>
        <w:numPr>
          <w:ilvl w:val="0"/>
          <w:numId w:val="10"/>
        </w:numPr>
        <w:spacing w:before="120" w:after="120" w:line="276" w:lineRule="auto"/>
        <w:ind w:left="993" w:hanging="284"/>
        <w:rPr>
          <w:rFonts w:ascii="Arial" w:hAnsi="Arial" w:cs="Arial"/>
        </w:rPr>
      </w:pPr>
      <w:r w:rsidRPr="00797057">
        <w:rPr>
          <w:rFonts w:ascii="Arial" w:hAnsi="Arial" w:cs="Arial"/>
        </w:rPr>
        <w:t xml:space="preserve">reviewing public entities’ policies, programs, procedures, practices and services in relation to their compatibility with human rights; </w:t>
      </w:r>
    </w:p>
    <w:p w14:paraId="5EF97070" w14:textId="6EF08845" w:rsidR="001B5640" w:rsidRPr="00797057" w:rsidRDefault="001B5640" w:rsidP="00F569B8">
      <w:pPr>
        <w:pStyle w:val="Default"/>
        <w:numPr>
          <w:ilvl w:val="0"/>
          <w:numId w:val="10"/>
        </w:numPr>
        <w:spacing w:before="120" w:after="120" w:line="276" w:lineRule="auto"/>
        <w:ind w:left="993" w:hanging="284"/>
        <w:rPr>
          <w:rFonts w:ascii="Arial" w:hAnsi="Arial" w:cs="Arial"/>
        </w:rPr>
      </w:pPr>
      <w:r w:rsidRPr="00797057">
        <w:rPr>
          <w:rFonts w:ascii="Arial" w:hAnsi="Arial" w:cs="Arial"/>
        </w:rPr>
        <w:t xml:space="preserve">promoting an understanding and acceptance, and the public discussion, of human rights and the HR Act in Queensland; </w:t>
      </w:r>
    </w:p>
    <w:p w14:paraId="225B4EC8" w14:textId="2FD7EE95" w:rsidR="001B5640" w:rsidRPr="00797057" w:rsidRDefault="001B5640" w:rsidP="00F569B8">
      <w:pPr>
        <w:pStyle w:val="Default"/>
        <w:numPr>
          <w:ilvl w:val="0"/>
          <w:numId w:val="10"/>
        </w:numPr>
        <w:spacing w:before="120" w:after="120" w:line="276" w:lineRule="auto"/>
        <w:ind w:left="993" w:hanging="284"/>
        <w:rPr>
          <w:rFonts w:ascii="Arial" w:hAnsi="Arial" w:cs="Arial"/>
        </w:rPr>
      </w:pPr>
      <w:r w:rsidRPr="00797057">
        <w:rPr>
          <w:rFonts w:ascii="Arial" w:hAnsi="Arial" w:cs="Arial"/>
        </w:rPr>
        <w:t xml:space="preserve">making information about human rights available to the community; </w:t>
      </w:r>
    </w:p>
    <w:p w14:paraId="23EA1D2F" w14:textId="6E9793F8" w:rsidR="001B5640" w:rsidRPr="00797057" w:rsidRDefault="001B5640" w:rsidP="00F569B8">
      <w:pPr>
        <w:pStyle w:val="Default"/>
        <w:numPr>
          <w:ilvl w:val="0"/>
          <w:numId w:val="10"/>
        </w:numPr>
        <w:spacing w:before="120" w:after="120" w:line="276" w:lineRule="auto"/>
        <w:ind w:left="993" w:hanging="284"/>
        <w:rPr>
          <w:rFonts w:ascii="Arial" w:hAnsi="Arial" w:cs="Arial"/>
        </w:rPr>
      </w:pPr>
      <w:r w:rsidRPr="00797057">
        <w:rPr>
          <w:rFonts w:ascii="Arial" w:hAnsi="Arial" w:cs="Arial"/>
        </w:rPr>
        <w:t xml:space="preserve">providing education about human rights and the HR Act; </w:t>
      </w:r>
    </w:p>
    <w:p w14:paraId="676E5556" w14:textId="54267D76" w:rsidR="001B5640" w:rsidRPr="00797057" w:rsidRDefault="001B5640" w:rsidP="00F569B8">
      <w:pPr>
        <w:pStyle w:val="Default"/>
        <w:numPr>
          <w:ilvl w:val="0"/>
          <w:numId w:val="10"/>
        </w:numPr>
        <w:spacing w:before="120" w:after="120" w:line="276" w:lineRule="auto"/>
        <w:ind w:left="993" w:hanging="284"/>
        <w:rPr>
          <w:rFonts w:ascii="Arial" w:hAnsi="Arial" w:cs="Arial"/>
        </w:rPr>
      </w:pPr>
      <w:r w:rsidRPr="00797057">
        <w:rPr>
          <w:rFonts w:ascii="Arial" w:hAnsi="Arial" w:cs="Arial"/>
        </w:rPr>
        <w:t xml:space="preserve">assisting the Attorney-General in reviews of the HR Act; </w:t>
      </w:r>
    </w:p>
    <w:p w14:paraId="0ECCA61A" w14:textId="337BE815" w:rsidR="001B5640" w:rsidRPr="00797057" w:rsidRDefault="001B5640" w:rsidP="00F569B8">
      <w:pPr>
        <w:pStyle w:val="Default"/>
        <w:numPr>
          <w:ilvl w:val="0"/>
          <w:numId w:val="10"/>
        </w:numPr>
        <w:spacing w:before="120" w:after="120" w:line="276" w:lineRule="auto"/>
        <w:ind w:left="993" w:hanging="284"/>
        <w:rPr>
          <w:rFonts w:ascii="Arial" w:hAnsi="Arial" w:cs="Arial"/>
        </w:rPr>
      </w:pPr>
      <w:r w:rsidRPr="00797057">
        <w:rPr>
          <w:rFonts w:ascii="Arial" w:hAnsi="Arial" w:cs="Arial"/>
        </w:rPr>
        <w:t xml:space="preserve">advising the Attorney-General about matters relevant to the operation of the Act; and </w:t>
      </w:r>
    </w:p>
    <w:p w14:paraId="5C0CEF76" w14:textId="073AE79E" w:rsidR="001B5640" w:rsidRPr="00797057" w:rsidRDefault="001B5640" w:rsidP="00F569B8">
      <w:pPr>
        <w:pStyle w:val="Default"/>
        <w:numPr>
          <w:ilvl w:val="0"/>
          <w:numId w:val="10"/>
        </w:numPr>
        <w:spacing w:before="120" w:after="120" w:line="276" w:lineRule="auto"/>
        <w:ind w:left="993" w:hanging="284"/>
        <w:rPr>
          <w:rFonts w:ascii="Arial" w:hAnsi="Arial" w:cs="Arial"/>
        </w:rPr>
      </w:pPr>
      <w:r w:rsidRPr="00797057">
        <w:rPr>
          <w:rFonts w:ascii="Arial" w:hAnsi="Arial" w:cs="Arial"/>
        </w:rPr>
        <w:t xml:space="preserve">preparing an annual report about the operation of the HR Act during the year. </w:t>
      </w:r>
    </w:p>
    <w:p w14:paraId="5A4FD96F" w14:textId="61057359" w:rsidR="00CE14AA" w:rsidRDefault="00707552"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lastRenderedPageBreak/>
        <w:t xml:space="preserve">The Commission will also have the power to intervene in </w:t>
      </w:r>
      <w:r w:rsidR="001B5561">
        <w:rPr>
          <w:rFonts w:ascii="Arial" w:hAnsi="Arial" w:cs="Arial"/>
          <w:lang w:val="en-AU"/>
        </w:rPr>
        <w:t>proceedings in a court or tribunal where there is a question of law about the application of the Human Rights Act or a question about the interpretation of a statutory provision in accordance with the Human Rights Act</w:t>
      </w:r>
      <w:r w:rsidR="00CE14AA" w:rsidRPr="00C35743">
        <w:rPr>
          <w:rFonts w:ascii="Arial" w:hAnsi="Arial" w:cs="Arial"/>
          <w:lang w:val="en-AU"/>
        </w:rPr>
        <w:t>.</w:t>
      </w:r>
      <w:r w:rsidR="001B5561">
        <w:rPr>
          <w:rFonts w:ascii="Arial" w:hAnsi="Arial" w:cs="Arial"/>
          <w:lang w:val="en-AU"/>
        </w:rPr>
        <w:t xml:space="preserve">  The Attorney-General will also have the same power of intervention.</w:t>
      </w:r>
    </w:p>
    <w:p w14:paraId="2926F9F2" w14:textId="21EBB92F" w:rsidR="001B5561" w:rsidRDefault="001B5561"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w:t>
      </w:r>
      <w:r w:rsidR="000811D4">
        <w:rPr>
          <w:rFonts w:ascii="Arial" w:hAnsi="Arial" w:cs="Arial"/>
          <w:lang w:val="en-AU"/>
        </w:rPr>
        <w:t xml:space="preserve"> new</w:t>
      </w:r>
      <w:r>
        <w:rPr>
          <w:rFonts w:ascii="Arial" w:hAnsi="Arial" w:cs="Arial"/>
          <w:lang w:val="en-AU"/>
        </w:rPr>
        <w:t xml:space="preserve"> </w:t>
      </w:r>
      <w:r w:rsidR="000811D4">
        <w:rPr>
          <w:rFonts w:ascii="Arial" w:hAnsi="Arial" w:cs="Arial"/>
          <w:lang w:val="en-AU"/>
        </w:rPr>
        <w:t xml:space="preserve">intervention power complements the Commission’s existing </w:t>
      </w:r>
      <w:r>
        <w:rPr>
          <w:rFonts w:ascii="Arial" w:hAnsi="Arial" w:cs="Arial"/>
          <w:lang w:val="en-AU"/>
        </w:rPr>
        <w:t xml:space="preserve">function under the </w:t>
      </w:r>
      <w:r w:rsidRPr="000811D4">
        <w:rPr>
          <w:rFonts w:ascii="Arial" w:hAnsi="Arial" w:cs="Arial"/>
          <w:i/>
          <w:lang w:val="en-AU"/>
        </w:rPr>
        <w:t>Anti-Discrimination Act 1991</w:t>
      </w:r>
      <w:r>
        <w:rPr>
          <w:rFonts w:ascii="Arial" w:hAnsi="Arial" w:cs="Arial"/>
          <w:lang w:val="en-AU"/>
        </w:rPr>
        <w:t xml:space="preserve"> to intervene in proceedings involving human rights issues, if the Commission considers it appropriate to do so.</w:t>
      </w:r>
    </w:p>
    <w:p w14:paraId="7F1E646C" w14:textId="2424E95B" w:rsidR="001B5561" w:rsidRPr="00C35743" w:rsidRDefault="001B5561"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Commission supports the objectives of the Bill and the new functions that the Commission </w:t>
      </w:r>
      <w:r w:rsidR="000811D4">
        <w:rPr>
          <w:rFonts w:ascii="Arial" w:hAnsi="Arial" w:cs="Arial"/>
          <w:lang w:val="en-AU"/>
        </w:rPr>
        <w:t>would</w:t>
      </w:r>
      <w:r>
        <w:rPr>
          <w:rFonts w:ascii="Arial" w:hAnsi="Arial" w:cs="Arial"/>
          <w:lang w:val="en-AU"/>
        </w:rPr>
        <w:t xml:space="preserve"> have under the Bill.</w:t>
      </w:r>
    </w:p>
    <w:p w14:paraId="31DE524F" w14:textId="4E9D6DBD" w:rsidR="00D91106" w:rsidRDefault="00D91106" w:rsidP="00BF6A9B">
      <w:pPr>
        <w:pStyle w:val="Heading1"/>
        <w:spacing w:before="360"/>
        <w:rPr>
          <w:lang w:val="en-AU"/>
        </w:rPr>
      </w:pPr>
      <w:bookmarkStart w:id="2" w:name="_Toc530987080"/>
      <w:r>
        <w:rPr>
          <w:lang w:val="en-AU"/>
        </w:rPr>
        <w:t xml:space="preserve">Overview of </w:t>
      </w:r>
      <w:r w:rsidR="005B74DA">
        <w:rPr>
          <w:lang w:val="en-AU"/>
        </w:rPr>
        <w:t xml:space="preserve">the </w:t>
      </w:r>
      <w:r>
        <w:rPr>
          <w:lang w:val="en-AU"/>
        </w:rPr>
        <w:t>dialogue model</w:t>
      </w:r>
      <w:bookmarkEnd w:id="2"/>
    </w:p>
    <w:p w14:paraId="6C9EA08C" w14:textId="38C89E5F" w:rsidR="00D91106" w:rsidRDefault="00A55083" w:rsidP="00D9110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Bill is based on the Victorian </w:t>
      </w:r>
      <w:r w:rsidRPr="00300FF0">
        <w:rPr>
          <w:rFonts w:ascii="Arial" w:hAnsi="Arial" w:cs="Arial"/>
          <w:i/>
          <w:lang w:val="en-AU"/>
        </w:rPr>
        <w:t>Charter of Human Rights and Responsibilities Act</w:t>
      </w:r>
      <w:r w:rsidR="00EB37AC" w:rsidRPr="00300FF0">
        <w:rPr>
          <w:rFonts w:ascii="Arial" w:hAnsi="Arial" w:cs="Arial"/>
          <w:i/>
          <w:lang w:val="en-AU"/>
        </w:rPr>
        <w:t xml:space="preserve"> 2006</w:t>
      </w:r>
      <w:r w:rsidR="00EB37AC">
        <w:rPr>
          <w:rFonts w:ascii="Arial" w:hAnsi="Arial" w:cs="Arial"/>
          <w:lang w:val="en-AU"/>
        </w:rPr>
        <w:t xml:space="preserve">, which is referred to as a ‘dialogue model’.  Rather than enshrining human rights in a constitutional bill of rights, the dialogue model is an ordinary Act of Parliament.  </w:t>
      </w:r>
      <w:r w:rsidR="0032225D">
        <w:rPr>
          <w:rFonts w:ascii="Arial" w:hAnsi="Arial" w:cs="Arial"/>
          <w:lang w:val="en-AU"/>
        </w:rPr>
        <w:t>Consistent with the doctrine of parliamentary sovereignty, i</w:t>
      </w:r>
      <w:r w:rsidR="00EB37AC">
        <w:rPr>
          <w:rFonts w:ascii="Arial" w:hAnsi="Arial" w:cs="Arial"/>
          <w:lang w:val="en-AU"/>
        </w:rPr>
        <w:t xml:space="preserve">t provides for discourse between the courts and the legislature, with the legislature remaining supreme.  The ‘discourse’ is by way of declarations of incompatibility made by the courts where legislation is incompatible with human rights, and </w:t>
      </w:r>
      <w:r w:rsidR="00881F39">
        <w:rPr>
          <w:rFonts w:ascii="Arial" w:hAnsi="Arial" w:cs="Arial"/>
          <w:lang w:val="en-AU"/>
        </w:rPr>
        <w:t xml:space="preserve">by way of </w:t>
      </w:r>
      <w:r w:rsidR="00EB37AC">
        <w:rPr>
          <w:rFonts w:ascii="Arial" w:hAnsi="Arial" w:cs="Arial"/>
          <w:lang w:val="en-AU"/>
        </w:rPr>
        <w:t>statements of compatibility with human rights or override declarations, both made by the Parliament, in respect of legislation that is introduced.</w:t>
      </w:r>
    </w:p>
    <w:p w14:paraId="7DFB2D89" w14:textId="2F451BB6" w:rsidR="00300FF0" w:rsidRDefault="00300FF0" w:rsidP="00881F39">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 xml:space="preserve">The statutory dialogue model incorporates human </w:t>
      </w:r>
      <w:r w:rsidR="00881F39">
        <w:rPr>
          <w:rFonts w:ascii="Arial" w:hAnsi="Arial" w:cs="Arial"/>
          <w:lang w:val="en-AU"/>
        </w:rPr>
        <w:t>rights into the three separate arms of government</w:t>
      </w:r>
      <w:r>
        <w:rPr>
          <w:rFonts w:ascii="Arial" w:hAnsi="Arial" w:cs="Arial"/>
          <w:lang w:val="en-AU"/>
        </w:rPr>
        <w:t>:</w:t>
      </w:r>
    </w:p>
    <w:p w14:paraId="27BA390B" w14:textId="2728964D" w:rsidR="00300FF0" w:rsidRDefault="00300FF0" w:rsidP="00F569B8">
      <w:pPr>
        <w:pStyle w:val="Default"/>
        <w:numPr>
          <w:ilvl w:val="0"/>
          <w:numId w:val="10"/>
        </w:numPr>
        <w:spacing w:before="120" w:after="120" w:line="276" w:lineRule="auto"/>
        <w:ind w:left="993" w:hanging="284"/>
        <w:rPr>
          <w:rFonts w:ascii="Arial" w:hAnsi="Arial" w:cs="Arial"/>
        </w:rPr>
      </w:pPr>
      <w:r>
        <w:rPr>
          <w:rFonts w:ascii="Arial" w:hAnsi="Arial" w:cs="Arial"/>
        </w:rPr>
        <w:t>making laws by Parliament;</w:t>
      </w:r>
    </w:p>
    <w:p w14:paraId="5B1ACB55" w14:textId="34054D43" w:rsidR="00300FF0" w:rsidRDefault="00300FF0" w:rsidP="00F569B8">
      <w:pPr>
        <w:pStyle w:val="Default"/>
        <w:numPr>
          <w:ilvl w:val="0"/>
          <w:numId w:val="10"/>
        </w:numPr>
        <w:spacing w:before="120" w:after="120" w:line="276" w:lineRule="auto"/>
        <w:ind w:left="993" w:hanging="284"/>
        <w:rPr>
          <w:rFonts w:ascii="Arial" w:hAnsi="Arial" w:cs="Arial"/>
        </w:rPr>
      </w:pPr>
      <w:r>
        <w:rPr>
          <w:rFonts w:ascii="Arial" w:hAnsi="Arial" w:cs="Arial"/>
        </w:rPr>
        <w:t>interpreting laws by the courts and tribunals; and</w:t>
      </w:r>
    </w:p>
    <w:p w14:paraId="4A71C1C1" w14:textId="7D8A252D" w:rsidR="00300FF0" w:rsidRPr="00D91106" w:rsidRDefault="00881F39" w:rsidP="00F569B8">
      <w:pPr>
        <w:pStyle w:val="Default"/>
        <w:numPr>
          <w:ilvl w:val="0"/>
          <w:numId w:val="10"/>
        </w:numPr>
        <w:spacing w:before="120" w:after="120" w:line="276" w:lineRule="auto"/>
        <w:ind w:left="993" w:hanging="284"/>
        <w:rPr>
          <w:rFonts w:ascii="Arial" w:hAnsi="Arial" w:cs="Arial"/>
        </w:rPr>
      </w:pPr>
      <w:r>
        <w:rPr>
          <w:rFonts w:ascii="Arial" w:hAnsi="Arial" w:cs="Arial"/>
        </w:rPr>
        <w:t>administe</w:t>
      </w:r>
      <w:r w:rsidR="00CB77B4">
        <w:rPr>
          <w:rFonts w:ascii="Arial" w:hAnsi="Arial" w:cs="Arial"/>
        </w:rPr>
        <w:t>ring</w:t>
      </w:r>
      <w:r w:rsidR="00300FF0">
        <w:rPr>
          <w:rFonts w:ascii="Arial" w:hAnsi="Arial" w:cs="Arial"/>
        </w:rPr>
        <w:t xml:space="preserve"> laws and performing government functions by public entities.</w:t>
      </w:r>
    </w:p>
    <w:p w14:paraId="1AC96AE5" w14:textId="319B7CEB" w:rsidR="001E3A26" w:rsidRPr="00D91106" w:rsidRDefault="00AD3611" w:rsidP="00BF6A9B">
      <w:pPr>
        <w:pStyle w:val="Heading1"/>
        <w:spacing w:before="360"/>
        <w:rPr>
          <w:lang w:val="en-AU"/>
        </w:rPr>
      </w:pPr>
      <w:bookmarkStart w:id="3" w:name="_Toc530987081"/>
      <w:r>
        <w:rPr>
          <w:lang w:val="en-AU"/>
        </w:rPr>
        <w:t>The r</w:t>
      </w:r>
      <w:r w:rsidR="008F726C" w:rsidRPr="00D91106">
        <w:rPr>
          <w:lang w:val="en-AU"/>
        </w:rPr>
        <w:t>ights</w:t>
      </w:r>
      <w:bookmarkEnd w:id="3"/>
    </w:p>
    <w:p w14:paraId="3C168E9C" w14:textId="6AFAF8B5" w:rsidR="00751AE0" w:rsidRDefault="00CB77B4"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Bill protects twenty-three rights.  Twenty rights come from the </w:t>
      </w:r>
      <w:r w:rsidRPr="00CB77B4">
        <w:rPr>
          <w:rFonts w:ascii="Arial" w:hAnsi="Arial" w:cs="Arial"/>
          <w:i/>
          <w:lang w:val="en-AU"/>
        </w:rPr>
        <w:t>International Covenant on Civil and Political Rights</w:t>
      </w:r>
      <w:r>
        <w:rPr>
          <w:rFonts w:ascii="Arial" w:hAnsi="Arial" w:cs="Arial"/>
          <w:lang w:val="en-AU"/>
        </w:rPr>
        <w:t xml:space="preserve"> (ICCPR), two rights come from the </w:t>
      </w:r>
      <w:r w:rsidRPr="00CB77B4">
        <w:rPr>
          <w:rFonts w:ascii="Arial" w:hAnsi="Arial" w:cs="Arial"/>
          <w:i/>
          <w:lang w:val="en-AU"/>
        </w:rPr>
        <w:t>International Covenant on Economic, Social and Cultural Rights</w:t>
      </w:r>
      <w:r>
        <w:rPr>
          <w:rFonts w:ascii="Arial" w:hAnsi="Arial" w:cs="Arial"/>
          <w:i/>
          <w:lang w:val="en-AU"/>
        </w:rPr>
        <w:t xml:space="preserve"> </w:t>
      </w:r>
      <w:r>
        <w:rPr>
          <w:rFonts w:ascii="Arial" w:hAnsi="Arial" w:cs="Arial"/>
          <w:lang w:val="en-AU"/>
        </w:rPr>
        <w:t xml:space="preserve">(ICESCR), and Property rights comes from the </w:t>
      </w:r>
      <w:r w:rsidRPr="00CB77B4">
        <w:rPr>
          <w:rFonts w:ascii="Arial" w:hAnsi="Arial" w:cs="Arial"/>
          <w:i/>
          <w:lang w:val="en-AU"/>
        </w:rPr>
        <w:t>Universal Declaration of Human Rights</w:t>
      </w:r>
      <w:r>
        <w:rPr>
          <w:rFonts w:ascii="Arial" w:hAnsi="Arial" w:cs="Arial"/>
          <w:lang w:val="en-AU"/>
        </w:rPr>
        <w:t>.</w:t>
      </w:r>
    </w:p>
    <w:p w14:paraId="392415F1" w14:textId="7D7C2D30" w:rsidR="00CB77B4" w:rsidRDefault="00CB77B4"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two rights from the ICESCR are the right to education and the right to </w:t>
      </w:r>
      <w:r w:rsidR="0032225D">
        <w:rPr>
          <w:rFonts w:ascii="Arial" w:hAnsi="Arial" w:cs="Arial"/>
          <w:lang w:val="en-AU"/>
        </w:rPr>
        <w:t xml:space="preserve">access </w:t>
      </w:r>
      <w:r>
        <w:rPr>
          <w:rFonts w:ascii="Arial" w:hAnsi="Arial" w:cs="Arial"/>
          <w:lang w:val="en-AU"/>
        </w:rPr>
        <w:t>health</w:t>
      </w:r>
      <w:r w:rsidR="00A7696B">
        <w:rPr>
          <w:rFonts w:ascii="Arial" w:hAnsi="Arial" w:cs="Arial"/>
          <w:lang w:val="en-AU"/>
        </w:rPr>
        <w:t xml:space="preserve"> services</w:t>
      </w:r>
      <w:r w:rsidR="0032225D">
        <w:rPr>
          <w:rFonts w:ascii="Arial" w:hAnsi="Arial" w:cs="Arial"/>
          <w:lang w:val="en-AU"/>
        </w:rPr>
        <w:t xml:space="preserve"> without discrimination</w:t>
      </w:r>
      <w:r>
        <w:rPr>
          <w:rFonts w:ascii="Arial" w:hAnsi="Arial" w:cs="Arial"/>
          <w:lang w:val="en-AU"/>
        </w:rPr>
        <w:t>.</w:t>
      </w:r>
      <w:r w:rsidR="00E67139">
        <w:rPr>
          <w:rFonts w:ascii="Arial" w:hAnsi="Arial" w:cs="Arial"/>
          <w:lang w:val="en-AU"/>
        </w:rPr>
        <w:t xml:space="preserve">  The Victorian </w:t>
      </w:r>
      <w:r w:rsidR="00E67139" w:rsidRPr="00E67139">
        <w:rPr>
          <w:rFonts w:ascii="Arial" w:hAnsi="Arial" w:cs="Arial"/>
          <w:i/>
          <w:lang w:val="en-AU"/>
        </w:rPr>
        <w:t xml:space="preserve">Charter of </w:t>
      </w:r>
      <w:r w:rsidR="00E67139" w:rsidRPr="00E67139">
        <w:rPr>
          <w:rFonts w:ascii="Arial" w:hAnsi="Arial" w:cs="Arial"/>
          <w:i/>
          <w:lang w:val="en-AU"/>
        </w:rPr>
        <w:lastRenderedPageBreak/>
        <w:t>Human Rights and Responsibilities Act 2006</w:t>
      </w:r>
      <w:r w:rsidR="00E67139">
        <w:rPr>
          <w:rFonts w:ascii="Arial" w:hAnsi="Arial" w:cs="Arial"/>
          <w:lang w:val="en-AU"/>
        </w:rPr>
        <w:t xml:space="preserve">, on which the Bill is based, does not include these two rights.  The ACT </w:t>
      </w:r>
      <w:r w:rsidR="00E67139" w:rsidRPr="00E67139">
        <w:rPr>
          <w:rFonts w:ascii="Arial" w:hAnsi="Arial" w:cs="Arial"/>
          <w:i/>
          <w:lang w:val="en-AU"/>
        </w:rPr>
        <w:t>Human Rights Act 2004</w:t>
      </w:r>
      <w:r w:rsidR="00E67139">
        <w:rPr>
          <w:rFonts w:ascii="Arial" w:hAnsi="Arial" w:cs="Arial"/>
          <w:lang w:val="en-AU"/>
        </w:rPr>
        <w:t xml:space="preserve"> includes the right to </w:t>
      </w:r>
      <w:r w:rsidR="00DB0106">
        <w:rPr>
          <w:rFonts w:ascii="Arial" w:hAnsi="Arial" w:cs="Arial"/>
          <w:lang w:val="en-AU"/>
        </w:rPr>
        <w:t xml:space="preserve">education. </w:t>
      </w:r>
    </w:p>
    <w:p w14:paraId="6C6C830E" w14:textId="028869EA" w:rsidR="001830F7" w:rsidRDefault="00DB0106" w:rsidP="001830F7">
      <w:pPr>
        <w:pStyle w:val="ListParagraph"/>
        <w:numPr>
          <w:ilvl w:val="0"/>
          <w:numId w:val="4"/>
        </w:numPr>
        <w:spacing w:before="120" w:after="240" w:line="276" w:lineRule="auto"/>
        <w:ind w:left="425" w:hanging="425"/>
        <w:contextualSpacing w:val="0"/>
        <w:rPr>
          <w:rFonts w:ascii="Arial" w:hAnsi="Arial" w:cs="Arial"/>
          <w:lang w:val="en-AU"/>
        </w:rPr>
      </w:pPr>
      <w:r w:rsidRPr="001830F7">
        <w:rPr>
          <w:rFonts w:ascii="Arial" w:hAnsi="Arial" w:cs="Arial"/>
          <w:lang w:val="en-AU"/>
        </w:rPr>
        <w:t xml:space="preserve">The Bill includes a </w:t>
      </w:r>
      <w:r w:rsidR="00D43D8F" w:rsidRPr="001830F7">
        <w:rPr>
          <w:rFonts w:ascii="Arial" w:hAnsi="Arial" w:cs="Arial"/>
          <w:lang w:val="en-AU"/>
        </w:rPr>
        <w:t xml:space="preserve">distinct </w:t>
      </w:r>
      <w:r w:rsidRPr="001830F7">
        <w:rPr>
          <w:rFonts w:ascii="Arial" w:hAnsi="Arial" w:cs="Arial"/>
          <w:lang w:val="en-AU"/>
        </w:rPr>
        <w:t>cultural right for Aboriginal peoples and Torres Strait Islander peoples, as well as a general cultural right.</w:t>
      </w:r>
      <w:r w:rsidR="001830F7" w:rsidRPr="001830F7">
        <w:rPr>
          <w:rFonts w:ascii="Arial" w:hAnsi="Arial" w:cs="Arial"/>
          <w:lang w:val="en-AU"/>
        </w:rPr>
        <w:t xml:space="preserve">  </w:t>
      </w:r>
      <w:r w:rsidRPr="001830F7">
        <w:rPr>
          <w:rFonts w:ascii="Arial" w:hAnsi="Arial" w:cs="Arial"/>
          <w:lang w:val="en-AU"/>
        </w:rPr>
        <w:t xml:space="preserve">The Commission </w:t>
      </w:r>
      <w:r w:rsidR="00E1065A" w:rsidRPr="001830F7">
        <w:rPr>
          <w:rFonts w:ascii="Arial" w:hAnsi="Arial" w:cs="Arial"/>
          <w:lang w:val="en-AU"/>
        </w:rPr>
        <w:t xml:space="preserve">welcomes and </w:t>
      </w:r>
      <w:r w:rsidRPr="001830F7">
        <w:rPr>
          <w:rFonts w:ascii="Arial" w:hAnsi="Arial" w:cs="Arial"/>
          <w:lang w:val="en-AU"/>
        </w:rPr>
        <w:t>commend</w:t>
      </w:r>
      <w:r w:rsidR="00E1065A" w:rsidRPr="001830F7">
        <w:rPr>
          <w:rFonts w:ascii="Arial" w:hAnsi="Arial" w:cs="Arial"/>
          <w:lang w:val="en-AU"/>
        </w:rPr>
        <w:t>s</w:t>
      </w:r>
      <w:r w:rsidRPr="001830F7">
        <w:rPr>
          <w:rFonts w:ascii="Arial" w:hAnsi="Arial" w:cs="Arial"/>
          <w:lang w:val="en-AU"/>
        </w:rPr>
        <w:t xml:space="preserve"> the inclusion of the</w:t>
      </w:r>
      <w:r w:rsidR="001830F7" w:rsidRPr="001830F7">
        <w:rPr>
          <w:rFonts w:ascii="Arial" w:hAnsi="Arial" w:cs="Arial"/>
          <w:lang w:val="en-AU"/>
        </w:rPr>
        <w:t>se</w:t>
      </w:r>
      <w:r w:rsidRPr="001830F7">
        <w:rPr>
          <w:rFonts w:ascii="Arial" w:hAnsi="Arial" w:cs="Arial"/>
          <w:lang w:val="en-AU"/>
        </w:rPr>
        <w:t xml:space="preserve"> right</w:t>
      </w:r>
      <w:r w:rsidR="001830F7" w:rsidRPr="001830F7">
        <w:rPr>
          <w:rFonts w:ascii="Arial" w:hAnsi="Arial" w:cs="Arial"/>
          <w:lang w:val="en-AU"/>
        </w:rPr>
        <w:t>s.</w:t>
      </w:r>
    </w:p>
    <w:p w14:paraId="23B43A61" w14:textId="77777777" w:rsidR="001830F7" w:rsidRDefault="001830F7" w:rsidP="001830F7">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Whilst the Preamble recognises the importance of the right to self-determination to Aboriginal peoples and Torres Strait Islander peoples, the right is not protected under Part 2.</w:t>
      </w:r>
    </w:p>
    <w:p w14:paraId="4033A421" w14:textId="207C94A9" w:rsidR="00DB0106" w:rsidRPr="001830F7" w:rsidRDefault="00D62361" w:rsidP="001830F7">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Commission acknowledges that the scope of a right to self-determination remains unsettled in international law.  In light of this uncertainty,</w:t>
      </w:r>
      <w:r w:rsidR="002A3D3B">
        <w:rPr>
          <w:rFonts w:ascii="Arial" w:hAnsi="Arial" w:cs="Arial"/>
          <w:lang w:val="en-AU"/>
        </w:rPr>
        <w:t xml:space="preserve"> </w:t>
      </w:r>
      <w:r>
        <w:rPr>
          <w:rFonts w:ascii="Arial" w:hAnsi="Arial" w:cs="Arial"/>
          <w:lang w:val="en-AU"/>
        </w:rPr>
        <w:t xml:space="preserve">the recognition of the ‘special importance’ of human rights to Queensland’s </w:t>
      </w:r>
      <w:r w:rsidR="00DB7EF6">
        <w:rPr>
          <w:rFonts w:ascii="Arial" w:hAnsi="Arial" w:cs="Arial"/>
          <w:lang w:val="en-AU"/>
        </w:rPr>
        <w:t>I</w:t>
      </w:r>
      <w:r>
        <w:rPr>
          <w:rFonts w:ascii="Arial" w:hAnsi="Arial" w:cs="Arial"/>
          <w:lang w:val="en-AU"/>
        </w:rPr>
        <w:t>ndigenous communities in the Preamble and the longstanding and continuing over-representation of Aboriginal and Torres Strait Islander people across all socio-economic</w:t>
      </w:r>
      <w:r w:rsidR="002A3D3B">
        <w:rPr>
          <w:rFonts w:ascii="Arial" w:hAnsi="Arial" w:cs="Arial"/>
          <w:lang w:val="en-AU"/>
        </w:rPr>
        <w:t xml:space="preserve"> indices of disadvantage</w:t>
      </w:r>
      <w:r w:rsidR="002756C1">
        <w:rPr>
          <w:rFonts w:ascii="Arial" w:hAnsi="Arial" w:cs="Arial"/>
          <w:lang w:val="en-AU"/>
        </w:rPr>
        <w:t>, the Commission recommends that the ‘First review of the Act’ include consideration of whether additional rights under</w:t>
      </w:r>
      <w:r w:rsidR="00A81178">
        <w:rPr>
          <w:rFonts w:ascii="Arial" w:hAnsi="Arial" w:cs="Arial"/>
          <w:lang w:val="en-AU"/>
        </w:rPr>
        <w:t xml:space="preserve"> the Declaration of the Rights o</w:t>
      </w:r>
      <w:r w:rsidR="002756C1">
        <w:rPr>
          <w:rFonts w:ascii="Arial" w:hAnsi="Arial" w:cs="Arial"/>
          <w:lang w:val="en-AU"/>
        </w:rPr>
        <w:t>f Indigenous Peoples should be included</w:t>
      </w:r>
      <w:r w:rsidR="00A81178">
        <w:rPr>
          <w:rFonts w:ascii="Arial" w:hAnsi="Arial" w:cs="Arial"/>
          <w:lang w:val="en-AU"/>
        </w:rPr>
        <w:t xml:space="preserve">.  This would enable the Queensland Government and Queensland’s Aboriginal and Torres Strait Islander communities an opportunity over the intervening period for deep engagement on the implications of the practical </w:t>
      </w:r>
      <w:r w:rsidR="002A3D3B">
        <w:rPr>
          <w:rFonts w:ascii="Arial" w:hAnsi="Arial" w:cs="Arial"/>
          <w:lang w:val="en-AU"/>
        </w:rPr>
        <w:t xml:space="preserve">implementation </w:t>
      </w:r>
      <w:r w:rsidR="00A81178">
        <w:rPr>
          <w:rFonts w:ascii="Arial" w:hAnsi="Arial" w:cs="Arial"/>
          <w:lang w:val="en-AU"/>
        </w:rPr>
        <w:t xml:space="preserve">of the right to </w:t>
      </w:r>
      <w:r w:rsidR="002756C1">
        <w:rPr>
          <w:rFonts w:ascii="Arial" w:hAnsi="Arial" w:cs="Arial"/>
          <w:lang w:val="en-AU"/>
        </w:rPr>
        <w:t>self-determination</w:t>
      </w:r>
      <w:r w:rsidR="00A81178">
        <w:rPr>
          <w:rFonts w:ascii="Arial" w:hAnsi="Arial" w:cs="Arial"/>
          <w:lang w:val="en-AU"/>
        </w:rPr>
        <w:t>.</w:t>
      </w:r>
    </w:p>
    <w:p w14:paraId="0AAFAF0D" w14:textId="0F15DD37" w:rsidR="001E3A26" w:rsidRPr="00C35743" w:rsidRDefault="008F726C" w:rsidP="00BF6A9B">
      <w:pPr>
        <w:pStyle w:val="Heading1"/>
        <w:spacing w:before="360"/>
        <w:rPr>
          <w:lang w:val="en-AU"/>
        </w:rPr>
      </w:pPr>
      <w:bookmarkStart w:id="4" w:name="_Toc530987082"/>
      <w:r>
        <w:rPr>
          <w:lang w:val="en-AU"/>
        </w:rPr>
        <w:t>Making laws</w:t>
      </w:r>
      <w:bookmarkEnd w:id="4"/>
    </w:p>
    <w:p w14:paraId="10DB3D2C" w14:textId="693AC427" w:rsidR="001E3A26" w:rsidRDefault="001B7918"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All Bills introduced into Parliament must be accompanied by a statement of compatibility that sets out whether the Bill is compatible with human rights, a</w:t>
      </w:r>
      <w:r w:rsidR="0032225D">
        <w:rPr>
          <w:rFonts w:ascii="Arial" w:hAnsi="Arial" w:cs="Arial"/>
          <w:lang w:val="en-AU"/>
        </w:rPr>
        <w:t>nd if not, the nature and extent</w:t>
      </w:r>
      <w:r>
        <w:rPr>
          <w:rFonts w:ascii="Arial" w:hAnsi="Arial" w:cs="Arial"/>
          <w:lang w:val="en-AU"/>
        </w:rPr>
        <w:t xml:space="preserve"> of the incompatibility.</w:t>
      </w:r>
    </w:p>
    <w:p w14:paraId="163F6028" w14:textId="0E77B692" w:rsidR="001B7918" w:rsidRDefault="001B7918"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portfolio committee responsible for examining a Bill must report on the statement of compatibility and whether the Bill is not compatible with human rights.</w:t>
      </w:r>
    </w:p>
    <w:p w14:paraId="21A3AF72" w14:textId="50971472" w:rsidR="002200C1" w:rsidRDefault="002200C1"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A similar process is provided for subordinate legislation.</w:t>
      </w:r>
    </w:p>
    <w:p w14:paraId="4EF832F4" w14:textId="4B89B6CB" w:rsidR="002200C1" w:rsidRDefault="002200C1"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Bill would amend the </w:t>
      </w:r>
      <w:r w:rsidRPr="002200C1">
        <w:rPr>
          <w:rFonts w:ascii="Arial" w:hAnsi="Arial" w:cs="Arial"/>
          <w:i/>
          <w:lang w:val="en-AU"/>
        </w:rPr>
        <w:t>Parliament of Queensland Act 2001</w:t>
      </w:r>
      <w:r>
        <w:rPr>
          <w:rFonts w:ascii="Arial" w:hAnsi="Arial" w:cs="Arial"/>
          <w:lang w:val="en-AU"/>
        </w:rPr>
        <w:t xml:space="preserve"> to provide that the responsibilities of po</w:t>
      </w:r>
      <w:r w:rsidR="0031525E">
        <w:rPr>
          <w:rFonts w:ascii="Arial" w:hAnsi="Arial" w:cs="Arial"/>
          <w:lang w:val="en-AU"/>
        </w:rPr>
        <w:t>rtfolio committees also include</w:t>
      </w:r>
      <w:r>
        <w:rPr>
          <w:rFonts w:ascii="Arial" w:hAnsi="Arial" w:cs="Arial"/>
          <w:lang w:val="en-AU"/>
        </w:rPr>
        <w:t xml:space="preserve"> considering Bills, subordinate legislation and other laws and matters as required under the Human Rights Act.</w:t>
      </w:r>
    </w:p>
    <w:p w14:paraId="25F6B805" w14:textId="09E79A85" w:rsidR="002200C1" w:rsidRDefault="002200C1"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There is no requirement for the report to be given before the Bill is debated.  Under the Standing Rules and Orders of the Legislative Assembly, </w:t>
      </w:r>
      <w:r w:rsidR="00291123">
        <w:rPr>
          <w:rFonts w:ascii="Arial" w:hAnsi="Arial" w:cs="Arial"/>
          <w:lang w:val="en-AU"/>
        </w:rPr>
        <w:t xml:space="preserve">a Bill is discharged from consideration by a portfolio committee and set down for its </w:t>
      </w:r>
      <w:r w:rsidR="00291123">
        <w:rPr>
          <w:rFonts w:ascii="Arial" w:hAnsi="Arial" w:cs="Arial"/>
          <w:lang w:val="en-AU"/>
        </w:rPr>
        <w:lastRenderedPageBreak/>
        <w:t>second reading stage, if the committee has not reported within the time for the report.  A Bill can also be declared urgent and not referred to a committee.</w:t>
      </w:r>
    </w:p>
    <w:p w14:paraId="151F89D4" w14:textId="27C3DC22" w:rsidR="00291123" w:rsidRDefault="00291123"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In its submission to the Human Rights Inquiry, the Commission recommended </w:t>
      </w:r>
      <w:r w:rsidR="00CD2616">
        <w:rPr>
          <w:rFonts w:ascii="Arial" w:hAnsi="Arial" w:cs="Arial"/>
          <w:lang w:val="en-AU"/>
        </w:rPr>
        <w:t xml:space="preserve">that legislation be considered by a specialist parliamentary committee for the purpose of reporting to Parliament on whether the legislation is compatible with human rights.  In the absence of a specialist parliamentary committee, it is essential that committee members have the resources and specialist knowledge available to them so that they can </w:t>
      </w:r>
      <w:r w:rsidR="0031525E">
        <w:rPr>
          <w:rFonts w:ascii="Arial" w:hAnsi="Arial" w:cs="Arial"/>
          <w:lang w:val="en-AU"/>
        </w:rPr>
        <w:t xml:space="preserve">meaningfully </w:t>
      </w:r>
      <w:r w:rsidR="00CD2616">
        <w:rPr>
          <w:rFonts w:ascii="Arial" w:hAnsi="Arial" w:cs="Arial"/>
          <w:lang w:val="en-AU"/>
        </w:rPr>
        <w:t xml:space="preserve">consider </w:t>
      </w:r>
      <w:r w:rsidR="0031525E">
        <w:rPr>
          <w:rFonts w:ascii="Arial" w:hAnsi="Arial" w:cs="Arial"/>
          <w:lang w:val="en-AU"/>
        </w:rPr>
        <w:t>the potential impact of legislation on human rights</w:t>
      </w:r>
      <w:r w:rsidR="00CD2616">
        <w:rPr>
          <w:rFonts w:ascii="Arial" w:hAnsi="Arial" w:cs="Arial"/>
          <w:lang w:val="en-AU"/>
        </w:rPr>
        <w:t>.</w:t>
      </w:r>
    </w:p>
    <w:p w14:paraId="3964DE13" w14:textId="6CC8B3DF" w:rsidR="00FB4C6B" w:rsidRDefault="00FB4C6B"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functions of the Office of the Queensland Parliamentary Counsel include providing advice to Ministers, Members, and government entities on the application of fundamental legislative principles and alternate ways of achieving policy objectives.  It also has the function to provide advices to the Governor in Council, Ministers, and government entities on the lawfulness of proposed subordinate legislation.</w:t>
      </w:r>
      <w:r>
        <w:rPr>
          <w:rStyle w:val="FootnoteReference"/>
          <w:rFonts w:ascii="Arial" w:hAnsi="Arial" w:cs="Arial"/>
          <w:lang w:val="en-AU"/>
        </w:rPr>
        <w:footnoteReference w:id="1"/>
      </w:r>
    </w:p>
    <w:p w14:paraId="44128445" w14:textId="62718E16" w:rsidR="00CD2616" w:rsidRDefault="00CD2616"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Commission recommends that the Office of the Queensland Parliamentary Counsel be given the function to provide</w:t>
      </w:r>
      <w:r w:rsidR="0086477B">
        <w:rPr>
          <w:rFonts w:ascii="Arial" w:hAnsi="Arial" w:cs="Arial"/>
          <w:lang w:val="en-AU"/>
        </w:rPr>
        <w:t xml:space="preserve"> advice to Ministers and Members of Parliament on human rights.</w:t>
      </w:r>
    </w:p>
    <w:p w14:paraId="29BA234F" w14:textId="1EBE9995" w:rsidR="00D20A18" w:rsidRDefault="00D20A18"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Parliament will also be able to make override declarations in respect of Acts or provisions of Acts that are incompatible with human rights.  The Human Rights Act will not apply to the Act or provision that is the subject of an override declaration while it is in force.  A provision of an Act containing an override declaration expires after five years, unless it is re-enacted by the Parliament.</w:t>
      </w:r>
    </w:p>
    <w:p w14:paraId="4C2FBD50" w14:textId="5356DDBA" w:rsidR="00FB4C6B" w:rsidRDefault="00D20A18"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functions of the </w:t>
      </w:r>
      <w:r w:rsidR="00026490">
        <w:rPr>
          <w:rFonts w:ascii="Arial" w:hAnsi="Arial" w:cs="Arial"/>
          <w:lang w:val="en-AU"/>
        </w:rPr>
        <w:t>Commission include preparing an annual report that includes the details of all override declarations made.  Recording override declarations made aligns with the functions of the Office of the Queensland Parliamentary Counsel</w:t>
      </w:r>
      <w:r w:rsidR="00FB4C6B">
        <w:rPr>
          <w:rFonts w:ascii="Arial" w:hAnsi="Arial" w:cs="Arial"/>
          <w:lang w:val="en-AU"/>
        </w:rPr>
        <w:t xml:space="preserve"> to print and publish Bills, legislation and information relating to Queensland legislation.</w:t>
      </w:r>
      <w:r w:rsidR="00FB4C6B">
        <w:rPr>
          <w:rStyle w:val="FootnoteReference"/>
          <w:rFonts w:ascii="Arial" w:hAnsi="Arial" w:cs="Arial"/>
          <w:lang w:val="en-AU"/>
        </w:rPr>
        <w:footnoteReference w:id="2"/>
      </w:r>
    </w:p>
    <w:p w14:paraId="1116AA05" w14:textId="3A5F1850" w:rsidR="00D20A18" w:rsidRPr="00C35743" w:rsidRDefault="00FB4C6B" w:rsidP="00FB4C6B">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Commission recommends that the Office of the Queensland Parliamentary Counsel be given the function to record and publish details of all override declarations made.</w:t>
      </w:r>
    </w:p>
    <w:p w14:paraId="26A32F2B" w14:textId="5C902EEF" w:rsidR="008F726C" w:rsidRDefault="00AD3611" w:rsidP="00BF6A9B">
      <w:pPr>
        <w:pStyle w:val="Heading1"/>
        <w:spacing w:before="120"/>
        <w:rPr>
          <w:lang w:val="en-AU"/>
        </w:rPr>
      </w:pPr>
      <w:bookmarkStart w:id="5" w:name="_Toc530987083"/>
      <w:r>
        <w:rPr>
          <w:lang w:val="en-AU"/>
        </w:rPr>
        <w:lastRenderedPageBreak/>
        <w:t>Courts and t</w:t>
      </w:r>
      <w:r w:rsidR="008F726C">
        <w:rPr>
          <w:lang w:val="en-AU"/>
        </w:rPr>
        <w:t>ribunals</w:t>
      </w:r>
      <w:bookmarkEnd w:id="5"/>
    </w:p>
    <w:p w14:paraId="0BB3A385" w14:textId="6D00E308" w:rsidR="008E2FB8" w:rsidRDefault="003C3B2B" w:rsidP="001E4D12">
      <w:pPr>
        <w:pStyle w:val="ListParagraph"/>
        <w:keepNext/>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The Bill would apply to courts and tribunals when they are:</w:t>
      </w:r>
    </w:p>
    <w:p w14:paraId="5612A935" w14:textId="544DE844" w:rsidR="003C3B2B" w:rsidRDefault="00C27C2D" w:rsidP="003C3B2B">
      <w:pPr>
        <w:pStyle w:val="Default"/>
        <w:numPr>
          <w:ilvl w:val="0"/>
          <w:numId w:val="10"/>
        </w:numPr>
        <w:spacing w:before="120" w:after="120" w:line="276" w:lineRule="auto"/>
        <w:ind w:left="993" w:hanging="284"/>
        <w:rPr>
          <w:rFonts w:ascii="Arial" w:hAnsi="Arial" w:cs="Arial"/>
        </w:rPr>
      </w:pPr>
      <w:r>
        <w:rPr>
          <w:rFonts w:ascii="Arial" w:hAnsi="Arial" w:cs="Arial"/>
        </w:rPr>
        <w:t>i</w:t>
      </w:r>
      <w:r w:rsidR="003C3B2B">
        <w:rPr>
          <w:rFonts w:ascii="Arial" w:hAnsi="Arial" w:cs="Arial"/>
        </w:rPr>
        <w:t>nterpreting statutes</w:t>
      </w:r>
      <w:r>
        <w:rPr>
          <w:rFonts w:ascii="Arial" w:hAnsi="Arial" w:cs="Arial"/>
        </w:rPr>
        <w:t>;</w:t>
      </w:r>
      <w:r w:rsidR="00055AA8">
        <w:rPr>
          <w:rStyle w:val="FootnoteReference"/>
          <w:rFonts w:ascii="Arial" w:hAnsi="Arial" w:cs="Arial"/>
        </w:rPr>
        <w:footnoteReference w:id="3"/>
      </w:r>
    </w:p>
    <w:p w14:paraId="7BB586EE" w14:textId="3CEE1074" w:rsidR="00C27C2D" w:rsidRDefault="00C27C2D" w:rsidP="003C3B2B">
      <w:pPr>
        <w:pStyle w:val="Default"/>
        <w:numPr>
          <w:ilvl w:val="0"/>
          <w:numId w:val="10"/>
        </w:numPr>
        <w:spacing w:before="120" w:after="120" w:line="276" w:lineRule="auto"/>
        <w:ind w:left="993" w:hanging="284"/>
        <w:rPr>
          <w:rFonts w:ascii="Arial" w:hAnsi="Arial" w:cs="Arial"/>
        </w:rPr>
      </w:pPr>
      <w:r>
        <w:rPr>
          <w:rFonts w:ascii="Arial" w:hAnsi="Arial" w:cs="Arial"/>
        </w:rPr>
        <w:t>performing administrative functions;</w:t>
      </w:r>
      <w:r w:rsidR="00055AA8">
        <w:rPr>
          <w:rStyle w:val="FootnoteReference"/>
          <w:rFonts w:ascii="Arial" w:hAnsi="Arial" w:cs="Arial"/>
        </w:rPr>
        <w:footnoteReference w:id="4"/>
      </w:r>
      <w:r>
        <w:rPr>
          <w:rFonts w:ascii="Arial" w:hAnsi="Arial" w:cs="Arial"/>
        </w:rPr>
        <w:t xml:space="preserve"> and</w:t>
      </w:r>
    </w:p>
    <w:p w14:paraId="1C4989B3" w14:textId="2C6B70C0" w:rsidR="00C27C2D" w:rsidRDefault="00C27C2D" w:rsidP="00C27C2D">
      <w:pPr>
        <w:pStyle w:val="Default"/>
        <w:numPr>
          <w:ilvl w:val="0"/>
          <w:numId w:val="10"/>
        </w:numPr>
        <w:spacing w:before="120" w:after="240" w:line="276" w:lineRule="auto"/>
        <w:ind w:left="993" w:hanging="284"/>
        <w:rPr>
          <w:rFonts w:ascii="Arial" w:hAnsi="Arial" w:cs="Arial"/>
        </w:rPr>
      </w:pPr>
      <w:r>
        <w:rPr>
          <w:rFonts w:ascii="Arial" w:hAnsi="Arial" w:cs="Arial"/>
        </w:rPr>
        <w:t>performing functions relevant to the human rights.</w:t>
      </w:r>
      <w:r w:rsidR="00055AA8">
        <w:rPr>
          <w:rStyle w:val="FootnoteReference"/>
          <w:rFonts w:ascii="Arial" w:hAnsi="Arial" w:cs="Arial"/>
        </w:rPr>
        <w:footnoteReference w:id="5"/>
      </w:r>
    </w:p>
    <w:p w14:paraId="6B343A19" w14:textId="77DF67D5" w:rsidR="003C3B2B" w:rsidRDefault="009F428B"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Supreme Court will also determine questions of law relating to the application of the </w:t>
      </w:r>
      <w:r w:rsidR="00EA6EA0">
        <w:rPr>
          <w:rFonts w:ascii="Arial" w:hAnsi="Arial" w:cs="Arial"/>
          <w:lang w:val="en-AU"/>
        </w:rPr>
        <w:t>Bill</w:t>
      </w:r>
      <w:r>
        <w:rPr>
          <w:rFonts w:ascii="Arial" w:hAnsi="Arial" w:cs="Arial"/>
          <w:lang w:val="en-AU"/>
        </w:rPr>
        <w:t>, and questions in relation to the interpretation of a statutory provision in acco</w:t>
      </w:r>
      <w:r w:rsidR="00EA6EA0">
        <w:rPr>
          <w:rFonts w:ascii="Arial" w:hAnsi="Arial" w:cs="Arial"/>
          <w:lang w:val="en-AU"/>
        </w:rPr>
        <w:t>rdance with the Bill</w:t>
      </w:r>
      <w:r>
        <w:rPr>
          <w:rFonts w:ascii="Arial" w:hAnsi="Arial" w:cs="Arial"/>
          <w:lang w:val="en-AU"/>
        </w:rPr>
        <w:t>, that are referred to it by another court or tribunal.</w:t>
      </w:r>
    </w:p>
    <w:p w14:paraId="509F58C1" w14:textId="03D0325F" w:rsidR="00EA6EA0" w:rsidRDefault="004B4DE8"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Both t</w:t>
      </w:r>
      <w:r w:rsidR="00EA6EA0">
        <w:rPr>
          <w:rFonts w:ascii="Arial" w:hAnsi="Arial" w:cs="Arial"/>
          <w:lang w:val="en-AU"/>
        </w:rPr>
        <w:t>he Attorney-General and the Commission would be able to in</w:t>
      </w:r>
      <w:r>
        <w:rPr>
          <w:rFonts w:ascii="Arial" w:hAnsi="Arial" w:cs="Arial"/>
          <w:lang w:val="en-AU"/>
        </w:rPr>
        <w:t>tervene in proceedings before a court or tribunal in which a question of law arises in relation to the application of the Bill, or a question arises in relation to the interpretation of a provision in accordance with the Bill.  Where such questions arise in proceedings in the Supreme Court or District Court, the Attorney-General and the Commission must be notified.  Notice must also be given where a question is referred to the Supreme Court.</w:t>
      </w:r>
    </w:p>
    <w:p w14:paraId="65290CE0" w14:textId="151B666A" w:rsidR="00FD623A" w:rsidRDefault="00FD623A"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functions of the courts and tribunals in interpreting legislation is well described in the Explanatory Notes.  The provisions describing the meaning of compatibility with human rights (clause 8), and specific reference to international law and other judgments (clause 48(3)), should provide valuable assistance to the courts and tribunals when interpreting laws as required under the Bill.</w:t>
      </w:r>
    </w:p>
    <w:p w14:paraId="5734B451" w14:textId="165AF4C0" w:rsidR="00796DC4" w:rsidRDefault="00796DC4"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Supreme Court is able to make a declaration of incompatibility where it considers that a statutory provision cannot be interpreted in a way that is compatible with human rights.  A declaration of incompatibility does not affect the validity of the statutory provision, however it would result in the matter being brought before Parliament.</w:t>
      </w:r>
    </w:p>
    <w:p w14:paraId="3A6C3940" w14:textId="146CB226" w:rsidR="00796DC4" w:rsidRDefault="00796DC4"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Commission’s annual report is to include details of </w:t>
      </w:r>
      <w:r w:rsidR="003A0D02">
        <w:rPr>
          <w:rFonts w:ascii="Arial" w:hAnsi="Arial" w:cs="Arial"/>
          <w:lang w:val="en-AU"/>
        </w:rPr>
        <w:t>all declarations of incompatibility made.</w:t>
      </w:r>
    </w:p>
    <w:p w14:paraId="4A51586D" w14:textId="54B28443" w:rsidR="00D91106" w:rsidRDefault="00D91106" w:rsidP="00BF6A9B">
      <w:pPr>
        <w:pStyle w:val="Heading1"/>
        <w:spacing w:before="360"/>
        <w:rPr>
          <w:lang w:val="en-AU"/>
        </w:rPr>
      </w:pPr>
      <w:bookmarkStart w:id="6" w:name="_Toc530987084"/>
      <w:r>
        <w:rPr>
          <w:lang w:val="en-AU"/>
        </w:rPr>
        <w:t>Obligations on public entities</w:t>
      </w:r>
      <w:bookmarkEnd w:id="6"/>
    </w:p>
    <w:p w14:paraId="06FD96A5" w14:textId="463B6F35" w:rsidR="00D91106" w:rsidRDefault="004C3C5C" w:rsidP="004C3C5C">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Clause 58 imposes a twofold obligation on public entities:</w:t>
      </w:r>
    </w:p>
    <w:p w14:paraId="712628CE" w14:textId="1A543A14" w:rsidR="004C3C5C" w:rsidRDefault="004C3C5C" w:rsidP="004C3C5C">
      <w:pPr>
        <w:pStyle w:val="Default"/>
        <w:numPr>
          <w:ilvl w:val="0"/>
          <w:numId w:val="10"/>
        </w:numPr>
        <w:spacing w:before="120" w:after="120" w:line="276" w:lineRule="auto"/>
        <w:ind w:left="993" w:hanging="284"/>
        <w:rPr>
          <w:rFonts w:ascii="Arial" w:hAnsi="Arial" w:cs="Arial"/>
        </w:rPr>
      </w:pPr>
      <w:r>
        <w:rPr>
          <w:rFonts w:ascii="Arial" w:hAnsi="Arial" w:cs="Arial"/>
        </w:rPr>
        <w:t>to act in a way that is compatible with human rights; and</w:t>
      </w:r>
    </w:p>
    <w:p w14:paraId="2C44D1EE" w14:textId="7274ADE6" w:rsidR="004C3C5C" w:rsidRDefault="004C3C5C" w:rsidP="004C3C5C">
      <w:pPr>
        <w:pStyle w:val="Default"/>
        <w:numPr>
          <w:ilvl w:val="0"/>
          <w:numId w:val="10"/>
        </w:numPr>
        <w:spacing w:before="120" w:after="240" w:line="276" w:lineRule="auto"/>
        <w:ind w:left="993" w:hanging="284"/>
        <w:rPr>
          <w:rFonts w:ascii="Arial" w:hAnsi="Arial" w:cs="Arial"/>
        </w:rPr>
      </w:pPr>
      <w:r>
        <w:rPr>
          <w:rFonts w:ascii="Arial" w:hAnsi="Arial" w:cs="Arial"/>
        </w:rPr>
        <w:lastRenderedPageBreak/>
        <w:t>to give proper consideration to human rights when making decisions.</w:t>
      </w:r>
    </w:p>
    <w:p w14:paraId="74E48A75" w14:textId="4587DC24" w:rsidR="004C3C5C" w:rsidRDefault="004C3C5C" w:rsidP="004C3C5C">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There will be three types of public entities that must comply with clause 58:</w:t>
      </w:r>
    </w:p>
    <w:p w14:paraId="08152706" w14:textId="33459706" w:rsidR="004C3C5C" w:rsidRDefault="004C3C5C" w:rsidP="004C3C5C">
      <w:pPr>
        <w:pStyle w:val="Default"/>
        <w:numPr>
          <w:ilvl w:val="0"/>
          <w:numId w:val="10"/>
        </w:numPr>
        <w:spacing w:before="120" w:after="120" w:line="276" w:lineRule="auto"/>
        <w:ind w:left="993" w:hanging="284"/>
        <w:rPr>
          <w:rFonts w:ascii="Arial" w:hAnsi="Arial" w:cs="Arial"/>
        </w:rPr>
      </w:pPr>
      <w:r>
        <w:rPr>
          <w:rFonts w:ascii="Arial" w:hAnsi="Arial" w:cs="Arial"/>
        </w:rPr>
        <w:t>core public entities;</w:t>
      </w:r>
    </w:p>
    <w:p w14:paraId="0FBF8D89" w14:textId="2C0D7908" w:rsidR="004C3C5C" w:rsidRDefault="004C3C5C" w:rsidP="004C3C5C">
      <w:pPr>
        <w:pStyle w:val="Default"/>
        <w:numPr>
          <w:ilvl w:val="0"/>
          <w:numId w:val="10"/>
        </w:numPr>
        <w:spacing w:before="120" w:after="120" w:line="276" w:lineRule="auto"/>
        <w:ind w:left="993" w:hanging="284"/>
        <w:rPr>
          <w:rFonts w:ascii="Arial" w:hAnsi="Arial" w:cs="Arial"/>
        </w:rPr>
      </w:pPr>
      <w:r>
        <w:rPr>
          <w:rFonts w:ascii="Arial" w:hAnsi="Arial" w:cs="Arial"/>
        </w:rPr>
        <w:t xml:space="preserve">functional public entities; and </w:t>
      </w:r>
    </w:p>
    <w:p w14:paraId="1BE90379" w14:textId="02581407" w:rsidR="004C3C5C" w:rsidRDefault="004C3C5C" w:rsidP="004C3C5C">
      <w:pPr>
        <w:pStyle w:val="Default"/>
        <w:numPr>
          <w:ilvl w:val="0"/>
          <w:numId w:val="10"/>
        </w:numPr>
        <w:spacing w:before="120" w:after="120" w:line="276" w:lineRule="auto"/>
        <w:ind w:left="993" w:hanging="284"/>
        <w:rPr>
          <w:rFonts w:ascii="Arial" w:hAnsi="Arial" w:cs="Arial"/>
        </w:rPr>
      </w:pPr>
      <w:r>
        <w:rPr>
          <w:rFonts w:ascii="Arial" w:hAnsi="Arial" w:cs="Arial"/>
        </w:rPr>
        <w:t>optional entities (those that elects under clause 60 to be subject to the obligations).</w:t>
      </w:r>
    </w:p>
    <w:p w14:paraId="6349A08D" w14:textId="68A90C2C" w:rsidR="004C3C5C" w:rsidRDefault="004C3C5C" w:rsidP="00D9110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Exceptions to the obligations are also provided for in clause 58, including acts or decisions of a private nature.</w:t>
      </w:r>
      <w:r w:rsidR="00796DC4">
        <w:rPr>
          <w:rStyle w:val="FootnoteReference"/>
          <w:rFonts w:ascii="Arial" w:hAnsi="Arial" w:cs="Arial"/>
          <w:lang w:val="en-AU"/>
        </w:rPr>
        <w:footnoteReference w:id="6"/>
      </w:r>
      <w:r w:rsidR="00796DC4">
        <w:rPr>
          <w:rFonts w:ascii="Arial" w:hAnsi="Arial" w:cs="Arial"/>
          <w:lang w:val="en-AU"/>
        </w:rPr>
        <w:t xml:space="preserve">  The Bill does not define the meaning of ‘acts or decisions of a private nature’, however clause 10 provides some guidance as to when a </w:t>
      </w:r>
      <w:r w:rsidR="00796DC4">
        <w:rPr>
          <w:rFonts w:ascii="Arial" w:hAnsi="Arial" w:cs="Arial"/>
          <w:i/>
          <w:lang w:val="en-AU"/>
        </w:rPr>
        <w:t>function</w:t>
      </w:r>
      <w:r w:rsidR="00796DC4">
        <w:rPr>
          <w:rFonts w:ascii="Arial" w:hAnsi="Arial" w:cs="Arial"/>
          <w:lang w:val="en-AU"/>
        </w:rPr>
        <w:t xml:space="preserve"> is of a public nature.</w:t>
      </w:r>
    </w:p>
    <w:p w14:paraId="3844E1FB" w14:textId="70E835FB" w:rsidR="00796DC4" w:rsidRDefault="00796DC4" w:rsidP="00D9110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same exception is contained in the Victorian </w:t>
      </w:r>
      <w:r w:rsidRPr="00796DC4">
        <w:rPr>
          <w:rFonts w:ascii="Arial" w:hAnsi="Arial" w:cs="Arial"/>
          <w:i/>
          <w:lang w:val="en-AU"/>
        </w:rPr>
        <w:t>Charter</w:t>
      </w:r>
      <w:r>
        <w:rPr>
          <w:rFonts w:ascii="Arial" w:hAnsi="Arial" w:cs="Arial"/>
          <w:lang w:val="en-AU"/>
        </w:rPr>
        <w:t>, where is it also not defined.</w:t>
      </w:r>
      <w:r w:rsidR="00696C46">
        <w:rPr>
          <w:rFonts w:ascii="Arial" w:hAnsi="Arial" w:cs="Arial"/>
          <w:lang w:val="en-AU"/>
        </w:rPr>
        <w:t xml:space="preserve">  It is considered to be more relevant to core public entities, as they will always be public entities regardless of the functions they are performing.</w:t>
      </w:r>
      <w:r w:rsidR="00696C46">
        <w:rPr>
          <w:rStyle w:val="FootnoteReference"/>
          <w:rFonts w:ascii="Arial" w:hAnsi="Arial" w:cs="Arial"/>
          <w:lang w:val="en-AU"/>
        </w:rPr>
        <w:footnoteReference w:id="7"/>
      </w:r>
    </w:p>
    <w:p w14:paraId="176BD5D9" w14:textId="6959C571" w:rsidR="00C264DC" w:rsidRDefault="008F27D1" w:rsidP="00D9110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Commission considers that the exception for private acts and decisions does not include </w:t>
      </w:r>
      <w:r w:rsidR="00C264DC">
        <w:rPr>
          <w:rFonts w:ascii="Arial" w:hAnsi="Arial" w:cs="Arial"/>
          <w:lang w:val="en-AU"/>
        </w:rPr>
        <w:t xml:space="preserve">the acts and decisions of the core public entities in employment matters.  </w:t>
      </w:r>
    </w:p>
    <w:p w14:paraId="2F8AFA55" w14:textId="1A4959BB" w:rsidR="00A30CCA" w:rsidRDefault="008F27D1" w:rsidP="00D9110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If it is not</w:t>
      </w:r>
      <w:r w:rsidR="00A30CCA">
        <w:rPr>
          <w:rFonts w:ascii="Arial" w:hAnsi="Arial" w:cs="Arial"/>
          <w:lang w:val="en-AU"/>
        </w:rPr>
        <w:t xml:space="preserve"> the </w:t>
      </w:r>
      <w:r>
        <w:rPr>
          <w:rFonts w:ascii="Arial" w:hAnsi="Arial" w:cs="Arial"/>
          <w:lang w:val="en-AU"/>
        </w:rPr>
        <w:t xml:space="preserve">intention of </w:t>
      </w:r>
      <w:r w:rsidR="00A30CCA">
        <w:rPr>
          <w:rFonts w:ascii="Arial" w:hAnsi="Arial" w:cs="Arial"/>
          <w:lang w:val="en-AU"/>
        </w:rPr>
        <w:t xml:space="preserve">Parliament </w:t>
      </w:r>
      <w:r w:rsidR="001E4D12">
        <w:rPr>
          <w:rFonts w:ascii="Arial" w:hAnsi="Arial" w:cs="Arial"/>
          <w:lang w:val="en-AU"/>
        </w:rPr>
        <w:t xml:space="preserve">that </w:t>
      </w:r>
      <w:r>
        <w:rPr>
          <w:rFonts w:ascii="Arial" w:hAnsi="Arial" w:cs="Arial"/>
          <w:lang w:val="en-AU"/>
        </w:rPr>
        <w:t>the obligations in clause 58 are to apply to the acts and decisions of core public entities in employment matte</w:t>
      </w:r>
      <w:r w:rsidR="001E4D12">
        <w:rPr>
          <w:rFonts w:ascii="Arial" w:hAnsi="Arial" w:cs="Arial"/>
          <w:lang w:val="en-AU"/>
        </w:rPr>
        <w:t>rs</w:t>
      </w:r>
      <w:r>
        <w:rPr>
          <w:rFonts w:ascii="Arial" w:hAnsi="Arial" w:cs="Arial"/>
          <w:lang w:val="en-AU"/>
        </w:rPr>
        <w:t>, the Bill should be amended to clarify this intention</w:t>
      </w:r>
      <w:r w:rsidR="00A30CCA">
        <w:rPr>
          <w:rFonts w:ascii="Arial" w:hAnsi="Arial" w:cs="Arial"/>
          <w:lang w:val="en-AU"/>
        </w:rPr>
        <w:t>.</w:t>
      </w:r>
    </w:p>
    <w:p w14:paraId="55119023" w14:textId="62566017" w:rsidR="00A30CCA" w:rsidRDefault="00A30CCA" w:rsidP="00D9110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This issue will have particular importance for the Commission in its function of dealing with human rights complaints.</w:t>
      </w:r>
    </w:p>
    <w:p w14:paraId="26B14080" w14:textId="75A66592" w:rsidR="0029041A" w:rsidRPr="001E4D12" w:rsidRDefault="0029041A" w:rsidP="001E4D12">
      <w:pPr>
        <w:pStyle w:val="Heading2"/>
        <w:rPr>
          <w:lang w:val="en-AU"/>
        </w:rPr>
      </w:pPr>
      <w:bookmarkStart w:id="7" w:name="_Toc530987085"/>
      <w:r w:rsidRPr="001E4D12">
        <w:rPr>
          <w:lang w:val="en-AU"/>
        </w:rPr>
        <w:t>Schools</w:t>
      </w:r>
      <w:r w:rsidR="0083450C" w:rsidRPr="001E4D12">
        <w:rPr>
          <w:lang w:val="en-AU"/>
        </w:rPr>
        <w:t xml:space="preserve"> and other educational authorities</w:t>
      </w:r>
      <w:bookmarkEnd w:id="7"/>
    </w:p>
    <w:p w14:paraId="4B623DD1" w14:textId="7EB73CD8" w:rsidR="00F768A5" w:rsidRDefault="0029041A" w:rsidP="00D9110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Commission conducted a number of information sessions about the Bill</w:t>
      </w:r>
      <w:r w:rsidR="008F27D1">
        <w:rPr>
          <w:rFonts w:ascii="Arial" w:hAnsi="Arial" w:cs="Arial"/>
          <w:lang w:val="en-AU"/>
        </w:rPr>
        <w:t xml:space="preserve"> after its introduction into Parliament</w:t>
      </w:r>
      <w:r>
        <w:rPr>
          <w:rFonts w:ascii="Arial" w:hAnsi="Arial" w:cs="Arial"/>
          <w:lang w:val="en-AU"/>
        </w:rPr>
        <w:t xml:space="preserve">.  </w:t>
      </w:r>
      <w:r w:rsidR="008F27D1">
        <w:rPr>
          <w:rFonts w:ascii="Arial" w:hAnsi="Arial" w:cs="Arial"/>
          <w:lang w:val="en-AU"/>
        </w:rPr>
        <w:t>Some</w:t>
      </w:r>
      <w:r>
        <w:rPr>
          <w:rFonts w:ascii="Arial" w:hAnsi="Arial" w:cs="Arial"/>
          <w:lang w:val="en-AU"/>
        </w:rPr>
        <w:t xml:space="preserve"> participants had strong views that all schools should be subject the obligations</w:t>
      </w:r>
      <w:r w:rsidR="008F27D1">
        <w:rPr>
          <w:rFonts w:ascii="Arial" w:hAnsi="Arial" w:cs="Arial"/>
          <w:lang w:val="en-AU"/>
        </w:rPr>
        <w:t xml:space="preserve"> in clause 58</w:t>
      </w:r>
      <w:r>
        <w:rPr>
          <w:rFonts w:ascii="Arial" w:hAnsi="Arial" w:cs="Arial"/>
          <w:lang w:val="en-AU"/>
        </w:rPr>
        <w:t>.</w:t>
      </w:r>
    </w:p>
    <w:p w14:paraId="56A62F17" w14:textId="4154DA1D" w:rsidR="0083450C" w:rsidRDefault="0083450C" w:rsidP="00D9110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Explanatory Notes do not address </w:t>
      </w:r>
      <w:r w:rsidR="0020141A">
        <w:rPr>
          <w:rFonts w:ascii="Arial" w:hAnsi="Arial" w:cs="Arial"/>
          <w:lang w:val="en-AU"/>
        </w:rPr>
        <w:t>the reason for excluding non-State schools from the obligations to act and make decisions that are consistent with human rights.  Education is a State responsibility irrespective of whether it is delivered by public or State educational authorities.</w:t>
      </w:r>
    </w:p>
    <w:p w14:paraId="4BA3A81D" w14:textId="35A4A680" w:rsidR="0029041A" w:rsidRDefault="0020141A" w:rsidP="00D9110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In light of the evidence before and findings of the Royal Commission into Institutional Responses to Child Sexual Abuse, there is a strong argument </w:t>
      </w:r>
      <w:r>
        <w:rPr>
          <w:rFonts w:ascii="Arial" w:hAnsi="Arial" w:cs="Arial"/>
          <w:lang w:val="en-AU"/>
        </w:rPr>
        <w:lastRenderedPageBreak/>
        <w:t>that all educational authorities</w:t>
      </w:r>
      <w:r w:rsidR="009B6B11">
        <w:rPr>
          <w:rFonts w:ascii="Arial" w:hAnsi="Arial" w:cs="Arial"/>
          <w:lang w:val="en-AU"/>
        </w:rPr>
        <w:t xml:space="preserve"> should be subject to the obligations in clause 58 to act and make decisions that are compatible with human rights.</w:t>
      </w:r>
    </w:p>
    <w:p w14:paraId="08945F8F" w14:textId="5A863E59" w:rsidR="009B6B11" w:rsidRPr="00D91106" w:rsidRDefault="009B6B11" w:rsidP="00D9110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Commission recommends that the definition of ‘public entity’ in clause 9 be amended to include all education authorities.</w:t>
      </w:r>
    </w:p>
    <w:p w14:paraId="32F0DBFB" w14:textId="09598509" w:rsidR="008F726C" w:rsidRDefault="008F726C" w:rsidP="008F726C">
      <w:pPr>
        <w:pStyle w:val="Heading1"/>
        <w:rPr>
          <w:lang w:val="en-AU"/>
        </w:rPr>
      </w:pPr>
      <w:bookmarkStart w:id="8" w:name="_Toc530987086"/>
      <w:r>
        <w:rPr>
          <w:lang w:val="en-AU"/>
        </w:rPr>
        <w:t>Remedies</w:t>
      </w:r>
      <w:bookmarkEnd w:id="8"/>
    </w:p>
    <w:p w14:paraId="5D63B4F2" w14:textId="15BC6F9C" w:rsidR="008F726C" w:rsidRDefault="003414E2" w:rsidP="008F726C">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As with the Victorian </w:t>
      </w:r>
      <w:r w:rsidRPr="003414E2">
        <w:rPr>
          <w:rFonts w:ascii="Arial" w:hAnsi="Arial" w:cs="Arial"/>
          <w:i/>
          <w:lang w:val="en-AU"/>
        </w:rPr>
        <w:t>Charter</w:t>
      </w:r>
      <w:r>
        <w:rPr>
          <w:rFonts w:ascii="Arial" w:hAnsi="Arial" w:cs="Arial"/>
          <w:lang w:val="en-AU"/>
        </w:rPr>
        <w:t xml:space="preserve">, there is no stand-alone cause of action </w:t>
      </w:r>
      <w:r w:rsidR="00FA45EA">
        <w:rPr>
          <w:rFonts w:ascii="Arial" w:hAnsi="Arial" w:cs="Arial"/>
          <w:lang w:val="en-AU"/>
        </w:rPr>
        <w:t xml:space="preserve">against public entities </w:t>
      </w:r>
      <w:r>
        <w:rPr>
          <w:rFonts w:ascii="Arial" w:hAnsi="Arial" w:cs="Arial"/>
          <w:lang w:val="en-AU"/>
        </w:rPr>
        <w:t xml:space="preserve">for </w:t>
      </w:r>
      <w:r w:rsidR="00FA45EA">
        <w:rPr>
          <w:rFonts w:ascii="Arial" w:hAnsi="Arial" w:cs="Arial"/>
          <w:lang w:val="en-AU"/>
        </w:rPr>
        <w:t xml:space="preserve">failing to comply with the obligations in clause 58 to act and make decisions that are compatible with human rights, and to give proper consideration to a human right relevant to the decision.  </w:t>
      </w:r>
      <w:r w:rsidR="00FA45EA" w:rsidRPr="00E62072">
        <w:rPr>
          <w:rFonts w:ascii="Arial" w:hAnsi="Arial" w:cs="Arial"/>
          <w:lang w:val="en-AU"/>
        </w:rPr>
        <w:t xml:space="preserve">However, </w:t>
      </w:r>
      <w:r w:rsidR="002C5302">
        <w:rPr>
          <w:rFonts w:ascii="Arial" w:hAnsi="Arial" w:cs="Arial"/>
          <w:lang w:val="en-AU"/>
        </w:rPr>
        <w:t xml:space="preserve">clause 59 provides that </w:t>
      </w:r>
      <w:r w:rsidR="00FA45EA" w:rsidRPr="00E62072">
        <w:rPr>
          <w:rFonts w:ascii="Arial" w:hAnsi="Arial" w:cs="Arial"/>
          <w:lang w:val="en-AU"/>
        </w:rPr>
        <w:t xml:space="preserve">if there is </w:t>
      </w:r>
      <w:r w:rsidR="00706184">
        <w:rPr>
          <w:rFonts w:ascii="Arial" w:hAnsi="Arial" w:cs="Arial"/>
          <w:lang w:val="en-AU"/>
        </w:rPr>
        <w:t>relief or remedy available</w:t>
      </w:r>
      <w:r w:rsidR="00FA45EA" w:rsidRPr="00E62072">
        <w:rPr>
          <w:rFonts w:ascii="Arial" w:hAnsi="Arial" w:cs="Arial"/>
          <w:lang w:val="en-AU"/>
        </w:rPr>
        <w:t xml:space="preserve"> </w:t>
      </w:r>
      <w:r w:rsidR="00BF296F" w:rsidRPr="00E62072">
        <w:rPr>
          <w:rFonts w:ascii="Arial" w:hAnsi="Arial" w:cs="Arial"/>
          <w:lang w:val="en-AU"/>
        </w:rPr>
        <w:t>for a different type of unlawfulness, the failure to comply with clause 58 can be an added ground of unlawfulness</w:t>
      </w:r>
      <w:r w:rsidR="00FA45EA" w:rsidRPr="00E62072">
        <w:rPr>
          <w:rFonts w:ascii="Arial" w:hAnsi="Arial" w:cs="Arial"/>
          <w:lang w:val="en-AU"/>
        </w:rPr>
        <w:t>.</w:t>
      </w:r>
    </w:p>
    <w:p w14:paraId="2B6777AA" w14:textId="235FE262" w:rsidR="002C5302" w:rsidRDefault="002C5302" w:rsidP="008F726C">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Clause 59 is based on section 39 of the Victorian </w:t>
      </w:r>
      <w:r w:rsidRPr="001E4D12">
        <w:rPr>
          <w:rFonts w:ascii="Arial" w:hAnsi="Arial" w:cs="Arial"/>
          <w:i/>
          <w:lang w:val="en-AU"/>
        </w:rPr>
        <w:t>Charter</w:t>
      </w:r>
      <w:r>
        <w:rPr>
          <w:rFonts w:ascii="Arial" w:hAnsi="Arial" w:cs="Arial"/>
          <w:lang w:val="en-AU"/>
        </w:rPr>
        <w:t xml:space="preserve">, </w:t>
      </w:r>
      <w:r w:rsidR="00B13E28">
        <w:rPr>
          <w:rFonts w:ascii="Arial" w:hAnsi="Arial" w:cs="Arial"/>
          <w:lang w:val="en-AU"/>
        </w:rPr>
        <w:t>albeit</w:t>
      </w:r>
      <w:r>
        <w:rPr>
          <w:rFonts w:ascii="Arial" w:hAnsi="Arial" w:cs="Arial"/>
          <w:lang w:val="en-AU"/>
        </w:rPr>
        <w:t xml:space="preserve"> worded a little differently. </w:t>
      </w:r>
      <w:r w:rsidR="000E67DB">
        <w:rPr>
          <w:rFonts w:ascii="Arial" w:hAnsi="Arial" w:cs="Arial"/>
          <w:lang w:val="en-AU"/>
        </w:rPr>
        <w:t xml:space="preserve">Section 39 of the Victorian </w:t>
      </w:r>
      <w:r w:rsidR="000E67DB" w:rsidRPr="001E4D12">
        <w:rPr>
          <w:rFonts w:ascii="Arial" w:hAnsi="Arial" w:cs="Arial"/>
          <w:i/>
          <w:lang w:val="en-AU"/>
        </w:rPr>
        <w:t>Charter</w:t>
      </w:r>
      <w:r w:rsidR="000E67DB">
        <w:rPr>
          <w:rFonts w:ascii="Arial" w:hAnsi="Arial" w:cs="Arial"/>
          <w:lang w:val="en-AU"/>
        </w:rPr>
        <w:t xml:space="preserve"> is an inelegant provision that has attracted significant criticism from commentators and the courts.  </w:t>
      </w:r>
      <w:r w:rsidR="00B13E28">
        <w:rPr>
          <w:rFonts w:ascii="Arial" w:hAnsi="Arial" w:cs="Arial"/>
          <w:lang w:val="en-AU"/>
        </w:rPr>
        <w:t xml:space="preserve">It was noted in the 2015 review of the Victorian </w:t>
      </w:r>
      <w:r w:rsidR="00B13E28" w:rsidRPr="001E4D12">
        <w:rPr>
          <w:rFonts w:ascii="Arial" w:hAnsi="Arial" w:cs="Arial"/>
          <w:i/>
          <w:lang w:val="en-AU"/>
        </w:rPr>
        <w:t>Charter</w:t>
      </w:r>
      <w:r w:rsidR="00B13E28">
        <w:rPr>
          <w:rFonts w:ascii="Arial" w:hAnsi="Arial" w:cs="Arial"/>
          <w:lang w:val="en-AU"/>
        </w:rPr>
        <w:t xml:space="preserve"> that ‘section 39 has been criticised as an </w:t>
      </w:r>
      <w:r w:rsidR="00706184">
        <w:rPr>
          <w:rFonts w:ascii="Arial" w:hAnsi="Arial" w:cs="Arial"/>
          <w:lang w:val="en-AU"/>
        </w:rPr>
        <w:t>“irremediable’ remedies provision that is “drafted in terms that are convoluted and extraordinarily difficult to follow”’.</w:t>
      </w:r>
      <w:r w:rsidR="00706184">
        <w:rPr>
          <w:rStyle w:val="FootnoteReference"/>
          <w:rFonts w:ascii="Arial" w:hAnsi="Arial" w:cs="Arial"/>
          <w:lang w:val="en-AU"/>
        </w:rPr>
        <w:footnoteReference w:id="8"/>
      </w:r>
    </w:p>
    <w:p w14:paraId="307C81F3" w14:textId="3C79498D" w:rsidR="0029041A" w:rsidRPr="00E62072" w:rsidRDefault="0029041A" w:rsidP="008F726C">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Where a provision such as clause 59 is not clear, the focus of legal proceedings is likely to shift to the interpretation of the provision, rather than the substantive human rights issue.</w:t>
      </w:r>
    </w:p>
    <w:p w14:paraId="205FB800" w14:textId="5A6F9C66" w:rsidR="00D43D8F" w:rsidRPr="00E62072" w:rsidRDefault="00D43D8F" w:rsidP="008F726C">
      <w:pPr>
        <w:pStyle w:val="ListParagraph"/>
        <w:numPr>
          <w:ilvl w:val="0"/>
          <w:numId w:val="4"/>
        </w:numPr>
        <w:spacing w:before="120" w:after="240" w:line="276" w:lineRule="auto"/>
        <w:ind w:left="425" w:hanging="425"/>
        <w:contextualSpacing w:val="0"/>
        <w:rPr>
          <w:rFonts w:ascii="Arial" w:hAnsi="Arial" w:cs="Arial"/>
          <w:lang w:val="en-AU"/>
        </w:rPr>
      </w:pPr>
      <w:r w:rsidRPr="00E62072">
        <w:rPr>
          <w:rFonts w:ascii="Arial" w:hAnsi="Arial" w:cs="Arial"/>
          <w:lang w:val="en-AU"/>
        </w:rPr>
        <w:t>The primary cause of actio</w:t>
      </w:r>
      <w:r w:rsidR="0024518C" w:rsidRPr="00E62072">
        <w:rPr>
          <w:rFonts w:ascii="Arial" w:hAnsi="Arial" w:cs="Arial"/>
          <w:lang w:val="en-AU"/>
        </w:rPr>
        <w:t xml:space="preserve">n for unlawfulness of an act or a </w:t>
      </w:r>
      <w:r w:rsidRPr="00E62072">
        <w:rPr>
          <w:rFonts w:ascii="Arial" w:hAnsi="Arial" w:cs="Arial"/>
          <w:lang w:val="en-AU"/>
        </w:rPr>
        <w:t xml:space="preserve">decision </w:t>
      </w:r>
      <w:r w:rsidR="000E67DB">
        <w:rPr>
          <w:rFonts w:ascii="Arial" w:hAnsi="Arial" w:cs="Arial"/>
          <w:lang w:val="en-AU"/>
        </w:rPr>
        <w:t xml:space="preserve">of a public entity </w:t>
      </w:r>
      <w:r w:rsidRPr="00E62072">
        <w:rPr>
          <w:rFonts w:ascii="Arial" w:hAnsi="Arial" w:cs="Arial"/>
          <w:lang w:val="en-AU"/>
        </w:rPr>
        <w:t xml:space="preserve">is </w:t>
      </w:r>
      <w:r w:rsidR="00E660DA" w:rsidRPr="00E62072">
        <w:rPr>
          <w:rFonts w:ascii="Arial" w:hAnsi="Arial" w:cs="Arial"/>
          <w:lang w:val="en-AU"/>
        </w:rPr>
        <w:t xml:space="preserve">judicial review </w:t>
      </w:r>
      <w:r w:rsidRPr="00E62072">
        <w:rPr>
          <w:rFonts w:ascii="Arial" w:hAnsi="Arial" w:cs="Arial"/>
          <w:lang w:val="en-AU"/>
        </w:rPr>
        <w:t xml:space="preserve">under the </w:t>
      </w:r>
      <w:r w:rsidRPr="00E62072">
        <w:rPr>
          <w:rFonts w:ascii="Arial" w:hAnsi="Arial" w:cs="Arial"/>
          <w:i/>
          <w:lang w:val="en-AU"/>
        </w:rPr>
        <w:t>Judicial Review Act 1991</w:t>
      </w:r>
      <w:r w:rsidR="00E660DA" w:rsidRPr="00E62072">
        <w:rPr>
          <w:rFonts w:ascii="Arial" w:hAnsi="Arial" w:cs="Arial"/>
          <w:lang w:val="en-AU"/>
        </w:rPr>
        <w:t>.  Judicial revie</w:t>
      </w:r>
      <w:r w:rsidRPr="00E62072">
        <w:rPr>
          <w:rFonts w:ascii="Arial" w:hAnsi="Arial" w:cs="Arial"/>
          <w:lang w:val="en-AU"/>
        </w:rPr>
        <w:t>w</w:t>
      </w:r>
      <w:r w:rsidR="00E660DA" w:rsidRPr="00E62072">
        <w:rPr>
          <w:rFonts w:ascii="Arial" w:hAnsi="Arial" w:cs="Arial"/>
          <w:lang w:val="en-AU"/>
        </w:rPr>
        <w:t xml:space="preserve"> </w:t>
      </w:r>
      <w:r w:rsidRPr="00E62072">
        <w:rPr>
          <w:rFonts w:ascii="Arial" w:hAnsi="Arial" w:cs="Arial"/>
          <w:lang w:val="en-AU"/>
        </w:rPr>
        <w:t>will be the primary means of developing jurisprudence on the application of the Bill</w:t>
      </w:r>
      <w:r w:rsidR="00412E87" w:rsidRPr="00E62072">
        <w:rPr>
          <w:rFonts w:ascii="Arial" w:hAnsi="Arial" w:cs="Arial"/>
          <w:lang w:val="en-AU"/>
        </w:rPr>
        <w:t xml:space="preserve">.  </w:t>
      </w:r>
      <w:r w:rsidR="004E453D" w:rsidRPr="00E62072">
        <w:rPr>
          <w:rFonts w:ascii="Arial" w:hAnsi="Arial" w:cs="Arial"/>
          <w:lang w:val="en-AU"/>
        </w:rPr>
        <w:t xml:space="preserve">Queensland’s Supreme Court is best placed to develop jurisprudence on Queensland law.  Restricting judicial review to </w:t>
      </w:r>
      <w:r w:rsidR="00412E87" w:rsidRPr="00E62072">
        <w:rPr>
          <w:rFonts w:ascii="Arial" w:hAnsi="Arial" w:cs="Arial"/>
          <w:lang w:val="en-AU"/>
        </w:rPr>
        <w:t>cases where there is another ground of unla</w:t>
      </w:r>
      <w:r w:rsidR="0024518C" w:rsidRPr="00E62072">
        <w:rPr>
          <w:rFonts w:ascii="Arial" w:hAnsi="Arial" w:cs="Arial"/>
          <w:lang w:val="en-AU"/>
        </w:rPr>
        <w:t xml:space="preserve">wfulness to the relevant act or </w:t>
      </w:r>
      <w:r w:rsidR="00412E87" w:rsidRPr="00E62072">
        <w:rPr>
          <w:rFonts w:ascii="Arial" w:hAnsi="Arial" w:cs="Arial"/>
          <w:lang w:val="en-AU"/>
        </w:rPr>
        <w:t>decision</w:t>
      </w:r>
      <w:r w:rsidR="004E453D" w:rsidRPr="00E62072">
        <w:rPr>
          <w:rFonts w:ascii="Arial" w:hAnsi="Arial" w:cs="Arial"/>
          <w:lang w:val="en-AU"/>
        </w:rPr>
        <w:t xml:space="preserve"> will </w:t>
      </w:r>
      <w:r w:rsidR="000E67DB">
        <w:rPr>
          <w:rFonts w:ascii="Arial" w:hAnsi="Arial" w:cs="Arial"/>
          <w:lang w:val="en-AU"/>
        </w:rPr>
        <w:t xml:space="preserve">unnecessarily </w:t>
      </w:r>
      <w:r w:rsidR="004E453D" w:rsidRPr="00E62072">
        <w:rPr>
          <w:rFonts w:ascii="Arial" w:hAnsi="Arial" w:cs="Arial"/>
          <w:lang w:val="en-AU"/>
        </w:rPr>
        <w:t xml:space="preserve">impede the development </w:t>
      </w:r>
      <w:r w:rsidR="009F2EF9">
        <w:rPr>
          <w:rFonts w:ascii="Arial" w:hAnsi="Arial" w:cs="Arial"/>
          <w:lang w:val="en-AU"/>
        </w:rPr>
        <w:t xml:space="preserve">of </w:t>
      </w:r>
      <w:bookmarkStart w:id="9" w:name="_GoBack"/>
      <w:bookmarkEnd w:id="9"/>
      <w:r w:rsidR="000E67DB">
        <w:rPr>
          <w:rFonts w:ascii="Arial" w:hAnsi="Arial" w:cs="Arial"/>
          <w:lang w:val="en-AU"/>
        </w:rPr>
        <w:t xml:space="preserve">human rights </w:t>
      </w:r>
      <w:r w:rsidR="004E453D" w:rsidRPr="00E62072">
        <w:rPr>
          <w:rFonts w:ascii="Arial" w:hAnsi="Arial" w:cs="Arial"/>
          <w:lang w:val="en-AU"/>
        </w:rPr>
        <w:t>jurisprudence, and the Commission and stakeholders can only rely on jurisprudence from other jurisdictions, where the provisions are not necessarily the same as the Bill</w:t>
      </w:r>
      <w:r w:rsidR="00412E87" w:rsidRPr="00E62072">
        <w:rPr>
          <w:rFonts w:ascii="Arial" w:hAnsi="Arial" w:cs="Arial"/>
          <w:lang w:val="en-AU"/>
        </w:rPr>
        <w:t>.</w:t>
      </w:r>
    </w:p>
    <w:p w14:paraId="15F39796" w14:textId="200A68C9" w:rsidR="0024518C" w:rsidRDefault="0024518C" w:rsidP="008F726C">
      <w:pPr>
        <w:pStyle w:val="ListParagraph"/>
        <w:numPr>
          <w:ilvl w:val="0"/>
          <w:numId w:val="4"/>
        </w:numPr>
        <w:spacing w:before="120" w:after="240" w:line="276" w:lineRule="auto"/>
        <w:ind w:left="425" w:hanging="425"/>
        <w:contextualSpacing w:val="0"/>
        <w:rPr>
          <w:rFonts w:ascii="Arial" w:hAnsi="Arial" w:cs="Arial"/>
          <w:lang w:val="en-AU"/>
        </w:rPr>
      </w:pPr>
      <w:r w:rsidRPr="00E62072">
        <w:rPr>
          <w:rFonts w:ascii="Arial" w:hAnsi="Arial" w:cs="Arial"/>
          <w:lang w:val="en-AU"/>
        </w:rPr>
        <w:t xml:space="preserve">Compensation or damages is not a remedy available under judicial review.  Therefore, allowing a breach of clause 58 as a sole ground for judicial review is not inconsistent with </w:t>
      </w:r>
      <w:r w:rsidR="000E67DB">
        <w:rPr>
          <w:rFonts w:ascii="Arial" w:hAnsi="Arial" w:cs="Arial"/>
          <w:lang w:val="en-AU"/>
        </w:rPr>
        <w:t xml:space="preserve">the </w:t>
      </w:r>
      <w:r w:rsidR="00CB0C73" w:rsidRPr="00E62072">
        <w:rPr>
          <w:rFonts w:ascii="Arial" w:hAnsi="Arial" w:cs="Arial"/>
          <w:lang w:val="en-AU"/>
        </w:rPr>
        <w:t>government policy position that there is to be no damages available in respect of breaches of clause 58.</w:t>
      </w:r>
      <w:r w:rsidR="00366114" w:rsidRPr="00E62072">
        <w:rPr>
          <w:rFonts w:ascii="Arial" w:hAnsi="Arial" w:cs="Arial"/>
          <w:lang w:val="en-AU"/>
        </w:rPr>
        <w:t xml:space="preserve">  It is also not creating a new cause of action.  Unlawfulness is an existing ground for </w:t>
      </w:r>
      <w:r w:rsidR="00366114" w:rsidRPr="00E62072">
        <w:rPr>
          <w:rFonts w:ascii="Arial" w:hAnsi="Arial" w:cs="Arial"/>
          <w:lang w:val="en-AU"/>
        </w:rPr>
        <w:lastRenderedPageBreak/>
        <w:t>judicial review.  Judicial review is a fundamental component of Queensland’s integrity regime and system of open and accountable government.  A Human Rights Act would complement transparency and accountability of government, and judicial review for unlawfulness under clause 58 should be available independently of other grounds of review.</w:t>
      </w:r>
    </w:p>
    <w:p w14:paraId="4A62B0F9" w14:textId="0DEF49F4" w:rsidR="00930A48" w:rsidRDefault="00930A48" w:rsidP="00930A48">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Commission’s preferred approach is to also allow an independent action in the Supreme Court for breach of clause 58.  A provision modelled on section 40C of the </w:t>
      </w:r>
      <w:r>
        <w:rPr>
          <w:rFonts w:ascii="Arial" w:hAnsi="Arial" w:cs="Arial"/>
          <w:i/>
          <w:lang w:val="en-AU"/>
        </w:rPr>
        <w:t xml:space="preserve">Human Rights Act 2004 </w:t>
      </w:r>
      <w:r>
        <w:rPr>
          <w:rFonts w:ascii="Arial" w:hAnsi="Arial" w:cs="Arial"/>
          <w:lang w:val="en-AU"/>
        </w:rPr>
        <w:t xml:space="preserve">(ACT) would allow an independent action as well as a ‘piggy back’ claim, </w:t>
      </w:r>
      <w:r w:rsidR="00FC7088">
        <w:rPr>
          <w:rFonts w:ascii="Arial" w:hAnsi="Arial" w:cs="Arial"/>
          <w:lang w:val="en-AU"/>
        </w:rPr>
        <w:t>whilst also maintaining the government’s preferred approach of</w:t>
      </w:r>
      <w:r>
        <w:rPr>
          <w:rFonts w:ascii="Arial" w:hAnsi="Arial" w:cs="Arial"/>
          <w:lang w:val="en-AU"/>
        </w:rPr>
        <w:t xml:space="preserve"> awards of damages being excluded.  Section 40C of the </w:t>
      </w:r>
      <w:r>
        <w:rPr>
          <w:rFonts w:ascii="Arial" w:hAnsi="Arial" w:cs="Arial"/>
          <w:i/>
          <w:lang w:val="en-AU"/>
        </w:rPr>
        <w:t xml:space="preserve">Human Rights Act 2004 </w:t>
      </w:r>
      <w:r>
        <w:rPr>
          <w:rFonts w:ascii="Arial" w:hAnsi="Arial" w:cs="Arial"/>
          <w:lang w:val="en-AU"/>
        </w:rPr>
        <w:t>(ACT) provides:</w:t>
      </w:r>
    </w:p>
    <w:p w14:paraId="17885FF0" w14:textId="24ABC0D3" w:rsidR="00930A48" w:rsidRPr="001E4D12" w:rsidRDefault="00930A48" w:rsidP="001E4D12">
      <w:pPr>
        <w:spacing w:before="120" w:after="120" w:line="276" w:lineRule="auto"/>
        <w:ind w:left="992" w:right="1412"/>
        <w:rPr>
          <w:rFonts w:ascii="Arial" w:hAnsi="Arial" w:cs="Arial"/>
          <w:b/>
          <w:sz w:val="22"/>
          <w:szCs w:val="22"/>
          <w:lang w:val="en-AU"/>
        </w:rPr>
      </w:pPr>
      <w:r w:rsidRPr="001E4D12">
        <w:rPr>
          <w:rFonts w:ascii="Arial" w:hAnsi="Arial" w:cs="Arial"/>
          <w:b/>
          <w:sz w:val="22"/>
          <w:szCs w:val="22"/>
          <w:lang w:val="en-AU"/>
        </w:rPr>
        <w:t>Legal proceedings in relation to public authority actions</w:t>
      </w:r>
    </w:p>
    <w:p w14:paraId="6C1114E6" w14:textId="476875E9" w:rsidR="00552285" w:rsidRPr="001E4D12" w:rsidRDefault="00552285" w:rsidP="001E4D12">
      <w:pPr>
        <w:pStyle w:val="ListParagraph"/>
        <w:numPr>
          <w:ilvl w:val="1"/>
          <w:numId w:val="4"/>
        </w:numPr>
        <w:spacing w:before="120" w:after="120"/>
        <w:ind w:left="1434" w:right="1412" w:hanging="357"/>
        <w:contextualSpacing w:val="0"/>
        <w:rPr>
          <w:rFonts w:ascii="Arial" w:hAnsi="Arial" w:cs="Arial"/>
          <w:sz w:val="22"/>
          <w:szCs w:val="22"/>
          <w:lang w:val="en-AU"/>
        </w:rPr>
      </w:pPr>
      <w:r>
        <w:rPr>
          <w:rFonts w:ascii="Arial" w:hAnsi="Arial" w:cs="Arial"/>
          <w:sz w:val="22"/>
          <w:szCs w:val="22"/>
          <w:lang w:val="en-AU"/>
        </w:rPr>
        <w:t xml:space="preserve"> </w:t>
      </w:r>
      <w:r w:rsidRPr="001E4D12">
        <w:rPr>
          <w:rFonts w:ascii="Arial" w:hAnsi="Arial" w:cs="Arial"/>
          <w:sz w:val="22"/>
          <w:szCs w:val="22"/>
          <w:lang w:val="en-AU"/>
        </w:rPr>
        <w:t>This section applies if a person —</w:t>
      </w:r>
    </w:p>
    <w:p w14:paraId="64C3541A" w14:textId="3DCCF830" w:rsidR="00552285" w:rsidRDefault="00552285" w:rsidP="001E4D12">
      <w:pPr>
        <w:pStyle w:val="ListParagraph"/>
        <w:numPr>
          <w:ilvl w:val="2"/>
          <w:numId w:val="4"/>
        </w:numPr>
        <w:spacing w:before="120" w:after="120"/>
        <w:ind w:left="1985" w:right="1412" w:hanging="425"/>
        <w:contextualSpacing w:val="0"/>
        <w:rPr>
          <w:rFonts w:ascii="Arial" w:hAnsi="Arial" w:cs="Arial"/>
          <w:sz w:val="22"/>
          <w:szCs w:val="22"/>
          <w:lang w:val="en-AU"/>
        </w:rPr>
      </w:pPr>
      <w:r>
        <w:rPr>
          <w:rFonts w:ascii="Arial" w:hAnsi="Arial" w:cs="Arial"/>
          <w:sz w:val="22"/>
          <w:szCs w:val="22"/>
          <w:lang w:val="en-AU"/>
        </w:rPr>
        <w:t>claims that a public authority has acted in contravention of section 40B; and</w:t>
      </w:r>
    </w:p>
    <w:p w14:paraId="7B5A1BDC" w14:textId="385BC900" w:rsidR="00552285" w:rsidRDefault="00552285" w:rsidP="001E4D12">
      <w:pPr>
        <w:pStyle w:val="ListParagraph"/>
        <w:numPr>
          <w:ilvl w:val="2"/>
          <w:numId w:val="4"/>
        </w:numPr>
        <w:spacing w:before="120" w:after="120"/>
        <w:ind w:left="1985" w:right="1412" w:hanging="425"/>
        <w:contextualSpacing w:val="0"/>
        <w:rPr>
          <w:rFonts w:ascii="Arial" w:hAnsi="Arial" w:cs="Arial"/>
          <w:sz w:val="22"/>
          <w:szCs w:val="22"/>
          <w:lang w:val="en-AU"/>
        </w:rPr>
      </w:pPr>
      <w:r>
        <w:rPr>
          <w:rFonts w:ascii="Arial" w:hAnsi="Arial" w:cs="Arial"/>
          <w:sz w:val="22"/>
          <w:szCs w:val="22"/>
          <w:lang w:val="en-AU"/>
        </w:rPr>
        <w:t>alleges that the person is or would be a victim of the contravention.</w:t>
      </w:r>
    </w:p>
    <w:p w14:paraId="343AE43C" w14:textId="77C2DB71" w:rsidR="00552285" w:rsidRDefault="00552285" w:rsidP="001E4D12">
      <w:pPr>
        <w:pStyle w:val="ListParagraph"/>
        <w:numPr>
          <w:ilvl w:val="1"/>
          <w:numId w:val="4"/>
        </w:numPr>
        <w:spacing w:before="120" w:after="120"/>
        <w:ind w:right="1412"/>
        <w:contextualSpacing w:val="0"/>
        <w:rPr>
          <w:rFonts w:ascii="Arial" w:hAnsi="Arial" w:cs="Arial"/>
          <w:sz w:val="22"/>
          <w:szCs w:val="22"/>
          <w:lang w:val="en-AU"/>
        </w:rPr>
      </w:pPr>
      <w:r>
        <w:rPr>
          <w:rFonts w:ascii="Arial" w:hAnsi="Arial" w:cs="Arial"/>
          <w:sz w:val="22"/>
          <w:szCs w:val="22"/>
          <w:lang w:val="en-AU"/>
        </w:rPr>
        <w:t xml:space="preserve"> The person may—</w:t>
      </w:r>
    </w:p>
    <w:p w14:paraId="09696ED2" w14:textId="46DE267D" w:rsidR="00552285" w:rsidRDefault="00552285" w:rsidP="001E4D12">
      <w:pPr>
        <w:pStyle w:val="ListParagraph"/>
        <w:numPr>
          <w:ilvl w:val="2"/>
          <w:numId w:val="4"/>
        </w:numPr>
        <w:spacing w:before="120" w:after="120"/>
        <w:ind w:left="1985" w:right="1412" w:hanging="425"/>
        <w:contextualSpacing w:val="0"/>
        <w:rPr>
          <w:rFonts w:ascii="Arial" w:hAnsi="Arial" w:cs="Arial"/>
          <w:sz w:val="22"/>
          <w:szCs w:val="22"/>
          <w:lang w:val="en-AU"/>
        </w:rPr>
      </w:pPr>
      <w:r>
        <w:rPr>
          <w:rFonts w:ascii="Arial" w:hAnsi="Arial" w:cs="Arial"/>
          <w:sz w:val="22"/>
          <w:szCs w:val="22"/>
          <w:lang w:val="en-AU"/>
        </w:rPr>
        <w:t>start a proceeding in the Supreme Court against the public authority; or</w:t>
      </w:r>
    </w:p>
    <w:p w14:paraId="7697085C" w14:textId="2F5BFD0F" w:rsidR="00552285" w:rsidRDefault="00552285" w:rsidP="001E4D12">
      <w:pPr>
        <w:pStyle w:val="ListParagraph"/>
        <w:numPr>
          <w:ilvl w:val="2"/>
          <w:numId w:val="4"/>
        </w:numPr>
        <w:spacing w:before="120" w:after="120"/>
        <w:ind w:left="1985" w:right="1412" w:hanging="425"/>
        <w:contextualSpacing w:val="0"/>
        <w:rPr>
          <w:rFonts w:ascii="Arial" w:hAnsi="Arial" w:cs="Arial"/>
          <w:sz w:val="22"/>
          <w:szCs w:val="22"/>
          <w:lang w:val="en-AU"/>
        </w:rPr>
      </w:pPr>
      <w:r>
        <w:rPr>
          <w:rFonts w:ascii="Arial" w:hAnsi="Arial" w:cs="Arial"/>
          <w:sz w:val="22"/>
          <w:szCs w:val="22"/>
          <w:lang w:val="en-AU"/>
        </w:rPr>
        <w:t>rely on the person’s rights under this Act in other legal proceedings.</w:t>
      </w:r>
    </w:p>
    <w:p w14:paraId="7707ECDB" w14:textId="3AC85921" w:rsidR="00552285" w:rsidRDefault="00552285" w:rsidP="001E4D12">
      <w:pPr>
        <w:pStyle w:val="ListParagraph"/>
        <w:numPr>
          <w:ilvl w:val="1"/>
          <w:numId w:val="4"/>
        </w:numPr>
        <w:spacing w:before="120" w:after="120"/>
        <w:ind w:left="1560" w:right="1412" w:hanging="483"/>
        <w:contextualSpacing w:val="0"/>
        <w:rPr>
          <w:rFonts w:ascii="Arial" w:hAnsi="Arial" w:cs="Arial"/>
          <w:sz w:val="22"/>
          <w:szCs w:val="22"/>
          <w:lang w:val="en-AU"/>
        </w:rPr>
      </w:pPr>
      <w:r>
        <w:rPr>
          <w:rFonts w:ascii="Arial" w:hAnsi="Arial" w:cs="Arial"/>
          <w:sz w:val="22"/>
          <w:szCs w:val="22"/>
          <w:lang w:val="en-AU"/>
        </w:rPr>
        <w:t>A proceeding under subsection (2)(a) must be started not later than 1 year after the day (or last day) the act complained of happens, unless a court orders otherwise.</w:t>
      </w:r>
    </w:p>
    <w:p w14:paraId="72D137AE" w14:textId="70F50EFC" w:rsidR="00552285" w:rsidRDefault="00552285" w:rsidP="001E4D12">
      <w:pPr>
        <w:pStyle w:val="ListParagraph"/>
        <w:numPr>
          <w:ilvl w:val="1"/>
          <w:numId w:val="4"/>
        </w:numPr>
        <w:spacing w:before="120" w:after="120"/>
        <w:ind w:left="1560" w:right="1412" w:hanging="483"/>
        <w:contextualSpacing w:val="0"/>
        <w:rPr>
          <w:rFonts w:ascii="Arial" w:hAnsi="Arial" w:cs="Arial"/>
          <w:sz w:val="22"/>
          <w:szCs w:val="22"/>
          <w:lang w:val="en-AU"/>
        </w:rPr>
      </w:pPr>
      <w:r>
        <w:rPr>
          <w:rFonts w:ascii="Arial" w:hAnsi="Arial" w:cs="Arial"/>
          <w:sz w:val="22"/>
          <w:szCs w:val="22"/>
          <w:lang w:val="en-AU"/>
        </w:rPr>
        <w:t>The Supreme Court may, in a proceeding under subsection (2), grant the relief it considers appropriate except damages.</w:t>
      </w:r>
    </w:p>
    <w:p w14:paraId="637132BE" w14:textId="26DDB0BB" w:rsidR="00552285" w:rsidRDefault="00552285" w:rsidP="001E4D12">
      <w:pPr>
        <w:pStyle w:val="ListParagraph"/>
        <w:numPr>
          <w:ilvl w:val="1"/>
          <w:numId w:val="4"/>
        </w:numPr>
        <w:spacing w:before="120" w:after="120"/>
        <w:ind w:left="1434" w:right="1412" w:hanging="357"/>
        <w:contextualSpacing w:val="0"/>
        <w:rPr>
          <w:rFonts w:ascii="Arial" w:hAnsi="Arial" w:cs="Arial"/>
          <w:sz w:val="22"/>
          <w:szCs w:val="22"/>
          <w:lang w:val="en-AU"/>
        </w:rPr>
      </w:pPr>
      <w:r>
        <w:rPr>
          <w:rFonts w:ascii="Arial" w:hAnsi="Arial" w:cs="Arial"/>
          <w:sz w:val="22"/>
          <w:szCs w:val="22"/>
          <w:lang w:val="en-AU"/>
        </w:rPr>
        <w:t>This section does not affect—</w:t>
      </w:r>
    </w:p>
    <w:p w14:paraId="21D1ACB5" w14:textId="18D85856" w:rsidR="00552285" w:rsidRDefault="00552285" w:rsidP="001E4D12">
      <w:pPr>
        <w:pStyle w:val="ListParagraph"/>
        <w:numPr>
          <w:ilvl w:val="2"/>
          <w:numId w:val="4"/>
        </w:numPr>
        <w:spacing w:before="120" w:after="120"/>
        <w:ind w:left="1985" w:right="1412" w:hanging="425"/>
        <w:contextualSpacing w:val="0"/>
        <w:rPr>
          <w:rFonts w:ascii="Arial" w:hAnsi="Arial" w:cs="Arial"/>
          <w:sz w:val="22"/>
          <w:szCs w:val="22"/>
          <w:lang w:val="en-AU"/>
        </w:rPr>
      </w:pPr>
      <w:r>
        <w:rPr>
          <w:rFonts w:ascii="Arial" w:hAnsi="Arial" w:cs="Arial"/>
          <w:sz w:val="22"/>
          <w:szCs w:val="22"/>
          <w:lang w:val="en-AU"/>
        </w:rPr>
        <w:t>a right a person has (otherwise than because of this Act) to seek relief in relation to an act or decision of a public authority; or</w:t>
      </w:r>
    </w:p>
    <w:p w14:paraId="3EC1A605" w14:textId="7F71D109" w:rsidR="00552285" w:rsidRDefault="00552285" w:rsidP="001E4D12">
      <w:pPr>
        <w:pStyle w:val="ListParagraph"/>
        <w:numPr>
          <w:ilvl w:val="2"/>
          <w:numId w:val="4"/>
        </w:numPr>
        <w:spacing w:before="120" w:after="120"/>
        <w:ind w:left="1985" w:right="1412" w:hanging="425"/>
        <w:contextualSpacing w:val="0"/>
        <w:rPr>
          <w:rFonts w:ascii="Arial" w:hAnsi="Arial" w:cs="Arial"/>
          <w:sz w:val="22"/>
          <w:szCs w:val="22"/>
          <w:lang w:val="en-AU"/>
        </w:rPr>
      </w:pPr>
      <w:r>
        <w:rPr>
          <w:rFonts w:ascii="Arial" w:hAnsi="Arial" w:cs="Arial"/>
          <w:sz w:val="22"/>
          <w:szCs w:val="22"/>
          <w:lang w:val="en-AU"/>
        </w:rPr>
        <w:t>a right a person has to damages (apart from this section).</w:t>
      </w:r>
    </w:p>
    <w:p w14:paraId="4C6D4B6B" w14:textId="58B57CF8" w:rsidR="00552285" w:rsidRDefault="00552285" w:rsidP="001E4D12">
      <w:pPr>
        <w:spacing w:before="120" w:after="120"/>
        <w:ind w:left="1560" w:right="1412"/>
        <w:rPr>
          <w:rFonts w:ascii="Arial" w:hAnsi="Arial" w:cs="Arial"/>
          <w:sz w:val="22"/>
          <w:szCs w:val="22"/>
          <w:lang w:val="en-AU"/>
        </w:rPr>
      </w:pPr>
      <w:r>
        <w:rPr>
          <w:rFonts w:ascii="Arial" w:hAnsi="Arial" w:cs="Arial"/>
          <w:i/>
          <w:sz w:val="22"/>
          <w:szCs w:val="22"/>
          <w:lang w:val="en-AU"/>
        </w:rPr>
        <w:t xml:space="preserve">Note  </w:t>
      </w:r>
      <w:r>
        <w:rPr>
          <w:rFonts w:ascii="Arial" w:hAnsi="Arial" w:cs="Arial"/>
          <w:sz w:val="22"/>
          <w:szCs w:val="22"/>
          <w:lang w:val="en-AU"/>
        </w:rPr>
        <w:t>See also s18(7) and s23.</w:t>
      </w:r>
    </w:p>
    <w:p w14:paraId="4588084A" w14:textId="4C026F28" w:rsidR="00552285" w:rsidRDefault="00552285" w:rsidP="001E4D12">
      <w:pPr>
        <w:pStyle w:val="ListParagraph"/>
        <w:numPr>
          <w:ilvl w:val="1"/>
          <w:numId w:val="4"/>
        </w:numPr>
        <w:spacing w:before="120" w:after="120"/>
        <w:ind w:left="1559" w:right="1412" w:hanging="482"/>
        <w:contextualSpacing w:val="0"/>
        <w:rPr>
          <w:rFonts w:ascii="Arial" w:hAnsi="Arial" w:cs="Arial"/>
          <w:sz w:val="22"/>
          <w:szCs w:val="22"/>
          <w:lang w:val="en-AU"/>
        </w:rPr>
      </w:pPr>
      <w:r>
        <w:rPr>
          <w:rFonts w:ascii="Arial" w:hAnsi="Arial" w:cs="Arial"/>
          <w:sz w:val="22"/>
          <w:szCs w:val="22"/>
          <w:lang w:val="en-AU"/>
        </w:rPr>
        <w:t>In this section:</w:t>
      </w:r>
    </w:p>
    <w:p w14:paraId="018BC187" w14:textId="1A75E41B" w:rsidR="00D60678" w:rsidRPr="001E4D12" w:rsidRDefault="00552285" w:rsidP="001E4D12">
      <w:pPr>
        <w:spacing w:before="120" w:after="240"/>
        <w:ind w:left="1559" w:right="1412"/>
        <w:rPr>
          <w:rFonts w:ascii="Arial" w:hAnsi="Arial" w:cs="Arial"/>
          <w:sz w:val="22"/>
          <w:szCs w:val="22"/>
          <w:lang w:val="en-AU"/>
        </w:rPr>
      </w:pPr>
      <w:r>
        <w:rPr>
          <w:rFonts w:ascii="Arial" w:hAnsi="Arial" w:cs="Arial"/>
          <w:sz w:val="22"/>
          <w:szCs w:val="22"/>
          <w:lang w:val="en-AU"/>
        </w:rPr>
        <w:t>‘public authority’ includes an entity for whom a declaration</w:t>
      </w:r>
      <w:r w:rsidR="001E4D12">
        <w:rPr>
          <w:rFonts w:ascii="Arial" w:hAnsi="Arial" w:cs="Arial"/>
          <w:sz w:val="22"/>
          <w:szCs w:val="22"/>
          <w:lang w:val="en-AU"/>
        </w:rPr>
        <w:t xml:space="preserve"> is in force under section 40D.</w:t>
      </w:r>
    </w:p>
    <w:p w14:paraId="36FDD7BA" w14:textId="2F0FE694" w:rsidR="00552285" w:rsidRPr="001E4D12" w:rsidRDefault="00F768A5" w:rsidP="001E4D12">
      <w:pPr>
        <w:pStyle w:val="Heading2"/>
        <w:rPr>
          <w:lang w:val="en-AU"/>
        </w:rPr>
      </w:pPr>
      <w:bookmarkStart w:id="10" w:name="_Toc530987087"/>
      <w:r>
        <w:rPr>
          <w:lang w:val="en-AU"/>
        </w:rPr>
        <w:t>Dispute resolution process</w:t>
      </w:r>
      <w:bookmarkEnd w:id="10"/>
    </w:p>
    <w:p w14:paraId="16DE1E68" w14:textId="21F68F82" w:rsidR="003414E2" w:rsidRDefault="003414E2" w:rsidP="008F726C">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Unlike the Victorian </w:t>
      </w:r>
      <w:r w:rsidRPr="003414E2">
        <w:rPr>
          <w:rFonts w:ascii="Arial" w:hAnsi="Arial" w:cs="Arial"/>
          <w:i/>
          <w:lang w:val="en-AU"/>
        </w:rPr>
        <w:t>Charter</w:t>
      </w:r>
      <w:r>
        <w:rPr>
          <w:rFonts w:ascii="Arial" w:hAnsi="Arial" w:cs="Arial"/>
          <w:lang w:val="en-AU"/>
        </w:rPr>
        <w:t xml:space="preserve">, </w:t>
      </w:r>
      <w:r w:rsidR="00D45B3D">
        <w:rPr>
          <w:rFonts w:ascii="Arial" w:hAnsi="Arial" w:cs="Arial"/>
          <w:lang w:val="en-AU"/>
        </w:rPr>
        <w:t xml:space="preserve">the Bill includes a dispute resolution process for complaints that a public entity has contravened clause 58 in relation to </w:t>
      </w:r>
      <w:r w:rsidR="00D45B3D">
        <w:rPr>
          <w:rFonts w:ascii="Arial" w:hAnsi="Arial" w:cs="Arial"/>
          <w:lang w:val="en-AU"/>
        </w:rPr>
        <w:lastRenderedPageBreak/>
        <w:t xml:space="preserve">an act or decision.  </w:t>
      </w:r>
      <w:r w:rsidR="000E4065">
        <w:rPr>
          <w:rFonts w:ascii="Arial" w:hAnsi="Arial" w:cs="Arial"/>
          <w:lang w:val="en-AU"/>
        </w:rPr>
        <w:t xml:space="preserve">A complaint may be made to the Commission, provided a complaint has first been made to the public entity.  </w:t>
      </w:r>
      <w:r w:rsidR="00D45B3D">
        <w:rPr>
          <w:rFonts w:ascii="Arial" w:hAnsi="Arial" w:cs="Arial"/>
          <w:lang w:val="en-AU"/>
        </w:rPr>
        <w:t>The Commission will be able to require the parties to participate in conciliation to try to resolve the complaint.  The dispute resolution process is consistent with a dialogue model as it encourages resolution through discussion.</w:t>
      </w:r>
    </w:p>
    <w:p w14:paraId="15ED5C4F" w14:textId="795E8516" w:rsidR="00D45B3D" w:rsidRDefault="00D45B3D" w:rsidP="008F726C">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Commission will be required to provide reports on both resolved and unresolved human rights complaints, and will be able to publish information about the complaints. </w:t>
      </w:r>
    </w:p>
    <w:p w14:paraId="3A248CDC" w14:textId="369278C2" w:rsidR="00D45B3D" w:rsidRPr="008F726C" w:rsidRDefault="00D45B3D" w:rsidP="008F726C">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Complaints </w:t>
      </w:r>
      <w:r w:rsidR="000E4065">
        <w:rPr>
          <w:rFonts w:ascii="Arial" w:hAnsi="Arial" w:cs="Arial"/>
          <w:lang w:val="en-AU"/>
        </w:rPr>
        <w:t>may</w:t>
      </w:r>
      <w:r>
        <w:rPr>
          <w:rFonts w:ascii="Arial" w:hAnsi="Arial" w:cs="Arial"/>
          <w:lang w:val="en-AU"/>
        </w:rPr>
        <w:t xml:space="preserve"> be transferred to or from other complaint agencies</w:t>
      </w:r>
      <w:r w:rsidR="000E4065">
        <w:rPr>
          <w:rFonts w:ascii="Arial" w:hAnsi="Arial" w:cs="Arial"/>
          <w:lang w:val="en-AU"/>
        </w:rPr>
        <w:t>, and the Commissioner may refuse to deal with a complaint if the complaint has been dealt with appropriately, or if there is a more appropriate course of action available.  The Commissioner must refuse to deal with a complaint it if it frivolous, trivial, vexatious, misconceived or lacking in substance.</w:t>
      </w:r>
    </w:p>
    <w:p w14:paraId="0256B84E" w14:textId="028BB736" w:rsidR="008E2FB8" w:rsidRDefault="008F726C" w:rsidP="008F726C">
      <w:pPr>
        <w:pStyle w:val="Heading1"/>
        <w:rPr>
          <w:lang w:val="en-AU"/>
        </w:rPr>
      </w:pPr>
      <w:bookmarkStart w:id="11" w:name="_Toc530987088"/>
      <w:r>
        <w:rPr>
          <w:lang w:val="en-AU"/>
        </w:rPr>
        <w:t>Reviews</w:t>
      </w:r>
      <w:bookmarkEnd w:id="11"/>
    </w:p>
    <w:p w14:paraId="4553C2F2" w14:textId="40E71E00" w:rsidR="00763604" w:rsidRDefault="009C61D5"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Bill provides for two reviews of the operation of the Act, to be carried out by an independent and appropriately qualified person.  The first review is to happen as soon as practicable after 1 July 2023, and the second review is to happen as soon as practicable after 1 July 2027.</w:t>
      </w:r>
    </w:p>
    <w:p w14:paraId="7D76B0B3" w14:textId="4F52AF0E" w:rsidR="009C61D5" w:rsidRDefault="009C61D5"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terms of reference for the reviews are to be decided by the Attorney-General, however the reviews must include consideration of whether additional human rights should be included, whether further or additional provisions should be made for proceedings and remedies, and the operation of amendments to the </w:t>
      </w:r>
      <w:r w:rsidRPr="009C61D5">
        <w:rPr>
          <w:rFonts w:ascii="Arial" w:hAnsi="Arial" w:cs="Arial"/>
          <w:i/>
          <w:lang w:val="en-AU"/>
        </w:rPr>
        <w:t>Corrective Services Act 2006</w:t>
      </w:r>
      <w:r>
        <w:rPr>
          <w:rFonts w:ascii="Arial" w:hAnsi="Arial" w:cs="Arial"/>
          <w:lang w:val="en-AU"/>
        </w:rPr>
        <w:t xml:space="preserve"> and the </w:t>
      </w:r>
      <w:r w:rsidRPr="009C61D5">
        <w:rPr>
          <w:rFonts w:ascii="Arial" w:hAnsi="Arial" w:cs="Arial"/>
          <w:i/>
          <w:lang w:val="en-AU"/>
        </w:rPr>
        <w:t>Youth Justice Act 1992</w:t>
      </w:r>
      <w:r>
        <w:rPr>
          <w:rFonts w:ascii="Arial" w:hAnsi="Arial" w:cs="Arial"/>
          <w:lang w:val="en-AU"/>
        </w:rPr>
        <w:t xml:space="preserve">. </w:t>
      </w:r>
    </w:p>
    <w:p w14:paraId="32129391" w14:textId="791262E0" w:rsidR="00AB3B3A" w:rsidRDefault="00AB3B3A"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impost on public entities of compliance, and resourc</w:t>
      </w:r>
      <w:r w:rsidR="00D61487">
        <w:rPr>
          <w:rFonts w:ascii="Arial" w:hAnsi="Arial" w:cs="Arial"/>
          <w:lang w:val="en-AU"/>
        </w:rPr>
        <w:t xml:space="preserve">ing generally, </w:t>
      </w:r>
      <w:r w:rsidR="00930A48">
        <w:rPr>
          <w:rFonts w:ascii="Arial" w:hAnsi="Arial" w:cs="Arial"/>
          <w:lang w:val="en-AU"/>
        </w:rPr>
        <w:t xml:space="preserve">are </w:t>
      </w:r>
      <w:r w:rsidR="00D61487">
        <w:rPr>
          <w:rFonts w:ascii="Arial" w:hAnsi="Arial" w:cs="Arial"/>
          <w:lang w:val="en-AU"/>
        </w:rPr>
        <w:t>important matters that should be included in the mandatory items to be considered in the review.  The Commission recommends including resourcing in clause 95(4) of the Bill.</w:t>
      </w:r>
    </w:p>
    <w:p w14:paraId="03A03669" w14:textId="6F6D0C4A" w:rsidR="00CD03D5" w:rsidRDefault="00CD03D5"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As noted above, clause 95(4) should also include consideration of whether additional rights under the Declaration of </w:t>
      </w:r>
      <w:r w:rsidR="001830F7">
        <w:rPr>
          <w:rFonts w:ascii="Arial" w:hAnsi="Arial" w:cs="Arial"/>
          <w:lang w:val="en-AU"/>
        </w:rPr>
        <w:t xml:space="preserve">the </w:t>
      </w:r>
      <w:r>
        <w:rPr>
          <w:rFonts w:ascii="Arial" w:hAnsi="Arial" w:cs="Arial"/>
          <w:lang w:val="en-AU"/>
        </w:rPr>
        <w:t>Rights of Indigenous People should be included in the Act.</w:t>
      </w:r>
    </w:p>
    <w:p w14:paraId="7E7E1CF6" w14:textId="77777777" w:rsidR="001E3A26" w:rsidRPr="00C35743" w:rsidRDefault="001E3A26" w:rsidP="00284FF0">
      <w:pPr>
        <w:pStyle w:val="Heading1"/>
        <w:rPr>
          <w:lang w:val="en-AU"/>
        </w:rPr>
      </w:pPr>
      <w:bookmarkStart w:id="12" w:name="_Toc530987089"/>
      <w:r w:rsidRPr="00C35743">
        <w:rPr>
          <w:lang w:val="en-AU"/>
        </w:rPr>
        <w:t>Conclusion</w:t>
      </w:r>
      <w:bookmarkEnd w:id="12"/>
    </w:p>
    <w:p w14:paraId="472A1722" w14:textId="459AC3F6" w:rsidR="001E3A26" w:rsidRDefault="00FA5C8F"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All Queenslanders will benefit from </w:t>
      </w:r>
      <w:r w:rsidR="00930A48">
        <w:rPr>
          <w:rFonts w:ascii="Arial" w:hAnsi="Arial" w:cs="Arial"/>
          <w:lang w:val="en-AU"/>
        </w:rPr>
        <w:t xml:space="preserve">the effective </w:t>
      </w:r>
      <w:r>
        <w:rPr>
          <w:rFonts w:ascii="Arial" w:hAnsi="Arial" w:cs="Arial"/>
          <w:lang w:val="en-AU"/>
        </w:rPr>
        <w:t>operation of a Human Rights Act.  The three arms of government will develop a better understan</w:t>
      </w:r>
      <w:r w:rsidR="009B6681">
        <w:rPr>
          <w:rFonts w:ascii="Arial" w:hAnsi="Arial" w:cs="Arial"/>
          <w:lang w:val="en-AU"/>
        </w:rPr>
        <w:t>ding of the rights and freedoms</w:t>
      </w:r>
      <w:r>
        <w:rPr>
          <w:rFonts w:ascii="Arial" w:hAnsi="Arial" w:cs="Arial"/>
          <w:lang w:val="en-AU"/>
        </w:rPr>
        <w:t xml:space="preserve"> of individuals, and laws will </w:t>
      </w:r>
      <w:r w:rsidR="00930A48">
        <w:rPr>
          <w:rFonts w:ascii="Arial" w:hAnsi="Arial" w:cs="Arial"/>
          <w:lang w:val="en-AU"/>
        </w:rPr>
        <w:t xml:space="preserve">be </w:t>
      </w:r>
      <w:r>
        <w:rPr>
          <w:rFonts w:ascii="Arial" w:hAnsi="Arial" w:cs="Arial"/>
          <w:lang w:val="en-AU"/>
        </w:rPr>
        <w:t>made, interpreted and administered through a prism of human rights.  The benefits include greater transparency and accountability.</w:t>
      </w:r>
    </w:p>
    <w:p w14:paraId="49D027C7" w14:textId="7A6CE87C" w:rsidR="00FA5C8F" w:rsidRPr="00C35743" w:rsidRDefault="00FA5C8F"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lastRenderedPageBreak/>
        <w:t>The lives of the more vulnerable Queenslanders will be improved through better service delivery, which in turn will benefit the community as a whole.</w:t>
      </w:r>
    </w:p>
    <w:p w14:paraId="34C6404E" w14:textId="77777777" w:rsidR="001E3A26" w:rsidRPr="00C35743" w:rsidRDefault="001E3A26" w:rsidP="00284FF0">
      <w:pPr>
        <w:pStyle w:val="Heading1"/>
        <w:rPr>
          <w:lang w:val="en-AU"/>
        </w:rPr>
      </w:pPr>
      <w:bookmarkStart w:id="13" w:name="_Toc530987090"/>
      <w:r w:rsidRPr="00C35743">
        <w:rPr>
          <w:lang w:val="en-AU"/>
        </w:rPr>
        <w:t>Recommendations</w:t>
      </w:r>
      <w:bookmarkEnd w:id="13"/>
      <w:r w:rsidRPr="00C35743">
        <w:rPr>
          <w:lang w:val="en-AU"/>
        </w:rPr>
        <w:t xml:space="preserve"> </w:t>
      </w:r>
    </w:p>
    <w:p w14:paraId="347D4FF6" w14:textId="052CB1AF" w:rsidR="00ED0709" w:rsidRDefault="00827429" w:rsidP="00F569B8">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The Commission recommends that:</w:t>
      </w:r>
    </w:p>
    <w:p w14:paraId="6B9B2060" w14:textId="6FE8510A" w:rsidR="00827429" w:rsidRDefault="001047FB" w:rsidP="00F569B8">
      <w:pPr>
        <w:pStyle w:val="ListParagraph"/>
        <w:numPr>
          <w:ilvl w:val="1"/>
          <w:numId w:val="4"/>
        </w:numPr>
        <w:spacing w:before="120" w:after="120" w:line="276" w:lineRule="auto"/>
        <w:ind w:hanging="589"/>
        <w:contextualSpacing w:val="0"/>
        <w:rPr>
          <w:rFonts w:ascii="Arial" w:hAnsi="Arial" w:cs="Arial"/>
          <w:lang w:val="en-AU"/>
        </w:rPr>
      </w:pPr>
      <w:r>
        <w:rPr>
          <w:rFonts w:ascii="Arial" w:hAnsi="Arial" w:cs="Arial"/>
          <w:lang w:val="en-AU"/>
        </w:rPr>
        <w:t>The Bill be amended as follows</w:t>
      </w:r>
      <w:r w:rsidR="00827429">
        <w:rPr>
          <w:rFonts w:ascii="Arial" w:hAnsi="Arial" w:cs="Arial"/>
          <w:lang w:val="en-AU"/>
        </w:rPr>
        <w:t>:</w:t>
      </w:r>
    </w:p>
    <w:p w14:paraId="41F4BFFA" w14:textId="12193635" w:rsidR="00FB4C6B" w:rsidRDefault="00FB4C6B" w:rsidP="00F569B8">
      <w:pPr>
        <w:pStyle w:val="ListParagraph"/>
        <w:numPr>
          <w:ilvl w:val="2"/>
          <w:numId w:val="4"/>
        </w:numPr>
        <w:spacing w:before="120" w:after="120" w:line="276" w:lineRule="auto"/>
        <w:ind w:hanging="459"/>
        <w:contextualSpacing w:val="0"/>
        <w:rPr>
          <w:rFonts w:ascii="Arial" w:hAnsi="Arial" w:cs="Arial"/>
          <w:lang w:val="en-AU"/>
        </w:rPr>
      </w:pPr>
      <w:r>
        <w:rPr>
          <w:rFonts w:ascii="Arial" w:hAnsi="Arial" w:cs="Arial"/>
          <w:lang w:val="en-AU"/>
        </w:rPr>
        <w:t xml:space="preserve">Provide for the amendment of the </w:t>
      </w:r>
      <w:r>
        <w:rPr>
          <w:rFonts w:ascii="Arial" w:hAnsi="Arial" w:cs="Arial"/>
          <w:i/>
          <w:lang w:val="en-AU"/>
        </w:rPr>
        <w:t>Legislative Standards Act 1992</w:t>
      </w:r>
      <w:r>
        <w:rPr>
          <w:rFonts w:ascii="Arial" w:hAnsi="Arial" w:cs="Arial"/>
          <w:lang w:val="en-AU"/>
        </w:rPr>
        <w:t xml:space="preserve"> to give the Office of the Queensland Parliamentary Counsel the specific functions of:</w:t>
      </w:r>
    </w:p>
    <w:p w14:paraId="6C415349" w14:textId="383F88AC" w:rsidR="00FB4C6B" w:rsidRDefault="00FB4C6B" w:rsidP="00FB4C6B">
      <w:pPr>
        <w:pStyle w:val="ListParagraph"/>
        <w:numPr>
          <w:ilvl w:val="3"/>
          <w:numId w:val="4"/>
        </w:numPr>
        <w:spacing w:before="120" w:after="120" w:line="276" w:lineRule="auto"/>
        <w:ind w:left="2835" w:hanging="315"/>
        <w:contextualSpacing w:val="0"/>
        <w:rPr>
          <w:rFonts w:ascii="Arial" w:hAnsi="Arial" w:cs="Arial"/>
          <w:lang w:val="en-AU"/>
        </w:rPr>
      </w:pPr>
      <w:r>
        <w:rPr>
          <w:rFonts w:ascii="Arial" w:hAnsi="Arial" w:cs="Arial"/>
          <w:lang w:val="en-AU"/>
        </w:rPr>
        <w:t>providing advice to Ministers, Members, and government</w:t>
      </w:r>
      <w:r w:rsidR="006B01C8">
        <w:rPr>
          <w:rFonts w:ascii="Arial" w:hAnsi="Arial" w:cs="Arial"/>
          <w:lang w:val="en-AU"/>
        </w:rPr>
        <w:t xml:space="preserve"> entities on human rights and compatibility of human rights under the Human Rights Act; and</w:t>
      </w:r>
    </w:p>
    <w:p w14:paraId="786B0F83" w14:textId="1D15BE44" w:rsidR="006B01C8" w:rsidRDefault="006B01C8" w:rsidP="00FB4C6B">
      <w:pPr>
        <w:pStyle w:val="ListParagraph"/>
        <w:numPr>
          <w:ilvl w:val="3"/>
          <w:numId w:val="4"/>
        </w:numPr>
        <w:spacing w:before="120" w:after="120" w:line="276" w:lineRule="auto"/>
        <w:ind w:left="2835" w:hanging="315"/>
        <w:contextualSpacing w:val="0"/>
        <w:rPr>
          <w:rFonts w:ascii="Arial" w:hAnsi="Arial" w:cs="Arial"/>
          <w:lang w:val="en-AU"/>
        </w:rPr>
      </w:pPr>
      <w:r>
        <w:rPr>
          <w:rFonts w:ascii="Arial" w:hAnsi="Arial" w:cs="Arial"/>
          <w:lang w:val="en-AU"/>
        </w:rPr>
        <w:t>recording and publishing, and making access in electronic form, to details of all override declarations made under the Human Rights Act.</w:t>
      </w:r>
    </w:p>
    <w:p w14:paraId="578B4571" w14:textId="499A680E" w:rsidR="00827429" w:rsidRDefault="00827429" w:rsidP="00F569B8">
      <w:pPr>
        <w:pStyle w:val="ListParagraph"/>
        <w:numPr>
          <w:ilvl w:val="2"/>
          <w:numId w:val="4"/>
        </w:numPr>
        <w:spacing w:before="120" w:after="120" w:line="276" w:lineRule="auto"/>
        <w:ind w:hanging="459"/>
        <w:contextualSpacing w:val="0"/>
        <w:rPr>
          <w:rFonts w:ascii="Arial" w:hAnsi="Arial" w:cs="Arial"/>
          <w:lang w:val="en-AU"/>
        </w:rPr>
      </w:pPr>
      <w:r>
        <w:rPr>
          <w:rFonts w:ascii="Arial" w:hAnsi="Arial" w:cs="Arial"/>
          <w:lang w:val="en-AU"/>
        </w:rPr>
        <w:t>In clause 5</w:t>
      </w:r>
      <w:r w:rsidR="007B2B0E">
        <w:rPr>
          <w:rFonts w:ascii="Arial" w:hAnsi="Arial" w:cs="Arial"/>
          <w:lang w:val="en-AU"/>
        </w:rPr>
        <w:t xml:space="preserve">9, </w:t>
      </w:r>
      <w:r w:rsidR="001F0C31">
        <w:rPr>
          <w:rFonts w:ascii="Arial" w:hAnsi="Arial" w:cs="Arial"/>
          <w:lang w:val="en-AU"/>
        </w:rPr>
        <w:t>remove the restriction on</w:t>
      </w:r>
      <w:r w:rsidR="007B2B0E">
        <w:rPr>
          <w:rFonts w:ascii="Arial" w:hAnsi="Arial" w:cs="Arial"/>
          <w:lang w:val="en-AU"/>
        </w:rPr>
        <w:t xml:space="preserve"> applications under the </w:t>
      </w:r>
      <w:r w:rsidR="007B2B0E" w:rsidRPr="00FA7D84">
        <w:rPr>
          <w:rFonts w:ascii="Arial" w:hAnsi="Arial" w:cs="Arial"/>
          <w:i/>
          <w:lang w:val="en-AU"/>
        </w:rPr>
        <w:t>Judicial Review Act 1991</w:t>
      </w:r>
      <w:r w:rsidR="007B2B0E">
        <w:rPr>
          <w:rFonts w:ascii="Arial" w:hAnsi="Arial" w:cs="Arial"/>
          <w:lang w:val="en-AU"/>
        </w:rPr>
        <w:t xml:space="preserve"> </w:t>
      </w:r>
      <w:r w:rsidR="001F0C31">
        <w:rPr>
          <w:rFonts w:ascii="Arial" w:hAnsi="Arial" w:cs="Arial"/>
          <w:lang w:val="en-AU"/>
        </w:rPr>
        <w:t>to allow the</w:t>
      </w:r>
      <w:r w:rsidR="007B2B0E">
        <w:rPr>
          <w:rFonts w:ascii="Arial" w:hAnsi="Arial" w:cs="Arial"/>
          <w:lang w:val="en-AU"/>
        </w:rPr>
        <w:t xml:space="preserve"> ground of </w:t>
      </w:r>
      <w:r w:rsidR="001F0C31">
        <w:rPr>
          <w:rFonts w:ascii="Arial" w:hAnsi="Arial" w:cs="Arial"/>
          <w:lang w:val="en-AU"/>
        </w:rPr>
        <w:t>unlawfulness under</w:t>
      </w:r>
      <w:r w:rsidR="007B2B0E">
        <w:rPr>
          <w:rFonts w:ascii="Arial" w:hAnsi="Arial" w:cs="Arial"/>
          <w:lang w:val="en-AU"/>
        </w:rPr>
        <w:t xml:space="preserve"> clause 58</w:t>
      </w:r>
      <w:r w:rsidR="001F0C31">
        <w:rPr>
          <w:rFonts w:ascii="Arial" w:hAnsi="Arial" w:cs="Arial"/>
          <w:lang w:val="en-AU"/>
        </w:rPr>
        <w:t xml:space="preserve"> as a sole ground</w:t>
      </w:r>
      <w:r>
        <w:rPr>
          <w:rFonts w:ascii="Arial" w:hAnsi="Arial" w:cs="Arial"/>
          <w:lang w:val="en-AU"/>
        </w:rPr>
        <w:t xml:space="preserve">; </w:t>
      </w:r>
    </w:p>
    <w:p w14:paraId="72AEEDB7" w14:textId="77777777" w:rsidR="007B5EBA" w:rsidRDefault="00D61487" w:rsidP="00F569B8">
      <w:pPr>
        <w:pStyle w:val="ListParagraph"/>
        <w:numPr>
          <w:ilvl w:val="2"/>
          <w:numId w:val="4"/>
        </w:numPr>
        <w:spacing w:before="120" w:after="120" w:line="276" w:lineRule="auto"/>
        <w:ind w:hanging="459"/>
        <w:contextualSpacing w:val="0"/>
        <w:rPr>
          <w:rFonts w:ascii="Arial" w:hAnsi="Arial" w:cs="Arial"/>
          <w:lang w:val="en-AU"/>
        </w:rPr>
      </w:pPr>
      <w:r>
        <w:rPr>
          <w:rFonts w:ascii="Arial" w:hAnsi="Arial" w:cs="Arial"/>
          <w:lang w:val="en-AU"/>
        </w:rPr>
        <w:t>Include resourcing in clause 95(4) of the Bill</w:t>
      </w:r>
      <w:r w:rsidR="008F27D1">
        <w:rPr>
          <w:rFonts w:ascii="Arial" w:hAnsi="Arial" w:cs="Arial"/>
          <w:lang w:val="en-AU"/>
        </w:rPr>
        <w:t xml:space="preserve">; </w:t>
      </w:r>
    </w:p>
    <w:p w14:paraId="770796B0" w14:textId="0C310D72" w:rsidR="008F27D1" w:rsidRDefault="007B5EBA" w:rsidP="00F569B8">
      <w:pPr>
        <w:pStyle w:val="ListParagraph"/>
        <w:numPr>
          <w:ilvl w:val="2"/>
          <w:numId w:val="4"/>
        </w:numPr>
        <w:spacing w:before="120" w:after="120" w:line="276" w:lineRule="auto"/>
        <w:ind w:hanging="459"/>
        <w:contextualSpacing w:val="0"/>
        <w:rPr>
          <w:rFonts w:ascii="Arial" w:hAnsi="Arial" w:cs="Arial"/>
          <w:lang w:val="en-AU"/>
        </w:rPr>
      </w:pPr>
      <w:r>
        <w:rPr>
          <w:rFonts w:ascii="Arial" w:hAnsi="Arial" w:cs="Arial"/>
          <w:lang w:val="en-AU"/>
        </w:rPr>
        <w:t xml:space="preserve">Include the Declaration on the Rights of Indigenous Peoples in clause 95(4)(a); </w:t>
      </w:r>
      <w:r w:rsidR="008F27D1">
        <w:rPr>
          <w:rFonts w:ascii="Arial" w:hAnsi="Arial" w:cs="Arial"/>
          <w:lang w:val="en-AU"/>
        </w:rPr>
        <w:t>and</w:t>
      </w:r>
    </w:p>
    <w:p w14:paraId="468A246D" w14:textId="24355E25" w:rsidR="007B2B0E" w:rsidRDefault="009B6B11" w:rsidP="00F569B8">
      <w:pPr>
        <w:pStyle w:val="ListParagraph"/>
        <w:numPr>
          <w:ilvl w:val="2"/>
          <w:numId w:val="4"/>
        </w:numPr>
        <w:spacing w:before="120" w:after="120" w:line="276" w:lineRule="auto"/>
        <w:ind w:hanging="459"/>
        <w:contextualSpacing w:val="0"/>
        <w:rPr>
          <w:rFonts w:ascii="Arial" w:hAnsi="Arial" w:cs="Arial"/>
          <w:lang w:val="en-AU"/>
        </w:rPr>
      </w:pPr>
      <w:r>
        <w:rPr>
          <w:rFonts w:ascii="Arial" w:hAnsi="Arial" w:cs="Arial"/>
          <w:lang w:val="en-AU"/>
        </w:rPr>
        <w:t>The d</w:t>
      </w:r>
      <w:r w:rsidR="008F27D1">
        <w:rPr>
          <w:rFonts w:ascii="Arial" w:hAnsi="Arial" w:cs="Arial"/>
          <w:lang w:val="en-AU"/>
        </w:rPr>
        <w:t xml:space="preserve">efinition of public entities </w:t>
      </w:r>
      <w:r>
        <w:rPr>
          <w:rFonts w:ascii="Arial" w:hAnsi="Arial" w:cs="Arial"/>
          <w:lang w:val="en-AU"/>
        </w:rPr>
        <w:t xml:space="preserve">in clause 9 </w:t>
      </w:r>
      <w:r w:rsidR="008F27D1">
        <w:rPr>
          <w:rFonts w:ascii="Arial" w:hAnsi="Arial" w:cs="Arial"/>
          <w:lang w:val="en-AU"/>
        </w:rPr>
        <w:t>to include all educational authorities</w:t>
      </w:r>
      <w:r w:rsidR="00D61487">
        <w:rPr>
          <w:rFonts w:ascii="Arial" w:hAnsi="Arial" w:cs="Arial"/>
          <w:lang w:val="en-AU"/>
        </w:rPr>
        <w:t>.</w:t>
      </w:r>
    </w:p>
    <w:p w14:paraId="7AE63829" w14:textId="70D2AE9E" w:rsidR="001047FB" w:rsidRDefault="001047FB" w:rsidP="00F569B8">
      <w:pPr>
        <w:pStyle w:val="ListParagraph"/>
        <w:numPr>
          <w:ilvl w:val="1"/>
          <w:numId w:val="4"/>
        </w:numPr>
        <w:spacing w:before="120" w:after="120" w:line="276" w:lineRule="auto"/>
        <w:ind w:left="1441" w:hanging="590"/>
        <w:contextualSpacing w:val="0"/>
        <w:rPr>
          <w:rFonts w:ascii="Arial" w:hAnsi="Arial" w:cs="Arial"/>
          <w:lang w:val="en-AU"/>
        </w:rPr>
      </w:pPr>
      <w:r>
        <w:rPr>
          <w:rFonts w:ascii="Arial" w:hAnsi="Arial" w:cs="Arial"/>
          <w:lang w:val="en-AU"/>
        </w:rPr>
        <w:t>The Bill be passed</w:t>
      </w:r>
      <w:r w:rsidR="00055AA8">
        <w:rPr>
          <w:rFonts w:ascii="Arial" w:hAnsi="Arial" w:cs="Arial"/>
          <w:lang w:val="en-AU"/>
        </w:rPr>
        <w:t xml:space="preserve"> as amended</w:t>
      </w:r>
      <w:r>
        <w:rPr>
          <w:rFonts w:ascii="Arial" w:hAnsi="Arial" w:cs="Arial"/>
          <w:lang w:val="en-AU"/>
        </w:rPr>
        <w:t>.</w:t>
      </w:r>
    </w:p>
    <w:p w14:paraId="74B0662D" w14:textId="77777777" w:rsidR="001047FB" w:rsidRPr="00BF6A9B" w:rsidRDefault="001047FB" w:rsidP="00BF6A9B">
      <w:pPr>
        <w:spacing w:before="120" w:after="240" w:line="276" w:lineRule="auto"/>
        <w:rPr>
          <w:rFonts w:ascii="Arial" w:hAnsi="Arial" w:cs="Arial"/>
          <w:lang w:val="en-AU"/>
        </w:rPr>
      </w:pPr>
    </w:p>
    <w:sectPr w:rsidR="001047FB" w:rsidRPr="00BF6A9B" w:rsidSect="00BF6A9B">
      <w:headerReference w:type="default" r:id="rId10"/>
      <w:footerReference w:type="default" r:id="rId11"/>
      <w:headerReference w:type="first" r:id="rId12"/>
      <w:footerReference w:type="first" r:id="rId13"/>
      <w:pgSz w:w="11900" w:h="16840" w:code="9"/>
      <w:pgMar w:top="1508" w:right="1701" w:bottom="1418" w:left="1701"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F8D7D" w14:textId="77777777" w:rsidR="00DB7EF6" w:rsidRDefault="00DB7EF6" w:rsidP="0034134D">
      <w:r>
        <w:separator/>
      </w:r>
    </w:p>
  </w:endnote>
  <w:endnote w:type="continuationSeparator" w:id="0">
    <w:p w14:paraId="405FB65B" w14:textId="77777777" w:rsidR="00DB7EF6" w:rsidRDefault="00DB7EF6"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712B8" w14:textId="77777777" w:rsidR="00DB7EF6" w:rsidRDefault="00DB7EF6" w:rsidP="000731D3">
    <w:pPr>
      <w:pStyle w:val="Footer"/>
      <w:pBdr>
        <w:top w:val="single" w:sz="4" w:space="1" w:color="auto"/>
      </w:pBdr>
      <w:jc w:val="right"/>
      <w:rPr>
        <w:rFonts w:ascii="Arial" w:hAnsi="Arial" w:cs="Arial"/>
        <w:sz w:val="20"/>
        <w:szCs w:val="20"/>
      </w:rPr>
    </w:pPr>
  </w:p>
  <w:p w14:paraId="69DA0D19" w14:textId="4D41A9C1" w:rsidR="00DB7EF6" w:rsidRPr="000731D3" w:rsidRDefault="00DB7EF6" w:rsidP="000731D3">
    <w:pPr>
      <w:pStyle w:val="Footer"/>
      <w:jc w:val="right"/>
      <w:rPr>
        <w:rFonts w:ascii="Arial" w:hAnsi="Arial" w:cs="Arial"/>
        <w:sz w:val="20"/>
        <w:szCs w:val="20"/>
      </w:rPr>
    </w:pP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sidR="009F2EF9">
      <w:rPr>
        <w:rFonts w:ascii="Arial" w:hAnsi="Arial" w:cs="Arial"/>
        <w:noProof/>
        <w:sz w:val="20"/>
        <w:szCs w:val="20"/>
      </w:rPr>
      <w:t>9</w:t>
    </w:r>
    <w:r w:rsidRPr="004A2375">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E676B" w14:textId="77777777" w:rsidR="00DB7EF6" w:rsidRDefault="00DB7EF6" w:rsidP="000731D3">
    <w:pPr>
      <w:pStyle w:val="Footer"/>
      <w:pBdr>
        <w:top w:val="single" w:sz="4" w:space="1" w:color="auto"/>
      </w:pBdr>
      <w:jc w:val="right"/>
      <w:rPr>
        <w:rFonts w:ascii="Arial" w:hAnsi="Arial" w:cs="Arial"/>
        <w:sz w:val="20"/>
        <w:szCs w:val="20"/>
      </w:rPr>
    </w:pPr>
  </w:p>
  <w:p w14:paraId="599B2A3F" w14:textId="735C430B" w:rsidR="00DB7EF6" w:rsidRPr="004A2375" w:rsidRDefault="00DB7EF6" w:rsidP="000731D3">
    <w:pPr>
      <w:pStyle w:val="Footer"/>
      <w:jc w:val="right"/>
      <w:rPr>
        <w:rFonts w:ascii="Arial" w:hAnsi="Arial" w:cs="Arial"/>
        <w:sz w:val="20"/>
        <w:szCs w:val="20"/>
      </w:rPr>
    </w:pP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sidR="006D28F0">
      <w:rPr>
        <w:rFonts w:ascii="Arial" w:hAnsi="Arial" w:cs="Arial"/>
        <w:noProof/>
        <w:sz w:val="20"/>
        <w:szCs w:val="20"/>
      </w:rPr>
      <w:t>1</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056A6" w14:textId="77777777" w:rsidR="00DB7EF6" w:rsidRDefault="00DB7EF6" w:rsidP="0034134D">
      <w:r>
        <w:separator/>
      </w:r>
    </w:p>
  </w:footnote>
  <w:footnote w:type="continuationSeparator" w:id="0">
    <w:p w14:paraId="788180AC" w14:textId="77777777" w:rsidR="00DB7EF6" w:rsidRDefault="00DB7EF6" w:rsidP="0034134D">
      <w:r>
        <w:continuationSeparator/>
      </w:r>
    </w:p>
  </w:footnote>
  <w:footnote w:id="1">
    <w:p w14:paraId="6AA96FF7" w14:textId="5564889A" w:rsidR="00DB7EF6" w:rsidRPr="00FB4C6B" w:rsidRDefault="00DB7EF6">
      <w:pPr>
        <w:pStyle w:val="FootnoteText"/>
        <w:rPr>
          <w:rFonts w:ascii="Arial" w:hAnsi="Arial" w:cs="Arial"/>
          <w:sz w:val="20"/>
          <w:szCs w:val="20"/>
        </w:rPr>
      </w:pPr>
      <w:r>
        <w:rPr>
          <w:rStyle w:val="FootnoteReference"/>
        </w:rPr>
        <w:footnoteRef/>
      </w:r>
      <w:r>
        <w:t xml:space="preserve"> </w:t>
      </w:r>
      <w:r>
        <w:rPr>
          <w:rFonts w:ascii="Arial" w:hAnsi="Arial" w:cs="Arial"/>
          <w:i/>
          <w:sz w:val="20"/>
          <w:szCs w:val="20"/>
        </w:rPr>
        <w:t xml:space="preserve">Legislative Standards Act 1992, </w:t>
      </w:r>
      <w:r>
        <w:rPr>
          <w:rFonts w:ascii="Arial" w:hAnsi="Arial" w:cs="Arial"/>
          <w:sz w:val="20"/>
          <w:szCs w:val="20"/>
        </w:rPr>
        <w:t>section 7(g),(h) and (</w:t>
      </w:r>
      <w:proofErr w:type="spellStart"/>
      <w:r>
        <w:rPr>
          <w:rFonts w:ascii="Arial" w:hAnsi="Arial" w:cs="Arial"/>
          <w:sz w:val="20"/>
          <w:szCs w:val="20"/>
        </w:rPr>
        <w:t>i</w:t>
      </w:r>
      <w:proofErr w:type="spellEnd"/>
      <w:r>
        <w:rPr>
          <w:rFonts w:ascii="Arial" w:hAnsi="Arial" w:cs="Arial"/>
          <w:sz w:val="20"/>
          <w:szCs w:val="20"/>
        </w:rPr>
        <w:t>).</w:t>
      </w:r>
    </w:p>
  </w:footnote>
  <w:footnote w:id="2">
    <w:p w14:paraId="468503D5" w14:textId="10FFF9A3" w:rsidR="00DB7EF6" w:rsidRDefault="00DB7EF6">
      <w:pPr>
        <w:pStyle w:val="FootnoteText"/>
      </w:pPr>
      <w:r>
        <w:rPr>
          <w:rStyle w:val="FootnoteReference"/>
        </w:rPr>
        <w:footnoteRef/>
      </w:r>
      <w:r>
        <w:t xml:space="preserve"> </w:t>
      </w:r>
      <w:r>
        <w:rPr>
          <w:rFonts w:ascii="Arial" w:hAnsi="Arial" w:cs="Arial"/>
          <w:i/>
          <w:sz w:val="20"/>
          <w:szCs w:val="20"/>
        </w:rPr>
        <w:t xml:space="preserve">Legislative Standards Act 1992, </w:t>
      </w:r>
      <w:r>
        <w:rPr>
          <w:rFonts w:ascii="Arial" w:hAnsi="Arial" w:cs="Arial"/>
          <w:sz w:val="20"/>
          <w:szCs w:val="20"/>
        </w:rPr>
        <w:t>section 7(l) and (m).</w:t>
      </w:r>
    </w:p>
  </w:footnote>
  <w:footnote w:id="3">
    <w:p w14:paraId="4BD44B6C" w14:textId="2B84CC42" w:rsidR="00DB7EF6" w:rsidRPr="00055AA8" w:rsidRDefault="00DB7EF6">
      <w:pPr>
        <w:pStyle w:val="FootnoteText"/>
        <w:rPr>
          <w:rFonts w:ascii="Arial" w:hAnsi="Arial" w:cs="Arial"/>
          <w:sz w:val="20"/>
          <w:szCs w:val="20"/>
        </w:rPr>
      </w:pPr>
      <w:r w:rsidRPr="00055AA8">
        <w:rPr>
          <w:rStyle w:val="FootnoteReference"/>
          <w:rFonts w:ascii="Arial" w:hAnsi="Arial" w:cs="Arial"/>
          <w:sz w:val="20"/>
          <w:szCs w:val="20"/>
        </w:rPr>
        <w:footnoteRef/>
      </w:r>
      <w:r w:rsidRPr="00055AA8">
        <w:rPr>
          <w:rFonts w:ascii="Arial" w:hAnsi="Arial" w:cs="Arial"/>
          <w:sz w:val="20"/>
          <w:szCs w:val="20"/>
        </w:rPr>
        <w:t xml:space="preserve"> Clause 48.</w:t>
      </w:r>
    </w:p>
  </w:footnote>
  <w:footnote w:id="4">
    <w:p w14:paraId="13FA1007" w14:textId="476999C4" w:rsidR="00DB7EF6" w:rsidRPr="00055AA8" w:rsidRDefault="00DB7EF6">
      <w:pPr>
        <w:pStyle w:val="FootnoteText"/>
        <w:rPr>
          <w:rFonts w:ascii="Arial" w:hAnsi="Arial" w:cs="Arial"/>
          <w:sz w:val="20"/>
          <w:szCs w:val="20"/>
        </w:rPr>
      </w:pPr>
      <w:r w:rsidRPr="00055AA8">
        <w:rPr>
          <w:rStyle w:val="FootnoteReference"/>
          <w:rFonts w:ascii="Arial" w:hAnsi="Arial" w:cs="Arial"/>
          <w:sz w:val="20"/>
          <w:szCs w:val="20"/>
        </w:rPr>
        <w:footnoteRef/>
      </w:r>
      <w:r w:rsidRPr="00055AA8">
        <w:rPr>
          <w:rFonts w:ascii="Arial" w:hAnsi="Arial" w:cs="Arial"/>
          <w:sz w:val="20"/>
          <w:szCs w:val="20"/>
        </w:rPr>
        <w:t xml:space="preserve"> Meaning of public entity, clause 9(4)(b).</w:t>
      </w:r>
    </w:p>
  </w:footnote>
  <w:footnote w:id="5">
    <w:p w14:paraId="30D138D0" w14:textId="544EDBAB" w:rsidR="00DB7EF6" w:rsidRPr="00055AA8" w:rsidRDefault="00DB7EF6">
      <w:pPr>
        <w:pStyle w:val="FootnoteText"/>
        <w:rPr>
          <w:rFonts w:ascii="Arial" w:hAnsi="Arial" w:cs="Arial"/>
          <w:sz w:val="20"/>
          <w:szCs w:val="20"/>
        </w:rPr>
      </w:pPr>
      <w:r w:rsidRPr="00055AA8">
        <w:rPr>
          <w:rStyle w:val="FootnoteReference"/>
          <w:rFonts w:ascii="Arial" w:hAnsi="Arial" w:cs="Arial"/>
          <w:sz w:val="20"/>
          <w:szCs w:val="20"/>
        </w:rPr>
        <w:footnoteRef/>
      </w:r>
      <w:r w:rsidRPr="00055AA8">
        <w:rPr>
          <w:rFonts w:ascii="Arial" w:hAnsi="Arial" w:cs="Arial"/>
          <w:sz w:val="20"/>
          <w:szCs w:val="20"/>
        </w:rPr>
        <w:t xml:space="preserve"> Clause 5(2)(a).</w:t>
      </w:r>
    </w:p>
  </w:footnote>
  <w:footnote w:id="6">
    <w:p w14:paraId="71319107" w14:textId="427F5BE0" w:rsidR="00DB7EF6" w:rsidRPr="00796DC4" w:rsidRDefault="00DB7EF6">
      <w:pPr>
        <w:pStyle w:val="FootnoteText"/>
        <w:rPr>
          <w:rFonts w:ascii="Arial" w:hAnsi="Arial" w:cs="Arial"/>
          <w:sz w:val="20"/>
          <w:szCs w:val="20"/>
        </w:rPr>
      </w:pPr>
      <w:r w:rsidRPr="00796DC4">
        <w:rPr>
          <w:rStyle w:val="FootnoteReference"/>
          <w:rFonts w:ascii="Arial" w:hAnsi="Arial" w:cs="Arial"/>
          <w:sz w:val="20"/>
          <w:szCs w:val="20"/>
        </w:rPr>
        <w:footnoteRef/>
      </w:r>
      <w:r w:rsidRPr="00796DC4">
        <w:rPr>
          <w:rFonts w:ascii="Arial" w:hAnsi="Arial" w:cs="Arial"/>
          <w:sz w:val="20"/>
          <w:szCs w:val="20"/>
        </w:rPr>
        <w:t xml:space="preserve"> Clause 58(4).</w:t>
      </w:r>
    </w:p>
  </w:footnote>
  <w:footnote w:id="7">
    <w:p w14:paraId="20009375" w14:textId="6AF11EA7" w:rsidR="00DB7EF6" w:rsidRPr="00696C46" w:rsidRDefault="00DB7EF6">
      <w:pPr>
        <w:pStyle w:val="FootnoteText"/>
        <w:rPr>
          <w:rFonts w:ascii="Arial" w:hAnsi="Arial" w:cs="Arial"/>
          <w:sz w:val="20"/>
          <w:szCs w:val="20"/>
        </w:rPr>
      </w:pPr>
      <w:r w:rsidRPr="00BB6AC5">
        <w:rPr>
          <w:rStyle w:val="FootnoteReference"/>
          <w:rFonts w:ascii="Arial" w:hAnsi="Arial" w:cs="Arial"/>
          <w:sz w:val="20"/>
          <w:szCs w:val="20"/>
        </w:rPr>
        <w:footnoteRef/>
      </w:r>
      <w:r w:rsidRPr="00BB6AC5">
        <w:rPr>
          <w:rFonts w:ascii="Arial" w:hAnsi="Arial" w:cs="Arial"/>
          <w:sz w:val="20"/>
          <w:szCs w:val="20"/>
        </w:rPr>
        <w:t xml:space="preserve"> See, Judicial College of Victoria, Charter of Human Rights Bench Book, [3.2.58] </w:t>
      </w:r>
      <w:r w:rsidRPr="00BB6AC5">
        <w:rPr>
          <w:rFonts w:ascii="Arial" w:hAnsi="Arial" w:cs="Arial"/>
          <w:i/>
          <w:sz w:val="20"/>
          <w:szCs w:val="20"/>
        </w:rPr>
        <w:t>3.2 Obligations on public authorities (s38)</w:t>
      </w:r>
      <w:r w:rsidRPr="00BB6AC5">
        <w:rPr>
          <w:rFonts w:ascii="Arial" w:hAnsi="Arial" w:cs="Arial"/>
          <w:sz w:val="20"/>
          <w:szCs w:val="20"/>
        </w:rPr>
        <w:t xml:space="preserve">, </w:t>
      </w:r>
      <w:r>
        <w:rPr>
          <w:rFonts w:ascii="Arial" w:hAnsi="Arial" w:cs="Arial"/>
          <w:sz w:val="20"/>
          <w:szCs w:val="20"/>
        </w:rPr>
        <w:t xml:space="preserve"> &lt;</w:t>
      </w:r>
      <w:hyperlink r:id="rId1" w:anchor="57276.htm" w:history="1">
        <w:r w:rsidRPr="0026640C">
          <w:rPr>
            <w:rStyle w:val="Hyperlink"/>
            <w:rFonts w:ascii="Arial" w:hAnsi="Arial" w:cs="Arial"/>
            <w:sz w:val="20"/>
            <w:szCs w:val="20"/>
          </w:rPr>
          <w:t>http://www.judicialcollege.vic.edu/eManuals/CHRBB.htm#57276.htm</w:t>
        </w:r>
      </w:hyperlink>
      <w:r>
        <w:rPr>
          <w:rFonts w:ascii="Arial" w:hAnsi="Arial" w:cs="Arial"/>
          <w:sz w:val="20"/>
          <w:szCs w:val="20"/>
        </w:rPr>
        <w:t>&gt;</w:t>
      </w:r>
    </w:p>
  </w:footnote>
  <w:footnote w:id="8">
    <w:p w14:paraId="48B89167" w14:textId="01F51478" w:rsidR="00DB7EF6" w:rsidRPr="001E4D12" w:rsidRDefault="00DB7EF6">
      <w:pPr>
        <w:pStyle w:val="FootnoteText"/>
        <w:rPr>
          <w:rFonts w:ascii="Arial" w:hAnsi="Arial" w:cs="Arial"/>
          <w:sz w:val="20"/>
          <w:szCs w:val="20"/>
        </w:rPr>
      </w:pPr>
      <w:r w:rsidRPr="001E4D12">
        <w:rPr>
          <w:rStyle w:val="FootnoteReference"/>
          <w:rFonts w:ascii="Arial" w:hAnsi="Arial" w:cs="Arial"/>
          <w:sz w:val="20"/>
          <w:szCs w:val="20"/>
        </w:rPr>
        <w:footnoteRef/>
      </w:r>
      <w:r w:rsidRPr="001E4D12">
        <w:rPr>
          <w:rFonts w:ascii="Arial" w:hAnsi="Arial" w:cs="Arial"/>
          <w:sz w:val="20"/>
          <w:szCs w:val="20"/>
        </w:rPr>
        <w:t xml:space="preserve"> </w:t>
      </w:r>
      <w:r>
        <w:rPr>
          <w:rFonts w:ascii="Arial" w:hAnsi="Arial" w:cs="Arial"/>
          <w:sz w:val="20"/>
          <w:szCs w:val="20"/>
        </w:rPr>
        <w:t xml:space="preserve">Michael Brett Young, </w:t>
      </w:r>
      <w:r>
        <w:rPr>
          <w:rFonts w:ascii="Arial" w:hAnsi="Arial" w:cs="Arial"/>
          <w:i/>
          <w:sz w:val="20"/>
          <w:szCs w:val="20"/>
        </w:rPr>
        <w:t>From</w:t>
      </w:r>
      <w:r w:rsidR="001E4D12">
        <w:rPr>
          <w:rFonts w:ascii="Arial" w:hAnsi="Arial" w:cs="Arial"/>
          <w:i/>
          <w:sz w:val="20"/>
          <w:szCs w:val="20"/>
        </w:rPr>
        <w:t xml:space="preserve"> </w:t>
      </w:r>
      <w:r>
        <w:rPr>
          <w:rFonts w:ascii="Arial" w:hAnsi="Arial" w:cs="Arial"/>
          <w:i/>
          <w:sz w:val="20"/>
          <w:szCs w:val="20"/>
        </w:rPr>
        <w:t xml:space="preserve">commitment to culture The 2015 Review of the Victorian </w:t>
      </w:r>
      <w:r>
        <w:rPr>
          <w:rFonts w:ascii="Arial" w:hAnsi="Arial" w:cs="Arial"/>
          <w:sz w:val="20"/>
          <w:szCs w:val="20"/>
        </w:rPr>
        <w:t>Charter of Human Rights and Responsibilities Act 2006, 119.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53FB5" w14:textId="77777777" w:rsidR="00DB7EF6" w:rsidRDefault="00DB7EF6" w:rsidP="000731D3">
    <w:pPr>
      <w:pStyle w:val="Header"/>
      <w:tabs>
        <w:tab w:val="clear" w:pos="4513"/>
        <w:tab w:val="clear" w:pos="9026"/>
      </w:tabs>
      <w:spacing w:before="240"/>
      <w:jc w:val="center"/>
    </w:pPr>
    <w:r>
      <w:rPr>
        <w:noProof/>
        <w:lang w:val="en-AU" w:eastAsia="en-AU"/>
      </w:rPr>
      <w:drawing>
        <wp:inline distT="0" distB="0" distL="0" distR="0" wp14:anchorId="7679B1A8" wp14:editId="35A16EFF">
          <wp:extent cx="4935858" cy="704850"/>
          <wp:effectExtent l="0" t="0" r="0" b="0"/>
          <wp:docPr id="1" name="Picture 1" title="Anti-Discrimination Commission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8023" cy="705159"/>
                  </a:xfrm>
                  <a:prstGeom prst="rect">
                    <a:avLst/>
                  </a:prstGeom>
                  <a:noFill/>
                </pic:spPr>
              </pic:pic>
            </a:graphicData>
          </a:graphic>
        </wp:inline>
      </w:drawing>
    </w:r>
  </w:p>
  <w:p w14:paraId="45EB8123" w14:textId="77777777" w:rsidR="00DB7EF6" w:rsidRDefault="00DB7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51CEA" w14:textId="7CDD81D7" w:rsidR="00DB7EF6" w:rsidRPr="000731D3" w:rsidRDefault="00DB7EF6" w:rsidP="00BF6A9B">
    <w:pPr>
      <w:pStyle w:val="Header"/>
      <w:spacing w:after="120"/>
      <w:rPr>
        <w:rFonts w:ascii="Arial" w:hAnsi="Arial" w:cs="Arial"/>
        <w:sz w:val="20"/>
        <w:szCs w:val="20"/>
      </w:rPr>
    </w:pPr>
    <w:r w:rsidRPr="00BF6A9B">
      <w:rPr>
        <w:rFonts w:ascii="Arial" w:hAnsi="Arial" w:cs="Arial"/>
        <w:color w:val="365F91" w:themeColor="accent1" w:themeShade="BF"/>
        <w:sz w:val="22"/>
        <w:szCs w:val="22"/>
      </w:rPr>
      <w:t>Human Rights Bill 2018</w:t>
    </w:r>
  </w:p>
  <w:p w14:paraId="755FC62C" w14:textId="1807F7DE" w:rsidR="00DB7EF6" w:rsidRPr="00BF6A9B" w:rsidRDefault="00DB7EF6" w:rsidP="00BF6A9B">
    <w:pPr>
      <w:pStyle w:val="Header"/>
      <w:pBdr>
        <w:top w:val="single" w:sz="4" w:space="1" w:color="auto"/>
      </w:pBd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2E8CC" w14:textId="7AD0F4CA" w:rsidR="00DB7EF6" w:rsidRPr="000731D3" w:rsidRDefault="00DB7EF6" w:rsidP="000731D3">
    <w:pPr>
      <w:pStyle w:val="Header"/>
      <w:rPr>
        <w:rFonts w:ascii="Arial" w:hAnsi="Arial" w:cs="Arial"/>
        <w:color w:val="365F91" w:themeColor="accent1" w:themeShade="BF"/>
      </w:rPr>
    </w:pPr>
    <w:r>
      <w:rPr>
        <w:rFonts w:ascii="Arial" w:hAnsi="Arial" w:cs="Arial"/>
        <w:color w:val="365F91" w:themeColor="accent1" w:themeShade="BF"/>
      </w:rPr>
      <w:t>Human Rights</w:t>
    </w:r>
    <w:r w:rsidRPr="000731D3">
      <w:rPr>
        <w:rFonts w:ascii="Arial" w:hAnsi="Arial" w:cs="Arial"/>
        <w:color w:val="365F91" w:themeColor="accent1" w:themeShade="BF"/>
      </w:rPr>
      <w:t xml:space="preserve"> Bill 2018</w:t>
    </w:r>
  </w:p>
  <w:p w14:paraId="1579BEF7" w14:textId="77777777" w:rsidR="00DB7EF6" w:rsidRPr="000731D3" w:rsidRDefault="00DB7EF6" w:rsidP="000731D3">
    <w:pPr>
      <w:pStyle w:val="Header"/>
      <w:pBdr>
        <w:bottom w:val="single" w:sz="4" w:space="1" w:color="auto"/>
      </w:pBdr>
      <w:rPr>
        <w:rFonts w:ascii="Arial" w:hAnsi="Arial" w:cs="Arial"/>
        <w:sz w:val="20"/>
        <w:szCs w:val="20"/>
      </w:rPr>
    </w:pPr>
  </w:p>
  <w:p w14:paraId="7A9FCFEF" w14:textId="77777777" w:rsidR="00DB7EF6" w:rsidRPr="000731D3" w:rsidRDefault="00DB7EF6"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E4577"/>
    <w:multiLevelType w:val="hybridMultilevel"/>
    <w:tmpl w:val="73FE3A0A"/>
    <w:lvl w:ilvl="0" w:tplc="561017C8">
      <w:start w:val="1"/>
      <w:numFmt w:val="decimal"/>
      <w:lvlText w:val="%1."/>
      <w:lvlJc w:val="left"/>
      <w:pPr>
        <w:ind w:left="502" w:hanging="360"/>
      </w:pPr>
      <w:rPr>
        <w:b w:val="0"/>
        <w:sz w:val="22"/>
        <w:szCs w:val="24"/>
      </w:rPr>
    </w:lvl>
    <w:lvl w:ilvl="1" w:tplc="EF984938">
      <w:start w:val="1"/>
      <w:numFmt w:val="lowerLetter"/>
      <w:lvlText w:val="(%2)"/>
      <w:lvlJc w:val="left"/>
      <w:pPr>
        <w:ind w:left="1440" w:hanging="360"/>
      </w:pPr>
      <w:rPr>
        <w:rFonts w:ascii="Arial" w:hAnsi="Arial" w:cs="Arial" w:hint="default"/>
        <w:b w:val="0"/>
        <w:i w:val="0"/>
        <w:sz w:val="22"/>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DE7CEE"/>
    <w:multiLevelType w:val="hybridMultilevel"/>
    <w:tmpl w:val="0AFE13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9D699C"/>
    <w:multiLevelType w:val="hybridMultilevel"/>
    <w:tmpl w:val="C626223A"/>
    <w:lvl w:ilvl="0" w:tplc="8A603042">
      <w:start w:val="1"/>
      <w:numFmt w:val="bullet"/>
      <w:lvlText w:val=""/>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0F26E3"/>
    <w:multiLevelType w:val="hybridMultilevel"/>
    <w:tmpl w:val="05504BC0"/>
    <w:lvl w:ilvl="0" w:tplc="86E0CE3A">
      <w:start w:val="1"/>
      <w:numFmt w:val="bullet"/>
      <w:lvlText w:val=""/>
      <w:lvlJc w:val="left"/>
      <w:pPr>
        <w:ind w:left="1080" w:hanging="360"/>
      </w:pPr>
      <w:rPr>
        <w:rFonts w:ascii="Symbol" w:hAnsi="Symbol" w:hint="default"/>
        <w:sz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B14587"/>
    <w:multiLevelType w:val="hybridMultilevel"/>
    <w:tmpl w:val="9AFA0CA6"/>
    <w:lvl w:ilvl="0" w:tplc="0409000F">
      <w:start w:val="1"/>
      <w:numFmt w:val="decimal"/>
      <w:lvlText w:val="%1."/>
      <w:lvlJc w:val="left"/>
      <w:pPr>
        <w:ind w:left="720" w:hanging="360"/>
      </w:pPr>
    </w:lvl>
    <w:lvl w:ilvl="1" w:tplc="7AFEFD48">
      <w:start w:val="1"/>
      <w:numFmt w:val="decimal"/>
      <w:lvlText w:val="(%2)"/>
      <w:lvlJc w:val="left"/>
      <w:pPr>
        <w:ind w:left="1440" w:hanging="360"/>
      </w:pPr>
      <w:rPr>
        <w:rFonts w:hint="default"/>
        <w:sz w:val="22"/>
        <w:szCs w:val="22"/>
      </w:rPr>
    </w:lvl>
    <w:lvl w:ilvl="2" w:tplc="86607A1E">
      <w:start w:val="1"/>
      <w:numFmt w:val="lowerLetter"/>
      <w:lvlText w:val="(%3)"/>
      <w:lvlJc w:val="left"/>
      <w:pPr>
        <w:ind w:left="2160" w:hanging="180"/>
      </w:pPr>
      <w:rPr>
        <w:rFonts w:hint="default"/>
      </w:rPr>
    </w:lvl>
    <w:lvl w:ilvl="3" w:tplc="9EE68C7E">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1C5E17"/>
    <w:multiLevelType w:val="hybridMultilevel"/>
    <w:tmpl w:val="D7A8C4CC"/>
    <w:lvl w:ilvl="0" w:tplc="13620E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11"/>
  </w:num>
  <w:num w:numId="4">
    <w:abstractNumId w:val="6"/>
  </w:num>
  <w:num w:numId="5">
    <w:abstractNumId w:val="8"/>
  </w:num>
  <w:num w:numId="6">
    <w:abstractNumId w:val="10"/>
  </w:num>
  <w:num w:numId="7">
    <w:abstractNumId w:val="0"/>
  </w:num>
  <w:num w:numId="8">
    <w:abstractNumId w:val="7"/>
  </w:num>
  <w:num w:numId="9">
    <w:abstractNumId w:val="1"/>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4C"/>
    <w:rsid w:val="00002F05"/>
    <w:rsid w:val="00026490"/>
    <w:rsid w:val="00044A7F"/>
    <w:rsid w:val="00045B46"/>
    <w:rsid w:val="00055AA8"/>
    <w:rsid w:val="000573E4"/>
    <w:rsid w:val="000731D3"/>
    <w:rsid w:val="000811D4"/>
    <w:rsid w:val="00095FBB"/>
    <w:rsid w:val="000E2967"/>
    <w:rsid w:val="000E4065"/>
    <w:rsid w:val="000E67DB"/>
    <w:rsid w:val="000F0BC1"/>
    <w:rsid w:val="001047FB"/>
    <w:rsid w:val="00121E6F"/>
    <w:rsid w:val="001304EE"/>
    <w:rsid w:val="001825CB"/>
    <w:rsid w:val="00182865"/>
    <w:rsid w:val="001830F7"/>
    <w:rsid w:val="001B5561"/>
    <w:rsid w:val="001B5640"/>
    <w:rsid w:val="001B7918"/>
    <w:rsid w:val="001E3A26"/>
    <w:rsid w:val="001E4D12"/>
    <w:rsid w:val="001F0C31"/>
    <w:rsid w:val="001F3F19"/>
    <w:rsid w:val="0020141A"/>
    <w:rsid w:val="002200C1"/>
    <w:rsid w:val="0024518C"/>
    <w:rsid w:val="002458B1"/>
    <w:rsid w:val="00253B42"/>
    <w:rsid w:val="002756C1"/>
    <w:rsid w:val="00284FF0"/>
    <w:rsid w:val="0029041A"/>
    <w:rsid w:val="00291123"/>
    <w:rsid w:val="00296A89"/>
    <w:rsid w:val="002A3D3B"/>
    <w:rsid w:val="002B65D4"/>
    <w:rsid w:val="002C5302"/>
    <w:rsid w:val="00300FF0"/>
    <w:rsid w:val="0031525E"/>
    <w:rsid w:val="00321445"/>
    <w:rsid w:val="0032225D"/>
    <w:rsid w:val="0033216F"/>
    <w:rsid w:val="0034134D"/>
    <w:rsid w:val="003414E2"/>
    <w:rsid w:val="00344F59"/>
    <w:rsid w:val="00366114"/>
    <w:rsid w:val="00370336"/>
    <w:rsid w:val="00392522"/>
    <w:rsid w:val="003A0D02"/>
    <w:rsid w:val="003A666E"/>
    <w:rsid w:val="003C3B2B"/>
    <w:rsid w:val="003F6F5A"/>
    <w:rsid w:val="00412E87"/>
    <w:rsid w:val="004504EC"/>
    <w:rsid w:val="00466216"/>
    <w:rsid w:val="004A1085"/>
    <w:rsid w:val="004A2375"/>
    <w:rsid w:val="004A26D0"/>
    <w:rsid w:val="004A6F71"/>
    <w:rsid w:val="004B4DE8"/>
    <w:rsid w:val="004C3C5C"/>
    <w:rsid w:val="004E453D"/>
    <w:rsid w:val="004F2CB8"/>
    <w:rsid w:val="005009D5"/>
    <w:rsid w:val="00552285"/>
    <w:rsid w:val="005B74DA"/>
    <w:rsid w:val="005F0F47"/>
    <w:rsid w:val="006066E2"/>
    <w:rsid w:val="006769BF"/>
    <w:rsid w:val="00685E61"/>
    <w:rsid w:val="00696C46"/>
    <w:rsid w:val="006A7B3A"/>
    <w:rsid w:val="006B01C8"/>
    <w:rsid w:val="006D175E"/>
    <w:rsid w:val="006D28F0"/>
    <w:rsid w:val="006E74C1"/>
    <w:rsid w:val="006F7B4A"/>
    <w:rsid w:val="00706184"/>
    <w:rsid w:val="00706A05"/>
    <w:rsid w:val="00707552"/>
    <w:rsid w:val="00735BA1"/>
    <w:rsid w:val="00751AE0"/>
    <w:rsid w:val="00763604"/>
    <w:rsid w:val="00796DC4"/>
    <w:rsid w:val="007A45D7"/>
    <w:rsid w:val="007B2B0E"/>
    <w:rsid w:val="007B5EBA"/>
    <w:rsid w:val="007F4F44"/>
    <w:rsid w:val="00827429"/>
    <w:rsid w:val="0083450C"/>
    <w:rsid w:val="0086477B"/>
    <w:rsid w:val="00867AFD"/>
    <w:rsid w:val="00877080"/>
    <w:rsid w:val="00881F39"/>
    <w:rsid w:val="008930A1"/>
    <w:rsid w:val="008970A8"/>
    <w:rsid w:val="008E2FB8"/>
    <w:rsid w:val="008E304C"/>
    <w:rsid w:val="008F27D1"/>
    <w:rsid w:val="008F726C"/>
    <w:rsid w:val="00912E7D"/>
    <w:rsid w:val="00930A48"/>
    <w:rsid w:val="009B6681"/>
    <w:rsid w:val="009B6B11"/>
    <w:rsid w:val="009C61D5"/>
    <w:rsid w:val="009D3B40"/>
    <w:rsid w:val="009F2EF9"/>
    <w:rsid w:val="009F428B"/>
    <w:rsid w:val="00A023C1"/>
    <w:rsid w:val="00A16356"/>
    <w:rsid w:val="00A30CCA"/>
    <w:rsid w:val="00A35BBA"/>
    <w:rsid w:val="00A45369"/>
    <w:rsid w:val="00A55083"/>
    <w:rsid w:val="00A566B9"/>
    <w:rsid w:val="00A7696B"/>
    <w:rsid w:val="00A81178"/>
    <w:rsid w:val="00A90373"/>
    <w:rsid w:val="00AB3B3A"/>
    <w:rsid w:val="00AD3611"/>
    <w:rsid w:val="00B13E28"/>
    <w:rsid w:val="00B50F67"/>
    <w:rsid w:val="00B82CE9"/>
    <w:rsid w:val="00BB0B80"/>
    <w:rsid w:val="00BB3259"/>
    <w:rsid w:val="00BB6AC5"/>
    <w:rsid w:val="00BF296F"/>
    <w:rsid w:val="00BF6A9B"/>
    <w:rsid w:val="00C264DC"/>
    <w:rsid w:val="00C27C2D"/>
    <w:rsid w:val="00C35743"/>
    <w:rsid w:val="00C9716F"/>
    <w:rsid w:val="00CA162B"/>
    <w:rsid w:val="00CB0C73"/>
    <w:rsid w:val="00CB77B4"/>
    <w:rsid w:val="00CC2E5C"/>
    <w:rsid w:val="00CD03D5"/>
    <w:rsid w:val="00CD2616"/>
    <w:rsid w:val="00CD3A58"/>
    <w:rsid w:val="00CE14AA"/>
    <w:rsid w:val="00CE4544"/>
    <w:rsid w:val="00CF7560"/>
    <w:rsid w:val="00D102EC"/>
    <w:rsid w:val="00D20A18"/>
    <w:rsid w:val="00D21103"/>
    <w:rsid w:val="00D40A99"/>
    <w:rsid w:val="00D43D8F"/>
    <w:rsid w:val="00D45B3D"/>
    <w:rsid w:val="00D60678"/>
    <w:rsid w:val="00D61487"/>
    <w:rsid w:val="00D62361"/>
    <w:rsid w:val="00D82D25"/>
    <w:rsid w:val="00D91106"/>
    <w:rsid w:val="00DB0106"/>
    <w:rsid w:val="00DB7C9D"/>
    <w:rsid w:val="00DB7EF6"/>
    <w:rsid w:val="00DD7883"/>
    <w:rsid w:val="00E1065A"/>
    <w:rsid w:val="00E62072"/>
    <w:rsid w:val="00E660DA"/>
    <w:rsid w:val="00E67139"/>
    <w:rsid w:val="00E87EA6"/>
    <w:rsid w:val="00E91A9E"/>
    <w:rsid w:val="00E940D7"/>
    <w:rsid w:val="00EA0FB4"/>
    <w:rsid w:val="00EA6EA0"/>
    <w:rsid w:val="00EB37AC"/>
    <w:rsid w:val="00ED0709"/>
    <w:rsid w:val="00F552D1"/>
    <w:rsid w:val="00F569B8"/>
    <w:rsid w:val="00F768A5"/>
    <w:rsid w:val="00FA45EA"/>
    <w:rsid w:val="00FA5C8F"/>
    <w:rsid w:val="00FA7D84"/>
    <w:rsid w:val="00FB2275"/>
    <w:rsid w:val="00FB4C6B"/>
    <w:rsid w:val="00FB4D15"/>
    <w:rsid w:val="00FC7088"/>
    <w:rsid w:val="00FD623A"/>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1C43028"/>
  <w14:defaultImageDpi w14:val="300"/>
  <w15:docId w15:val="{84B7B20B-96E1-4DE0-B592-91364B68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4FF0"/>
    <w:pPr>
      <w:keepNext/>
      <w:keepLines/>
      <w:spacing w:before="240"/>
      <w:outlineLvl w:val="0"/>
    </w:pPr>
    <w:rPr>
      <w:rFonts w:ascii="Arial" w:eastAsiaTheme="majorEastAsia" w:hAnsi="Arial"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1E4D12"/>
    <w:pPr>
      <w:keepNext/>
      <w:keepLines/>
      <w:spacing w:before="160" w:after="120"/>
      <w:outlineLvl w:val="1"/>
    </w:pPr>
    <w:rPr>
      <w:rFonts w:ascii="Arial" w:eastAsiaTheme="majorEastAsia" w:hAnsi="Arial"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CE9"/>
    <w:pPr>
      <w:ind w:left="720"/>
      <w:contextualSpacing/>
    </w:pPr>
  </w:style>
  <w:style w:type="paragraph" w:styleId="FootnoteText">
    <w:name w:val="footnote text"/>
    <w:basedOn w:val="Normal"/>
    <w:link w:val="FootnoteTextChar"/>
    <w:uiPriority w:val="99"/>
    <w:unhideWhenUsed/>
    <w:rsid w:val="0034134D"/>
  </w:style>
  <w:style w:type="character" w:customStyle="1" w:styleId="FootnoteTextChar">
    <w:name w:val="Footnote Text Char"/>
    <w:basedOn w:val="DefaultParagraphFont"/>
    <w:link w:val="FootnoteText"/>
    <w:uiPriority w:val="99"/>
    <w:rsid w:val="0034134D"/>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284FF0"/>
    <w:rPr>
      <w:rFonts w:ascii="Arial" w:eastAsiaTheme="majorEastAsia" w:hAnsi="Arial" w:cstheme="majorBidi"/>
      <w:b/>
      <w:color w:val="365F91" w:themeColor="accent1" w:themeShade="BF"/>
      <w:sz w:val="28"/>
      <w:szCs w:val="32"/>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1E4D12"/>
    <w:rPr>
      <w:rFonts w:ascii="Arial" w:eastAsiaTheme="majorEastAsia" w:hAnsi="Arial" w:cstheme="majorBidi"/>
      <w:i/>
      <w:szCs w:val="26"/>
    </w:rPr>
  </w:style>
  <w:style w:type="paragraph" w:styleId="TOC2">
    <w:name w:val="toc 2"/>
    <w:basedOn w:val="Normal"/>
    <w:next w:val="Normal"/>
    <w:autoRedefine/>
    <w:uiPriority w:val="39"/>
    <w:unhideWhenUsed/>
    <w:rsid w:val="00A90373"/>
    <w:pPr>
      <w:spacing w:after="100"/>
      <w:ind w:left="240"/>
    </w:pPr>
  </w:style>
  <w:style w:type="paragraph" w:styleId="NormalWeb">
    <w:name w:val="Normal (Web)"/>
    <w:basedOn w:val="Normal"/>
    <w:uiPriority w:val="99"/>
    <w:unhideWhenUsed/>
    <w:rsid w:val="00FB2275"/>
    <w:pPr>
      <w:spacing w:before="100" w:beforeAutospacing="1" w:after="150"/>
    </w:pPr>
    <w:rPr>
      <w:rFonts w:ascii="Times New Roman" w:eastAsia="Times New Roman" w:hAnsi="Times New Roman" w:cs="Times New Roman"/>
      <w:lang w:val="en-AU" w:eastAsia="en-AU"/>
    </w:rPr>
  </w:style>
  <w:style w:type="character" w:styleId="HTMLCite">
    <w:name w:val="HTML Cite"/>
    <w:uiPriority w:val="99"/>
    <w:unhideWhenUsed/>
    <w:rsid w:val="00FB2275"/>
    <w:rPr>
      <w:i/>
      <w:iCs/>
    </w:rPr>
  </w:style>
  <w:style w:type="paragraph" w:customStyle="1" w:styleId="Default">
    <w:name w:val="Default"/>
    <w:rsid w:val="001B5640"/>
    <w:pPr>
      <w:autoSpaceDE w:val="0"/>
      <w:autoSpaceDN w:val="0"/>
      <w:adjustRightInd w:val="0"/>
    </w:pPr>
    <w:rPr>
      <w:rFonts w:ascii="Times New Roman" w:eastAsiaTheme="minorHAnsi" w:hAnsi="Times New Roman" w:cs="Times New Roman"/>
      <w:color w:val="000000"/>
      <w:lang w:val="en-AU"/>
    </w:rPr>
  </w:style>
  <w:style w:type="paragraph" w:styleId="BalloonText">
    <w:name w:val="Balloon Text"/>
    <w:basedOn w:val="Normal"/>
    <w:link w:val="BalloonTextChar"/>
    <w:uiPriority w:val="99"/>
    <w:semiHidden/>
    <w:unhideWhenUsed/>
    <w:rsid w:val="00322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25D"/>
    <w:rPr>
      <w:rFonts w:ascii="Segoe UI" w:hAnsi="Segoe UI" w:cs="Segoe UI"/>
      <w:sz w:val="18"/>
      <w:szCs w:val="18"/>
    </w:rPr>
  </w:style>
  <w:style w:type="character" w:styleId="CommentReference">
    <w:name w:val="annotation reference"/>
    <w:basedOn w:val="DefaultParagraphFont"/>
    <w:uiPriority w:val="99"/>
    <w:semiHidden/>
    <w:unhideWhenUsed/>
    <w:rsid w:val="0020141A"/>
    <w:rPr>
      <w:sz w:val="16"/>
      <w:szCs w:val="16"/>
    </w:rPr>
  </w:style>
  <w:style w:type="paragraph" w:styleId="CommentText">
    <w:name w:val="annotation text"/>
    <w:basedOn w:val="Normal"/>
    <w:link w:val="CommentTextChar"/>
    <w:uiPriority w:val="99"/>
    <w:semiHidden/>
    <w:unhideWhenUsed/>
    <w:rsid w:val="0020141A"/>
    <w:rPr>
      <w:sz w:val="20"/>
      <w:szCs w:val="20"/>
    </w:rPr>
  </w:style>
  <w:style w:type="character" w:customStyle="1" w:styleId="CommentTextChar">
    <w:name w:val="Comment Text Char"/>
    <w:basedOn w:val="DefaultParagraphFont"/>
    <w:link w:val="CommentText"/>
    <w:uiPriority w:val="99"/>
    <w:semiHidden/>
    <w:rsid w:val="0020141A"/>
    <w:rPr>
      <w:sz w:val="20"/>
      <w:szCs w:val="20"/>
    </w:rPr>
  </w:style>
  <w:style w:type="paragraph" w:styleId="CommentSubject">
    <w:name w:val="annotation subject"/>
    <w:basedOn w:val="CommentText"/>
    <w:next w:val="CommentText"/>
    <w:link w:val="CommentSubjectChar"/>
    <w:uiPriority w:val="99"/>
    <w:semiHidden/>
    <w:unhideWhenUsed/>
    <w:rsid w:val="0020141A"/>
    <w:rPr>
      <w:b/>
      <w:bCs/>
    </w:rPr>
  </w:style>
  <w:style w:type="character" w:customStyle="1" w:styleId="CommentSubjectChar">
    <w:name w:val="Comment Subject Char"/>
    <w:basedOn w:val="CommentTextChar"/>
    <w:link w:val="CommentSubject"/>
    <w:uiPriority w:val="99"/>
    <w:semiHidden/>
    <w:rsid w:val="002014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judicialcollege.vic.edu/eManuals/CHRBB.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8E0B7F-DE4F-4F2C-A367-871D093F1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F305CF15</Template>
  <TotalTime>3</TotalTime>
  <Pages>13</Pages>
  <Words>3565</Words>
  <Characters>20327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Human Rights Bill 2018</vt:lpstr>
    </vt:vector>
  </TitlesOfParts>
  <Company/>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Bill 2018</dc:title>
  <dc:subject/>
  <dc:creator>Julie Ball</dc:creator>
  <cp:keywords/>
  <dc:description/>
  <cp:lastModifiedBy>Helen Bannerman</cp:lastModifiedBy>
  <cp:revision>3</cp:revision>
  <cp:lastPrinted>2018-11-25T23:50:00Z</cp:lastPrinted>
  <dcterms:created xsi:type="dcterms:W3CDTF">2018-12-04T05:06:00Z</dcterms:created>
  <dcterms:modified xsi:type="dcterms:W3CDTF">2018-12-04T05:08:00Z</dcterms:modified>
</cp:coreProperties>
</file>