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19E" w:rsidRPr="00EC4120" w:rsidRDefault="00B5119E" w:rsidP="005034F1">
      <w:pPr>
        <w:spacing w:before="0" w:after="0"/>
        <w:rPr>
          <w:rFonts w:cs="Arial"/>
          <w:sz w:val="24"/>
          <w:szCs w:val="24"/>
        </w:rPr>
      </w:pPr>
    </w:p>
    <w:p w:rsidR="002E7F41" w:rsidRPr="00EC4120" w:rsidRDefault="00B52800" w:rsidP="005034F1">
      <w:pPr>
        <w:spacing w:before="0" w:after="0"/>
        <w:rPr>
          <w:rFonts w:cs="Arial"/>
          <w:sz w:val="24"/>
          <w:szCs w:val="24"/>
        </w:rPr>
      </w:pPr>
      <w:r>
        <w:rPr>
          <w:rFonts w:cs="Arial"/>
          <w:sz w:val="24"/>
          <w:szCs w:val="24"/>
        </w:rPr>
        <w:t>2 February</w:t>
      </w:r>
      <w:r w:rsidR="00B5119E" w:rsidRPr="00EC4120">
        <w:rPr>
          <w:rFonts w:cs="Arial"/>
          <w:sz w:val="24"/>
          <w:szCs w:val="24"/>
        </w:rPr>
        <w:t xml:space="preserve"> 2018</w:t>
      </w:r>
    </w:p>
    <w:p w:rsidR="00B5119E" w:rsidRPr="00EC4120" w:rsidRDefault="00B5119E" w:rsidP="005034F1">
      <w:pPr>
        <w:spacing w:before="0" w:after="0"/>
        <w:rPr>
          <w:rFonts w:cs="Arial"/>
          <w:sz w:val="24"/>
          <w:szCs w:val="24"/>
        </w:rPr>
      </w:pPr>
    </w:p>
    <w:p w:rsidR="00B5119E" w:rsidRPr="00EC4120" w:rsidRDefault="00B5119E" w:rsidP="00B5119E">
      <w:pPr>
        <w:spacing w:before="240" w:after="0"/>
        <w:rPr>
          <w:rFonts w:cs="Arial"/>
          <w:sz w:val="24"/>
          <w:szCs w:val="24"/>
        </w:rPr>
      </w:pPr>
      <w:r w:rsidRPr="00EC4120">
        <w:rPr>
          <w:rFonts w:cs="Arial"/>
          <w:sz w:val="24"/>
          <w:szCs w:val="24"/>
        </w:rPr>
        <w:t>The Expert Panel on Religious Freedom</w:t>
      </w:r>
    </w:p>
    <w:p w:rsidR="00B5119E" w:rsidRPr="00EC4120" w:rsidRDefault="0028610C" w:rsidP="005034F1">
      <w:pPr>
        <w:spacing w:before="0" w:after="0"/>
        <w:rPr>
          <w:rFonts w:cs="Arial"/>
          <w:sz w:val="24"/>
          <w:szCs w:val="24"/>
        </w:rPr>
      </w:pPr>
      <w:r w:rsidRPr="00EC4120">
        <w:rPr>
          <w:rFonts w:cs="Arial"/>
          <w:sz w:val="24"/>
          <w:szCs w:val="24"/>
        </w:rPr>
        <w:t>C</w:t>
      </w:r>
      <w:r w:rsidR="00B5119E" w:rsidRPr="00EC4120">
        <w:rPr>
          <w:rFonts w:cs="Arial"/>
          <w:sz w:val="24"/>
          <w:szCs w:val="24"/>
        </w:rPr>
        <w:t>/- Department of the Prime Minister and Cabinet</w:t>
      </w:r>
    </w:p>
    <w:p w:rsidR="00B5119E" w:rsidRPr="00EC4120" w:rsidRDefault="00B5119E" w:rsidP="005034F1">
      <w:pPr>
        <w:spacing w:before="0" w:after="0"/>
        <w:rPr>
          <w:rFonts w:cs="Arial"/>
          <w:sz w:val="24"/>
          <w:szCs w:val="24"/>
        </w:rPr>
      </w:pPr>
      <w:r w:rsidRPr="00EC4120">
        <w:rPr>
          <w:rFonts w:cs="Arial"/>
          <w:sz w:val="24"/>
          <w:szCs w:val="24"/>
        </w:rPr>
        <w:t>PO Box 6500</w:t>
      </w:r>
    </w:p>
    <w:p w:rsidR="00B5119E" w:rsidRPr="00EC4120" w:rsidRDefault="00B5119E" w:rsidP="005034F1">
      <w:pPr>
        <w:spacing w:before="0" w:after="0"/>
        <w:rPr>
          <w:rFonts w:cs="Arial"/>
          <w:sz w:val="24"/>
          <w:szCs w:val="24"/>
        </w:rPr>
      </w:pPr>
      <w:r w:rsidRPr="00EC4120">
        <w:rPr>
          <w:rFonts w:cs="Arial"/>
          <w:sz w:val="24"/>
          <w:szCs w:val="24"/>
        </w:rPr>
        <w:t>CANBERRA ACT 2600</w:t>
      </w:r>
    </w:p>
    <w:p w:rsidR="00B5119E" w:rsidRPr="00EC4120" w:rsidRDefault="00B5119E" w:rsidP="005034F1">
      <w:pPr>
        <w:spacing w:before="0" w:after="0"/>
        <w:rPr>
          <w:rFonts w:cs="Arial"/>
          <w:sz w:val="24"/>
          <w:szCs w:val="24"/>
        </w:rPr>
      </w:pPr>
    </w:p>
    <w:p w:rsidR="00B5119E" w:rsidRPr="00EC4120" w:rsidRDefault="00B5119E" w:rsidP="005034F1">
      <w:pPr>
        <w:spacing w:before="0" w:after="0"/>
        <w:rPr>
          <w:rFonts w:cs="Arial"/>
          <w:b/>
          <w:i/>
          <w:sz w:val="24"/>
          <w:szCs w:val="24"/>
        </w:rPr>
      </w:pPr>
      <w:r w:rsidRPr="00EC4120">
        <w:rPr>
          <w:rFonts w:cs="Arial"/>
          <w:b/>
          <w:i/>
          <w:sz w:val="24"/>
          <w:szCs w:val="24"/>
        </w:rPr>
        <w:t xml:space="preserve">By email: </w:t>
      </w:r>
      <w:hyperlink r:id="rId8" w:history="1">
        <w:r w:rsidRPr="00EC4120">
          <w:rPr>
            <w:rStyle w:val="Hyperlink"/>
            <w:rFonts w:cs="Arial"/>
            <w:b/>
            <w:i/>
            <w:sz w:val="24"/>
            <w:szCs w:val="24"/>
          </w:rPr>
          <w:t>religiousfreedom@pmc.gov.au</w:t>
        </w:r>
      </w:hyperlink>
    </w:p>
    <w:p w:rsidR="00B5119E" w:rsidRPr="00EC4120" w:rsidRDefault="00B5119E" w:rsidP="005034F1">
      <w:pPr>
        <w:spacing w:before="0" w:after="0"/>
        <w:rPr>
          <w:rFonts w:cs="Arial"/>
          <w:sz w:val="24"/>
          <w:szCs w:val="24"/>
        </w:rPr>
      </w:pPr>
    </w:p>
    <w:p w:rsidR="00B5119E" w:rsidRPr="00EC4120" w:rsidRDefault="00B5119E" w:rsidP="00B5119E">
      <w:pPr>
        <w:spacing w:after="240"/>
        <w:rPr>
          <w:rFonts w:cs="Arial"/>
          <w:sz w:val="24"/>
          <w:szCs w:val="24"/>
        </w:rPr>
      </w:pPr>
      <w:r w:rsidRPr="00EC4120">
        <w:rPr>
          <w:rFonts w:cs="Arial"/>
          <w:sz w:val="24"/>
          <w:szCs w:val="24"/>
        </w:rPr>
        <w:t>Dear Panel</w:t>
      </w:r>
    </w:p>
    <w:p w:rsidR="00B5119E" w:rsidRPr="00EC4120" w:rsidRDefault="00B5119E" w:rsidP="0028610C">
      <w:pPr>
        <w:rPr>
          <w:rFonts w:cs="Arial"/>
          <w:b/>
          <w:sz w:val="24"/>
          <w:szCs w:val="24"/>
        </w:rPr>
      </w:pPr>
      <w:r w:rsidRPr="00EC4120">
        <w:rPr>
          <w:rFonts w:cs="Arial"/>
          <w:b/>
          <w:sz w:val="24"/>
          <w:szCs w:val="24"/>
        </w:rPr>
        <w:t>RELIGIOUS FREEDOM REVIEW</w:t>
      </w:r>
    </w:p>
    <w:p w:rsidR="00F14326" w:rsidRPr="00EC4120" w:rsidRDefault="0028610C" w:rsidP="00B5119E">
      <w:pPr>
        <w:spacing w:after="240"/>
        <w:rPr>
          <w:rFonts w:cs="Arial"/>
          <w:sz w:val="24"/>
          <w:szCs w:val="24"/>
        </w:rPr>
      </w:pPr>
      <w:r w:rsidRPr="00EC4120">
        <w:rPr>
          <w:rFonts w:cs="Arial"/>
          <w:sz w:val="24"/>
          <w:szCs w:val="24"/>
        </w:rPr>
        <w:t xml:space="preserve">The </w:t>
      </w:r>
      <w:r w:rsidR="00F1752E" w:rsidRPr="00EC4120">
        <w:rPr>
          <w:rFonts w:cs="Arial"/>
          <w:sz w:val="24"/>
          <w:szCs w:val="24"/>
        </w:rPr>
        <w:t xml:space="preserve">purpose of the </w:t>
      </w:r>
      <w:r w:rsidRPr="00EC4120">
        <w:rPr>
          <w:rFonts w:cs="Arial"/>
          <w:sz w:val="24"/>
          <w:szCs w:val="24"/>
        </w:rPr>
        <w:t xml:space="preserve">Religious Freedom Review is to examine whether Australian law adequately protects the human right to freedom of religion.  The Terms of Reference include considering the intersections between the enjoyment of the freedom of religion and other human rights.  </w:t>
      </w:r>
    </w:p>
    <w:p w:rsidR="00B5119E" w:rsidRPr="00EC4120" w:rsidRDefault="0028610C" w:rsidP="00B5119E">
      <w:pPr>
        <w:spacing w:after="240"/>
        <w:rPr>
          <w:rFonts w:cs="Arial"/>
          <w:sz w:val="24"/>
          <w:szCs w:val="24"/>
        </w:rPr>
      </w:pPr>
      <w:r w:rsidRPr="00EC4120">
        <w:rPr>
          <w:rFonts w:cs="Arial"/>
          <w:sz w:val="24"/>
          <w:szCs w:val="24"/>
        </w:rPr>
        <w:t xml:space="preserve">The Anti-Discrimination Commission makes this submission to inform the Panel of the Queensland law under the </w:t>
      </w:r>
      <w:r w:rsidRPr="00EC4120">
        <w:rPr>
          <w:rFonts w:cs="Arial"/>
          <w:i/>
          <w:sz w:val="24"/>
          <w:szCs w:val="24"/>
        </w:rPr>
        <w:t xml:space="preserve">Anti-Discrimination Act 1991, </w:t>
      </w:r>
      <w:r w:rsidRPr="00EC4120">
        <w:rPr>
          <w:rFonts w:cs="Arial"/>
          <w:sz w:val="24"/>
          <w:szCs w:val="24"/>
        </w:rPr>
        <w:t>and how this law has operated in the protection and enjoyment of religious freedom and other human rights.</w:t>
      </w:r>
    </w:p>
    <w:p w:rsidR="00F1752E" w:rsidRPr="00EC4120" w:rsidRDefault="00F1752E" w:rsidP="00B5119E">
      <w:pPr>
        <w:spacing w:after="240"/>
        <w:rPr>
          <w:rFonts w:cs="Arial"/>
          <w:sz w:val="24"/>
          <w:szCs w:val="24"/>
        </w:rPr>
      </w:pPr>
      <w:r w:rsidRPr="00EC4120">
        <w:rPr>
          <w:rFonts w:cs="Arial"/>
          <w:sz w:val="24"/>
          <w:szCs w:val="24"/>
        </w:rPr>
        <w:t xml:space="preserve">The Queensland </w:t>
      </w:r>
      <w:r w:rsidRPr="00EC4120">
        <w:rPr>
          <w:rFonts w:cs="Arial"/>
          <w:i/>
          <w:sz w:val="24"/>
          <w:szCs w:val="24"/>
        </w:rPr>
        <w:t>Anti-Discrimination Act 1991</w:t>
      </w:r>
      <w:r w:rsidRPr="00EC4120">
        <w:rPr>
          <w:rFonts w:cs="Arial"/>
          <w:sz w:val="24"/>
          <w:szCs w:val="24"/>
        </w:rPr>
        <w:t xml:space="preserve"> (AD Act) commenced in June 1992.  The main purpose of the AD Act is to promote equality of opportunity for everyone by protecting them from unfair discrimination in certain areas of activity and from sexual harassment and certain objectionable conduct.  Parliament’s reasons for enacting the AD Act included extending Commonwealth human rights legislation that was enacted as part of obligations under various international human rights instruments.</w:t>
      </w:r>
    </w:p>
    <w:p w:rsidR="00743F29" w:rsidRPr="00EC4120" w:rsidRDefault="00743F29" w:rsidP="00B5119E">
      <w:pPr>
        <w:spacing w:after="240"/>
        <w:rPr>
          <w:rFonts w:cs="Arial"/>
          <w:sz w:val="24"/>
          <w:szCs w:val="24"/>
        </w:rPr>
      </w:pPr>
      <w:r w:rsidRPr="00EC4120">
        <w:rPr>
          <w:rFonts w:cs="Arial"/>
          <w:sz w:val="24"/>
          <w:szCs w:val="24"/>
        </w:rPr>
        <w:t xml:space="preserve">The </w:t>
      </w:r>
      <w:r w:rsidR="0087435B" w:rsidRPr="00EC4120">
        <w:rPr>
          <w:rFonts w:cs="Arial"/>
          <w:sz w:val="24"/>
          <w:szCs w:val="24"/>
        </w:rPr>
        <w:t>AD Act prohibit</w:t>
      </w:r>
      <w:r w:rsidR="00BC5C48" w:rsidRPr="00EC4120">
        <w:rPr>
          <w:rFonts w:cs="Arial"/>
          <w:sz w:val="24"/>
          <w:szCs w:val="24"/>
        </w:rPr>
        <w:t>s</w:t>
      </w:r>
      <w:r w:rsidRPr="00EC4120">
        <w:rPr>
          <w:rFonts w:cs="Arial"/>
          <w:sz w:val="24"/>
          <w:szCs w:val="24"/>
        </w:rPr>
        <w:t xml:space="preserve"> discrimination on certain grounds in certain areas of activity, unless an exemption applies.</w:t>
      </w:r>
      <w:r w:rsidR="004C0B64" w:rsidRPr="00EC4120">
        <w:rPr>
          <w:rFonts w:cs="Arial"/>
          <w:sz w:val="24"/>
          <w:szCs w:val="24"/>
        </w:rPr>
        <w:t xml:space="preserve">  There are 16 grounds </w:t>
      </w:r>
      <w:r w:rsidR="0087435B" w:rsidRPr="00EC4120">
        <w:rPr>
          <w:rFonts w:cs="Arial"/>
          <w:sz w:val="24"/>
          <w:szCs w:val="24"/>
        </w:rPr>
        <w:t>(also called attributes) on which</w:t>
      </w:r>
      <w:r w:rsidR="004C0B64" w:rsidRPr="00EC4120">
        <w:rPr>
          <w:rFonts w:cs="Arial"/>
          <w:sz w:val="24"/>
          <w:szCs w:val="24"/>
        </w:rPr>
        <w:t xml:space="preserve"> discrimination is prohibited.  </w:t>
      </w:r>
      <w:r w:rsidR="0087435B" w:rsidRPr="00EC4120">
        <w:rPr>
          <w:rFonts w:cs="Arial"/>
          <w:sz w:val="24"/>
          <w:szCs w:val="24"/>
        </w:rPr>
        <w:t>They</w:t>
      </w:r>
      <w:r w:rsidR="004C0B64" w:rsidRPr="00EC4120">
        <w:rPr>
          <w:rFonts w:cs="Arial"/>
          <w:sz w:val="24"/>
          <w:szCs w:val="24"/>
        </w:rPr>
        <w:t xml:space="preserve"> are: age, breastfeeding, family responsibilities, gender identity, impairment, lawful sexual activity, parental status, political belief or activity, pregnancy, race, relationship status, religious belief or religious activity, sex, sexuality, trade union activity, and association with or relation to a person </w:t>
      </w:r>
      <w:r w:rsidR="00940502" w:rsidRPr="00EC4120">
        <w:rPr>
          <w:rFonts w:cs="Arial"/>
          <w:sz w:val="24"/>
          <w:szCs w:val="24"/>
        </w:rPr>
        <w:t>identified</w:t>
      </w:r>
      <w:r w:rsidR="004C0B64" w:rsidRPr="00EC4120">
        <w:rPr>
          <w:rFonts w:cs="Arial"/>
          <w:sz w:val="24"/>
          <w:szCs w:val="24"/>
        </w:rPr>
        <w:t xml:space="preserve"> on the basis of any of the grounds.</w:t>
      </w:r>
    </w:p>
    <w:p w:rsidR="00BC5C48" w:rsidRPr="00EC4120" w:rsidRDefault="003F6CA5" w:rsidP="00B5119E">
      <w:pPr>
        <w:spacing w:after="240"/>
        <w:rPr>
          <w:rFonts w:cs="Arial"/>
          <w:sz w:val="24"/>
          <w:szCs w:val="24"/>
        </w:rPr>
      </w:pPr>
      <w:r w:rsidRPr="00EC4120">
        <w:rPr>
          <w:rFonts w:cs="Arial"/>
          <w:sz w:val="24"/>
          <w:szCs w:val="24"/>
        </w:rPr>
        <w:t>Other ob</w:t>
      </w:r>
      <w:r w:rsidR="00BC5C48" w:rsidRPr="00EC4120">
        <w:rPr>
          <w:rFonts w:cs="Arial"/>
          <w:sz w:val="24"/>
          <w:szCs w:val="24"/>
        </w:rPr>
        <w:t>j</w:t>
      </w:r>
      <w:r w:rsidRPr="00EC4120">
        <w:rPr>
          <w:rFonts w:cs="Arial"/>
          <w:sz w:val="24"/>
          <w:szCs w:val="24"/>
        </w:rPr>
        <w:t>e</w:t>
      </w:r>
      <w:r w:rsidR="00BC5C48" w:rsidRPr="00EC4120">
        <w:rPr>
          <w:rFonts w:cs="Arial"/>
          <w:sz w:val="24"/>
          <w:szCs w:val="24"/>
        </w:rPr>
        <w:t>ctionable conduct that is proh</w:t>
      </w:r>
      <w:r w:rsidR="008C284F" w:rsidRPr="00EC4120">
        <w:rPr>
          <w:rFonts w:cs="Arial"/>
          <w:sz w:val="24"/>
          <w:szCs w:val="24"/>
        </w:rPr>
        <w:t>i</w:t>
      </w:r>
      <w:r w:rsidR="00BC5C48" w:rsidRPr="00EC4120">
        <w:rPr>
          <w:rFonts w:cs="Arial"/>
          <w:sz w:val="24"/>
          <w:szCs w:val="24"/>
        </w:rPr>
        <w:t>bited includes vilification on the grounds of race, religion, sexuality and gender identity.</w:t>
      </w:r>
    </w:p>
    <w:p w:rsidR="00BC5C48" w:rsidRPr="00EC4120" w:rsidRDefault="00BC5C48" w:rsidP="00B5119E">
      <w:pPr>
        <w:spacing w:after="240"/>
        <w:rPr>
          <w:rFonts w:cs="Arial"/>
          <w:sz w:val="24"/>
          <w:szCs w:val="24"/>
        </w:rPr>
      </w:pPr>
      <w:r w:rsidRPr="00EC4120">
        <w:rPr>
          <w:rFonts w:cs="Arial"/>
          <w:sz w:val="24"/>
          <w:szCs w:val="24"/>
        </w:rPr>
        <w:lastRenderedPageBreak/>
        <w:t>A person who is subjected to an alleged contravention of the AD Act may complain to the Anti-Discrimination Commission.  The function of the Commission is to try to resolve complaints through conciliation.  If a complaint is unresolved, it may be referred to a tribunal for hearing and determination.</w:t>
      </w:r>
      <w:r w:rsidRPr="00EC4120">
        <w:rPr>
          <w:rStyle w:val="FootnoteReference"/>
          <w:rFonts w:cs="Arial"/>
          <w:sz w:val="24"/>
          <w:szCs w:val="24"/>
        </w:rPr>
        <w:footnoteReference w:id="1"/>
      </w:r>
    </w:p>
    <w:p w:rsidR="00F14326" w:rsidRPr="00EC4120" w:rsidRDefault="001F45C3" w:rsidP="004C0B64">
      <w:pPr>
        <w:keepNext/>
        <w:rPr>
          <w:rFonts w:cs="Arial"/>
          <w:b/>
          <w:sz w:val="24"/>
          <w:szCs w:val="24"/>
        </w:rPr>
      </w:pPr>
      <w:r w:rsidRPr="00EC4120">
        <w:rPr>
          <w:rFonts w:cs="Arial"/>
          <w:b/>
          <w:sz w:val="24"/>
          <w:szCs w:val="24"/>
        </w:rPr>
        <w:t>Discrimination prohibited</w:t>
      </w:r>
    </w:p>
    <w:p w:rsidR="001F45C3" w:rsidRPr="00EC4120" w:rsidRDefault="001F45C3" w:rsidP="001F45C3">
      <w:pPr>
        <w:rPr>
          <w:rFonts w:cs="Arial"/>
          <w:sz w:val="24"/>
          <w:szCs w:val="24"/>
        </w:rPr>
      </w:pPr>
      <w:r w:rsidRPr="00EC4120">
        <w:rPr>
          <w:rFonts w:cs="Arial"/>
          <w:sz w:val="24"/>
          <w:szCs w:val="24"/>
        </w:rPr>
        <w:t>Discrimination on the basis of religious belief or religious activity is unlawful in all the areas of activity under the AD Act, namely:</w:t>
      </w:r>
    </w:p>
    <w:p w:rsidR="001F45C3" w:rsidRPr="00EC4120" w:rsidRDefault="001F45C3" w:rsidP="001F45C3">
      <w:pPr>
        <w:pStyle w:val="ListParagraph"/>
        <w:numPr>
          <w:ilvl w:val="0"/>
          <w:numId w:val="1"/>
        </w:numPr>
        <w:ind w:left="714" w:hanging="357"/>
        <w:contextualSpacing w:val="0"/>
        <w:rPr>
          <w:rFonts w:cs="Arial"/>
          <w:sz w:val="24"/>
          <w:szCs w:val="24"/>
        </w:rPr>
      </w:pPr>
      <w:r w:rsidRPr="00EC4120">
        <w:rPr>
          <w:rFonts w:cs="Arial"/>
          <w:sz w:val="24"/>
          <w:szCs w:val="24"/>
        </w:rPr>
        <w:t>work (including applying for work, voluntary work, and work experience);</w:t>
      </w:r>
    </w:p>
    <w:p w:rsidR="001F45C3" w:rsidRPr="00EC4120" w:rsidRDefault="001F45C3" w:rsidP="001F45C3">
      <w:pPr>
        <w:pStyle w:val="ListParagraph"/>
        <w:numPr>
          <w:ilvl w:val="0"/>
          <w:numId w:val="1"/>
        </w:numPr>
        <w:ind w:left="714" w:hanging="357"/>
        <w:contextualSpacing w:val="0"/>
        <w:rPr>
          <w:rFonts w:cs="Arial"/>
          <w:sz w:val="24"/>
          <w:szCs w:val="24"/>
        </w:rPr>
      </w:pPr>
      <w:r w:rsidRPr="00EC4120">
        <w:rPr>
          <w:rFonts w:cs="Arial"/>
          <w:sz w:val="24"/>
          <w:szCs w:val="24"/>
        </w:rPr>
        <w:t>education;</w:t>
      </w:r>
    </w:p>
    <w:p w:rsidR="001F45C3" w:rsidRPr="00EC4120" w:rsidRDefault="001F45C3" w:rsidP="001F45C3">
      <w:pPr>
        <w:pStyle w:val="ListParagraph"/>
        <w:numPr>
          <w:ilvl w:val="0"/>
          <w:numId w:val="1"/>
        </w:numPr>
        <w:ind w:left="714" w:hanging="357"/>
        <w:contextualSpacing w:val="0"/>
        <w:rPr>
          <w:rFonts w:cs="Arial"/>
          <w:sz w:val="24"/>
          <w:szCs w:val="24"/>
        </w:rPr>
      </w:pPr>
      <w:r w:rsidRPr="00EC4120">
        <w:rPr>
          <w:rFonts w:cs="Arial"/>
          <w:sz w:val="24"/>
          <w:szCs w:val="24"/>
        </w:rPr>
        <w:t>providing goods or services;</w:t>
      </w:r>
    </w:p>
    <w:p w:rsidR="001F45C3" w:rsidRPr="00EC4120" w:rsidRDefault="001F45C3" w:rsidP="001F45C3">
      <w:pPr>
        <w:pStyle w:val="ListParagraph"/>
        <w:numPr>
          <w:ilvl w:val="0"/>
          <w:numId w:val="1"/>
        </w:numPr>
        <w:ind w:left="714" w:hanging="357"/>
        <w:contextualSpacing w:val="0"/>
        <w:rPr>
          <w:rFonts w:cs="Arial"/>
          <w:sz w:val="24"/>
          <w:szCs w:val="24"/>
        </w:rPr>
      </w:pPr>
      <w:r w:rsidRPr="00EC4120">
        <w:rPr>
          <w:rFonts w:cs="Arial"/>
          <w:sz w:val="24"/>
          <w:szCs w:val="24"/>
        </w:rPr>
        <w:t>accommodation (includes residential and commercial premises);</w:t>
      </w:r>
    </w:p>
    <w:p w:rsidR="001F45C3" w:rsidRPr="00EC4120" w:rsidRDefault="001F45C3" w:rsidP="001F45C3">
      <w:pPr>
        <w:pStyle w:val="ListParagraph"/>
        <w:numPr>
          <w:ilvl w:val="0"/>
          <w:numId w:val="1"/>
        </w:numPr>
        <w:ind w:left="714" w:hanging="357"/>
        <w:contextualSpacing w:val="0"/>
        <w:rPr>
          <w:rFonts w:cs="Arial"/>
          <w:sz w:val="24"/>
          <w:szCs w:val="24"/>
        </w:rPr>
      </w:pPr>
      <w:r w:rsidRPr="00EC4120">
        <w:rPr>
          <w:rFonts w:cs="Arial"/>
          <w:sz w:val="24"/>
          <w:szCs w:val="24"/>
        </w:rPr>
        <w:t>administering State laws or programs (includes State government departments and statutory authorities performing functions under Queensland legislation);</w:t>
      </w:r>
    </w:p>
    <w:p w:rsidR="001F45C3" w:rsidRPr="00EC4120" w:rsidRDefault="001F45C3" w:rsidP="001F45C3">
      <w:pPr>
        <w:pStyle w:val="ListParagraph"/>
        <w:numPr>
          <w:ilvl w:val="0"/>
          <w:numId w:val="1"/>
        </w:numPr>
        <w:ind w:left="714" w:hanging="357"/>
        <w:contextualSpacing w:val="0"/>
        <w:rPr>
          <w:rFonts w:cs="Arial"/>
          <w:sz w:val="24"/>
          <w:szCs w:val="24"/>
        </w:rPr>
      </w:pPr>
      <w:r w:rsidRPr="00EC4120">
        <w:rPr>
          <w:rFonts w:cs="Arial"/>
          <w:sz w:val="24"/>
          <w:szCs w:val="24"/>
        </w:rPr>
        <w:t>club membership and affairs (except not-for-profit associations and clubs);</w:t>
      </w:r>
    </w:p>
    <w:p w:rsidR="001F45C3" w:rsidRPr="00EC4120" w:rsidRDefault="001F45C3" w:rsidP="001F45C3">
      <w:pPr>
        <w:pStyle w:val="ListParagraph"/>
        <w:numPr>
          <w:ilvl w:val="0"/>
          <w:numId w:val="1"/>
        </w:numPr>
        <w:ind w:left="714" w:hanging="357"/>
        <w:contextualSpacing w:val="0"/>
        <w:rPr>
          <w:rFonts w:cs="Arial"/>
          <w:sz w:val="24"/>
          <w:szCs w:val="24"/>
        </w:rPr>
      </w:pPr>
      <w:r w:rsidRPr="00EC4120">
        <w:rPr>
          <w:rFonts w:cs="Arial"/>
          <w:sz w:val="24"/>
          <w:szCs w:val="24"/>
        </w:rPr>
        <w:t>superannuation and insurance;</w:t>
      </w:r>
    </w:p>
    <w:p w:rsidR="001F45C3" w:rsidRPr="00EC4120" w:rsidRDefault="001F45C3" w:rsidP="001F45C3">
      <w:pPr>
        <w:pStyle w:val="ListParagraph"/>
        <w:numPr>
          <w:ilvl w:val="0"/>
          <w:numId w:val="1"/>
        </w:numPr>
        <w:ind w:left="714" w:hanging="357"/>
        <w:contextualSpacing w:val="0"/>
        <w:rPr>
          <w:rFonts w:cs="Arial"/>
          <w:sz w:val="24"/>
          <w:szCs w:val="24"/>
        </w:rPr>
      </w:pPr>
      <w:r w:rsidRPr="00EC4120">
        <w:rPr>
          <w:rFonts w:cs="Arial"/>
          <w:sz w:val="24"/>
          <w:szCs w:val="24"/>
        </w:rPr>
        <w:t>disposing of land; and</w:t>
      </w:r>
    </w:p>
    <w:p w:rsidR="001F45C3" w:rsidRPr="00EC4120" w:rsidRDefault="001F45C3" w:rsidP="001F45C3">
      <w:pPr>
        <w:pStyle w:val="ListParagraph"/>
        <w:numPr>
          <w:ilvl w:val="0"/>
          <w:numId w:val="1"/>
        </w:numPr>
        <w:ind w:left="714" w:hanging="357"/>
        <w:contextualSpacing w:val="0"/>
        <w:rPr>
          <w:rFonts w:cs="Arial"/>
          <w:sz w:val="24"/>
          <w:szCs w:val="24"/>
        </w:rPr>
      </w:pPr>
      <w:r w:rsidRPr="00EC4120">
        <w:rPr>
          <w:rFonts w:cs="Arial"/>
          <w:sz w:val="24"/>
          <w:szCs w:val="24"/>
        </w:rPr>
        <w:t>between local government member</w:t>
      </w:r>
      <w:r w:rsidR="008C284F" w:rsidRPr="00EC4120">
        <w:rPr>
          <w:rFonts w:cs="Arial"/>
          <w:sz w:val="24"/>
          <w:szCs w:val="24"/>
        </w:rPr>
        <w:t>s performing official functions</w:t>
      </w:r>
      <w:r w:rsidRPr="00EC4120">
        <w:rPr>
          <w:rFonts w:cs="Arial"/>
          <w:sz w:val="24"/>
          <w:szCs w:val="24"/>
        </w:rPr>
        <w:t>.</w:t>
      </w:r>
    </w:p>
    <w:p w:rsidR="001F45C3" w:rsidRPr="00EC4120" w:rsidRDefault="001F45C3" w:rsidP="001F45C3">
      <w:pPr>
        <w:spacing w:before="240"/>
        <w:rPr>
          <w:rFonts w:cs="Arial"/>
          <w:sz w:val="24"/>
          <w:szCs w:val="24"/>
        </w:rPr>
      </w:pPr>
      <w:r w:rsidRPr="00EC4120">
        <w:rPr>
          <w:rFonts w:cs="Arial"/>
          <w:sz w:val="24"/>
          <w:szCs w:val="24"/>
        </w:rPr>
        <w:t>Religious belief and religious activity are defined to include not</w:t>
      </w:r>
      <w:r w:rsidR="00940502">
        <w:rPr>
          <w:rFonts w:cs="Arial"/>
          <w:sz w:val="24"/>
          <w:szCs w:val="24"/>
        </w:rPr>
        <w:t xml:space="preserve"> having a religious belief or engaging in a </w:t>
      </w:r>
      <w:r w:rsidRPr="00EC4120">
        <w:rPr>
          <w:rFonts w:cs="Arial"/>
          <w:sz w:val="24"/>
          <w:szCs w:val="24"/>
        </w:rPr>
        <w:t>religious activity.</w:t>
      </w:r>
    </w:p>
    <w:p w:rsidR="00BE470D" w:rsidRPr="00EC4120" w:rsidRDefault="00BE470D" w:rsidP="001F45C3">
      <w:pPr>
        <w:spacing w:before="240"/>
        <w:rPr>
          <w:rFonts w:cs="Arial"/>
          <w:sz w:val="24"/>
          <w:szCs w:val="24"/>
        </w:rPr>
      </w:pPr>
      <w:r w:rsidRPr="00EC4120">
        <w:rPr>
          <w:rFonts w:cs="Arial"/>
          <w:sz w:val="24"/>
          <w:szCs w:val="24"/>
        </w:rPr>
        <w:t xml:space="preserve">Some case studies of complaints of discrimination on the basis of religious belief or religious activity are described in the attached </w:t>
      </w:r>
      <w:r w:rsidR="006E0858" w:rsidRPr="00EC4120">
        <w:rPr>
          <w:rFonts w:cs="Arial"/>
          <w:sz w:val="24"/>
          <w:szCs w:val="24"/>
        </w:rPr>
        <w:t>A</w:t>
      </w:r>
      <w:r w:rsidRPr="00EC4120">
        <w:rPr>
          <w:rFonts w:cs="Arial"/>
          <w:sz w:val="24"/>
          <w:szCs w:val="24"/>
        </w:rPr>
        <w:t>ppendix</w:t>
      </w:r>
      <w:r w:rsidR="006E0858" w:rsidRPr="00EC4120">
        <w:rPr>
          <w:rFonts w:cs="Arial"/>
          <w:sz w:val="24"/>
          <w:szCs w:val="24"/>
        </w:rPr>
        <w:t xml:space="preserve"> A</w:t>
      </w:r>
      <w:r w:rsidRPr="00EC4120">
        <w:rPr>
          <w:rFonts w:cs="Arial"/>
          <w:sz w:val="24"/>
          <w:szCs w:val="24"/>
        </w:rPr>
        <w:t>.  The case studies include complaints decided by a tribunal and complaints resolved at conciliation.</w:t>
      </w:r>
    </w:p>
    <w:p w:rsidR="001F45C3" w:rsidRPr="00EC4120" w:rsidRDefault="001F45C3" w:rsidP="001F45C3">
      <w:pPr>
        <w:spacing w:before="240"/>
        <w:rPr>
          <w:rFonts w:cs="Arial"/>
          <w:sz w:val="24"/>
          <w:szCs w:val="24"/>
        </w:rPr>
      </w:pPr>
      <w:r w:rsidRPr="00EC4120">
        <w:rPr>
          <w:rFonts w:cs="Arial"/>
          <w:sz w:val="24"/>
          <w:szCs w:val="24"/>
        </w:rPr>
        <w:t xml:space="preserve">Specific exemptions in the </w:t>
      </w:r>
      <w:r w:rsidRPr="00EC4120">
        <w:rPr>
          <w:rFonts w:cs="Arial"/>
          <w:i/>
          <w:sz w:val="24"/>
          <w:szCs w:val="24"/>
        </w:rPr>
        <w:t>Anti-Discrimination Act 1991</w:t>
      </w:r>
      <w:r w:rsidRPr="00EC4120">
        <w:rPr>
          <w:rFonts w:cs="Arial"/>
          <w:sz w:val="24"/>
          <w:szCs w:val="24"/>
        </w:rPr>
        <w:t xml:space="preserve"> (Qld) allow some discrimination by religious bodies and educational institutions, as well as discrimination in relation to land and buildings that have religious significance.  Discrimination on the basis of religious belief or activity is also allowed for certain activities.</w:t>
      </w:r>
    </w:p>
    <w:p w:rsidR="001F45C3" w:rsidRPr="00EC4120" w:rsidRDefault="001F45C3" w:rsidP="00BC5C48">
      <w:pPr>
        <w:keepNext/>
        <w:spacing w:before="240"/>
        <w:rPr>
          <w:rFonts w:cs="Arial"/>
          <w:b/>
          <w:sz w:val="24"/>
          <w:szCs w:val="24"/>
        </w:rPr>
      </w:pPr>
      <w:r w:rsidRPr="00EC4120">
        <w:rPr>
          <w:rFonts w:cs="Arial"/>
          <w:b/>
          <w:sz w:val="24"/>
          <w:szCs w:val="24"/>
        </w:rPr>
        <w:t>Discrimination allowed</w:t>
      </w:r>
    </w:p>
    <w:p w:rsidR="001F45C3" w:rsidRPr="00EC4120" w:rsidRDefault="001F45C3" w:rsidP="001F45C3">
      <w:pPr>
        <w:rPr>
          <w:rFonts w:cs="Arial"/>
          <w:sz w:val="24"/>
          <w:szCs w:val="24"/>
        </w:rPr>
      </w:pPr>
      <w:r w:rsidRPr="00EC4120">
        <w:rPr>
          <w:rFonts w:cs="Arial"/>
          <w:sz w:val="24"/>
          <w:szCs w:val="24"/>
        </w:rPr>
        <w:t>Discrimination on the basis of religious belief or religious activity is allowed in:</w:t>
      </w:r>
    </w:p>
    <w:p w:rsidR="001F45C3" w:rsidRPr="00EC4120" w:rsidRDefault="001F45C3" w:rsidP="001F45C3">
      <w:pPr>
        <w:pStyle w:val="ListParagraph"/>
        <w:numPr>
          <w:ilvl w:val="0"/>
          <w:numId w:val="1"/>
        </w:numPr>
        <w:ind w:left="714" w:hanging="357"/>
        <w:contextualSpacing w:val="0"/>
        <w:rPr>
          <w:rFonts w:cs="Arial"/>
          <w:sz w:val="24"/>
          <w:szCs w:val="24"/>
        </w:rPr>
      </w:pPr>
      <w:r w:rsidRPr="00EC4120">
        <w:rPr>
          <w:rFonts w:cs="Arial"/>
          <w:sz w:val="24"/>
          <w:szCs w:val="24"/>
        </w:rPr>
        <w:t>engaging residential domestic services;</w:t>
      </w:r>
      <w:r w:rsidRPr="00EC4120">
        <w:rPr>
          <w:rStyle w:val="FootnoteReference"/>
          <w:rFonts w:cs="Arial"/>
          <w:sz w:val="24"/>
          <w:szCs w:val="24"/>
        </w:rPr>
        <w:footnoteReference w:id="2"/>
      </w:r>
    </w:p>
    <w:p w:rsidR="001F45C3" w:rsidRPr="00EC4120" w:rsidRDefault="001F45C3" w:rsidP="001F45C3">
      <w:pPr>
        <w:pStyle w:val="ListParagraph"/>
        <w:numPr>
          <w:ilvl w:val="0"/>
          <w:numId w:val="1"/>
        </w:numPr>
        <w:ind w:left="714" w:hanging="357"/>
        <w:contextualSpacing w:val="0"/>
        <w:rPr>
          <w:rFonts w:cs="Arial"/>
          <w:sz w:val="24"/>
          <w:szCs w:val="24"/>
        </w:rPr>
      </w:pPr>
      <w:r w:rsidRPr="00EC4120">
        <w:rPr>
          <w:rFonts w:cs="Arial"/>
          <w:sz w:val="24"/>
          <w:szCs w:val="24"/>
        </w:rPr>
        <w:lastRenderedPageBreak/>
        <w:t>engaging residential child care services;</w:t>
      </w:r>
      <w:r w:rsidRPr="00EC4120">
        <w:rPr>
          <w:rStyle w:val="FootnoteReference"/>
          <w:rFonts w:cs="Arial"/>
          <w:sz w:val="24"/>
          <w:szCs w:val="24"/>
        </w:rPr>
        <w:footnoteReference w:id="3"/>
      </w:r>
    </w:p>
    <w:p w:rsidR="001F45C3" w:rsidRPr="00EC4120" w:rsidRDefault="001F45C3" w:rsidP="001F45C3">
      <w:pPr>
        <w:pStyle w:val="ListParagraph"/>
        <w:numPr>
          <w:ilvl w:val="0"/>
          <w:numId w:val="1"/>
        </w:numPr>
        <w:ind w:left="714" w:hanging="357"/>
        <w:contextualSpacing w:val="0"/>
        <w:rPr>
          <w:rFonts w:cs="Arial"/>
          <w:sz w:val="24"/>
          <w:szCs w:val="24"/>
        </w:rPr>
      </w:pPr>
      <w:r w:rsidRPr="00EC4120">
        <w:rPr>
          <w:rFonts w:cs="Arial"/>
          <w:sz w:val="24"/>
          <w:szCs w:val="24"/>
        </w:rPr>
        <w:t>the provision of goods or services by not-for-profit associations.</w:t>
      </w:r>
      <w:r w:rsidRPr="00EC4120">
        <w:rPr>
          <w:rStyle w:val="FootnoteReference"/>
          <w:rFonts w:cs="Arial"/>
          <w:sz w:val="24"/>
          <w:szCs w:val="24"/>
        </w:rPr>
        <w:footnoteReference w:id="4"/>
      </w:r>
    </w:p>
    <w:p w:rsidR="003F6CA5" w:rsidRPr="00EC4120" w:rsidRDefault="003F6CA5" w:rsidP="003F6CA5">
      <w:pPr>
        <w:spacing w:before="240"/>
        <w:rPr>
          <w:rFonts w:cs="Arial"/>
          <w:sz w:val="24"/>
          <w:szCs w:val="24"/>
        </w:rPr>
      </w:pPr>
      <w:r w:rsidRPr="00EC4120">
        <w:rPr>
          <w:rFonts w:cs="Arial"/>
          <w:sz w:val="24"/>
          <w:szCs w:val="24"/>
        </w:rPr>
        <w:t>Many religious entities that provide goods and services will fall under the definition of not-for-profit associations.</w:t>
      </w:r>
      <w:r w:rsidRPr="00EC4120">
        <w:rPr>
          <w:rStyle w:val="FootnoteReference"/>
          <w:rFonts w:cs="Arial"/>
          <w:sz w:val="24"/>
          <w:szCs w:val="24"/>
        </w:rPr>
        <w:footnoteReference w:id="5"/>
      </w:r>
      <w:r w:rsidRPr="00EC4120">
        <w:rPr>
          <w:rFonts w:cs="Arial"/>
          <w:sz w:val="24"/>
          <w:szCs w:val="24"/>
        </w:rPr>
        <w:t xml:space="preserve">  They are therefore allowed to discriminate on the basis of any of the 16 grounds covered by the AD Act should they wish to do so when supplying goods and/or services.</w:t>
      </w:r>
    </w:p>
    <w:p w:rsidR="001F45C3" w:rsidRPr="00EC4120" w:rsidRDefault="008071CB" w:rsidP="00BC5C48">
      <w:pPr>
        <w:keepNext/>
        <w:spacing w:before="240"/>
        <w:rPr>
          <w:rFonts w:cs="Arial"/>
          <w:b/>
          <w:sz w:val="24"/>
          <w:szCs w:val="24"/>
        </w:rPr>
      </w:pPr>
      <w:r w:rsidRPr="00EC4120">
        <w:rPr>
          <w:rFonts w:cs="Arial"/>
          <w:b/>
          <w:sz w:val="24"/>
          <w:szCs w:val="24"/>
        </w:rPr>
        <w:t>R</w:t>
      </w:r>
      <w:r w:rsidR="001F45C3" w:rsidRPr="00EC4120">
        <w:rPr>
          <w:rFonts w:cs="Arial"/>
          <w:b/>
          <w:sz w:val="24"/>
          <w:szCs w:val="24"/>
        </w:rPr>
        <w:t>eligious bodies</w:t>
      </w:r>
    </w:p>
    <w:p w:rsidR="001F45C3" w:rsidRPr="00EC4120" w:rsidRDefault="001F45C3" w:rsidP="001F45C3">
      <w:pPr>
        <w:spacing w:after="240"/>
        <w:rPr>
          <w:rFonts w:cs="Arial"/>
          <w:sz w:val="24"/>
          <w:szCs w:val="24"/>
        </w:rPr>
      </w:pPr>
      <w:r w:rsidRPr="00EC4120">
        <w:rPr>
          <w:rFonts w:cs="Arial"/>
          <w:sz w:val="24"/>
          <w:szCs w:val="24"/>
        </w:rPr>
        <w:t>A body established for religious purposes may discriminate</w:t>
      </w:r>
      <w:r w:rsidR="006669FE" w:rsidRPr="00EC4120">
        <w:rPr>
          <w:rFonts w:cs="Arial"/>
          <w:sz w:val="24"/>
          <w:szCs w:val="24"/>
        </w:rPr>
        <w:t xml:space="preserve"> </w:t>
      </w:r>
      <w:r w:rsidRPr="00EC4120">
        <w:rPr>
          <w:rFonts w:cs="Arial"/>
          <w:sz w:val="24"/>
          <w:szCs w:val="24"/>
        </w:rPr>
        <w:t xml:space="preserve">on any grounds, </w:t>
      </w:r>
      <w:r w:rsidR="006669FE" w:rsidRPr="00EC4120">
        <w:rPr>
          <w:rFonts w:cs="Arial"/>
          <w:sz w:val="24"/>
          <w:szCs w:val="24"/>
        </w:rPr>
        <w:t>provided</w:t>
      </w:r>
      <w:r w:rsidRPr="00EC4120">
        <w:rPr>
          <w:rFonts w:cs="Arial"/>
          <w:sz w:val="24"/>
          <w:szCs w:val="24"/>
        </w:rPr>
        <w:t xml:space="preserve"> the discrimination is in accordance with the doctrine of the religion and is necessary to avoid offending the religious sensitivities of people of the religion, except in the areas of work and education.</w:t>
      </w:r>
      <w:r w:rsidRPr="00EC4120">
        <w:rPr>
          <w:rStyle w:val="FootnoteReference"/>
          <w:rFonts w:cs="Arial"/>
          <w:sz w:val="24"/>
          <w:szCs w:val="24"/>
        </w:rPr>
        <w:footnoteReference w:id="6"/>
      </w:r>
      <w:r w:rsidR="009577BB" w:rsidRPr="00EC4120">
        <w:rPr>
          <w:rFonts w:cs="Arial"/>
          <w:sz w:val="24"/>
          <w:szCs w:val="24"/>
        </w:rPr>
        <w:t xml:space="preserve">  There are however specific exemptions that apply to work and education.</w:t>
      </w:r>
    </w:p>
    <w:p w:rsidR="006669FE" w:rsidRPr="00EC4120" w:rsidRDefault="006669FE" w:rsidP="006669FE">
      <w:pPr>
        <w:rPr>
          <w:rFonts w:cs="Arial"/>
          <w:sz w:val="24"/>
          <w:szCs w:val="24"/>
        </w:rPr>
      </w:pPr>
      <w:r w:rsidRPr="00EC4120">
        <w:rPr>
          <w:rFonts w:cs="Arial"/>
          <w:sz w:val="24"/>
          <w:szCs w:val="24"/>
        </w:rPr>
        <w:t>The AD Act also does not apply to:</w:t>
      </w:r>
      <w:r w:rsidR="00120BFA" w:rsidRPr="00EC4120">
        <w:rPr>
          <w:rStyle w:val="FootnoteReference"/>
          <w:rFonts w:cs="Arial"/>
          <w:sz w:val="24"/>
          <w:szCs w:val="24"/>
        </w:rPr>
        <w:footnoteReference w:id="7"/>
      </w:r>
    </w:p>
    <w:p w:rsidR="006669FE" w:rsidRPr="00EC4120" w:rsidRDefault="006669FE" w:rsidP="006669FE">
      <w:pPr>
        <w:pStyle w:val="ListParagraph"/>
        <w:numPr>
          <w:ilvl w:val="0"/>
          <w:numId w:val="2"/>
        </w:numPr>
        <w:contextualSpacing w:val="0"/>
        <w:rPr>
          <w:rFonts w:cs="Arial"/>
          <w:sz w:val="24"/>
          <w:szCs w:val="24"/>
        </w:rPr>
      </w:pPr>
      <w:r w:rsidRPr="00EC4120">
        <w:rPr>
          <w:rFonts w:cs="Arial"/>
          <w:sz w:val="24"/>
          <w:szCs w:val="24"/>
        </w:rPr>
        <w:t>the ordination of appointment of priests, ministers of religion or members of a religious order;</w:t>
      </w:r>
    </w:p>
    <w:p w:rsidR="006669FE" w:rsidRPr="00EC4120" w:rsidRDefault="006669FE" w:rsidP="006669FE">
      <w:pPr>
        <w:pStyle w:val="ListParagraph"/>
        <w:numPr>
          <w:ilvl w:val="0"/>
          <w:numId w:val="2"/>
        </w:numPr>
        <w:contextualSpacing w:val="0"/>
        <w:rPr>
          <w:rFonts w:cs="Arial"/>
          <w:sz w:val="24"/>
          <w:szCs w:val="24"/>
        </w:rPr>
      </w:pPr>
      <w:r w:rsidRPr="00EC4120">
        <w:rPr>
          <w:rFonts w:cs="Arial"/>
          <w:sz w:val="24"/>
          <w:szCs w:val="24"/>
        </w:rPr>
        <w:t>the training or education of people seeking to be ordained or appointed as priests, ministers of religion or members of a religious order; and</w:t>
      </w:r>
    </w:p>
    <w:p w:rsidR="006669FE" w:rsidRPr="00EC4120" w:rsidRDefault="006669FE" w:rsidP="006669FE">
      <w:pPr>
        <w:pStyle w:val="ListParagraph"/>
        <w:numPr>
          <w:ilvl w:val="0"/>
          <w:numId w:val="2"/>
        </w:numPr>
        <w:contextualSpacing w:val="0"/>
        <w:rPr>
          <w:rFonts w:cs="Arial"/>
          <w:sz w:val="24"/>
          <w:szCs w:val="24"/>
        </w:rPr>
      </w:pPr>
      <w:r w:rsidRPr="00EC4120">
        <w:rPr>
          <w:rFonts w:cs="Arial"/>
          <w:sz w:val="24"/>
          <w:szCs w:val="24"/>
        </w:rPr>
        <w:t xml:space="preserve">selecting or appointing people to perform functions in relation to, or participate in, any religious observance or practice. </w:t>
      </w:r>
    </w:p>
    <w:p w:rsidR="00861CA8" w:rsidRPr="00EC4120" w:rsidRDefault="008071CB" w:rsidP="00BC5C48">
      <w:pPr>
        <w:keepNext/>
        <w:spacing w:before="240"/>
        <w:rPr>
          <w:rFonts w:cs="Arial"/>
          <w:b/>
          <w:sz w:val="24"/>
          <w:szCs w:val="24"/>
        </w:rPr>
      </w:pPr>
      <w:r w:rsidRPr="00EC4120">
        <w:rPr>
          <w:rFonts w:cs="Arial"/>
          <w:b/>
          <w:sz w:val="24"/>
          <w:szCs w:val="24"/>
        </w:rPr>
        <w:t>R</w:t>
      </w:r>
      <w:r w:rsidR="00861CA8" w:rsidRPr="00EC4120">
        <w:rPr>
          <w:rFonts w:cs="Arial"/>
          <w:b/>
          <w:sz w:val="24"/>
          <w:szCs w:val="24"/>
        </w:rPr>
        <w:t>eligious-based schools and educational institutions</w:t>
      </w:r>
    </w:p>
    <w:p w:rsidR="00861CA8" w:rsidRPr="00EC4120" w:rsidRDefault="00861CA8" w:rsidP="00861CA8">
      <w:pPr>
        <w:spacing w:after="240"/>
        <w:rPr>
          <w:rFonts w:cs="Arial"/>
          <w:sz w:val="24"/>
          <w:szCs w:val="24"/>
        </w:rPr>
      </w:pPr>
      <w:r w:rsidRPr="00EC4120">
        <w:rPr>
          <w:rFonts w:cs="Arial"/>
          <w:sz w:val="24"/>
          <w:szCs w:val="24"/>
        </w:rPr>
        <w:t>An educational institution may be established or operated wholly or mainly for students of a particular sex or religion,</w:t>
      </w:r>
      <w:r w:rsidRPr="00EC4120">
        <w:rPr>
          <w:rStyle w:val="FootnoteReference"/>
          <w:rFonts w:cs="Arial"/>
          <w:sz w:val="24"/>
          <w:szCs w:val="24"/>
        </w:rPr>
        <w:footnoteReference w:id="8"/>
      </w:r>
      <w:r w:rsidRPr="00EC4120">
        <w:rPr>
          <w:rFonts w:cs="Arial"/>
          <w:sz w:val="24"/>
          <w:szCs w:val="24"/>
        </w:rPr>
        <w:t xml:space="preserve"> and may provide accommodation wholly or mainly for students of that sex or religion</w:t>
      </w:r>
      <w:r w:rsidRPr="00EC4120">
        <w:rPr>
          <w:rStyle w:val="FootnoteReference"/>
          <w:rFonts w:cs="Arial"/>
          <w:sz w:val="24"/>
          <w:szCs w:val="24"/>
        </w:rPr>
        <w:footnoteReference w:id="9"/>
      </w:r>
      <w:r w:rsidRPr="00EC4120">
        <w:rPr>
          <w:rFonts w:cs="Arial"/>
          <w:sz w:val="24"/>
          <w:szCs w:val="24"/>
        </w:rPr>
        <w:t xml:space="preserve">.  </w:t>
      </w:r>
    </w:p>
    <w:p w:rsidR="00C945B9" w:rsidRPr="00EC4120" w:rsidRDefault="00C945B9" w:rsidP="00BC5C48">
      <w:pPr>
        <w:keepNext/>
        <w:spacing w:before="240"/>
        <w:rPr>
          <w:rFonts w:cs="Arial"/>
          <w:b/>
          <w:sz w:val="24"/>
          <w:szCs w:val="24"/>
        </w:rPr>
      </w:pPr>
      <w:r w:rsidRPr="00EC4120">
        <w:rPr>
          <w:rFonts w:cs="Arial"/>
          <w:b/>
          <w:sz w:val="24"/>
          <w:szCs w:val="24"/>
        </w:rPr>
        <w:t xml:space="preserve">Working for a religious body, school or </w:t>
      </w:r>
      <w:r w:rsidR="007C69C4" w:rsidRPr="00EC4120">
        <w:rPr>
          <w:rFonts w:cs="Arial"/>
          <w:b/>
          <w:sz w:val="24"/>
          <w:szCs w:val="24"/>
        </w:rPr>
        <w:t xml:space="preserve">other </w:t>
      </w:r>
      <w:r w:rsidRPr="00EC4120">
        <w:rPr>
          <w:rFonts w:cs="Arial"/>
          <w:b/>
          <w:sz w:val="24"/>
          <w:szCs w:val="24"/>
        </w:rPr>
        <w:t>educational institution</w:t>
      </w:r>
    </w:p>
    <w:p w:rsidR="009B0163" w:rsidRPr="00EC4120" w:rsidRDefault="00C945B9" w:rsidP="001F45C3">
      <w:pPr>
        <w:spacing w:after="240"/>
        <w:rPr>
          <w:rFonts w:cs="Arial"/>
          <w:sz w:val="24"/>
          <w:szCs w:val="24"/>
        </w:rPr>
      </w:pPr>
      <w:r w:rsidRPr="00EC4120">
        <w:rPr>
          <w:rFonts w:cs="Arial"/>
          <w:sz w:val="24"/>
          <w:szCs w:val="24"/>
        </w:rPr>
        <w:t>A</w:t>
      </w:r>
      <w:r w:rsidR="00A03CDE" w:rsidRPr="00EC4120">
        <w:rPr>
          <w:rFonts w:cs="Arial"/>
          <w:sz w:val="24"/>
          <w:szCs w:val="24"/>
        </w:rPr>
        <w:t xml:space="preserve"> limited exemption </w:t>
      </w:r>
      <w:r w:rsidRPr="00EC4120">
        <w:rPr>
          <w:rFonts w:cs="Arial"/>
          <w:sz w:val="24"/>
          <w:szCs w:val="24"/>
        </w:rPr>
        <w:t>applies to</w:t>
      </w:r>
      <w:r w:rsidR="009B0163" w:rsidRPr="00EC4120">
        <w:rPr>
          <w:rFonts w:cs="Arial"/>
          <w:sz w:val="24"/>
          <w:szCs w:val="24"/>
        </w:rPr>
        <w:t xml:space="preserve"> religious bodies, if the work genuinely and necessarily involves adhering to and communicating the body’s religious beliefs, and to </w:t>
      </w:r>
      <w:r w:rsidRPr="00EC4120">
        <w:rPr>
          <w:rFonts w:cs="Arial"/>
          <w:sz w:val="24"/>
          <w:szCs w:val="24"/>
        </w:rPr>
        <w:t>educational institutions under the direction or control of a body established for religious purposes</w:t>
      </w:r>
      <w:r w:rsidR="007C69C4" w:rsidRPr="00EC4120">
        <w:rPr>
          <w:rFonts w:cs="Arial"/>
          <w:sz w:val="24"/>
          <w:szCs w:val="24"/>
        </w:rPr>
        <w:t xml:space="preserve"> (both referred to here as employer)</w:t>
      </w:r>
      <w:r w:rsidR="00A03CDE" w:rsidRPr="00EC4120">
        <w:rPr>
          <w:rFonts w:cs="Arial"/>
          <w:sz w:val="24"/>
          <w:szCs w:val="24"/>
        </w:rPr>
        <w:t>.</w:t>
      </w:r>
      <w:r w:rsidR="0037569F" w:rsidRPr="00EC4120">
        <w:rPr>
          <w:rStyle w:val="FootnoteReference"/>
          <w:rFonts w:cs="Arial"/>
          <w:sz w:val="24"/>
          <w:szCs w:val="24"/>
        </w:rPr>
        <w:footnoteReference w:id="10"/>
      </w:r>
      <w:r w:rsidR="008D147A" w:rsidRPr="00EC4120">
        <w:rPr>
          <w:rFonts w:cs="Arial"/>
          <w:sz w:val="24"/>
          <w:szCs w:val="24"/>
        </w:rPr>
        <w:t xml:space="preserve">  </w:t>
      </w:r>
    </w:p>
    <w:p w:rsidR="009B0163" w:rsidRPr="00EC4120" w:rsidRDefault="009B0163" w:rsidP="001F45C3">
      <w:pPr>
        <w:spacing w:after="240"/>
        <w:rPr>
          <w:rFonts w:cs="Arial"/>
          <w:sz w:val="24"/>
          <w:szCs w:val="24"/>
        </w:rPr>
      </w:pPr>
      <w:r w:rsidRPr="00EC4120">
        <w:rPr>
          <w:rFonts w:cs="Arial"/>
          <w:sz w:val="24"/>
          <w:szCs w:val="24"/>
        </w:rPr>
        <w:t>This exemption is about behaviour rather than a person’s characteristic such as gender, race, or sexual</w:t>
      </w:r>
      <w:r w:rsidR="00C03351">
        <w:rPr>
          <w:rFonts w:cs="Arial"/>
          <w:sz w:val="24"/>
          <w:szCs w:val="24"/>
        </w:rPr>
        <w:t>i</w:t>
      </w:r>
      <w:r w:rsidRPr="00EC4120">
        <w:rPr>
          <w:rFonts w:cs="Arial"/>
          <w:sz w:val="24"/>
          <w:szCs w:val="24"/>
        </w:rPr>
        <w:t>ty.</w:t>
      </w:r>
    </w:p>
    <w:p w:rsidR="009B0163" w:rsidRPr="00EC4120" w:rsidRDefault="008D147A" w:rsidP="001F45C3">
      <w:pPr>
        <w:spacing w:after="240"/>
        <w:rPr>
          <w:rFonts w:cs="Arial"/>
          <w:sz w:val="24"/>
          <w:szCs w:val="24"/>
        </w:rPr>
      </w:pPr>
      <w:r w:rsidRPr="00EC4120">
        <w:rPr>
          <w:rFonts w:cs="Arial"/>
          <w:sz w:val="24"/>
          <w:szCs w:val="24"/>
        </w:rPr>
        <w:t xml:space="preserve">If it is a genuine occupational requirement that a person act in a way consistent with </w:t>
      </w:r>
      <w:r w:rsidR="007C69C4" w:rsidRPr="00EC4120">
        <w:rPr>
          <w:rFonts w:cs="Arial"/>
          <w:sz w:val="24"/>
          <w:szCs w:val="24"/>
        </w:rPr>
        <w:t>the employer</w:t>
      </w:r>
      <w:r w:rsidRPr="00EC4120">
        <w:rPr>
          <w:rFonts w:cs="Arial"/>
          <w:sz w:val="24"/>
          <w:szCs w:val="24"/>
        </w:rPr>
        <w:t xml:space="preserve">’s religious belief during the course of or in </w:t>
      </w:r>
      <w:r w:rsidRPr="00EC4120">
        <w:rPr>
          <w:rFonts w:cs="Arial"/>
          <w:sz w:val="24"/>
          <w:szCs w:val="24"/>
        </w:rPr>
        <w:lastRenderedPageBreak/>
        <w:t>con</w:t>
      </w:r>
      <w:r w:rsidR="007C69C4" w:rsidRPr="00EC4120">
        <w:rPr>
          <w:rFonts w:cs="Arial"/>
          <w:sz w:val="24"/>
          <w:szCs w:val="24"/>
        </w:rPr>
        <w:t xml:space="preserve">nection with the work, the employer </w:t>
      </w:r>
      <w:r w:rsidRPr="00EC4120">
        <w:rPr>
          <w:rFonts w:cs="Arial"/>
          <w:sz w:val="24"/>
          <w:szCs w:val="24"/>
        </w:rPr>
        <w:t xml:space="preserve">may discriminate if the person openly acts in a </w:t>
      </w:r>
      <w:r w:rsidR="007C69C4" w:rsidRPr="00EC4120">
        <w:rPr>
          <w:rFonts w:cs="Arial"/>
          <w:sz w:val="24"/>
          <w:szCs w:val="24"/>
        </w:rPr>
        <w:t>way that is contrary to the employer</w:t>
      </w:r>
      <w:r w:rsidRPr="00EC4120">
        <w:rPr>
          <w:rFonts w:cs="Arial"/>
          <w:sz w:val="24"/>
          <w:szCs w:val="24"/>
        </w:rPr>
        <w:t xml:space="preserve">’s religious beliefs.  This applies during a selection process, in the course of the person’s work, and in doing something connected with the person’s work.  </w:t>
      </w:r>
    </w:p>
    <w:p w:rsidR="009B0163" w:rsidRPr="00EC4120" w:rsidRDefault="00270AA7" w:rsidP="001F45C3">
      <w:pPr>
        <w:spacing w:after="240"/>
        <w:rPr>
          <w:rFonts w:cs="Arial"/>
          <w:sz w:val="24"/>
          <w:szCs w:val="24"/>
        </w:rPr>
      </w:pPr>
      <w:r w:rsidRPr="00EC4120">
        <w:rPr>
          <w:rFonts w:cs="Arial"/>
          <w:sz w:val="24"/>
          <w:szCs w:val="24"/>
        </w:rPr>
        <w:t xml:space="preserve">The discrimination must </w:t>
      </w:r>
      <w:r w:rsidR="000C1845" w:rsidRPr="00EC4120">
        <w:rPr>
          <w:rFonts w:cs="Arial"/>
          <w:sz w:val="24"/>
          <w:szCs w:val="24"/>
        </w:rPr>
        <w:t xml:space="preserve">not </w:t>
      </w:r>
      <w:r w:rsidRPr="00EC4120">
        <w:rPr>
          <w:rFonts w:cs="Arial"/>
          <w:sz w:val="24"/>
          <w:szCs w:val="24"/>
        </w:rPr>
        <w:t xml:space="preserve">be </w:t>
      </w:r>
      <w:r w:rsidR="000C1845" w:rsidRPr="00EC4120">
        <w:rPr>
          <w:rFonts w:cs="Arial"/>
          <w:sz w:val="24"/>
          <w:szCs w:val="24"/>
        </w:rPr>
        <w:t>un</w:t>
      </w:r>
      <w:r w:rsidRPr="00EC4120">
        <w:rPr>
          <w:rFonts w:cs="Arial"/>
          <w:sz w:val="24"/>
          <w:szCs w:val="24"/>
        </w:rPr>
        <w:t xml:space="preserve">reasonable in the circumstances, including whether the action is </w:t>
      </w:r>
      <w:r w:rsidR="00940502" w:rsidRPr="00EC4120">
        <w:rPr>
          <w:rFonts w:cs="Arial"/>
          <w:sz w:val="24"/>
          <w:szCs w:val="24"/>
        </w:rPr>
        <w:t>disproportionate</w:t>
      </w:r>
      <w:r w:rsidRPr="00EC4120">
        <w:rPr>
          <w:rFonts w:cs="Arial"/>
          <w:sz w:val="24"/>
          <w:szCs w:val="24"/>
        </w:rPr>
        <w:t xml:space="preserve"> to the behaviour and the consequences for both parties.  </w:t>
      </w:r>
    </w:p>
    <w:p w:rsidR="00A03CDE" w:rsidRPr="00EC4120" w:rsidRDefault="008D147A" w:rsidP="007F41FE">
      <w:pPr>
        <w:spacing w:after="240"/>
        <w:rPr>
          <w:rFonts w:cs="Arial"/>
          <w:sz w:val="24"/>
          <w:szCs w:val="24"/>
        </w:rPr>
      </w:pPr>
      <w:r w:rsidRPr="00EC4120">
        <w:rPr>
          <w:rFonts w:cs="Arial"/>
          <w:sz w:val="24"/>
          <w:szCs w:val="24"/>
        </w:rPr>
        <w:t>The exemption does not allow discrimination on the basis of age, race or impairment.</w:t>
      </w:r>
      <w:r w:rsidR="009B0163" w:rsidRPr="00EC4120">
        <w:rPr>
          <w:rFonts w:cs="Arial"/>
          <w:sz w:val="24"/>
          <w:szCs w:val="24"/>
        </w:rPr>
        <w:t xml:space="preserve">  It also does not al</w:t>
      </w:r>
      <w:r w:rsidR="007C69C4" w:rsidRPr="00EC4120">
        <w:rPr>
          <w:rFonts w:cs="Arial"/>
          <w:sz w:val="24"/>
          <w:szCs w:val="24"/>
        </w:rPr>
        <w:t>l</w:t>
      </w:r>
      <w:r w:rsidR="009B0163" w:rsidRPr="00EC4120">
        <w:rPr>
          <w:rFonts w:cs="Arial"/>
          <w:sz w:val="24"/>
          <w:szCs w:val="24"/>
        </w:rPr>
        <w:t>ow seeking information such as a person’s age or sexuality, or whether or not they have children.</w:t>
      </w:r>
    </w:p>
    <w:p w:rsidR="007F41FE" w:rsidRPr="00EC4120" w:rsidRDefault="007F41FE" w:rsidP="007F41FE">
      <w:pPr>
        <w:spacing w:after="240"/>
        <w:rPr>
          <w:rFonts w:cs="Arial"/>
          <w:color w:val="auto"/>
          <w:kern w:val="0"/>
          <w:sz w:val="24"/>
          <w:szCs w:val="24"/>
          <w14:ligatures w14:val="none"/>
          <w14:cntxtAlts w14:val="0"/>
        </w:rPr>
      </w:pPr>
      <w:r w:rsidRPr="00EC4120">
        <w:rPr>
          <w:color w:val="auto"/>
          <w:sz w:val="24"/>
          <w:szCs w:val="24"/>
        </w:rPr>
        <w:t>In our community engagement work, people raise concerns about some of the work practices in religious-based schools, and tell us about discrimination that occurs and their fears of discrimination.  For example, we have been told of an unmarried woman who was dismissed because she became pregnant, people dismissed because it became known that they were living with their partner but not married, and of homosexual workers who are afraid to disclose their sexuality.  We have also been told that some religious-based schools require their workers to sign contracts of employment that include ‘lifestyle clauses’.  The lifestyle clauses require the employee, whatever their role, to live their personal lives in certain ways.  We rarely however receive complaints about these practices, and consequently there are no tribunal decisions about the behavioural exemption.</w:t>
      </w:r>
    </w:p>
    <w:p w:rsidR="000B564A" w:rsidRPr="00EC4120" w:rsidRDefault="0086048E" w:rsidP="001F45C3">
      <w:pPr>
        <w:spacing w:after="240"/>
        <w:rPr>
          <w:rFonts w:cs="Arial"/>
          <w:sz w:val="24"/>
          <w:szCs w:val="24"/>
        </w:rPr>
      </w:pPr>
      <w:r w:rsidRPr="00EC4120">
        <w:rPr>
          <w:rFonts w:cs="Arial"/>
          <w:sz w:val="24"/>
          <w:szCs w:val="24"/>
        </w:rPr>
        <w:t>There has been a tribunal decision about the general exemption for religious bodies</w:t>
      </w:r>
      <w:r w:rsidR="00EE151E">
        <w:rPr>
          <w:rFonts w:cs="Arial"/>
          <w:sz w:val="24"/>
          <w:szCs w:val="24"/>
        </w:rPr>
        <w:t>,</w:t>
      </w:r>
      <w:r w:rsidRPr="00EC4120">
        <w:rPr>
          <w:rFonts w:cs="Arial"/>
          <w:sz w:val="24"/>
          <w:szCs w:val="24"/>
        </w:rPr>
        <w:t xml:space="preserve"> and </w:t>
      </w:r>
      <w:r w:rsidR="00263314" w:rsidRPr="00EC4120">
        <w:rPr>
          <w:rFonts w:cs="Arial"/>
          <w:sz w:val="24"/>
          <w:szCs w:val="24"/>
        </w:rPr>
        <w:t xml:space="preserve">being Catholic was </w:t>
      </w:r>
      <w:r w:rsidR="00EE151E">
        <w:rPr>
          <w:rFonts w:cs="Arial"/>
          <w:sz w:val="24"/>
          <w:szCs w:val="24"/>
        </w:rPr>
        <w:t xml:space="preserve">not </w:t>
      </w:r>
      <w:r w:rsidR="00263314" w:rsidRPr="00EC4120">
        <w:rPr>
          <w:rFonts w:cs="Arial"/>
          <w:sz w:val="24"/>
          <w:szCs w:val="24"/>
        </w:rPr>
        <w:t>a genuine requirement for a volunteer working for</w:t>
      </w:r>
      <w:r w:rsidRPr="00EC4120">
        <w:rPr>
          <w:rFonts w:cs="Arial"/>
          <w:sz w:val="24"/>
          <w:szCs w:val="24"/>
        </w:rPr>
        <w:t xml:space="preserve"> St Vincent de Paul Society (Queensland)</w:t>
      </w:r>
      <w:r w:rsidR="00263314" w:rsidRPr="00EC4120">
        <w:rPr>
          <w:rFonts w:cs="Arial"/>
          <w:sz w:val="24"/>
          <w:szCs w:val="24"/>
        </w:rPr>
        <w:t>.  A brief summary of the case is included in Appendix A.</w:t>
      </w:r>
    </w:p>
    <w:p w:rsidR="001F45C3" w:rsidRPr="00EC4120" w:rsidRDefault="006D2755" w:rsidP="00BC5C48">
      <w:pPr>
        <w:keepNext/>
        <w:spacing w:before="240"/>
        <w:rPr>
          <w:rFonts w:cs="Arial"/>
          <w:b/>
          <w:sz w:val="24"/>
          <w:szCs w:val="24"/>
        </w:rPr>
      </w:pPr>
      <w:r w:rsidRPr="00EC4120">
        <w:rPr>
          <w:rFonts w:cs="Arial"/>
          <w:b/>
          <w:sz w:val="24"/>
          <w:szCs w:val="24"/>
        </w:rPr>
        <w:t>Sites of religious significance</w:t>
      </w:r>
    </w:p>
    <w:p w:rsidR="006D2755" w:rsidRPr="00EC4120" w:rsidRDefault="006D2755" w:rsidP="00BC5C48">
      <w:pPr>
        <w:spacing w:after="240"/>
        <w:rPr>
          <w:rFonts w:cs="Arial"/>
          <w:sz w:val="24"/>
          <w:szCs w:val="24"/>
        </w:rPr>
      </w:pPr>
      <w:r w:rsidRPr="00EC4120">
        <w:rPr>
          <w:rFonts w:cs="Arial"/>
          <w:sz w:val="24"/>
          <w:szCs w:val="24"/>
        </w:rPr>
        <w:t xml:space="preserve">It is </w:t>
      </w:r>
      <w:r w:rsidR="00940502" w:rsidRPr="00EC4120">
        <w:rPr>
          <w:rFonts w:cs="Arial"/>
          <w:sz w:val="24"/>
          <w:szCs w:val="24"/>
        </w:rPr>
        <w:t>permissible</w:t>
      </w:r>
      <w:r w:rsidRPr="00EC4120">
        <w:rPr>
          <w:rFonts w:cs="Arial"/>
          <w:sz w:val="24"/>
          <w:szCs w:val="24"/>
        </w:rPr>
        <w:t xml:space="preserve"> to restrict access to land or buildings of religious significance on the basis of sex, age, race or religion, if the restriction is in accordance with the doctrine of the religion concerned, and is necessary to avoid offending the religious sensitivi</w:t>
      </w:r>
      <w:r w:rsidR="007B0D0E">
        <w:rPr>
          <w:rFonts w:cs="Arial"/>
          <w:sz w:val="24"/>
          <w:szCs w:val="24"/>
        </w:rPr>
        <w:t>ti</w:t>
      </w:r>
      <w:r w:rsidRPr="00EC4120">
        <w:rPr>
          <w:rFonts w:cs="Arial"/>
          <w:sz w:val="24"/>
          <w:szCs w:val="24"/>
        </w:rPr>
        <w:t>es of people of the religion.</w:t>
      </w:r>
      <w:r w:rsidRPr="00EC4120">
        <w:rPr>
          <w:rStyle w:val="FootnoteReference"/>
          <w:rFonts w:cs="Arial"/>
          <w:sz w:val="24"/>
          <w:szCs w:val="24"/>
        </w:rPr>
        <w:footnoteReference w:id="11"/>
      </w:r>
    </w:p>
    <w:p w:rsidR="001F45C3" w:rsidRPr="00EC4120" w:rsidRDefault="006D2755" w:rsidP="00BC5C48">
      <w:pPr>
        <w:spacing w:after="240"/>
        <w:rPr>
          <w:rFonts w:cs="Arial"/>
          <w:sz w:val="24"/>
          <w:szCs w:val="24"/>
        </w:rPr>
      </w:pPr>
      <w:r w:rsidRPr="00EC4120">
        <w:rPr>
          <w:rFonts w:cs="Arial"/>
          <w:sz w:val="24"/>
          <w:szCs w:val="24"/>
        </w:rPr>
        <w:t xml:space="preserve">It is also </w:t>
      </w:r>
      <w:r w:rsidR="00940502" w:rsidRPr="00EC4120">
        <w:rPr>
          <w:rFonts w:cs="Arial"/>
          <w:sz w:val="24"/>
          <w:szCs w:val="24"/>
        </w:rPr>
        <w:t>permissible</w:t>
      </w:r>
      <w:r w:rsidRPr="00EC4120">
        <w:rPr>
          <w:rFonts w:cs="Arial"/>
          <w:sz w:val="24"/>
          <w:szCs w:val="24"/>
        </w:rPr>
        <w:t xml:space="preserve"> to discriminate on the basis of sex, age, race, or religion, in the disposition of land, if the interest in the land or a building of religious significance, and the discrimination is </w:t>
      </w:r>
      <w:r w:rsidR="001F45C3" w:rsidRPr="00EC4120">
        <w:rPr>
          <w:rFonts w:cs="Arial"/>
          <w:sz w:val="24"/>
          <w:szCs w:val="24"/>
        </w:rPr>
        <w:t xml:space="preserve">in accordance with the doctrine of </w:t>
      </w:r>
      <w:r w:rsidRPr="00EC4120">
        <w:rPr>
          <w:rFonts w:cs="Arial"/>
          <w:sz w:val="24"/>
          <w:szCs w:val="24"/>
        </w:rPr>
        <w:t>the religion and is necessary to avoid offending the religious sensitivities of people of the religion.</w:t>
      </w:r>
      <w:r w:rsidR="000C1845" w:rsidRPr="00EC4120">
        <w:rPr>
          <w:rStyle w:val="FootnoteReference"/>
          <w:rFonts w:cs="Arial"/>
          <w:sz w:val="24"/>
          <w:szCs w:val="24"/>
        </w:rPr>
        <w:footnoteReference w:id="12"/>
      </w:r>
    </w:p>
    <w:p w:rsidR="00BC5C48" w:rsidRPr="00EC4120" w:rsidRDefault="00BC5C48" w:rsidP="00BC5C48">
      <w:pPr>
        <w:keepNext/>
        <w:spacing w:before="240"/>
        <w:rPr>
          <w:rFonts w:cs="Arial"/>
          <w:b/>
          <w:sz w:val="24"/>
          <w:szCs w:val="24"/>
        </w:rPr>
      </w:pPr>
      <w:r w:rsidRPr="00EC4120">
        <w:rPr>
          <w:rFonts w:cs="Arial"/>
          <w:b/>
          <w:sz w:val="24"/>
          <w:szCs w:val="24"/>
        </w:rPr>
        <w:lastRenderedPageBreak/>
        <w:t>Religious vilification prohibited</w:t>
      </w:r>
    </w:p>
    <w:p w:rsidR="00FD2283" w:rsidRPr="00EC4120" w:rsidRDefault="0039503B" w:rsidP="00BC5C48">
      <w:pPr>
        <w:spacing w:after="240"/>
        <w:rPr>
          <w:rFonts w:cs="Arial"/>
          <w:sz w:val="24"/>
          <w:szCs w:val="24"/>
        </w:rPr>
      </w:pPr>
      <w:r w:rsidRPr="00EC4120">
        <w:rPr>
          <w:rFonts w:cs="Arial"/>
          <w:sz w:val="24"/>
          <w:szCs w:val="24"/>
        </w:rPr>
        <w:t xml:space="preserve">It is </w:t>
      </w:r>
      <w:r w:rsidR="00F92B8F" w:rsidRPr="00EC4120">
        <w:rPr>
          <w:rFonts w:cs="Arial"/>
          <w:sz w:val="24"/>
          <w:szCs w:val="24"/>
        </w:rPr>
        <w:t>unlawful to incite hatred towar</w:t>
      </w:r>
      <w:r w:rsidRPr="00EC4120">
        <w:rPr>
          <w:rFonts w:cs="Arial"/>
          <w:sz w:val="24"/>
          <w:szCs w:val="24"/>
        </w:rPr>
        <w:t>ds, serious contempt for, or severe ridicule of a person or group of people because of their religion.</w:t>
      </w:r>
      <w:r w:rsidR="00FD2283" w:rsidRPr="00EC4120">
        <w:rPr>
          <w:rStyle w:val="FootnoteReference"/>
          <w:rFonts w:cs="Arial"/>
          <w:sz w:val="24"/>
          <w:szCs w:val="24"/>
        </w:rPr>
        <w:footnoteReference w:id="13"/>
      </w:r>
      <w:r w:rsidRPr="00EC4120">
        <w:rPr>
          <w:rFonts w:cs="Arial"/>
          <w:sz w:val="24"/>
          <w:szCs w:val="24"/>
        </w:rPr>
        <w:t xml:space="preserve">  </w:t>
      </w:r>
    </w:p>
    <w:p w:rsidR="00FD2283" w:rsidRPr="00EC4120" w:rsidRDefault="00FD2283" w:rsidP="00BC5C48">
      <w:pPr>
        <w:spacing w:after="240"/>
        <w:rPr>
          <w:rFonts w:cs="Arial"/>
          <w:sz w:val="24"/>
          <w:szCs w:val="24"/>
        </w:rPr>
      </w:pPr>
      <w:r w:rsidRPr="00EC4120">
        <w:rPr>
          <w:rFonts w:cs="Arial"/>
          <w:sz w:val="24"/>
          <w:szCs w:val="24"/>
        </w:rPr>
        <w:t>E</w:t>
      </w:r>
      <w:r w:rsidR="0039503B" w:rsidRPr="00EC4120">
        <w:rPr>
          <w:rFonts w:cs="Arial"/>
          <w:sz w:val="24"/>
          <w:szCs w:val="24"/>
        </w:rPr>
        <w:t xml:space="preserve">xceptions ensure the right to freedom of speech is not unduly restricted.  </w:t>
      </w:r>
      <w:r w:rsidR="00EC2468" w:rsidRPr="00EC4120">
        <w:rPr>
          <w:rFonts w:cs="Arial"/>
          <w:sz w:val="24"/>
          <w:szCs w:val="24"/>
        </w:rPr>
        <w:t>The exceptions</w:t>
      </w:r>
      <w:r w:rsidRPr="00EC4120">
        <w:rPr>
          <w:rFonts w:cs="Arial"/>
          <w:sz w:val="24"/>
          <w:szCs w:val="24"/>
        </w:rPr>
        <w:t xml:space="preserve"> are:</w:t>
      </w:r>
    </w:p>
    <w:p w:rsidR="00FD2283" w:rsidRPr="00EC4120" w:rsidRDefault="00EC2468" w:rsidP="00FD2283">
      <w:pPr>
        <w:pStyle w:val="ListParagraph"/>
        <w:numPr>
          <w:ilvl w:val="0"/>
          <w:numId w:val="3"/>
        </w:numPr>
        <w:contextualSpacing w:val="0"/>
        <w:rPr>
          <w:rFonts w:cs="Arial"/>
          <w:sz w:val="24"/>
          <w:szCs w:val="24"/>
        </w:rPr>
      </w:pPr>
      <w:r w:rsidRPr="00EC4120">
        <w:rPr>
          <w:rFonts w:cs="Arial"/>
          <w:sz w:val="24"/>
          <w:szCs w:val="24"/>
        </w:rPr>
        <w:t>a public act done reasonably and in good faith: for purposes in the public interest, including discussion and debate; or for academic, artistic, scientific or research purposes;</w:t>
      </w:r>
    </w:p>
    <w:p w:rsidR="00EC2468" w:rsidRPr="00EC4120" w:rsidRDefault="00EC2468" w:rsidP="00FD2283">
      <w:pPr>
        <w:pStyle w:val="ListParagraph"/>
        <w:numPr>
          <w:ilvl w:val="0"/>
          <w:numId w:val="3"/>
        </w:numPr>
        <w:contextualSpacing w:val="0"/>
        <w:rPr>
          <w:rFonts w:cs="Arial"/>
          <w:sz w:val="24"/>
          <w:szCs w:val="24"/>
        </w:rPr>
      </w:pPr>
      <w:r w:rsidRPr="00EC4120">
        <w:rPr>
          <w:rFonts w:cs="Arial"/>
          <w:sz w:val="24"/>
          <w:szCs w:val="24"/>
        </w:rPr>
        <w:t>a fair report of a public act; or</w:t>
      </w:r>
    </w:p>
    <w:p w:rsidR="00EC2468" w:rsidRPr="00EC4120" w:rsidRDefault="00EC2468" w:rsidP="00EC2468">
      <w:pPr>
        <w:pStyle w:val="ListParagraph"/>
        <w:numPr>
          <w:ilvl w:val="0"/>
          <w:numId w:val="3"/>
        </w:numPr>
        <w:spacing w:after="240"/>
        <w:contextualSpacing w:val="0"/>
        <w:rPr>
          <w:rFonts w:cs="Arial"/>
          <w:sz w:val="24"/>
          <w:szCs w:val="24"/>
        </w:rPr>
      </w:pPr>
      <w:r w:rsidRPr="00EC4120">
        <w:rPr>
          <w:rFonts w:cs="Arial"/>
          <w:sz w:val="24"/>
          <w:szCs w:val="24"/>
        </w:rPr>
        <w:t>where publication of material would be subject to the defence of absolute privilege in proceedings for defamation.</w:t>
      </w:r>
    </w:p>
    <w:p w:rsidR="00F92B8F" w:rsidRPr="00EC4120" w:rsidRDefault="0039503B" w:rsidP="00BC5C48">
      <w:pPr>
        <w:spacing w:after="240"/>
        <w:rPr>
          <w:rFonts w:cs="Arial"/>
          <w:sz w:val="24"/>
          <w:szCs w:val="24"/>
        </w:rPr>
      </w:pPr>
      <w:r w:rsidRPr="00EC4120">
        <w:rPr>
          <w:rFonts w:cs="Arial"/>
          <w:sz w:val="24"/>
          <w:szCs w:val="24"/>
        </w:rPr>
        <w:t xml:space="preserve">The vilification provisions have been examined judicially and held </w:t>
      </w:r>
      <w:r w:rsidR="00FD2283" w:rsidRPr="00EC4120">
        <w:rPr>
          <w:rFonts w:cs="Arial"/>
          <w:sz w:val="24"/>
          <w:szCs w:val="24"/>
        </w:rPr>
        <w:t>not to offend the implied freedom of political expression.</w:t>
      </w:r>
      <w:r w:rsidR="00FD2283" w:rsidRPr="00EC4120">
        <w:rPr>
          <w:rStyle w:val="FootnoteReference"/>
          <w:rFonts w:cs="Arial"/>
          <w:sz w:val="24"/>
          <w:szCs w:val="24"/>
        </w:rPr>
        <w:footnoteReference w:id="14"/>
      </w:r>
      <w:r w:rsidR="00F92B8F" w:rsidRPr="00EC4120">
        <w:rPr>
          <w:rFonts w:cs="Arial"/>
          <w:sz w:val="24"/>
          <w:szCs w:val="24"/>
        </w:rPr>
        <w:t xml:space="preserve">  </w:t>
      </w:r>
    </w:p>
    <w:p w:rsidR="00BC5C48" w:rsidRPr="00EC4120" w:rsidRDefault="00F92B8F" w:rsidP="00BC5C48">
      <w:pPr>
        <w:spacing w:after="240"/>
        <w:rPr>
          <w:rFonts w:cs="Arial"/>
          <w:sz w:val="24"/>
          <w:szCs w:val="24"/>
        </w:rPr>
      </w:pPr>
      <w:r w:rsidRPr="00EC4120">
        <w:rPr>
          <w:rFonts w:cs="Arial"/>
          <w:sz w:val="24"/>
          <w:szCs w:val="24"/>
        </w:rPr>
        <w:t xml:space="preserve">The case of </w:t>
      </w:r>
      <w:r w:rsidRPr="00EC4120">
        <w:rPr>
          <w:rFonts w:cs="Arial"/>
          <w:i/>
          <w:sz w:val="24"/>
          <w:szCs w:val="24"/>
        </w:rPr>
        <w:t>Deen v Lamb</w:t>
      </w:r>
      <w:r w:rsidRPr="00EC4120">
        <w:rPr>
          <w:rStyle w:val="FootnoteReference"/>
          <w:rFonts w:cs="Arial"/>
          <w:i/>
          <w:sz w:val="24"/>
          <w:szCs w:val="24"/>
        </w:rPr>
        <w:footnoteReference w:id="15"/>
      </w:r>
      <w:r w:rsidRPr="00EC4120">
        <w:rPr>
          <w:rFonts w:cs="Arial"/>
          <w:sz w:val="24"/>
          <w:szCs w:val="24"/>
        </w:rPr>
        <w:t xml:space="preserve"> demonstrates how the exceptions apply in balancing the right to freedom of speech with the right to be free from vilification.</w:t>
      </w:r>
      <w:r w:rsidR="00D80774" w:rsidRPr="00EC4120">
        <w:rPr>
          <w:rFonts w:cs="Arial"/>
          <w:sz w:val="24"/>
          <w:szCs w:val="24"/>
        </w:rPr>
        <w:t xml:space="preserve">  Although material disseminated by a candidate in a federal election vilified people who are Muslim, the</w:t>
      </w:r>
      <w:r w:rsidR="005D2B49" w:rsidRPr="00EC4120">
        <w:rPr>
          <w:rFonts w:cs="Arial"/>
          <w:sz w:val="24"/>
          <w:szCs w:val="24"/>
        </w:rPr>
        <w:t xml:space="preserve"> tribunal said the</w:t>
      </w:r>
      <w:r w:rsidR="00D80774" w:rsidRPr="00EC4120">
        <w:rPr>
          <w:rFonts w:cs="Arial"/>
          <w:sz w:val="24"/>
          <w:szCs w:val="24"/>
        </w:rPr>
        <w:t xml:space="preserve"> public has an interest in knowing the opinions of candidates.  A brief summary of the decision is included in Appendix</w:t>
      </w:r>
      <w:r w:rsidR="006E0858" w:rsidRPr="00EC4120">
        <w:rPr>
          <w:rFonts w:cs="Arial"/>
          <w:sz w:val="24"/>
          <w:szCs w:val="24"/>
        </w:rPr>
        <w:t xml:space="preserve"> A</w:t>
      </w:r>
      <w:r w:rsidR="00D80774" w:rsidRPr="00EC4120">
        <w:rPr>
          <w:rFonts w:cs="Arial"/>
          <w:sz w:val="24"/>
          <w:szCs w:val="24"/>
        </w:rPr>
        <w:t>.</w:t>
      </w:r>
    </w:p>
    <w:p w:rsidR="00E928FC" w:rsidRPr="00EC4120" w:rsidRDefault="00E928FC" w:rsidP="00BC5C48">
      <w:pPr>
        <w:spacing w:after="240"/>
        <w:rPr>
          <w:rFonts w:cs="Arial"/>
          <w:sz w:val="24"/>
          <w:szCs w:val="24"/>
        </w:rPr>
      </w:pPr>
      <w:r w:rsidRPr="00EC4120">
        <w:rPr>
          <w:rFonts w:cs="Arial"/>
          <w:sz w:val="24"/>
          <w:szCs w:val="24"/>
        </w:rPr>
        <w:t xml:space="preserve">Where unlawful vilification includes a threat of harm to person or property, it is a criminal offence called </w:t>
      </w:r>
      <w:r w:rsidR="007B0D0E">
        <w:rPr>
          <w:rFonts w:cs="Arial"/>
          <w:sz w:val="24"/>
          <w:szCs w:val="24"/>
        </w:rPr>
        <w:t>‘</w:t>
      </w:r>
      <w:r w:rsidRPr="00EC4120">
        <w:rPr>
          <w:rFonts w:cs="Arial"/>
          <w:sz w:val="24"/>
          <w:szCs w:val="24"/>
        </w:rPr>
        <w:t>Serious vilification</w:t>
      </w:r>
      <w:r w:rsidR="007B0D0E">
        <w:rPr>
          <w:rFonts w:cs="Arial"/>
          <w:sz w:val="24"/>
          <w:szCs w:val="24"/>
        </w:rPr>
        <w:t>’</w:t>
      </w:r>
      <w:r w:rsidRPr="00EC4120">
        <w:rPr>
          <w:rFonts w:cs="Arial"/>
          <w:sz w:val="24"/>
          <w:szCs w:val="24"/>
        </w:rPr>
        <w:t>.</w:t>
      </w:r>
      <w:r w:rsidRPr="00EC4120">
        <w:rPr>
          <w:rStyle w:val="FootnoteReference"/>
          <w:rFonts w:cs="Arial"/>
          <w:sz w:val="24"/>
          <w:szCs w:val="24"/>
        </w:rPr>
        <w:footnoteReference w:id="16"/>
      </w:r>
      <w:r w:rsidRPr="00EC4120">
        <w:rPr>
          <w:rFonts w:cs="Arial"/>
          <w:sz w:val="24"/>
          <w:szCs w:val="24"/>
        </w:rPr>
        <w:t xml:space="preserve">  Although provided for in the AD Act, </w:t>
      </w:r>
      <w:r w:rsidR="00E16782" w:rsidRPr="00EC4120">
        <w:rPr>
          <w:rFonts w:cs="Arial"/>
          <w:sz w:val="24"/>
          <w:szCs w:val="24"/>
        </w:rPr>
        <w:t>serious vilification</w:t>
      </w:r>
      <w:r w:rsidRPr="00EC4120">
        <w:rPr>
          <w:rFonts w:cs="Arial"/>
          <w:sz w:val="24"/>
          <w:szCs w:val="24"/>
        </w:rPr>
        <w:t xml:space="preserve"> is dealt with by the police, and a proceeding requires the prior approval of the Director of Public Prosecutions or the Attorney-General.  The maximum penalty for a person convicted</w:t>
      </w:r>
      <w:r w:rsidR="00D23F51" w:rsidRPr="00EC4120">
        <w:rPr>
          <w:rFonts w:cs="Arial"/>
          <w:sz w:val="24"/>
          <w:szCs w:val="24"/>
        </w:rPr>
        <w:t xml:space="preserve"> of serious vilification is six months imprisonment or a fine up to $8,830</w:t>
      </w:r>
      <w:bookmarkStart w:id="0" w:name="_GoBack"/>
      <w:bookmarkEnd w:id="0"/>
      <w:r w:rsidR="00D23F51" w:rsidRPr="00EC4120">
        <w:rPr>
          <w:rFonts w:cs="Arial"/>
          <w:sz w:val="24"/>
          <w:szCs w:val="24"/>
        </w:rPr>
        <w:t>, and for a company the fine is up to $44,152.</w:t>
      </w:r>
      <w:r w:rsidR="00D23F51" w:rsidRPr="00EC4120">
        <w:rPr>
          <w:rStyle w:val="FootnoteReference"/>
          <w:rFonts w:cs="Arial"/>
          <w:sz w:val="24"/>
          <w:szCs w:val="24"/>
        </w:rPr>
        <w:footnoteReference w:id="17"/>
      </w:r>
    </w:p>
    <w:p w:rsidR="00D7764A" w:rsidRPr="00EC4120" w:rsidRDefault="00D7764A" w:rsidP="00BC5C48">
      <w:pPr>
        <w:spacing w:after="240"/>
        <w:rPr>
          <w:rFonts w:cs="Arial"/>
          <w:sz w:val="24"/>
          <w:szCs w:val="24"/>
        </w:rPr>
      </w:pPr>
      <w:r w:rsidRPr="00EC4120">
        <w:rPr>
          <w:rFonts w:cs="Arial"/>
          <w:sz w:val="24"/>
          <w:szCs w:val="24"/>
        </w:rPr>
        <w:t>There has been one prosecution for serious vilification in Queensland, which involved racial abuse and threats of harm.  The person pleaded guilty and was convicted and sentenced to two months imprisonment, wholly suspended for 12 months.</w:t>
      </w:r>
    </w:p>
    <w:p w:rsidR="009F1C77" w:rsidRPr="00EC4120" w:rsidRDefault="009F1C77" w:rsidP="00BC5C48">
      <w:pPr>
        <w:spacing w:after="240"/>
        <w:rPr>
          <w:rFonts w:cs="Arial"/>
          <w:sz w:val="24"/>
          <w:szCs w:val="24"/>
        </w:rPr>
      </w:pPr>
      <w:r w:rsidRPr="00EC4120">
        <w:rPr>
          <w:rFonts w:cs="Arial"/>
          <w:sz w:val="24"/>
          <w:szCs w:val="24"/>
        </w:rPr>
        <w:t>Religious vilification occurs more commonly than reflected in complaint statistics</w:t>
      </w:r>
      <w:r w:rsidR="00263314" w:rsidRPr="00EC4120">
        <w:rPr>
          <w:rFonts w:cs="Arial"/>
          <w:sz w:val="24"/>
          <w:szCs w:val="24"/>
        </w:rPr>
        <w:t xml:space="preserve"> (see below).  In our community engagement </w:t>
      </w:r>
      <w:r w:rsidR="00940502" w:rsidRPr="00EC4120">
        <w:rPr>
          <w:rFonts w:cs="Arial"/>
          <w:sz w:val="24"/>
          <w:szCs w:val="24"/>
        </w:rPr>
        <w:t>work,</w:t>
      </w:r>
      <w:r w:rsidR="00263314" w:rsidRPr="00EC4120">
        <w:rPr>
          <w:rFonts w:cs="Arial"/>
          <w:sz w:val="24"/>
          <w:szCs w:val="24"/>
        </w:rPr>
        <w:t xml:space="preserve"> we often hear of people, particularly Muslim women, experiencing religious vilification.  It is rare for any of these people to make a complaint to the Commission.  In recent </w:t>
      </w:r>
      <w:r w:rsidR="00940502" w:rsidRPr="00EC4120">
        <w:rPr>
          <w:rFonts w:cs="Arial"/>
          <w:sz w:val="24"/>
          <w:szCs w:val="24"/>
        </w:rPr>
        <w:lastRenderedPageBreak/>
        <w:t>years,</w:t>
      </w:r>
      <w:r w:rsidR="00263314" w:rsidRPr="00EC4120">
        <w:rPr>
          <w:rFonts w:cs="Arial"/>
          <w:sz w:val="24"/>
          <w:szCs w:val="24"/>
        </w:rPr>
        <w:t xml:space="preserve"> there have been many media reports of people experiencing religious or racial vilification on public transport.  </w:t>
      </w:r>
    </w:p>
    <w:p w:rsidR="00263314" w:rsidRPr="00EC4120" w:rsidRDefault="00263314" w:rsidP="00BC5C48">
      <w:pPr>
        <w:spacing w:after="240"/>
        <w:rPr>
          <w:rFonts w:cs="Arial"/>
          <w:sz w:val="24"/>
          <w:szCs w:val="24"/>
        </w:rPr>
      </w:pPr>
      <w:r w:rsidRPr="00EC4120">
        <w:rPr>
          <w:rFonts w:cs="Arial"/>
          <w:sz w:val="24"/>
          <w:szCs w:val="24"/>
        </w:rPr>
        <w:t xml:space="preserve">We did receive a report of a Muslim woman who was vilified on a bus, </w:t>
      </w:r>
      <w:r w:rsidR="00EC4120">
        <w:rPr>
          <w:rFonts w:cs="Arial"/>
          <w:sz w:val="24"/>
          <w:szCs w:val="24"/>
        </w:rPr>
        <w:t>because of which</w:t>
      </w:r>
      <w:r w:rsidRPr="00EC4120">
        <w:rPr>
          <w:rFonts w:cs="Arial"/>
          <w:sz w:val="24"/>
          <w:szCs w:val="24"/>
        </w:rPr>
        <w:t xml:space="preserve"> she is now too afraid to use public tr</w:t>
      </w:r>
      <w:r w:rsidR="00940502">
        <w:rPr>
          <w:rFonts w:cs="Arial"/>
          <w:sz w:val="24"/>
          <w:szCs w:val="24"/>
        </w:rPr>
        <w:t>ansport.  In response to</w:t>
      </w:r>
      <w:r w:rsidRPr="00EC4120">
        <w:rPr>
          <w:rFonts w:cs="Arial"/>
          <w:sz w:val="24"/>
          <w:szCs w:val="24"/>
        </w:rPr>
        <w:t xml:space="preserve"> the report, we have been consulting with various </w:t>
      </w:r>
      <w:r w:rsidR="00C86D32" w:rsidRPr="00EC4120">
        <w:rPr>
          <w:rFonts w:cs="Arial"/>
          <w:sz w:val="24"/>
          <w:szCs w:val="24"/>
        </w:rPr>
        <w:t>agencies to work towards improving behaviour on buses and implementing protocols to address offending behaviour when it occurs.</w:t>
      </w:r>
    </w:p>
    <w:p w:rsidR="005D2B49" w:rsidRPr="00EC4120" w:rsidRDefault="005D2B49" w:rsidP="005D2B49">
      <w:pPr>
        <w:keepNext/>
        <w:rPr>
          <w:rFonts w:cs="Arial"/>
          <w:b/>
          <w:sz w:val="24"/>
          <w:szCs w:val="24"/>
        </w:rPr>
      </w:pPr>
      <w:r w:rsidRPr="00EC4120">
        <w:rPr>
          <w:rFonts w:cs="Arial"/>
          <w:b/>
          <w:sz w:val="24"/>
          <w:szCs w:val="24"/>
        </w:rPr>
        <w:t>Complaint statistics</w:t>
      </w:r>
    </w:p>
    <w:p w:rsidR="005D2B49" w:rsidRPr="00EC4120" w:rsidRDefault="00EC4120" w:rsidP="00BC5C48">
      <w:pPr>
        <w:spacing w:after="240"/>
        <w:rPr>
          <w:rFonts w:cs="Arial"/>
          <w:sz w:val="24"/>
          <w:szCs w:val="24"/>
        </w:rPr>
      </w:pPr>
      <w:r w:rsidRPr="00EC4120">
        <w:rPr>
          <w:rFonts w:cs="Arial"/>
          <w:sz w:val="24"/>
          <w:szCs w:val="24"/>
        </w:rPr>
        <w:t>Records</w:t>
      </w:r>
      <w:r w:rsidR="00475FF4" w:rsidRPr="00EC4120">
        <w:rPr>
          <w:rFonts w:cs="Arial"/>
          <w:sz w:val="24"/>
          <w:szCs w:val="24"/>
        </w:rPr>
        <w:t xml:space="preserve"> relating to</w:t>
      </w:r>
      <w:r w:rsidR="005D2B49" w:rsidRPr="00EC4120">
        <w:rPr>
          <w:rFonts w:cs="Arial"/>
          <w:sz w:val="24"/>
          <w:szCs w:val="24"/>
        </w:rPr>
        <w:t xml:space="preserve"> complaints of religious discrimination and religious vilification accepted by the Commission over the past five</w:t>
      </w:r>
      <w:r w:rsidR="00A66E58" w:rsidRPr="00EC4120">
        <w:rPr>
          <w:rFonts w:cs="Arial"/>
          <w:sz w:val="24"/>
          <w:szCs w:val="24"/>
        </w:rPr>
        <w:t xml:space="preserve"> years</w:t>
      </w:r>
      <w:r w:rsidR="00475FF4" w:rsidRPr="00EC4120">
        <w:rPr>
          <w:rFonts w:cs="Arial"/>
          <w:sz w:val="24"/>
          <w:szCs w:val="24"/>
        </w:rPr>
        <w:t xml:space="preserve"> are set out in </w:t>
      </w:r>
      <w:r w:rsidR="007B0D0E">
        <w:rPr>
          <w:rFonts w:cs="Arial"/>
          <w:sz w:val="24"/>
          <w:szCs w:val="24"/>
        </w:rPr>
        <w:t>five</w:t>
      </w:r>
      <w:r w:rsidRPr="00EC4120">
        <w:rPr>
          <w:rFonts w:cs="Arial"/>
          <w:sz w:val="24"/>
          <w:szCs w:val="24"/>
        </w:rPr>
        <w:t xml:space="preserve"> tables in </w:t>
      </w:r>
      <w:r w:rsidR="00475FF4" w:rsidRPr="00EC4120">
        <w:rPr>
          <w:rFonts w:cs="Arial"/>
          <w:sz w:val="24"/>
          <w:szCs w:val="24"/>
        </w:rPr>
        <w:t>Appendix B</w:t>
      </w:r>
      <w:r w:rsidR="005D2B49" w:rsidRPr="00EC4120">
        <w:rPr>
          <w:rFonts w:cs="Arial"/>
          <w:sz w:val="24"/>
          <w:szCs w:val="24"/>
        </w:rPr>
        <w:t>.  Accepted complaints are those that meet the statutory threshold of indicating an alleged contravention of the AD Act.</w:t>
      </w:r>
      <w:r w:rsidR="003F66AE" w:rsidRPr="00EC4120">
        <w:rPr>
          <w:rStyle w:val="FootnoteReference"/>
          <w:rFonts w:cs="Arial"/>
          <w:sz w:val="24"/>
          <w:szCs w:val="24"/>
        </w:rPr>
        <w:footnoteReference w:id="18"/>
      </w:r>
    </w:p>
    <w:p w:rsidR="00EC4120" w:rsidRPr="00EC4120" w:rsidRDefault="00EC4120" w:rsidP="00BC5C48">
      <w:pPr>
        <w:spacing w:after="240"/>
        <w:rPr>
          <w:rFonts w:cs="Arial"/>
          <w:sz w:val="24"/>
          <w:szCs w:val="24"/>
        </w:rPr>
      </w:pPr>
      <w:r w:rsidRPr="00EC4120">
        <w:rPr>
          <w:rFonts w:cs="Arial"/>
          <w:sz w:val="24"/>
          <w:szCs w:val="24"/>
        </w:rPr>
        <w:t>The tables show:</w:t>
      </w:r>
    </w:p>
    <w:p w:rsidR="00EC4120" w:rsidRPr="00EC4120" w:rsidRDefault="00EC4120" w:rsidP="00EC4120">
      <w:pPr>
        <w:tabs>
          <w:tab w:val="left" w:pos="1800"/>
        </w:tabs>
        <w:spacing w:after="240"/>
        <w:ind w:left="1800" w:hanging="1080"/>
        <w:rPr>
          <w:rFonts w:cs="Arial"/>
          <w:sz w:val="24"/>
          <w:szCs w:val="24"/>
        </w:rPr>
      </w:pPr>
      <w:r w:rsidRPr="00EC4120">
        <w:rPr>
          <w:rFonts w:cs="Arial"/>
          <w:sz w:val="24"/>
          <w:szCs w:val="24"/>
        </w:rPr>
        <w:t xml:space="preserve">Table 1: </w:t>
      </w:r>
      <w:r w:rsidRPr="00EC4120">
        <w:rPr>
          <w:rFonts w:cs="Arial"/>
          <w:sz w:val="24"/>
          <w:szCs w:val="24"/>
        </w:rPr>
        <w:tab/>
        <w:t>The number of complaints of religious discrimination and religious vilification accepted by the Commission, and their percentage of the total number of accepted complaints.</w:t>
      </w:r>
    </w:p>
    <w:p w:rsidR="00EC4120" w:rsidRPr="00EC4120" w:rsidRDefault="00EC4120" w:rsidP="00EC4120">
      <w:pPr>
        <w:tabs>
          <w:tab w:val="left" w:pos="1800"/>
        </w:tabs>
        <w:spacing w:after="240"/>
        <w:ind w:left="1800" w:hanging="1080"/>
        <w:rPr>
          <w:rFonts w:cs="Arial"/>
          <w:sz w:val="24"/>
          <w:szCs w:val="24"/>
        </w:rPr>
      </w:pPr>
      <w:r w:rsidRPr="00EC4120">
        <w:rPr>
          <w:rFonts w:cs="Arial"/>
          <w:sz w:val="24"/>
          <w:szCs w:val="24"/>
        </w:rPr>
        <w:t>Table 2:</w:t>
      </w:r>
      <w:r w:rsidRPr="00EC4120">
        <w:rPr>
          <w:rFonts w:cs="Arial"/>
          <w:sz w:val="24"/>
          <w:szCs w:val="24"/>
        </w:rPr>
        <w:tab/>
        <w:t>The context of the alleged religious discrimination (areas).</w:t>
      </w:r>
    </w:p>
    <w:p w:rsidR="00EC4120" w:rsidRDefault="00EC4120" w:rsidP="00EC4120">
      <w:pPr>
        <w:tabs>
          <w:tab w:val="left" w:pos="1800"/>
        </w:tabs>
        <w:spacing w:after="240"/>
        <w:ind w:left="1800" w:hanging="1080"/>
        <w:rPr>
          <w:rFonts w:cs="Arial"/>
          <w:sz w:val="24"/>
          <w:szCs w:val="24"/>
        </w:rPr>
      </w:pPr>
      <w:r w:rsidRPr="00EC4120">
        <w:rPr>
          <w:rFonts w:cs="Arial"/>
          <w:sz w:val="24"/>
          <w:szCs w:val="24"/>
        </w:rPr>
        <w:t>Table 3:</w:t>
      </w:r>
      <w:r w:rsidRPr="00EC4120">
        <w:rPr>
          <w:rFonts w:cs="Arial"/>
          <w:sz w:val="24"/>
          <w:szCs w:val="24"/>
        </w:rPr>
        <w:tab/>
        <w:t>The context of the alleged religious vilif</w:t>
      </w:r>
      <w:r>
        <w:rPr>
          <w:rFonts w:cs="Arial"/>
          <w:sz w:val="24"/>
          <w:szCs w:val="24"/>
        </w:rPr>
        <w:t>ication</w:t>
      </w:r>
      <w:r w:rsidR="007B0D0E">
        <w:rPr>
          <w:rFonts w:cs="Arial"/>
          <w:sz w:val="24"/>
          <w:szCs w:val="24"/>
        </w:rPr>
        <w:t xml:space="preserve"> (area)</w:t>
      </w:r>
      <w:r>
        <w:rPr>
          <w:rFonts w:cs="Arial"/>
          <w:sz w:val="24"/>
          <w:szCs w:val="24"/>
        </w:rPr>
        <w:t xml:space="preserve">.  </w:t>
      </w:r>
      <w:r w:rsidR="007B0D0E">
        <w:rPr>
          <w:rFonts w:cs="Arial"/>
          <w:sz w:val="24"/>
          <w:szCs w:val="24"/>
        </w:rPr>
        <w:t>An area is not been recorded for six of the 11 complaints.  The vilification prohibition is not confined to the areas of discrimination under the Act.</w:t>
      </w:r>
    </w:p>
    <w:p w:rsidR="007B0D0E" w:rsidRDefault="007B0D0E" w:rsidP="00EC4120">
      <w:pPr>
        <w:tabs>
          <w:tab w:val="left" w:pos="1800"/>
        </w:tabs>
        <w:spacing w:after="240"/>
        <w:ind w:left="1800" w:hanging="1080"/>
        <w:rPr>
          <w:rFonts w:cs="Arial"/>
          <w:sz w:val="24"/>
          <w:szCs w:val="24"/>
        </w:rPr>
      </w:pPr>
      <w:r>
        <w:rPr>
          <w:rFonts w:cs="Arial"/>
          <w:sz w:val="24"/>
          <w:szCs w:val="24"/>
        </w:rPr>
        <w:t>Table 4:</w:t>
      </w:r>
      <w:r>
        <w:rPr>
          <w:rFonts w:cs="Arial"/>
          <w:sz w:val="24"/>
          <w:szCs w:val="24"/>
        </w:rPr>
        <w:tab/>
        <w:t>The religion of the person making the complaint of religious discrimination.  The religion is either unspecified or other than those mentioned, in 17 of the 52 complaints.</w:t>
      </w:r>
    </w:p>
    <w:p w:rsidR="007B0D0E" w:rsidRPr="00EC4120" w:rsidRDefault="007B0D0E" w:rsidP="00EC4120">
      <w:pPr>
        <w:tabs>
          <w:tab w:val="left" w:pos="1800"/>
        </w:tabs>
        <w:spacing w:after="240"/>
        <w:ind w:left="1800" w:hanging="1080"/>
        <w:rPr>
          <w:rFonts w:cs="Arial"/>
          <w:sz w:val="24"/>
          <w:szCs w:val="24"/>
        </w:rPr>
      </w:pPr>
      <w:r>
        <w:rPr>
          <w:rFonts w:cs="Arial"/>
          <w:sz w:val="24"/>
          <w:szCs w:val="24"/>
        </w:rPr>
        <w:t>Table 5:</w:t>
      </w:r>
      <w:r>
        <w:rPr>
          <w:rFonts w:cs="Arial"/>
          <w:sz w:val="24"/>
          <w:szCs w:val="24"/>
        </w:rPr>
        <w:tab/>
        <w:t>The religion of the person making the complaint of religious vilification.  The religion is either unspecified or other than those mentioned, in two of the 11 complaints.</w:t>
      </w:r>
    </w:p>
    <w:p w:rsidR="00C86D32" w:rsidRPr="00EC4120" w:rsidRDefault="00C86D32" w:rsidP="00BC5C48">
      <w:pPr>
        <w:spacing w:after="240"/>
        <w:rPr>
          <w:rFonts w:cs="Arial"/>
          <w:sz w:val="24"/>
          <w:szCs w:val="24"/>
        </w:rPr>
      </w:pPr>
      <w:r w:rsidRPr="00EC4120">
        <w:rPr>
          <w:rFonts w:cs="Arial"/>
          <w:sz w:val="24"/>
          <w:szCs w:val="24"/>
        </w:rPr>
        <w:t>I trust the information in this submission assists the Panel in its review.</w:t>
      </w:r>
    </w:p>
    <w:p w:rsidR="00C86D32" w:rsidRPr="00EC4120" w:rsidRDefault="00C86D32" w:rsidP="00C86D32">
      <w:pPr>
        <w:rPr>
          <w:rFonts w:cs="Arial"/>
          <w:sz w:val="24"/>
          <w:szCs w:val="24"/>
        </w:rPr>
      </w:pPr>
      <w:r w:rsidRPr="00EC4120">
        <w:rPr>
          <w:rFonts w:cs="Arial"/>
          <w:sz w:val="24"/>
          <w:szCs w:val="24"/>
        </w:rPr>
        <w:t>Yours sincerely</w:t>
      </w:r>
    </w:p>
    <w:p w:rsidR="00C86D32" w:rsidRPr="007903DA" w:rsidRDefault="007903DA" w:rsidP="00C86D32">
      <w:pPr>
        <w:rPr>
          <w:rFonts w:cs="Arial"/>
          <w:i/>
          <w:szCs w:val="24"/>
        </w:rPr>
      </w:pPr>
      <w:r w:rsidRPr="007903DA">
        <w:rPr>
          <w:rFonts w:cs="Arial"/>
          <w:i/>
          <w:szCs w:val="24"/>
        </w:rPr>
        <w:t>(Signed)</w:t>
      </w:r>
    </w:p>
    <w:p w:rsidR="00C86D32" w:rsidRPr="00EC4120" w:rsidRDefault="00C86D32" w:rsidP="00C86D32">
      <w:pPr>
        <w:spacing w:before="0" w:after="0"/>
        <w:rPr>
          <w:rFonts w:cs="Arial"/>
          <w:b/>
          <w:sz w:val="24"/>
          <w:szCs w:val="24"/>
        </w:rPr>
      </w:pPr>
      <w:r w:rsidRPr="00EC4120">
        <w:rPr>
          <w:rFonts w:cs="Arial"/>
          <w:b/>
          <w:sz w:val="24"/>
          <w:szCs w:val="24"/>
        </w:rPr>
        <w:t>KEVIN COCKS AM</w:t>
      </w:r>
    </w:p>
    <w:p w:rsidR="00C86D32" w:rsidRPr="00EC4120" w:rsidRDefault="00C86D32" w:rsidP="00C86D32">
      <w:pPr>
        <w:spacing w:before="0" w:after="0"/>
        <w:rPr>
          <w:rFonts w:cs="Arial"/>
          <w:b/>
          <w:sz w:val="24"/>
          <w:szCs w:val="24"/>
        </w:rPr>
      </w:pPr>
      <w:r w:rsidRPr="00EC4120">
        <w:rPr>
          <w:rFonts w:cs="Arial"/>
          <w:b/>
          <w:sz w:val="24"/>
          <w:szCs w:val="24"/>
        </w:rPr>
        <w:t>Anti-Discrimination Commissioner</w:t>
      </w:r>
    </w:p>
    <w:p w:rsidR="00033BF9" w:rsidRPr="00EC4120" w:rsidRDefault="00033BF9" w:rsidP="00B5119E">
      <w:pPr>
        <w:spacing w:after="240"/>
        <w:rPr>
          <w:rFonts w:cs="Arial"/>
          <w:sz w:val="24"/>
          <w:szCs w:val="24"/>
        </w:rPr>
        <w:sectPr w:rsidR="00033BF9" w:rsidRPr="00EC4120" w:rsidSect="005535B1">
          <w:headerReference w:type="default" r:id="rId9"/>
          <w:headerReference w:type="first" r:id="rId10"/>
          <w:footerReference w:type="first" r:id="rId11"/>
          <w:pgSz w:w="11906" w:h="16838" w:code="9"/>
          <w:pgMar w:top="1440" w:right="1797" w:bottom="1440" w:left="1797" w:header="709" w:footer="709" w:gutter="0"/>
          <w:cols w:space="708"/>
          <w:titlePg/>
          <w:docGrid w:linePitch="360"/>
        </w:sectPr>
      </w:pPr>
    </w:p>
    <w:p w:rsidR="00033BF9" w:rsidRPr="00EC4120" w:rsidRDefault="00033BF9" w:rsidP="00033BF9">
      <w:pPr>
        <w:spacing w:before="0" w:after="0"/>
        <w:rPr>
          <w:rFonts w:cs="Arial"/>
          <w:sz w:val="20"/>
        </w:rPr>
      </w:pPr>
    </w:p>
    <w:p w:rsidR="00EE4E30" w:rsidRPr="00EC4120" w:rsidRDefault="00EE4E30" w:rsidP="00EE4E30">
      <w:pPr>
        <w:spacing w:before="0" w:after="0"/>
        <w:rPr>
          <w:rFonts w:cs="Arial"/>
          <w:b/>
          <w:sz w:val="28"/>
          <w:szCs w:val="28"/>
        </w:rPr>
      </w:pPr>
      <w:r w:rsidRPr="00EC4120">
        <w:rPr>
          <w:rFonts w:cs="Arial"/>
          <w:b/>
          <w:color w:val="4F81BD" w:themeColor="accent1"/>
          <w:sz w:val="28"/>
          <w:szCs w:val="28"/>
        </w:rPr>
        <w:t>Discrimination</w:t>
      </w:r>
    </w:p>
    <w:p w:rsidR="00EE4E30" w:rsidRPr="00EC4120" w:rsidRDefault="00EE4E30" w:rsidP="00EE4E30">
      <w:pPr>
        <w:pStyle w:val="NormalWeb"/>
        <w:spacing w:before="240" w:after="120"/>
        <w:rPr>
          <w:rFonts w:ascii="Arial" w:hAnsi="Arial" w:cs="Arial"/>
          <w:b/>
          <w:sz w:val="22"/>
          <w:szCs w:val="22"/>
        </w:rPr>
      </w:pPr>
      <w:r w:rsidRPr="00EC4120">
        <w:rPr>
          <w:rFonts w:ascii="Arial" w:hAnsi="Arial" w:cs="Arial"/>
          <w:b/>
          <w:sz w:val="22"/>
          <w:szCs w:val="22"/>
        </w:rPr>
        <w:t>Photograph on driver licence</w:t>
      </w:r>
    </w:p>
    <w:p w:rsidR="00EE4E30" w:rsidRPr="00EC4120" w:rsidRDefault="00EE4E30" w:rsidP="00EE4E30">
      <w:pPr>
        <w:pStyle w:val="NormalWeb"/>
        <w:rPr>
          <w:rFonts w:ascii="Arial" w:hAnsi="Arial" w:cs="Arial"/>
          <w:sz w:val="22"/>
          <w:szCs w:val="22"/>
        </w:rPr>
      </w:pPr>
      <w:r w:rsidRPr="00EC4120">
        <w:rPr>
          <w:rFonts w:ascii="Arial" w:hAnsi="Arial" w:cs="Arial"/>
          <w:sz w:val="22"/>
          <w:szCs w:val="22"/>
        </w:rPr>
        <w:t>Two people, whose religious belief prevented them from having their photographs taken, complained of discrimination when the Department of Transport refused to issue them with driver licences without photographs. Their religious belief is based on the Christian 2nd commandment and the books of the Old Testament of the Bible, Exodus and Deuteronomy.</w:t>
      </w:r>
    </w:p>
    <w:p w:rsidR="00EE4E30" w:rsidRPr="00EC4120" w:rsidRDefault="00EE4E30" w:rsidP="00EE4E30">
      <w:pPr>
        <w:pStyle w:val="NormalWeb"/>
        <w:rPr>
          <w:rFonts w:ascii="Arial" w:hAnsi="Arial" w:cs="Arial"/>
          <w:sz w:val="22"/>
          <w:szCs w:val="22"/>
        </w:rPr>
      </w:pPr>
      <w:r w:rsidRPr="00EC4120">
        <w:rPr>
          <w:rFonts w:ascii="Arial" w:hAnsi="Arial" w:cs="Arial"/>
          <w:sz w:val="22"/>
          <w:szCs w:val="22"/>
        </w:rPr>
        <w:t>The Department gave evidence that driver licences with photographs were introduced in Queensland in 1986 and had become a primary form of identification, and claimed reliable identification cannot occur without a photograph.</w:t>
      </w:r>
    </w:p>
    <w:p w:rsidR="00EE4E30" w:rsidRPr="00EC4120" w:rsidRDefault="00EE4E30" w:rsidP="00EE4E30">
      <w:pPr>
        <w:spacing w:before="0" w:after="0"/>
        <w:rPr>
          <w:rFonts w:cs="Arial"/>
          <w:szCs w:val="22"/>
        </w:rPr>
      </w:pPr>
      <w:r w:rsidRPr="00EC4120">
        <w:rPr>
          <w:rFonts w:cs="Arial"/>
          <w:szCs w:val="22"/>
        </w:rPr>
        <w:t>The tribunal found that the requirement to have a photograph on a Queensland driver licence was reasonable, and the complaint was dismissed.</w:t>
      </w:r>
    </w:p>
    <w:p w:rsidR="00EE4E30" w:rsidRPr="00EC4120" w:rsidRDefault="00EE4E30" w:rsidP="00EE4E30">
      <w:pPr>
        <w:spacing w:after="0"/>
        <w:rPr>
          <w:rFonts w:cs="Arial"/>
          <w:szCs w:val="22"/>
        </w:rPr>
      </w:pPr>
      <w:r w:rsidRPr="00EC4120">
        <w:rPr>
          <w:rFonts w:cs="Arial"/>
          <w:i/>
          <w:szCs w:val="22"/>
        </w:rPr>
        <w:t xml:space="preserve">Emanuel v State of Queensland </w:t>
      </w:r>
      <w:r w:rsidRPr="00EC4120">
        <w:rPr>
          <w:rFonts w:cs="Arial"/>
          <w:szCs w:val="22"/>
        </w:rPr>
        <w:t>[2011] QCAT 731 (30 November 2011)</w:t>
      </w:r>
    </w:p>
    <w:p w:rsidR="00EE4E30" w:rsidRPr="00EC4120" w:rsidRDefault="00EE4E30" w:rsidP="00EE4E30">
      <w:pPr>
        <w:spacing w:before="0" w:after="0"/>
        <w:rPr>
          <w:rFonts w:cs="Arial"/>
          <w:szCs w:val="22"/>
        </w:rPr>
      </w:pPr>
    </w:p>
    <w:p w:rsidR="00EE4E30" w:rsidRPr="00EC4120" w:rsidRDefault="00EE4E30" w:rsidP="00EE4E30">
      <w:pPr>
        <w:spacing w:before="240"/>
        <w:rPr>
          <w:rFonts w:cs="Arial"/>
          <w:b/>
          <w:szCs w:val="22"/>
        </w:rPr>
      </w:pPr>
      <w:r w:rsidRPr="00EC4120">
        <w:rPr>
          <w:rFonts w:cs="Arial"/>
          <w:b/>
          <w:szCs w:val="22"/>
        </w:rPr>
        <w:t>No halal meat in prison</w:t>
      </w:r>
    </w:p>
    <w:p w:rsidR="00EE4E30" w:rsidRPr="00EC4120" w:rsidRDefault="00EE4E30" w:rsidP="00EE4E30">
      <w:pPr>
        <w:pStyle w:val="NormalWeb"/>
        <w:rPr>
          <w:rFonts w:ascii="Arial" w:hAnsi="Arial" w:cs="Arial"/>
          <w:sz w:val="22"/>
          <w:szCs w:val="22"/>
        </w:rPr>
      </w:pPr>
      <w:r w:rsidRPr="00EC4120">
        <w:rPr>
          <w:rFonts w:ascii="Arial" w:hAnsi="Arial" w:cs="Arial"/>
          <w:sz w:val="22"/>
          <w:szCs w:val="22"/>
        </w:rPr>
        <w:t>A Muslim prisoner was given the same general food as other prisoners, even though he had informed the prison on his arrival that he only ate meat that was halal.  After ten months at the prison, he made a written request for halal meat, but his request was declined.  He continued efforts to obtain halal meat, and eventually he was provided with tinned halal meat.  The tinned meat was unsatisfactory so he stopped eating it, and he kept trying to obtain fresh halal meat. After two and a half years, he was transferred to a lower security prison. He was again given the general food of other prisoners.  After three months, he met with the food supervisor who initially refused his request for fresh halal meat. Instead, it was agreed he would be given food supplements such as eggs, cheese, nuts etc. Eventually the prisoner was given fresh halal meat that he cooked himself for the rest of his time in prison.</w:t>
      </w:r>
    </w:p>
    <w:p w:rsidR="00EE4E30" w:rsidRPr="00EC4120" w:rsidRDefault="00EE4E30" w:rsidP="00EE4E30">
      <w:pPr>
        <w:pStyle w:val="NormalWeb"/>
        <w:rPr>
          <w:rFonts w:ascii="Arial" w:hAnsi="Arial" w:cs="Arial"/>
          <w:sz w:val="22"/>
          <w:szCs w:val="22"/>
        </w:rPr>
      </w:pPr>
      <w:r w:rsidRPr="00EC4120">
        <w:rPr>
          <w:rFonts w:ascii="Arial" w:hAnsi="Arial" w:cs="Arial"/>
          <w:sz w:val="22"/>
          <w:szCs w:val="22"/>
        </w:rPr>
        <w:t xml:space="preserve">The tribunal said that when the prison provided the man with the same food as the general prison population, it imposed a term on him that he eat the general diet provided to prisoners. He could not comply with that term because of his religion. </w:t>
      </w:r>
    </w:p>
    <w:p w:rsidR="00EE4E30" w:rsidRPr="00EC4120" w:rsidRDefault="00EE4E30" w:rsidP="00EE4E30">
      <w:pPr>
        <w:pStyle w:val="NormalWeb"/>
        <w:rPr>
          <w:rFonts w:ascii="Arial" w:hAnsi="Arial" w:cs="Arial"/>
          <w:sz w:val="22"/>
          <w:szCs w:val="22"/>
        </w:rPr>
      </w:pPr>
      <w:r w:rsidRPr="00EC4120">
        <w:rPr>
          <w:rFonts w:ascii="Arial" w:hAnsi="Arial" w:cs="Arial"/>
          <w:sz w:val="22"/>
          <w:szCs w:val="22"/>
        </w:rPr>
        <w:t>The prison was able to cater for prisoner diets for numerous other medical and cultural reasons, and was able to meet the cost of supplying fresh halal meat.  The fact that the man was serving a long sentence was relevant because providing supplements is a temporary measure.  In the circumstances, the term was not reasonable.</w:t>
      </w:r>
    </w:p>
    <w:p w:rsidR="00EE4E30" w:rsidRPr="00EC4120" w:rsidRDefault="00EE4E30" w:rsidP="00EE4E30">
      <w:pPr>
        <w:pStyle w:val="NormalWeb"/>
        <w:rPr>
          <w:rFonts w:ascii="Arial" w:hAnsi="Arial" w:cs="Arial"/>
          <w:sz w:val="22"/>
          <w:szCs w:val="22"/>
        </w:rPr>
      </w:pPr>
      <w:r w:rsidRPr="00EC4120">
        <w:rPr>
          <w:rFonts w:ascii="Arial" w:hAnsi="Arial" w:cs="Arial"/>
          <w:sz w:val="22"/>
          <w:szCs w:val="22"/>
        </w:rPr>
        <w:t>When the prison provided the prisoner with a vegetarian diet with supplements and tinned halal meat, it was less favourable treatment of him because of his religion. Although prisoners would find their meals unpalatable from time to time, the man received substantially more unpalatable meals because he was put on a vegetarian diet when he was not a vegetarian. He also did not always receive the supplements he was supposed to receive. The tribunal found he regularly and frequently experienced difficulty with the supply and content of his meals.</w:t>
      </w:r>
    </w:p>
    <w:p w:rsidR="00EE4E30" w:rsidRPr="00EC4120" w:rsidRDefault="00EE4E30" w:rsidP="00EE4E30">
      <w:pPr>
        <w:pStyle w:val="NormalWeb"/>
        <w:rPr>
          <w:rFonts w:ascii="Arial" w:hAnsi="Arial" w:cs="Arial"/>
          <w:sz w:val="22"/>
          <w:szCs w:val="22"/>
        </w:rPr>
      </w:pPr>
      <w:r w:rsidRPr="00EC4120">
        <w:rPr>
          <w:rFonts w:ascii="Arial" w:hAnsi="Arial" w:cs="Arial"/>
          <w:sz w:val="22"/>
          <w:szCs w:val="22"/>
        </w:rPr>
        <w:t xml:space="preserve">The tribunal decided there had been both direct and indirect discrimination of the man, and awarded him compensation of $2,000. </w:t>
      </w:r>
    </w:p>
    <w:p w:rsidR="00EE4E30" w:rsidRPr="00EC4120" w:rsidRDefault="00EE4E30" w:rsidP="00EE4E30">
      <w:pPr>
        <w:pStyle w:val="NormalWeb"/>
        <w:rPr>
          <w:rFonts w:ascii="Arial" w:hAnsi="Arial" w:cs="Arial"/>
          <w:sz w:val="22"/>
          <w:szCs w:val="22"/>
        </w:rPr>
      </w:pPr>
      <w:r w:rsidRPr="00EC4120">
        <w:rPr>
          <w:rFonts w:ascii="Arial" w:hAnsi="Arial" w:cs="Arial"/>
          <w:sz w:val="22"/>
          <w:szCs w:val="22"/>
        </w:rPr>
        <w:t>The tribunal recognised that the principle of provision of halal meat to prisoners was significant. By the time of the hearing of this complaint, all Muslim prisoners in Queensland gaols who requested halal meat were being provided with fresh halal meat.</w:t>
      </w:r>
    </w:p>
    <w:p w:rsidR="00EE4E30" w:rsidRPr="00EC4120" w:rsidRDefault="00EE4E30" w:rsidP="00EE4E30">
      <w:pPr>
        <w:rPr>
          <w:rFonts w:cs="Arial"/>
          <w:szCs w:val="22"/>
        </w:rPr>
      </w:pPr>
      <w:r w:rsidRPr="00EC4120">
        <w:rPr>
          <w:rStyle w:val="HTMLCite"/>
          <w:rFonts w:cs="Arial"/>
          <w:szCs w:val="22"/>
        </w:rPr>
        <w:t>Mahommed v State of Queensland</w:t>
      </w:r>
      <w:r w:rsidRPr="00EC4120">
        <w:rPr>
          <w:rFonts w:cs="Arial"/>
          <w:szCs w:val="22"/>
        </w:rPr>
        <w:t xml:space="preserve"> [2006] QADT 21 (24 May 2006)</w:t>
      </w:r>
    </w:p>
    <w:p w:rsidR="00EE4E30" w:rsidRPr="00EC4120" w:rsidRDefault="00EE4E30" w:rsidP="00EE4E30">
      <w:pPr>
        <w:keepNext/>
        <w:spacing w:before="240"/>
        <w:rPr>
          <w:rFonts w:cs="Arial"/>
          <w:b/>
          <w:szCs w:val="22"/>
        </w:rPr>
      </w:pPr>
      <w:r w:rsidRPr="00EC4120">
        <w:rPr>
          <w:rFonts w:cs="Arial"/>
          <w:b/>
          <w:szCs w:val="22"/>
        </w:rPr>
        <w:lastRenderedPageBreak/>
        <w:t>Religion not a genuine requirement for position</w:t>
      </w:r>
    </w:p>
    <w:p w:rsidR="00EE4E30" w:rsidRPr="00EC4120" w:rsidRDefault="00EE4E30" w:rsidP="00EE4E30">
      <w:r w:rsidRPr="00EC4120">
        <w:t>A woman worked as a volunteer for the charity, St Vincent De Paul Society.  The society’s rules described it as an international Catholic organisation of lay people that seeks to help those who are suffering.  The woman was not Catholic, but described herself as a Christian.  She worked for the society for six years, and during that time she had been elected president of a conference group.  The society knew the woman was not Catholic when she was appointed president.</w:t>
      </w:r>
    </w:p>
    <w:p w:rsidR="00EE4E30" w:rsidRPr="00EC4120" w:rsidRDefault="00EE4E30" w:rsidP="00EE4E30">
      <w:r w:rsidRPr="00EC4120">
        <w:t>During a meeting the woman was told that not being Catholic had become a contention, and if she did not become Catholic, she could not continue to work for the society as president of a conference group and would have to either resign as president or resign from working for the society completely.  The tribunal held that the ultimatum amounted to direct discrimination.</w:t>
      </w:r>
    </w:p>
    <w:p w:rsidR="00EE4E30" w:rsidRPr="00EC4120" w:rsidRDefault="00EE4E30" w:rsidP="00EE4E30">
      <w:r w:rsidRPr="00EC4120">
        <w:t>The tribunal considered whether the general exemption for religious bodies applied (s.109) and whether the genuine occupational exemption applied (s.25).  The society was made up of ‘lay faithful’ and only one of its objectives was spiritual.  The tribunal decided the society was not a religious body.  It also concluded that inculcating the faith was not the society’s primary function and it was not objectively necessary for a president to be Catholic.  Spiritual roles were not a primary responsibility of a president, and the duties of a president were much more comprehensive.</w:t>
      </w:r>
    </w:p>
    <w:p w:rsidR="00EE4E30" w:rsidRPr="00EC4120" w:rsidRDefault="00EE4E30" w:rsidP="00EE4E30">
      <w:pPr>
        <w:rPr>
          <w:rFonts w:cs="Arial"/>
          <w:szCs w:val="22"/>
        </w:rPr>
      </w:pPr>
      <w:r w:rsidRPr="00EC4120">
        <w:t>The woman was awarded compensation totally $27,500.  The tribunal declined to order the society to apologise because it acted on the basis of genuinely held beliefs.</w:t>
      </w:r>
    </w:p>
    <w:p w:rsidR="00EE4E30" w:rsidRPr="00EC4120" w:rsidRDefault="00EE4E30" w:rsidP="00EE4E30">
      <w:pPr>
        <w:rPr>
          <w:rFonts w:cs="Arial"/>
          <w:szCs w:val="22"/>
        </w:rPr>
      </w:pPr>
      <w:r w:rsidRPr="00EC4120">
        <w:rPr>
          <w:rFonts w:cs="Arial"/>
          <w:i/>
          <w:szCs w:val="22"/>
        </w:rPr>
        <w:t xml:space="preserve">Walsh v St Vincent de Paul Society Queensland (No. 2) </w:t>
      </w:r>
      <w:r w:rsidRPr="00EC4120">
        <w:rPr>
          <w:rFonts w:cs="Arial"/>
          <w:szCs w:val="22"/>
        </w:rPr>
        <w:t>[2008] QADT 32 (12 December 2008)</w:t>
      </w:r>
    </w:p>
    <w:p w:rsidR="00EE4E30" w:rsidRPr="00EC4120" w:rsidRDefault="00EE4E30" w:rsidP="00EE4E30">
      <w:pPr>
        <w:pStyle w:val="NormalWeb"/>
        <w:keepNext/>
        <w:spacing w:before="240" w:after="120"/>
        <w:rPr>
          <w:rFonts w:ascii="Arial" w:hAnsi="Arial" w:cs="Arial"/>
          <w:b/>
          <w:sz w:val="22"/>
          <w:szCs w:val="22"/>
        </w:rPr>
      </w:pPr>
      <w:r w:rsidRPr="00EC4120">
        <w:rPr>
          <w:rFonts w:ascii="Arial" w:hAnsi="Arial" w:cs="Arial"/>
          <w:b/>
          <w:sz w:val="22"/>
          <w:szCs w:val="22"/>
        </w:rPr>
        <w:t>Unable to work on Saturdays</w:t>
      </w:r>
    </w:p>
    <w:p w:rsidR="00EE4E30" w:rsidRPr="00EC4120" w:rsidRDefault="00EE4E30" w:rsidP="00EE4E30">
      <w:pPr>
        <w:pStyle w:val="NormalWeb"/>
        <w:rPr>
          <w:rFonts w:ascii="Arial" w:hAnsi="Arial" w:cs="Arial"/>
          <w:sz w:val="22"/>
          <w:szCs w:val="22"/>
        </w:rPr>
      </w:pPr>
      <w:r w:rsidRPr="00EC4120">
        <w:rPr>
          <w:rFonts w:ascii="Arial" w:hAnsi="Arial" w:cs="Arial"/>
          <w:sz w:val="22"/>
          <w:szCs w:val="22"/>
        </w:rPr>
        <w:t>A man complained that his employer had introduced a new rule that all staff were required to work on Saturdays. He said the rule had forced him to resign, as he was unable to work on Saturdays due to his devout practice as a Seventh Day Adventist.</w:t>
      </w:r>
    </w:p>
    <w:p w:rsidR="00EE4E30" w:rsidRPr="00EC4120" w:rsidRDefault="00EE4E30" w:rsidP="00EE4E30">
      <w:pPr>
        <w:pStyle w:val="NormalWeb"/>
        <w:rPr>
          <w:rFonts w:ascii="Arial" w:hAnsi="Arial" w:cs="Arial"/>
          <w:sz w:val="22"/>
          <w:szCs w:val="22"/>
        </w:rPr>
      </w:pPr>
      <w:r w:rsidRPr="00EC4120">
        <w:rPr>
          <w:rFonts w:ascii="Arial" w:hAnsi="Arial" w:cs="Arial"/>
          <w:sz w:val="22"/>
          <w:szCs w:val="22"/>
        </w:rPr>
        <w:t>The employer said he had not intentionally treated the man unfairly on the basis of his religion. The Commission explained that having no intention to discriminate was not a defence.</w:t>
      </w:r>
    </w:p>
    <w:p w:rsidR="00EE4E30" w:rsidRPr="00EC4120" w:rsidRDefault="00EE4E30" w:rsidP="00EE4E30">
      <w:pPr>
        <w:spacing w:before="240"/>
        <w:rPr>
          <w:rFonts w:cs="Arial"/>
          <w:b/>
          <w:szCs w:val="22"/>
        </w:rPr>
      </w:pPr>
      <w:r w:rsidRPr="00EC4120">
        <w:rPr>
          <w:rFonts w:cs="Arial"/>
          <w:szCs w:val="22"/>
        </w:rPr>
        <w:t>In conciliation, the employer apologised for any hurt and humiliation the man may have suffered, and agreed to pay him $5,000 to cover his loss of wages and general damages.</w:t>
      </w:r>
    </w:p>
    <w:p w:rsidR="00EE4E30" w:rsidRPr="00EC4120" w:rsidRDefault="00EE4E30" w:rsidP="00EE4E30">
      <w:pPr>
        <w:rPr>
          <w:rFonts w:cs="Arial"/>
          <w:b/>
          <w:szCs w:val="22"/>
        </w:rPr>
      </w:pPr>
      <w:r w:rsidRPr="00EC4120">
        <w:rPr>
          <w:rFonts w:cs="Arial"/>
          <w:b/>
          <w:szCs w:val="22"/>
        </w:rPr>
        <w:t>Questions about religion asked during interview</w:t>
      </w:r>
    </w:p>
    <w:p w:rsidR="00EE4E30" w:rsidRPr="00EC4120" w:rsidRDefault="00EE4E30" w:rsidP="00EE4E30">
      <w:pPr>
        <w:pStyle w:val="NormalWeb"/>
        <w:spacing w:before="120" w:after="120"/>
        <w:rPr>
          <w:rFonts w:ascii="Arial" w:hAnsi="Arial" w:cs="Arial"/>
          <w:sz w:val="22"/>
          <w:szCs w:val="22"/>
        </w:rPr>
      </w:pPr>
      <w:r w:rsidRPr="00EC4120">
        <w:rPr>
          <w:rFonts w:ascii="Arial" w:hAnsi="Arial" w:cs="Arial"/>
          <w:sz w:val="22"/>
          <w:szCs w:val="22"/>
        </w:rPr>
        <w:t xml:space="preserve">At a second interview for a position, the interviewer asked the applicant his name and whether he was Muslim.  When he said his name, the employer said they would call him ‘George’ because it was easy to pronounce. The interviewer also asked </w:t>
      </w:r>
      <w:r w:rsidR="00403F4F">
        <w:rPr>
          <w:rFonts w:ascii="Arial" w:hAnsi="Arial" w:cs="Arial"/>
          <w:sz w:val="22"/>
          <w:szCs w:val="22"/>
        </w:rPr>
        <w:t>the</w:t>
      </w:r>
      <w:r w:rsidRPr="00EC4120">
        <w:rPr>
          <w:rFonts w:ascii="Arial" w:hAnsi="Arial" w:cs="Arial"/>
          <w:sz w:val="22"/>
          <w:szCs w:val="22"/>
        </w:rPr>
        <w:t xml:space="preserve"> complainant about his need for a mosque, what country he was from, and whether he understood what slang was.  The man was not appointed to the position.</w:t>
      </w:r>
    </w:p>
    <w:p w:rsidR="00EE4E30" w:rsidRPr="00EC4120" w:rsidRDefault="00EE4E30" w:rsidP="00EE4E30">
      <w:pPr>
        <w:rPr>
          <w:rFonts w:cs="Arial"/>
          <w:b/>
          <w:szCs w:val="22"/>
        </w:rPr>
      </w:pPr>
      <w:r w:rsidRPr="00EC4120">
        <w:rPr>
          <w:rFonts w:cs="Arial"/>
          <w:szCs w:val="22"/>
        </w:rPr>
        <w:t>At conciliation, the employer said that he was trying to be friendly, but now understood how the comments and questions could have been perceived.  The employer apologised to the man and agreed to pay compensation for the perceived discrimination.</w:t>
      </w:r>
    </w:p>
    <w:p w:rsidR="00EE4E30" w:rsidRPr="00EC4120" w:rsidRDefault="00EE4E30" w:rsidP="00EE4E30">
      <w:pPr>
        <w:rPr>
          <w:rFonts w:cs="Arial"/>
          <w:b/>
          <w:szCs w:val="22"/>
        </w:rPr>
      </w:pPr>
      <w:r w:rsidRPr="00EC4120">
        <w:rPr>
          <w:rFonts w:cs="Arial"/>
          <w:b/>
          <w:szCs w:val="22"/>
        </w:rPr>
        <w:t>Respect for faith in prison</w:t>
      </w:r>
    </w:p>
    <w:p w:rsidR="00EE4E30" w:rsidRPr="00EC4120" w:rsidRDefault="00EE4E30" w:rsidP="00EE4E30">
      <w:pPr>
        <w:rPr>
          <w:rFonts w:cs="Arial"/>
          <w:szCs w:val="22"/>
        </w:rPr>
      </w:pPr>
      <w:r w:rsidRPr="00EC4120">
        <w:t>A prisoner alleged he was restricted in his practice of Spiritual Science Judaism.  He complained that cardboard icons significant to his worship had been confiscated and that prison staff had mocked him.  At conciliation, prison management agreed to allow the prisoner to observe religious days and ceremonies.  The prisoner’s request for candles was declined.</w:t>
      </w:r>
    </w:p>
    <w:p w:rsidR="00EE4E30" w:rsidRPr="00EC4120" w:rsidRDefault="00EE4E30" w:rsidP="00EE4E30">
      <w:pPr>
        <w:keepNext/>
        <w:spacing w:before="240"/>
        <w:rPr>
          <w:rFonts w:cs="Arial"/>
          <w:b/>
          <w:sz w:val="28"/>
          <w:szCs w:val="28"/>
        </w:rPr>
      </w:pPr>
      <w:r w:rsidRPr="00EC4120">
        <w:rPr>
          <w:rFonts w:cs="Arial"/>
          <w:b/>
          <w:color w:val="4F81BD" w:themeColor="accent1"/>
          <w:sz w:val="28"/>
          <w:szCs w:val="28"/>
        </w:rPr>
        <w:lastRenderedPageBreak/>
        <w:t xml:space="preserve">Vilification </w:t>
      </w:r>
    </w:p>
    <w:p w:rsidR="00EE4E30" w:rsidRPr="00EC4120" w:rsidRDefault="00EE4E30" w:rsidP="00EE4E30">
      <w:pPr>
        <w:keepNext/>
        <w:rPr>
          <w:rFonts w:cs="Arial"/>
          <w:szCs w:val="22"/>
        </w:rPr>
      </w:pPr>
      <w:r w:rsidRPr="00EC4120">
        <w:rPr>
          <w:rFonts w:cs="Arial"/>
          <w:b/>
          <w:szCs w:val="22"/>
        </w:rPr>
        <w:t>Public interest exception</w:t>
      </w:r>
    </w:p>
    <w:p w:rsidR="00EE4E30" w:rsidRPr="00EC4120" w:rsidRDefault="00EE4E30" w:rsidP="00EE4E30">
      <w:pPr>
        <w:rPr>
          <w:rFonts w:cs="Arial"/>
          <w:szCs w:val="22"/>
        </w:rPr>
      </w:pPr>
      <w:r w:rsidRPr="00EC4120">
        <w:rPr>
          <w:rFonts w:cs="Arial"/>
          <w:szCs w:val="22"/>
        </w:rPr>
        <w:t>A candidate in a federal election distributed a pamphlet claiming that people who believe in the teachings of the Koran are prone to disobey the laws of Australia when they conform with the teachings, and are prepared to commit murder.</w:t>
      </w:r>
    </w:p>
    <w:p w:rsidR="00EE4E30" w:rsidRPr="00EC4120" w:rsidRDefault="00EE4E30" w:rsidP="00EE4E30">
      <w:pPr>
        <w:rPr>
          <w:rFonts w:cs="Arial"/>
          <w:szCs w:val="22"/>
        </w:rPr>
      </w:pPr>
      <w:r w:rsidRPr="00EC4120">
        <w:rPr>
          <w:rFonts w:cs="Arial"/>
          <w:szCs w:val="22"/>
        </w:rPr>
        <w:t>The evidence at the hearing showed that the candidate had produced and distributed the pamphlets in good faith in order to persuade the electors that he deserved their vote.</w:t>
      </w:r>
    </w:p>
    <w:p w:rsidR="00EE4E30" w:rsidRPr="00EC4120" w:rsidRDefault="00EE4E30" w:rsidP="00EE4E30">
      <w:pPr>
        <w:rPr>
          <w:rFonts w:cs="Arial"/>
          <w:szCs w:val="22"/>
        </w:rPr>
      </w:pPr>
      <w:r w:rsidRPr="00EC4120">
        <w:rPr>
          <w:rFonts w:cs="Arial"/>
          <w:szCs w:val="22"/>
        </w:rPr>
        <w:t>The tribunal said the public had an interest in knowing the opinion of candidates, even when those opinions are unreasonable or plainly wrong.</w:t>
      </w:r>
    </w:p>
    <w:p w:rsidR="00EE4E30" w:rsidRPr="00EC4120" w:rsidRDefault="00EE4E30" w:rsidP="00EE4E30">
      <w:pPr>
        <w:rPr>
          <w:rFonts w:cs="Arial"/>
          <w:szCs w:val="22"/>
        </w:rPr>
      </w:pPr>
      <w:r w:rsidRPr="00EC4120">
        <w:rPr>
          <w:rFonts w:cs="Arial"/>
          <w:szCs w:val="22"/>
        </w:rPr>
        <w:t>The pamphlet was concise and written in moderate language, and only disseminated in the electorate.</w:t>
      </w:r>
    </w:p>
    <w:p w:rsidR="00EE4E30" w:rsidRPr="00EC4120" w:rsidRDefault="00EE4E30" w:rsidP="00EE4E30">
      <w:pPr>
        <w:rPr>
          <w:rFonts w:cs="Arial"/>
          <w:szCs w:val="22"/>
        </w:rPr>
      </w:pPr>
      <w:r w:rsidRPr="00EC4120">
        <w:rPr>
          <w:rFonts w:cs="Arial"/>
          <w:szCs w:val="22"/>
        </w:rPr>
        <w:t>The tribunal was satisfied the candidate was entitled to the exception for public acts done reasonably and in good faith for a purpose in the public interest.</w:t>
      </w:r>
    </w:p>
    <w:p w:rsidR="00EE4E30" w:rsidRPr="00EC4120" w:rsidRDefault="00EE4E30" w:rsidP="00EE4E30">
      <w:pPr>
        <w:rPr>
          <w:rFonts w:cs="Arial"/>
          <w:szCs w:val="22"/>
        </w:rPr>
      </w:pPr>
      <w:r w:rsidRPr="00EC4120">
        <w:rPr>
          <w:rFonts w:cs="Arial"/>
          <w:i/>
          <w:szCs w:val="22"/>
        </w:rPr>
        <w:t xml:space="preserve">Deen v Lamb </w:t>
      </w:r>
      <w:r w:rsidRPr="00EC4120">
        <w:rPr>
          <w:rFonts w:cs="Arial"/>
          <w:szCs w:val="22"/>
        </w:rPr>
        <w:t>[2001] QADT 20 (8 November 2001)</w:t>
      </w:r>
    </w:p>
    <w:p w:rsidR="006E0858" w:rsidRPr="00EC4120" w:rsidRDefault="006E0858" w:rsidP="00033BF9">
      <w:pPr>
        <w:spacing w:before="0" w:after="0"/>
        <w:rPr>
          <w:rFonts w:cs="Arial"/>
          <w:sz w:val="24"/>
          <w:szCs w:val="24"/>
        </w:rPr>
        <w:sectPr w:rsidR="006E0858" w:rsidRPr="00EC4120" w:rsidSect="003717C6">
          <w:headerReference w:type="default" r:id="rId12"/>
          <w:footerReference w:type="default" r:id="rId13"/>
          <w:headerReference w:type="first" r:id="rId14"/>
          <w:footerReference w:type="first" r:id="rId15"/>
          <w:pgSz w:w="11906" w:h="16838" w:code="9"/>
          <w:pgMar w:top="1181" w:right="1800" w:bottom="1008" w:left="1800" w:header="806" w:footer="0" w:gutter="0"/>
          <w:cols w:space="708"/>
          <w:titlePg/>
          <w:docGrid w:linePitch="360"/>
        </w:sectPr>
      </w:pPr>
    </w:p>
    <w:p w:rsidR="00E347C3" w:rsidRPr="00EC4120" w:rsidRDefault="00E347C3" w:rsidP="001E41FB">
      <w:pPr>
        <w:spacing w:before="240"/>
        <w:ind w:left="-274"/>
        <w:rPr>
          <w:rFonts w:cs="Arial"/>
          <w:b/>
          <w:color w:val="4F81BD" w:themeColor="accent1"/>
          <w:sz w:val="28"/>
          <w:szCs w:val="28"/>
        </w:rPr>
      </w:pPr>
      <w:r w:rsidRPr="00EC4120">
        <w:rPr>
          <w:rFonts w:cs="Arial"/>
          <w:b/>
          <w:color w:val="4F81BD" w:themeColor="accent1"/>
          <w:sz w:val="28"/>
          <w:szCs w:val="28"/>
        </w:rPr>
        <w:lastRenderedPageBreak/>
        <w:t>Complaints accepted by the Anti-Discrimination Commission Queensland</w:t>
      </w:r>
      <w:r w:rsidR="008C284F" w:rsidRPr="00EC4120">
        <w:rPr>
          <w:rFonts w:cs="Arial"/>
          <w:b/>
          <w:color w:val="4F81BD" w:themeColor="accent1"/>
          <w:sz w:val="28"/>
          <w:szCs w:val="28"/>
        </w:rPr>
        <w:t xml:space="preserve"> – 2012 to 2017</w:t>
      </w:r>
    </w:p>
    <w:p w:rsidR="00E347C3" w:rsidRPr="00EC4120" w:rsidRDefault="008C284F" w:rsidP="001E41FB">
      <w:pPr>
        <w:ind w:left="-274"/>
        <w:rPr>
          <w:rFonts w:cs="Arial"/>
          <w:b/>
          <w:sz w:val="24"/>
          <w:szCs w:val="24"/>
        </w:rPr>
      </w:pPr>
      <w:r w:rsidRPr="00EC4120">
        <w:rPr>
          <w:rFonts w:cs="Arial"/>
          <w:b/>
          <w:sz w:val="24"/>
          <w:szCs w:val="24"/>
        </w:rPr>
        <w:t xml:space="preserve">Table 1: </w:t>
      </w:r>
      <w:r w:rsidR="00E347C3" w:rsidRPr="00EC4120">
        <w:rPr>
          <w:rFonts w:cs="Arial"/>
          <w:b/>
          <w:sz w:val="24"/>
          <w:szCs w:val="24"/>
        </w:rPr>
        <w:t>Number and percentage of accepted complaints</w:t>
      </w:r>
      <w:r w:rsidRPr="00EC4120">
        <w:rPr>
          <w:rStyle w:val="FootnoteReference"/>
          <w:rFonts w:cs="Arial"/>
          <w:b/>
          <w:sz w:val="24"/>
          <w:szCs w:val="24"/>
        </w:rPr>
        <w:footnoteReference w:id="19"/>
      </w:r>
      <w:r w:rsidR="00E347C3" w:rsidRPr="00EC4120">
        <w:rPr>
          <w:rFonts w:cs="Arial"/>
          <w:b/>
          <w:sz w:val="24"/>
          <w:szCs w:val="24"/>
        </w:rPr>
        <w:t xml:space="preserve"> of religious discrimination and religious</w:t>
      </w:r>
      <w:r w:rsidR="005D2B49" w:rsidRPr="00EC4120">
        <w:rPr>
          <w:rFonts w:cs="Arial"/>
          <w:b/>
          <w:sz w:val="24"/>
          <w:szCs w:val="24"/>
        </w:rPr>
        <w:t xml:space="preserve"> vilification</w:t>
      </w:r>
    </w:p>
    <w:tbl>
      <w:tblPr>
        <w:tblStyle w:val="TableGrid"/>
        <w:tblW w:w="0" w:type="auto"/>
        <w:tblInd w:w="-270" w:type="dxa"/>
        <w:tblLook w:val="04A0" w:firstRow="1" w:lastRow="0" w:firstColumn="1" w:lastColumn="0" w:noHBand="0" w:noVBand="1"/>
        <w:tblCaption w:val="Blank table cell"/>
      </w:tblPr>
      <w:tblGrid>
        <w:gridCol w:w="1659"/>
        <w:gridCol w:w="1659"/>
        <w:gridCol w:w="1659"/>
        <w:gridCol w:w="1659"/>
        <w:gridCol w:w="1660"/>
      </w:tblGrid>
      <w:tr w:rsidR="00E87F0D" w:rsidRPr="00EC4120" w:rsidTr="00E87F0D">
        <w:trPr>
          <w:tblHeader/>
        </w:trPr>
        <w:tc>
          <w:tcPr>
            <w:tcW w:w="1659" w:type="dxa"/>
            <w:tcBorders>
              <w:bottom w:val="nil"/>
            </w:tcBorders>
          </w:tcPr>
          <w:p w:rsidR="00E87F0D" w:rsidRPr="00EC4120" w:rsidRDefault="00E87F0D" w:rsidP="00E347C3">
            <w:pPr>
              <w:jc w:val="center"/>
              <w:rPr>
                <w:rFonts w:cs="Arial"/>
                <w:szCs w:val="22"/>
              </w:rPr>
            </w:pPr>
            <w:r w:rsidRPr="00E87F0D">
              <w:rPr>
                <w:rFonts w:cs="Arial"/>
                <w:color w:val="FFFFFF" w:themeColor="background1"/>
                <w:szCs w:val="22"/>
              </w:rPr>
              <w:t>Blank cell</w:t>
            </w:r>
          </w:p>
        </w:tc>
        <w:tc>
          <w:tcPr>
            <w:tcW w:w="3318" w:type="dxa"/>
            <w:gridSpan w:val="2"/>
          </w:tcPr>
          <w:p w:rsidR="00E87F0D" w:rsidRPr="00EC4120" w:rsidRDefault="00E87F0D" w:rsidP="00E347C3">
            <w:pPr>
              <w:jc w:val="center"/>
              <w:rPr>
                <w:rFonts w:cs="Arial"/>
                <w:b/>
                <w:szCs w:val="22"/>
              </w:rPr>
            </w:pPr>
            <w:r w:rsidRPr="00EC4120">
              <w:rPr>
                <w:rFonts w:cs="Arial"/>
                <w:b/>
                <w:szCs w:val="22"/>
              </w:rPr>
              <w:t>Religious Discrimination</w:t>
            </w:r>
          </w:p>
        </w:tc>
        <w:tc>
          <w:tcPr>
            <w:tcW w:w="3319" w:type="dxa"/>
            <w:gridSpan w:val="2"/>
          </w:tcPr>
          <w:p w:rsidR="00E87F0D" w:rsidRPr="00EC4120" w:rsidRDefault="00E87F0D" w:rsidP="00E347C3">
            <w:pPr>
              <w:jc w:val="center"/>
              <w:rPr>
                <w:rFonts w:cs="Arial"/>
                <w:b/>
                <w:szCs w:val="22"/>
              </w:rPr>
            </w:pPr>
            <w:r w:rsidRPr="00EC4120">
              <w:rPr>
                <w:rFonts w:cs="Arial"/>
                <w:b/>
                <w:szCs w:val="22"/>
              </w:rPr>
              <w:t>Religious Vilification</w:t>
            </w:r>
          </w:p>
        </w:tc>
      </w:tr>
      <w:tr w:rsidR="00E87F0D" w:rsidRPr="00EC4120" w:rsidTr="00E87F0D">
        <w:trPr>
          <w:tblHeader/>
        </w:trPr>
        <w:tc>
          <w:tcPr>
            <w:tcW w:w="1659" w:type="dxa"/>
            <w:tcBorders>
              <w:top w:val="nil"/>
            </w:tcBorders>
          </w:tcPr>
          <w:p w:rsidR="00E87F0D" w:rsidRPr="00EC4120" w:rsidRDefault="00E87F0D" w:rsidP="00E347C3">
            <w:pPr>
              <w:jc w:val="center"/>
              <w:rPr>
                <w:rFonts w:cs="Arial"/>
                <w:szCs w:val="22"/>
              </w:rPr>
            </w:pPr>
            <w:r w:rsidRPr="00E87F0D">
              <w:rPr>
                <w:rFonts w:cs="Arial"/>
                <w:color w:val="FFFFFF" w:themeColor="background1"/>
                <w:szCs w:val="22"/>
              </w:rPr>
              <w:t>Blank cell</w:t>
            </w:r>
          </w:p>
        </w:tc>
        <w:tc>
          <w:tcPr>
            <w:tcW w:w="1659" w:type="dxa"/>
          </w:tcPr>
          <w:p w:rsidR="00E87F0D" w:rsidRPr="00EC4120" w:rsidRDefault="00E87F0D" w:rsidP="00E347C3">
            <w:pPr>
              <w:jc w:val="center"/>
              <w:rPr>
                <w:rFonts w:cs="Arial"/>
                <w:b/>
                <w:szCs w:val="22"/>
              </w:rPr>
            </w:pPr>
            <w:r w:rsidRPr="00EC4120">
              <w:rPr>
                <w:rFonts w:cs="Arial"/>
                <w:b/>
                <w:szCs w:val="22"/>
              </w:rPr>
              <w:t>No. accepted</w:t>
            </w:r>
          </w:p>
        </w:tc>
        <w:tc>
          <w:tcPr>
            <w:tcW w:w="1659" w:type="dxa"/>
          </w:tcPr>
          <w:p w:rsidR="00E87F0D" w:rsidRPr="00EC4120" w:rsidRDefault="00E87F0D" w:rsidP="00E347C3">
            <w:pPr>
              <w:jc w:val="center"/>
              <w:rPr>
                <w:rFonts w:cs="Arial"/>
                <w:b/>
                <w:szCs w:val="22"/>
              </w:rPr>
            </w:pPr>
            <w:r w:rsidRPr="00EC4120">
              <w:rPr>
                <w:rFonts w:cs="Arial"/>
                <w:b/>
                <w:szCs w:val="22"/>
              </w:rPr>
              <w:t>%</w:t>
            </w:r>
          </w:p>
        </w:tc>
        <w:tc>
          <w:tcPr>
            <w:tcW w:w="1659" w:type="dxa"/>
          </w:tcPr>
          <w:p w:rsidR="00E87F0D" w:rsidRPr="00EC4120" w:rsidRDefault="00E87F0D" w:rsidP="00E347C3">
            <w:pPr>
              <w:jc w:val="center"/>
              <w:rPr>
                <w:rFonts w:cs="Arial"/>
                <w:b/>
                <w:szCs w:val="22"/>
              </w:rPr>
            </w:pPr>
            <w:r w:rsidRPr="00EC4120">
              <w:rPr>
                <w:rFonts w:cs="Arial"/>
                <w:b/>
                <w:szCs w:val="22"/>
              </w:rPr>
              <w:t>No. accepted</w:t>
            </w:r>
          </w:p>
        </w:tc>
        <w:tc>
          <w:tcPr>
            <w:tcW w:w="1660" w:type="dxa"/>
          </w:tcPr>
          <w:p w:rsidR="00E87F0D" w:rsidRPr="00EC4120" w:rsidRDefault="00E87F0D" w:rsidP="00E347C3">
            <w:pPr>
              <w:jc w:val="center"/>
              <w:rPr>
                <w:rFonts w:cs="Arial"/>
                <w:b/>
                <w:szCs w:val="22"/>
              </w:rPr>
            </w:pPr>
            <w:r w:rsidRPr="00EC4120">
              <w:rPr>
                <w:rFonts w:cs="Arial"/>
                <w:b/>
                <w:szCs w:val="22"/>
              </w:rPr>
              <w:t>%</w:t>
            </w:r>
          </w:p>
        </w:tc>
      </w:tr>
      <w:tr w:rsidR="00E347C3" w:rsidRPr="00EC4120" w:rsidTr="00E347C3">
        <w:tc>
          <w:tcPr>
            <w:tcW w:w="1659" w:type="dxa"/>
          </w:tcPr>
          <w:p w:rsidR="00E347C3" w:rsidRPr="00EC4120" w:rsidRDefault="00E347C3" w:rsidP="00E347C3">
            <w:pPr>
              <w:jc w:val="center"/>
              <w:rPr>
                <w:rFonts w:cs="Arial"/>
                <w:szCs w:val="22"/>
              </w:rPr>
            </w:pPr>
            <w:r w:rsidRPr="00EC4120">
              <w:rPr>
                <w:rFonts w:cs="Arial"/>
                <w:szCs w:val="22"/>
              </w:rPr>
              <w:t>2012-2013</w:t>
            </w:r>
          </w:p>
        </w:tc>
        <w:tc>
          <w:tcPr>
            <w:tcW w:w="1659" w:type="dxa"/>
          </w:tcPr>
          <w:p w:rsidR="00E347C3" w:rsidRPr="00EC4120" w:rsidRDefault="00E347C3" w:rsidP="00E347C3">
            <w:pPr>
              <w:jc w:val="center"/>
              <w:rPr>
                <w:rFonts w:cs="Arial"/>
                <w:szCs w:val="22"/>
              </w:rPr>
            </w:pPr>
            <w:r w:rsidRPr="00EC4120">
              <w:rPr>
                <w:rFonts w:cs="Arial"/>
                <w:szCs w:val="22"/>
              </w:rPr>
              <w:t>12</w:t>
            </w:r>
          </w:p>
        </w:tc>
        <w:tc>
          <w:tcPr>
            <w:tcW w:w="1659" w:type="dxa"/>
          </w:tcPr>
          <w:p w:rsidR="00E347C3" w:rsidRPr="00EC4120" w:rsidRDefault="00E347C3" w:rsidP="00E347C3">
            <w:pPr>
              <w:jc w:val="center"/>
              <w:rPr>
                <w:rFonts w:cs="Arial"/>
                <w:szCs w:val="22"/>
              </w:rPr>
            </w:pPr>
            <w:r w:rsidRPr="00EC4120">
              <w:rPr>
                <w:rFonts w:cs="Arial"/>
                <w:szCs w:val="22"/>
              </w:rPr>
              <w:t>2%</w:t>
            </w:r>
          </w:p>
        </w:tc>
        <w:tc>
          <w:tcPr>
            <w:tcW w:w="1659" w:type="dxa"/>
          </w:tcPr>
          <w:p w:rsidR="00E347C3" w:rsidRPr="00EC4120" w:rsidRDefault="00E347C3" w:rsidP="00E347C3">
            <w:pPr>
              <w:jc w:val="center"/>
              <w:rPr>
                <w:rFonts w:cs="Arial"/>
                <w:szCs w:val="22"/>
              </w:rPr>
            </w:pPr>
            <w:r w:rsidRPr="00EC4120">
              <w:rPr>
                <w:rFonts w:cs="Arial"/>
                <w:szCs w:val="22"/>
              </w:rPr>
              <w:t>5</w:t>
            </w:r>
          </w:p>
        </w:tc>
        <w:tc>
          <w:tcPr>
            <w:tcW w:w="1660" w:type="dxa"/>
          </w:tcPr>
          <w:p w:rsidR="00E347C3" w:rsidRPr="00EC4120" w:rsidRDefault="00E347C3" w:rsidP="00E347C3">
            <w:pPr>
              <w:jc w:val="center"/>
              <w:rPr>
                <w:rFonts w:cs="Arial"/>
                <w:szCs w:val="22"/>
              </w:rPr>
            </w:pPr>
            <w:r w:rsidRPr="00EC4120">
              <w:rPr>
                <w:rFonts w:cs="Arial"/>
                <w:szCs w:val="22"/>
              </w:rPr>
              <w:t>0.8%</w:t>
            </w:r>
          </w:p>
        </w:tc>
      </w:tr>
      <w:tr w:rsidR="00E347C3" w:rsidRPr="00EC4120" w:rsidTr="00E347C3">
        <w:tc>
          <w:tcPr>
            <w:tcW w:w="1659" w:type="dxa"/>
          </w:tcPr>
          <w:p w:rsidR="00E347C3" w:rsidRPr="00EC4120" w:rsidRDefault="00E347C3" w:rsidP="00E347C3">
            <w:pPr>
              <w:jc w:val="center"/>
              <w:rPr>
                <w:rFonts w:cs="Arial"/>
                <w:szCs w:val="22"/>
              </w:rPr>
            </w:pPr>
            <w:r w:rsidRPr="00EC4120">
              <w:rPr>
                <w:rFonts w:cs="Arial"/>
                <w:szCs w:val="22"/>
              </w:rPr>
              <w:t>2013-2014</w:t>
            </w:r>
          </w:p>
        </w:tc>
        <w:tc>
          <w:tcPr>
            <w:tcW w:w="1659" w:type="dxa"/>
          </w:tcPr>
          <w:p w:rsidR="00E347C3" w:rsidRPr="00EC4120" w:rsidRDefault="00E347C3" w:rsidP="00E347C3">
            <w:pPr>
              <w:jc w:val="center"/>
              <w:rPr>
                <w:rFonts w:cs="Arial"/>
                <w:szCs w:val="22"/>
              </w:rPr>
            </w:pPr>
            <w:r w:rsidRPr="00EC4120">
              <w:rPr>
                <w:rFonts w:cs="Arial"/>
                <w:szCs w:val="22"/>
              </w:rPr>
              <w:t>12</w:t>
            </w:r>
          </w:p>
        </w:tc>
        <w:tc>
          <w:tcPr>
            <w:tcW w:w="1659" w:type="dxa"/>
          </w:tcPr>
          <w:p w:rsidR="00E347C3" w:rsidRPr="00EC4120" w:rsidRDefault="00E347C3" w:rsidP="00E347C3">
            <w:pPr>
              <w:jc w:val="center"/>
              <w:rPr>
                <w:rFonts w:cs="Arial"/>
                <w:szCs w:val="22"/>
              </w:rPr>
            </w:pPr>
            <w:r w:rsidRPr="00EC4120">
              <w:rPr>
                <w:rFonts w:cs="Arial"/>
                <w:szCs w:val="22"/>
              </w:rPr>
              <w:t>1.9%</w:t>
            </w:r>
          </w:p>
        </w:tc>
        <w:tc>
          <w:tcPr>
            <w:tcW w:w="1659" w:type="dxa"/>
          </w:tcPr>
          <w:p w:rsidR="00E347C3" w:rsidRPr="00EC4120" w:rsidRDefault="00E347C3" w:rsidP="00E347C3">
            <w:pPr>
              <w:jc w:val="center"/>
              <w:rPr>
                <w:rFonts w:cs="Arial"/>
                <w:szCs w:val="22"/>
              </w:rPr>
            </w:pPr>
            <w:r w:rsidRPr="00EC4120">
              <w:rPr>
                <w:rFonts w:cs="Arial"/>
                <w:szCs w:val="22"/>
              </w:rPr>
              <w:t>1</w:t>
            </w:r>
          </w:p>
        </w:tc>
        <w:tc>
          <w:tcPr>
            <w:tcW w:w="1660" w:type="dxa"/>
          </w:tcPr>
          <w:p w:rsidR="00E347C3" w:rsidRPr="00EC4120" w:rsidRDefault="00E347C3" w:rsidP="00E347C3">
            <w:pPr>
              <w:jc w:val="center"/>
              <w:rPr>
                <w:rFonts w:cs="Arial"/>
                <w:szCs w:val="22"/>
              </w:rPr>
            </w:pPr>
            <w:r w:rsidRPr="00EC4120">
              <w:rPr>
                <w:rFonts w:cs="Arial"/>
                <w:szCs w:val="22"/>
              </w:rPr>
              <w:t>0.2%</w:t>
            </w:r>
          </w:p>
        </w:tc>
      </w:tr>
      <w:tr w:rsidR="00E347C3" w:rsidRPr="00EC4120" w:rsidTr="00E347C3">
        <w:tc>
          <w:tcPr>
            <w:tcW w:w="1659" w:type="dxa"/>
          </w:tcPr>
          <w:p w:rsidR="00E347C3" w:rsidRPr="00EC4120" w:rsidRDefault="00E347C3" w:rsidP="00E347C3">
            <w:pPr>
              <w:jc w:val="center"/>
              <w:rPr>
                <w:rFonts w:cs="Arial"/>
                <w:szCs w:val="22"/>
              </w:rPr>
            </w:pPr>
            <w:r w:rsidRPr="00EC4120">
              <w:rPr>
                <w:rFonts w:cs="Arial"/>
                <w:szCs w:val="22"/>
              </w:rPr>
              <w:t>2014-2015</w:t>
            </w:r>
          </w:p>
        </w:tc>
        <w:tc>
          <w:tcPr>
            <w:tcW w:w="1659" w:type="dxa"/>
          </w:tcPr>
          <w:p w:rsidR="00E347C3" w:rsidRPr="00EC4120" w:rsidRDefault="00E347C3" w:rsidP="00E347C3">
            <w:pPr>
              <w:jc w:val="center"/>
              <w:rPr>
                <w:rFonts w:cs="Arial"/>
                <w:szCs w:val="22"/>
              </w:rPr>
            </w:pPr>
            <w:r w:rsidRPr="00EC4120">
              <w:rPr>
                <w:rFonts w:cs="Arial"/>
                <w:szCs w:val="22"/>
              </w:rPr>
              <w:t>13</w:t>
            </w:r>
          </w:p>
        </w:tc>
        <w:tc>
          <w:tcPr>
            <w:tcW w:w="1659" w:type="dxa"/>
          </w:tcPr>
          <w:p w:rsidR="00E347C3" w:rsidRPr="00EC4120" w:rsidRDefault="00E347C3" w:rsidP="00E347C3">
            <w:pPr>
              <w:jc w:val="center"/>
              <w:rPr>
                <w:rFonts w:cs="Arial"/>
                <w:szCs w:val="22"/>
              </w:rPr>
            </w:pPr>
            <w:r w:rsidRPr="00EC4120">
              <w:rPr>
                <w:rFonts w:cs="Arial"/>
                <w:szCs w:val="22"/>
              </w:rPr>
              <w:t>2.4%</w:t>
            </w:r>
          </w:p>
        </w:tc>
        <w:tc>
          <w:tcPr>
            <w:tcW w:w="1659" w:type="dxa"/>
          </w:tcPr>
          <w:p w:rsidR="00E347C3" w:rsidRPr="00EC4120" w:rsidRDefault="00E347C3" w:rsidP="00E347C3">
            <w:pPr>
              <w:jc w:val="center"/>
              <w:rPr>
                <w:rFonts w:cs="Arial"/>
                <w:szCs w:val="22"/>
              </w:rPr>
            </w:pPr>
            <w:r w:rsidRPr="00EC4120">
              <w:rPr>
                <w:rFonts w:cs="Arial"/>
                <w:szCs w:val="22"/>
              </w:rPr>
              <w:t>3</w:t>
            </w:r>
          </w:p>
        </w:tc>
        <w:tc>
          <w:tcPr>
            <w:tcW w:w="1660" w:type="dxa"/>
          </w:tcPr>
          <w:p w:rsidR="00E347C3" w:rsidRPr="00EC4120" w:rsidRDefault="00E347C3" w:rsidP="00E347C3">
            <w:pPr>
              <w:jc w:val="center"/>
              <w:rPr>
                <w:rFonts w:cs="Arial"/>
                <w:szCs w:val="22"/>
              </w:rPr>
            </w:pPr>
            <w:r w:rsidRPr="00EC4120">
              <w:rPr>
                <w:rFonts w:cs="Arial"/>
                <w:szCs w:val="22"/>
              </w:rPr>
              <w:t>0.5%</w:t>
            </w:r>
          </w:p>
        </w:tc>
      </w:tr>
      <w:tr w:rsidR="00E347C3" w:rsidRPr="00EC4120" w:rsidTr="00E347C3">
        <w:tc>
          <w:tcPr>
            <w:tcW w:w="1659" w:type="dxa"/>
          </w:tcPr>
          <w:p w:rsidR="00E347C3" w:rsidRPr="00EC4120" w:rsidRDefault="00E347C3" w:rsidP="00E347C3">
            <w:pPr>
              <w:jc w:val="center"/>
              <w:rPr>
                <w:rFonts w:cs="Arial"/>
                <w:szCs w:val="22"/>
              </w:rPr>
            </w:pPr>
            <w:r w:rsidRPr="00EC4120">
              <w:rPr>
                <w:rFonts w:cs="Arial"/>
                <w:szCs w:val="22"/>
              </w:rPr>
              <w:t>2015-2016</w:t>
            </w:r>
          </w:p>
        </w:tc>
        <w:tc>
          <w:tcPr>
            <w:tcW w:w="1659" w:type="dxa"/>
          </w:tcPr>
          <w:p w:rsidR="00E347C3" w:rsidRPr="00EC4120" w:rsidRDefault="00E347C3" w:rsidP="00E347C3">
            <w:pPr>
              <w:jc w:val="center"/>
              <w:rPr>
                <w:rFonts w:cs="Arial"/>
                <w:szCs w:val="22"/>
              </w:rPr>
            </w:pPr>
            <w:r w:rsidRPr="00EC4120">
              <w:rPr>
                <w:rFonts w:cs="Arial"/>
                <w:szCs w:val="22"/>
              </w:rPr>
              <w:t>5</w:t>
            </w:r>
          </w:p>
        </w:tc>
        <w:tc>
          <w:tcPr>
            <w:tcW w:w="1659" w:type="dxa"/>
          </w:tcPr>
          <w:p w:rsidR="00E347C3" w:rsidRPr="00EC4120" w:rsidRDefault="00E347C3" w:rsidP="00E347C3">
            <w:pPr>
              <w:jc w:val="center"/>
              <w:rPr>
                <w:rFonts w:cs="Arial"/>
                <w:szCs w:val="22"/>
              </w:rPr>
            </w:pPr>
            <w:r w:rsidRPr="00EC4120">
              <w:rPr>
                <w:rFonts w:cs="Arial"/>
                <w:szCs w:val="22"/>
              </w:rPr>
              <w:t>1%</w:t>
            </w:r>
          </w:p>
        </w:tc>
        <w:tc>
          <w:tcPr>
            <w:tcW w:w="1659" w:type="dxa"/>
          </w:tcPr>
          <w:p w:rsidR="00E347C3" w:rsidRPr="00EC4120" w:rsidRDefault="00E347C3" w:rsidP="00E347C3">
            <w:pPr>
              <w:jc w:val="center"/>
              <w:rPr>
                <w:rFonts w:cs="Arial"/>
                <w:szCs w:val="22"/>
              </w:rPr>
            </w:pPr>
            <w:r w:rsidRPr="00EC4120">
              <w:rPr>
                <w:rFonts w:cs="Arial"/>
                <w:szCs w:val="22"/>
              </w:rPr>
              <w:t>0</w:t>
            </w:r>
          </w:p>
        </w:tc>
        <w:tc>
          <w:tcPr>
            <w:tcW w:w="1660" w:type="dxa"/>
          </w:tcPr>
          <w:p w:rsidR="00E347C3" w:rsidRPr="00EC4120" w:rsidRDefault="00E347C3" w:rsidP="00E347C3">
            <w:pPr>
              <w:jc w:val="center"/>
              <w:rPr>
                <w:rFonts w:cs="Arial"/>
                <w:szCs w:val="22"/>
              </w:rPr>
            </w:pPr>
            <w:r w:rsidRPr="00EC4120">
              <w:rPr>
                <w:rFonts w:cs="Arial"/>
                <w:szCs w:val="22"/>
              </w:rPr>
              <w:t>0%</w:t>
            </w:r>
          </w:p>
        </w:tc>
      </w:tr>
      <w:tr w:rsidR="00E347C3" w:rsidRPr="00EC4120" w:rsidTr="00E347C3">
        <w:tc>
          <w:tcPr>
            <w:tcW w:w="1659" w:type="dxa"/>
          </w:tcPr>
          <w:p w:rsidR="00E347C3" w:rsidRPr="00EC4120" w:rsidRDefault="00E347C3" w:rsidP="00E347C3">
            <w:pPr>
              <w:jc w:val="center"/>
              <w:rPr>
                <w:rFonts w:cs="Arial"/>
                <w:szCs w:val="22"/>
              </w:rPr>
            </w:pPr>
            <w:r w:rsidRPr="00EC4120">
              <w:rPr>
                <w:rFonts w:cs="Arial"/>
                <w:szCs w:val="22"/>
              </w:rPr>
              <w:t>2016-2017</w:t>
            </w:r>
          </w:p>
        </w:tc>
        <w:tc>
          <w:tcPr>
            <w:tcW w:w="1659" w:type="dxa"/>
          </w:tcPr>
          <w:p w:rsidR="00E347C3" w:rsidRPr="00EC4120" w:rsidRDefault="00E347C3" w:rsidP="00E347C3">
            <w:pPr>
              <w:jc w:val="center"/>
              <w:rPr>
                <w:rFonts w:cs="Arial"/>
                <w:szCs w:val="22"/>
              </w:rPr>
            </w:pPr>
            <w:r w:rsidRPr="00EC4120">
              <w:rPr>
                <w:rFonts w:cs="Arial"/>
                <w:szCs w:val="22"/>
              </w:rPr>
              <w:t>10</w:t>
            </w:r>
          </w:p>
        </w:tc>
        <w:tc>
          <w:tcPr>
            <w:tcW w:w="1659" w:type="dxa"/>
          </w:tcPr>
          <w:p w:rsidR="00E347C3" w:rsidRPr="00EC4120" w:rsidRDefault="009F4F37" w:rsidP="00E347C3">
            <w:pPr>
              <w:jc w:val="center"/>
              <w:rPr>
                <w:rFonts w:cs="Arial"/>
                <w:szCs w:val="22"/>
              </w:rPr>
            </w:pPr>
            <w:r w:rsidRPr="00EC4120">
              <w:rPr>
                <w:rFonts w:cs="Arial"/>
                <w:szCs w:val="22"/>
              </w:rPr>
              <w:t>1.5%</w:t>
            </w:r>
          </w:p>
        </w:tc>
        <w:tc>
          <w:tcPr>
            <w:tcW w:w="1659" w:type="dxa"/>
          </w:tcPr>
          <w:p w:rsidR="00E347C3" w:rsidRPr="00EC4120" w:rsidRDefault="009F4F37" w:rsidP="00E347C3">
            <w:pPr>
              <w:jc w:val="center"/>
              <w:rPr>
                <w:rFonts w:cs="Arial"/>
                <w:szCs w:val="22"/>
              </w:rPr>
            </w:pPr>
            <w:r w:rsidRPr="00EC4120">
              <w:rPr>
                <w:rFonts w:cs="Arial"/>
                <w:szCs w:val="22"/>
              </w:rPr>
              <w:t>2</w:t>
            </w:r>
          </w:p>
        </w:tc>
        <w:tc>
          <w:tcPr>
            <w:tcW w:w="1660" w:type="dxa"/>
          </w:tcPr>
          <w:p w:rsidR="00E347C3" w:rsidRPr="00EC4120" w:rsidRDefault="009F4F37" w:rsidP="00E347C3">
            <w:pPr>
              <w:jc w:val="center"/>
              <w:rPr>
                <w:rFonts w:cs="Arial"/>
                <w:szCs w:val="22"/>
              </w:rPr>
            </w:pPr>
            <w:r w:rsidRPr="00EC4120">
              <w:rPr>
                <w:rFonts w:cs="Arial"/>
                <w:szCs w:val="22"/>
              </w:rPr>
              <w:t>0.3%</w:t>
            </w:r>
          </w:p>
        </w:tc>
      </w:tr>
    </w:tbl>
    <w:p w:rsidR="008C284F" w:rsidRPr="00EC4120" w:rsidRDefault="008C284F" w:rsidP="008C284F">
      <w:pPr>
        <w:spacing w:before="360"/>
        <w:ind w:hanging="274"/>
        <w:rPr>
          <w:rFonts w:cs="Arial"/>
          <w:b/>
          <w:sz w:val="24"/>
          <w:szCs w:val="24"/>
        </w:rPr>
      </w:pPr>
      <w:r w:rsidRPr="00EC4120">
        <w:rPr>
          <w:rFonts w:cs="Arial"/>
          <w:b/>
          <w:sz w:val="24"/>
          <w:szCs w:val="24"/>
        </w:rPr>
        <w:t>Table 2: Religious discrimination complaints by area*</w:t>
      </w:r>
    </w:p>
    <w:tbl>
      <w:tblPr>
        <w:tblStyle w:val="TableGrid"/>
        <w:tblW w:w="0" w:type="auto"/>
        <w:tblInd w:w="-275" w:type="dxa"/>
        <w:tblLook w:val="04A0" w:firstRow="1" w:lastRow="0" w:firstColumn="1" w:lastColumn="0" w:noHBand="0" w:noVBand="1"/>
        <w:tblCaption w:val="Table of religious discrimination complaints by area"/>
      </w:tblPr>
      <w:tblGrid>
        <w:gridCol w:w="1440"/>
        <w:gridCol w:w="1207"/>
        <w:gridCol w:w="1330"/>
        <w:gridCol w:w="1283"/>
        <w:gridCol w:w="1167"/>
        <w:gridCol w:w="1347"/>
        <w:gridCol w:w="976"/>
      </w:tblGrid>
      <w:tr w:rsidR="008C284F" w:rsidRPr="00EC4120" w:rsidTr="00E87F0D">
        <w:trPr>
          <w:tblHeader/>
        </w:trPr>
        <w:tc>
          <w:tcPr>
            <w:tcW w:w="1440" w:type="dxa"/>
          </w:tcPr>
          <w:p w:rsidR="008C284F" w:rsidRPr="00EC4120" w:rsidRDefault="008C284F" w:rsidP="00EC4120">
            <w:pPr>
              <w:ind w:left="-105"/>
              <w:jc w:val="center"/>
              <w:rPr>
                <w:rFonts w:cs="Arial"/>
                <w:b/>
                <w:szCs w:val="22"/>
              </w:rPr>
            </w:pPr>
          </w:p>
        </w:tc>
        <w:tc>
          <w:tcPr>
            <w:tcW w:w="1028" w:type="dxa"/>
          </w:tcPr>
          <w:p w:rsidR="008C284F" w:rsidRPr="00EC4120" w:rsidRDefault="008C284F" w:rsidP="00EC4120">
            <w:pPr>
              <w:rPr>
                <w:rFonts w:cs="Arial"/>
                <w:b/>
                <w:szCs w:val="22"/>
              </w:rPr>
            </w:pPr>
            <w:r w:rsidRPr="00EC4120">
              <w:rPr>
                <w:rFonts w:cs="Arial"/>
                <w:b/>
                <w:szCs w:val="22"/>
              </w:rPr>
              <w:t>Accomm</w:t>
            </w:r>
            <w:r w:rsidR="00940502">
              <w:rPr>
                <w:rFonts w:cs="Arial"/>
                <w:b/>
                <w:szCs w:val="22"/>
              </w:rPr>
              <w:t>.</w:t>
            </w:r>
          </w:p>
        </w:tc>
        <w:tc>
          <w:tcPr>
            <w:tcW w:w="1330" w:type="dxa"/>
          </w:tcPr>
          <w:p w:rsidR="008C284F" w:rsidRPr="00EC4120" w:rsidRDefault="008C284F" w:rsidP="00EC4120">
            <w:pPr>
              <w:rPr>
                <w:rFonts w:cs="Arial"/>
                <w:b/>
                <w:szCs w:val="22"/>
              </w:rPr>
            </w:pPr>
            <w:r w:rsidRPr="00EC4120">
              <w:rPr>
                <w:rFonts w:cs="Arial"/>
                <w:b/>
                <w:szCs w:val="22"/>
              </w:rPr>
              <w:t>State laws &amp; programs</w:t>
            </w:r>
          </w:p>
        </w:tc>
        <w:tc>
          <w:tcPr>
            <w:tcW w:w="1283" w:type="dxa"/>
          </w:tcPr>
          <w:p w:rsidR="008C284F" w:rsidRPr="00EC4120" w:rsidRDefault="008C284F" w:rsidP="00EC4120">
            <w:pPr>
              <w:rPr>
                <w:rFonts w:cs="Arial"/>
                <w:b/>
                <w:szCs w:val="22"/>
              </w:rPr>
            </w:pPr>
            <w:r w:rsidRPr="00EC4120">
              <w:rPr>
                <w:rFonts w:cs="Arial"/>
                <w:b/>
                <w:szCs w:val="22"/>
              </w:rPr>
              <w:t>Goods or services</w:t>
            </w:r>
          </w:p>
        </w:tc>
        <w:tc>
          <w:tcPr>
            <w:tcW w:w="1167" w:type="dxa"/>
          </w:tcPr>
          <w:p w:rsidR="008C284F" w:rsidRPr="00EC4120" w:rsidRDefault="008C284F" w:rsidP="00EC4120">
            <w:pPr>
              <w:rPr>
                <w:rFonts w:cs="Arial"/>
                <w:b/>
                <w:szCs w:val="22"/>
              </w:rPr>
            </w:pPr>
            <w:r w:rsidRPr="00EC4120">
              <w:rPr>
                <w:rFonts w:cs="Arial"/>
                <w:b/>
                <w:szCs w:val="22"/>
              </w:rPr>
              <w:t>Work</w:t>
            </w:r>
          </w:p>
        </w:tc>
        <w:tc>
          <w:tcPr>
            <w:tcW w:w="1347" w:type="dxa"/>
          </w:tcPr>
          <w:p w:rsidR="008C284F" w:rsidRPr="00EC4120" w:rsidRDefault="008C284F" w:rsidP="00EC4120">
            <w:pPr>
              <w:rPr>
                <w:rFonts w:cs="Arial"/>
                <w:b/>
                <w:szCs w:val="22"/>
              </w:rPr>
            </w:pPr>
            <w:r w:rsidRPr="00EC4120">
              <w:rPr>
                <w:rFonts w:cs="Arial"/>
                <w:b/>
                <w:szCs w:val="22"/>
              </w:rPr>
              <w:t>Education</w:t>
            </w:r>
          </w:p>
        </w:tc>
        <w:tc>
          <w:tcPr>
            <w:tcW w:w="976" w:type="dxa"/>
          </w:tcPr>
          <w:p w:rsidR="008C284F" w:rsidRPr="00EC4120" w:rsidRDefault="008C284F" w:rsidP="00EC4120">
            <w:pPr>
              <w:rPr>
                <w:rFonts w:cs="Arial"/>
                <w:b/>
                <w:szCs w:val="22"/>
              </w:rPr>
            </w:pPr>
            <w:r w:rsidRPr="00EC4120">
              <w:rPr>
                <w:rFonts w:cs="Arial"/>
                <w:b/>
                <w:szCs w:val="22"/>
              </w:rPr>
              <w:t>Total</w:t>
            </w:r>
          </w:p>
        </w:tc>
      </w:tr>
      <w:tr w:rsidR="008C284F" w:rsidRPr="00EC4120" w:rsidTr="00EC4120">
        <w:tc>
          <w:tcPr>
            <w:tcW w:w="1440" w:type="dxa"/>
          </w:tcPr>
          <w:p w:rsidR="008C284F" w:rsidRPr="00EC4120" w:rsidRDefault="008C284F" w:rsidP="00EC4120">
            <w:pPr>
              <w:rPr>
                <w:rFonts w:cs="Arial"/>
                <w:b/>
                <w:szCs w:val="22"/>
              </w:rPr>
            </w:pPr>
            <w:r w:rsidRPr="00EC4120">
              <w:rPr>
                <w:rFonts w:cs="Arial"/>
                <w:b/>
                <w:szCs w:val="22"/>
              </w:rPr>
              <w:t>2012-2013</w:t>
            </w:r>
          </w:p>
        </w:tc>
        <w:tc>
          <w:tcPr>
            <w:tcW w:w="1028" w:type="dxa"/>
          </w:tcPr>
          <w:p w:rsidR="008C284F" w:rsidRPr="00EC4120" w:rsidRDefault="008C284F" w:rsidP="00EC4120">
            <w:pPr>
              <w:jc w:val="center"/>
              <w:rPr>
                <w:rFonts w:cs="Arial"/>
                <w:szCs w:val="22"/>
              </w:rPr>
            </w:pPr>
            <w:r w:rsidRPr="00EC4120">
              <w:rPr>
                <w:rFonts w:cs="Arial"/>
                <w:szCs w:val="22"/>
              </w:rPr>
              <w:t>1</w:t>
            </w:r>
          </w:p>
        </w:tc>
        <w:tc>
          <w:tcPr>
            <w:tcW w:w="1330" w:type="dxa"/>
          </w:tcPr>
          <w:p w:rsidR="008C284F" w:rsidRPr="00EC4120" w:rsidRDefault="008C284F" w:rsidP="00EC4120">
            <w:pPr>
              <w:jc w:val="center"/>
              <w:rPr>
                <w:rFonts w:cs="Arial"/>
                <w:szCs w:val="22"/>
              </w:rPr>
            </w:pPr>
            <w:r w:rsidRPr="00EC4120">
              <w:rPr>
                <w:rFonts w:cs="Arial"/>
                <w:szCs w:val="22"/>
              </w:rPr>
              <w:t>1</w:t>
            </w:r>
          </w:p>
        </w:tc>
        <w:tc>
          <w:tcPr>
            <w:tcW w:w="1283" w:type="dxa"/>
          </w:tcPr>
          <w:p w:rsidR="008C284F" w:rsidRPr="00EC4120" w:rsidRDefault="008C284F" w:rsidP="00EC4120">
            <w:pPr>
              <w:jc w:val="center"/>
              <w:rPr>
                <w:rFonts w:cs="Arial"/>
                <w:szCs w:val="22"/>
              </w:rPr>
            </w:pPr>
            <w:r w:rsidRPr="00EC4120">
              <w:rPr>
                <w:rFonts w:cs="Arial"/>
                <w:szCs w:val="22"/>
              </w:rPr>
              <w:t>2</w:t>
            </w:r>
          </w:p>
        </w:tc>
        <w:tc>
          <w:tcPr>
            <w:tcW w:w="1167" w:type="dxa"/>
          </w:tcPr>
          <w:p w:rsidR="008C284F" w:rsidRPr="00EC4120" w:rsidRDefault="008C284F" w:rsidP="00EC4120">
            <w:pPr>
              <w:jc w:val="center"/>
              <w:rPr>
                <w:rFonts w:cs="Arial"/>
                <w:szCs w:val="22"/>
              </w:rPr>
            </w:pPr>
            <w:r w:rsidRPr="00EC4120">
              <w:rPr>
                <w:rFonts w:cs="Arial"/>
                <w:szCs w:val="22"/>
              </w:rPr>
              <w:t>8</w:t>
            </w:r>
          </w:p>
        </w:tc>
        <w:tc>
          <w:tcPr>
            <w:tcW w:w="1347" w:type="dxa"/>
          </w:tcPr>
          <w:p w:rsidR="008C284F" w:rsidRPr="00EC4120" w:rsidRDefault="008C284F" w:rsidP="00EC4120">
            <w:pPr>
              <w:jc w:val="center"/>
              <w:rPr>
                <w:rFonts w:cs="Arial"/>
                <w:szCs w:val="22"/>
              </w:rPr>
            </w:pPr>
            <w:r w:rsidRPr="00EC4120">
              <w:rPr>
                <w:rFonts w:cs="Arial"/>
                <w:szCs w:val="22"/>
              </w:rPr>
              <w:t>-</w:t>
            </w:r>
          </w:p>
        </w:tc>
        <w:tc>
          <w:tcPr>
            <w:tcW w:w="976" w:type="dxa"/>
          </w:tcPr>
          <w:p w:rsidR="008C284F" w:rsidRPr="00EC4120" w:rsidRDefault="008C284F" w:rsidP="00EC4120">
            <w:pPr>
              <w:jc w:val="center"/>
              <w:rPr>
                <w:rFonts w:cs="Arial"/>
                <w:b/>
                <w:szCs w:val="22"/>
              </w:rPr>
            </w:pPr>
            <w:r w:rsidRPr="00EC4120">
              <w:rPr>
                <w:rFonts w:cs="Arial"/>
                <w:b/>
                <w:szCs w:val="22"/>
              </w:rPr>
              <w:t>12</w:t>
            </w:r>
          </w:p>
        </w:tc>
      </w:tr>
      <w:tr w:rsidR="008C284F" w:rsidRPr="00EC4120" w:rsidTr="00EC4120">
        <w:tc>
          <w:tcPr>
            <w:tcW w:w="1440" w:type="dxa"/>
          </w:tcPr>
          <w:p w:rsidR="008C284F" w:rsidRPr="00EC4120" w:rsidRDefault="008C284F" w:rsidP="00EC4120">
            <w:pPr>
              <w:rPr>
                <w:rFonts w:cs="Arial"/>
                <w:b/>
                <w:szCs w:val="22"/>
              </w:rPr>
            </w:pPr>
            <w:r w:rsidRPr="00EC4120">
              <w:rPr>
                <w:rFonts w:cs="Arial"/>
                <w:b/>
                <w:szCs w:val="22"/>
              </w:rPr>
              <w:t>2013-2014</w:t>
            </w:r>
          </w:p>
        </w:tc>
        <w:tc>
          <w:tcPr>
            <w:tcW w:w="1028" w:type="dxa"/>
          </w:tcPr>
          <w:p w:rsidR="008C284F" w:rsidRPr="00EC4120" w:rsidRDefault="008C284F" w:rsidP="00EC4120">
            <w:pPr>
              <w:jc w:val="center"/>
              <w:rPr>
                <w:rFonts w:cs="Arial"/>
                <w:szCs w:val="22"/>
              </w:rPr>
            </w:pPr>
            <w:r w:rsidRPr="00EC4120">
              <w:rPr>
                <w:rFonts w:cs="Arial"/>
                <w:szCs w:val="22"/>
              </w:rPr>
              <w:t>1</w:t>
            </w:r>
          </w:p>
        </w:tc>
        <w:tc>
          <w:tcPr>
            <w:tcW w:w="1330" w:type="dxa"/>
          </w:tcPr>
          <w:p w:rsidR="008C284F" w:rsidRPr="00EC4120" w:rsidRDefault="008C284F" w:rsidP="00EC4120">
            <w:pPr>
              <w:jc w:val="center"/>
              <w:rPr>
                <w:rFonts w:cs="Arial"/>
                <w:szCs w:val="22"/>
              </w:rPr>
            </w:pPr>
            <w:r w:rsidRPr="00EC4120">
              <w:rPr>
                <w:rFonts w:cs="Arial"/>
                <w:szCs w:val="22"/>
              </w:rPr>
              <w:t>-</w:t>
            </w:r>
          </w:p>
        </w:tc>
        <w:tc>
          <w:tcPr>
            <w:tcW w:w="1283" w:type="dxa"/>
          </w:tcPr>
          <w:p w:rsidR="008C284F" w:rsidRPr="00EC4120" w:rsidRDefault="008C284F" w:rsidP="00EC4120">
            <w:pPr>
              <w:jc w:val="center"/>
              <w:rPr>
                <w:rFonts w:cs="Arial"/>
                <w:szCs w:val="22"/>
              </w:rPr>
            </w:pPr>
            <w:r w:rsidRPr="00EC4120">
              <w:rPr>
                <w:rFonts w:cs="Arial"/>
                <w:szCs w:val="22"/>
              </w:rPr>
              <w:t>1</w:t>
            </w:r>
          </w:p>
        </w:tc>
        <w:tc>
          <w:tcPr>
            <w:tcW w:w="1167" w:type="dxa"/>
          </w:tcPr>
          <w:p w:rsidR="008C284F" w:rsidRPr="00EC4120" w:rsidRDefault="008C284F" w:rsidP="00EC4120">
            <w:pPr>
              <w:jc w:val="center"/>
              <w:rPr>
                <w:rFonts w:cs="Arial"/>
                <w:szCs w:val="22"/>
              </w:rPr>
            </w:pPr>
            <w:r w:rsidRPr="00EC4120">
              <w:rPr>
                <w:rFonts w:cs="Arial"/>
                <w:szCs w:val="22"/>
              </w:rPr>
              <w:t>11</w:t>
            </w:r>
          </w:p>
        </w:tc>
        <w:tc>
          <w:tcPr>
            <w:tcW w:w="1347" w:type="dxa"/>
          </w:tcPr>
          <w:p w:rsidR="008C284F" w:rsidRPr="00EC4120" w:rsidRDefault="008C284F" w:rsidP="00EC4120">
            <w:pPr>
              <w:jc w:val="center"/>
              <w:rPr>
                <w:rFonts w:cs="Arial"/>
                <w:szCs w:val="22"/>
              </w:rPr>
            </w:pPr>
            <w:r w:rsidRPr="00EC4120">
              <w:rPr>
                <w:rFonts w:cs="Arial"/>
                <w:szCs w:val="22"/>
              </w:rPr>
              <w:t>-</w:t>
            </w:r>
          </w:p>
        </w:tc>
        <w:tc>
          <w:tcPr>
            <w:tcW w:w="976" w:type="dxa"/>
          </w:tcPr>
          <w:p w:rsidR="008C284F" w:rsidRPr="00EC4120" w:rsidRDefault="008C284F" w:rsidP="00EC4120">
            <w:pPr>
              <w:jc w:val="center"/>
              <w:rPr>
                <w:rFonts w:cs="Arial"/>
                <w:b/>
                <w:szCs w:val="22"/>
              </w:rPr>
            </w:pPr>
            <w:r w:rsidRPr="00EC4120">
              <w:rPr>
                <w:rFonts w:cs="Arial"/>
                <w:b/>
                <w:szCs w:val="22"/>
              </w:rPr>
              <w:t>13</w:t>
            </w:r>
          </w:p>
        </w:tc>
      </w:tr>
      <w:tr w:rsidR="008C284F" w:rsidRPr="00EC4120" w:rsidTr="00EC4120">
        <w:tc>
          <w:tcPr>
            <w:tcW w:w="1440" w:type="dxa"/>
          </w:tcPr>
          <w:p w:rsidR="008C284F" w:rsidRPr="00EC4120" w:rsidRDefault="008C284F" w:rsidP="00EC4120">
            <w:pPr>
              <w:rPr>
                <w:rFonts w:cs="Arial"/>
                <w:b/>
                <w:szCs w:val="22"/>
              </w:rPr>
            </w:pPr>
            <w:r w:rsidRPr="00EC4120">
              <w:rPr>
                <w:rFonts w:cs="Arial"/>
                <w:b/>
                <w:szCs w:val="22"/>
              </w:rPr>
              <w:t>2014-2015</w:t>
            </w:r>
          </w:p>
        </w:tc>
        <w:tc>
          <w:tcPr>
            <w:tcW w:w="1028" w:type="dxa"/>
          </w:tcPr>
          <w:p w:rsidR="008C284F" w:rsidRPr="00EC4120" w:rsidRDefault="008C284F" w:rsidP="00EC4120">
            <w:pPr>
              <w:jc w:val="center"/>
              <w:rPr>
                <w:rFonts w:cs="Arial"/>
                <w:szCs w:val="22"/>
              </w:rPr>
            </w:pPr>
            <w:r w:rsidRPr="00EC4120">
              <w:rPr>
                <w:rFonts w:cs="Arial"/>
                <w:szCs w:val="22"/>
              </w:rPr>
              <w:t>-</w:t>
            </w:r>
          </w:p>
        </w:tc>
        <w:tc>
          <w:tcPr>
            <w:tcW w:w="1330" w:type="dxa"/>
          </w:tcPr>
          <w:p w:rsidR="008C284F" w:rsidRPr="00EC4120" w:rsidRDefault="008C284F" w:rsidP="00EC4120">
            <w:pPr>
              <w:jc w:val="center"/>
              <w:rPr>
                <w:rFonts w:cs="Arial"/>
                <w:szCs w:val="22"/>
              </w:rPr>
            </w:pPr>
            <w:r w:rsidRPr="00EC4120">
              <w:rPr>
                <w:rFonts w:cs="Arial"/>
                <w:szCs w:val="22"/>
              </w:rPr>
              <w:t>4</w:t>
            </w:r>
          </w:p>
        </w:tc>
        <w:tc>
          <w:tcPr>
            <w:tcW w:w="1283" w:type="dxa"/>
          </w:tcPr>
          <w:p w:rsidR="008C284F" w:rsidRPr="00EC4120" w:rsidRDefault="008C284F" w:rsidP="00EC4120">
            <w:pPr>
              <w:jc w:val="center"/>
              <w:rPr>
                <w:rFonts w:cs="Arial"/>
                <w:szCs w:val="22"/>
              </w:rPr>
            </w:pPr>
            <w:r w:rsidRPr="00EC4120">
              <w:rPr>
                <w:rFonts w:cs="Arial"/>
                <w:szCs w:val="22"/>
              </w:rPr>
              <w:t>1</w:t>
            </w:r>
          </w:p>
        </w:tc>
        <w:tc>
          <w:tcPr>
            <w:tcW w:w="1167" w:type="dxa"/>
          </w:tcPr>
          <w:p w:rsidR="008C284F" w:rsidRPr="00EC4120" w:rsidRDefault="008C284F" w:rsidP="00EC4120">
            <w:pPr>
              <w:jc w:val="center"/>
              <w:rPr>
                <w:rFonts w:cs="Arial"/>
                <w:szCs w:val="22"/>
              </w:rPr>
            </w:pPr>
            <w:r w:rsidRPr="00EC4120">
              <w:rPr>
                <w:rFonts w:cs="Arial"/>
                <w:szCs w:val="22"/>
              </w:rPr>
              <w:t>4</w:t>
            </w:r>
          </w:p>
        </w:tc>
        <w:tc>
          <w:tcPr>
            <w:tcW w:w="1347" w:type="dxa"/>
          </w:tcPr>
          <w:p w:rsidR="008C284F" w:rsidRPr="00EC4120" w:rsidRDefault="008C284F" w:rsidP="00EC4120">
            <w:pPr>
              <w:jc w:val="center"/>
              <w:rPr>
                <w:rFonts w:cs="Arial"/>
                <w:szCs w:val="22"/>
              </w:rPr>
            </w:pPr>
            <w:r w:rsidRPr="00EC4120">
              <w:rPr>
                <w:rFonts w:cs="Arial"/>
                <w:szCs w:val="22"/>
              </w:rPr>
              <w:t>6</w:t>
            </w:r>
          </w:p>
        </w:tc>
        <w:tc>
          <w:tcPr>
            <w:tcW w:w="976" w:type="dxa"/>
          </w:tcPr>
          <w:p w:rsidR="008C284F" w:rsidRPr="00EC4120" w:rsidRDefault="008C284F" w:rsidP="00EC4120">
            <w:pPr>
              <w:jc w:val="center"/>
              <w:rPr>
                <w:rFonts w:cs="Arial"/>
                <w:b/>
                <w:szCs w:val="22"/>
              </w:rPr>
            </w:pPr>
            <w:r w:rsidRPr="00EC4120">
              <w:rPr>
                <w:rFonts w:cs="Arial"/>
                <w:b/>
                <w:szCs w:val="22"/>
              </w:rPr>
              <w:t>15</w:t>
            </w:r>
          </w:p>
        </w:tc>
      </w:tr>
      <w:tr w:rsidR="008C284F" w:rsidRPr="00EC4120" w:rsidTr="00EC4120">
        <w:tc>
          <w:tcPr>
            <w:tcW w:w="1440" w:type="dxa"/>
          </w:tcPr>
          <w:p w:rsidR="008C284F" w:rsidRPr="00EC4120" w:rsidRDefault="008C284F" w:rsidP="00EC4120">
            <w:pPr>
              <w:rPr>
                <w:rFonts w:cs="Arial"/>
                <w:b/>
                <w:szCs w:val="22"/>
              </w:rPr>
            </w:pPr>
            <w:r w:rsidRPr="00EC4120">
              <w:rPr>
                <w:rFonts w:cs="Arial"/>
                <w:b/>
                <w:szCs w:val="22"/>
              </w:rPr>
              <w:t>2015-2016</w:t>
            </w:r>
          </w:p>
        </w:tc>
        <w:tc>
          <w:tcPr>
            <w:tcW w:w="1028" w:type="dxa"/>
          </w:tcPr>
          <w:p w:rsidR="008C284F" w:rsidRPr="00EC4120" w:rsidRDefault="008C284F" w:rsidP="00EC4120">
            <w:pPr>
              <w:jc w:val="center"/>
              <w:rPr>
                <w:rFonts w:cs="Arial"/>
                <w:szCs w:val="22"/>
              </w:rPr>
            </w:pPr>
            <w:r w:rsidRPr="00EC4120">
              <w:rPr>
                <w:rFonts w:cs="Arial"/>
                <w:szCs w:val="22"/>
              </w:rPr>
              <w:t>-</w:t>
            </w:r>
          </w:p>
        </w:tc>
        <w:tc>
          <w:tcPr>
            <w:tcW w:w="1330" w:type="dxa"/>
          </w:tcPr>
          <w:p w:rsidR="008C284F" w:rsidRPr="00EC4120" w:rsidRDefault="008C284F" w:rsidP="00EC4120">
            <w:pPr>
              <w:jc w:val="center"/>
              <w:rPr>
                <w:rFonts w:cs="Arial"/>
                <w:szCs w:val="22"/>
              </w:rPr>
            </w:pPr>
            <w:r w:rsidRPr="00EC4120">
              <w:rPr>
                <w:rFonts w:cs="Arial"/>
                <w:szCs w:val="22"/>
              </w:rPr>
              <w:t>1</w:t>
            </w:r>
          </w:p>
        </w:tc>
        <w:tc>
          <w:tcPr>
            <w:tcW w:w="1283" w:type="dxa"/>
          </w:tcPr>
          <w:p w:rsidR="008C284F" w:rsidRPr="00EC4120" w:rsidRDefault="008C284F" w:rsidP="00EC4120">
            <w:pPr>
              <w:jc w:val="center"/>
              <w:rPr>
                <w:rFonts w:cs="Arial"/>
                <w:szCs w:val="22"/>
              </w:rPr>
            </w:pPr>
            <w:r w:rsidRPr="00EC4120">
              <w:rPr>
                <w:rFonts w:cs="Arial"/>
                <w:szCs w:val="22"/>
              </w:rPr>
              <w:t>2</w:t>
            </w:r>
          </w:p>
        </w:tc>
        <w:tc>
          <w:tcPr>
            <w:tcW w:w="1167" w:type="dxa"/>
          </w:tcPr>
          <w:p w:rsidR="008C284F" w:rsidRPr="00EC4120" w:rsidRDefault="008C284F" w:rsidP="00EC4120">
            <w:pPr>
              <w:jc w:val="center"/>
              <w:rPr>
                <w:rFonts w:cs="Arial"/>
                <w:szCs w:val="22"/>
              </w:rPr>
            </w:pPr>
            <w:r w:rsidRPr="00EC4120">
              <w:rPr>
                <w:rFonts w:cs="Arial"/>
                <w:szCs w:val="22"/>
              </w:rPr>
              <w:t>2</w:t>
            </w:r>
          </w:p>
        </w:tc>
        <w:tc>
          <w:tcPr>
            <w:tcW w:w="1347" w:type="dxa"/>
          </w:tcPr>
          <w:p w:rsidR="008C284F" w:rsidRPr="00EC4120" w:rsidRDefault="008C284F" w:rsidP="00EC4120">
            <w:pPr>
              <w:jc w:val="center"/>
              <w:rPr>
                <w:rFonts w:cs="Arial"/>
                <w:szCs w:val="22"/>
              </w:rPr>
            </w:pPr>
            <w:r w:rsidRPr="00EC4120">
              <w:rPr>
                <w:rFonts w:cs="Arial"/>
                <w:szCs w:val="22"/>
              </w:rPr>
              <w:t>-</w:t>
            </w:r>
          </w:p>
        </w:tc>
        <w:tc>
          <w:tcPr>
            <w:tcW w:w="976" w:type="dxa"/>
          </w:tcPr>
          <w:p w:rsidR="008C284F" w:rsidRPr="00EC4120" w:rsidRDefault="008C284F" w:rsidP="00EC4120">
            <w:pPr>
              <w:jc w:val="center"/>
              <w:rPr>
                <w:rFonts w:cs="Arial"/>
                <w:b/>
                <w:szCs w:val="22"/>
              </w:rPr>
            </w:pPr>
            <w:r w:rsidRPr="00EC4120">
              <w:rPr>
                <w:rFonts w:cs="Arial"/>
                <w:b/>
                <w:szCs w:val="22"/>
              </w:rPr>
              <w:t>5</w:t>
            </w:r>
          </w:p>
        </w:tc>
      </w:tr>
      <w:tr w:rsidR="008C284F" w:rsidRPr="00EC4120" w:rsidTr="00EC4120">
        <w:tc>
          <w:tcPr>
            <w:tcW w:w="1440" w:type="dxa"/>
          </w:tcPr>
          <w:p w:rsidR="008C284F" w:rsidRPr="00EC4120" w:rsidRDefault="008C284F" w:rsidP="00EC4120">
            <w:pPr>
              <w:rPr>
                <w:rFonts w:cs="Arial"/>
                <w:b/>
                <w:szCs w:val="22"/>
              </w:rPr>
            </w:pPr>
            <w:r w:rsidRPr="00EC4120">
              <w:rPr>
                <w:rFonts w:cs="Arial"/>
                <w:b/>
                <w:szCs w:val="22"/>
              </w:rPr>
              <w:t>2016-2017</w:t>
            </w:r>
          </w:p>
        </w:tc>
        <w:tc>
          <w:tcPr>
            <w:tcW w:w="1028" w:type="dxa"/>
          </w:tcPr>
          <w:p w:rsidR="008C284F" w:rsidRPr="00EC4120" w:rsidRDefault="008C284F" w:rsidP="00EC4120">
            <w:pPr>
              <w:jc w:val="center"/>
              <w:rPr>
                <w:rFonts w:cs="Arial"/>
                <w:szCs w:val="22"/>
              </w:rPr>
            </w:pPr>
            <w:r w:rsidRPr="00EC4120">
              <w:rPr>
                <w:rFonts w:cs="Arial"/>
                <w:szCs w:val="22"/>
              </w:rPr>
              <w:t>1</w:t>
            </w:r>
          </w:p>
        </w:tc>
        <w:tc>
          <w:tcPr>
            <w:tcW w:w="1330" w:type="dxa"/>
          </w:tcPr>
          <w:p w:rsidR="008C284F" w:rsidRPr="00EC4120" w:rsidRDefault="008C284F" w:rsidP="00EC4120">
            <w:pPr>
              <w:jc w:val="center"/>
              <w:rPr>
                <w:rFonts w:cs="Arial"/>
                <w:szCs w:val="22"/>
              </w:rPr>
            </w:pPr>
            <w:r w:rsidRPr="00EC4120">
              <w:rPr>
                <w:rFonts w:cs="Arial"/>
                <w:szCs w:val="22"/>
              </w:rPr>
              <w:t>2</w:t>
            </w:r>
          </w:p>
        </w:tc>
        <w:tc>
          <w:tcPr>
            <w:tcW w:w="1283" w:type="dxa"/>
          </w:tcPr>
          <w:p w:rsidR="008C284F" w:rsidRPr="00EC4120" w:rsidRDefault="008C284F" w:rsidP="00EC4120">
            <w:pPr>
              <w:jc w:val="center"/>
              <w:rPr>
                <w:rFonts w:cs="Arial"/>
                <w:szCs w:val="22"/>
              </w:rPr>
            </w:pPr>
            <w:r w:rsidRPr="00EC4120">
              <w:rPr>
                <w:rFonts w:cs="Arial"/>
                <w:szCs w:val="22"/>
              </w:rPr>
              <w:t>1</w:t>
            </w:r>
          </w:p>
        </w:tc>
        <w:tc>
          <w:tcPr>
            <w:tcW w:w="1167" w:type="dxa"/>
          </w:tcPr>
          <w:p w:rsidR="008C284F" w:rsidRPr="00EC4120" w:rsidRDefault="008C284F" w:rsidP="00EC4120">
            <w:pPr>
              <w:jc w:val="center"/>
              <w:rPr>
                <w:rFonts w:cs="Arial"/>
                <w:szCs w:val="22"/>
              </w:rPr>
            </w:pPr>
            <w:r w:rsidRPr="00EC4120">
              <w:rPr>
                <w:rFonts w:cs="Arial"/>
                <w:szCs w:val="22"/>
              </w:rPr>
              <w:t>5</w:t>
            </w:r>
          </w:p>
        </w:tc>
        <w:tc>
          <w:tcPr>
            <w:tcW w:w="1347" w:type="dxa"/>
          </w:tcPr>
          <w:p w:rsidR="008C284F" w:rsidRPr="00EC4120" w:rsidRDefault="008C284F" w:rsidP="00EC4120">
            <w:pPr>
              <w:jc w:val="center"/>
              <w:rPr>
                <w:rFonts w:cs="Arial"/>
                <w:szCs w:val="22"/>
              </w:rPr>
            </w:pPr>
            <w:r w:rsidRPr="00EC4120">
              <w:rPr>
                <w:rFonts w:cs="Arial"/>
                <w:szCs w:val="22"/>
              </w:rPr>
              <w:t>1</w:t>
            </w:r>
          </w:p>
        </w:tc>
        <w:tc>
          <w:tcPr>
            <w:tcW w:w="976" w:type="dxa"/>
          </w:tcPr>
          <w:p w:rsidR="008C284F" w:rsidRPr="00EC4120" w:rsidRDefault="008C284F" w:rsidP="00EC4120">
            <w:pPr>
              <w:jc w:val="center"/>
              <w:rPr>
                <w:rFonts w:cs="Arial"/>
                <w:b/>
                <w:szCs w:val="22"/>
              </w:rPr>
            </w:pPr>
            <w:r w:rsidRPr="00EC4120">
              <w:rPr>
                <w:rFonts w:cs="Arial"/>
                <w:b/>
                <w:szCs w:val="22"/>
              </w:rPr>
              <w:t>10</w:t>
            </w:r>
          </w:p>
        </w:tc>
      </w:tr>
    </w:tbl>
    <w:p w:rsidR="008C284F" w:rsidRPr="00EC4120" w:rsidRDefault="008C284F" w:rsidP="008C284F">
      <w:pPr>
        <w:spacing w:after="0"/>
        <w:ind w:hanging="270"/>
        <w:rPr>
          <w:rFonts w:cs="Arial"/>
          <w:sz w:val="20"/>
        </w:rPr>
      </w:pPr>
      <w:r w:rsidRPr="00EC4120">
        <w:rPr>
          <w:rFonts w:cs="Arial"/>
          <w:sz w:val="20"/>
        </w:rPr>
        <w:t>* Shows only the areas relevant to the accepted complaints, i.e. not all of the areas under the Act. In 3 complaints (one in 2013-14 and two in 2014-15) there was more than one area recorded.</w:t>
      </w:r>
    </w:p>
    <w:p w:rsidR="00C46E20" w:rsidRPr="00EC4120" w:rsidRDefault="00C46E20" w:rsidP="00C46E20">
      <w:pPr>
        <w:spacing w:before="240"/>
        <w:ind w:hanging="274"/>
        <w:rPr>
          <w:rFonts w:cs="Arial"/>
          <w:b/>
          <w:sz w:val="24"/>
          <w:szCs w:val="24"/>
        </w:rPr>
      </w:pPr>
      <w:r w:rsidRPr="00EC4120">
        <w:rPr>
          <w:rFonts w:cs="Arial"/>
          <w:b/>
          <w:sz w:val="24"/>
          <w:szCs w:val="24"/>
        </w:rPr>
        <w:t>Table 3: Religious vilification complaints by area</w:t>
      </w:r>
    </w:p>
    <w:tbl>
      <w:tblPr>
        <w:tblStyle w:val="TableGrid"/>
        <w:tblW w:w="0" w:type="auto"/>
        <w:tblInd w:w="-275" w:type="dxa"/>
        <w:tblLook w:val="04A0" w:firstRow="1" w:lastRow="0" w:firstColumn="1" w:lastColumn="0" w:noHBand="0" w:noVBand="1"/>
        <w:tblCaption w:val="Table of Religious vilification complaints by area"/>
      </w:tblPr>
      <w:tblGrid>
        <w:gridCol w:w="1440"/>
        <w:gridCol w:w="1710"/>
        <w:gridCol w:w="1440"/>
        <w:gridCol w:w="1170"/>
        <w:gridCol w:w="1980"/>
        <w:gridCol w:w="990"/>
      </w:tblGrid>
      <w:tr w:rsidR="00C46E20" w:rsidRPr="00EC4120" w:rsidTr="00EE4E30">
        <w:trPr>
          <w:tblHeader/>
        </w:trPr>
        <w:tc>
          <w:tcPr>
            <w:tcW w:w="1440" w:type="dxa"/>
          </w:tcPr>
          <w:p w:rsidR="00C46E20" w:rsidRPr="00EC4120" w:rsidRDefault="00C46E20" w:rsidP="00EC4120">
            <w:pPr>
              <w:ind w:left="-105"/>
              <w:jc w:val="center"/>
              <w:rPr>
                <w:rFonts w:cs="Arial"/>
                <w:b/>
                <w:szCs w:val="22"/>
              </w:rPr>
            </w:pPr>
          </w:p>
        </w:tc>
        <w:tc>
          <w:tcPr>
            <w:tcW w:w="1710" w:type="dxa"/>
          </w:tcPr>
          <w:p w:rsidR="00C46E20" w:rsidRPr="00EC4120" w:rsidRDefault="00C46E20" w:rsidP="00EC4120">
            <w:pPr>
              <w:rPr>
                <w:rFonts w:cs="Arial"/>
                <w:b/>
                <w:szCs w:val="22"/>
              </w:rPr>
            </w:pPr>
            <w:r w:rsidRPr="00EC4120">
              <w:rPr>
                <w:rFonts w:cs="Arial"/>
                <w:b/>
                <w:szCs w:val="22"/>
              </w:rPr>
              <w:t>Accomm.</w:t>
            </w:r>
          </w:p>
        </w:tc>
        <w:tc>
          <w:tcPr>
            <w:tcW w:w="1440" w:type="dxa"/>
          </w:tcPr>
          <w:p w:rsidR="00C46E20" w:rsidRPr="00EC4120" w:rsidRDefault="00C46E20" w:rsidP="00EC4120">
            <w:pPr>
              <w:rPr>
                <w:rFonts w:cs="Arial"/>
                <w:b/>
                <w:szCs w:val="22"/>
              </w:rPr>
            </w:pPr>
            <w:r w:rsidRPr="00EC4120">
              <w:rPr>
                <w:rFonts w:cs="Arial"/>
                <w:b/>
                <w:szCs w:val="22"/>
              </w:rPr>
              <w:t>Goods or services</w:t>
            </w:r>
          </w:p>
        </w:tc>
        <w:tc>
          <w:tcPr>
            <w:tcW w:w="1170" w:type="dxa"/>
          </w:tcPr>
          <w:p w:rsidR="00C46E20" w:rsidRPr="00EC4120" w:rsidRDefault="00C46E20" w:rsidP="00EC4120">
            <w:pPr>
              <w:rPr>
                <w:rFonts w:cs="Arial"/>
                <w:b/>
                <w:szCs w:val="22"/>
              </w:rPr>
            </w:pPr>
            <w:r w:rsidRPr="00EC4120">
              <w:rPr>
                <w:rFonts w:cs="Arial"/>
                <w:b/>
                <w:szCs w:val="22"/>
              </w:rPr>
              <w:t>Work</w:t>
            </w:r>
          </w:p>
        </w:tc>
        <w:tc>
          <w:tcPr>
            <w:tcW w:w="1980" w:type="dxa"/>
          </w:tcPr>
          <w:p w:rsidR="00C46E20" w:rsidRPr="00EC4120" w:rsidRDefault="00C46E20" w:rsidP="00EC4120">
            <w:pPr>
              <w:rPr>
                <w:rFonts w:cs="Arial"/>
                <w:b/>
                <w:szCs w:val="22"/>
              </w:rPr>
            </w:pPr>
            <w:r w:rsidRPr="00EC4120">
              <w:rPr>
                <w:rFonts w:cs="Arial"/>
                <w:b/>
                <w:szCs w:val="22"/>
              </w:rPr>
              <w:t>Not recorded</w:t>
            </w:r>
          </w:p>
        </w:tc>
        <w:tc>
          <w:tcPr>
            <w:tcW w:w="990" w:type="dxa"/>
          </w:tcPr>
          <w:p w:rsidR="00C46E20" w:rsidRPr="00EC4120" w:rsidRDefault="00C46E20" w:rsidP="00EC4120">
            <w:pPr>
              <w:rPr>
                <w:rFonts w:cs="Arial"/>
                <w:b/>
                <w:szCs w:val="22"/>
              </w:rPr>
            </w:pPr>
            <w:r w:rsidRPr="00EC4120">
              <w:rPr>
                <w:rFonts w:cs="Arial"/>
                <w:b/>
                <w:szCs w:val="22"/>
              </w:rPr>
              <w:t>Total</w:t>
            </w:r>
          </w:p>
        </w:tc>
      </w:tr>
      <w:tr w:rsidR="00C46E20" w:rsidRPr="00EC4120" w:rsidTr="00C46E20">
        <w:tc>
          <w:tcPr>
            <w:tcW w:w="1440" w:type="dxa"/>
          </w:tcPr>
          <w:p w:rsidR="00C46E20" w:rsidRPr="00EC4120" w:rsidRDefault="00C46E20" w:rsidP="00EC4120">
            <w:pPr>
              <w:rPr>
                <w:rFonts w:cs="Arial"/>
                <w:b/>
                <w:szCs w:val="22"/>
              </w:rPr>
            </w:pPr>
            <w:r w:rsidRPr="00EC4120">
              <w:rPr>
                <w:rFonts w:cs="Arial"/>
                <w:b/>
                <w:szCs w:val="22"/>
              </w:rPr>
              <w:t>2012-2013</w:t>
            </w:r>
          </w:p>
        </w:tc>
        <w:tc>
          <w:tcPr>
            <w:tcW w:w="1710" w:type="dxa"/>
          </w:tcPr>
          <w:p w:rsidR="00C46E20" w:rsidRPr="00EC4120" w:rsidRDefault="00C46E20" w:rsidP="00EC4120">
            <w:pPr>
              <w:jc w:val="center"/>
              <w:rPr>
                <w:rFonts w:cs="Arial"/>
                <w:szCs w:val="22"/>
              </w:rPr>
            </w:pPr>
          </w:p>
        </w:tc>
        <w:tc>
          <w:tcPr>
            <w:tcW w:w="1440" w:type="dxa"/>
          </w:tcPr>
          <w:p w:rsidR="00C46E20" w:rsidRPr="00EC4120" w:rsidRDefault="00C46E20" w:rsidP="00EC4120">
            <w:pPr>
              <w:jc w:val="center"/>
              <w:rPr>
                <w:rFonts w:cs="Arial"/>
                <w:szCs w:val="22"/>
              </w:rPr>
            </w:pPr>
          </w:p>
        </w:tc>
        <w:tc>
          <w:tcPr>
            <w:tcW w:w="1170" w:type="dxa"/>
          </w:tcPr>
          <w:p w:rsidR="00C46E20" w:rsidRPr="00EC4120" w:rsidRDefault="00C46E20" w:rsidP="00EC4120">
            <w:pPr>
              <w:jc w:val="center"/>
              <w:rPr>
                <w:rFonts w:cs="Arial"/>
                <w:szCs w:val="22"/>
              </w:rPr>
            </w:pPr>
            <w:r w:rsidRPr="00EC4120">
              <w:rPr>
                <w:rFonts w:cs="Arial"/>
                <w:szCs w:val="22"/>
              </w:rPr>
              <w:t>1</w:t>
            </w:r>
          </w:p>
        </w:tc>
        <w:tc>
          <w:tcPr>
            <w:tcW w:w="1980" w:type="dxa"/>
          </w:tcPr>
          <w:p w:rsidR="00C46E20" w:rsidRPr="00EC4120" w:rsidRDefault="00C46E20" w:rsidP="00EC4120">
            <w:pPr>
              <w:jc w:val="center"/>
              <w:rPr>
                <w:rFonts w:cs="Arial"/>
                <w:szCs w:val="22"/>
              </w:rPr>
            </w:pPr>
            <w:r w:rsidRPr="00EC4120">
              <w:rPr>
                <w:rFonts w:cs="Arial"/>
                <w:szCs w:val="22"/>
              </w:rPr>
              <w:t>4</w:t>
            </w:r>
          </w:p>
        </w:tc>
        <w:tc>
          <w:tcPr>
            <w:tcW w:w="990" w:type="dxa"/>
          </w:tcPr>
          <w:p w:rsidR="00C46E20" w:rsidRPr="00EC4120" w:rsidRDefault="00C46E20" w:rsidP="00EC4120">
            <w:pPr>
              <w:jc w:val="center"/>
              <w:rPr>
                <w:rFonts w:cs="Arial"/>
                <w:b/>
                <w:szCs w:val="22"/>
              </w:rPr>
            </w:pPr>
            <w:r w:rsidRPr="00EC4120">
              <w:rPr>
                <w:rFonts w:cs="Arial"/>
                <w:b/>
                <w:szCs w:val="22"/>
              </w:rPr>
              <w:t>5</w:t>
            </w:r>
          </w:p>
        </w:tc>
      </w:tr>
      <w:tr w:rsidR="00C46E20" w:rsidRPr="00EC4120" w:rsidTr="00C46E20">
        <w:tc>
          <w:tcPr>
            <w:tcW w:w="1440" w:type="dxa"/>
          </w:tcPr>
          <w:p w:rsidR="00C46E20" w:rsidRPr="00EC4120" w:rsidRDefault="00C46E20" w:rsidP="00EC4120">
            <w:pPr>
              <w:rPr>
                <w:rFonts w:cs="Arial"/>
                <w:b/>
                <w:szCs w:val="22"/>
              </w:rPr>
            </w:pPr>
            <w:r w:rsidRPr="00EC4120">
              <w:rPr>
                <w:rFonts w:cs="Arial"/>
                <w:b/>
                <w:szCs w:val="22"/>
              </w:rPr>
              <w:t>2013-2014</w:t>
            </w:r>
          </w:p>
        </w:tc>
        <w:tc>
          <w:tcPr>
            <w:tcW w:w="1710" w:type="dxa"/>
          </w:tcPr>
          <w:p w:rsidR="00C46E20" w:rsidRPr="00EC4120" w:rsidRDefault="00C46E20" w:rsidP="00EC4120">
            <w:pPr>
              <w:jc w:val="center"/>
              <w:rPr>
                <w:rFonts w:cs="Arial"/>
                <w:szCs w:val="22"/>
              </w:rPr>
            </w:pPr>
            <w:r w:rsidRPr="00EC4120">
              <w:rPr>
                <w:rFonts w:cs="Arial"/>
                <w:szCs w:val="22"/>
              </w:rPr>
              <w:t>1</w:t>
            </w:r>
          </w:p>
        </w:tc>
        <w:tc>
          <w:tcPr>
            <w:tcW w:w="1440" w:type="dxa"/>
          </w:tcPr>
          <w:p w:rsidR="00C46E20" w:rsidRPr="00EC4120" w:rsidRDefault="00C46E20" w:rsidP="00EC4120">
            <w:pPr>
              <w:jc w:val="center"/>
              <w:rPr>
                <w:rFonts w:cs="Arial"/>
                <w:szCs w:val="22"/>
              </w:rPr>
            </w:pPr>
          </w:p>
        </w:tc>
        <w:tc>
          <w:tcPr>
            <w:tcW w:w="1170" w:type="dxa"/>
          </w:tcPr>
          <w:p w:rsidR="00C46E20" w:rsidRPr="00EC4120" w:rsidRDefault="00C46E20" w:rsidP="00EC4120">
            <w:pPr>
              <w:jc w:val="center"/>
              <w:rPr>
                <w:rFonts w:cs="Arial"/>
                <w:szCs w:val="22"/>
              </w:rPr>
            </w:pPr>
          </w:p>
        </w:tc>
        <w:tc>
          <w:tcPr>
            <w:tcW w:w="1980" w:type="dxa"/>
          </w:tcPr>
          <w:p w:rsidR="00C46E20" w:rsidRPr="00EC4120" w:rsidRDefault="00C46E20" w:rsidP="00EC4120">
            <w:pPr>
              <w:jc w:val="center"/>
              <w:rPr>
                <w:rFonts w:cs="Arial"/>
                <w:szCs w:val="22"/>
              </w:rPr>
            </w:pPr>
          </w:p>
        </w:tc>
        <w:tc>
          <w:tcPr>
            <w:tcW w:w="990" w:type="dxa"/>
          </w:tcPr>
          <w:p w:rsidR="00C46E20" w:rsidRPr="00EC4120" w:rsidRDefault="00C46E20" w:rsidP="00EC4120">
            <w:pPr>
              <w:jc w:val="center"/>
              <w:rPr>
                <w:rFonts w:cs="Arial"/>
                <w:b/>
                <w:szCs w:val="22"/>
              </w:rPr>
            </w:pPr>
            <w:r w:rsidRPr="00EC4120">
              <w:rPr>
                <w:rFonts w:cs="Arial"/>
                <w:b/>
                <w:szCs w:val="22"/>
              </w:rPr>
              <w:t>1</w:t>
            </w:r>
          </w:p>
        </w:tc>
      </w:tr>
      <w:tr w:rsidR="00C46E20" w:rsidRPr="00EC4120" w:rsidTr="00C46E20">
        <w:tc>
          <w:tcPr>
            <w:tcW w:w="1440" w:type="dxa"/>
          </w:tcPr>
          <w:p w:rsidR="00C46E20" w:rsidRPr="00EC4120" w:rsidRDefault="00C46E20" w:rsidP="00EC4120">
            <w:pPr>
              <w:rPr>
                <w:rFonts w:cs="Arial"/>
                <w:b/>
                <w:szCs w:val="22"/>
              </w:rPr>
            </w:pPr>
            <w:r w:rsidRPr="00EC4120">
              <w:rPr>
                <w:rFonts w:cs="Arial"/>
                <w:b/>
                <w:szCs w:val="22"/>
              </w:rPr>
              <w:t>2014-2015</w:t>
            </w:r>
          </w:p>
        </w:tc>
        <w:tc>
          <w:tcPr>
            <w:tcW w:w="1710" w:type="dxa"/>
          </w:tcPr>
          <w:p w:rsidR="00C46E20" w:rsidRPr="00EC4120" w:rsidRDefault="00C46E20" w:rsidP="00EC4120">
            <w:pPr>
              <w:jc w:val="center"/>
              <w:rPr>
                <w:rFonts w:cs="Arial"/>
                <w:szCs w:val="22"/>
              </w:rPr>
            </w:pPr>
          </w:p>
        </w:tc>
        <w:tc>
          <w:tcPr>
            <w:tcW w:w="1440" w:type="dxa"/>
          </w:tcPr>
          <w:p w:rsidR="00C46E20" w:rsidRPr="00EC4120" w:rsidRDefault="00C46E20" w:rsidP="00EC4120">
            <w:pPr>
              <w:jc w:val="center"/>
              <w:rPr>
                <w:rFonts w:cs="Arial"/>
                <w:szCs w:val="22"/>
              </w:rPr>
            </w:pPr>
            <w:r w:rsidRPr="00EC4120">
              <w:rPr>
                <w:rFonts w:cs="Arial"/>
                <w:szCs w:val="22"/>
              </w:rPr>
              <w:t>2</w:t>
            </w:r>
          </w:p>
        </w:tc>
        <w:tc>
          <w:tcPr>
            <w:tcW w:w="1170" w:type="dxa"/>
          </w:tcPr>
          <w:p w:rsidR="00C46E20" w:rsidRPr="00EC4120" w:rsidRDefault="00C46E20" w:rsidP="00EC4120">
            <w:pPr>
              <w:jc w:val="center"/>
              <w:rPr>
                <w:rFonts w:cs="Arial"/>
                <w:szCs w:val="22"/>
              </w:rPr>
            </w:pPr>
          </w:p>
        </w:tc>
        <w:tc>
          <w:tcPr>
            <w:tcW w:w="1980" w:type="dxa"/>
          </w:tcPr>
          <w:p w:rsidR="00C46E20" w:rsidRPr="00EC4120" w:rsidRDefault="00C46E20" w:rsidP="00EC4120">
            <w:pPr>
              <w:jc w:val="center"/>
              <w:rPr>
                <w:rFonts w:cs="Arial"/>
                <w:szCs w:val="22"/>
              </w:rPr>
            </w:pPr>
            <w:r w:rsidRPr="00EC4120">
              <w:rPr>
                <w:rFonts w:cs="Arial"/>
                <w:szCs w:val="22"/>
              </w:rPr>
              <w:t>1</w:t>
            </w:r>
          </w:p>
        </w:tc>
        <w:tc>
          <w:tcPr>
            <w:tcW w:w="990" w:type="dxa"/>
          </w:tcPr>
          <w:p w:rsidR="00C46E20" w:rsidRPr="00EC4120" w:rsidRDefault="00C46E20" w:rsidP="00EC4120">
            <w:pPr>
              <w:jc w:val="center"/>
              <w:rPr>
                <w:rFonts w:cs="Arial"/>
                <w:b/>
                <w:szCs w:val="22"/>
              </w:rPr>
            </w:pPr>
            <w:r w:rsidRPr="00EC4120">
              <w:rPr>
                <w:rFonts w:cs="Arial"/>
                <w:b/>
                <w:szCs w:val="22"/>
              </w:rPr>
              <w:t>3</w:t>
            </w:r>
          </w:p>
        </w:tc>
      </w:tr>
      <w:tr w:rsidR="00C46E20" w:rsidRPr="00EC4120" w:rsidTr="00C46E20">
        <w:tc>
          <w:tcPr>
            <w:tcW w:w="1440" w:type="dxa"/>
          </w:tcPr>
          <w:p w:rsidR="00C46E20" w:rsidRPr="00EC4120" w:rsidRDefault="00C46E20" w:rsidP="00EC4120">
            <w:pPr>
              <w:rPr>
                <w:rFonts w:cs="Arial"/>
                <w:b/>
                <w:szCs w:val="22"/>
              </w:rPr>
            </w:pPr>
            <w:r w:rsidRPr="00EC4120">
              <w:rPr>
                <w:rFonts w:cs="Arial"/>
                <w:b/>
                <w:szCs w:val="22"/>
              </w:rPr>
              <w:t>2015-2016</w:t>
            </w:r>
          </w:p>
        </w:tc>
        <w:tc>
          <w:tcPr>
            <w:tcW w:w="1710" w:type="dxa"/>
          </w:tcPr>
          <w:p w:rsidR="00C46E20" w:rsidRPr="00EC4120" w:rsidRDefault="00C46E20" w:rsidP="00EC4120">
            <w:pPr>
              <w:jc w:val="center"/>
              <w:rPr>
                <w:rFonts w:cs="Arial"/>
                <w:szCs w:val="22"/>
              </w:rPr>
            </w:pPr>
          </w:p>
        </w:tc>
        <w:tc>
          <w:tcPr>
            <w:tcW w:w="1440" w:type="dxa"/>
          </w:tcPr>
          <w:p w:rsidR="00C46E20" w:rsidRPr="00EC4120" w:rsidRDefault="00C46E20" w:rsidP="00EC4120">
            <w:pPr>
              <w:jc w:val="center"/>
              <w:rPr>
                <w:rFonts w:cs="Arial"/>
                <w:szCs w:val="22"/>
              </w:rPr>
            </w:pPr>
          </w:p>
        </w:tc>
        <w:tc>
          <w:tcPr>
            <w:tcW w:w="1170" w:type="dxa"/>
          </w:tcPr>
          <w:p w:rsidR="00C46E20" w:rsidRPr="00EC4120" w:rsidRDefault="00C46E20" w:rsidP="00EC4120">
            <w:pPr>
              <w:jc w:val="center"/>
              <w:rPr>
                <w:rFonts w:cs="Arial"/>
                <w:szCs w:val="22"/>
              </w:rPr>
            </w:pPr>
          </w:p>
        </w:tc>
        <w:tc>
          <w:tcPr>
            <w:tcW w:w="1980" w:type="dxa"/>
          </w:tcPr>
          <w:p w:rsidR="00C46E20" w:rsidRPr="00EC4120" w:rsidRDefault="00C46E20" w:rsidP="00EC4120">
            <w:pPr>
              <w:jc w:val="center"/>
              <w:rPr>
                <w:rFonts w:cs="Arial"/>
                <w:szCs w:val="22"/>
              </w:rPr>
            </w:pPr>
          </w:p>
        </w:tc>
        <w:tc>
          <w:tcPr>
            <w:tcW w:w="990" w:type="dxa"/>
          </w:tcPr>
          <w:p w:rsidR="00C46E20" w:rsidRPr="00EC4120" w:rsidRDefault="001E41FB" w:rsidP="00EC4120">
            <w:pPr>
              <w:jc w:val="center"/>
              <w:rPr>
                <w:rFonts w:cs="Arial"/>
                <w:b/>
                <w:szCs w:val="22"/>
              </w:rPr>
            </w:pPr>
            <w:r w:rsidRPr="00EC4120">
              <w:rPr>
                <w:rFonts w:cs="Arial"/>
                <w:b/>
                <w:szCs w:val="22"/>
              </w:rPr>
              <w:t>0</w:t>
            </w:r>
          </w:p>
        </w:tc>
      </w:tr>
      <w:tr w:rsidR="00C46E20" w:rsidRPr="00EC4120" w:rsidTr="00C46E20">
        <w:tc>
          <w:tcPr>
            <w:tcW w:w="1440" w:type="dxa"/>
          </w:tcPr>
          <w:p w:rsidR="00C46E20" w:rsidRPr="00EC4120" w:rsidRDefault="00C46E20" w:rsidP="00EC4120">
            <w:pPr>
              <w:rPr>
                <w:rFonts w:cs="Arial"/>
                <w:b/>
                <w:szCs w:val="22"/>
              </w:rPr>
            </w:pPr>
            <w:r w:rsidRPr="00EC4120">
              <w:rPr>
                <w:rFonts w:cs="Arial"/>
                <w:b/>
                <w:szCs w:val="22"/>
              </w:rPr>
              <w:t>2016-2017</w:t>
            </w:r>
          </w:p>
        </w:tc>
        <w:tc>
          <w:tcPr>
            <w:tcW w:w="1710" w:type="dxa"/>
          </w:tcPr>
          <w:p w:rsidR="00C46E20" w:rsidRPr="00EC4120" w:rsidRDefault="00C46E20" w:rsidP="00EC4120">
            <w:pPr>
              <w:jc w:val="center"/>
              <w:rPr>
                <w:rFonts w:cs="Arial"/>
                <w:szCs w:val="22"/>
              </w:rPr>
            </w:pPr>
          </w:p>
        </w:tc>
        <w:tc>
          <w:tcPr>
            <w:tcW w:w="1440" w:type="dxa"/>
          </w:tcPr>
          <w:p w:rsidR="00C46E20" w:rsidRPr="00EC4120" w:rsidRDefault="00C46E20" w:rsidP="00EC4120">
            <w:pPr>
              <w:jc w:val="center"/>
              <w:rPr>
                <w:rFonts w:cs="Arial"/>
                <w:szCs w:val="22"/>
              </w:rPr>
            </w:pPr>
          </w:p>
        </w:tc>
        <w:tc>
          <w:tcPr>
            <w:tcW w:w="1170" w:type="dxa"/>
          </w:tcPr>
          <w:p w:rsidR="00C46E20" w:rsidRPr="00EC4120" w:rsidRDefault="001E41FB" w:rsidP="00EC4120">
            <w:pPr>
              <w:jc w:val="center"/>
              <w:rPr>
                <w:rFonts w:cs="Arial"/>
                <w:szCs w:val="22"/>
              </w:rPr>
            </w:pPr>
            <w:r w:rsidRPr="00EC4120">
              <w:rPr>
                <w:rFonts w:cs="Arial"/>
                <w:szCs w:val="22"/>
              </w:rPr>
              <w:t>1</w:t>
            </w:r>
          </w:p>
        </w:tc>
        <w:tc>
          <w:tcPr>
            <w:tcW w:w="1980" w:type="dxa"/>
          </w:tcPr>
          <w:p w:rsidR="00C46E20" w:rsidRPr="00EC4120" w:rsidRDefault="001E41FB" w:rsidP="00EC4120">
            <w:pPr>
              <w:jc w:val="center"/>
              <w:rPr>
                <w:rFonts w:cs="Arial"/>
                <w:szCs w:val="22"/>
              </w:rPr>
            </w:pPr>
            <w:r w:rsidRPr="00EC4120">
              <w:rPr>
                <w:rFonts w:cs="Arial"/>
                <w:szCs w:val="22"/>
              </w:rPr>
              <w:t>1</w:t>
            </w:r>
          </w:p>
        </w:tc>
        <w:tc>
          <w:tcPr>
            <w:tcW w:w="990" w:type="dxa"/>
          </w:tcPr>
          <w:p w:rsidR="00C46E20" w:rsidRPr="00EC4120" w:rsidRDefault="001E41FB" w:rsidP="00EC4120">
            <w:pPr>
              <w:jc w:val="center"/>
              <w:rPr>
                <w:rFonts w:cs="Arial"/>
                <w:b/>
                <w:szCs w:val="22"/>
              </w:rPr>
            </w:pPr>
            <w:r w:rsidRPr="00EC4120">
              <w:rPr>
                <w:rFonts w:cs="Arial"/>
                <w:b/>
                <w:szCs w:val="22"/>
              </w:rPr>
              <w:t>2</w:t>
            </w:r>
          </w:p>
        </w:tc>
      </w:tr>
    </w:tbl>
    <w:p w:rsidR="008C284F" w:rsidRPr="00EC4120" w:rsidRDefault="008C284F" w:rsidP="008C284F">
      <w:pPr>
        <w:spacing w:after="0"/>
        <w:ind w:hanging="270"/>
        <w:rPr>
          <w:rFonts w:cs="Arial"/>
          <w:sz w:val="24"/>
          <w:szCs w:val="24"/>
        </w:rPr>
      </w:pPr>
    </w:p>
    <w:p w:rsidR="008C284F" w:rsidRPr="00EC4120" w:rsidRDefault="008C284F" w:rsidP="008C284F">
      <w:pPr>
        <w:spacing w:before="0" w:after="0"/>
        <w:rPr>
          <w:rFonts w:cs="Arial"/>
          <w:sz w:val="24"/>
          <w:szCs w:val="24"/>
        </w:rPr>
        <w:sectPr w:rsidR="008C284F" w:rsidRPr="00EC4120" w:rsidSect="008C284F">
          <w:headerReference w:type="first" r:id="rId16"/>
          <w:pgSz w:w="11906" w:h="16838" w:code="9"/>
          <w:pgMar w:top="720" w:right="1642" w:bottom="360" w:left="1728" w:header="630" w:footer="0" w:gutter="0"/>
          <w:cols w:space="708"/>
          <w:titlePg/>
          <w:docGrid w:linePitch="360"/>
        </w:sectPr>
      </w:pPr>
    </w:p>
    <w:p w:rsidR="008C284F" w:rsidRPr="00EC4120" w:rsidRDefault="007B0D0E" w:rsidP="008C284F">
      <w:pPr>
        <w:rPr>
          <w:rFonts w:cs="Arial"/>
          <w:b/>
          <w:sz w:val="24"/>
          <w:szCs w:val="24"/>
        </w:rPr>
      </w:pPr>
      <w:r>
        <w:rPr>
          <w:rFonts w:cs="Arial"/>
          <w:b/>
          <w:sz w:val="24"/>
          <w:szCs w:val="24"/>
        </w:rPr>
        <w:lastRenderedPageBreak/>
        <w:t>Table 4</w:t>
      </w:r>
      <w:r w:rsidR="001E41FB" w:rsidRPr="00EC4120">
        <w:rPr>
          <w:rFonts w:cs="Arial"/>
          <w:b/>
          <w:sz w:val="24"/>
          <w:szCs w:val="24"/>
        </w:rPr>
        <w:t xml:space="preserve">: </w:t>
      </w:r>
      <w:r w:rsidR="008C284F" w:rsidRPr="00EC4120">
        <w:rPr>
          <w:rFonts w:cs="Arial"/>
          <w:b/>
          <w:sz w:val="24"/>
          <w:szCs w:val="24"/>
        </w:rPr>
        <w:t>Religious discrimination complaints by religion</w:t>
      </w:r>
    </w:p>
    <w:tbl>
      <w:tblPr>
        <w:tblW w:w="12860" w:type="dxa"/>
        <w:tblCellMar>
          <w:left w:w="0" w:type="dxa"/>
          <w:right w:w="0" w:type="dxa"/>
        </w:tblCellMar>
        <w:tblLook w:val="04A0" w:firstRow="1" w:lastRow="0" w:firstColumn="1" w:lastColumn="0" w:noHBand="0" w:noVBand="1"/>
        <w:tblCaption w:val="Religious discrimination complaints by religion - contains blank cells for formatting purposes"/>
      </w:tblPr>
      <w:tblGrid>
        <w:gridCol w:w="1440"/>
        <w:gridCol w:w="1170"/>
        <w:gridCol w:w="1170"/>
        <w:gridCol w:w="1440"/>
        <w:gridCol w:w="1710"/>
        <w:gridCol w:w="1170"/>
        <w:gridCol w:w="794"/>
        <w:gridCol w:w="900"/>
        <w:gridCol w:w="960"/>
        <w:gridCol w:w="1366"/>
        <w:gridCol w:w="1084"/>
      </w:tblGrid>
      <w:tr w:rsidR="008C284F" w:rsidRPr="00EC4120" w:rsidTr="00EE4E30">
        <w:trPr>
          <w:trHeight w:val="915"/>
          <w:tblHeader/>
        </w:trPr>
        <w:tc>
          <w:tcPr>
            <w:tcW w:w="1440" w:type="dxa"/>
            <w:noWrap/>
            <w:tcMar>
              <w:top w:w="0" w:type="dxa"/>
              <w:left w:w="108" w:type="dxa"/>
              <w:bottom w:w="0" w:type="dxa"/>
              <w:right w:w="108" w:type="dxa"/>
            </w:tcMar>
          </w:tcPr>
          <w:p w:rsidR="008C284F" w:rsidRPr="00EC4120" w:rsidRDefault="008C284F" w:rsidP="00E87F0D">
            <w:pPr>
              <w:spacing w:before="0" w:after="0"/>
              <w:rPr>
                <w:rFonts w:ascii="Times New Roman" w:hAnsi="Times New Roman"/>
                <w:color w:val="auto"/>
                <w:kern w:val="0"/>
                <w:szCs w:val="22"/>
                <w14:ligatures w14:val="none"/>
                <w14:cntxtAlts w14:val="0"/>
              </w:rPr>
            </w:pPr>
          </w:p>
        </w:tc>
        <w:tc>
          <w:tcPr>
            <w:tcW w:w="11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8C284F" w:rsidRPr="00EC4120" w:rsidRDefault="00940502" w:rsidP="00E87F0D">
            <w:pPr>
              <w:rPr>
                <w:rFonts w:ascii="Calibri" w:eastAsiaTheme="minorHAnsi" w:hAnsi="Calibri" w:cs="Calibri"/>
                <w:b/>
                <w:bCs/>
                <w:color w:val="000000"/>
                <w:szCs w:val="22"/>
              </w:rPr>
            </w:pPr>
            <w:r w:rsidRPr="00EC4120">
              <w:rPr>
                <w:b/>
                <w:bCs/>
                <w:color w:val="000000"/>
                <w:szCs w:val="22"/>
              </w:rPr>
              <w:t>Buddhist</w:t>
            </w:r>
          </w:p>
        </w:tc>
        <w:tc>
          <w:tcPr>
            <w:tcW w:w="4320"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8C284F" w:rsidRPr="00EC4120" w:rsidRDefault="008C284F" w:rsidP="00E87F0D">
            <w:pPr>
              <w:rPr>
                <w:b/>
                <w:bCs/>
                <w:color w:val="000000"/>
                <w:szCs w:val="22"/>
              </w:rPr>
            </w:pPr>
            <w:r w:rsidRPr="00EC4120">
              <w:rPr>
                <w:b/>
                <w:bCs/>
                <w:color w:val="000000"/>
                <w:szCs w:val="22"/>
              </w:rPr>
              <w:t>Christian</w:t>
            </w:r>
          </w:p>
        </w:tc>
        <w:tc>
          <w:tcPr>
            <w:tcW w:w="82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C284F" w:rsidRPr="00EC4120" w:rsidRDefault="008C284F" w:rsidP="00E87F0D">
            <w:pPr>
              <w:rPr>
                <w:b/>
                <w:bCs/>
                <w:color w:val="000000"/>
                <w:szCs w:val="22"/>
              </w:rPr>
            </w:pPr>
            <w:r w:rsidRPr="00EC4120">
              <w:rPr>
                <w:b/>
                <w:bCs/>
                <w:color w:val="000000"/>
                <w:szCs w:val="22"/>
              </w:rPr>
              <w:t>Christian Total</w:t>
            </w:r>
          </w:p>
        </w:tc>
        <w:tc>
          <w:tcPr>
            <w:tcW w:w="7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284F" w:rsidRPr="00EC4120" w:rsidRDefault="008C284F" w:rsidP="00E87F0D">
            <w:pPr>
              <w:rPr>
                <w:color w:val="000000"/>
                <w:szCs w:val="22"/>
              </w:rPr>
            </w:pPr>
            <w:r w:rsidRPr="00EC4120">
              <w:rPr>
                <w:color w:val="000000"/>
                <w:szCs w:val="22"/>
              </w:rPr>
              <w:t>Hindu</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284F" w:rsidRPr="00EC4120" w:rsidRDefault="008C284F" w:rsidP="00E87F0D">
            <w:pPr>
              <w:rPr>
                <w:color w:val="000000"/>
                <w:szCs w:val="22"/>
              </w:rPr>
            </w:pPr>
            <w:r w:rsidRPr="00EC4120">
              <w:rPr>
                <w:color w:val="000000"/>
                <w:szCs w:val="22"/>
              </w:rPr>
              <w:t>Jewish</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284F" w:rsidRPr="00EC4120" w:rsidRDefault="008C284F" w:rsidP="00E87F0D">
            <w:pPr>
              <w:rPr>
                <w:color w:val="000000"/>
                <w:szCs w:val="22"/>
              </w:rPr>
            </w:pPr>
            <w:r w:rsidRPr="00EC4120">
              <w:rPr>
                <w:color w:val="000000"/>
                <w:szCs w:val="22"/>
              </w:rPr>
              <w:t>Muslim</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284F" w:rsidRPr="00EC4120" w:rsidRDefault="008C284F" w:rsidP="00E87F0D">
            <w:pPr>
              <w:rPr>
                <w:color w:val="000000"/>
                <w:szCs w:val="22"/>
              </w:rPr>
            </w:pPr>
            <w:r w:rsidRPr="00EC4120">
              <w:rPr>
                <w:color w:val="000000"/>
                <w:szCs w:val="22"/>
              </w:rPr>
              <w:t>Unspecified / Other Religion</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C284F" w:rsidRPr="00EC4120" w:rsidRDefault="008C284F" w:rsidP="00E87F0D">
            <w:pPr>
              <w:rPr>
                <w:b/>
                <w:bCs/>
                <w:color w:val="000000"/>
                <w:szCs w:val="22"/>
              </w:rPr>
            </w:pPr>
            <w:r w:rsidRPr="00EC4120">
              <w:rPr>
                <w:b/>
                <w:bCs/>
                <w:color w:val="000000"/>
                <w:szCs w:val="22"/>
              </w:rPr>
              <w:t>Religion Total</w:t>
            </w:r>
          </w:p>
        </w:tc>
      </w:tr>
      <w:tr w:rsidR="008C284F" w:rsidRPr="00EC4120" w:rsidTr="00EE4E30">
        <w:trPr>
          <w:trHeight w:val="930"/>
        </w:trPr>
        <w:tc>
          <w:tcPr>
            <w:tcW w:w="14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8C284F" w:rsidRPr="00EC4120" w:rsidRDefault="008C284F" w:rsidP="00E87F0D">
            <w:pPr>
              <w:rPr>
                <w:color w:val="000000"/>
                <w:szCs w:val="22"/>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rsidR="008C284F" w:rsidRPr="00EC4120" w:rsidRDefault="008C284F" w:rsidP="00EE4E30">
            <w:pPr>
              <w:rPr>
                <w:color w:val="000000"/>
                <w:szCs w:val="22"/>
              </w:rPr>
            </w:pPr>
            <w:r w:rsidRPr="00EC4120">
              <w:rPr>
                <w:color w:val="000000"/>
                <w:szCs w:val="22"/>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8C284F" w:rsidRPr="00EC4120" w:rsidRDefault="008C284F" w:rsidP="00E87F0D">
            <w:pPr>
              <w:rPr>
                <w:color w:val="000000"/>
                <w:szCs w:val="22"/>
              </w:rPr>
            </w:pPr>
            <w:r w:rsidRPr="00EC4120">
              <w:rPr>
                <w:color w:val="000000"/>
                <w:szCs w:val="22"/>
              </w:rPr>
              <w:t>Catholic</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8C284F" w:rsidRPr="00EC4120" w:rsidRDefault="008C284F" w:rsidP="00E87F0D">
            <w:pPr>
              <w:rPr>
                <w:color w:val="000000"/>
                <w:szCs w:val="22"/>
              </w:rPr>
            </w:pPr>
            <w:r w:rsidRPr="00EC4120">
              <w:rPr>
                <w:color w:val="000000"/>
                <w:szCs w:val="22"/>
              </w:rPr>
              <w:t>Seventh Day Adventist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284F" w:rsidRPr="00EC4120" w:rsidRDefault="008C284F" w:rsidP="00E87F0D">
            <w:pPr>
              <w:rPr>
                <w:color w:val="000000"/>
                <w:szCs w:val="22"/>
              </w:rPr>
            </w:pPr>
            <w:r w:rsidRPr="00EC4120">
              <w:rPr>
                <w:color w:val="000000"/>
                <w:szCs w:val="22"/>
              </w:rPr>
              <w:t>Unspecified / Other Christian</w:t>
            </w:r>
          </w:p>
        </w:tc>
        <w:tc>
          <w:tcPr>
            <w:tcW w:w="826"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tcPr>
          <w:p w:rsidR="008C284F" w:rsidRPr="00EC4120" w:rsidRDefault="008C284F" w:rsidP="00E87F0D">
            <w:pPr>
              <w:rPr>
                <w:b/>
                <w:bCs/>
                <w:color w:val="000000"/>
                <w:szCs w:val="22"/>
              </w:rPr>
            </w:pPr>
          </w:p>
        </w:tc>
        <w:tc>
          <w:tcPr>
            <w:tcW w:w="794" w:type="dxa"/>
            <w:tcBorders>
              <w:top w:val="nil"/>
              <w:left w:val="nil"/>
              <w:bottom w:val="single" w:sz="8" w:space="0" w:color="auto"/>
              <w:right w:val="single" w:sz="8" w:space="0" w:color="auto"/>
            </w:tcBorders>
            <w:noWrap/>
            <w:tcMar>
              <w:top w:w="0" w:type="dxa"/>
              <w:left w:w="108" w:type="dxa"/>
              <w:bottom w:w="0" w:type="dxa"/>
              <w:right w:w="108" w:type="dxa"/>
            </w:tcMar>
          </w:tcPr>
          <w:p w:rsidR="008C284F" w:rsidRPr="00EC4120" w:rsidRDefault="008C284F" w:rsidP="00E87F0D">
            <w:pPr>
              <w:rPr>
                <w:color w:val="000000"/>
                <w:szCs w:val="22"/>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tcPr>
          <w:p w:rsidR="008C284F" w:rsidRPr="00EC4120" w:rsidRDefault="008C284F" w:rsidP="00E87F0D">
            <w:pPr>
              <w:rPr>
                <w:color w:val="000000"/>
                <w:szCs w:val="22"/>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tcPr>
          <w:p w:rsidR="008C284F" w:rsidRPr="00EC4120" w:rsidRDefault="008C284F" w:rsidP="00E87F0D">
            <w:pPr>
              <w:rPr>
                <w:color w:val="000000"/>
                <w:szCs w:val="22"/>
              </w:rPr>
            </w:pPr>
          </w:p>
        </w:tc>
        <w:tc>
          <w:tcPr>
            <w:tcW w:w="1366" w:type="dxa"/>
            <w:tcBorders>
              <w:top w:val="nil"/>
              <w:left w:val="nil"/>
              <w:bottom w:val="single" w:sz="8" w:space="0" w:color="auto"/>
              <w:right w:val="single" w:sz="8" w:space="0" w:color="auto"/>
            </w:tcBorders>
            <w:noWrap/>
            <w:tcMar>
              <w:top w:w="0" w:type="dxa"/>
              <w:left w:w="108" w:type="dxa"/>
              <w:bottom w:w="0" w:type="dxa"/>
              <w:right w:w="108" w:type="dxa"/>
            </w:tcMar>
          </w:tcPr>
          <w:p w:rsidR="008C284F" w:rsidRPr="00EC4120" w:rsidRDefault="008C284F" w:rsidP="00E87F0D">
            <w:pPr>
              <w:rPr>
                <w:color w:val="000000"/>
                <w:szCs w:val="22"/>
              </w:rPr>
            </w:pPr>
          </w:p>
        </w:tc>
        <w:tc>
          <w:tcPr>
            <w:tcW w:w="1084"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tcPr>
          <w:p w:rsidR="008C284F" w:rsidRPr="00EC4120" w:rsidRDefault="008C284F" w:rsidP="00E87F0D">
            <w:pPr>
              <w:rPr>
                <w:b/>
                <w:bCs/>
                <w:color w:val="000000"/>
                <w:szCs w:val="22"/>
              </w:rPr>
            </w:pPr>
          </w:p>
        </w:tc>
      </w:tr>
      <w:tr w:rsidR="008C284F" w:rsidRPr="00EC4120" w:rsidTr="00EE4E30">
        <w:trPr>
          <w:trHeight w:val="300"/>
        </w:trPr>
        <w:tc>
          <w:tcPr>
            <w:tcW w:w="14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rPr>
                <w:b/>
                <w:color w:val="000000"/>
                <w:szCs w:val="22"/>
              </w:rPr>
            </w:pPr>
            <w:r w:rsidRPr="00EC4120">
              <w:rPr>
                <w:b/>
                <w:color w:val="000000"/>
                <w:szCs w:val="22"/>
              </w:rPr>
              <w:t>2012-2013</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4</w:t>
            </w:r>
          </w:p>
        </w:tc>
        <w:tc>
          <w:tcPr>
            <w:tcW w:w="826"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8C284F" w:rsidRPr="00EC4120" w:rsidRDefault="008C284F" w:rsidP="00EC4120">
            <w:pPr>
              <w:jc w:val="center"/>
              <w:rPr>
                <w:b/>
                <w:bCs/>
                <w:color w:val="000000"/>
                <w:szCs w:val="22"/>
              </w:rPr>
            </w:pPr>
            <w:r w:rsidRPr="00EC4120">
              <w:rPr>
                <w:b/>
                <w:bCs/>
                <w:color w:val="000000"/>
                <w:szCs w:val="22"/>
              </w:rPr>
              <w:t>4</w:t>
            </w:r>
          </w:p>
        </w:tc>
        <w:tc>
          <w:tcPr>
            <w:tcW w:w="7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3</w:t>
            </w:r>
          </w:p>
        </w:tc>
        <w:tc>
          <w:tcPr>
            <w:tcW w:w="1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4</w:t>
            </w:r>
          </w:p>
        </w:tc>
        <w:tc>
          <w:tcPr>
            <w:tcW w:w="1084"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8C284F" w:rsidRPr="00EC4120" w:rsidRDefault="008C284F" w:rsidP="00EC4120">
            <w:pPr>
              <w:jc w:val="center"/>
              <w:rPr>
                <w:b/>
                <w:bCs/>
                <w:color w:val="000000"/>
                <w:szCs w:val="22"/>
              </w:rPr>
            </w:pPr>
            <w:r w:rsidRPr="00EC4120">
              <w:rPr>
                <w:b/>
                <w:bCs/>
                <w:color w:val="000000"/>
                <w:szCs w:val="22"/>
              </w:rPr>
              <w:t>12</w:t>
            </w:r>
          </w:p>
        </w:tc>
      </w:tr>
      <w:tr w:rsidR="008C284F" w:rsidRPr="00EC4120" w:rsidTr="00EE4E30">
        <w:trPr>
          <w:trHeight w:val="300"/>
        </w:trPr>
        <w:tc>
          <w:tcPr>
            <w:tcW w:w="14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rPr>
                <w:b/>
                <w:color w:val="000000"/>
                <w:szCs w:val="22"/>
              </w:rPr>
            </w:pPr>
            <w:r w:rsidRPr="00EC4120">
              <w:rPr>
                <w:b/>
                <w:color w:val="000000"/>
                <w:szCs w:val="22"/>
              </w:rPr>
              <w:t>2013-2014</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1</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1</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2</w:t>
            </w:r>
          </w:p>
        </w:tc>
        <w:tc>
          <w:tcPr>
            <w:tcW w:w="826"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8C284F" w:rsidRPr="00EC4120" w:rsidRDefault="008C284F" w:rsidP="00EC4120">
            <w:pPr>
              <w:jc w:val="center"/>
              <w:rPr>
                <w:b/>
                <w:bCs/>
                <w:color w:val="000000"/>
                <w:szCs w:val="22"/>
              </w:rPr>
            </w:pPr>
            <w:r w:rsidRPr="00EC4120">
              <w:rPr>
                <w:b/>
                <w:bCs/>
                <w:color w:val="000000"/>
                <w:szCs w:val="22"/>
              </w:rPr>
              <w:t>4</w:t>
            </w:r>
          </w:p>
        </w:tc>
        <w:tc>
          <w:tcPr>
            <w:tcW w:w="7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5</w:t>
            </w:r>
          </w:p>
        </w:tc>
        <w:tc>
          <w:tcPr>
            <w:tcW w:w="1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2</w:t>
            </w:r>
          </w:p>
        </w:tc>
        <w:tc>
          <w:tcPr>
            <w:tcW w:w="1084"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8C284F" w:rsidRPr="00EC4120" w:rsidRDefault="008C284F" w:rsidP="00EC4120">
            <w:pPr>
              <w:jc w:val="center"/>
              <w:rPr>
                <w:b/>
                <w:bCs/>
                <w:color w:val="000000"/>
                <w:szCs w:val="22"/>
              </w:rPr>
            </w:pPr>
            <w:r w:rsidRPr="00EC4120">
              <w:rPr>
                <w:b/>
                <w:bCs/>
                <w:color w:val="000000"/>
                <w:szCs w:val="22"/>
              </w:rPr>
              <w:t>12</w:t>
            </w:r>
          </w:p>
        </w:tc>
      </w:tr>
      <w:tr w:rsidR="008C284F" w:rsidRPr="00EC4120" w:rsidTr="00EE4E30">
        <w:trPr>
          <w:trHeight w:val="300"/>
        </w:trPr>
        <w:tc>
          <w:tcPr>
            <w:tcW w:w="14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rPr>
                <w:b/>
                <w:color w:val="000000"/>
                <w:szCs w:val="22"/>
              </w:rPr>
            </w:pPr>
            <w:r w:rsidRPr="00EC4120">
              <w:rPr>
                <w:b/>
                <w:color w:val="000000"/>
                <w:szCs w:val="22"/>
              </w:rPr>
              <w:t>2014-2015</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826"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8C284F" w:rsidRPr="00EC4120" w:rsidRDefault="008C284F" w:rsidP="00EC4120">
            <w:pPr>
              <w:jc w:val="center"/>
              <w:rPr>
                <w:b/>
                <w:bCs/>
                <w:color w:val="000000"/>
                <w:szCs w:val="22"/>
              </w:rPr>
            </w:pPr>
          </w:p>
        </w:tc>
        <w:tc>
          <w:tcPr>
            <w:tcW w:w="7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3</w:t>
            </w:r>
          </w:p>
        </w:tc>
        <w:tc>
          <w:tcPr>
            <w:tcW w:w="1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9</w:t>
            </w:r>
          </w:p>
        </w:tc>
        <w:tc>
          <w:tcPr>
            <w:tcW w:w="1084"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8C284F" w:rsidRPr="00EC4120" w:rsidRDefault="008C284F" w:rsidP="00EC4120">
            <w:pPr>
              <w:jc w:val="center"/>
              <w:rPr>
                <w:b/>
                <w:bCs/>
                <w:color w:val="000000"/>
                <w:szCs w:val="22"/>
              </w:rPr>
            </w:pPr>
            <w:r w:rsidRPr="00EC4120">
              <w:rPr>
                <w:b/>
                <w:bCs/>
                <w:color w:val="000000"/>
                <w:szCs w:val="22"/>
              </w:rPr>
              <w:t>13</w:t>
            </w:r>
          </w:p>
        </w:tc>
      </w:tr>
      <w:tr w:rsidR="008C284F" w:rsidRPr="00EC4120" w:rsidTr="00EE4E30">
        <w:trPr>
          <w:trHeight w:val="300"/>
        </w:trPr>
        <w:tc>
          <w:tcPr>
            <w:tcW w:w="14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rPr>
                <w:b/>
                <w:color w:val="000000"/>
                <w:szCs w:val="22"/>
              </w:rPr>
            </w:pPr>
            <w:r w:rsidRPr="00EC4120">
              <w:rPr>
                <w:b/>
                <w:color w:val="000000"/>
                <w:szCs w:val="22"/>
              </w:rPr>
              <w:t>2015-2016</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1</w:t>
            </w:r>
          </w:p>
        </w:tc>
        <w:tc>
          <w:tcPr>
            <w:tcW w:w="826"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8C284F" w:rsidRPr="00EC4120" w:rsidRDefault="008C284F" w:rsidP="00EC4120">
            <w:pPr>
              <w:jc w:val="center"/>
              <w:rPr>
                <w:b/>
                <w:bCs/>
                <w:color w:val="000000"/>
                <w:szCs w:val="22"/>
              </w:rPr>
            </w:pPr>
            <w:r w:rsidRPr="00EC4120">
              <w:rPr>
                <w:b/>
                <w:bCs/>
                <w:color w:val="000000"/>
                <w:szCs w:val="22"/>
              </w:rPr>
              <w:t>1</w:t>
            </w:r>
          </w:p>
        </w:tc>
        <w:tc>
          <w:tcPr>
            <w:tcW w:w="7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3</w:t>
            </w:r>
          </w:p>
        </w:tc>
        <w:tc>
          <w:tcPr>
            <w:tcW w:w="1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1</w:t>
            </w:r>
          </w:p>
        </w:tc>
        <w:tc>
          <w:tcPr>
            <w:tcW w:w="1084"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8C284F" w:rsidRPr="00EC4120" w:rsidRDefault="008C284F" w:rsidP="00EC4120">
            <w:pPr>
              <w:jc w:val="center"/>
              <w:rPr>
                <w:b/>
                <w:bCs/>
                <w:color w:val="000000"/>
                <w:szCs w:val="22"/>
              </w:rPr>
            </w:pPr>
            <w:r w:rsidRPr="00EC4120">
              <w:rPr>
                <w:b/>
                <w:bCs/>
                <w:color w:val="000000"/>
                <w:szCs w:val="22"/>
              </w:rPr>
              <w:t>5</w:t>
            </w:r>
          </w:p>
        </w:tc>
      </w:tr>
      <w:tr w:rsidR="008C284F" w:rsidRPr="00EC4120" w:rsidTr="00EE4E30">
        <w:trPr>
          <w:trHeight w:val="300"/>
        </w:trPr>
        <w:tc>
          <w:tcPr>
            <w:tcW w:w="14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rPr>
                <w:b/>
                <w:color w:val="000000"/>
                <w:szCs w:val="22"/>
              </w:rPr>
            </w:pPr>
            <w:r w:rsidRPr="00EC4120">
              <w:rPr>
                <w:b/>
                <w:color w:val="000000"/>
                <w:szCs w:val="22"/>
              </w:rPr>
              <w:t>2016-2017</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2</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2</w:t>
            </w:r>
          </w:p>
        </w:tc>
        <w:tc>
          <w:tcPr>
            <w:tcW w:w="826"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8C284F" w:rsidRPr="00EC4120" w:rsidRDefault="008C284F" w:rsidP="00EC4120">
            <w:pPr>
              <w:jc w:val="center"/>
              <w:rPr>
                <w:b/>
                <w:bCs/>
                <w:color w:val="000000"/>
                <w:szCs w:val="22"/>
              </w:rPr>
            </w:pPr>
            <w:r w:rsidRPr="00EC4120">
              <w:rPr>
                <w:b/>
                <w:bCs/>
                <w:color w:val="000000"/>
                <w:szCs w:val="22"/>
              </w:rPr>
              <w:t>4</w:t>
            </w:r>
          </w:p>
        </w:tc>
        <w:tc>
          <w:tcPr>
            <w:tcW w:w="7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1</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4</w:t>
            </w:r>
          </w:p>
        </w:tc>
        <w:tc>
          <w:tcPr>
            <w:tcW w:w="1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C284F" w:rsidRPr="00EC4120" w:rsidRDefault="008C284F" w:rsidP="00EC4120">
            <w:pPr>
              <w:jc w:val="center"/>
              <w:rPr>
                <w:color w:val="000000"/>
                <w:szCs w:val="22"/>
              </w:rPr>
            </w:pPr>
            <w:r w:rsidRPr="00EC4120">
              <w:rPr>
                <w:color w:val="000000"/>
                <w:szCs w:val="22"/>
              </w:rPr>
              <w:t>1</w:t>
            </w:r>
          </w:p>
        </w:tc>
        <w:tc>
          <w:tcPr>
            <w:tcW w:w="1084"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8C284F" w:rsidRPr="00EC4120" w:rsidRDefault="008C284F" w:rsidP="00EC4120">
            <w:pPr>
              <w:jc w:val="center"/>
              <w:rPr>
                <w:b/>
                <w:bCs/>
                <w:color w:val="000000"/>
                <w:szCs w:val="22"/>
              </w:rPr>
            </w:pPr>
            <w:r w:rsidRPr="00EC4120">
              <w:rPr>
                <w:b/>
                <w:bCs/>
                <w:color w:val="000000"/>
                <w:szCs w:val="22"/>
              </w:rPr>
              <w:t>10</w:t>
            </w:r>
          </w:p>
        </w:tc>
      </w:tr>
    </w:tbl>
    <w:p w:rsidR="001E41FB" w:rsidRPr="00EC4120" w:rsidRDefault="007B0D0E" w:rsidP="001E41FB">
      <w:pPr>
        <w:spacing w:before="240"/>
        <w:rPr>
          <w:rFonts w:cs="Arial"/>
          <w:b/>
          <w:sz w:val="24"/>
          <w:szCs w:val="24"/>
        </w:rPr>
      </w:pPr>
      <w:r>
        <w:rPr>
          <w:rFonts w:cs="Arial"/>
          <w:b/>
          <w:sz w:val="24"/>
          <w:szCs w:val="24"/>
        </w:rPr>
        <w:t>Table 5</w:t>
      </w:r>
      <w:r w:rsidR="001E41FB" w:rsidRPr="00EC4120">
        <w:rPr>
          <w:rFonts w:cs="Arial"/>
          <w:b/>
          <w:sz w:val="24"/>
          <w:szCs w:val="24"/>
        </w:rPr>
        <w:t>: Religious vilification complaints by religion</w:t>
      </w:r>
    </w:p>
    <w:tbl>
      <w:tblPr>
        <w:tblW w:w="9519" w:type="dxa"/>
        <w:tblCellMar>
          <w:left w:w="0" w:type="dxa"/>
          <w:right w:w="0" w:type="dxa"/>
        </w:tblCellMar>
        <w:tblLook w:val="04A0" w:firstRow="1" w:lastRow="0" w:firstColumn="1" w:lastColumn="0" w:noHBand="0" w:noVBand="1"/>
      </w:tblPr>
      <w:tblGrid>
        <w:gridCol w:w="1350"/>
        <w:gridCol w:w="1260"/>
        <w:gridCol w:w="1366"/>
        <w:gridCol w:w="1334"/>
        <w:gridCol w:w="1170"/>
        <w:gridCol w:w="1980"/>
        <w:gridCol w:w="1329"/>
      </w:tblGrid>
      <w:tr w:rsidR="001E41FB" w:rsidRPr="00EC4120" w:rsidTr="001E41FB">
        <w:trPr>
          <w:trHeight w:val="907"/>
        </w:trPr>
        <w:tc>
          <w:tcPr>
            <w:tcW w:w="1350" w:type="dxa"/>
            <w:noWrap/>
            <w:tcMar>
              <w:top w:w="0" w:type="dxa"/>
              <w:left w:w="108" w:type="dxa"/>
              <w:bottom w:w="0" w:type="dxa"/>
              <w:right w:w="108" w:type="dxa"/>
            </w:tcMar>
            <w:vAlign w:val="center"/>
            <w:hideMark/>
          </w:tcPr>
          <w:p w:rsidR="001E41FB" w:rsidRPr="00EC4120" w:rsidRDefault="001E41FB" w:rsidP="00EC4120">
            <w:pPr>
              <w:jc w:val="center"/>
              <w:rPr>
                <w:rFonts w:ascii="Times New Roman" w:hAnsi="Times New Roman"/>
                <w:color w:val="auto"/>
                <w:kern w:val="0"/>
                <w:szCs w:val="22"/>
                <w14:ligatures w14:val="none"/>
                <w14:cntxtAlts w14:val="0"/>
              </w:rPr>
            </w:pPr>
          </w:p>
        </w:tc>
        <w:tc>
          <w:tcPr>
            <w:tcW w:w="2626"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E41FB" w:rsidRPr="00EC4120" w:rsidRDefault="001E41FB" w:rsidP="00EC4120">
            <w:pPr>
              <w:jc w:val="center"/>
              <w:rPr>
                <w:rFonts w:ascii="Calibri" w:eastAsiaTheme="minorHAnsi" w:hAnsi="Calibri" w:cs="Calibri"/>
                <w:b/>
                <w:bCs/>
                <w:color w:val="000000"/>
                <w:szCs w:val="22"/>
              </w:rPr>
            </w:pPr>
            <w:r w:rsidRPr="00EC4120">
              <w:rPr>
                <w:b/>
                <w:bCs/>
                <w:color w:val="000000"/>
                <w:szCs w:val="22"/>
              </w:rPr>
              <w:t>Christian</w:t>
            </w:r>
          </w:p>
        </w:tc>
        <w:tc>
          <w:tcPr>
            <w:tcW w:w="13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1E41FB" w:rsidRPr="00EC4120" w:rsidRDefault="001E41FB" w:rsidP="00EC4120">
            <w:pPr>
              <w:jc w:val="center"/>
              <w:rPr>
                <w:b/>
                <w:bCs/>
                <w:color w:val="000000"/>
                <w:szCs w:val="22"/>
              </w:rPr>
            </w:pPr>
            <w:r w:rsidRPr="00EC4120">
              <w:rPr>
                <w:b/>
                <w:bCs/>
                <w:color w:val="000000"/>
                <w:szCs w:val="22"/>
              </w:rPr>
              <w:t>Christian Total</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41FB" w:rsidRPr="00EC4120" w:rsidRDefault="001E41FB" w:rsidP="00EC4120">
            <w:pPr>
              <w:jc w:val="center"/>
              <w:rPr>
                <w:b/>
                <w:bCs/>
                <w:color w:val="000000"/>
                <w:szCs w:val="22"/>
              </w:rPr>
            </w:pPr>
            <w:r w:rsidRPr="00EC4120">
              <w:rPr>
                <w:b/>
                <w:bCs/>
                <w:color w:val="000000"/>
                <w:szCs w:val="22"/>
              </w:rPr>
              <w:t>Muslim</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41FB" w:rsidRPr="00EC4120" w:rsidRDefault="001E41FB" w:rsidP="00EC4120">
            <w:pPr>
              <w:jc w:val="center"/>
              <w:rPr>
                <w:b/>
                <w:bCs/>
                <w:color w:val="000000"/>
                <w:szCs w:val="22"/>
              </w:rPr>
            </w:pPr>
            <w:r w:rsidRPr="00EC4120">
              <w:rPr>
                <w:b/>
                <w:bCs/>
                <w:color w:val="000000"/>
                <w:szCs w:val="22"/>
              </w:rPr>
              <w:t>Unspecified / Other Religion</w:t>
            </w:r>
          </w:p>
        </w:tc>
        <w:tc>
          <w:tcPr>
            <w:tcW w:w="10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1E41FB" w:rsidRPr="00EC4120" w:rsidRDefault="001E41FB" w:rsidP="00EC4120">
            <w:pPr>
              <w:jc w:val="center"/>
              <w:rPr>
                <w:b/>
                <w:bCs/>
                <w:color w:val="000000"/>
                <w:szCs w:val="22"/>
              </w:rPr>
            </w:pPr>
            <w:r w:rsidRPr="00EC4120">
              <w:rPr>
                <w:b/>
                <w:bCs/>
                <w:color w:val="000000"/>
                <w:szCs w:val="22"/>
              </w:rPr>
              <w:t>Vilification Total</w:t>
            </w:r>
          </w:p>
        </w:tc>
      </w:tr>
      <w:tr w:rsidR="001E41FB" w:rsidRPr="00EC4120" w:rsidTr="001E41FB">
        <w:trPr>
          <w:trHeight w:val="925"/>
        </w:trPr>
        <w:tc>
          <w:tcPr>
            <w:tcW w:w="1350" w:type="dxa"/>
            <w:noWrap/>
            <w:tcMar>
              <w:top w:w="0" w:type="dxa"/>
              <w:left w:w="108" w:type="dxa"/>
              <w:bottom w:w="0" w:type="dxa"/>
              <w:right w:w="108" w:type="dxa"/>
            </w:tcMar>
            <w:vAlign w:val="bottom"/>
            <w:hideMark/>
          </w:tcPr>
          <w:p w:rsidR="001E41FB" w:rsidRPr="00EC4120" w:rsidRDefault="001E41FB" w:rsidP="00EC4120">
            <w:pPr>
              <w:jc w:val="center"/>
              <w:rPr>
                <w:color w:val="000000"/>
                <w:szCs w:val="22"/>
              </w:rPr>
            </w:pPr>
          </w:p>
        </w:tc>
        <w:tc>
          <w:tcPr>
            <w:tcW w:w="1260" w:type="dxa"/>
            <w:tcBorders>
              <w:top w:val="nil"/>
              <w:left w:val="single" w:sz="8" w:space="0" w:color="auto"/>
              <w:bottom w:val="nil"/>
              <w:right w:val="single" w:sz="8" w:space="0" w:color="auto"/>
            </w:tcBorders>
            <w:tcMar>
              <w:top w:w="0" w:type="dxa"/>
              <w:left w:w="108" w:type="dxa"/>
              <w:bottom w:w="0" w:type="dxa"/>
              <w:right w:w="108" w:type="dxa"/>
            </w:tcMar>
            <w:hideMark/>
          </w:tcPr>
          <w:p w:rsidR="001E41FB" w:rsidRPr="00EC4120" w:rsidRDefault="001E41FB" w:rsidP="00EC4120">
            <w:pPr>
              <w:jc w:val="center"/>
              <w:rPr>
                <w:color w:val="000000"/>
                <w:szCs w:val="22"/>
              </w:rPr>
            </w:pPr>
            <w:r w:rsidRPr="00EC4120">
              <w:rPr>
                <w:color w:val="000000"/>
                <w:szCs w:val="22"/>
              </w:rPr>
              <w:t>Catholic</w:t>
            </w:r>
          </w:p>
        </w:tc>
        <w:tc>
          <w:tcPr>
            <w:tcW w:w="1366" w:type="dxa"/>
            <w:tcBorders>
              <w:top w:val="nil"/>
              <w:left w:val="nil"/>
              <w:bottom w:val="nil"/>
              <w:right w:val="single" w:sz="8" w:space="0" w:color="auto"/>
            </w:tcBorders>
            <w:tcMar>
              <w:top w:w="0" w:type="dxa"/>
              <w:left w:w="108" w:type="dxa"/>
              <w:bottom w:w="0" w:type="dxa"/>
              <w:right w:w="108" w:type="dxa"/>
            </w:tcMar>
            <w:hideMark/>
          </w:tcPr>
          <w:p w:rsidR="001E41FB" w:rsidRPr="00EC4120" w:rsidRDefault="001E41FB" w:rsidP="00EC4120">
            <w:pPr>
              <w:jc w:val="center"/>
              <w:rPr>
                <w:color w:val="000000"/>
                <w:szCs w:val="22"/>
              </w:rPr>
            </w:pPr>
            <w:r w:rsidRPr="00EC4120">
              <w:rPr>
                <w:color w:val="000000"/>
                <w:szCs w:val="22"/>
              </w:rPr>
              <w:t>Unspecified / Other Christian</w:t>
            </w:r>
          </w:p>
        </w:tc>
        <w:tc>
          <w:tcPr>
            <w:tcW w:w="1334" w:type="dxa"/>
            <w:tcBorders>
              <w:top w:val="nil"/>
              <w:left w:val="nil"/>
              <w:bottom w:val="nil"/>
              <w:right w:val="single" w:sz="8" w:space="0" w:color="auto"/>
            </w:tcBorders>
            <w:shd w:val="clear" w:color="auto" w:fill="D9D9D9" w:themeFill="background1" w:themeFillShade="D9"/>
            <w:tcMar>
              <w:top w:w="0" w:type="dxa"/>
              <w:left w:w="108" w:type="dxa"/>
              <w:bottom w:w="0" w:type="dxa"/>
              <w:right w:w="108" w:type="dxa"/>
            </w:tcMar>
            <w:hideMark/>
          </w:tcPr>
          <w:p w:rsidR="001E41FB" w:rsidRPr="00EC4120" w:rsidRDefault="001E41FB" w:rsidP="00EC4120">
            <w:pPr>
              <w:jc w:val="center"/>
              <w:rPr>
                <w:color w:val="000000"/>
                <w:szCs w:val="22"/>
              </w:rPr>
            </w:pPr>
          </w:p>
        </w:tc>
        <w:tc>
          <w:tcPr>
            <w:tcW w:w="1170" w:type="dxa"/>
            <w:tcBorders>
              <w:top w:val="nil"/>
              <w:left w:val="nil"/>
              <w:bottom w:val="nil"/>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p>
        </w:tc>
        <w:tc>
          <w:tcPr>
            <w:tcW w:w="1980" w:type="dxa"/>
            <w:tcBorders>
              <w:top w:val="nil"/>
              <w:left w:val="nil"/>
              <w:bottom w:val="nil"/>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p>
        </w:tc>
        <w:tc>
          <w:tcPr>
            <w:tcW w:w="1059" w:type="dxa"/>
            <w:tcBorders>
              <w:top w:val="nil"/>
              <w:left w:val="nil"/>
              <w:bottom w:val="nil"/>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E41FB" w:rsidRPr="00EC4120" w:rsidRDefault="001E41FB" w:rsidP="00EC4120">
            <w:pPr>
              <w:jc w:val="center"/>
              <w:rPr>
                <w:color w:val="000000"/>
                <w:szCs w:val="22"/>
              </w:rPr>
            </w:pPr>
          </w:p>
        </w:tc>
      </w:tr>
      <w:tr w:rsidR="001E41FB" w:rsidRPr="00EC4120" w:rsidTr="001E41FB">
        <w:trPr>
          <w:trHeight w:val="300"/>
        </w:trPr>
        <w:tc>
          <w:tcPr>
            <w:tcW w:w="13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b/>
                <w:color w:val="000000"/>
                <w:szCs w:val="22"/>
              </w:rPr>
            </w:pPr>
            <w:r w:rsidRPr="00EC4120">
              <w:rPr>
                <w:b/>
                <w:color w:val="000000"/>
                <w:szCs w:val="22"/>
              </w:rPr>
              <w:t>2012-2013</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1</w:t>
            </w:r>
          </w:p>
        </w:tc>
        <w:tc>
          <w:tcPr>
            <w:tcW w:w="13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1</w:t>
            </w:r>
          </w:p>
        </w:tc>
        <w:tc>
          <w:tcPr>
            <w:tcW w:w="13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2</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1</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2</w:t>
            </w:r>
          </w:p>
        </w:tc>
        <w:tc>
          <w:tcPr>
            <w:tcW w:w="1059"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E41FB" w:rsidRPr="007B0D0E" w:rsidRDefault="001E41FB" w:rsidP="00EC4120">
            <w:pPr>
              <w:jc w:val="center"/>
              <w:rPr>
                <w:b/>
                <w:color w:val="000000"/>
                <w:szCs w:val="22"/>
              </w:rPr>
            </w:pPr>
            <w:r w:rsidRPr="007B0D0E">
              <w:rPr>
                <w:b/>
                <w:color w:val="000000"/>
                <w:szCs w:val="22"/>
              </w:rPr>
              <w:t>5</w:t>
            </w:r>
          </w:p>
        </w:tc>
      </w:tr>
      <w:tr w:rsidR="001E41FB" w:rsidRPr="00EC4120" w:rsidTr="001E41FB">
        <w:trPr>
          <w:trHeight w:val="300"/>
        </w:trPr>
        <w:tc>
          <w:tcPr>
            <w:tcW w:w="1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b/>
                <w:color w:val="000000"/>
                <w:szCs w:val="22"/>
              </w:rPr>
            </w:pPr>
            <w:r w:rsidRPr="00EC4120">
              <w:rPr>
                <w:b/>
                <w:color w:val="000000"/>
                <w:szCs w:val="22"/>
              </w:rPr>
              <w:t>2013-2014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334"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1</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059"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E41FB" w:rsidRPr="007B0D0E" w:rsidRDefault="001E41FB" w:rsidP="00EC4120">
            <w:pPr>
              <w:jc w:val="center"/>
              <w:rPr>
                <w:b/>
                <w:color w:val="000000"/>
                <w:szCs w:val="22"/>
              </w:rPr>
            </w:pPr>
            <w:r w:rsidRPr="007B0D0E">
              <w:rPr>
                <w:b/>
                <w:color w:val="000000"/>
                <w:szCs w:val="22"/>
              </w:rPr>
              <w:t>1</w:t>
            </w:r>
          </w:p>
        </w:tc>
      </w:tr>
      <w:tr w:rsidR="001E41FB" w:rsidRPr="00EC4120" w:rsidTr="001E41FB">
        <w:trPr>
          <w:trHeight w:val="300"/>
        </w:trPr>
        <w:tc>
          <w:tcPr>
            <w:tcW w:w="1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b/>
                <w:color w:val="000000"/>
                <w:szCs w:val="22"/>
              </w:rPr>
            </w:pPr>
            <w:r w:rsidRPr="00EC4120">
              <w:rPr>
                <w:b/>
                <w:color w:val="000000"/>
                <w:szCs w:val="22"/>
              </w:rPr>
              <w:t>2014-2015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334"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3</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059"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E41FB" w:rsidRPr="007B0D0E" w:rsidRDefault="001E41FB" w:rsidP="00EC4120">
            <w:pPr>
              <w:jc w:val="center"/>
              <w:rPr>
                <w:b/>
                <w:color w:val="000000"/>
                <w:szCs w:val="22"/>
              </w:rPr>
            </w:pPr>
            <w:r w:rsidRPr="007B0D0E">
              <w:rPr>
                <w:b/>
                <w:color w:val="000000"/>
                <w:szCs w:val="22"/>
              </w:rPr>
              <w:t>3</w:t>
            </w:r>
          </w:p>
        </w:tc>
      </w:tr>
      <w:tr w:rsidR="001E41FB" w:rsidRPr="00EC4120" w:rsidTr="001E41FB">
        <w:trPr>
          <w:trHeight w:val="300"/>
        </w:trPr>
        <w:tc>
          <w:tcPr>
            <w:tcW w:w="1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b/>
                <w:color w:val="000000"/>
                <w:szCs w:val="22"/>
              </w:rPr>
            </w:pPr>
            <w:r w:rsidRPr="00EC4120">
              <w:rPr>
                <w:b/>
                <w:color w:val="000000"/>
                <w:szCs w:val="22"/>
              </w:rPr>
              <w:t>2015-2016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334"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w:t>
            </w:r>
          </w:p>
        </w:tc>
        <w:tc>
          <w:tcPr>
            <w:tcW w:w="1059"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E41FB" w:rsidRPr="007B0D0E" w:rsidRDefault="001E41FB" w:rsidP="00EC4120">
            <w:pPr>
              <w:jc w:val="center"/>
              <w:rPr>
                <w:b/>
                <w:color w:val="000000"/>
                <w:szCs w:val="22"/>
              </w:rPr>
            </w:pPr>
            <w:r w:rsidRPr="007B0D0E">
              <w:rPr>
                <w:b/>
                <w:color w:val="000000"/>
                <w:szCs w:val="22"/>
              </w:rPr>
              <w:t>0</w:t>
            </w:r>
          </w:p>
        </w:tc>
      </w:tr>
      <w:tr w:rsidR="001E41FB" w:rsidRPr="00EC4120" w:rsidTr="001E41FB">
        <w:trPr>
          <w:trHeight w:val="250"/>
        </w:trPr>
        <w:tc>
          <w:tcPr>
            <w:tcW w:w="1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b/>
                <w:color w:val="000000"/>
                <w:szCs w:val="22"/>
              </w:rPr>
            </w:pPr>
            <w:r w:rsidRPr="00EC4120">
              <w:rPr>
                <w:b/>
                <w:color w:val="000000"/>
                <w:szCs w:val="22"/>
              </w:rPr>
              <w:t>2016-2017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p>
        </w:tc>
        <w:tc>
          <w:tcPr>
            <w:tcW w:w="13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1</w:t>
            </w:r>
          </w:p>
        </w:tc>
        <w:tc>
          <w:tcPr>
            <w:tcW w:w="1334"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1</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r w:rsidRPr="00EC4120">
              <w:rPr>
                <w:color w:val="000000"/>
                <w:szCs w:val="22"/>
              </w:rPr>
              <w:t>1</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E41FB" w:rsidRPr="00EC4120" w:rsidRDefault="001E41FB" w:rsidP="00EC4120">
            <w:pPr>
              <w:jc w:val="center"/>
              <w:rPr>
                <w:color w:val="000000"/>
                <w:szCs w:val="22"/>
              </w:rPr>
            </w:pPr>
          </w:p>
        </w:tc>
        <w:tc>
          <w:tcPr>
            <w:tcW w:w="1059"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E41FB" w:rsidRPr="007B0D0E" w:rsidRDefault="001E41FB" w:rsidP="00EC4120">
            <w:pPr>
              <w:jc w:val="center"/>
              <w:rPr>
                <w:b/>
                <w:color w:val="000000"/>
                <w:szCs w:val="22"/>
              </w:rPr>
            </w:pPr>
            <w:r w:rsidRPr="007B0D0E">
              <w:rPr>
                <w:b/>
                <w:color w:val="000000"/>
                <w:szCs w:val="22"/>
              </w:rPr>
              <w:t>2</w:t>
            </w:r>
          </w:p>
        </w:tc>
      </w:tr>
    </w:tbl>
    <w:p w:rsidR="00E347C3" w:rsidRPr="00EC4120" w:rsidRDefault="00E347C3" w:rsidP="004A06AA">
      <w:pPr>
        <w:spacing w:before="0" w:after="0"/>
        <w:rPr>
          <w:rFonts w:cs="Arial"/>
          <w:sz w:val="24"/>
          <w:szCs w:val="24"/>
        </w:rPr>
      </w:pPr>
    </w:p>
    <w:sectPr w:rsidR="00E347C3" w:rsidRPr="00EC4120" w:rsidSect="001E41FB">
      <w:headerReference w:type="first" r:id="rId17"/>
      <w:pgSz w:w="16838" w:h="11906" w:orient="landscape" w:code="9"/>
      <w:pgMar w:top="432" w:right="1181" w:bottom="432" w:left="1886" w:header="28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120" w:rsidRDefault="00EC4120">
      <w:r>
        <w:separator/>
      </w:r>
    </w:p>
  </w:endnote>
  <w:endnote w:type="continuationSeparator" w:id="0">
    <w:p w:rsidR="00EC4120" w:rsidRDefault="00EC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20" w:rsidRDefault="00EC4120">
    <w:pPr>
      <w:pStyle w:val="Footer"/>
    </w:pPr>
    <w:r>
      <w:rPr>
        <w:noProof/>
      </w:rPr>
      <w:drawing>
        <wp:inline distT="0" distB="0" distL="0" distR="0" wp14:anchorId="5DE728F8" wp14:editId="081BA962">
          <wp:extent cx="5730875" cy="883920"/>
          <wp:effectExtent l="0" t="0" r="3175" b="0"/>
          <wp:docPr id="16" name="Picture 16" title="List of ADCQ office locations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8392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20" w:rsidRDefault="00EC4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20" w:rsidRDefault="00EC4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120" w:rsidRDefault="00EC4120">
      <w:r>
        <w:separator/>
      </w:r>
    </w:p>
  </w:footnote>
  <w:footnote w:type="continuationSeparator" w:id="0">
    <w:p w:rsidR="00EC4120" w:rsidRDefault="00EC4120">
      <w:r>
        <w:continuationSeparator/>
      </w:r>
    </w:p>
  </w:footnote>
  <w:footnote w:id="1">
    <w:p w:rsidR="00EC4120" w:rsidRPr="00BC5C48" w:rsidRDefault="00EC4120">
      <w:pPr>
        <w:pStyle w:val="FootnoteText"/>
        <w:rPr>
          <w:lang w:val="en-US"/>
        </w:rPr>
      </w:pPr>
      <w:r>
        <w:rPr>
          <w:rStyle w:val="FootnoteReference"/>
        </w:rPr>
        <w:footnoteRef/>
      </w:r>
      <w:r>
        <w:t xml:space="preserve"> </w:t>
      </w:r>
      <w:r>
        <w:rPr>
          <w:lang w:val="en-US"/>
        </w:rPr>
        <w:t>For work-related complaints, the tribunal is the Queensland Industrial Relations Commission.  For all other complaints, the tribunal is the Queensland Civil and Administrative Tribunal.</w:t>
      </w:r>
    </w:p>
  </w:footnote>
  <w:footnote w:id="2">
    <w:p w:rsidR="00EC4120" w:rsidRPr="000974BF" w:rsidRDefault="00EC4120" w:rsidP="001F45C3">
      <w:pPr>
        <w:pStyle w:val="FootnoteText"/>
        <w:rPr>
          <w:lang w:val="en-US"/>
        </w:rPr>
      </w:pPr>
      <w:r>
        <w:rPr>
          <w:rStyle w:val="FootnoteReference"/>
        </w:rPr>
        <w:footnoteRef/>
      </w:r>
      <w:r>
        <w:t xml:space="preserve"> </w:t>
      </w:r>
      <w:r w:rsidRPr="00A74986">
        <w:rPr>
          <w:rFonts w:cs="Arial"/>
          <w:i/>
        </w:rPr>
        <w:t>Anti-Discrimination Act 1991</w:t>
      </w:r>
      <w:r w:rsidRPr="00A74986">
        <w:rPr>
          <w:rFonts w:cs="Arial"/>
        </w:rPr>
        <w:t xml:space="preserve"> (Qld), section</w:t>
      </w:r>
      <w:r>
        <w:rPr>
          <w:rFonts w:cs="Arial"/>
        </w:rPr>
        <w:t xml:space="preserve"> 26.</w:t>
      </w:r>
    </w:p>
  </w:footnote>
  <w:footnote w:id="3">
    <w:p w:rsidR="00EC4120" w:rsidRPr="00752055" w:rsidRDefault="00EC4120" w:rsidP="001F45C3">
      <w:pPr>
        <w:pStyle w:val="FootnoteText"/>
        <w:rPr>
          <w:lang w:val="en-US"/>
        </w:rPr>
      </w:pPr>
      <w:r>
        <w:rPr>
          <w:rStyle w:val="FootnoteReference"/>
        </w:rPr>
        <w:footnoteRef/>
      </w:r>
      <w:r>
        <w:t xml:space="preserve"> </w:t>
      </w:r>
      <w:r w:rsidRPr="00A74986">
        <w:rPr>
          <w:rFonts w:cs="Arial"/>
          <w:i/>
        </w:rPr>
        <w:t>Anti-Discrimination Act 1991</w:t>
      </w:r>
      <w:r w:rsidRPr="00A74986">
        <w:rPr>
          <w:rFonts w:cs="Arial"/>
        </w:rPr>
        <w:t xml:space="preserve"> (Qld), section</w:t>
      </w:r>
      <w:r>
        <w:rPr>
          <w:rFonts w:cs="Arial"/>
        </w:rPr>
        <w:t xml:space="preserve"> 27.</w:t>
      </w:r>
    </w:p>
  </w:footnote>
  <w:footnote w:id="4">
    <w:p w:rsidR="00EC4120" w:rsidRPr="00752055" w:rsidRDefault="00EC4120" w:rsidP="001F45C3">
      <w:pPr>
        <w:pStyle w:val="FootnoteText"/>
        <w:rPr>
          <w:lang w:val="en-US"/>
        </w:rPr>
      </w:pPr>
      <w:r>
        <w:rPr>
          <w:rStyle w:val="FootnoteReference"/>
        </w:rPr>
        <w:footnoteRef/>
      </w:r>
      <w:r>
        <w:t xml:space="preserve"> </w:t>
      </w:r>
      <w:r w:rsidRPr="00A74986">
        <w:rPr>
          <w:rFonts w:cs="Arial"/>
          <w:i/>
        </w:rPr>
        <w:t>Anti-Discrimination Act 1991</w:t>
      </w:r>
      <w:r w:rsidRPr="00A74986">
        <w:rPr>
          <w:rFonts w:cs="Arial"/>
        </w:rPr>
        <w:t xml:space="preserve"> (Qld), section</w:t>
      </w:r>
      <w:r>
        <w:rPr>
          <w:rFonts w:cs="Arial"/>
        </w:rPr>
        <w:t xml:space="preserve"> 46(2).</w:t>
      </w:r>
    </w:p>
  </w:footnote>
  <w:footnote w:id="5">
    <w:p w:rsidR="00EC4120" w:rsidRPr="003F6CA5" w:rsidRDefault="00EC4120">
      <w:pPr>
        <w:pStyle w:val="FootnoteText"/>
        <w:rPr>
          <w:lang w:val="en-US"/>
        </w:rPr>
      </w:pPr>
      <w:r>
        <w:rPr>
          <w:rStyle w:val="FootnoteReference"/>
        </w:rPr>
        <w:footnoteRef/>
      </w:r>
      <w:r>
        <w:t xml:space="preserve"> </w:t>
      </w:r>
      <w:r>
        <w:rPr>
          <w:lang w:val="en-US"/>
        </w:rPr>
        <w:t>Ibid.</w:t>
      </w:r>
    </w:p>
  </w:footnote>
  <w:footnote w:id="6">
    <w:p w:rsidR="00EC4120" w:rsidRPr="00752055" w:rsidRDefault="00EC4120" w:rsidP="001F45C3">
      <w:pPr>
        <w:pStyle w:val="FootnoteText"/>
      </w:pPr>
      <w:r>
        <w:rPr>
          <w:rStyle w:val="FootnoteReference"/>
        </w:rPr>
        <w:footnoteRef/>
      </w:r>
      <w:r>
        <w:t xml:space="preserve"> </w:t>
      </w:r>
      <w:r w:rsidRPr="00A74986">
        <w:rPr>
          <w:rFonts w:cs="Arial"/>
          <w:i/>
        </w:rPr>
        <w:t>Anti-Discrimination Act 1991</w:t>
      </w:r>
      <w:r w:rsidRPr="00A74986">
        <w:rPr>
          <w:rFonts w:cs="Arial"/>
        </w:rPr>
        <w:t xml:space="preserve"> (Qld), section</w:t>
      </w:r>
      <w:r>
        <w:rPr>
          <w:rFonts w:cs="Arial"/>
        </w:rPr>
        <w:t>s 90 and 109.</w:t>
      </w:r>
    </w:p>
  </w:footnote>
  <w:footnote w:id="7">
    <w:p w:rsidR="00EC4120" w:rsidRPr="00120BFA" w:rsidRDefault="00EC4120">
      <w:pPr>
        <w:pStyle w:val="FootnoteText"/>
        <w:rPr>
          <w:lang w:val="en-US"/>
        </w:rPr>
      </w:pPr>
      <w:r>
        <w:rPr>
          <w:rStyle w:val="FootnoteReference"/>
        </w:rPr>
        <w:footnoteRef/>
      </w:r>
      <w:r>
        <w:t xml:space="preserve"> </w:t>
      </w:r>
      <w:r w:rsidRPr="00A74986">
        <w:rPr>
          <w:rFonts w:cs="Arial"/>
          <w:i/>
        </w:rPr>
        <w:t>Anti-Discrimination Act 1991</w:t>
      </w:r>
      <w:r w:rsidRPr="00A74986">
        <w:rPr>
          <w:rFonts w:cs="Arial"/>
        </w:rPr>
        <w:t xml:space="preserve"> (Qld), section</w:t>
      </w:r>
      <w:r>
        <w:rPr>
          <w:rFonts w:cs="Arial"/>
        </w:rPr>
        <w:t xml:space="preserve"> 109.</w:t>
      </w:r>
    </w:p>
  </w:footnote>
  <w:footnote w:id="8">
    <w:p w:rsidR="00EC4120" w:rsidRPr="00A74986" w:rsidRDefault="00EC4120" w:rsidP="00861CA8">
      <w:pPr>
        <w:pStyle w:val="FootnoteText"/>
        <w:rPr>
          <w:lang w:val="en-US"/>
        </w:rPr>
      </w:pPr>
      <w:r w:rsidRPr="00A74986">
        <w:rPr>
          <w:rStyle w:val="FootnoteReference"/>
        </w:rPr>
        <w:footnoteRef/>
      </w:r>
      <w:r w:rsidRPr="00A74986">
        <w:t xml:space="preserve"> </w:t>
      </w:r>
      <w:r w:rsidRPr="00A74986">
        <w:rPr>
          <w:rFonts w:cs="Arial"/>
          <w:i/>
        </w:rPr>
        <w:t>Anti-Discrimination Act 1991</w:t>
      </w:r>
      <w:r w:rsidRPr="00A74986">
        <w:rPr>
          <w:rFonts w:cs="Arial"/>
        </w:rPr>
        <w:t xml:space="preserve"> (Qld), section 41.</w:t>
      </w:r>
    </w:p>
  </w:footnote>
  <w:footnote w:id="9">
    <w:p w:rsidR="00EC4120" w:rsidRPr="00A74986" w:rsidRDefault="00EC4120" w:rsidP="00861CA8">
      <w:pPr>
        <w:pStyle w:val="FootnoteText"/>
        <w:rPr>
          <w:lang w:val="en-US"/>
        </w:rPr>
      </w:pPr>
      <w:r w:rsidRPr="00A74986">
        <w:rPr>
          <w:rStyle w:val="FootnoteReference"/>
        </w:rPr>
        <w:footnoteRef/>
      </w:r>
      <w:r w:rsidRPr="00A74986">
        <w:t xml:space="preserve"> </w:t>
      </w:r>
      <w:r w:rsidRPr="00A74986">
        <w:rPr>
          <w:rFonts w:cs="Arial"/>
          <w:i/>
        </w:rPr>
        <w:t>Anti-Discrimination Act 1991</w:t>
      </w:r>
      <w:r w:rsidRPr="00A74986">
        <w:rPr>
          <w:rFonts w:cs="Arial"/>
        </w:rPr>
        <w:t xml:space="preserve"> (Qld), section 89.</w:t>
      </w:r>
    </w:p>
  </w:footnote>
  <w:footnote w:id="10">
    <w:p w:rsidR="00EC4120" w:rsidRPr="0037569F" w:rsidRDefault="00EC4120" w:rsidP="0037569F">
      <w:pPr>
        <w:pStyle w:val="FootnoteText"/>
        <w:rPr>
          <w:lang w:val="en-US"/>
        </w:rPr>
      </w:pPr>
      <w:r>
        <w:rPr>
          <w:rStyle w:val="FootnoteReference"/>
        </w:rPr>
        <w:footnoteRef/>
      </w:r>
      <w:r>
        <w:t xml:space="preserve"> </w:t>
      </w:r>
      <w:r w:rsidRPr="00A74986">
        <w:rPr>
          <w:rFonts w:cs="Arial"/>
          <w:i/>
        </w:rPr>
        <w:t>Anti-Discrimination Act 1991</w:t>
      </w:r>
      <w:r w:rsidRPr="00A74986">
        <w:rPr>
          <w:rFonts w:cs="Arial"/>
        </w:rPr>
        <w:t xml:space="preserve"> (Qld), section</w:t>
      </w:r>
      <w:r>
        <w:rPr>
          <w:rFonts w:cs="Arial"/>
        </w:rPr>
        <w:t xml:space="preserve"> 25(2) to (8).</w:t>
      </w:r>
    </w:p>
  </w:footnote>
  <w:footnote w:id="11">
    <w:p w:rsidR="00EC4120" w:rsidRPr="006D2755" w:rsidRDefault="00EC4120" w:rsidP="006D2755">
      <w:pPr>
        <w:pStyle w:val="FootnoteText"/>
        <w:rPr>
          <w:lang w:val="en-US"/>
        </w:rPr>
      </w:pPr>
      <w:r>
        <w:rPr>
          <w:rStyle w:val="FootnoteReference"/>
        </w:rPr>
        <w:footnoteRef/>
      </w:r>
      <w:r>
        <w:t xml:space="preserve"> </w:t>
      </w:r>
      <w:r w:rsidRPr="00A74986">
        <w:rPr>
          <w:rFonts w:cs="Arial"/>
          <w:i/>
        </w:rPr>
        <w:t>Anti-Discrimination Act 1991</w:t>
      </w:r>
      <w:r w:rsidRPr="00A74986">
        <w:rPr>
          <w:rFonts w:cs="Arial"/>
        </w:rPr>
        <w:t xml:space="preserve"> (Qld), section</w:t>
      </w:r>
      <w:r>
        <w:rPr>
          <w:rFonts w:cs="Arial"/>
        </w:rPr>
        <w:t xml:space="preserve"> 48.</w:t>
      </w:r>
    </w:p>
  </w:footnote>
  <w:footnote w:id="12">
    <w:p w:rsidR="00EC4120" w:rsidRPr="000C1845" w:rsidRDefault="00EC4120" w:rsidP="000C1845">
      <w:pPr>
        <w:pStyle w:val="FootnoteText"/>
        <w:rPr>
          <w:lang w:val="en-US"/>
        </w:rPr>
      </w:pPr>
      <w:r>
        <w:rPr>
          <w:rStyle w:val="FootnoteReference"/>
        </w:rPr>
        <w:footnoteRef/>
      </w:r>
      <w:r>
        <w:t xml:space="preserve"> </w:t>
      </w:r>
      <w:r w:rsidRPr="00A74986">
        <w:rPr>
          <w:rFonts w:cs="Arial"/>
          <w:i/>
        </w:rPr>
        <w:t>Anti-Discrimination Act 1991</w:t>
      </w:r>
      <w:r w:rsidRPr="00A74986">
        <w:rPr>
          <w:rFonts w:cs="Arial"/>
        </w:rPr>
        <w:t xml:space="preserve"> (Qld), section</w:t>
      </w:r>
      <w:r>
        <w:rPr>
          <w:rFonts w:cs="Arial"/>
        </w:rPr>
        <w:t xml:space="preserve"> 80.</w:t>
      </w:r>
    </w:p>
  </w:footnote>
  <w:footnote w:id="13">
    <w:p w:rsidR="00EC4120" w:rsidRPr="00FD2283" w:rsidRDefault="00EC4120" w:rsidP="00FD2283">
      <w:pPr>
        <w:pStyle w:val="FootnoteText"/>
        <w:rPr>
          <w:lang w:val="en-US"/>
        </w:rPr>
      </w:pPr>
      <w:r>
        <w:rPr>
          <w:rStyle w:val="FootnoteReference"/>
        </w:rPr>
        <w:footnoteRef/>
      </w:r>
      <w:r>
        <w:t xml:space="preserve"> </w:t>
      </w:r>
      <w:r w:rsidRPr="00A74986">
        <w:rPr>
          <w:rFonts w:cs="Arial"/>
          <w:i/>
        </w:rPr>
        <w:t>Anti-Discrimination Act 1991</w:t>
      </w:r>
      <w:r w:rsidRPr="00A74986">
        <w:rPr>
          <w:rFonts w:cs="Arial"/>
        </w:rPr>
        <w:t xml:space="preserve"> (Qld), section</w:t>
      </w:r>
      <w:r>
        <w:rPr>
          <w:rFonts w:cs="Arial"/>
        </w:rPr>
        <w:t xml:space="preserve"> 124A.</w:t>
      </w:r>
    </w:p>
  </w:footnote>
  <w:footnote w:id="14">
    <w:p w:rsidR="00EC4120" w:rsidRPr="00FD2283" w:rsidRDefault="00EC4120">
      <w:pPr>
        <w:pStyle w:val="FootnoteText"/>
        <w:rPr>
          <w:lang w:val="en-US"/>
        </w:rPr>
      </w:pPr>
      <w:r>
        <w:rPr>
          <w:rStyle w:val="FootnoteReference"/>
        </w:rPr>
        <w:footnoteRef/>
      </w:r>
      <w:r>
        <w:t xml:space="preserve"> </w:t>
      </w:r>
      <w:r>
        <w:rPr>
          <w:i/>
          <w:lang w:val="en-US"/>
        </w:rPr>
        <w:t xml:space="preserve">Owen v Menzies; Bruce v Owen; Menzies v Owen </w:t>
      </w:r>
      <w:r>
        <w:rPr>
          <w:lang w:val="en-US"/>
        </w:rPr>
        <w:t>[2012] QCA 1170 (22 June 2012).</w:t>
      </w:r>
    </w:p>
  </w:footnote>
  <w:footnote w:id="15">
    <w:p w:rsidR="00EC4120" w:rsidRPr="00F92B8F" w:rsidRDefault="00EC4120">
      <w:pPr>
        <w:pStyle w:val="FootnoteText"/>
        <w:rPr>
          <w:lang w:val="en-US"/>
        </w:rPr>
      </w:pPr>
      <w:r>
        <w:rPr>
          <w:rStyle w:val="FootnoteReference"/>
        </w:rPr>
        <w:footnoteRef/>
      </w:r>
      <w:r>
        <w:t xml:space="preserve"> </w:t>
      </w:r>
      <w:r>
        <w:rPr>
          <w:lang w:val="en-US"/>
        </w:rPr>
        <w:t>[2001] QADT 20 (8 November 2001).</w:t>
      </w:r>
    </w:p>
  </w:footnote>
  <w:footnote w:id="16">
    <w:p w:rsidR="00EC4120" w:rsidRPr="00E928FC" w:rsidRDefault="00EC4120" w:rsidP="00E928FC">
      <w:pPr>
        <w:pStyle w:val="FootnoteText"/>
        <w:rPr>
          <w:lang w:val="en-US"/>
        </w:rPr>
      </w:pPr>
      <w:r>
        <w:rPr>
          <w:rStyle w:val="FootnoteReference"/>
        </w:rPr>
        <w:footnoteRef/>
      </w:r>
      <w:r>
        <w:t xml:space="preserve"> </w:t>
      </w:r>
      <w:r w:rsidRPr="00A74986">
        <w:rPr>
          <w:rFonts w:cs="Arial"/>
          <w:i/>
        </w:rPr>
        <w:t>Anti-Discrimination Act 1991</w:t>
      </w:r>
      <w:r w:rsidRPr="00A74986">
        <w:rPr>
          <w:rFonts w:cs="Arial"/>
        </w:rPr>
        <w:t xml:space="preserve"> (Qld), section</w:t>
      </w:r>
      <w:r>
        <w:rPr>
          <w:rFonts w:cs="Arial"/>
        </w:rPr>
        <w:t xml:space="preserve"> 131A.</w:t>
      </w:r>
    </w:p>
  </w:footnote>
  <w:footnote w:id="17">
    <w:p w:rsidR="00EC4120" w:rsidRPr="00D23F51" w:rsidRDefault="00EC4120">
      <w:pPr>
        <w:pStyle w:val="FootnoteText"/>
        <w:rPr>
          <w:lang w:val="en-US"/>
        </w:rPr>
      </w:pPr>
      <w:r>
        <w:rPr>
          <w:rStyle w:val="FootnoteReference"/>
        </w:rPr>
        <w:footnoteRef/>
      </w:r>
      <w:r>
        <w:t xml:space="preserve"> </w:t>
      </w:r>
      <w:r>
        <w:rPr>
          <w:lang w:val="en-US"/>
        </w:rPr>
        <w:t>For an individual, 70 penalty units; and for a company, and 350 penalty units.  A penalty unit is currently $126.15.</w:t>
      </w:r>
    </w:p>
  </w:footnote>
  <w:footnote w:id="18">
    <w:p w:rsidR="00EC4120" w:rsidRPr="003F66AE" w:rsidRDefault="00EC4120" w:rsidP="003F66AE">
      <w:pPr>
        <w:pStyle w:val="FootnoteText"/>
        <w:rPr>
          <w:lang w:val="en-US"/>
        </w:rPr>
      </w:pPr>
      <w:r>
        <w:rPr>
          <w:rStyle w:val="FootnoteReference"/>
        </w:rPr>
        <w:footnoteRef/>
      </w:r>
      <w:r>
        <w:t xml:space="preserve"> </w:t>
      </w:r>
      <w:r w:rsidRPr="00A74986">
        <w:rPr>
          <w:rFonts w:cs="Arial"/>
          <w:i/>
        </w:rPr>
        <w:t>Anti-Discrimination Act 1991</w:t>
      </w:r>
      <w:r w:rsidRPr="00A74986">
        <w:rPr>
          <w:rFonts w:cs="Arial"/>
        </w:rPr>
        <w:t xml:space="preserve"> (Qld), section</w:t>
      </w:r>
      <w:r>
        <w:rPr>
          <w:rFonts w:cs="Arial"/>
        </w:rPr>
        <w:t xml:space="preserve"> 136.in </w:t>
      </w:r>
    </w:p>
  </w:footnote>
  <w:footnote w:id="19">
    <w:p w:rsidR="00EC4120" w:rsidRPr="008C284F" w:rsidRDefault="00EC4120">
      <w:pPr>
        <w:pStyle w:val="FootnoteText"/>
        <w:rPr>
          <w:lang w:val="en-US"/>
        </w:rPr>
      </w:pPr>
      <w:r>
        <w:rPr>
          <w:rStyle w:val="FootnoteReference"/>
        </w:rPr>
        <w:footnoteRef/>
      </w:r>
      <w:r>
        <w:t xml:space="preserve"> </w:t>
      </w:r>
      <w:r>
        <w:rPr>
          <w:lang w:val="en-US"/>
        </w:rPr>
        <w:t>The Commission accepts approximately 60% of complaints that are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20" w:rsidRDefault="00EC4120">
    <w:pPr>
      <w:pStyle w:val="Header"/>
      <w:rPr>
        <w:bCs/>
        <w:sz w:val="20"/>
      </w:rPr>
    </w:pPr>
    <w:r>
      <w:rPr>
        <w:sz w:val="20"/>
      </w:rPr>
      <w:t>Religious Freedom Review</w:t>
    </w:r>
    <w:r>
      <w:rPr>
        <w:sz w:val="20"/>
      </w:rPr>
      <w:tab/>
    </w:r>
    <w:r>
      <w:rPr>
        <w:sz w:val="20"/>
      </w:rPr>
      <w:tab/>
    </w:r>
    <w:r w:rsidRPr="00270AA7">
      <w:rPr>
        <w:sz w:val="20"/>
      </w:rPr>
      <w:t xml:space="preserve">Page </w:t>
    </w:r>
    <w:r w:rsidRPr="00270AA7">
      <w:rPr>
        <w:bCs/>
        <w:sz w:val="20"/>
      </w:rPr>
      <w:fldChar w:fldCharType="begin"/>
    </w:r>
    <w:r w:rsidRPr="00270AA7">
      <w:rPr>
        <w:bCs/>
        <w:sz w:val="20"/>
      </w:rPr>
      <w:instrText xml:space="preserve"> PAGE  \* Arabic  \* MERGEFORMAT </w:instrText>
    </w:r>
    <w:r w:rsidRPr="00270AA7">
      <w:rPr>
        <w:bCs/>
        <w:sz w:val="20"/>
      </w:rPr>
      <w:fldChar w:fldCharType="separate"/>
    </w:r>
    <w:r w:rsidR="00EE151E">
      <w:rPr>
        <w:bCs/>
        <w:noProof/>
        <w:sz w:val="20"/>
      </w:rPr>
      <w:t>6</w:t>
    </w:r>
    <w:r w:rsidRPr="00270AA7">
      <w:rPr>
        <w:bCs/>
        <w:sz w:val="20"/>
      </w:rPr>
      <w:fldChar w:fldCharType="end"/>
    </w:r>
  </w:p>
  <w:p w:rsidR="00EC4120" w:rsidRPr="00270AA7" w:rsidRDefault="00EC4120" w:rsidP="00270AA7">
    <w:pPr>
      <w:pStyle w:val="Header"/>
      <w:pBdr>
        <w:top w:val="single" w:sz="4" w:space="1" w:color="auto"/>
      </w:pBd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20" w:rsidRDefault="00EC4120" w:rsidP="005034F1">
    <w:pPr>
      <w:pStyle w:val="Header"/>
      <w:ind w:hanging="426"/>
    </w:pPr>
    <w:r>
      <w:rPr>
        <w:noProof/>
      </w:rPr>
      <w:drawing>
        <wp:inline distT="0" distB="0" distL="0" distR="0" wp14:anchorId="303CB872" wp14:editId="247CAC35">
          <wp:extent cx="4291965" cy="609600"/>
          <wp:effectExtent l="0" t="0" r="0" b="0"/>
          <wp:docPr id="5" name="Picture 5"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1965" cy="609600"/>
                  </a:xfrm>
                  <a:prstGeom prst="rect">
                    <a:avLst/>
                  </a:prstGeom>
                  <a:noFill/>
                </pic:spPr>
              </pic:pic>
            </a:graphicData>
          </a:graphic>
        </wp:inline>
      </w:drawing>
    </w:r>
  </w:p>
  <w:p w:rsidR="00EC4120" w:rsidRDefault="00EC4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20" w:rsidRPr="00981F88" w:rsidRDefault="00EC4120" w:rsidP="00981F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20" w:rsidRPr="00033BF9" w:rsidRDefault="00EC4120" w:rsidP="00EE4E30">
    <w:pPr>
      <w:pStyle w:val="Header"/>
      <w:spacing w:before="0" w:after="0"/>
      <w:rPr>
        <w:b/>
        <w:sz w:val="32"/>
        <w:szCs w:val="32"/>
      </w:rPr>
    </w:pPr>
    <w:r w:rsidRPr="00033BF9">
      <w:rPr>
        <w:b/>
        <w:sz w:val="32"/>
        <w:szCs w:val="32"/>
      </w:rPr>
      <w:t xml:space="preserve">Appendix </w:t>
    </w:r>
    <w:r>
      <w:rPr>
        <w:b/>
        <w:sz w:val="32"/>
        <w:szCs w:val="32"/>
      </w:rPr>
      <w:t>A – Case s</w:t>
    </w:r>
    <w:r w:rsidRPr="00033BF9">
      <w:rPr>
        <w:b/>
        <w:sz w:val="32"/>
        <w:szCs w:val="32"/>
      </w:rPr>
      <w:t>tudies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20" w:rsidRPr="008C284F" w:rsidRDefault="00EC4120" w:rsidP="008C284F">
    <w:pPr>
      <w:pStyle w:val="Header"/>
      <w:spacing w:before="0" w:after="0"/>
      <w:ind w:hanging="270"/>
      <w:rPr>
        <w:b/>
        <w:sz w:val="32"/>
        <w:szCs w:val="32"/>
      </w:rPr>
    </w:pPr>
    <w:r w:rsidRPr="00033BF9">
      <w:rPr>
        <w:b/>
        <w:sz w:val="32"/>
        <w:szCs w:val="32"/>
      </w:rPr>
      <w:t xml:space="preserve">Appendix </w:t>
    </w:r>
    <w:r>
      <w:rPr>
        <w:b/>
        <w:sz w:val="32"/>
        <w:szCs w:val="32"/>
      </w:rPr>
      <w:t>B – Complaint statistics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20" w:rsidRPr="008C284F" w:rsidRDefault="00EC4120" w:rsidP="008C2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82"/>
    <w:multiLevelType w:val="hybridMultilevel"/>
    <w:tmpl w:val="1DAC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A0169"/>
    <w:multiLevelType w:val="hybridMultilevel"/>
    <w:tmpl w:val="A6B886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455826"/>
    <w:multiLevelType w:val="hybridMultilevel"/>
    <w:tmpl w:val="55F891EA"/>
    <w:lvl w:ilvl="0" w:tplc="6032E91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6DD319CF"/>
    <w:multiLevelType w:val="hybridMultilevel"/>
    <w:tmpl w:val="A6324D40"/>
    <w:lvl w:ilvl="0" w:tplc="5212EF52">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F1"/>
    <w:rsid w:val="0000019B"/>
    <w:rsid w:val="00000A42"/>
    <w:rsid w:val="00001726"/>
    <w:rsid w:val="00001E36"/>
    <w:rsid w:val="00011289"/>
    <w:rsid w:val="0001660A"/>
    <w:rsid w:val="00017B8B"/>
    <w:rsid w:val="00021B77"/>
    <w:rsid w:val="00021CB3"/>
    <w:rsid w:val="00022CFE"/>
    <w:rsid w:val="0002407A"/>
    <w:rsid w:val="000255AA"/>
    <w:rsid w:val="00026C2A"/>
    <w:rsid w:val="0003167D"/>
    <w:rsid w:val="00033BF9"/>
    <w:rsid w:val="00034426"/>
    <w:rsid w:val="00035813"/>
    <w:rsid w:val="0003738B"/>
    <w:rsid w:val="000436B1"/>
    <w:rsid w:val="00043ACE"/>
    <w:rsid w:val="000444CA"/>
    <w:rsid w:val="00044AB9"/>
    <w:rsid w:val="00044DC8"/>
    <w:rsid w:val="00046BA5"/>
    <w:rsid w:val="00050811"/>
    <w:rsid w:val="0005257E"/>
    <w:rsid w:val="00055999"/>
    <w:rsid w:val="00056179"/>
    <w:rsid w:val="0005625F"/>
    <w:rsid w:val="0006292C"/>
    <w:rsid w:val="000758B1"/>
    <w:rsid w:val="00075E15"/>
    <w:rsid w:val="0008355C"/>
    <w:rsid w:val="00084A79"/>
    <w:rsid w:val="00084C56"/>
    <w:rsid w:val="00085838"/>
    <w:rsid w:val="00091F40"/>
    <w:rsid w:val="000923B4"/>
    <w:rsid w:val="0009438A"/>
    <w:rsid w:val="00094907"/>
    <w:rsid w:val="000955CA"/>
    <w:rsid w:val="000A0941"/>
    <w:rsid w:val="000A1844"/>
    <w:rsid w:val="000A60AF"/>
    <w:rsid w:val="000A68BE"/>
    <w:rsid w:val="000A6A45"/>
    <w:rsid w:val="000A6C8F"/>
    <w:rsid w:val="000B5115"/>
    <w:rsid w:val="000B564A"/>
    <w:rsid w:val="000B5B10"/>
    <w:rsid w:val="000B7DE2"/>
    <w:rsid w:val="000C0356"/>
    <w:rsid w:val="000C1845"/>
    <w:rsid w:val="000C2800"/>
    <w:rsid w:val="000C365D"/>
    <w:rsid w:val="000C3B16"/>
    <w:rsid w:val="000C3C85"/>
    <w:rsid w:val="000C443A"/>
    <w:rsid w:val="000C68B7"/>
    <w:rsid w:val="000C6BA9"/>
    <w:rsid w:val="000D1452"/>
    <w:rsid w:val="000D2137"/>
    <w:rsid w:val="000D2957"/>
    <w:rsid w:val="000D624C"/>
    <w:rsid w:val="000D6F19"/>
    <w:rsid w:val="000E0027"/>
    <w:rsid w:val="000E2E5F"/>
    <w:rsid w:val="000E4806"/>
    <w:rsid w:val="000E63ED"/>
    <w:rsid w:val="000E6B4E"/>
    <w:rsid w:val="000E7485"/>
    <w:rsid w:val="000F1F01"/>
    <w:rsid w:val="000F6F0B"/>
    <w:rsid w:val="00100BA2"/>
    <w:rsid w:val="001015B8"/>
    <w:rsid w:val="00101886"/>
    <w:rsid w:val="0010204E"/>
    <w:rsid w:val="00104C79"/>
    <w:rsid w:val="00111043"/>
    <w:rsid w:val="001117C3"/>
    <w:rsid w:val="0011397B"/>
    <w:rsid w:val="00116845"/>
    <w:rsid w:val="00120BFA"/>
    <w:rsid w:val="001217F7"/>
    <w:rsid w:val="0012585A"/>
    <w:rsid w:val="00125C2C"/>
    <w:rsid w:val="001304AB"/>
    <w:rsid w:val="001315F3"/>
    <w:rsid w:val="00132D68"/>
    <w:rsid w:val="0013570E"/>
    <w:rsid w:val="00135AAF"/>
    <w:rsid w:val="00141B78"/>
    <w:rsid w:val="0016012F"/>
    <w:rsid w:val="0016451E"/>
    <w:rsid w:val="001669A4"/>
    <w:rsid w:val="00170BB7"/>
    <w:rsid w:val="00175DA5"/>
    <w:rsid w:val="0017757F"/>
    <w:rsid w:val="00177F8B"/>
    <w:rsid w:val="001823D5"/>
    <w:rsid w:val="00182A29"/>
    <w:rsid w:val="001900BF"/>
    <w:rsid w:val="00190317"/>
    <w:rsid w:val="0019074F"/>
    <w:rsid w:val="00191C62"/>
    <w:rsid w:val="0019445D"/>
    <w:rsid w:val="00194D21"/>
    <w:rsid w:val="0019563D"/>
    <w:rsid w:val="001A3F82"/>
    <w:rsid w:val="001A63C1"/>
    <w:rsid w:val="001B1EEE"/>
    <w:rsid w:val="001B31AD"/>
    <w:rsid w:val="001B324D"/>
    <w:rsid w:val="001B4B3B"/>
    <w:rsid w:val="001B56A5"/>
    <w:rsid w:val="001B6D46"/>
    <w:rsid w:val="001C332D"/>
    <w:rsid w:val="001C6B68"/>
    <w:rsid w:val="001C706E"/>
    <w:rsid w:val="001D7746"/>
    <w:rsid w:val="001E003E"/>
    <w:rsid w:val="001E17DF"/>
    <w:rsid w:val="001E1E03"/>
    <w:rsid w:val="001E41FB"/>
    <w:rsid w:val="001E5E0A"/>
    <w:rsid w:val="001F06A8"/>
    <w:rsid w:val="001F1C58"/>
    <w:rsid w:val="001F1C62"/>
    <w:rsid w:val="001F42F9"/>
    <w:rsid w:val="001F45C3"/>
    <w:rsid w:val="001F5E47"/>
    <w:rsid w:val="00200D0A"/>
    <w:rsid w:val="00205EEE"/>
    <w:rsid w:val="0020694B"/>
    <w:rsid w:val="002127BA"/>
    <w:rsid w:val="0021319B"/>
    <w:rsid w:val="00214FDD"/>
    <w:rsid w:val="00222A34"/>
    <w:rsid w:val="002247EE"/>
    <w:rsid w:val="00230261"/>
    <w:rsid w:val="00230B5E"/>
    <w:rsid w:val="002347FF"/>
    <w:rsid w:val="00240A3B"/>
    <w:rsid w:val="00241501"/>
    <w:rsid w:val="00241D9D"/>
    <w:rsid w:val="00245EC7"/>
    <w:rsid w:val="0024640A"/>
    <w:rsid w:val="002479CC"/>
    <w:rsid w:val="00251F96"/>
    <w:rsid w:val="00255599"/>
    <w:rsid w:val="0025622A"/>
    <w:rsid w:val="002577DF"/>
    <w:rsid w:val="00263314"/>
    <w:rsid w:val="00270AA7"/>
    <w:rsid w:val="002731DA"/>
    <w:rsid w:val="00274D6A"/>
    <w:rsid w:val="002802D0"/>
    <w:rsid w:val="00281A52"/>
    <w:rsid w:val="00281A81"/>
    <w:rsid w:val="002825BA"/>
    <w:rsid w:val="00283B19"/>
    <w:rsid w:val="00284090"/>
    <w:rsid w:val="00285495"/>
    <w:rsid w:val="0028610C"/>
    <w:rsid w:val="002920A1"/>
    <w:rsid w:val="002921A2"/>
    <w:rsid w:val="00296A16"/>
    <w:rsid w:val="002A0320"/>
    <w:rsid w:val="002A0529"/>
    <w:rsid w:val="002A155C"/>
    <w:rsid w:val="002A163F"/>
    <w:rsid w:val="002A2C36"/>
    <w:rsid w:val="002A2D51"/>
    <w:rsid w:val="002A31FE"/>
    <w:rsid w:val="002A4505"/>
    <w:rsid w:val="002A54A2"/>
    <w:rsid w:val="002B1E03"/>
    <w:rsid w:val="002B2DF7"/>
    <w:rsid w:val="002C5BCB"/>
    <w:rsid w:val="002D0858"/>
    <w:rsid w:val="002D2336"/>
    <w:rsid w:val="002D3074"/>
    <w:rsid w:val="002D53D7"/>
    <w:rsid w:val="002D5412"/>
    <w:rsid w:val="002D597B"/>
    <w:rsid w:val="002D5AF6"/>
    <w:rsid w:val="002D5CF8"/>
    <w:rsid w:val="002E0D75"/>
    <w:rsid w:val="002E22B0"/>
    <w:rsid w:val="002E2EED"/>
    <w:rsid w:val="002E6627"/>
    <w:rsid w:val="002E6F02"/>
    <w:rsid w:val="002E7F41"/>
    <w:rsid w:val="002F0800"/>
    <w:rsid w:val="002F71A9"/>
    <w:rsid w:val="00302CA9"/>
    <w:rsid w:val="00303766"/>
    <w:rsid w:val="00304382"/>
    <w:rsid w:val="003063BE"/>
    <w:rsid w:val="0030666B"/>
    <w:rsid w:val="00306C25"/>
    <w:rsid w:val="00307559"/>
    <w:rsid w:val="00311D92"/>
    <w:rsid w:val="00312C08"/>
    <w:rsid w:val="00314979"/>
    <w:rsid w:val="00314A9B"/>
    <w:rsid w:val="003156AF"/>
    <w:rsid w:val="00322B33"/>
    <w:rsid w:val="00323FEF"/>
    <w:rsid w:val="0032443C"/>
    <w:rsid w:val="00326AE0"/>
    <w:rsid w:val="00326E92"/>
    <w:rsid w:val="00327D5B"/>
    <w:rsid w:val="003300A9"/>
    <w:rsid w:val="00334A83"/>
    <w:rsid w:val="003357B6"/>
    <w:rsid w:val="0033686A"/>
    <w:rsid w:val="003436E6"/>
    <w:rsid w:val="00344975"/>
    <w:rsid w:val="00345260"/>
    <w:rsid w:val="003517D4"/>
    <w:rsid w:val="0035231A"/>
    <w:rsid w:val="00355D33"/>
    <w:rsid w:val="00356DE8"/>
    <w:rsid w:val="00362104"/>
    <w:rsid w:val="00363FD9"/>
    <w:rsid w:val="00370D69"/>
    <w:rsid w:val="003717C6"/>
    <w:rsid w:val="00374EDB"/>
    <w:rsid w:val="0037569F"/>
    <w:rsid w:val="00375DD6"/>
    <w:rsid w:val="00377558"/>
    <w:rsid w:val="003778C0"/>
    <w:rsid w:val="00380D78"/>
    <w:rsid w:val="003832FE"/>
    <w:rsid w:val="0038337A"/>
    <w:rsid w:val="00384877"/>
    <w:rsid w:val="003849AD"/>
    <w:rsid w:val="00384A8A"/>
    <w:rsid w:val="00391566"/>
    <w:rsid w:val="0039503B"/>
    <w:rsid w:val="00395CBD"/>
    <w:rsid w:val="0039686A"/>
    <w:rsid w:val="003A274F"/>
    <w:rsid w:val="003A6A47"/>
    <w:rsid w:val="003A6B67"/>
    <w:rsid w:val="003B588A"/>
    <w:rsid w:val="003B5ACE"/>
    <w:rsid w:val="003B7781"/>
    <w:rsid w:val="003B7D31"/>
    <w:rsid w:val="003C127C"/>
    <w:rsid w:val="003C2555"/>
    <w:rsid w:val="003C3534"/>
    <w:rsid w:val="003C3F44"/>
    <w:rsid w:val="003C4FB0"/>
    <w:rsid w:val="003C55C5"/>
    <w:rsid w:val="003D18B4"/>
    <w:rsid w:val="003D2464"/>
    <w:rsid w:val="003D3458"/>
    <w:rsid w:val="003D375A"/>
    <w:rsid w:val="003E1D97"/>
    <w:rsid w:val="003E6496"/>
    <w:rsid w:val="003E7D4E"/>
    <w:rsid w:val="003F2612"/>
    <w:rsid w:val="003F3CB6"/>
    <w:rsid w:val="003F438D"/>
    <w:rsid w:val="003F6520"/>
    <w:rsid w:val="003F66AE"/>
    <w:rsid w:val="003F6CA5"/>
    <w:rsid w:val="003F7D62"/>
    <w:rsid w:val="003F7FFD"/>
    <w:rsid w:val="00401BEC"/>
    <w:rsid w:val="00403F4F"/>
    <w:rsid w:val="004050F6"/>
    <w:rsid w:val="00405741"/>
    <w:rsid w:val="00405B77"/>
    <w:rsid w:val="00411C6A"/>
    <w:rsid w:val="00413AF7"/>
    <w:rsid w:val="00414833"/>
    <w:rsid w:val="00415F6C"/>
    <w:rsid w:val="0041623D"/>
    <w:rsid w:val="00416812"/>
    <w:rsid w:val="004218E8"/>
    <w:rsid w:val="00424B4C"/>
    <w:rsid w:val="00426410"/>
    <w:rsid w:val="00427DB6"/>
    <w:rsid w:val="00427EDC"/>
    <w:rsid w:val="00430E59"/>
    <w:rsid w:val="00433286"/>
    <w:rsid w:val="0043381D"/>
    <w:rsid w:val="00447465"/>
    <w:rsid w:val="004478DA"/>
    <w:rsid w:val="00450F22"/>
    <w:rsid w:val="004517BD"/>
    <w:rsid w:val="004538FA"/>
    <w:rsid w:val="00454155"/>
    <w:rsid w:val="0045558E"/>
    <w:rsid w:val="00456C83"/>
    <w:rsid w:val="00457C1B"/>
    <w:rsid w:val="00457EA3"/>
    <w:rsid w:val="00460C14"/>
    <w:rsid w:val="00461A05"/>
    <w:rsid w:val="00461DA0"/>
    <w:rsid w:val="00462144"/>
    <w:rsid w:val="00462C5D"/>
    <w:rsid w:val="00466C9F"/>
    <w:rsid w:val="004670F9"/>
    <w:rsid w:val="00475D96"/>
    <w:rsid w:val="00475FF4"/>
    <w:rsid w:val="004813C4"/>
    <w:rsid w:val="004833E0"/>
    <w:rsid w:val="0048451E"/>
    <w:rsid w:val="004962BA"/>
    <w:rsid w:val="00496A11"/>
    <w:rsid w:val="0049735F"/>
    <w:rsid w:val="00497B74"/>
    <w:rsid w:val="004A06AA"/>
    <w:rsid w:val="004A7318"/>
    <w:rsid w:val="004B3081"/>
    <w:rsid w:val="004B375E"/>
    <w:rsid w:val="004B60DD"/>
    <w:rsid w:val="004C0AF8"/>
    <w:rsid w:val="004C0B64"/>
    <w:rsid w:val="004C1E7C"/>
    <w:rsid w:val="004C224D"/>
    <w:rsid w:val="004C2E9B"/>
    <w:rsid w:val="004C378D"/>
    <w:rsid w:val="004C63C4"/>
    <w:rsid w:val="004D1010"/>
    <w:rsid w:val="004D2E59"/>
    <w:rsid w:val="004D3F5D"/>
    <w:rsid w:val="004D4015"/>
    <w:rsid w:val="004D4F51"/>
    <w:rsid w:val="004D582F"/>
    <w:rsid w:val="004D62F3"/>
    <w:rsid w:val="004D6A3B"/>
    <w:rsid w:val="004D6C60"/>
    <w:rsid w:val="004E2745"/>
    <w:rsid w:val="004E5BBD"/>
    <w:rsid w:val="005005F7"/>
    <w:rsid w:val="005034F1"/>
    <w:rsid w:val="005037DD"/>
    <w:rsid w:val="005045AC"/>
    <w:rsid w:val="00507039"/>
    <w:rsid w:val="00507E1A"/>
    <w:rsid w:val="00514CB3"/>
    <w:rsid w:val="00523B23"/>
    <w:rsid w:val="0052672A"/>
    <w:rsid w:val="00530FD0"/>
    <w:rsid w:val="00531819"/>
    <w:rsid w:val="00533C0C"/>
    <w:rsid w:val="0053520F"/>
    <w:rsid w:val="005363C1"/>
    <w:rsid w:val="00537DE7"/>
    <w:rsid w:val="005419E2"/>
    <w:rsid w:val="00550201"/>
    <w:rsid w:val="005535B1"/>
    <w:rsid w:val="00554432"/>
    <w:rsid w:val="0055468A"/>
    <w:rsid w:val="00563015"/>
    <w:rsid w:val="00565E60"/>
    <w:rsid w:val="00566C61"/>
    <w:rsid w:val="0056726F"/>
    <w:rsid w:val="00571939"/>
    <w:rsid w:val="0058388F"/>
    <w:rsid w:val="00583A8D"/>
    <w:rsid w:val="00587C5B"/>
    <w:rsid w:val="00594391"/>
    <w:rsid w:val="005952D3"/>
    <w:rsid w:val="005A2191"/>
    <w:rsid w:val="005A2ECB"/>
    <w:rsid w:val="005A55E1"/>
    <w:rsid w:val="005B1923"/>
    <w:rsid w:val="005B2EA3"/>
    <w:rsid w:val="005B51EA"/>
    <w:rsid w:val="005B7867"/>
    <w:rsid w:val="005C2881"/>
    <w:rsid w:val="005C2F0B"/>
    <w:rsid w:val="005C33A0"/>
    <w:rsid w:val="005C756A"/>
    <w:rsid w:val="005D2B49"/>
    <w:rsid w:val="005D55C8"/>
    <w:rsid w:val="005D5820"/>
    <w:rsid w:val="005D59EC"/>
    <w:rsid w:val="005D5ED0"/>
    <w:rsid w:val="005D61CF"/>
    <w:rsid w:val="005E35D0"/>
    <w:rsid w:val="005E7080"/>
    <w:rsid w:val="005F07D5"/>
    <w:rsid w:val="005F0976"/>
    <w:rsid w:val="005F0AB1"/>
    <w:rsid w:val="005F58B5"/>
    <w:rsid w:val="005F625D"/>
    <w:rsid w:val="006003DB"/>
    <w:rsid w:val="00602470"/>
    <w:rsid w:val="00602F7F"/>
    <w:rsid w:val="00610FEE"/>
    <w:rsid w:val="0061208F"/>
    <w:rsid w:val="00613A57"/>
    <w:rsid w:val="0062111E"/>
    <w:rsid w:val="00621C0B"/>
    <w:rsid w:val="00622084"/>
    <w:rsid w:val="00626E4D"/>
    <w:rsid w:val="006276D6"/>
    <w:rsid w:val="00632ADC"/>
    <w:rsid w:val="00640A1B"/>
    <w:rsid w:val="00641D05"/>
    <w:rsid w:val="0064465C"/>
    <w:rsid w:val="00646CA7"/>
    <w:rsid w:val="006504CD"/>
    <w:rsid w:val="0065244D"/>
    <w:rsid w:val="00655100"/>
    <w:rsid w:val="00655E0A"/>
    <w:rsid w:val="006607F2"/>
    <w:rsid w:val="006624F8"/>
    <w:rsid w:val="00665168"/>
    <w:rsid w:val="00665ADC"/>
    <w:rsid w:val="006669FE"/>
    <w:rsid w:val="00672160"/>
    <w:rsid w:val="00672CE4"/>
    <w:rsid w:val="006730FA"/>
    <w:rsid w:val="00681647"/>
    <w:rsid w:val="00682B00"/>
    <w:rsid w:val="00683308"/>
    <w:rsid w:val="00686128"/>
    <w:rsid w:val="00686568"/>
    <w:rsid w:val="006866F1"/>
    <w:rsid w:val="00697DA7"/>
    <w:rsid w:val="006A0ADA"/>
    <w:rsid w:val="006A0FC8"/>
    <w:rsid w:val="006A4B34"/>
    <w:rsid w:val="006A7F1F"/>
    <w:rsid w:val="006B0908"/>
    <w:rsid w:val="006B1069"/>
    <w:rsid w:val="006B545C"/>
    <w:rsid w:val="006C2826"/>
    <w:rsid w:val="006C2A3E"/>
    <w:rsid w:val="006D04FF"/>
    <w:rsid w:val="006D1EA6"/>
    <w:rsid w:val="006D2755"/>
    <w:rsid w:val="006D2D7B"/>
    <w:rsid w:val="006D3058"/>
    <w:rsid w:val="006E0858"/>
    <w:rsid w:val="006E10E5"/>
    <w:rsid w:val="006E1EF2"/>
    <w:rsid w:val="006E2A1B"/>
    <w:rsid w:val="006E5819"/>
    <w:rsid w:val="006E5A1B"/>
    <w:rsid w:val="006F0A19"/>
    <w:rsid w:val="006F0E69"/>
    <w:rsid w:val="006F1529"/>
    <w:rsid w:val="006F3DC3"/>
    <w:rsid w:val="006F43EA"/>
    <w:rsid w:val="006F56AE"/>
    <w:rsid w:val="006F6DE8"/>
    <w:rsid w:val="007014ED"/>
    <w:rsid w:val="007031FE"/>
    <w:rsid w:val="00704E9B"/>
    <w:rsid w:val="00705E8B"/>
    <w:rsid w:val="007103FE"/>
    <w:rsid w:val="00715619"/>
    <w:rsid w:val="007166CF"/>
    <w:rsid w:val="00722571"/>
    <w:rsid w:val="0072334C"/>
    <w:rsid w:val="00723E2D"/>
    <w:rsid w:val="00723ED0"/>
    <w:rsid w:val="00734171"/>
    <w:rsid w:val="0073589C"/>
    <w:rsid w:val="00736D19"/>
    <w:rsid w:val="00741659"/>
    <w:rsid w:val="00743F29"/>
    <w:rsid w:val="00744657"/>
    <w:rsid w:val="0074491E"/>
    <w:rsid w:val="00754860"/>
    <w:rsid w:val="007560C9"/>
    <w:rsid w:val="0075701F"/>
    <w:rsid w:val="00763098"/>
    <w:rsid w:val="00763EDD"/>
    <w:rsid w:val="00764390"/>
    <w:rsid w:val="0076454E"/>
    <w:rsid w:val="007759C2"/>
    <w:rsid w:val="00776A95"/>
    <w:rsid w:val="00776BA2"/>
    <w:rsid w:val="0078325D"/>
    <w:rsid w:val="0078592F"/>
    <w:rsid w:val="007903DA"/>
    <w:rsid w:val="0079213A"/>
    <w:rsid w:val="0079353E"/>
    <w:rsid w:val="007A1745"/>
    <w:rsid w:val="007A64F4"/>
    <w:rsid w:val="007A6B71"/>
    <w:rsid w:val="007B0163"/>
    <w:rsid w:val="007B0CED"/>
    <w:rsid w:val="007B0D0E"/>
    <w:rsid w:val="007B1018"/>
    <w:rsid w:val="007B6224"/>
    <w:rsid w:val="007B72FE"/>
    <w:rsid w:val="007C00FC"/>
    <w:rsid w:val="007C08D5"/>
    <w:rsid w:val="007C1F87"/>
    <w:rsid w:val="007C68D0"/>
    <w:rsid w:val="007C69C4"/>
    <w:rsid w:val="007C6DD9"/>
    <w:rsid w:val="007D3EB1"/>
    <w:rsid w:val="007D4FB4"/>
    <w:rsid w:val="007D598F"/>
    <w:rsid w:val="007D5EEF"/>
    <w:rsid w:val="007D6F3E"/>
    <w:rsid w:val="007D763B"/>
    <w:rsid w:val="007E1309"/>
    <w:rsid w:val="007E52D8"/>
    <w:rsid w:val="007F1CBA"/>
    <w:rsid w:val="007F41FE"/>
    <w:rsid w:val="007F6445"/>
    <w:rsid w:val="007F6A76"/>
    <w:rsid w:val="008029A8"/>
    <w:rsid w:val="008035AA"/>
    <w:rsid w:val="008041B3"/>
    <w:rsid w:val="008071CB"/>
    <w:rsid w:val="00810F2F"/>
    <w:rsid w:val="008115F0"/>
    <w:rsid w:val="0081170C"/>
    <w:rsid w:val="008126F9"/>
    <w:rsid w:val="0081650A"/>
    <w:rsid w:val="008166F7"/>
    <w:rsid w:val="008253D2"/>
    <w:rsid w:val="00832FF6"/>
    <w:rsid w:val="00833E2E"/>
    <w:rsid w:val="008352FF"/>
    <w:rsid w:val="008361E5"/>
    <w:rsid w:val="00841170"/>
    <w:rsid w:val="008413ED"/>
    <w:rsid w:val="008414DB"/>
    <w:rsid w:val="00841EC2"/>
    <w:rsid w:val="00842F8D"/>
    <w:rsid w:val="00843177"/>
    <w:rsid w:val="0084599F"/>
    <w:rsid w:val="00847AA5"/>
    <w:rsid w:val="008544A3"/>
    <w:rsid w:val="00855B35"/>
    <w:rsid w:val="00855EC9"/>
    <w:rsid w:val="0086048E"/>
    <w:rsid w:val="00861CA8"/>
    <w:rsid w:val="00864F60"/>
    <w:rsid w:val="008665DA"/>
    <w:rsid w:val="008701DC"/>
    <w:rsid w:val="00870F05"/>
    <w:rsid w:val="008727AA"/>
    <w:rsid w:val="008729E4"/>
    <w:rsid w:val="00872BFA"/>
    <w:rsid w:val="0087435B"/>
    <w:rsid w:val="008753DF"/>
    <w:rsid w:val="00877A99"/>
    <w:rsid w:val="00881343"/>
    <w:rsid w:val="0088428A"/>
    <w:rsid w:val="00884D9E"/>
    <w:rsid w:val="00890121"/>
    <w:rsid w:val="0089097C"/>
    <w:rsid w:val="00890D99"/>
    <w:rsid w:val="00890ED4"/>
    <w:rsid w:val="00893B29"/>
    <w:rsid w:val="0089499C"/>
    <w:rsid w:val="00895515"/>
    <w:rsid w:val="00895B11"/>
    <w:rsid w:val="008977BC"/>
    <w:rsid w:val="008A032A"/>
    <w:rsid w:val="008A375B"/>
    <w:rsid w:val="008A61C5"/>
    <w:rsid w:val="008A6C6F"/>
    <w:rsid w:val="008B05DF"/>
    <w:rsid w:val="008B7B86"/>
    <w:rsid w:val="008C1814"/>
    <w:rsid w:val="008C284F"/>
    <w:rsid w:val="008C2B9F"/>
    <w:rsid w:val="008C496D"/>
    <w:rsid w:val="008C5938"/>
    <w:rsid w:val="008C5A48"/>
    <w:rsid w:val="008C5A64"/>
    <w:rsid w:val="008D09AB"/>
    <w:rsid w:val="008D09DB"/>
    <w:rsid w:val="008D147A"/>
    <w:rsid w:val="008D27D9"/>
    <w:rsid w:val="008D4625"/>
    <w:rsid w:val="008D6537"/>
    <w:rsid w:val="008D708A"/>
    <w:rsid w:val="008D771E"/>
    <w:rsid w:val="008E094A"/>
    <w:rsid w:val="008E0FBD"/>
    <w:rsid w:val="008E7364"/>
    <w:rsid w:val="008E73B0"/>
    <w:rsid w:val="008F3788"/>
    <w:rsid w:val="008F500B"/>
    <w:rsid w:val="008F53FF"/>
    <w:rsid w:val="008F6F9C"/>
    <w:rsid w:val="00904059"/>
    <w:rsid w:val="00904564"/>
    <w:rsid w:val="00906E3F"/>
    <w:rsid w:val="00906EAF"/>
    <w:rsid w:val="009106E1"/>
    <w:rsid w:val="009110B0"/>
    <w:rsid w:val="0092101B"/>
    <w:rsid w:val="0092249C"/>
    <w:rsid w:val="00922ED9"/>
    <w:rsid w:val="009234DB"/>
    <w:rsid w:val="00924C30"/>
    <w:rsid w:val="00926901"/>
    <w:rsid w:val="00927174"/>
    <w:rsid w:val="009278E4"/>
    <w:rsid w:val="0093191F"/>
    <w:rsid w:val="00932239"/>
    <w:rsid w:val="009325F5"/>
    <w:rsid w:val="00935399"/>
    <w:rsid w:val="00940502"/>
    <w:rsid w:val="00941695"/>
    <w:rsid w:val="009502FD"/>
    <w:rsid w:val="00952726"/>
    <w:rsid w:val="009577BB"/>
    <w:rsid w:val="0095789B"/>
    <w:rsid w:val="0096032D"/>
    <w:rsid w:val="00960C95"/>
    <w:rsid w:val="009648DC"/>
    <w:rsid w:val="00967D84"/>
    <w:rsid w:val="009728DB"/>
    <w:rsid w:val="00973B44"/>
    <w:rsid w:val="00974089"/>
    <w:rsid w:val="009748D8"/>
    <w:rsid w:val="009754B7"/>
    <w:rsid w:val="00981F88"/>
    <w:rsid w:val="009832F8"/>
    <w:rsid w:val="00983947"/>
    <w:rsid w:val="0098747B"/>
    <w:rsid w:val="009917EF"/>
    <w:rsid w:val="00992FF2"/>
    <w:rsid w:val="00993DC9"/>
    <w:rsid w:val="00995114"/>
    <w:rsid w:val="00997D3E"/>
    <w:rsid w:val="009A3E44"/>
    <w:rsid w:val="009A6689"/>
    <w:rsid w:val="009B0163"/>
    <w:rsid w:val="009B47EF"/>
    <w:rsid w:val="009B6BE5"/>
    <w:rsid w:val="009B774E"/>
    <w:rsid w:val="009C2258"/>
    <w:rsid w:val="009C3FDA"/>
    <w:rsid w:val="009D092B"/>
    <w:rsid w:val="009D6358"/>
    <w:rsid w:val="009D71EC"/>
    <w:rsid w:val="009E0EC8"/>
    <w:rsid w:val="009E19AD"/>
    <w:rsid w:val="009E2A26"/>
    <w:rsid w:val="009E75CE"/>
    <w:rsid w:val="009E76CD"/>
    <w:rsid w:val="009E79AB"/>
    <w:rsid w:val="009E7B28"/>
    <w:rsid w:val="009E7FAA"/>
    <w:rsid w:val="009F015A"/>
    <w:rsid w:val="009F0D1C"/>
    <w:rsid w:val="009F1555"/>
    <w:rsid w:val="009F1C77"/>
    <w:rsid w:val="009F4F37"/>
    <w:rsid w:val="009F739C"/>
    <w:rsid w:val="009F76B9"/>
    <w:rsid w:val="009F7E03"/>
    <w:rsid w:val="00A00363"/>
    <w:rsid w:val="00A01051"/>
    <w:rsid w:val="00A01DBB"/>
    <w:rsid w:val="00A036B6"/>
    <w:rsid w:val="00A03CDE"/>
    <w:rsid w:val="00A04914"/>
    <w:rsid w:val="00A05C68"/>
    <w:rsid w:val="00A11B96"/>
    <w:rsid w:val="00A12583"/>
    <w:rsid w:val="00A14C3C"/>
    <w:rsid w:val="00A2103F"/>
    <w:rsid w:val="00A210D4"/>
    <w:rsid w:val="00A21612"/>
    <w:rsid w:val="00A22259"/>
    <w:rsid w:val="00A24B7D"/>
    <w:rsid w:val="00A35AFA"/>
    <w:rsid w:val="00A3708A"/>
    <w:rsid w:val="00A37C57"/>
    <w:rsid w:val="00A4017E"/>
    <w:rsid w:val="00A44D89"/>
    <w:rsid w:val="00A47EFF"/>
    <w:rsid w:val="00A506A0"/>
    <w:rsid w:val="00A56439"/>
    <w:rsid w:val="00A65577"/>
    <w:rsid w:val="00A65D6C"/>
    <w:rsid w:val="00A66478"/>
    <w:rsid w:val="00A666F1"/>
    <w:rsid w:val="00A667DC"/>
    <w:rsid w:val="00A66E58"/>
    <w:rsid w:val="00A6775D"/>
    <w:rsid w:val="00A711DB"/>
    <w:rsid w:val="00A774B7"/>
    <w:rsid w:val="00A80CDB"/>
    <w:rsid w:val="00A823B9"/>
    <w:rsid w:val="00A835BB"/>
    <w:rsid w:val="00A9358F"/>
    <w:rsid w:val="00A96961"/>
    <w:rsid w:val="00AA06CB"/>
    <w:rsid w:val="00AA227C"/>
    <w:rsid w:val="00AA6C04"/>
    <w:rsid w:val="00AA75EC"/>
    <w:rsid w:val="00AB07E1"/>
    <w:rsid w:val="00AB238C"/>
    <w:rsid w:val="00AC2F33"/>
    <w:rsid w:val="00AC3547"/>
    <w:rsid w:val="00AC48C3"/>
    <w:rsid w:val="00AC5F29"/>
    <w:rsid w:val="00AD6122"/>
    <w:rsid w:val="00AE07E3"/>
    <w:rsid w:val="00AE27EE"/>
    <w:rsid w:val="00AE3DE1"/>
    <w:rsid w:val="00AE43AE"/>
    <w:rsid w:val="00AE4E44"/>
    <w:rsid w:val="00AE625A"/>
    <w:rsid w:val="00AF09DF"/>
    <w:rsid w:val="00AF1A6F"/>
    <w:rsid w:val="00AF7C87"/>
    <w:rsid w:val="00B0319E"/>
    <w:rsid w:val="00B03901"/>
    <w:rsid w:val="00B05094"/>
    <w:rsid w:val="00B06375"/>
    <w:rsid w:val="00B07B0C"/>
    <w:rsid w:val="00B07FF5"/>
    <w:rsid w:val="00B1252B"/>
    <w:rsid w:val="00B12DFA"/>
    <w:rsid w:val="00B15DB0"/>
    <w:rsid w:val="00B2024F"/>
    <w:rsid w:val="00B21F4B"/>
    <w:rsid w:val="00B227BA"/>
    <w:rsid w:val="00B256D9"/>
    <w:rsid w:val="00B25CE0"/>
    <w:rsid w:val="00B26356"/>
    <w:rsid w:val="00B26B66"/>
    <w:rsid w:val="00B30F6B"/>
    <w:rsid w:val="00B32C02"/>
    <w:rsid w:val="00B36373"/>
    <w:rsid w:val="00B3757E"/>
    <w:rsid w:val="00B40BB2"/>
    <w:rsid w:val="00B42770"/>
    <w:rsid w:val="00B44BB4"/>
    <w:rsid w:val="00B4513B"/>
    <w:rsid w:val="00B5119E"/>
    <w:rsid w:val="00B52800"/>
    <w:rsid w:val="00B63C48"/>
    <w:rsid w:val="00B660A4"/>
    <w:rsid w:val="00B665E8"/>
    <w:rsid w:val="00B71556"/>
    <w:rsid w:val="00B745B4"/>
    <w:rsid w:val="00B74AD5"/>
    <w:rsid w:val="00B8762C"/>
    <w:rsid w:val="00B91FBD"/>
    <w:rsid w:val="00B94487"/>
    <w:rsid w:val="00B9459F"/>
    <w:rsid w:val="00B95781"/>
    <w:rsid w:val="00B96F44"/>
    <w:rsid w:val="00B97828"/>
    <w:rsid w:val="00BA1D88"/>
    <w:rsid w:val="00BA2181"/>
    <w:rsid w:val="00BA30ED"/>
    <w:rsid w:val="00BB052A"/>
    <w:rsid w:val="00BB318D"/>
    <w:rsid w:val="00BB3E31"/>
    <w:rsid w:val="00BB46F3"/>
    <w:rsid w:val="00BB520F"/>
    <w:rsid w:val="00BB72EC"/>
    <w:rsid w:val="00BC1499"/>
    <w:rsid w:val="00BC239A"/>
    <w:rsid w:val="00BC533A"/>
    <w:rsid w:val="00BC5C48"/>
    <w:rsid w:val="00BD352A"/>
    <w:rsid w:val="00BD3E21"/>
    <w:rsid w:val="00BD6D6E"/>
    <w:rsid w:val="00BD6DB2"/>
    <w:rsid w:val="00BE26F6"/>
    <w:rsid w:val="00BE4670"/>
    <w:rsid w:val="00BE470D"/>
    <w:rsid w:val="00BE7A4D"/>
    <w:rsid w:val="00BF0C6C"/>
    <w:rsid w:val="00BF2EB2"/>
    <w:rsid w:val="00BF4ED2"/>
    <w:rsid w:val="00BF75FE"/>
    <w:rsid w:val="00C011ED"/>
    <w:rsid w:val="00C03351"/>
    <w:rsid w:val="00C0756E"/>
    <w:rsid w:val="00C10E5D"/>
    <w:rsid w:val="00C14330"/>
    <w:rsid w:val="00C148B7"/>
    <w:rsid w:val="00C1589F"/>
    <w:rsid w:val="00C160A5"/>
    <w:rsid w:val="00C17580"/>
    <w:rsid w:val="00C23109"/>
    <w:rsid w:val="00C254F3"/>
    <w:rsid w:val="00C2595F"/>
    <w:rsid w:val="00C25FD1"/>
    <w:rsid w:val="00C25FEA"/>
    <w:rsid w:val="00C27443"/>
    <w:rsid w:val="00C30719"/>
    <w:rsid w:val="00C37413"/>
    <w:rsid w:val="00C37B6F"/>
    <w:rsid w:val="00C428CC"/>
    <w:rsid w:val="00C433D6"/>
    <w:rsid w:val="00C43D25"/>
    <w:rsid w:val="00C4405C"/>
    <w:rsid w:val="00C46E20"/>
    <w:rsid w:val="00C47F32"/>
    <w:rsid w:val="00C523EE"/>
    <w:rsid w:val="00C54D69"/>
    <w:rsid w:val="00C5508F"/>
    <w:rsid w:val="00C657EC"/>
    <w:rsid w:val="00C71120"/>
    <w:rsid w:val="00C74C06"/>
    <w:rsid w:val="00C77193"/>
    <w:rsid w:val="00C8165E"/>
    <w:rsid w:val="00C81698"/>
    <w:rsid w:val="00C863AE"/>
    <w:rsid w:val="00C86D32"/>
    <w:rsid w:val="00C945B9"/>
    <w:rsid w:val="00C94E27"/>
    <w:rsid w:val="00CA1AFB"/>
    <w:rsid w:val="00CA3182"/>
    <w:rsid w:val="00CA51D3"/>
    <w:rsid w:val="00CB065C"/>
    <w:rsid w:val="00CB4B60"/>
    <w:rsid w:val="00CB7386"/>
    <w:rsid w:val="00CC049D"/>
    <w:rsid w:val="00CC212F"/>
    <w:rsid w:val="00CC4E57"/>
    <w:rsid w:val="00CC6BCC"/>
    <w:rsid w:val="00CD26BD"/>
    <w:rsid w:val="00CE2CD4"/>
    <w:rsid w:val="00CE44DE"/>
    <w:rsid w:val="00CF3675"/>
    <w:rsid w:val="00CF4732"/>
    <w:rsid w:val="00CF53FF"/>
    <w:rsid w:val="00CF742E"/>
    <w:rsid w:val="00CF78AF"/>
    <w:rsid w:val="00D00672"/>
    <w:rsid w:val="00D00C16"/>
    <w:rsid w:val="00D03083"/>
    <w:rsid w:val="00D04D0F"/>
    <w:rsid w:val="00D05FFF"/>
    <w:rsid w:val="00D138EE"/>
    <w:rsid w:val="00D15180"/>
    <w:rsid w:val="00D15B00"/>
    <w:rsid w:val="00D17B6C"/>
    <w:rsid w:val="00D222AB"/>
    <w:rsid w:val="00D232A0"/>
    <w:rsid w:val="00D23F51"/>
    <w:rsid w:val="00D2637B"/>
    <w:rsid w:val="00D27A40"/>
    <w:rsid w:val="00D27BA4"/>
    <w:rsid w:val="00D27F8A"/>
    <w:rsid w:val="00D313D1"/>
    <w:rsid w:val="00D35574"/>
    <w:rsid w:val="00D36516"/>
    <w:rsid w:val="00D52766"/>
    <w:rsid w:val="00D528E2"/>
    <w:rsid w:val="00D61638"/>
    <w:rsid w:val="00D639F6"/>
    <w:rsid w:val="00D65E66"/>
    <w:rsid w:val="00D70C85"/>
    <w:rsid w:val="00D72D7B"/>
    <w:rsid w:val="00D750A8"/>
    <w:rsid w:val="00D75A50"/>
    <w:rsid w:val="00D75CA9"/>
    <w:rsid w:val="00D76E4C"/>
    <w:rsid w:val="00D7764A"/>
    <w:rsid w:val="00D77D34"/>
    <w:rsid w:val="00D806AE"/>
    <w:rsid w:val="00D806CE"/>
    <w:rsid w:val="00D80774"/>
    <w:rsid w:val="00D81B3A"/>
    <w:rsid w:val="00D83BCE"/>
    <w:rsid w:val="00D85243"/>
    <w:rsid w:val="00D852F0"/>
    <w:rsid w:val="00D8582C"/>
    <w:rsid w:val="00D85A10"/>
    <w:rsid w:val="00D903AE"/>
    <w:rsid w:val="00D91720"/>
    <w:rsid w:val="00D936C1"/>
    <w:rsid w:val="00D9539C"/>
    <w:rsid w:val="00D95B5F"/>
    <w:rsid w:val="00D96BB4"/>
    <w:rsid w:val="00DA2593"/>
    <w:rsid w:val="00DA35D9"/>
    <w:rsid w:val="00DA3E82"/>
    <w:rsid w:val="00DA697A"/>
    <w:rsid w:val="00DB2CA4"/>
    <w:rsid w:val="00DB5988"/>
    <w:rsid w:val="00DB656C"/>
    <w:rsid w:val="00DB6DEB"/>
    <w:rsid w:val="00DB727E"/>
    <w:rsid w:val="00DB7444"/>
    <w:rsid w:val="00DC18ED"/>
    <w:rsid w:val="00DC1C31"/>
    <w:rsid w:val="00DC2B33"/>
    <w:rsid w:val="00DC4E88"/>
    <w:rsid w:val="00DC6C6D"/>
    <w:rsid w:val="00DD191E"/>
    <w:rsid w:val="00DD2FCC"/>
    <w:rsid w:val="00DD3F77"/>
    <w:rsid w:val="00DE1D92"/>
    <w:rsid w:val="00DF105C"/>
    <w:rsid w:val="00DF3255"/>
    <w:rsid w:val="00DF4625"/>
    <w:rsid w:val="00DF7C05"/>
    <w:rsid w:val="00E02BA3"/>
    <w:rsid w:val="00E0411A"/>
    <w:rsid w:val="00E04A1F"/>
    <w:rsid w:val="00E05879"/>
    <w:rsid w:val="00E075E2"/>
    <w:rsid w:val="00E110F3"/>
    <w:rsid w:val="00E153C1"/>
    <w:rsid w:val="00E16782"/>
    <w:rsid w:val="00E21BC1"/>
    <w:rsid w:val="00E239EE"/>
    <w:rsid w:val="00E2415B"/>
    <w:rsid w:val="00E26268"/>
    <w:rsid w:val="00E27396"/>
    <w:rsid w:val="00E27A9B"/>
    <w:rsid w:val="00E32451"/>
    <w:rsid w:val="00E347C3"/>
    <w:rsid w:val="00E35F97"/>
    <w:rsid w:val="00E36592"/>
    <w:rsid w:val="00E378D7"/>
    <w:rsid w:val="00E412BA"/>
    <w:rsid w:val="00E433D5"/>
    <w:rsid w:val="00E47599"/>
    <w:rsid w:val="00E5089F"/>
    <w:rsid w:val="00E50A99"/>
    <w:rsid w:val="00E54072"/>
    <w:rsid w:val="00E55AC0"/>
    <w:rsid w:val="00E55F38"/>
    <w:rsid w:val="00E56CC1"/>
    <w:rsid w:val="00E60CC7"/>
    <w:rsid w:val="00E61F9D"/>
    <w:rsid w:val="00E63D6F"/>
    <w:rsid w:val="00E65357"/>
    <w:rsid w:val="00E66DCF"/>
    <w:rsid w:val="00E67160"/>
    <w:rsid w:val="00E71BB2"/>
    <w:rsid w:val="00E743BE"/>
    <w:rsid w:val="00E770D2"/>
    <w:rsid w:val="00E80FD6"/>
    <w:rsid w:val="00E83ACC"/>
    <w:rsid w:val="00E84430"/>
    <w:rsid w:val="00E87BF1"/>
    <w:rsid w:val="00E87F0D"/>
    <w:rsid w:val="00E928FC"/>
    <w:rsid w:val="00E934F4"/>
    <w:rsid w:val="00E938D3"/>
    <w:rsid w:val="00E975CF"/>
    <w:rsid w:val="00EA1F73"/>
    <w:rsid w:val="00EB0939"/>
    <w:rsid w:val="00EB3AE4"/>
    <w:rsid w:val="00EB5052"/>
    <w:rsid w:val="00EB76F2"/>
    <w:rsid w:val="00EB7BEE"/>
    <w:rsid w:val="00EC0CE5"/>
    <w:rsid w:val="00EC0E17"/>
    <w:rsid w:val="00EC1366"/>
    <w:rsid w:val="00EC2468"/>
    <w:rsid w:val="00EC27C5"/>
    <w:rsid w:val="00EC4120"/>
    <w:rsid w:val="00EC6ED6"/>
    <w:rsid w:val="00ED32AD"/>
    <w:rsid w:val="00EE151E"/>
    <w:rsid w:val="00EE4E30"/>
    <w:rsid w:val="00EE63A6"/>
    <w:rsid w:val="00EF20EE"/>
    <w:rsid w:val="00EF739F"/>
    <w:rsid w:val="00F01B11"/>
    <w:rsid w:val="00F035A5"/>
    <w:rsid w:val="00F04B99"/>
    <w:rsid w:val="00F0604F"/>
    <w:rsid w:val="00F13A57"/>
    <w:rsid w:val="00F14326"/>
    <w:rsid w:val="00F1752E"/>
    <w:rsid w:val="00F21C78"/>
    <w:rsid w:val="00F2268C"/>
    <w:rsid w:val="00F24F01"/>
    <w:rsid w:val="00F27340"/>
    <w:rsid w:val="00F27E62"/>
    <w:rsid w:val="00F31156"/>
    <w:rsid w:val="00F322C0"/>
    <w:rsid w:val="00F34B20"/>
    <w:rsid w:val="00F40682"/>
    <w:rsid w:val="00F41612"/>
    <w:rsid w:val="00F43AE5"/>
    <w:rsid w:val="00F46CEB"/>
    <w:rsid w:val="00F47732"/>
    <w:rsid w:val="00F54858"/>
    <w:rsid w:val="00F5614A"/>
    <w:rsid w:val="00F56B83"/>
    <w:rsid w:val="00F63AF9"/>
    <w:rsid w:val="00F657BF"/>
    <w:rsid w:val="00F70510"/>
    <w:rsid w:val="00F70C0F"/>
    <w:rsid w:val="00F71218"/>
    <w:rsid w:val="00F747A9"/>
    <w:rsid w:val="00F75163"/>
    <w:rsid w:val="00F7520C"/>
    <w:rsid w:val="00F76878"/>
    <w:rsid w:val="00F777A9"/>
    <w:rsid w:val="00F80C67"/>
    <w:rsid w:val="00F86DDE"/>
    <w:rsid w:val="00F906CE"/>
    <w:rsid w:val="00F9109B"/>
    <w:rsid w:val="00F91E70"/>
    <w:rsid w:val="00F92B8F"/>
    <w:rsid w:val="00F94522"/>
    <w:rsid w:val="00FA1FC7"/>
    <w:rsid w:val="00FA5C06"/>
    <w:rsid w:val="00FB3383"/>
    <w:rsid w:val="00FB388D"/>
    <w:rsid w:val="00FB4B2D"/>
    <w:rsid w:val="00FB4E25"/>
    <w:rsid w:val="00FB53B2"/>
    <w:rsid w:val="00FC3611"/>
    <w:rsid w:val="00FC3720"/>
    <w:rsid w:val="00FC4A0B"/>
    <w:rsid w:val="00FC4D43"/>
    <w:rsid w:val="00FC58E3"/>
    <w:rsid w:val="00FC5C39"/>
    <w:rsid w:val="00FC6F0C"/>
    <w:rsid w:val="00FD014A"/>
    <w:rsid w:val="00FD0380"/>
    <w:rsid w:val="00FD2283"/>
    <w:rsid w:val="00FD2A2C"/>
    <w:rsid w:val="00FD3210"/>
    <w:rsid w:val="00FD388A"/>
    <w:rsid w:val="00FD4F36"/>
    <w:rsid w:val="00FD6250"/>
    <w:rsid w:val="00FD6D38"/>
    <w:rsid w:val="00FE41F3"/>
    <w:rsid w:val="00FE6170"/>
    <w:rsid w:val="00FF2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DBF5242"/>
  <w15:docId w15:val="{263D817A-61A3-403D-87C3-0763C970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FDD"/>
    <w:pPr>
      <w:spacing w:before="120" w:after="120"/>
    </w:pPr>
    <w:rPr>
      <w:rFonts w:ascii="Arial" w:hAnsi="Arial"/>
      <w:color w:val="212120"/>
      <w:kern w:val="28"/>
      <w:sz w:val="22"/>
      <w14:ligatures w14:val="standard"/>
      <w14:cntxtAlts/>
    </w:rPr>
  </w:style>
  <w:style w:type="paragraph" w:styleId="Heading1">
    <w:name w:val="heading 1"/>
    <w:basedOn w:val="Normal"/>
    <w:next w:val="Normal"/>
    <w:link w:val="Heading1Char"/>
    <w:autoRedefine/>
    <w:qFormat/>
    <w:rsid w:val="001F1C62"/>
    <w:pPr>
      <w:keepNext/>
      <w:outlineLvl w:val="0"/>
    </w:pPr>
    <w:rPr>
      <w:b/>
      <w:color w:val="auto"/>
      <w:kern w:val="0"/>
      <w:sz w:val="24"/>
      <w:lang w:val="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character" w:customStyle="1" w:styleId="HeaderChar">
    <w:name w:val="Header Char"/>
    <w:basedOn w:val="DefaultParagraphFont"/>
    <w:link w:val="Header"/>
    <w:uiPriority w:val="99"/>
    <w:rsid w:val="005034F1"/>
    <w:rPr>
      <w:rFonts w:ascii="Arial" w:hAnsi="Arial"/>
      <w:color w:val="212120"/>
      <w:kern w:val="28"/>
      <w:sz w:val="22"/>
      <w14:ligatures w14:val="standard"/>
      <w14:cntxtAlts/>
    </w:rPr>
  </w:style>
  <w:style w:type="character" w:customStyle="1" w:styleId="FooterChar">
    <w:name w:val="Footer Char"/>
    <w:basedOn w:val="DefaultParagraphFont"/>
    <w:link w:val="Footer"/>
    <w:uiPriority w:val="99"/>
    <w:rsid w:val="005034F1"/>
    <w:rPr>
      <w:rFonts w:ascii="Arial" w:hAnsi="Arial"/>
      <w:color w:val="212120"/>
      <w:kern w:val="28"/>
      <w:sz w:val="22"/>
      <w14:ligatures w14:val="standard"/>
      <w14:cntxtAlts/>
    </w:rPr>
  </w:style>
  <w:style w:type="character" w:styleId="Hyperlink">
    <w:name w:val="Hyperlink"/>
    <w:basedOn w:val="DefaultParagraphFont"/>
    <w:unhideWhenUsed/>
    <w:rsid w:val="00B5119E"/>
    <w:rPr>
      <w:color w:val="0000FF" w:themeColor="hyperlink"/>
      <w:u w:val="single"/>
    </w:rPr>
  </w:style>
  <w:style w:type="paragraph" w:styleId="ListParagraph">
    <w:name w:val="List Paragraph"/>
    <w:basedOn w:val="Normal"/>
    <w:uiPriority w:val="34"/>
    <w:qFormat/>
    <w:rsid w:val="001F45C3"/>
    <w:pPr>
      <w:ind w:left="720"/>
      <w:contextualSpacing/>
    </w:pPr>
  </w:style>
  <w:style w:type="paragraph" w:styleId="FootnoteText">
    <w:name w:val="footnote text"/>
    <w:basedOn w:val="Normal"/>
    <w:link w:val="FootnoteTextChar"/>
    <w:rsid w:val="001F45C3"/>
    <w:pPr>
      <w:spacing w:before="0" w:after="0"/>
    </w:pPr>
    <w:rPr>
      <w:sz w:val="20"/>
    </w:rPr>
  </w:style>
  <w:style w:type="character" w:customStyle="1" w:styleId="FootnoteTextChar">
    <w:name w:val="Footnote Text Char"/>
    <w:basedOn w:val="DefaultParagraphFont"/>
    <w:link w:val="FootnoteText"/>
    <w:rsid w:val="001F45C3"/>
    <w:rPr>
      <w:rFonts w:ascii="Arial" w:hAnsi="Arial"/>
      <w:color w:val="212120"/>
      <w:kern w:val="28"/>
      <w14:ligatures w14:val="standard"/>
      <w14:cntxtAlts/>
    </w:rPr>
  </w:style>
  <w:style w:type="character" w:styleId="FootnoteReference">
    <w:name w:val="footnote reference"/>
    <w:basedOn w:val="DefaultParagraphFont"/>
    <w:rsid w:val="001F45C3"/>
    <w:rPr>
      <w:vertAlign w:val="superscript"/>
    </w:rPr>
  </w:style>
  <w:style w:type="table" w:styleId="TableGrid">
    <w:name w:val="Table Grid"/>
    <w:basedOn w:val="TableNormal"/>
    <w:rsid w:val="00033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19AD"/>
    <w:pPr>
      <w:spacing w:before="0" w:after="150"/>
    </w:pPr>
    <w:rPr>
      <w:rFonts w:ascii="Times New Roman" w:eastAsiaTheme="minorHAnsi" w:hAnsi="Times New Roman"/>
      <w:color w:val="auto"/>
      <w:kern w:val="0"/>
      <w:sz w:val="29"/>
      <w:szCs w:val="29"/>
      <w14:ligatures w14:val="none"/>
      <w14:cntxtAlts w14:val="0"/>
    </w:rPr>
  </w:style>
  <w:style w:type="character" w:styleId="HTMLCite">
    <w:name w:val="HTML Cite"/>
    <w:basedOn w:val="DefaultParagraphFont"/>
    <w:uiPriority w:val="99"/>
    <w:semiHidden/>
    <w:unhideWhenUsed/>
    <w:rsid w:val="009E19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5572">
      <w:bodyDiv w:val="1"/>
      <w:marLeft w:val="0"/>
      <w:marRight w:val="0"/>
      <w:marTop w:val="0"/>
      <w:marBottom w:val="0"/>
      <w:divBdr>
        <w:top w:val="none" w:sz="0" w:space="0" w:color="auto"/>
        <w:left w:val="none" w:sz="0" w:space="0" w:color="auto"/>
        <w:bottom w:val="none" w:sz="0" w:space="0" w:color="auto"/>
        <w:right w:val="none" w:sz="0" w:space="0" w:color="auto"/>
      </w:divBdr>
      <w:divsChild>
        <w:div w:id="1059129291">
          <w:marLeft w:val="0"/>
          <w:marRight w:val="0"/>
          <w:marTop w:val="0"/>
          <w:marBottom w:val="0"/>
          <w:divBdr>
            <w:top w:val="none" w:sz="0" w:space="0" w:color="auto"/>
            <w:left w:val="none" w:sz="0" w:space="0" w:color="auto"/>
            <w:bottom w:val="none" w:sz="0" w:space="0" w:color="auto"/>
            <w:right w:val="none" w:sz="0" w:space="0" w:color="auto"/>
          </w:divBdr>
          <w:divsChild>
            <w:div w:id="1433819297">
              <w:marLeft w:val="0"/>
              <w:marRight w:val="0"/>
              <w:marTop w:val="0"/>
              <w:marBottom w:val="0"/>
              <w:divBdr>
                <w:top w:val="none" w:sz="0" w:space="0" w:color="auto"/>
                <w:left w:val="none" w:sz="0" w:space="0" w:color="auto"/>
                <w:bottom w:val="none" w:sz="0" w:space="0" w:color="auto"/>
                <w:right w:val="none" w:sz="0" w:space="0" w:color="auto"/>
              </w:divBdr>
              <w:divsChild>
                <w:div w:id="1267999939">
                  <w:marLeft w:val="0"/>
                  <w:marRight w:val="0"/>
                  <w:marTop w:val="0"/>
                  <w:marBottom w:val="0"/>
                  <w:divBdr>
                    <w:top w:val="none" w:sz="0" w:space="0" w:color="auto"/>
                    <w:left w:val="none" w:sz="0" w:space="0" w:color="auto"/>
                    <w:bottom w:val="none" w:sz="0" w:space="0" w:color="auto"/>
                    <w:right w:val="none" w:sz="0" w:space="0" w:color="auto"/>
                  </w:divBdr>
                  <w:divsChild>
                    <w:div w:id="1904830520">
                      <w:marLeft w:val="0"/>
                      <w:marRight w:val="0"/>
                      <w:marTop w:val="0"/>
                      <w:marBottom w:val="0"/>
                      <w:divBdr>
                        <w:top w:val="none" w:sz="0" w:space="0" w:color="auto"/>
                        <w:left w:val="none" w:sz="0" w:space="0" w:color="auto"/>
                        <w:bottom w:val="none" w:sz="0" w:space="0" w:color="auto"/>
                        <w:right w:val="none" w:sz="0" w:space="0" w:color="auto"/>
                      </w:divBdr>
                      <w:divsChild>
                        <w:div w:id="241449047">
                          <w:marLeft w:val="0"/>
                          <w:marRight w:val="0"/>
                          <w:marTop w:val="0"/>
                          <w:marBottom w:val="0"/>
                          <w:divBdr>
                            <w:top w:val="none" w:sz="0" w:space="0" w:color="auto"/>
                            <w:left w:val="none" w:sz="0" w:space="0" w:color="auto"/>
                            <w:bottom w:val="none" w:sz="0" w:space="0" w:color="auto"/>
                            <w:right w:val="none" w:sz="0" w:space="0" w:color="auto"/>
                          </w:divBdr>
                          <w:divsChild>
                            <w:div w:id="3282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072016">
      <w:bodyDiv w:val="1"/>
      <w:marLeft w:val="0"/>
      <w:marRight w:val="0"/>
      <w:marTop w:val="0"/>
      <w:marBottom w:val="0"/>
      <w:divBdr>
        <w:top w:val="none" w:sz="0" w:space="0" w:color="auto"/>
        <w:left w:val="none" w:sz="0" w:space="0" w:color="auto"/>
        <w:bottom w:val="none" w:sz="0" w:space="0" w:color="auto"/>
        <w:right w:val="none" w:sz="0" w:space="0" w:color="auto"/>
      </w:divBdr>
    </w:div>
    <w:div w:id="299506705">
      <w:bodyDiv w:val="1"/>
      <w:marLeft w:val="0"/>
      <w:marRight w:val="0"/>
      <w:marTop w:val="0"/>
      <w:marBottom w:val="0"/>
      <w:divBdr>
        <w:top w:val="none" w:sz="0" w:space="0" w:color="auto"/>
        <w:left w:val="none" w:sz="0" w:space="0" w:color="auto"/>
        <w:bottom w:val="none" w:sz="0" w:space="0" w:color="auto"/>
        <w:right w:val="none" w:sz="0" w:space="0" w:color="auto"/>
      </w:divBdr>
    </w:div>
    <w:div w:id="888613741">
      <w:bodyDiv w:val="1"/>
      <w:marLeft w:val="0"/>
      <w:marRight w:val="0"/>
      <w:marTop w:val="0"/>
      <w:marBottom w:val="0"/>
      <w:divBdr>
        <w:top w:val="none" w:sz="0" w:space="0" w:color="auto"/>
        <w:left w:val="none" w:sz="0" w:space="0" w:color="auto"/>
        <w:bottom w:val="none" w:sz="0" w:space="0" w:color="auto"/>
        <w:right w:val="none" w:sz="0" w:space="0" w:color="auto"/>
      </w:divBdr>
      <w:divsChild>
        <w:div w:id="2024361414">
          <w:marLeft w:val="0"/>
          <w:marRight w:val="0"/>
          <w:marTop w:val="0"/>
          <w:marBottom w:val="0"/>
          <w:divBdr>
            <w:top w:val="none" w:sz="0" w:space="0" w:color="auto"/>
            <w:left w:val="none" w:sz="0" w:space="0" w:color="auto"/>
            <w:bottom w:val="none" w:sz="0" w:space="0" w:color="auto"/>
            <w:right w:val="none" w:sz="0" w:space="0" w:color="auto"/>
          </w:divBdr>
          <w:divsChild>
            <w:div w:id="2001619389">
              <w:marLeft w:val="0"/>
              <w:marRight w:val="0"/>
              <w:marTop w:val="0"/>
              <w:marBottom w:val="0"/>
              <w:divBdr>
                <w:top w:val="none" w:sz="0" w:space="0" w:color="auto"/>
                <w:left w:val="none" w:sz="0" w:space="0" w:color="auto"/>
                <w:bottom w:val="none" w:sz="0" w:space="0" w:color="auto"/>
                <w:right w:val="none" w:sz="0" w:space="0" w:color="auto"/>
              </w:divBdr>
              <w:divsChild>
                <w:div w:id="2005090351">
                  <w:marLeft w:val="0"/>
                  <w:marRight w:val="0"/>
                  <w:marTop w:val="0"/>
                  <w:marBottom w:val="0"/>
                  <w:divBdr>
                    <w:top w:val="none" w:sz="0" w:space="0" w:color="auto"/>
                    <w:left w:val="none" w:sz="0" w:space="0" w:color="auto"/>
                    <w:bottom w:val="none" w:sz="0" w:space="0" w:color="auto"/>
                    <w:right w:val="none" w:sz="0" w:space="0" w:color="auto"/>
                  </w:divBdr>
                  <w:divsChild>
                    <w:div w:id="1103304248">
                      <w:marLeft w:val="0"/>
                      <w:marRight w:val="0"/>
                      <w:marTop w:val="0"/>
                      <w:marBottom w:val="0"/>
                      <w:divBdr>
                        <w:top w:val="none" w:sz="0" w:space="0" w:color="auto"/>
                        <w:left w:val="none" w:sz="0" w:space="0" w:color="auto"/>
                        <w:bottom w:val="none" w:sz="0" w:space="0" w:color="auto"/>
                        <w:right w:val="none" w:sz="0" w:space="0" w:color="auto"/>
                      </w:divBdr>
                      <w:divsChild>
                        <w:div w:id="2062751731">
                          <w:marLeft w:val="0"/>
                          <w:marRight w:val="0"/>
                          <w:marTop w:val="0"/>
                          <w:marBottom w:val="0"/>
                          <w:divBdr>
                            <w:top w:val="none" w:sz="0" w:space="0" w:color="auto"/>
                            <w:left w:val="none" w:sz="0" w:space="0" w:color="auto"/>
                            <w:bottom w:val="none" w:sz="0" w:space="0" w:color="auto"/>
                            <w:right w:val="none" w:sz="0" w:space="0" w:color="auto"/>
                          </w:divBdr>
                          <w:divsChild>
                            <w:div w:id="2279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145196">
      <w:bodyDiv w:val="1"/>
      <w:marLeft w:val="0"/>
      <w:marRight w:val="0"/>
      <w:marTop w:val="0"/>
      <w:marBottom w:val="0"/>
      <w:divBdr>
        <w:top w:val="none" w:sz="0" w:space="0" w:color="auto"/>
        <w:left w:val="none" w:sz="0" w:space="0" w:color="auto"/>
        <w:bottom w:val="none" w:sz="0" w:space="0" w:color="auto"/>
        <w:right w:val="none" w:sz="0" w:space="0" w:color="auto"/>
      </w:divBdr>
      <w:divsChild>
        <w:div w:id="178275581">
          <w:marLeft w:val="0"/>
          <w:marRight w:val="0"/>
          <w:marTop w:val="0"/>
          <w:marBottom w:val="0"/>
          <w:divBdr>
            <w:top w:val="none" w:sz="0" w:space="0" w:color="auto"/>
            <w:left w:val="none" w:sz="0" w:space="0" w:color="auto"/>
            <w:bottom w:val="none" w:sz="0" w:space="0" w:color="auto"/>
            <w:right w:val="none" w:sz="0" w:space="0" w:color="auto"/>
          </w:divBdr>
          <w:divsChild>
            <w:div w:id="450631088">
              <w:marLeft w:val="0"/>
              <w:marRight w:val="0"/>
              <w:marTop w:val="0"/>
              <w:marBottom w:val="0"/>
              <w:divBdr>
                <w:top w:val="none" w:sz="0" w:space="0" w:color="auto"/>
                <w:left w:val="none" w:sz="0" w:space="0" w:color="auto"/>
                <w:bottom w:val="none" w:sz="0" w:space="0" w:color="auto"/>
                <w:right w:val="none" w:sz="0" w:space="0" w:color="auto"/>
              </w:divBdr>
              <w:divsChild>
                <w:div w:id="471800251">
                  <w:marLeft w:val="0"/>
                  <w:marRight w:val="0"/>
                  <w:marTop w:val="0"/>
                  <w:marBottom w:val="0"/>
                  <w:divBdr>
                    <w:top w:val="none" w:sz="0" w:space="0" w:color="auto"/>
                    <w:left w:val="none" w:sz="0" w:space="0" w:color="auto"/>
                    <w:bottom w:val="none" w:sz="0" w:space="0" w:color="auto"/>
                    <w:right w:val="none" w:sz="0" w:space="0" w:color="auto"/>
                  </w:divBdr>
                  <w:divsChild>
                    <w:div w:id="925503570">
                      <w:marLeft w:val="0"/>
                      <w:marRight w:val="0"/>
                      <w:marTop w:val="0"/>
                      <w:marBottom w:val="0"/>
                      <w:divBdr>
                        <w:top w:val="none" w:sz="0" w:space="0" w:color="auto"/>
                        <w:left w:val="none" w:sz="0" w:space="0" w:color="auto"/>
                        <w:bottom w:val="none" w:sz="0" w:space="0" w:color="auto"/>
                        <w:right w:val="none" w:sz="0" w:space="0" w:color="auto"/>
                      </w:divBdr>
                      <w:divsChild>
                        <w:div w:id="18623249">
                          <w:marLeft w:val="0"/>
                          <w:marRight w:val="0"/>
                          <w:marTop w:val="0"/>
                          <w:marBottom w:val="0"/>
                          <w:divBdr>
                            <w:top w:val="none" w:sz="0" w:space="0" w:color="auto"/>
                            <w:left w:val="none" w:sz="0" w:space="0" w:color="auto"/>
                            <w:bottom w:val="none" w:sz="0" w:space="0" w:color="auto"/>
                            <w:right w:val="none" w:sz="0" w:space="0" w:color="auto"/>
                          </w:divBdr>
                          <w:divsChild>
                            <w:div w:id="1088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0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igiousfreedom@pmc.gov.a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61710-56A3-4C44-AC49-80FD9DEC0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3443</Words>
  <Characters>18253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Ball</dc:creator>
  <cp:lastModifiedBy>Julie Ball</cp:lastModifiedBy>
  <cp:revision>10</cp:revision>
  <cp:lastPrinted>2018-01-28T23:04:00Z</cp:lastPrinted>
  <dcterms:created xsi:type="dcterms:W3CDTF">2018-02-02T02:10:00Z</dcterms:created>
  <dcterms:modified xsi:type="dcterms:W3CDTF">2018-02-26T01:38:00Z</dcterms:modified>
</cp:coreProperties>
</file>